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7" w:type="dxa"/>
        <w:tblBorders>
          <w:top w:val="double" w:sz="6" w:space="0" w:color="000080"/>
          <w:left w:val="double" w:sz="6" w:space="0" w:color="000080"/>
          <w:bottom w:val="double" w:sz="6" w:space="0" w:color="000080"/>
          <w:right w:val="double" w:sz="6" w:space="0" w:color="000080"/>
          <w:insideH w:val="double" w:sz="6" w:space="0" w:color="000080"/>
          <w:insideV w:val="double" w:sz="6" w:space="0" w:color="000080"/>
        </w:tblBorders>
        <w:tblLayout w:type="fixed"/>
        <w:tblLook w:val="0000" w:firstRow="0" w:lastRow="0" w:firstColumn="0" w:lastColumn="0" w:noHBand="0" w:noVBand="0"/>
      </w:tblPr>
      <w:tblGrid>
        <w:gridCol w:w="9627"/>
      </w:tblGrid>
      <w:tr w:rsidR="000C099C" w14:paraId="140AB475" w14:textId="77777777">
        <w:trPr>
          <w:trHeight w:val="7362"/>
        </w:trPr>
        <w:tc>
          <w:tcPr>
            <w:tcW w:w="9627" w:type="dxa"/>
            <w:tcBorders>
              <w:bottom w:val="double" w:sz="6" w:space="0" w:color="000080"/>
            </w:tcBorders>
          </w:tcPr>
          <w:p w14:paraId="51677F54" w14:textId="77777777" w:rsidR="00EA06AC" w:rsidRPr="00AC3021" w:rsidRDefault="00EA06AC" w:rsidP="00AC3021">
            <w:pPr>
              <w:rPr>
                <w:i/>
              </w:rPr>
            </w:pPr>
          </w:p>
          <w:p w14:paraId="0A8C8CC4" w14:textId="77777777" w:rsidR="00AC3021" w:rsidRPr="00AC3021" w:rsidRDefault="00AC3021" w:rsidP="00AC3021">
            <w:pPr>
              <w:rPr>
                <w:i/>
                <w:sz w:val="24"/>
                <w:szCs w:val="24"/>
              </w:rPr>
            </w:pPr>
          </w:p>
          <w:p w14:paraId="4D00E71C" w14:textId="77777777" w:rsidR="000C099C" w:rsidRPr="00124657" w:rsidRDefault="000C099C" w:rsidP="00124657">
            <w:pPr>
              <w:jc w:val="center"/>
              <w:rPr>
                <w:b/>
                <w:sz w:val="32"/>
                <w:szCs w:val="32"/>
              </w:rPr>
            </w:pPr>
            <w:bookmarkStart w:id="0" w:name="_Toc247700006"/>
            <w:bookmarkStart w:id="1" w:name="_Toc249260243"/>
            <w:r w:rsidRPr="00124657">
              <w:rPr>
                <w:b/>
                <w:sz w:val="32"/>
                <w:szCs w:val="32"/>
              </w:rPr>
              <w:t>Woodlands Securities Corp</w:t>
            </w:r>
            <w:r w:rsidR="00674D65" w:rsidRPr="00124657">
              <w:rPr>
                <w:b/>
                <w:sz w:val="32"/>
                <w:szCs w:val="32"/>
              </w:rPr>
              <w:t>oration</w:t>
            </w:r>
            <w:bookmarkEnd w:id="0"/>
            <w:bookmarkEnd w:id="1"/>
          </w:p>
          <w:p w14:paraId="36AF07F2" w14:textId="77777777" w:rsidR="000C099C" w:rsidRPr="00124657" w:rsidRDefault="000C099C" w:rsidP="00124657">
            <w:pPr>
              <w:jc w:val="center"/>
              <w:rPr>
                <w:sz w:val="24"/>
                <w:szCs w:val="24"/>
              </w:rPr>
            </w:pPr>
            <w:bookmarkStart w:id="2" w:name="_Toc247700007"/>
            <w:bookmarkStart w:id="3" w:name="_Toc249260244"/>
            <w:r w:rsidRPr="00124657">
              <w:rPr>
                <w:sz w:val="24"/>
                <w:szCs w:val="24"/>
              </w:rPr>
              <w:t>(the "Company")</w:t>
            </w:r>
            <w:bookmarkEnd w:id="2"/>
            <w:bookmarkEnd w:id="3"/>
          </w:p>
          <w:p w14:paraId="73D0A288" w14:textId="77777777" w:rsidR="000C099C" w:rsidRPr="00420D2C" w:rsidRDefault="000C099C" w:rsidP="00674D65">
            <w:pPr>
              <w:pStyle w:val="Title"/>
              <w:rPr>
                <w:sz w:val="24"/>
              </w:rPr>
            </w:pPr>
          </w:p>
          <w:p w14:paraId="3D6A348F" w14:textId="52FF5174" w:rsidR="000C099C" w:rsidRDefault="000C099C" w:rsidP="00674D65">
            <w:pPr>
              <w:pStyle w:val="Title"/>
              <w:rPr>
                <w:i/>
                <w:iCs/>
                <w:color w:val="FF0000"/>
                <w:sz w:val="24"/>
              </w:rPr>
            </w:pPr>
          </w:p>
          <w:p w14:paraId="27E4ACBA" w14:textId="77777777" w:rsidR="00CD5A13" w:rsidRPr="00CD5A13" w:rsidRDefault="00CD5A13" w:rsidP="00CD5A13"/>
          <w:p w14:paraId="2E6F2E6A" w14:textId="77777777" w:rsidR="000C099C" w:rsidRPr="00420D2C" w:rsidRDefault="000C099C" w:rsidP="00674D65">
            <w:pPr>
              <w:pStyle w:val="Title"/>
              <w:rPr>
                <w:sz w:val="24"/>
              </w:rPr>
            </w:pPr>
          </w:p>
          <w:p w14:paraId="7A545186" w14:textId="77777777" w:rsidR="000C099C" w:rsidRPr="00124657" w:rsidRDefault="006F0767" w:rsidP="00124657">
            <w:pPr>
              <w:jc w:val="center"/>
              <w:rPr>
                <w:b/>
                <w:sz w:val="32"/>
                <w:szCs w:val="32"/>
              </w:rPr>
            </w:pPr>
            <w:bookmarkStart w:id="4" w:name="_Toc247700008"/>
            <w:bookmarkStart w:id="5" w:name="_Toc249260245"/>
            <w:r w:rsidRPr="00124657">
              <w:rPr>
                <w:b/>
                <w:sz w:val="32"/>
                <w:szCs w:val="32"/>
              </w:rPr>
              <w:t xml:space="preserve">WRITTEN </w:t>
            </w:r>
            <w:r w:rsidR="000C099C" w:rsidRPr="00124657">
              <w:rPr>
                <w:b/>
                <w:sz w:val="32"/>
                <w:szCs w:val="32"/>
              </w:rPr>
              <w:t>SUPERVISORY PROCEDURE</w:t>
            </w:r>
            <w:r w:rsidRPr="00124657">
              <w:rPr>
                <w:b/>
                <w:sz w:val="32"/>
                <w:szCs w:val="32"/>
              </w:rPr>
              <w:t>S (“WSP”)</w:t>
            </w:r>
            <w:bookmarkEnd w:id="4"/>
            <w:bookmarkEnd w:id="5"/>
          </w:p>
          <w:p w14:paraId="0FC88AA7" w14:textId="32268BE4" w:rsidR="000C099C" w:rsidRDefault="000C099C">
            <w:pPr>
              <w:jc w:val="center"/>
              <w:rPr>
                <w:sz w:val="24"/>
              </w:rPr>
            </w:pPr>
            <w:r>
              <w:rPr>
                <w:i/>
                <w:sz w:val="24"/>
              </w:rPr>
              <w:t>Copy date:</w:t>
            </w:r>
            <w:r w:rsidR="003D4488">
              <w:rPr>
                <w:i/>
                <w:sz w:val="24"/>
              </w:rPr>
              <w:t xml:space="preserve"> </w:t>
            </w:r>
            <w:r w:rsidR="000370C2">
              <w:rPr>
                <w:i/>
                <w:sz w:val="24"/>
              </w:rPr>
              <w:t>December</w:t>
            </w:r>
            <w:r w:rsidR="00E30F1A">
              <w:rPr>
                <w:i/>
                <w:sz w:val="24"/>
              </w:rPr>
              <w:t xml:space="preserve"> 21</w:t>
            </w:r>
            <w:r w:rsidR="000370C2">
              <w:rPr>
                <w:i/>
                <w:sz w:val="24"/>
              </w:rPr>
              <w:t>, 202</w:t>
            </w:r>
            <w:r w:rsidR="00322B23">
              <w:rPr>
                <w:i/>
                <w:sz w:val="24"/>
              </w:rPr>
              <w:t>2</w:t>
            </w:r>
          </w:p>
          <w:p w14:paraId="1B7BDDA5" w14:textId="77777777" w:rsidR="000C099C" w:rsidRPr="00674D65" w:rsidRDefault="000C099C">
            <w:pPr>
              <w:jc w:val="center"/>
              <w:rPr>
                <w:rStyle w:val="SubtleEmphasis"/>
                <w:b/>
                <w:i w:val="0"/>
                <w:color w:val="auto"/>
                <w:sz w:val="24"/>
                <w:szCs w:val="24"/>
              </w:rPr>
            </w:pPr>
            <w:r w:rsidRPr="00674D65">
              <w:rPr>
                <w:rStyle w:val="SubtleEmphasis"/>
                <w:b/>
                <w:i w:val="0"/>
                <w:color w:val="auto"/>
                <w:sz w:val="24"/>
                <w:szCs w:val="24"/>
              </w:rPr>
              <w:t xml:space="preserve">Morris Monroe, </w:t>
            </w:r>
            <w:r w:rsidR="00EA772E" w:rsidRPr="00424F51">
              <w:rPr>
                <w:rStyle w:val="SubtleEmphasis"/>
                <w:b/>
                <w:i w:val="0"/>
                <w:color w:val="auto"/>
                <w:sz w:val="24"/>
                <w:szCs w:val="24"/>
              </w:rPr>
              <w:t>Owner,</w:t>
            </w:r>
            <w:r w:rsidR="00EA772E">
              <w:rPr>
                <w:rStyle w:val="SubtleEmphasis"/>
                <w:b/>
                <w:i w:val="0"/>
                <w:color w:val="auto"/>
                <w:sz w:val="24"/>
                <w:szCs w:val="24"/>
              </w:rPr>
              <w:t xml:space="preserve"> </w:t>
            </w:r>
            <w:r w:rsidRPr="00674D65">
              <w:rPr>
                <w:rStyle w:val="SubtleEmphasis"/>
                <w:b/>
                <w:i w:val="0"/>
                <w:color w:val="auto"/>
                <w:sz w:val="24"/>
                <w:szCs w:val="24"/>
              </w:rPr>
              <w:t>President</w:t>
            </w:r>
            <w:r w:rsidR="00674D65" w:rsidRPr="00674D65">
              <w:rPr>
                <w:rStyle w:val="SubtleEmphasis"/>
                <w:b/>
                <w:i w:val="0"/>
                <w:color w:val="auto"/>
                <w:sz w:val="24"/>
                <w:szCs w:val="24"/>
              </w:rPr>
              <w:t>, CCO</w:t>
            </w:r>
          </w:p>
          <w:p w14:paraId="79F2C686" w14:textId="77777777" w:rsidR="000C099C" w:rsidRDefault="000C099C">
            <w:pPr>
              <w:jc w:val="center"/>
              <w:rPr>
                <w:sz w:val="24"/>
              </w:rPr>
            </w:pPr>
          </w:p>
          <w:p w14:paraId="71B6FCBC" w14:textId="77777777" w:rsidR="000C099C" w:rsidRDefault="000C099C">
            <w:pPr>
              <w:jc w:val="both"/>
            </w:pPr>
          </w:p>
        </w:tc>
      </w:tr>
      <w:tr w:rsidR="000C099C" w14:paraId="33871637" w14:textId="77777777">
        <w:trPr>
          <w:trHeight w:val="4099"/>
        </w:trPr>
        <w:tc>
          <w:tcPr>
            <w:tcW w:w="9627" w:type="dxa"/>
            <w:shd w:val="pct10" w:color="0000FF" w:fill="auto"/>
          </w:tcPr>
          <w:p w14:paraId="79B99F3A" w14:textId="77777777" w:rsidR="000C099C" w:rsidRDefault="000C099C">
            <w:pPr>
              <w:jc w:val="both"/>
              <w:rPr>
                <w:b/>
                <w:sz w:val="24"/>
              </w:rPr>
            </w:pPr>
          </w:p>
          <w:p w14:paraId="611E7326" w14:textId="77777777" w:rsidR="000C099C" w:rsidRDefault="000C099C">
            <w:pPr>
              <w:jc w:val="both"/>
              <w:rPr>
                <w:b/>
                <w:sz w:val="24"/>
              </w:rPr>
            </w:pPr>
            <w:r>
              <w:rPr>
                <w:b/>
                <w:sz w:val="24"/>
              </w:rPr>
              <w:t xml:space="preserve">THE PURPOSE OF THIS MEMORANDUM IS TO MAKE CLEAR FOR ALL ASSOCIATED PERSONS THE SUPERVISORY PROCEDURES WHICH WILL GOVERN THE STANDARD OF CONDUCT OF ALL ASSOCIATED PERSONS OF THE COMPANY.  FAILURE TO FOLLOW THESE SUPERVISORY PROCEDURES AND STANDARDS OF CONDUCT WILL BE CAUSE FOR DISMISSAL OF THE OFFENDING ASSOCIATED PERSON OR PERSONS. </w:t>
            </w:r>
          </w:p>
          <w:p w14:paraId="6834550A" w14:textId="77777777" w:rsidR="000C099C" w:rsidRDefault="000C099C">
            <w:pPr>
              <w:jc w:val="both"/>
              <w:rPr>
                <w:b/>
                <w:sz w:val="24"/>
              </w:rPr>
            </w:pPr>
          </w:p>
          <w:p w14:paraId="3AAF517A" w14:textId="77777777" w:rsidR="000C099C" w:rsidRDefault="000C099C">
            <w:pPr>
              <w:jc w:val="both"/>
              <w:rPr>
                <w:sz w:val="24"/>
              </w:rPr>
            </w:pPr>
            <w:r>
              <w:rPr>
                <w:b/>
                <w:sz w:val="24"/>
              </w:rPr>
              <w:t>THIS MEMORANDUM ALSO SETS FORTH THE DUTIES AND RESPONSIBILITIES OF THE SUPERVISORY PERSONNEL AS WELL AS THE STANDARDS OF PROCEDURE RELATING TO BOOKKEEPING AND OTHER STANDARDS REQUIRED BY LAWS</w:t>
            </w:r>
            <w:r>
              <w:rPr>
                <w:sz w:val="24"/>
              </w:rPr>
              <w:t xml:space="preserve">. </w:t>
            </w:r>
          </w:p>
          <w:p w14:paraId="72D57DEC" w14:textId="77777777" w:rsidR="000C099C" w:rsidRDefault="000C099C">
            <w:pPr>
              <w:jc w:val="both"/>
              <w:rPr>
                <w:b/>
                <w:sz w:val="16"/>
              </w:rPr>
            </w:pPr>
          </w:p>
          <w:p w14:paraId="034CC751" w14:textId="77777777" w:rsidR="000C099C" w:rsidRDefault="000C099C">
            <w:pPr>
              <w:jc w:val="right"/>
            </w:pPr>
          </w:p>
        </w:tc>
      </w:tr>
    </w:tbl>
    <w:p w14:paraId="606C00C4" w14:textId="77777777" w:rsidR="00D02250" w:rsidRDefault="00D02250">
      <w:pPr>
        <w:jc w:val="center"/>
        <w:rPr>
          <w:b/>
          <w:sz w:val="24"/>
        </w:rPr>
      </w:pPr>
    </w:p>
    <w:p w14:paraId="2A66464E" w14:textId="77777777" w:rsidR="000C099C" w:rsidRDefault="00D02250">
      <w:pPr>
        <w:jc w:val="center"/>
        <w:rPr>
          <w:b/>
          <w:sz w:val="24"/>
        </w:rPr>
      </w:pPr>
      <w:r>
        <w:rPr>
          <w:b/>
          <w:sz w:val="24"/>
        </w:rPr>
        <w:br w:type="page"/>
      </w:r>
    </w:p>
    <w:p w14:paraId="30A3F5C7" w14:textId="77777777" w:rsidR="008A592A" w:rsidRDefault="000C099C" w:rsidP="008A592A">
      <w:pPr>
        <w:jc w:val="center"/>
        <w:rPr>
          <w:b/>
          <w:sz w:val="28"/>
          <w:szCs w:val="28"/>
        </w:rPr>
      </w:pPr>
      <w:r w:rsidRPr="00264BE5">
        <w:rPr>
          <w:b/>
          <w:sz w:val="28"/>
          <w:szCs w:val="28"/>
        </w:rPr>
        <w:lastRenderedPageBreak/>
        <w:t>Supervisory Procedures Memorandum</w:t>
      </w:r>
    </w:p>
    <w:p w14:paraId="1D18AC29" w14:textId="77777777" w:rsidR="009A2EB8" w:rsidRPr="009A2EB8" w:rsidRDefault="000C099C" w:rsidP="007B4C4B">
      <w:pPr>
        <w:pStyle w:val="Heading1"/>
        <w:jc w:val="center"/>
        <w:rPr>
          <w:noProof/>
          <w:szCs w:val="24"/>
        </w:rPr>
      </w:pPr>
      <w:bookmarkStart w:id="6" w:name="_Toc247700009"/>
      <w:bookmarkStart w:id="7" w:name="_Toc249762972"/>
      <w:bookmarkStart w:id="8" w:name="_Toc251405830"/>
      <w:bookmarkStart w:id="9" w:name="_Toc535916163"/>
      <w:r w:rsidRPr="009A2EB8">
        <w:rPr>
          <w:szCs w:val="24"/>
        </w:rPr>
        <w:t>Table of Contents</w:t>
      </w:r>
      <w:bookmarkStart w:id="10" w:name="_Hlk227754085"/>
      <w:bookmarkEnd w:id="6"/>
      <w:bookmarkEnd w:id="7"/>
      <w:bookmarkEnd w:id="8"/>
      <w:bookmarkEnd w:id="9"/>
      <w:r w:rsidR="003800DB" w:rsidRPr="009A2EB8">
        <w:rPr>
          <w:b w:val="0"/>
          <w:szCs w:val="24"/>
        </w:rPr>
        <w:fldChar w:fldCharType="begin"/>
      </w:r>
      <w:r w:rsidR="00856867" w:rsidRPr="009A2EB8">
        <w:rPr>
          <w:b w:val="0"/>
          <w:szCs w:val="24"/>
        </w:rPr>
        <w:instrText xml:space="preserve"> TOC \o "1-1" \h \z \u </w:instrText>
      </w:r>
      <w:r w:rsidR="003800DB" w:rsidRPr="009A2EB8">
        <w:rPr>
          <w:b w:val="0"/>
          <w:szCs w:val="24"/>
        </w:rPr>
        <w:fldChar w:fldCharType="separate"/>
      </w:r>
    </w:p>
    <w:p w14:paraId="569164B4" w14:textId="5C90FC01"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63" w:history="1">
        <w:r w:rsidR="009A2EB8" w:rsidRPr="009A2EB8">
          <w:rPr>
            <w:rStyle w:val="Hyperlink"/>
            <w:rFonts w:ascii="Times New Roman" w:hAnsi="Times New Roman"/>
            <w:noProof/>
            <w:sz w:val="24"/>
            <w:szCs w:val="24"/>
          </w:rPr>
          <w:t>Table of Contents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_Toc535916163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2</w:t>
        </w:r>
        <w:r w:rsidR="009A2EB8" w:rsidRPr="009A2EB8">
          <w:rPr>
            <w:rFonts w:ascii="Times New Roman" w:hAnsi="Times New Roman"/>
            <w:noProof/>
            <w:webHidden/>
            <w:sz w:val="24"/>
            <w:szCs w:val="24"/>
          </w:rPr>
          <w:fldChar w:fldCharType="end"/>
        </w:r>
      </w:hyperlink>
    </w:p>
    <w:p w14:paraId="22D135FE" w14:textId="0C6BEB87"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64" w:history="1">
        <w:r w:rsidR="009A2EB8" w:rsidRPr="009A2EB8">
          <w:rPr>
            <w:rStyle w:val="Hyperlink"/>
            <w:rFonts w:ascii="Times New Roman" w:hAnsi="Times New Roman"/>
            <w:noProof/>
            <w:sz w:val="24"/>
            <w:szCs w:val="24"/>
          </w:rPr>
          <w:t>1.   INTRODUCTION</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_Toc535916164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3</w:t>
        </w:r>
        <w:r w:rsidR="009A2EB8" w:rsidRPr="009A2EB8">
          <w:rPr>
            <w:rFonts w:ascii="Times New Roman" w:hAnsi="Times New Roman"/>
            <w:noProof/>
            <w:webHidden/>
            <w:sz w:val="24"/>
            <w:szCs w:val="24"/>
          </w:rPr>
          <w:fldChar w:fldCharType="end"/>
        </w:r>
      </w:hyperlink>
    </w:p>
    <w:p w14:paraId="4F111AA1" w14:textId="1C55111A"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65" w:history="1">
        <w:r w:rsidR="009A2EB8" w:rsidRPr="009A2EB8">
          <w:rPr>
            <w:rStyle w:val="Hyperlink"/>
            <w:rFonts w:ascii="Times New Roman" w:hAnsi="Times New Roman"/>
            <w:noProof/>
            <w:sz w:val="24"/>
            <w:szCs w:val="24"/>
          </w:rPr>
          <w:t>2.   SUPERVISORY SYSTEM. PROCEDURES AND CONTROLS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_Toc535916165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6</w:t>
        </w:r>
        <w:r w:rsidR="009A2EB8" w:rsidRPr="009A2EB8">
          <w:rPr>
            <w:rFonts w:ascii="Times New Roman" w:hAnsi="Times New Roman"/>
            <w:noProof/>
            <w:webHidden/>
            <w:sz w:val="24"/>
            <w:szCs w:val="24"/>
          </w:rPr>
          <w:fldChar w:fldCharType="end"/>
        </w:r>
      </w:hyperlink>
    </w:p>
    <w:p w14:paraId="5E3765A8" w14:textId="249FC392"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66" w:history="1">
        <w:r w:rsidR="009A2EB8" w:rsidRPr="009A2EB8">
          <w:rPr>
            <w:rStyle w:val="Hyperlink"/>
            <w:rFonts w:ascii="Times New Roman" w:hAnsi="Times New Roman"/>
            <w:noProof/>
            <w:sz w:val="24"/>
            <w:szCs w:val="24"/>
          </w:rPr>
          <w:t>3.   SUPERVISORY PERSONNEL</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_Toc535916166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11</w:t>
        </w:r>
        <w:r w:rsidR="009A2EB8" w:rsidRPr="009A2EB8">
          <w:rPr>
            <w:rFonts w:ascii="Times New Roman" w:hAnsi="Times New Roman"/>
            <w:noProof/>
            <w:webHidden/>
            <w:sz w:val="24"/>
            <w:szCs w:val="24"/>
          </w:rPr>
          <w:fldChar w:fldCharType="end"/>
        </w:r>
      </w:hyperlink>
    </w:p>
    <w:p w14:paraId="0E43CFB3" w14:textId="4A40566D"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67" w:history="1">
        <w:r w:rsidR="009A2EB8" w:rsidRPr="009A2EB8">
          <w:rPr>
            <w:rStyle w:val="Hyperlink"/>
            <w:rFonts w:ascii="Times New Roman" w:hAnsi="Times New Roman"/>
            <w:noProof/>
            <w:sz w:val="24"/>
            <w:szCs w:val="24"/>
          </w:rPr>
          <w:t>4.   SUPERVISION OF ASSOCIATED PERSONS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_Toc535916167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20</w:t>
        </w:r>
        <w:r w:rsidR="009A2EB8" w:rsidRPr="009A2EB8">
          <w:rPr>
            <w:rFonts w:ascii="Times New Roman" w:hAnsi="Times New Roman"/>
            <w:noProof/>
            <w:webHidden/>
            <w:sz w:val="24"/>
            <w:szCs w:val="24"/>
          </w:rPr>
          <w:fldChar w:fldCharType="end"/>
        </w:r>
      </w:hyperlink>
    </w:p>
    <w:p w14:paraId="5A83CE8E" w14:textId="40A1C8A0"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68" w:history="1">
        <w:r w:rsidR="009A2EB8" w:rsidRPr="009A2EB8">
          <w:rPr>
            <w:rStyle w:val="Hyperlink"/>
            <w:rFonts w:ascii="Times New Roman" w:hAnsi="Times New Roman"/>
            <w:noProof/>
            <w:sz w:val="24"/>
            <w:szCs w:val="24"/>
          </w:rPr>
          <w:t>5.   CUSTOMER ACCOUNTS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_Toc535916168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60</w:t>
        </w:r>
        <w:r w:rsidR="009A2EB8" w:rsidRPr="009A2EB8">
          <w:rPr>
            <w:rFonts w:ascii="Times New Roman" w:hAnsi="Times New Roman"/>
            <w:noProof/>
            <w:webHidden/>
            <w:sz w:val="24"/>
            <w:szCs w:val="24"/>
          </w:rPr>
          <w:fldChar w:fldCharType="end"/>
        </w:r>
      </w:hyperlink>
    </w:p>
    <w:p w14:paraId="0D981733" w14:textId="6FDAF4CD"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69" w:history="1">
        <w:r w:rsidR="009A2EB8" w:rsidRPr="009A2EB8">
          <w:rPr>
            <w:rStyle w:val="Hyperlink"/>
            <w:rFonts w:ascii="Times New Roman" w:hAnsi="Times New Roman"/>
            <w:noProof/>
            <w:sz w:val="24"/>
            <w:szCs w:val="24"/>
          </w:rPr>
          <w:t>6.   REGULATION S-P PROTECTION OF CUSTOMER INFORMATION;</w:t>
        </w:r>
        <w:r w:rsidR="002D531F">
          <w:rPr>
            <w:rStyle w:val="Hyperlink"/>
            <w:rFonts w:ascii="Times New Roman" w:hAnsi="Times New Roman"/>
            <w:noProof/>
            <w:sz w:val="24"/>
            <w:szCs w:val="24"/>
          </w:rPr>
          <w:t xml:space="preserve"> S-AM            </w:t>
        </w:r>
        <w:r w:rsidR="009A2EB8" w:rsidRPr="009A2EB8">
          <w:rPr>
            <w:rFonts w:ascii="Times New Roman" w:hAnsi="Times New Roman"/>
            <w:noProof/>
            <w:webHidden/>
            <w:sz w:val="24"/>
            <w:szCs w:val="24"/>
          </w:rPr>
          <w:tab/>
        </w:r>
      </w:hyperlink>
    </w:p>
    <w:p w14:paraId="1EBEAB70" w14:textId="56FCDF9E" w:rsidR="009A2EB8" w:rsidRPr="009A2EB8" w:rsidRDefault="002D531F">
      <w:pPr>
        <w:pStyle w:val="TOC1"/>
        <w:tabs>
          <w:tab w:val="right" w:leader="dot" w:pos="9350"/>
        </w:tabs>
        <w:rPr>
          <w:rFonts w:ascii="Times New Roman" w:eastAsiaTheme="minorEastAsia" w:hAnsi="Times New Roman"/>
          <w:b w:val="0"/>
          <w:bCs w:val="0"/>
          <w:caps w:val="0"/>
          <w:noProof/>
          <w:sz w:val="24"/>
          <w:szCs w:val="24"/>
        </w:rPr>
      </w:pPr>
      <w:r>
        <w:rPr>
          <w:rStyle w:val="Hyperlink"/>
          <w:rFonts w:ascii="Times New Roman" w:hAnsi="Times New Roman"/>
          <w:noProof/>
          <w:sz w:val="24"/>
          <w:szCs w:val="24"/>
          <w:u w:val="none"/>
        </w:rPr>
        <w:t xml:space="preserve">      </w:t>
      </w:r>
      <w:hyperlink w:anchor="_Toc535916170" w:history="1">
        <w:r w:rsidR="009A2EB8" w:rsidRPr="009A2EB8">
          <w:rPr>
            <w:rStyle w:val="Hyperlink"/>
            <w:rFonts w:ascii="Times New Roman" w:hAnsi="Times New Roman"/>
            <w:noProof/>
            <w:sz w:val="24"/>
            <w:szCs w:val="24"/>
          </w:rPr>
          <w:t>Affiliate Marketing; and</w:t>
        </w:r>
        <w:r>
          <w:rPr>
            <w:rStyle w:val="Hyperlink"/>
            <w:rFonts w:ascii="Times New Roman" w:hAnsi="Times New Roman"/>
            <w:noProof/>
            <w:sz w:val="24"/>
            <w:szCs w:val="24"/>
          </w:rPr>
          <w:t xml:space="preserve"> S-ID IDENTITY THEFT RED FLAG RULES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_Toc535916170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118</w:t>
        </w:r>
        <w:r w:rsidR="009A2EB8" w:rsidRPr="009A2EB8">
          <w:rPr>
            <w:rFonts w:ascii="Times New Roman" w:hAnsi="Times New Roman"/>
            <w:noProof/>
            <w:webHidden/>
            <w:sz w:val="24"/>
            <w:szCs w:val="24"/>
          </w:rPr>
          <w:fldChar w:fldCharType="end"/>
        </w:r>
      </w:hyperlink>
    </w:p>
    <w:p w14:paraId="13C3AC1A" w14:textId="41A736ED"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72" w:history="1">
        <w:r w:rsidR="009A2EB8" w:rsidRPr="009A2EB8">
          <w:rPr>
            <w:rStyle w:val="Hyperlink"/>
            <w:rFonts w:ascii="Times New Roman" w:hAnsi="Times New Roman"/>
            <w:noProof/>
            <w:sz w:val="24"/>
            <w:szCs w:val="24"/>
          </w:rPr>
          <w:t>7.   ANTI-MONEY LAUNDERING</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_Toc535916172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141</w:t>
        </w:r>
        <w:r w:rsidR="009A2EB8" w:rsidRPr="009A2EB8">
          <w:rPr>
            <w:rFonts w:ascii="Times New Roman" w:hAnsi="Times New Roman"/>
            <w:noProof/>
            <w:webHidden/>
            <w:sz w:val="24"/>
            <w:szCs w:val="24"/>
          </w:rPr>
          <w:fldChar w:fldCharType="end"/>
        </w:r>
      </w:hyperlink>
    </w:p>
    <w:p w14:paraId="54AE0EB3" w14:textId="7413C835"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73" w:history="1">
        <w:r w:rsidR="009A2EB8" w:rsidRPr="009A2EB8">
          <w:rPr>
            <w:rStyle w:val="Hyperlink"/>
            <w:rFonts w:ascii="Times New Roman" w:hAnsi="Times New Roman"/>
            <w:noProof/>
            <w:sz w:val="24"/>
            <w:szCs w:val="24"/>
          </w:rPr>
          <w:t xml:space="preserve">8.   </w:t>
        </w:r>
        <w:r w:rsidR="00CF4558">
          <w:rPr>
            <w:rStyle w:val="Hyperlink"/>
            <w:rFonts w:ascii="Times New Roman" w:hAnsi="Times New Roman"/>
            <w:noProof/>
            <w:sz w:val="24"/>
            <w:szCs w:val="24"/>
          </w:rPr>
          <w:t xml:space="preserve"> </w:t>
        </w:r>
        <w:r w:rsidR="009A2EB8" w:rsidRPr="009A2EB8">
          <w:rPr>
            <w:rStyle w:val="Hyperlink"/>
            <w:rFonts w:ascii="Times New Roman" w:hAnsi="Times New Roman"/>
            <w:noProof/>
            <w:sz w:val="24"/>
            <w:szCs w:val="24"/>
          </w:rPr>
          <w:t>TRADING POLICIES AND PROCEDURES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_Toc535916173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175</w:t>
        </w:r>
        <w:r w:rsidR="009A2EB8" w:rsidRPr="009A2EB8">
          <w:rPr>
            <w:rFonts w:ascii="Times New Roman" w:hAnsi="Times New Roman"/>
            <w:noProof/>
            <w:webHidden/>
            <w:sz w:val="24"/>
            <w:szCs w:val="24"/>
          </w:rPr>
          <w:fldChar w:fldCharType="end"/>
        </w:r>
      </w:hyperlink>
    </w:p>
    <w:p w14:paraId="3476DE24" w14:textId="03A18FFA"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74" w:history="1">
        <w:r w:rsidR="009A2EB8" w:rsidRPr="009A2EB8">
          <w:rPr>
            <w:rStyle w:val="Hyperlink"/>
            <w:rFonts w:ascii="Times New Roman" w:hAnsi="Times New Roman"/>
            <w:noProof/>
            <w:sz w:val="24"/>
            <w:szCs w:val="24"/>
          </w:rPr>
          <w:t xml:space="preserve">9.   </w:t>
        </w:r>
        <w:r w:rsidR="00CF4558">
          <w:rPr>
            <w:rStyle w:val="Hyperlink"/>
            <w:rFonts w:ascii="Times New Roman" w:hAnsi="Times New Roman"/>
            <w:noProof/>
            <w:sz w:val="24"/>
            <w:szCs w:val="24"/>
          </w:rPr>
          <w:t xml:space="preserve"> </w:t>
        </w:r>
        <w:r w:rsidR="009A2EB8" w:rsidRPr="009A2EB8">
          <w:rPr>
            <w:rStyle w:val="Hyperlink"/>
            <w:rFonts w:ascii="Times New Roman" w:hAnsi="Times New Roman"/>
            <w:noProof/>
            <w:sz w:val="24"/>
            <w:szCs w:val="24"/>
          </w:rPr>
          <w:t>COMMUNICATIONS WITH THE PUBLIC</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_Toc535916174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225</w:t>
        </w:r>
        <w:r w:rsidR="009A2EB8" w:rsidRPr="009A2EB8">
          <w:rPr>
            <w:rFonts w:ascii="Times New Roman" w:hAnsi="Times New Roman"/>
            <w:noProof/>
            <w:webHidden/>
            <w:sz w:val="24"/>
            <w:szCs w:val="24"/>
          </w:rPr>
          <w:fldChar w:fldCharType="end"/>
        </w:r>
      </w:hyperlink>
    </w:p>
    <w:p w14:paraId="4F34E13F" w14:textId="3F55E5A7"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75" w:history="1">
        <w:r w:rsidR="009A2EB8" w:rsidRPr="009A2EB8">
          <w:rPr>
            <w:rStyle w:val="Hyperlink"/>
            <w:rFonts w:ascii="Times New Roman" w:hAnsi="Times New Roman"/>
            <w:noProof/>
            <w:sz w:val="24"/>
            <w:szCs w:val="24"/>
          </w:rPr>
          <w:t xml:space="preserve">10. </w:t>
        </w:r>
        <w:r w:rsidR="00CF4558">
          <w:rPr>
            <w:rStyle w:val="Hyperlink"/>
            <w:rFonts w:ascii="Times New Roman" w:hAnsi="Times New Roman"/>
            <w:noProof/>
            <w:sz w:val="24"/>
            <w:szCs w:val="24"/>
          </w:rPr>
          <w:t xml:space="preserve"> </w:t>
        </w:r>
        <w:r w:rsidR="009A2EB8" w:rsidRPr="009A2EB8">
          <w:rPr>
            <w:rStyle w:val="Hyperlink"/>
            <w:rFonts w:ascii="Times New Roman" w:hAnsi="Times New Roman"/>
            <w:noProof/>
            <w:sz w:val="24"/>
            <w:szCs w:val="24"/>
          </w:rPr>
          <w:t>RECORDKEEPING &amp; OPERATIONS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_Toc535916175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244</w:t>
        </w:r>
        <w:r w:rsidR="009A2EB8" w:rsidRPr="009A2EB8">
          <w:rPr>
            <w:rFonts w:ascii="Times New Roman" w:hAnsi="Times New Roman"/>
            <w:noProof/>
            <w:webHidden/>
            <w:sz w:val="24"/>
            <w:szCs w:val="24"/>
          </w:rPr>
          <w:fldChar w:fldCharType="end"/>
        </w:r>
      </w:hyperlink>
    </w:p>
    <w:p w14:paraId="3AB20361" w14:textId="17485288"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76" w:history="1">
        <w:r w:rsidR="009A2EB8" w:rsidRPr="009A2EB8">
          <w:rPr>
            <w:rStyle w:val="Hyperlink"/>
            <w:rFonts w:ascii="Times New Roman" w:hAnsi="Times New Roman"/>
            <w:noProof/>
            <w:sz w:val="24"/>
            <w:szCs w:val="24"/>
          </w:rPr>
          <w:t>11.  INVESTMENT COMPANY SALES ACTIVITIES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_Toc535916176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275</w:t>
        </w:r>
        <w:r w:rsidR="009A2EB8" w:rsidRPr="009A2EB8">
          <w:rPr>
            <w:rFonts w:ascii="Times New Roman" w:hAnsi="Times New Roman"/>
            <w:noProof/>
            <w:webHidden/>
            <w:sz w:val="24"/>
            <w:szCs w:val="24"/>
          </w:rPr>
          <w:fldChar w:fldCharType="end"/>
        </w:r>
      </w:hyperlink>
    </w:p>
    <w:p w14:paraId="5A3883BE" w14:textId="38B6FEB3"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77" w:history="1">
        <w:r w:rsidR="009A2EB8" w:rsidRPr="009A2EB8">
          <w:rPr>
            <w:rStyle w:val="Hyperlink"/>
            <w:rFonts w:ascii="Times New Roman" w:hAnsi="Times New Roman"/>
            <w:noProof/>
            <w:sz w:val="24"/>
            <w:szCs w:val="24"/>
          </w:rPr>
          <w:t>12.  FIXED INCOME, GOVERNMENT SECURITIES, CMOs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_Toc535916177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292</w:t>
        </w:r>
        <w:r w:rsidR="009A2EB8" w:rsidRPr="009A2EB8">
          <w:rPr>
            <w:rFonts w:ascii="Times New Roman" w:hAnsi="Times New Roman"/>
            <w:noProof/>
            <w:webHidden/>
            <w:sz w:val="24"/>
            <w:szCs w:val="24"/>
          </w:rPr>
          <w:fldChar w:fldCharType="end"/>
        </w:r>
      </w:hyperlink>
    </w:p>
    <w:p w14:paraId="4522F241" w14:textId="7BE08805"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78" w:history="1">
        <w:r w:rsidR="009A2EB8" w:rsidRPr="009A2EB8">
          <w:rPr>
            <w:rStyle w:val="Hyperlink"/>
            <w:rFonts w:ascii="Times New Roman" w:hAnsi="Times New Roman"/>
            <w:noProof/>
            <w:sz w:val="24"/>
            <w:szCs w:val="24"/>
          </w:rPr>
          <w:t>13.  MUNICIPAL SECURITIES ACTVITIES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_Toc535916178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306</w:t>
        </w:r>
        <w:r w:rsidR="009A2EB8" w:rsidRPr="009A2EB8">
          <w:rPr>
            <w:rFonts w:ascii="Times New Roman" w:hAnsi="Times New Roman"/>
            <w:noProof/>
            <w:webHidden/>
            <w:sz w:val="24"/>
            <w:szCs w:val="24"/>
          </w:rPr>
          <w:fldChar w:fldCharType="end"/>
        </w:r>
      </w:hyperlink>
    </w:p>
    <w:p w14:paraId="68B48678" w14:textId="790E3BD5"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79" w:history="1">
        <w:r w:rsidR="009A2EB8" w:rsidRPr="009A2EB8">
          <w:rPr>
            <w:rStyle w:val="Hyperlink"/>
            <w:rFonts w:ascii="Times New Roman" w:hAnsi="Times New Roman"/>
            <w:noProof/>
            <w:sz w:val="24"/>
            <w:szCs w:val="24"/>
          </w:rPr>
          <w:t>14.  PRIVATE PLACEMENTS ACTIVITIES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_Toc535916179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333</w:t>
        </w:r>
        <w:r w:rsidR="009A2EB8" w:rsidRPr="009A2EB8">
          <w:rPr>
            <w:rFonts w:ascii="Times New Roman" w:hAnsi="Times New Roman"/>
            <w:noProof/>
            <w:webHidden/>
            <w:sz w:val="24"/>
            <w:szCs w:val="24"/>
          </w:rPr>
          <w:fldChar w:fldCharType="end"/>
        </w:r>
      </w:hyperlink>
    </w:p>
    <w:p w14:paraId="7097A825" w14:textId="391A4BFA"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80" w:history="1">
        <w:r w:rsidR="009A2EB8" w:rsidRPr="009A2EB8">
          <w:rPr>
            <w:rStyle w:val="Hyperlink"/>
            <w:rFonts w:ascii="Times New Roman" w:hAnsi="Times New Roman"/>
            <w:noProof/>
            <w:sz w:val="24"/>
            <w:szCs w:val="24"/>
          </w:rPr>
          <w:t>15.  INSURANCE PRODUCTS</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_Toc535916180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365</w:t>
        </w:r>
        <w:r w:rsidR="009A2EB8" w:rsidRPr="009A2EB8">
          <w:rPr>
            <w:rFonts w:ascii="Times New Roman" w:hAnsi="Times New Roman"/>
            <w:noProof/>
            <w:webHidden/>
            <w:sz w:val="24"/>
            <w:szCs w:val="24"/>
          </w:rPr>
          <w:fldChar w:fldCharType="end"/>
        </w:r>
      </w:hyperlink>
    </w:p>
    <w:p w14:paraId="051A8BA1" w14:textId="29F7A50F"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81" w:history="1">
        <w:r w:rsidR="009A2EB8" w:rsidRPr="009A2EB8">
          <w:rPr>
            <w:rStyle w:val="Hyperlink"/>
            <w:rFonts w:ascii="Times New Roman" w:hAnsi="Times New Roman"/>
            <w:noProof/>
            <w:sz w:val="24"/>
            <w:szCs w:val="24"/>
          </w:rPr>
          <w:t>16.  CERTIFICATES OF DEPOSIT</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_Toc535916181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378</w:t>
        </w:r>
        <w:r w:rsidR="009A2EB8" w:rsidRPr="009A2EB8">
          <w:rPr>
            <w:rFonts w:ascii="Times New Roman" w:hAnsi="Times New Roman"/>
            <w:noProof/>
            <w:webHidden/>
            <w:sz w:val="24"/>
            <w:szCs w:val="24"/>
          </w:rPr>
          <w:fldChar w:fldCharType="end"/>
        </w:r>
      </w:hyperlink>
    </w:p>
    <w:p w14:paraId="666B6073" w14:textId="0BEE1FB6" w:rsidR="009A2EB8" w:rsidRDefault="00D6319C">
      <w:pPr>
        <w:pStyle w:val="TOC1"/>
        <w:tabs>
          <w:tab w:val="right" w:leader="dot" w:pos="9350"/>
        </w:tabs>
        <w:rPr>
          <w:rStyle w:val="Hyperlink"/>
          <w:rFonts w:ascii="Times New Roman" w:hAnsi="Times New Roman"/>
          <w:noProof/>
          <w:sz w:val="24"/>
          <w:szCs w:val="24"/>
        </w:rPr>
      </w:pPr>
      <w:hyperlink w:anchor="_Toc535916182" w:history="1">
        <w:r w:rsidR="009A2EB8" w:rsidRPr="009A2EB8">
          <w:rPr>
            <w:rStyle w:val="Hyperlink"/>
            <w:rFonts w:ascii="Times New Roman" w:hAnsi="Times New Roman"/>
            <w:noProof/>
            <w:sz w:val="24"/>
            <w:szCs w:val="24"/>
          </w:rPr>
          <w:t>17.  BUSINESS CONTINUITY MANAGEMENT</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_Toc535916182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381</w:t>
        </w:r>
        <w:r w:rsidR="009A2EB8" w:rsidRPr="009A2EB8">
          <w:rPr>
            <w:rFonts w:ascii="Times New Roman" w:hAnsi="Times New Roman"/>
            <w:noProof/>
            <w:webHidden/>
            <w:sz w:val="24"/>
            <w:szCs w:val="24"/>
          </w:rPr>
          <w:fldChar w:fldCharType="end"/>
        </w:r>
      </w:hyperlink>
    </w:p>
    <w:p w14:paraId="40600820" w14:textId="77777777" w:rsidR="002D531F" w:rsidRPr="002D531F" w:rsidRDefault="002D531F" w:rsidP="002D531F">
      <w:pPr>
        <w:rPr>
          <w:rFonts w:eastAsiaTheme="minorEastAsia"/>
          <w:noProof/>
        </w:rPr>
      </w:pPr>
    </w:p>
    <w:p w14:paraId="3F248021" w14:textId="34447BB6" w:rsidR="009A2EB8" w:rsidRDefault="00D6319C">
      <w:pPr>
        <w:pStyle w:val="TOC1"/>
        <w:tabs>
          <w:tab w:val="right" w:leader="dot" w:pos="9350"/>
        </w:tabs>
        <w:rPr>
          <w:rStyle w:val="Hyperlink"/>
          <w:rFonts w:ascii="Times New Roman" w:hAnsi="Times New Roman"/>
          <w:noProof/>
          <w:sz w:val="24"/>
          <w:szCs w:val="24"/>
        </w:rPr>
      </w:pPr>
      <w:hyperlink w:anchor="_Toc535916183" w:history="1">
        <w:r w:rsidR="009A2EB8" w:rsidRPr="009A2EB8">
          <w:rPr>
            <w:rStyle w:val="Hyperlink"/>
            <w:rFonts w:ascii="Times New Roman" w:hAnsi="Times New Roman"/>
            <w:noProof/>
            <w:sz w:val="24"/>
            <w:szCs w:val="24"/>
          </w:rPr>
          <w:t>ACKNOWLEDGMENT</w:t>
        </w:r>
        <w:r w:rsidR="009A2EB8" w:rsidRPr="009A2EB8">
          <w:rPr>
            <w:rFonts w:ascii="Times New Roman" w:hAnsi="Times New Roman"/>
            <w:noProof/>
            <w:webHidden/>
            <w:sz w:val="24"/>
            <w:szCs w:val="24"/>
          </w:rPr>
          <w:tab/>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_Toc535916183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401</w:t>
        </w:r>
        <w:r w:rsidR="009A2EB8" w:rsidRPr="009A2EB8">
          <w:rPr>
            <w:rFonts w:ascii="Times New Roman" w:hAnsi="Times New Roman"/>
            <w:noProof/>
            <w:webHidden/>
            <w:sz w:val="24"/>
            <w:szCs w:val="24"/>
          </w:rPr>
          <w:fldChar w:fldCharType="end"/>
        </w:r>
      </w:hyperlink>
    </w:p>
    <w:p w14:paraId="765436EB" w14:textId="77777777" w:rsidR="002D531F" w:rsidRPr="002D531F" w:rsidRDefault="002D531F" w:rsidP="002D531F">
      <w:pPr>
        <w:rPr>
          <w:rFonts w:eastAsiaTheme="minorEastAsia"/>
          <w:noProof/>
        </w:rPr>
      </w:pPr>
    </w:p>
    <w:p w14:paraId="17CBD9C6" w14:textId="474668F7"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84" w:history="1">
        <w:r w:rsidR="009A2EB8" w:rsidRPr="009A2EB8">
          <w:rPr>
            <w:rStyle w:val="Hyperlink"/>
            <w:rFonts w:ascii="Times New Roman" w:hAnsi="Times New Roman"/>
            <w:i/>
            <w:noProof/>
            <w:sz w:val="24"/>
            <w:szCs w:val="24"/>
          </w:rPr>
          <w:t>Exhibit A</w:t>
        </w:r>
        <w:r w:rsidR="009A2EB8" w:rsidRPr="009A2EB8">
          <w:rPr>
            <w:rStyle w:val="Hyperlink"/>
            <w:rFonts w:ascii="Times New Roman" w:hAnsi="Times New Roman"/>
            <w:noProof/>
            <w:sz w:val="24"/>
            <w:szCs w:val="24"/>
          </w:rPr>
          <w:t xml:space="preserve"> – Supervisory Assignment of Registered Reps</w:t>
        </w:r>
        <w:r w:rsidR="009A2EB8" w:rsidRPr="009A2EB8">
          <w:rPr>
            <w:rFonts w:ascii="Times New Roman" w:hAnsi="Times New Roman"/>
            <w:noProof/>
            <w:webHidden/>
            <w:sz w:val="24"/>
            <w:szCs w:val="24"/>
          </w:rPr>
          <w:tab/>
        </w:r>
        <w:r w:rsidR="00EA5572">
          <w:rPr>
            <w:rFonts w:ascii="Times New Roman" w:hAnsi="Times New Roman"/>
            <w:noProof/>
            <w:webHidden/>
            <w:sz w:val="24"/>
            <w:szCs w:val="24"/>
          </w:rPr>
          <w:t>A-</w:t>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_Toc535916184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1</w:t>
        </w:r>
        <w:r w:rsidR="009A2EB8" w:rsidRPr="009A2EB8">
          <w:rPr>
            <w:rFonts w:ascii="Times New Roman" w:hAnsi="Times New Roman"/>
            <w:noProof/>
            <w:webHidden/>
            <w:sz w:val="24"/>
            <w:szCs w:val="24"/>
          </w:rPr>
          <w:fldChar w:fldCharType="end"/>
        </w:r>
      </w:hyperlink>
    </w:p>
    <w:p w14:paraId="026E32E9" w14:textId="6CC73C14"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85" w:history="1">
        <w:r w:rsidR="009A2EB8" w:rsidRPr="009A2EB8">
          <w:rPr>
            <w:rStyle w:val="Hyperlink"/>
            <w:rFonts w:ascii="Times New Roman" w:hAnsi="Times New Roman"/>
            <w:i/>
            <w:noProof/>
            <w:sz w:val="24"/>
            <w:szCs w:val="24"/>
          </w:rPr>
          <w:t xml:space="preserve">Exhibit B - </w:t>
        </w:r>
        <w:r w:rsidR="009A2EB8" w:rsidRPr="009A2EB8">
          <w:rPr>
            <w:rStyle w:val="Hyperlink"/>
            <w:rFonts w:ascii="Times New Roman" w:hAnsi="Times New Roman"/>
            <w:noProof/>
            <w:sz w:val="24"/>
            <w:szCs w:val="24"/>
          </w:rPr>
          <w:t>Notice Forms</w:t>
        </w:r>
        <w:r w:rsidR="009A2EB8" w:rsidRPr="009A2EB8">
          <w:rPr>
            <w:rFonts w:ascii="Times New Roman" w:hAnsi="Times New Roman"/>
            <w:noProof/>
            <w:webHidden/>
            <w:sz w:val="24"/>
            <w:szCs w:val="24"/>
          </w:rPr>
          <w:tab/>
        </w:r>
        <w:r w:rsidR="00EA5572">
          <w:rPr>
            <w:rFonts w:ascii="Times New Roman" w:hAnsi="Times New Roman"/>
            <w:noProof/>
            <w:webHidden/>
            <w:sz w:val="24"/>
            <w:szCs w:val="24"/>
          </w:rPr>
          <w:t>B-</w:t>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_Toc535916185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1</w:t>
        </w:r>
        <w:r w:rsidR="009A2EB8" w:rsidRPr="009A2EB8">
          <w:rPr>
            <w:rFonts w:ascii="Times New Roman" w:hAnsi="Times New Roman"/>
            <w:noProof/>
            <w:webHidden/>
            <w:sz w:val="24"/>
            <w:szCs w:val="24"/>
          </w:rPr>
          <w:fldChar w:fldCharType="end"/>
        </w:r>
      </w:hyperlink>
    </w:p>
    <w:p w14:paraId="58A3CE0A" w14:textId="1182E35D" w:rsidR="009A2EB8" w:rsidRPr="009A2EB8" w:rsidRDefault="00D6319C">
      <w:pPr>
        <w:pStyle w:val="TOC1"/>
        <w:tabs>
          <w:tab w:val="right" w:leader="dot" w:pos="9350"/>
        </w:tabs>
        <w:rPr>
          <w:rFonts w:ascii="Times New Roman" w:eastAsiaTheme="minorEastAsia" w:hAnsi="Times New Roman"/>
          <w:b w:val="0"/>
          <w:bCs w:val="0"/>
          <w:caps w:val="0"/>
          <w:noProof/>
          <w:sz w:val="24"/>
          <w:szCs w:val="24"/>
        </w:rPr>
      </w:pPr>
      <w:hyperlink w:anchor="_Toc535916186" w:history="1">
        <w:r w:rsidR="009A2EB8" w:rsidRPr="009A2EB8">
          <w:rPr>
            <w:rStyle w:val="Hyperlink"/>
            <w:rFonts w:ascii="Times New Roman" w:hAnsi="Times New Roman"/>
            <w:i/>
            <w:noProof/>
            <w:sz w:val="24"/>
            <w:szCs w:val="24"/>
          </w:rPr>
          <w:t xml:space="preserve">Exhibit C </w:t>
        </w:r>
        <w:r w:rsidR="009A2EB8" w:rsidRPr="009A2EB8">
          <w:rPr>
            <w:rStyle w:val="Hyperlink"/>
            <w:rFonts w:ascii="Times New Roman" w:hAnsi="Times New Roman"/>
            <w:noProof/>
            <w:sz w:val="24"/>
            <w:szCs w:val="24"/>
          </w:rPr>
          <w:t>- WSP CHECKLIST</w:t>
        </w:r>
        <w:r w:rsidR="009A2EB8" w:rsidRPr="009A2EB8">
          <w:rPr>
            <w:rFonts w:ascii="Times New Roman" w:hAnsi="Times New Roman"/>
            <w:noProof/>
            <w:webHidden/>
            <w:sz w:val="24"/>
            <w:szCs w:val="24"/>
          </w:rPr>
          <w:tab/>
        </w:r>
        <w:r w:rsidR="00D65638">
          <w:rPr>
            <w:rFonts w:ascii="Times New Roman" w:hAnsi="Times New Roman"/>
            <w:noProof/>
            <w:webHidden/>
            <w:sz w:val="24"/>
            <w:szCs w:val="24"/>
          </w:rPr>
          <w:t>C-</w:t>
        </w:r>
        <w:r w:rsidR="009A2EB8" w:rsidRPr="009A2EB8">
          <w:rPr>
            <w:rFonts w:ascii="Times New Roman" w:hAnsi="Times New Roman"/>
            <w:noProof/>
            <w:webHidden/>
            <w:sz w:val="24"/>
            <w:szCs w:val="24"/>
          </w:rPr>
          <w:fldChar w:fldCharType="begin"/>
        </w:r>
        <w:r w:rsidR="009A2EB8" w:rsidRPr="009A2EB8">
          <w:rPr>
            <w:rFonts w:ascii="Times New Roman" w:hAnsi="Times New Roman"/>
            <w:noProof/>
            <w:webHidden/>
            <w:sz w:val="24"/>
            <w:szCs w:val="24"/>
          </w:rPr>
          <w:instrText xml:space="preserve"> PAGEREF _Toc535916186 \h </w:instrText>
        </w:r>
        <w:r w:rsidR="009A2EB8" w:rsidRPr="009A2EB8">
          <w:rPr>
            <w:rFonts w:ascii="Times New Roman" w:hAnsi="Times New Roman"/>
            <w:noProof/>
            <w:webHidden/>
            <w:sz w:val="24"/>
            <w:szCs w:val="24"/>
          </w:rPr>
        </w:r>
        <w:r w:rsidR="009A2EB8" w:rsidRPr="009A2EB8">
          <w:rPr>
            <w:rFonts w:ascii="Times New Roman" w:hAnsi="Times New Roman"/>
            <w:noProof/>
            <w:webHidden/>
            <w:sz w:val="24"/>
            <w:szCs w:val="24"/>
          </w:rPr>
          <w:fldChar w:fldCharType="separate"/>
        </w:r>
        <w:r w:rsidR="00EF0747">
          <w:rPr>
            <w:rFonts w:ascii="Times New Roman" w:hAnsi="Times New Roman"/>
            <w:noProof/>
            <w:webHidden/>
            <w:sz w:val="24"/>
            <w:szCs w:val="24"/>
          </w:rPr>
          <w:t>1</w:t>
        </w:r>
        <w:r w:rsidR="009A2EB8" w:rsidRPr="009A2EB8">
          <w:rPr>
            <w:rFonts w:ascii="Times New Roman" w:hAnsi="Times New Roman"/>
            <w:noProof/>
            <w:webHidden/>
            <w:sz w:val="24"/>
            <w:szCs w:val="24"/>
          </w:rPr>
          <w:fldChar w:fldCharType="end"/>
        </w:r>
      </w:hyperlink>
    </w:p>
    <w:p w14:paraId="0B17B2BB" w14:textId="77777777" w:rsidR="00B87A3A" w:rsidRDefault="00B87A3A">
      <w:pPr>
        <w:rPr>
          <w:b/>
          <w:noProof/>
          <w:sz w:val="24"/>
          <w:szCs w:val="24"/>
        </w:rPr>
      </w:pPr>
      <w:r>
        <w:rPr>
          <w:b/>
          <w:noProof/>
          <w:sz w:val="24"/>
          <w:szCs w:val="24"/>
        </w:rPr>
        <w:br w:type="page"/>
      </w:r>
    </w:p>
    <w:p w14:paraId="53867192" w14:textId="138FB4CC" w:rsidR="004C672A" w:rsidRDefault="003800DB" w:rsidP="00F52CBD">
      <w:r w:rsidRPr="009A2EB8">
        <w:rPr>
          <w:b/>
          <w:sz w:val="24"/>
          <w:szCs w:val="24"/>
        </w:rPr>
        <w:lastRenderedPageBreak/>
        <w:fldChar w:fldCharType="end"/>
      </w:r>
      <w:bookmarkEnd w:id="10"/>
    </w:p>
    <w:p w14:paraId="67BFCFA2" w14:textId="77777777" w:rsidR="003A04BE" w:rsidRDefault="003A04BE" w:rsidP="003A04BE">
      <w:pPr>
        <w:pStyle w:val="Heading1"/>
        <w:pBdr>
          <w:top w:val="double" w:sz="12" w:space="1" w:color="0000CC"/>
          <w:left w:val="double" w:sz="12" w:space="4" w:color="0000CC"/>
          <w:bottom w:val="double" w:sz="12" w:space="1" w:color="0000CC"/>
          <w:right w:val="double" w:sz="12" w:space="4" w:color="0000CC"/>
        </w:pBdr>
        <w:shd w:val="pct10" w:color="0000FF" w:fill="auto"/>
        <w:jc w:val="center"/>
        <w:rPr>
          <w:color w:val="FF0000"/>
        </w:rPr>
      </w:pPr>
      <w:bookmarkStart w:id="11" w:name="_Toc227675966"/>
      <w:bookmarkStart w:id="12" w:name="Introduction"/>
      <w:bookmarkStart w:id="13" w:name="_Toc227820414"/>
      <w:bookmarkStart w:id="14" w:name="_Toc227821696"/>
      <w:bookmarkStart w:id="15" w:name="_Toc227821815"/>
    </w:p>
    <w:p w14:paraId="448D5710" w14:textId="77777777" w:rsidR="003A04BE" w:rsidRPr="00517FCF" w:rsidRDefault="00ED1609" w:rsidP="003A04BE">
      <w:pPr>
        <w:pStyle w:val="Heading1"/>
        <w:pBdr>
          <w:top w:val="double" w:sz="12" w:space="1" w:color="0000CC"/>
          <w:left w:val="double" w:sz="12" w:space="4" w:color="0000CC"/>
          <w:bottom w:val="double" w:sz="12" w:space="1" w:color="0000CC"/>
          <w:right w:val="double" w:sz="12" w:space="4" w:color="0000CC"/>
        </w:pBdr>
        <w:shd w:val="pct10" w:color="0000FF" w:fill="auto"/>
        <w:jc w:val="center"/>
      </w:pPr>
      <w:bookmarkStart w:id="16" w:name="_Toc535916164"/>
      <w:r w:rsidRPr="00517FCF">
        <w:t>1.</w:t>
      </w:r>
      <w:r w:rsidR="00FE3A30" w:rsidRPr="00517FCF">
        <w:t xml:space="preserve">   </w:t>
      </w:r>
      <w:r w:rsidR="003A517A" w:rsidRPr="00517FCF">
        <w:t>INTRODUCT</w:t>
      </w:r>
      <w:r w:rsidR="003A04BE" w:rsidRPr="00517FCF">
        <w:t>ION</w:t>
      </w:r>
      <w:bookmarkEnd w:id="16"/>
    </w:p>
    <w:p w14:paraId="7D51D926" w14:textId="77777777" w:rsidR="003A04BE" w:rsidRDefault="003A04BE" w:rsidP="003A04BE">
      <w:pPr>
        <w:pStyle w:val="Heading1"/>
        <w:pBdr>
          <w:top w:val="double" w:sz="12" w:space="1" w:color="0000CC"/>
          <w:left w:val="double" w:sz="12" w:space="4" w:color="0000CC"/>
          <w:bottom w:val="double" w:sz="12" w:space="1" w:color="0000CC"/>
          <w:right w:val="double" w:sz="12" w:space="4" w:color="0000CC"/>
        </w:pBdr>
        <w:shd w:val="pct10" w:color="0000FF" w:fill="auto"/>
        <w:jc w:val="center"/>
        <w:rPr>
          <w:color w:val="FF0000"/>
        </w:rPr>
      </w:pPr>
    </w:p>
    <w:bookmarkEnd w:id="11"/>
    <w:bookmarkEnd w:id="12"/>
    <w:bookmarkEnd w:id="13"/>
    <w:bookmarkEnd w:id="14"/>
    <w:bookmarkEnd w:id="15"/>
    <w:p w14:paraId="48048CED" w14:textId="77777777" w:rsidR="003A517A" w:rsidRPr="003A517A" w:rsidRDefault="003A517A" w:rsidP="003A517A"/>
    <w:p w14:paraId="719F3F54" w14:textId="77777777" w:rsidR="00E60BB2" w:rsidRDefault="00E60BB2" w:rsidP="00E60BB2">
      <w:pPr>
        <w:pStyle w:val="Normal1"/>
        <w:shd w:val="clear" w:color="auto" w:fill="FFFFFF"/>
        <w:spacing w:before="0" w:after="0" w:afterAutospacing="0" w:line="240" w:lineRule="auto"/>
        <w:rPr>
          <w:rFonts w:ascii="Times New Roman" w:hAnsi="Times New Roman" w:cs="Times New Roman"/>
          <w:b/>
          <w:color w:val="000000"/>
          <w:sz w:val="24"/>
          <w:szCs w:val="24"/>
        </w:rPr>
      </w:pPr>
    </w:p>
    <w:p w14:paraId="054D748D" w14:textId="77777777" w:rsidR="00E60BB2" w:rsidRPr="008A2266" w:rsidRDefault="009D2ABE" w:rsidP="00936FEE">
      <w:pPr>
        <w:pStyle w:val="Heading2"/>
      </w:pPr>
      <w:r>
        <w:t xml:space="preserve">1.1 </w:t>
      </w:r>
      <w:r w:rsidR="00E60BB2" w:rsidRPr="008A2266">
        <w:t>FINRA Rule 2010.  Standards of Commercial Honor and Principles of Trade</w:t>
      </w:r>
    </w:p>
    <w:p w14:paraId="077D0298" w14:textId="77777777" w:rsidR="00E60BB2" w:rsidRPr="00517FCF" w:rsidRDefault="00E60BB2" w:rsidP="00E60BB2">
      <w:pPr>
        <w:pStyle w:val="Normal1"/>
        <w:shd w:val="clear" w:color="auto" w:fill="FFFFFF"/>
        <w:spacing w:before="0" w:after="0" w:afterAutospacing="0" w:line="240" w:lineRule="auto"/>
        <w:jc w:val="both"/>
        <w:rPr>
          <w:rFonts w:ascii="Times New Roman" w:hAnsi="Times New Roman" w:cs="Times New Roman"/>
          <w:sz w:val="24"/>
          <w:szCs w:val="24"/>
        </w:rPr>
      </w:pPr>
      <w:r w:rsidRPr="00517FCF">
        <w:rPr>
          <w:rFonts w:ascii="Times New Roman" w:hAnsi="Times New Roman" w:cs="Times New Roman"/>
          <w:sz w:val="24"/>
          <w:szCs w:val="24"/>
        </w:rPr>
        <w:t>Woodlands Securities Corporation (the “Company”) will conduct its business consistent with the highest standards of commercial honor and just and equitable principles of trade. Keeping our customers' interest is key to Company's success. The trust of our customers and Company's reputation are of paramount importance. Effective supervision is an integral part of achieving our goals in serving our customers.</w:t>
      </w:r>
    </w:p>
    <w:p w14:paraId="61D92BA0" w14:textId="77777777" w:rsidR="00E60BB2" w:rsidRPr="00517FCF" w:rsidRDefault="00E60BB2" w:rsidP="00E60BB2">
      <w:pPr>
        <w:pStyle w:val="Normal1"/>
        <w:shd w:val="clear" w:color="auto" w:fill="FFFFFF"/>
        <w:spacing w:before="0" w:after="0" w:afterAutospacing="0" w:line="240" w:lineRule="auto"/>
        <w:jc w:val="both"/>
        <w:rPr>
          <w:rFonts w:ascii="Times New Roman" w:hAnsi="Times New Roman" w:cs="Times New Roman"/>
          <w:sz w:val="24"/>
          <w:szCs w:val="24"/>
        </w:rPr>
      </w:pPr>
    </w:p>
    <w:p w14:paraId="636B91FC" w14:textId="77777777" w:rsidR="00E60BB2" w:rsidRPr="00517FCF" w:rsidRDefault="00E60BB2" w:rsidP="00E60BB2">
      <w:pPr>
        <w:pStyle w:val="Normal1"/>
        <w:shd w:val="clear" w:color="auto" w:fill="FFFFFF"/>
        <w:spacing w:before="0" w:after="0" w:afterAutospacing="0" w:line="240" w:lineRule="auto"/>
        <w:jc w:val="both"/>
        <w:rPr>
          <w:rFonts w:ascii="Times New Roman" w:hAnsi="Times New Roman" w:cs="Times New Roman"/>
          <w:sz w:val="24"/>
          <w:szCs w:val="24"/>
        </w:rPr>
      </w:pPr>
      <w:r w:rsidRPr="00517FCF">
        <w:rPr>
          <w:rFonts w:ascii="Times New Roman" w:hAnsi="Times New Roman" w:cs="Times New Roman"/>
          <w:sz w:val="24"/>
          <w:szCs w:val="24"/>
        </w:rPr>
        <w:t>"Compliance" is not a static event; it is a process which evolves in tandem with regulations that govern our industry and the circumstances of each particular interaction. This manual includes Company's supervisory policies and procedures to provide guidance to designated supervisors in their oversight of the Company's business. It is a working document and reference for supervisors and will be updated when necessary.</w:t>
      </w:r>
    </w:p>
    <w:p w14:paraId="30CC49DD" w14:textId="77777777" w:rsidR="00E60BB2" w:rsidRPr="00517FCF" w:rsidRDefault="00E60BB2" w:rsidP="00E60BB2">
      <w:pPr>
        <w:pStyle w:val="Normal1"/>
        <w:shd w:val="clear" w:color="auto" w:fill="FFFFFF"/>
        <w:spacing w:before="0" w:after="0" w:afterAutospacing="0" w:line="240" w:lineRule="auto"/>
        <w:jc w:val="both"/>
        <w:rPr>
          <w:rFonts w:ascii="Times New Roman" w:hAnsi="Times New Roman" w:cs="Times New Roman"/>
          <w:sz w:val="24"/>
          <w:szCs w:val="24"/>
        </w:rPr>
      </w:pPr>
    </w:p>
    <w:p w14:paraId="283A6A8B" w14:textId="77777777" w:rsidR="00E60BB2" w:rsidRPr="00517FCF" w:rsidRDefault="00E60BB2" w:rsidP="00E60BB2">
      <w:pPr>
        <w:pStyle w:val="Normal1"/>
        <w:shd w:val="clear" w:color="auto" w:fill="FFFFFF"/>
        <w:spacing w:before="0" w:after="0" w:afterAutospacing="0" w:line="240" w:lineRule="auto"/>
        <w:jc w:val="both"/>
        <w:rPr>
          <w:rFonts w:ascii="Times New Roman" w:hAnsi="Times New Roman" w:cs="Times New Roman"/>
          <w:sz w:val="24"/>
          <w:szCs w:val="24"/>
        </w:rPr>
      </w:pPr>
      <w:r w:rsidRPr="00517FCF">
        <w:rPr>
          <w:rFonts w:ascii="Times New Roman" w:hAnsi="Times New Roman" w:cs="Times New Roman"/>
          <w:sz w:val="24"/>
          <w:szCs w:val="24"/>
        </w:rPr>
        <w:t>It is recognized that supervision must be a flexible tool for use by those charged with managing the Company's various activities. While it is generally expected these procedures will be followed, supervisors are encouraged to adapt these procedures to the needs of the Company, their particular department, and the employees and customers of the Company. These procedures are meant to be a basic framework upon which supervisors oversee the Company's activities.</w:t>
      </w:r>
    </w:p>
    <w:p w14:paraId="6416265E" w14:textId="77777777" w:rsidR="00E60BB2" w:rsidRPr="00517FCF" w:rsidRDefault="00E60BB2" w:rsidP="00E60BB2">
      <w:pPr>
        <w:pStyle w:val="Normal1"/>
        <w:shd w:val="clear" w:color="auto" w:fill="FFFFFF"/>
        <w:spacing w:before="0" w:after="0" w:afterAutospacing="0" w:line="240" w:lineRule="auto"/>
        <w:jc w:val="both"/>
        <w:rPr>
          <w:rFonts w:ascii="Times New Roman" w:hAnsi="Times New Roman" w:cs="Times New Roman"/>
          <w:sz w:val="24"/>
          <w:szCs w:val="24"/>
        </w:rPr>
      </w:pPr>
    </w:p>
    <w:p w14:paraId="40CAD61D" w14:textId="77777777" w:rsidR="00E60BB2" w:rsidRPr="00517FCF" w:rsidRDefault="00E60BB2" w:rsidP="00E60BB2">
      <w:pPr>
        <w:pStyle w:val="Normal1"/>
        <w:shd w:val="clear" w:color="auto" w:fill="FFFFFF"/>
        <w:spacing w:before="0" w:after="0" w:afterAutospacing="0" w:line="240" w:lineRule="auto"/>
        <w:jc w:val="both"/>
        <w:rPr>
          <w:rFonts w:ascii="Times New Roman" w:hAnsi="Times New Roman" w:cs="Times New Roman"/>
          <w:sz w:val="24"/>
          <w:szCs w:val="24"/>
        </w:rPr>
      </w:pPr>
      <w:r w:rsidRPr="00517FCF">
        <w:rPr>
          <w:rFonts w:ascii="Times New Roman" w:hAnsi="Times New Roman" w:cs="Times New Roman"/>
          <w:sz w:val="24"/>
          <w:szCs w:val="24"/>
        </w:rPr>
        <w:t xml:space="preserve">This manual does not attempt to set forth all of the rules and regulations with which employees must be familiar, nor does it attempt to deal with all situations involving </w:t>
      </w:r>
      <w:r w:rsidR="00E14E4F" w:rsidRPr="00790F31">
        <w:rPr>
          <w:rFonts w:ascii="Times New Roman" w:hAnsi="Times New Roman" w:cs="Times New Roman"/>
          <w:sz w:val="24"/>
          <w:szCs w:val="24"/>
        </w:rPr>
        <w:t>al</w:t>
      </w:r>
      <w:r w:rsidRPr="00790F31">
        <w:rPr>
          <w:rFonts w:ascii="Times New Roman" w:hAnsi="Times New Roman" w:cs="Times New Roman"/>
          <w:sz w:val="24"/>
          <w:szCs w:val="24"/>
        </w:rPr>
        <w:t xml:space="preserve">l </w:t>
      </w:r>
      <w:r w:rsidRPr="00517FCF">
        <w:rPr>
          <w:rFonts w:ascii="Times New Roman" w:hAnsi="Times New Roman" w:cs="Times New Roman"/>
          <w:sz w:val="24"/>
          <w:szCs w:val="24"/>
        </w:rPr>
        <w:t>circumstances. When questions arise, refer them to Compliance for assistance.</w:t>
      </w:r>
    </w:p>
    <w:p w14:paraId="4084FAF0" w14:textId="77777777" w:rsidR="00E60BB2" w:rsidRPr="00517FCF" w:rsidRDefault="00E60BB2" w:rsidP="00E60BB2">
      <w:pPr>
        <w:pStyle w:val="Normal1"/>
        <w:shd w:val="clear" w:color="auto" w:fill="FFFFFF"/>
        <w:spacing w:before="0" w:after="0" w:afterAutospacing="0" w:line="240" w:lineRule="auto"/>
        <w:jc w:val="both"/>
        <w:rPr>
          <w:rFonts w:ascii="Times New Roman" w:hAnsi="Times New Roman" w:cs="Times New Roman"/>
          <w:sz w:val="24"/>
          <w:szCs w:val="24"/>
        </w:rPr>
      </w:pPr>
    </w:p>
    <w:p w14:paraId="489BB250" w14:textId="77777777" w:rsidR="00E60BB2" w:rsidRPr="00517FCF" w:rsidRDefault="003C6945" w:rsidP="00E60BB2">
      <w:pPr>
        <w:pStyle w:val="Normal1"/>
        <w:shd w:val="clear" w:color="auto" w:fill="FFFFFF"/>
        <w:spacing w:before="0" w:after="0" w:afterAutospacing="0" w:line="240" w:lineRule="auto"/>
        <w:jc w:val="both"/>
        <w:rPr>
          <w:rFonts w:ascii="Times New Roman" w:hAnsi="Times New Roman" w:cs="Times New Roman"/>
          <w:sz w:val="24"/>
          <w:szCs w:val="24"/>
        </w:rPr>
      </w:pPr>
      <w:r w:rsidRPr="00517FCF">
        <w:rPr>
          <w:rFonts w:ascii="Times New Roman" w:hAnsi="Times New Roman" w:cs="Times New Roman"/>
          <w:sz w:val="24"/>
          <w:szCs w:val="24"/>
        </w:rPr>
        <w:t xml:space="preserve">"Associated Person" as used in this manual </w:t>
      </w:r>
      <w:r w:rsidR="00C449A8">
        <w:rPr>
          <w:rFonts w:ascii="Times New Roman" w:hAnsi="Times New Roman" w:cs="Times New Roman"/>
          <w:sz w:val="24"/>
          <w:szCs w:val="24"/>
        </w:rPr>
        <w:t xml:space="preserve">may </w:t>
      </w:r>
      <w:r w:rsidRPr="00517FCF">
        <w:rPr>
          <w:rFonts w:ascii="Times New Roman" w:hAnsi="Times New Roman" w:cs="Times New Roman"/>
          <w:sz w:val="24"/>
          <w:szCs w:val="24"/>
        </w:rPr>
        <w:t>include R</w:t>
      </w:r>
      <w:r w:rsidR="00656BF9">
        <w:rPr>
          <w:rFonts w:ascii="Times New Roman" w:hAnsi="Times New Roman" w:cs="Times New Roman"/>
          <w:sz w:val="24"/>
          <w:szCs w:val="24"/>
        </w:rPr>
        <w:t>egistered Representatives (“R</w:t>
      </w:r>
      <w:r w:rsidRPr="00517FCF">
        <w:rPr>
          <w:rFonts w:ascii="Times New Roman" w:hAnsi="Times New Roman" w:cs="Times New Roman"/>
          <w:sz w:val="24"/>
          <w:szCs w:val="24"/>
        </w:rPr>
        <w:t>Rs</w:t>
      </w:r>
      <w:r w:rsidR="00656BF9">
        <w:rPr>
          <w:rFonts w:ascii="Times New Roman" w:hAnsi="Times New Roman" w:cs="Times New Roman"/>
          <w:sz w:val="24"/>
          <w:szCs w:val="24"/>
        </w:rPr>
        <w:t>”)</w:t>
      </w:r>
      <w:r w:rsidRPr="00517FCF">
        <w:rPr>
          <w:rFonts w:ascii="Times New Roman" w:hAnsi="Times New Roman" w:cs="Times New Roman"/>
          <w:sz w:val="24"/>
          <w:szCs w:val="24"/>
        </w:rPr>
        <w:t>, employees, officers (and others as identified by the Company, who may be independent contractors for tax and compensation purposes).</w:t>
      </w:r>
      <w:r>
        <w:rPr>
          <w:rFonts w:ascii="Times New Roman" w:hAnsi="Times New Roman" w:cs="Times New Roman"/>
          <w:sz w:val="24"/>
          <w:szCs w:val="24"/>
        </w:rPr>
        <w:t xml:space="preserve">  </w:t>
      </w:r>
      <w:r w:rsidR="00E60BB2" w:rsidRPr="00517FCF">
        <w:rPr>
          <w:rFonts w:ascii="Times New Roman" w:hAnsi="Times New Roman" w:cs="Times New Roman"/>
          <w:sz w:val="24"/>
          <w:szCs w:val="24"/>
        </w:rPr>
        <w:t xml:space="preserve">Supervision may be delegated to others, where appropriate; however, designated supervisors are responsible for ultimate supervision of assigned areas. </w:t>
      </w:r>
    </w:p>
    <w:p w14:paraId="18147AD6" w14:textId="77777777" w:rsidR="00E60BB2" w:rsidRPr="00517FCF" w:rsidRDefault="00E60BB2" w:rsidP="00E60BB2">
      <w:pPr>
        <w:pStyle w:val="Normal1"/>
        <w:shd w:val="clear" w:color="auto" w:fill="FFFFFF"/>
        <w:spacing w:before="0" w:after="0" w:afterAutospacing="0" w:line="240" w:lineRule="auto"/>
        <w:jc w:val="both"/>
        <w:rPr>
          <w:rFonts w:ascii="Times New Roman" w:hAnsi="Times New Roman" w:cs="Times New Roman"/>
          <w:sz w:val="24"/>
          <w:szCs w:val="24"/>
        </w:rPr>
      </w:pPr>
    </w:p>
    <w:p w14:paraId="64B91A10" w14:textId="77777777" w:rsidR="00E60BB2" w:rsidRPr="00517FCF" w:rsidRDefault="00E60BB2" w:rsidP="00E60BB2">
      <w:pPr>
        <w:pStyle w:val="Normal1"/>
        <w:shd w:val="clear" w:color="auto" w:fill="FFFFFF"/>
        <w:spacing w:before="0" w:after="0" w:afterAutospacing="0" w:line="240" w:lineRule="auto"/>
        <w:jc w:val="both"/>
        <w:rPr>
          <w:rFonts w:ascii="Times New Roman" w:hAnsi="Times New Roman" w:cs="Times New Roman"/>
          <w:sz w:val="24"/>
          <w:szCs w:val="24"/>
        </w:rPr>
      </w:pPr>
      <w:r w:rsidRPr="00517FCF">
        <w:rPr>
          <w:rFonts w:ascii="Times New Roman" w:hAnsi="Times New Roman" w:cs="Times New Roman"/>
          <w:sz w:val="24"/>
          <w:szCs w:val="24"/>
        </w:rPr>
        <w:t>This manual is the property of Woodlands Securities Corporation and may not be provided to anyone outside the Company without the permission of Compliance or the Company's counsel.</w:t>
      </w:r>
    </w:p>
    <w:p w14:paraId="2C29CC1A" w14:textId="77777777" w:rsidR="00AB4885" w:rsidRDefault="00AB4885" w:rsidP="003A517A">
      <w:pPr>
        <w:tabs>
          <w:tab w:val="left" w:pos="720"/>
          <w:tab w:val="right" w:leader="dot" w:pos="8640"/>
        </w:tabs>
        <w:ind w:left="720"/>
        <w:jc w:val="both"/>
        <w:rPr>
          <w:sz w:val="24"/>
        </w:rPr>
      </w:pPr>
    </w:p>
    <w:p w14:paraId="5A87D7B0" w14:textId="77777777" w:rsidR="00CF7D83" w:rsidRDefault="00CF7D83" w:rsidP="00936FEE">
      <w:pPr>
        <w:pStyle w:val="Heading2"/>
      </w:pPr>
      <w:r>
        <w:t>1.2 Code of Conduct</w:t>
      </w:r>
    </w:p>
    <w:p w14:paraId="286A5767" w14:textId="77777777" w:rsidR="004B481E" w:rsidRPr="00411220" w:rsidRDefault="004B481E" w:rsidP="005904E3">
      <w:r w:rsidRPr="00411220">
        <w:rPr>
          <w:sz w:val="24"/>
          <w:szCs w:val="24"/>
        </w:rPr>
        <w:t xml:space="preserve">The Company recognizes its fiduciary responsibility to its clients.  It is the duty and responsibility of the Company, shareholder(s), and Associated Persons to comply with Federal securities laws and place the interest of the Company’s clients first.  Associated Persons shall conduct themselves in such a manner to avoid any actual or potential conflict of interest or to abuse an individual’s position of trust and responsibility.  Company and Associated Persons </w:t>
      </w:r>
      <w:r w:rsidRPr="00411220">
        <w:rPr>
          <w:sz w:val="24"/>
          <w:szCs w:val="24"/>
        </w:rPr>
        <w:lastRenderedPageBreak/>
        <w:t>should avoid the appearance of a conflict of interest and should fully disclose all material facts concerning any conflict that arises with a client</w:t>
      </w:r>
      <w:r w:rsidRPr="00411220">
        <w:t xml:space="preserve">.  </w:t>
      </w:r>
    </w:p>
    <w:p w14:paraId="12A7C371" w14:textId="77777777" w:rsidR="004B481E" w:rsidRPr="00411220" w:rsidRDefault="004B481E" w:rsidP="004B481E">
      <w:pPr>
        <w:pStyle w:val="MRS"/>
      </w:pPr>
    </w:p>
    <w:p w14:paraId="4901824B" w14:textId="77777777" w:rsidR="00291088" w:rsidRPr="00411220" w:rsidRDefault="004B481E" w:rsidP="004B481E">
      <w:pPr>
        <w:pStyle w:val="MRS"/>
      </w:pPr>
      <w:r w:rsidRPr="00411220">
        <w:t>Company is committed to the fair treatment of customers and strives to avoid</w:t>
      </w:r>
      <w:r w:rsidR="00852833" w:rsidRPr="00411220">
        <w:t>, manage,</w:t>
      </w:r>
      <w:r w:rsidRPr="00411220">
        <w:t xml:space="preserve"> or mitigate conflicts of interest. </w:t>
      </w:r>
      <w:r w:rsidR="00291088" w:rsidRPr="00411220">
        <w:t xml:space="preserve"> Company shall conduct ongoing reviews of potential conflicts and record them when identified in the Conflicts Inventory as part of Company’s internal review records.  Subsequently, Compliance shall conduct an annual review of said inventory as part of its annual internal exam and determine if any new conflicts exist and/or any new policies need to be added or amended.</w:t>
      </w:r>
      <w:r w:rsidR="00594C10" w:rsidRPr="00411220">
        <w:t xml:space="preserve">  </w:t>
      </w:r>
    </w:p>
    <w:p w14:paraId="59F05295" w14:textId="77777777" w:rsidR="00594C10" w:rsidRPr="00411220" w:rsidRDefault="00594C10" w:rsidP="004B481E">
      <w:pPr>
        <w:pStyle w:val="MRS"/>
      </w:pPr>
    </w:p>
    <w:p w14:paraId="739D0813" w14:textId="77777777" w:rsidR="00594C10" w:rsidRPr="00411220" w:rsidRDefault="00594C10" w:rsidP="004B481E">
      <w:pPr>
        <w:pStyle w:val="MRS"/>
      </w:pPr>
      <w:r w:rsidRPr="00411220">
        <w:t>In addition, potential conflicts and their supervision are also addressed in the following sections of the WSP:</w:t>
      </w:r>
    </w:p>
    <w:p w14:paraId="6A4BBAF5" w14:textId="77777777" w:rsidR="00594C10" w:rsidRPr="00411220" w:rsidRDefault="00594C10" w:rsidP="003E7B18">
      <w:pPr>
        <w:pStyle w:val="MRS"/>
        <w:numPr>
          <w:ilvl w:val="0"/>
          <w:numId w:val="261"/>
        </w:numPr>
      </w:pPr>
      <w:r w:rsidRPr="00411220">
        <w:t>Section 4 - Supervi</w:t>
      </w:r>
      <w:r w:rsidR="00E94DBC" w:rsidRPr="00411220">
        <w:t>si</w:t>
      </w:r>
      <w:r w:rsidRPr="00411220">
        <w:t>on of Associated Persons:  gifts and gratuities, outside business activities, outside securities accounts,</w:t>
      </w:r>
    </w:p>
    <w:p w14:paraId="76504528" w14:textId="77777777" w:rsidR="00594C10" w:rsidRPr="00411220" w:rsidRDefault="00594C10" w:rsidP="003E7B18">
      <w:pPr>
        <w:pStyle w:val="MRS"/>
        <w:numPr>
          <w:ilvl w:val="0"/>
          <w:numId w:val="261"/>
        </w:numPr>
      </w:pPr>
      <w:r w:rsidRPr="00411220">
        <w:t>Section 6 – Regulation S-P: privacy protections, identity theft, etc</w:t>
      </w:r>
      <w:r w:rsidR="004C1590">
        <w:t>.</w:t>
      </w:r>
      <w:r w:rsidRPr="00411220">
        <w:t xml:space="preserve"> </w:t>
      </w:r>
    </w:p>
    <w:p w14:paraId="007A0EEA" w14:textId="77777777" w:rsidR="00594C10" w:rsidRPr="00411220" w:rsidRDefault="00594C10" w:rsidP="003E7B18">
      <w:pPr>
        <w:pStyle w:val="MRS"/>
        <w:numPr>
          <w:ilvl w:val="0"/>
          <w:numId w:val="261"/>
        </w:numPr>
      </w:pPr>
      <w:r w:rsidRPr="00411220">
        <w:t>Section 8 – Trading:  insider trading, etc.</w:t>
      </w:r>
    </w:p>
    <w:p w14:paraId="659AD264" w14:textId="77777777" w:rsidR="00291088" w:rsidRPr="00411220" w:rsidRDefault="00291088" w:rsidP="004B481E">
      <w:pPr>
        <w:pStyle w:val="MRS"/>
      </w:pPr>
    </w:p>
    <w:p w14:paraId="7F8626AF" w14:textId="77777777" w:rsidR="004B481E" w:rsidRDefault="00DF25EA" w:rsidP="004B481E">
      <w:pPr>
        <w:pStyle w:val="MRS"/>
      </w:pPr>
      <w:r w:rsidRPr="00411220">
        <w:t>I</w:t>
      </w:r>
      <w:r w:rsidR="004B481E" w:rsidRPr="00411220">
        <w:t xml:space="preserve">t is imperative that </w:t>
      </w:r>
      <w:r w:rsidRPr="00411220">
        <w:t xml:space="preserve">all </w:t>
      </w:r>
      <w:r w:rsidR="004B481E" w:rsidRPr="00411220">
        <w:t>Associated Persons understand the</w:t>
      </w:r>
      <w:r w:rsidR="00E94DBC" w:rsidRPr="00411220">
        <w:t xml:space="preserve"> </w:t>
      </w:r>
      <w:r w:rsidR="004B481E" w:rsidRPr="00411220">
        <w:t>value Company places on ethical behavior and strive to live up to those ideals and must adhere to all federal and state securities laws and these standards of business conduct.</w:t>
      </w:r>
    </w:p>
    <w:p w14:paraId="58870381" w14:textId="77777777" w:rsidR="00226186" w:rsidRDefault="00226186" w:rsidP="004B481E">
      <w:pPr>
        <w:pStyle w:val="MRS"/>
      </w:pPr>
    </w:p>
    <w:p w14:paraId="4E9E567C" w14:textId="77777777" w:rsidR="00226186" w:rsidRDefault="00226186" w:rsidP="00226186">
      <w:pPr>
        <w:pStyle w:val="Heading3"/>
      </w:pPr>
      <w:r>
        <w:t>1.2.1 Conflicts of Interest</w:t>
      </w:r>
    </w:p>
    <w:p w14:paraId="2B68BF18" w14:textId="77777777" w:rsidR="00226186" w:rsidRPr="00C6327F" w:rsidRDefault="00226186" w:rsidP="00226186">
      <w:pPr>
        <w:shd w:val="clear" w:color="auto" w:fill="FFFFFF"/>
        <w:ind w:left="270"/>
        <w:rPr>
          <w:sz w:val="24"/>
          <w:szCs w:val="24"/>
        </w:rPr>
      </w:pPr>
      <w:r w:rsidRPr="00C6327F">
        <w:rPr>
          <w:sz w:val="24"/>
          <w:szCs w:val="24"/>
        </w:rPr>
        <w:t xml:space="preserve">Company has an obligation to mitigate potential conflicts of interest and put the customer's interest before its own. </w:t>
      </w:r>
      <w:r w:rsidR="00E14E4F" w:rsidRPr="00790F31">
        <w:rPr>
          <w:sz w:val="24"/>
          <w:szCs w:val="24"/>
        </w:rPr>
        <w:t xml:space="preserve">Company will perform a review of conflicts of interest at least on an annual basis and maintain such review as part of Company records for three years.  </w:t>
      </w:r>
      <w:r w:rsidRPr="00C6327F">
        <w:rPr>
          <w:sz w:val="24"/>
          <w:szCs w:val="24"/>
        </w:rPr>
        <w:t>Potential conflicts are addressed in the following sections which also address supervision of these potential conflicts.</w:t>
      </w:r>
    </w:p>
    <w:p w14:paraId="6C77D2B5" w14:textId="77777777" w:rsidR="00226186" w:rsidRPr="00C6327F" w:rsidRDefault="00226186" w:rsidP="003E7B18">
      <w:pPr>
        <w:numPr>
          <w:ilvl w:val="0"/>
          <w:numId w:val="295"/>
        </w:numPr>
        <w:shd w:val="clear" w:color="auto" w:fill="FFFFFF"/>
        <w:spacing w:before="100" w:beforeAutospacing="1" w:after="100" w:afterAutospacing="1"/>
        <w:ind w:hanging="270"/>
        <w:rPr>
          <w:sz w:val="24"/>
          <w:szCs w:val="24"/>
        </w:rPr>
      </w:pPr>
      <w:r w:rsidRPr="00C6327F">
        <w:rPr>
          <w:sz w:val="24"/>
          <w:szCs w:val="24"/>
        </w:rPr>
        <w:t xml:space="preserve">Company's </w:t>
      </w:r>
      <w:r w:rsidR="006B51BE" w:rsidRPr="00C6327F">
        <w:rPr>
          <w:sz w:val="24"/>
          <w:szCs w:val="24"/>
        </w:rPr>
        <w:t>procedures</w:t>
      </w:r>
      <w:r w:rsidRPr="00C6327F">
        <w:rPr>
          <w:sz w:val="24"/>
          <w:szCs w:val="24"/>
        </w:rPr>
        <w:t xml:space="preserve"> address the following issues:</w:t>
      </w:r>
    </w:p>
    <w:p w14:paraId="4BDB6589" w14:textId="77777777" w:rsidR="00226186" w:rsidRPr="00C6327F" w:rsidRDefault="00226186" w:rsidP="003E7B18">
      <w:pPr>
        <w:numPr>
          <w:ilvl w:val="1"/>
          <w:numId w:val="295"/>
        </w:numPr>
        <w:shd w:val="clear" w:color="auto" w:fill="FFFFFF"/>
        <w:spacing w:before="100" w:beforeAutospacing="1" w:after="100" w:afterAutospacing="1"/>
        <w:rPr>
          <w:sz w:val="24"/>
          <w:szCs w:val="24"/>
        </w:rPr>
      </w:pPr>
      <w:r w:rsidRPr="00C6327F">
        <w:rPr>
          <w:sz w:val="24"/>
          <w:szCs w:val="24"/>
        </w:rPr>
        <w:t>Confidentiality of Company’s business, its employees, customers, suppliers or consumers</w:t>
      </w:r>
    </w:p>
    <w:p w14:paraId="3AD3154E" w14:textId="77777777" w:rsidR="00226186" w:rsidRPr="00C6327F" w:rsidRDefault="00226186" w:rsidP="003E7B18">
      <w:pPr>
        <w:numPr>
          <w:ilvl w:val="1"/>
          <w:numId w:val="295"/>
        </w:numPr>
        <w:shd w:val="clear" w:color="auto" w:fill="FFFFFF"/>
        <w:spacing w:before="100" w:beforeAutospacing="1" w:after="100" w:afterAutospacing="1"/>
        <w:rPr>
          <w:sz w:val="24"/>
          <w:szCs w:val="24"/>
        </w:rPr>
      </w:pPr>
      <w:r w:rsidRPr="00C6327F">
        <w:rPr>
          <w:sz w:val="24"/>
          <w:szCs w:val="24"/>
        </w:rPr>
        <w:t>Gifts and entertainment</w:t>
      </w:r>
    </w:p>
    <w:p w14:paraId="4EE537B0" w14:textId="77777777" w:rsidR="00226186" w:rsidRPr="00C6327F" w:rsidRDefault="00226186" w:rsidP="003E7B18">
      <w:pPr>
        <w:numPr>
          <w:ilvl w:val="1"/>
          <w:numId w:val="295"/>
        </w:numPr>
        <w:shd w:val="clear" w:color="auto" w:fill="FFFFFF"/>
        <w:spacing w:before="100" w:beforeAutospacing="1" w:after="100" w:afterAutospacing="1"/>
        <w:rPr>
          <w:sz w:val="24"/>
          <w:szCs w:val="24"/>
        </w:rPr>
      </w:pPr>
      <w:r w:rsidRPr="00C6327F">
        <w:rPr>
          <w:sz w:val="24"/>
          <w:szCs w:val="24"/>
        </w:rPr>
        <w:t>Privacy of customer information and requests for information from affiliates</w:t>
      </w:r>
    </w:p>
    <w:p w14:paraId="4A96396C" w14:textId="77777777" w:rsidR="00226186" w:rsidRPr="00C6327F" w:rsidRDefault="00226186" w:rsidP="003E7B18">
      <w:pPr>
        <w:numPr>
          <w:ilvl w:val="1"/>
          <w:numId w:val="295"/>
        </w:numPr>
        <w:shd w:val="clear" w:color="auto" w:fill="FFFFFF"/>
        <w:spacing w:before="100" w:beforeAutospacing="1" w:after="100" w:afterAutospacing="1"/>
        <w:rPr>
          <w:sz w:val="24"/>
          <w:szCs w:val="24"/>
        </w:rPr>
      </w:pPr>
      <w:r w:rsidRPr="00C6327F">
        <w:rPr>
          <w:sz w:val="24"/>
          <w:szCs w:val="24"/>
        </w:rPr>
        <w:t>Internal accounting controls</w:t>
      </w:r>
    </w:p>
    <w:p w14:paraId="0025BFF3" w14:textId="77777777" w:rsidR="00226186" w:rsidRPr="00C6327F" w:rsidRDefault="00226186" w:rsidP="003E7B18">
      <w:pPr>
        <w:numPr>
          <w:ilvl w:val="1"/>
          <w:numId w:val="295"/>
        </w:numPr>
        <w:shd w:val="clear" w:color="auto" w:fill="FFFFFF"/>
        <w:spacing w:before="100" w:beforeAutospacing="1" w:after="100" w:afterAutospacing="1"/>
        <w:rPr>
          <w:sz w:val="24"/>
          <w:szCs w:val="24"/>
        </w:rPr>
      </w:pPr>
      <w:r w:rsidRPr="00C6327F">
        <w:rPr>
          <w:sz w:val="24"/>
          <w:szCs w:val="24"/>
        </w:rPr>
        <w:t>Reporting ethics violations and disciplinary action</w:t>
      </w:r>
    </w:p>
    <w:p w14:paraId="43418D57" w14:textId="77777777" w:rsidR="00226186" w:rsidRPr="00C6327F" w:rsidRDefault="00226186" w:rsidP="003E7B18">
      <w:pPr>
        <w:numPr>
          <w:ilvl w:val="1"/>
          <w:numId w:val="295"/>
        </w:numPr>
        <w:shd w:val="clear" w:color="auto" w:fill="FFFFFF"/>
        <w:spacing w:before="100" w:beforeAutospacing="1" w:after="100" w:afterAutospacing="1"/>
        <w:rPr>
          <w:sz w:val="24"/>
          <w:szCs w:val="24"/>
        </w:rPr>
      </w:pPr>
      <w:r w:rsidRPr="00C6327F">
        <w:rPr>
          <w:sz w:val="24"/>
          <w:szCs w:val="24"/>
        </w:rPr>
        <w:t>Full and fair disclosure regarding documents filed on behalf of the Company</w:t>
      </w:r>
    </w:p>
    <w:p w14:paraId="44D8280F" w14:textId="77777777" w:rsidR="00226186" w:rsidRPr="00C6327F" w:rsidRDefault="00226186" w:rsidP="003E7B18">
      <w:pPr>
        <w:numPr>
          <w:ilvl w:val="1"/>
          <w:numId w:val="295"/>
        </w:numPr>
        <w:shd w:val="clear" w:color="auto" w:fill="FFFFFF"/>
        <w:spacing w:before="100" w:beforeAutospacing="1" w:after="100" w:afterAutospacing="1"/>
        <w:rPr>
          <w:sz w:val="24"/>
          <w:szCs w:val="24"/>
        </w:rPr>
      </w:pPr>
      <w:r w:rsidRPr="00C6327F">
        <w:rPr>
          <w:sz w:val="24"/>
          <w:szCs w:val="24"/>
        </w:rPr>
        <w:t xml:space="preserve">Employee compliance with </w:t>
      </w:r>
      <w:r w:rsidR="006B51BE" w:rsidRPr="00C6327F">
        <w:rPr>
          <w:sz w:val="24"/>
          <w:szCs w:val="24"/>
        </w:rPr>
        <w:t>Company</w:t>
      </w:r>
      <w:r w:rsidRPr="00C6327F">
        <w:rPr>
          <w:sz w:val="24"/>
          <w:szCs w:val="24"/>
        </w:rPr>
        <w:t xml:space="preserve"> policies and rule requirements, obligations to report</w:t>
      </w:r>
    </w:p>
    <w:p w14:paraId="3385AD6D" w14:textId="77777777" w:rsidR="00226186" w:rsidRPr="00C6327F" w:rsidRDefault="00226186" w:rsidP="003E7B18">
      <w:pPr>
        <w:numPr>
          <w:ilvl w:val="1"/>
          <w:numId w:val="295"/>
        </w:numPr>
        <w:shd w:val="clear" w:color="auto" w:fill="FFFFFF"/>
        <w:spacing w:before="100" w:beforeAutospacing="1" w:after="100" w:afterAutospacing="1"/>
        <w:rPr>
          <w:sz w:val="24"/>
          <w:szCs w:val="24"/>
        </w:rPr>
      </w:pPr>
      <w:r w:rsidRPr="00C6327F">
        <w:rPr>
          <w:sz w:val="24"/>
          <w:szCs w:val="24"/>
        </w:rPr>
        <w:t>Supervision vested in supervisors</w:t>
      </w:r>
    </w:p>
    <w:p w14:paraId="2A5B109B" w14:textId="77777777" w:rsidR="00226186" w:rsidRPr="00C6327F" w:rsidRDefault="006B51BE" w:rsidP="003E7B18">
      <w:pPr>
        <w:numPr>
          <w:ilvl w:val="1"/>
          <w:numId w:val="295"/>
        </w:numPr>
        <w:shd w:val="clear" w:color="auto" w:fill="FFFFFF"/>
        <w:spacing w:before="100" w:beforeAutospacing="1" w:after="100" w:afterAutospacing="1"/>
        <w:rPr>
          <w:sz w:val="24"/>
          <w:szCs w:val="24"/>
        </w:rPr>
      </w:pPr>
      <w:r w:rsidRPr="00C6327F">
        <w:rPr>
          <w:sz w:val="24"/>
          <w:szCs w:val="24"/>
        </w:rPr>
        <w:t>Review of conflicts</w:t>
      </w:r>
    </w:p>
    <w:p w14:paraId="0298D444" w14:textId="77777777" w:rsidR="00226186" w:rsidRPr="00C6327F" w:rsidRDefault="00195520" w:rsidP="003E7B18">
      <w:pPr>
        <w:numPr>
          <w:ilvl w:val="0"/>
          <w:numId w:val="295"/>
        </w:numPr>
        <w:shd w:val="clear" w:color="auto" w:fill="FFFFFF"/>
        <w:spacing w:before="100" w:beforeAutospacing="1" w:after="100" w:afterAutospacing="1"/>
        <w:ind w:hanging="270"/>
        <w:rPr>
          <w:sz w:val="24"/>
          <w:szCs w:val="24"/>
        </w:rPr>
      </w:pPr>
      <w:r w:rsidRPr="00C6327F">
        <w:rPr>
          <w:sz w:val="24"/>
          <w:szCs w:val="24"/>
        </w:rPr>
        <w:t>T</w:t>
      </w:r>
      <w:r w:rsidR="00226186" w:rsidRPr="00C6327F">
        <w:rPr>
          <w:sz w:val="24"/>
          <w:szCs w:val="24"/>
        </w:rPr>
        <w:t xml:space="preserve">rading </w:t>
      </w:r>
      <w:r w:rsidR="006B51BE" w:rsidRPr="00C6327F">
        <w:rPr>
          <w:i/>
          <w:iCs/>
          <w:sz w:val="24"/>
          <w:szCs w:val="24"/>
        </w:rPr>
        <w:t xml:space="preserve">(see the chapter </w:t>
      </w:r>
      <w:r w:rsidR="00226186" w:rsidRPr="00C6327F">
        <w:rPr>
          <w:i/>
          <w:iCs/>
          <w:sz w:val="24"/>
          <w:szCs w:val="24"/>
        </w:rPr>
        <w:t>T</w:t>
      </w:r>
      <w:r w:rsidR="006B51BE" w:rsidRPr="00C6327F">
        <w:rPr>
          <w:i/>
          <w:iCs/>
          <w:sz w:val="24"/>
          <w:szCs w:val="24"/>
        </w:rPr>
        <w:t>rading Policies and Procedures</w:t>
      </w:r>
      <w:r w:rsidR="00226186" w:rsidRPr="00C6327F">
        <w:rPr>
          <w:i/>
          <w:iCs/>
          <w:sz w:val="24"/>
          <w:szCs w:val="24"/>
        </w:rPr>
        <w:t>)</w:t>
      </w:r>
    </w:p>
    <w:p w14:paraId="3C13F2E5" w14:textId="77777777" w:rsidR="00226186" w:rsidRPr="00C6327F" w:rsidRDefault="00226186" w:rsidP="003E7B18">
      <w:pPr>
        <w:numPr>
          <w:ilvl w:val="0"/>
          <w:numId w:val="295"/>
        </w:numPr>
        <w:shd w:val="clear" w:color="auto" w:fill="FFFFFF"/>
        <w:spacing w:before="100" w:beforeAutospacing="1" w:after="100" w:afterAutospacing="1"/>
        <w:ind w:hanging="270"/>
        <w:rPr>
          <w:sz w:val="24"/>
          <w:szCs w:val="24"/>
        </w:rPr>
      </w:pPr>
      <w:r w:rsidRPr="00C6327F">
        <w:rPr>
          <w:sz w:val="24"/>
          <w:szCs w:val="24"/>
        </w:rPr>
        <w:t xml:space="preserve">Policies regarding employee outside business activities, outside accounts </w:t>
      </w:r>
      <w:r w:rsidRPr="00C6327F">
        <w:rPr>
          <w:i/>
          <w:iCs/>
          <w:sz w:val="24"/>
          <w:szCs w:val="24"/>
        </w:rPr>
        <w:t xml:space="preserve">(see the chapter </w:t>
      </w:r>
      <w:r w:rsidR="006B51BE" w:rsidRPr="00C6327F">
        <w:rPr>
          <w:i/>
          <w:iCs/>
          <w:sz w:val="24"/>
          <w:szCs w:val="24"/>
        </w:rPr>
        <w:t>Supervision of Associated Persons</w:t>
      </w:r>
      <w:r w:rsidRPr="00C6327F">
        <w:rPr>
          <w:i/>
          <w:iCs/>
          <w:sz w:val="24"/>
          <w:szCs w:val="24"/>
        </w:rPr>
        <w:t>)</w:t>
      </w:r>
    </w:p>
    <w:p w14:paraId="645A0BE4" w14:textId="77777777" w:rsidR="00226186" w:rsidRPr="00C6327F" w:rsidRDefault="00226186" w:rsidP="003E7B18">
      <w:pPr>
        <w:numPr>
          <w:ilvl w:val="0"/>
          <w:numId w:val="295"/>
        </w:numPr>
        <w:shd w:val="clear" w:color="auto" w:fill="FFFFFF"/>
        <w:spacing w:before="100" w:beforeAutospacing="1" w:after="100" w:afterAutospacing="1"/>
        <w:ind w:hanging="270"/>
        <w:rPr>
          <w:sz w:val="24"/>
          <w:szCs w:val="24"/>
        </w:rPr>
      </w:pPr>
      <w:r w:rsidRPr="00C6327F">
        <w:rPr>
          <w:sz w:val="24"/>
          <w:szCs w:val="24"/>
        </w:rPr>
        <w:t xml:space="preserve">Customer privacy policies and procedures </w:t>
      </w:r>
      <w:r w:rsidR="00195520" w:rsidRPr="00C6327F">
        <w:rPr>
          <w:sz w:val="24"/>
          <w:szCs w:val="24"/>
        </w:rPr>
        <w:t xml:space="preserve"> and Identity Theft </w:t>
      </w:r>
      <w:r w:rsidRPr="00C6327F">
        <w:rPr>
          <w:i/>
          <w:iCs/>
          <w:sz w:val="24"/>
          <w:szCs w:val="24"/>
        </w:rPr>
        <w:t xml:space="preserve">(see the chapter </w:t>
      </w:r>
      <w:r w:rsidR="006B51BE" w:rsidRPr="00C6327F">
        <w:rPr>
          <w:i/>
          <w:iCs/>
          <w:sz w:val="24"/>
          <w:szCs w:val="24"/>
        </w:rPr>
        <w:t>Regulation S-P, S-AM, and S-ID</w:t>
      </w:r>
      <w:r w:rsidRPr="00C6327F">
        <w:rPr>
          <w:i/>
          <w:iCs/>
          <w:sz w:val="24"/>
          <w:szCs w:val="24"/>
        </w:rPr>
        <w:t>)</w:t>
      </w:r>
    </w:p>
    <w:p w14:paraId="6D870C5B" w14:textId="77777777" w:rsidR="00BA5D55" w:rsidRPr="00C6327F" w:rsidRDefault="00BA5D55" w:rsidP="003E7B18">
      <w:pPr>
        <w:numPr>
          <w:ilvl w:val="0"/>
          <w:numId w:val="295"/>
        </w:numPr>
        <w:shd w:val="clear" w:color="auto" w:fill="FFFFFF"/>
        <w:spacing w:before="100" w:beforeAutospacing="1" w:after="100" w:afterAutospacing="1"/>
        <w:ind w:hanging="270"/>
        <w:rPr>
          <w:sz w:val="24"/>
          <w:szCs w:val="24"/>
        </w:rPr>
      </w:pPr>
      <w:r w:rsidRPr="00C6327F">
        <w:rPr>
          <w:iCs/>
          <w:sz w:val="24"/>
          <w:szCs w:val="24"/>
        </w:rPr>
        <w:t xml:space="preserve">Private Placements Due Diligence and Conflicts </w:t>
      </w:r>
      <w:r w:rsidRPr="00C6327F">
        <w:rPr>
          <w:i/>
          <w:iCs/>
          <w:sz w:val="24"/>
          <w:szCs w:val="24"/>
        </w:rPr>
        <w:t>(see Chapter Private Placements, Underwritings)</w:t>
      </w:r>
    </w:p>
    <w:p w14:paraId="70F1F9CA" w14:textId="77777777" w:rsidR="00126B3C" w:rsidRPr="00C6327F" w:rsidRDefault="00126B3C" w:rsidP="00E14E4F">
      <w:pPr>
        <w:shd w:val="clear" w:color="auto" w:fill="FFFFFF"/>
        <w:ind w:left="270"/>
        <w:rPr>
          <w:iCs/>
          <w:sz w:val="24"/>
          <w:szCs w:val="24"/>
        </w:rPr>
      </w:pPr>
      <w:r w:rsidRPr="00C6327F">
        <w:rPr>
          <w:iCs/>
          <w:sz w:val="24"/>
          <w:szCs w:val="24"/>
        </w:rPr>
        <w:lastRenderedPageBreak/>
        <w:t>When assessing actual or potential conflicts of interest, Company shall consider the following:</w:t>
      </w:r>
    </w:p>
    <w:p w14:paraId="0E08A89B" w14:textId="77777777" w:rsidR="00126B3C" w:rsidRPr="00C6327F" w:rsidRDefault="00126B3C" w:rsidP="003E7B18">
      <w:pPr>
        <w:pStyle w:val="ListParagraph"/>
        <w:numPr>
          <w:ilvl w:val="0"/>
          <w:numId w:val="296"/>
        </w:numPr>
        <w:shd w:val="clear" w:color="auto" w:fill="FFFFFF"/>
        <w:rPr>
          <w:iCs/>
          <w:sz w:val="24"/>
          <w:szCs w:val="24"/>
        </w:rPr>
      </w:pPr>
      <w:r w:rsidRPr="00C6327F">
        <w:rPr>
          <w:sz w:val="24"/>
          <w:szCs w:val="24"/>
        </w:rPr>
        <w:t xml:space="preserve">define conflicts of interest in a way that is relevant to a firm’s business and which helps staff identify conflict situations; </w:t>
      </w:r>
    </w:p>
    <w:p w14:paraId="7D38FD46" w14:textId="77777777" w:rsidR="00126B3C" w:rsidRPr="00C6327F" w:rsidRDefault="00126B3C" w:rsidP="003E7B18">
      <w:pPr>
        <w:pStyle w:val="ListParagraph"/>
        <w:numPr>
          <w:ilvl w:val="0"/>
          <w:numId w:val="296"/>
        </w:numPr>
        <w:shd w:val="clear" w:color="auto" w:fill="FFFFFF"/>
        <w:spacing w:before="100" w:beforeAutospacing="1" w:after="100" w:afterAutospacing="1"/>
        <w:rPr>
          <w:iCs/>
          <w:sz w:val="24"/>
          <w:szCs w:val="24"/>
        </w:rPr>
      </w:pPr>
      <w:r w:rsidRPr="00C6327F">
        <w:rPr>
          <w:sz w:val="24"/>
          <w:szCs w:val="24"/>
        </w:rPr>
        <w:t xml:space="preserve">Articulate employees’ roles and responsibilities with respect to identifying and managing conflicts; </w:t>
      </w:r>
    </w:p>
    <w:p w14:paraId="0E5964C3" w14:textId="77777777" w:rsidR="00126B3C" w:rsidRPr="00C6327F" w:rsidRDefault="00126B3C" w:rsidP="003E7B18">
      <w:pPr>
        <w:pStyle w:val="ListParagraph"/>
        <w:numPr>
          <w:ilvl w:val="0"/>
          <w:numId w:val="296"/>
        </w:numPr>
        <w:shd w:val="clear" w:color="auto" w:fill="FFFFFF"/>
        <w:spacing w:before="100" w:beforeAutospacing="1" w:after="100" w:afterAutospacing="1"/>
        <w:rPr>
          <w:iCs/>
          <w:sz w:val="24"/>
          <w:szCs w:val="24"/>
        </w:rPr>
      </w:pPr>
      <w:r w:rsidRPr="00C6327F">
        <w:rPr>
          <w:sz w:val="24"/>
          <w:szCs w:val="24"/>
        </w:rPr>
        <w:t>Establish mechanisms to identify conflicts as they evolve (through team meetings, annual compliance sessions, telephonically, etc</w:t>
      </w:r>
      <w:r w:rsidR="004C1590">
        <w:rPr>
          <w:sz w:val="24"/>
          <w:szCs w:val="24"/>
        </w:rPr>
        <w:t>.</w:t>
      </w:r>
      <w:r w:rsidR="008E17BB" w:rsidRPr="00C6327F">
        <w:rPr>
          <w:sz w:val="24"/>
          <w:szCs w:val="24"/>
        </w:rPr>
        <w:t>)</w:t>
      </w:r>
      <w:r w:rsidRPr="00C6327F">
        <w:rPr>
          <w:sz w:val="24"/>
          <w:szCs w:val="24"/>
        </w:rPr>
        <w:t>;</w:t>
      </w:r>
    </w:p>
    <w:p w14:paraId="167B49E9" w14:textId="77777777" w:rsidR="00126B3C" w:rsidRPr="00C6327F" w:rsidRDefault="00126B3C" w:rsidP="003E7B18">
      <w:pPr>
        <w:pStyle w:val="ListParagraph"/>
        <w:numPr>
          <w:ilvl w:val="0"/>
          <w:numId w:val="296"/>
        </w:numPr>
        <w:shd w:val="clear" w:color="auto" w:fill="FFFFFF"/>
        <w:spacing w:before="100" w:beforeAutospacing="1" w:after="100" w:afterAutospacing="1"/>
        <w:rPr>
          <w:iCs/>
          <w:sz w:val="24"/>
          <w:szCs w:val="24"/>
        </w:rPr>
      </w:pPr>
      <w:r w:rsidRPr="00C6327F">
        <w:rPr>
          <w:sz w:val="24"/>
          <w:szCs w:val="24"/>
        </w:rPr>
        <w:t xml:space="preserve">Establish escalation procedures for conflicts of interest within and across business lines; </w:t>
      </w:r>
    </w:p>
    <w:p w14:paraId="12CF248C" w14:textId="77777777" w:rsidR="00126B3C" w:rsidRPr="00C6327F" w:rsidRDefault="00126B3C" w:rsidP="003E7B18">
      <w:pPr>
        <w:pStyle w:val="ListParagraph"/>
        <w:numPr>
          <w:ilvl w:val="0"/>
          <w:numId w:val="296"/>
        </w:numPr>
        <w:shd w:val="clear" w:color="auto" w:fill="FFFFFF"/>
        <w:spacing w:before="100" w:beforeAutospacing="1" w:after="100" w:afterAutospacing="1"/>
        <w:rPr>
          <w:iCs/>
          <w:sz w:val="24"/>
          <w:szCs w:val="24"/>
        </w:rPr>
      </w:pPr>
      <w:r w:rsidRPr="00C6327F">
        <w:rPr>
          <w:sz w:val="24"/>
          <w:szCs w:val="24"/>
        </w:rPr>
        <w:t xml:space="preserve">Avoid severe conflicts, even if that avoidance means foregoing an otherwise attractive business opportunity; </w:t>
      </w:r>
    </w:p>
    <w:p w14:paraId="2FB9CB7A" w14:textId="77777777" w:rsidR="00126B3C" w:rsidRPr="00C6327F" w:rsidRDefault="00126B3C" w:rsidP="003E7B18">
      <w:pPr>
        <w:pStyle w:val="ListParagraph"/>
        <w:numPr>
          <w:ilvl w:val="0"/>
          <w:numId w:val="296"/>
        </w:numPr>
        <w:shd w:val="clear" w:color="auto" w:fill="FFFFFF"/>
        <w:spacing w:before="100" w:beforeAutospacing="1" w:after="100" w:afterAutospacing="1"/>
        <w:rPr>
          <w:iCs/>
          <w:sz w:val="24"/>
          <w:szCs w:val="24"/>
        </w:rPr>
      </w:pPr>
      <w:r w:rsidRPr="00C6327F">
        <w:rPr>
          <w:sz w:val="24"/>
          <w:szCs w:val="24"/>
        </w:rPr>
        <w:t xml:space="preserve">Disclose conflicts of interest to clients, taking into consideration the different needs of retail and institutional clients; </w:t>
      </w:r>
    </w:p>
    <w:p w14:paraId="05BFDF24" w14:textId="77777777" w:rsidR="00126B3C" w:rsidRPr="00C6327F" w:rsidRDefault="00126B3C" w:rsidP="003E7B18">
      <w:pPr>
        <w:pStyle w:val="ListParagraph"/>
        <w:numPr>
          <w:ilvl w:val="0"/>
          <w:numId w:val="296"/>
        </w:numPr>
        <w:shd w:val="clear" w:color="auto" w:fill="FFFFFF"/>
        <w:spacing w:before="100" w:beforeAutospacing="1" w:after="100" w:afterAutospacing="1"/>
        <w:rPr>
          <w:iCs/>
          <w:sz w:val="24"/>
          <w:szCs w:val="24"/>
        </w:rPr>
      </w:pPr>
      <w:r w:rsidRPr="00C6327F">
        <w:rPr>
          <w:sz w:val="24"/>
          <w:szCs w:val="24"/>
        </w:rPr>
        <w:t xml:space="preserve">Train staff to identify and manage conflicts in accordance with firm policies and procedures; and </w:t>
      </w:r>
    </w:p>
    <w:p w14:paraId="2CE0170F" w14:textId="77777777" w:rsidR="00126B3C" w:rsidRPr="00C6327F" w:rsidRDefault="00126B3C" w:rsidP="003E7B18">
      <w:pPr>
        <w:pStyle w:val="ListParagraph"/>
        <w:numPr>
          <w:ilvl w:val="0"/>
          <w:numId w:val="296"/>
        </w:numPr>
        <w:shd w:val="clear" w:color="auto" w:fill="FFFFFF"/>
        <w:spacing w:before="100" w:beforeAutospacing="1" w:after="100" w:afterAutospacing="1"/>
        <w:rPr>
          <w:iCs/>
          <w:sz w:val="24"/>
          <w:szCs w:val="24"/>
        </w:rPr>
      </w:pPr>
      <w:r w:rsidRPr="00C6327F">
        <w:rPr>
          <w:sz w:val="24"/>
          <w:szCs w:val="24"/>
        </w:rPr>
        <w:t>Report on significant conflicts issues to include identification and management of conflicts which are to be included in Company’s annual review, to the Chief Executive Officer (CEO).</w:t>
      </w:r>
    </w:p>
    <w:p w14:paraId="2BE17005" w14:textId="77777777" w:rsidR="00126B3C" w:rsidRPr="00C6327F" w:rsidRDefault="00126B3C" w:rsidP="00126B3C">
      <w:pPr>
        <w:shd w:val="clear" w:color="auto" w:fill="FFFFFF"/>
        <w:spacing w:before="100" w:beforeAutospacing="1" w:after="100" w:afterAutospacing="1"/>
        <w:ind w:left="720"/>
        <w:rPr>
          <w:sz w:val="24"/>
          <w:szCs w:val="24"/>
        </w:rPr>
      </w:pPr>
    </w:p>
    <w:p w14:paraId="029333EE" w14:textId="77777777" w:rsidR="00226186" w:rsidRPr="00226186" w:rsidRDefault="00226186" w:rsidP="00226186"/>
    <w:p w14:paraId="643BE935" w14:textId="77777777" w:rsidR="00226186" w:rsidRPr="00411220" w:rsidRDefault="00226186" w:rsidP="004B481E">
      <w:pPr>
        <w:pStyle w:val="MRS"/>
      </w:pPr>
    </w:p>
    <w:p w14:paraId="696E757D" w14:textId="77777777" w:rsidR="004B481E" w:rsidRPr="00411220" w:rsidRDefault="004B481E" w:rsidP="005904E3"/>
    <w:p w14:paraId="4D9E2815" w14:textId="77777777" w:rsidR="003A517A" w:rsidRPr="00411220" w:rsidRDefault="00D02250" w:rsidP="005904E3">
      <w:r w:rsidRPr="00411220">
        <w:br w:type="page"/>
      </w:r>
    </w:p>
    <w:p w14:paraId="47748824" w14:textId="77777777" w:rsidR="003A04BE" w:rsidRDefault="003A04BE" w:rsidP="003A04BE">
      <w:pPr>
        <w:pStyle w:val="Heading1"/>
        <w:pBdr>
          <w:top w:val="double" w:sz="12" w:space="1" w:color="0000CC"/>
          <w:left w:val="double" w:sz="12" w:space="4" w:color="0000CC"/>
          <w:bottom w:val="double" w:sz="12" w:space="1" w:color="0000CC"/>
          <w:right w:val="double" w:sz="12" w:space="4" w:color="0000CC"/>
        </w:pBdr>
        <w:shd w:val="pct10" w:color="0000FF" w:fill="auto"/>
      </w:pPr>
      <w:bookmarkStart w:id="17" w:name="_Toc227675967"/>
      <w:bookmarkStart w:id="18" w:name="_Toc227820415"/>
      <w:bookmarkStart w:id="19" w:name="_Toc227821697"/>
      <w:bookmarkStart w:id="20" w:name="_Toc227821816"/>
    </w:p>
    <w:p w14:paraId="5C97B71A" w14:textId="77777777" w:rsidR="003A04BE" w:rsidRPr="003A04BE" w:rsidRDefault="00ED1609" w:rsidP="003A04BE">
      <w:pPr>
        <w:pStyle w:val="Heading1"/>
        <w:pBdr>
          <w:top w:val="double" w:sz="12" w:space="1" w:color="0000CC"/>
          <w:left w:val="double" w:sz="12" w:space="4" w:color="0000CC"/>
          <w:bottom w:val="double" w:sz="12" w:space="1" w:color="0000CC"/>
          <w:right w:val="double" w:sz="12" w:space="4" w:color="0000CC"/>
        </w:pBdr>
        <w:shd w:val="pct10" w:color="0000FF" w:fill="auto"/>
        <w:jc w:val="center"/>
      </w:pPr>
      <w:bookmarkStart w:id="21" w:name="_Toc535916165"/>
      <w:r w:rsidRPr="003A04BE">
        <w:t>2</w:t>
      </w:r>
      <w:r w:rsidR="003A517A" w:rsidRPr="003A04BE">
        <w:t>.</w:t>
      </w:r>
      <w:r w:rsidR="00FE3A30">
        <w:t xml:space="preserve">   </w:t>
      </w:r>
      <w:r w:rsidR="003A517A" w:rsidRPr="003A04BE">
        <w:t xml:space="preserve">SUPERVISORY SYSTEM. PROCEDURES AND </w:t>
      </w:r>
      <w:r w:rsidR="003A04BE" w:rsidRPr="003A04BE">
        <w:t>CONTROLS</w:t>
      </w:r>
      <w:bookmarkEnd w:id="21"/>
    </w:p>
    <w:p w14:paraId="43583B1C" w14:textId="77777777" w:rsidR="003A04BE" w:rsidRDefault="003A04BE" w:rsidP="003A04BE">
      <w:pPr>
        <w:pStyle w:val="Heading1"/>
        <w:pBdr>
          <w:top w:val="double" w:sz="12" w:space="1" w:color="0000CC"/>
          <w:left w:val="double" w:sz="12" w:space="4" w:color="0000CC"/>
          <w:bottom w:val="double" w:sz="12" w:space="1" w:color="0000CC"/>
          <w:right w:val="double" w:sz="12" w:space="4" w:color="0000CC"/>
        </w:pBdr>
        <w:shd w:val="pct10" w:color="0000FF" w:fill="auto"/>
      </w:pPr>
    </w:p>
    <w:bookmarkEnd w:id="17"/>
    <w:bookmarkEnd w:id="18"/>
    <w:bookmarkEnd w:id="19"/>
    <w:bookmarkEnd w:id="20"/>
    <w:p w14:paraId="2AE072C5" w14:textId="77777777" w:rsidR="003A517A" w:rsidRPr="003A04BE" w:rsidRDefault="003A517A" w:rsidP="003A04BE">
      <w:r w:rsidRPr="003A04BE">
        <w:t xml:space="preserve">                                                                                                             </w:t>
      </w:r>
    </w:p>
    <w:p w14:paraId="7F9FC1FC" w14:textId="77777777" w:rsidR="00C23F42" w:rsidRDefault="00C23F42" w:rsidP="00C23F42">
      <w:pPr>
        <w:rPr>
          <w:sz w:val="24"/>
        </w:rPr>
      </w:pPr>
    </w:p>
    <w:p w14:paraId="2EE1D942" w14:textId="77777777" w:rsidR="00F11236" w:rsidRPr="00F11236" w:rsidRDefault="00F24B3E" w:rsidP="00936FEE">
      <w:pPr>
        <w:pStyle w:val="Heading2"/>
      </w:pPr>
      <w:r>
        <w:t>2</w:t>
      </w:r>
      <w:r w:rsidR="00F11236">
        <w:t>.1</w:t>
      </w:r>
      <w:r>
        <w:t xml:space="preserve"> </w:t>
      </w:r>
      <w:r w:rsidR="00F11236">
        <w:t xml:space="preserve">  Introduction</w:t>
      </w:r>
    </w:p>
    <w:p w14:paraId="2958846E" w14:textId="77777777" w:rsidR="003A517A" w:rsidRPr="008A792A" w:rsidRDefault="005A17DC" w:rsidP="00F11236">
      <w:pPr>
        <w:contextualSpacing/>
        <w:jc w:val="both"/>
        <w:rPr>
          <w:sz w:val="24"/>
          <w:szCs w:val="24"/>
        </w:rPr>
      </w:pPr>
      <w:r w:rsidRPr="00411220">
        <w:rPr>
          <w:sz w:val="24"/>
          <w:szCs w:val="24"/>
        </w:rPr>
        <w:t>Pursuant to FINRA Rule 3110</w:t>
      </w:r>
      <w:r>
        <w:rPr>
          <w:sz w:val="24"/>
          <w:szCs w:val="24"/>
        </w:rPr>
        <w:t xml:space="preserve">, </w:t>
      </w:r>
      <w:r w:rsidR="003A517A" w:rsidRPr="008A792A">
        <w:rPr>
          <w:sz w:val="24"/>
          <w:szCs w:val="24"/>
        </w:rPr>
        <w:t>Company has established a supervisory system, procedures and controls reasonably designed to comply with regulators' rules.</w:t>
      </w:r>
    </w:p>
    <w:p w14:paraId="43DD466E" w14:textId="77777777" w:rsidR="003A517A" w:rsidRPr="008A792A" w:rsidRDefault="003A517A" w:rsidP="0027106E">
      <w:pPr>
        <w:spacing w:before="100" w:beforeAutospacing="1" w:after="100" w:afterAutospacing="1"/>
        <w:jc w:val="both"/>
        <w:rPr>
          <w:sz w:val="24"/>
          <w:szCs w:val="24"/>
        </w:rPr>
      </w:pPr>
      <w:r w:rsidRPr="008A792A">
        <w:rPr>
          <w:b/>
          <w:bCs/>
          <w:i/>
          <w:iCs/>
          <w:sz w:val="24"/>
          <w:szCs w:val="24"/>
        </w:rPr>
        <w:t>Supervisory system:</w:t>
      </w:r>
      <w:r w:rsidRPr="008A792A">
        <w:rPr>
          <w:sz w:val="24"/>
          <w:szCs w:val="24"/>
        </w:rPr>
        <w:t xml:space="preserve"> The internal system to oversee business includes the designation of supervisors and allocation of responsibilities; assignment of </w:t>
      </w:r>
      <w:r w:rsidR="002001E9" w:rsidRPr="008A792A">
        <w:rPr>
          <w:sz w:val="24"/>
          <w:szCs w:val="24"/>
        </w:rPr>
        <w:t>Associated Person</w:t>
      </w:r>
      <w:r w:rsidRPr="008A792A">
        <w:rPr>
          <w:sz w:val="24"/>
          <w:szCs w:val="24"/>
        </w:rPr>
        <w:t>s to appropriate supervisors; identification of areas of business and rules that govern those businesses; and development of procedures.</w:t>
      </w:r>
    </w:p>
    <w:p w14:paraId="1AE3B4F7" w14:textId="77777777" w:rsidR="003A517A" w:rsidRPr="008A792A" w:rsidRDefault="003A517A" w:rsidP="0027106E">
      <w:pPr>
        <w:spacing w:before="100" w:beforeAutospacing="1" w:after="100" w:afterAutospacing="1"/>
        <w:jc w:val="both"/>
        <w:rPr>
          <w:sz w:val="24"/>
          <w:szCs w:val="24"/>
        </w:rPr>
      </w:pPr>
      <w:r w:rsidRPr="008A792A">
        <w:rPr>
          <w:b/>
          <w:bCs/>
          <w:i/>
          <w:iCs/>
          <w:sz w:val="24"/>
          <w:szCs w:val="24"/>
        </w:rPr>
        <w:t>Supervisory procedures:</w:t>
      </w:r>
      <w:r w:rsidRPr="008A792A">
        <w:rPr>
          <w:sz w:val="24"/>
          <w:szCs w:val="24"/>
        </w:rPr>
        <w:t xml:space="preserve"> Procedures in this manual (and in other policies or manuals, if referenced in specific chapters) include:</w:t>
      </w:r>
    </w:p>
    <w:p w14:paraId="2CA23AC1" w14:textId="77777777" w:rsidR="003A517A" w:rsidRPr="008A792A" w:rsidRDefault="002A4B34" w:rsidP="00C1728B">
      <w:pPr>
        <w:numPr>
          <w:ilvl w:val="0"/>
          <w:numId w:val="46"/>
        </w:numPr>
        <w:spacing w:before="100" w:beforeAutospacing="1" w:after="100" w:afterAutospacing="1"/>
        <w:jc w:val="both"/>
        <w:rPr>
          <w:sz w:val="24"/>
          <w:szCs w:val="24"/>
        </w:rPr>
      </w:pPr>
      <w:r w:rsidRPr="008A792A">
        <w:rPr>
          <w:sz w:val="24"/>
          <w:szCs w:val="24"/>
        </w:rPr>
        <w:t>C</w:t>
      </w:r>
      <w:r w:rsidR="003A517A" w:rsidRPr="008A792A">
        <w:rPr>
          <w:sz w:val="24"/>
          <w:szCs w:val="24"/>
        </w:rPr>
        <w:t xml:space="preserve">ompliance procedures for </w:t>
      </w:r>
      <w:r w:rsidR="002001E9" w:rsidRPr="008A792A">
        <w:rPr>
          <w:sz w:val="24"/>
          <w:szCs w:val="24"/>
        </w:rPr>
        <w:t>Associated Person</w:t>
      </w:r>
      <w:r w:rsidR="003A517A" w:rsidRPr="008A792A">
        <w:rPr>
          <w:sz w:val="24"/>
          <w:szCs w:val="24"/>
        </w:rPr>
        <w:t xml:space="preserve">s and others that explain rule requirements and prohibitions as well as internal policies when conducting </w:t>
      </w:r>
      <w:r w:rsidR="002001E9" w:rsidRPr="008A792A">
        <w:rPr>
          <w:sz w:val="24"/>
          <w:szCs w:val="24"/>
        </w:rPr>
        <w:t>sales</w:t>
      </w:r>
      <w:r w:rsidR="003A517A" w:rsidRPr="008A792A">
        <w:rPr>
          <w:sz w:val="24"/>
          <w:szCs w:val="24"/>
        </w:rPr>
        <w:t xml:space="preserve"> and other activities; and,</w:t>
      </w:r>
    </w:p>
    <w:p w14:paraId="66B4BB7A" w14:textId="77777777" w:rsidR="003A517A" w:rsidRDefault="002A4B34" w:rsidP="00C1728B">
      <w:pPr>
        <w:numPr>
          <w:ilvl w:val="0"/>
          <w:numId w:val="46"/>
        </w:numPr>
        <w:jc w:val="both"/>
        <w:rPr>
          <w:sz w:val="24"/>
          <w:szCs w:val="24"/>
        </w:rPr>
      </w:pPr>
      <w:r w:rsidRPr="008A792A">
        <w:rPr>
          <w:sz w:val="24"/>
          <w:szCs w:val="24"/>
        </w:rPr>
        <w:t>Supervisory</w:t>
      </w:r>
      <w:r w:rsidR="0027106E" w:rsidRPr="008A792A">
        <w:rPr>
          <w:sz w:val="24"/>
          <w:szCs w:val="24"/>
        </w:rPr>
        <w:t xml:space="preserve"> </w:t>
      </w:r>
      <w:r w:rsidR="003A517A" w:rsidRPr="008A792A">
        <w:rPr>
          <w:sz w:val="24"/>
          <w:szCs w:val="24"/>
        </w:rPr>
        <w:t>procedures that explain how supervisors are to conduct their ongoing responsibilities. Most supervisory procedures are explained in "matrixes" that appear throughout this manual and include the following:</w:t>
      </w:r>
    </w:p>
    <w:p w14:paraId="3E892E75" w14:textId="77777777" w:rsidR="001B696B" w:rsidRPr="008A792A" w:rsidRDefault="001B696B" w:rsidP="001B696B">
      <w:pPr>
        <w:ind w:left="720"/>
        <w:jc w:val="both"/>
        <w:rPr>
          <w:sz w:val="24"/>
          <w:szCs w:val="24"/>
        </w:rPr>
      </w:pPr>
    </w:p>
    <w:p w14:paraId="2FC81100" w14:textId="77777777" w:rsidR="00C23199" w:rsidRPr="008A792A" w:rsidRDefault="00C23199" w:rsidP="001B696B">
      <w:pPr>
        <w:ind w:left="720"/>
        <w:jc w:val="both"/>
        <w:rPr>
          <w:sz w:val="24"/>
          <w:szCs w:val="24"/>
        </w:rPr>
      </w:pPr>
    </w:p>
    <w:p w14:paraId="29410651" w14:textId="77777777" w:rsidR="0027106E" w:rsidRPr="008A792A" w:rsidRDefault="00F24B3E" w:rsidP="00936FEE">
      <w:pPr>
        <w:pStyle w:val="Heading2"/>
      </w:pPr>
      <w:r w:rsidRPr="008A792A">
        <w:t>2</w:t>
      </w:r>
      <w:r w:rsidR="00C23199" w:rsidRPr="008A792A">
        <w:t xml:space="preserve">.2  </w:t>
      </w:r>
      <w:r w:rsidRPr="008A792A">
        <w:t xml:space="preserve"> </w:t>
      </w:r>
      <w:r w:rsidR="00C23199" w:rsidRPr="008A792A">
        <w:t>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54"/>
        <w:gridCol w:w="7418"/>
      </w:tblGrid>
      <w:tr w:rsidR="003A517A" w:rsidRPr="008A792A" w14:paraId="11E92462"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3E9C18AF" w14:textId="77777777" w:rsidR="003A517A" w:rsidRPr="008A792A" w:rsidRDefault="003A517A" w:rsidP="00C23199">
            <w:pPr>
              <w:jc w:val="center"/>
              <w:rPr>
                <w:b/>
                <w:bCs/>
                <w:sz w:val="24"/>
                <w:szCs w:val="24"/>
              </w:rPr>
            </w:pPr>
            <w:r w:rsidRPr="008A792A">
              <w:rPr>
                <w:b/>
                <w:bCs/>
                <w:sz w:val="24"/>
                <w:szCs w:val="24"/>
              </w:rPr>
              <w:t>Responsibility</w:t>
            </w:r>
          </w:p>
        </w:tc>
        <w:tc>
          <w:tcPr>
            <w:tcW w:w="4000" w:type="pct"/>
            <w:tcBorders>
              <w:top w:val="outset" w:sz="6" w:space="0" w:color="auto"/>
              <w:left w:val="outset" w:sz="6" w:space="0" w:color="auto"/>
              <w:bottom w:val="outset" w:sz="6" w:space="0" w:color="auto"/>
              <w:right w:val="outset" w:sz="6" w:space="0" w:color="auto"/>
            </w:tcBorders>
            <w:vAlign w:val="center"/>
          </w:tcPr>
          <w:p w14:paraId="056BC174" w14:textId="77777777" w:rsidR="003A517A" w:rsidRPr="00411220" w:rsidRDefault="003A517A" w:rsidP="00C1728B">
            <w:pPr>
              <w:numPr>
                <w:ilvl w:val="0"/>
                <w:numId w:val="47"/>
              </w:numPr>
              <w:rPr>
                <w:sz w:val="24"/>
                <w:szCs w:val="24"/>
              </w:rPr>
            </w:pPr>
            <w:r w:rsidRPr="00411220">
              <w:rPr>
                <w:sz w:val="24"/>
                <w:szCs w:val="24"/>
              </w:rPr>
              <w:t>Morris Monroe</w:t>
            </w:r>
            <w:r w:rsidR="00AF59B1" w:rsidRPr="00411220">
              <w:rPr>
                <w:sz w:val="24"/>
                <w:szCs w:val="24"/>
              </w:rPr>
              <w:t>, Compliance</w:t>
            </w:r>
          </w:p>
        </w:tc>
      </w:tr>
      <w:tr w:rsidR="00654C91" w:rsidRPr="008A792A" w14:paraId="0CDD222A"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382581A5" w14:textId="77777777" w:rsidR="00654C91" w:rsidRPr="008A792A" w:rsidRDefault="00654C91" w:rsidP="003A517A">
            <w:pPr>
              <w:jc w:val="center"/>
              <w:rPr>
                <w:b/>
                <w:bCs/>
                <w:sz w:val="24"/>
                <w:szCs w:val="24"/>
              </w:rPr>
            </w:pPr>
            <w:r w:rsidRPr="008A792A">
              <w:rPr>
                <w:b/>
                <w:bCs/>
                <w:sz w:val="24"/>
                <w:szCs w:val="24"/>
              </w:rPr>
              <w:t>Statutes</w:t>
            </w:r>
          </w:p>
        </w:tc>
        <w:tc>
          <w:tcPr>
            <w:tcW w:w="4000" w:type="pct"/>
            <w:tcBorders>
              <w:top w:val="outset" w:sz="6" w:space="0" w:color="auto"/>
              <w:left w:val="outset" w:sz="6" w:space="0" w:color="auto"/>
              <w:bottom w:val="outset" w:sz="6" w:space="0" w:color="auto"/>
              <w:right w:val="outset" w:sz="6" w:space="0" w:color="auto"/>
            </w:tcBorders>
            <w:vAlign w:val="center"/>
          </w:tcPr>
          <w:p w14:paraId="11EB59B5" w14:textId="77777777" w:rsidR="00654C91" w:rsidRPr="00411220" w:rsidRDefault="00654C91" w:rsidP="00C1728B">
            <w:pPr>
              <w:numPr>
                <w:ilvl w:val="0"/>
                <w:numId w:val="48"/>
              </w:numPr>
              <w:spacing w:before="100" w:beforeAutospacing="1" w:after="100" w:afterAutospacing="1"/>
              <w:rPr>
                <w:sz w:val="24"/>
                <w:szCs w:val="24"/>
              </w:rPr>
            </w:pPr>
            <w:r w:rsidRPr="00411220">
              <w:rPr>
                <w:sz w:val="24"/>
                <w:szCs w:val="24"/>
              </w:rPr>
              <w:t xml:space="preserve">FINRA Rule </w:t>
            </w:r>
            <w:r w:rsidR="005A17DC" w:rsidRPr="00411220">
              <w:rPr>
                <w:sz w:val="24"/>
                <w:szCs w:val="24"/>
              </w:rPr>
              <w:t xml:space="preserve">3110, 3120-Supervisory System, </w:t>
            </w:r>
            <w:r w:rsidRPr="00411220">
              <w:rPr>
                <w:sz w:val="24"/>
                <w:szCs w:val="24"/>
              </w:rPr>
              <w:t>3130 – Annual Certification</w:t>
            </w:r>
          </w:p>
        </w:tc>
      </w:tr>
      <w:tr w:rsidR="003A517A" w:rsidRPr="008A792A" w14:paraId="3F68BC54"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1A745B95" w14:textId="77777777" w:rsidR="003A517A" w:rsidRPr="008A792A" w:rsidRDefault="003A517A" w:rsidP="003A517A">
            <w:pPr>
              <w:jc w:val="center"/>
              <w:rPr>
                <w:b/>
                <w:bCs/>
                <w:sz w:val="24"/>
                <w:szCs w:val="24"/>
              </w:rPr>
            </w:pPr>
            <w:r w:rsidRPr="008A792A">
              <w:rPr>
                <w:b/>
                <w:bCs/>
                <w:sz w:val="24"/>
                <w:szCs w:val="24"/>
              </w:rPr>
              <w:t>Frequency</w:t>
            </w:r>
          </w:p>
        </w:tc>
        <w:tc>
          <w:tcPr>
            <w:tcW w:w="4000" w:type="pct"/>
            <w:tcBorders>
              <w:top w:val="outset" w:sz="6" w:space="0" w:color="auto"/>
              <w:left w:val="outset" w:sz="6" w:space="0" w:color="auto"/>
              <w:bottom w:val="outset" w:sz="6" w:space="0" w:color="auto"/>
              <w:right w:val="outset" w:sz="6" w:space="0" w:color="auto"/>
            </w:tcBorders>
            <w:vAlign w:val="center"/>
          </w:tcPr>
          <w:p w14:paraId="7CEA310D" w14:textId="77777777" w:rsidR="003A517A" w:rsidRPr="00411220" w:rsidRDefault="005B2D32" w:rsidP="00C1728B">
            <w:pPr>
              <w:numPr>
                <w:ilvl w:val="0"/>
                <w:numId w:val="48"/>
              </w:numPr>
              <w:spacing w:before="100" w:beforeAutospacing="1" w:after="100" w:afterAutospacing="1"/>
              <w:rPr>
                <w:sz w:val="24"/>
                <w:szCs w:val="24"/>
              </w:rPr>
            </w:pPr>
            <w:r w:rsidRPr="00411220">
              <w:rPr>
                <w:sz w:val="24"/>
                <w:szCs w:val="24"/>
              </w:rPr>
              <w:t>Annual (or more frequently for certain high-risk areas)</w:t>
            </w:r>
          </w:p>
        </w:tc>
      </w:tr>
      <w:tr w:rsidR="003A517A" w:rsidRPr="008A792A" w14:paraId="7B5548AC"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300DBF0E" w14:textId="77777777" w:rsidR="003A517A" w:rsidRPr="008A792A" w:rsidRDefault="003A517A" w:rsidP="003A517A">
            <w:pPr>
              <w:jc w:val="center"/>
              <w:rPr>
                <w:b/>
                <w:bCs/>
                <w:sz w:val="24"/>
                <w:szCs w:val="24"/>
              </w:rPr>
            </w:pPr>
            <w:r w:rsidRPr="008A792A">
              <w:rPr>
                <w:b/>
                <w:bCs/>
                <w:sz w:val="24"/>
                <w:szCs w:val="24"/>
              </w:rPr>
              <w:t>Action</w:t>
            </w:r>
            <w:r w:rsidR="00CD06AD" w:rsidRPr="008A792A">
              <w:rPr>
                <w:b/>
                <w:bCs/>
                <w:sz w:val="24"/>
                <w:szCs w:val="24"/>
              </w:rPr>
              <w:t>s</w:t>
            </w:r>
          </w:p>
        </w:tc>
        <w:tc>
          <w:tcPr>
            <w:tcW w:w="4000" w:type="pct"/>
            <w:tcBorders>
              <w:top w:val="outset" w:sz="6" w:space="0" w:color="auto"/>
              <w:left w:val="outset" w:sz="6" w:space="0" w:color="auto"/>
              <w:bottom w:val="outset" w:sz="6" w:space="0" w:color="auto"/>
              <w:right w:val="outset" w:sz="6" w:space="0" w:color="auto"/>
            </w:tcBorders>
            <w:vAlign w:val="center"/>
          </w:tcPr>
          <w:p w14:paraId="1A673C14" w14:textId="77777777" w:rsidR="003A517A" w:rsidRPr="00411220" w:rsidRDefault="003A517A" w:rsidP="00C1728B">
            <w:pPr>
              <w:numPr>
                <w:ilvl w:val="0"/>
                <w:numId w:val="49"/>
              </w:numPr>
              <w:rPr>
                <w:sz w:val="24"/>
                <w:szCs w:val="24"/>
              </w:rPr>
            </w:pPr>
            <w:r w:rsidRPr="00411220">
              <w:rPr>
                <w:sz w:val="24"/>
                <w:szCs w:val="24"/>
              </w:rPr>
              <w:t>How supervision is to be conducted (</w:t>
            </w:r>
            <w:r w:rsidRPr="00411220">
              <w:rPr>
                <w:i/>
                <w:iCs/>
                <w:sz w:val="24"/>
                <w:szCs w:val="24"/>
              </w:rPr>
              <w:t>i.e.,</w:t>
            </w:r>
            <w:r w:rsidRPr="00411220">
              <w:rPr>
                <w:sz w:val="24"/>
                <w:szCs w:val="24"/>
              </w:rPr>
              <w:t xml:space="preserve"> review a report, read correspondence, interview RR or customer, </w:t>
            </w:r>
            <w:r w:rsidRPr="00411220">
              <w:rPr>
                <w:i/>
                <w:iCs/>
                <w:sz w:val="24"/>
                <w:szCs w:val="24"/>
              </w:rPr>
              <w:t>etc.</w:t>
            </w:r>
            <w:r w:rsidRPr="00411220">
              <w:rPr>
                <w:sz w:val="24"/>
                <w:szCs w:val="24"/>
              </w:rPr>
              <w:t>).</w:t>
            </w:r>
          </w:p>
          <w:p w14:paraId="05788364" w14:textId="77777777" w:rsidR="003E1F24" w:rsidRPr="00411220" w:rsidRDefault="005B2D32" w:rsidP="00C1728B">
            <w:pPr>
              <w:numPr>
                <w:ilvl w:val="0"/>
                <w:numId w:val="49"/>
              </w:numPr>
              <w:rPr>
                <w:sz w:val="24"/>
                <w:szCs w:val="24"/>
              </w:rPr>
            </w:pPr>
            <w:r w:rsidRPr="00411220">
              <w:rPr>
                <w:sz w:val="24"/>
                <w:szCs w:val="24"/>
              </w:rPr>
              <w:t xml:space="preserve">Preparation of reports, any reviews, </w:t>
            </w:r>
            <w:r w:rsidR="002A1A40" w:rsidRPr="00411220">
              <w:rPr>
                <w:sz w:val="24"/>
                <w:szCs w:val="24"/>
              </w:rPr>
              <w:t xml:space="preserve">controls, tests, </w:t>
            </w:r>
            <w:r w:rsidR="00B055C4" w:rsidRPr="00411220">
              <w:rPr>
                <w:sz w:val="24"/>
                <w:szCs w:val="24"/>
              </w:rPr>
              <w:t xml:space="preserve">gaps, findings, </w:t>
            </w:r>
            <w:r w:rsidRPr="00411220">
              <w:rPr>
                <w:sz w:val="24"/>
                <w:szCs w:val="24"/>
              </w:rPr>
              <w:t>any correction action</w:t>
            </w:r>
            <w:r w:rsidR="00B055C4" w:rsidRPr="00411220">
              <w:rPr>
                <w:sz w:val="24"/>
                <w:szCs w:val="24"/>
              </w:rPr>
              <w:t>, revision in policies</w:t>
            </w:r>
          </w:p>
        </w:tc>
      </w:tr>
      <w:tr w:rsidR="003A517A" w:rsidRPr="008A792A" w14:paraId="452B70FE"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11D1FB47" w14:textId="77777777" w:rsidR="003A517A" w:rsidRPr="008A792A" w:rsidRDefault="003A517A" w:rsidP="003A517A">
            <w:pPr>
              <w:jc w:val="center"/>
              <w:rPr>
                <w:b/>
                <w:bCs/>
                <w:sz w:val="24"/>
                <w:szCs w:val="24"/>
              </w:rPr>
            </w:pPr>
            <w:r w:rsidRPr="008A792A">
              <w:rPr>
                <w:b/>
                <w:bCs/>
                <w:sz w:val="24"/>
                <w:szCs w:val="24"/>
              </w:rPr>
              <w:t>Record</w:t>
            </w:r>
            <w:r w:rsidR="00CD06AD" w:rsidRPr="008A792A">
              <w:rPr>
                <w:b/>
                <w:bCs/>
                <w:sz w:val="24"/>
                <w:szCs w:val="24"/>
              </w:rPr>
              <w:t>s</w:t>
            </w:r>
          </w:p>
        </w:tc>
        <w:tc>
          <w:tcPr>
            <w:tcW w:w="4000" w:type="pct"/>
            <w:tcBorders>
              <w:top w:val="outset" w:sz="6" w:space="0" w:color="auto"/>
              <w:left w:val="outset" w:sz="6" w:space="0" w:color="auto"/>
              <w:bottom w:val="outset" w:sz="6" w:space="0" w:color="auto"/>
              <w:right w:val="outset" w:sz="6" w:space="0" w:color="auto"/>
            </w:tcBorders>
            <w:vAlign w:val="center"/>
          </w:tcPr>
          <w:p w14:paraId="3FA191F5" w14:textId="77777777" w:rsidR="003A517A" w:rsidRPr="00411220" w:rsidRDefault="003A517A" w:rsidP="00C1728B">
            <w:pPr>
              <w:numPr>
                <w:ilvl w:val="0"/>
                <w:numId w:val="50"/>
              </w:numPr>
              <w:spacing w:before="100" w:beforeAutospacing="1" w:after="100" w:afterAutospacing="1"/>
              <w:rPr>
                <w:sz w:val="24"/>
                <w:szCs w:val="24"/>
              </w:rPr>
            </w:pPr>
            <w:r w:rsidRPr="00411220">
              <w:rPr>
                <w:sz w:val="24"/>
                <w:szCs w:val="24"/>
              </w:rPr>
              <w:t xml:space="preserve">What record is made that supervision was conducted? </w:t>
            </w:r>
            <w:r w:rsidRPr="00411220">
              <w:rPr>
                <w:i/>
                <w:iCs/>
                <w:sz w:val="24"/>
                <w:szCs w:val="24"/>
              </w:rPr>
              <w:t>Generally supervisors are expected to initial and date reports or other records, note any action taken, and retain that information in their files.</w:t>
            </w:r>
          </w:p>
          <w:p w14:paraId="34694290" w14:textId="77777777" w:rsidR="00CD06AD" w:rsidRPr="00411220" w:rsidRDefault="00CD06AD" w:rsidP="00C1728B">
            <w:pPr>
              <w:numPr>
                <w:ilvl w:val="0"/>
                <w:numId w:val="50"/>
              </w:numPr>
              <w:spacing w:before="100" w:beforeAutospacing="1" w:after="100" w:afterAutospacing="1"/>
              <w:rPr>
                <w:sz w:val="24"/>
                <w:szCs w:val="24"/>
              </w:rPr>
            </w:pPr>
            <w:r w:rsidRPr="00411220">
              <w:rPr>
                <w:iCs/>
                <w:sz w:val="24"/>
                <w:szCs w:val="24"/>
              </w:rPr>
              <w:t xml:space="preserve">Reviews and verification </w:t>
            </w:r>
            <w:r w:rsidR="00C73917" w:rsidRPr="00411220">
              <w:rPr>
                <w:iCs/>
                <w:sz w:val="24"/>
                <w:szCs w:val="24"/>
              </w:rPr>
              <w:t>r</w:t>
            </w:r>
            <w:r w:rsidR="005B2D32" w:rsidRPr="00411220">
              <w:rPr>
                <w:iCs/>
                <w:sz w:val="24"/>
                <w:szCs w:val="24"/>
              </w:rPr>
              <w:t>eports, policies and procedures</w:t>
            </w:r>
          </w:p>
        </w:tc>
      </w:tr>
    </w:tbl>
    <w:p w14:paraId="2E9AA295" w14:textId="77777777" w:rsidR="003A517A" w:rsidRPr="008A792A" w:rsidRDefault="003A517A" w:rsidP="00C23F42">
      <w:pPr>
        <w:rPr>
          <w:sz w:val="24"/>
          <w:szCs w:val="24"/>
        </w:rPr>
      </w:pPr>
    </w:p>
    <w:p w14:paraId="7D5BED97" w14:textId="77777777" w:rsidR="000A6D7C" w:rsidRPr="008A792A" w:rsidRDefault="000A6D7C" w:rsidP="003F6C02">
      <w:pPr>
        <w:jc w:val="both"/>
        <w:rPr>
          <w:sz w:val="24"/>
          <w:szCs w:val="24"/>
        </w:rPr>
      </w:pPr>
      <w:r w:rsidRPr="008A792A">
        <w:rPr>
          <w:b/>
          <w:bCs/>
          <w:i/>
          <w:iCs/>
          <w:sz w:val="24"/>
          <w:szCs w:val="24"/>
        </w:rPr>
        <w:t>Supervisory Controls:</w:t>
      </w:r>
      <w:r w:rsidRPr="008A792A">
        <w:rPr>
          <w:sz w:val="24"/>
          <w:szCs w:val="24"/>
        </w:rPr>
        <w:t xml:space="preserve"> Controls refer to testing and evaluation of systems and procedures to measure and maintain their effectiveness. Internal </w:t>
      </w:r>
      <w:r w:rsidR="00AF231D">
        <w:rPr>
          <w:sz w:val="24"/>
          <w:szCs w:val="24"/>
        </w:rPr>
        <w:t xml:space="preserve">controls </w:t>
      </w:r>
      <w:r w:rsidR="00AF231D" w:rsidRPr="00411220">
        <w:rPr>
          <w:sz w:val="24"/>
          <w:szCs w:val="24"/>
        </w:rPr>
        <w:t xml:space="preserve">and testing </w:t>
      </w:r>
      <w:r w:rsidRPr="008A792A">
        <w:rPr>
          <w:sz w:val="24"/>
          <w:szCs w:val="24"/>
        </w:rPr>
        <w:t xml:space="preserve">typically involve sampling </w:t>
      </w:r>
      <w:r w:rsidRPr="008A792A">
        <w:rPr>
          <w:sz w:val="24"/>
          <w:szCs w:val="24"/>
        </w:rPr>
        <w:lastRenderedPageBreak/>
        <w:t>of functions to test effectiveness and identify shortcomings, gaps, or other inefficiencies in supervisory systems and procedures. Internal controls also involve the ongoing reassessment of these functions to determine whether they are serving their intended purpose.</w:t>
      </w:r>
    </w:p>
    <w:p w14:paraId="4AB6B44A" w14:textId="77777777" w:rsidR="000A6D7C" w:rsidRPr="008A792A" w:rsidRDefault="000A6D7C" w:rsidP="003F6C02">
      <w:pPr>
        <w:rPr>
          <w:sz w:val="24"/>
          <w:szCs w:val="24"/>
        </w:rPr>
      </w:pPr>
    </w:p>
    <w:p w14:paraId="5E2F4D3A" w14:textId="77777777" w:rsidR="000C570A" w:rsidRPr="008A792A" w:rsidRDefault="000C570A" w:rsidP="003F6C02">
      <w:pPr>
        <w:rPr>
          <w:b/>
          <w:sz w:val="24"/>
          <w:szCs w:val="24"/>
        </w:rPr>
      </w:pPr>
    </w:p>
    <w:p w14:paraId="57B29BCF" w14:textId="77777777" w:rsidR="000A6D7C" w:rsidRPr="008A792A" w:rsidRDefault="00F24B3E" w:rsidP="00936FEE">
      <w:pPr>
        <w:pStyle w:val="Heading2"/>
      </w:pPr>
      <w:r w:rsidRPr="008A792A">
        <w:t>2</w:t>
      </w:r>
      <w:r w:rsidR="00F11236" w:rsidRPr="008A792A">
        <w:t>.</w:t>
      </w:r>
      <w:r w:rsidR="00C23199" w:rsidRPr="008A792A">
        <w:t>3</w:t>
      </w:r>
      <w:r w:rsidR="00F11236" w:rsidRPr="008A792A">
        <w:t xml:space="preserve">  </w:t>
      </w:r>
      <w:r w:rsidRPr="008A792A">
        <w:t xml:space="preserve"> </w:t>
      </w:r>
      <w:bookmarkStart w:id="22" w:name="ReviewProcedures"/>
      <w:r w:rsidR="005A17DC">
        <w:t xml:space="preserve">FINRA Rule 3120 – Supervisory Control </w:t>
      </w:r>
      <w:bookmarkEnd w:id="22"/>
      <w:r w:rsidR="005A17DC">
        <w:t>System</w:t>
      </w:r>
    </w:p>
    <w:p w14:paraId="7A104A0F" w14:textId="77777777" w:rsidR="000D6AC1" w:rsidRPr="00411220" w:rsidRDefault="000D6AC1" w:rsidP="000D6AC1">
      <w:pPr>
        <w:rPr>
          <w:sz w:val="24"/>
          <w:szCs w:val="24"/>
        </w:rPr>
      </w:pPr>
      <w:r w:rsidRPr="00411220">
        <w:rPr>
          <w:sz w:val="24"/>
          <w:szCs w:val="24"/>
        </w:rPr>
        <w:t>Company conducts reviews of its supervisory procedures and controls at least annually to confirm procedures are current and include all areas of business</w:t>
      </w:r>
      <w:r w:rsidR="005A17DC" w:rsidRPr="00411220">
        <w:rPr>
          <w:sz w:val="24"/>
          <w:szCs w:val="24"/>
        </w:rPr>
        <w:t xml:space="preserve"> and shall designate to FINRA such individuals responsible</w:t>
      </w:r>
      <w:r w:rsidRPr="00411220">
        <w:rPr>
          <w:sz w:val="24"/>
          <w:szCs w:val="24"/>
        </w:rPr>
        <w:t xml:space="preserve">. </w:t>
      </w:r>
      <w:r w:rsidR="00625E00" w:rsidRPr="00411220">
        <w:rPr>
          <w:sz w:val="24"/>
          <w:szCs w:val="24"/>
        </w:rPr>
        <w:t xml:space="preserve"> </w:t>
      </w:r>
      <w:r w:rsidRPr="00411220">
        <w:rPr>
          <w:sz w:val="24"/>
          <w:szCs w:val="24"/>
        </w:rPr>
        <w:t>Procedures and controls are also tested to determine they achieve the necessary levels of compliance</w:t>
      </w:r>
      <w:r w:rsidR="00C5711C" w:rsidRPr="00411220">
        <w:rPr>
          <w:sz w:val="24"/>
          <w:szCs w:val="24"/>
        </w:rPr>
        <w:t xml:space="preserve"> and adherence with applicable securities laws and regulations</w:t>
      </w:r>
      <w:r w:rsidRPr="00411220">
        <w:rPr>
          <w:sz w:val="24"/>
          <w:szCs w:val="24"/>
        </w:rPr>
        <w:t xml:space="preserve">. Methods depend on the size and mix of </w:t>
      </w:r>
      <w:r w:rsidR="00C5711C" w:rsidRPr="00411220">
        <w:rPr>
          <w:sz w:val="24"/>
          <w:szCs w:val="24"/>
        </w:rPr>
        <w:t>Co</w:t>
      </w:r>
      <w:r w:rsidRPr="00411220">
        <w:rPr>
          <w:sz w:val="24"/>
          <w:szCs w:val="24"/>
        </w:rPr>
        <w:t>m</w:t>
      </w:r>
      <w:r w:rsidR="00C5711C" w:rsidRPr="00411220">
        <w:rPr>
          <w:sz w:val="24"/>
          <w:szCs w:val="24"/>
        </w:rPr>
        <w:t>pany</w:t>
      </w:r>
      <w:r w:rsidRPr="00411220">
        <w:rPr>
          <w:sz w:val="24"/>
          <w:szCs w:val="24"/>
        </w:rPr>
        <w:t>'s business.</w:t>
      </w:r>
    </w:p>
    <w:p w14:paraId="5DF616EF" w14:textId="77777777" w:rsidR="00C5711C" w:rsidRPr="00411220" w:rsidRDefault="00C5711C" w:rsidP="000D6AC1">
      <w:pPr>
        <w:rPr>
          <w:sz w:val="24"/>
          <w:szCs w:val="24"/>
        </w:rPr>
      </w:pPr>
    </w:p>
    <w:p w14:paraId="44DAC7D5" w14:textId="77777777" w:rsidR="000D6AC1" w:rsidRPr="00411220" w:rsidRDefault="000D6AC1" w:rsidP="000D6AC1">
      <w:pPr>
        <w:rPr>
          <w:sz w:val="24"/>
          <w:szCs w:val="24"/>
        </w:rPr>
      </w:pPr>
      <w:r w:rsidRPr="00411220">
        <w:rPr>
          <w:sz w:val="24"/>
          <w:szCs w:val="24"/>
        </w:rPr>
        <w:t>Reviews conducted internally may use different approaches:</w:t>
      </w:r>
    </w:p>
    <w:p w14:paraId="18311DA2" w14:textId="77777777" w:rsidR="000D6AC1" w:rsidRPr="00411220" w:rsidRDefault="000D6AC1" w:rsidP="003E7B18">
      <w:pPr>
        <w:numPr>
          <w:ilvl w:val="0"/>
          <w:numId w:val="240"/>
        </w:numPr>
        <w:rPr>
          <w:sz w:val="24"/>
          <w:szCs w:val="24"/>
        </w:rPr>
      </w:pPr>
      <w:r w:rsidRPr="00411220">
        <w:rPr>
          <w:sz w:val="24"/>
          <w:szCs w:val="24"/>
        </w:rPr>
        <w:t xml:space="preserve">Review of a specific period of time </w:t>
      </w:r>
    </w:p>
    <w:p w14:paraId="2F4A8EDE" w14:textId="77777777" w:rsidR="000D6AC1" w:rsidRPr="00411220" w:rsidRDefault="000D6AC1" w:rsidP="003E7B18">
      <w:pPr>
        <w:numPr>
          <w:ilvl w:val="0"/>
          <w:numId w:val="240"/>
        </w:numPr>
        <w:rPr>
          <w:sz w:val="24"/>
          <w:szCs w:val="24"/>
        </w:rPr>
      </w:pPr>
      <w:r w:rsidRPr="00411220">
        <w:rPr>
          <w:sz w:val="24"/>
          <w:szCs w:val="24"/>
        </w:rPr>
        <w:t xml:space="preserve">Review based on a sampling of the activity </w:t>
      </w:r>
    </w:p>
    <w:p w14:paraId="5A57AB45" w14:textId="77777777" w:rsidR="003E09F5" w:rsidRPr="00411220" w:rsidRDefault="003E09F5" w:rsidP="003E7B18">
      <w:pPr>
        <w:numPr>
          <w:ilvl w:val="0"/>
          <w:numId w:val="240"/>
        </w:numPr>
        <w:rPr>
          <w:sz w:val="24"/>
          <w:szCs w:val="24"/>
        </w:rPr>
      </w:pPr>
      <w:r w:rsidRPr="00411220">
        <w:rPr>
          <w:sz w:val="24"/>
          <w:szCs w:val="24"/>
        </w:rPr>
        <w:t xml:space="preserve">Assigning risk levels to different areas of business. Areas of higher risk may be subject to more frequent and/or more extensive reviews which may include </w:t>
      </w:r>
      <w:proofErr w:type="gramStart"/>
      <w:r w:rsidRPr="00411220">
        <w:rPr>
          <w:sz w:val="24"/>
          <w:szCs w:val="24"/>
        </w:rPr>
        <w:t>look-backs</w:t>
      </w:r>
      <w:proofErr w:type="gramEnd"/>
      <w:r w:rsidRPr="00411220">
        <w:rPr>
          <w:sz w:val="24"/>
          <w:szCs w:val="24"/>
        </w:rPr>
        <w:t>, larger samples and/or longer time periods for review, certifications by supervisors, or other reviews determined by the reviewer(s).</w:t>
      </w:r>
    </w:p>
    <w:p w14:paraId="705260FD" w14:textId="77777777" w:rsidR="000D6AC1" w:rsidRPr="00411220" w:rsidRDefault="000D6AC1" w:rsidP="003E7B18">
      <w:pPr>
        <w:numPr>
          <w:ilvl w:val="0"/>
          <w:numId w:val="240"/>
        </w:numPr>
        <w:rPr>
          <w:sz w:val="24"/>
          <w:szCs w:val="24"/>
        </w:rPr>
      </w:pPr>
      <w:r w:rsidRPr="00411220">
        <w:rPr>
          <w:sz w:val="24"/>
          <w:szCs w:val="24"/>
        </w:rPr>
        <w:t>Other reviews appropriate to the area of business</w:t>
      </w:r>
    </w:p>
    <w:p w14:paraId="235FAB78" w14:textId="77777777" w:rsidR="000D6AC1" w:rsidRPr="00411220" w:rsidRDefault="000D6AC1" w:rsidP="000A6D7C">
      <w:pPr>
        <w:rPr>
          <w:sz w:val="24"/>
          <w:szCs w:val="24"/>
        </w:rPr>
      </w:pPr>
    </w:p>
    <w:p w14:paraId="7F9B20BA" w14:textId="77777777" w:rsidR="00831DF6" w:rsidRPr="00AD760F" w:rsidRDefault="00831DF6" w:rsidP="00786FF0">
      <w:pPr>
        <w:shd w:val="clear" w:color="auto" w:fill="FFFFFF"/>
        <w:rPr>
          <w:sz w:val="24"/>
          <w:szCs w:val="24"/>
        </w:rPr>
      </w:pPr>
      <w:r w:rsidRPr="00AD760F">
        <w:rPr>
          <w:sz w:val="24"/>
          <w:szCs w:val="24"/>
        </w:rPr>
        <w:t>Employees (including supervisors) have an obligation to report issues that are potential problems involving wrongdoing. While each incident is unique, following is a general protocol for escalating such reporting when necessary.</w:t>
      </w:r>
    </w:p>
    <w:p w14:paraId="7D437D5F" w14:textId="77777777" w:rsidR="00831DF6" w:rsidRPr="00AD760F" w:rsidRDefault="00831DF6" w:rsidP="003E7B18">
      <w:pPr>
        <w:numPr>
          <w:ilvl w:val="0"/>
          <w:numId w:val="283"/>
        </w:numPr>
        <w:rPr>
          <w:sz w:val="24"/>
          <w:szCs w:val="24"/>
        </w:rPr>
      </w:pPr>
      <w:r w:rsidRPr="00AD760F">
        <w:rPr>
          <w:sz w:val="24"/>
          <w:szCs w:val="24"/>
        </w:rPr>
        <w:t>The potential problem should initially be reported to the individual's direct supervisor.</w:t>
      </w:r>
    </w:p>
    <w:p w14:paraId="212DA4D1" w14:textId="77777777" w:rsidR="00831DF6" w:rsidRPr="00AD760F" w:rsidRDefault="00831DF6" w:rsidP="003E7B18">
      <w:pPr>
        <w:numPr>
          <w:ilvl w:val="0"/>
          <w:numId w:val="283"/>
        </w:numPr>
        <w:spacing w:before="100" w:beforeAutospacing="1" w:after="100" w:afterAutospacing="1"/>
        <w:rPr>
          <w:sz w:val="24"/>
          <w:szCs w:val="24"/>
        </w:rPr>
      </w:pPr>
      <w:r w:rsidRPr="00AD760F">
        <w:rPr>
          <w:sz w:val="24"/>
          <w:szCs w:val="24"/>
        </w:rPr>
        <w:t>If the problem involves the direct supervisor, or it appears there is inadequate response from the direct supervisor.</w:t>
      </w:r>
    </w:p>
    <w:p w14:paraId="6F18B0C7" w14:textId="77777777" w:rsidR="00831DF6" w:rsidRPr="00AD760F" w:rsidRDefault="00831DF6" w:rsidP="003E7B18">
      <w:pPr>
        <w:numPr>
          <w:ilvl w:val="0"/>
          <w:numId w:val="283"/>
        </w:numPr>
        <w:spacing w:before="100" w:beforeAutospacing="1" w:after="100" w:afterAutospacing="1"/>
        <w:rPr>
          <w:sz w:val="24"/>
          <w:szCs w:val="24"/>
        </w:rPr>
      </w:pPr>
      <w:r w:rsidRPr="00AD760F">
        <w:rPr>
          <w:sz w:val="24"/>
          <w:szCs w:val="24"/>
        </w:rPr>
        <w:t>If the issue involves the supervisor's supervisor, or if it appears there is inadequate response, contact Compliance or internal counsel.</w:t>
      </w:r>
    </w:p>
    <w:p w14:paraId="2142ADBE" w14:textId="77777777" w:rsidR="00831DF6" w:rsidRPr="00AD760F" w:rsidRDefault="00831DF6" w:rsidP="003E7B18">
      <w:pPr>
        <w:numPr>
          <w:ilvl w:val="0"/>
          <w:numId w:val="283"/>
        </w:numPr>
        <w:spacing w:before="100" w:beforeAutospacing="1" w:after="100" w:afterAutospacing="1"/>
        <w:rPr>
          <w:sz w:val="24"/>
          <w:szCs w:val="24"/>
        </w:rPr>
      </w:pPr>
      <w:r w:rsidRPr="00AD760F">
        <w:rPr>
          <w:sz w:val="24"/>
          <w:szCs w:val="24"/>
        </w:rPr>
        <w:t>Compliance or internal counsel may:</w:t>
      </w:r>
    </w:p>
    <w:p w14:paraId="161017C9" w14:textId="5F28E494" w:rsidR="00831DF6" w:rsidRDefault="00831DF6" w:rsidP="003E7B18">
      <w:pPr>
        <w:numPr>
          <w:ilvl w:val="1"/>
          <w:numId w:val="283"/>
        </w:numPr>
        <w:spacing w:before="100" w:beforeAutospacing="1" w:after="100" w:afterAutospacing="1"/>
        <w:rPr>
          <w:sz w:val="24"/>
          <w:szCs w:val="24"/>
        </w:rPr>
      </w:pPr>
      <w:r w:rsidRPr="00AD760F">
        <w:rPr>
          <w:sz w:val="24"/>
          <w:szCs w:val="24"/>
        </w:rPr>
        <w:t>contact outside counsel for further guidance</w:t>
      </w:r>
    </w:p>
    <w:p w14:paraId="148145D4" w14:textId="77777777" w:rsidR="008F357B" w:rsidRDefault="00831DF6" w:rsidP="003E7B18">
      <w:pPr>
        <w:numPr>
          <w:ilvl w:val="1"/>
          <w:numId w:val="283"/>
        </w:numPr>
        <w:spacing w:before="100" w:beforeAutospacing="1" w:after="100" w:afterAutospacing="1"/>
        <w:rPr>
          <w:sz w:val="24"/>
          <w:szCs w:val="24"/>
        </w:rPr>
      </w:pPr>
      <w:r w:rsidRPr="008F357B">
        <w:rPr>
          <w:sz w:val="24"/>
          <w:szCs w:val="24"/>
        </w:rPr>
        <w:t>notify senior management</w:t>
      </w:r>
    </w:p>
    <w:p w14:paraId="082F1A81" w14:textId="2F8B77D7" w:rsidR="00831DF6" w:rsidRPr="008F357B" w:rsidRDefault="00831DF6" w:rsidP="003E7B18">
      <w:pPr>
        <w:numPr>
          <w:ilvl w:val="1"/>
          <w:numId w:val="283"/>
        </w:numPr>
        <w:spacing w:before="100" w:beforeAutospacing="1" w:after="100" w:afterAutospacing="1"/>
        <w:rPr>
          <w:sz w:val="24"/>
          <w:szCs w:val="24"/>
        </w:rPr>
      </w:pPr>
      <w:r w:rsidRPr="008F357B">
        <w:rPr>
          <w:sz w:val="24"/>
          <w:szCs w:val="24"/>
        </w:rPr>
        <w:t>notify regulators</w:t>
      </w:r>
    </w:p>
    <w:p w14:paraId="06CC8FEB" w14:textId="351F2DDC" w:rsidR="0003094A" w:rsidRDefault="0003094A" w:rsidP="0003094A">
      <w:pPr>
        <w:pStyle w:val="Heading3"/>
      </w:pPr>
      <w:r>
        <w:t>2.3.1 Internal Examinations</w:t>
      </w:r>
    </w:p>
    <w:p w14:paraId="2841E141" w14:textId="0C4284DE" w:rsidR="000A6D7C" w:rsidRPr="00411220" w:rsidRDefault="000A6D7C" w:rsidP="0003094A">
      <w:pPr>
        <w:ind w:left="270"/>
        <w:rPr>
          <w:sz w:val="24"/>
          <w:szCs w:val="24"/>
        </w:rPr>
      </w:pPr>
      <w:r w:rsidRPr="00411220">
        <w:rPr>
          <w:sz w:val="24"/>
          <w:szCs w:val="24"/>
        </w:rPr>
        <w:t xml:space="preserve">Company </w:t>
      </w:r>
      <w:r w:rsidR="0003094A">
        <w:rPr>
          <w:sz w:val="24"/>
          <w:szCs w:val="24"/>
        </w:rPr>
        <w:t>conducts at least annually</w:t>
      </w:r>
      <w:r w:rsidRPr="00411220">
        <w:rPr>
          <w:sz w:val="24"/>
          <w:szCs w:val="24"/>
        </w:rPr>
        <w:t xml:space="preserve"> </w:t>
      </w:r>
      <w:r w:rsidR="0003094A">
        <w:rPr>
          <w:sz w:val="24"/>
          <w:szCs w:val="24"/>
        </w:rPr>
        <w:t>an internal examination</w:t>
      </w:r>
      <w:r w:rsidRPr="00411220">
        <w:rPr>
          <w:sz w:val="24"/>
          <w:szCs w:val="24"/>
        </w:rPr>
        <w:t xml:space="preserve"> to test and verify its supervisory system and controls</w:t>
      </w:r>
      <w:r w:rsidR="005F46F0" w:rsidRPr="00411220">
        <w:rPr>
          <w:sz w:val="24"/>
          <w:szCs w:val="24"/>
        </w:rPr>
        <w:t xml:space="preserve"> and amend any procedures accordingly</w:t>
      </w:r>
      <w:r w:rsidRPr="00411220">
        <w:rPr>
          <w:sz w:val="24"/>
          <w:szCs w:val="24"/>
        </w:rPr>
        <w:t>.</w:t>
      </w:r>
    </w:p>
    <w:p w14:paraId="026B391C" w14:textId="77777777" w:rsidR="000A6D7C" w:rsidRPr="008A792A" w:rsidRDefault="000A6D7C" w:rsidP="0003094A">
      <w:pPr>
        <w:spacing w:before="100" w:beforeAutospacing="1" w:after="100" w:afterAutospacing="1"/>
        <w:ind w:left="270"/>
        <w:rPr>
          <w:sz w:val="24"/>
          <w:szCs w:val="24"/>
        </w:rPr>
      </w:pPr>
      <w:r w:rsidRPr="008A792A">
        <w:rPr>
          <w:sz w:val="24"/>
          <w:szCs w:val="24"/>
        </w:rPr>
        <w:t>Testing and verification generally include:</w:t>
      </w:r>
    </w:p>
    <w:p w14:paraId="667A8704" w14:textId="77777777" w:rsidR="000A6D7C" w:rsidRPr="008A792A" w:rsidRDefault="000A6D7C" w:rsidP="00C1728B">
      <w:pPr>
        <w:numPr>
          <w:ilvl w:val="0"/>
          <w:numId w:val="51"/>
        </w:numPr>
        <w:rPr>
          <w:sz w:val="24"/>
          <w:szCs w:val="24"/>
        </w:rPr>
      </w:pPr>
      <w:r w:rsidRPr="008A792A">
        <w:rPr>
          <w:sz w:val="24"/>
          <w:szCs w:val="24"/>
        </w:rPr>
        <w:t xml:space="preserve">Identifying </w:t>
      </w:r>
      <w:r w:rsidR="00EE65A1">
        <w:rPr>
          <w:sz w:val="24"/>
          <w:szCs w:val="24"/>
        </w:rPr>
        <w:t xml:space="preserve">risks and </w:t>
      </w:r>
      <w:r w:rsidRPr="008A792A">
        <w:rPr>
          <w:sz w:val="24"/>
          <w:szCs w:val="24"/>
        </w:rPr>
        <w:t>areas to be reviewed at least annually</w:t>
      </w:r>
    </w:p>
    <w:p w14:paraId="059A85DE" w14:textId="77777777" w:rsidR="000A6D7C" w:rsidRPr="008A792A" w:rsidRDefault="000A6D7C" w:rsidP="00C1728B">
      <w:pPr>
        <w:numPr>
          <w:ilvl w:val="0"/>
          <w:numId w:val="51"/>
        </w:numPr>
        <w:rPr>
          <w:sz w:val="24"/>
          <w:szCs w:val="24"/>
        </w:rPr>
      </w:pPr>
      <w:r w:rsidRPr="008A792A">
        <w:rPr>
          <w:sz w:val="24"/>
          <w:szCs w:val="24"/>
        </w:rPr>
        <w:t>Developing reviews and a schedule for conducting the reviews</w:t>
      </w:r>
    </w:p>
    <w:p w14:paraId="140E3EDD" w14:textId="77777777" w:rsidR="000A6D7C" w:rsidRPr="008A792A" w:rsidRDefault="000A6D7C" w:rsidP="00C1728B">
      <w:pPr>
        <w:numPr>
          <w:ilvl w:val="0"/>
          <w:numId w:val="51"/>
        </w:numPr>
        <w:rPr>
          <w:sz w:val="24"/>
          <w:szCs w:val="24"/>
        </w:rPr>
      </w:pPr>
      <w:r w:rsidRPr="008A792A">
        <w:rPr>
          <w:sz w:val="24"/>
          <w:szCs w:val="24"/>
        </w:rPr>
        <w:t>Assigning responsibility for conducting reviews</w:t>
      </w:r>
    </w:p>
    <w:p w14:paraId="018E5405" w14:textId="77777777" w:rsidR="000A6D7C" w:rsidRPr="008A792A" w:rsidRDefault="000A6D7C" w:rsidP="00C1728B">
      <w:pPr>
        <w:numPr>
          <w:ilvl w:val="0"/>
          <w:numId w:val="51"/>
        </w:numPr>
        <w:rPr>
          <w:sz w:val="24"/>
          <w:szCs w:val="24"/>
        </w:rPr>
      </w:pPr>
      <w:r w:rsidRPr="008A792A">
        <w:rPr>
          <w:sz w:val="24"/>
          <w:szCs w:val="24"/>
        </w:rPr>
        <w:t>Preparing reports of reviews</w:t>
      </w:r>
    </w:p>
    <w:p w14:paraId="4C39EBFA" w14:textId="77777777" w:rsidR="000A6D7C" w:rsidRPr="008A792A" w:rsidRDefault="000A6D7C" w:rsidP="00C1728B">
      <w:pPr>
        <w:numPr>
          <w:ilvl w:val="0"/>
          <w:numId w:val="51"/>
        </w:numPr>
        <w:rPr>
          <w:sz w:val="24"/>
          <w:szCs w:val="24"/>
        </w:rPr>
      </w:pPr>
      <w:r w:rsidRPr="008A792A">
        <w:rPr>
          <w:sz w:val="24"/>
          <w:szCs w:val="24"/>
        </w:rPr>
        <w:t>Providing reports to management and other appropriate personnel for potential corrective action</w:t>
      </w:r>
      <w:r w:rsidR="00AF231D">
        <w:rPr>
          <w:sz w:val="24"/>
          <w:szCs w:val="24"/>
        </w:rPr>
        <w:t xml:space="preserve"> </w:t>
      </w:r>
      <w:r w:rsidR="00AF231D" w:rsidRPr="00411220">
        <w:rPr>
          <w:sz w:val="24"/>
          <w:szCs w:val="24"/>
        </w:rPr>
        <w:t>when necessary</w:t>
      </w:r>
    </w:p>
    <w:p w14:paraId="651EBD72" w14:textId="77777777" w:rsidR="000A6D7C" w:rsidRPr="008A792A" w:rsidRDefault="000A6D7C" w:rsidP="00C1728B">
      <w:pPr>
        <w:numPr>
          <w:ilvl w:val="0"/>
          <w:numId w:val="51"/>
        </w:numPr>
        <w:rPr>
          <w:sz w:val="24"/>
          <w:szCs w:val="24"/>
        </w:rPr>
      </w:pPr>
      <w:r w:rsidRPr="008A792A">
        <w:rPr>
          <w:sz w:val="24"/>
          <w:szCs w:val="24"/>
        </w:rPr>
        <w:t>Following up regarding deficiencies in subsequent reviews</w:t>
      </w:r>
    </w:p>
    <w:p w14:paraId="6756ABBB" w14:textId="7F540E4E" w:rsidR="000A6D7C" w:rsidRPr="002A3ACC" w:rsidRDefault="000A6D7C" w:rsidP="00831DF6">
      <w:pPr>
        <w:spacing w:before="100" w:beforeAutospacing="1" w:after="100" w:afterAutospacing="1"/>
        <w:ind w:left="270"/>
        <w:rPr>
          <w:color w:val="000000" w:themeColor="text1"/>
          <w:sz w:val="24"/>
          <w:szCs w:val="24"/>
        </w:rPr>
      </w:pPr>
      <w:r w:rsidRPr="008A792A">
        <w:rPr>
          <w:sz w:val="24"/>
          <w:szCs w:val="24"/>
        </w:rPr>
        <w:lastRenderedPageBreak/>
        <w:t xml:space="preserve">Records of testing are maintained by the department responsible for conducting testing </w:t>
      </w:r>
      <w:r w:rsidR="00513516" w:rsidRPr="00513516">
        <w:rPr>
          <w:color w:val="FF0000"/>
          <w:sz w:val="24"/>
          <w:szCs w:val="24"/>
        </w:rPr>
        <w:t xml:space="preserve">in a </w:t>
      </w:r>
      <w:r w:rsidR="00513516" w:rsidRPr="002A3ACC">
        <w:rPr>
          <w:color w:val="000000" w:themeColor="text1"/>
          <w:sz w:val="24"/>
          <w:szCs w:val="24"/>
        </w:rPr>
        <w:t xml:space="preserve">written document </w:t>
      </w:r>
      <w:r w:rsidRPr="002A3ACC">
        <w:rPr>
          <w:color w:val="000000" w:themeColor="text1"/>
          <w:sz w:val="24"/>
          <w:szCs w:val="24"/>
        </w:rPr>
        <w:t>and include</w:t>
      </w:r>
      <w:r w:rsidR="00513516" w:rsidRPr="002A3ACC">
        <w:rPr>
          <w:color w:val="000000" w:themeColor="text1"/>
          <w:sz w:val="24"/>
          <w:szCs w:val="24"/>
        </w:rPr>
        <w:t>s</w:t>
      </w:r>
      <w:r w:rsidRPr="002A3ACC">
        <w:rPr>
          <w:color w:val="000000" w:themeColor="text1"/>
          <w:sz w:val="24"/>
          <w:szCs w:val="24"/>
        </w:rPr>
        <w:t>:</w:t>
      </w:r>
    </w:p>
    <w:p w14:paraId="030725AA" w14:textId="77777777" w:rsidR="000A6D7C" w:rsidRPr="008A792A" w:rsidRDefault="00B36F3D" w:rsidP="00C1728B">
      <w:pPr>
        <w:numPr>
          <w:ilvl w:val="0"/>
          <w:numId w:val="52"/>
        </w:numPr>
        <w:rPr>
          <w:sz w:val="24"/>
          <w:szCs w:val="24"/>
        </w:rPr>
      </w:pPr>
      <w:r>
        <w:rPr>
          <w:sz w:val="24"/>
          <w:szCs w:val="24"/>
        </w:rPr>
        <w:t>A</w:t>
      </w:r>
      <w:r w:rsidR="000A6D7C" w:rsidRPr="008A792A">
        <w:rPr>
          <w:sz w:val="24"/>
          <w:szCs w:val="24"/>
        </w:rPr>
        <w:t>reas to be reviewed</w:t>
      </w:r>
      <w:r w:rsidR="007C4B69">
        <w:rPr>
          <w:sz w:val="24"/>
          <w:szCs w:val="24"/>
        </w:rPr>
        <w:t xml:space="preserve">; </w:t>
      </w:r>
    </w:p>
    <w:p w14:paraId="443CA07B" w14:textId="67688E59" w:rsidR="000A6D7C" w:rsidRPr="008A792A" w:rsidRDefault="00513516" w:rsidP="00C1728B">
      <w:pPr>
        <w:numPr>
          <w:ilvl w:val="0"/>
          <w:numId w:val="52"/>
        </w:numPr>
        <w:rPr>
          <w:sz w:val="24"/>
          <w:szCs w:val="24"/>
        </w:rPr>
      </w:pPr>
      <w:r>
        <w:rPr>
          <w:sz w:val="24"/>
          <w:szCs w:val="24"/>
        </w:rPr>
        <w:t>D</w:t>
      </w:r>
      <w:r w:rsidR="00B36F3D" w:rsidRPr="00424F51">
        <w:rPr>
          <w:sz w:val="24"/>
          <w:szCs w:val="24"/>
        </w:rPr>
        <w:t>ates</w:t>
      </w:r>
      <w:r w:rsidR="000A6D7C" w:rsidRPr="00424F51">
        <w:rPr>
          <w:sz w:val="24"/>
          <w:szCs w:val="24"/>
        </w:rPr>
        <w:t xml:space="preserve"> </w:t>
      </w:r>
      <w:r w:rsidR="000A6D7C" w:rsidRPr="008A792A">
        <w:rPr>
          <w:sz w:val="24"/>
          <w:szCs w:val="24"/>
        </w:rPr>
        <w:t>of reviews</w:t>
      </w:r>
      <w:r w:rsidR="007C4B69">
        <w:rPr>
          <w:sz w:val="24"/>
          <w:szCs w:val="24"/>
        </w:rPr>
        <w:t xml:space="preserve">; </w:t>
      </w:r>
    </w:p>
    <w:p w14:paraId="64E57197" w14:textId="7E6E767D" w:rsidR="000A6D7C" w:rsidRPr="008A792A" w:rsidRDefault="00B36F3D" w:rsidP="00C1728B">
      <w:pPr>
        <w:numPr>
          <w:ilvl w:val="0"/>
          <w:numId w:val="52"/>
        </w:numPr>
        <w:rPr>
          <w:sz w:val="24"/>
          <w:szCs w:val="24"/>
        </w:rPr>
      </w:pPr>
      <w:r>
        <w:rPr>
          <w:sz w:val="24"/>
          <w:szCs w:val="24"/>
        </w:rPr>
        <w:t>R</w:t>
      </w:r>
      <w:r w:rsidR="000A6D7C" w:rsidRPr="008A792A">
        <w:rPr>
          <w:sz w:val="24"/>
          <w:szCs w:val="24"/>
        </w:rPr>
        <w:t>eports of findings including a record of distribution of the report and responses from the supervisor of the area examined</w:t>
      </w:r>
      <w:r w:rsidR="00CA3D0B">
        <w:rPr>
          <w:sz w:val="24"/>
          <w:szCs w:val="24"/>
        </w:rPr>
        <w:t xml:space="preserve"> </w:t>
      </w:r>
      <w:r w:rsidR="00CA3D0B" w:rsidRPr="00411220">
        <w:rPr>
          <w:sz w:val="24"/>
          <w:szCs w:val="24"/>
        </w:rPr>
        <w:t>if applicable</w:t>
      </w:r>
      <w:r w:rsidR="007C4B69" w:rsidRPr="00411220">
        <w:rPr>
          <w:sz w:val="24"/>
          <w:szCs w:val="24"/>
        </w:rPr>
        <w:t xml:space="preserve">; </w:t>
      </w:r>
    </w:p>
    <w:p w14:paraId="514395B5" w14:textId="5D1A6A7D" w:rsidR="000A6D7C" w:rsidRPr="002A3ACC" w:rsidRDefault="00B36F3D" w:rsidP="00C1728B">
      <w:pPr>
        <w:numPr>
          <w:ilvl w:val="0"/>
          <w:numId w:val="52"/>
        </w:numPr>
        <w:rPr>
          <w:color w:val="000000" w:themeColor="text1"/>
          <w:sz w:val="24"/>
          <w:szCs w:val="24"/>
        </w:rPr>
      </w:pPr>
      <w:r>
        <w:rPr>
          <w:sz w:val="24"/>
          <w:szCs w:val="24"/>
        </w:rPr>
        <w:t>F</w:t>
      </w:r>
      <w:r w:rsidR="000A6D7C" w:rsidRPr="008A792A">
        <w:rPr>
          <w:sz w:val="24"/>
          <w:szCs w:val="24"/>
        </w:rPr>
        <w:t>ollow-up or corrective action taken</w:t>
      </w:r>
      <w:r w:rsidR="007C4B69">
        <w:rPr>
          <w:sz w:val="24"/>
          <w:szCs w:val="24"/>
        </w:rPr>
        <w:t xml:space="preserve"> if any</w:t>
      </w:r>
      <w:r w:rsidR="0003094A">
        <w:rPr>
          <w:sz w:val="24"/>
          <w:szCs w:val="24"/>
        </w:rPr>
        <w:t xml:space="preserve">; </w:t>
      </w:r>
    </w:p>
    <w:p w14:paraId="5974135A" w14:textId="758F04D6" w:rsidR="00513516" w:rsidRPr="002A3ACC" w:rsidRDefault="00513516" w:rsidP="00C1728B">
      <w:pPr>
        <w:numPr>
          <w:ilvl w:val="0"/>
          <w:numId w:val="52"/>
        </w:numPr>
        <w:rPr>
          <w:color w:val="000000" w:themeColor="text1"/>
          <w:sz w:val="24"/>
          <w:szCs w:val="24"/>
        </w:rPr>
      </w:pPr>
      <w:r w:rsidRPr="002A3ACC">
        <w:rPr>
          <w:color w:val="000000" w:themeColor="text1"/>
          <w:sz w:val="24"/>
          <w:szCs w:val="24"/>
        </w:rPr>
        <w:t>Testing documents supporting the review;</w:t>
      </w:r>
    </w:p>
    <w:p w14:paraId="5BB51645" w14:textId="711AC123" w:rsidR="0003094A" w:rsidRPr="002A3ACC" w:rsidRDefault="0003094A" w:rsidP="00C1728B">
      <w:pPr>
        <w:numPr>
          <w:ilvl w:val="0"/>
          <w:numId w:val="52"/>
        </w:numPr>
        <w:rPr>
          <w:color w:val="000000" w:themeColor="text1"/>
          <w:sz w:val="24"/>
          <w:szCs w:val="24"/>
        </w:rPr>
      </w:pPr>
      <w:r w:rsidRPr="002A3ACC">
        <w:rPr>
          <w:color w:val="000000" w:themeColor="text1"/>
          <w:sz w:val="24"/>
          <w:szCs w:val="24"/>
        </w:rPr>
        <w:t>Any recent FINRA audit findings or deficiencies were corrected;</w:t>
      </w:r>
      <w:r w:rsidR="00513516" w:rsidRPr="002A3ACC">
        <w:rPr>
          <w:color w:val="000000" w:themeColor="text1"/>
          <w:sz w:val="24"/>
          <w:szCs w:val="24"/>
        </w:rPr>
        <w:t xml:space="preserve"> and</w:t>
      </w:r>
    </w:p>
    <w:p w14:paraId="2AD21CEB" w14:textId="070FDBF5" w:rsidR="0003094A" w:rsidRPr="002A3ACC" w:rsidRDefault="0003094A" w:rsidP="00C1728B">
      <w:pPr>
        <w:numPr>
          <w:ilvl w:val="0"/>
          <w:numId w:val="52"/>
        </w:numPr>
        <w:rPr>
          <w:color w:val="000000" w:themeColor="text1"/>
          <w:sz w:val="24"/>
          <w:szCs w:val="24"/>
        </w:rPr>
      </w:pPr>
      <w:r w:rsidRPr="002A3ACC">
        <w:rPr>
          <w:color w:val="000000" w:themeColor="text1"/>
          <w:sz w:val="24"/>
          <w:szCs w:val="24"/>
        </w:rPr>
        <w:t xml:space="preserve">Any new laws or regulations that might pose the need for new or revised policies and procedures; </w:t>
      </w:r>
    </w:p>
    <w:p w14:paraId="28D31127" w14:textId="77777777" w:rsidR="000A6D7C" w:rsidRPr="002A3ACC" w:rsidRDefault="000A6D7C" w:rsidP="00831DF6">
      <w:pPr>
        <w:spacing w:before="100" w:beforeAutospacing="1" w:after="100" w:afterAutospacing="1"/>
        <w:ind w:firstLine="270"/>
        <w:rPr>
          <w:color w:val="000000" w:themeColor="text1"/>
          <w:sz w:val="24"/>
          <w:szCs w:val="24"/>
        </w:rPr>
      </w:pPr>
      <w:r w:rsidRPr="002A3ACC">
        <w:rPr>
          <w:color w:val="000000" w:themeColor="text1"/>
          <w:sz w:val="24"/>
          <w:szCs w:val="24"/>
        </w:rPr>
        <w:t xml:space="preserve">Testing and verification </w:t>
      </w:r>
      <w:proofErr w:type="gramStart"/>
      <w:r w:rsidRPr="002A3ACC">
        <w:rPr>
          <w:color w:val="000000" w:themeColor="text1"/>
          <w:sz w:val="24"/>
          <w:szCs w:val="24"/>
        </w:rPr>
        <w:t>is</w:t>
      </w:r>
      <w:proofErr w:type="gramEnd"/>
      <w:r w:rsidRPr="002A3ACC">
        <w:rPr>
          <w:color w:val="000000" w:themeColor="text1"/>
          <w:sz w:val="24"/>
          <w:szCs w:val="24"/>
        </w:rPr>
        <w:t xml:space="preserve"> the responsibility of:</w:t>
      </w:r>
    </w:p>
    <w:p w14:paraId="4445DB30" w14:textId="77777777" w:rsidR="000A6D7C" w:rsidRPr="008A792A" w:rsidRDefault="000A6D7C" w:rsidP="00C1728B">
      <w:pPr>
        <w:numPr>
          <w:ilvl w:val="0"/>
          <w:numId w:val="53"/>
        </w:numPr>
        <w:rPr>
          <w:sz w:val="24"/>
          <w:szCs w:val="24"/>
        </w:rPr>
      </w:pPr>
      <w:r w:rsidRPr="008A792A">
        <w:rPr>
          <w:sz w:val="24"/>
          <w:szCs w:val="24"/>
        </w:rPr>
        <w:t>Compliance - compliance systems and procedures</w:t>
      </w:r>
      <w:r w:rsidR="007C4B69">
        <w:rPr>
          <w:sz w:val="24"/>
          <w:szCs w:val="24"/>
        </w:rPr>
        <w:t>.</w:t>
      </w:r>
    </w:p>
    <w:p w14:paraId="46F687FE" w14:textId="77777777" w:rsidR="000A6D7C" w:rsidRPr="008A792A" w:rsidRDefault="000A6D7C" w:rsidP="00C1728B">
      <w:pPr>
        <w:numPr>
          <w:ilvl w:val="0"/>
          <w:numId w:val="53"/>
        </w:numPr>
        <w:rPr>
          <w:sz w:val="24"/>
          <w:szCs w:val="24"/>
        </w:rPr>
      </w:pPr>
      <w:r w:rsidRPr="008A792A">
        <w:rPr>
          <w:sz w:val="24"/>
          <w:szCs w:val="24"/>
        </w:rPr>
        <w:t>Internal Audit - financial and operations systems and procedures</w:t>
      </w:r>
      <w:r w:rsidR="007C4B69">
        <w:rPr>
          <w:sz w:val="24"/>
          <w:szCs w:val="24"/>
        </w:rPr>
        <w:t>.</w:t>
      </w:r>
    </w:p>
    <w:p w14:paraId="7ACC0704" w14:textId="77777777" w:rsidR="00C23199" w:rsidRDefault="00C23199" w:rsidP="00C23199">
      <w:pPr>
        <w:rPr>
          <w:sz w:val="24"/>
          <w:szCs w:val="24"/>
        </w:rPr>
      </w:pPr>
    </w:p>
    <w:p w14:paraId="00362C4D" w14:textId="77777777" w:rsidR="00954EFA" w:rsidRPr="00411220" w:rsidRDefault="00954EFA" w:rsidP="00831DF6">
      <w:pPr>
        <w:shd w:val="clear" w:color="auto" w:fill="FFFFFF"/>
        <w:ind w:left="270"/>
        <w:rPr>
          <w:sz w:val="24"/>
          <w:szCs w:val="24"/>
        </w:rPr>
      </w:pPr>
      <w:r w:rsidRPr="00411220">
        <w:rPr>
          <w:sz w:val="24"/>
          <w:szCs w:val="24"/>
        </w:rPr>
        <w:t xml:space="preserve">Findings from reviews and testing are </w:t>
      </w:r>
      <w:r w:rsidR="00513582" w:rsidRPr="00411220">
        <w:rPr>
          <w:sz w:val="24"/>
          <w:szCs w:val="24"/>
        </w:rPr>
        <w:t xml:space="preserve">included in </w:t>
      </w:r>
      <w:r w:rsidR="00147EE7" w:rsidRPr="00411220">
        <w:rPr>
          <w:sz w:val="24"/>
          <w:szCs w:val="24"/>
        </w:rPr>
        <w:t xml:space="preserve">the </w:t>
      </w:r>
      <w:r w:rsidR="00513582" w:rsidRPr="00411220">
        <w:rPr>
          <w:sz w:val="24"/>
          <w:szCs w:val="24"/>
        </w:rPr>
        <w:t xml:space="preserve">report for </w:t>
      </w:r>
      <w:r w:rsidRPr="00411220">
        <w:rPr>
          <w:sz w:val="24"/>
          <w:szCs w:val="24"/>
        </w:rPr>
        <w:t>the CEO's annual certification</w:t>
      </w:r>
      <w:r w:rsidR="006658F2">
        <w:rPr>
          <w:sz w:val="24"/>
          <w:szCs w:val="24"/>
        </w:rPr>
        <w:t xml:space="preserve"> </w:t>
      </w:r>
      <w:r w:rsidR="006658F2" w:rsidRPr="00790F31">
        <w:rPr>
          <w:sz w:val="24"/>
          <w:szCs w:val="24"/>
        </w:rPr>
        <w:t>(by March 31 of the following year)</w:t>
      </w:r>
      <w:r w:rsidRPr="00790F31">
        <w:rPr>
          <w:sz w:val="24"/>
          <w:szCs w:val="24"/>
        </w:rPr>
        <w:t xml:space="preserve">. </w:t>
      </w:r>
      <w:r w:rsidRPr="00411220">
        <w:rPr>
          <w:sz w:val="24"/>
          <w:szCs w:val="24"/>
        </w:rPr>
        <w:t>Compliance is responsible for:</w:t>
      </w:r>
    </w:p>
    <w:p w14:paraId="394E4596" w14:textId="77777777" w:rsidR="00954EFA" w:rsidRPr="00411220" w:rsidRDefault="00954EFA" w:rsidP="003E7B18">
      <w:pPr>
        <w:numPr>
          <w:ilvl w:val="0"/>
          <w:numId w:val="241"/>
        </w:numPr>
        <w:shd w:val="clear" w:color="auto" w:fill="FFFFFF"/>
        <w:rPr>
          <w:sz w:val="24"/>
          <w:szCs w:val="24"/>
        </w:rPr>
      </w:pPr>
      <w:r w:rsidRPr="00411220">
        <w:rPr>
          <w:sz w:val="24"/>
          <w:szCs w:val="24"/>
        </w:rPr>
        <w:t>Amending policies and procedures to address gaps</w:t>
      </w:r>
      <w:r w:rsidR="007C4B69" w:rsidRPr="00411220">
        <w:rPr>
          <w:sz w:val="24"/>
          <w:szCs w:val="24"/>
        </w:rPr>
        <w:t xml:space="preserve">; </w:t>
      </w:r>
      <w:r w:rsidRPr="00411220">
        <w:rPr>
          <w:sz w:val="24"/>
          <w:szCs w:val="24"/>
        </w:rPr>
        <w:t xml:space="preserve"> </w:t>
      </w:r>
    </w:p>
    <w:p w14:paraId="0AD06D81" w14:textId="77777777" w:rsidR="00954EFA" w:rsidRPr="00411220" w:rsidRDefault="00954EFA" w:rsidP="003E7B18">
      <w:pPr>
        <w:numPr>
          <w:ilvl w:val="0"/>
          <w:numId w:val="241"/>
        </w:numPr>
        <w:shd w:val="clear" w:color="auto" w:fill="FFFFFF"/>
        <w:rPr>
          <w:sz w:val="24"/>
          <w:szCs w:val="24"/>
        </w:rPr>
      </w:pPr>
      <w:r w:rsidRPr="00411220">
        <w:rPr>
          <w:sz w:val="24"/>
          <w:szCs w:val="24"/>
        </w:rPr>
        <w:t>Reporting deficiencies (found in testing) to supervisor</w:t>
      </w:r>
      <w:r w:rsidR="007C4B69" w:rsidRPr="00411220">
        <w:rPr>
          <w:sz w:val="24"/>
          <w:szCs w:val="24"/>
        </w:rPr>
        <w:t xml:space="preserve">s of appropriate business areas; </w:t>
      </w:r>
    </w:p>
    <w:p w14:paraId="79059FD6" w14:textId="77777777" w:rsidR="00954EFA" w:rsidRPr="00411220" w:rsidRDefault="00954EFA" w:rsidP="003E7B18">
      <w:pPr>
        <w:numPr>
          <w:ilvl w:val="0"/>
          <w:numId w:val="241"/>
        </w:numPr>
        <w:shd w:val="clear" w:color="auto" w:fill="FFFFFF"/>
        <w:rPr>
          <w:sz w:val="24"/>
          <w:szCs w:val="24"/>
        </w:rPr>
      </w:pPr>
      <w:r w:rsidRPr="00411220">
        <w:rPr>
          <w:sz w:val="24"/>
          <w:szCs w:val="24"/>
        </w:rPr>
        <w:t>Follow up to determine d</w:t>
      </w:r>
      <w:r w:rsidR="007C4B69" w:rsidRPr="00411220">
        <w:rPr>
          <w:sz w:val="24"/>
          <w:szCs w:val="24"/>
        </w:rPr>
        <w:t>eficiencies have been addressed; and</w:t>
      </w:r>
    </w:p>
    <w:p w14:paraId="67D1DADD" w14:textId="77777777" w:rsidR="00954EFA" w:rsidRDefault="00954EFA" w:rsidP="003E7B18">
      <w:pPr>
        <w:numPr>
          <w:ilvl w:val="0"/>
          <w:numId w:val="241"/>
        </w:numPr>
        <w:shd w:val="clear" w:color="auto" w:fill="FFFFFF"/>
        <w:rPr>
          <w:sz w:val="24"/>
          <w:szCs w:val="24"/>
        </w:rPr>
      </w:pPr>
      <w:r w:rsidRPr="00411220">
        <w:rPr>
          <w:sz w:val="24"/>
          <w:szCs w:val="24"/>
        </w:rPr>
        <w:t>Assembling findings for inclusion with the CEO</w:t>
      </w:r>
      <w:r w:rsidR="00513582" w:rsidRPr="00411220">
        <w:rPr>
          <w:sz w:val="24"/>
          <w:szCs w:val="24"/>
        </w:rPr>
        <w:t xml:space="preserve"> report and</w:t>
      </w:r>
      <w:r w:rsidRPr="00411220">
        <w:rPr>
          <w:sz w:val="24"/>
          <w:szCs w:val="24"/>
        </w:rPr>
        <w:t xml:space="preserve"> annual certification</w:t>
      </w:r>
      <w:r w:rsidR="007C4B69" w:rsidRPr="00411220">
        <w:rPr>
          <w:sz w:val="24"/>
          <w:szCs w:val="24"/>
        </w:rPr>
        <w:t>.</w:t>
      </w:r>
    </w:p>
    <w:p w14:paraId="78C62F84" w14:textId="77777777" w:rsidR="005E4653" w:rsidRDefault="005E4653" w:rsidP="005E4653">
      <w:pPr>
        <w:shd w:val="clear" w:color="auto" w:fill="FFFFFF"/>
        <w:rPr>
          <w:sz w:val="24"/>
          <w:szCs w:val="24"/>
        </w:rPr>
      </w:pPr>
    </w:p>
    <w:p w14:paraId="41A5BECF" w14:textId="77777777" w:rsidR="003E09F5" w:rsidRDefault="003E09F5" w:rsidP="00147EE7"/>
    <w:p w14:paraId="0E95F454" w14:textId="77777777" w:rsidR="000A6D7C" w:rsidRPr="008A792A" w:rsidRDefault="00F24B3E" w:rsidP="00936FEE">
      <w:pPr>
        <w:pStyle w:val="Heading2"/>
      </w:pPr>
      <w:r w:rsidRPr="008A792A">
        <w:t>2</w:t>
      </w:r>
      <w:r w:rsidR="00A74C1C" w:rsidRPr="008A792A">
        <w:t>.</w:t>
      </w:r>
      <w:r w:rsidR="00C23199" w:rsidRPr="008A792A">
        <w:t>4</w:t>
      </w:r>
      <w:r w:rsidRPr="008A792A">
        <w:t xml:space="preserve"> </w:t>
      </w:r>
      <w:r w:rsidR="00A74C1C" w:rsidRPr="008A792A">
        <w:t xml:space="preserve">  Written Compliance and Supervisory Procedures (WSP)</w:t>
      </w:r>
    </w:p>
    <w:p w14:paraId="29CAE7ED" w14:textId="40331B3E" w:rsidR="00961971" w:rsidRDefault="00A74C1C" w:rsidP="00961971">
      <w:pPr>
        <w:jc w:val="both"/>
        <w:rPr>
          <w:sz w:val="24"/>
        </w:rPr>
      </w:pPr>
      <w:r w:rsidRPr="008A792A">
        <w:rPr>
          <w:sz w:val="24"/>
          <w:szCs w:val="24"/>
        </w:rPr>
        <w:t>Compliance is responsible for maintaining and updating Company’s compliance and supervisory procedures which are included in th</w:t>
      </w:r>
      <w:r w:rsidR="000F249F">
        <w:rPr>
          <w:sz w:val="24"/>
          <w:szCs w:val="24"/>
        </w:rPr>
        <w:t>e WSP</w:t>
      </w:r>
      <w:r w:rsidRPr="008A792A">
        <w:rPr>
          <w:sz w:val="24"/>
          <w:szCs w:val="24"/>
        </w:rPr>
        <w:t>.</w:t>
      </w:r>
      <w:r w:rsidR="00961971">
        <w:rPr>
          <w:color w:val="FF0000"/>
          <w:sz w:val="24"/>
          <w:szCs w:val="24"/>
        </w:rPr>
        <w:t xml:space="preserve">  </w:t>
      </w:r>
      <w:r w:rsidR="00961971">
        <w:rPr>
          <w:sz w:val="24"/>
        </w:rPr>
        <w:t xml:space="preserve">A review of the Company's written supervisory practices and procedures as well as the business activities and entire supervisory system will be conducted no less than annually, but sooner if mandated by new regulatory rules and guidelines or </w:t>
      </w:r>
      <w:r w:rsidR="00594A40">
        <w:rPr>
          <w:sz w:val="24"/>
        </w:rPr>
        <w:t>updates and</w:t>
      </w:r>
      <w:r w:rsidR="00961971">
        <w:rPr>
          <w:sz w:val="24"/>
        </w:rPr>
        <w:t xml:space="preserve"> shall be reviewed by Morris Monroe</w:t>
      </w:r>
      <w:r w:rsidR="007C4B69">
        <w:rPr>
          <w:sz w:val="24"/>
        </w:rPr>
        <w:t xml:space="preserve"> </w:t>
      </w:r>
      <w:r w:rsidR="007C4B69" w:rsidRPr="00411220">
        <w:rPr>
          <w:sz w:val="24"/>
        </w:rPr>
        <w:t>or his designee</w:t>
      </w:r>
      <w:r w:rsidR="00961971">
        <w:rPr>
          <w:sz w:val="24"/>
        </w:rPr>
        <w:t>.   Any necessary changes will be recorded by the copy date of the WSP.  In addition, the Company will conduct annual internal examinations as well as branch office examinations</w:t>
      </w:r>
      <w:r w:rsidR="00020FBA">
        <w:rPr>
          <w:sz w:val="24"/>
        </w:rPr>
        <w:t>, per the applicable schedule,</w:t>
      </w:r>
      <w:r w:rsidR="00961971">
        <w:rPr>
          <w:sz w:val="24"/>
        </w:rPr>
        <w:t xml:space="preserve"> as part of its review.</w:t>
      </w:r>
    </w:p>
    <w:p w14:paraId="6830256B" w14:textId="77777777" w:rsidR="00961971" w:rsidRDefault="00961971" w:rsidP="00961971">
      <w:pPr>
        <w:jc w:val="both"/>
        <w:rPr>
          <w:sz w:val="24"/>
        </w:rPr>
      </w:pPr>
    </w:p>
    <w:p w14:paraId="1A186E2A" w14:textId="77777777" w:rsidR="00A74C1C" w:rsidRPr="008A792A" w:rsidRDefault="00961971" w:rsidP="00CE70D0">
      <w:pPr>
        <w:jc w:val="both"/>
        <w:rPr>
          <w:sz w:val="24"/>
          <w:szCs w:val="24"/>
        </w:rPr>
      </w:pPr>
      <w:bookmarkStart w:id="23" w:name="WSPDistribution"/>
      <w:bookmarkEnd w:id="23"/>
      <w:r>
        <w:rPr>
          <w:sz w:val="24"/>
        </w:rPr>
        <w:t>The WSP will be distributed at least on an annual basis at the annual compliance meeting or sooner if deemed necessary.</w:t>
      </w:r>
      <w:r w:rsidR="00CE70D0">
        <w:rPr>
          <w:sz w:val="24"/>
        </w:rPr>
        <w:t xml:space="preserve">  </w:t>
      </w:r>
      <w:r w:rsidR="00A74C1C" w:rsidRPr="008A792A">
        <w:rPr>
          <w:sz w:val="24"/>
          <w:szCs w:val="24"/>
        </w:rPr>
        <w:t>This manual is updated and policies distributed as follows:</w:t>
      </w:r>
    </w:p>
    <w:p w14:paraId="3646F123" w14:textId="77777777" w:rsidR="00A74C1C" w:rsidRPr="008A792A" w:rsidRDefault="00A74C1C" w:rsidP="00C1728B">
      <w:pPr>
        <w:numPr>
          <w:ilvl w:val="0"/>
          <w:numId w:val="54"/>
        </w:numPr>
        <w:rPr>
          <w:sz w:val="24"/>
          <w:szCs w:val="24"/>
        </w:rPr>
      </w:pPr>
      <w:r w:rsidRPr="008A792A">
        <w:rPr>
          <w:sz w:val="24"/>
          <w:szCs w:val="24"/>
        </w:rPr>
        <w:t xml:space="preserve">New and amended rules and releases from regulators are reviewed on an ongoing basis and changes considered for the WSP and incorporated where necessary. Changes are considered at </w:t>
      </w:r>
      <w:r w:rsidR="00020FBA">
        <w:rPr>
          <w:sz w:val="24"/>
          <w:szCs w:val="24"/>
        </w:rPr>
        <w:t>least annuall</w:t>
      </w:r>
      <w:r w:rsidRPr="008A792A">
        <w:rPr>
          <w:sz w:val="24"/>
          <w:szCs w:val="24"/>
        </w:rPr>
        <w:t>y.</w:t>
      </w:r>
    </w:p>
    <w:p w14:paraId="5A9DA82D" w14:textId="77777777" w:rsidR="00A74C1C" w:rsidRPr="008A792A" w:rsidRDefault="00A74C1C" w:rsidP="00C1728B">
      <w:pPr>
        <w:numPr>
          <w:ilvl w:val="0"/>
          <w:numId w:val="54"/>
        </w:numPr>
        <w:rPr>
          <w:sz w:val="24"/>
          <w:szCs w:val="24"/>
        </w:rPr>
      </w:pPr>
      <w:r w:rsidRPr="008A792A">
        <w:rPr>
          <w:sz w:val="24"/>
          <w:szCs w:val="24"/>
        </w:rPr>
        <w:t>Changes are incorporated in the WSP and marked in red</w:t>
      </w:r>
      <w:r w:rsidR="003C6945">
        <w:rPr>
          <w:sz w:val="24"/>
          <w:szCs w:val="24"/>
        </w:rPr>
        <w:t xml:space="preserve"> or any text that is outdated or no longer applies is </w:t>
      </w:r>
      <w:r w:rsidR="003C6945" w:rsidRPr="00411220">
        <w:rPr>
          <w:sz w:val="24"/>
          <w:szCs w:val="24"/>
        </w:rPr>
        <w:t>deleted</w:t>
      </w:r>
      <w:r w:rsidR="007C4B69" w:rsidRPr="00411220">
        <w:rPr>
          <w:sz w:val="24"/>
          <w:szCs w:val="24"/>
        </w:rPr>
        <w:t xml:space="preserve"> (or marked as a change in the Strunk Compliance Program)</w:t>
      </w:r>
      <w:r w:rsidR="003C6945" w:rsidRPr="00411220">
        <w:rPr>
          <w:sz w:val="24"/>
          <w:szCs w:val="24"/>
        </w:rPr>
        <w:t>.</w:t>
      </w:r>
    </w:p>
    <w:p w14:paraId="6D49A5BB" w14:textId="77777777" w:rsidR="00A74C1C" w:rsidRPr="008A792A" w:rsidRDefault="00A74C1C" w:rsidP="00C1728B">
      <w:pPr>
        <w:numPr>
          <w:ilvl w:val="0"/>
          <w:numId w:val="54"/>
        </w:numPr>
        <w:rPr>
          <w:sz w:val="24"/>
          <w:szCs w:val="24"/>
        </w:rPr>
      </w:pPr>
      <w:r w:rsidRPr="008A792A">
        <w:rPr>
          <w:sz w:val="24"/>
          <w:szCs w:val="24"/>
        </w:rPr>
        <w:t xml:space="preserve">Prior versions of the </w:t>
      </w:r>
      <w:r w:rsidR="007A6BBF">
        <w:rPr>
          <w:sz w:val="24"/>
          <w:szCs w:val="24"/>
        </w:rPr>
        <w:t>WSP</w:t>
      </w:r>
      <w:r w:rsidRPr="008A792A">
        <w:rPr>
          <w:sz w:val="24"/>
          <w:szCs w:val="24"/>
        </w:rPr>
        <w:t xml:space="preserve"> are archived for books and records purposes.</w:t>
      </w:r>
    </w:p>
    <w:p w14:paraId="3D67D98A" w14:textId="77777777" w:rsidR="00A74C1C" w:rsidRPr="008A792A" w:rsidRDefault="00A74C1C" w:rsidP="00C1728B">
      <w:pPr>
        <w:numPr>
          <w:ilvl w:val="0"/>
          <w:numId w:val="54"/>
        </w:numPr>
        <w:rPr>
          <w:sz w:val="24"/>
          <w:szCs w:val="24"/>
        </w:rPr>
      </w:pPr>
      <w:r w:rsidRPr="008A792A">
        <w:rPr>
          <w:sz w:val="24"/>
          <w:szCs w:val="24"/>
        </w:rPr>
        <w:t xml:space="preserve">When policy and procedure changes affect personnel, Compliance will distribute new or revised policies </w:t>
      </w:r>
      <w:r w:rsidR="00D22F64" w:rsidRPr="00A85AC1">
        <w:rPr>
          <w:sz w:val="24"/>
          <w:szCs w:val="24"/>
        </w:rPr>
        <w:t xml:space="preserve">by one or more of the </w:t>
      </w:r>
      <w:r w:rsidRPr="00A85AC1">
        <w:rPr>
          <w:sz w:val="24"/>
          <w:szCs w:val="24"/>
        </w:rPr>
        <w:t>follow</w:t>
      </w:r>
      <w:r w:rsidR="00D22F64" w:rsidRPr="00A85AC1">
        <w:rPr>
          <w:sz w:val="24"/>
          <w:szCs w:val="24"/>
        </w:rPr>
        <w:t>ing method</w:t>
      </w:r>
      <w:r w:rsidRPr="00A85AC1">
        <w:rPr>
          <w:sz w:val="24"/>
          <w:szCs w:val="24"/>
        </w:rPr>
        <w:t xml:space="preserve">s: </w:t>
      </w:r>
    </w:p>
    <w:p w14:paraId="54115E78" w14:textId="77777777" w:rsidR="00A74C1C" w:rsidRPr="008A792A" w:rsidRDefault="00A74C1C" w:rsidP="00C1728B">
      <w:pPr>
        <w:numPr>
          <w:ilvl w:val="1"/>
          <w:numId w:val="54"/>
        </w:numPr>
        <w:rPr>
          <w:sz w:val="24"/>
          <w:szCs w:val="24"/>
        </w:rPr>
      </w:pPr>
      <w:r w:rsidRPr="008A792A">
        <w:rPr>
          <w:sz w:val="24"/>
          <w:szCs w:val="24"/>
        </w:rPr>
        <w:t>In written form, where practical</w:t>
      </w:r>
    </w:p>
    <w:p w14:paraId="39620B8B" w14:textId="399743C0" w:rsidR="00A74C1C" w:rsidRPr="008A792A" w:rsidRDefault="00A74C1C" w:rsidP="00C1728B">
      <w:pPr>
        <w:numPr>
          <w:ilvl w:val="1"/>
          <w:numId w:val="54"/>
        </w:numPr>
        <w:rPr>
          <w:sz w:val="24"/>
          <w:szCs w:val="24"/>
        </w:rPr>
      </w:pPr>
      <w:r w:rsidRPr="008A792A">
        <w:rPr>
          <w:sz w:val="24"/>
          <w:szCs w:val="24"/>
        </w:rPr>
        <w:t>By email</w:t>
      </w:r>
    </w:p>
    <w:p w14:paraId="0161A732" w14:textId="77777777" w:rsidR="00A74C1C" w:rsidRPr="008A792A" w:rsidRDefault="00A74C1C" w:rsidP="00C1728B">
      <w:pPr>
        <w:numPr>
          <w:ilvl w:val="1"/>
          <w:numId w:val="54"/>
        </w:numPr>
        <w:rPr>
          <w:sz w:val="24"/>
          <w:szCs w:val="24"/>
        </w:rPr>
      </w:pPr>
      <w:r w:rsidRPr="008A792A">
        <w:rPr>
          <w:sz w:val="24"/>
          <w:szCs w:val="24"/>
        </w:rPr>
        <w:t>Made available on Company’s website</w:t>
      </w:r>
    </w:p>
    <w:p w14:paraId="1A57D885" w14:textId="77777777" w:rsidR="00A74C1C" w:rsidRPr="00424F51" w:rsidRDefault="00A74C1C" w:rsidP="00C1728B">
      <w:pPr>
        <w:numPr>
          <w:ilvl w:val="0"/>
          <w:numId w:val="54"/>
        </w:numPr>
        <w:rPr>
          <w:sz w:val="24"/>
          <w:szCs w:val="24"/>
        </w:rPr>
      </w:pPr>
      <w:r w:rsidRPr="008A792A">
        <w:rPr>
          <w:sz w:val="24"/>
          <w:szCs w:val="24"/>
        </w:rPr>
        <w:lastRenderedPageBreak/>
        <w:t xml:space="preserve">Compliance provides access to </w:t>
      </w:r>
      <w:r w:rsidR="007A6BBF">
        <w:rPr>
          <w:sz w:val="24"/>
          <w:szCs w:val="24"/>
        </w:rPr>
        <w:t>the WSP</w:t>
      </w:r>
      <w:r w:rsidRPr="008A792A">
        <w:rPr>
          <w:sz w:val="24"/>
          <w:szCs w:val="24"/>
        </w:rPr>
        <w:t xml:space="preserve"> to new employees and obtains </w:t>
      </w:r>
      <w:r w:rsidR="007A6BBF" w:rsidRPr="00424F51">
        <w:rPr>
          <w:sz w:val="24"/>
          <w:szCs w:val="24"/>
        </w:rPr>
        <w:t>acknowledgements</w:t>
      </w:r>
      <w:r w:rsidRPr="00424F51">
        <w:rPr>
          <w:sz w:val="24"/>
          <w:szCs w:val="24"/>
        </w:rPr>
        <w:t xml:space="preserve"> that are maintained in employee or other compliance files.</w:t>
      </w:r>
    </w:p>
    <w:p w14:paraId="371A385D" w14:textId="77777777" w:rsidR="00D02C58" w:rsidRPr="00424F51" w:rsidRDefault="00B04D1C" w:rsidP="00C1728B">
      <w:pPr>
        <w:numPr>
          <w:ilvl w:val="0"/>
          <w:numId w:val="54"/>
        </w:numPr>
        <w:rPr>
          <w:sz w:val="24"/>
          <w:szCs w:val="24"/>
        </w:rPr>
      </w:pPr>
      <w:r w:rsidRPr="00411220">
        <w:rPr>
          <w:sz w:val="24"/>
          <w:szCs w:val="24"/>
        </w:rPr>
        <w:t xml:space="preserve">If </w:t>
      </w:r>
      <w:r w:rsidR="00A74C1C" w:rsidRPr="00411220">
        <w:rPr>
          <w:sz w:val="24"/>
          <w:szCs w:val="24"/>
        </w:rPr>
        <w:t xml:space="preserve">Policies </w:t>
      </w:r>
      <w:r w:rsidRPr="00411220">
        <w:rPr>
          <w:sz w:val="24"/>
          <w:szCs w:val="24"/>
        </w:rPr>
        <w:t xml:space="preserve">are </w:t>
      </w:r>
      <w:r w:rsidR="00A74C1C" w:rsidRPr="00411220">
        <w:rPr>
          <w:sz w:val="24"/>
          <w:szCs w:val="24"/>
        </w:rPr>
        <w:t>made available to employees in electronic format</w:t>
      </w:r>
      <w:r w:rsidRPr="00411220">
        <w:rPr>
          <w:sz w:val="24"/>
          <w:szCs w:val="24"/>
        </w:rPr>
        <w:t xml:space="preserve">, </w:t>
      </w:r>
      <w:r w:rsidR="00020FBA" w:rsidRPr="00411220">
        <w:rPr>
          <w:sz w:val="24"/>
          <w:szCs w:val="24"/>
        </w:rPr>
        <w:t>a “read receipt” will be maintained</w:t>
      </w:r>
      <w:r w:rsidR="007A6BBF" w:rsidRPr="00411220">
        <w:rPr>
          <w:sz w:val="24"/>
          <w:szCs w:val="24"/>
        </w:rPr>
        <w:t xml:space="preserve"> </w:t>
      </w:r>
      <w:r w:rsidR="00490B5E">
        <w:rPr>
          <w:sz w:val="24"/>
          <w:szCs w:val="24"/>
        </w:rPr>
        <w:t xml:space="preserve">if emailed </w:t>
      </w:r>
      <w:r w:rsidR="007A6BBF" w:rsidRPr="00411220">
        <w:rPr>
          <w:sz w:val="24"/>
          <w:szCs w:val="24"/>
        </w:rPr>
        <w:t xml:space="preserve">or </w:t>
      </w:r>
      <w:r w:rsidR="007A6BBF" w:rsidRPr="00424F51">
        <w:rPr>
          <w:sz w:val="24"/>
          <w:szCs w:val="24"/>
        </w:rPr>
        <w:t>available via Company website</w:t>
      </w:r>
      <w:r w:rsidR="00020FBA" w:rsidRPr="00424F51">
        <w:rPr>
          <w:sz w:val="24"/>
          <w:szCs w:val="24"/>
        </w:rPr>
        <w:t>.</w:t>
      </w:r>
    </w:p>
    <w:p w14:paraId="03F12929" w14:textId="77777777" w:rsidR="00D02C58" w:rsidRPr="008A792A" w:rsidRDefault="00D02C58" w:rsidP="00D02C58">
      <w:pPr>
        <w:ind w:left="360"/>
        <w:rPr>
          <w:sz w:val="24"/>
          <w:szCs w:val="24"/>
        </w:rPr>
      </w:pPr>
    </w:p>
    <w:p w14:paraId="55C4ABC3" w14:textId="77777777" w:rsidR="00D02C58" w:rsidRDefault="00D02C58" w:rsidP="00D02C58">
      <w:pPr>
        <w:ind w:left="360"/>
        <w:rPr>
          <w:color w:val="FF0000"/>
          <w:sz w:val="24"/>
          <w:szCs w:val="24"/>
        </w:rPr>
      </w:pPr>
    </w:p>
    <w:p w14:paraId="74FE3592" w14:textId="77777777" w:rsidR="00D02C58" w:rsidRDefault="00F24B3E" w:rsidP="00936FEE">
      <w:pPr>
        <w:pStyle w:val="Heading2"/>
      </w:pPr>
      <w:r>
        <w:t>2</w:t>
      </w:r>
      <w:r w:rsidR="00D02C58" w:rsidRPr="00020FBD">
        <w:t>.</w:t>
      </w:r>
      <w:r w:rsidR="00C23199" w:rsidRPr="00020FBD">
        <w:t>5</w:t>
      </w:r>
      <w:r>
        <w:t xml:space="preserve"> </w:t>
      </w:r>
      <w:r w:rsidR="00D02C58" w:rsidRPr="006B038E">
        <w:t xml:space="preserve"> </w:t>
      </w:r>
      <w:r w:rsidR="006B038E">
        <w:t xml:space="preserve"> </w:t>
      </w:r>
      <w:r w:rsidR="006B038E" w:rsidRPr="002D078F">
        <w:t xml:space="preserve">FINRA Rule 3130.  </w:t>
      </w:r>
      <w:r w:rsidR="00D02C58" w:rsidRPr="002D078F">
        <w:t xml:space="preserve">Annual Certification </w:t>
      </w:r>
      <w:r w:rsidR="00303D24" w:rsidRPr="002D078F">
        <w:t>of</w:t>
      </w:r>
      <w:r w:rsidR="00906053">
        <w:t xml:space="preserve"> Compliance a</w:t>
      </w:r>
      <w:r w:rsidR="00D02C58" w:rsidRPr="002D078F">
        <w:t>nd Supervisory Processes</w:t>
      </w:r>
    </w:p>
    <w:p w14:paraId="575A2B28" w14:textId="77777777" w:rsidR="006B038E" w:rsidRDefault="006B038E" w:rsidP="006B038E">
      <w:pPr>
        <w:shd w:val="clear" w:color="auto" w:fill="FFFFFF"/>
        <w:spacing w:line="270" w:lineRule="atLeast"/>
        <w:jc w:val="both"/>
        <w:rPr>
          <w:rStyle w:val="Strong"/>
          <w:b w:val="0"/>
          <w:sz w:val="24"/>
          <w:szCs w:val="24"/>
        </w:rPr>
      </w:pPr>
      <w:r w:rsidRPr="006B038E">
        <w:rPr>
          <w:rStyle w:val="Strong"/>
          <w:b w:val="0"/>
          <w:sz w:val="24"/>
          <w:szCs w:val="24"/>
        </w:rPr>
        <w:t>Pu</w:t>
      </w:r>
      <w:r w:rsidR="006C46F0">
        <w:rPr>
          <w:rStyle w:val="Strong"/>
          <w:b w:val="0"/>
          <w:sz w:val="24"/>
          <w:szCs w:val="24"/>
        </w:rPr>
        <w:t>r</w:t>
      </w:r>
      <w:r w:rsidRPr="006B038E">
        <w:rPr>
          <w:rStyle w:val="Strong"/>
          <w:b w:val="0"/>
          <w:sz w:val="24"/>
          <w:szCs w:val="24"/>
        </w:rPr>
        <w:t>suant to Rule 3130, the Company will adhere to the following:</w:t>
      </w:r>
    </w:p>
    <w:p w14:paraId="393686F5" w14:textId="77777777" w:rsidR="00CE70D0" w:rsidRPr="006B038E" w:rsidRDefault="00CE70D0" w:rsidP="006B038E">
      <w:pPr>
        <w:shd w:val="clear" w:color="auto" w:fill="FFFFFF"/>
        <w:spacing w:line="270" w:lineRule="atLeast"/>
        <w:jc w:val="both"/>
        <w:rPr>
          <w:rStyle w:val="Strong"/>
          <w:b w:val="0"/>
          <w:sz w:val="24"/>
          <w:szCs w:val="24"/>
        </w:rPr>
      </w:pPr>
    </w:p>
    <w:p w14:paraId="7BE42E48" w14:textId="77777777" w:rsidR="006B038E" w:rsidRPr="006B038E" w:rsidRDefault="006B038E" w:rsidP="006B038E">
      <w:pPr>
        <w:shd w:val="clear" w:color="auto" w:fill="FFFFFF"/>
        <w:spacing w:line="270" w:lineRule="atLeast"/>
        <w:jc w:val="both"/>
        <w:rPr>
          <w:sz w:val="24"/>
          <w:szCs w:val="24"/>
        </w:rPr>
      </w:pPr>
      <w:r w:rsidRPr="006B038E">
        <w:rPr>
          <w:rStyle w:val="Strong"/>
          <w:sz w:val="24"/>
          <w:szCs w:val="24"/>
        </w:rPr>
        <w:t>(a) Designation of Chief Compliance Officer (CCO)</w:t>
      </w:r>
      <w:r w:rsidRPr="006B038E">
        <w:rPr>
          <w:rStyle w:val="Strong"/>
          <w:b w:val="0"/>
          <w:sz w:val="24"/>
          <w:szCs w:val="24"/>
        </w:rPr>
        <w:t xml:space="preserve">.  Morris Monroe is designated as the Company’s CCO as identified to </w:t>
      </w:r>
      <w:r w:rsidRPr="006B038E">
        <w:rPr>
          <w:sz w:val="24"/>
          <w:szCs w:val="24"/>
        </w:rPr>
        <w:t xml:space="preserve">FINRA on Schedule A of Form BD. </w:t>
      </w:r>
    </w:p>
    <w:p w14:paraId="7BD072B8" w14:textId="77777777" w:rsidR="00020FBA" w:rsidRDefault="00020FBA" w:rsidP="006B038E">
      <w:pPr>
        <w:shd w:val="clear" w:color="auto" w:fill="FFFFFF"/>
        <w:spacing w:line="270" w:lineRule="atLeast"/>
        <w:jc w:val="both"/>
        <w:rPr>
          <w:rStyle w:val="Strong"/>
          <w:sz w:val="24"/>
          <w:szCs w:val="24"/>
        </w:rPr>
      </w:pPr>
    </w:p>
    <w:p w14:paraId="06CDF2B6" w14:textId="77777777" w:rsidR="006B038E" w:rsidRPr="006B038E" w:rsidRDefault="006B038E" w:rsidP="006B038E">
      <w:pPr>
        <w:shd w:val="clear" w:color="auto" w:fill="FFFFFF"/>
        <w:spacing w:line="270" w:lineRule="atLeast"/>
        <w:jc w:val="both"/>
        <w:rPr>
          <w:sz w:val="24"/>
          <w:szCs w:val="24"/>
        </w:rPr>
      </w:pPr>
      <w:r w:rsidRPr="006B038E">
        <w:rPr>
          <w:rStyle w:val="Strong"/>
          <w:sz w:val="24"/>
          <w:szCs w:val="24"/>
        </w:rPr>
        <w:t xml:space="preserve">(b) Annual </w:t>
      </w:r>
      <w:r w:rsidR="001D6A71">
        <w:rPr>
          <w:rStyle w:val="Strong"/>
          <w:sz w:val="24"/>
          <w:szCs w:val="24"/>
        </w:rPr>
        <w:t xml:space="preserve">Report and </w:t>
      </w:r>
      <w:r w:rsidRPr="006B038E">
        <w:rPr>
          <w:rStyle w:val="Strong"/>
          <w:sz w:val="24"/>
          <w:szCs w:val="24"/>
        </w:rPr>
        <w:t xml:space="preserve">Certification Requirement.  </w:t>
      </w:r>
      <w:r w:rsidRPr="006B038E">
        <w:rPr>
          <w:rStyle w:val="Strong"/>
          <w:b w:val="0"/>
          <w:sz w:val="24"/>
          <w:szCs w:val="24"/>
        </w:rPr>
        <w:t xml:space="preserve">Company will </w:t>
      </w:r>
      <w:r w:rsidRPr="006B038E">
        <w:rPr>
          <w:sz w:val="24"/>
          <w:szCs w:val="24"/>
        </w:rPr>
        <w:t xml:space="preserve">have its chief executive officer(s) (or equivalent officer(s) </w:t>
      </w:r>
      <w:r w:rsidR="001D6A71" w:rsidRPr="00411220">
        <w:rPr>
          <w:sz w:val="24"/>
          <w:szCs w:val="24"/>
        </w:rPr>
        <w:t xml:space="preserve">meet with Compliance at least annually to review compliance matters for the annual </w:t>
      </w:r>
      <w:r w:rsidR="00D163B5" w:rsidRPr="00411220">
        <w:rPr>
          <w:sz w:val="24"/>
          <w:szCs w:val="24"/>
        </w:rPr>
        <w:t>certification</w:t>
      </w:r>
      <w:r w:rsidR="001D6A71" w:rsidRPr="00411220">
        <w:rPr>
          <w:sz w:val="24"/>
          <w:szCs w:val="24"/>
        </w:rPr>
        <w:t xml:space="preserve">.  </w:t>
      </w:r>
      <w:r w:rsidR="00D163B5" w:rsidRPr="00411220">
        <w:rPr>
          <w:sz w:val="24"/>
          <w:szCs w:val="24"/>
        </w:rPr>
        <w:t>Compliance will prepare a report that includes a review of Company's supervisory system and procedures</w:t>
      </w:r>
      <w:r w:rsidR="00DE6A0E">
        <w:rPr>
          <w:sz w:val="24"/>
          <w:szCs w:val="24"/>
        </w:rPr>
        <w:t xml:space="preserve">, </w:t>
      </w:r>
      <w:r w:rsidR="00DE6A0E" w:rsidRPr="00A85AC1">
        <w:rPr>
          <w:sz w:val="24"/>
          <w:szCs w:val="24"/>
        </w:rPr>
        <w:t>testing and any material issues</w:t>
      </w:r>
      <w:r w:rsidR="00DE6A0E">
        <w:rPr>
          <w:sz w:val="24"/>
          <w:szCs w:val="24"/>
        </w:rPr>
        <w:t xml:space="preserve">, </w:t>
      </w:r>
      <w:r w:rsidR="00D163B5" w:rsidRPr="00411220">
        <w:rPr>
          <w:sz w:val="24"/>
          <w:szCs w:val="24"/>
        </w:rPr>
        <w:t>and key compliance issues</w:t>
      </w:r>
      <w:r w:rsidR="00D163B5" w:rsidRPr="00411220">
        <w:t xml:space="preserve">.  </w:t>
      </w:r>
      <w:r w:rsidR="006A0CE0" w:rsidRPr="00411220">
        <w:rPr>
          <w:sz w:val="24"/>
          <w:szCs w:val="24"/>
        </w:rPr>
        <w:t>Af</w:t>
      </w:r>
      <w:r w:rsidR="00D163B5" w:rsidRPr="00411220">
        <w:rPr>
          <w:sz w:val="24"/>
          <w:szCs w:val="24"/>
        </w:rPr>
        <w:t>ter receipt and review of the report, the Chief Executive Officer (or equivalent)</w:t>
      </w:r>
      <w:r w:rsidR="001D6A71" w:rsidRPr="00411220">
        <w:rPr>
          <w:sz w:val="24"/>
          <w:szCs w:val="24"/>
        </w:rPr>
        <w:t xml:space="preserve"> </w:t>
      </w:r>
      <w:r w:rsidR="00D163B5">
        <w:rPr>
          <w:sz w:val="24"/>
          <w:szCs w:val="24"/>
        </w:rPr>
        <w:t xml:space="preserve">will </w:t>
      </w:r>
      <w:r w:rsidRPr="006B038E">
        <w:rPr>
          <w:sz w:val="24"/>
          <w:szCs w:val="24"/>
        </w:rPr>
        <w:t xml:space="preserve">certify annually </w:t>
      </w:r>
      <w:r w:rsidRPr="00F970A0">
        <w:rPr>
          <w:sz w:val="24"/>
          <w:szCs w:val="24"/>
        </w:rPr>
        <w:t>(</w:t>
      </w:r>
      <w:r w:rsidR="004A1B43" w:rsidRPr="00790F31">
        <w:rPr>
          <w:sz w:val="24"/>
          <w:szCs w:val="24"/>
        </w:rPr>
        <w:t xml:space="preserve">by March 31 </w:t>
      </w:r>
      <w:r w:rsidR="00F970A0" w:rsidRPr="00790F31">
        <w:rPr>
          <w:sz w:val="24"/>
          <w:szCs w:val="24"/>
        </w:rPr>
        <w:t xml:space="preserve">following </w:t>
      </w:r>
      <w:r w:rsidR="004A1B43" w:rsidRPr="00790F31">
        <w:rPr>
          <w:sz w:val="24"/>
          <w:szCs w:val="24"/>
        </w:rPr>
        <w:t xml:space="preserve">the year </w:t>
      </w:r>
      <w:r w:rsidR="00F970A0" w:rsidRPr="00790F31">
        <w:rPr>
          <w:sz w:val="24"/>
          <w:szCs w:val="24"/>
        </w:rPr>
        <w:t>of</w:t>
      </w:r>
      <w:r w:rsidR="004A1B43" w:rsidRPr="00790F31">
        <w:rPr>
          <w:sz w:val="24"/>
          <w:szCs w:val="24"/>
        </w:rPr>
        <w:t xml:space="preserve"> review</w:t>
      </w:r>
      <w:r w:rsidRPr="006B038E">
        <w:rPr>
          <w:rFonts w:ascii="Arial" w:hAnsi="Arial" w:cs="Arial"/>
          <w:sz w:val="18"/>
          <w:szCs w:val="18"/>
        </w:rPr>
        <w:t>)</w:t>
      </w:r>
      <w:r w:rsidRPr="006B038E">
        <w:rPr>
          <w:sz w:val="24"/>
          <w:szCs w:val="24"/>
        </w:rPr>
        <w:t xml:space="preserve">, as set forth in paragraph (c), that the Company has in place processes to establish, maintain, review, test and modify written compliance policies and written supervisory procedures reasonably designed to achieve compliance with applicable FINRA rules, MSRB rules and federal securities laws and regulations, and that the chief executive officer(s) has conducted one or more meetings with the chief compliance officer(s) in the preceding 12 months to discuss such processes. </w:t>
      </w:r>
    </w:p>
    <w:p w14:paraId="25E4D8F4" w14:textId="77777777" w:rsidR="00020FBA" w:rsidRDefault="00020FBA" w:rsidP="006B038E">
      <w:pPr>
        <w:shd w:val="clear" w:color="auto" w:fill="FFFFFF"/>
        <w:spacing w:line="270" w:lineRule="atLeast"/>
        <w:jc w:val="both"/>
        <w:rPr>
          <w:rStyle w:val="Strong"/>
          <w:sz w:val="24"/>
          <w:szCs w:val="24"/>
        </w:rPr>
      </w:pPr>
    </w:p>
    <w:p w14:paraId="5763E241" w14:textId="77777777" w:rsidR="006B038E" w:rsidRPr="006B038E" w:rsidRDefault="004A1519" w:rsidP="006B038E">
      <w:pPr>
        <w:shd w:val="clear" w:color="auto" w:fill="FFFFFF"/>
        <w:spacing w:line="270" w:lineRule="atLeast"/>
        <w:jc w:val="both"/>
        <w:rPr>
          <w:sz w:val="24"/>
          <w:szCs w:val="24"/>
        </w:rPr>
      </w:pPr>
      <w:r>
        <w:rPr>
          <w:rStyle w:val="Strong"/>
          <w:sz w:val="24"/>
          <w:szCs w:val="24"/>
        </w:rPr>
        <w:t>(c)</w:t>
      </w:r>
      <w:r w:rsidR="006B038E" w:rsidRPr="006B038E">
        <w:rPr>
          <w:rStyle w:val="Strong"/>
          <w:sz w:val="24"/>
          <w:szCs w:val="24"/>
        </w:rPr>
        <w:t xml:space="preserve"> Certification</w:t>
      </w:r>
      <w:r w:rsidR="006B038E" w:rsidRPr="006B038E">
        <w:rPr>
          <w:rStyle w:val="Strong"/>
          <w:b w:val="0"/>
          <w:sz w:val="24"/>
          <w:szCs w:val="24"/>
        </w:rPr>
        <w:t xml:space="preserve">.  </w:t>
      </w:r>
      <w:r w:rsidR="006B038E" w:rsidRPr="006B038E">
        <w:rPr>
          <w:sz w:val="24"/>
          <w:szCs w:val="24"/>
        </w:rPr>
        <w:t xml:space="preserve">The certification shall state the following: </w:t>
      </w:r>
    </w:p>
    <w:p w14:paraId="2DEBBABF" w14:textId="77777777" w:rsidR="00020FBA" w:rsidRDefault="00020FBA" w:rsidP="006B038E">
      <w:pPr>
        <w:shd w:val="clear" w:color="auto" w:fill="FFFFFF"/>
        <w:spacing w:line="270" w:lineRule="atLeast"/>
        <w:jc w:val="both"/>
        <w:rPr>
          <w:sz w:val="24"/>
          <w:szCs w:val="24"/>
        </w:rPr>
      </w:pPr>
    </w:p>
    <w:p w14:paraId="4767F0C7" w14:textId="77777777" w:rsidR="006B038E" w:rsidRDefault="006B038E" w:rsidP="006B038E">
      <w:pPr>
        <w:shd w:val="clear" w:color="auto" w:fill="FFFFFF"/>
        <w:spacing w:line="270" w:lineRule="atLeast"/>
        <w:jc w:val="both"/>
        <w:rPr>
          <w:sz w:val="24"/>
          <w:szCs w:val="24"/>
        </w:rPr>
      </w:pPr>
      <w:r w:rsidRPr="006B038E">
        <w:rPr>
          <w:sz w:val="24"/>
          <w:szCs w:val="24"/>
        </w:rPr>
        <w:t xml:space="preserve">The undersigned is the chief executive officer(s) of Company (the </w:t>
      </w:r>
      <w:r w:rsidR="00C23199">
        <w:rPr>
          <w:sz w:val="24"/>
          <w:szCs w:val="24"/>
        </w:rPr>
        <w:t>“</w:t>
      </w:r>
      <w:r w:rsidRPr="006B038E">
        <w:rPr>
          <w:sz w:val="24"/>
          <w:szCs w:val="24"/>
        </w:rPr>
        <w:t>Member</w:t>
      </w:r>
      <w:r w:rsidR="00C23199">
        <w:rPr>
          <w:sz w:val="24"/>
          <w:szCs w:val="24"/>
        </w:rPr>
        <w:t>”</w:t>
      </w:r>
      <w:r w:rsidRPr="006B038E">
        <w:rPr>
          <w:sz w:val="24"/>
          <w:szCs w:val="24"/>
        </w:rPr>
        <w:t xml:space="preserve">). As required by </w:t>
      </w:r>
      <w:hyperlink r:id="rId8" w:tgtFrame="_blank" w:history="1">
        <w:r w:rsidRPr="006B038E">
          <w:rPr>
            <w:rStyle w:val="Hyperlink"/>
            <w:color w:val="auto"/>
            <w:sz w:val="24"/>
            <w:szCs w:val="24"/>
          </w:rPr>
          <w:t>FINRA Rule 3130</w:t>
        </w:r>
      </w:hyperlink>
      <w:r w:rsidRPr="007D0974">
        <w:rPr>
          <w:sz w:val="24"/>
          <w:szCs w:val="24"/>
          <w:u w:val="single"/>
        </w:rPr>
        <w:t>(b)</w:t>
      </w:r>
      <w:r w:rsidRPr="006B038E">
        <w:rPr>
          <w:sz w:val="24"/>
          <w:szCs w:val="24"/>
        </w:rPr>
        <w:t xml:space="preserve">, the undersigned make(s) the following certification: </w:t>
      </w:r>
    </w:p>
    <w:p w14:paraId="798CCF64" w14:textId="77777777" w:rsidR="0097558D" w:rsidRPr="006B038E" w:rsidRDefault="0097558D" w:rsidP="006B038E">
      <w:pPr>
        <w:shd w:val="clear" w:color="auto" w:fill="FFFFFF"/>
        <w:spacing w:line="270" w:lineRule="atLeast"/>
        <w:jc w:val="both"/>
        <w:rPr>
          <w:sz w:val="24"/>
          <w:szCs w:val="24"/>
        </w:rPr>
      </w:pPr>
    </w:p>
    <w:p w14:paraId="29FD2C03" w14:textId="77777777" w:rsidR="006B038E" w:rsidRPr="006B038E" w:rsidRDefault="006B038E" w:rsidP="006B038E">
      <w:pPr>
        <w:shd w:val="clear" w:color="auto" w:fill="FFFFFF"/>
        <w:spacing w:line="270" w:lineRule="atLeast"/>
        <w:ind w:left="540" w:hanging="360"/>
        <w:jc w:val="both"/>
        <w:rPr>
          <w:sz w:val="24"/>
          <w:szCs w:val="24"/>
        </w:rPr>
      </w:pPr>
      <w:r w:rsidRPr="006B038E">
        <w:rPr>
          <w:sz w:val="24"/>
          <w:szCs w:val="24"/>
        </w:rPr>
        <w:t xml:space="preserve">1.  The Company has in place processes to: </w:t>
      </w:r>
    </w:p>
    <w:p w14:paraId="708E2C27" w14:textId="77777777" w:rsidR="006B038E" w:rsidRPr="006B038E" w:rsidRDefault="006B038E" w:rsidP="006B038E">
      <w:pPr>
        <w:shd w:val="clear" w:color="auto" w:fill="FFFFFF"/>
        <w:spacing w:line="270" w:lineRule="atLeast"/>
        <w:ind w:left="540" w:hanging="90"/>
        <w:jc w:val="both"/>
        <w:rPr>
          <w:sz w:val="24"/>
          <w:szCs w:val="24"/>
        </w:rPr>
      </w:pPr>
      <w:r w:rsidRPr="006B038E">
        <w:rPr>
          <w:sz w:val="24"/>
          <w:szCs w:val="24"/>
        </w:rPr>
        <w:t xml:space="preserve">(A) Establish, maintain and review policies and procedures reasonably designed to achieve compliance with applicable FINRA rules, MSRB rules and federal securities laws and regulations; </w:t>
      </w:r>
    </w:p>
    <w:p w14:paraId="1940D5CC" w14:textId="77777777" w:rsidR="006B038E" w:rsidRPr="006B038E" w:rsidRDefault="006B038E" w:rsidP="006B038E">
      <w:pPr>
        <w:shd w:val="clear" w:color="auto" w:fill="FFFFFF"/>
        <w:spacing w:line="270" w:lineRule="atLeast"/>
        <w:ind w:left="540" w:hanging="90"/>
        <w:jc w:val="both"/>
        <w:rPr>
          <w:sz w:val="24"/>
          <w:szCs w:val="24"/>
        </w:rPr>
      </w:pPr>
      <w:r w:rsidRPr="006B038E">
        <w:rPr>
          <w:sz w:val="24"/>
          <w:szCs w:val="24"/>
        </w:rPr>
        <w:t xml:space="preserve">(B) Modify such policies and procedures as business, regulatory and legislative changes and events dictate; and </w:t>
      </w:r>
    </w:p>
    <w:p w14:paraId="6756AFE0" w14:textId="77777777" w:rsidR="006B038E" w:rsidRDefault="006B038E" w:rsidP="006B038E">
      <w:pPr>
        <w:shd w:val="clear" w:color="auto" w:fill="FFFFFF"/>
        <w:spacing w:line="270" w:lineRule="atLeast"/>
        <w:ind w:left="540" w:hanging="90"/>
        <w:jc w:val="both"/>
        <w:rPr>
          <w:sz w:val="24"/>
          <w:szCs w:val="24"/>
        </w:rPr>
      </w:pPr>
      <w:r w:rsidRPr="006B038E">
        <w:rPr>
          <w:sz w:val="24"/>
          <w:szCs w:val="24"/>
        </w:rPr>
        <w:t xml:space="preserve">(C) Test the effectiveness of such policies and procedures on a periodic basis, the timing and extent of which is reasonably designed to ensure continuing compliance with FINRA rules, MSRB rules and federal securities laws and regulations. </w:t>
      </w:r>
    </w:p>
    <w:p w14:paraId="03A60A22" w14:textId="77777777" w:rsidR="0097558D" w:rsidRPr="006B038E" w:rsidRDefault="0097558D" w:rsidP="006B038E">
      <w:pPr>
        <w:shd w:val="clear" w:color="auto" w:fill="FFFFFF"/>
        <w:spacing w:line="270" w:lineRule="atLeast"/>
        <w:ind w:left="540" w:hanging="90"/>
        <w:jc w:val="both"/>
        <w:rPr>
          <w:sz w:val="24"/>
          <w:szCs w:val="24"/>
        </w:rPr>
      </w:pPr>
    </w:p>
    <w:p w14:paraId="13DF6118" w14:textId="77777777" w:rsidR="006B038E" w:rsidRDefault="006B038E" w:rsidP="00F970A0">
      <w:pPr>
        <w:shd w:val="clear" w:color="auto" w:fill="FFFFFF"/>
        <w:spacing w:line="270" w:lineRule="atLeast"/>
        <w:ind w:left="450" w:hanging="270"/>
        <w:jc w:val="both"/>
        <w:rPr>
          <w:sz w:val="24"/>
          <w:szCs w:val="24"/>
        </w:rPr>
      </w:pPr>
      <w:r w:rsidRPr="006B038E">
        <w:rPr>
          <w:sz w:val="24"/>
          <w:szCs w:val="24"/>
        </w:rPr>
        <w:t xml:space="preserve">2. The undersigned chief executive officer(s) (or equivalent officer(s) has/have conducted one or more meetings with the chief compliance officer(s) in the preceding 12 months, the subject of which satisfy the obligations set forth in FINRA Rule 3130. </w:t>
      </w:r>
    </w:p>
    <w:p w14:paraId="7B9C85AB" w14:textId="77777777" w:rsidR="0097558D" w:rsidRPr="006B038E" w:rsidRDefault="0097558D" w:rsidP="006B038E">
      <w:pPr>
        <w:shd w:val="clear" w:color="auto" w:fill="FFFFFF"/>
        <w:spacing w:line="270" w:lineRule="atLeast"/>
        <w:ind w:left="540" w:hanging="360"/>
        <w:jc w:val="both"/>
        <w:rPr>
          <w:sz w:val="24"/>
          <w:szCs w:val="24"/>
        </w:rPr>
      </w:pPr>
    </w:p>
    <w:p w14:paraId="3EC0FAEA" w14:textId="77777777" w:rsidR="006B038E" w:rsidRDefault="006B038E" w:rsidP="00F970A0">
      <w:pPr>
        <w:shd w:val="clear" w:color="auto" w:fill="FFFFFF"/>
        <w:spacing w:line="270" w:lineRule="atLeast"/>
        <w:ind w:left="450" w:hanging="270"/>
        <w:jc w:val="both"/>
        <w:rPr>
          <w:sz w:val="24"/>
          <w:szCs w:val="24"/>
        </w:rPr>
      </w:pPr>
      <w:r w:rsidRPr="006B038E">
        <w:rPr>
          <w:sz w:val="24"/>
          <w:szCs w:val="24"/>
        </w:rPr>
        <w:t xml:space="preserve">3. The Company's processes, with respect to </w:t>
      </w:r>
      <w:r w:rsidR="00DB0AB9">
        <w:rPr>
          <w:sz w:val="24"/>
          <w:szCs w:val="24"/>
        </w:rPr>
        <w:t>p</w:t>
      </w:r>
      <w:r w:rsidRPr="006B038E">
        <w:rPr>
          <w:sz w:val="24"/>
          <w:szCs w:val="24"/>
        </w:rPr>
        <w:t>aragraph 1 above, are evidenced in a report reviewed by the chief executive officer(s) (or equivalent officer(s)), chief compliance officer(s), and such other officers as the Company may deem necessary to make this certification. The final report has been submitted to the Company's board of directors and audi</w:t>
      </w:r>
      <w:r w:rsidR="00A2129F">
        <w:rPr>
          <w:sz w:val="24"/>
          <w:szCs w:val="24"/>
        </w:rPr>
        <w:t>t</w:t>
      </w:r>
      <w:r w:rsidRPr="006B038E">
        <w:rPr>
          <w:sz w:val="24"/>
          <w:szCs w:val="24"/>
        </w:rPr>
        <w:t xml:space="preserve"> committee or will be submitted to the Company's board of directors and audi</w:t>
      </w:r>
      <w:r w:rsidR="00A2129F">
        <w:rPr>
          <w:sz w:val="24"/>
          <w:szCs w:val="24"/>
        </w:rPr>
        <w:t>t</w:t>
      </w:r>
      <w:r w:rsidRPr="006B038E">
        <w:rPr>
          <w:sz w:val="24"/>
          <w:szCs w:val="24"/>
        </w:rPr>
        <w:t xml:space="preserve"> </w:t>
      </w:r>
      <w:r w:rsidRPr="006B038E">
        <w:rPr>
          <w:sz w:val="24"/>
          <w:szCs w:val="24"/>
        </w:rPr>
        <w:lastRenderedPageBreak/>
        <w:t xml:space="preserve">committee (or equivalent bodies) at the earlier of their next scheduled meetings or within 45 days of the date of execution of this certification. </w:t>
      </w:r>
    </w:p>
    <w:p w14:paraId="0C66BE59" w14:textId="77777777" w:rsidR="0097558D" w:rsidRPr="006B038E" w:rsidRDefault="0097558D" w:rsidP="006B038E">
      <w:pPr>
        <w:shd w:val="clear" w:color="auto" w:fill="FFFFFF"/>
        <w:spacing w:line="270" w:lineRule="atLeast"/>
        <w:ind w:left="540" w:hanging="360"/>
        <w:jc w:val="both"/>
        <w:rPr>
          <w:sz w:val="24"/>
          <w:szCs w:val="24"/>
        </w:rPr>
      </w:pPr>
    </w:p>
    <w:p w14:paraId="5CA11FEA" w14:textId="77777777" w:rsidR="00D02250" w:rsidRPr="00D02250" w:rsidRDefault="006B038E" w:rsidP="00F970A0">
      <w:pPr>
        <w:shd w:val="clear" w:color="auto" w:fill="FFFFFF"/>
        <w:spacing w:line="270" w:lineRule="atLeast"/>
        <w:ind w:left="450" w:hanging="270"/>
        <w:jc w:val="both"/>
        <w:rPr>
          <w:sz w:val="24"/>
        </w:rPr>
      </w:pPr>
      <w:r w:rsidRPr="006B038E">
        <w:rPr>
          <w:sz w:val="24"/>
          <w:szCs w:val="24"/>
        </w:rPr>
        <w:t xml:space="preserve">4. The undersigned chief executive officer(s) (or equivalent officer(s)) has/have consulted with the chief compliance officer(s) and other officers as applicable (referenced in paragraph 3 above) and such other employees, outside consultants, lawyers and accountants, to the extent deemed appropriate, in order to attest to the statements made in this certification. </w:t>
      </w:r>
      <w:r w:rsidR="0097558D">
        <w:rPr>
          <w:b/>
          <w:sz w:val="24"/>
          <w:szCs w:val="24"/>
        </w:rPr>
        <w:br w:type="page"/>
      </w:r>
    </w:p>
    <w:p w14:paraId="2C524E11" w14:textId="77777777" w:rsidR="00F11236" w:rsidRDefault="00F11236" w:rsidP="008A4044">
      <w:pPr>
        <w:pStyle w:val="Heading1"/>
        <w:pBdr>
          <w:top w:val="thinThickLargeGap" w:sz="12" w:space="1" w:color="000099"/>
          <w:left w:val="thinThickLargeGap" w:sz="12" w:space="4" w:color="000099"/>
          <w:bottom w:val="thickThinLargeGap" w:sz="12" w:space="1" w:color="000099"/>
          <w:right w:val="thickThinLargeGap" w:sz="12" w:space="4" w:color="000099"/>
        </w:pBdr>
        <w:shd w:val="pct10" w:color="0000FF" w:fill="auto"/>
      </w:pPr>
      <w:bookmarkStart w:id="24" w:name="SupervisoryPersonnel"/>
    </w:p>
    <w:p w14:paraId="6C89B7E4" w14:textId="77777777" w:rsidR="00F11236" w:rsidRDefault="00ED1609" w:rsidP="008A4044">
      <w:pPr>
        <w:pStyle w:val="Heading1"/>
        <w:pBdr>
          <w:top w:val="thinThickLargeGap" w:sz="12" w:space="1" w:color="000099"/>
          <w:left w:val="thinThickLargeGap" w:sz="12" w:space="4" w:color="000099"/>
          <w:bottom w:val="thickThinLargeGap" w:sz="12" w:space="1" w:color="000099"/>
          <w:right w:val="thickThinLargeGap" w:sz="12" w:space="4" w:color="000099"/>
        </w:pBdr>
        <w:shd w:val="pct10" w:color="0000FF" w:fill="auto"/>
        <w:jc w:val="center"/>
      </w:pPr>
      <w:bookmarkStart w:id="25" w:name="_Toc227675968"/>
      <w:bookmarkStart w:id="26" w:name="_Toc227820416"/>
      <w:bookmarkStart w:id="27" w:name="_Toc227821698"/>
      <w:bookmarkStart w:id="28" w:name="_Toc227821817"/>
      <w:bookmarkStart w:id="29" w:name="_Toc535916166"/>
      <w:r>
        <w:t>3</w:t>
      </w:r>
      <w:r w:rsidR="000C099C" w:rsidRPr="00F11236">
        <w:t>.</w:t>
      </w:r>
      <w:r w:rsidR="00FE3A30">
        <w:t xml:space="preserve">   </w:t>
      </w:r>
      <w:r w:rsidR="000C099C" w:rsidRPr="00F11236">
        <w:t>SUPERVISORY</w:t>
      </w:r>
      <w:r w:rsidR="00F11236" w:rsidRPr="00F11236">
        <w:t xml:space="preserve"> PERSONNEL</w:t>
      </w:r>
      <w:bookmarkEnd w:id="25"/>
      <w:bookmarkEnd w:id="26"/>
      <w:bookmarkEnd w:id="27"/>
      <w:bookmarkEnd w:id="28"/>
      <w:bookmarkEnd w:id="29"/>
    </w:p>
    <w:p w14:paraId="7A609E3C" w14:textId="77777777" w:rsidR="00F11236" w:rsidRDefault="00F11236" w:rsidP="008A4044">
      <w:pPr>
        <w:pStyle w:val="Heading1"/>
        <w:pBdr>
          <w:top w:val="thinThickLargeGap" w:sz="12" w:space="1" w:color="000099"/>
          <w:left w:val="thinThickLargeGap" w:sz="12" w:space="4" w:color="000099"/>
          <w:bottom w:val="thickThinLargeGap" w:sz="12" w:space="1" w:color="000099"/>
          <w:right w:val="thickThinLargeGap" w:sz="12" w:space="4" w:color="000099"/>
        </w:pBdr>
        <w:shd w:val="pct10" w:color="0000FF" w:fill="auto"/>
        <w:jc w:val="center"/>
      </w:pPr>
    </w:p>
    <w:bookmarkEnd w:id="24"/>
    <w:p w14:paraId="67A3601A" w14:textId="77777777" w:rsidR="00F11236" w:rsidRPr="00F11236" w:rsidRDefault="00F11236" w:rsidP="00F11236"/>
    <w:p w14:paraId="01AAAC7A" w14:textId="77777777" w:rsidR="000C099C" w:rsidRDefault="000C099C">
      <w:pPr>
        <w:jc w:val="both"/>
        <w:rPr>
          <w:sz w:val="24"/>
        </w:rPr>
      </w:pPr>
    </w:p>
    <w:p w14:paraId="0BA76E6F" w14:textId="77777777" w:rsidR="00F16AC0" w:rsidRPr="000C570A" w:rsidRDefault="00ED1609" w:rsidP="00936FEE">
      <w:pPr>
        <w:pStyle w:val="Heading2"/>
      </w:pPr>
      <w:r>
        <w:t>3</w:t>
      </w:r>
      <w:r w:rsidR="00F16AC0" w:rsidRPr="000C570A">
        <w:t>.1</w:t>
      </w:r>
      <w:r w:rsidR="00C23199" w:rsidRPr="000C570A">
        <w:t xml:space="preserve"> </w:t>
      </w:r>
      <w:r w:rsidR="00EE172D" w:rsidRPr="000C570A">
        <w:t>Introduction</w:t>
      </w:r>
    </w:p>
    <w:p w14:paraId="31444EF3" w14:textId="77777777" w:rsidR="00F16AC0" w:rsidRPr="003B7614" w:rsidRDefault="00EE172D" w:rsidP="00106375">
      <w:pPr>
        <w:shd w:val="clear" w:color="auto" w:fill="FFFFFF"/>
        <w:jc w:val="both"/>
        <w:rPr>
          <w:sz w:val="24"/>
          <w:szCs w:val="24"/>
        </w:rPr>
      </w:pPr>
      <w:r>
        <w:rPr>
          <w:sz w:val="24"/>
        </w:rPr>
        <w:t>Company will</w:t>
      </w:r>
      <w:r w:rsidRPr="00EE172D">
        <w:rPr>
          <w:color w:val="000000"/>
          <w:sz w:val="24"/>
          <w:szCs w:val="24"/>
        </w:rPr>
        <w:t xml:space="preserve"> determin</w:t>
      </w:r>
      <w:r w:rsidR="00CC1201">
        <w:rPr>
          <w:color w:val="000000"/>
          <w:sz w:val="24"/>
          <w:szCs w:val="24"/>
        </w:rPr>
        <w:t>e</w:t>
      </w:r>
      <w:r w:rsidRPr="00EE172D">
        <w:rPr>
          <w:color w:val="000000"/>
          <w:sz w:val="24"/>
          <w:szCs w:val="24"/>
        </w:rPr>
        <w:t xml:space="preserve"> that </w:t>
      </w:r>
      <w:r>
        <w:rPr>
          <w:color w:val="000000"/>
          <w:sz w:val="24"/>
          <w:szCs w:val="24"/>
        </w:rPr>
        <w:t>any applicable</w:t>
      </w:r>
      <w:r w:rsidRPr="00EE172D">
        <w:rPr>
          <w:color w:val="000000"/>
          <w:sz w:val="24"/>
          <w:szCs w:val="24"/>
        </w:rPr>
        <w:t xml:space="preserve"> individual is qualified for </w:t>
      </w:r>
      <w:r>
        <w:rPr>
          <w:color w:val="000000"/>
          <w:sz w:val="24"/>
          <w:szCs w:val="24"/>
        </w:rPr>
        <w:t>a</w:t>
      </w:r>
      <w:r w:rsidR="00CC1201">
        <w:rPr>
          <w:color w:val="000000"/>
          <w:sz w:val="24"/>
          <w:szCs w:val="24"/>
        </w:rPr>
        <w:t xml:space="preserve"> supervisory position.  In addition, </w:t>
      </w:r>
      <w:r w:rsidR="00CA282E">
        <w:rPr>
          <w:color w:val="000000"/>
          <w:sz w:val="24"/>
          <w:szCs w:val="24"/>
        </w:rPr>
        <w:t>the</w:t>
      </w:r>
      <w:r w:rsidR="00106375">
        <w:rPr>
          <w:color w:val="000000"/>
          <w:sz w:val="24"/>
          <w:szCs w:val="24"/>
        </w:rPr>
        <w:t xml:space="preserve"> Chief Compliance Officer (CCO) </w:t>
      </w:r>
      <w:r w:rsidR="00106375" w:rsidRPr="003B7614">
        <w:rPr>
          <w:spacing w:val="8"/>
          <w:sz w:val="24"/>
          <w:szCs w:val="24"/>
        </w:rPr>
        <w:t xml:space="preserve">will be designated on Schedule A of Form BD, is a principal, </w:t>
      </w:r>
      <w:r w:rsidR="00CC1201" w:rsidRPr="003B7614">
        <w:rPr>
          <w:spacing w:val="8"/>
          <w:sz w:val="24"/>
          <w:szCs w:val="24"/>
        </w:rPr>
        <w:t xml:space="preserve">will have </w:t>
      </w:r>
      <w:r w:rsidR="00106375" w:rsidRPr="003B7614">
        <w:rPr>
          <w:spacing w:val="8"/>
          <w:sz w:val="24"/>
          <w:szCs w:val="24"/>
        </w:rPr>
        <w:t>compliance responsibilit</w:t>
      </w:r>
      <w:r w:rsidR="00CC1201" w:rsidRPr="003B7614">
        <w:rPr>
          <w:spacing w:val="8"/>
          <w:sz w:val="24"/>
          <w:szCs w:val="24"/>
        </w:rPr>
        <w:t>ies</w:t>
      </w:r>
      <w:r w:rsidR="00106375" w:rsidRPr="003B7614">
        <w:rPr>
          <w:spacing w:val="8"/>
          <w:sz w:val="24"/>
          <w:szCs w:val="24"/>
        </w:rPr>
        <w:t xml:space="preserve"> defined and documented, meet</w:t>
      </w:r>
      <w:r w:rsidR="00CC1201" w:rsidRPr="003B7614">
        <w:rPr>
          <w:spacing w:val="8"/>
          <w:sz w:val="24"/>
          <w:szCs w:val="24"/>
        </w:rPr>
        <w:t>s</w:t>
      </w:r>
      <w:r w:rsidR="00106375" w:rsidRPr="003B7614">
        <w:rPr>
          <w:spacing w:val="8"/>
          <w:sz w:val="24"/>
          <w:szCs w:val="24"/>
        </w:rPr>
        <w:t xml:space="preserve"> the requirements of Rule 3130 regarding the defined area of primary compliance responsibility, </w:t>
      </w:r>
      <w:r w:rsidR="00CC1201" w:rsidRPr="003B7614">
        <w:rPr>
          <w:spacing w:val="8"/>
          <w:sz w:val="24"/>
          <w:szCs w:val="24"/>
        </w:rPr>
        <w:t xml:space="preserve">and </w:t>
      </w:r>
      <w:r w:rsidR="00106375" w:rsidRPr="003B7614">
        <w:rPr>
          <w:spacing w:val="8"/>
          <w:sz w:val="24"/>
          <w:szCs w:val="24"/>
        </w:rPr>
        <w:t>ha</w:t>
      </w:r>
      <w:r w:rsidR="00CC1201" w:rsidRPr="003B7614">
        <w:rPr>
          <w:spacing w:val="8"/>
          <w:sz w:val="24"/>
          <w:szCs w:val="24"/>
        </w:rPr>
        <w:t>s</w:t>
      </w:r>
      <w:r w:rsidR="00106375" w:rsidRPr="003B7614">
        <w:rPr>
          <w:spacing w:val="8"/>
          <w:sz w:val="24"/>
          <w:szCs w:val="24"/>
        </w:rPr>
        <w:t xml:space="preserve"> the responsibilities and expertise enabling them to fulfill their obligations.</w:t>
      </w:r>
    </w:p>
    <w:p w14:paraId="24959AB5" w14:textId="77777777" w:rsidR="0036449C" w:rsidRPr="003B7614" w:rsidRDefault="0036449C" w:rsidP="0036449C">
      <w:pPr>
        <w:jc w:val="both"/>
        <w:rPr>
          <w:sz w:val="24"/>
          <w:szCs w:val="24"/>
        </w:rPr>
      </w:pPr>
    </w:p>
    <w:p w14:paraId="1A5CE590" w14:textId="77777777" w:rsidR="00F16AC0" w:rsidRPr="000C570A" w:rsidRDefault="003F742E" w:rsidP="00936FEE">
      <w:pPr>
        <w:pStyle w:val="Heading2"/>
      </w:pPr>
      <w:r>
        <w:t xml:space="preserve">3.2 </w:t>
      </w:r>
      <w:r w:rsidR="0036449C" w:rsidRPr="000C570A">
        <w:t>Compliance Chart</w:t>
      </w:r>
    </w:p>
    <w:tbl>
      <w:tblPr>
        <w:tblW w:w="5411" w:type="pct"/>
        <w:tblCellSpacing w:w="0" w:type="dxa"/>
        <w:tblInd w:w="-48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37"/>
        <w:gridCol w:w="8097"/>
      </w:tblGrid>
      <w:tr w:rsidR="0036449C" w:rsidRPr="003B7614" w14:paraId="1CF745BE" w14:textId="77777777">
        <w:trPr>
          <w:tblCellSpacing w:w="0" w:type="dxa"/>
        </w:trPr>
        <w:tc>
          <w:tcPr>
            <w:tcW w:w="965" w:type="pct"/>
            <w:tcBorders>
              <w:top w:val="outset" w:sz="6" w:space="0" w:color="auto"/>
              <w:left w:val="outset" w:sz="6" w:space="0" w:color="auto"/>
              <w:bottom w:val="outset" w:sz="6" w:space="0" w:color="auto"/>
              <w:right w:val="outset" w:sz="6" w:space="0" w:color="auto"/>
            </w:tcBorders>
            <w:vAlign w:val="center"/>
          </w:tcPr>
          <w:p w14:paraId="78DF924C" w14:textId="77777777" w:rsidR="0036449C" w:rsidRPr="003B7614" w:rsidRDefault="0036449C" w:rsidP="0036449C">
            <w:pPr>
              <w:jc w:val="center"/>
              <w:rPr>
                <w:b/>
                <w:bCs/>
                <w:spacing w:val="8"/>
                <w:sz w:val="24"/>
                <w:szCs w:val="24"/>
              </w:rPr>
            </w:pPr>
            <w:r w:rsidRPr="003B7614">
              <w:rPr>
                <w:b/>
                <w:bCs/>
                <w:spacing w:val="8"/>
                <w:sz w:val="24"/>
                <w:szCs w:val="24"/>
              </w:rPr>
              <w:t>Responsibility</w:t>
            </w:r>
          </w:p>
        </w:tc>
        <w:tc>
          <w:tcPr>
            <w:tcW w:w="4035" w:type="pct"/>
            <w:tcBorders>
              <w:top w:val="outset" w:sz="6" w:space="0" w:color="auto"/>
              <w:left w:val="outset" w:sz="6" w:space="0" w:color="auto"/>
              <w:bottom w:val="outset" w:sz="6" w:space="0" w:color="auto"/>
              <w:right w:val="outset" w:sz="6" w:space="0" w:color="auto"/>
            </w:tcBorders>
            <w:vAlign w:val="center"/>
          </w:tcPr>
          <w:p w14:paraId="33FC7305" w14:textId="77777777" w:rsidR="0036449C" w:rsidRPr="003B7614" w:rsidRDefault="0036449C" w:rsidP="00C1728B">
            <w:pPr>
              <w:numPr>
                <w:ilvl w:val="0"/>
                <w:numId w:val="64"/>
              </w:numPr>
              <w:rPr>
                <w:spacing w:val="8"/>
                <w:sz w:val="24"/>
                <w:szCs w:val="24"/>
              </w:rPr>
            </w:pPr>
            <w:r w:rsidRPr="003B7614">
              <w:rPr>
                <w:spacing w:val="8"/>
                <w:sz w:val="24"/>
                <w:szCs w:val="24"/>
              </w:rPr>
              <w:t xml:space="preserve">Hiring Supervisor - confirm qualifications </w:t>
            </w:r>
          </w:p>
          <w:p w14:paraId="76D55D5B" w14:textId="77777777" w:rsidR="0036449C" w:rsidRPr="003B7614" w:rsidRDefault="0036449C" w:rsidP="00C1728B">
            <w:pPr>
              <w:numPr>
                <w:ilvl w:val="0"/>
                <w:numId w:val="64"/>
              </w:numPr>
              <w:rPr>
                <w:spacing w:val="8"/>
                <w:sz w:val="24"/>
                <w:szCs w:val="24"/>
              </w:rPr>
            </w:pPr>
            <w:r w:rsidRPr="003B7614">
              <w:rPr>
                <w:spacing w:val="8"/>
                <w:sz w:val="24"/>
                <w:szCs w:val="24"/>
              </w:rPr>
              <w:t>Compliance - determine registration requirements</w:t>
            </w:r>
          </w:p>
          <w:p w14:paraId="726B6464" w14:textId="61E1FFF1" w:rsidR="00320673" w:rsidRPr="003B7614" w:rsidRDefault="00320673" w:rsidP="00C1728B">
            <w:pPr>
              <w:numPr>
                <w:ilvl w:val="0"/>
                <w:numId w:val="64"/>
              </w:numPr>
              <w:rPr>
                <w:spacing w:val="8"/>
                <w:sz w:val="24"/>
                <w:szCs w:val="24"/>
              </w:rPr>
            </w:pPr>
            <w:r w:rsidRPr="003B7614">
              <w:rPr>
                <w:spacing w:val="8"/>
                <w:sz w:val="24"/>
                <w:szCs w:val="24"/>
              </w:rPr>
              <w:t>Principals:  Morris Monroe, Laura Hendricks</w:t>
            </w:r>
          </w:p>
        </w:tc>
      </w:tr>
      <w:tr w:rsidR="0036449C" w:rsidRPr="003B7614" w14:paraId="5F0097C0" w14:textId="77777777">
        <w:trPr>
          <w:tblCellSpacing w:w="0" w:type="dxa"/>
        </w:trPr>
        <w:tc>
          <w:tcPr>
            <w:tcW w:w="965" w:type="pct"/>
            <w:tcBorders>
              <w:top w:val="outset" w:sz="6" w:space="0" w:color="auto"/>
              <w:left w:val="outset" w:sz="6" w:space="0" w:color="auto"/>
              <w:bottom w:val="outset" w:sz="6" w:space="0" w:color="auto"/>
              <w:right w:val="outset" w:sz="6" w:space="0" w:color="auto"/>
            </w:tcBorders>
            <w:vAlign w:val="center"/>
          </w:tcPr>
          <w:p w14:paraId="553B55C6" w14:textId="77777777" w:rsidR="0036449C" w:rsidRPr="003B7614" w:rsidRDefault="0036449C" w:rsidP="0036449C">
            <w:pPr>
              <w:jc w:val="center"/>
              <w:rPr>
                <w:b/>
                <w:bCs/>
                <w:spacing w:val="8"/>
                <w:sz w:val="24"/>
                <w:szCs w:val="24"/>
              </w:rPr>
            </w:pPr>
            <w:r w:rsidRPr="003B7614">
              <w:rPr>
                <w:b/>
                <w:bCs/>
                <w:spacing w:val="8"/>
                <w:sz w:val="24"/>
                <w:szCs w:val="24"/>
              </w:rPr>
              <w:t>Statutes</w:t>
            </w:r>
          </w:p>
        </w:tc>
        <w:tc>
          <w:tcPr>
            <w:tcW w:w="4035" w:type="pct"/>
            <w:tcBorders>
              <w:top w:val="outset" w:sz="6" w:space="0" w:color="auto"/>
              <w:left w:val="outset" w:sz="6" w:space="0" w:color="auto"/>
              <w:bottom w:val="outset" w:sz="6" w:space="0" w:color="auto"/>
              <w:right w:val="outset" w:sz="6" w:space="0" w:color="auto"/>
            </w:tcBorders>
            <w:vAlign w:val="center"/>
          </w:tcPr>
          <w:p w14:paraId="60567F45" w14:textId="77777777" w:rsidR="0036449C" w:rsidRPr="003B7614" w:rsidRDefault="0036449C" w:rsidP="00C1728B">
            <w:pPr>
              <w:numPr>
                <w:ilvl w:val="0"/>
                <w:numId w:val="65"/>
              </w:numPr>
              <w:rPr>
                <w:spacing w:val="8"/>
                <w:sz w:val="24"/>
                <w:szCs w:val="24"/>
              </w:rPr>
            </w:pPr>
            <w:r w:rsidRPr="003B7614">
              <w:rPr>
                <w:sz w:val="24"/>
                <w:szCs w:val="24"/>
              </w:rPr>
              <w:t>FINRA Rules 1014(a)(10)(D)</w:t>
            </w:r>
            <w:r w:rsidR="008F38F1">
              <w:rPr>
                <w:sz w:val="24"/>
                <w:szCs w:val="24"/>
              </w:rPr>
              <w:t xml:space="preserve">, </w:t>
            </w:r>
            <w:r w:rsidR="005A17DC">
              <w:rPr>
                <w:sz w:val="24"/>
                <w:szCs w:val="24"/>
              </w:rPr>
              <w:t>3110</w:t>
            </w:r>
            <w:r w:rsidR="008F38F1">
              <w:rPr>
                <w:sz w:val="24"/>
                <w:szCs w:val="24"/>
              </w:rPr>
              <w:t>, 3120</w:t>
            </w:r>
            <w:r w:rsidRPr="003B7614">
              <w:rPr>
                <w:sz w:val="24"/>
                <w:szCs w:val="24"/>
              </w:rPr>
              <w:t xml:space="preserve"> – Supervisor</w:t>
            </w:r>
            <w:r w:rsidR="005A17DC">
              <w:rPr>
                <w:sz w:val="24"/>
                <w:szCs w:val="24"/>
              </w:rPr>
              <w:t>s</w:t>
            </w:r>
          </w:p>
          <w:p w14:paraId="715D5AF2" w14:textId="77777777" w:rsidR="00196EAC" w:rsidRPr="004F4287" w:rsidRDefault="00196EAC" w:rsidP="00C1728B">
            <w:pPr>
              <w:numPr>
                <w:ilvl w:val="0"/>
                <w:numId w:val="65"/>
              </w:numPr>
              <w:rPr>
                <w:spacing w:val="8"/>
                <w:sz w:val="24"/>
                <w:szCs w:val="24"/>
              </w:rPr>
            </w:pPr>
            <w:r w:rsidRPr="003B7614">
              <w:rPr>
                <w:sz w:val="24"/>
                <w:szCs w:val="24"/>
              </w:rPr>
              <w:t>FINRA Rule 3130.02 – CCO Designations</w:t>
            </w:r>
          </w:p>
          <w:p w14:paraId="2576F0CC" w14:textId="77777777" w:rsidR="004F4287" w:rsidRPr="004F4287" w:rsidRDefault="004F4287" w:rsidP="00C1728B">
            <w:pPr>
              <w:numPr>
                <w:ilvl w:val="0"/>
                <w:numId w:val="65"/>
              </w:numPr>
              <w:rPr>
                <w:color w:val="FF0000"/>
                <w:spacing w:val="8"/>
                <w:sz w:val="24"/>
                <w:szCs w:val="24"/>
              </w:rPr>
            </w:pPr>
            <w:r w:rsidRPr="00E37A77">
              <w:rPr>
                <w:sz w:val="24"/>
                <w:szCs w:val="24"/>
              </w:rPr>
              <w:t xml:space="preserve">Rule </w:t>
            </w:r>
            <w:r w:rsidRPr="00411220">
              <w:rPr>
                <w:sz w:val="24"/>
                <w:szCs w:val="24"/>
              </w:rPr>
              <w:t>3012</w:t>
            </w:r>
          </w:p>
        </w:tc>
      </w:tr>
      <w:tr w:rsidR="0036449C" w:rsidRPr="003B7614" w14:paraId="5F9D93FD" w14:textId="77777777">
        <w:trPr>
          <w:tblCellSpacing w:w="0" w:type="dxa"/>
        </w:trPr>
        <w:tc>
          <w:tcPr>
            <w:tcW w:w="965" w:type="pct"/>
            <w:tcBorders>
              <w:top w:val="outset" w:sz="6" w:space="0" w:color="auto"/>
              <w:left w:val="outset" w:sz="6" w:space="0" w:color="auto"/>
              <w:bottom w:val="outset" w:sz="6" w:space="0" w:color="auto"/>
              <w:right w:val="outset" w:sz="6" w:space="0" w:color="auto"/>
            </w:tcBorders>
            <w:vAlign w:val="center"/>
          </w:tcPr>
          <w:p w14:paraId="34CA9231" w14:textId="77777777" w:rsidR="0036449C" w:rsidRPr="003B7614" w:rsidRDefault="0036449C" w:rsidP="0036449C">
            <w:pPr>
              <w:jc w:val="center"/>
              <w:rPr>
                <w:b/>
                <w:bCs/>
                <w:spacing w:val="8"/>
                <w:sz w:val="24"/>
                <w:szCs w:val="24"/>
              </w:rPr>
            </w:pPr>
            <w:r w:rsidRPr="003B7614">
              <w:rPr>
                <w:b/>
                <w:bCs/>
                <w:spacing w:val="8"/>
                <w:sz w:val="24"/>
                <w:szCs w:val="24"/>
              </w:rPr>
              <w:t>Frequency</w:t>
            </w:r>
          </w:p>
        </w:tc>
        <w:tc>
          <w:tcPr>
            <w:tcW w:w="4035" w:type="pct"/>
            <w:tcBorders>
              <w:top w:val="outset" w:sz="6" w:space="0" w:color="auto"/>
              <w:left w:val="outset" w:sz="6" w:space="0" w:color="auto"/>
              <w:bottom w:val="outset" w:sz="6" w:space="0" w:color="auto"/>
              <w:right w:val="outset" w:sz="6" w:space="0" w:color="auto"/>
            </w:tcBorders>
            <w:vAlign w:val="center"/>
          </w:tcPr>
          <w:p w14:paraId="5A573BCA" w14:textId="77777777" w:rsidR="0036449C" w:rsidRPr="003B7614" w:rsidRDefault="0036449C" w:rsidP="00C1728B">
            <w:pPr>
              <w:numPr>
                <w:ilvl w:val="0"/>
                <w:numId w:val="65"/>
              </w:numPr>
              <w:rPr>
                <w:spacing w:val="8"/>
                <w:sz w:val="24"/>
                <w:szCs w:val="24"/>
              </w:rPr>
            </w:pPr>
            <w:r w:rsidRPr="003B7614">
              <w:rPr>
                <w:spacing w:val="8"/>
                <w:sz w:val="24"/>
                <w:szCs w:val="24"/>
              </w:rPr>
              <w:t xml:space="preserve">As required </w:t>
            </w:r>
          </w:p>
        </w:tc>
      </w:tr>
      <w:tr w:rsidR="0036449C" w:rsidRPr="003B7614" w14:paraId="634AA268" w14:textId="77777777">
        <w:trPr>
          <w:tblCellSpacing w:w="0" w:type="dxa"/>
        </w:trPr>
        <w:tc>
          <w:tcPr>
            <w:tcW w:w="965" w:type="pct"/>
            <w:tcBorders>
              <w:top w:val="outset" w:sz="6" w:space="0" w:color="auto"/>
              <w:left w:val="outset" w:sz="6" w:space="0" w:color="auto"/>
              <w:bottom w:val="outset" w:sz="6" w:space="0" w:color="auto"/>
              <w:right w:val="outset" w:sz="6" w:space="0" w:color="auto"/>
            </w:tcBorders>
            <w:vAlign w:val="center"/>
          </w:tcPr>
          <w:p w14:paraId="3B43486C" w14:textId="77777777" w:rsidR="0036449C" w:rsidRPr="003B7614" w:rsidRDefault="0036449C" w:rsidP="0036449C">
            <w:pPr>
              <w:jc w:val="center"/>
              <w:rPr>
                <w:b/>
                <w:bCs/>
                <w:spacing w:val="8"/>
                <w:sz w:val="24"/>
                <w:szCs w:val="24"/>
              </w:rPr>
            </w:pPr>
            <w:r w:rsidRPr="003B7614">
              <w:rPr>
                <w:b/>
                <w:bCs/>
                <w:spacing w:val="8"/>
                <w:sz w:val="24"/>
                <w:szCs w:val="24"/>
              </w:rPr>
              <w:t>Action</w:t>
            </w:r>
            <w:r w:rsidR="00CD06AD" w:rsidRPr="003B7614">
              <w:rPr>
                <w:b/>
                <w:bCs/>
                <w:spacing w:val="8"/>
                <w:sz w:val="24"/>
                <w:szCs w:val="24"/>
              </w:rPr>
              <w:t>s</w:t>
            </w:r>
          </w:p>
        </w:tc>
        <w:tc>
          <w:tcPr>
            <w:tcW w:w="4035" w:type="pct"/>
            <w:tcBorders>
              <w:top w:val="outset" w:sz="6" w:space="0" w:color="auto"/>
              <w:left w:val="outset" w:sz="6" w:space="0" w:color="auto"/>
              <w:bottom w:val="outset" w:sz="6" w:space="0" w:color="auto"/>
              <w:right w:val="outset" w:sz="6" w:space="0" w:color="auto"/>
            </w:tcBorders>
            <w:vAlign w:val="center"/>
          </w:tcPr>
          <w:p w14:paraId="1F3E2636" w14:textId="77777777" w:rsidR="0036449C" w:rsidRPr="00411220" w:rsidRDefault="0036449C" w:rsidP="00C1728B">
            <w:pPr>
              <w:numPr>
                <w:ilvl w:val="0"/>
                <w:numId w:val="66"/>
              </w:numPr>
              <w:rPr>
                <w:spacing w:val="8"/>
                <w:sz w:val="24"/>
                <w:szCs w:val="24"/>
              </w:rPr>
            </w:pPr>
            <w:r w:rsidRPr="00411220">
              <w:rPr>
                <w:spacing w:val="8"/>
                <w:sz w:val="24"/>
                <w:szCs w:val="24"/>
              </w:rPr>
              <w:t xml:space="preserve">Hiring supervisor: </w:t>
            </w:r>
          </w:p>
          <w:p w14:paraId="2E4CAA54" w14:textId="77777777" w:rsidR="0036449C" w:rsidRPr="00411220" w:rsidRDefault="0036449C" w:rsidP="00C1728B">
            <w:pPr>
              <w:numPr>
                <w:ilvl w:val="1"/>
                <w:numId w:val="66"/>
              </w:numPr>
              <w:rPr>
                <w:spacing w:val="8"/>
                <w:sz w:val="24"/>
                <w:szCs w:val="24"/>
              </w:rPr>
            </w:pPr>
            <w:r w:rsidRPr="00411220">
              <w:rPr>
                <w:spacing w:val="8"/>
                <w:sz w:val="24"/>
                <w:szCs w:val="24"/>
              </w:rPr>
              <w:t xml:space="preserve">Evaluate candidate's qualifications including experience and knowledge </w:t>
            </w:r>
          </w:p>
          <w:p w14:paraId="4E2F21A5" w14:textId="77777777" w:rsidR="0036449C" w:rsidRDefault="0036449C" w:rsidP="00C1728B">
            <w:pPr>
              <w:numPr>
                <w:ilvl w:val="1"/>
                <w:numId w:val="66"/>
              </w:numPr>
              <w:rPr>
                <w:spacing w:val="8"/>
                <w:sz w:val="24"/>
                <w:szCs w:val="24"/>
              </w:rPr>
            </w:pPr>
            <w:r w:rsidRPr="00411220">
              <w:rPr>
                <w:spacing w:val="8"/>
                <w:sz w:val="24"/>
                <w:szCs w:val="24"/>
              </w:rPr>
              <w:t>Arrange for training, if necessary</w:t>
            </w:r>
          </w:p>
          <w:p w14:paraId="012A9B93" w14:textId="77777777" w:rsidR="0036449C" w:rsidRPr="00411220" w:rsidRDefault="0036449C" w:rsidP="00C1728B">
            <w:pPr>
              <w:numPr>
                <w:ilvl w:val="0"/>
                <w:numId w:val="66"/>
              </w:numPr>
              <w:rPr>
                <w:spacing w:val="8"/>
                <w:sz w:val="24"/>
                <w:szCs w:val="24"/>
              </w:rPr>
            </w:pPr>
            <w:r w:rsidRPr="00411220">
              <w:rPr>
                <w:spacing w:val="8"/>
                <w:sz w:val="24"/>
                <w:szCs w:val="24"/>
              </w:rPr>
              <w:t xml:space="preserve">Compliance: </w:t>
            </w:r>
          </w:p>
          <w:p w14:paraId="5A9F07B4" w14:textId="77777777" w:rsidR="0036449C" w:rsidRPr="00411220" w:rsidRDefault="0036449C" w:rsidP="00C1728B">
            <w:pPr>
              <w:numPr>
                <w:ilvl w:val="1"/>
                <w:numId w:val="66"/>
              </w:numPr>
              <w:rPr>
                <w:spacing w:val="8"/>
                <w:sz w:val="24"/>
                <w:szCs w:val="24"/>
              </w:rPr>
            </w:pPr>
            <w:r w:rsidRPr="00411220">
              <w:rPr>
                <w:spacing w:val="8"/>
                <w:sz w:val="24"/>
                <w:szCs w:val="24"/>
              </w:rPr>
              <w:t xml:space="preserve">Confirm individual has required registration qualifications and, if not, arrange for the individual to complete the required exams </w:t>
            </w:r>
          </w:p>
          <w:p w14:paraId="21F7722A" w14:textId="77777777" w:rsidR="0036449C" w:rsidRPr="00411220" w:rsidRDefault="0036449C" w:rsidP="003E7B18">
            <w:pPr>
              <w:numPr>
                <w:ilvl w:val="0"/>
                <w:numId w:val="271"/>
              </w:numPr>
              <w:rPr>
                <w:spacing w:val="8"/>
                <w:sz w:val="24"/>
                <w:szCs w:val="24"/>
              </w:rPr>
            </w:pPr>
            <w:r w:rsidRPr="00411220">
              <w:rPr>
                <w:spacing w:val="8"/>
                <w:sz w:val="24"/>
                <w:szCs w:val="24"/>
              </w:rPr>
              <w:t xml:space="preserve">Notify the hiring supervisor of added qualifications required and remind him/her the individual may not act as a supervisor until necessary registrations are obtained (unless a regulator allows for a grace period to act as a supervisor before registration is completed) </w:t>
            </w:r>
          </w:p>
          <w:p w14:paraId="2CE3782C" w14:textId="77777777" w:rsidR="0036449C" w:rsidRPr="00411220" w:rsidRDefault="0036449C" w:rsidP="00C1728B">
            <w:pPr>
              <w:numPr>
                <w:ilvl w:val="1"/>
                <w:numId w:val="66"/>
              </w:numPr>
              <w:rPr>
                <w:spacing w:val="8"/>
                <w:sz w:val="24"/>
                <w:szCs w:val="24"/>
              </w:rPr>
            </w:pPr>
            <w:r w:rsidRPr="00411220">
              <w:rPr>
                <w:spacing w:val="8"/>
                <w:sz w:val="24"/>
                <w:szCs w:val="24"/>
              </w:rPr>
              <w:t>Provide supervisory policies/procedures to the candidate if not already available to him/her</w:t>
            </w:r>
          </w:p>
          <w:p w14:paraId="2D85EB54" w14:textId="77777777" w:rsidR="00A92A19" w:rsidRPr="00411220" w:rsidRDefault="00196EAC" w:rsidP="00C1728B">
            <w:pPr>
              <w:numPr>
                <w:ilvl w:val="1"/>
                <w:numId w:val="66"/>
              </w:numPr>
              <w:rPr>
                <w:spacing w:val="8"/>
                <w:sz w:val="24"/>
                <w:szCs w:val="24"/>
              </w:rPr>
            </w:pPr>
            <w:r w:rsidRPr="00411220">
              <w:rPr>
                <w:spacing w:val="8"/>
                <w:sz w:val="24"/>
                <w:szCs w:val="24"/>
              </w:rPr>
              <w:t>Form BD – Sch</w:t>
            </w:r>
            <w:r w:rsidR="00F95A7B" w:rsidRPr="00411220">
              <w:rPr>
                <w:spacing w:val="8"/>
                <w:sz w:val="24"/>
                <w:szCs w:val="24"/>
              </w:rPr>
              <w:t>edule</w:t>
            </w:r>
            <w:r w:rsidRPr="00411220">
              <w:rPr>
                <w:spacing w:val="8"/>
                <w:sz w:val="24"/>
                <w:szCs w:val="24"/>
              </w:rPr>
              <w:t xml:space="preserve"> A: file any CCO designations</w:t>
            </w:r>
          </w:p>
          <w:p w14:paraId="05A1C9F7" w14:textId="77777777" w:rsidR="004F4287" w:rsidRPr="00411220" w:rsidRDefault="00A92A19" w:rsidP="00C1728B">
            <w:pPr>
              <w:numPr>
                <w:ilvl w:val="1"/>
                <w:numId w:val="66"/>
              </w:numPr>
              <w:rPr>
                <w:spacing w:val="8"/>
                <w:sz w:val="24"/>
                <w:szCs w:val="24"/>
              </w:rPr>
            </w:pPr>
            <w:r w:rsidRPr="00411220">
              <w:rPr>
                <w:spacing w:val="8"/>
                <w:sz w:val="24"/>
                <w:szCs w:val="24"/>
              </w:rPr>
              <w:t>I</w:t>
            </w:r>
            <w:r w:rsidRPr="00411220">
              <w:rPr>
                <w:sz w:val="24"/>
                <w:szCs w:val="24"/>
              </w:rPr>
              <w:t xml:space="preserve">dentify each office as to type to determine regulatory requirements, maintain list of offices and types </w:t>
            </w:r>
          </w:p>
          <w:p w14:paraId="2ACDB10B" w14:textId="77777777" w:rsidR="004F4287" w:rsidRPr="00411220" w:rsidRDefault="004F4287" w:rsidP="00C1728B">
            <w:pPr>
              <w:numPr>
                <w:ilvl w:val="1"/>
                <w:numId w:val="66"/>
              </w:numPr>
              <w:rPr>
                <w:spacing w:val="8"/>
                <w:sz w:val="24"/>
                <w:szCs w:val="24"/>
              </w:rPr>
            </w:pPr>
            <w:r w:rsidRPr="00411220">
              <w:rPr>
                <w:sz w:val="24"/>
                <w:szCs w:val="24"/>
              </w:rPr>
              <w:t>Maintain assignment of Supervisors</w:t>
            </w:r>
          </w:p>
          <w:p w14:paraId="300DC232" w14:textId="77777777" w:rsidR="004F4287" w:rsidRPr="00411220" w:rsidRDefault="004F4287" w:rsidP="00C1728B">
            <w:pPr>
              <w:numPr>
                <w:ilvl w:val="1"/>
                <w:numId w:val="66"/>
              </w:numPr>
              <w:rPr>
                <w:spacing w:val="8"/>
                <w:sz w:val="24"/>
                <w:szCs w:val="24"/>
              </w:rPr>
            </w:pPr>
            <w:r w:rsidRPr="00411220">
              <w:rPr>
                <w:sz w:val="24"/>
                <w:szCs w:val="24"/>
              </w:rPr>
              <w:t xml:space="preserve">Identify and review of Producing Supervisors transactions, customers </w:t>
            </w:r>
          </w:p>
          <w:p w14:paraId="1ADFD1C8" w14:textId="77777777" w:rsidR="004F4287" w:rsidRPr="00411220" w:rsidRDefault="004F4287" w:rsidP="00C1728B">
            <w:pPr>
              <w:numPr>
                <w:ilvl w:val="1"/>
                <w:numId w:val="66"/>
              </w:numPr>
              <w:rPr>
                <w:spacing w:val="8"/>
                <w:sz w:val="24"/>
                <w:szCs w:val="24"/>
              </w:rPr>
            </w:pPr>
            <w:r w:rsidRPr="00411220">
              <w:rPr>
                <w:sz w:val="24"/>
                <w:szCs w:val="24"/>
              </w:rPr>
              <w:t>Determination of Limited Size Exemption</w:t>
            </w:r>
          </w:p>
          <w:p w14:paraId="177FA26D" w14:textId="77777777" w:rsidR="00A92A19" w:rsidRPr="00411220" w:rsidRDefault="00A92A19" w:rsidP="00C1728B">
            <w:pPr>
              <w:numPr>
                <w:ilvl w:val="1"/>
                <w:numId w:val="66"/>
              </w:numPr>
              <w:rPr>
                <w:spacing w:val="8"/>
                <w:sz w:val="24"/>
                <w:szCs w:val="24"/>
              </w:rPr>
            </w:pPr>
            <w:r w:rsidRPr="00411220">
              <w:rPr>
                <w:sz w:val="24"/>
                <w:szCs w:val="24"/>
              </w:rPr>
              <w:t>File any required regulatory forms</w:t>
            </w:r>
          </w:p>
          <w:p w14:paraId="1686EEFD" w14:textId="77777777" w:rsidR="007F1060" w:rsidRPr="00411220" w:rsidRDefault="007F1060" w:rsidP="00C1728B">
            <w:pPr>
              <w:numPr>
                <w:ilvl w:val="1"/>
                <w:numId w:val="66"/>
              </w:numPr>
              <w:rPr>
                <w:spacing w:val="8"/>
                <w:sz w:val="24"/>
                <w:szCs w:val="24"/>
              </w:rPr>
            </w:pPr>
            <w:r w:rsidRPr="00411220">
              <w:rPr>
                <w:sz w:val="24"/>
                <w:szCs w:val="24"/>
              </w:rPr>
              <w:t>Conduct inspections of offices</w:t>
            </w:r>
          </w:p>
          <w:p w14:paraId="518B2D03" w14:textId="77777777" w:rsidR="00196EAC" w:rsidRPr="00411220" w:rsidRDefault="00196EAC" w:rsidP="00196EAC">
            <w:pPr>
              <w:ind w:left="1440"/>
              <w:rPr>
                <w:spacing w:val="8"/>
                <w:sz w:val="24"/>
                <w:szCs w:val="24"/>
              </w:rPr>
            </w:pPr>
          </w:p>
        </w:tc>
      </w:tr>
      <w:tr w:rsidR="0036449C" w:rsidRPr="003B7614" w14:paraId="64ADBE9B" w14:textId="77777777">
        <w:trPr>
          <w:tblCellSpacing w:w="0" w:type="dxa"/>
        </w:trPr>
        <w:tc>
          <w:tcPr>
            <w:tcW w:w="965" w:type="pct"/>
            <w:tcBorders>
              <w:top w:val="outset" w:sz="6" w:space="0" w:color="auto"/>
              <w:left w:val="outset" w:sz="6" w:space="0" w:color="auto"/>
              <w:bottom w:val="outset" w:sz="6" w:space="0" w:color="auto"/>
              <w:right w:val="outset" w:sz="6" w:space="0" w:color="auto"/>
            </w:tcBorders>
            <w:vAlign w:val="center"/>
          </w:tcPr>
          <w:p w14:paraId="41455336" w14:textId="77777777" w:rsidR="0036449C" w:rsidRPr="003B7614" w:rsidRDefault="0036449C" w:rsidP="0036449C">
            <w:pPr>
              <w:jc w:val="center"/>
              <w:rPr>
                <w:b/>
                <w:bCs/>
                <w:spacing w:val="8"/>
                <w:sz w:val="24"/>
                <w:szCs w:val="24"/>
              </w:rPr>
            </w:pPr>
            <w:r w:rsidRPr="003B7614">
              <w:rPr>
                <w:b/>
                <w:bCs/>
                <w:spacing w:val="8"/>
                <w:sz w:val="24"/>
                <w:szCs w:val="24"/>
              </w:rPr>
              <w:lastRenderedPageBreak/>
              <w:t>Record</w:t>
            </w:r>
            <w:r w:rsidR="007A2DBC" w:rsidRPr="003B7614">
              <w:rPr>
                <w:b/>
                <w:bCs/>
                <w:spacing w:val="8"/>
                <w:sz w:val="24"/>
                <w:szCs w:val="24"/>
              </w:rPr>
              <w:t>s</w:t>
            </w:r>
          </w:p>
        </w:tc>
        <w:tc>
          <w:tcPr>
            <w:tcW w:w="4035" w:type="pct"/>
            <w:tcBorders>
              <w:top w:val="outset" w:sz="6" w:space="0" w:color="auto"/>
              <w:left w:val="outset" w:sz="6" w:space="0" w:color="auto"/>
              <w:bottom w:val="outset" w:sz="6" w:space="0" w:color="auto"/>
              <w:right w:val="outset" w:sz="6" w:space="0" w:color="auto"/>
            </w:tcBorders>
            <w:vAlign w:val="center"/>
          </w:tcPr>
          <w:p w14:paraId="1B9619E2" w14:textId="77777777" w:rsidR="0036449C" w:rsidRPr="00411220" w:rsidRDefault="0036449C" w:rsidP="00C1728B">
            <w:pPr>
              <w:numPr>
                <w:ilvl w:val="0"/>
                <w:numId w:val="67"/>
              </w:numPr>
              <w:rPr>
                <w:spacing w:val="8"/>
                <w:sz w:val="24"/>
                <w:szCs w:val="24"/>
              </w:rPr>
            </w:pPr>
            <w:r w:rsidRPr="00411220">
              <w:rPr>
                <w:spacing w:val="8"/>
                <w:sz w:val="24"/>
                <w:szCs w:val="24"/>
              </w:rPr>
              <w:t xml:space="preserve">Background and registration information in candidate's file </w:t>
            </w:r>
          </w:p>
          <w:p w14:paraId="686BAFB7" w14:textId="77777777" w:rsidR="0036449C" w:rsidRPr="00411220" w:rsidRDefault="0036449C" w:rsidP="00C1728B">
            <w:pPr>
              <w:numPr>
                <w:ilvl w:val="0"/>
                <w:numId w:val="67"/>
              </w:numPr>
              <w:rPr>
                <w:spacing w:val="8"/>
                <w:sz w:val="24"/>
                <w:szCs w:val="24"/>
              </w:rPr>
            </w:pPr>
            <w:r w:rsidRPr="00411220">
              <w:rPr>
                <w:spacing w:val="8"/>
                <w:sz w:val="24"/>
                <w:szCs w:val="24"/>
              </w:rPr>
              <w:t xml:space="preserve">Record of exams as qualification </w:t>
            </w:r>
          </w:p>
          <w:p w14:paraId="0640FDAA" w14:textId="77777777" w:rsidR="00A92A19" w:rsidRPr="00411220" w:rsidRDefault="00A92A19" w:rsidP="00C1728B">
            <w:pPr>
              <w:numPr>
                <w:ilvl w:val="0"/>
                <w:numId w:val="67"/>
              </w:numPr>
              <w:rPr>
                <w:spacing w:val="8"/>
                <w:sz w:val="24"/>
                <w:szCs w:val="24"/>
              </w:rPr>
            </w:pPr>
            <w:r w:rsidRPr="00411220">
              <w:rPr>
                <w:spacing w:val="8"/>
                <w:sz w:val="24"/>
                <w:szCs w:val="24"/>
              </w:rPr>
              <w:t>Record of offices and type</w:t>
            </w:r>
            <w:r w:rsidR="007F1060" w:rsidRPr="00411220">
              <w:rPr>
                <w:spacing w:val="8"/>
                <w:sz w:val="24"/>
                <w:szCs w:val="24"/>
              </w:rPr>
              <w:t>, and in</w:t>
            </w:r>
            <w:r w:rsidR="00604A2C">
              <w:rPr>
                <w:spacing w:val="8"/>
                <w:sz w:val="24"/>
                <w:szCs w:val="24"/>
              </w:rPr>
              <w:t>s</w:t>
            </w:r>
            <w:r w:rsidR="007F1060" w:rsidRPr="00411220">
              <w:rPr>
                <w:spacing w:val="8"/>
                <w:sz w:val="24"/>
                <w:szCs w:val="24"/>
              </w:rPr>
              <w:t>pections</w:t>
            </w:r>
          </w:p>
          <w:p w14:paraId="065011BE" w14:textId="77777777" w:rsidR="0036449C" w:rsidRPr="00411220" w:rsidRDefault="0036449C" w:rsidP="00C1728B">
            <w:pPr>
              <w:numPr>
                <w:ilvl w:val="0"/>
                <w:numId w:val="67"/>
              </w:numPr>
              <w:rPr>
                <w:spacing w:val="8"/>
                <w:sz w:val="24"/>
                <w:szCs w:val="24"/>
              </w:rPr>
            </w:pPr>
            <w:r w:rsidRPr="00411220">
              <w:rPr>
                <w:spacing w:val="8"/>
                <w:sz w:val="24"/>
                <w:szCs w:val="24"/>
              </w:rPr>
              <w:t>Record of providing supervisory policies/procedures</w:t>
            </w:r>
          </w:p>
          <w:p w14:paraId="48C5553A" w14:textId="77777777" w:rsidR="00EE172D" w:rsidRPr="00411220" w:rsidRDefault="00196EAC" w:rsidP="00C1728B">
            <w:pPr>
              <w:numPr>
                <w:ilvl w:val="0"/>
                <w:numId w:val="67"/>
              </w:numPr>
              <w:rPr>
                <w:spacing w:val="8"/>
                <w:sz w:val="24"/>
                <w:szCs w:val="24"/>
              </w:rPr>
            </w:pPr>
            <w:r w:rsidRPr="00411220">
              <w:rPr>
                <w:spacing w:val="8"/>
                <w:sz w:val="24"/>
                <w:szCs w:val="24"/>
              </w:rPr>
              <w:t>Form BD, Schedule A – CCO designation</w:t>
            </w:r>
          </w:p>
          <w:p w14:paraId="55637C8B" w14:textId="77777777" w:rsidR="00A92A19" w:rsidRPr="00411220" w:rsidRDefault="00A92A19" w:rsidP="00C1728B">
            <w:pPr>
              <w:numPr>
                <w:ilvl w:val="0"/>
                <w:numId w:val="67"/>
              </w:numPr>
              <w:rPr>
                <w:spacing w:val="8"/>
                <w:sz w:val="24"/>
                <w:szCs w:val="24"/>
              </w:rPr>
            </w:pPr>
            <w:r w:rsidRPr="00411220">
              <w:rPr>
                <w:spacing w:val="8"/>
                <w:sz w:val="24"/>
                <w:szCs w:val="24"/>
              </w:rPr>
              <w:t>Regulatory filings</w:t>
            </w:r>
          </w:p>
        </w:tc>
      </w:tr>
    </w:tbl>
    <w:p w14:paraId="78761F8A" w14:textId="77777777" w:rsidR="00F16AC0" w:rsidRDefault="00F16AC0">
      <w:pPr>
        <w:jc w:val="both"/>
        <w:rPr>
          <w:sz w:val="24"/>
        </w:rPr>
      </w:pPr>
    </w:p>
    <w:p w14:paraId="66A4EC2A" w14:textId="77777777" w:rsidR="00EE172D" w:rsidRDefault="00EE172D">
      <w:pPr>
        <w:jc w:val="both"/>
        <w:rPr>
          <w:sz w:val="24"/>
        </w:rPr>
      </w:pPr>
    </w:p>
    <w:p w14:paraId="6004EAFC" w14:textId="77777777" w:rsidR="00EE172D" w:rsidRPr="000C570A" w:rsidRDefault="00EE172D" w:rsidP="00936FEE">
      <w:pPr>
        <w:pStyle w:val="Heading2"/>
      </w:pPr>
      <w:bookmarkStart w:id="30" w:name="_3.3_Designated_Supervisors"/>
      <w:bookmarkEnd w:id="30"/>
      <w:r w:rsidRPr="000C570A">
        <w:t>3.</w:t>
      </w:r>
      <w:r w:rsidR="00C23199" w:rsidRPr="000C570A">
        <w:t>3</w:t>
      </w:r>
      <w:r w:rsidRPr="000C570A">
        <w:t xml:space="preserve"> </w:t>
      </w:r>
      <w:r w:rsidR="00A2129F" w:rsidRPr="000C570A">
        <w:t xml:space="preserve">Designated </w:t>
      </w:r>
      <w:r w:rsidRPr="000C570A">
        <w:t>Supervisors</w:t>
      </w:r>
      <w:r w:rsidR="00A2129F" w:rsidRPr="000C570A">
        <w:t xml:space="preserve"> and </w:t>
      </w:r>
      <w:r w:rsidRPr="000C570A">
        <w:t>Responsibilities</w:t>
      </w:r>
    </w:p>
    <w:p w14:paraId="37B7BCAF" w14:textId="297A8148" w:rsidR="00EE172D" w:rsidRDefault="00EE172D" w:rsidP="006C46F0">
      <w:pPr>
        <w:jc w:val="both"/>
        <w:rPr>
          <w:sz w:val="24"/>
        </w:rPr>
      </w:pPr>
      <w:r>
        <w:rPr>
          <w:sz w:val="24"/>
        </w:rPr>
        <w:t xml:space="preserve">Within the office the following person(s) is (are) hereby designated in writing as a supervisor(s) with their respective areas of responsibility designated.  These supervisory people have been selected on the basis of qualifications, i.e. specifically, licensing regulations; experience; background; and character.  It is the Company's position that the proper selection and installation of supervisory personnel will be a key factor in conducting the Company's business on a high moral and ethical plane.  Full authority to enforce an associated person's compliance with the standards of conduct, both moral and ethical, will be given to the designated supervisor (hereinafter referred to as "designated person").  Periodic inspections and interviews will be conducted to </w:t>
      </w:r>
      <w:r w:rsidR="00A71910">
        <w:rPr>
          <w:sz w:val="24"/>
        </w:rPr>
        <w:t>ensure</w:t>
      </w:r>
      <w:r>
        <w:rPr>
          <w:sz w:val="24"/>
        </w:rPr>
        <w:t xml:space="preserve"> that each designated person is complying with the standards of this area.</w:t>
      </w:r>
    </w:p>
    <w:p w14:paraId="1ECE5813" w14:textId="77777777" w:rsidR="006C46F0" w:rsidRDefault="006C46F0" w:rsidP="006C46F0">
      <w:pPr>
        <w:jc w:val="both"/>
        <w:rPr>
          <w:sz w:val="24"/>
        </w:rPr>
      </w:pPr>
    </w:p>
    <w:p w14:paraId="6D1583DA" w14:textId="77777777" w:rsidR="000C099C" w:rsidRDefault="000C099C">
      <w:pPr>
        <w:jc w:val="both"/>
        <w:rPr>
          <w:sz w:val="24"/>
        </w:rPr>
      </w:pPr>
      <w:r>
        <w:rPr>
          <w:sz w:val="24"/>
        </w:rPr>
        <w:t>For all regulatory purposes, the Company's main office as listed on its Form BD is an office of supervisory jurisdiction under collective supervision of Morris Monroe as set out below herein.</w:t>
      </w:r>
    </w:p>
    <w:p w14:paraId="6D702FD0" w14:textId="77777777" w:rsidR="008F38F1" w:rsidRDefault="008F38F1">
      <w:pPr>
        <w:jc w:val="both"/>
        <w:rPr>
          <w:sz w:val="24"/>
        </w:rPr>
      </w:pPr>
    </w:p>
    <w:p w14:paraId="03E734E1" w14:textId="77777777" w:rsidR="000C099C" w:rsidRDefault="000C0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u w:val="single"/>
        </w:rPr>
      </w:pPr>
      <w:bookmarkStart w:id="31" w:name="DesignationofPrinc"/>
      <w:r>
        <w:rPr>
          <w:b/>
          <w:sz w:val="24"/>
          <w:u w:val="single"/>
        </w:rPr>
        <w:t>Supervisor</w:t>
      </w:r>
      <w:bookmarkEnd w:id="31"/>
      <w:r>
        <w:rPr>
          <w:b/>
          <w:sz w:val="24"/>
          <w:u w:val="single"/>
        </w:rPr>
        <w:t>:</w:t>
      </w:r>
      <w:r>
        <w:rPr>
          <w:b/>
          <w:sz w:val="24"/>
        </w:rPr>
        <w:tab/>
      </w:r>
      <w:r>
        <w:rPr>
          <w:b/>
          <w:sz w:val="24"/>
        </w:rPr>
        <w:tab/>
      </w:r>
      <w:r>
        <w:rPr>
          <w:b/>
          <w:sz w:val="24"/>
        </w:rPr>
        <w:tab/>
      </w:r>
      <w:r>
        <w:rPr>
          <w:b/>
          <w:sz w:val="24"/>
          <w:u w:val="single"/>
        </w:rPr>
        <w:t>Area of Responsibility:</w:t>
      </w:r>
      <w:r>
        <w:rPr>
          <w:b/>
          <w:sz w:val="24"/>
        </w:rPr>
        <w:tab/>
      </w:r>
      <w:r>
        <w:rPr>
          <w:b/>
          <w:sz w:val="24"/>
        </w:rPr>
        <w:tab/>
      </w:r>
      <w:r>
        <w:rPr>
          <w:b/>
          <w:sz w:val="24"/>
        </w:rPr>
        <w:tab/>
      </w:r>
      <w:r>
        <w:rPr>
          <w:b/>
          <w:sz w:val="24"/>
          <w:u w:val="single"/>
        </w:rPr>
        <w:t>Qualifications:</w:t>
      </w:r>
    </w:p>
    <w:p w14:paraId="57E44805" w14:textId="77777777" w:rsidR="000C099C" w:rsidRDefault="000C0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4505"/>
        <w:gridCol w:w="2155"/>
      </w:tblGrid>
      <w:tr w:rsidR="006B3E4B" w14:paraId="6BAA380B" w14:textId="77777777" w:rsidTr="00FE58DB">
        <w:tc>
          <w:tcPr>
            <w:tcW w:w="2785" w:type="dxa"/>
          </w:tcPr>
          <w:p w14:paraId="6BABCF11"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sz w:val="24"/>
              </w:rPr>
              <w:t xml:space="preserve">Morris Monroe </w:t>
            </w:r>
            <w:r>
              <w:rPr>
                <w:i/>
                <w:sz w:val="16"/>
                <w:szCs w:val="16"/>
              </w:rPr>
              <w:t>(</w:t>
            </w:r>
            <w:proofErr w:type="gramStart"/>
            <w:r>
              <w:rPr>
                <w:i/>
                <w:sz w:val="16"/>
                <w:szCs w:val="16"/>
              </w:rPr>
              <w:t>eff</w:t>
            </w:r>
            <w:proofErr w:type="gramEnd"/>
            <w:r>
              <w:rPr>
                <w:i/>
                <w:sz w:val="16"/>
                <w:szCs w:val="16"/>
              </w:rPr>
              <w:t xml:space="preserve"> 06/88)</w:t>
            </w:r>
          </w:p>
        </w:tc>
        <w:tc>
          <w:tcPr>
            <w:tcW w:w="4505" w:type="dxa"/>
          </w:tcPr>
          <w:p w14:paraId="3933A48E"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sz w:val="24"/>
              </w:rPr>
              <w:t>Strategic Planning</w:t>
            </w:r>
          </w:p>
        </w:tc>
        <w:tc>
          <w:tcPr>
            <w:tcW w:w="2155" w:type="dxa"/>
          </w:tcPr>
          <w:p w14:paraId="0D3CAC4A"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sz w:val="24"/>
              </w:rPr>
              <w:t>Series 24, 28, 53</w:t>
            </w:r>
          </w:p>
        </w:tc>
      </w:tr>
      <w:tr w:rsidR="006B3E4B" w14:paraId="1E6F5E18" w14:textId="77777777" w:rsidTr="00FE58DB">
        <w:tc>
          <w:tcPr>
            <w:tcW w:w="2785" w:type="dxa"/>
          </w:tcPr>
          <w:p w14:paraId="7C3501CB" w14:textId="77777777" w:rsidR="006B3E4B" w:rsidRPr="004C1590" w:rsidRDefault="006B3E4B" w:rsidP="000B3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4C1590">
              <w:rPr>
                <w:sz w:val="24"/>
              </w:rPr>
              <w:t>Pres/CEO/CCO/</w:t>
            </w:r>
            <w:r w:rsidR="00FE58DB" w:rsidRPr="004C1590">
              <w:rPr>
                <w:sz w:val="24"/>
              </w:rPr>
              <w:t>PFO</w:t>
            </w:r>
          </w:p>
        </w:tc>
        <w:tc>
          <w:tcPr>
            <w:tcW w:w="4505" w:type="dxa"/>
          </w:tcPr>
          <w:p w14:paraId="1892B612"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sz w:val="24"/>
              </w:rPr>
              <w:t>Business Development</w:t>
            </w:r>
          </w:p>
        </w:tc>
        <w:tc>
          <w:tcPr>
            <w:tcW w:w="2155" w:type="dxa"/>
          </w:tcPr>
          <w:p w14:paraId="4F5F849D"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r>
      <w:tr w:rsidR="006B3E4B" w14:paraId="7FA633F5" w14:textId="77777777" w:rsidTr="00FE58DB">
        <w:tc>
          <w:tcPr>
            <w:tcW w:w="2785" w:type="dxa"/>
          </w:tcPr>
          <w:p w14:paraId="31797724" w14:textId="77777777" w:rsidR="006B3E4B" w:rsidRPr="004C1590" w:rsidRDefault="006B3E4B" w:rsidP="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4C1590">
              <w:rPr>
                <w:sz w:val="24"/>
              </w:rPr>
              <w:t>Princ</w:t>
            </w:r>
            <w:r w:rsidR="004C1590">
              <w:rPr>
                <w:sz w:val="24"/>
              </w:rPr>
              <w:t>ipal</w:t>
            </w:r>
            <w:r w:rsidRPr="004C1590">
              <w:rPr>
                <w:sz w:val="24"/>
              </w:rPr>
              <w:t xml:space="preserve"> Op Officer, </w:t>
            </w:r>
          </w:p>
        </w:tc>
        <w:tc>
          <w:tcPr>
            <w:tcW w:w="4505" w:type="dxa"/>
          </w:tcPr>
          <w:p w14:paraId="1BDC714E"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sz w:val="24"/>
              </w:rPr>
              <w:t>Retail Securities Activities</w:t>
            </w:r>
          </w:p>
        </w:tc>
        <w:tc>
          <w:tcPr>
            <w:tcW w:w="2155" w:type="dxa"/>
          </w:tcPr>
          <w:p w14:paraId="72F36CEA"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r>
      <w:tr w:rsidR="006B3E4B" w14:paraId="4D0D98BA" w14:textId="77777777" w:rsidTr="00FE58DB">
        <w:tc>
          <w:tcPr>
            <w:tcW w:w="2785" w:type="dxa"/>
          </w:tcPr>
          <w:p w14:paraId="26242E06" w14:textId="77777777" w:rsidR="006B3E4B" w:rsidRPr="006B3E4B" w:rsidRDefault="0007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AML CO </w:t>
            </w:r>
            <w:r>
              <w:rPr>
                <w:i/>
              </w:rPr>
              <w:t>(</w:t>
            </w:r>
            <w:proofErr w:type="gramStart"/>
            <w:r>
              <w:rPr>
                <w:i/>
              </w:rPr>
              <w:t>eff</w:t>
            </w:r>
            <w:proofErr w:type="gramEnd"/>
            <w:r>
              <w:rPr>
                <w:i/>
              </w:rPr>
              <w:t xml:space="preserve"> 2/22/02)</w:t>
            </w:r>
          </w:p>
        </w:tc>
        <w:tc>
          <w:tcPr>
            <w:tcW w:w="4505" w:type="dxa"/>
          </w:tcPr>
          <w:p w14:paraId="550664EF"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sz w:val="24"/>
              </w:rPr>
              <w:t>Institutional Sales Activities</w:t>
            </w:r>
          </w:p>
        </w:tc>
        <w:tc>
          <w:tcPr>
            <w:tcW w:w="2155" w:type="dxa"/>
          </w:tcPr>
          <w:p w14:paraId="715B0CF9"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r>
      <w:tr w:rsidR="006B3E4B" w14:paraId="6AC2CBCB" w14:textId="77777777" w:rsidTr="00FE58DB">
        <w:tc>
          <w:tcPr>
            <w:tcW w:w="2785" w:type="dxa"/>
          </w:tcPr>
          <w:p w14:paraId="1DA9038B"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sz w:val="24"/>
              </w:rPr>
              <w:tab/>
            </w:r>
          </w:p>
        </w:tc>
        <w:tc>
          <w:tcPr>
            <w:tcW w:w="4505" w:type="dxa"/>
          </w:tcPr>
          <w:p w14:paraId="77F9BB84" w14:textId="77777777" w:rsidR="006B3E4B" w:rsidRP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6B3E4B">
              <w:rPr>
                <w:sz w:val="24"/>
              </w:rPr>
              <w:t>Underwriting Activities</w:t>
            </w:r>
          </w:p>
        </w:tc>
        <w:tc>
          <w:tcPr>
            <w:tcW w:w="2155" w:type="dxa"/>
          </w:tcPr>
          <w:p w14:paraId="429BB6DB"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r>
      <w:tr w:rsidR="006B3E4B" w14:paraId="6C3DB0C7" w14:textId="77777777" w:rsidTr="00FE58DB">
        <w:tc>
          <w:tcPr>
            <w:tcW w:w="2785" w:type="dxa"/>
          </w:tcPr>
          <w:p w14:paraId="4E111B96"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604A2C">
              <w:rPr>
                <w:i/>
                <w:sz w:val="24"/>
              </w:rPr>
              <w:t xml:space="preserve">Producing </w:t>
            </w:r>
            <w:proofErr w:type="spellStart"/>
            <w:r w:rsidRPr="00604A2C">
              <w:rPr>
                <w:i/>
                <w:sz w:val="24"/>
              </w:rPr>
              <w:t>Supv</w:t>
            </w:r>
            <w:proofErr w:type="spellEnd"/>
          </w:p>
        </w:tc>
        <w:tc>
          <w:tcPr>
            <w:tcW w:w="4505" w:type="dxa"/>
          </w:tcPr>
          <w:p w14:paraId="015C3877" w14:textId="77777777" w:rsidR="006B3E4B" w:rsidRPr="006B3E4B" w:rsidRDefault="00665717" w:rsidP="000C4CBC">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72" w:hanging="72"/>
              <w:jc w:val="both"/>
              <w:rPr>
                <w:sz w:val="24"/>
              </w:rPr>
            </w:pPr>
            <w:r>
              <w:rPr>
                <w:sz w:val="24"/>
              </w:rPr>
              <w:t>Advertising Activities</w:t>
            </w:r>
          </w:p>
        </w:tc>
        <w:tc>
          <w:tcPr>
            <w:tcW w:w="2155" w:type="dxa"/>
          </w:tcPr>
          <w:p w14:paraId="49EEE115" w14:textId="77777777" w:rsidR="006B3E4B" w:rsidRP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6B3E4B" w14:paraId="3D6E9005" w14:textId="77777777" w:rsidTr="00FE58DB">
        <w:tc>
          <w:tcPr>
            <w:tcW w:w="2785" w:type="dxa"/>
          </w:tcPr>
          <w:p w14:paraId="15B3B8E8" w14:textId="77777777" w:rsid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A85AC1">
              <w:rPr>
                <w:i/>
                <w:sz w:val="24"/>
              </w:rPr>
              <w:t>Reviewed by LMH</w:t>
            </w:r>
          </w:p>
        </w:tc>
        <w:tc>
          <w:tcPr>
            <w:tcW w:w="4505" w:type="dxa"/>
          </w:tcPr>
          <w:p w14:paraId="2AC96470" w14:textId="77777777" w:rsidR="006B3E4B" w:rsidRPr="006B3E4B" w:rsidRDefault="000C4CBC" w:rsidP="000C4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sz w:val="24"/>
              </w:rPr>
            </w:pPr>
            <w:r>
              <w:rPr>
                <w:sz w:val="24"/>
              </w:rPr>
              <w:t>Markup/Markdown Policies</w:t>
            </w:r>
          </w:p>
        </w:tc>
        <w:tc>
          <w:tcPr>
            <w:tcW w:w="2155" w:type="dxa"/>
          </w:tcPr>
          <w:p w14:paraId="0B1EF375" w14:textId="77777777" w:rsidR="006B3E4B" w:rsidRPr="006B3E4B" w:rsidRDefault="006B3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2452C5" w14:paraId="24729CD3" w14:textId="77777777" w:rsidTr="00FE58DB">
        <w:tc>
          <w:tcPr>
            <w:tcW w:w="2785" w:type="dxa"/>
          </w:tcPr>
          <w:p w14:paraId="5597D25A" w14:textId="77777777" w:rsidR="002452C5"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3C6DABED" w14:textId="77777777" w:rsidR="002452C5" w:rsidRPr="00223226"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23226">
              <w:rPr>
                <w:sz w:val="24"/>
              </w:rPr>
              <w:t xml:space="preserve">Discretionary Account Activities </w:t>
            </w:r>
          </w:p>
        </w:tc>
        <w:tc>
          <w:tcPr>
            <w:tcW w:w="2155" w:type="dxa"/>
          </w:tcPr>
          <w:p w14:paraId="566965C8" w14:textId="77777777" w:rsidR="002452C5" w:rsidRPr="006B3E4B"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2452C5" w14:paraId="4C761D1A" w14:textId="77777777" w:rsidTr="00FE58DB">
        <w:tc>
          <w:tcPr>
            <w:tcW w:w="2785" w:type="dxa"/>
          </w:tcPr>
          <w:p w14:paraId="5BF70518" w14:textId="77777777" w:rsidR="002452C5"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2E8B5DA2" w14:textId="77777777" w:rsidR="002452C5" w:rsidRPr="00223226"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23226">
              <w:rPr>
                <w:sz w:val="24"/>
              </w:rPr>
              <w:t xml:space="preserve">Communication with the Public Activities </w:t>
            </w:r>
          </w:p>
        </w:tc>
        <w:tc>
          <w:tcPr>
            <w:tcW w:w="2155" w:type="dxa"/>
          </w:tcPr>
          <w:p w14:paraId="3393E99E" w14:textId="77777777" w:rsidR="002452C5" w:rsidRPr="006B3E4B"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2452C5" w14:paraId="3BD106F6" w14:textId="77777777" w:rsidTr="00FE58DB">
        <w:tc>
          <w:tcPr>
            <w:tcW w:w="2785" w:type="dxa"/>
          </w:tcPr>
          <w:p w14:paraId="6A474BF4" w14:textId="77777777" w:rsidR="002452C5"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4C39C3DB" w14:textId="77777777" w:rsidR="002452C5" w:rsidRPr="00223226"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223226">
              <w:rPr>
                <w:sz w:val="24"/>
              </w:rPr>
              <w:t xml:space="preserve">Supervision of Associated Persons </w:t>
            </w:r>
          </w:p>
        </w:tc>
        <w:tc>
          <w:tcPr>
            <w:tcW w:w="2155" w:type="dxa"/>
          </w:tcPr>
          <w:p w14:paraId="5F1B77D5" w14:textId="77777777" w:rsidR="002452C5" w:rsidRPr="006B3E4B"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2452C5" w14:paraId="4497BBA0" w14:textId="77777777" w:rsidTr="00FE58DB">
        <w:tc>
          <w:tcPr>
            <w:tcW w:w="2785" w:type="dxa"/>
          </w:tcPr>
          <w:p w14:paraId="5D04EA60" w14:textId="77777777" w:rsidR="002452C5"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20A04B01" w14:textId="77777777" w:rsidR="002452C5" w:rsidRPr="002838C6"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838C6">
              <w:rPr>
                <w:sz w:val="24"/>
              </w:rPr>
              <w:t xml:space="preserve">Acceptance of Customer Accounts </w:t>
            </w:r>
          </w:p>
        </w:tc>
        <w:tc>
          <w:tcPr>
            <w:tcW w:w="2155" w:type="dxa"/>
          </w:tcPr>
          <w:p w14:paraId="406A2EF1" w14:textId="77777777" w:rsidR="002452C5" w:rsidRPr="006B3E4B"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316DCA" w14:paraId="38A94514" w14:textId="77777777" w:rsidTr="00956507">
        <w:tc>
          <w:tcPr>
            <w:tcW w:w="2785" w:type="dxa"/>
          </w:tcPr>
          <w:p w14:paraId="0C05CE6E" w14:textId="77777777" w:rsidR="00316DCA" w:rsidRDefault="00316DCA"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6660" w:type="dxa"/>
            <w:gridSpan w:val="2"/>
          </w:tcPr>
          <w:p w14:paraId="55CD1B9D" w14:textId="77777777" w:rsidR="00316DCA" w:rsidRPr="006B3E4B" w:rsidRDefault="00316DCA"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838C6">
              <w:rPr>
                <w:sz w:val="24"/>
              </w:rPr>
              <w:t xml:space="preserve">Review and Endorsement of Customer Orders </w:t>
            </w:r>
          </w:p>
        </w:tc>
      </w:tr>
      <w:tr w:rsidR="002452C5" w14:paraId="0471BDE8" w14:textId="77777777" w:rsidTr="00FE58DB">
        <w:tc>
          <w:tcPr>
            <w:tcW w:w="2785" w:type="dxa"/>
          </w:tcPr>
          <w:p w14:paraId="50CBF172" w14:textId="77777777" w:rsidR="002452C5"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3AFA92CF" w14:textId="77777777" w:rsidR="00316DCA" w:rsidRPr="004C1590" w:rsidRDefault="00316DCA"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4C1590">
              <w:rPr>
                <w:sz w:val="24"/>
              </w:rPr>
              <w:t>Receipt and Delivery of Funds</w:t>
            </w:r>
          </w:p>
          <w:p w14:paraId="39DED45C" w14:textId="77777777" w:rsidR="002452C5" w:rsidRPr="004C1590"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4C1590">
              <w:rPr>
                <w:sz w:val="24"/>
              </w:rPr>
              <w:t>Chief Compliance Officer</w:t>
            </w:r>
          </w:p>
        </w:tc>
        <w:tc>
          <w:tcPr>
            <w:tcW w:w="2155" w:type="dxa"/>
          </w:tcPr>
          <w:p w14:paraId="34859A00" w14:textId="77777777" w:rsidR="002452C5" w:rsidRPr="006B3E4B"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2452C5" w14:paraId="47C2BFBE" w14:textId="77777777" w:rsidTr="00FE58DB">
        <w:tc>
          <w:tcPr>
            <w:tcW w:w="2785" w:type="dxa"/>
          </w:tcPr>
          <w:p w14:paraId="1A8F20D6" w14:textId="77777777" w:rsidR="002452C5"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7FEB6404" w14:textId="77777777" w:rsidR="002452C5" w:rsidRPr="002838C6"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838C6">
              <w:rPr>
                <w:sz w:val="24"/>
              </w:rPr>
              <w:t>Variable Insurance Products</w:t>
            </w:r>
          </w:p>
        </w:tc>
        <w:tc>
          <w:tcPr>
            <w:tcW w:w="2155" w:type="dxa"/>
          </w:tcPr>
          <w:p w14:paraId="0468E917" w14:textId="77777777" w:rsidR="002452C5" w:rsidRPr="006B3E4B" w:rsidRDefault="002452C5" w:rsidP="00245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7E1B16FA" w14:textId="77777777" w:rsidTr="00FE58DB">
        <w:tc>
          <w:tcPr>
            <w:tcW w:w="2785" w:type="dxa"/>
          </w:tcPr>
          <w:p w14:paraId="1542B232"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3ABAD74B" w14:textId="77777777" w:rsidR="00812EF4" w:rsidRPr="002838C6"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838C6">
              <w:rPr>
                <w:sz w:val="24"/>
              </w:rPr>
              <w:t>Record Maintenance and Retention</w:t>
            </w:r>
          </w:p>
        </w:tc>
        <w:tc>
          <w:tcPr>
            <w:tcW w:w="2155" w:type="dxa"/>
          </w:tcPr>
          <w:p w14:paraId="2CE23BC1"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0097E5F5" w14:textId="77777777" w:rsidTr="00FE58DB">
        <w:tc>
          <w:tcPr>
            <w:tcW w:w="2785" w:type="dxa"/>
          </w:tcPr>
          <w:p w14:paraId="704D7A0A"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674FD056" w14:textId="77777777" w:rsidR="00812EF4" w:rsidRPr="002838C6" w:rsidRDefault="00812EF4" w:rsidP="00812EF4">
            <w:pPr>
              <w:rPr>
                <w:sz w:val="24"/>
                <w:szCs w:val="24"/>
              </w:rPr>
            </w:pPr>
            <w:r w:rsidRPr="002838C6">
              <w:rPr>
                <w:sz w:val="24"/>
                <w:szCs w:val="24"/>
              </w:rPr>
              <w:t>Continuing Education Program</w:t>
            </w:r>
          </w:p>
        </w:tc>
        <w:tc>
          <w:tcPr>
            <w:tcW w:w="2155" w:type="dxa"/>
          </w:tcPr>
          <w:p w14:paraId="7BF85312"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5C621294" w14:textId="77777777" w:rsidTr="00FE58DB">
        <w:tc>
          <w:tcPr>
            <w:tcW w:w="2785" w:type="dxa"/>
          </w:tcPr>
          <w:p w14:paraId="5E5DAAC3"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4A6CF4F9" w14:textId="77777777" w:rsidR="00812EF4" w:rsidRPr="002838C6"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838C6">
              <w:rPr>
                <w:sz w:val="24"/>
              </w:rPr>
              <w:t>Multi-State Registration</w:t>
            </w:r>
          </w:p>
        </w:tc>
        <w:tc>
          <w:tcPr>
            <w:tcW w:w="2155" w:type="dxa"/>
          </w:tcPr>
          <w:p w14:paraId="50FEDC9B"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00B4AC80" w14:textId="77777777" w:rsidTr="00FE58DB">
        <w:tc>
          <w:tcPr>
            <w:tcW w:w="2785" w:type="dxa"/>
          </w:tcPr>
          <w:p w14:paraId="396FA3AA"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0AE679D1" w14:textId="77777777" w:rsidR="00812EF4" w:rsidRPr="002838C6"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838C6">
              <w:rPr>
                <w:sz w:val="24"/>
              </w:rPr>
              <w:t>Fixed Income Activities</w:t>
            </w:r>
          </w:p>
        </w:tc>
        <w:tc>
          <w:tcPr>
            <w:tcW w:w="2155" w:type="dxa"/>
          </w:tcPr>
          <w:p w14:paraId="46DBFE39"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4A00FAC6" w14:textId="77777777" w:rsidTr="00FE58DB">
        <w:tc>
          <w:tcPr>
            <w:tcW w:w="2785" w:type="dxa"/>
          </w:tcPr>
          <w:p w14:paraId="2E4A4B2C"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733291F4" w14:textId="77777777" w:rsidR="00812EF4" w:rsidRPr="002838C6"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838C6">
              <w:rPr>
                <w:sz w:val="24"/>
              </w:rPr>
              <w:t>Mutual Fund Activities</w:t>
            </w:r>
          </w:p>
        </w:tc>
        <w:tc>
          <w:tcPr>
            <w:tcW w:w="2155" w:type="dxa"/>
          </w:tcPr>
          <w:p w14:paraId="7616211B"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7799573D" w14:textId="77777777" w:rsidTr="00FE58DB">
        <w:tc>
          <w:tcPr>
            <w:tcW w:w="2785" w:type="dxa"/>
          </w:tcPr>
          <w:p w14:paraId="22A16269"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24491FE0"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838C6">
              <w:rPr>
                <w:sz w:val="24"/>
              </w:rPr>
              <w:t>Private Placement and Direct Participation Program Activities</w:t>
            </w:r>
          </w:p>
        </w:tc>
        <w:tc>
          <w:tcPr>
            <w:tcW w:w="2155" w:type="dxa"/>
          </w:tcPr>
          <w:p w14:paraId="2458A407"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7FC32049" w14:textId="77777777" w:rsidTr="00FE58DB">
        <w:tc>
          <w:tcPr>
            <w:tcW w:w="2785" w:type="dxa"/>
          </w:tcPr>
          <w:p w14:paraId="50B4AFED"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6660" w:type="dxa"/>
            <w:gridSpan w:val="2"/>
          </w:tcPr>
          <w:p w14:paraId="3ECDFF2C" w14:textId="77777777" w:rsidR="00812EF4" w:rsidRPr="002838C6"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838C6">
              <w:rPr>
                <w:sz w:val="24"/>
              </w:rPr>
              <w:t>Anti-Money Laundering</w:t>
            </w:r>
          </w:p>
        </w:tc>
      </w:tr>
      <w:tr w:rsidR="00812EF4" w14:paraId="1C43352E" w14:textId="77777777" w:rsidTr="00FE58DB">
        <w:tc>
          <w:tcPr>
            <w:tcW w:w="2785" w:type="dxa"/>
          </w:tcPr>
          <w:p w14:paraId="7BBA8089"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3CE1F6E4" w14:textId="77777777" w:rsidR="00812EF4" w:rsidRPr="002838C6"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838C6">
              <w:rPr>
                <w:sz w:val="24"/>
              </w:rPr>
              <w:t>FINRA Executive Representative</w:t>
            </w:r>
          </w:p>
        </w:tc>
        <w:tc>
          <w:tcPr>
            <w:tcW w:w="2155" w:type="dxa"/>
          </w:tcPr>
          <w:p w14:paraId="43C94AB1"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7EA83F40" w14:textId="77777777" w:rsidTr="00FE58DB">
        <w:tc>
          <w:tcPr>
            <w:tcW w:w="2785" w:type="dxa"/>
          </w:tcPr>
          <w:p w14:paraId="595BE71F"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35BE800E" w14:textId="77777777" w:rsidR="00812EF4" w:rsidRDefault="00812EF4" w:rsidP="00812EF4">
            <w:r w:rsidRPr="002838C6">
              <w:rPr>
                <w:sz w:val="24"/>
              </w:rPr>
              <w:t xml:space="preserve">Electronic Form Filing Supervision </w:t>
            </w:r>
          </w:p>
        </w:tc>
        <w:tc>
          <w:tcPr>
            <w:tcW w:w="2155" w:type="dxa"/>
          </w:tcPr>
          <w:p w14:paraId="68437339"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4628DBEE" w14:textId="77777777" w:rsidTr="00FE58DB">
        <w:tc>
          <w:tcPr>
            <w:tcW w:w="2785" w:type="dxa"/>
          </w:tcPr>
          <w:p w14:paraId="178F6985"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73CFE31D" w14:textId="77777777" w:rsidR="00812EF4" w:rsidRDefault="00812EF4" w:rsidP="00812EF4"/>
        </w:tc>
        <w:tc>
          <w:tcPr>
            <w:tcW w:w="2155" w:type="dxa"/>
          </w:tcPr>
          <w:p w14:paraId="0948BA89"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14BD1C75" w14:textId="77777777" w:rsidTr="00FE58DB">
        <w:tc>
          <w:tcPr>
            <w:tcW w:w="2785" w:type="dxa"/>
          </w:tcPr>
          <w:p w14:paraId="288A2236"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564F48E8" w14:textId="77777777" w:rsidR="00812EF4" w:rsidRPr="002838C6" w:rsidRDefault="00812EF4" w:rsidP="00812EF4">
            <w:pPr>
              <w:rPr>
                <w:sz w:val="24"/>
              </w:rPr>
            </w:pPr>
          </w:p>
        </w:tc>
        <w:tc>
          <w:tcPr>
            <w:tcW w:w="2155" w:type="dxa"/>
          </w:tcPr>
          <w:p w14:paraId="3AACDD93"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1DE7F16C" w14:textId="77777777" w:rsidTr="00FE58DB">
        <w:tc>
          <w:tcPr>
            <w:tcW w:w="2785" w:type="dxa"/>
          </w:tcPr>
          <w:p w14:paraId="35F975FE"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604A2C">
              <w:rPr>
                <w:b/>
                <w:sz w:val="24"/>
              </w:rPr>
              <w:t>FINOP</w:t>
            </w:r>
            <w:r>
              <w:rPr>
                <w:b/>
                <w:sz w:val="24"/>
              </w:rPr>
              <w:t xml:space="preserve">/ CFO/ Municipal Principal </w:t>
            </w:r>
            <w:r w:rsidRPr="009B50EA">
              <w:rPr>
                <w:i/>
              </w:rPr>
              <w:t>Eff</w:t>
            </w:r>
            <w:r w:rsidRPr="009B50EA">
              <w:t>:</w:t>
            </w:r>
            <w:r>
              <w:t xml:space="preserve"> </w:t>
            </w:r>
            <w:r w:rsidRPr="0071070F">
              <w:rPr>
                <w:i/>
              </w:rPr>
              <w:t>7/1/91</w:t>
            </w:r>
          </w:p>
        </w:tc>
        <w:tc>
          <w:tcPr>
            <w:tcW w:w="4505" w:type="dxa"/>
          </w:tcPr>
          <w:p w14:paraId="3E3061AC" w14:textId="77777777" w:rsidR="00812EF4" w:rsidRPr="002838C6" w:rsidRDefault="00812EF4" w:rsidP="00812EF4">
            <w:pPr>
              <w:rPr>
                <w:sz w:val="24"/>
              </w:rPr>
            </w:pPr>
            <w:r>
              <w:rPr>
                <w:sz w:val="24"/>
              </w:rPr>
              <w:t>Financial and Operational Activities</w:t>
            </w:r>
            <w:r w:rsidR="00FE58DB">
              <w:rPr>
                <w:sz w:val="24"/>
              </w:rPr>
              <w:t xml:space="preserve">, </w:t>
            </w:r>
            <w:r w:rsidR="00FE58DB" w:rsidRPr="004C1590">
              <w:rPr>
                <w:sz w:val="24"/>
              </w:rPr>
              <w:t>Filings</w:t>
            </w:r>
            <w:r w:rsidRPr="004C1590">
              <w:rPr>
                <w:sz w:val="24"/>
              </w:rPr>
              <w:t xml:space="preserve"> </w:t>
            </w:r>
            <w:r>
              <w:rPr>
                <w:sz w:val="24"/>
              </w:rPr>
              <w:t>Municipal Securities Activities,</w:t>
            </w:r>
          </w:p>
        </w:tc>
        <w:tc>
          <w:tcPr>
            <w:tcW w:w="2155" w:type="dxa"/>
          </w:tcPr>
          <w:p w14:paraId="611FD980"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436F7A9E" w14:textId="77777777" w:rsidTr="00FE58DB">
        <w:tc>
          <w:tcPr>
            <w:tcW w:w="2785" w:type="dxa"/>
          </w:tcPr>
          <w:p w14:paraId="6625819E"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71070F">
              <w:rPr>
                <w:i/>
              </w:rPr>
              <w:t>04/14/92</w:t>
            </w:r>
            <w:r>
              <w:rPr>
                <w:sz w:val="24"/>
              </w:rPr>
              <w:t xml:space="preserve">          </w:t>
            </w:r>
          </w:p>
        </w:tc>
        <w:tc>
          <w:tcPr>
            <w:tcW w:w="4505" w:type="dxa"/>
          </w:tcPr>
          <w:p w14:paraId="47EA6BE1" w14:textId="77777777" w:rsidR="00812EF4" w:rsidRPr="002838C6" w:rsidRDefault="00812EF4" w:rsidP="00812EF4">
            <w:pPr>
              <w:rPr>
                <w:sz w:val="24"/>
              </w:rPr>
            </w:pPr>
            <w:r w:rsidRPr="00604A2C">
              <w:rPr>
                <w:sz w:val="24"/>
              </w:rPr>
              <w:t>Communications, Record Maintenance, Training</w:t>
            </w:r>
          </w:p>
        </w:tc>
        <w:tc>
          <w:tcPr>
            <w:tcW w:w="2155" w:type="dxa"/>
          </w:tcPr>
          <w:p w14:paraId="07397CA5"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r w:rsidR="00812EF4" w14:paraId="5D1DF1F5" w14:textId="77777777" w:rsidTr="00FE58DB">
        <w:tc>
          <w:tcPr>
            <w:tcW w:w="2785" w:type="dxa"/>
          </w:tcPr>
          <w:p w14:paraId="26BFCD7A" w14:textId="77777777" w:rsidR="00812EF4"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tc>
        <w:tc>
          <w:tcPr>
            <w:tcW w:w="4505" w:type="dxa"/>
          </w:tcPr>
          <w:p w14:paraId="273A7F23" w14:textId="77777777" w:rsidR="00812EF4" w:rsidRPr="002838C6" w:rsidRDefault="00812EF4" w:rsidP="00812EF4">
            <w:pPr>
              <w:rPr>
                <w:sz w:val="24"/>
              </w:rPr>
            </w:pPr>
          </w:p>
        </w:tc>
        <w:tc>
          <w:tcPr>
            <w:tcW w:w="2155" w:type="dxa"/>
          </w:tcPr>
          <w:p w14:paraId="0A2C35F0" w14:textId="77777777" w:rsidR="00812EF4" w:rsidRPr="006B3E4B" w:rsidRDefault="00812EF4" w:rsidP="00812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c>
      </w:tr>
    </w:tbl>
    <w:p w14:paraId="60D81F91" w14:textId="77777777" w:rsidR="005966C4" w:rsidRPr="00256EF2" w:rsidRDefault="005966C4" w:rsidP="002452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650"/>
        <w:jc w:val="both"/>
        <w:rPr>
          <w:b/>
          <w:color w:val="FF0000"/>
          <w:sz w:val="24"/>
        </w:rPr>
      </w:pPr>
      <w:r w:rsidRPr="00604A2C">
        <w:rPr>
          <w:b/>
          <w:sz w:val="24"/>
        </w:rPr>
        <w:t xml:space="preserve"> </w:t>
      </w:r>
    </w:p>
    <w:p w14:paraId="5E3FD62A" w14:textId="77777777" w:rsidR="000C099C" w:rsidRDefault="000C0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00"/>
        <w:jc w:val="both"/>
        <w:rPr>
          <w:sz w:val="24"/>
        </w:rPr>
      </w:pPr>
      <w:r>
        <w:rPr>
          <w:sz w:val="24"/>
        </w:rPr>
        <w:t xml:space="preserve">Under Morris Monroe:  Home Office </w:t>
      </w:r>
    </w:p>
    <w:p w14:paraId="5207F6F4" w14:textId="77777777" w:rsidR="000C099C" w:rsidRDefault="000C099C" w:rsidP="00320673">
      <w:pPr>
        <w:tabs>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s>
        <w:ind w:left="1080"/>
        <w:jc w:val="both"/>
        <w:rPr>
          <w:sz w:val="24"/>
        </w:rPr>
      </w:pPr>
      <w:r>
        <w:rPr>
          <w:sz w:val="24"/>
        </w:rPr>
        <w:t>Compliance Department/Designees – Laura Hendricks</w:t>
      </w:r>
      <w:r w:rsidR="00320673">
        <w:rPr>
          <w:sz w:val="24"/>
        </w:rPr>
        <w:t xml:space="preserve"> (VP, Principal</w:t>
      </w:r>
      <w:r w:rsidR="001812E5">
        <w:rPr>
          <w:sz w:val="24"/>
        </w:rPr>
        <w:t>, Compliance Officer</w:t>
      </w:r>
      <w:r w:rsidR="00320673">
        <w:rPr>
          <w:sz w:val="24"/>
        </w:rPr>
        <w:t>)</w:t>
      </w:r>
      <w:r>
        <w:rPr>
          <w:sz w:val="24"/>
        </w:rPr>
        <w:t>, Gloria Sedita, Connie Smith</w:t>
      </w:r>
      <w:r w:rsidR="00E86551">
        <w:rPr>
          <w:sz w:val="24"/>
        </w:rPr>
        <w:t>.</w:t>
      </w:r>
    </w:p>
    <w:p w14:paraId="1699C57C" w14:textId="0ACD828D" w:rsidR="005D3BC1" w:rsidRPr="004C1590" w:rsidRDefault="000C099C" w:rsidP="0002118A">
      <w:pPr>
        <w:tabs>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s>
        <w:ind w:left="1080"/>
        <w:jc w:val="both"/>
        <w:rPr>
          <w:sz w:val="24"/>
        </w:rPr>
      </w:pPr>
      <w:r>
        <w:rPr>
          <w:sz w:val="24"/>
        </w:rPr>
        <w:t>Back Office and Designees –</w:t>
      </w:r>
      <w:r w:rsidR="0002118A">
        <w:rPr>
          <w:sz w:val="24"/>
        </w:rPr>
        <w:t xml:space="preserve"> </w:t>
      </w:r>
      <w:r w:rsidR="00F7409D" w:rsidRPr="00F7409D">
        <w:rPr>
          <w:color w:val="FF0000"/>
          <w:sz w:val="24"/>
        </w:rPr>
        <w:t>Daniel Baker</w:t>
      </w:r>
      <w:r w:rsidR="00096B11">
        <w:rPr>
          <w:color w:val="FF0000"/>
          <w:sz w:val="24"/>
        </w:rPr>
        <w:t>,</w:t>
      </w:r>
      <w:r w:rsidR="0002118A" w:rsidRPr="007F0C5D">
        <w:rPr>
          <w:sz w:val="24"/>
        </w:rPr>
        <w:t xml:space="preserve"> </w:t>
      </w:r>
      <w:r w:rsidR="0002118A">
        <w:rPr>
          <w:sz w:val="24"/>
        </w:rPr>
        <w:t xml:space="preserve">Gloria Sedita, Laura Hendricks </w:t>
      </w:r>
    </w:p>
    <w:p w14:paraId="2439ED88" w14:textId="77777777" w:rsidR="00E86551" w:rsidRPr="00964C88" w:rsidRDefault="00551C58" w:rsidP="00E86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jc w:val="both"/>
        <w:rPr>
          <w:sz w:val="24"/>
        </w:rPr>
      </w:pPr>
      <w:r w:rsidRPr="00964C88">
        <w:rPr>
          <w:sz w:val="24"/>
        </w:rPr>
        <w:t>___________________________________________________________________</w:t>
      </w:r>
    </w:p>
    <w:p w14:paraId="5D5A38D2" w14:textId="77777777" w:rsidR="00551C58" w:rsidRPr="00964C88" w:rsidRDefault="00551C58" w:rsidP="00E86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jc w:val="both"/>
        <w:rPr>
          <w:sz w:val="24"/>
        </w:rPr>
      </w:pPr>
    </w:p>
    <w:p w14:paraId="6942B5E4" w14:textId="77777777" w:rsidR="00551C58" w:rsidRPr="00964C88" w:rsidRDefault="00551C58" w:rsidP="00E86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jc w:val="both"/>
        <w:rPr>
          <w:sz w:val="24"/>
        </w:rPr>
      </w:pPr>
      <w:r w:rsidRPr="00964C88">
        <w:rPr>
          <w:sz w:val="24"/>
        </w:rPr>
        <w:t>Laura Hendricks</w:t>
      </w:r>
      <w:r w:rsidRPr="00964C88">
        <w:rPr>
          <w:sz w:val="24"/>
        </w:rPr>
        <w:tab/>
      </w:r>
      <w:r w:rsidRPr="00964C88">
        <w:rPr>
          <w:sz w:val="24"/>
        </w:rPr>
        <w:tab/>
      </w:r>
      <w:r w:rsidRPr="00964C88">
        <w:rPr>
          <w:sz w:val="24"/>
        </w:rPr>
        <w:tab/>
      </w:r>
      <w:r w:rsidRPr="00964C88">
        <w:rPr>
          <w:sz w:val="24"/>
        </w:rPr>
        <w:tab/>
      </w:r>
      <w:r w:rsidRPr="00964C88">
        <w:rPr>
          <w:sz w:val="24"/>
        </w:rPr>
        <w:tab/>
      </w:r>
      <w:r w:rsidRPr="00964C88">
        <w:rPr>
          <w:sz w:val="24"/>
        </w:rPr>
        <w:tab/>
      </w:r>
      <w:r w:rsidRPr="00964C88">
        <w:rPr>
          <w:sz w:val="24"/>
        </w:rPr>
        <w:tab/>
        <w:t xml:space="preserve">Series </w:t>
      </w:r>
      <w:r w:rsidR="0056444F" w:rsidRPr="004C1590">
        <w:rPr>
          <w:sz w:val="24"/>
        </w:rPr>
        <w:t xml:space="preserve">7, </w:t>
      </w:r>
      <w:r w:rsidRPr="00964C88">
        <w:rPr>
          <w:sz w:val="24"/>
        </w:rPr>
        <w:t>24</w:t>
      </w:r>
    </w:p>
    <w:p w14:paraId="3F48D15B" w14:textId="77777777" w:rsidR="00551C58" w:rsidRPr="00964C88" w:rsidRDefault="00551C58" w:rsidP="00E86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jc w:val="both"/>
        <w:rPr>
          <w:sz w:val="24"/>
        </w:rPr>
      </w:pPr>
      <w:r w:rsidRPr="00964C88">
        <w:rPr>
          <w:sz w:val="24"/>
        </w:rPr>
        <w:t>Principal</w:t>
      </w:r>
      <w:r w:rsidR="001812E5" w:rsidRPr="00964C88">
        <w:rPr>
          <w:sz w:val="24"/>
        </w:rPr>
        <w:t>, Compliance Officer</w:t>
      </w:r>
    </w:p>
    <w:p w14:paraId="67946E9E" w14:textId="77777777" w:rsidR="00551C58" w:rsidRPr="00964C88" w:rsidRDefault="00551C58" w:rsidP="00E865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jc w:val="both"/>
        <w:rPr>
          <w:i/>
        </w:rPr>
      </w:pPr>
      <w:r w:rsidRPr="00964C88">
        <w:rPr>
          <w:i/>
        </w:rPr>
        <w:t>Eff 02/25/02</w:t>
      </w:r>
    </w:p>
    <w:p w14:paraId="44648614" w14:textId="77777777" w:rsidR="00551C58" w:rsidRPr="00A85AC1" w:rsidRDefault="00901F27" w:rsidP="00901F27">
      <w:pPr>
        <w:ind w:firstLine="720"/>
        <w:rPr>
          <w:sz w:val="24"/>
          <w:szCs w:val="24"/>
        </w:rPr>
      </w:pPr>
      <w:r w:rsidRPr="00A85AC1">
        <w:rPr>
          <w:i/>
          <w:sz w:val="24"/>
          <w:szCs w:val="24"/>
        </w:rPr>
        <w:t xml:space="preserve">Reviewed by                </w:t>
      </w:r>
      <w:r w:rsidR="000037F1" w:rsidRPr="00A85AC1">
        <w:rPr>
          <w:sz w:val="24"/>
          <w:szCs w:val="24"/>
        </w:rPr>
        <w:t>Communication with the Public</w:t>
      </w:r>
      <w:r w:rsidR="00551C58" w:rsidRPr="00A85AC1">
        <w:rPr>
          <w:sz w:val="24"/>
          <w:szCs w:val="24"/>
        </w:rPr>
        <w:t xml:space="preserve"> Activities</w:t>
      </w:r>
    </w:p>
    <w:p w14:paraId="5F788F92" w14:textId="77777777" w:rsidR="00551C58" w:rsidRPr="00964C88" w:rsidRDefault="00901F27" w:rsidP="00901F27">
      <w:pPr>
        <w:rPr>
          <w:sz w:val="24"/>
          <w:szCs w:val="24"/>
        </w:rPr>
      </w:pPr>
      <w:r w:rsidRPr="00A85AC1">
        <w:rPr>
          <w:sz w:val="24"/>
          <w:szCs w:val="24"/>
        </w:rPr>
        <w:t xml:space="preserve">            </w:t>
      </w:r>
      <w:r w:rsidRPr="00A85AC1">
        <w:rPr>
          <w:i/>
          <w:sz w:val="24"/>
          <w:szCs w:val="24"/>
        </w:rPr>
        <w:t xml:space="preserve">MLM        </w:t>
      </w:r>
      <w:r w:rsidRPr="00A85AC1">
        <w:rPr>
          <w:sz w:val="24"/>
          <w:szCs w:val="24"/>
        </w:rPr>
        <w:t xml:space="preserve">                   </w:t>
      </w:r>
      <w:r w:rsidR="00551C58" w:rsidRPr="00964C88">
        <w:rPr>
          <w:sz w:val="24"/>
          <w:szCs w:val="24"/>
        </w:rPr>
        <w:t>Acceptance and Review of Customer Accounts</w:t>
      </w:r>
    </w:p>
    <w:p w14:paraId="2F28B9DE" w14:textId="77777777" w:rsidR="00551C58" w:rsidRPr="00964C88" w:rsidRDefault="00551C58" w:rsidP="00551C58">
      <w:pPr>
        <w:ind w:firstLine="2880"/>
        <w:rPr>
          <w:sz w:val="24"/>
          <w:szCs w:val="24"/>
        </w:rPr>
      </w:pPr>
      <w:r w:rsidRPr="00964C88">
        <w:rPr>
          <w:sz w:val="24"/>
          <w:szCs w:val="24"/>
        </w:rPr>
        <w:t>Review and Endorsement of Customer Orders</w:t>
      </w:r>
    </w:p>
    <w:p w14:paraId="486F4DB8" w14:textId="77777777" w:rsidR="00551C58" w:rsidRPr="00964C88" w:rsidRDefault="00551C58" w:rsidP="00551C58">
      <w:pPr>
        <w:ind w:firstLine="2880"/>
        <w:rPr>
          <w:sz w:val="24"/>
          <w:szCs w:val="24"/>
        </w:rPr>
      </w:pPr>
      <w:r w:rsidRPr="00964C88">
        <w:rPr>
          <w:sz w:val="24"/>
          <w:szCs w:val="24"/>
        </w:rPr>
        <w:t>Record Maintenance and Retention</w:t>
      </w:r>
    </w:p>
    <w:p w14:paraId="71055E0A" w14:textId="77777777" w:rsidR="00551C58" w:rsidRPr="00964C88" w:rsidRDefault="00551C58" w:rsidP="00551C58">
      <w:pPr>
        <w:ind w:firstLine="2880"/>
        <w:rPr>
          <w:sz w:val="24"/>
          <w:szCs w:val="24"/>
        </w:rPr>
      </w:pPr>
      <w:r w:rsidRPr="00964C88">
        <w:rPr>
          <w:sz w:val="24"/>
          <w:szCs w:val="24"/>
        </w:rPr>
        <w:t>Continuing Education Activities</w:t>
      </w:r>
    </w:p>
    <w:p w14:paraId="75F5896F" w14:textId="77777777" w:rsidR="00551C58" w:rsidRPr="00964C88" w:rsidRDefault="00551C58" w:rsidP="00551C58">
      <w:pPr>
        <w:ind w:firstLine="2880"/>
        <w:rPr>
          <w:sz w:val="24"/>
          <w:szCs w:val="24"/>
        </w:rPr>
      </w:pPr>
      <w:r w:rsidRPr="00964C88">
        <w:rPr>
          <w:sz w:val="24"/>
          <w:szCs w:val="24"/>
        </w:rPr>
        <w:t>Registration</w:t>
      </w:r>
      <w:r w:rsidR="00A132A4">
        <w:rPr>
          <w:sz w:val="24"/>
          <w:szCs w:val="24"/>
        </w:rPr>
        <w:t>s</w:t>
      </w:r>
    </w:p>
    <w:p w14:paraId="67A6656D" w14:textId="77777777" w:rsidR="00551C58" w:rsidRPr="00964C88" w:rsidRDefault="00551C58" w:rsidP="00551C58">
      <w:pPr>
        <w:ind w:firstLine="2880"/>
        <w:rPr>
          <w:sz w:val="24"/>
          <w:szCs w:val="24"/>
        </w:rPr>
      </w:pPr>
      <w:r w:rsidRPr="00964C88">
        <w:rPr>
          <w:sz w:val="24"/>
          <w:szCs w:val="24"/>
        </w:rPr>
        <w:t>Various Product Activities</w:t>
      </w:r>
    </w:p>
    <w:p w14:paraId="758DFB68" w14:textId="77777777" w:rsidR="00551C58" w:rsidRPr="00964C88" w:rsidRDefault="00551C58" w:rsidP="0055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jc w:val="both"/>
        <w:rPr>
          <w:sz w:val="24"/>
          <w:szCs w:val="24"/>
        </w:rPr>
      </w:pPr>
      <w:r w:rsidRPr="00964C88">
        <w:rPr>
          <w:sz w:val="24"/>
          <w:szCs w:val="24"/>
        </w:rPr>
        <w:tab/>
      </w:r>
      <w:r w:rsidRPr="00964C88">
        <w:rPr>
          <w:sz w:val="24"/>
          <w:szCs w:val="24"/>
        </w:rPr>
        <w:tab/>
      </w:r>
      <w:r w:rsidRPr="00964C88">
        <w:rPr>
          <w:sz w:val="24"/>
          <w:szCs w:val="24"/>
        </w:rPr>
        <w:tab/>
        <w:t>Anti-Money Laundering</w:t>
      </w:r>
    </w:p>
    <w:p w14:paraId="62F2CBCD" w14:textId="77777777" w:rsidR="00551C58" w:rsidRDefault="00551C58" w:rsidP="0055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jc w:val="both"/>
        <w:rPr>
          <w:sz w:val="24"/>
          <w:szCs w:val="24"/>
        </w:rPr>
      </w:pPr>
      <w:r w:rsidRPr="00F95A7B">
        <w:rPr>
          <w:color w:val="FF0000"/>
          <w:sz w:val="24"/>
          <w:szCs w:val="24"/>
        </w:rPr>
        <w:tab/>
      </w:r>
      <w:r w:rsidRPr="00F95A7B">
        <w:rPr>
          <w:color w:val="FF0000"/>
          <w:sz w:val="24"/>
          <w:szCs w:val="24"/>
        </w:rPr>
        <w:tab/>
      </w:r>
      <w:r w:rsidRPr="00F95A7B">
        <w:rPr>
          <w:color w:val="FF0000"/>
          <w:sz w:val="24"/>
          <w:szCs w:val="24"/>
        </w:rPr>
        <w:tab/>
      </w:r>
      <w:r w:rsidR="00B158E5" w:rsidRPr="006D0C4E">
        <w:rPr>
          <w:sz w:val="24"/>
          <w:szCs w:val="24"/>
        </w:rPr>
        <w:t>Regulatory</w:t>
      </w:r>
      <w:r w:rsidR="00B158E5">
        <w:rPr>
          <w:color w:val="FF0000"/>
          <w:sz w:val="24"/>
          <w:szCs w:val="24"/>
        </w:rPr>
        <w:t xml:space="preserve"> </w:t>
      </w:r>
      <w:r w:rsidRPr="00964C88">
        <w:rPr>
          <w:sz w:val="24"/>
          <w:szCs w:val="24"/>
        </w:rPr>
        <w:t>Electronic Form Filing</w:t>
      </w:r>
    </w:p>
    <w:p w14:paraId="0C34183A" w14:textId="73B58C5A" w:rsidR="00E12908" w:rsidRPr="00E12908" w:rsidRDefault="00E12908" w:rsidP="0055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jc w:val="both"/>
        <w:rPr>
          <w:color w:val="FF0000"/>
          <w:sz w:val="24"/>
          <w:szCs w:val="24"/>
        </w:rPr>
      </w:pPr>
      <w:r>
        <w:rPr>
          <w:sz w:val="24"/>
          <w:szCs w:val="24"/>
        </w:rPr>
        <w:tab/>
      </w:r>
      <w:r>
        <w:rPr>
          <w:sz w:val="24"/>
          <w:szCs w:val="24"/>
        </w:rPr>
        <w:tab/>
      </w:r>
      <w:r>
        <w:rPr>
          <w:sz w:val="24"/>
          <w:szCs w:val="24"/>
        </w:rPr>
        <w:tab/>
      </w:r>
      <w:r w:rsidRPr="007F0C5D">
        <w:rPr>
          <w:sz w:val="24"/>
          <w:szCs w:val="24"/>
        </w:rPr>
        <w:t xml:space="preserve">Operations/ Back Office Activities </w:t>
      </w:r>
    </w:p>
    <w:p w14:paraId="17815D9A" w14:textId="77777777" w:rsidR="00551C58" w:rsidRDefault="00551C58" w:rsidP="00551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jc w:val="both"/>
        <w:rPr>
          <w:sz w:val="24"/>
          <w:szCs w:val="24"/>
        </w:rPr>
      </w:pPr>
      <w:r w:rsidRPr="00964C88">
        <w:rPr>
          <w:sz w:val="24"/>
          <w:szCs w:val="24"/>
        </w:rPr>
        <w:tab/>
      </w:r>
      <w:r w:rsidRPr="00964C88">
        <w:rPr>
          <w:sz w:val="24"/>
          <w:szCs w:val="24"/>
        </w:rPr>
        <w:tab/>
      </w:r>
      <w:r w:rsidRPr="00964C88">
        <w:rPr>
          <w:sz w:val="24"/>
          <w:szCs w:val="24"/>
        </w:rPr>
        <w:tab/>
        <w:t>Compliance Department Activities</w:t>
      </w:r>
    </w:p>
    <w:p w14:paraId="58F0A686" w14:textId="77777777" w:rsidR="00DD0468" w:rsidRPr="00424F51" w:rsidRDefault="00DD0468" w:rsidP="00DD0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5040"/>
        <w:jc w:val="both"/>
        <w:rPr>
          <w:sz w:val="24"/>
          <w:szCs w:val="24"/>
        </w:rPr>
      </w:pPr>
      <w:r w:rsidRPr="00424F51">
        <w:rPr>
          <w:sz w:val="24"/>
          <w:szCs w:val="24"/>
        </w:rPr>
        <w:t>Business Monitoring and Advising</w:t>
      </w:r>
    </w:p>
    <w:p w14:paraId="2839FBDB" w14:textId="235CE63E" w:rsidR="000C099C" w:rsidRDefault="00551C58" w:rsidP="00924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jc w:val="both"/>
        <w:rPr>
          <w:sz w:val="24"/>
        </w:rPr>
      </w:pPr>
      <w:r>
        <w:rPr>
          <w:sz w:val="24"/>
        </w:rPr>
        <w:t>____________________________________________</w:t>
      </w:r>
      <w:r w:rsidR="008A792A">
        <w:rPr>
          <w:sz w:val="24"/>
        </w:rPr>
        <w:t>______</w:t>
      </w:r>
      <w:r>
        <w:rPr>
          <w:sz w:val="24"/>
        </w:rPr>
        <w:t>__________</w:t>
      </w:r>
      <w:r w:rsidR="00924BB8">
        <w:rPr>
          <w:sz w:val="24"/>
        </w:rPr>
        <w:t>____</w:t>
      </w:r>
      <w:r>
        <w:rPr>
          <w:sz w:val="24"/>
        </w:rPr>
        <w:t>___________</w:t>
      </w:r>
    </w:p>
    <w:p w14:paraId="537FCF28" w14:textId="3CBB565A" w:rsidR="000C099C" w:rsidRDefault="000C0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693B2020" w14:textId="77777777" w:rsidR="00C14359" w:rsidRDefault="00C143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C4C495D" w14:textId="77777777" w:rsidR="009654C0" w:rsidRPr="000C570A" w:rsidRDefault="009654C0" w:rsidP="00936FEE">
      <w:pPr>
        <w:pStyle w:val="Heading2"/>
      </w:pPr>
      <w:bookmarkStart w:id="32" w:name="BranchOfficeAct"/>
      <w:bookmarkStart w:id="33" w:name="OSJ"/>
      <w:bookmarkEnd w:id="32"/>
      <w:bookmarkEnd w:id="33"/>
      <w:r w:rsidRPr="000C570A">
        <w:t>3.</w:t>
      </w:r>
      <w:r w:rsidR="00C23199" w:rsidRPr="000C570A">
        <w:t>4</w:t>
      </w:r>
      <w:r w:rsidR="001F254B">
        <w:t xml:space="preserve"> Office</w:t>
      </w:r>
      <w:r w:rsidR="00FD4858">
        <w:t xml:space="preserve"> Designations</w:t>
      </w:r>
    </w:p>
    <w:p w14:paraId="35A7312E" w14:textId="77777777" w:rsidR="001F254B" w:rsidRPr="00604A2C" w:rsidRDefault="001F254B" w:rsidP="001F254B">
      <w:pPr>
        <w:shd w:val="clear" w:color="auto" w:fill="FFFFFF"/>
        <w:rPr>
          <w:sz w:val="24"/>
          <w:szCs w:val="24"/>
        </w:rPr>
      </w:pPr>
      <w:r w:rsidRPr="00604A2C">
        <w:rPr>
          <w:sz w:val="24"/>
          <w:szCs w:val="24"/>
        </w:rPr>
        <w:t xml:space="preserve">This chapter describes the types of offices defined by regulators and requirements for inspections and supervision of offices. </w:t>
      </w:r>
      <w:r w:rsidRPr="00604A2C">
        <w:rPr>
          <w:b/>
          <w:bCs/>
          <w:sz w:val="24"/>
          <w:szCs w:val="24"/>
        </w:rPr>
        <w:t>Compliance must be notified:</w:t>
      </w:r>
    </w:p>
    <w:p w14:paraId="6A16749F" w14:textId="77777777" w:rsidR="001F254B" w:rsidRPr="00604A2C" w:rsidRDefault="001F254B" w:rsidP="003E7B18">
      <w:pPr>
        <w:numPr>
          <w:ilvl w:val="0"/>
          <w:numId w:val="242"/>
        </w:numPr>
        <w:shd w:val="clear" w:color="auto" w:fill="FFFFFF"/>
        <w:rPr>
          <w:sz w:val="24"/>
          <w:szCs w:val="24"/>
        </w:rPr>
      </w:pPr>
      <w:r w:rsidRPr="00604A2C">
        <w:rPr>
          <w:sz w:val="24"/>
          <w:szCs w:val="24"/>
        </w:rPr>
        <w:t xml:space="preserve">Before a new branch office or other business office is opened (including all types of offices defined in this chapter) </w:t>
      </w:r>
    </w:p>
    <w:p w14:paraId="7A84D977" w14:textId="77777777" w:rsidR="001F254B" w:rsidRPr="00604A2C" w:rsidRDefault="001F254B" w:rsidP="003E7B18">
      <w:pPr>
        <w:numPr>
          <w:ilvl w:val="0"/>
          <w:numId w:val="242"/>
        </w:numPr>
        <w:shd w:val="clear" w:color="auto" w:fill="FFFFFF"/>
        <w:rPr>
          <w:sz w:val="24"/>
          <w:szCs w:val="24"/>
        </w:rPr>
      </w:pPr>
      <w:r w:rsidRPr="00604A2C">
        <w:rPr>
          <w:sz w:val="24"/>
          <w:szCs w:val="24"/>
        </w:rPr>
        <w:t xml:space="preserve">When an office address changes </w:t>
      </w:r>
    </w:p>
    <w:p w14:paraId="5597A509" w14:textId="77777777" w:rsidR="001F254B" w:rsidRPr="00604A2C" w:rsidRDefault="001F254B" w:rsidP="003E7B18">
      <w:pPr>
        <w:numPr>
          <w:ilvl w:val="0"/>
          <w:numId w:val="242"/>
        </w:numPr>
        <w:shd w:val="clear" w:color="auto" w:fill="FFFFFF"/>
        <w:rPr>
          <w:sz w:val="24"/>
          <w:szCs w:val="24"/>
        </w:rPr>
      </w:pPr>
      <w:r w:rsidRPr="00604A2C">
        <w:rPr>
          <w:sz w:val="24"/>
          <w:szCs w:val="24"/>
        </w:rPr>
        <w:t xml:space="preserve">Prior to a change in the types of business conducted in an office </w:t>
      </w:r>
    </w:p>
    <w:p w14:paraId="35A33F62" w14:textId="77777777" w:rsidR="001F254B" w:rsidRPr="00604A2C" w:rsidRDefault="001F254B" w:rsidP="003E7B18">
      <w:pPr>
        <w:numPr>
          <w:ilvl w:val="0"/>
          <w:numId w:val="242"/>
        </w:numPr>
        <w:shd w:val="clear" w:color="auto" w:fill="FFFFFF"/>
        <w:rPr>
          <w:sz w:val="24"/>
          <w:szCs w:val="24"/>
        </w:rPr>
      </w:pPr>
      <w:r w:rsidRPr="00604A2C">
        <w:rPr>
          <w:sz w:val="24"/>
          <w:szCs w:val="24"/>
        </w:rPr>
        <w:t xml:space="preserve">When an RR changes offices </w:t>
      </w:r>
    </w:p>
    <w:p w14:paraId="52C368C5" w14:textId="77777777" w:rsidR="001F254B" w:rsidRPr="00604A2C" w:rsidRDefault="001F254B" w:rsidP="003E7B18">
      <w:pPr>
        <w:numPr>
          <w:ilvl w:val="0"/>
          <w:numId w:val="242"/>
        </w:numPr>
        <w:shd w:val="clear" w:color="auto" w:fill="FFFFFF"/>
        <w:rPr>
          <w:sz w:val="24"/>
          <w:szCs w:val="24"/>
        </w:rPr>
      </w:pPr>
      <w:r w:rsidRPr="00604A2C">
        <w:rPr>
          <w:sz w:val="24"/>
          <w:szCs w:val="24"/>
        </w:rPr>
        <w:t xml:space="preserve">Prior to an RR commencing work from a second location, such as a primary residence </w:t>
      </w:r>
    </w:p>
    <w:p w14:paraId="2D972310" w14:textId="77777777" w:rsidR="001F254B" w:rsidRPr="00604A2C" w:rsidRDefault="001F254B" w:rsidP="003E7B18">
      <w:pPr>
        <w:numPr>
          <w:ilvl w:val="0"/>
          <w:numId w:val="242"/>
        </w:numPr>
        <w:shd w:val="clear" w:color="auto" w:fill="FFFFFF"/>
        <w:rPr>
          <w:sz w:val="24"/>
          <w:szCs w:val="24"/>
        </w:rPr>
      </w:pPr>
      <w:r w:rsidRPr="00604A2C">
        <w:rPr>
          <w:sz w:val="24"/>
          <w:szCs w:val="24"/>
        </w:rPr>
        <w:t>Prior to establishing an office-sharing arrangement with an outside person or entity</w:t>
      </w:r>
    </w:p>
    <w:p w14:paraId="1A28D9F5" w14:textId="77777777" w:rsidR="001F254B" w:rsidRPr="00604A2C" w:rsidRDefault="001F2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2C3E47E0" w14:textId="77777777" w:rsidR="001F254B" w:rsidRPr="00604A2C" w:rsidRDefault="009C6B48" w:rsidP="009C6B48">
      <w:pPr>
        <w:pStyle w:val="Heading3"/>
      </w:pPr>
      <w:r w:rsidRPr="00604A2C">
        <w:t>3.4.1 Branch Office</w:t>
      </w:r>
    </w:p>
    <w:p w14:paraId="6C5814DE" w14:textId="3E167712" w:rsidR="009C6B48" w:rsidRPr="00604A2C" w:rsidRDefault="009C6B48" w:rsidP="009C6B48">
      <w:pPr>
        <w:ind w:left="270"/>
        <w:rPr>
          <w:sz w:val="24"/>
          <w:szCs w:val="24"/>
        </w:rPr>
      </w:pPr>
      <w:r w:rsidRPr="00604A2C">
        <w:rPr>
          <w:sz w:val="24"/>
          <w:szCs w:val="24"/>
        </w:rPr>
        <w:t>A branch office is any location where one or more associated persons (</w:t>
      </w:r>
      <w:r w:rsidRPr="00604A2C">
        <w:rPr>
          <w:i/>
          <w:iCs/>
          <w:sz w:val="24"/>
          <w:szCs w:val="24"/>
        </w:rPr>
        <w:t>e.g.,</w:t>
      </w:r>
      <w:r w:rsidRPr="00604A2C">
        <w:rPr>
          <w:sz w:val="24"/>
          <w:szCs w:val="24"/>
        </w:rPr>
        <w:t xml:space="preserve"> employees, independent contractors) regularly conduct the business of effecting any transactions </w:t>
      </w:r>
      <w:r w:rsidR="007F0C5D" w:rsidRPr="00604A2C">
        <w:rPr>
          <w:sz w:val="24"/>
          <w:szCs w:val="24"/>
        </w:rPr>
        <w:t>in or</w:t>
      </w:r>
      <w:r w:rsidRPr="00604A2C">
        <w:rPr>
          <w:sz w:val="24"/>
          <w:szCs w:val="24"/>
        </w:rPr>
        <w:t xml:space="preserve"> </w:t>
      </w:r>
      <w:r w:rsidRPr="00604A2C">
        <w:rPr>
          <w:sz w:val="24"/>
          <w:szCs w:val="24"/>
        </w:rPr>
        <w:lastRenderedPageBreak/>
        <w:t>inducing or attempting to induce the purchase or sale of any security or any location held out as such. Branch offices are required to be registered, and if the "main office" meets the definition of "branch office,"</w:t>
      </w:r>
      <w:r w:rsidR="00256FBF" w:rsidRPr="00604A2C">
        <w:rPr>
          <w:sz w:val="24"/>
          <w:szCs w:val="24"/>
        </w:rPr>
        <w:t xml:space="preserve"> or “OSJ,”</w:t>
      </w:r>
      <w:r w:rsidRPr="00604A2C">
        <w:rPr>
          <w:sz w:val="24"/>
          <w:szCs w:val="24"/>
        </w:rPr>
        <w:t xml:space="preserve"> it is required to be registered.</w:t>
      </w:r>
    </w:p>
    <w:p w14:paraId="0A258735" w14:textId="77777777" w:rsidR="009C6B48" w:rsidRPr="00604A2C" w:rsidRDefault="009C6B48" w:rsidP="009C6B48">
      <w:pPr>
        <w:ind w:left="270"/>
        <w:rPr>
          <w:sz w:val="24"/>
          <w:szCs w:val="24"/>
        </w:rPr>
      </w:pPr>
    </w:p>
    <w:p w14:paraId="5CC0A7C9" w14:textId="77777777" w:rsidR="009C6B48" w:rsidRPr="00604A2C" w:rsidRDefault="009C6B48" w:rsidP="009C6B48">
      <w:pPr>
        <w:ind w:left="270"/>
        <w:rPr>
          <w:sz w:val="24"/>
          <w:szCs w:val="24"/>
        </w:rPr>
      </w:pPr>
      <w:r w:rsidRPr="00604A2C">
        <w:rPr>
          <w:sz w:val="24"/>
          <w:szCs w:val="24"/>
        </w:rPr>
        <w:t xml:space="preserve">Any office that </w:t>
      </w:r>
      <w:r w:rsidR="007312B6" w:rsidRPr="00604A2C">
        <w:rPr>
          <w:sz w:val="24"/>
          <w:szCs w:val="24"/>
        </w:rPr>
        <w:t>is responsible for supervising A</w:t>
      </w:r>
      <w:r w:rsidRPr="00604A2C">
        <w:rPr>
          <w:sz w:val="24"/>
          <w:szCs w:val="24"/>
        </w:rPr>
        <w:t xml:space="preserve">ssociated </w:t>
      </w:r>
      <w:r w:rsidR="007312B6" w:rsidRPr="00604A2C">
        <w:rPr>
          <w:sz w:val="24"/>
          <w:szCs w:val="24"/>
        </w:rPr>
        <w:t>P</w:t>
      </w:r>
      <w:r w:rsidRPr="00604A2C">
        <w:rPr>
          <w:sz w:val="24"/>
          <w:szCs w:val="24"/>
        </w:rPr>
        <w:t>ersons at one or more non-branch locations is considered to be a branch office.</w:t>
      </w:r>
    </w:p>
    <w:p w14:paraId="65F1B850" w14:textId="77777777" w:rsidR="001F254B" w:rsidRPr="00604A2C" w:rsidRDefault="001F25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538BD4B" w14:textId="77777777" w:rsidR="008B44C6" w:rsidRPr="00604A2C" w:rsidRDefault="008B44C6" w:rsidP="008B44C6">
      <w:pPr>
        <w:pStyle w:val="Heading3"/>
      </w:pPr>
      <w:r w:rsidRPr="00604A2C">
        <w:t>3.4.2 Non-Branch Locations</w:t>
      </w:r>
    </w:p>
    <w:p w14:paraId="6CC28CC2" w14:textId="4EAB9620" w:rsidR="008B44C6" w:rsidRDefault="008B44C6" w:rsidP="008B44C6">
      <w:pPr>
        <w:ind w:left="270"/>
        <w:rPr>
          <w:sz w:val="24"/>
          <w:szCs w:val="24"/>
        </w:rPr>
      </w:pPr>
      <w:r w:rsidRPr="00604A2C">
        <w:rPr>
          <w:sz w:val="24"/>
          <w:szCs w:val="24"/>
        </w:rPr>
        <w:t xml:space="preserve">There are seven exceptions from the branch office registration requirement. To qualify for an exception, all conditions must be met for the office location. All non-branch offices and their associated persons are assigned to a designated branch office for supervision. </w:t>
      </w:r>
    </w:p>
    <w:p w14:paraId="27AB38BF" w14:textId="77777777" w:rsidR="00785B17" w:rsidRPr="00604A2C" w:rsidRDefault="00785B17" w:rsidP="008B44C6">
      <w:pPr>
        <w:ind w:left="270"/>
        <w:rPr>
          <w:sz w:val="24"/>
          <w:szCs w:val="24"/>
        </w:rPr>
      </w:pPr>
    </w:p>
    <w:p w14:paraId="3DD7FAFA" w14:textId="75925DD5" w:rsidR="00785B17" w:rsidRDefault="008B44C6" w:rsidP="003E7B18">
      <w:pPr>
        <w:pStyle w:val="ListParagraph"/>
        <w:numPr>
          <w:ilvl w:val="0"/>
          <w:numId w:val="313"/>
        </w:numPr>
        <w:ind w:left="547" w:hanging="270"/>
        <w:rPr>
          <w:sz w:val="24"/>
          <w:szCs w:val="24"/>
        </w:rPr>
      </w:pPr>
      <w:r w:rsidRPr="00F84212">
        <w:rPr>
          <w:b/>
          <w:bCs/>
          <w:i/>
          <w:iCs/>
          <w:sz w:val="24"/>
          <w:szCs w:val="24"/>
        </w:rPr>
        <w:t>Non-sales locations:</w:t>
      </w:r>
      <w:r w:rsidRPr="00F84212">
        <w:rPr>
          <w:sz w:val="24"/>
          <w:szCs w:val="24"/>
        </w:rPr>
        <w:t xml:space="preserve"> Locations established solely for customer service and/or </w:t>
      </w:r>
      <w:proofErr w:type="gramStart"/>
      <w:r w:rsidRPr="00F84212">
        <w:rPr>
          <w:sz w:val="24"/>
          <w:szCs w:val="24"/>
        </w:rPr>
        <w:t>back office</w:t>
      </w:r>
      <w:proofErr w:type="gramEnd"/>
      <w:r w:rsidRPr="00F84212">
        <w:rPr>
          <w:sz w:val="24"/>
          <w:szCs w:val="24"/>
        </w:rPr>
        <w:t xml:space="preserve"> functions, not to be held out to the public as a branch office, and no sales activities are conducted from the location.</w:t>
      </w:r>
    </w:p>
    <w:p w14:paraId="0B26B09D" w14:textId="77777777" w:rsidR="00785B17" w:rsidRPr="00785B17" w:rsidRDefault="00785B17" w:rsidP="00785B17">
      <w:pPr>
        <w:pStyle w:val="ListParagraph"/>
        <w:ind w:left="547"/>
        <w:rPr>
          <w:sz w:val="24"/>
          <w:szCs w:val="24"/>
        </w:rPr>
      </w:pPr>
    </w:p>
    <w:p w14:paraId="2E8E451F" w14:textId="77777777" w:rsidR="008B44C6" w:rsidRPr="00F84212" w:rsidRDefault="008B44C6" w:rsidP="003E7B18">
      <w:pPr>
        <w:pStyle w:val="ListParagraph"/>
        <w:numPr>
          <w:ilvl w:val="0"/>
          <w:numId w:val="313"/>
        </w:numPr>
        <w:ind w:left="547" w:hanging="270"/>
        <w:rPr>
          <w:sz w:val="24"/>
          <w:szCs w:val="24"/>
        </w:rPr>
      </w:pPr>
      <w:r w:rsidRPr="00F84212">
        <w:rPr>
          <w:b/>
          <w:bCs/>
          <w:i/>
          <w:iCs/>
          <w:sz w:val="24"/>
          <w:szCs w:val="24"/>
        </w:rPr>
        <w:t>Primary residences:</w:t>
      </w:r>
      <w:r w:rsidRPr="00F84212">
        <w:rPr>
          <w:sz w:val="24"/>
          <w:szCs w:val="24"/>
        </w:rPr>
        <w:t xml:space="preserve"> Any location that is the associated person's primary residence. Only one associated person, or multiple associated persons who reside at the location and are members of the same immediate family, may conduct business from the location. Requirements for primary residence offices include:</w:t>
      </w:r>
    </w:p>
    <w:p w14:paraId="22FE7115" w14:textId="77777777" w:rsidR="00256FBF" w:rsidRPr="00604A2C" w:rsidRDefault="00256FBF" w:rsidP="003E7B18">
      <w:pPr>
        <w:numPr>
          <w:ilvl w:val="0"/>
          <w:numId w:val="243"/>
        </w:numPr>
        <w:tabs>
          <w:tab w:val="clear" w:pos="720"/>
          <w:tab w:val="num" w:pos="810"/>
        </w:tabs>
        <w:ind w:left="810" w:hanging="270"/>
        <w:rPr>
          <w:sz w:val="24"/>
          <w:szCs w:val="24"/>
        </w:rPr>
      </w:pPr>
      <w:r w:rsidRPr="00604A2C">
        <w:rPr>
          <w:sz w:val="24"/>
          <w:szCs w:val="24"/>
        </w:rPr>
        <w:t>Only one associated person, or multiple associated persons who reside at that location and are members of the same immediate family, conduct business at the location;</w:t>
      </w:r>
    </w:p>
    <w:p w14:paraId="1644FCA9" w14:textId="77777777" w:rsidR="00256FBF" w:rsidRPr="00604A2C" w:rsidRDefault="00256FBF" w:rsidP="003E7B18">
      <w:pPr>
        <w:numPr>
          <w:ilvl w:val="0"/>
          <w:numId w:val="243"/>
        </w:numPr>
        <w:tabs>
          <w:tab w:val="clear" w:pos="720"/>
          <w:tab w:val="num" w:pos="810"/>
        </w:tabs>
        <w:ind w:left="810" w:hanging="270"/>
        <w:rPr>
          <w:sz w:val="24"/>
          <w:szCs w:val="24"/>
        </w:rPr>
      </w:pPr>
      <w:r w:rsidRPr="00604A2C">
        <w:rPr>
          <w:sz w:val="24"/>
          <w:szCs w:val="24"/>
        </w:rPr>
        <w:t>The location is not held out to the public as an office and the associated person does not meet with customers at the location;</w:t>
      </w:r>
    </w:p>
    <w:p w14:paraId="6F9DA48D" w14:textId="77777777" w:rsidR="00256FBF" w:rsidRPr="00604A2C" w:rsidRDefault="00256FBF" w:rsidP="003E7B18">
      <w:pPr>
        <w:numPr>
          <w:ilvl w:val="0"/>
          <w:numId w:val="243"/>
        </w:numPr>
        <w:tabs>
          <w:tab w:val="clear" w:pos="720"/>
          <w:tab w:val="num" w:pos="810"/>
        </w:tabs>
        <w:ind w:left="810" w:hanging="270"/>
        <w:rPr>
          <w:sz w:val="24"/>
          <w:szCs w:val="24"/>
        </w:rPr>
      </w:pPr>
      <w:r w:rsidRPr="00604A2C">
        <w:rPr>
          <w:sz w:val="24"/>
          <w:szCs w:val="24"/>
        </w:rPr>
        <w:t>Neither customer funds nor securities are handled at that location;</w:t>
      </w:r>
    </w:p>
    <w:p w14:paraId="0DBEA82B" w14:textId="77777777" w:rsidR="00256FBF" w:rsidRPr="00604A2C" w:rsidRDefault="00256FBF" w:rsidP="003E7B18">
      <w:pPr>
        <w:numPr>
          <w:ilvl w:val="0"/>
          <w:numId w:val="243"/>
        </w:numPr>
        <w:tabs>
          <w:tab w:val="clear" w:pos="720"/>
          <w:tab w:val="num" w:pos="810"/>
        </w:tabs>
        <w:ind w:left="810" w:hanging="270"/>
        <w:rPr>
          <w:sz w:val="24"/>
          <w:szCs w:val="24"/>
        </w:rPr>
      </w:pPr>
      <w:r w:rsidRPr="00604A2C">
        <w:rPr>
          <w:sz w:val="24"/>
          <w:szCs w:val="24"/>
        </w:rPr>
        <w:t>The associated person is assigned to a designated branch office, and such designated branch office is reflected on all business cards, stationery, retail communications and other communications to the public by such associated person;</w:t>
      </w:r>
    </w:p>
    <w:p w14:paraId="66461F4F" w14:textId="77777777" w:rsidR="00256FBF" w:rsidRPr="00604A2C" w:rsidRDefault="00256FBF" w:rsidP="003E7B18">
      <w:pPr>
        <w:numPr>
          <w:ilvl w:val="0"/>
          <w:numId w:val="243"/>
        </w:numPr>
        <w:tabs>
          <w:tab w:val="clear" w:pos="720"/>
          <w:tab w:val="num" w:pos="810"/>
        </w:tabs>
        <w:ind w:left="810" w:hanging="270"/>
        <w:rPr>
          <w:sz w:val="24"/>
          <w:szCs w:val="24"/>
        </w:rPr>
      </w:pPr>
      <w:r w:rsidRPr="00604A2C">
        <w:rPr>
          <w:sz w:val="24"/>
          <w:szCs w:val="24"/>
        </w:rPr>
        <w:t xml:space="preserve">The associated person's correspondence and communications with the public are subject to </w:t>
      </w:r>
      <w:r w:rsidR="00570B97" w:rsidRPr="00604A2C">
        <w:rPr>
          <w:sz w:val="24"/>
          <w:szCs w:val="24"/>
        </w:rPr>
        <w:t>Company</w:t>
      </w:r>
      <w:r w:rsidRPr="00604A2C">
        <w:rPr>
          <w:sz w:val="24"/>
          <w:szCs w:val="24"/>
        </w:rPr>
        <w:t>'s supervision in accordance with this Rule;</w:t>
      </w:r>
    </w:p>
    <w:p w14:paraId="2B2C018D" w14:textId="77777777" w:rsidR="00256FBF" w:rsidRPr="00604A2C" w:rsidRDefault="00256FBF" w:rsidP="003E7B18">
      <w:pPr>
        <w:numPr>
          <w:ilvl w:val="0"/>
          <w:numId w:val="243"/>
        </w:numPr>
        <w:tabs>
          <w:tab w:val="clear" w:pos="720"/>
          <w:tab w:val="num" w:pos="810"/>
        </w:tabs>
        <w:ind w:left="810" w:hanging="270"/>
        <w:rPr>
          <w:sz w:val="24"/>
          <w:szCs w:val="24"/>
        </w:rPr>
      </w:pPr>
      <w:r w:rsidRPr="00604A2C">
        <w:rPr>
          <w:sz w:val="24"/>
          <w:szCs w:val="24"/>
        </w:rPr>
        <w:t>Electronic communications (</w:t>
      </w:r>
      <w:r w:rsidRPr="00604A2C">
        <w:rPr>
          <w:i/>
          <w:iCs/>
          <w:sz w:val="24"/>
          <w:szCs w:val="24"/>
        </w:rPr>
        <w:t>e.g.,</w:t>
      </w:r>
      <w:r w:rsidRPr="00604A2C">
        <w:rPr>
          <w:sz w:val="24"/>
          <w:szCs w:val="24"/>
        </w:rPr>
        <w:t xml:space="preserve"> email) are made through </w:t>
      </w:r>
      <w:r w:rsidR="00570B97" w:rsidRPr="00604A2C">
        <w:rPr>
          <w:sz w:val="24"/>
          <w:szCs w:val="24"/>
        </w:rPr>
        <w:t>Company</w:t>
      </w:r>
      <w:r w:rsidRPr="00604A2C">
        <w:rPr>
          <w:sz w:val="24"/>
          <w:szCs w:val="24"/>
        </w:rPr>
        <w:t>'s electronic system;</w:t>
      </w:r>
    </w:p>
    <w:p w14:paraId="52444E9F" w14:textId="77777777" w:rsidR="00256FBF" w:rsidRPr="00604A2C" w:rsidRDefault="00256FBF" w:rsidP="003E7B18">
      <w:pPr>
        <w:numPr>
          <w:ilvl w:val="0"/>
          <w:numId w:val="243"/>
        </w:numPr>
        <w:tabs>
          <w:tab w:val="clear" w:pos="720"/>
          <w:tab w:val="num" w:pos="810"/>
        </w:tabs>
        <w:ind w:left="810" w:hanging="270"/>
        <w:rPr>
          <w:sz w:val="24"/>
          <w:szCs w:val="24"/>
        </w:rPr>
      </w:pPr>
      <w:r w:rsidRPr="00604A2C">
        <w:rPr>
          <w:sz w:val="24"/>
          <w:szCs w:val="24"/>
        </w:rPr>
        <w:t>All orders are entered through the designated branch office or an electronic system established by the member that is reviewable at the branch office;</w:t>
      </w:r>
    </w:p>
    <w:p w14:paraId="2188FFC8" w14:textId="77777777" w:rsidR="00256FBF" w:rsidRPr="00604A2C" w:rsidRDefault="00256FBF" w:rsidP="003E7B18">
      <w:pPr>
        <w:numPr>
          <w:ilvl w:val="0"/>
          <w:numId w:val="243"/>
        </w:numPr>
        <w:tabs>
          <w:tab w:val="clear" w:pos="720"/>
          <w:tab w:val="num" w:pos="810"/>
        </w:tabs>
        <w:ind w:left="810" w:hanging="270"/>
        <w:rPr>
          <w:sz w:val="24"/>
          <w:szCs w:val="24"/>
        </w:rPr>
      </w:pPr>
      <w:r w:rsidRPr="00604A2C">
        <w:rPr>
          <w:sz w:val="24"/>
          <w:szCs w:val="24"/>
        </w:rPr>
        <w:t>Written supervisory procedures pertaining to supervision of sales activities conducted at the residence are maintained by Company; and</w:t>
      </w:r>
    </w:p>
    <w:p w14:paraId="1FC96337" w14:textId="77777777" w:rsidR="00256FBF" w:rsidRPr="00604A2C" w:rsidRDefault="00256FBF" w:rsidP="003E7B18">
      <w:pPr>
        <w:numPr>
          <w:ilvl w:val="0"/>
          <w:numId w:val="243"/>
        </w:numPr>
        <w:tabs>
          <w:tab w:val="clear" w:pos="720"/>
          <w:tab w:val="num" w:pos="810"/>
        </w:tabs>
        <w:ind w:left="810" w:hanging="270"/>
        <w:rPr>
          <w:sz w:val="24"/>
          <w:szCs w:val="24"/>
        </w:rPr>
      </w:pPr>
      <w:r w:rsidRPr="00604A2C">
        <w:rPr>
          <w:sz w:val="24"/>
          <w:szCs w:val="24"/>
        </w:rPr>
        <w:t>A list of the residence locations is maintained by Compliance.</w:t>
      </w:r>
    </w:p>
    <w:p w14:paraId="0BEFFA5E" w14:textId="77777777" w:rsidR="00256FBF" w:rsidRPr="00604A2C" w:rsidRDefault="00256FBF" w:rsidP="00256FBF">
      <w:pPr>
        <w:ind w:left="720"/>
        <w:rPr>
          <w:sz w:val="24"/>
          <w:szCs w:val="24"/>
        </w:rPr>
      </w:pPr>
    </w:p>
    <w:p w14:paraId="1064A345" w14:textId="77777777" w:rsidR="00F84212" w:rsidRDefault="008B44C6" w:rsidP="003E7B18">
      <w:pPr>
        <w:pStyle w:val="ListParagraph"/>
        <w:numPr>
          <w:ilvl w:val="0"/>
          <w:numId w:val="313"/>
        </w:numPr>
        <w:ind w:left="540" w:hanging="270"/>
        <w:rPr>
          <w:sz w:val="24"/>
          <w:szCs w:val="24"/>
        </w:rPr>
      </w:pPr>
      <w:r w:rsidRPr="00F84212">
        <w:rPr>
          <w:b/>
          <w:bCs/>
          <w:i/>
          <w:iCs/>
          <w:sz w:val="24"/>
          <w:szCs w:val="24"/>
        </w:rPr>
        <w:t>Locations other than primary residences:</w:t>
      </w:r>
      <w:r w:rsidRPr="00F84212">
        <w:rPr>
          <w:sz w:val="24"/>
          <w:szCs w:val="24"/>
        </w:rPr>
        <w:t xml:space="preserve"> Other locations used for securities-related activities less than 30 business days in any calendar year </w:t>
      </w:r>
      <w:r w:rsidR="00C97DB0" w:rsidRPr="00F84212">
        <w:rPr>
          <w:sz w:val="24"/>
          <w:szCs w:val="24"/>
        </w:rPr>
        <w:t xml:space="preserve">that meet the requirements of a primary residence office above.  </w:t>
      </w:r>
      <w:r w:rsidRPr="00F84212">
        <w:rPr>
          <w:sz w:val="24"/>
          <w:szCs w:val="24"/>
        </w:rPr>
        <w:t>This would generally include vacation or second homes and other non-primary residences. An RR operating from this type of location will be required to maintain a record of the dates when business is conducted from such a location and submit this information monthly to Compliance. When the "30-business day" exemption is exhausted, the RR is required to cease conducting business from that location or immediately submitting a request to Compliance to register the location as a branch office.</w:t>
      </w:r>
    </w:p>
    <w:p w14:paraId="7FD84D9A" w14:textId="77777777" w:rsidR="00F84212" w:rsidRPr="00F84212" w:rsidRDefault="00F84212" w:rsidP="00F84212">
      <w:pPr>
        <w:pStyle w:val="ListParagraph"/>
        <w:ind w:left="540"/>
        <w:rPr>
          <w:sz w:val="24"/>
          <w:szCs w:val="24"/>
        </w:rPr>
      </w:pPr>
    </w:p>
    <w:p w14:paraId="28260E59" w14:textId="77777777" w:rsidR="00F84212" w:rsidRPr="00F84212" w:rsidRDefault="008B44C6" w:rsidP="003E7B18">
      <w:pPr>
        <w:pStyle w:val="ListParagraph"/>
        <w:numPr>
          <w:ilvl w:val="0"/>
          <w:numId w:val="313"/>
        </w:numPr>
        <w:ind w:left="540" w:hanging="270"/>
        <w:rPr>
          <w:sz w:val="24"/>
          <w:szCs w:val="24"/>
        </w:rPr>
      </w:pPr>
      <w:r w:rsidRPr="00F84212">
        <w:rPr>
          <w:b/>
          <w:bCs/>
          <w:i/>
          <w:iCs/>
          <w:sz w:val="24"/>
          <w:szCs w:val="24"/>
        </w:rPr>
        <w:lastRenderedPageBreak/>
        <w:t>Offices of convenience:</w:t>
      </w:r>
      <w:r w:rsidRPr="00F84212">
        <w:rPr>
          <w:sz w:val="24"/>
          <w:szCs w:val="24"/>
        </w:rPr>
        <w:t xml:space="preserve"> This is a location where an associated person occasionally and exclusively by appointment meets with customers, provided the location is not held out to the public as a branch office. An associated person may not establish business hours at the location or hold out the location in any way (except for signage required at bank locations). Final approval and execution of transactions must be done through the designated supervisory branch office.</w:t>
      </w:r>
    </w:p>
    <w:p w14:paraId="57013A7B" w14:textId="77777777" w:rsidR="00F84212" w:rsidRPr="00F84212" w:rsidRDefault="00F84212" w:rsidP="00F84212">
      <w:pPr>
        <w:pStyle w:val="ListParagraph"/>
        <w:ind w:left="540" w:hanging="270"/>
        <w:rPr>
          <w:sz w:val="24"/>
          <w:szCs w:val="24"/>
        </w:rPr>
      </w:pPr>
    </w:p>
    <w:p w14:paraId="652D6BD4" w14:textId="77777777" w:rsidR="008B44C6" w:rsidRDefault="008B44C6" w:rsidP="003E7B18">
      <w:pPr>
        <w:pStyle w:val="ListParagraph"/>
        <w:numPr>
          <w:ilvl w:val="0"/>
          <w:numId w:val="313"/>
        </w:numPr>
        <w:ind w:left="540" w:hanging="270"/>
        <w:rPr>
          <w:sz w:val="24"/>
          <w:szCs w:val="24"/>
        </w:rPr>
      </w:pPr>
      <w:r w:rsidRPr="00F84212">
        <w:rPr>
          <w:b/>
          <w:bCs/>
          <w:i/>
          <w:iCs/>
          <w:sz w:val="24"/>
          <w:szCs w:val="24"/>
        </w:rPr>
        <w:t>Location used primarily to engage in non-securities transactions:</w:t>
      </w:r>
      <w:r w:rsidRPr="00F84212">
        <w:rPr>
          <w:sz w:val="24"/>
          <w:szCs w:val="24"/>
        </w:rPr>
        <w:t xml:space="preserve"> Locations where associated persons are primarily engaged in non-securities activities (</w:t>
      </w:r>
      <w:r w:rsidRPr="00F84212">
        <w:rPr>
          <w:i/>
          <w:iCs/>
          <w:sz w:val="24"/>
          <w:szCs w:val="24"/>
        </w:rPr>
        <w:t>e.g.,</w:t>
      </w:r>
      <w:r w:rsidRPr="00F84212">
        <w:rPr>
          <w:sz w:val="24"/>
          <w:szCs w:val="24"/>
        </w:rPr>
        <w:t xml:space="preserve"> insurance sales) and where the associated person effects no more than 25 securities transactions in a calendar year. Retail communications identifying the non-securities location must include the location of the supervising branch office. Compliance is responsible for monitoring the 25-transaction limit.</w:t>
      </w:r>
    </w:p>
    <w:p w14:paraId="1A8E9A7B" w14:textId="77777777" w:rsidR="00F84212" w:rsidRPr="00F84212" w:rsidRDefault="00F84212" w:rsidP="00F84212">
      <w:pPr>
        <w:ind w:left="540" w:hanging="270"/>
        <w:rPr>
          <w:sz w:val="24"/>
          <w:szCs w:val="24"/>
        </w:rPr>
      </w:pPr>
    </w:p>
    <w:p w14:paraId="6BC91AD3" w14:textId="77777777" w:rsidR="008B44C6" w:rsidRDefault="008B44C6" w:rsidP="003E7B18">
      <w:pPr>
        <w:pStyle w:val="ListParagraph"/>
        <w:numPr>
          <w:ilvl w:val="0"/>
          <w:numId w:val="313"/>
        </w:numPr>
        <w:ind w:left="540" w:hanging="270"/>
        <w:rPr>
          <w:sz w:val="24"/>
          <w:szCs w:val="24"/>
        </w:rPr>
      </w:pPr>
      <w:r w:rsidRPr="00F84212">
        <w:rPr>
          <w:b/>
          <w:bCs/>
          <w:i/>
          <w:iCs/>
          <w:sz w:val="24"/>
          <w:szCs w:val="24"/>
        </w:rPr>
        <w:t>Floor of a registered national securities exchange:</w:t>
      </w:r>
      <w:r w:rsidRPr="00F84212">
        <w:rPr>
          <w:sz w:val="24"/>
          <w:szCs w:val="24"/>
        </w:rPr>
        <w:t xml:space="preserve"> Any location on the floor of a registered national securities exchange where </w:t>
      </w:r>
      <w:r w:rsidR="00D85B5F" w:rsidRPr="00F84212">
        <w:rPr>
          <w:sz w:val="24"/>
          <w:szCs w:val="24"/>
        </w:rPr>
        <w:t>Company</w:t>
      </w:r>
      <w:r w:rsidRPr="00F84212">
        <w:rPr>
          <w:sz w:val="24"/>
          <w:szCs w:val="24"/>
        </w:rPr>
        <w:t xml:space="preserve"> conducts a direct access business with public customers is exempt from the definition of "branch office."</w:t>
      </w:r>
      <w:r w:rsidR="00F84212">
        <w:rPr>
          <w:sz w:val="24"/>
          <w:szCs w:val="24"/>
        </w:rPr>
        <w:t xml:space="preserve"> </w:t>
      </w:r>
    </w:p>
    <w:p w14:paraId="1D170F0F" w14:textId="77777777" w:rsidR="00F84212" w:rsidRPr="00F84212" w:rsidRDefault="00F84212" w:rsidP="00F84212">
      <w:pPr>
        <w:ind w:left="540" w:hanging="270"/>
        <w:rPr>
          <w:sz w:val="24"/>
          <w:szCs w:val="24"/>
        </w:rPr>
      </w:pPr>
    </w:p>
    <w:p w14:paraId="18A97669" w14:textId="77777777" w:rsidR="008B44C6" w:rsidRPr="00F84212" w:rsidRDefault="008B44C6" w:rsidP="003E7B18">
      <w:pPr>
        <w:pStyle w:val="ListParagraph"/>
        <w:numPr>
          <w:ilvl w:val="0"/>
          <w:numId w:val="313"/>
        </w:numPr>
        <w:ind w:left="540" w:hanging="270"/>
        <w:rPr>
          <w:sz w:val="24"/>
          <w:szCs w:val="24"/>
        </w:rPr>
      </w:pPr>
      <w:r w:rsidRPr="00F84212">
        <w:rPr>
          <w:b/>
          <w:bCs/>
          <w:i/>
          <w:iCs/>
          <w:sz w:val="24"/>
          <w:szCs w:val="24"/>
        </w:rPr>
        <w:t>Temporary location:</w:t>
      </w:r>
      <w:r w:rsidRPr="00F84212">
        <w:rPr>
          <w:sz w:val="24"/>
          <w:szCs w:val="24"/>
        </w:rPr>
        <w:t xml:space="preserve"> Any temporary location established in response to the implementation of a business continuity plan is exempt from branch office registration.</w:t>
      </w:r>
      <w:r w:rsidR="00A01A0B" w:rsidRPr="00F84212">
        <w:rPr>
          <w:sz w:val="24"/>
          <w:szCs w:val="24"/>
        </w:rPr>
        <w:t xml:space="preserve">  </w:t>
      </w:r>
    </w:p>
    <w:p w14:paraId="38306A52" w14:textId="77777777" w:rsidR="00F84212" w:rsidRDefault="00F84212" w:rsidP="00F84212">
      <w:pPr>
        <w:ind w:left="270"/>
        <w:rPr>
          <w:sz w:val="24"/>
          <w:szCs w:val="24"/>
        </w:rPr>
      </w:pPr>
      <w:r>
        <w:rPr>
          <w:sz w:val="24"/>
          <w:szCs w:val="24"/>
        </w:rPr>
        <w:t xml:space="preserve"> </w:t>
      </w:r>
    </w:p>
    <w:p w14:paraId="0D4E9DB0" w14:textId="5F85C2F9" w:rsidR="00684C8B" w:rsidRDefault="00A01A0B" w:rsidP="00F84212">
      <w:pPr>
        <w:ind w:left="270"/>
        <w:rPr>
          <w:sz w:val="24"/>
          <w:szCs w:val="24"/>
        </w:rPr>
      </w:pPr>
      <w:r w:rsidRPr="00604A2C">
        <w:rPr>
          <w:sz w:val="24"/>
          <w:szCs w:val="24"/>
        </w:rPr>
        <w:t>Regardless of the above exceptions to the definition of "branch office," any location that is responsible for supervising activities of RRs at one or more non-branch locations is considered to be a branch office.</w:t>
      </w:r>
    </w:p>
    <w:p w14:paraId="629FBE0A" w14:textId="77777777" w:rsidR="00684C8B" w:rsidRDefault="00684C8B" w:rsidP="005426F0">
      <w:bookmarkStart w:id="34" w:name="_3.4.3_Offices_of"/>
      <w:bookmarkEnd w:id="34"/>
    </w:p>
    <w:p w14:paraId="08FBF55E" w14:textId="2A358799" w:rsidR="008B44C6" w:rsidRPr="00604A2C" w:rsidRDefault="00B5061F" w:rsidP="00B5061F">
      <w:pPr>
        <w:pStyle w:val="Heading3"/>
      </w:pPr>
      <w:r w:rsidRPr="00604A2C">
        <w:t>3.4.3 Offices of Supervisory Jurisdiction (OSJ)</w:t>
      </w:r>
    </w:p>
    <w:p w14:paraId="4500DCD5" w14:textId="77777777" w:rsidR="00B5061F" w:rsidRPr="00604A2C" w:rsidRDefault="00B5061F" w:rsidP="00B5061F">
      <w:pPr>
        <w:shd w:val="clear" w:color="auto" w:fill="FFFFFF"/>
        <w:ind w:left="270"/>
        <w:rPr>
          <w:sz w:val="24"/>
          <w:szCs w:val="24"/>
        </w:rPr>
      </w:pPr>
      <w:r w:rsidRPr="00604A2C">
        <w:rPr>
          <w:sz w:val="24"/>
          <w:szCs w:val="24"/>
        </w:rPr>
        <w:t>An office that includes any of the following activities will be designated as an Office of Supervisory Jurisdiction (OSJ) with a resident principal responsible for supervision:</w:t>
      </w:r>
    </w:p>
    <w:p w14:paraId="4D24AE5F" w14:textId="77777777" w:rsidR="00B5061F" w:rsidRPr="00604A2C" w:rsidRDefault="00B5061F" w:rsidP="00B5061F">
      <w:pPr>
        <w:shd w:val="clear" w:color="auto" w:fill="FFFFFF"/>
        <w:ind w:left="270"/>
        <w:rPr>
          <w:sz w:val="16"/>
          <w:szCs w:val="16"/>
        </w:rPr>
      </w:pPr>
    </w:p>
    <w:p w14:paraId="134247EF" w14:textId="77777777" w:rsidR="00B5061F" w:rsidRPr="00604A2C" w:rsidRDefault="00B5061F" w:rsidP="003E7B18">
      <w:pPr>
        <w:numPr>
          <w:ilvl w:val="0"/>
          <w:numId w:val="244"/>
        </w:numPr>
        <w:shd w:val="clear" w:color="auto" w:fill="FFFFFF"/>
        <w:tabs>
          <w:tab w:val="clear" w:pos="720"/>
          <w:tab w:val="num" w:pos="810"/>
        </w:tabs>
        <w:ind w:left="810" w:hanging="270"/>
        <w:rPr>
          <w:sz w:val="24"/>
          <w:szCs w:val="24"/>
        </w:rPr>
      </w:pPr>
      <w:r w:rsidRPr="00604A2C">
        <w:rPr>
          <w:sz w:val="24"/>
          <w:szCs w:val="24"/>
        </w:rPr>
        <w:t xml:space="preserve">Order execution </w:t>
      </w:r>
      <w:r w:rsidR="00A77E75">
        <w:rPr>
          <w:sz w:val="24"/>
          <w:szCs w:val="24"/>
        </w:rPr>
        <w:t>and/or market making</w:t>
      </w:r>
    </w:p>
    <w:p w14:paraId="70CE51FF" w14:textId="77777777" w:rsidR="00B5061F" w:rsidRPr="00604A2C" w:rsidRDefault="00B5061F" w:rsidP="003E7B18">
      <w:pPr>
        <w:numPr>
          <w:ilvl w:val="0"/>
          <w:numId w:val="244"/>
        </w:numPr>
        <w:shd w:val="clear" w:color="auto" w:fill="FFFFFF"/>
        <w:tabs>
          <w:tab w:val="clear" w:pos="720"/>
          <w:tab w:val="num" w:pos="810"/>
        </w:tabs>
        <w:ind w:left="810" w:hanging="270"/>
        <w:rPr>
          <w:sz w:val="24"/>
          <w:szCs w:val="24"/>
        </w:rPr>
      </w:pPr>
      <w:r w:rsidRPr="00604A2C">
        <w:rPr>
          <w:sz w:val="24"/>
          <w:szCs w:val="24"/>
        </w:rPr>
        <w:t xml:space="preserve">Structuring of public offerings or private placements </w:t>
      </w:r>
    </w:p>
    <w:p w14:paraId="362C89FD" w14:textId="77777777" w:rsidR="00B5061F" w:rsidRPr="00604A2C" w:rsidRDefault="00B5061F" w:rsidP="003E7B18">
      <w:pPr>
        <w:numPr>
          <w:ilvl w:val="0"/>
          <w:numId w:val="244"/>
        </w:numPr>
        <w:shd w:val="clear" w:color="auto" w:fill="FFFFFF"/>
        <w:tabs>
          <w:tab w:val="clear" w:pos="720"/>
          <w:tab w:val="num" w:pos="810"/>
        </w:tabs>
        <w:ind w:left="810" w:hanging="270"/>
        <w:rPr>
          <w:sz w:val="24"/>
          <w:szCs w:val="24"/>
        </w:rPr>
      </w:pPr>
      <w:r w:rsidRPr="00604A2C">
        <w:rPr>
          <w:sz w:val="24"/>
          <w:szCs w:val="24"/>
        </w:rPr>
        <w:t xml:space="preserve">Maintaining custody of customers' funds and/or securities </w:t>
      </w:r>
    </w:p>
    <w:p w14:paraId="65B68D8B" w14:textId="77777777" w:rsidR="00B5061F" w:rsidRPr="00604A2C" w:rsidRDefault="00B5061F" w:rsidP="003E7B18">
      <w:pPr>
        <w:numPr>
          <w:ilvl w:val="0"/>
          <w:numId w:val="244"/>
        </w:numPr>
        <w:shd w:val="clear" w:color="auto" w:fill="FFFFFF"/>
        <w:tabs>
          <w:tab w:val="clear" w:pos="720"/>
          <w:tab w:val="num" w:pos="810"/>
        </w:tabs>
        <w:ind w:left="810" w:hanging="270"/>
        <w:rPr>
          <w:sz w:val="24"/>
          <w:szCs w:val="24"/>
        </w:rPr>
      </w:pPr>
      <w:r w:rsidRPr="00604A2C">
        <w:rPr>
          <w:sz w:val="24"/>
          <w:szCs w:val="24"/>
        </w:rPr>
        <w:t xml:space="preserve">Final acceptance (approval) of new accounts </w:t>
      </w:r>
    </w:p>
    <w:p w14:paraId="2760F726" w14:textId="77777777" w:rsidR="00B5061F" w:rsidRPr="00604A2C" w:rsidRDefault="00B5061F" w:rsidP="003E7B18">
      <w:pPr>
        <w:numPr>
          <w:ilvl w:val="0"/>
          <w:numId w:val="244"/>
        </w:numPr>
        <w:shd w:val="clear" w:color="auto" w:fill="FFFFFF"/>
        <w:tabs>
          <w:tab w:val="clear" w:pos="720"/>
          <w:tab w:val="num" w:pos="810"/>
        </w:tabs>
        <w:ind w:left="810" w:hanging="270"/>
        <w:rPr>
          <w:sz w:val="24"/>
          <w:szCs w:val="24"/>
        </w:rPr>
      </w:pPr>
      <w:r w:rsidRPr="00604A2C">
        <w:rPr>
          <w:sz w:val="24"/>
          <w:szCs w:val="24"/>
        </w:rPr>
        <w:t xml:space="preserve">Review and approval of customer orders </w:t>
      </w:r>
    </w:p>
    <w:p w14:paraId="4DF624A0" w14:textId="77777777" w:rsidR="00B5061F" w:rsidRPr="00604A2C" w:rsidRDefault="00B5061F" w:rsidP="003E7B18">
      <w:pPr>
        <w:numPr>
          <w:ilvl w:val="0"/>
          <w:numId w:val="244"/>
        </w:numPr>
        <w:shd w:val="clear" w:color="auto" w:fill="FFFFFF"/>
        <w:tabs>
          <w:tab w:val="clear" w:pos="720"/>
          <w:tab w:val="num" w:pos="810"/>
        </w:tabs>
        <w:ind w:left="810" w:hanging="270"/>
        <w:rPr>
          <w:sz w:val="24"/>
          <w:szCs w:val="24"/>
        </w:rPr>
      </w:pPr>
      <w:r w:rsidRPr="00604A2C">
        <w:rPr>
          <w:sz w:val="24"/>
          <w:szCs w:val="24"/>
        </w:rPr>
        <w:t xml:space="preserve">Final approval of retail communications </w:t>
      </w:r>
    </w:p>
    <w:p w14:paraId="76E7F453" w14:textId="77777777" w:rsidR="00A77E75" w:rsidRPr="00A77E75" w:rsidRDefault="00B5061F" w:rsidP="003E7B18">
      <w:pPr>
        <w:numPr>
          <w:ilvl w:val="0"/>
          <w:numId w:val="244"/>
        </w:numPr>
        <w:shd w:val="clear" w:color="auto" w:fill="FFFFFF"/>
        <w:tabs>
          <w:tab w:val="clear" w:pos="720"/>
          <w:tab w:val="num" w:pos="810"/>
        </w:tabs>
        <w:ind w:left="810" w:hanging="270"/>
        <w:rPr>
          <w:sz w:val="24"/>
          <w:szCs w:val="24"/>
        </w:rPr>
      </w:pPr>
      <w:r w:rsidRPr="00604A2C">
        <w:rPr>
          <w:sz w:val="24"/>
          <w:szCs w:val="24"/>
        </w:rPr>
        <w:t>Supervision of RRs at one or more other branch offices</w:t>
      </w:r>
    </w:p>
    <w:p w14:paraId="3B950B10" w14:textId="77777777" w:rsidR="00633EAC" w:rsidRPr="00604A2C" w:rsidRDefault="00633EAC" w:rsidP="00633EAC">
      <w:pPr>
        <w:shd w:val="clear" w:color="auto" w:fill="FFFFFF"/>
        <w:spacing w:before="100" w:beforeAutospacing="1" w:after="100" w:afterAutospacing="1"/>
        <w:ind w:left="270"/>
        <w:rPr>
          <w:sz w:val="24"/>
          <w:szCs w:val="24"/>
        </w:rPr>
      </w:pPr>
      <w:r w:rsidRPr="00604A2C">
        <w:rPr>
          <w:sz w:val="24"/>
          <w:szCs w:val="24"/>
        </w:rPr>
        <w:t>In addition, the following factors will be considered on determining whether an office is an OSJ:</w:t>
      </w:r>
    </w:p>
    <w:p w14:paraId="5FD648D7" w14:textId="77777777" w:rsidR="00633EAC" w:rsidRPr="00604A2C" w:rsidRDefault="00633EAC" w:rsidP="003E7B18">
      <w:pPr>
        <w:numPr>
          <w:ilvl w:val="0"/>
          <w:numId w:val="272"/>
        </w:numPr>
        <w:shd w:val="clear" w:color="auto" w:fill="FFFFFF"/>
        <w:tabs>
          <w:tab w:val="clear" w:pos="720"/>
          <w:tab w:val="num" w:pos="810"/>
        </w:tabs>
        <w:ind w:left="810" w:hanging="270"/>
        <w:rPr>
          <w:sz w:val="24"/>
          <w:szCs w:val="24"/>
        </w:rPr>
      </w:pPr>
      <w:r w:rsidRPr="00604A2C">
        <w:rPr>
          <w:sz w:val="24"/>
          <w:szCs w:val="24"/>
        </w:rPr>
        <w:t>Whether registered persons at the location engage in retail sales or other activities involving regular contact with public customers;</w:t>
      </w:r>
    </w:p>
    <w:p w14:paraId="3AB54CC1" w14:textId="77777777" w:rsidR="00633EAC" w:rsidRPr="00604A2C" w:rsidRDefault="00633EAC" w:rsidP="003E7B18">
      <w:pPr>
        <w:numPr>
          <w:ilvl w:val="0"/>
          <w:numId w:val="272"/>
        </w:numPr>
        <w:shd w:val="clear" w:color="auto" w:fill="FFFFFF"/>
        <w:tabs>
          <w:tab w:val="clear" w:pos="720"/>
          <w:tab w:val="num" w:pos="810"/>
        </w:tabs>
        <w:ind w:left="810" w:hanging="270"/>
        <w:rPr>
          <w:sz w:val="24"/>
          <w:szCs w:val="24"/>
        </w:rPr>
      </w:pPr>
      <w:r w:rsidRPr="00604A2C">
        <w:rPr>
          <w:sz w:val="24"/>
          <w:szCs w:val="24"/>
        </w:rPr>
        <w:t>Whether a substantial number of registered persons conduct securities activities at, or are otherwise supervised from, such location;</w:t>
      </w:r>
    </w:p>
    <w:p w14:paraId="584E4A20" w14:textId="77777777" w:rsidR="00633EAC" w:rsidRPr="00604A2C" w:rsidRDefault="00633EAC" w:rsidP="003E7B18">
      <w:pPr>
        <w:numPr>
          <w:ilvl w:val="0"/>
          <w:numId w:val="272"/>
        </w:numPr>
        <w:shd w:val="clear" w:color="auto" w:fill="FFFFFF"/>
        <w:tabs>
          <w:tab w:val="clear" w:pos="720"/>
          <w:tab w:val="num" w:pos="810"/>
        </w:tabs>
        <w:ind w:left="810" w:hanging="270"/>
        <w:rPr>
          <w:sz w:val="24"/>
          <w:szCs w:val="24"/>
        </w:rPr>
      </w:pPr>
      <w:r w:rsidRPr="00604A2C">
        <w:rPr>
          <w:sz w:val="24"/>
          <w:szCs w:val="24"/>
        </w:rPr>
        <w:t>Whether the location is geographically distant from another OSJ of Company;</w:t>
      </w:r>
    </w:p>
    <w:p w14:paraId="4E7E8870" w14:textId="77777777" w:rsidR="00633EAC" w:rsidRPr="00604A2C" w:rsidRDefault="00633EAC" w:rsidP="003E7B18">
      <w:pPr>
        <w:numPr>
          <w:ilvl w:val="0"/>
          <w:numId w:val="272"/>
        </w:numPr>
        <w:shd w:val="clear" w:color="auto" w:fill="FFFFFF"/>
        <w:tabs>
          <w:tab w:val="clear" w:pos="720"/>
          <w:tab w:val="num" w:pos="810"/>
        </w:tabs>
        <w:ind w:left="810" w:hanging="270"/>
        <w:rPr>
          <w:sz w:val="24"/>
          <w:szCs w:val="24"/>
        </w:rPr>
      </w:pPr>
      <w:r w:rsidRPr="00604A2C">
        <w:rPr>
          <w:sz w:val="24"/>
          <w:szCs w:val="24"/>
        </w:rPr>
        <w:t>Whether the member's registered persons are geographically dispersed; and</w:t>
      </w:r>
    </w:p>
    <w:p w14:paraId="67451038" w14:textId="77777777" w:rsidR="00633EAC" w:rsidRPr="00604A2C" w:rsidRDefault="00633EAC" w:rsidP="003E7B18">
      <w:pPr>
        <w:numPr>
          <w:ilvl w:val="0"/>
          <w:numId w:val="272"/>
        </w:numPr>
        <w:shd w:val="clear" w:color="auto" w:fill="FFFFFF"/>
        <w:tabs>
          <w:tab w:val="clear" w:pos="720"/>
          <w:tab w:val="num" w:pos="810"/>
        </w:tabs>
        <w:ind w:left="810" w:hanging="270"/>
        <w:rPr>
          <w:sz w:val="24"/>
          <w:szCs w:val="24"/>
        </w:rPr>
      </w:pPr>
      <w:r w:rsidRPr="00604A2C">
        <w:rPr>
          <w:sz w:val="24"/>
          <w:szCs w:val="24"/>
        </w:rPr>
        <w:t>Whether the securities activities at such location are diverse or complex.</w:t>
      </w:r>
    </w:p>
    <w:p w14:paraId="5F8C24E2" w14:textId="77777777" w:rsidR="00633EAC" w:rsidRPr="00604A2C" w:rsidRDefault="00633EAC" w:rsidP="00633EAC">
      <w:pPr>
        <w:shd w:val="clear" w:color="auto" w:fill="FFFFFF"/>
        <w:ind w:left="810"/>
        <w:rPr>
          <w:sz w:val="24"/>
          <w:szCs w:val="24"/>
        </w:rPr>
      </w:pPr>
    </w:p>
    <w:p w14:paraId="1E6FEB90" w14:textId="77777777" w:rsidR="00633EAC" w:rsidRPr="00604A2C" w:rsidRDefault="00633EAC" w:rsidP="002B3998">
      <w:pPr>
        <w:shd w:val="clear" w:color="auto" w:fill="FFFFFF"/>
        <w:ind w:left="360"/>
        <w:rPr>
          <w:sz w:val="24"/>
          <w:szCs w:val="24"/>
        </w:rPr>
      </w:pPr>
      <w:r w:rsidRPr="00604A2C">
        <w:rPr>
          <w:sz w:val="24"/>
          <w:szCs w:val="24"/>
        </w:rPr>
        <w:t>Excluded from the definition of OSJ is an office that solely provides final approval of research reports.</w:t>
      </w:r>
    </w:p>
    <w:p w14:paraId="46ACB7A6" w14:textId="77777777" w:rsidR="00633EAC" w:rsidRPr="00604A2C" w:rsidRDefault="00633EAC" w:rsidP="00633EAC">
      <w:pPr>
        <w:shd w:val="clear" w:color="auto" w:fill="FFFFFF"/>
        <w:ind w:left="360" w:hanging="90"/>
        <w:rPr>
          <w:sz w:val="24"/>
          <w:szCs w:val="24"/>
        </w:rPr>
      </w:pPr>
    </w:p>
    <w:p w14:paraId="6B0E27F4" w14:textId="77777777" w:rsidR="00633EAC" w:rsidRPr="00604A2C" w:rsidRDefault="00633EAC" w:rsidP="00633EAC">
      <w:pPr>
        <w:shd w:val="clear" w:color="auto" w:fill="FFFFFF"/>
        <w:ind w:left="360" w:hanging="90"/>
        <w:rPr>
          <w:sz w:val="24"/>
          <w:szCs w:val="24"/>
        </w:rPr>
      </w:pPr>
      <w:r w:rsidRPr="00604A2C">
        <w:rPr>
          <w:sz w:val="24"/>
          <w:szCs w:val="24"/>
        </w:rPr>
        <w:t>An OSJ principal will supervise only one OSJ; exceptions must be approved by Compliance.</w:t>
      </w:r>
    </w:p>
    <w:p w14:paraId="191FB4E1" w14:textId="77777777" w:rsidR="00B5061F" w:rsidRPr="00604A2C" w:rsidRDefault="00B5061F" w:rsidP="0063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06ACB51" w14:textId="77777777" w:rsidR="000C099C" w:rsidRPr="0036449C" w:rsidRDefault="000C099C" w:rsidP="003E2B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 w:val="24"/>
          <w:szCs w:val="24"/>
        </w:rPr>
      </w:pPr>
      <w:r w:rsidRPr="00604A2C">
        <w:rPr>
          <w:sz w:val="24"/>
          <w:szCs w:val="24"/>
        </w:rPr>
        <w:t>For purposes of this memorandum</w:t>
      </w:r>
      <w:r w:rsidR="006803B6" w:rsidRPr="00604A2C">
        <w:rPr>
          <w:sz w:val="24"/>
          <w:szCs w:val="24"/>
        </w:rPr>
        <w:t>,</w:t>
      </w:r>
      <w:r w:rsidRPr="00604A2C">
        <w:rPr>
          <w:sz w:val="24"/>
          <w:szCs w:val="24"/>
        </w:rPr>
        <w:t xml:space="preserve"> Company </w:t>
      </w:r>
      <w:r w:rsidR="00653B69" w:rsidRPr="00604A2C">
        <w:rPr>
          <w:sz w:val="24"/>
          <w:szCs w:val="24"/>
        </w:rPr>
        <w:t>maintains the following OSJ offices</w:t>
      </w:r>
      <w:r w:rsidRPr="00604A2C">
        <w:rPr>
          <w:sz w:val="24"/>
          <w:szCs w:val="24"/>
        </w:rPr>
        <w:t>:</w:t>
      </w:r>
    </w:p>
    <w:p w14:paraId="4C06C960" w14:textId="77777777" w:rsidR="000C099C" w:rsidRPr="0036449C" w:rsidRDefault="000C099C" w:rsidP="003E2B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 w:val="24"/>
          <w:szCs w:val="24"/>
        </w:rPr>
      </w:pPr>
    </w:p>
    <w:p w14:paraId="3B6857E5" w14:textId="77777777" w:rsidR="000C099C" w:rsidRPr="0036449C" w:rsidRDefault="000C099C" w:rsidP="003E2B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 w:val="24"/>
          <w:szCs w:val="24"/>
        </w:rPr>
      </w:pPr>
      <w:r w:rsidRPr="0036449C">
        <w:rPr>
          <w:b/>
          <w:sz w:val="24"/>
          <w:szCs w:val="24"/>
        </w:rPr>
        <w:t>Address:</w:t>
      </w:r>
      <w:r w:rsidRPr="0036449C">
        <w:rPr>
          <w:b/>
          <w:sz w:val="24"/>
          <w:szCs w:val="24"/>
        </w:rPr>
        <w:tab/>
      </w:r>
      <w:r w:rsidRPr="0036449C">
        <w:rPr>
          <w:b/>
          <w:sz w:val="24"/>
          <w:szCs w:val="24"/>
        </w:rPr>
        <w:tab/>
      </w:r>
      <w:r w:rsidRPr="0036449C">
        <w:rPr>
          <w:b/>
          <w:sz w:val="24"/>
          <w:szCs w:val="24"/>
        </w:rPr>
        <w:tab/>
      </w:r>
      <w:r w:rsidR="003E2B17">
        <w:rPr>
          <w:b/>
          <w:sz w:val="24"/>
          <w:szCs w:val="24"/>
        </w:rPr>
        <w:t xml:space="preserve">                                    </w:t>
      </w:r>
      <w:r w:rsidRPr="0036449C">
        <w:rPr>
          <w:b/>
          <w:sz w:val="24"/>
          <w:szCs w:val="24"/>
        </w:rPr>
        <w:tab/>
        <w:t>Supervisor:</w:t>
      </w:r>
    </w:p>
    <w:p w14:paraId="2D00B4E0" w14:textId="34171FF5" w:rsidR="000C099C" w:rsidRPr="0001132F" w:rsidRDefault="0001132F" w:rsidP="00EC53C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 w:val="24"/>
          <w:szCs w:val="24"/>
        </w:rPr>
      </w:pPr>
      <w:r w:rsidRPr="0001132F">
        <w:rPr>
          <w:sz w:val="24"/>
          <w:szCs w:val="24"/>
          <w:u w:val="single"/>
        </w:rPr>
        <w:t>Home O</w:t>
      </w:r>
      <w:r w:rsidR="000C099C" w:rsidRPr="0001132F">
        <w:rPr>
          <w:sz w:val="24"/>
          <w:szCs w:val="24"/>
          <w:u w:val="single"/>
        </w:rPr>
        <w:t>ffice</w:t>
      </w:r>
      <w:r w:rsidR="00452232" w:rsidRPr="0001132F">
        <w:rPr>
          <w:sz w:val="24"/>
          <w:szCs w:val="24"/>
          <w:u w:val="single"/>
        </w:rPr>
        <w:t xml:space="preserve"> </w:t>
      </w:r>
      <w:r>
        <w:rPr>
          <w:sz w:val="24"/>
          <w:szCs w:val="24"/>
          <w:u w:val="single"/>
        </w:rPr>
        <w:t xml:space="preserve">- </w:t>
      </w:r>
      <w:r w:rsidR="00653B69" w:rsidRPr="0001132F">
        <w:rPr>
          <w:sz w:val="24"/>
          <w:szCs w:val="24"/>
          <w:u w:val="single"/>
        </w:rPr>
        <w:t>OSJ,</w:t>
      </w:r>
      <w:r w:rsidR="00452232" w:rsidRPr="0001132F">
        <w:rPr>
          <w:sz w:val="24"/>
          <w:szCs w:val="24"/>
          <w:u w:val="single"/>
        </w:rPr>
        <w:t xml:space="preserve"> Muni OSJ</w:t>
      </w:r>
    </w:p>
    <w:p w14:paraId="0F27B032" w14:textId="50290F39" w:rsidR="000C099C" w:rsidRPr="00424F51" w:rsidRDefault="007D7567" w:rsidP="00EC53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 w:val="24"/>
          <w:szCs w:val="24"/>
        </w:rPr>
      </w:pPr>
      <w:r w:rsidRPr="005D0AD0">
        <w:rPr>
          <w:sz w:val="24"/>
          <w:szCs w:val="24"/>
        </w:rPr>
        <w:t>10655 Six Pines Dr Ste 100</w:t>
      </w:r>
      <w:r>
        <w:rPr>
          <w:color w:val="FF0000"/>
          <w:sz w:val="24"/>
          <w:szCs w:val="24"/>
        </w:rPr>
        <w:t xml:space="preserve">   </w:t>
      </w:r>
      <w:r w:rsidR="000C099C" w:rsidRPr="0036449C">
        <w:rPr>
          <w:sz w:val="24"/>
          <w:szCs w:val="24"/>
        </w:rPr>
        <w:t xml:space="preserve">             </w:t>
      </w:r>
      <w:r w:rsidR="00AB4885">
        <w:rPr>
          <w:sz w:val="24"/>
          <w:szCs w:val="24"/>
        </w:rPr>
        <w:t xml:space="preserve">              </w:t>
      </w:r>
      <w:r w:rsidR="00EC53CE">
        <w:rPr>
          <w:sz w:val="24"/>
          <w:szCs w:val="24"/>
        </w:rPr>
        <w:tab/>
      </w:r>
      <w:r w:rsidR="00AB4885">
        <w:rPr>
          <w:sz w:val="24"/>
          <w:szCs w:val="24"/>
        </w:rPr>
        <w:t xml:space="preserve">       </w:t>
      </w:r>
      <w:r w:rsidR="005018B8">
        <w:rPr>
          <w:sz w:val="24"/>
          <w:szCs w:val="24"/>
        </w:rPr>
        <w:t xml:space="preserve">   </w:t>
      </w:r>
      <w:r w:rsidR="000C099C" w:rsidRPr="0036449C">
        <w:rPr>
          <w:sz w:val="24"/>
          <w:szCs w:val="24"/>
        </w:rPr>
        <w:t>Morris Monroe</w:t>
      </w:r>
      <w:r w:rsidR="005018B8">
        <w:rPr>
          <w:sz w:val="24"/>
          <w:szCs w:val="24"/>
        </w:rPr>
        <w:t xml:space="preserve">, </w:t>
      </w:r>
      <w:r w:rsidR="005018B8" w:rsidRPr="00424F51">
        <w:rPr>
          <w:sz w:val="24"/>
          <w:szCs w:val="24"/>
        </w:rPr>
        <w:t>Laura Hendricks</w:t>
      </w:r>
    </w:p>
    <w:p w14:paraId="009F3833" w14:textId="77777777" w:rsidR="000C099C" w:rsidRPr="00424F51" w:rsidRDefault="000C099C" w:rsidP="00EC53CE">
      <w:pPr>
        <w:tabs>
          <w:tab w:val="left" w:pos="720"/>
          <w:tab w:val="left" w:pos="1440"/>
          <w:tab w:val="left" w:pos="2160"/>
          <w:tab w:val="left" w:pos="2880"/>
          <w:tab w:val="left" w:pos="3600"/>
          <w:tab w:val="left" w:pos="4320"/>
          <w:tab w:val="left" w:pos="5670"/>
          <w:tab w:val="left" w:pos="6480"/>
          <w:tab w:val="left" w:pos="7200"/>
          <w:tab w:val="left" w:pos="7920"/>
          <w:tab w:val="left" w:pos="8640"/>
        </w:tabs>
        <w:ind w:left="270"/>
        <w:jc w:val="both"/>
        <w:rPr>
          <w:sz w:val="24"/>
          <w:szCs w:val="24"/>
        </w:rPr>
      </w:pPr>
      <w:r w:rsidRPr="00424F51">
        <w:rPr>
          <w:sz w:val="24"/>
          <w:szCs w:val="24"/>
        </w:rPr>
        <w:t>The Woodlands, Texas 77380</w:t>
      </w:r>
      <w:r w:rsidRPr="00424F51">
        <w:rPr>
          <w:sz w:val="24"/>
          <w:szCs w:val="24"/>
        </w:rPr>
        <w:tab/>
        <w:t xml:space="preserve">   </w:t>
      </w:r>
      <w:r w:rsidRPr="00424F51">
        <w:rPr>
          <w:sz w:val="24"/>
          <w:szCs w:val="24"/>
        </w:rPr>
        <w:tab/>
      </w:r>
      <w:r w:rsidR="003E2B17">
        <w:rPr>
          <w:sz w:val="24"/>
          <w:szCs w:val="24"/>
        </w:rPr>
        <w:t xml:space="preserve">                 </w:t>
      </w:r>
      <w:r w:rsidR="003E2B17">
        <w:rPr>
          <w:sz w:val="24"/>
          <w:szCs w:val="24"/>
        </w:rPr>
        <w:tab/>
      </w:r>
      <w:r w:rsidRPr="00424F51">
        <w:rPr>
          <w:sz w:val="24"/>
          <w:szCs w:val="24"/>
        </w:rPr>
        <w:t>Contact Person: Morris Monroe</w:t>
      </w:r>
    </w:p>
    <w:p w14:paraId="773B9B52" w14:textId="013B8F34" w:rsidR="005018B8" w:rsidRDefault="005018B8" w:rsidP="003E2B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424F51">
        <w:rPr>
          <w:sz w:val="24"/>
          <w:szCs w:val="24"/>
        </w:rPr>
        <w:t xml:space="preserve">                                       </w:t>
      </w:r>
      <w:r w:rsidRPr="00424F51">
        <w:rPr>
          <w:sz w:val="24"/>
          <w:szCs w:val="24"/>
        </w:rPr>
        <w:tab/>
      </w:r>
      <w:r w:rsidRPr="00424F51">
        <w:rPr>
          <w:sz w:val="24"/>
          <w:szCs w:val="24"/>
        </w:rPr>
        <w:tab/>
      </w:r>
      <w:r w:rsidRPr="00424F51">
        <w:rPr>
          <w:sz w:val="24"/>
          <w:szCs w:val="24"/>
        </w:rPr>
        <w:tab/>
      </w:r>
      <w:r w:rsidRPr="00424F51">
        <w:rPr>
          <w:sz w:val="24"/>
          <w:szCs w:val="24"/>
        </w:rPr>
        <w:tab/>
      </w:r>
      <w:r w:rsidR="003E2B17">
        <w:rPr>
          <w:sz w:val="24"/>
          <w:szCs w:val="24"/>
        </w:rPr>
        <w:t xml:space="preserve">                        </w:t>
      </w:r>
      <w:r w:rsidRPr="00424F51">
        <w:rPr>
          <w:sz w:val="24"/>
          <w:szCs w:val="24"/>
        </w:rPr>
        <w:tab/>
      </w:r>
      <w:r w:rsidR="007B1F3A">
        <w:rPr>
          <w:sz w:val="24"/>
          <w:szCs w:val="24"/>
        </w:rPr>
        <w:t xml:space="preserve"> </w:t>
      </w:r>
      <w:r w:rsidRPr="00424F51">
        <w:rPr>
          <w:sz w:val="24"/>
          <w:szCs w:val="24"/>
        </w:rPr>
        <w:t>Laura Hendricks</w:t>
      </w:r>
    </w:p>
    <w:p w14:paraId="64F15DBC" w14:textId="1AA5D6B5" w:rsidR="0001132F" w:rsidRDefault="0001132F" w:rsidP="003E2B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4C28BBB" w14:textId="77777777" w:rsidR="000C099C" w:rsidRPr="0036449C" w:rsidRDefault="00653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p>
    <w:p w14:paraId="5DDC5DB5" w14:textId="77777777" w:rsidR="009654C0" w:rsidRPr="00414E56" w:rsidRDefault="009654C0" w:rsidP="00414E56">
      <w:pPr>
        <w:pStyle w:val="Heading3"/>
      </w:pPr>
      <w:bookmarkStart w:id="35" w:name="_3.4.4_Branch_Offices"/>
      <w:bookmarkEnd w:id="35"/>
      <w:r w:rsidRPr="00414E56">
        <w:t>3.</w:t>
      </w:r>
      <w:r w:rsidR="00414E56" w:rsidRPr="00414E56">
        <w:t>4.4</w:t>
      </w:r>
      <w:r w:rsidR="00EC737C" w:rsidRPr="00414E56">
        <w:t xml:space="preserve"> </w:t>
      </w:r>
      <w:r w:rsidRPr="00414E56">
        <w:t>Branch Offices</w:t>
      </w:r>
      <w:r w:rsidR="00414E56" w:rsidRPr="00414E56">
        <w:t xml:space="preserve"> Assigned to OSJs</w:t>
      </w:r>
    </w:p>
    <w:p w14:paraId="6A03D360" w14:textId="77777777" w:rsidR="00414E56" w:rsidRPr="00604A2C" w:rsidRDefault="00414E56" w:rsidP="00414E56">
      <w:pPr>
        <w:ind w:left="270"/>
        <w:rPr>
          <w:sz w:val="24"/>
          <w:szCs w:val="24"/>
        </w:rPr>
      </w:pPr>
      <w:r w:rsidRPr="00604A2C">
        <w:rPr>
          <w:sz w:val="24"/>
          <w:szCs w:val="24"/>
        </w:rPr>
        <w:t>Each branch office that is not an OSJ will be assigned to the supervision of an OSJ.  All business transacted by non-OSJ branch offices must be processed through the supervising OSJ. The designated supervisor is responsible for supervision of the branch office's activities and maintaining files for complaints, communications, new accounts, and transactions originating from the branch office.</w:t>
      </w:r>
    </w:p>
    <w:p w14:paraId="2FD0F5EC" w14:textId="77777777" w:rsidR="00414E56" w:rsidRPr="00604A2C" w:rsidRDefault="00414E56" w:rsidP="00414E56">
      <w:pPr>
        <w:ind w:left="270"/>
        <w:rPr>
          <w:sz w:val="24"/>
          <w:szCs w:val="24"/>
        </w:rPr>
      </w:pPr>
    </w:p>
    <w:p w14:paraId="7E7735B9" w14:textId="77777777" w:rsidR="00414E56" w:rsidRPr="00604A2C" w:rsidRDefault="00414E56" w:rsidP="00414E56">
      <w:pPr>
        <w:ind w:left="270"/>
        <w:rPr>
          <w:sz w:val="24"/>
          <w:szCs w:val="24"/>
        </w:rPr>
      </w:pPr>
      <w:r w:rsidRPr="00604A2C">
        <w:rPr>
          <w:sz w:val="24"/>
          <w:szCs w:val="24"/>
        </w:rPr>
        <w:t>A branch office may be a "supervisory branch office" that has responsibility to supervise one or more other offices or a "non-supervisory branch office" that has no supervision over other offices.</w:t>
      </w:r>
    </w:p>
    <w:p w14:paraId="3E54F5FD" w14:textId="77777777" w:rsidR="00414E56" w:rsidRPr="00604A2C" w:rsidRDefault="00414E56">
      <w:pPr>
        <w:jc w:val="both"/>
        <w:rPr>
          <w:sz w:val="24"/>
          <w:szCs w:val="24"/>
        </w:rPr>
      </w:pPr>
    </w:p>
    <w:p w14:paraId="5C6DC772" w14:textId="77777777" w:rsidR="000C099C" w:rsidRPr="00604A2C" w:rsidRDefault="000C099C" w:rsidP="00414E56">
      <w:pPr>
        <w:ind w:left="270"/>
        <w:jc w:val="both"/>
        <w:rPr>
          <w:sz w:val="24"/>
          <w:szCs w:val="24"/>
        </w:rPr>
      </w:pPr>
      <w:r w:rsidRPr="00604A2C">
        <w:rPr>
          <w:sz w:val="24"/>
          <w:szCs w:val="24"/>
        </w:rPr>
        <w:t>The following office</w:t>
      </w:r>
      <w:r w:rsidR="00AB4885" w:rsidRPr="00604A2C">
        <w:rPr>
          <w:sz w:val="24"/>
          <w:szCs w:val="24"/>
        </w:rPr>
        <w:t>(</w:t>
      </w:r>
      <w:r w:rsidRPr="00604A2C">
        <w:rPr>
          <w:sz w:val="24"/>
          <w:szCs w:val="24"/>
        </w:rPr>
        <w:t>s</w:t>
      </w:r>
      <w:r w:rsidR="00AB4885" w:rsidRPr="00604A2C">
        <w:rPr>
          <w:sz w:val="24"/>
          <w:szCs w:val="24"/>
        </w:rPr>
        <w:t>)</w:t>
      </w:r>
      <w:r w:rsidRPr="00604A2C">
        <w:rPr>
          <w:sz w:val="24"/>
          <w:szCs w:val="24"/>
        </w:rPr>
        <w:t xml:space="preserve"> of the Company are hereby designated and registered as branch office</w:t>
      </w:r>
      <w:r w:rsidR="00AB4885" w:rsidRPr="00604A2C">
        <w:rPr>
          <w:sz w:val="24"/>
          <w:szCs w:val="24"/>
        </w:rPr>
        <w:t>(</w:t>
      </w:r>
      <w:r w:rsidRPr="00604A2C">
        <w:rPr>
          <w:sz w:val="24"/>
          <w:szCs w:val="24"/>
        </w:rPr>
        <w:t>s</w:t>
      </w:r>
      <w:r w:rsidR="00AB4885" w:rsidRPr="00604A2C">
        <w:rPr>
          <w:sz w:val="24"/>
          <w:szCs w:val="24"/>
        </w:rPr>
        <w:t>)</w:t>
      </w:r>
      <w:r w:rsidR="00414E56" w:rsidRPr="00604A2C">
        <w:rPr>
          <w:sz w:val="24"/>
          <w:szCs w:val="24"/>
        </w:rPr>
        <w:t xml:space="preserve"> assigned to an OSJ</w:t>
      </w:r>
      <w:r w:rsidRPr="00604A2C">
        <w:rPr>
          <w:sz w:val="24"/>
          <w:szCs w:val="24"/>
        </w:rPr>
        <w:t>:</w:t>
      </w:r>
    </w:p>
    <w:p w14:paraId="7A8946C3" w14:textId="77777777" w:rsidR="005173EC" w:rsidRPr="0036449C" w:rsidRDefault="005173EC" w:rsidP="00414E56">
      <w:pPr>
        <w:ind w:left="270"/>
        <w:jc w:val="both"/>
        <w:rPr>
          <w:sz w:val="24"/>
          <w:szCs w:val="24"/>
        </w:rPr>
      </w:pPr>
    </w:p>
    <w:p w14:paraId="7F6CABAF" w14:textId="77777777" w:rsidR="000C099C" w:rsidRPr="0036449C" w:rsidRDefault="000C099C" w:rsidP="00414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 w:val="24"/>
          <w:szCs w:val="24"/>
        </w:rPr>
      </w:pPr>
      <w:r w:rsidRPr="0036449C">
        <w:rPr>
          <w:b/>
          <w:sz w:val="24"/>
          <w:szCs w:val="24"/>
        </w:rPr>
        <w:t xml:space="preserve">Address:  </w:t>
      </w:r>
      <w:r w:rsidRPr="0036449C">
        <w:rPr>
          <w:b/>
          <w:sz w:val="24"/>
          <w:szCs w:val="24"/>
        </w:rPr>
        <w:tab/>
      </w:r>
      <w:r w:rsidRPr="0036449C">
        <w:rPr>
          <w:b/>
          <w:sz w:val="24"/>
          <w:szCs w:val="24"/>
        </w:rPr>
        <w:tab/>
      </w:r>
      <w:r w:rsidRPr="0036449C">
        <w:rPr>
          <w:b/>
          <w:sz w:val="24"/>
          <w:szCs w:val="24"/>
        </w:rPr>
        <w:tab/>
      </w:r>
      <w:r w:rsidRPr="0036449C">
        <w:rPr>
          <w:b/>
          <w:sz w:val="24"/>
          <w:szCs w:val="24"/>
        </w:rPr>
        <w:tab/>
      </w:r>
      <w:r w:rsidRPr="0036449C">
        <w:rPr>
          <w:b/>
          <w:sz w:val="24"/>
          <w:szCs w:val="24"/>
        </w:rPr>
        <w:tab/>
      </w:r>
      <w:r w:rsidRPr="0036449C">
        <w:rPr>
          <w:b/>
          <w:sz w:val="24"/>
          <w:szCs w:val="24"/>
        </w:rPr>
        <w:tab/>
      </w:r>
      <w:r w:rsidRPr="0036449C">
        <w:rPr>
          <w:b/>
          <w:sz w:val="24"/>
          <w:szCs w:val="24"/>
        </w:rPr>
        <w:tab/>
      </w:r>
      <w:r w:rsidR="00414E56">
        <w:rPr>
          <w:b/>
          <w:sz w:val="24"/>
          <w:szCs w:val="24"/>
        </w:rPr>
        <w:t>OSJ/</w:t>
      </w:r>
      <w:r w:rsidRPr="0036449C">
        <w:rPr>
          <w:b/>
          <w:sz w:val="24"/>
          <w:szCs w:val="24"/>
        </w:rPr>
        <w:t>Supervisor:</w:t>
      </w:r>
    </w:p>
    <w:p w14:paraId="07035ABA" w14:textId="532C76FC" w:rsidR="000C099C" w:rsidRPr="0036449C" w:rsidRDefault="000C099C" w:rsidP="00414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 w:val="24"/>
          <w:szCs w:val="24"/>
        </w:rPr>
      </w:pPr>
      <w:r w:rsidRPr="0036449C">
        <w:rPr>
          <w:sz w:val="24"/>
          <w:szCs w:val="24"/>
          <w:u w:val="single"/>
        </w:rPr>
        <w:t>Office:</w:t>
      </w:r>
    </w:p>
    <w:p w14:paraId="26BC58AE" w14:textId="77777777" w:rsidR="000C099C" w:rsidRPr="0036449C" w:rsidRDefault="000C099C" w:rsidP="00414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 w:val="24"/>
          <w:szCs w:val="24"/>
        </w:rPr>
      </w:pPr>
      <w:r w:rsidRPr="0036449C">
        <w:rPr>
          <w:sz w:val="24"/>
          <w:szCs w:val="24"/>
        </w:rPr>
        <w:t>14425 Torrey Chase #350</w:t>
      </w:r>
      <w:r w:rsidRPr="0036449C">
        <w:rPr>
          <w:sz w:val="24"/>
          <w:szCs w:val="24"/>
        </w:rPr>
        <w:tab/>
      </w:r>
      <w:r w:rsidRPr="0036449C">
        <w:rPr>
          <w:sz w:val="24"/>
          <w:szCs w:val="24"/>
        </w:rPr>
        <w:tab/>
      </w:r>
      <w:r w:rsidRPr="0036449C">
        <w:rPr>
          <w:sz w:val="24"/>
          <w:szCs w:val="24"/>
        </w:rPr>
        <w:tab/>
      </w:r>
      <w:r w:rsidRPr="0036449C">
        <w:rPr>
          <w:sz w:val="24"/>
          <w:szCs w:val="24"/>
        </w:rPr>
        <w:tab/>
      </w:r>
      <w:r w:rsidRPr="0036449C">
        <w:rPr>
          <w:sz w:val="24"/>
          <w:szCs w:val="24"/>
        </w:rPr>
        <w:tab/>
      </w:r>
      <w:r w:rsidR="00414E56">
        <w:rPr>
          <w:sz w:val="24"/>
          <w:szCs w:val="24"/>
        </w:rPr>
        <w:t>Main Office/</w:t>
      </w:r>
      <w:r w:rsidRPr="0036449C">
        <w:rPr>
          <w:sz w:val="24"/>
          <w:szCs w:val="24"/>
        </w:rPr>
        <w:t>Morris Monroe</w:t>
      </w:r>
    </w:p>
    <w:p w14:paraId="22A2CD26" w14:textId="77777777" w:rsidR="000C099C" w:rsidRPr="0036449C" w:rsidRDefault="000C099C" w:rsidP="00414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 w:val="24"/>
          <w:szCs w:val="24"/>
        </w:rPr>
      </w:pPr>
      <w:r w:rsidRPr="0036449C">
        <w:rPr>
          <w:sz w:val="24"/>
          <w:szCs w:val="24"/>
        </w:rPr>
        <w:t>Houston TX 77014</w:t>
      </w:r>
      <w:r w:rsidRPr="0036449C">
        <w:rPr>
          <w:sz w:val="24"/>
          <w:szCs w:val="24"/>
        </w:rPr>
        <w:tab/>
      </w:r>
      <w:r w:rsidRPr="0036449C">
        <w:rPr>
          <w:sz w:val="24"/>
          <w:szCs w:val="24"/>
        </w:rPr>
        <w:tab/>
      </w:r>
      <w:r w:rsidRPr="0036449C">
        <w:rPr>
          <w:sz w:val="24"/>
          <w:szCs w:val="24"/>
        </w:rPr>
        <w:tab/>
      </w:r>
      <w:r w:rsidRPr="0036449C">
        <w:rPr>
          <w:sz w:val="24"/>
          <w:szCs w:val="24"/>
        </w:rPr>
        <w:tab/>
      </w:r>
      <w:r w:rsidRPr="0036449C">
        <w:rPr>
          <w:sz w:val="24"/>
          <w:szCs w:val="24"/>
        </w:rPr>
        <w:tab/>
      </w:r>
      <w:r w:rsidRPr="0036449C">
        <w:rPr>
          <w:sz w:val="24"/>
          <w:szCs w:val="24"/>
        </w:rPr>
        <w:tab/>
        <w:t xml:space="preserve">Contact Person: </w:t>
      </w:r>
      <w:r w:rsidR="003F742E" w:rsidRPr="005D0AD0">
        <w:rPr>
          <w:sz w:val="24"/>
          <w:szCs w:val="24"/>
        </w:rPr>
        <w:t>Jim Harris</w:t>
      </w:r>
    </w:p>
    <w:p w14:paraId="5AA4FEA6" w14:textId="77777777" w:rsidR="000C099C" w:rsidRPr="0036449C" w:rsidRDefault="000C099C" w:rsidP="00414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jc w:val="both"/>
        <w:rPr>
          <w:sz w:val="24"/>
          <w:szCs w:val="24"/>
        </w:rPr>
      </w:pPr>
    </w:p>
    <w:p w14:paraId="06CA09F7" w14:textId="77777777" w:rsidR="000C099C" w:rsidRPr="0036449C" w:rsidRDefault="000C099C" w:rsidP="00414E56">
      <w:pPr>
        <w:ind w:left="270"/>
        <w:jc w:val="both"/>
        <w:rPr>
          <w:color w:val="000000"/>
          <w:sz w:val="24"/>
          <w:szCs w:val="24"/>
        </w:rPr>
      </w:pPr>
      <w:r w:rsidRPr="0036449C">
        <w:rPr>
          <w:color w:val="000000"/>
          <w:sz w:val="24"/>
          <w:szCs w:val="24"/>
        </w:rPr>
        <w:t>The Company, as it may become appropriate, shall designate one or more appropriately registered Principals in each OSJ (a Designated Principal), including the main office, and, where applicable, one or more appropriately registered representatives or Principals in each non-OSJ branch office, with authority to carry out the supervisory responsibilities assigned to that office by the Company.</w:t>
      </w:r>
    </w:p>
    <w:p w14:paraId="0FECEC2D" w14:textId="77777777" w:rsidR="000C099C" w:rsidRPr="0036449C" w:rsidRDefault="000C099C" w:rsidP="00414E56">
      <w:pPr>
        <w:ind w:left="270"/>
        <w:jc w:val="both"/>
        <w:rPr>
          <w:color w:val="000000"/>
          <w:sz w:val="24"/>
          <w:szCs w:val="24"/>
        </w:rPr>
      </w:pPr>
    </w:p>
    <w:p w14:paraId="0F2D2A9B" w14:textId="77777777" w:rsidR="000C099C" w:rsidRPr="0036449C" w:rsidRDefault="000C099C" w:rsidP="00414E56">
      <w:pPr>
        <w:ind w:left="270"/>
        <w:jc w:val="both"/>
        <w:rPr>
          <w:color w:val="000000"/>
          <w:sz w:val="24"/>
          <w:szCs w:val="24"/>
        </w:rPr>
      </w:pPr>
      <w:r w:rsidRPr="0036449C">
        <w:rPr>
          <w:color w:val="000000"/>
          <w:sz w:val="24"/>
          <w:szCs w:val="24"/>
        </w:rPr>
        <w:t>A copy of th</w:t>
      </w:r>
      <w:r w:rsidR="005A7723">
        <w:rPr>
          <w:color w:val="000000"/>
          <w:sz w:val="24"/>
          <w:szCs w:val="24"/>
        </w:rPr>
        <w:t>e</w:t>
      </w:r>
      <w:r w:rsidRPr="0036449C">
        <w:rPr>
          <w:color w:val="000000"/>
          <w:sz w:val="24"/>
          <w:szCs w:val="24"/>
        </w:rPr>
        <w:t xml:space="preserve"> </w:t>
      </w:r>
      <w:r w:rsidR="005A7723">
        <w:rPr>
          <w:color w:val="000000"/>
          <w:sz w:val="24"/>
          <w:szCs w:val="24"/>
        </w:rPr>
        <w:t>WSP</w:t>
      </w:r>
      <w:r w:rsidRPr="0036449C">
        <w:rPr>
          <w:color w:val="000000"/>
          <w:sz w:val="24"/>
          <w:szCs w:val="24"/>
        </w:rPr>
        <w:t>, or the relevant portions thereof, including amendments, shall be kept and maintained at each OSJ and at each location where supervisory activities are conducted on behalf of the Company</w:t>
      </w:r>
      <w:r w:rsidR="00AB4885">
        <w:rPr>
          <w:color w:val="000000"/>
          <w:sz w:val="24"/>
          <w:szCs w:val="24"/>
        </w:rPr>
        <w:t xml:space="preserve"> </w:t>
      </w:r>
      <w:r w:rsidR="00AB4885" w:rsidRPr="002E5282">
        <w:rPr>
          <w:sz w:val="24"/>
          <w:szCs w:val="24"/>
        </w:rPr>
        <w:t>(an electronic format is acceptable)</w:t>
      </w:r>
      <w:r w:rsidRPr="002E5282">
        <w:rPr>
          <w:sz w:val="24"/>
          <w:szCs w:val="24"/>
        </w:rPr>
        <w:t>.</w:t>
      </w:r>
      <w:r w:rsidRPr="0036449C">
        <w:rPr>
          <w:color w:val="000000"/>
          <w:sz w:val="24"/>
          <w:szCs w:val="24"/>
        </w:rPr>
        <w:t xml:space="preserve">  </w:t>
      </w:r>
      <w:bookmarkStart w:id="36" w:name="DistnOfProcedures"/>
      <w:bookmarkEnd w:id="36"/>
      <w:r w:rsidRPr="0036449C">
        <w:rPr>
          <w:color w:val="000000"/>
          <w:sz w:val="24"/>
          <w:szCs w:val="24"/>
        </w:rPr>
        <w:t xml:space="preserve">An updated </w:t>
      </w:r>
      <w:r w:rsidR="00AB4885">
        <w:rPr>
          <w:color w:val="000000"/>
          <w:sz w:val="24"/>
          <w:szCs w:val="24"/>
        </w:rPr>
        <w:t>WSP</w:t>
      </w:r>
      <w:r w:rsidRPr="0036449C">
        <w:rPr>
          <w:color w:val="000000"/>
          <w:sz w:val="24"/>
          <w:szCs w:val="24"/>
        </w:rPr>
        <w:t xml:space="preserve"> will be given</w:t>
      </w:r>
      <w:r w:rsidR="00B2588C">
        <w:rPr>
          <w:color w:val="000000"/>
          <w:sz w:val="24"/>
          <w:szCs w:val="24"/>
        </w:rPr>
        <w:t xml:space="preserve"> </w:t>
      </w:r>
      <w:r w:rsidR="00B2588C" w:rsidRPr="00424F51">
        <w:rPr>
          <w:sz w:val="24"/>
          <w:szCs w:val="24"/>
        </w:rPr>
        <w:t>(or electronic access)</w:t>
      </w:r>
      <w:r w:rsidRPr="0036449C">
        <w:rPr>
          <w:color w:val="000000"/>
          <w:sz w:val="24"/>
          <w:szCs w:val="24"/>
        </w:rPr>
        <w:t xml:space="preserve">, at a minimum, at each annual compliance meeting. The Company shall assign each registered person to an appropriately registered representative(s) and/or principal(s) who shall be responsible for supervising that person's activities. Reasonable efforts will be used to ensure that all supervisory personnel are qualified by virtue of experience or training to carry out their assigned responsibilities </w:t>
      </w:r>
      <w:r w:rsidRPr="0036449C">
        <w:rPr>
          <w:sz w:val="24"/>
          <w:szCs w:val="24"/>
        </w:rPr>
        <w:t>whether onsite or remotely.</w:t>
      </w:r>
    </w:p>
    <w:p w14:paraId="52C82EE2" w14:textId="77777777" w:rsidR="00186675" w:rsidRDefault="00186675" w:rsidP="00D02250">
      <w:pPr>
        <w:jc w:val="both"/>
        <w:rPr>
          <w:sz w:val="24"/>
          <w:szCs w:val="24"/>
        </w:rPr>
      </w:pPr>
    </w:p>
    <w:p w14:paraId="64BB853E" w14:textId="77777777" w:rsidR="00DB3085" w:rsidRDefault="00DB3085" w:rsidP="00DB3085"/>
    <w:p w14:paraId="08F38002" w14:textId="77777777" w:rsidR="00FD4858" w:rsidRPr="00DD2CE1" w:rsidRDefault="00FD4858" w:rsidP="00936FEE">
      <w:pPr>
        <w:pStyle w:val="Heading2"/>
      </w:pPr>
      <w:r>
        <w:lastRenderedPageBreak/>
        <w:t>3</w:t>
      </w:r>
      <w:r w:rsidRPr="00DD2CE1">
        <w:t>.</w:t>
      </w:r>
      <w:r>
        <w:t>5</w:t>
      </w:r>
      <w:r w:rsidRPr="00DD2CE1">
        <w:t xml:space="preserve"> Office Inspections</w:t>
      </w:r>
    </w:p>
    <w:p w14:paraId="00827019" w14:textId="77777777" w:rsidR="00FD4858" w:rsidRDefault="00FD4858" w:rsidP="00FD4858">
      <w:pPr>
        <w:jc w:val="both"/>
        <w:rPr>
          <w:sz w:val="24"/>
        </w:rPr>
      </w:pPr>
      <w:r>
        <w:rPr>
          <w:sz w:val="24"/>
        </w:rPr>
        <w:t xml:space="preserve">Pursuant to Rule 3010(c)(1), all OSJ offices of the Company shall be inspected no less than annually by </w:t>
      </w:r>
      <w:r w:rsidRPr="009F1432">
        <w:rPr>
          <w:sz w:val="24"/>
        </w:rPr>
        <w:t>a qualified principal</w:t>
      </w:r>
      <w:r>
        <w:rPr>
          <w:sz w:val="24"/>
        </w:rPr>
        <w:t xml:space="preserve"> of the Company </w:t>
      </w:r>
      <w:r w:rsidRPr="009F1432">
        <w:rPr>
          <w:sz w:val="24"/>
        </w:rPr>
        <w:t>with sufficient knowledge and experience to evaluate branch activities. Any non-supervisory offices shall be inspected, at a minimum, every three years. The non-supervisory office’s securities business volume and complexity and the</w:t>
      </w:r>
      <w:r>
        <w:rPr>
          <w:sz w:val="24"/>
        </w:rPr>
        <w:t xml:space="preserve"> number of Associated Persons assigned to that office will be criteria for inspecting the office more frequently than every 3 years. Non-supervisory offices have either a minimal number of Associated Persons and/or sales activity and/or the branch is non-retail are the criteria for a three-year inspection cycle.  All offices will be inspected by Morris Monroe or Laura Hendricks </w:t>
      </w:r>
      <w:r w:rsidR="00406911">
        <w:rPr>
          <w:sz w:val="24"/>
        </w:rPr>
        <w:t>or by</w:t>
      </w:r>
      <w:r>
        <w:rPr>
          <w:sz w:val="24"/>
        </w:rPr>
        <w:t xml:space="preserve"> any other Compliance Department designee.  A record of any inspection will be maintained by the Company and for a period of three years.  </w:t>
      </w:r>
    </w:p>
    <w:p w14:paraId="2713185F" w14:textId="77777777" w:rsidR="00FD4858" w:rsidRDefault="00FD4858" w:rsidP="00FD4858">
      <w:pPr>
        <w:jc w:val="both"/>
        <w:rPr>
          <w:sz w:val="24"/>
        </w:rPr>
      </w:pPr>
    </w:p>
    <w:p w14:paraId="229AAB36" w14:textId="77777777" w:rsidR="00FD4858" w:rsidRPr="00D14441" w:rsidRDefault="00FD4858" w:rsidP="00FD4858">
      <w:pPr>
        <w:jc w:val="both"/>
        <w:rPr>
          <w:sz w:val="24"/>
        </w:rPr>
      </w:pPr>
      <w:r w:rsidRPr="00D14441">
        <w:rPr>
          <w:sz w:val="24"/>
        </w:rPr>
        <w:t>If deemed necessary</w:t>
      </w:r>
      <w:r>
        <w:rPr>
          <w:sz w:val="24"/>
        </w:rPr>
        <w:t xml:space="preserve"> </w:t>
      </w:r>
      <w:r w:rsidRPr="00424F51">
        <w:rPr>
          <w:sz w:val="24"/>
        </w:rPr>
        <w:t>by Compliance or Morris Monroe</w:t>
      </w:r>
      <w:r w:rsidRPr="00D14441">
        <w:rPr>
          <w:sz w:val="24"/>
        </w:rPr>
        <w:t>, some office inspections may occur on an unannounced basis.  These will be based on a number of risk-based factors to warrant such an inspection.  Factors may include:</w:t>
      </w:r>
    </w:p>
    <w:p w14:paraId="22A70C86" w14:textId="77777777" w:rsidR="00FD4858" w:rsidRPr="00D14441" w:rsidRDefault="00FD4858" w:rsidP="00FD4858">
      <w:pPr>
        <w:jc w:val="both"/>
        <w:rPr>
          <w:sz w:val="24"/>
        </w:rPr>
      </w:pPr>
    </w:p>
    <w:p w14:paraId="7D9840F6" w14:textId="77777777" w:rsidR="00FD4858" w:rsidRPr="00D14441" w:rsidRDefault="00FD4858" w:rsidP="003E7B18">
      <w:pPr>
        <w:numPr>
          <w:ilvl w:val="0"/>
          <w:numId w:val="158"/>
        </w:numPr>
        <w:ind w:left="630" w:hanging="270"/>
        <w:jc w:val="both"/>
        <w:rPr>
          <w:sz w:val="24"/>
        </w:rPr>
      </w:pPr>
      <w:r w:rsidRPr="00D14441">
        <w:rPr>
          <w:sz w:val="24"/>
        </w:rPr>
        <w:t>Increased production volume in riskier products;</w:t>
      </w:r>
    </w:p>
    <w:p w14:paraId="5501227A" w14:textId="77777777" w:rsidR="00FD4858" w:rsidRDefault="00FD4858" w:rsidP="003E7B18">
      <w:pPr>
        <w:numPr>
          <w:ilvl w:val="0"/>
          <w:numId w:val="158"/>
        </w:numPr>
        <w:ind w:left="630" w:hanging="270"/>
        <w:jc w:val="both"/>
        <w:rPr>
          <w:sz w:val="24"/>
        </w:rPr>
      </w:pPr>
      <w:r w:rsidRPr="00D14441">
        <w:rPr>
          <w:sz w:val="24"/>
        </w:rPr>
        <w:t>Customer complaints, disciplinary actions and/or regulatory actions filed against office personnel;</w:t>
      </w:r>
    </w:p>
    <w:p w14:paraId="2794835B" w14:textId="77777777" w:rsidR="00406911" w:rsidRPr="00604A2C" w:rsidRDefault="00406911" w:rsidP="003E7B18">
      <w:pPr>
        <w:numPr>
          <w:ilvl w:val="0"/>
          <w:numId w:val="158"/>
        </w:numPr>
        <w:ind w:left="630" w:hanging="270"/>
        <w:rPr>
          <w:sz w:val="24"/>
          <w:szCs w:val="24"/>
        </w:rPr>
      </w:pPr>
      <w:r w:rsidRPr="00604A2C">
        <w:rPr>
          <w:sz w:val="24"/>
          <w:szCs w:val="24"/>
        </w:rPr>
        <w:t>A branch that previously did not supervise other offices now supervises another office (requiring annual inspection).</w:t>
      </w:r>
    </w:p>
    <w:p w14:paraId="077FF628" w14:textId="77777777" w:rsidR="00FD4858" w:rsidRPr="00D14441" w:rsidRDefault="00FD4858" w:rsidP="003E7B18">
      <w:pPr>
        <w:numPr>
          <w:ilvl w:val="0"/>
          <w:numId w:val="158"/>
        </w:numPr>
        <w:ind w:left="630" w:hanging="270"/>
        <w:jc w:val="both"/>
        <w:rPr>
          <w:sz w:val="24"/>
        </w:rPr>
      </w:pPr>
      <w:r w:rsidRPr="00D14441">
        <w:rPr>
          <w:sz w:val="24"/>
        </w:rPr>
        <w:t>Prior year adverse findings; or</w:t>
      </w:r>
    </w:p>
    <w:p w14:paraId="53130391" w14:textId="77777777" w:rsidR="00FD4858" w:rsidRPr="00D14441" w:rsidRDefault="00FD4858" w:rsidP="003E7B18">
      <w:pPr>
        <w:numPr>
          <w:ilvl w:val="0"/>
          <w:numId w:val="158"/>
        </w:numPr>
        <w:ind w:left="630" w:hanging="270"/>
        <w:jc w:val="both"/>
        <w:rPr>
          <w:sz w:val="24"/>
        </w:rPr>
      </w:pPr>
      <w:r w:rsidRPr="00D14441">
        <w:rPr>
          <w:sz w:val="24"/>
        </w:rPr>
        <w:t>Other factors determined by Compliance.</w:t>
      </w:r>
    </w:p>
    <w:p w14:paraId="1B7CC3DE" w14:textId="0600E19A" w:rsidR="00FD4858" w:rsidRDefault="00FD4858" w:rsidP="004960A3">
      <w:pPr>
        <w:autoSpaceDE w:val="0"/>
        <w:autoSpaceDN w:val="0"/>
        <w:adjustRightInd w:val="0"/>
        <w:ind w:left="270"/>
        <w:jc w:val="both"/>
        <w:rPr>
          <w:color w:val="231F20"/>
          <w:sz w:val="24"/>
        </w:rPr>
      </w:pPr>
    </w:p>
    <w:p w14:paraId="6ADB90C8" w14:textId="43624F4A" w:rsidR="004960A3" w:rsidRPr="002A3ACC" w:rsidRDefault="004960A3" w:rsidP="004960A3">
      <w:pPr>
        <w:autoSpaceDE w:val="0"/>
        <w:autoSpaceDN w:val="0"/>
        <w:adjustRightInd w:val="0"/>
        <w:jc w:val="both"/>
        <w:rPr>
          <w:color w:val="000000" w:themeColor="text1"/>
          <w:spacing w:val="8"/>
          <w:sz w:val="24"/>
          <w:szCs w:val="24"/>
        </w:rPr>
      </w:pPr>
      <w:r w:rsidRPr="002A3ACC">
        <w:rPr>
          <w:color w:val="000000" w:themeColor="text1"/>
          <w:spacing w:val="8"/>
          <w:sz w:val="24"/>
          <w:szCs w:val="24"/>
        </w:rPr>
        <w:t xml:space="preserve">Company may conduct office inspections remotely for the calendar years 2020 and 2021 as part of COVID relief. Inspections for the calendar year 2020 must be completed by March 31, </w:t>
      </w:r>
      <w:proofErr w:type="gramStart"/>
      <w:r w:rsidRPr="002A3ACC">
        <w:rPr>
          <w:color w:val="000000" w:themeColor="text1"/>
          <w:spacing w:val="8"/>
          <w:sz w:val="24"/>
          <w:szCs w:val="24"/>
        </w:rPr>
        <w:t>2021</w:t>
      </w:r>
      <w:proofErr w:type="gramEnd"/>
      <w:r w:rsidRPr="002A3ACC">
        <w:rPr>
          <w:color w:val="000000" w:themeColor="text1"/>
          <w:spacing w:val="8"/>
          <w:sz w:val="24"/>
          <w:szCs w:val="24"/>
        </w:rPr>
        <w:t xml:space="preserve"> and for the calendar year 2021 on or before December 31, 2021.</w:t>
      </w:r>
    </w:p>
    <w:p w14:paraId="2D88982F" w14:textId="77777777" w:rsidR="004960A3" w:rsidRPr="004960A3" w:rsidRDefault="004960A3" w:rsidP="004960A3">
      <w:pPr>
        <w:autoSpaceDE w:val="0"/>
        <w:autoSpaceDN w:val="0"/>
        <w:adjustRightInd w:val="0"/>
        <w:jc w:val="both"/>
        <w:rPr>
          <w:color w:val="FF0000"/>
          <w:sz w:val="24"/>
          <w:szCs w:val="24"/>
        </w:rPr>
      </w:pPr>
    </w:p>
    <w:p w14:paraId="1C72EE99" w14:textId="77777777" w:rsidR="00FD4858" w:rsidRDefault="00FD4858" w:rsidP="00FD4858">
      <w:pPr>
        <w:pStyle w:val="Heading3"/>
      </w:pPr>
      <w:r>
        <w:t>3.5.1 Heightened Inspections</w:t>
      </w:r>
    </w:p>
    <w:p w14:paraId="003819FC" w14:textId="77777777" w:rsidR="00FD4858" w:rsidRDefault="00FD4858" w:rsidP="00FD4858">
      <w:pPr>
        <w:autoSpaceDE w:val="0"/>
        <w:autoSpaceDN w:val="0"/>
        <w:adjustRightInd w:val="0"/>
        <w:ind w:left="270"/>
        <w:jc w:val="both"/>
        <w:rPr>
          <w:sz w:val="24"/>
          <w:szCs w:val="24"/>
        </w:rPr>
      </w:pPr>
      <w:r>
        <w:rPr>
          <w:color w:val="231F20"/>
          <w:sz w:val="24"/>
        </w:rPr>
        <w:t xml:space="preserve">Pursuant to </w:t>
      </w:r>
      <w:r w:rsidRPr="00B73F43">
        <w:rPr>
          <w:bCs/>
          <w:color w:val="231F20"/>
          <w:sz w:val="24"/>
        </w:rPr>
        <w:t>Rule 3010(c)(3)</w:t>
      </w:r>
      <w:r>
        <w:rPr>
          <w:color w:val="231F20"/>
          <w:sz w:val="24"/>
        </w:rPr>
        <w:t xml:space="preserve">, the Company shall provide heightened office inspections </w:t>
      </w:r>
      <w:r w:rsidRPr="00604A2C">
        <w:rPr>
          <w:sz w:val="24"/>
        </w:rPr>
        <w:t xml:space="preserve">if </w:t>
      </w:r>
      <w:r w:rsidR="0000149A" w:rsidRPr="00604A2C">
        <w:rPr>
          <w:sz w:val="24"/>
        </w:rPr>
        <w:t xml:space="preserve">determined a branch is at a higher risk for rule violations.  </w:t>
      </w:r>
      <w:r>
        <w:rPr>
          <w:color w:val="231F20"/>
          <w:sz w:val="24"/>
        </w:rPr>
        <w:t xml:space="preserve">Heightened inspection procedures </w:t>
      </w:r>
      <w:r w:rsidR="00B73F43">
        <w:rPr>
          <w:color w:val="231F20"/>
          <w:sz w:val="24"/>
        </w:rPr>
        <w:t xml:space="preserve">may </w:t>
      </w:r>
      <w:r>
        <w:rPr>
          <w:color w:val="231F20"/>
          <w:sz w:val="24"/>
        </w:rPr>
        <w:t xml:space="preserve">include such elements as unannounced office inspections, increased frequency of inspections, a broader scope of activities inspected, </w:t>
      </w:r>
      <w:r w:rsidRPr="004B4326">
        <w:rPr>
          <w:sz w:val="24"/>
          <w:szCs w:val="24"/>
        </w:rPr>
        <w:t xml:space="preserve">and/or having one or more </w:t>
      </w:r>
      <w:proofErr w:type="gramStart"/>
      <w:r w:rsidRPr="004B4326">
        <w:rPr>
          <w:sz w:val="24"/>
          <w:szCs w:val="24"/>
        </w:rPr>
        <w:t>principals</w:t>
      </w:r>
      <w:proofErr w:type="gramEnd"/>
      <w:r w:rsidRPr="004B4326">
        <w:rPr>
          <w:sz w:val="24"/>
          <w:szCs w:val="24"/>
        </w:rPr>
        <w:t xml:space="preserve"> review and approve the office inspections.  A record of any heightened office inspections will be maintained by the Company and for a period of three years.</w:t>
      </w:r>
    </w:p>
    <w:p w14:paraId="03498715" w14:textId="77777777" w:rsidR="00FD4858" w:rsidRDefault="00FD4858" w:rsidP="00FD4858">
      <w:pPr>
        <w:autoSpaceDE w:val="0"/>
        <w:autoSpaceDN w:val="0"/>
        <w:adjustRightInd w:val="0"/>
        <w:ind w:left="270"/>
        <w:jc w:val="both"/>
        <w:rPr>
          <w:sz w:val="24"/>
          <w:szCs w:val="24"/>
        </w:rPr>
      </w:pPr>
    </w:p>
    <w:p w14:paraId="36CFDC64" w14:textId="77777777" w:rsidR="00FD4858" w:rsidRPr="009F1432" w:rsidRDefault="00FD4858" w:rsidP="00FD4858">
      <w:pPr>
        <w:autoSpaceDE w:val="0"/>
        <w:autoSpaceDN w:val="0"/>
        <w:adjustRightInd w:val="0"/>
        <w:ind w:left="270"/>
        <w:jc w:val="both"/>
        <w:rPr>
          <w:rFonts w:ascii="TimesNewRomanPSMT" w:hAnsi="TimesNewRomanPSMT" w:cs="TimesNewRomanPSMT"/>
          <w:sz w:val="24"/>
          <w:szCs w:val="24"/>
        </w:rPr>
      </w:pPr>
      <w:r w:rsidRPr="009F1432">
        <w:rPr>
          <w:rFonts w:ascii="TimesNewRomanPSMT" w:hAnsi="TimesNewRomanPSMT" w:cs="TimesNewRomanPSMT"/>
          <w:sz w:val="24"/>
          <w:szCs w:val="24"/>
        </w:rPr>
        <w:t>An effective risk assessment process will help drive the frequency, intensity and focus of branch office inspections; it should also serve as an important consideration in the decision to conduct the exam on an announced or unannounced basis. Therefore, branch offices should be continuously monitored with respect to changes in the overall business, products, people and practices.</w:t>
      </w:r>
    </w:p>
    <w:p w14:paraId="5F46AD2D" w14:textId="77777777" w:rsidR="00FD4858" w:rsidRPr="009F1432" w:rsidRDefault="00FD4858" w:rsidP="00FD4858">
      <w:pPr>
        <w:autoSpaceDE w:val="0"/>
        <w:autoSpaceDN w:val="0"/>
        <w:adjustRightInd w:val="0"/>
        <w:ind w:left="270"/>
        <w:jc w:val="both"/>
        <w:rPr>
          <w:sz w:val="24"/>
          <w:szCs w:val="24"/>
        </w:rPr>
      </w:pPr>
    </w:p>
    <w:p w14:paraId="356E6E7D" w14:textId="22C1E261" w:rsidR="00FD4858" w:rsidRPr="00604A2C" w:rsidRDefault="00FD4858" w:rsidP="00FD4858">
      <w:pPr>
        <w:autoSpaceDE w:val="0"/>
        <w:autoSpaceDN w:val="0"/>
        <w:adjustRightInd w:val="0"/>
        <w:ind w:left="270"/>
        <w:jc w:val="both"/>
        <w:rPr>
          <w:sz w:val="24"/>
          <w:szCs w:val="24"/>
        </w:rPr>
      </w:pPr>
      <w:r w:rsidRPr="009F1432">
        <w:rPr>
          <w:rFonts w:ascii="TimesNewRomanPSMT" w:hAnsi="TimesNewRomanPSMT" w:cs="TimesNewRomanPSMT"/>
          <w:sz w:val="24"/>
          <w:szCs w:val="24"/>
        </w:rPr>
        <w:t xml:space="preserve">An ongoing risk analysis will be a key element of the Company’s exam planning process and lead to more frequent examinations of offices posing higher levels of risk than dictated by the </w:t>
      </w:r>
      <w:r>
        <w:rPr>
          <w:rFonts w:ascii="TimesNewRomanPSMT" w:hAnsi="TimesNewRomanPSMT" w:cs="TimesNewRomanPSMT"/>
          <w:sz w:val="24"/>
          <w:szCs w:val="24"/>
        </w:rPr>
        <w:t>Company’</w:t>
      </w:r>
      <w:r w:rsidRPr="009F1432">
        <w:rPr>
          <w:rFonts w:ascii="TimesNewRomanPSMT" w:hAnsi="TimesNewRomanPSMT" w:cs="TimesNewRomanPSMT"/>
          <w:sz w:val="24"/>
          <w:szCs w:val="24"/>
        </w:rPr>
        <w:t>s non-</w:t>
      </w:r>
      <w:r w:rsidR="00A714E2" w:rsidRPr="009F1432">
        <w:rPr>
          <w:rFonts w:ascii="TimesNewRomanPSMT" w:hAnsi="TimesNewRomanPSMT" w:cs="TimesNewRomanPSMT"/>
          <w:sz w:val="24"/>
          <w:szCs w:val="24"/>
        </w:rPr>
        <w:t>risk-based</w:t>
      </w:r>
      <w:r w:rsidRPr="009F1432">
        <w:rPr>
          <w:rFonts w:ascii="TimesNewRomanPSMT" w:hAnsi="TimesNewRomanPSMT" w:cs="TimesNewRomanPSMT"/>
          <w:sz w:val="24"/>
          <w:szCs w:val="24"/>
        </w:rPr>
        <w:t xml:space="preserve"> cycle, and lead firms to engage in more unannounced exams of such offices.  Some areas of high risk to consider </w:t>
      </w:r>
      <w:proofErr w:type="gramStart"/>
      <w:r w:rsidRPr="009F1432">
        <w:rPr>
          <w:rFonts w:ascii="TimesNewRomanPSMT" w:hAnsi="TimesNewRomanPSMT" w:cs="TimesNewRomanPSMT"/>
          <w:sz w:val="24"/>
          <w:szCs w:val="24"/>
        </w:rPr>
        <w:t>are:</w:t>
      </w:r>
      <w:proofErr w:type="gramEnd"/>
      <w:r w:rsidRPr="009F1432">
        <w:rPr>
          <w:rFonts w:ascii="TimesNewRomanPSMT" w:hAnsi="TimesNewRomanPSMT" w:cs="TimesNewRomanPSMT"/>
          <w:sz w:val="24"/>
          <w:szCs w:val="24"/>
        </w:rPr>
        <w:t xml:space="preserve"> sales of structured products; sales of complex products, including </w:t>
      </w:r>
      <w:r w:rsidR="00B73F43">
        <w:rPr>
          <w:rFonts w:ascii="TimesNewRomanPSMT" w:hAnsi="TimesNewRomanPSMT" w:cs="TimesNewRomanPSMT"/>
          <w:sz w:val="24"/>
          <w:szCs w:val="24"/>
        </w:rPr>
        <w:t xml:space="preserve">some </w:t>
      </w:r>
      <w:r w:rsidRPr="009F1432">
        <w:rPr>
          <w:rFonts w:ascii="TimesNewRomanPSMT" w:hAnsi="TimesNewRomanPSMT" w:cs="TimesNewRomanPSMT"/>
          <w:sz w:val="24"/>
          <w:szCs w:val="24"/>
        </w:rPr>
        <w:t xml:space="preserve">variable annuities; sales of </w:t>
      </w:r>
      <w:r w:rsidR="00D71885" w:rsidRPr="00F67C1D">
        <w:rPr>
          <w:rFonts w:ascii="TimesNewRomanPSMT" w:hAnsi="TimesNewRomanPSMT" w:cs="TimesNewRomanPSMT"/>
          <w:sz w:val="24"/>
          <w:szCs w:val="24"/>
        </w:rPr>
        <w:t xml:space="preserve">non-Company initiated </w:t>
      </w:r>
      <w:r w:rsidRPr="009F1432">
        <w:rPr>
          <w:rFonts w:ascii="TimesNewRomanPSMT" w:hAnsi="TimesNewRomanPSMT" w:cs="TimesNewRomanPSMT"/>
          <w:sz w:val="24"/>
          <w:szCs w:val="24"/>
        </w:rPr>
        <w:t xml:space="preserve">private or otherwise unregistered offerings of any type; or offices that associate with individuals with a disciplinary history or that previously worked at a firm with a disciplinary history. NASD </w:t>
      </w:r>
      <w:r w:rsidRPr="009F1432">
        <w:rPr>
          <w:rFonts w:ascii="TimesNewRomanPSMT" w:hAnsi="TimesNewRomanPSMT" w:cs="TimesNewRomanPSMT"/>
          <w:sz w:val="24"/>
          <w:szCs w:val="24"/>
        </w:rPr>
        <w:lastRenderedPageBreak/>
        <w:t>IM-3010-1 also lists additional factors to consider in making this determination.</w:t>
      </w:r>
      <w:r w:rsidR="0000149A">
        <w:rPr>
          <w:rFonts w:ascii="TimesNewRomanPSMT" w:hAnsi="TimesNewRomanPSMT" w:cs="TimesNewRomanPSMT"/>
          <w:sz w:val="24"/>
          <w:szCs w:val="24"/>
        </w:rPr>
        <w:t xml:space="preserve">  </w:t>
      </w:r>
      <w:r w:rsidR="0000149A" w:rsidRPr="00604A2C">
        <w:rPr>
          <w:rFonts w:ascii="TimesNewRomanPSMT" w:hAnsi="TimesNewRomanPSMT" w:cs="TimesNewRomanPSMT"/>
          <w:sz w:val="24"/>
          <w:szCs w:val="24"/>
        </w:rPr>
        <w:t xml:space="preserve">If red flag(s) are discovered, a Branch Risk Analysis </w:t>
      </w:r>
      <w:r w:rsidR="00EB66EA" w:rsidRPr="00604A2C">
        <w:rPr>
          <w:rFonts w:ascii="TimesNewRomanPSMT" w:hAnsi="TimesNewRomanPSMT" w:cs="TimesNewRomanPSMT"/>
          <w:sz w:val="24"/>
          <w:szCs w:val="24"/>
        </w:rPr>
        <w:t xml:space="preserve">Evaluation </w:t>
      </w:r>
      <w:r w:rsidR="0000149A" w:rsidRPr="00604A2C">
        <w:rPr>
          <w:rFonts w:ascii="TimesNewRomanPSMT" w:hAnsi="TimesNewRomanPSMT" w:cs="TimesNewRomanPSMT"/>
          <w:sz w:val="24"/>
          <w:szCs w:val="24"/>
        </w:rPr>
        <w:t>Form will be completed to document the reason for heightened supervision.</w:t>
      </w:r>
    </w:p>
    <w:p w14:paraId="689194C3" w14:textId="77777777" w:rsidR="00FD4858" w:rsidRDefault="00FD4858" w:rsidP="00FD4858">
      <w:pPr>
        <w:pStyle w:val="MRS"/>
        <w:ind w:left="270"/>
      </w:pPr>
    </w:p>
    <w:p w14:paraId="3404F780" w14:textId="77777777" w:rsidR="00FD4858" w:rsidRDefault="00FD4858" w:rsidP="00FD4858">
      <w:pPr>
        <w:pStyle w:val="Heading3"/>
      </w:pPr>
      <w:r>
        <w:t>3.5.2 Records to Review</w:t>
      </w:r>
    </w:p>
    <w:p w14:paraId="3D97AA3D" w14:textId="77777777" w:rsidR="00FD4858" w:rsidRDefault="00FD4858" w:rsidP="00FD4858">
      <w:pPr>
        <w:ind w:left="270"/>
        <w:jc w:val="both"/>
        <w:rPr>
          <w:sz w:val="24"/>
        </w:rPr>
      </w:pPr>
      <w:r>
        <w:rPr>
          <w:sz w:val="24"/>
        </w:rPr>
        <w:t>Reviews of the Offices of Supervisory Jurisdiction and the Home Office of the Company shall include but not be limited to the following areas:</w:t>
      </w:r>
    </w:p>
    <w:p w14:paraId="7E6ABD99" w14:textId="77777777" w:rsidR="00FD4858" w:rsidRDefault="00FD4858" w:rsidP="00FD4858">
      <w:pPr>
        <w:jc w:val="both"/>
        <w:rPr>
          <w:sz w:val="24"/>
        </w:rPr>
      </w:pPr>
    </w:p>
    <w:p w14:paraId="5FF895CF" w14:textId="77777777" w:rsidR="00FD4858" w:rsidRDefault="00FD4858" w:rsidP="00FD4858">
      <w:pPr>
        <w:ind w:left="1440"/>
        <w:jc w:val="both"/>
        <w:rPr>
          <w:sz w:val="24"/>
        </w:rPr>
      </w:pPr>
      <w:r>
        <w:rPr>
          <w:sz w:val="24"/>
        </w:rPr>
        <w:t>1.</w:t>
      </w:r>
      <w:r>
        <w:rPr>
          <w:sz w:val="24"/>
        </w:rPr>
        <w:tab/>
        <w:t xml:space="preserve">Recordkeeping </w:t>
      </w:r>
    </w:p>
    <w:p w14:paraId="5E981085" w14:textId="77777777" w:rsidR="00FD4858" w:rsidRDefault="00FD4858" w:rsidP="00FD4858">
      <w:pPr>
        <w:ind w:left="2160"/>
        <w:jc w:val="both"/>
        <w:rPr>
          <w:sz w:val="24"/>
        </w:rPr>
      </w:pPr>
      <w:r>
        <w:rPr>
          <w:sz w:val="24"/>
        </w:rPr>
        <w:t>a.</w:t>
      </w:r>
      <w:r>
        <w:rPr>
          <w:sz w:val="24"/>
        </w:rPr>
        <w:tab/>
        <w:t>Money and Securities Handling.</w:t>
      </w:r>
    </w:p>
    <w:p w14:paraId="0ABEB4DB" w14:textId="77777777" w:rsidR="00FD4858" w:rsidRDefault="00FD4858" w:rsidP="00FD4858">
      <w:pPr>
        <w:ind w:left="2160"/>
        <w:jc w:val="both"/>
        <w:rPr>
          <w:sz w:val="24"/>
        </w:rPr>
      </w:pPr>
      <w:r>
        <w:rPr>
          <w:sz w:val="24"/>
        </w:rPr>
        <w:t>b.</w:t>
      </w:r>
      <w:r>
        <w:rPr>
          <w:sz w:val="24"/>
        </w:rPr>
        <w:tab/>
        <w:t>Books and records.</w:t>
      </w:r>
    </w:p>
    <w:p w14:paraId="512CF6AC" w14:textId="77777777" w:rsidR="00FD4858" w:rsidRDefault="00FD4858" w:rsidP="00FD4858">
      <w:pPr>
        <w:ind w:left="2160"/>
        <w:jc w:val="both"/>
        <w:rPr>
          <w:sz w:val="24"/>
        </w:rPr>
      </w:pPr>
      <w:r>
        <w:rPr>
          <w:sz w:val="24"/>
        </w:rPr>
        <w:t>c.</w:t>
      </w:r>
      <w:r>
        <w:rPr>
          <w:sz w:val="24"/>
        </w:rPr>
        <w:tab/>
      </w:r>
      <w:r w:rsidRPr="00424F51">
        <w:rPr>
          <w:sz w:val="24"/>
        </w:rPr>
        <w:t>Communication with the Public</w:t>
      </w:r>
      <w:r>
        <w:rPr>
          <w:sz w:val="24"/>
        </w:rPr>
        <w:t>.</w:t>
      </w:r>
    </w:p>
    <w:p w14:paraId="44FFF867" w14:textId="77777777" w:rsidR="00FD4858" w:rsidRDefault="00FD4858" w:rsidP="00FD4858">
      <w:pPr>
        <w:ind w:left="2160"/>
        <w:jc w:val="both"/>
        <w:rPr>
          <w:sz w:val="24"/>
        </w:rPr>
      </w:pPr>
      <w:r>
        <w:rPr>
          <w:sz w:val="24"/>
        </w:rPr>
        <w:t>d.</w:t>
      </w:r>
      <w:r>
        <w:rPr>
          <w:sz w:val="24"/>
        </w:rPr>
        <w:tab/>
        <w:t>Trading and order operations.</w:t>
      </w:r>
    </w:p>
    <w:p w14:paraId="2AE9720B" w14:textId="77777777" w:rsidR="00FD4858" w:rsidRDefault="00FD4858" w:rsidP="00FD4858">
      <w:pPr>
        <w:ind w:left="2160"/>
        <w:jc w:val="both"/>
        <w:rPr>
          <w:sz w:val="24"/>
        </w:rPr>
      </w:pPr>
    </w:p>
    <w:p w14:paraId="58C8D5AE" w14:textId="77777777" w:rsidR="00FD4858" w:rsidRDefault="00FD4858" w:rsidP="00FD4858">
      <w:pPr>
        <w:ind w:left="1440"/>
        <w:jc w:val="both"/>
        <w:rPr>
          <w:sz w:val="24"/>
        </w:rPr>
      </w:pPr>
      <w:r>
        <w:rPr>
          <w:sz w:val="24"/>
        </w:rPr>
        <w:t>2.</w:t>
      </w:r>
      <w:r>
        <w:rPr>
          <w:sz w:val="24"/>
        </w:rPr>
        <w:tab/>
        <w:t>Selling Activities.</w:t>
      </w:r>
    </w:p>
    <w:p w14:paraId="2BBA4B34" w14:textId="77777777" w:rsidR="00FD4858" w:rsidRDefault="00FD4858" w:rsidP="00FD4858">
      <w:pPr>
        <w:ind w:left="2160"/>
        <w:jc w:val="both"/>
        <w:rPr>
          <w:sz w:val="24"/>
        </w:rPr>
      </w:pPr>
      <w:r>
        <w:rPr>
          <w:sz w:val="24"/>
        </w:rPr>
        <w:t>a.</w:t>
      </w:r>
      <w:r>
        <w:rPr>
          <w:sz w:val="24"/>
        </w:rPr>
        <w:tab/>
        <w:t>Sales Practices.</w:t>
      </w:r>
    </w:p>
    <w:p w14:paraId="24E3DF50" w14:textId="77777777" w:rsidR="00FD4858" w:rsidRDefault="00FD4858" w:rsidP="00FD4858">
      <w:pPr>
        <w:ind w:left="2160"/>
        <w:jc w:val="both"/>
        <w:rPr>
          <w:sz w:val="24"/>
        </w:rPr>
      </w:pPr>
      <w:r>
        <w:rPr>
          <w:sz w:val="24"/>
        </w:rPr>
        <w:t>b.</w:t>
      </w:r>
      <w:r>
        <w:rPr>
          <w:sz w:val="24"/>
        </w:rPr>
        <w:tab/>
        <w:t>Compliance with applicable state laws.</w:t>
      </w:r>
    </w:p>
    <w:p w14:paraId="54FAB63C" w14:textId="77777777" w:rsidR="00FD4858" w:rsidRDefault="00FD4858" w:rsidP="00FD4858">
      <w:pPr>
        <w:ind w:left="2160"/>
        <w:jc w:val="both"/>
        <w:rPr>
          <w:sz w:val="24"/>
        </w:rPr>
      </w:pPr>
      <w:r>
        <w:rPr>
          <w:sz w:val="24"/>
        </w:rPr>
        <w:t>c.    Safeguarding customer funds and transmittal of funds.</w:t>
      </w:r>
    </w:p>
    <w:p w14:paraId="312E0226" w14:textId="77777777" w:rsidR="00FD4858" w:rsidRDefault="00FD4858" w:rsidP="00FD4858">
      <w:pPr>
        <w:ind w:left="2160"/>
        <w:jc w:val="both"/>
        <w:rPr>
          <w:sz w:val="24"/>
        </w:rPr>
      </w:pPr>
    </w:p>
    <w:p w14:paraId="4D154A4A" w14:textId="77777777" w:rsidR="00FD4858" w:rsidRDefault="00FD4858" w:rsidP="00FD4858">
      <w:pPr>
        <w:ind w:left="1440"/>
        <w:jc w:val="both"/>
        <w:rPr>
          <w:sz w:val="24"/>
        </w:rPr>
      </w:pPr>
      <w:r>
        <w:rPr>
          <w:sz w:val="24"/>
        </w:rPr>
        <w:t>3.</w:t>
      </w:r>
      <w:r>
        <w:rPr>
          <w:sz w:val="24"/>
        </w:rPr>
        <w:tab/>
        <w:t>General Supervision.</w:t>
      </w:r>
    </w:p>
    <w:p w14:paraId="44CFD498" w14:textId="77777777" w:rsidR="00FD4858" w:rsidRDefault="00FD4858" w:rsidP="00FD4858">
      <w:pPr>
        <w:ind w:left="2610" w:hanging="450"/>
        <w:rPr>
          <w:sz w:val="24"/>
        </w:rPr>
      </w:pPr>
      <w:r>
        <w:rPr>
          <w:sz w:val="24"/>
        </w:rPr>
        <w:t>a.</w:t>
      </w:r>
      <w:r>
        <w:rPr>
          <w:sz w:val="24"/>
        </w:rPr>
        <w:tab/>
        <w:t>Supervision of accounts of Associated Persons as well as producing managers.</w:t>
      </w:r>
    </w:p>
    <w:p w14:paraId="741BB1A5" w14:textId="77777777" w:rsidR="00FD4858" w:rsidRDefault="00FD4858" w:rsidP="00216F83">
      <w:pPr>
        <w:numPr>
          <w:ilvl w:val="1"/>
          <w:numId w:val="11"/>
        </w:numPr>
        <w:ind w:firstLine="360"/>
        <w:jc w:val="both"/>
        <w:rPr>
          <w:sz w:val="24"/>
        </w:rPr>
      </w:pPr>
      <w:r>
        <w:rPr>
          <w:sz w:val="24"/>
        </w:rPr>
        <w:t>Supervision of Operations.</w:t>
      </w:r>
    </w:p>
    <w:p w14:paraId="657AEC64" w14:textId="77777777" w:rsidR="00FD4858" w:rsidRDefault="00FD4858" w:rsidP="00216F83">
      <w:pPr>
        <w:numPr>
          <w:ilvl w:val="1"/>
          <w:numId w:val="11"/>
        </w:numPr>
        <w:tabs>
          <w:tab w:val="clear" w:pos="1800"/>
          <w:tab w:val="num" w:pos="2610"/>
        </w:tabs>
        <w:ind w:left="2610" w:hanging="450"/>
        <w:jc w:val="both"/>
        <w:rPr>
          <w:sz w:val="24"/>
        </w:rPr>
      </w:pPr>
      <w:r>
        <w:rPr>
          <w:sz w:val="24"/>
        </w:rPr>
        <w:t>Anti-Money Laundering compliance – including address changes and verification.</w:t>
      </w:r>
    </w:p>
    <w:p w14:paraId="37CBB66F" w14:textId="77777777" w:rsidR="00FD4858" w:rsidRDefault="00FD4858" w:rsidP="00216F83">
      <w:pPr>
        <w:numPr>
          <w:ilvl w:val="1"/>
          <w:numId w:val="11"/>
        </w:numPr>
        <w:tabs>
          <w:tab w:val="clear" w:pos="1800"/>
          <w:tab w:val="num" w:pos="2610"/>
        </w:tabs>
        <w:ind w:left="2610" w:hanging="450"/>
        <w:jc w:val="both"/>
        <w:rPr>
          <w:sz w:val="24"/>
        </w:rPr>
      </w:pPr>
      <w:r>
        <w:rPr>
          <w:sz w:val="24"/>
        </w:rPr>
        <w:t>Changes in customer account information and validation</w:t>
      </w:r>
    </w:p>
    <w:p w14:paraId="1D228EB4" w14:textId="77777777" w:rsidR="00EC3E60" w:rsidRPr="00AD760F" w:rsidRDefault="00EC3E60" w:rsidP="00EC3E60">
      <w:pPr>
        <w:jc w:val="both"/>
        <w:rPr>
          <w:sz w:val="24"/>
        </w:rPr>
      </w:pPr>
      <w:r>
        <w:rPr>
          <w:color w:val="FF0000"/>
          <w:sz w:val="24"/>
        </w:rPr>
        <w:t xml:space="preserve">        </w:t>
      </w:r>
    </w:p>
    <w:p w14:paraId="51C942B7" w14:textId="77777777" w:rsidR="00D73A3A" w:rsidRPr="00AD760F" w:rsidRDefault="00EC3E60" w:rsidP="003E7B18">
      <w:pPr>
        <w:pStyle w:val="ListParagraph"/>
        <w:numPr>
          <w:ilvl w:val="1"/>
          <w:numId w:val="244"/>
        </w:numPr>
        <w:ind w:left="1710" w:hanging="270"/>
        <w:jc w:val="both"/>
        <w:rPr>
          <w:sz w:val="24"/>
        </w:rPr>
      </w:pPr>
      <w:r w:rsidRPr="00AD760F">
        <w:rPr>
          <w:sz w:val="24"/>
        </w:rPr>
        <w:t xml:space="preserve"> </w:t>
      </w:r>
      <w:r w:rsidR="00D73A3A" w:rsidRPr="00AD760F">
        <w:rPr>
          <w:sz w:val="24"/>
        </w:rPr>
        <w:t>Risk Assessment and Conflicts of Interest</w:t>
      </w:r>
    </w:p>
    <w:p w14:paraId="31115095" w14:textId="77777777" w:rsidR="00FD4858" w:rsidRDefault="00FD4858" w:rsidP="00FD4858">
      <w:pPr>
        <w:ind w:left="2160"/>
        <w:jc w:val="both"/>
        <w:rPr>
          <w:sz w:val="24"/>
        </w:rPr>
      </w:pPr>
    </w:p>
    <w:p w14:paraId="004D1F67" w14:textId="77777777" w:rsidR="00FD4858" w:rsidRDefault="00FD4858" w:rsidP="00FD4858">
      <w:pPr>
        <w:pStyle w:val="MRS"/>
        <w:ind w:left="270"/>
      </w:pPr>
      <w:r>
        <w:t>Review of non-registered branches is not applicable since all non-branch Associated Persons must conduct their securities business at the home office.</w:t>
      </w:r>
    </w:p>
    <w:p w14:paraId="29BA5988" w14:textId="77777777" w:rsidR="00FD4858" w:rsidRDefault="00FD4858" w:rsidP="00FD4858">
      <w:pPr>
        <w:pStyle w:val="MRS"/>
        <w:ind w:left="270"/>
      </w:pPr>
    </w:p>
    <w:p w14:paraId="6D098933" w14:textId="77777777" w:rsidR="00FD4858" w:rsidRDefault="00FD4858" w:rsidP="00FD4858">
      <w:pPr>
        <w:pStyle w:val="Heading3"/>
      </w:pPr>
      <w:r>
        <w:t>3.5.3 Supervisory Reviews</w:t>
      </w:r>
      <w:r w:rsidR="00BB61E2">
        <w:t xml:space="preserve"> &amp; Limited Size Exemption</w:t>
      </w:r>
      <w:r w:rsidR="0036667C">
        <w:t xml:space="preserve"> (Rule 3012)</w:t>
      </w:r>
    </w:p>
    <w:p w14:paraId="21E16D1B" w14:textId="5C49956C" w:rsidR="0098600F" w:rsidRDefault="0098600F" w:rsidP="0098600F">
      <w:pPr>
        <w:pStyle w:val="MRS"/>
        <w:ind w:left="270"/>
      </w:pPr>
      <w:r w:rsidRPr="00604A2C">
        <w:t xml:space="preserve">Producing Supervisors shall be identified in the above chart in Section 3.3.  </w:t>
      </w:r>
      <w:r>
        <w:t xml:space="preserve">In addition, pursuant to FINRA rules, Laura Hendricks and her Compliance Department designees are responsible for the supervisory reviews.  Such review will include daily blotters and activity reports and WinOps transaction information. However, there is no senior or otherwise independent person in the </w:t>
      </w:r>
      <w:r w:rsidR="007E4DAD">
        <w:t>Company</w:t>
      </w:r>
      <w:r>
        <w:t xml:space="preserve"> to meet the requirement to review the activities of the Company’s President and CEO, Morris Monroe, and therefore must claim the “limited size and resources” exemption where he is concerned.  </w:t>
      </w:r>
    </w:p>
    <w:p w14:paraId="602356C9" w14:textId="77777777" w:rsidR="0098600F" w:rsidRDefault="0098600F" w:rsidP="0098600F">
      <w:pPr>
        <w:pStyle w:val="Normal8"/>
        <w:shd w:val="clear" w:color="auto" w:fill="FFFFFF"/>
        <w:spacing w:before="0" w:beforeAutospacing="0" w:after="0" w:afterAutospacing="0"/>
        <w:ind w:left="270"/>
        <w:rPr>
          <w:color w:val="FF0000"/>
        </w:rPr>
      </w:pPr>
    </w:p>
    <w:p w14:paraId="46C53CC7" w14:textId="77777777" w:rsidR="00FD4858" w:rsidRDefault="00FD4858" w:rsidP="00FD4858">
      <w:pPr>
        <w:pStyle w:val="MRS"/>
        <w:ind w:left="270"/>
        <w:jc w:val="left"/>
      </w:pPr>
      <w:r>
        <w:t>The following items will be reviewed for all producing supervisors:</w:t>
      </w:r>
    </w:p>
    <w:p w14:paraId="17B97D61" w14:textId="77777777" w:rsidR="00FD4858" w:rsidRPr="00E634DA" w:rsidRDefault="00FD4858" w:rsidP="00FD4858">
      <w:pPr>
        <w:pStyle w:val="MRS"/>
        <w:jc w:val="left"/>
        <w:rPr>
          <w:szCs w:val="24"/>
        </w:rPr>
      </w:pPr>
    </w:p>
    <w:p w14:paraId="420BB8F9" w14:textId="77777777" w:rsidR="00FD4858" w:rsidRPr="00E634DA" w:rsidRDefault="0098600F" w:rsidP="0098600F">
      <w:pPr>
        <w:autoSpaceDE w:val="0"/>
        <w:autoSpaceDN w:val="0"/>
        <w:adjustRightInd w:val="0"/>
        <w:ind w:left="720" w:hanging="180"/>
        <w:rPr>
          <w:color w:val="231F20"/>
          <w:sz w:val="24"/>
          <w:szCs w:val="24"/>
        </w:rPr>
      </w:pPr>
      <w:r>
        <w:rPr>
          <w:color w:val="231F20"/>
          <w:sz w:val="24"/>
          <w:szCs w:val="24"/>
        </w:rPr>
        <w:t>1. T</w:t>
      </w:r>
      <w:r w:rsidR="00FD4858" w:rsidRPr="00E634DA">
        <w:rPr>
          <w:color w:val="231F20"/>
          <w:sz w:val="24"/>
          <w:szCs w:val="24"/>
        </w:rPr>
        <w:t xml:space="preserve">ransmittals of funds (wires or checks, etc.) — </w:t>
      </w:r>
      <w:r w:rsidR="00FD4858" w:rsidRPr="00E634DA">
        <w:rPr>
          <w:i/>
          <w:iCs/>
          <w:color w:val="231F20"/>
          <w:sz w:val="24"/>
          <w:szCs w:val="24"/>
        </w:rPr>
        <w:t>all wires are monitored daily and initialed for review by BackOffice personnel)</w:t>
      </w:r>
      <w:r w:rsidR="00FD4858" w:rsidRPr="00E634DA">
        <w:rPr>
          <w:color w:val="231F20"/>
          <w:sz w:val="24"/>
          <w:szCs w:val="24"/>
        </w:rPr>
        <w:t>.</w:t>
      </w:r>
      <w:r>
        <w:rPr>
          <w:color w:val="231F20"/>
          <w:sz w:val="24"/>
          <w:szCs w:val="24"/>
        </w:rPr>
        <w:t xml:space="preserve">  In addition, Compliance maintains a record is maintained of wires and is reviewed at least monthly.</w:t>
      </w:r>
    </w:p>
    <w:p w14:paraId="56C3EDEA" w14:textId="77777777" w:rsidR="00FD4858" w:rsidRPr="00E634DA" w:rsidRDefault="00FD4858" w:rsidP="0098600F">
      <w:pPr>
        <w:autoSpaceDE w:val="0"/>
        <w:autoSpaceDN w:val="0"/>
        <w:adjustRightInd w:val="0"/>
        <w:ind w:left="1170" w:hanging="180"/>
        <w:rPr>
          <w:color w:val="231F20"/>
          <w:sz w:val="24"/>
          <w:szCs w:val="24"/>
        </w:rPr>
      </w:pPr>
      <w:r w:rsidRPr="00E634DA">
        <w:rPr>
          <w:color w:val="231F20"/>
          <w:sz w:val="24"/>
          <w:szCs w:val="24"/>
        </w:rPr>
        <w:t>• From customers and third-party accounts (</w:t>
      </w:r>
      <w:r w:rsidRPr="00E634DA">
        <w:rPr>
          <w:i/>
          <w:iCs/>
          <w:color w:val="231F20"/>
          <w:sz w:val="24"/>
          <w:szCs w:val="24"/>
        </w:rPr>
        <w:t>e.g.</w:t>
      </w:r>
      <w:r w:rsidRPr="00E634DA">
        <w:rPr>
          <w:color w:val="231F20"/>
          <w:sz w:val="24"/>
          <w:szCs w:val="24"/>
        </w:rPr>
        <w:t xml:space="preserve">, a transmittal that would result in a change of beneficial ownership);  </w:t>
      </w:r>
    </w:p>
    <w:p w14:paraId="358B1275" w14:textId="77777777" w:rsidR="00FD4858" w:rsidRPr="00E634DA" w:rsidRDefault="00FD4858" w:rsidP="0098600F">
      <w:pPr>
        <w:autoSpaceDE w:val="0"/>
        <w:autoSpaceDN w:val="0"/>
        <w:adjustRightInd w:val="0"/>
        <w:ind w:left="1170" w:hanging="180"/>
        <w:rPr>
          <w:color w:val="231F20"/>
          <w:sz w:val="24"/>
          <w:szCs w:val="24"/>
        </w:rPr>
      </w:pPr>
      <w:r w:rsidRPr="00E634DA">
        <w:rPr>
          <w:color w:val="231F20"/>
          <w:sz w:val="24"/>
          <w:szCs w:val="24"/>
        </w:rPr>
        <w:t>• From customer accounts to outside entities (</w:t>
      </w:r>
      <w:r w:rsidRPr="00E634DA">
        <w:rPr>
          <w:i/>
          <w:iCs/>
          <w:color w:val="231F20"/>
          <w:sz w:val="24"/>
          <w:szCs w:val="24"/>
        </w:rPr>
        <w:t>e.g.</w:t>
      </w:r>
      <w:r w:rsidRPr="00E634DA">
        <w:rPr>
          <w:color w:val="231F20"/>
          <w:sz w:val="24"/>
          <w:szCs w:val="24"/>
        </w:rPr>
        <w:t>, banks, investment companies, etc.);</w:t>
      </w:r>
    </w:p>
    <w:p w14:paraId="334FF449" w14:textId="77777777" w:rsidR="00FD4858" w:rsidRPr="00E634DA" w:rsidRDefault="00FD4858" w:rsidP="0098600F">
      <w:pPr>
        <w:autoSpaceDE w:val="0"/>
        <w:autoSpaceDN w:val="0"/>
        <w:adjustRightInd w:val="0"/>
        <w:ind w:left="1170" w:hanging="180"/>
        <w:rPr>
          <w:color w:val="231F20"/>
          <w:sz w:val="24"/>
          <w:szCs w:val="24"/>
        </w:rPr>
      </w:pPr>
      <w:r w:rsidRPr="00E634DA">
        <w:rPr>
          <w:color w:val="231F20"/>
          <w:sz w:val="24"/>
          <w:szCs w:val="24"/>
        </w:rPr>
        <w:lastRenderedPageBreak/>
        <w:t>• From customer accounts to locations other than a customer’s primary residence (</w:t>
      </w:r>
      <w:r w:rsidRPr="00E634DA">
        <w:rPr>
          <w:i/>
          <w:iCs/>
          <w:color w:val="231F20"/>
          <w:sz w:val="24"/>
          <w:szCs w:val="24"/>
        </w:rPr>
        <w:t>e.g.</w:t>
      </w:r>
      <w:r w:rsidRPr="00E634DA">
        <w:rPr>
          <w:color w:val="231F20"/>
          <w:sz w:val="24"/>
          <w:szCs w:val="24"/>
        </w:rPr>
        <w:t>, post office box, “in care of” accounts, alternate address, etc.); and</w:t>
      </w:r>
    </w:p>
    <w:p w14:paraId="1D5B6FEF" w14:textId="77777777" w:rsidR="00FD4858" w:rsidRPr="00E634DA" w:rsidRDefault="00FD4858" w:rsidP="0098600F">
      <w:pPr>
        <w:autoSpaceDE w:val="0"/>
        <w:autoSpaceDN w:val="0"/>
        <w:adjustRightInd w:val="0"/>
        <w:ind w:left="1170" w:hanging="180"/>
        <w:rPr>
          <w:color w:val="231F20"/>
          <w:sz w:val="24"/>
          <w:szCs w:val="24"/>
        </w:rPr>
      </w:pPr>
      <w:r w:rsidRPr="00E634DA">
        <w:rPr>
          <w:color w:val="231F20"/>
          <w:sz w:val="24"/>
          <w:szCs w:val="24"/>
        </w:rPr>
        <w:t xml:space="preserve">• Between customers and registered representatives, including the hand delivery of checks </w:t>
      </w:r>
      <w:r w:rsidRPr="00E634DA">
        <w:rPr>
          <w:i/>
          <w:iCs/>
          <w:color w:val="231F20"/>
          <w:sz w:val="24"/>
          <w:szCs w:val="24"/>
        </w:rPr>
        <w:t>(all checks are reviewed and posted in the Checks Received and Forwarded Blotter)</w:t>
      </w:r>
      <w:r w:rsidRPr="00E634DA">
        <w:rPr>
          <w:color w:val="231F20"/>
          <w:sz w:val="24"/>
          <w:szCs w:val="24"/>
        </w:rPr>
        <w:t>.</w:t>
      </w:r>
    </w:p>
    <w:p w14:paraId="57E1EE60" w14:textId="77777777" w:rsidR="00FD4858" w:rsidRPr="00E634DA" w:rsidRDefault="00FD4858" w:rsidP="00FD4858">
      <w:pPr>
        <w:autoSpaceDE w:val="0"/>
        <w:autoSpaceDN w:val="0"/>
        <w:adjustRightInd w:val="0"/>
        <w:ind w:left="720" w:hanging="180"/>
        <w:rPr>
          <w:color w:val="231F20"/>
          <w:sz w:val="24"/>
          <w:szCs w:val="24"/>
        </w:rPr>
      </w:pPr>
    </w:p>
    <w:p w14:paraId="1182CED1" w14:textId="77777777" w:rsidR="0098600F" w:rsidRPr="00604A2C" w:rsidRDefault="00FD4858" w:rsidP="0098600F">
      <w:pPr>
        <w:autoSpaceDE w:val="0"/>
        <w:autoSpaceDN w:val="0"/>
        <w:adjustRightInd w:val="0"/>
        <w:ind w:left="900" w:hanging="360"/>
        <w:rPr>
          <w:sz w:val="24"/>
          <w:szCs w:val="24"/>
        </w:rPr>
      </w:pPr>
      <w:r w:rsidRPr="00E634DA">
        <w:rPr>
          <w:color w:val="231F20"/>
          <w:sz w:val="24"/>
          <w:szCs w:val="24"/>
        </w:rPr>
        <w:t xml:space="preserve">2. </w:t>
      </w:r>
      <w:r w:rsidR="0098600F">
        <w:rPr>
          <w:color w:val="231F20"/>
          <w:sz w:val="24"/>
          <w:szCs w:val="24"/>
        </w:rPr>
        <w:t xml:space="preserve"> </w:t>
      </w:r>
      <w:r w:rsidR="0098600F" w:rsidRPr="00604A2C">
        <w:rPr>
          <w:sz w:val="24"/>
          <w:szCs w:val="24"/>
        </w:rPr>
        <w:t xml:space="preserve">Account </w:t>
      </w:r>
      <w:r w:rsidR="00802291" w:rsidRPr="00604A2C">
        <w:rPr>
          <w:sz w:val="24"/>
          <w:szCs w:val="24"/>
        </w:rPr>
        <w:t>activity</w:t>
      </w:r>
      <w:r w:rsidR="0098600F" w:rsidRPr="00604A2C">
        <w:rPr>
          <w:sz w:val="24"/>
          <w:szCs w:val="24"/>
        </w:rPr>
        <w:t xml:space="preserve"> – as reviewed in daily blotters, monthly blotters, and annual reviews.</w:t>
      </w:r>
    </w:p>
    <w:p w14:paraId="6244D7A7" w14:textId="77777777" w:rsidR="0098600F" w:rsidRDefault="0098600F" w:rsidP="00FD4858">
      <w:pPr>
        <w:autoSpaceDE w:val="0"/>
        <w:autoSpaceDN w:val="0"/>
        <w:adjustRightInd w:val="0"/>
        <w:ind w:left="720" w:hanging="180"/>
        <w:rPr>
          <w:color w:val="231F20"/>
          <w:sz w:val="24"/>
          <w:szCs w:val="24"/>
        </w:rPr>
      </w:pPr>
    </w:p>
    <w:p w14:paraId="0612168F" w14:textId="592BA3F1" w:rsidR="00FD4858" w:rsidRPr="00E634DA" w:rsidRDefault="0098600F" w:rsidP="0098600F">
      <w:pPr>
        <w:autoSpaceDE w:val="0"/>
        <w:autoSpaceDN w:val="0"/>
        <w:adjustRightInd w:val="0"/>
        <w:ind w:left="810" w:hanging="270"/>
        <w:rPr>
          <w:color w:val="000000"/>
          <w:sz w:val="24"/>
          <w:szCs w:val="24"/>
        </w:rPr>
      </w:pPr>
      <w:r>
        <w:rPr>
          <w:color w:val="231F20"/>
          <w:sz w:val="24"/>
          <w:szCs w:val="24"/>
        </w:rPr>
        <w:t xml:space="preserve">3.  </w:t>
      </w:r>
      <w:r w:rsidR="00FD4858" w:rsidRPr="00E634DA">
        <w:rPr>
          <w:color w:val="231F20"/>
          <w:sz w:val="24"/>
          <w:szCs w:val="24"/>
        </w:rPr>
        <w:t xml:space="preserve">Customer changes of address and the validation of such changes of address </w:t>
      </w:r>
      <w:r w:rsidR="00FD4858" w:rsidRPr="00E634DA">
        <w:rPr>
          <w:i/>
          <w:iCs/>
          <w:color w:val="231F20"/>
          <w:sz w:val="24"/>
          <w:szCs w:val="24"/>
        </w:rPr>
        <w:t xml:space="preserve">(all address changes are marked in </w:t>
      </w:r>
      <w:r w:rsidR="008C1D3A" w:rsidRPr="007F0C5D">
        <w:rPr>
          <w:i/>
          <w:iCs/>
          <w:sz w:val="24"/>
          <w:szCs w:val="24"/>
        </w:rPr>
        <w:t>the CRM</w:t>
      </w:r>
      <w:r w:rsidR="00FD4858" w:rsidRPr="007F0C5D">
        <w:rPr>
          <w:i/>
          <w:iCs/>
          <w:sz w:val="24"/>
          <w:szCs w:val="24"/>
        </w:rPr>
        <w:t xml:space="preserve"> </w:t>
      </w:r>
      <w:r w:rsidR="00BB61E2" w:rsidRPr="00604A2C">
        <w:rPr>
          <w:i/>
          <w:iCs/>
          <w:sz w:val="24"/>
          <w:szCs w:val="24"/>
        </w:rPr>
        <w:t xml:space="preserve">and/or WinOps </w:t>
      </w:r>
      <w:r w:rsidR="00FD4858" w:rsidRPr="00E634DA">
        <w:rPr>
          <w:i/>
          <w:iCs/>
          <w:color w:val="231F20"/>
          <w:sz w:val="24"/>
          <w:szCs w:val="24"/>
        </w:rPr>
        <w:t>database – Change of Address letter includes validation)</w:t>
      </w:r>
      <w:r w:rsidR="00FD4858" w:rsidRPr="00E634DA">
        <w:rPr>
          <w:color w:val="231F20"/>
          <w:sz w:val="24"/>
          <w:szCs w:val="24"/>
        </w:rPr>
        <w:t>; and</w:t>
      </w:r>
    </w:p>
    <w:p w14:paraId="7EF82D35" w14:textId="77777777" w:rsidR="00FD4858" w:rsidRPr="00E634DA" w:rsidRDefault="00FD4858" w:rsidP="00FD4858">
      <w:pPr>
        <w:autoSpaceDE w:val="0"/>
        <w:autoSpaceDN w:val="0"/>
        <w:adjustRightInd w:val="0"/>
        <w:ind w:left="720" w:hanging="180"/>
        <w:rPr>
          <w:color w:val="231F20"/>
          <w:sz w:val="24"/>
          <w:szCs w:val="24"/>
          <w:u w:val="single"/>
        </w:rPr>
      </w:pPr>
    </w:p>
    <w:p w14:paraId="11EB527A" w14:textId="19ECCFB3" w:rsidR="00FD4858" w:rsidRPr="00604A2C" w:rsidRDefault="007B35AC" w:rsidP="007B35AC">
      <w:pPr>
        <w:autoSpaceDE w:val="0"/>
        <w:autoSpaceDN w:val="0"/>
        <w:adjustRightInd w:val="0"/>
        <w:ind w:left="810" w:hanging="270"/>
        <w:rPr>
          <w:sz w:val="24"/>
          <w:szCs w:val="24"/>
        </w:rPr>
      </w:pPr>
      <w:r>
        <w:rPr>
          <w:color w:val="231F20"/>
          <w:sz w:val="24"/>
          <w:szCs w:val="24"/>
        </w:rPr>
        <w:t xml:space="preserve"> </w:t>
      </w:r>
      <w:r w:rsidR="008C1D3A">
        <w:rPr>
          <w:color w:val="231F20"/>
          <w:sz w:val="24"/>
          <w:szCs w:val="24"/>
        </w:rPr>
        <w:t>4</w:t>
      </w:r>
      <w:r>
        <w:rPr>
          <w:color w:val="231F20"/>
          <w:sz w:val="24"/>
          <w:szCs w:val="24"/>
        </w:rPr>
        <w:t xml:space="preserve">. </w:t>
      </w:r>
      <w:r w:rsidR="00FD4858" w:rsidRPr="00E634DA">
        <w:rPr>
          <w:color w:val="231F20"/>
          <w:sz w:val="24"/>
          <w:szCs w:val="24"/>
        </w:rPr>
        <w:t xml:space="preserve">Customer changes of investment objectives and the validation of such changes of investment objectives </w:t>
      </w:r>
      <w:r w:rsidR="00FD4858" w:rsidRPr="00E634DA">
        <w:rPr>
          <w:i/>
          <w:iCs/>
          <w:color w:val="231F20"/>
          <w:sz w:val="24"/>
          <w:szCs w:val="24"/>
        </w:rPr>
        <w:t>(any changes of investment objectives are marked in Win</w:t>
      </w:r>
      <w:r w:rsidR="00FD4858">
        <w:rPr>
          <w:i/>
          <w:iCs/>
          <w:color w:val="231F20"/>
          <w:sz w:val="24"/>
          <w:szCs w:val="24"/>
        </w:rPr>
        <w:t>Ops in the F</w:t>
      </w:r>
      <w:r w:rsidR="00FD4858" w:rsidRPr="00E634DA">
        <w:rPr>
          <w:i/>
          <w:iCs/>
          <w:color w:val="231F20"/>
          <w:sz w:val="24"/>
          <w:szCs w:val="24"/>
        </w:rPr>
        <w:t>inancial section if applicable and verified by forwarding a letter to customer</w:t>
      </w:r>
      <w:r w:rsidR="00AD584D">
        <w:rPr>
          <w:i/>
          <w:iCs/>
          <w:color w:val="231F20"/>
          <w:sz w:val="24"/>
          <w:szCs w:val="24"/>
        </w:rPr>
        <w:t xml:space="preserve"> </w:t>
      </w:r>
      <w:r w:rsidR="00AD584D" w:rsidRPr="00604A2C">
        <w:rPr>
          <w:i/>
          <w:iCs/>
          <w:sz w:val="24"/>
          <w:szCs w:val="24"/>
        </w:rPr>
        <w:t>unless the change was from a response to a 17a-3 letter</w:t>
      </w:r>
      <w:r w:rsidR="00FD4858" w:rsidRPr="00604A2C">
        <w:rPr>
          <w:i/>
          <w:iCs/>
          <w:sz w:val="24"/>
          <w:szCs w:val="24"/>
        </w:rPr>
        <w:t>)</w:t>
      </w:r>
      <w:r w:rsidR="00FD4858" w:rsidRPr="00604A2C">
        <w:rPr>
          <w:sz w:val="24"/>
          <w:szCs w:val="24"/>
        </w:rPr>
        <w:t>.</w:t>
      </w:r>
    </w:p>
    <w:p w14:paraId="0BC7CE7E" w14:textId="77777777" w:rsidR="00FD4858" w:rsidRDefault="00FD4858" w:rsidP="00FD4858">
      <w:pPr>
        <w:autoSpaceDE w:val="0"/>
        <w:autoSpaceDN w:val="0"/>
        <w:adjustRightInd w:val="0"/>
        <w:rPr>
          <w:color w:val="231F20"/>
          <w:sz w:val="24"/>
          <w:szCs w:val="24"/>
        </w:rPr>
      </w:pPr>
    </w:p>
    <w:p w14:paraId="0B4965C8" w14:textId="77777777" w:rsidR="00FD4858" w:rsidRDefault="00FD4858" w:rsidP="00FD4858">
      <w:pPr>
        <w:pStyle w:val="Heading3"/>
      </w:pPr>
      <w:r>
        <w:t>3.5.4 Reports</w:t>
      </w:r>
    </w:p>
    <w:p w14:paraId="19D2715E" w14:textId="77777777" w:rsidR="00FD4858" w:rsidRDefault="00FD4858" w:rsidP="00F52E5E">
      <w:pPr>
        <w:ind w:left="270"/>
        <w:rPr>
          <w:color w:val="FF0000"/>
          <w:sz w:val="24"/>
          <w:szCs w:val="24"/>
        </w:rPr>
      </w:pPr>
      <w:r w:rsidRPr="000737DD">
        <w:rPr>
          <w:sz w:val="24"/>
          <w:szCs w:val="24"/>
        </w:rPr>
        <w:t xml:space="preserve">A record will be maintained of every office inspection </w:t>
      </w:r>
      <w:r w:rsidR="00F52E5E" w:rsidRPr="00604A2C">
        <w:rPr>
          <w:sz w:val="24"/>
          <w:szCs w:val="24"/>
        </w:rPr>
        <w:t xml:space="preserve">and producing supervisor </w:t>
      </w:r>
      <w:r w:rsidRPr="000737DD">
        <w:rPr>
          <w:sz w:val="24"/>
          <w:szCs w:val="24"/>
        </w:rPr>
        <w:t>as evidence of review.</w:t>
      </w:r>
      <w:r w:rsidR="00F52E5E">
        <w:rPr>
          <w:sz w:val="24"/>
          <w:szCs w:val="24"/>
        </w:rPr>
        <w:t xml:space="preserve">  </w:t>
      </w:r>
    </w:p>
    <w:p w14:paraId="3953D01B" w14:textId="77777777" w:rsidR="00F52E5E" w:rsidRDefault="00F52E5E" w:rsidP="00F52E5E">
      <w:pPr>
        <w:ind w:left="270"/>
      </w:pPr>
    </w:p>
    <w:p w14:paraId="5F63750C" w14:textId="77777777" w:rsidR="00FD4858" w:rsidRDefault="00FD4858" w:rsidP="00FD4858"/>
    <w:p w14:paraId="058E3404" w14:textId="77777777" w:rsidR="00FD4858" w:rsidRDefault="00FD4858" w:rsidP="00936FEE">
      <w:pPr>
        <w:pStyle w:val="Heading2"/>
      </w:pPr>
      <w:r>
        <w:t>3.6 Closing Offices</w:t>
      </w:r>
    </w:p>
    <w:p w14:paraId="3B6E2B16" w14:textId="77777777" w:rsidR="00FD4858" w:rsidRPr="009F1432" w:rsidRDefault="00FD4858" w:rsidP="00FD4858">
      <w:pPr>
        <w:pStyle w:val="MRS"/>
        <w:jc w:val="left"/>
      </w:pPr>
      <w:r w:rsidRPr="009F1432">
        <w:t>When an office is closed (other than just moving to another location), Compliance is responsible for the following:</w:t>
      </w:r>
    </w:p>
    <w:p w14:paraId="0C77B639" w14:textId="77777777" w:rsidR="00FD4858" w:rsidRPr="009F1432" w:rsidRDefault="00FD4858" w:rsidP="003E7B18">
      <w:pPr>
        <w:pStyle w:val="MRS"/>
        <w:numPr>
          <w:ilvl w:val="0"/>
          <w:numId w:val="144"/>
        </w:numPr>
        <w:jc w:val="left"/>
      </w:pPr>
      <w:r w:rsidRPr="009F1432">
        <w:t>Secure branch files and transfer to Compliance for record preservation;</w:t>
      </w:r>
    </w:p>
    <w:p w14:paraId="67966A44" w14:textId="77777777" w:rsidR="00FD4858" w:rsidRPr="009F1432" w:rsidRDefault="00FD4858" w:rsidP="003E7B18">
      <w:pPr>
        <w:pStyle w:val="MRS"/>
        <w:numPr>
          <w:ilvl w:val="0"/>
          <w:numId w:val="144"/>
        </w:numPr>
        <w:jc w:val="left"/>
      </w:pPr>
      <w:r w:rsidRPr="009F1432">
        <w:t>Notify customers affected by the closing</w:t>
      </w:r>
      <w:r>
        <w:t xml:space="preserve"> if applicable</w:t>
      </w:r>
      <w:r w:rsidRPr="009F1432">
        <w:t>;</w:t>
      </w:r>
    </w:p>
    <w:p w14:paraId="1077B070" w14:textId="77777777" w:rsidR="00FD4858" w:rsidRPr="009F1432" w:rsidRDefault="00FD4858" w:rsidP="003E7B18">
      <w:pPr>
        <w:pStyle w:val="MRS"/>
        <w:numPr>
          <w:ilvl w:val="0"/>
          <w:numId w:val="144"/>
        </w:numPr>
        <w:jc w:val="left"/>
      </w:pPr>
      <w:r w:rsidRPr="009F1432">
        <w:t>Delete any program access (i.e. User IDs and passwords).</w:t>
      </w:r>
    </w:p>
    <w:p w14:paraId="5AB86438" w14:textId="77777777" w:rsidR="00FD4858" w:rsidRPr="009F1432" w:rsidRDefault="00FD4858" w:rsidP="00FD4858">
      <w:pPr>
        <w:pStyle w:val="MRS"/>
        <w:jc w:val="left"/>
      </w:pPr>
    </w:p>
    <w:p w14:paraId="6EE9A6A3" w14:textId="77777777" w:rsidR="00FD4858" w:rsidRPr="009F1432" w:rsidRDefault="00FD4858" w:rsidP="00FD4858">
      <w:pPr>
        <w:pStyle w:val="MRS"/>
        <w:jc w:val="left"/>
      </w:pPr>
      <w:r w:rsidRPr="009F1432">
        <w:t xml:space="preserve">Since all offices are autonomous as related to leases, equipment, and any access cards and keys, the designated supervisor will be responsible for handling any securing or disposition of such items. </w:t>
      </w:r>
    </w:p>
    <w:p w14:paraId="14AAA371" w14:textId="77777777" w:rsidR="00FD4858" w:rsidRPr="009F1432" w:rsidRDefault="00FD4858" w:rsidP="00FD4858">
      <w:pPr>
        <w:pStyle w:val="MRS"/>
        <w:jc w:val="left"/>
      </w:pPr>
    </w:p>
    <w:p w14:paraId="301335BF" w14:textId="0AFDCE49" w:rsidR="00186675" w:rsidRDefault="00FD4858" w:rsidP="00184B30">
      <w:pPr>
        <w:pStyle w:val="MRS"/>
        <w:jc w:val="left"/>
      </w:pPr>
      <w:r w:rsidRPr="009F1432">
        <w:t>If an office is relocating, the supervisor must ensure the security of all property and records and oversee the transfer to the new location.  Keys/access cards for the closed office will be collected from employees and new ones issued for the new location.</w:t>
      </w:r>
      <w:r w:rsidR="00184B30">
        <w:t xml:space="preserve"> </w:t>
      </w:r>
      <w:r w:rsidR="00186675">
        <w:rPr>
          <w:szCs w:val="24"/>
        </w:rPr>
        <w:br w:type="page"/>
      </w:r>
      <w:bookmarkStart w:id="37" w:name="OLE_LINK3"/>
      <w:bookmarkStart w:id="38" w:name="OLE_LINK4"/>
    </w:p>
    <w:p w14:paraId="6C01A5D8" w14:textId="77777777" w:rsidR="00186675" w:rsidRDefault="00186675" w:rsidP="00186675">
      <w:pPr>
        <w:pStyle w:val="Heading1"/>
        <w:pBdr>
          <w:top w:val="double" w:sz="12" w:space="1" w:color="000099"/>
          <w:left w:val="double" w:sz="12" w:space="4" w:color="000099"/>
          <w:bottom w:val="double" w:sz="12" w:space="1" w:color="000099"/>
          <w:right w:val="double" w:sz="12" w:space="4" w:color="000099"/>
        </w:pBdr>
        <w:shd w:val="pct10" w:color="0000FF" w:fill="auto"/>
        <w:jc w:val="center"/>
      </w:pPr>
    </w:p>
    <w:p w14:paraId="164437EC" w14:textId="77777777" w:rsidR="00186675" w:rsidRDefault="00186675" w:rsidP="00186675">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39" w:name="_Toc227820417"/>
      <w:bookmarkStart w:id="40" w:name="_Toc227821699"/>
      <w:bookmarkStart w:id="41" w:name="_Toc227821818"/>
      <w:bookmarkStart w:id="42" w:name="_Toc535916167"/>
      <w:r>
        <w:t>4.</w:t>
      </w:r>
      <w:r w:rsidR="00FE3A30">
        <w:t xml:space="preserve">   </w:t>
      </w:r>
      <w:r>
        <w:t>SUPERVISION OF ASSOCIATED PERSONS</w:t>
      </w:r>
      <w:bookmarkEnd w:id="39"/>
      <w:bookmarkEnd w:id="40"/>
      <w:bookmarkEnd w:id="41"/>
      <w:bookmarkEnd w:id="42"/>
    </w:p>
    <w:p w14:paraId="5222144D" w14:textId="77777777" w:rsidR="00186675" w:rsidRDefault="00186675" w:rsidP="00186675">
      <w:pPr>
        <w:pStyle w:val="Heading1"/>
        <w:pBdr>
          <w:top w:val="double" w:sz="12" w:space="1" w:color="000099"/>
          <w:left w:val="double" w:sz="12" w:space="4" w:color="000099"/>
          <w:bottom w:val="double" w:sz="12" w:space="1" w:color="000099"/>
          <w:right w:val="double" w:sz="12" w:space="4" w:color="000099"/>
        </w:pBdr>
        <w:shd w:val="pct10" w:color="0000FF" w:fill="auto"/>
        <w:jc w:val="center"/>
      </w:pPr>
    </w:p>
    <w:p w14:paraId="0071B753" w14:textId="77777777" w:rsidR="00186675" w:rsidRDefault="00186675" w:rsidP="00186675">
      <w:pPr>
        <w:jc w:val="both"/>
        <w:rPr>
          <w:sz w:val="24"/>
        </w:rPr>
      </w:pPr>
    </w:p>
    <w:p w14:paraId="2592AD77" w14:textId="77777777" w:rsidR="00186675" w:rsidRPr="000C570A" w:rsidRDefault="00186675" w:rsidP="00936FEE">
      <w:pPr>
        <w:pStyle w:val="Heading2"/>
      </w:pPr>
      <w:r w:rsidRPr="000C570A">
        <w:t>4.1 Introduction</w:t>
      </w:r>
    </w:p>
    <w:p w14:paraId="07157E8F" w14:textId="65D8F2A8" w:rsidR="00186675" w:rsidRDefault="00186675" w:rsidP="00186675">
      <w:pPr>
        <w:jc w:val="both"/>
        <w:rPr>
          <w:sz w:val="24"/>
        </w:rPr>
      </w:pPr>
      <w:r>
        <w:rPr>
          <w:sz w:val="24"/>
        </w:rPr>
        <w:t xml:space="preserve">All </w:t>
      </w:r>
      <w:r w:rsidR="003C6945">
        <w:rPr>
          <w:sz w:val="24"/>
        </w:rPr>
        <w:t>registered A</w:t>
      </w:r>
      <w:r>
        <w:rPr>
          <w:sz w:val="24"/>
        </w:rPr>
        <w:t xml:space="preserve">ssociated </w:t>
      </w:r>
      <w:r w:rsidR="003C6945">
        <w:rPr>
          <w:sz w:val="24"/>
        </w:rPr>
        <w:t>P</w:t>
      </w:r>
      <w:r>
        <w:rPr>
          <w:sz w:val="24"/>
        </w:rPr>
        <w:t xml:space="preserve">ersons shall be assigned to a qualified supervisor of the Company (Exhibit A).  </w:t>
      </w:r>
      <w:r w:rsidR="00EF14AB" w:rsidRPr="00424F51">
        <w:rPr>
          <w:sz w:val="24"/>
        </w:rPr>
        <w:t>Reference to employees also includes independent contractors.</w:t>
      </w:r>
      <w:r w:rsidR="00EF14AB">
        <w:rPr>
          <w:sz w:val="24"/>
        </w:rPr>
        <w:t xml:space="preserve">  The ratio of retail A</w:t>
      </w:r>
      <w:r>
        <w:rPr>
          <w:sz w:val="24"/>
        </w:rPr>
        <w:t xml:space="preserve">ssociated </w:t>
      </w:r>
      <w:r w:rsidR="00EF14AB">
        <w:rPr>
          <w:sz w:val="24"/>
        </w:rPr>
        <w:t>P</w:t>
      </w:r>
      <w:r>
        <w:rPr>
          <w:sz w:val="24"/>
        </w:rPr>
        <w:t>ersons (excluding administrative registered personnel) to supervisory principals shall</w:t>
      </w:r>
      <w:r w:rsidR="00AB4885">
        <w:rPr>
          <w:sz w:val="24"/>
        </w:rPr>
        <w:t xml:space="preserve"> not exceed 10:1. Further, all A</w:t>
      </w:r>
      <w:r>
        <w:rPr>
          <w:sz w:val="24"/>
        </w:rPr>
        <w:t xml:space="preserve">ssociated </w:t>
      </w:r>
      <w:r w:rsidR="00AB4885">
        <w:rPr>
          <w:sz w:val="24"/>
        </w:rPr>
        <w:t>P</w:t>
      </w:r>
      <w:r>
        <w:rPr>
          <w:sz w:val="24"/>
        </w:rPr>
        <w:t xml:space="preserve">ersons shall be responsible for familiarizing themselves with the Company's Written Supervisory Procedures and annual completion of the </w:t>
      </w:r>
      <w:r w:rsidR="00805C8B">
        <w:rPr>
          <w:sz w:val="24"/>
        </w:rPr>
        <w:t>Company's Regulatory Checklist</w:t>
      </w:r>
      <w:r>
        <w:rPr>
          <w:sz w:val="24"/>
        </w:rPr>
        <w:t xml:space="preserve">.   All Regulatory notices received by </w:t>
      </w:r>
      <w:r w:rsidR="00AB4885">
        <w:rPr>
          <w:sz w:val="24"/>
        </w:rPr>
        <w:t>Company</w:t>
      </w:r>
      <w:r>
        <w:rPr>
          <w:sz w:val="24"/>
        </w:rPr>
        <w:t xml:space="preserve"> via e-mail will be forwarded to </w:t>
      </w:r>
      <w:r w:rsidR="006A1621" w:rsidRPr="00F67C1D">
        <w:rPr>
          <w:sz w:val="24"/>
        </w:rPr>
        <w:t>the</w:t>
      </w:r>
      <w:r w:rsidRPr="00F67C1D">
        <w:rPr>
          <w:sz w:val="24"/>
        </w:rPr>
        <w:t xml:space="preserve"> applicable </w:t>
      </w:r>
      <w:r w:rsidR="003B0EB3" w:rsidRPr="00F67C1D">
        <w:rPr>
          <w:sz w:val="24"/>
        </w:rPr>
        <w:t xml:space="preserve">branch </w:t>
      </w:r>
      <w:r>
        <w:rPr>
          <w:sz w:val="24"/>
        </w:rPr>
        <w:t xml:space="preserve">supervisors.   Each supervisor is responsible for familiarizing themselves with the contents as well as disseminating the information to the </w:t>
      </w:r>
      <w:r w:rsidR="00AB4885">
        <w:rPr>
          <w:sz w:val="24"/>
        </w:rPr>
        <w:t>A</w:t>
      </w:r>
      <w:r>
        <w:rPr>
          <w:sz w:val="24"/>
        </w:rPr>
        <w:t xml:space="preserve">ssociated </w:t>
      </w:r>
      <w:r w:rsidR="00AB4885">
        <w:rPr>
          <w:sz w:val="24"/>
        </w:rPr>
        <w:t>P</w:t>
      </w:r>
      <w:r>
        <w:rPr>
          <w:sz w:val="24"/>
        </w:rPr>
        <w:t>ersons under their control</w:t>
      </w:r>
      <w:r w:rsidR="00AB4885">
        <w:rPr>
          <w:sz w:val="24"/>
        </w:rPr>
        <w:t>, if applicable</w:t>
      </w:r>
      <w:r>
        <w:rPr>
          <w:sz w:val="24"/>
        </w:rPr>
        <w:t>.</w:t>
      </w:r>
    </w:p>
    <w:p w14:paraId="4EE208EC" w14:textId="507D232B" w:rsidR="002B7016" w:rsidRDefault="002B7016" w:rsidP="00186675">
      <w:pPr>
        <w:jc w:val="both"/>
        <w:rPr>
          <w:sz w:val="24"/>
        </w:rPr>
      </w:pPr>
    </w:p>
    <w:p w14:paraId="6BBB15DD" w14:textId="3299A020" w:rsidR="002B7016" w:rsidRDefault="002B7016" w:rsidP="002B7016">
      <w:pPr>
        <w:pStyle w:val="Heading3"/>
      </w:pPr>
      <w:r>
        <w:t>4.1.1 Working Remotely</w:t>
      </w:r>
    </w:p>
    <w:p w14:paraId="4B9EF40B" w14:textId="77777777" w:rsidR="002B7016" w:rsidRPr="007F0C5D" w:rsidRDefault="002B7016" w:rsidP="002B7016">
      <w:pPr>
        <w:spacing w:before="15" w:after="100" w:afterAutospacing="1" w:line="240" w:lineRule="atLeast"/>
        <w:ind w:left="270"/>
        <w:rPr>
          <w:spacing w:val="8"/>
          <w:sz w:val="24"/>
          <w:szCs w:val="24"/>
        </w:rPr>
      </w:pPr>
      <w:r w:rsidRPr="007F0C5D">
        <w:rPr>
          <w:spacing w:val="8"/>
          <w:sz w:val="24"/>
          <w:szCs w:val="24"/>
        </w:rPr>
        <w:t>Company shall permit employees or Associated Persons to work remotely (i.e. teleworking) provided the following procedures are in place and followed:</w:t>
      </w:r>
    </w:p>
    <w:p w14:paraId="2C0529AE" w14:textId="77777777" w:rsidR="002B7016" w:rsidRPr="007F0C5D" w:rsidRDefault="002B7016" w:rsidP="0005402C">
      <w:pPr>
        <w:numPr>
          <w:ilvl w:val="0"/>
          <w:numId w:val="373"/>
        </w:numPr>
        <w:tabs>
          <w:tab w:val="clear" w:pos="720"/>
          <w:tab w:val="num" w:pos="810"/>
        </w:tabs>
        <w:spacing w:before="100" w:beforeAutospacing="1" w:after="100" w:afterAutospacing="1"/>
        <w:ind w:left="810" w:hanging="270"/>
        <w:rPr>
          <w:spacing w:val="8"/>
          <w:sz w:val="24"/>
          <w:szCs w:val="24"/>
        </w:rPr>
      </w:pPr>
      <w:r w:rsidRPr="007F0C5D">
        <w:rPr>
          <w:spacing w:val="8"/>
          <w:sz w:val="24"/>
          <w:szCs w:val="24"/>
        </w:rPr>
        <w:t>each supervisor will review his or her responsibilities and adjust them as necessary in light of the different type of interaction with the supervised person working remotely and the supervisor may need to take on expanded roles;</w:t>
      </w:r>
    </w:p>
    <w:p w14:paraId="5D1CD053" w14:textId="77777777" w:rsidR="002B7016" w:rsidRPr="007F0C5D" w:rsidRDefault="002B7016" w:rsidP="0005402C">
      <w:pPr>
        <w:numPr>
          <w:ilvl w:val="0"/>
          <w:numId w:val="373"/>
        </w:numPr>
        <w:tabs>
          <w:tab w:val="clear" w:pos="720"/>
          <w:tab w:val="num" w:pos="810"/>
        </w:tabs>
        <w:spacing w:before="100" w:beforeAutospacing="1" w:after="100" w:afterAutospacing="1"/>
        <w:ind w:left="810" w:hanging="270"/>
        <w:rPr>
          <w:spacing w:val="8"/>
          <w:sz w:val="24"/>
          <w:szCs w:val="24"/>
        </w:rPr>
      </w:pPr>
      <w:r w:rsidRPr="007F0C5D">
        <w:rPr>
          <w:spacing w:val="8"/>
          <w:sz w:val="24"/>
          <w:szCs w:val="24"/>
        </w:rPr>
        <w:t>employees will be permitted to only use a work-issued laptop or desktop that has been appropriately secured;</w:t>
      </w:r>
    </w:p>
    <w:p w14:paraId="3570F15F" w14:textId="77777777" w:rsidR="002B7016" w:rsidRPr="007F0C5D" w:rsidRDefault="002B7016" w:rsidP="0005402C">
      <w:pPr>
        <w:numPr>
          <w:ilvl w:val="0"/>
          <w:numId w:val="373"/>
        </w:numPr>
        <w:tabs>
          <w:tab w:val="clear" w:pos="720"/>
          <w:tab w:val="num" w:pos="810"/>
        </w:tabs>
        <w:spacing w:before="100" w:beforeAutospacing="1" w:after="100" w:afterAutospacing="1"/>
        <w:ind w:left="810" w:hanging="270"/>
        <w:rPr>
          <w:spacing w:val="8"/>
          <w:sz w:val="24"/>
          <w:szCs w:val="24"/>
        </w:rPr>
      </w:pPr>
      <w:r w:rsidRPr="007F0C5D">
        <w:rPr>
          <w:spacing w:val="8"/>
          <w:sz w:val="24"/>
          <w:szCs w:val="24"/>
        </w:rPr>
        <w:t>security for communications, web-based applications and electronic connectivity systems will be enhanced to address new potential threats of employees working outside the network at the office;</w:t>
      </w:r>
    </w:p>
    <w:p w14:paraId="48E88E98" w14:textId="77777777" w:rsidR="002B7016" w:rsidRPr="007F0C5D" w:rsidRDefault="002B7016" w:rsidP="0005402C">
      <w:pPr>
        <w:numPr>
          <w:ilvl w:val="0"/>
          <w:numId w:val="373"/>
        </w:numPr>
        <w:tabs>
          <w:tab w:val="clear" w:pos="720"/>
          <w:tab w:val="num" w:pos="810"/>
        </w:tabs>
        <w:spacing w:before="100" w:beforeAutospacing="1" w:after="100" w:afterAutospacing="1"/>
        <w:ind w:left="810" w:hanging="270"/>
        <w:rPr>
          <w:spacing w:val="8"/>
          <w:sz w:val="24"/>
          <w:szCs w:val="24"/>
        </w:rPr>
      </w:pPr>
      <w:r w:rsidRPr="007F0C5D">
        <w:rPr>
          <w:spacing w:val="8"/>
          <w:sz w:val="24"/>
          <w:szCs w:val="24"/>
        </w:rPr>
        <w:t>employees will be trained or will have been trained on working remotely;</w:t>
      </w:r>
    </w:p>
    <w:p w14:paraId="1CB34931" w14:textId="77777777" w:rsidR="002B7016" w:rsidRPr="007F0C5D" w:rsidRDefault="002B7016" w:rsidP="0005402C">
      <w:pPr>
        <w:numPr>
          <w:ilvl w:val="0"/>
          <w:numId w:val="373"/>
        </w:numPr>
        <w:tabs>
          <w:tab w:val="clear" w:pos="720"/>
          <w:tab w:val="num" w:pos="810"/>
        </w:tabs>
        <w:spacing w:before="100" w:beforeAutospacing="1" w:after="100" w:afterAutospacing="1"/>
        <w:ind w:left="810" w:hanging="270"/>
        <w:rPr>
          <w:spacing w:val="8"/>
          <w:sz w:val="24"/>
          <w:szCs w:val="24"/>
        </w:rPr>
      </w:pPr>
      <w:r w:rsidRPr="007F0C5D">
        <w:rPr>
          <w:spacing w:val="8"/>
          <w:sz w:val="24"/>
          <w:szCs w:val="24"/>
        </w:rPr>
        <w:t>where necessary, new or modified procedures for placing client trades will be implemented; and</w:t>
      </w:r>
    </w:p>
    <w:p w14:paraId="250BACD3" w14:textId="77777777" w:rsidR="002B7016" w:rsidRPr="007F0C5D" w:rsidRDefault="002B7016" w:rsidP="0005402C">
      <w:pPr>
        <w:numPr>
          <w:ilvl w:val="0"/>
          <w:numId w:val="373"/>
        </w:numPr>
        <w:tabs>
          <w:tab w:val="clear" w:pos="720"/>
          <w:tab w:val="num" w:pos="810"/>
        </w:tabs>
        <w:spacing w:before="100" w:beforeAutospacing="1" w:after="100" w:afterAutospacing="1"/>
        <w:ind w:left="810" w:hanging="270"/>
        <w:rPr>
          <w:spacing w:val="8"/>
          <w:sz w:val="24"/>
          <w:szCs w:val="24"/>
        </w:rPr>
      </w:pPr>
      <w:r w:rsidRPr="007F0C5D">
        <w:rPr>
          <w:spacing w:val="8"/>
          <w:sz w:val="24"/>
          <w:szCs w:val="24"/>
        </w:rPr>
        <w:t>where necessary, onboarding new employee procedures will be adjusted due to the greater challenges of performing background checks and other due diligence.</w:t>
      </w:r>
    </w:p>
    <w:p w14:paraId="4BF1F431" w14:textId="77777777" w:rsidR="002B7016" w:rsidRPr="007F0C5D" w:rsidRDefault="002B7016" w:rsidP="002B7016">
      <w:pPr>
        <w:spacing w:before="15" w:after="100" w:afterAutospacing="1" w:line="240" w:lineRule="atLeast"/>
        <w:ind w:left="270"/>
        <w:rPr>
          <w:spacing w:val="8"/>
          <w:sz w:val="24"/>
          <w:szCs w:val="24"/>
        </w:rPr>
      </w:pPr>
      <w:r w:rsidRPr="007F0C5D">
        <w:rPr>
          <w:spacing w:val="8"/>
          <w:sz w:val="24"/>
          <w:szCs w:val="24"/>
        </w:rPr>
        <w:t>In addition, Company where necessary will modify its supervisory and compliance policies and procedures that are utilized under "normal operating conditions" to address the unique risks and conflicts of interest presented by remote operations. In doing so, Company will consider:</w:t>
      </w:r>
    </w:p>
    <w:p w14:paraId="1C31D7F7" w14:textId="77777777" w:rsidR="002B7016" w:rsidRPr="007F0C5D" w:rsidRDefault="002B7016" w:rsidP="0005402C">
      <w:pPr>
        <w:numPr>
          <w:ilvl w:val="0"/>
          <w:numId w:val="374"/>
        </w:numPr>
        <w:tabs>
          <w:tab w:val="clear" w:pos="720"/>
          <w:tab w:val="num" w:pos="810"/>
        </w:tabs>
        <w:spacing w:before="100" w:beforeAutospacing="1" w:after="100" w:afterAutospacing="1"/>
        <w:ind w:left="810" w:hanging="270"/>
        <w:rPr>
          <w:spacing w:val="8"/>
          <w:sz w:val="24"/>
          <w:szCs w:val="24"/>
        </w:rPr>
      </w:pPr>
      <w:r w:rsidRPr="007F0C5D">
        <w:rPr>
          <w:spacing w:val="8"/>
          <w:sz w:val="24"/>
          <w:szCs w:val="24"/>
        </w:rPr>
        <w:t>whether additional resources and/or measures for securing servers and systems are needed;</w:t>
      </w:r>
    </w:p>
    <w:p w14:paraId="3F36E23E" w14:textId="77777777" w:rsidR="002B7016" w:rsidRPr="007F0C5D" w:rsidRDefault="002B7016" w:rsidP="0005402C">
      <w:pPr>
        <w:numPr>
          <w:ilvl w:val="0"/>
          <w:numId w:val="374"/>
        </w:numPr>
        <w:tabs>
          <w:tab w:val="clear" w:pos="720"/>
          <w:tab w:val="num" w:pos="810"/>
        </w:tabs>
        <w:spacing w:before="100" w:beforeAutospacing="1" w:after="100" w:afterAutospacing="1"/>
        <w:ind w:left="810" w:hanging="270"/>
        <w:rPr>
          <w:spacing w:val="8"/>
          <w:sz w:val="24"/>
          <w:szCs w:val="24"/>
        </w:rPr>
      </w:pPr>
      <w:r w:rsidRPr="007F0C5D">
        <w:rPr>
          <w:spacing w:val="8"/>
          <w:sz w:val="24"/>
          <w:szCs w:val="24"/>
        </w:rPr>
        <w:t>how to maintain and secure the integrity of vacated facilities is maintained;</w:t>
      </w:r>
    </w:p>
    <w:p w14:paraId="37923140" w14:textId="77777777" w:rsidR="002B7016" w:rsidRPr="007F0C5D" w:rsidRDefault="002B7016" w:rsidP="0005402C">
      <w:pPr>
        <w:numPr>
          <w:ilvl w:val="0"/>
          <w:numId w:val="374"/>
        </w:numPr>
        <w:tabs>
          <w:tab w:val="clear" w:pos="720"/>
          <w:tab w:val="num" w:pos="810"/>
        </w:tabs>
        <w:spacing w:before="100" w:beforeAutospacing="1" w:after="100" w:afterAutospacing="1"/>
        <w:ind w:left="810" w:hanging="270"/>
        <w:rPr>
          <w:spacing w:val="8"/>
          <w:sz w:val="24"/>
          <w:szCs w:val="24"/>
        </w:rPr>
      </w:pPr>
      <w:r w:rsidRPr="007F0C5D">
        <w:rPr>
          <w:spacing w:val="8"/>
          <w:sz w:val="24"/>
          <w:szCs w:val="24"/>
        </w:rPr>
        <w:t>how to collect regulatory-required records generated by employees working remotely;</w:t>
      </w:r>
    </w:p>
    <w:p w14:paraId="7E783E16" w14:textId="77777777" w:rsidR="002B7016" w:rsidRPr="007F0C5D" w:rsidRDefault="002B7016" w:rsidP="0005402C">
      <w:pPr>
        <w:numPr>
          <w:ilvl w:val="0"/>
          <w:numId w:val="374"/>
        </w:numPr>
        <w:tabs>
          <w:tab w:val="clear" w:pos="720"/>
          <w:tab w:val="num" w:pos="810"/>
        </w:tabs>
        <w:spacing w:before="100" w:beforeAutospacing="1" w:after="100" w:afterAutospacing="1"/>
        <w:ind w:left="810" w:hanging="270"/>
        <w:rPr>
          <w:spacing w:val="8"/>
          <w:sz w:val="24"/>
          <w:szCs w:val="24"/>
        </w:rPr>
      </w:pPr>
      <w:r w:rsidRPr="007F0C5D">
        <w:rPr>
          <w:spacing w:val="8"/>
          <w:sz w:val="24"/>
          <w:szCs w:val="24"/>
        </w:rPr>
        <w:t>whether there is a need for relocation infrastructure and support for personnel operating from remote sites is provided; and</w:t>
      </w:r>
    </w:p>
    <w:p w14:paraId="65F2CA06" w14:textId="77777777" w:rsidR="002B7016" w:rsidRPr="007F0C5D" w:rsidRDefault="002B7016" w:rsidP="0005402C">
      <w:pPr>
        <w:numPr>
          <w:ilvl w:val="0"/>
          <w:numId w:val="374"/>
        </w:numPr>
        <w:tabs>
          <w:tab w:val="clear" w:pos="720"/>
          <w:tab w:val="num" w:pos="810"/>
        </w:tabs>
        <w:spacing w:before="100" w:beforeAutospacing="1" w:after="100" w:afterAutospacing="1"/>
        <w:ind w:left="810" w:hanging="270"/>
        <w:rPr>
          <w:spacing w:val="8"/>
          <w:sz w:val="24"/>
          <w:szCs w:val="24"/>
        </w:rPr>
      </w:pPr>
      <w:r w:rsidRPr="007F0C5D">
        <w:rPr>
          <w:spacing w:val="8"/>
          <w:sz w:val="24"/>
          <w:szCs w:val="24"/>
        </w:rPr>
        <w:t>how to protect data located remotely.</w:t>
      </w:r>
    </w:p>
    <w:p w14:paraId="5EA4E823" w14:textId="77777777" w:rsidR="00507C58" w:rsidRDefault="00507C58" w:rsidP="002B7016"/>
    <w:p w14:paraId="776A610A" w14:textId="77777777" w:rsidR="00186675" w:rsidRDefault="00186675" w:rsidP="00186675">
      <w:pPr>
        <w:jc w:val="both"/>
        <w:rPr>
          <w:sz w:val="24"/>
        </w:rPr>
      </w:pPr>
    </w:p>
    <w:p w14:paraId="4719A861" w14:textId="77777777" w:rsidR="00452385" w:rsidRPr="000C570A" w:rsidRDefault="00CF784A" w:rsidP="00936FEE">
      <w:pPr>
        <w:pStyle w:val="Heading2"/>
      </w:pPr>
      <w:r w:rsidRPr="000C570A">
        <w:t>4.2 Compliance</w:t>
      </w:r>
      <w:r w:rsidR="00452385" w:rsidRPr="000C570A">
        <w:t xml:space="preserve"> Chart</w:t>
      </w:r>
    </w:p>
    <w:tbl>
      <w:tblPr>
        <w:tblW w:w="5411" w:type="pct"/>
        <w:tblCellSpacing w:w="0" w:type="dxa"/>
        <w:tblInd w:w="-48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25"/>
        <w:gridCol w:w="8009"/>
      </w:tblGrid>
      <w:tr w:rsidR="00452385" w:rsidRPr="009165DF" w14:paraId="12248815" w14:textId="77777777">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tcPr>
          <w:p w14:paraId="3E5D72DF" w14:textId="77777777" w:rsidR="00452385" w:rsidRPr="009165DF" w:rsidRDefault="00452385" w:rsidP="00452385">
            <w:pPr>
              <w:jc w:val="center"/>
              <w:rPr>
                <w:b/>
                <w:bCs/>
                <w:spacing w:val="8"/>
                <w:sz w:val="24"/>
                <w:szCs w:val="24"/>
              </w:rPr>
            </w:pPr>
            <w:r w:rsidRPr="009165DF">
              <w:rPr>
                <w:b/>
                <w:bCs/>
                <w:spacing w:val="8"/>
                <w:sz w:val="24"/>
                <w:szCs w:val="24"/>
              </w:rPr>
              <w:t>Responsibility</w:t>
            </w:r>
          </w:p>
        </w:tc>
        <w:tc>
          <w:tcPr>
            <w:tcW w:w="3991" w:type="pct"/>
            <w:tcBorders>
              <w:top w:val="outset" w:sz="6" w:space="0" w:color="auto"/>
              <w:left w:val="outset" w:sz="6" w:space="0" w:color="auto"/>
              <w:bottom w:val="outset" w:sz="6" w:space="0" w:color="auto"/>
              <w:right w:val="outset" w:sz="6" w:space="0" w:color="auto"/>
            </w:tcBorders>
            <w:vAlign w:val="center"/>
          </w:tcPr>
          <w:p w14:paraId="220CA27D" w14:textId="77777777" w:rsidR="006D6B57" w:rsidRPr="009165DF" w:rsidRDefault="006D6B57" w:rsidP="00C1728B">
            <w:pPr>
              <w:numPr>
                <w:ilvl w:val="0"/>
                <w:numId w:val="68"/>
              </w:numPr>
              <w:rPr>
                <w:spacing w:val="8"/>
                <w:sz w:val="24"/>
                <w:szCs w:val="24"/>
              </w:rPr>
            </w:pPr>
            <w:r w:rsidRPr="009165DF">
              <w:rPr>
                <w:spacing w:val="8"/>
                <w:sz w:val="24"/>
                <w:szCs w:val="24"/>
              </w:rPr>
              <w:t>CCO</w:t>
            </w:r>
            <w:r w:rsidR="009A2D64">
              <w:rPr>
                <w:spacing w:val="8"/>
                <w:sz w:val="24"/>
                <w:szCs w:val="24"/>
              </w:rPr>
              <w:t xml:space="preserve"> </w:t>
            </w:r>
          </w:p>
          <w:p w14:paraId="59C26834" w14:textId="77777777" w:rsidR="00452385" w:rsidRPr="009165DF" w:rsidRDefault="00452385" w:rsidP="00C1728B">
            <w:pPr>
              <w:numPr>
                <w:ilvl w:val="0"/>
                <w:numId w:val="68"/>
              </w:numPr>
              <w:rPr>
                <w:spacing w:val="8"/>
                <w:sz w:val="24"/>
                <w:szCs w:val="24"/>
              </w:rPr>
            </w:pPr>
            <w:r w:rsidRPr="009165DF">
              <w:rPr>
                <w:spacing w:val="8"/>
                <w:sz w:val="24"/>
                <w:szCs w:val="24"/>
              </w:rPr>
              <w:t>Designated Supervisor</w:t>
            </w:r>
          </w:p>
        </w:tc>
      </w:tr>
      <w:tr w:rsidR="00452385" w:rsidRPr="009165DF" w14:paraId="58ABBF95" w14:textId="77777777">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tcPr>
          <w:p w14:paraId="1E854467" w14:textId="77777777" w:rsidR="00452385" w:rsidRPr="009165DF" w:rsidRDefault="00452385" w:rsidP="00452385">
            <w:pPr>
              <w:jc w:val="center"/>
              <w:rPr>
                <w:b/>
                <w:bCs/>
                <w:spacing w:val="8"/>
                <w:sz w:val="24"/>
                <w:szCs w:val="24"/>
              </w:rPr>
            </w:pPr>
            <w:r w:rsidRPr="009165DF">
              <w:rPr>
                <w:b/>
                <w:bCs/>
                <w:spacing w:val="8"/>
                <w:sz w:val="24"/>
                <w:szCs w:val="24"/>
              </w:rPr>
              <w:t>Statutes</w:t>
            </w:r>
          </w:p>
        </w:tc>
        <w:tc>
          <w:tcPr>
            <w:tcW w:w="3991" w:type="pct"/>
            <w:tcBorders>
              <w:top w:val="outset" w:sz="6" w:space="0" w:color="auto"/>
              <w:left w:val="outset" w:sz="6" w:space="0" w:color="auto"/>
              <w:bottom w:val="outset" w:sz="6" w:space="0" w:color="auto"/>
              <w:right w:val="outset" w:sz="6" w:space="0" w:color="auto"/>
            </w:tcBorders>
            <w:vAlign w:val="center"/>
          </w:tcPr>
          <w:p w14:paraId="799DF4C9" w14:textId="77777777" w:rsidR="00B33715" w:rsidRPr="009165DF" w:rsidRDefault="00F50E73" w:rsidP="00C1728B">
            <w:pPr>
              <w:numPr>
                <w:ilvl w:val="0"/>
                <w:numId w:val="69"/>
              </w:numPr>
              <w:rPr>
                <w:spacing w:val="8"/>
                <w:sz w:val="24"/>
                <w:szCs w:val="24"/>
              </w:rPr>
            </w:pPr>
            <w:r w:rsidRPr="008239F6">
              <w:rPr>
                <w:spacing w:val="8"/>
                <w:sz w:val="24"/>
                <w:szCs w:val="24"/>
              </w:rPr>
              <w:t>FINRA</w:t>
            </w:r>
            <w:r w:rsidR="00B33715" w:rsidRPr="008239F6">
              <w:rPr>
                <w:spacing w:val="8"/>
                <w:sz w:val="24"/>
                <w:szCs w:val="24"/>
              </w:rPr>
              <w:t xml:space="preserve"> Rule 12</w:t>
            </w:r>
            <w:r w:rsidRPr="008239F6">
              <w:rPr>
                <w:spacing w:val="8"/>
                <w:sz w:val="24"/>
                <w:szCs w:val="24"/>
              </w:rPr>
              <w:t>4</w:t>
            </w:r>
            <w:r w:rsidR="00B33715" w:rsidRPr="008239F6">
              <w:rPr>
                <w:spacing w:val="8"/>
                <w:sz w:val="24"/>
                <w:szCs w:val="24"/>
              </w:rPr>
              <w:t xml:space="preserve">0 </w:t>
            </w:r>
            <w:r w:rsidR="00B33715" w:rsidRPr="009165DF">
              <w:rPr>
                <w:spacing w:val="8"/>
                <w:sz w:val="24"/>
                <w:szCs w:val="24"/>
              </w:rPr>
              <w:t>– Continuing Education</w:t>
            </w:r>
          </w:p>
          <w:p w14:paraId="3BC4CD43" w14:textId="77777777" w:rsidR="004F3080" w:rsidRPr="009165DF" w:rsidRDefault="004F3080" w:rsidP="00C1728B">
            <w:pPr>
              <w:numPr>
                <w:ilvl w:val="0"/>
                <w:numId w:val="69"/>
              </w:numPr>
              <w:rPr>
                <w:spacing w:val="8"/>
                <w:sz w:val="24"/>
                <w:szCs w:val="24"/>
              </w:rPr>
            </w:pPr>
            <w:r w:rsidRPr="009165DF">
              <w:rPr>
                <w:spacing w:val="8"/>
                <w:sz w:val="24"/>
                <w:szCs w:val="24"/>
              </w:rPr>
              <w:t xml:space="preserve">FINRA Rule 2150 – </w:t>
            </w:r>
            <w:r w:rsidR="00AB4885" w:rsidRPr="009165DF">
              <w:rPr>
                <w:spacing w:val="8"/>
                <w:sz w:val="24"/>
                <w:szCs w:val="24"/>
              </w:rPr>
              <w:t>Guarantees</w:t>
            </w:r>
            <w:r w:rsidRPr="009165DF">
              <w:rPr>
                <w:spacing w:val="8"/>
                <w:sz w:val="24"/>
                <w:szCs w:val="24"/>
              </w:rPr>
              <w:t xml:space="preserve"> &amp; Sharing in Accounts</w:t>
            </w:r>
          </w:p>
          <w:p w14:paraId="08036221" w14:textId="77777777" w:rsidR="00452385" w:rsidRPr="009165DF" w:rsidRDefault="00452385" w:rsidP="00C1728B">
            <w:pPr>
              <w:numPr>
                <w:ilvl w:val="0"/>
                <w:numId w:val="69"/>
              </w:numPr>
              <w:rPr>
                <w:spacing w:val="8"/>
                <w:sz w:val="24"/>
                <w:szCs w:val="24"/>
              </w:rPr>
            </w:pPr>
            <w:r w:rsidRPr="009165DF">
              <w:rPr>
                <w:sz w:val="24"/>
                <w:szCs w:val="24"/>
              </w:rPr>
              <w:t>FINRA Rule 3010(a)(6) and 3010(e)] – Background investigations</w:t>
            </w:r>
          </w:p>
          <w:p w14:paraId="04D836DA" w14:textId="77777777" w:rsidR="00970BAF" w:rsidRPr="00790F31" w:rsidRDefault="00970BAF" w:rsidP="00C1728B">
            <w:pPr>
              <w:numPr>
                <w:ilvl w:val="0"/>
                <w:numId w:val="69"/>
              </w:numPr>
              <w:rPr>
                <w:spacing w:val="8"/>
                <w:sz w:val="24"/>
                <w:szCs w:val="24"/>
              </w:rPr>
            </w:pPr>
            <w:r w:rsidRPr="009165DF">
              <w:rPr>
                <w:sz w:val="24"/>
                <w:szCs w:val="24"/>
              </w:rPr>
              <w:t>FINRA Rule 3220 – Gifts &amp; Gratuities</w:t>
            </w:r>
          </w:p>
          <w:p w14:paraId="75BCF8C6" w14:textId="77777777" w:rsidR="00E1395B" w:rsidRPr="00790F31" w:rsidRDefault="00E1395B" w:rsidP="00C1728B">
            <w:pPr>
              <w:numPr>
                <w:ilvl w:val="0"/>
                <w:numId w:val="69"/>
              </w:numPr>
              <w:rPr>
                <w:spacing w:val="8"/>
                <w:sz w:val="24"/>
                <w:szCs w:val="24"/>
              </w:rPr>
            </w:pPr>
            <w:r w:rsidRPr="00790F31">
              <w:rPr>
                <w:sz w:val="24"/>
                <w:szCs w:val="24"/>
              </w:rPr>
              <w:t>FINRA Rules 3270 and 3280 (OBAs and PSTs)</w:t>
            </w:r>
          </w:p>
          <w:p w14:paraId="6DA0AAE1" w14:textId="77777777" w:rsidR="00CF0202" w:rsidRPr="009165DF" w:rsidRDefault="00CF0202" w:rsidP="00C1728B">
            <w:pPr>
              <w:numPr>
                <w:ilvl w:val="0"/>
                <w:numId w:val="69"/>
              </w:numPr>
              <w:rPr>
                <w:spacing w:val="8"/>
                <w:sz w:val="24"/>
                <w:szCs w:val="24"/>
              </w:rPr>
            </w:pPr>
            <w:r w:rsidRPr="009165DF">
              <w:rPr>
                <w:sz w:val="24"/>
                <w:szCs w:val="24"/>
              </w:rPr>
              <w:t>FINRA Rule 6140(e) - Rumors</w:t>
            </w:r>
          </w:p>
          <w:p w14:paraId="47C869C2" w14:textId="77777777" w:rsidR="00452385" w:rsidRDefault="00D00EEB" w:rsidP="00C1728B">
            <w:pPr>
              <w:numPr>
                <w:ilvl w:val="0"/>
                <w:numId w:val="69"/>
              </w:numPr>
              <w:rPr>
                <w:spacing w:val="8"/>
                <w:sz w:val="24"/>
                <w:szCs w:val="24"/>
              </w:rPr>
            </w:pPr>
            <w:r w:rsidRPr="009165DF">
              <w:rPr>
                <w:spacing w:val="8"/>
                <w:sz w:val="24"/>
                <w:szCs w:val="24"/>
              </w:rPr>
              <w:t>FINRA Rule</w:t>
            </w:r>
            <w:r w:rsidR="00AD2A17" w:rsidRPr="009165DF">
              <w:rPr>
                <w:spacing w:val="8"/>
                <w:sz w:val="24"/>
                <w:szCs w:val="24"/>
              </w:rPr>
              <w:t>s 1000 –Registration; 2000-Business Conduct; 3000</w:t>
            </w:r>
            <w:r w:rsidR="0023404E">
              <w:rPr>
                <w:spacing w:val="8"/>
                <w:sz w:val="24"/>
                <w:szCs w:val="24"/>
              </w:rPr>
              <w:t xml:space="preserve"> series - </w:t>
            </w:r>
            <w:r w:rsidR="00AD2A17" w:rsidRPr="009165DF">
              <w:rPr>
                <w:spacing w:val="8"/>
                <w:sz w:val="24"/>
                <w:szCs w:val="24"/>
              </w:rPr>
              <w:t>Supervision</w:t>
            </w:r>
            <w:r w:rsidRPr="009165DF">
              <w:rPr>
                <w:spacing w:val="8"/>
                <w:sz w:val="24"/>
                <w:szCs w:val="24"/>
              </w:rPr>
              <w:t xml:space="preserve"> </w:t>
            </w:r>
          </w:p>
          <w:p w14:paraId="6E8E003B" w14:textId="77777777" w:rsidR="003946F8" w:rsidRPr="009165DF" w:rsidRDefault="003946F8" w:rsidP="00C1728B">
            <w:pPr>
              <w:numPr>
                <w:ilvl w:val="0"/>
                <w:numId w:val="69"/>
              </w:numPr>
              <w:rPr>
                <w:spacing w:val="8"/>
                <w:sz w:val="24"/>
                <w:szCs w:val="24"/>
              </w:rPr>
            </w:pPr>
            <w:r w:rsidRPr="008239F6">
              <w:rPr>
                <w:spacing w:val="8"/>
                <w:sz w:val="24"/>
                <w:szCs w:val="24"/>
              </w:rPr>
              <w:t>FINRA R</w:t>
            </w:r>
            <w:r w:rsidR="000575E7" w:rsidRPr="008239F6">
              <w:rPr>
                <w:spacing w:val="8"/>
                <w:sz w:val="24"/>
                <w:szCs w:val="24"/>
              </w:rPr>
              <w:t>ule</w:t>
            </w:r>
            <w:r w:rsidRPr="008239F6">
              <w:rPr>
                <w:spacing w:val="8"/>
                <w:sz w:val="24"/>
                <w:szCs w:val="24"/>
              </w:rPr>
              <w:t xml:space="preserve"> 5270 – Front Running</w:t>
            </w:r>
          </w:p>
        </w:tc>
      </w:tr>
      <w:tr w:rsidR="00452385" w:rsidRPr="009165DF" w14:paraId="1B461B79" w14:textId="77777777">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tcPr>
          <w:p w14:paraId="4FE1A38D" w14:textId="77777777" w:rsidR="00452385" w:rsidRPr="009165DF" w:rsidRDefault="00452385" w:rsidP="00452385">
            <w:pPr>
              <w:jc w:val="center"/>
              <w:rPr>
                <w:b/>
                <w:bCs/>
                <w:spacing w:val="8"/>
                <w:sz w:val="24"/>
                <w:szCs w:val="24"/>
              </w:rPr>
            </w:pPr>
            <w:r w:rsidRPr="009165DF">
              <w:rPr>
                <w:b/>
                <w:bCs/>
                <w:spacing w:val="8"/>
                <w:sz w:val="24"/>
                <w:szCs w:val="24"/>
              </w:rPr>
              <w:t>Frequency</w:t>
            </w:r>
          </w:p>
        </w:tc>
        <w:tc>
          <w:tcPr>
            <w:tcW w:w="3991" w:type="pct"/>
            <w:tcBorders>
              <w:top w:val="outset" w:sz="6" w:space="0" w:color="auto"/>
              <w:left w:val="outset" w:sz="6" w:space="0" w:color="auto"/>
              <w:bottom w:val="outset" w:sz="6" w:space="0" w:color="auto"/>
              <w:right w:val="outset" w:sz="6" w:space="0" w:color="auto"/>
            </w:tcBorders>
            <w:vAlign w:val="center"/>
          </w:tcPr>
          <w:p w14:paraId="1E4C2BB2" w14:textId="77777777" w:rsidR="00D00EEB" w:rsidRPr="009165DF" w:rsidRDefault="00D00EEB" w:rsidP="00C1728B">
            <w:pPr>
              <w:numPr>
                <w:ilvl w:val="0"/>
                <w:numId w:val="69"/>
              </w:numPr>
              <w:rPr>
                <w:spacing w:val="8"/>
                <w:sz w:val="24"/>
                <w:szCs w:val="24"/>
              </w:rPr>
            </w:pPr>
            <w:r w:rsidRPr="009165DF">
              <w:rPr>
                <w:spacing w:val="8"/>
                <w:sz w:val="24"/>
                <w:szCs w:val="24"/>
              </w:rPr>
              <w:t>Annual Firm Element CE</w:t>
            </w:r>
          </w:p>
          <w:p w14:paraId="6B350C7A" w14:textId="77777777" w:rsidR="00452385" w:rsidRPr="009165DF" w:rsidRDefault="00452385" w:rsidP="00C1728B">
            <w:pPr>
              <w:numPr>
                <w:ilvl w:val="0"/>
                <w:numId w:val="69"/>
              </w:numPr>
              <w:rPr>
                <w:spacing w:val="8"/>
                <w:sz w:val="24"/>
                <w:szCs w:val="24"/>
              </w:rPr>
            </w:pPr>
            <w:r w:rsidRPr="009165DF">
              <w:rPr>
                <w:spacing w:val="8"/>
                <w:sz w:val="24"/>
                <w:szCs w:val="24"/>
              </w:rPr>
              <w:t>As required</w:t>
            </w:r>
            <w:r w:rsidR="00D00EEB" w:rsidRPr="009165DF">
              <w:rPr>
                <w:spacing w:val="8"/>
                <w:sz w:val="24"/>
                <w:szCs w:val="24"/>
              </w:rPr>
              <w:t xml:space="preserve"> for Regulatory Element, </w:t>
            </w:r>
          </w:p>
          <w:p w14:paraId="6D2C82BA" w14:textId="77777777" w:rsidR="006D6B57" w:rsidRPr="009165DF" w:rsidRDefault="006D6B57" w:rsidP="00C1728B">
            <w:pPr>
              <w:numPr>
                <w:ilvl w:val="0"/>
                <w:numId w:val="69"/>
              </w:numPr>
              <w:rPr>
                <w:spacing w:val="8"/>
                <w:sz w:val="24"/>
                <w:szCs w:val="24"/>
              </w:rPr>
            </w:pPr>
            <w:r w:rsidRPr="009165DF">
              <w:rPr>
                <w:spacing w:val="8"/>
                <w:sz w:val="24"/>
                <w:szCs w:val="24"/>
              </w:rPr>
              <w:t>Annual Regulatory Checklist</w:t>
            </w:r>
          </w:p>
          <w:p w14:paraId="5FA014AD" w14:textId="77777777" w:rsidR="006D6B57" w:rsidRPr="009165DF" w:rsidRDefault="006D6B57" w:rsidP="00C1728B">
            <w:pPr>
              <w:numPr>
                <w:ilvl w:val="0"/>
                <w:numId w:val="69"/>
              </w:numPr>
              <w:rPr>
                <w:spacing w:val="8"/>
                <w:sz w:val="24"/>
                <w:szCs w:val="24"/>
              </w:rPr>
            </w:pPr>
            <w:r w:rsidRPr="009165DF">
              <w:rPr>
                <w:spacing w:val="8"/>
                <w:sz w:val="24"/>
                <w:szCs w:val="24"/>
              </w:rPr>
              <w:t>Annual review of procedures</w:t>
            </w:r>
          </w:p>
        </w:tc>
      </w:tr>
      <w:tr w:rsidR="00452385" w:rsidRPr="009165DF" w14:paraId="7AA83A01" w14:textId="77777777">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tcPr>
          <w:p w14:paraId="6B98B6A3" w14:textId="77777777" w:rsidR="00452385" w:rsidRPr="009165DF" w:rsidRDefault="00452385" w:rsidP="00452385">
            <w:pPr>
              <w:jc w:val="center"/>
              <w:rPr>
                <w:b/>
                <w:bCs/>
                <w:spacing w:val="8"/>
                <w:sz w:val="24"/>
                <w:szCs w:val="24"/>
              </w:rPr>
            </w:pPr>
            <w:r w:rsidRPr="009165DF">
              <w:rPr>
                <w:b/>
                <w:bCs/>
                <w:spacing w:val="8"/>
                <w:sz w:val="24"/>
                <w:szCs w:val="24"/>
              </w:rPr>
              <w:t>Action</w:t>
            </w:r>
            <w:r w:rsidR="000C570A" w:rsidRPr="009165DF">
              <w:rPr>
                <w:b/>
                <w:bCs/>
                <w:spacing w:val="8"/>
                <w:sz w:val="24"/>
                <w:szCs w:val="24"/>
              </w:rPr>
              <w:t>s</w:t>
            </w:r>
          </w:p>
        </w:tc>
        <w:tc>
          <w:tcPr>
            <w:tcW w:w="3991" w:type="pct"/>
            <w:tcBorders>
              <w:top w:val="outset" w:sz="6" w:space="0" w:color="auto"/>
              <w:left w:val="outset" w:sz="6" w:space="0" w:color="auto"/>
              <w:bottom w:val="outset" w:sz="6" w:space="0" w:color="auto"/>
              <w:right w:val="outset" w:sz="6" w:space="0" w:color="auto"/>
            </w:tcBorders>
            <w:vAlign w:val="center"/>
          </w:tcPr>
          <w:p w14:paraId="5CA38892" w14:textId="77777777" w:rsidR="00D00EEB" w:rsidRPr="004C1590" w:rsidRDefault="00D00EEB" w:rsidP="00C1728B">
            <w:pPr>
              <w:pStyle w:val="ListParagraph"/>
              <w:numPr>
                <w:ilvl w:val="0"/>
                <w:numId w:val="70"/>
              </w:numPr>
              <w:rPr>
                <w:spacing w:val="8"/>
                <w:sz w:val="24"/>
                <w:szCs w:val="24"/>
              </w:rPr>
            </w:pPr>
            <w:r w:rsidRPr="00D874D2">
              <w:rPr>
                <w:spacing w:val="8"/>
                <w:sz w:val="24"/>
                <w:szCs w:val="24"/>
              </w:rPr>
              <w:t xml:space="preserve">Filings </w:t>
            </w:r>
            <w:r w:rsidR="007D1D51" w:rsidRPr="00D874D2">
              <w:rPr>
                <w:spacing w:val="8"/>
                <w:sz w:val="24"/>
                <w:szCs w:val="24"/>
              </w:rPr>
              <w:t xml:space="preserve">and amendments </w:t>
            </w:r>
            <w:r w:rsidRPr="00D874D2">
              <w:rPr>
                <w:spacing w:val="8"/>
                <w:sz w:val="24"/>
                <w:szCs w:val="24"/>
              </w:rPr>
              <w:t>in CRD</w:t>
            </w:r>
            <w:r w:rsidR="00D874D2" w:rsidRPr="00D874D2">
              <w:rPr>
                <w:spacing w:val="8"/>
                <w:sz w:val="24"/>
                <w:szCs w:val="24"/>
              </w:rPr>
              <w:t xml:space="preserve"> (</w:t>
            </w:r>
            <w:r w:rsidR="00D874D2" w:rsidRPr="004C1590">
              <w:rPr>
                <w:sz w:val="24"/>
                <w:szCs w:val="24"/>
              </w:rPr>
              <w:t>Review notification from FINRA regarding public records information missing or contrary to filed U4, and if applicable, file an amended Form U-4 within 30 days</w:t>
            </w:r>
            <w:r w:rsidR="004C1590">
              <w:rPr>
                <w:sz w:val="24"/>
                <w:szCs w:val="24"/>
              </w:rPr>
              <w:t>)</w:t>
            </w:r>
          </w:p>
          <w:p w14:paraId="08BB1E89" w14:textId="77777777" w:rsidR="009A2D64" w:rsidRPr="00D874D2" w:rsidRDefault="009A2D64" w:rsidP="00C1728B">
            <w:pPr>
              <w:pStyle w:val="ListParagraph"/>
              <w:numPr>
                <w:ilvl w:val="0"/>
                <w:numId w:val="70"/>
              </w:numPr>
              <w:rPr>
                <w:spacing w:val="8"/>
                <w:sz w:val="24"/>
                <w:szCs w:val="24"/>
              </w:rPr>
            </w:pPr>
            <w:r w:rsidRPr="00D874D2">
              <w:rPr>
                <w:spacing w:val="8"/>
                <w:sz w:val="24"/>
                <w:szCs w:val="24"/>
              </w:rPr>
              <w:t>Conduct compliance meetings and training</w:t>
            </w:r>
          </w:p>
          <w:p w14:paraId="0D8F2AEA" w14:textId="77777777" w:rsidR="009A2D64" w:rsidRPr="00424F51" w:rsidRDefault="009A2D64" w:rsidP="00C1728B">
            <w:pPr>
              <w:numPr>
                <w:ilvl w:val="0"/>
                <w:numId w:val="70"/>
              </w:numPr>
              <w:rPr>
                <w:spacing w:val="8"/>
                <w:sz w:val="24"/>
                <w:szCs w:val="24"/>
              </w:rPr>
            </w:pPr>
            <w:r w:rsidRPr="00424F51">
              <w:rPr>
                <w:spacing w:val="8"/>
                <w:sz w:val="24"/>
                <w:szCs w:val="24"/>
              </w:rPr>
              <w:t>Conduct Firm Element CE and ensure compliance with Regulatory Element</w:t>
            </w:r>
          </w:p>
          <w:p w14:paraId="486E0EE0" w14:textId="77777777" w:rsidR="009A2D64" w:rsidRPr="00424F51" w:rsidRDefault="009A2D64" w:rsidP="00C1728B">
            <w:pPr>
              <w:numPr>
                <w:ilvl w:val="0"/>
                <w:numId w:val="70"/>
              </w:numPr>
              <w:rPr>
                <w:spacing w:val="8"/>
                <w:sz w:val="24"/>
                <w:szCs w:val="24"/>
              </w:rPr>
            </w:pPr>
            <w:r w:rsidRPr="00424F51">
              <w:rPr>
                <w:spacing w:val="8"/>
                <w:sz w:val="24"/>
                <w:szCs w:val="24"/>
              </w:rPr>
              <w:t>Conduct branch office reviews</w:t>
            </w:r>
          </w:p>
          <w:p w14:paraId="413D863C" w14:textId="77777777" w:rsidR="00452385" w:rsidRPr="00424F51" w:rsidRDefault="00452385" w:rsidP="00C1728B">
            <w:pPr>
              <w:numPr>
                <w:ilvl w:val="0"/>
                <w:numId w:val="70"/>
              </w:numPr>
              <w:rPr>
                <w:spacing w:val="8"/>
                <w:sz w:val="24"/>
                <w:szCs w:val="24"/>
              </w:rPr>
            </w:pPr>
            <w:r w:rsidRPr="00424F51">
              <w:rPr>
                <w:spacing w:val="8"/>
                <w:sz w:val="24"/>
                <w:szCs w:val="24"/>
              </w:rPr>
              <w:t xml:space="preserve">Immediately notify Compliance of terminating registered employees </w:t>
            </w:r>
          </w:p>
          <w:p w14:paraId="705383FC" w14:textId="77777777" w:rsidR="00452385" w:rsidRPr="00424F51" w:rsidRDefault="00452385" w:rsidP="00C1728B">
            <w:pPr>
              <w:numPr>
                <w:ilvl w:val="0"/>
                <w:numId w:val="70"/>
              </w:numPr>
              <w:rPr>
                <w:spacing w:val="8"/>
                <w:sz w:val="24"/>
                <w:szCs w:val="24"/>
              </w:rPr>
            </w:pPr>
            <w:r w:rsidRPr="00424F51">
              <w:rPr>
                <w:spacing w:val="8"/>
                <w:sz w:val="24"/>
                <w:szCs w:val="24"/>
              </w:rPr>
              <w:t xml:space="preserve">Immediately notify Compliance of terminating non-registered employees where termination was caused by theft or fraud </w:t>
            </w:r>
          </w:p>
          <w:p w14:paraId="4EFB52BB" w14:textId="77777777" w:rsidR="00452385" w:rsidRPr="00424F51" w:rsidRDefault="00452385" w:rsidP="00C1728B">
            <w:pPr>
              <w:numPr>
                <w:ilvl w:val="0"/>
                <w:numId w:val="70"/>
              </w:numPr>
              <w:rPr>
                <w:spacing w:val="8"/>
                <w:sz w:val="24"/>
                <w:szCs w:val="24"/>
              </w:rPr>
            </w:pPr>
            <w:r w:rsidRPr="00424F51">
              <w:rPr>
                <w:spacing w:val="8"/>
                <w:sz w:val="24"/>
                <w:szCs w:val="24"/>
              </w:rPr>
              <w:t>Immediately notify Human Resources</w:t>
            </w:r>
            <w:r w:rsidR="00AB4885" w:rsidRPr="00424F51">
              <w:rPr>
                <w:spacing w:val="8"/>
                <w:sz w:val="24"/>
                <w:szCs w:val="24"/>
              </w:rPr>
              <w:t xml:space="preserve">, if applicable, </w:t>
            </w:r>
            <w:r w:rsidRPr="00424F51">
              <w:rPr>
                <w:spacing w:val="8"/>
                <w:sz w:val="24"/>
                <w:szCs w:val="24"/>
              </w:rPr>
              <w:t xml:space="preserve">of terminating registered and non-registered employees </w:t>
            </w:r>
          </w:p>
          <w:p w14:paraId="1AA1B743" w14:textId="77777777" w:rsidR="00452385" w:rsidRPr="00424F51" w:rsidRDefault="00452385" w:rsidP="00C1728B">
            <w:pPr>
              <w:numPr>
                <w:ilvl w:val="0"/>
                <w:numId w:val="70"/>
              </w:numPr>
              <w:rPr>
                <w:spacing w:val="8"/>
                <w:sz w:val="24"/>
                <w:szCs w:val="24"/>
              </w:rPr>
            </w:pPr>
            <w:r w:rsidRPr="00424F51">
              <w:rPr>
                <w:spacing w:val="8"/>
                <w:sz w:val="24"/>
                <w:szCs w:val="24"/>
              </w:rPr>
              <w:t xml:space="preserve">Secure computers and computer files </w:t>
            </w:r>
          </w:p>
          <w:p w14:paraId="49004B53" w14:textId="77777777" w:rsidR="00452385" w:rsidRPr="00424F51" w:rsidRDefault="00452385" w:rsidP="00C1728B">
            <w:pPr>
              <w:numPr>
                <w:ilvl w:val="0"/>
                <w:numId w:val="70"/>
              </w:numPr>
              <w:rPr>
                <w:spacing w:val="8"/>
                <w:sz w:val="24"/>
                <w:szCs w:val="24"/>
              </w:rPr>
            </w:pPr>
            <w:r w:rsidRPr="00424F51">
              <w:rPr>
                <w:spacing w:val="8"/>
                <w:sz w:val="24"/>
                <w:szCs w:val="24"/>
              </w:rPr>
              <w:t xml:space="preserve">Retrieve office keys, company credit cards, </w:t>
            </w:r>
            <w:r w:rsidRPr="00424F51">
              <w:rPr>
                <w:i/>
                <w:iCs/>
                <w:spacing w:val="8"/>
                <w:sz w:val="24"/>
                <w:szCs w:val="24"/>
              </w:rPr>
              <w:t>etc.</w:t>
            </w:r>
            <w:r w:rsidRPr="00424F51">
              <w:rPr>
                <w:spacing w:val="8"/>
                <w:sz w:val="24"/>
                <w:szCs w:val="24"/>
              </w:rPr>
              <w:t xml:space="preserve"> from terminated employee </w:t>
            </w:r>
          </w:p>
          <w:p w14:paraId="2B567BA8" w14:textId="77777777" w:rsidR="00452385" w:rsidRPr="00424F51" w:rsidRDefault="00452385" w:rsidP="00C1728B">
            <w:pPr>
              <w:numPr>
                <w:ilvl w:val="0"/>
                <w:numId w:val="70"/>
              </w:numPr>
              <w:rPr>
                <w:spacing w:val="8"/>
                <w:sz w:val="24"/>
                <w:szCs w:val="24"/>
              </w:rPr>
            </w:pPr>
            <w:r w:rsidRPr="00424F51">
              <w:rPr>
                <w:spacing w:val="8"/>
                <w:sz w:val="24"/>
                <w:szCs w:val="24"/>
              </w:rPr>
              <w:t xml:space="preserve">Reassign accounts </w:t>
            </w:r>
          </w:p>
          <w:p w14:paraId="2FD2A0F7" w14:textId="7E96E9FA" w:rsidR="00452385" w:rsidRPr="00424F51" w:rsidRDefault="00452385" w:rsidP="00C1728B">
            <w:pPr>
              <w:numPr>
                <w:ilvl w:val="0"/>
                <w:numId w:val="70"/>
              </w:numPr>
              <w:rPr>
                <w:spacing w:val="8"/>
                <w:sz w:val="24"/>
                <w:szCs w:val="24"/>
              </w:rPr>
            </w:pPr>
            <w:r w:rsidRPr="00424F51">
              <w:rPr>
                <w:spacing w:val="8"/>
                <w:sz w:val="24"/>
                <w:szCs w:val="24"/>
              </w:rPr>
              <w:t xml:space="preserve">Notify customers of </w:t>
            </w:r>
            <w:r w:rsidR="00920EA9" w:rsidRPr="00424F51">
              <w:rPr>
                <w:spacing w:val="8"/>
                <w:sz w:val="24"/>
                <w:szCs w:val="24"/>
              </w:rPr>
              <w:t>newly assigned</w:t>
            </w:r>
            <w:r w:rsidRPr="00424F51">
              <w:rPr>
                <w:spacing w:val="8"/>
                <w:sz w:val="24"/>
                <w:szCs w:val="24"/>
              </w:rPr>
              <w:t xml:space="preserve"> RR</w:t>
            </w:r>
            <w:r w:rsidR="00524D87" w:rsidRPr="00424F51">
              <w:rPr>
                <w:spacing w:val="8"/>
                <w:sz w:val="24"/>
                <w:szCs w:val="24"/>
              </w:rPr>
              <w:t>, if applicable</w:t>
            </w:r>
            <w:r w:rsidRPr="00424F51">
              <w:rPr>
                <w:spacing w:val="8"/>
                <w:sz w:val="24"/>
                <w:szCs w:val="24"/>
              </w:rPr>
              <w:t xml:space="preserve"> </w:t>
            </w:r>
          </w:p>
          <w:p w14:paraId="3E7601C4" w14:textId="77777777" w:rsidR="00452385" w:rsidRPr="00424F51" w:rsidRDefault="00452385" w:rsidP="00C1728B">
            <w:pPr>
              <w:numPr>
                <w:ilvl w:val="0"/>
                <w:numId w:val="70"/>
              </w:numPr>
              <w:rPr>
                <w:spacing w:val="8"/>
                <w:sz w:val="24"/>
                <w:szCs w:val="24"/>
              </w:rPr>
            </w:pPr>
            <w:r w:rsidRPr="00424F51">
              <w:rPr>
                <w:spacing w:val="8"/>
                <w:sz w:val="24"/>
                <w:szCs w:val="24"/>
              </w:rPr>
              <w:t xml:space="preserve">Compliance file Form U5 for terminating RRs </w:t>
            </w:r>
          </w:p>
          <w:p w14:paraId="502E9478" w14:textId="2A6C92B2" w:rsidR="00452385" w:rsidRPr="00424F51" w:rsidRDefault="00452385" w:rsidP="00C1728B">
            <w:pPr>
              <w:numPr>
                <w:ilvl w:val="0"/>
                <w:numId w:val="70"/>
              </w:numPr>
              <w:rPr>
                <w:spacing w:val="8"/>
                <w:sz w:val="24"/>
                <w:szCs w:val="24"/>
              </w:rPr>
            </w:pPr>
            <w:r w:rsidRPr="00424F51">
              <w:rPr>
                <w:spacing w:val="8"/>
                <w:sz w:val="24"/>
                <w:szCs w:val="24"/>
              </w:rPr>
              <w:t xml:space="preserve">Compliance </w:t>
            </w:r>
            <w:r w:rsidR="00920EA9" w:rsidRPr="00424F51">
              <w:rPr>
                <w:spacing w:val="8"/>
                <w:sz w:val="24"/>
                <w:szCs w:val="24"/>
              </w:rPr>
              <w:t>provides</w:t>
            </w:r>
            <w:r w:rsidRPr="00424F51">
              <w:rPr>
                <w:spacing w:val="8"/>
                <w:sz w:val="24"/>
                <w:szCs w:val="24"/>
              </w:rPr>
              <w:t xml:space="preserve"> the terminated RR with a copy of the RR's Form U5 within 30 days of termination</w:t>
            </w:r>
          </w:p>
          <w:p w14:paraId="26029863" w14:textId="77777777" w:rsidR="008C24B1" w:rsidRPr="00424F51" w:rsidRDefault="008C24B1" w:rsidP="00C1728B">
            <w:pPr>
              <w:numPr>
                <w:ilvl w:val="0"/>
                <w:numId w:val="70"/>
              </w:numPr>
              <w:rPr>
                <w:spacing w:val="8"/>
                <w:sz w:val="24"/>
                <w:szCs w:val="24"/>
              </w:rPr>
            </w:pPr>
            <w:r w:rsidRPr="00424F51">
              <w:rPr>
                <w:spacing w:val="8"/>
                <w:sz w:val="24"/>
                <w:szCs w:val="24"/>
              </w:rPr>
              <w:t>Determine if any information is reportable</w:t>
            </w:r>
          </w:p>
          <w:p w14:paraId="4C9CCACE" w14:textId="77777777" w:rsidR="00CC6C5E" w:rsidRPr="00424F51" w:rsidRDefault="008C24B1" w:rsidP="00C1728B">
            <w:pPr>
              <w:numPr>
                <w:ilvl w:val="0"/>
                <w:numId w:val="70"/>
              </w:numPr>
              <w:rPr>
                <w:sz w:val="24"/>
                <w:szCs w:val="24"/>
              </w:rPr>
            </w:pPr>
            <w:r w:rsidRPr="00424F51">
              <w:rPr>
                <w:spacing w:val="8"/>
                <w:sz w:val="24"/>
                <w:szCs w:val="24"/>
              </w:rPr>
              <w:t>File any information with FINRA or other applicable regulatory body</w:t>
            </w:r>
            <w:r w:rsidR="00CC6C5E" w:rsidRPr="00424F51">
              <w:rPr>
                <w:spacing w:val="8"/>
                <w:sz w:val="24"/>
                <w:szCs w:val="24"/>
              </w:rPr>
              <w:t xml:space="preserve"> </w:t>
            </w:r>
          </w:p>
          <w:p w14:paraId="361D2D8F" w14:textId="77777777" w:rsidR="00C25B0E" w:rsidRPr="00604A2C" w:rsidRDefault="001623B6" w:rsidP="00C1728B">
            <w:pPr>
              <w:numPr>
                <w:ilvl w:val="0"/>
                <w:numId w:val="70"/>
              </w:numPr>
              <w:rPr>
                <w:sz w:val="24"/>
                <w:szCs w:val="24"/>
              </w:rPr>
            </w:pPr>
            <w:r>
              <w:rPr>
                <w:spacing w:val="8"/>
                <w:sz w:val="24"/>
                <w:szCs w:val="24"/>
              </w:rPr>
              <w:t>Review transactions</w:t>
            </w:r>
            <w:r w:rsidRPr="00604A2C">
              <w:rPr>
                <w:spacing w:val="8"/>
                <w:sz w:val="24"/>
                <w:szCs w:val="24"/>
              </w:rPr>
              <w:t>, including those that potentially involve insider trading or other rule/law violations (and conduct investigation if discovered)</w:t>
            </w:r>
          </w:p>
          <w:p w14:paraId="18698FEF" w14:textId="77777777" w:rsidR="00C25B0E" w:rsidRPr="00424F51" w:rsidRDefault="00C25B0E" w:rsidP="00C1728B">
            <w:pPr>
              <w:numPr>
                <w:ilvl w:val="0"/>
                <w:numId w:val="70"/>
              </w:numPr>
              <w:rPr>
                <w:sz w:val="24"/>
                <w:szCs w:val="24"/>
              </w:rPr>
            </w:pPr>
            <w:r w:rsidRPr="00424F51">
              <w:rPr>
                <w:spacing w:val="8"/>
                <w:sz w:val="24"/>
                <w:szCs w:val="24"/>
              </w:rPr>
              <w:t xml:space="preserve">Review retail communications </w:t>
            </w:r>
          </w:p>
          <w:p w14:paraId="24C37428" w14:textId="77777777" w:rsidR="00C25B0E" w:rsidRPr="00424F51" w:rsidRDefault="00C25B0E" w:rsidP="00C1728B">
            <w:pPr>
              <w:numPr>
                <w:ilvl w:val="0"/>
                <w:numId w:val="70"/>
              </w:numPr>
              <w:rPr>
                <w:sz w:val="24"/>
                <w:szCs w:val="24"/>
              </w:rPr>
            </w:pPr>
            <w:r w:rsidRPr="00424F51">
              <w:rPr>
                <w:spacing w:val="8"/>
                <w:sz w:val="24"/>
                <w:szCs w:val="24"/>
              </w:rPr>
              <w:t>Review Associated Person Company Notice forms</w:t>
            </w:r>
          </w:p>
          <w:p w14:paraId="794BDC13" w14:textId="77777777" w:rsidR="00CC6C5E" w:rsidRPr="00424F51" w:rsidRDefault="00CC6C5E" w:rsidP="00C1728B">
            <w:pPr>
              <w:numPr>
                <w:ilvl w:val="0"/>
                <w:numId w:val="70"/>
              </w:numPr>
              <w:rPr>
                <w:sz w:val="24"/>
                <w:szCs w:val="24"/>
              </w:rPr>
            </w:pPr>
            <w:r w:rsidRPr="00424F51">
              <w:rPr>
                <w:spacing w:val="8"/>
                <w:sz w:val="24"/>
                <w:szCs w:val="24"/>
              </w:rPr>
              <w:t xml:space="preserve">Take corrective action </w:t>
            </w:r>
            <w:r w:rsidRPr="00424F51">
              <w:rPr>
                <w:sz w:val="24"/>
                <w:szCs w:val="24"/>
              </w:rPr>
              <w:t xml:space="preserve">which may include: </w:t>
            </w:r>
          </w:p>
          <w:p w14:paraId="6E46B1EC" w14:textId="77777777" w:rsidR="00CC6C5E" w:rsidRPr="00424F51" w:rsidRDefault="00CC6C5E" w:rsidP="003E7B18">
            <w:pPr>
              <w:numPr>
                <w:ilvl w:val="2"/>
                <w:numId w:val="215"/>
              </w:numPr>
              <w:rPr>
                <w:sz w:val="24"/>
                <w:szCs w:val="24"/>
              </w:rPr>
            </w:pPr>
            <w:r w:rsidRPr="00424F51">
              <w:rPr>
                <w:sz w:val="24"/>
                <w:szCs w:val="24"/>
              </w:rPr>
              <w:lastRenderedPageBreak/>
              <w:t xml:space="preserve">Disciplinary action against the RR (letter of reprimand; fine, suspension; termination) </w:t>
            </w:r>
          </w:p>
          <w:p w14:paraId="29248FAA" w14:textId="77777777" w:rsidR="00CC6C5E" w:rsidRPr="00424F51" w:rsidRDefault="00CC6C5E" w:rsidP="003E7B18">
            <w:pPr>
              <w:numPr>
                <w:ilvl w:val="2"/>
                <w:numId w:val="215"/>
              </w:numPr>
              <w:rPr>
                <w:spacing w:val="8"/>
                <w:sz w:val="24"/>
                <w:szCs w:val="24"/>
              </w:rPr>
            </w:pPr>
            <w:r w:rsidRPr="00424F51">
              <w:rPr>
                <w:sz w:val="24"/>
                <w:szCs w:val="24"/>
              </w:rPr>
              <w:t>Notification to private securities investors that Company is not associated with the investment</w:t>
            </w:r>
          </w:p>
        </w:tc>
      </w:tr>
      <w:tr w:rsidR="00452385" w:rsidRPr="009165DF" w14:paraId="278DBD07" w14:textId="77777777">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tcPr>
          <w:p w14:paraId="22C642FC" w14:textId="77777777" w:rsidR="00452385" w:rsidRPr="009165DF" w:rsidRDefault="00452385" w:rsidP="000C570A">
            <w:pPr>
              <w:jc w:val="center"/>
              <w:rPr>
                <w:b/>
                <w:bCs/>
                <w:spacing w:val="8"/>
                <w:sz w:val="24"/>
                <w:szCs w:val="24"/>
              </w:rPr>
            </w:pPr>
            <w:r w:rsidRPr="009165DF">
              <w:rPr>
                <w:b/>
                <w:bCs/>
                <w:spacing w:val="8"/>
                <w:sz w:val="24"/>
                <w:szCs w:val="24"/>
              </w:rPr>
              <w:lastRenderedPageBreak/>
              <w:t>Recor</w:t>
            </w:r>
            <w:r w:rsidR="000C570A" w:rsidRPr="009165DF">
              <w:rPr>
                <w:b/>
                <w:bCs/>
                <w:spacing w:val="8"/>
                <w:sz w:val="24"/>
                <w:szCs w:val="24"/>
              </w:rPr>
              <w:t>ds</w:t>
            </w:r>
          </w:p>
        </w:tc>
        <w:tc>
          <w:tcPr>
            <w:tcW w:w="3991" w:type="pct"/>
            <w:tcBorders>
              <w:top w:val="outset" w:sz="6" w:space="0" w:color="auto"/>
              <w:left w:val="outset" w:sz="6" w:space="0" w:color="auto"/>
              <w:bottom w:val="outset" w:sz="6" w:space="0" w:color="auto"/>
              <w:right w:val="outset" w:sz="6" w:space="0" w:color="auto"/>
            </w:tcBorders>
            <w:vAlign w:val="center"/>
          </w:tcPr>
          <w:p w14:paraId="2B047286" w14:textId="77777777" w:rsidR="00452385" w:rsidRPr="00424F51" w:rsidRDefault="00452385" w:rsidP="00C1728B">
            <w:pPr>
              <w:numPr>
                <w:ilvl w:val="0"/>
                <w:numId w:val="71"/>
              </w:numPr>
              <w:rPr>
                <w:spacing w:val="8"/>
                <w:sz w:val="24"/>
                <w:szCs w:val="24"/>
              </w:rPr>
            </w:pPr>
            <w:r w:rsidRPr="00424F51">
              <w:rPr>
                <w:spacing w:val="8"/>
                <w:sz w:val="24"/>
                <w:szCs w:val="24"/>
              </w:rPr>
              <w:t xml:space="preserve">The CRD </w:t>
            </w:r>
            <w:r w:rsidR="00D00EEB" w:rsidRPr="00424F51">
              <w:rPr>
                <w:spacing w:val="8"/>
                <w:sz w:val="24"/>
                <w:szCs w:val="24"/>
              </w:rPr>
              <w:t>electronic files</w:t>
            </w:r>
            <w:r w:rsidR="008C24B1" w:rsidRPr="00424F51">
              <w:rPr>
                <w:spacing w:val="8"/>
                <w:sz w:val="24"/>
                <w:szCs w:val="24"/>
              </w:rPr>
              <w:t xml:space="preserve"> or other required filings</w:t>
            </w:r>
          </w:p>
          <w:p w14:paraId="64AA4243" w14:textId="77777777" w:rsidR="00D00EEB" w:rsidRPr="00424F51" w:rsidRDefault="00D00EEB" w:rsidP="00C1728B">
            <w:pPr>
              <w:numPr>
                <w:ilvl w:val="0"/>
                <w:numId w:val="71"/>
              </w:numPr>
              <w:rPr>
                <w:spacing w:val="8"/>
                <w:sz w:val="24"/>
                <w:szCs w:val="24"/>
              </w:rPr>
            </w:pPr>
            <w:r w:rsidRPr="00424F51">
              <w:rPr>
                <w:spacing w:val="8"/>
                <w:sz w:val="24"/>
                <w:szCs w:val="24"/>
              </w:rPr>
              <w:t xml:space="preserve">Company personnel </w:t>
            </w:r>
            <w:r w:rsidR="00925C87" w:rsidRPr="00424F51">
              <w:rPr>
                <w:spacing w:val="8"/>
                <w:sz w:val="24"/>
                <w:szCs w:val="24"/>
              </w:rPr>
              <w:t xml:space="preserve">and/or RR </w:t>
            </w:r>
            <w:r w:rsidRPr="00424F51">
              <w:rPr>
                <w:spacing w:val="8"/>
                <w:sz w:val="24"/>
                <w:szCs w:val="24"/>
              </w:rPr>
              <w:t>files and records</w:t>
            </w:r>
          </w:p>
          <w:p w14:paraId="72BCFE65" w14:textId="77777777" w:rsidR="009A2D64" w:rsidRPr="00424F51" w:rsidRDefault="009A2D64" w:rsidP="00C1728B">
            <w:pPr>
              <w:numPr>
                <w:ilvl w:val="0"/>
                <w:numId w:val="71"/>
              </w:numPr>
              <w:rPr>
                <w:spacing w:val="8"/>
                <w:sz w:val="24"/>
                <w:szCs w:val="24"/>
              </w:rPr>
            </w:pPr>
            <w:r w:rsidRPr="00424F51">
              <w:rPr>
                <w:spacing w:val="8"/>
                <w:sz w:val="24"/>
                <w:szCs w:val="24"/>
              </w:rPr>
              <w:t>Compliance meeting records</w:t>
            </w:r>
          </w:p>
          <w:p w14:paraId="577864C6" w14:textId="77777777" w:rsidR="00D00EEB" w:rsidRPr="00424F51" w:rsidRDefault="00D00EEB" w:rsidP="00C1728B">
            <w:pPr>
              <w:numPr>
                <w:ilvl w:val="0"/>
                <w:numId w:val="71"/>
              </w:numPr>
              <w:rPr>
                <w:spacing w:val="8"/>
                <w:sz w:val="24"/>
                <w:szCs w:val="24"/>
              </w:rPr>
            </w:pPr>
            <w:r w:rsidRPr="00424F51">
              <w:rPr>
                <w:spacing w:val="8"/>
                <w:sz w:val="24"/>
                <w:szCs w:val="24"/>
              </w:rPr>
              <w:t>Continuing Education records</w:t>
            </w:r>
          </w:p>
          <w:p w14:paraId="40BED1FA" w14:textId="77777777" w:rsidR="00C25B0E" w:rsidRPr="00424F51" w:rsidRDefault="00C25B0E" w:rsidP="00C1728B">
            <w:pPr>
              <w:numPr>
                <w:ilvl w:val="0"/>
                <w:numId w:val="71"/>
              </w:numPr>
              <w:rPr>
                <w:spacing w:val="8"/>
                <w:sz w:val="24"/>
                <w:szCs w:val="24"/>
              </w:rPr>
            </w:pPr>
            <w:r w:rsidRPr="00424F51">
              <w:rPr>
                <w:spacing w:val="8"/>
                <w:sz w:val="24"/>
                <w:szCs w:val="24"/>
              </w:rPr>
              <w:t>Retail communications</w:t>
            </w:r>
          </w:p>
          <w:p w14:paraId="738A39AF" w14:textId="77777777" w:rsidR="00C25B0E" w:rsidRPr="00424F51" w:rsidRDefault="00C25B0E" w:rsidP="00C1728B">
            <w:pPr>
              <w:numPr>
                <w:ilvl w:val="0"/>
                <w:numId w:val="71"/>
              </w:numPr>
              <w:rPr>
                <w:spacing w:val="8"/>
                <w:sz w:val="24"/>
                <w:szCs w:val="24"/>
              </w:rPr>
            </w:pPr>
            <w:r w:rsidRPr="00424F51">
              <w:rPr>
                <w:spacing w:val="8"/>
                <w:sz w:val="24"/>
                <w:szCs w:val="24"/>
              </w:rPr>
              <w:t>Transaction records</w:t>
            </w:r>
          </w:p>
          <w:p w14:paraId="18D3F4EC" w14:textId="06B59742" w:rsidR="00C25B0E" w:rsidRPr="00424F51" w:rsidRDefault="00C25B0E" w:rsidP="00C1728B">
            <w:pPr>
              <w:numPr>
                <w:ilvl w:val="0"/>
                <w:numId w:val="71"/>
              </w:numPr>
              <w:rPr>
                <w:spacing w:val="8"/>
                <w:sz w:val="24"/>
                <w:szCs w:val="24"/>
              </w:rPr>
            </w:pPr>
            <w:r w:rsidRPr="00424F51">
              <w:rPr>
                <w:spacing w:val="8"/>
                <w:sz w:val="24"/>
                <w:szCs w:val="24"/>
              </w:rPr>
              <w:t xml:space="preserve">Company </w:t>
            </w:r>
            <w:r w:rsidR="000E4F72">
              <w:rPr>
                <w:spacing w:val="8"/>
                <w:sz w:val="24"/>
                <w:szCs w:val="24"/>
              </w:rPr>
              <w:t>N</w:t>
            </w:r>
            <w:r w:rsidRPr="00424F51">
              <w:rPr>
                <w:spacing w:val="8"/>
                <w:sz w:val="24"/>
                <w:szCs w:val="24"/>
              </w:rPr>
              <w:t>otice forms</w:t>
            </w:r>
          </w:p>
          <w:p w14:paraId="1667CF70" w14:textId="77777777" w:rsidR="006D6B57" w:rsidRPr="00424F51" w:rsidRDefault="006D6B57" w:rsidP="00C1728B">
            <w:pPr>
              <w:numPr>
                <w:ilvl w:val="0"/>
                <w:numId w:val="71"/>
              </w:numPr>
              <w:rPr>
                <w:spacing w:val="8"/>
                <w:sz w:val="24"/>
                <w:szCs w:val="24"/>
              </w:rPr>
            </w:pPr>
            <w:r w:rsidRPr="00424F51">
              <w:rPr>
                <w:spacing w:val="8"/>
                <w:sz w:val="24"/>
                <w:szCs w:val="24"/>
              </w:rPr>
              <w:t>Internal reviews</w:t>
            </w:r>
            <w:r w:rsidR="0032237E">
              <w:rPr>
                <w:spacing w:val="8"/>
                <w:sz w:val="24"/>
                <w:szCs w:val="24"/>
              </w:rPr>
              <w:t xml:space="preserve"> </w:t>
            </w:r>
            <w:r w:rsidR="0032237E" w:rsidRPr="00604A2C">
              <w:rPr>
                <w:spacing w:val="8"/>
                <w:sz w:val="24"/>
                <w:szCs w:val="24"/>
              </w:rPr>
              <w:t>and investigations</w:t>
            </w:r>
          </w:p>
        </w:tc>
      </w:tr>
    </w:tbl>
    <w:p w14:paraId="03997802" w14:textId="77777777" w:rsidR="00452385" w:rsidRPr="00452385" w:rsidRDefault="00452385" w:rsidP="00186675">
      <w:pPr>
        <w:jc w:val="both"/>
        <w:rPr>
          <w:b/>
          <w:color w:val="FF0000"/>
          <w:sz w:val="24"/>
        </w:rPr>
      </w:pPr>
    </w:p>
    <w:p w14:paraId="319D9CA0" w14:textId="77777777" w:rsidR="00452385" w:rsidRDefault="00452385" w:rsidP="00186675">
      <w:pPr>
        <w:jc w:val="both"/>
        <w:rPr>
          <w:b/>
          <w:sz w:val="24"/>
        </w:rPr>
      </w:pPr>
    </w:p>
    <w:p w14:paraId="068E6CF0" w14:textId="77777777" w:rsidR="00186675" w:rsidRPr="000C570A" w:rsidRDefault="00CF784A" w:rsidP="00936FEE">
      <w:pPr>
        <w:pStyle w:val="Heading2"/>
      </w:pPr>
      <w:bookmarkStart w:id="43" w:name="CertificationOfNewEmp"/>
      <w:bookmarkEnd w:id="43"/>
      <w:r w:rsidRPr="000C570A">
        <w:t>4.3 Certification</w:t>
      </w:r>
      <w:r w:rsidR="00186675" w:rsidRPr="000C570A">
        <w:t xml:space="preserve"> of New Employees</w:t>
      </w:r>
      <w:r w:rsidR="00506BF9">
        <w:t>/Filings</w:t>
      </w:r>
    </w:p>
    <w:p w14:paraId="20F5D941" w14:textId="77777777" w:rsidR="00DB0035" w:rsidRPr="00A85AC1" w:rsidRDefault="00186675" w:rsidP="00DB0035">
      <w:pPr>
        <w:pStyle w:val="Normal13"/>
        <w:spacing w:before="0" w:beforeAutospacing="0" w:after="0" w:afterAutospacing="0"/>
      </w:pPr>
      <w:r>
        <w:t>Prior to employment, an investigation of all potential employees’ good character, business repute, qualifications, any statutory disqualifications, and experience will be checked by Morris Monroe, or his designee</w:t>
      </w:r>
      <w:r w:rsidR="00DB0035">
        <w:t xml:space="preserve">.  </w:t>
      </w:r>
      <w:r w:rsidR="00DB0035" w:rsidRPr="00A85AC1">
        <w:t xml:space="preserve">New employees must be accurate and complete in the information provided to Company at time of hire. Failure to do so may result in termination.  </w:t>
      </w:r>
    </w:p>
    <w:p w14:paraId="129C5095" w14:textId="77777777" w:rsidR="00DB0035" w:rsidRPr="00A85AC1" w:rsidRDefault="00DB0035" w:rsidP="00DB0035">
      <w:pPr>
        <w:pStyle w:val="Normal13"/>
        <w:spacing w:before="0" w:beforeAutospacing="0" w:after="0" w:afterAutospacing="0"/>
      </w:pPr>
    </w:p>
    <w:p w14:paraId="11CC1FED" w14:textId="77777777" w:rsidR="00DB0035" w:rsidRPr="00A85AC1" w:rsidRDefault="00DB0035" w:rsidP="00DB0035">
      <w:pPr>
        <w:pStyle w:val="Normal13"/>
        <w:spacing w:before="0" w:beforeAutospacing="0" w:after="0" w:afterAutospacing="0"/>
      </w:pPr>
      <w:r w:rsidRPr="00A85AC1">
        <w:t xml:space="preserve">Records </w:t>
      </w:r>
      <w:r w:rsidR="00323F94" w:rsidRPr="00A85AC1">
        <w:t xml:space="preserve">and </w:t>
      </w:r>
      <w:r w:rsidR="00B26F0E" w:rsidRPr="00A85AC1">
        <w:t>reviews</w:t>
      </w:r>
      <w:r w:rsidR="00323F94" w:rsidRPr="00A85AC1">
        <w:t xml:space="preserve"> </w:t>
      </w:r>
      <w:r w:rsidR="00E7677C" w:rsidRPr="00AD760F">
        <w:t xml:space="preserve">within 30 days of hire </w:t>
      </w:r>
      <w:r w:rsidR="00323F94" w:rsidRPr="00A85AC1">
        <w:t>will include</w:t>
      </w:r>
      <w:r w:rsidRPr="00A85AC1">
        <w:t>:</w:t>
      </w:r>
    </w:p>
    <w:p w14:paraId="5EF178A0" w14:textId="77777777" w:rsidR="00323F94" w:rsidRPr="00A85AC1" w:rsidRDefault="00323F94" w:rsidP="00DB0035">
      <w:pPr>
        <w:pStyle w:val="Normal13"/>
        <w:spacing w:before="0" w:beforeAutospacing="0" w:after="0" w:afterAutospacing="0"/>
        <w:rPr>
          <w:sz w:val="16"/>
          <w:szCs w:val="16"/>
        </w:rPr>
      </w:pPr>
    </w:p>
    <w:p w14:paraId="48729022" w14:textId="1EA5B306" w:rsidR="00DB0035" w:rsidRPr="0005706B" w:rsidRDefault="00DB0035" w:rsidP="0005706B">
      <w:pPr>
        <w:pStyle w:val="ListParagraph"/>
        <w:numPr>
          <w:ilvl w:val="3"/>
          <w:numId w:val="215"/>
        </w:numPr>
        <w:tabs>
          <w:tab w:val="left" w:pos="540"/>
        </w:tabs>
        <w:ind w:hanging="2610"/>
        <w:jc w:val="both"/>
        <w:rPr>
          <w:sz w:val="24"/>
        </w:rPr>
      </w:pPr>
      <w:r w:rsidRPr="00A85AC1">
        <w:rPr>
          <w:sz w:val="24"/>
        </w:rPr>
        <w:t>Driver’s License or Passport to verify identity</w:t>
      </w:r>
    </w:p>
    <w:p w14:paraId="6E105346" w14:textId="55D1BD6D" w:rsidR="00DB0035" w:rsidRDefault="00186675" w:rsidP="003E7B18">
      <w:pPr>
        <w:pStyle w:val="ListParagraph"/>
        <w:numPr>
          <w:ilvl w:val="3"/>
          <w:numId w:val="215"/>
        </w:numPr>
        <w:tabs>
          <w:tab w:val="left" w:pos="540"/>
        </w:tabs>
        <w:ind w:left="540" w:hanging="270"/>
        <w:jc w:val="both"/>
        <w:rPr>
          <w:sz w:val="24"/>
        </w:rPr>
      </w:pPr>
      <w:r w:rsidRPr="00DB0035">
        <w:rPr>
          <w:sz w:val="24"/>
        </w:rPr>
        <w:t>Letter to previous employer</w:t>
      </w:r>
      <w:r w:rsidR="0005706B">
        <w:rPr>
          <w:sz w:val="24"/>
        </w:rPr>
        <w:t xml:space="preserve"> and/or telephone </w:t>
      </w:r>
      <w:r w:rsidR="0005706B" w:rsidRPr="00DB0035">
        <w:rPr>
          <w:sz w:val="24"/>
        </w:rPr>
        <w:t>call to previous employer</w:t>
      </w:r>
      <w:r w:rsidR="0005706B">
        <w:rPr>
          <w:sz w:val="24"/>
        </w:rPr>
        <w:t>;</w:t>
      </w:r>
    </w:p>
    <w:p w14:paraId="035785FE" w14:textId="77777777" w:rsidR="00DB0035" w:rsidRDefault="00186675" w:rsidP="003E7B18">
      <w:pPr>
        <w:pStyle w:val="ListParagraph"/>
        <w:numPr>
          <w:ilvl w:val="3"/>
          <w:numId w:val="215"/>
        </w:numPr>
        <w:tabs>
          <w:tab w:val="left" w:pos="540"/>
        </w:tabs>
        <w:ind w:left="540" w:hanging="270"/>
        <w:jc w:val="both"/>
        <w:rPr>
          <w:sz w:val="24"/>
        </w:rPr>
      </w:pPr>
      <w:r w:rsidRPr="00DB0035">
        <w:rPr>
          <w:sz w:val="24"/>
        </w:rPr>
        <w:t xml:space="preserve">Personal contact with previous employer; </w:t>
      </w:r>
      <w:r w:rsidR="00DB0035" w:rsidRPr="00DB0035">
        <w:rPr>
          <w:sz w:val="24"/>
        </w:rPr>
        <w:t xml:space="preserve">  </w:t>
      </w:r>
    </w:p>
    <w:p w14:paraId="4FBC0191" w14:textId="77777777" w:rsidR="00DB0035" w:rsidRDefault="00186675" w:rsidP="003E7B18">
      <w:pPr>
        <w:pStyle w:val="ListParagraph"/>
        <w:numPr>
          <w:ilvl w:val="3"/>
          <w:numId w:val="215"/>
        </w:numPr>
        <w:tabs>
          <w:tab w:val="left" w:pos="540"/>
        </w:tabs>
        <w:ind w:left="540" w:hanging="270"/>
        <w:jc w:val="both"/>
        <w:rPr>
          <w:sz w:val="24"/>
        </w:rPr>
      </w:pPr>
      <w:r w:rsidRPr="00DB0035">
        <w:rPr>
          <w:sz w:val="24"/>
        </w:rPr>
        <w:t>Review of Form U5 filings made by previous employer(s)</w:t>
      </w:r>
      <w:r w:rsidR="00326D36" w:rsidRPr="00DB0035">
        <w:rPr>
          <w:sz w:val="24"/>
        </w:rPr>
        <w:t xml:space="preserve"> within 60 days of the filing date of an application for registration or record that reasonable effort has been made to conduct the review</w:t>
      </w:r>
      <w:r w:rsidRPr="00DB0035">
        <w:rPr>
          <w:sz w:val="24"/>
        </w:rPr>
        <w:t>; or</w:t>
      </w:r>
      <w:r w:rsidR="00DB0035" w:rsidRPr="00DB0035">
        <w:rPr>
          <w:sz w:val="24"/>
        </w:rPr>
        <w:t xml:space="preserve"> </w:t>
      </w:r>
    </w:p>
    <w:p w14:paraId="7A94FC87" w14:textId="77777777" w:rsidR="00DB0035" w:rsidRPr="005D1066" w:rsidRDefault="00186675" w:rsidP="003E7B18">
      <w:pPr>
        <w:pStyle w:val="ListParagraph"/>
        <w:numPr>
          <w:ilvl w:val="3"/>
          <w:numId w:val="215"/>
        </w:numPr>
        <w:tabs>
          <w:tab w:val="left" w:pos="540"/>
        </w:tabs>
        <w:ind w:left="540" w:hanging="270"/>
        <w:jc w:val="both"/>
        <w:rPr>
          <w:sz w:val="24"/>
          <w:szCs w:val="24"/>
        </w:rPr>
      </w:pPr>
      <w:r w:rsidRPr="00DB0035">
        <w:rPr>
          <w:sz w:val="24"/>
          <w:szCs w:val="24"/>
        </w:rPr>
        <w:t xml:space="preserve">Review of Pre-Hire Report obtained </w:t>
      </w:r>
      <w:r w:rsidR="00DB0035" w:rsidRPr="00DB0035">
        <w:rPr>
          <w:sz w:val="24"/>
          <w:szCs w:val="24"/>
        </w:rPr>
        <w:t>through the CRD</w:t>
      </w:r>
      <w:r w:rsidR="0037688F">
        <w:rPr>
          <w:sz w:val="24"/>
          <w:szCs w:val="24"/>
        </w:rPr>
        <w:t xml:space="preserve"> and </w:t>
      </w:r>
      <w:r w:rsidR="0037688F" w:rsidRPr="005D1066">
        <w:rPr>
          <w:sz w:val="24"/>
          <w:szCs w:val="24"/>
        </w:rPr>
        <w:t>public</w:t>
      </w:r>
      <w:r w:rsidR="007F719F" w:rsidRPr="005D1066">
        <w:rPr>
          <w:sz w:val="24"/>
          <w:szCs w:val="24"/>
        </w:rPr>
        <w:t xml:space="preserve"> records by FINRA for informati</w:t>
      </w:r>
      <w:r w:rsidR="0037688F" w:rsidRPr="005D1066">
        <w:rPr>
          <w:sz w:val="24"/>
          <w:szCs w:val="24"/>
        </w:rPr>
        <w:t>o</w:t>
      </w:r>
      <w:r w:rsidR="007F719F" w:rsidRPr="005D1066">
        <w:rPr>
          <w:sz w:val="24"/>
          <w:szCs w:val="24"/>
        </w:rPr>
        <w:t>n</w:t>
      </w:r>
      <w:r w:rsidR="0037688F" w:rsidRPr="005D1066">
        <w:rPr>
          <w:sz w:val="24"/>
          <w:szCs w:val="24"/>
        </w:rPr>
        <w:t xml:space="preserve"> regarding bankruptcy, civil litigation, and judgements or liens and make any applicable amendments for the Form U-4 within 30 days</w:t>
      </w:r>
      <w:r w:rsidR="003940C8" w:rsidRPr="005D1066">
        <w:rPr>
          <w:sz w:val="24"/>
          <w:szCs w:val="24"/>
        </w:rPr>
        <w:t xml:space="preserve"> regarding any discrepancies</w:t>
      </w:r>
      <w:r w:rsidR="00DB0035" w:rsidRPr="005D1066">
        <w:rPr>
          <w:sz w:val="24"/>
          <w:szCs w:val="24"/>
        </w:rPr>
        <w:t xml:space="preserve">; </w:t>
      </w:r>
    </w:p>
    <w:p w14:paraId="40A8B39D" w14:textId="77777777" w:rsidR="00186675" w:rsidRPr="00A85AC1" w:rsidRDefault="00C42DDF" w:rsidP="003E7B18">
      <w:pPr>
        <w:pStyle w:val="ListParagraph"/>
        <w:numPr>
          <w:ilvl w:val="3"/>
          <w:numId w:val="215"/>
        </w:numPr>
        <w:tabs>
          <w:tab w:val="left" w:pos="540"/>
        </w:tabs>
        <w:ind w:left="540" w:hanging="270"/>
        <w:jc w:val="both"/>
        <w:rPr>
          <w:sz w:val="24"/>
          <w:szCs w:val="24"/>
        </w:rPr>
      </w:pPr>
      <w:r w:rsidRPr="00DB0035">
        <w:rPr>
          <w:sz w:val="24"/>
          <w:szCs w:val="24"/>
        </w:rPr>
        <w:t>Review</w:t>
      </w:r>
      <w:r w:rsidR="00186675" w:rsidRPr="00DB0035">
        <w:rPr>
          <w:sz w:val="24"/>
          <w:szCs w:val="24"/>
        </w:rPr>
        <w:t xml:space="preserve"> a job applicant's Commodity Futures Trading Commission (CFTC) Form 8-T if applicable (CFTC’s equivalent</w:t>
      </w:r>
      <w:r w:rsidR="00DB0035">
        <w:rPr>
          <w:sz w:val="24"/>
          <w:szCs w:val="24"/>
        </w:rPr>
        <w:t xml:space="preserve"> of a Form U-5 for termination); </w:t>
      </w:r>
    </w:p>
    <w:p w14:paraId="22FF6F85" w14:textId="77777777" w:rsidR="00DB0035" w:rsidRPr="00A85AC1" w:rsidRDefault="00B26F0E" w:rsidP="003E7B18">
      <w:pPr>
        <w:pStyle w:val="ListParagraph"/>
        <w:numPr>
          <w:ilvl w:val="3"/>
          <w:numId w:val="215"/>
        </w:numPr>
        <w:tabs>
          <w:tab w:val="left" w:pos="540"/>
        </w:tabs>
        <w:ind w:left="540" w:hanging="270"/>
        <w:jc w:val="both"/>
        <w:rPr>
          <w:sz w:val="24"/>
          <w:szCs w:val="24"/>
        </w:rPr>
      </w:pPr>
      <w:r w:rsidRPr="00A85AC1">
        <w:rPr>
          <w:sz w:val="24"/>
          <w:szCs w:val="24"/>
        </w:rPr>
        <w:t xml:space="preserve">Review of public records for information regarding criminal and bankruptcy </w:t>
      </w:r>
      <w:r w:rsidR="00F24CB0" w:rsidRPr="00A85AC1">
        <w:rPr>
          <w:sz w:val="24"/>
          <w:szCs w:val="24"/>
        </w:rPr>
        <w:t>records, civil litigation, judg</w:t>
      </w:r>
      <w:r w:rsidRPr="00A85AC1">
        <w:rPr>
          <w:sz w:val="24"/>
          <w:szCs w:val="24"/>
        </w:rPr>
        <w:t>ments and liens.</w:t>
      </w:r>
    </w:p>
    <w:p w14:paraId="3C6600DB" w14:textId="77777777" w:rsidR="00186675" w:rsidRPr="00A85AC1" w:rsidRDefault="00186675" w:rsidP="00186675">
      <w:pPr>
        <w:jc w:val="both"/>
        <w:rPr>
          <w:sz w:val="24"/>
        </w:rPr>
      </w:pPr>
    </w:p>
    <w:p w14:paraId="303BAC99" w14:textId="77777777" w:rsidR="00186675" w:rsidRPr="00A85AC1" w:rsidRDefault="00186675" w:rsidP="00186675">
      <w:pPr>
        <w:jc w:val="both"/>
        <w:rPr>
          <w:sz w:val="24"/>
          <w:szCs w:val="24"/>
        </w:rPr>
      </w:pPr>
      <w:r w:rsidRPr="00A85AC1">
        <w:rPr>
          <w:sz w:val="24"/>
        </w:rPr>
        <w:t>This investigation includes registered and non-registered personnel.  After employment, review of fingerprint card reports will be conducted as well as part of the Company’s review of an employee’s background.</w:t>
      </w:r>
      <w:r w:rsidR="003579FC" w:rsidRPr="00A85AC1">
        <w:rPr>
          <w:sz w:val="24"/>
        </w:rPr>
        <w:t xml:space="preserve">  </w:t>
      </w:r>
      <w:r w:rsidR="003579FC" w:rsidRPr="00A85AC1">
        <w:rPr>
          <w:sz w:val="24"/>
          <w:szCs w:val="24"/>
        </w:rPr>
        <w:t>New employees will be required to reconcile discrepancies or missing information which may affect the employee's eligibility for hire.</w:t>
      </w:r>
    </w:p>
    <w:p w14:paraId="7C5937A7" w14:textId="77777777" w:rsidR="00186675" w:rsidRPr="00A85AC1" w:rsidRDefault="00186675" w:rsidP="00186675">
      <w:pPr>
        <w:jc w:val="both"/>
        <w:rPr>
          <w:sz w:val="24"/>
          <w:szCs w:val="24"/>
        </w:rPr>
      </w:pPr>
    </w:p>
    <w:p w14:paraId="05B90C37" w14:textId="77777777" w:rsidR="00186675" w:rsidRPr="000C099C" w:rsidRDefault="00186675" w:rsidP="00186675">
      <w:pPr>
        <w:jc w:val="both"/>
        <w:rPr>
          <w:sz w:val="24"/>
        </w:rPr>
      </w:pPr>
      <w:r>
        <w:rPr>
          <w:sz w:val="24"/>
        </w:rPr>
        <w:t>The Company</w:t>
      </w:r>
      <w:r w:rsidR="00C42DDF">
        <w:rPr>
          <w:sz w:val="24"/>
        </w:rPr>
        <w:t>,</w:t>
      </w:r>
      <w:r>
        <w:rPr>
          <w:sz w:val="24"/>
        </w:rPr>
        <w:t xml:space="preserve"> through </w:t>
      </w:r>
      <w:r w:rsidR="00C42DDF" w:rsidRPr="00C42DDF">
        <w:rPr>
          <w:sz w:val="24"/>
        </w:rPr>
        <w:t>Compliance</w:t>
      </w:r>
      <w:r w:rsidR="00C42DDF">
        <w:rPr>
          <w:sz w:val="24"/>
        </w:rPr>
        <w:t>,</w:t>
      </w:r>
      <w:r>
        <w:rPr>
          <w:sz w:val="24"/>
        </w:rPr>
        <w:t xml:space="preserve"> shall use its best efforts to obtain copies of each </w:t>
      </w:r>
      <w:r w:rsidR="007A1774">
        <w:rPr>
          <w:sz w:val="24"/>
        </w:rPr>
        <w:t>person’s</w:t>
      </w:r>
      <w:r>
        <w:rPr>
          <w:sz w:val="24"/>
        </w:rPr>
        <w:t xml:space="preserve"> Form U-5 filing as filed by that person's previous employer through the </w:t>
      </w:r>
      <w:r w:rsidRPr="000C099C">
        <w:rPr>
          <w:sz w:val="24"/>
        </w:rPr>
        <w:t>FINRA/CRD or the individual applicant. Notwithstanding the requirement to obtain copies of the most recent Form U-5 filing, the Company recognizes the fact that due to electronic filings of Form U-5s with FINRA/CRD and or closure of the previous employer, a Form U-5 may not be available on every individual.</w:t>
      </w:r>
    </w:p>
    <w:p w14:paraId="271647EA" w14:textId="77777777" w:rsidR="00186675" w:rsidRPr="000C099C" w:rsidRDefault="00186675" w:rsidP="00186675">
      <w:pPr>
        <w:jc w:val="both"/>
        <w:rPr>
          <w:sz w:val="24"/>
        </w:rPr>
      </w:pPr>
    </w:p>
    <w:p w14:paraId="1CD19CC0" w14:textId="77777777" w:rsidR="00186675" w:rsidRPr="000C099C" w:rsidRDefault="00C42DDF" w:rsidP="00186675">
      <w:pPr>
        <w:jc w:val="both"/>
        <w:rPr>
          <w:sz w:val="24"/>
        </w:rPr>
      </w:pPr>
      <w:r>
        <w:rPr>
          <w:sz w:val="24"/>
        </w:rPr>
        <w:lastRenderedPageBreak/>
        <w:t>All new Associated P</w:t>
      </w:r>
      <w:r w:rsidR="00186675" w:rsidRPr="000C099C">
        <w:rPr>
          <w:sz w:val="24"/>
        </w:rPr>
        <w:t xml:space="preserve">ersons to become registered with the Company with FINRA shall receive an application package from </w:t>
      </w:r>
      <w:r w:rsidRPr="00C42DDF">
        <w:rPr>
          <w:sz w:val="24"/>
        </w:rPr>
        <w:t>Compliance</w:t>
      </w:r>
      <w:r w:rsidR="00186675" w:rsidRPr="000C099C">
        <w:rPr>
          <w:sz w:val="24"/>
        </w:rPr>
        <w:t xml:space="preserve"> consisting of the following materials:</w:t>
      </w:r>
    </w:p>
    <w:p w14:paraId="307722D4" w14:textId="77777777" w:rsidR="00186675" w:rsidRDefault="00186675" w:rsidP="00186675">
      <w:pPr>
        <w:jc w:val="both"/>
        <w:rPr>
          <w:sz w:val="24"/>
        </w:rPr>
      </w:pPr>
    </w:p>
    <w:p w14:paraId="657FF7E1" w14:textId="77777777" w:rsidR="00186675" w:rsidRDefault="00186675" w:rsidP="00C1728B">
      <w:pPr>
        <w:numPr>
          <w:ilvl w:val="0"/>
          <w:numId w:val="63"/>
        </w:numPr>
        <w:tabs>
          <w:tab w:val="clear" w:pos="1440"/>
          <w:tab w:val="num" w:pos="1080"/>
        </w:tabs>
        <w:jc w:val="both"/>
        <w:rPr>
          <w:sz w:val="24"/>
        </w:rPr>
      </w:pPr>
      <w:r>
        <w:rPr>
          <w:sz w:val="24"/>
        </w:rPr>
        <w:t>Form U4;</w:t>
      </w:r>
    </w:p>
    <w:p w14:paraId="79555CE9" w14:textId="77777777" w:rsidR="00186675" w:rsidRDefault="00186675" w:rsidP="00C1728B">
      <w:pPr>
        <w:numPr>
          <w:ilvl w:val="0"/>
          <w:numId w:val="63"/>
        </w:numPr>
        <w:tabs>
          <w:tab w:val="clear" w:pos="1440"/>
          <w:tab w:val="num" w:pos="1080"/>
        </w:tabs>
        <w:jc w:val="both"/>
        <w:rPr>
          <w:sz w:val="24"/>
        </w:rPr>
      </w:pPr>
      <w:r>
        <w:rPr>
          <w:sz w:val="24"/>
        </w:rPr>
        <w:t>U-4 Disclosure Statement (regarding the predispute arbitration clause);</w:t>
      </w:r>
    </w:p>
    <w:p w14:paraId="5ADA3F3E" w14:textId="77777777" w:rsidR="00186675" w:rsidRDefault="00186675" w:rsidP="00C1728B">
      <w:pPr>
        <w:numPr>
          <w:ilvl w:val="0"/>
          <w:numId w:val="63"/>
        </w:numPr>
        <w:tabs>
          <w:tab w:val="clear" w:pos="1440"/>
          <w:tab w:val="num" w:pos="1080"/>
        </w:tabs>
        <w:jc w:val="both"/>
        <w:rPr>
          <w:sz w:val="24"/>
        </w:rPr>
      </w:pPr>
      <w:r>
        <w:rPr>
          <w:sz w:val="24"/>
        </w:rPr>
        <w:t>Two (2) fingerprint cards;</w:t>
      </w:r>
    </w:p>
    <w:p w14:paraId="01B91D3F" w14:textId="77777777" w:rsidR="00186675" w:rsidRDefault="00186675" w:rsidP="00C1728B">
      <w:pPr>
        <w:numPr>
          <w:ilvl w:val="0"/>
          <w:numId w:val="63"/>
        </w:numPr>
        <w:tabs>
          <w:tab w:val="clear" w:pos="1440"/>
          <w:tab w:val="num" w:pos="1080"/>
        </w:tabs>
        <w:jc w:val="both"/>
        <w:rPr>
          <w:sz w:val="24"/>
        </w:rPr>
      </w:pPr>
      <w:r>
        <w:rPr>
          <w:sz w:val="24"/>
        </w:rPr>
        <w:t>Written Supervisory Procedures Memorandum;</w:t>
      </w:r>
    </w:p>
    <w:p w14:paraId="35A3A6B2" w14:textId="77777777" w:rsidR="00186675" w:rsidRDefault="00186675" w:rsidP="00C1728B">
      <w:pPr>
        <w:numPr>
          <w:ilvl w:val="0"/>
          <w:numId w:val="63"/>
        </w:numPr>
        <w:tabs>
          <w:tab w:val="clear" w:pos="1440"/>
          <w:tab w:val="num" w:pos="1080"/>
        </w:tabs>
        <w:jc w:val="both"/>
        <w:rPr>
          <w:sz w:val="24"/>
        </w:rPr>
      </w:pPr>
      <w:r>
        <w:rPr>
          <w:sz w:val="24"/>
        </w:rPr>
        <w:t>Sales Associate Agreement</w:t>
      </w:r>
    </w:p>
    <w:p w14:paraId="623EC5F8" w14:textId="77777777" w:rsidR="00186675" w:rsidRDefault="00186675" w:rsidP="00186675">
      <w:pPr>
        <w:jc w:val="both"/>
        <w:rPr>
          <w:sz w:val="24"/>
        </w:rPr>
      </w:pPr>
      <w:r>
        <w:rPr>
          <w:sz w:val="24"/>
        </w:rPr>
        <w:tab/>
      </w:r>
    </w:p>
    <w:p w14:paraId="1D3D9AA1" w14:textId="77777777" w:rsidR="00186675" w:rsidRPr="00560FFE" w:rsidRDefault="00186675" w:rsidP="00186675">
      <w:pPr>
        <w:jc w:val="both"/>
        <w:rPr>
          <w:sz w:val="24"/>
          <w:szCs w:val="24"/>
        </w:rPr>
      </w:pPr>
      <w:r>
        <w:rPr>
          <w:sz w:val="24"/>
        </w:rPr>
        <w:t xml:space="preserve">Obtaining fingerprint cards for submission to the FBI will be conducted at local law enforcement agencies trained to verify identity and the authenticity of the cards being presented.  The </w:t>
      </w:r>
      <w:r w:rsidR="00C42DDF">
        <w:rPr>
          <w:sz w:val="24"/>
        </w:rPr>
        <w:t>Company</w:t>
      </w:r>
      <w:r>
        <w:rPr>
          <w:sz w:val="24"/>
        </w:rPr>
        <w:t xml:space="preserve"> does not handle fingerprint card processing in-house.  A copy of fingerprint cards will be maintained in the Company records.</w:t>
      </w:r>
      <w:r w:rsidR="007D1D51">
        <w:rPr>
          <w:sz w:val="24"/>
        </w:rPr>
        <w:t xml:space="preserve">  </w:t>
      </w:r>
      <w:r w:rsidR="007D1D51" w:rsidRPr="00560FFE">
        <w:rPr>
          <w:sz w:val="24"/>
        </w:rPr>
        <w:t xml:space="preserve">Amendments will be made to any Form U-4 or U-5 when </w:t>
      </w:r>
      <w:r w:rsidR="00FD74BF" w:rsidRPr="00560FFE">
        <w:rPr>
          <w:sz w:val="24"/>
        </w:rPr>
        <w:t xml:space="preserve">reported by Associated Persons or when </w:t>
      </w:r>
      <w:r w:rsidR="007D1D51" w:rsidRPr="00560FFE">
        <w:rPr>
          <w:sz w:val="24"/>
        </w:rPr>
        <w:t xml:space="preserve">applicable for reportable events. </w:t>
      </w:r>
      <w:r w:rsidR="00FD74BF" w:rsidRPr="00560FFE">
        <w:rPr>
          <w:sz w:val="24"/>
        </w:rPr>
        <w:t xml:space="preserve">Required reportable events include SEC Wells notices </w:t>
      </w:r>
      <w:r w:rsidR="008474B9" w:rsidRPr="00560FFE">
        <w:rPr>
          <w:sz w:val="24"/>
          <w:szCs w:val="24"/>
        </w:rPr>
        <w:t xml:space="preserve">(notifications issued by regulators to inform individuals and companies of completed investigations where infractions have been discovered and recipients have the opportunity to explain their position and/or convince any unwarranted action).  </w:t>
      </w:r>
      <w:r w:rsidR="00FD74BF" w:rsidRPr="00560FFE">
        <w:rPr>
          <w:sz w:val="24"/>
          <w:szCs w:val="24"/>
        </w:rPr>
        <w:t xml:space="preserve"> </w:t>
      </w:r>
      <w:r w:rsidR="005A7723" w:rsidRPr="00424F51">
        <w:rPr>
          <w:sz w:val="24"/>
          <w:szCs w:val="24"/>
        </w:rPr>
        <w:t>Compliance</w:t>
      </w:r>
      <w:r w:rsidR="00FD74BF" w:rsidRPr="00560FFE">
        <w:rPr>
          <w:sz w:val="24"/>
          <w:szCs w:val="24"/>
        </w:rPr>
        <w:t xml:space="preserve"> is responsible for providing any requested information.</w:t>
      </w:r>
    </w:p>
    <w:p w14:paraId="5F61DCAA" w14:textId="77777777" w:rsidR="00186675" w:rsidRPr="00560FFE" w:rsidRDefault="00186675" w:rsidP="00186675">
      <w:pPr>
        <w:jc w:val="both"/>
        <w:rPr>
          <w:sz w:val="24"/>
        </w:rPr>
      </w:pPr>
    </w:p>
    <w:p w14:paraId="485B5F37" w14:textId="77777777" w:rsidR="00186675" w:rsidRDefault="00186675" w:rsidP="00186675">
      <w:pPr>
        <w:jc w:val="both"/>
        <w:rPr>
          <w:sz w:val="24"/>
        </w:rPr>
      </w:pPr>
      <w:r>
        <w:rPr>
          <w:sz w:val="24"/>
        </w:rPr>
        <w:t>All newly registered representatives of the Company shall be assigned to a senior registered representative who will be responsible for routine training. Further all newly registered representatives will be required to meet with Morris Monroe</w:t>
      </w:r>
      <w:r w:rsidR="00C42DDF">
        <w:rPr>
          <w:sz w:val="24"/>
        </w:rPr>
        <w:t xml:space="preserve">, </w:t>
      </w:r>
      <w:r w:rsidR="00C42DDF" w:rsidRPr="00C42DDF">
        <w:rPr>
          <w:sz w:val="24"/>
        </w:rPr>
        <w:t>designated Principal, or Compliance</w:t>
      </w:r>
      <w:r>
        <w:rPr>
          <w:sz w:val="24"/>
        </w:rPr>
        <w:t xml:space="preserve"> for a personal interview and compliance briefing prior to being allowed to solicit securities transactions on behalf of the Company.</w:t>
      </w:r>
    </w:p>
    <w:p w14:paraId="7460ABAD" w14:textId="77777777" w:rsidR="00186675" w:rsidRDefault="00186675" w:rsidP="00186675">
      <w:pPr>
        <w:jc w:val="both"/>
        <w:rPr>
          <w:sz w:val="24"/>
        </w:rPr>
      </w:pPr>
    </w:p>
    <w:p w14:paraId="3BA6FEDD" w14:textId="77777777" w:rsidR="00186675" w:rsidRPr="005D0AD0" w:rsidRDefault="00186675" w:rsidP="00186675">
      <w:pPr>
        <w:jc w:val="both"/>
        <w:rPr>
          <w:sz w:val="24"/>
        </w:rPr>
      </w:pPr>
      <w:r>
        <w:rPr>
          <w:sz w:val="24"/>
        </w:rPr>
        <w:t>The review of a supervisor’s qualifications shall be performed in accordance with the preceding procedures, by reviewing the above referenced records, and if applicable by evaluating the person’s performance while associated with the Company. Morris Monroe or Laura Hendricks shall evidence review and approval by signing the Form U4</w:t>
      </w:r>
      <w:r w:rsidR="007A1774">
        <w:rPr>
          <w:sz w:val="24"/>
        </w:rPr>
        <w:t xml:space="preserve"> </w:t>
      </w:r>
      <w:r w:rsidR="007A1774" w:rsidRPr="005D0AD0">
        <w:rPr>
          <w:sz w:val="24"/>
        </w:rPr>
        <w:t>(which may include the electronic signature for submission to FINRA)</w:t>
      </w:r>
      <w:r w:rsidRPr="005D0AD0">
        <w:rPr>
          <w:sz w:val="24"/>
        </w:rPr>
        <w:t>.  If the proposed supervisor is already an employee of the Company then Morris Monroe or Laura Hendricks shall sign the Form U4 or Form BD amendment, exam request, or memo to file, whichever is applicable</w:t>
      </w:r>
      <w:r w:rsidR="007A1774" w:rsidRPr="005D0AD0">
        <w:rPr>
          <w:sz w:val="24"/>
        </w:rPr>
        <w:t xml:space="preserve"> (which may include an electronic signature)</w:t>
      </w:r>
      <w:r w:rsidRPr="005D0AD0">
        <w:rPr>
          <w:sz w:val="24"/>
        </w:rPr>
        <w:t>.</w:t>
      </w:r>
    </w:p>
    <w:p w14:paraId="108C373C" w14:textId="77777777" w:rsidR="00186675" w:rsidRPr="005D0AD0" w:rsidRDefault="00186675" w:rsidP="00186675">
      <w:pPr>
        <w:jc w:val="both"/>
        <w:rPr>
          <w:sz w:val="24"/>
        </w:rPr>
      </w:pPr>
    </w:p>
    <w:p w14:paraId="6E2FAF31" w14:textId="77777777" w:rsidR="00186675" w:rsidRPr="00126568" w:rsidRDefault="00186675" w:rsidP="00186675">
      <w:pPr>
        <w:jc w:val="both"/>
        <w:rPr>
          <w:sz w:val="24"/>
        </w:rPr>
      </w:pPr>
      <w:r>
        <w:rPr>
          <w:sz w:val="24"/>
        </w:rPr>
        <w:t>It shall be the responsibility of Morris Monroe, or his designee, to ensure that the appropriate employee files are establish</w:t>
      </w:r>
      <w:r w:rsidR="00C42DDF">
        <w:rPr>
          <w:sz w:val="24"/>
        </w:rPr>
        <w:t>ed and maintained for each new Associated P</w:t>
      </w:r>
      <w:r>
        <w:rPr>
          <w:sz w:val="24"/>
        </w:rPr>
        <w:t>erson and that all necessary documen</w:t>
      </w:r>
      <w:r w:rsidR="00C42DDF">
        <w:rPr>
          <w:sz w:val="24"/>
        </w:rPr>
        <w:t>ts are filed on behalf of that A</w:t>
      </w:r>
      <w:r>
        <w:rPr>
          <w:sz w:val="24"/>
        </w:rPr>
        <w:t xml:space="preserve">ssociated </w:t>
      </w:r>
      <w:r w:rsidR="00C42DDF">
        <w:rPr>
          <w:sz w:val="24"/>
        </w:rPr>
        <w:t>P</w:t>
      </w:r>
      <w:r>
        <w:rPr>
          <w:sz w:val="24"/>
        </w:rPr>
        <w:t xml:space="preserve">erson with </w:t>
      </w:r>
      <w:r w:rsidRPr="000C099C">
        <w:rPr>
          <w:sz w:val="24"/>
        </w:rPr>
        <w:t>FINRA.</w:t>
      </w:r>
      <w:r>
        <w:rPr>
          <w:sz w:val="24"/>
        </w:rPr>
        <w:t xml:space="preserve">  Amendments and other </w:t>
      </w:r>
      <w:r w:rsidRPr="00126568">
        <w:rPr>
          <w:sz w:val="24"/>
        </w:rPr>
        <w:t>documents available in the FINRA CRD system that are not required for paper files do not have to be maintained in the Company files.</w:t>
      </w:r>
    </w:p>
    <w:p w14:paraId="3660E60F" w14:textId="77777777" w:rsidR="00186675" w:rsidRPr="000C099C" w:rsidRDefault="00186675" w:rsidP="00186675">
      <w:pPr>
        <w:jc w:val="both"/>
        <w:rPr>
          <w:sz w:val="24"/>
        </w:rPr>
      </w:pPr>
    </w:p>
    <w:p w14:paraId="644EFE57" w14:textId="53E32A1A" w:rsidR="00660BB8" w:rsidRDefault="00186675" w:rsidP="0038042F">
      <w:pPr>
        <w:jc w:val="both"/>
        <w:rPr>
          <w:i/>
          <w:szCs w:val="24"/>
        </w:rPr>
      </w:pPr>
      <w:r w:rsidRPr="000C099C">
        <w:rPr>
          <w:sz w:val="24"/>
        </w:rPr>
        <w:t>If exam</w:t>
      </w:r>
      <w:r w:rsidR="00C935AC">
        <w:rPr>
          <w:sz w:val="24"/>
        </w:rPr>
        <w:t>inations are requested for the A</w:t>
      </w:r>
      <w:r w:rsidRPr="000C099C">
        <w:rPr>
          <w:sz w:val="24"/>
        </w:rPr>
        <w:t xml:space="preserve">ssociated </w:t>
      </w:r>
      <w:r w:rsidR="00C935AC">
        <w:rPr>
          <w:sz w:val="24"/>
        </w:rPr>
        <w:t>P</w:t>
      </w:r>
      <w:r w:rsidRPr="000C099C">
        <w:rPr>
          <w:sz w:val="24"/>
        </w:rPr>
        <w:t>erson, a note should be made in the individual's file</w:t>
      </w:r>
      <w:r w:rsidR="00D7394C">
        <w:rPr>
          <w:sz w:val="24"/>
        </w:rPr>
        <w:t xml:space="preserve"> </w:t>
      </w:r>
      <w:r w:rsidR="00D7394C" w:rsidRPr="005D0AD0">
        <w:rPr>
          <w:sz w:val="24"/>
        </w:rPr>
        <w:t>or noted in WinOps</w:t>
      </w:r>
      <w:r w:rsidR="00D2135E" w:rsidRPr="005D0AD0">
        <w:rPr>
          <w:sz w:val="24"/>
        </w:rPr>
        <w:t xml:space="preserve"> (as pending EXAM, then as Licensed upon passing)</w:t>
      </w:r>
      <w:r w:rsidRPr="005D0AD0">
        <w:rPr>
          <w:sz w:val="24"/>
        </w:rPr>
        <w:t xml:space="preserve">.  </w:t>
      </w:r>
      <w:r w:rsidRPr="000C099C">
        <w:rPr>
          <w:sz w:val="24"/>
        </w:rPr>
        <w:t xml:space="preserve">The CRD </w:t>
      </w:r>
      <w:r w:rsidR="00EF2E7A">
        <w:rPr>
          <w:sz w:val="24"/>
        </w:rPr>
        <w:t xml:space="preserve">also </w:t>
      </w:r>
      <w:r w:rsidRPr="000C099C">
        <w:rPr>
          <w:sz w:val="24"/>
        </w:rPr>
        <w:t xml:space="preserve">reflects outstanding exam requests and/or exam approval's expiration date </w:t>
      </w:r>
      <w:r w:rsidR="007D1D51" w:rsidRPr="000C099C">
        <w:rPr>
          <w:sz w:val="24"/>
        </w:rPr>
        <w:t>with FINRA</w:t>
      </w:r>
      <w:r w:rsidR="00EF2E7A">
        <w:rPr>
          <w:sz w:val="24"/>
        </w:rPr>
        <w:t xml:space="preserve"> </w:t>
      </w:r>
      <w:r w:rsidR="00EF2E7A" w:rsidRPr="00424F51">
        <w:rPr>
          <w:sz w:val="24"/>
        </w:rPr>
        <w:t>which may serve as a record of exam requests</w:t>
      </w:r>
      <w:r w:rsidR="007D1D51" w:rsidRPr="00424F51">
        <w:rPr>
          <w:sz w:val="24"/>
        </w:rPr>
        <w:t>.</w:t>
      </w:r>
      <w:r w:rsidR="007D1D51">
        <w:rPr>
          <w:sz w:val="24"/>
        </w:rPr>
        <w:t xml:space="preserve">  Should an A</w:t>
      </w:r>
      <w:r w:rsidRPr="000C099C">
        <w:rPr>
          <w:sz w:val="24"/>
        </w:rPr>
        <w:t xml:space="preserve">ssociated </w:t>
      </w:r>
      <w:r w:rsidR="007D1D51">
        <w:rPr>
          <w:sz w:val="24"/>
        </w:rPr>
        <w:t>P</w:t>
      </w:r>
      <w:r w:rsidRPr="000C099C">
        <w:rPr>
          <w:sz w:val="24"/>
        </w:rPr>
        <w:t>erson fail a qualification examination, the Company must ensure compliance with FINRA's examination retake policy.</w:t>
      </w:r>
      <w:bookmarkStart w:id="44" w:name="RegnRequirement"/>
      <w:bookmarkEnd w:id="37"/>
      <w:bookmarkEnd w:id="38"/>
      <w:bookmarkEnd w:id="44"/>
    </w:p>
    <w:p w14:paraId="634C6EDB" w14:textId="77777777" w:rsidR="00660BB8" w:rsidRDefault="00660BB8" w:rsidP="00186675">
      <w:pPr>
        <w:pStyle w:val="BodyText2"/>
        <w:widowControl/>
        <w:autoSpaceDE w:val="0"/>
        <w:autoSpaceDN w:val="0"/>
        <w:adjustRightInd w:val="0"/>
        <w:jc w:val="both"/>
        <w:rPr>
          <w:i/>
          <w:szCs w:val="24"/>
        </w:rPr>
      </w:pPr>
    </w:p>
    <w:p w14:paraId="70175720" w14:textId="45803A61" w:rsidR="008614BF" w:rsidRDefault="005B6602" w:rsidP="00186675">
      <w:pPr>
        <w:pStyle w:val="BodyText2"/>
        <w:widowControl/>
        <w:autoSpaceDE w:val="0"/>
        <w:autoSpaceDN w:val="0"/>
        <w:adjustRightInd w:val="0"/>
        <w:jc w:val="both"/>
        <w:rPr>
          <w:i/>
          <w:szCs w:val="24"/>
        </w:rPr>
      </w:pPr>
      <w:r>
        <w:rPr>
          <w:i/>
          <w:szCs w:val="24"/>
        </w:rPr>
        <w:t>Registration Requirement</w:t>
      </w:r>
    </w:p>
    <w:p w14:paraId="4A765B5E" w14:textId="5116033D" w:rsidR="005B6602" w:rsidRPr="002A3ACC" w:rsidRDefault="005B6602" w:rsidP="005B6602">
      <w:pPr>
        <w:pStyle w:val="Normal1"/>
        <w:shd w:val="clear" w:color="auto" w:fill="FFFFFF"/>
        <w:spacing w:before="0" w:after="0" w:afterAutospacing="0" w:line="240" w:lineRule="auto"/>
        <w:jc w:val="both"/>
        <w:rPr>
          <w:rFonts w:ascii="Times New Roman" w:hAnsi="Times New Roman" w:cs="Times New Roman"/>
          <w:color w:val="000000" w:themeColor="text1"/>
          <w:sz w:val="24"/>
          <w:szCs w:val="24"/>
        </w:rPr>
      </w:pPr>
      <w:r w:rsidRPr="005B6602">
        <w:rPr>
          <w:rFonts w:ascii="Times New Roman" w:hAnsi="Times New Roman" w:cs="Times New Roman"/>
          <w:sz w:val="24"/>
          <w:szCs w:val="24"/>
        </w:rPr>
        <w:t xml:space="preserve">All individuals engaged in activities (including selling or trading products such as stocks, bonds, options, </w:t>
      </w:r>
      <w:r w:rsidR="00660BB8" w:rsidRPr="007F0C5D">
        <w:rPr>
          <w:rFonts w:ascii="Times New Roman" w:hAnsi="Times New Roman" w:cs="Times New Roman"/>
          <w:sz w:val="24"/>
          <w:szCs w:val="24"/>
        </w:rPr>
        <w:t>variable</w:t>
      </w:r>
      <w:r w:rsidR="00660BB8">
        <w:rPr>
          <w:rFonts w:ascii="Times New Roman" w:hAnsi="Times New Roman" w:cs="Times New Roman"/>
          <w:sz w:val="24"/>
          <w:szCs w:val="24"/>
        </w:rPr>
        <w:t xml:space="preserve"> </w:t>
      </w:r>
      <w:r w:rsidRPr="005B6602">
        <w:rPr>
          <w:rFonts w:ascii="Times New Roman" w:hAnsi="Times New Roman" w:cs="Times New Roman"/>
          <w:sz w:val="24"/>
          <w:szCs w:val="24"/>
        </w:rPr>
        <w:t xml:space="preserve">insurance, </w:t>
      </w:r>
      <w:r w:rsidRPr="005B6602">
        <w:rPr>
          <w:rFonts w:ascii="Times New Roman" w:hAnsi="Times New Roman" w:cs="Times New Roman"/>
          <w:i/>
          <w:iCs/>
          <w:sz w:val="24"/>
          <w:szCs w:val="24"/>
        </w:rPr>
        <w:t>etc.</w:t>
      </w:r>
      <w:r w:rsidRPr="005B6602">
        <w:rPr>
          <w:rFonts w:ascii="Times New Roman" w:hAnsi="Times New Roman" w:cs="Times New Roman"/>
          <w:sz w:val="24"/>
          <w:szCs w:val="24"/>
        </w:rPr>
        <w:t xml:space="preserve">) subject to registration requirements of SROs or </w:t>
      </w:r>
      <w:r w:rsidRPr="005B6602">
        <w:rPr>
          <w:rFonts w:ascii="Times New Roman" w:hAnsi="Times New Roman" w:cs="Times New Roman"/>
          <w:sz w:val="24"/>
          <w:szCs w:val="24"/>
        </w:rPr>
        <w:lastRenderedPageBreak/>
        <w:t xml:space="preserve">other regulators must complete the necessary registration and licensing prior to engaging in such activities. Employees may not conduct </w:t>
      </w:r>
      <w:r w:rsidR="00432977" w:rsidRPr="002A3ACC">
        <w:rPr>
          <w:rFonts w:ascii="Times New Roman" w:hAnsi="Times New Roman" w:cs="Times New Roman"/>
          <w:color w:val="000000" w:themeColor="text1"/>
          <w:sz w:val="24"/>
          <w:szCs w:val="24"/>
        </w:rPr>
        <w:t xml:space="preserve">FINRA licensed required </w:t>
      </w:r>
      <w:r w:rsidRPr="002A3ACC">
        <w:rPr>
          <w:rFonts w:ascii="Times New Roman" w:hAnsi="Times New Roman" w:cs="Times New Roman"/>
          <w:color w:val="000000" w:themeColor="text1"/>
          <w:sz w:val="24"/>
          <w:szCs w:val="24"/>
        </w:rPr>
        <w:t xml:space="preserve">business with public customers until required registrations or licenses are effective.  </w:t>
      </w:r>
      <w:r w:rsidR="00C935AC" w:rsidRPr="002A3ACC">
        <w:rPr>
          <w:rFonts w:ascii="Times New Roman" w:hAnsi="Times New Roman" w:cs="Times New Roman"/>
          <w:color w:val="000000" w:themeColor="text1"/>
          <w:sz w:val="24"/>
          <w:szCs w:val="24"/>
        </w:rPr>
        <w:t>Associated Persons,</w:t>
      </w:r>
      <w:r w:rsidRPr="002A3ACC">
        <w:rPr>
          <w:rFonts w:ascii="Times New Roman" w:hAnsi="Times New Roman" w:cs="Times New Roman"/>
          <w:color w:val="000000" w:themeColor="text1"/>
          <w:sz w:val="24"/>
          <w:szCs w:val="24"/>
        </w:rPr>
        <w:t xml:space="preserve"> who assume duties that require registration with FINRA as a principal, must pass the appropriate principal's examination.</w:t>
      </w:r>
    </w:p>
    <w:p w14:paraId="399BEF8E" w14:textId="77777777" w:rsidR="00135B3E" w:rsidRPr="002A3ACC" w:rsidRDefault="00135B3E" w:rsidP="00186675">
      <w:pPr>
        <w:pStyle w:val="BodyText2"/>
        <w:widowControl/>
        <w:autoSpaceDE w:val="0"/>
        <w:autoSpaceDN w:val="0"/>
        <w:adjustRightInd w:val="0"/>
        <w:jc w:val="both"/>
        <w:rPr>
          <w:i/>
          <w:color w:val="000000" w:themeColor="text1"/>
          <w:szCs w:val="24"/>
        </w:rPr>
      </w:pPr>
    </w:p>
    <w:p w14:paraId="2E41DC39" w14:textId="77777777" w:rsidR="002B3E7D" w:rsidRPr="002A3ACC" w:rsidRDefault="002B3E7D" w:rsidP="00186675">
      <w:pPr>
        <w:pStyle w:val="BodyText2"/>
        <w:widowControl/>
        <w:autoSpaceDE w:val="0"/>
        <w:autoSpaceDN w:val="0"/>
        <w:adjustRightInd w:val="0"/>
        <w:jc w:val="both"/>
        <w:rPr>
          <w:i/>
          <w:color w:val="000000" w:themeColor="text1"/>
          <w:szCs w:val="24"/>
        </w:rPr>
      </w:pPr>
      <w:r w:rsidRPr="002A3ACC">
        <w:rPr>
          <w:i/>
          <w:color w:val="000000" w:themeColor="text1"/>
          <w:szCs w:val="24"/>
        </w:rPr>
        <w:t>State Registrations</w:t>
      </w:r>
    </w:p>
    <w:p w14:paraId="2FAA550B" w14:textId="0A909923" w:rsidR="002B3E7D" w:rsidRPr="002B3E7D" w:rsidRDefault="00C935AC" w:rsidP="002B3E7D">
      <w:pPr>
        <w:pStyle w:val="Normal1"/>
        <w:shd w:val="clear" w:color="auto" w:fill="FFFFFF"/>
        <w:spacing w:before="0" w:after="0" w:afterAutospacing="0" w:line="240" w:lineRule="auto"/>
        <w:jc w:val="both"/>
        <w:rPr>
          <w:rFonts w:ascii="Times New Roman" w:hAnsi="Times New Roman" w:cs="Times New Roman"/>
          <w:sz w:val="24"/>
          <w:szCs w:val="24"/>
        </w:rPr>
      </w:pPr>
      <w:r w:rsidRPr="002A3ACC">
        <w:rPr>
          <w:rFonts w:ascii="Times New Roman" w:hAnsi="Times New Roman" w:cs="Times New Roman"/>
          <w:color w:val="000000" w:themeColor="text1"/>
          <w:sz w:val="24"/>
          <w:szCs w:val="24"/>
        </w:rPr>
        <w:t>Associated Person</w:t>
      </w:r>
      <w:r w:rsidR="002B3E7D" w:rsidRPr="002A3ACC">
        <w:rPr>
          <w:rFonts w:ascii="Times New Roman" w:hAnsi="Times New Roman" w:cs="Times New Roman"/>
          <w:color w:val="000000" w:themeColor="text1"/>
          <w:sz w:val="24"/>
          <w:szCs w:val="24"/>
        </w:rPr>
        <w:t xml:space="preserve">s must be registered in the state from which they conduct business and may be required to be registered in other states where customers are domiciled. </w:t>
      </w:r>
      <w:r w:rsidR="00985111" w:rsidRPr="002A3ACC">
        <w:rPr>
          <w:rFonts w:ascii="Times New Roman" w:hAnsi="Times New Roman" w:cs="Times New Roman"/>
          <w:color w:val="000000" w:themeColor="text1"/>
          <w:sz w:val="24"/>
          <w:szCs w:val="24"/>
        </w:rPr>
        <w:t xml:space="preserve"> </w:t>
      </w:r>
      <w:r w:rsidR="002B3E7D" w:rsidRPr="002A3ACC">
        <w:rPr>
          <w:rFonts w:ascii="Times New Roman" w:hAnsi="Times New Roman" w:cs="Times New Roman"/>
          <w:color w:val="000000" w:themeColor="text1"/>
          <w:sz w:val="24"/>
          <w:szCs w:val="24"/>
        </w:rPr>
        <w:t>Most states require successful completion of the Series 63 Uniform State Agent Securities Law Examination</w:t>
      </w:r>
      <w:r w:rsidR="00A33FE1" w:rsidRPr="002A3ACC">
        <w:rPr>
          <w:rFonts w:ascii="Times New Roman" w:hAnsi="Times New Roman" w:cs="Times New Roman"/>
          <w:color w:val="000000" w:themeColor="text1"/>
          <w:sz w:val="24"/>
          <w:szCs w:val="24"/>
        </w:rPr>
        <w:t xml:space="preserve"> or the Series 66 (combined State Agent Securities Law and Investment Advisor)</w:t>
      </w:r>
      <w:r w:rsidR="002B3E7D" w:rsidRPr="002A3ACC">
        <w:rPr>
          <w:rFonts w:ascii="Times New Roman" w:hAnsi="Times New Roman" w:cs="Times New Roman"/>
          <w:color w:val="000000" w:themeColor="text1"/>
          <w:sz w:val="24"/>
          <w:szCs w:val="24"/>
        </w:rPr>
        <w:t xml:space="preserve">. </w:t>
      </w:r>
      <w:r w:rsidR="00A33FE1" w:rsidRPr="002A3ACC">
        <w:rPr>
          <w:rFonts w:ascii="Times New Roman" w:hAnsi="Times New Roman" w:cs="Times New Roman"/>
          <w:color w:val="000000" w:themeColor="text1"/>
          <w:sz w:val="24"/>
          <w:szCs w:val="24"/>
        </w:rPr>
        <w:t xml:space="preserve"> </w:t>
      </w:r>
      <w:r w:rsidR="002B3E7D" w:rsidRPr="002A3ACC">
        <w:rPr>
          <w:rFonts w:ascii="Times New Roman" w:hAnsi="Times New Roman" w:cs="Times New Roman"/>
          <w:color w:val="000000" w:themeColor="text1"/>
          <w:sz w:val="24"/>
          <w:szCs w:val="24"/>
        </w:rPr>
        <w:t xml:space="preserve">Successful completion of the exam does not automatically confer registered status on the examinee. Application must be made to the CRD to obtain each state </w:t>
      </w:r>
      <w:r w:rsidR="002B3E7D" w:rsidRPr="002B3E7D">
        <w:rPr>
          <w:rFonts w:ascii="Times New Roman" w:hAnsi="Times New Roman" w:cs="Times New Roman"/>
          <w:sz w:val="24"/>
          <w:szCs w:val="24"/>
        </w:rPr>
        <w:t>registration.</w:t>
      </w:r>
      <w:r w:rsidR="002B3E7D">
        <w:rPr>
          <w:rFonts w:ascii="Times New Roman" w:hAnsi="Times New Roman" w:cs="Times New Roman"/>
          <w:sz w:val="24"/>
          <w:szCs w:val="24"/>
        </w:rPr>
        <w:t xml:space="preserve">  </w:t>
      </w:r>
      <w:r w:rsidR="002B3E7D" w:rsidRPr="002B3E7D">
        <w:rPr>
          <w:rFonts w:ascii="Times New Roman" w:hAnsi="Times New Roman" w:cs="Times New Roman"/>
          <w:sz w:val="24"/>
          <w:szCs w:val="24"/>
        </w:rPr>
        <w:t>The designated supervisor is responsible for identifying transactions in states where registration may be required.</w:t>
      </w:r>
    </w:p>
    <w:p w14:paraId="348D54C6" w14:textId="77777777" w:rsidR="002B3E7D" w:rsidRDefault="002B3E7D" w:rsidP="00186675">
      <w:pPr>
        <w:pStyle w:val="BodyText2"/>
        <w:widowControl/>
        <w:autoSpaceDE w:val="0"/>
        <w:autoSpaceDN w:val="0"/>
        <w:adjustRightInd w:val="0"/>
        <w:jc w:val="both"/>
        <w:rPr>
          <w:i/>
          <w:szCs w:val="24"/>
        </w:rPr>
      </w:pPr>
    </w:p>
    <w:p w14:paraId="2CF9F83D" w14:textId="77777777" w:rsidR="00C466B4" w:rsidRDefault="00C466B4" w:rsidP="00186675">
      <w:pPr>
        <w:pStyle w:val="BodyText2"/>
        <w:widowControl/>
        <w:autoSpaceDE w:val="0"/>
        <w:autoSpaceDN w:val="0"/>
        <w:adjustRightInd w:val="0"/>
        <w:jc w:val="both"/>
        <w:rPr>
          <w:i/>
          <w:szCs w:val="24"/>
        </w:rPr>
      </w:pPr>
      <w:r>
        <w:rPr>
          <w:i/>
          <w:szCs w:val="24"/>
        </w:rPr>
        <w:t>Parking of Registration</w:t>
      </w:r>
    </w:p>
    <w:p w14:paraId="0CB4FA81" w14:textId="77777777" w:rsidR="00186675" w:rsidRDefault="00186675" w:rsidP="00186675">
      <w:pPr>
        <w:pStyle w:val="BodyText2"/>
        <w:widowControl/>
        <w:autoSpaceDE w:val="0"/>
        <w:autoSpaceDN w:val="0"/>
        <w:adjustRightInd w:val="0"/>
        <w:jc w:val="both"/>
        <w:rPr>
          <w:szCs w:val="24"/>
        </w:rPr>
      </w:pPr>
      <w:r>
        <w:rPr>
          <w:szCs w:val="24"/>
        </w:rPr>
        <w:t xml:space="preserve">The Company will submit a Form U4 and maintain the registrations for only those principals and representatives who intend to </w:t>
      </w:r>
      <w:r w:rsidR="005D1066">
        <w:rPr>
          <w:szCs w:val="24"/>
        </w:rPr>
        <w:t>engage or</w:t>
      </w:r>
      <w:r>
        <w:rPr>
          <w:szCs w:val="24"/>
        </w:rPr>
        <w:t xml:space="preserve"> are engaged in the securities business of the Company. The Company will not maintain registrations for persons who no longer function as principals or representatives of the </w:t>
      </w:r>
      <w:r w:rsidR="00C935AC">
        <w:rPr>
          <w:szCs w:val="24"/>
        </w:rPr>
        <w:t>Company</w:t>
      </w:r>
      <w:r>
        <w:rPr>
          <w:szCs w:val="24"/>
        </w:rPr>
        <w:t xml:space="preserve">.  </w:t>
      </w:r>
      <w:r w:rsidR="00C935AC">
        <w:rPr>
          <w:szCs w:val="24"/>
        </w:rPr>
        <w:t>Compliance</w:t>
      </w:r>
      <w:r>
        <w:rPr>
          <w:szCs w:val="24"/>
        </w:rPr>
        <w:t xml:space="preserve"> will review the list of principals and registered representatives when the annual renewals take place in November</w:t>
      </w:r>
      <w:r w:rsidR="00230C46">
        <w:rPr>
          <w:szCs w:val="24"/>
        </w:rPr>
        <w:t>/</w:t>
      </w:r>
      <w:r w:rsidR="00230C46" w:rsidRPr="00790F31">
        <w:rPr>
          <w:szCs w:val="24"/>
        </w:rPr>
        <w:t>December</w:t>
      </w:r>
      <w:r w:rsidRPr="00790F31">
        <w:rPr>
          <w:szCs w:val="24"/>
        </w:rPr>
        <w:t>.</w:t>
      </w:r>
      <w:r>
        <w:rPr>
          <w:szCs w:val="24"/>
        </w:rPr>
        <w:t xml:space="preserve">  </w:t>
      </w:r>
      <w:r w:rsidR="00C935AC">
        <w:rPr>
          <w:szCs w:val="24"/>
        </w:rPr>
        <w:t>Renewal of each license will be evidence of said review.</w:t>
      </w:r>
    </w:p>
    <w:p w14:paraId="15FADF23" w14:textId="77777777" w:rsidR="005B6602" w:rsidRDefault="005B6602" w:rsidP="00186675">
      <w:pPr>
        <w:pStyle w:val="MRS2"/>
        <w:keepNext/>
        <w:spacing w:line="240" w:lineRule="auto"/>
        <w:rPr>
          <w:i/>
          <w:szCs w:val="24"/>
        </w:rPr>
      </w:pPr>
    </w:p>
    <w:p w14:paraId="544F0500" w14:textId="77777777" w:rsidR="00FF1D27" w:rsidRDefault="00FF1D27" w:rsidP="00186675">
      <w:pPr>
        <w:pStyle w:val="MRS2"/>
        <w:keepNext/>
        <w:spacing w:line="240" w:lineRule="auto"/>
        <w:rPr>
          <w:i/>
          <w:szCs w:val="24"/>
        </w:rPr>
      </w:pPr>
      <w:r>
        <w:rPr>
          <w:i/>
          <w:szCs w:val="24"/>
        </w:rPr>
        <w:t>Form BD Amendments</w:t>
      </w:r>
    </w:p>
    <w:p w14:paraId="767FAF2F" w14:textId="77777777" w:rsidR="00186675" w:rsidRPr="00D14441" w:rsidRDefault="00186675" w:rsidP="00186675">
      <w:pPr>
        <w:pStyle w:val="BodyText2"/>
        <w:keepNext/>
        <w:widowControl/>
        <w:jc w:val="both"/>
        <w:rPr>
          <w:szCs w:val="24"/>
        </w:rPr>
      </w:pPr>
      <w:r>
        <w:rPr>
          <w:szCs w:val="24"/>
        </w:rPr>
        <w:t xml:space="preserve">The Company will keep its membership application current by preparing amendments to its Form BD, not later than 30 days after learning of the facts or circumstances leading to </w:t>
      </w:r>
      <w:r w:rsidR="00C935AC">
        <w:rPr>
          <w:szCs w:val="24"/>
        </w:rPr>
        <w:t>any required amendment</w:t>
      </w:r>
      <w:r>
        <w:rPr>
          <w:szCs w:val="24"/>
        </w:rPr>
        <w:t>.  Morris Monroe or Laura Hendricks will evidence approval of the change by signing and dating the amendment</w:t>
      </w:r>
      <w:r w:rsidR="00D2135E">
        <w:rPr>
          <w:szCs w:val="24"/>
        </w:rPr>
        <w:t xml:space="preserve"> </w:t>
      </w:r>
      <w:r w:rsidR="00D2135E" w:rsidRPr="00D14441">
        <w:rPr>
          <w:szCs w:val="24"/>
        </w:rPr>
        <w:t>(which may be the electronic signature on the form submitted to FINRA)</w:t>
      </w:r>
      <w:r w:rsidRPr="00D14441">
        <w:rPr>
          <w:szCs w:val="24"/>
        </w:rPr>
        <w:t xml:space="preserve">.  </w:t>
      </w:r>
    </w:p>
    <w:p w14:paraId="1B708447" w14:textId="77777777" w:rsidR="00186675" w:rsidRDefault="00186675" w:rsidP="00186675">
      <w:pPr>
        <w:jc w:val="both"/>
        <w:rPr>
          <w:sz w:val="24"/>
        </w:rPr>
      </w:pPr>
    </w:p>
    <w:p w14:paraId="468F6857" w14:textId="77777777" w:rsidR="00186675" w:rsidRDefault="00186675" w:rsidP="00186675">
      <w:pPr>
        <w:jc w:val="both"/>
        <w:rPr>
          <w:sz w:val="24"/>
        </w:rPr>
      </w:pPr>
      <w:r>
        <w:rPr>
          <w:sz w:val="24"/>
        </w:rPr>
        <w:t>Any applicable records of all Associated Persons shall be maintained by the Company for a period of three years after termination.</w:t>
      </w:r>
    </w:p>
    <w:p w14:paraId="06A2B590" w14:textId="77777777" w:rsidR="00186675" w:rsidRDefault="00186675" w:rsidP="00186675">
      <w:pPr>
        <w:jc w:val="both"/>
        <w:rPr>
          <w:sz w:val="24"/>
        </w:rPr>
      </w:pPr>
    </w:p>
    <w:p w14:paraId="2B1C14A1" w14:textId="77777777" w:rsidR="00340FA2" w:rsidRPr="00340FA2" w:rsidRDefault="00340FA2" w:rsidP="00340FA2">
      <w:pPr>
        <w:pStyle w:val="Heading3"/>
        <w:jc w:val="left"/>
      </w:pPr>
      <w:r w:rsidRPr="00340FA2">
        <w:t>4.3.1 Fingerprint Requirements</w:t>
      </w:r>
    </w:p>
    <w:p w14:paraId="6F502A9E" w14:textId="77777777" w:rsidR="00340FA2" w:rsidRPr="00424F51" w:rsidRDefault="00340FA2" w:rsidP="00340FA2">
      <w:pPr>
        <w:pStyle w:val="NormalWeb"/>
        <w:spacing w:before="0" w:beforeAutospacing="0" w:after="0" w:afterAutospacing="0"/>
        <w:ind w:left="270"/>
        <w:rPr>
          <w:rFonts w:ascii="Times New Roman" w:eastAsia="Times New Roman" w:hAnsi="Times New Roman" w:cs="Times New Roman"/>
          <w:color w:val="auto"/>
        </w:rPr>
      </w:pPr>
      <w:r w:rsidRPr="00424F51">
        <w:rPr>
          <w:rFonts w:ascii="Times New Roman" w:hAnsi="Times New Roman" w:cs="Times New Roman"/>
          <w:color w:val="auto"/>
        </w:rPr>
        <w:t>Pursuant to SEC Rule 240.17f</w:t>
      </w:r>
      <w:r w:rsidR="00490DF3" w:rsidRPr="00424F51">
        <w:rPr>
          <w:rFonts w:ascii="Times New Roman" w:hAnsi="Times New Roman" w:cs="Times New Roman"/>
          <w:color w:val="auto"/>
        </w:rPr>
        <w:t>-</w:t>
      </w:r>
      <w:r w:rsidRPr="00424F51">
        <w:rPr>
          <w:rFonts w:ascii="Times New Roman" w:hAnsi="Times New Roman" w:cs="Times New Roman"/>
          <w:color w:val="auto"/>
        </w:rPr>
        <w:t>2</w:t>
      </w:r>
      <w:r w:rsidR="00490DF3" w:rsidRPr="00424F51">
        <w:rPr>
          <w:rFonts w:ascii="Times New Roman" w:hAnsi="Times New Roman" w:cs="Times New Roman"/>
          <w:color w:val="auto"/>
        </w:rPr>
        <w:t xml:space="preserve"> </w:t>
      </w:r>
      <w:r w:rsidRPr="00424F51">
        <w:rPr>
          <w:rFonts w:ascii="Times New Roman" w:hAnsi="Times New Roman" w:cs="Times New Roman"/>
          <w:color w:val="auto"/>
        </w:rPr>
        <w:t xml:space="preserve">of the Securities </w:t>
      </w:r>
      <w:r w:rsidR="000224B0" w:rsidRPr="00424F51">
        <w:rPr>
          <w:rFonts w:ascii="Times New Roman" w:hAnsi="Times New Roman" w:cs="Times New Roman"/>
          <w:color w:val="auto"/>
        </w:rPr>
        <w:t xml:space="preserve">Exchange </w:t>
      </w:r>
      <w:r w:rsidRPr="00424F51">
        <w:rPr>
          <w:rFonts w:ascii="Times New Roman" w:hAnsi="Times New Roman" w:cs="Times New Roman"/>
          <w:color w:val="auto"/>
        </w:rPr>
        <w:t xml:space="preserve">Act of 1934, Company </w:t>
      </w:r>
      <w:r w:rsidRPr="00424F51">
        <w:rPr>
          <w:rFonts w:ascii="Times New Roman" w:eastAsia="Times New Roman" w:hAnsi="Times New Roman" w:cs="Times New Roman"/>
          <w:color w:val="auto"/>
        </w:rPr>
        <w:t>shall require that each of its partners, directors, officers and employees be fingerprinted and shall submit, or cause to be submitted, the fingerprints of such persons to the Attorney General of the United States or its designee for identification and appropriate processing</w:t>
      </w:r>
      <w:r w:rsidR="00A8404A" w:rsidRPr="00424F51">
        <w:rPr>
          <w:rFonts w:ascii="Times New Roman" w:eastAsia="Times New Roman" w:hAnsi="Times New Roman" w:cs="Times New Roman"/>
          <w:color w:val="auto"/>
        </w:rPr>
        <w:t xml:space="preserve"> unless otherwise exempt</w:t>
      </w:r>
      <w:r w:rsidRPr="00424F51">
        <w:rPr>
          <w:rFonts w:ascii="Times New Roman" w:eastAsia="Times New Roman" w:hAnsi="Times New Roman" w:cs="Times New Roman"/>
          <w:color w:val="auto"/>
        </w:rPr>
        <w:t>.</w:t>
      </w:r>
    </w:p>
    <w:p w14:paraId="717FF033" w14:textId="77777777" w:rsidR="00340FA2" w:rsidRPr="00424F51" w:rsidRDefault="00340FA2" w:rsidP="00340FA2">
      <w:pPr>
        <w:rPr>
          <w:sz w:val="24"/>
          <w:szCs w:val="24"/>
        </w:rPr>
      </w:pPr>
    </w:p>
    <w:p w14:paraId="542EB7A8" w14:textId="77777777" w:rsidR="0099235C" w:rsidRPr="00424F51" w:rsidRDefault="004D136C" w:rsidP="0099235C">
      <w:pPr>
        <w:ind w:left="270"/>
        <w:rPr>
          <w:sz w:val="24"/>
          <w:szCs w:val="24"/>
        </w:rPr>
      </w:pPr>
      <w:r w:rsidRPr="00424F51">
        <w:rPr>
          <w:i/>
          <w:iCs/>
          <w:sz w:val="24"/>
          <w:szCs w:val="24"/>
        </w:rPr>
        <w:t>Permissive exemptions</w:t>
      </w:r>
      <w:r w:rsidRPr="00424F51">
        <w:rPr>
          <w:sz w:val="24"/>
          <w:szCs w:val="24"/>
        </w:rPr>
        <w:t xml:space="preserve"> </w:t>
      </w:r>
    </w:p>
    <w:p w14:paraId="1F488DDC" w14:textId="77777777" w:rsidR="004D136C" w:rsidRPr="00424F51" w:rsidRDefault="004D136C" w:rsidP="0099235C">
      <w:pPr>
        <w:ind w:left="270"/>
        <w:rPr>
          <w:sz w:val="24"/>
          <w:szCs w:val="24"/>
        </w:rPr>
      </w:pPr>
      <w:r w:rsidRPr="00424F51">
        <w:rPr>
          <w:sz w:val="24"/>
          <w:szCs w:val="24"/>
        </w:rPr>
        <w:t>Every member of a national securities exchange, broker, dealer, registered transfer agent and registered clearing agency may claim one or more of the exemptions in paragraph (a)(1) (</w:t>
      </w:r>
      <w:proofErr w:type="spellStart"/>
      <w:r w:rsidRPr="00424F51">
        <w:rPr>
          <w:sz w:val="24"/>
          <w:szCs w:val="24"/>
        </w:rPr>
        <w:t>i</w:t>
      </w:r>
      <w:proofErr w:type="spellEnd"/>
      <w:r w:rsidRPr="00424F51">
        <w:rPr>
          <w:sz w:val="24"/>
          <w:szCs w:val="24"/>
        </w:rPr>
        <w:t xml:space="preserve">), (ii), (iii) or (iv) of this section; </w:t>
      </w:r>
      <w:r w:rsidR="0059236B">
        <w:rPr>
          <w:i/>
          <w:iCs/>
          <w:sz w:val="24"/>
          <w:szCs w:val="24"/>
        </w:rPr>
        <w:t>pr</w:t>
      </w:r>
      <w:r w:rsidRPr="00424F51">
        <w:rPr>
          <w:i/>
          <w:iCs/>
          <w:sz w:val="24"/>
          <w:szCs w:val="24"/>
        </w:rPr>
        <w:t>ovided,</w:t>
      </w:r>
      <w:r w:rsidR="0059236B">
        <w:rPr>
          <w:sz w:val="24"/>
          <w:szCs w:val="24"/>
        </w:rPr>
        <w:t xml:space="preserve"> t</w:t>
      </w:r>
      <w:r w:rsidRPr="00424F51">
        <w:rPr>
          <w:sz w:val="24"/>
          <w:szCs w:val="24"/>
        </w:rPr>
        <w:t>hat all the requirements of paragraph (e) of this section are also satisfied.</w:t>
      </w:r>
    </w:p>
    <w:p w14:paraId="3D7704FE" w14:textId="77777777" w:rsidR="004D136C" w:rsidRPr="00424F51" w:rsidRDefault="004D136C" w:rsidP="0099235C">
      <w:pPr>
        <w:ind w:left="810" w:hanging="335"/>
        <w:rPr>
          <w:sz w:val="24"/>
          <w:szCs w:val="24"/>
        </w:rPr>
      </w:pPr>
      <w:r w:rsidRPr="00424F51">
        <w:rPr>
          <w:sz w:val="24"/>
          <w:szCs w:val="24"/>
        </w:rPr>
        <w:t>(</w:t>
      </w:r>
      <w:proofErr w:type="spellStart"/>
      <w:r w:rsidRPr="00424F51">
        <w:rPr>
          <w:sz w:val="24"/>
          <w:szCs w:val="24"/>
        </w:rPr>
        <w:t>i</w:t>
      </w:r>
      <w:proofErr w:type="spellEnd"/>
      <w:r w:rsidRPr="00424F51">
        <w:rPr>
          <w:sz w:val="24"/>
          <w:szCs w:val="24"/>
        </w:rPr>
        <w:t xml:space="preserve">) </w:t>
      </w:r>
      <w:r w:rsidRPr="00424F51">
        <w:rPr>
          <w:i/>
          <w:iCs/>
          <w:sz w:val="24"/>
          <w:szCs w:val="24"/>
        </w:rPr>
        <w:t>Member of a national securities exchange, broker, dealer or registered clearing agency.</w:t>
      </w:r>
      <w:r w:rsidRPr="00424F51">
        <w:rPr>
          <w:sz w:val="24"/>
          <w:szCs w:val="24"/>
        </w:rPr>
        <w:t xml:space="preserve"> Every person who is a partner, director, officer or employee of a member of a national </w:t>
      </w:r>
      <w:r w:rsidRPr="00424F51">
        <w:rPr>
          <w:sz w:val="24"/>
          <w:szCs w:val="24"/>
        </w:rPr>
        <w:lastRenderedPageBreak/>
        <w:t>securities exchange, broker, dealer, or registered clearing agency shall be exempt if that person:</w:t>
      </w:r>
    </w:p>
    <w:p w14:paraId="1A075679" w14:textId="77777777" w:rsidR="004D136C" w:rsidRPr="00424F51" w:rsidRDefault="004D136C" w:rsidP="0099235C">
      <w:pPr>
        <w:ind w:left="810"/>
        <w:rPr>
          <w:sz w:val="24"/>
          <w:szCs w:val="24"/>
        </w:rPr>
      </w:pPr>
      <w:r w:rsidRPr="00424F51">
        <w:rPr>
          <w:sz w:val="24"/>
          <w:szCs w:val="24"/>
        </w:rPr>
        <w:t>(A) Is not engaged in the sale of securities;</w:t>
      </w:r>
    </w:p>
    <w:p w14:paraId="268D1D66" w14:textId="77777777" w:rsidR="004D136C" w:rsidRPr="00424F51" w:rsidRDefault="004D136C" w:rsidP="0099235C">
      <w:pPr>
        <w:ind w:left="810"/>
        <w:rPr>
          <w:sz w:val="24"/>
          <w:szCs w:val="24"/>
        </w:rPr>
      </w:pPr>
      <w:r w:rsidRPr="00424F51">
        <w:rPr>
          <w:sz w:val="24"/>
          <w:szCs w:val="24"/>
        </w:rPr>
        <w:t>(B) Does not regularly have access to the keeping, handling or processing of (</w:t>
      </w:r>
      <w:r w:rsidRPr="00424F51">
        <w:rPr>
          <w:i/>
          <w:iCs/>
          <w:sz w:val="24"/>
          <w:szCs w:val="24"/>
        </w:rPr>
        <w:t>1</w:t>
      </w:r>
      <w:r w:rsidRPr="00424F51">
        <w:rPr>
          <w:sz w:val="24"/>
          <w:szCs w:val="24"/>
        </w:rPr>
        <w:t>) securities, (</w:t>
      </w:r>
      <w:r w:rsidRPr="00424F51">
        <w:rPr>
          <w:i/>
          <w:iCs/>
          <w:sz w:val="24"/>
          <w:szCs w:val="24"/>
        </w:rPr>
        <w:t>2</w:t>
      </w:r>
      <w:r w:rsidRPr="00424F51">
        <w:rPr>
          <w:sz w:val="24"/>
          <w:szCs w:val="24"/>
        </w:rPr>
        <w:t>) monies, or (</w:t>
      </w:r>
      <w:r w:rsidRPr="00424F51">
        <w:rPr>
          <w:i/>
          <w:iCs/>
          <w:sz w:val="24"/>
          <w:szCs w:val="24"/>
        </w:rPr>
        <w:t>3</w:t>
      </w:r>
      <w:r w:rsidRPr="00424F51">
        <w:rPr>
          <w:sz w:val="24"/>
          <w:szCs w:val="24"/>
        </w:rPr>
        <w:t>) the original books and records relating to the securities or the monies; and</w:t>
      </w:r>
    </w:p>
    <w:p w14:paraId="0EADA9CD" w14:textId="77777777" w:rsidR="004D136C" w:rsidRPr="00424F51" w:rsidRDefault="004D136C" w:rsidP="0099235C">
      <w:pPr>
        <w:ind w:left="810"/>
        <w:rPr>
          <w:sz w:val="24"/>
          <w:szCs w:val="24"/>
        </w:rPr>
      </w:pPr>
      <w:r w:rsidRPr="00424F51">
        <w:rPr>
          <w:sz w:val="24"/>
          <w:szCs w:val="24"/>
        </w:rPr>
        <w:t>(C) Does not have direct supervisory responsibility over persons engaged in the activities referred to in paragraphs (a)(1)(</w:t>
      </w:r>
      <w:proofErr w:type="spellStart"/>
      <w:r w:rsidRPr="00424F51">
        <w:rPr>
          <w:sz w:val="24"/>
          <w:szCs w:val="24"/>
        </w:rPr>
        <w:t>i</w:t>
      </w:r>
      <w:proofErr w:type="spellEnd"/>
      <w:r w:rsidRPr="00424F51">
        <w:rPr>
          <w:sz w:val="24"/>
          <w:szCs w:val="24"/>
        </w:rPr>
        <w:t>) (A) and (B) of this section.</w:t>
      </w:r>
    </w:p>
    <w:p w14:paraId="3757C57C" w14:textId="77777777" w:rsidR="004D136C" w:rsidRPr="00424F51" w:rsidRDefault="004D136C" w:rsidP="0099235C">
      <w:pPr>
        <w:ind w:left="810" w:hanging="335"/>
        <w:rPr>
          <w:sz w:val="24"/>
          <w:szCs w:val="24"/>
        </w:rPr>
      </w:pPr>
      <w:r w:rsidRPr="00424F51">
        <w:rPr>
          <w:sz w:val="24"/>
          <w:szCs w:val="24"/>
        </w:rPr>
        <w:t xml:space="preserve">(ii) </w:t>
      </w:r>
      <w:r w:rsidRPr="00424F51">
        <w:rPr>
          <w:i/>
          <w:iCs/>
          <w:sz w:val="24"/>
          <w:szCs w:val="24"/>
        </w:rPr>
        <w:t>Registered transfer agents.</w:t>
      </w:r>
      <w:r w:rsidRPr="00424F51">
        <w:rPr>
          <w:sz w:val="24"/>
          <w:szCs w:val="24"/>
        </w:rPr>
        <w:t xml:space="preserve"> Every person who is a partner, director, officer or employee of a registered transfer agent shall be exempt if that person:</w:t>
      </w:r>
    </w:p>
    <w:p w14:paraId="3D3FFFBD" w14:textId="77777777" w:rsidR="004D136C" w:rsidRPr="00424F51" w:rsidRDefault="004D136C" w:rsidP="0099235C">
      <w:pPr>
        <w:ind w:left="810"/>
        <w:rPr>
          <w:sz w:val="24"/>
          <w:szCs w:val="24"/>
        </w:rPr>
      </w:pPr>
      <w:r w:rsidRPr="00424F51">
        <w:rPr>
          <w:sz w:val="24"/>
          <w:szCs w:val="24"/>
        </w:rPr>
        <w:t>(A) Is not engaged in transfer agent functions (as defined in section 3(a)(25) of the Securities Exchange Act of 1934) or activities incidental thereto; or</w:t>
      </w:r>
    </w:p>
    <w:p w14:paraId="5B42B965" w14:textId="77777777" w:rsidR="004D136C" w:rsidRPr="00424F51" w:rsidRDefault="004D136C" w:rsidP="0099235C">
      <w:pPr>
        <w:ind w:left="810"/>
        <w:rPr>
          <w:sz w:val="24"/>
          <w:szCs w:val="24"/>
        </w:rPr>
      </w:pPr>
      <w:r w:rsidRPr="00424F51">
        <w:rPr>
          <w:sz w:val="24"/>
          <w:szCs w:val="24"/>
        </w:rPr>
        <w:t>(B) Meets the conditions in paragraphs (a)(1)(</w:t>
      </w:r>
      <w:proofErr w:type="spellStart"/>
      <w:r w:rsidRPr="00424F51">
        <w:rPr>
          <w:sz w:val="24"/>
          <w:szCs w:val="24"/>
        </w:rPr>
        <w:t>i</w:t>
      </w:r>
      <w:proofErr w:type="spellEnd"/>
      <w:r w:rsidRPr="00424F51">
        <w:rPr>
          <w:sz w:val="24"/>
          <w:szCs w:val="24"/>
        </w:rPr>
        <w:t>) (B) and (C) of this section.</w:t>
      </w:r>
    </w:p>
    <w:p w14:paraId="29CF3953" w14:textId="77777777" w:rsidR="004D136C" w:rsidRPr="00424F51" w:rsidRDefault="004D136C" w:rsidP="0099235C">
      <w:pPr>
        <w:ind w:left="900" w:hanging="425"/>
        <w:rPr>
          <w:sz w:val="24"/>
          <w:szCs w:val="24"/>
        </w:rPr>
      </w:pPr>
      <w:r w:rsidRPr="00424F51">
        <w:rPr>
          <w:sz w:val="24"/>
          <w:szCs w:val="24"/>
        </w:rPr>
        <w:t xml:space="preserve">(iii) </w:t>
      </w:r>
      <w:r w:rsidRPr="00424F51">
        <w:rPr>
          <w:i/>
          <w:iCs/>
          <w:sz w:val="24"/>
          <w:szCs w:val="24"/>
        </w:rPr>
        <w:t>Registered broker-dealers engaged in sales of certain securities.</w:t>
      </w:r>
      <w:r w:rsidRPr="00424F51">
        <w:rPr>
          <w:sz w:val="24"/>
          <w:szCs w:val="24"/>
        </w:rPr>
        <w:t xml:space="preserve"> Every partner, director, officer and employee of a registered broker or dealer who satisfies paragraph (a)(1)(</w:t>
      </w:r>
      <w:proofErr w:type="spellStart"/>
      <w:r w:rsidRPr="00424F51">
        <w:rPr>
          <w:sz w:val="24"/>
          <w:szCs w:val="24"/>
        </w:rPr>
        <w:t>i</w:t>
      </w:r>
      <w:proofErr w:type="spellEnd"/>
      <w:r w:rsidRPr="00424F51">
        <w:rPr>
          <w:sz w:val="24"/>
          <w:szCs w:val="24"/>
        </w:rPr>
        <w:t>)(B) of this section shall be exempt if that broker or dealer:</w:t>
      </w:r>
    </w:p>
    <w:p w14:paraId="0DD6F2A2" w14:textId="77777777" w:rsidR="004D136C" w:rsidRPr="00424F51" w:rsidRDefault="004D136C" w:rsidP="0099235C">
      <w:pPr>
        <w:ind w:left="810"/>
        <w:rPr>
          <w:sz w:val="24"/>
          <w:szCs w:val="24"/>
        </w:rPr>
      </w:pPr>
      <w:r w:rsidRPr="00424F51">
        <w:rPr>
          <w:sz w:val="24"/>
          <w:szCs w:val="24"/>
        </w:rPr>
        <w:t xml:space="preserve">(A) Is engaged exclusively in the sale of shares of registered open-end management investment companies, variable contracts, or interests in limited partnerships, unit investment trusts or real estate investment trusts; </w:t>
      </w:r>
      <w:r w:rsidRPr="00424F51">
        <w:rPr>
          <w:i/>
          <w:iCs/>
          <w:sz w:val="24"/>
          <w:szCs w:val="24"/>
        </w:rPr>
        <w:t>Provided,</w:t>
      </w:r>
      <w:r w:rsidRPr="00424F51">
        <w:rPr>
          <w:sz w:val="24"/>
          <w:szCs w:val="24"/>
        </w:rPr>
        <w:t xml:space="preserve"> That those securities ordinarily are not evidenced by certificates;</w:t>
      </w:r>
    </w:p>
    <w:p w14:paraId="0A26DD4A" w14:textId="77777777" w:rsidR="004D136C" w:rsidRPr="00424F51" w:rsidRDefault="004D136C" w:rsidP="0099235C">
      <w:pPr>
        <w:ind w:left="810"/>
        <w:rPr>
          <w:sz w:val="24"/>
          <w:szCs w:val="24"/>
        </w:rPr>
      </w:pPr>
      <w:r w:rsidRPr="00424F51">
        <w:rPr>
          <w:sz w:val="24"/>
          <w:szCs w:val="24"/>
        </w:rPr>
        <w:t>(B) Is current in its continuing obligation under §§ 240.15b1-1 and 15b3-1(b) to update Item 10 of Form BD to disclose the existence of any statutory disqualification set forth in sections 3(a)(39), 15(b)(4) and 15(b)(6) of the Securities Exchange Act of 1934;</w:t>
      </w:r>
    </w:p>
    <w:p w14:paraId="10040859" w14:textId="77777777" w:rsidR="004D136C" w:rsidRPr="00424F51" w:rsidRDefault="004D136C" w:rsidP="0099235C">
      <w:pPr>
        <w:ind w:left="810"/>
        <w:rPr>
          <w:sz w:val="24"/>
          <w:szCs w:val="24"/>
        </w:rPr>
      </w:pPr>
      <w:r w:rsidRPr="00424F51">
        <w:rPr>
          <w:sz w:val="24"/>
          <w:szCs w:val="24"/>
        </w:rPr>
        <w:t>(C) Has insurance or bonding indemnifying it for losses to customers caused by the fraudulent or criminal acts of any of its partners, directors, officers or employees for whom an exemption is being claimed under paragraph (a)(1)(iii) of this section; and</w:t>
      </w:r>
    </w:p>
    <w:p w14:paraId="05C0F51C" w14:textId="77777777" w:rsidR="004D136C" w:rsidRPr="00424F51" w:rsidRDefault="004D136C" w:rsidP="0099235C">
      <w:pPr>
        <w:ind w:left="810"/>
        <w:rPr>
          <w:sz w:val="24"/>
          <w:szCs w:val="24"/>
        </w:rPr>
      </w:pPr>
      <w:r w:rsidRPr="00424F51">
        <w:rPr>
          <w:sz w:val="24"/>
          <w:szCs w:val="24"/>
        </w:rPr>
        <w:t>(D) Is subject to the jurisdiction of a state insurance department with respect to its sale of variable contracts.</w:t>
      </w:r>
    </w:p>
    <w:p w14:paraId="5687DE2E" w14:textId="77777777" w:rsidR="004D136C" w:rsidRPr="00424F51" w:rsidRDefault="004D136C" w:rsidP="0099235C">
      <w:pPr>
        <w:ind w:left="900" w:hanging="425"/>
        <w:rPr>
          <w:sz w:val="24"/>
          <w:szCs w:val="24"/>
        </w:rPr>
      </w:pPr>
      <w:r w:rsidRPr="00424F51">
        <w:rPr>
          <w:sz w:val="24"/>
          <w:szCs w:val="24"/>
        </w:rPr>
        <w:t xml:space="preserve">(iv) </w:t>
      </w:r>
      <w:r w:rsidRPr="00424F51">
        <w:rPr>
          <w:i/>
          <w:iCs/>
          <w:sz w:val="24"/>
          <w:szCs w:val="24"/>
        </w:rPr>
        <w:t>Illegible fingerprint cards.</w:t>
      </w:r>
      <w:r w:rsidRPr="00424F51">
        <w:rPr>
          <w:sz w:val="24"/>
          <w:szCs w:val="24"/>
        </w:rPr>
        <w:t xml:space="preserve"> Every person who is a partner, director, officer or employee shall be exempt if that member of a national securities exchange, broker, dealer, registered transfer agent or registered clearing agency, on at least three occasions:</w:t>
      </w:r>
    </w:p>
    <w:p w14:paraId="35636E97" w14:textId="77777777" w:rsidR="004D136C" w:rsidRPr="00424F51" w:rsidRDefault="004D136C" w:rsidP="0089413B">
      <w:pPr>
        <w:ind w:left="900"/>
        <w:rPr>
          <w:sz w:val="24"/>
          <w:szCs w:val="24"/>
        </w:rPr>
      </w:pPr>
      <w:r w:rsidRPr="00424F51">
        <w:rPr>
          <w:sz w:val="24"/>
          <w:szCs w:val="24"/>
        </w:rPr>
        <w:t>(A) Attempts in good faith to obtain from such person a complete set of fingerprints acceptable to the Attorney General or its designee for identification and appropriate processing by requiring that person to be fingerprinted, by having that person's fingerprints rolled by a person competent to do so and by submitting the fingerprint cards for that person to the Attorney General of the United States or its designee in accordance with proper procedures;</w:t>
      </w:r>
    </w:p>
    <w:p w14:paraId="42967591" w14:textId="77777777" w:rsidR="004D136C" w:rsidRPr="00424F51" w:rsidRDefault="004D136C" w:rsidP="0089413B">
      <w:pPr>
        <w:ind w:left="900"/>
        <w:rPr>
          <w:sz w:val="24"/>
          <w:szCs w:val="24"/>
        </w:rPr>
      </w:pPr>
      <w:r w:rsidRPr="00424F51">
        <w:rPr>
          <w:sz w:val="24"/>
          <w:szCs w:val="24"/>
        </w:rPr>
        <w:t>(B) Has that person's fingerprint cards returned to it by the Attorney General of the United States or its designee without that person's fingerprints having been identified because the fingerprints were illegible; and</w:t>
      </w:r>
    </w:p>
    <w:p w14:paraId="212905EF" w14:textId="77777777" w:rsidR="004D136C" w:rsidRPr="00424F51" w:rsidRDefault="004D136C" w:rsidP="0089413B">
      <w:pPr>
        <w:ind w:left="900"/>
        <w:rPr>
          <w:sz w:val="24"/>
          <w:szCs w:val="24"/>
        </w:rPr>
      </w:pPr>
      <w:r w:rsidRPr="00424F51">
        <w:rPr>
          <w:sz w:val="24"/>
          <w:szCs w:val="24"/>
        </w:rPr>
        <w:t>(C) Retains the returned fingerprint cards and any other required records in accordance with paragraph (d) of this section and §§ 240.17a-3(a)(13), 17a-4(e)(2) and 240.17Ad-7(e)(1) under the Securities Exchange Act of 1934.</w:t>
      </w:r>
    </w:p>
    <w:p w14:paraId="3DD55586" w14:textId="77777777" w:rsidR="0099235C" w:rsidRPr="00424F51" w:rsidRDefault="0099235C" w:rsidP="004D136C">
      <w:pPr>
        <w:ind w:firstLine="475"/>
        <w:rPr>
          <w:sz w:val="24"/>
          <w:szCs w:val="24"/>
        </w:rPr>
      </w:pPr>
    </w:p>
    <w:p w14:paraId="3C3EDC42" w14:textId="77777777" w:rsidR="0099235C" w:rsidRPr="00424F51" w:rsidRDefault="004D136C" w:rsidP="0099235C">
      <w:pPr>
        <w:ind w:left="270"/>
        <w:rPr>
          <w:sz w:val="24"/>
          <w:szCs w:val="24"/>
        </w:rPr>
      </w:pPr>
      <w:r w:rsidRPr="00424F51">
        <w:rPr>
          <w:i/>
          <w:iCs/>
          <w:sz w:val="24"/>
          <w:szCs w:val="24"/>
        </w:rPr>
        <w:t>Other exemptions by application to the Commission</w:t>
      </w:r>
      <w:r w:rsidRPr="00424F51">
        <w:rPr>
          <w:sz w:val="24"/>
          <w:szCs w:val="24"/>
        </w:rPr>
        <w:t xml:space="preserve"> </w:t>
      </w:r>
    </w:p>
    <w:p w14:paraId="52949D01" w14:textId="77777777" w:rsidR="004D136C" w:rsidRPr="00424F51" w:rsidRDefault="004D136C" w:rsidP="0099235C">
      <w:pPr>
        <w:ind w:left="270"/>
        <w:rPr>
          <w:sz w:val="24"/>
          <w:szCs w:val="24"/>
        </w:rPr>
      </w:pPr>
      <w:r w:rsidRPr="00424F51">
        <w:rPr>
          <w:sz w:val="24"/>
          <w:szCs w:val="24"/>
        </w:rPr>
        <w:t xml:space="preserve">The Commission, upon specified terms, conditions and periods, may grant exemptions to any class of partners, directors, officers or employees of any member of a national securities exchange, broker, dealer, registered transfer agent or registered clearing agency, if the </w:t>
      </w:r>
      <w:r w:rsidRPr="00424F51">
        <w:rPr>
          <w:sz w:val="24"/>
          <w:szCs w:val="24"/>
        </w:rPr>
        <w:lastRenderedPageBreak/>
        <w:t>Commission finds that such action is not inconsistent with the public interest or the protection of investors.</w:t>
      </w:r>
    </w:p>
    <w:p w14:paraId="2A57FEB7" w14:textId="77777777" w:rsidR="0099235C" w:rsidRPr="00424F51" w:rsidRDefault="0099235C" w:rsidP="0099235C">
      <w:pPr>
        <w:rPr>
          <w:sz w:val="24"/>
          <w:szCs w:val="24"/>
        </w:rPr>
      </w:pPr>
    </w:p>
    <w:p w14:paraId="0CD373AC" w14:textId="77777777" w:rsidR="00D7455F" w:rsidRPr="00424F51" w:rsidRDefault="004D136C" w:rsidP="0099235C">
      <w:pPr>
        <w:ind w:left="270"/>
        <w:rPr>
          <w:sz w:val="24"/>
          <w:szCs w:val="24"/>
        </w:rPr>
      </w:pPr>
      <w:r w:rsidRPr="00424F51">
        <w:rPr>
          <w:i/>
          <w:iCs/>
          <w:sz w:val="24"/>
          <w:szCs w:val="24"/>
        </w:rPr>
        <w:t>Fingerprinting pursuant to other law</w:t>
      </w:r>
      <w:r w:rsidRPr="00424F51">
        <w:rPr>
          <w:sz w:val="24"/>
          <w:szCs w:val="24"/>
        </w:rPr>
        <w:t xml:space="preserve"> </w:t>
      </w:r>
    </w:p>
    <w:p w14:paraId="27094203" w14:textId="692B6F36" w:rsidR="004D136C" w:rsidRPr="00424F51" w:rsidRDefault="004D136C" w:rsidP="0099235C">
      <w:pPr>
        <w:ind w:left="270"/>
        <w:rPr>
          <w:sz w:val="24"/>
          <w:szCs w:val="24"/>
        </w:rPr>
      </w:pPr>
      <w:r w:rsidRPr="00424F51">
        <w:rPr>
          <w:sz w:val="24"/>
          <w:szCs w:val="24"/>
        </w:rPr>
        <w:t xml:space="preserve">Every member of a national securities exchange, broker, dealer, registered transfer agent and registered clearing agency may satisfy the fingerprinting requirement of section 17(f)(2) of the Securities Exchange Act of 1934 as to any partner, director, </w:t>
      </w:r>
      <w:r w:rsidR="007F0C5D" w:rsidRPr="00424F51">
        <w:rPr>
          <w:sz w:val="24"/>
          <w:szCs w:val="24"/>
        </w:rPr>
        <w:t>officer,</w:t>
      </w:r>
      <w:r w:rsidRPr="00424F51">
        <w:rPr>
          <w:sz w:val="24"/>
          <w:szCs w:val="24"/>
        </w:rPr>
        <w:t xml:space="preserve"> or employee, if:</w:t>
      </w:r>
    </w:p>
    <w:p w14:paraId="29362D3B" w14:textId="77777777" w:rsidR="004D136C" w:rsidRPr="00424F51" w:rsidRDefault="004D136C" w:rsidP="0099235C">
      <w:pPr>
        <w:ind w:left="720" w:firstLine="90"/>
        <w:rPr>
          <w:sz w:val="24"/>
          <w:szCs w:val="24"/>
        </w:rPr>
      </w:pPr>
      <w:r w:rsidRPr="00424F51">
        <w:rPr>
          <w:sz w:val="24"/>
          <w:szCs w:val="24"/>
        </w:rPr>
        <w:t>(1) The person, in connection with his or her present employment with such organization, has been fingerprinted pursuant to any other law, statute, rule or regulation of any state or federal government or agency thereof;</w:t>
      </w:r>
    </w:p>
    <w:p w14:paraId="1E71F67E" w14:textId="77777777" w:rsidR="004D136C" w:rsidRPr="00424F51" w:rsidRDefault="004D136C" w:rsidP="0099235C">
      <w:pPr>
        <w:ind w:left="720" w:firstLine="90"/>
        <w:rPr>
          <w:sz w:val="24"/>
          <w:szCs w:val="24"/>
        </w:rPr>
      </w:pPr>
      <w:r w:rsidRPr="00424F51">
        <w:rPr>
          <w:sz w:val="24"/>
          <w:szCs w:val="24"/>
        </w:rPr>
        <w:t>(2) The fingerprint cards for that person are submitted, or are caused to be submitted, to the Attorney General of the United States or its designee for identification and appropriate processing, and the Attorney General or its designee has processed those fingerprint cards; and</w:t>
      </w:r>
    </w:p>
    <w:p w14:paraId="150A133F" w14:textId="77777777" w:rsidR="004D136C" w:rsidRPr="00424F51" w:rsidRDefault="004D136C" w:rsidP="0099235C">
      <w:pPr>
        <w:ind w:left="720" w:firstLine="90"/>
        <w:rPr>
          <w:sz w:val="24"/>
          <w:szCs w:val="24"/>
        </w:rPr>
      </w:pPr>
      <w:r w:rsidRPr="00424F51">
        <w:rPr>
          <w:sz w:val="24"/>
          <w:szCs w:val="24"/>
        </w:rPr>
        <w:t>(3) The processed fingerprint cards or any substitute records, together with any information received from the Attorney General or its designee, are maintained in accordance with paragraph (d) of this section.</w:t>
      </w:r>
    </w:p>
    <w:p w14:paraId="3E9118B3" w14:textId="77777777" w:rsidR="00553899" w:rsidRPr="00424F51" w:rsidRDefault="00553899" w:rsidP="0099235C">
      <w:pPr>
        <w:ind w:left="720" w:firstLine="90"/>
        <w:rPr>
          <w:sz w:val="24"/>
          <w:szCs w:val="24"/>
        </w:rPr>
      </w:pPr>
    </w:p>
    <w:p w14:paraId="5F6D696F" w14:textId="77777777" w:rsidR="00C958EA" w:rsidRDefault="00C958EA" w:rsidP="005A1305">
      <w:pPr>
        <w:pStyle w:val="Heading3"/>
      </w:pPr>
      <w:r>
        <w:t>4.3.2 Registration Requirements</w:t>
      </w:r>
    </w:p>
    <w:p w14:paraId="0372C26F" w14:textId="087DBBAF" w:rsidR="005A1305" w:rsidRPr="005D1066" w:rsidRDefault="005A1305" w:rsidP="00B84EBE">
      <w:pPr>
        <w:ind w:left="270"/>
        <w:rPr>
          <w:sz w:val="24"/>
          <w:szCs w:val="24"/>
        </w:rPr>
      </w:pPr>
      <w:r w:rsidRPr="005D1066">
        <w:rPr>
          <w:sz w:val="24"/>
          <w:szCs w:val="24"/>
        </w:rPr>
        <w:t xml:space="preserve">Individuals registered prior to October 1, </w:t>
      </w:r>
      <w:r w:rsidR="00EE1016" w:rsidRPr="005D1066">
        <w:rPr>
          <w:sz w:val="24"/>
          <w:szCs w:val="24"/>
        </w:rPr>
        <w:t>2018,</w:t>
      </w:r>
      <w:r w:rsidRPr="005D1066">
        <w:rPr>
          <w:sz w:val="24"/>
          <w:szCs w:val="24"/>
        </w:rPr>
        <w:t xml:space="preserve"> who maintain their registration on or after that date may continue conducting business requiring their registration status without further requirements.  Individuals whose registration terminated between October 1, 2014, and September 30, </w:t>
      </w:r>
      <w:proofErr w:type="gramStart"/>
      <w:r w:rsidRPr="005D1066">
        <w:rPr>
          <w:sz w:val="24"/>
          <w:szCs w:val="24"/>
        </w:rPr>
        <w:t>2018</w:t>
      </w:r>
      <w:proofErr w:type="gramEnd"/>
      <w:r w:rsidRPr="005D1066">
        <w:rPr>
          <w:sz w:val="24"/>
          <w:szCs w:val="24"/>
        </w:rPr>
        <w:t xml:space="preserve"> are not required to take the Securities Industry Essentials (SIE) examination provided they re-register within four years from the date of their last registration.</w:t>
      </w:r>
    </w:p>
    <w:p w14:paraId="6499E082" w14:textId="77777777" w:rsidR="00B84EBE" w:rsidRPr="005D1066" w:rsidRDefault="00B84EBE" w:rsidP="00B84EBE">
      <w:pPr>
        <w:ind w:left="270"/>
        <w:rPr>
          <w:sz w:val="24"/>
          <w:szCs w:val="24"/>
        </w:rPr>
      </w:pPr>
    </w:p>
    <w:p w14:paraId="7E46C04D" w14:textId="4EEA9BD7" w:rsidR="00B84EBE" w:rsidRPr="005D1066" w:rsidRDefault="00B84EBE" w:rsidP="00B84EBE">
      <w:pPr>
        <w:ind w:left="270"/>
        <w:rPr>
          <w:sz w:val="24"/>
          <w:szCs w:val="24"/>
        </w:rPr>
      </w:pPr>
      <w:r w:rsidRPr="005D1066">
        <w:rPr>
          <w:sz w:val="24"/>
          <w:szCs w:val="24"/>
        </w:rPr>
        <w:t xml:space="preserve">Individuals registering as representatives after October 1, </w:t>
      </w:r>
      <w:r w:rsidR="00EE1016" w:rsidRPr="005D1066">
        <w:rPr>
          <w:sz w:val="24"/>
          <w:szCs w:val="24"/>
        </w:rPr>
        <w:t>2018,</w:t>
      </w:r>
      <w:r w:rsidRPr="005D1066">
        <w:rPr>
          <w:sz w:val="24"/>
          <w:szCs w:val="24"/>
        </w:rPr>
        <w:t xml:space="preserve"> must satisfy the following requirements:</w:t>
      </w:r>
    </w:p>
    <w:p w14:paraId="7B4C4B72" w14:textId="77777777" w:rsidR="00B84EBE" w:rsidRPr="005D1066" w:rsidRDefault="00B84EBE" w:rsidP="003E7B18">
      <w:pPr>
        <w:numPr>
          <w:ilvl w:val="0"/>
          <w:numId w:val="327"/>
        </w:numPr>
        <w:rPr>
          <w:sz w:val="24"/>
          <w:szCs w:val="24"/>
        </w:rPr>
      </w:pPr>
      <w:r w:rsidRPr="005D1066">
        <w:rPr>
          <w:sz w:val="24"/>
          <w:szCs w:val="24"/>
        </w:rPr>
        <w:t>Pass the SIE examination; and</w:t>
      </w:r>
    </w:p>
    <w:p w14:paraId="38F74FD2" w14:textId="77777777" w:rsidR="00B84EBE" w:rsidRPr="005D1066" w:rsidRDefault="00B84EBE" w:rsidP="003E7B18">
      <w:pPr>
        <w:numPr>
          <w:ilvl w:val="0"/>
          <w:numId w:val="327"/>
        </w:numPr>
        <w:rPr>
          <w:sz w:val="24"/>
          <w:szCs w:val="24"/>
        </w:rPr>
      </w:pPr>
      <w:r w:rsidRPr="005D1066">
        <w:rPr>
          <w:sz w:val="24"/>
          <w:szCs w:val="24"/>
        </w:rPr>
        <w:t>Pass a representative-level qualification examination (such as the Series 7 exam).</w:t>
      </w:r>
    </w:p>
    <w:p w14:paraId="02BE0B6D" w14:textId="77777777" w:rsidR="00234C8E" w:rsidRPr="005D1066" w:rsidRDefault="00234C8E" w:rsidP="003E7B18">
      <w:pPr>
        <w:numPr>
          <w:ilvl w:val="0"/>
          <w:numId w:val="327"/>
        </w:numPr>
        <w:rPr>
          <w:sz w:val="24"/>
          <w:szCs w:val="24"/>
        </w:rPr>
      </w:pPr>
      <w:r w:rsidRPr="005D1066">
        <w:rPr>
          <w:sz w:val="24"/>
          <w:szCs w:val="24"/>
        </w:rPr>
        <w:t>Principals are required to pass the SIE, representative level, and principal-level qualification examinations.</w:t>
      </w:r>
    </w:p>
    <w:p w14:paraId="4FC909CC" w14:textId="77777777" w:rsidR="004D3CCF" w:rsidRPr="005D1066" w:rsidRDefault="00665ADB" w:rsidP="003E7B18">
      <w:pPr>
        <w:numPr>
          <w:ilvl w:val="0"/>
          <w:numId w:val="327"/>
        </w:numPr>
        <w:rPr>
          <w:sz w:val="32"/>
          <w:szCs w:val="24"/>
        </w:rPr>
      </w:pPr>
      <w:r w:rsidRPr="005D1066">
        <w:rPr>
          <w:sz w:val="24"/>
        </w:rPr>
        <w:t xml:space="preserve">Compliance Officers </w:t>
      </w:r>
      <w:r w:rsidR="004D3CCF" w:rsidRPr="005D1066">
        <w:rPr>
          <w:sz w:val="24"/>
        </w:rPr>
        <w:t>qualifying on or after October 1 must qualify as a General Securities Representative including the SIE; General Securities Principal (Series 24); and Compliance Official (Series 14).</w:t>
      </w:r>
    </w:p>
    <w:p w14:paraId="6E89AF99" w14:textId="77777777" w:rsidR="00143202" w:rsidRPr="005D1066" w:rsidRDefault="00143202" w:rsidP="003E7B18">
      <w:pPr>
        <w:pStyle w:val="ListParagraph"/>
        <w:numPr>
          <w:ilvl w:val="0"/>
          <w:numId w:val="327"/>
        </w:numPr>
        <w:autoSpaceDE w:val="0"/>
        <w:autoSpaceDN w:val="0"/>
        <w:adjustRightInd w:val="0"/>
        <w:rPr>
          <w:sz w:val="24"/>
          <w:szCs w:val="24"/>
        </w:rPr>
      </w:pPr>
      <w:r w:rsidRPr="005D1066">
        <w:rPr>
          <w:sz w:val="24"/>
          <w:szCs w:val="24"/>
        </w:rPr>
        <w:t>Each person who is registered with FINRA as a General Securities Representative, United Kingdom Securities Representative, Canada Securities Representative, Options Representative, Registered Options Principal or General Securities Sales Supervisor is eligible to engage in security futures activities as a representative or principal, as applicable, provided that such individual completes a Firm Element continuing education program that addresses security futures products before such person engages in security futures activities.</w:t>
      </w:r>
    </w:p>
    <w:p w14:paraId="33228548" w14:textId="77777777" w:rsidR="00B84EBE" w:rsidRPr="005D1066" w:rsidRDefault="00B84EBE" w:rsidP="00B84EBE">
      <w:pPr>
        <w:ind w:firstLine="270"/>
        <w:rPr>
          <w:sz w:val="24"/>
          <w:szCs w:val="24"/>
        </w:rPr>
      </w:pPr>
    </w:p>
    <w:p w14:paraId="4E5FE902" w14:textId="77777777" w:rsidR="00B84EBE" w:rsidRPr="005D1066" w:rsidRDefault="00B84EBE" w:rsidP="00D604BD">
      <w:pPr>
        <w:ind w:left="270"/>
        <w:rPr>
          <w:sz w:val="24"/>
        </w:rPr>
      </w:pPr>
      <w:r w:rsidRPr="005D1066">
        <w:rPr>
          <w:sz w:val="24"/>
          <w:szCs w:val="24"/>
        </w:rPr>
        <w:t>Accepting customer orders requires registration as a representative.</w:t>
      </w:r>
      <w:r w:rsidR="0013334A" w:rsidRPr="005D1066">
        <w:rPr>
          <w:sz w:val="24"/>
          <w:szCs w:val="24"/>
        </w:rPr>
        <w:t xml:space="preserve"> </w:t>
      </w:r>
      <w:r w:rsidR="0013334A" w:rsidRPr="005D1066">
        <w:rPr>
          <w:sz w:val="24"/>
        </w:rPr>
        <w:t>Representatives who assume duties that require principal registration have 120 calendar days to pass the appropriate principal examination, provided that such person has at least 18 months of experience functioning as a registered representative within the five-year period immediately preceding the designation and has fulfilled all applicable prerequisite registration, fee and examination requirements prior to designation as a principal.</w:t>
      </w:r>
    </w:p>
    <w:p w14:paraId="507AC100" w14:textId="77777777" w:rsidR="00AC7183" w:rsidRPr="005D1066" w:rsidRDefault="00AC7183" w:rsidP="00AC7183">
      <w:pPr>
        <w:pStyle w:val="Normal34"/>
        <w:spacing w:before="0" w:beforeAutospacing="0" w:after="0" w:afterAutospacing="0"/>
        <w:ind w:left="270"/>
      </w:pPr>
    </w:p>
    <w:p w14:paraId="104AFD96" w14:textId="77777777" w:rsidR="00AC7183" w:rsidRPr="005D1066" w:rsidRDefault="00AC7183" w:rsidP="00AC7183">
      <w:pPr>
        <w:pStyle w:val="Normal34"/>
        <w:spacing w:before="0" w:beforeAutospacing="0" w:after="0" w:afterAutospacing="0"/>
        <w:ind w:left="270"/>
      </w:pPr>
      <w:r w:rsidRPr="005D1066">
        <w:t xml:space="preserve">Persons whose functions are solely and exclusively clerical or ministerial are not required to be registered. </w:t>
      </w:r>
    </w:p>
    <w:p w14:paraId="27EF1C24" w14:textId="77777777" w:rsidR="003A3BF2" w:rsidRPr="005D1066" w:rsidRDefault="003A3BF2" w:rsidP="00D604BD">
      <w:pPr>
        <w:ind w:left="270"/>
        <w:rPr>
          <w:sz w:val="24"/>
        </w:rPr>
      </w:pPr>
    </w:p>
    <w:p w14:paraId="1B1750D8" w14:textId="77777777" w:rsidR="003A3BF2" w:rsidRPr="005D1066" w:rsidRDefault="003A3BF2" w:rsidP="003A3BF2">
      <w:pPr>
        <w:ind w:left="270"/>
        <w:rPr>
          <w:sz w:val="24"/>
          <w:szCs w:val="24"/>
        </w:rPr>
      </w:pPr>
      <w:r w:rsidRPr="005D1066">
        <w:rPr>
          <w:sz w:val="24"/>
          <w:szCs w:val="24"/>
        </w:rPr>
        <w:t>When a registration is terminated, there are grace periods for re-registering before an individual must re-take examinations. These periods are:</w:t>
      </w:r>
    </w:p>
    <w:p w14:paraId="6885380C" w14:textId="77777777" w:rsidR="003A3BF2" w:rsidRPr="005D1066" w:rsidRDefault="003A3BF2" w:rsidP="003E7B18">
      <w:pPr>
        <w:numPr>
          <w:ilvl w:val="0"/>
          <w:numId w:val="328"/>
        </w:numPr>
        <w:ind w:hanging="90"/>
        <w:rPr>
          <w:sz w:val="24"/>
          <w:szCs w:val="24"/>
        </w:rPr>
      </w:pPr>
      <w:r w:rsidRPr="005D1066">
        <w:rPr>
          <w:sz w:val="24"/>
          <w:szCs w:val="24"/>
        </w:rPr>
        <w:t>SIE registration: four years</w:t>
      </w:r>
    </w:p>
    <w:p w14:paraId="59C40C6F" w14:textId="77777777" w:rsidR="00C77CC2" w:rsidRPr="005D1066" w:rsidRDefault="003A3BF2" w:rsidP="003E7B18">
      <w:pPr>
        <w:numPr>
          <w:ilvl w:val="0"/>
          <w:numId w:val="328"/>
        </w:numPr>
        <w:ind w:left="270" w:firstLine="360"/>
      </w:pPr>
      <w:r w:rsidRPr="005D1066">
        <w:rPr>
          <w:sz w:val="24"/>
          <w:szCs w:val="24"/>
        </w:rPr>
        <w:t>Representative or principal: two years</w:t>
      </w:r>
    </w:p>
    <w:p w14:paraId="511DE3A0" w14:textId="77777777" w:rsidR="009365E2" w:rsidRPr="005D1066" w:rsidRDefault="009365E2" w:rsidP="009365E2">
      <w:pPr>
        <w:spacing w:before="100" w:beforeAutospacing="1" w:after="100" w:afterAutospacing="1"/>
        <w:ind w:firstLine="270"/>
        <w:rPr>
          <w:sz w:val="24"/>
          <w:szCs w:val="24"/>
        </w:rPr>
      </w:pPr>
      <w:r w:rsidRPr="005D1066">
        <w:rPr>
          <w:sz w:val="24"/>
          <w:szCs w:val="24"/>
        </w:rPr>
        <w:t>SIE and MSRB exams are not required for the following:</w:t>
      </w:r>
    </w:p>
    <w:p w14:paraId="02B26126" w14:textId="77777777" w:rsidR="009365E2" w:rsidRPr="005D1066" w:rsidRDefault="009365E2" w:rsidP="003E7B18">
      <w:pPr>
        <w:numPr>
          <w:ilvl w:val="0"/>
          <w:numId w:val="330"/>
        </w:numPr>
        <w:tabs>
          <w:tab w:val="clear" w:pos="720"/>
          <w:tab w:val="num" w:pos="900"/>
        </w:tabs>
        <w:spacing w:before="100" w:beforeAutospacing="1" w:after="100" w:afterAutospacing="1"/>
        <w:ind w:left="900" w:hanging="270"/>
        <w:rPr>
          <w:sz w:val="24"/>
          <w:szCs w:val="24"/>
        </w:rPr>
      </w:pPr>
      <w:r w:rsidRPr="005D1066">
        <w:rPr>
          <w:sz w:val="24"/>
          <w:szCs w:val="24"/>
        </w:rPr>
        <w:t xml:space="preserve">Municipal securities representatives who qualified via the general </w:t>
      </w:r>
      <w:proofErr w:type="gramStart"/>
      <w:r w:rsidRPr="005D1066">
        <w:rPr>
          <w:sz w:val="24"/>
          <w:szCs w:val="24"/>
        </w:rPr>
        <w:t>securities</w:t>
      </w:r>
      <w:proofErr w:type="gramEnd"/>
      <w:r w:rsidRPr="005D1066">
        <w:rPr>
          <w:sz w:val="24"/>
          <w:szCs w:val="24"/>
        </w:rPr>
        <w:t xml:space="preserve"> representative exam prior to November 7, 2011</w:t>
      </w:r>
    </w:p>
    <w:p w14:paraId="10459120" w14:textId="77777777" w:rsidR="009365E2" w:rsidRPr="005D1066" w:rsidRDefault="009365E2" w:rsidP="003E7B18">
      <w:pPr>
        <w:numPr>
          <w:ilvl w:val="0"/>
          <w:numId w:val="330"/>
        </w:numPr>
        <w:tabs>
          <w:tab w:val="clear" w:pos="720"/>
          <w:tab w:val="num" w:pos="900"/>
        </w:tabs>
        <w:spacing w:before="100" w:beforeAutospacing="1" w:after="100" w:afterAutospacing="1"/>
        <w:ind w:left="900" w:hanging="270"/>
        <w:rPr>
          <w:sz w:val="24"/>
          <w:szCs w:val="24"/>
        </w:rPr>
      </w:pPr>
      <w:r w:rsidRPr="005D1066">
        <w:rPr>
          <w:sz w:val="24"/>
          <w:szCs w:val="24"/>
        </w:rPr>
        <w:t xml:space="preserve">Municipal securities sales limited representatives qualified as a general securities representative via the general </w:t>
      </w:r>
      <w:proofErr w:type="gramStart"/>
      <w:r w:rsidRPr="005D1066">
        <w:rPr>
          <w:sz w:val="24"/>
          <w:szCs w:val="24"/>
        </w:rPr>
        <w:t>securities</w:t>
      </w:r>
      <w:proofErr w:type="gramEnd"/>
      <w:r w:rsidRPr="005D1066">
        <w:rPr>
          <w:sz w:val="24"/>
          <w:szCs w:val="24"/>
        </w:rPr>
        <w:t xml:space="preserve"> representative exam</w:t>
      </w:r>
    </w:p>
    <w:p w14:paraId="57DD3372" w14:textId="77777777" w:rsidR="009365E2" w:rsidRPr="005D1066" w:rsidRDefault="009365E2" w:rsidP="003E7B18">
      <w:pPr>
        <w:numPr>
          <w:ilvl w:val="0"/>
          <w:numId w:val="330"/>
        </w:numPr>
        <w:tabs>
          <w:tab w:val="clear" w:pos="720"/>
          <w:tab w:val="num" w:pos="900"/>
        </w:tabs>
        <w:spacing w:before="100" w:beforeAutospacing="1" w:after="100" w:afterAutospacing="1"/>
        <w:ind w:left="900" w:hanging="270"/>
        <w:rPr>
          <w:sz w:val="24"/>
          <w:szCs w:val="24"/>
        </w:rPr>
      </w:pPr>
      <w:r w:rsidRPr="005D1066">
        <w:rPr>
          <w:sz w:val="24"/>
          <w:szCs w:val="24"/>
        </w:rPr>
        <w:t>Persons qualified as a limited representative-investment company and variable contracts products via taking the exam for that qualification</w:t>
      </w:r>
    </w:p>
    <w:p w14:paraId="5C0B7D72" w14:textId="77777777" w:rsidR="009365E2" w:rsidRPr="005D1066" w:rsidRDefault="009365E2" w:rsidP="009365E2">
      <w:pPr>
        <w:spacing w:before="100" w:beforeAutospacing="1" w:after="100" w:afterAutospacing="1"/>
        <w:ind w:left="270"/>
        <w:rPr>
          <w:sz w:val="24"/>
          <w:szCs w:val="24"/>
        </w:rPr>
      </w:pPr>
      <w:r w:rsidRPr="005D1066">
        <w:rPr>
          <w:sz w:val="24"/>
          <w:szCs w:val="24"/>
        </w:rPr>
        <w:t>Anyone who ceases association with a municipal dealer for two or more years is required to re-qualify.</w:t>
      </w:r>
    </w:p>
    <w:p w14:paraId="5F34C430" w14:textId="77777777" w:rsidR="00CF1A28" w:rsidRPr="005D1066" w:rsidRDefault="00CF1A28" w:rsidP="00CF1A28">
      <w:pPr>
        <w:pStyle w:val="Normal34"/>
        <w:spacing w:before="0" w:beforeAutospacing="0" w:after="0" w:afterAutospacing="0"/>
        <w:ind w:left="270"/>
        <w:rPr>
          <w:b/>
        </w:rPr>
      </w:pPr>
      <w:r w:rsidRPr="005D1066">
        <w:rPr>
          <w:b/>
        </w:rPr>
        <w:t>RR Numbers</w:t>
      </w:r>
    </w:p>
    <w:p w14:paraId="06574234" w14:textId="77777777" w:rsidR="00CF1A28" w:rsidRPr="005D1066" w:rsidRDefault="00CF1A28" w:rsidP="00CF1A28">
      <w:pPr>
        <w:autoSpaceDE w:val="0"/>
        <w:autoSpaceDN w:val="0"/>
        <w:adjustRightInd w:val="0"/>
        <w:ind w:left="270"/>
        <w:rPr>
          <w:sz w:val="24"/>
          <w:szCs w:val="24"/>
        </w:rPr>
      </w:pPr>
      <w:r w:rsidRPr="005D1066">
        <w:rPr>
          <w:sz w:val="24"/>
          <w:szCs w:val="24"/>
        </w:rPr>
        <w:t>RR numbers are assigned by Compliance (via a clearing firm assigned number). New numbers will not be assigned to individuals who are not yet registered with the Firm. An RR number may be assigned prior to registration approval when customer accounts are being transferred and the RR number is needed to transfer accounts. However, the number is not approved for conducting business until all registration approvals have been received.</w:t>
      </w:r>
    </w:p>
    <w:p w14:paraId="5C93736B" w14:textId="77777777" w:rsidR="00CF1A28" w:rsidRPr="00CF1A28" w:rsidRDefault="00CF1A28" w:rsidP="00CF1A28">
      <w:pPr>
        <w:pStyle w:val="Normal34"/>
        <w:spacing w:before="0" w:beforeAutospacing="0" w:after="0" w:afterAutospacing="0"/>
        <w:ind w:left="270"/>
        <w:rPr>
          <w:b/>
          <w:color w:val="FF0000"/>
        </w:rPr>
      </w:pPr>
    </w:p>
    <w:p w14:paraId="1FBFC85C" w14:textId="77777777" w:rsidR="00553899" w:rsidRPr="00424F51" w:rsidRDefault="00553899" w:rsidP="00553899">
      <w:pPr>
        <w:pStyle w:val="Heading3"/>
      </w:pPr>
      <w:r w:rsidRPr="00424F51">
        <w:t>4.3.</w:t>
      </w:r>
      <w:r w:rsidR="00C958EA">
        <w:t>3</w:t>
      </w:r>
      <w:r w:rsidRPr="00424F51">
        <w:t xml:space="preserve"> Record Maintenance</w:t>
      </w:r>
    </w:p>
    <w:p w14:paraId="1B7627E6" w14:textId="77777777" w:rsidR="006D2EB6" w:rsidRPr="00424F51" w:rsidRDefault="006D2EB6" w:rsidP="00553899">
      <w:pPr>
        <w:ind w:left="270"/>
        <w:rPr>
          <w:sz w:val="24"/>
          <w:szCs w:val="24"/>
        </w:rPr>
      </w:pPr>
      <w:r w:rsidRPr="00424F51">
        <w:rPr>
          <w:sz w:val="24"/>
          <w:szCs w:val="24"/>
        </w:rPr>
        <w:t>Company shall maintain a record and the disposition of the processed fingerprint card or any substitute record when such card is not returned after processing, together with any other information received from the Attorney General or its designee, for every person required to be fingerprinted</w:t>
      </w:r>
      <w:r w:rsidR="000224B0" w:rsidRPr="00424F51">
        <w:rPr>
          <w:sz w:val="24"/>
          <w:szCs w:val="24"/>
        </w:rPr>
        <w:t>.</w:t>
      </w:r>
    </w:p>
    <w:p w14:paraId="1EE5580E" w14:textId="77777777" w:rsidR="00A8404A" w:rsidRPr="0099235C" w:rsidRDefault="00A8404A" w:rsidP="00340FA2">
      <w:pPr>
        <w:rPr>
          <w:color w:val="FF0000"/>
          <w:sz w:val="24"/>
          <w:szCs w:val="24"/>
        </w:rPr>
      </w:pPr>
    </w:p>
    <w:p w14:paraId="5F6FDF16" w14:textId="77777777" w:rsidR="00186675" w:rsidRPr="00340FA2" w:rsidRDefault="00186675" w:rsidP="00340FA2">
      <w:pPr>
        <w:rPr>
          <w:sz w:val="24"/>
          <w:szCs w:val="24"/>
        </w:rPr>
      </w:pPr>
    </w:p>
    <w:p w14:paraId="61CE2C34" w14:textId="77777777" w:rsidR="00186675" w:rsidRPr="000C570A" w:rsidRDefault="00CF784A" w:rsidP="00936FEE">
      <w:pPr>
        <w:pStyle w:val="Heading2"/>
      </w:pPr>
      <w:bookmarkStart w:id="45" w:name="OBA"/>
      <w:bookmarkEnd w:id="45"/>
      <w:r w:rsidRPr="000C570A">
        <w:t>4.4 Outside</w:t>
      </w:r>
      <w:r w:rsidR="00186675" w:rsidRPr="000C570A">
        <w:t xml:space="preserve"> Business Activities </w:t>
      </w:r>
      <w:r w:rsidR="0059236B">
        <w:t xml:space="preserve">(OBA) </w:t>
      </w:r>
      <w:r w:rsidR="00186675" w:rsidRPr="000C570A">
        <w:t>and Private Securities Transactions</w:t>
      </w:r>
      <w:r w:rsidR="0059236B">
        <w:t xml:space="preserve"> (PST)</w:t>
      </w:r>
    </w:p>
    <w:p w14:paraId="3D829F3B" w14:textId="77777777" w:rsidR="00186675" w:rsidRPr="00135B3E" w:rsidRDefault="00186675" w:rsidP="006D56AD">
      <w:pPr>
        <w:rPr>
          <w:sz w:val="24"/>
        </w:rPr>
      </w:pPr>
      <w:r>
        <w:rPr>
          <w:sz w:val="24"/>
        </w:rPr>
        <w:t xml:space="preserve">In accordance with Rule </w:t>
      </w:r>
      <w:r w:rsidR="009F798B">
        <w:rPr>
          <w:sz w:val="24"/>
        </w:rPr>
        <w:t xml:space="preserve">FINRA </w:t>
      </w:r>
      <w:r>
        <w:rPr>
          <w:b/>
          <w:bCs/>
          <w:sz w:val="24"/>
        </w:rPr>
        <w:t>3</w:t>
      </w:r>
      <w:r w:rsidR="000D7E30">
        <w:rPr>
          <w:b/>
          <w:bCs/>
          <w:sz w:val="24"/>
        </w:rPr>
        <w:t>27</w:t>
      </w:r>
      <w:r>
        <w:rPr>
          <w:b/>
          <w:bCs/>
          <w:sz w:val="24"/>
        </w:rPr>
        <w:t>0</w:t>
      </w:r>
      <w:r>
        <w:rPr>
          <w:sz w:val="24"/>
        </w:rPr>
        <w:t xml:space="preserve">, no </w:t>
      </w:r>
      <w:r w:rsidR="00656BF9">
        <w:rPr>
          <w:sz w:val="24"/>
        </w:rPr>
        <w:t>RR</w:t>
      </w:r>
      <w:r>
        <w:rPr>
          <w:sz w:val="24"/>
        </w:rPr>
        <w:t xml:space="preserve"> shall accept compensation from any other person, or entity, as a result of any business activity, other than as a result of a passive investment, outside the scope of his/her relationship wit</w:t>
      </w:r>
      <w:r w:rsidR="00C935AC">
        <w:rPr>
          <w:sz w:val="24"/>
        </w:rPr>
        <w:t xml:space="preserve">h the Company unless he/she </w:t>
      </w:r>
      <w:r>
        <w:rPr>
          <w:sz w:val="24"/>
        </w:rPr>
        <w:t>provides prompt written notice to the Company prior to entering into such compensatory relationship, and the Company has approved such relati</w:t>
      </w:r>
      <w:r w:rsidR="00C935AC">
        <w:rPr>
          <w:sz w:val="24"/>
        </w:rPr>
        <w:t xml:space="preserve">onship in writing. Further, no </w:t>
      </w:r>
      <w:r w:rsidR="000475B7">
        <w:rPr>
          <w:sz w:val="24"/>
        </w:rPr>
        <w:t>RR</w:t>
      </w:r>
      <w:r>
        <w:rPr>
          <w:sz w:val="24"/>
        </w:rPr>
        <w:t xml:space="preserve"> of the Company shall participate in a private securities transaction without first obtaining the prior written approval of Morris Monroe</w:t>
      </w:r>
      <w:r w:rsidR="0081062E">
        <w:rPr>
          <w:sz w:val="24"/>
        </w:rPr>
        <w:t xml:space="preserve"> or his designee</w:t>
      </w:r>
      <w:r>
        <w:rPr>
          <w:sz w:val="24"/>
        </w:rPr>
        <w:t xml:space="preserve">. </w:t>
      </w:r>
      <w:r w:rsidR="0023404E">
        <w:rPr>
          <w:sz w:val="24"/>
        </w:rPr>
        <w:t xml:space="preserve"> </w:t>
      </w:r>
      <w:r w:rsidR="0023404E" w:rsidRPr="00135B3E">
        <w:rPr>
          <w:sz w:val="24"/>
        </w:rPr>
        <w:t>Included in Exhibit B of these procedures is an OBA form that should be used by RRs seeking to engage in an OBA and to submit to the Company.  Company will provide the RR a response to the RR indicating either approved or disapproved.</w:t>
      </w:r>
    </w:p>
    <w:p w14:paraId="57237A31" w14:textId="77777777" w:rsidR="000475B7" w:rsidRPr="00135B3E" w:rsidRDefault="000475B7" w:rsidP="006D56AD">
      <w:pPr>
        <w:rPr>
          <w:sz w:val="24"/>
        </w:rPr>
      </w:pPr>
    </w:p>
    <w:p w14:paraId="071388E3" w14:textId="77777777" w:rsidR="0023404E" w:rsidRPr="008239F6" w:rsidRDefault="0023404E" w:rsidP="006D56AD">
      <w:pPr>
        <w:pStyle w:val="Normal1"/>
        <w:spacing w:before="0" w:after="0" w:afterAutospacing="0" w:line="240" w:lineRule="auto"/>
        <w:rPr>
          <w:rFonts w:ascii="Times New Roman" w:hAnsi="Times New Roman" w:cs="Times New Roman"/>
          <w:sz w:val="24"/>
          <w:szCs w:val="24"/>
        </w:rPr>
      </w:pPr>
      <w:r w:rsidRPr="00135B3E">
        <w:rPr>
          <w:rFonts w:ascii="Times New Roman" w:hAnsi="Times New Roman" w:cs="Times New Roman"/>
          <w:snapToGrid w:val="0"/>
          <w:sz w:val="24"/>
          <w:szCs w:val="24"/>
        </w:rPr>
        <w:t xml:space="preserve">Compensation </w:t>
      </w:r>
      <w:r w:rsidRPr="00135B3E">
        <w:rPr>
          <w:rFonts w:ascii="Times New Roman" w:hAnsi="Times New Roman" w:cs="Times New Roman"/>
          <w:sz w:val="24"/>
          <w:szCs w:val="24"/>
        </w:rPr>
        <w:t xml:space="preserve">may include salary, stock options or warrants, referral fees, or providing of services or products as remuneration. Generally, remuneration consisting of anything </w:t>
      </w:r>
      <w:r w:rsidRPr="00135B3E">
        <w:rPr>
          <w:rFonts w:ascii="Times New Roman" w:hAnsi="Times New Roman" w:cs="Times New Roman"/>
          <w:sz w:val="24"/>
          <w:szCs w:val="24"/>
        </w:rPr>
        <w:lastRenderedPageBreak/>
        <w:t>of present or future value for services rendered may be considered compensation.</w:t>
      </w:r>
      <w:r w:rsidR="00773BE6">
        <w:rPr>
          <w:rFonts w:ascii="Times New Roman" w:hAnsi="Times New Roman" w:cs="Times New Roman"/>
          <w:sz w:val="24"/>
          <w:szCs w:val="24"/>
        </w:rPr>
        <w:t xml:space="preserve"> </w:t>
      </w:r>
      <w:r w:rsidR="00773BE6" w:rsidRPr="008239F6">
        <w:rPr>
          <w:rFonts w:ascii="Times New Roman" w:hAnsi="Times New Roman" w:cs="Times New Roman"/>
          <w:sz w:val="24"/>
          <w:szCs w:val="24"/>
        </w:rPr>
        <w:t xml:space="preserve">In addition, this may also include any activity in which there is no compensation, however, a position of control may exist for an entity (including charitable organizations). </w:t>
      </w:r>
    </w:p>
    <w:p w14:paraId="13773333" w14:textId="77777777" w:rsidR="0023404E" w:rsidRPr="00135B3E" w:rsidRDefault="0023404E" w:rsidP="006D56AD">
      <w:pPr>
        <w:pStyle w:val="NormalWeb"/>
        <w:spacing w:before="0" w:beforeAutospacing="0" w:after="0" w:afterAutospacing="0"/>
        <w:rPr>
          <w:rFonts w:ascii="Times New Roman" w:hAnsi="Times New Roman" w:cs="Times New Roman"/>
          <w:snapToGrid w:val="0"/>
          <w:color w:val="auto"/>
        </w:rPr>
      </w:pPr>
    </w:p>
    <w:p w14:paraId="5EF3F0FC" w14:textId="77777777" w:rsidR="000475B7" w:rsidRPr="00135B3E" w:rsidRDefault="000475B7" w:rsidP="006D56AD">
      <w:pPr>
        <w:pStyle w:val="NormalWeb"/>
        <w:spacing w:before="0" w:beforeAutospacing="0" w:after="0" w:afterAutospacing="0"/>
        <w:rPr>
          <w:rFonts w:ascii="Times New Roman" w:hAnsi="Times New Roman" w:cs="Times New Roman"/>
          <w:snapToGrid w:val="0"/>
          <w:color w:val="auto"/>
        </w:rPr>
      </w:pPr>
      <w:r w:rsidRPr="00135B3E">
        <w:rPr>
          <w:rFonts w:ascii="Times New Roman" w:hAnsi="Times New Roman" w:cs="Times New Roman"/>
          <w:snapToGrid w:val="0"/>
          <w:color w:val="auto"/>
        </w:rPr>
        <w:t>Further, Company will have to consider whether the proposed activity will: (1) interfere with or otherwise compromise the registered person’s responsibilities to the Company’s and/or its customers, or (2) be viewed by customers or the public as part of the Company’s business. Based on the review, the Company will have to evaluate whether to impose specific conditions or</w:t>
      </w:r>
      <w:r w:rsidRPr="000720AB">
        <w:rPr>
          <w:rFonts w:ascii="Times New Roman" w:hAnsi="Times New Roman" w:cs="Times New Roman"/>
          <w:snapToGrid w:val="0"/>
          <w:color w:val="FF0000"/>
        </w:rPr>
        <w:t xml:space="preserve"> </w:t>
      </w:r>
      <w:r w:rsidRPr="00135B3E">
        <w:rPr>
          <w:rFonts w:ascii="Times New Roman" w:hAnsi="Times New Roman" w:cs="Times New Roman"/>
          <w:snapToGrid w:val="0"/>
          <w:color w:val="auto"/>
        </w:rPr>
        <w:t xml:space="preserve">limitations on a registered person’s outside business activity up to and including prohibiting the activity. Company will also have to evaluate the activity to determine whether the activity is truly an outside business activity or whether it should be treated as an outside securities activity subject to the requirements. Additionally, it should be noted that with respect to registered persons who are actively engaged in an outside business activity prior to the December 15, </w:t>
      </w:r>
      <w:proofErr w:type="gramStart"/>
      <w:r w:rsidRPr="00135B3E">
        <w:rPr>
          <w:rFonts w:ascii="Times New Roman" w:hAnsi="Times New Roman" w:cs="Times New Roman"/>
          <w:snapToGrid w:val="0"/>
          <w:color w:val="auto"/>
        </w:rPr>
        <w:t>2010</w:t>
      </w:r>
      <w:proofErr w:type="gramEnd"/>
      <w:r w:rsidRPr="00135B3E">
        <w:rPr>
          <w:rFonts w:ascii="Times New Roman" w:hAnsi="Times New Roman" w:cs="Times New Roman"/>
          <w:snapToGrid w:val="0"/>
          <w:color w:val="auto"/>
        </w:rPr>
        <w:t xml:space="preserve"> effective date of the Rule, Company will have until June 15, 2011 to review such pre-existing activities, utilizing the standards set forth in the Rule, and document its compliance with such standards.</w:t>
      </w:r>
    </w:p>
    <w:p w14:paraId="4F70DBFF" w14:textId="77777777" w:rsidR="009A0733" w:rsidRDefault="009A0733" w:rsidP="006D56AD">
      <w:pPr>
        <w:pStyle w:val="NormalWeb"/>
        <w:spacing w:before="0" w:beforeAutospacing="0" w:after="0" w:afterAutospacing="0"/>
        <w:rPr>
          <w:rFonts w:ascii="Times New Roman" w:hAnsi="Times New Roman" w:cs="Times New Roman"/>
          <w:snapToGrid w:val="0"/>
          <w:color w:val="FF0000"/>
        </w:rPr>
      </w:pPr>
    </w:p>
    <w:p w14:paraId="28878F49" w14:textId="1FE0F0FB" w:rsidR="000475B7" w:rsidRPr="00560FFE" w:rsidRDefault="009A0733" w:rsidP="00B80489">
      <w:pPr>
        <w:pStyle w:val="NormalWeb"/>
        <w:spacing w:before="0" w:beforeAutospacing="0" w:after="0" w:afterAutospacing="0"/>
      </w:pPr>
      <w:r w:rsidRPr="00560FFE">
        <w:rPr>
          <w:rFonts w:ascii="Times New Roman" w:hAnsi="Times New Roman" w:cs="Times New Roman"/>
          <w:snapToGrid w:val="0"/>
          <w:color w:val="auto"/>
        </w:rPr>
        <w:t xml:space="preserve">To further detect any OBAs, Company will utilize a Certification Sheet included in any new representative package to ascertain any OBA at the onset of affiliation with Company.  In addition, Company will address OBAs more thoroughly at its Annual Compliance Meeting to ensure better understanding and reporting requirements </w:t>
      </w:r>
      <w:r w:rsidRPr="00560FFE">
        <w:rPr>
          <w:rFonts w:ascii="Times New Roman" w:hAnsi="Times New Roman" w:cs="Times New Roman"/>
          <w:i/>
          <w:snapToGrid w:val="0"/>
          <w:color w:val="auto"/>
          <w:sz w:val="16"/>
          <w:szCs w:val="16"/>
        </w:rPr>
        <w:t>(01/26/11)</w:t>
      </w:r>
      <w:r w:rsidRPr="00560FFE">
        <w:rPr>
          <w:rFonts w:ascii="Times New Roman" w:hAnsi="Times New Roman" w:cs="Times New Roman"/>
          <w:snapToGrid w:val="0"/>
          <w:color w:val="auto"/>
        </w:rPr>
        <w:t>.</w:t>
      </w:r>
    </w:p>
    <w:p w14:paraId="7390AE12" w14:textId="77777777" w:rsidR="00D87DA2" w:rsidRDefault="00D87DA2" w:rsidP="00D87DA2">
      <w:pPr>
        <w:jc w:val="both"/>
        <w:rPr>
          <w:sz w:val="24"/>
        </w:rPr>
      </w:pPr>
    </w:p>
    <w:p w14:paraId="1072DE7B" w14:textId="77777777" w:rsidR="00A2129F" w:rsidRDefault="00A2129F" w:rsidP="001A7509">
      <w:pPr>
        <w:pStyle w:val="Heading3"/>
      </w:pPr>
      <w:bookmarkStart w:id="46" w:name="PrivateSecTrx"/>
      <w:bookmarkEnd w:id="46"/>
      <w:r>
        <w:t>4.4.1   Private Securities Transactions</w:t>
      </w:r>
    </w:p>
    <w:p w14:paraId="21CDC491" w14:textId="77777777" w:rsidR="00A2129F" w:rsidRDefault="00A2129F" w:rsidP="00A2129F">
      <w:pPr>
        <w:ind w:left="270"/>
      </w:pPr>
    </w:p>
    <w:p w14:paraId="6DFAA4C6" w14:textId="77777777" w:rsidR="00A2129F" w:rsidRPr="00D114C8" w:rsidRDefault="00A2129F" w:rsidP="00A2129F">
      <w:pPr>
        <w:ind w:left="270"/>
        <w:rPr>
          <w:b/>
          <w:i/>
          <w:iCs/>
        </w:rPr>
      </w:pPr>
      <w:r w:rsidRPr="00D114C8">
        <w:rPr>
          <w:b/>
          <w:i/>
          <w:iCs/>
        </w:rPr>
        <w:t>Definitions</w:t>
      </w:r>
    </w:p>
    <w:p w14:paraId="43901F50" w14:textId="77777777" w:rsidR="00A2129F" w:rsidRPr="00B80489" w:rsidRDefault="00A2129F" w:rsidP="00A2129F">
      <w:pPr>
        <w:ind w:left="270"/>
        <w:rPr>
          <w:i/>
          <w:iCs/>
          <w:sz w:val="8"/>
          <w:szCs w:val="8"/>
        </w:rPr>
      </w:pPr>
    </w:p>
    <w:p w14:paraId="0B0E22BF" w14:textId="77777777" w:rsidR="00A2129F" w:rsidRDefault="00A2129F" w:rsidP="000D7E30">
      <w:pPr>
        <w:ind w:left="274"/>
        <w:jc w:val="both"/>
        <w:rPr>
          <w:sz w:val="24"/>
        </w:rPr>
      </w:pPr>
      <w:r>
        <w:rPr>
          <w:b/>
          <w:bCs/>
          <w:sz w:val="24"/>
        </w:rPr>
        <w:t>“Private securities transaction"</w:t>
      </w:r>
      <w:r>
        <w:rPr>
          <w:sz w:val="24"/>
        </w:rPr>
        <w:t xml:space="preserve"> shall mean any securities transaction outside the regular course or scope of an associated person's employment with a member, including, though not limited to, new offerings of securities which are not registered with the Commission, provided however that transactions subject to the notification requirements of Rule </w:t>
      </w:r>
      <w:r w:rsidR="007B7064" w:rsidRPr="006D5CDF">
        <w:rPr>
          <w:sz w:val="24"/>
          <w:szCs w:val="24"/>
        </w:rPr>
        <w:t>3280</w:t>
      </w:r>
      <w:r>
        <w:rPr>
          <w:sz w:val="24"/>
        </w:rPr>
        <w:t>, transactions among immediate family members (as defined in Rule 2790 "Purchase and Sale of IPOs of Equity Securities"), for which no associated person receives any selling compensation, and personal transactions in investment company and variable annuity securities, shall be excluded.</w:t>
      </w:r>
    </w:p>
    <w:p w14:paraId="3857B555" w14:textId="77777777" w:rsidR="00A2129F" w:rsidRDefault="00A2129F" w:rsidP="000D7E30">
      <w:pPr>
        <w:ind w:left="274"/>
        <w:jc w:val="both"/>
        <w:rPr>
          <w:sz w:val="24"/>
        </w:rPr>
      </w:pPr>
    </w:p>
    <w:p w14:paraId="17D43D59" w14:textId="77777777" w:rsidR="00A2129F" w:rsidRDefault="00A2129F" w:rsidP="000D7E30">
      <w:pPr>
        <w:pStyle w:val="NormalWeb"/>
        <w:spacing w:before="0" w:beforeAutospacing="0" w:after="0" w:afterAutospacing="0"/>
        <w:ind w:left="274"/>
        <w:jc w:val="both"/>
        <w:rPr>
          <w:rFonts w:ascii="Times New Roman" w:hAnsi="Times New Roman" w:cs="Times New Roman"/>
        </w:rPr>
      </w:pPr>
      <w:r>
        <w:rPr>
          <w:rFonts w:ascii="Times New Roman" w:hAnsi="Times New Roman" w:cs="Times New Roman"/>
          <w:b/>
          <w:bCs/>
        </w:rPr>
        <w:t>"Selling compensation"</w:t>
      </w:r>
      <w:r>
        <w:rPr>
          <w:rFonts w:ascii="Times New Roman" w:hAnsi="Times New Roman" w:cs="Times New Roman"/>
        </w:rPr>
        <w:t xml:space="preserve"> shall mean any compensation paid directly or indirectly from whatever source in connection with or as a result of the purchase or sale of a security, including, though not limited to, commissions; finder's fees; securities or rights to acquire securities; rights of participation in profits, tax benefits, or dissolution proceeds, as a general partner or otherwise; or expense reimbursements.</w:t>
      </w:r>
    </w:p>
    <w:p w14:paraId="44422D0A" w14:textId="77777777" w:rsidR="000D7E30" w:rsidRDefault="000D7E30" w:rsidP="000D7E30">
      <w:pPr>
        <w:pStyle w:val="NormalWeb"/>
        <w:spacing w:before="0" w:beforeAutospacing="0" w:after="0" w:afterAutospacing="0"/>
        <w:ind w:left="274"/>
        <w:jc w:val="both"/>
        <w:rPr>
          <w:rFonts w:ascii="Times New Roman" w:hAnsi="Times New Roman" w:cs="Times New Roman"/>
        </w:rPr>
      </w:pPr>
    </w:p>
    <w:p w14:paraId="39C6AAD4" w14:textId="77777777" w:rsidR="00A2129F" w:rsidRDefault="00A2129F" w:rsidP="000D7E30">
      <w:pPr>
        <w:pStyle w:val="NormalWeb"/>
        <w:spacing w:before="0" w:beforeAutospacing="0" w:after="0" w:afterAutospacing="0"/>
        <w:ind w:left="274"/>
        <w:jc w:val="both"/>
        <w:rPr>
          <w:rFonts w:ascii="Times New Roman" w:hAnsi="Times New Roman" w:cs="Times New Roman"/>
          <w:bCs/>
        </w:rPr>
      </w:pPr>
      <w:r>
        <w:rPr>
          <w:rFonts w:ascii="Times New Roman" w:hAnsi="Times New Roman" w:cs="Times New Roman"/>
          <w:bCs/>
        </w:rPr>
        <w:t xml:space="preserve">Prior to participating in any private securities transaction, an Associated Person shall provide written notice to the Company </w:t>
      </w:r>
      <w:r w:rsidR="00100B16">
        <w:rPr>
          <w:rFonts w:ascii="Times New Roman" w:hAnsi="Times New Roman" w:cs="Times New Roman"/>
          <w:bCs/>
        </w:rPr>
        <w:t>d</w:t>
      </w:r>
      <w:r>
        <w:rPr>
          <w:rFonts w:ascii="Times New Roman" w:hAnsi="Times New Roman" w:cs="Times New Roman"/>
          <w:bCs/>
        </w:rPr>
        <w:t>escribing in detail the proposed transaction and the Associated Person’s role therein and stating whether he has received or may receive selling compensation in connection with the transaction; provided however that, in the case of a series of related transactions in which no selling compensation has been or will be received, an Associated Person may provide a single written notice.  Subsequently, the Company</w:t>
      </w:r>
      <w:r>
        <w:rPr>
          <w:rFonts w:ascii="Times New Roman" w:hAnsi="Times New Roman" w:cs="Times New Roman"/>
          <w:b/>
        </w:rPr>
        <w:t xml:space="preserve"> </w:t>
      </w:r>
      <w:r>
        <w:rPr>
          <w:rFonts w:ascii="Times New Roman" w:hAnsi="Times New Roman" w:cs="Times New Roman"/>
          <w:bCs/>
        </w:rPr>
        <w:t xml:space="preserve">shall advise the Associated Person if the transaction is approved or disapproved.  If approved, the Company shall maintain the transaction in its books and records and the applicable principal shall supervise the Associated Person’s participation in the transaction as if it were executed through the Company.  If not approved, the Associated Person shall not participate in the transaction.  </w:t>
      </w:r>
      <w:r>
        <w:rPr>
          <w:rFonts w:ascii="Times New Roman" w:hAnsi="Times New Roman" w:cs="Times New Roman"/>
          <w:bCs/>
        </w:rPr>
        <w:lastRenderedPageBreak/>
        <w:t>In the case of transaction(s) where there is no selling compensation, the Company will provide the Associated Person with written acknowledgment of any notice and may, at its discretion, require certain conditions related to the transaction(s).</w:t>
      </w:r>
    </w:p>
    <w:p w14:paraId="15946AD3" w14:textId="77777777" w:rsidR="00A2129F" w:rsidRDefault="00A2129F" w:rsidP="00BB504B"/>
    <w:p w14:paraId="79D2D207" w14:textId="77777777" w:rsidR="00505242" w:rsidRDefault="00505242" w:rsidP="00186675">
      <w:pPr>
        <w:jc w:val="both"/>
        <w:rPr>
          <w:sz w:val="24"/>
        </w:rPr>
      </w:pPr>
    </w:p>
    <w:p w14:paraId="27D04B48" w14:textId="77777777" w:rsidR="00186675" w:rsidRPr="000C570A" w:rsidRDefault="00D114C8" w:rsidP="00936FEE">
      <w:pPr>
        <w:pStyle w:val="Heading2"/>
      </w:pPr>
      <w:bookmarkStart w:id="47" w:name="GiftsGratuities"/>
      <w:bookmarkEnd w:id="47"/>
      <w:r w:rsidRPr="000C570A">
        <w:t>4.5</w:t>
      </w:r>
      <w:r w:rsidR="00CF784A">
        <w:t xml:space="preserve"> </w:t>
      </w:r>
      <w:r w:rsidR="008A49BF">
        <w:t xml:space="preserve">FINRA Rule </w:t>
      </w:r>
      <w:r w:rsidR="00F036FA">
        <w:t xml:space="preserve">3220. </w:t>
      </w:r>
      <w:r w:rsidR="00186675" w:rsidRPr="000C570A">
        <w:t xml:space="preserve">Gifts </w:t>
      </w:r>
      <w:r w:rsidR="00EC737C">
        <w:t>&amp;</w:t>
      </w:r>
      <w:r w:rsidR="00186675" w:rsidRPr="000C570A">
        <w:t xml:space="preserve"> Gratuities/Influencing or Rewarding Employees of Others</w:t>
      </w:r>
    </w:p>
    <w:p w14:paraId="7CE4E2FE" w14:textId="77777777" w:rsidR="00186675" w:rsidRPr="001018F2" w:rsidRDefault="00186675" w:rsidP="00186675">
      <w:pPr>
        <w:shd w:val="clear" w:color="auto" w:fill="FFFFFF"/>
        <w:spacing w:line="270" w:lineRule="atLeast"/>
        <w:jc w:val="both"/>
        <w:rPr>
          <w:sz w:val="24"/>
        </w:rPr>
      </w:pPr>
      <w:r w:rsidRPr="001018F2">
        <w:rPr>
          <w:sz w:val="24"/>
        </w:rPr>
        <w:t xml:space="preserve">In accordance with </w:t>
      </w:r>
      <w:r w:rsidRPr="001018F2">
        <w:rPr>
          <w:b/>
          <w:bCs/>
          <w:sz w:val="24"/>
        </w:rPr>
        <w:t>Rule 3220</w:t>
      </w:r>
      <w:r w:rsidR="00F036FA">
        <w:rPr>
          <w:b/>
          <w:bCs/>
          <w:sz w:val="24"/>
        </w:rPr>
        <w:t xml:space="preserve"> </w:t>
      </w:r>
      <w:r w:rsidRPr="001018F2">
        <w:rPr>
          <w:sz w:val="24"/>
        </w:rPr>
        <w:t>of FINRA Rules:</w:t>
      </w:r>
    </w:p>
    <w:p w14:paraId="73E5224E" w14:textId="77777777" w:rsidR="00186675" w:rsidRPr="001018F2" w:rsidRDefault="00186675" w:rsidP="00186675">
      <w:pPr>
        <w:shd w:val="clear" w:color="auto" w:fill="FFFFFF"/>
        <w:spacing w:line="270" w:lineRule="atLeast"/>
        <w:jc w:val="both"/>
        <w:rPr>
          <w:sz w:val="24"/>
          <w:szCs w:val="24"/>
        </w:rPr>
      </w:pPr>
    </w:p>
    <w:p w14:paraId="38620A3D" w14:textId="77777777" w:rsidR="00186675" w:rsidRPr="001018F2" w:rsidRDefault="00186675" w:rsidP="00186675">
      <w:pPr>
        <w:shd w:val="clear" w:color="auto" w:fill="FFFFFF"/>
        <w:spacing w:line="270" w:lineRule="atLeast"/>
        <w:jc w:val="both"/>
        <w:rPr>
          <w:sz w:val="24"/>
          <w:szCs w:val="24"/>
        </w:rPr>
      </w:pPr>
      <w:r w:rsidRPr="00FB32F3">
        <w:rPr>
          <w:sz w:val="24"/>
          <w:szCs w:val="24"/>
        </w:rPr>
        <w:t xml:space="preserve">a) </w:t>
      </w:r>
      <w:r w:rsidRPr="001018F2">
        <w:rPr>
          <w:sz w:val="24"/>
          <w:szCs w:val="24"/>
        </w:rPr>
        <w:t>The Company</w:t>
      </w:r>
      <w:r w:rsidRPr="00FB32F3">
        <w:rPr>
          <w:sz w:val="24"/>
          <w:szCs w:val="24"/>
        </w:rPr>
        <w:t xml:space="preserve"> </w:t>
      </w:r>
      <w:r w:rsidRPr="001018F2">
        <w:rPr>
          <w:sz w:val="24"/>
          <w:szCs w:val="24"/>
        </w:rPr>
        <w:t>n</w:t>
      </w:r>
      <w:r w:rsidRPr="00FB32F3">
        <w:rPr>
          <w:sz w:val="24"/>
          <w:szCs w:val="24"/>
        </w:rPr>
        <w:t xml:space="preserve">or </w:t>
      </w:r>
      <w:r w:rsidRPr="001018F2">
        <w:rPr>
          <w:sz w:val="24"/>
          <w:szCs w:val="24"/>
        </w:rPr>
        <w:t>any A</w:t>
      </w:r>
      <w:r w:rsidRPr="00FB32F3">
        <w:rPr>
          <w:sz w:val="24"/>
          <w:szCs w:val="24"/>
        </w:rPr>
        <w:t>ssociated</w:t>
      </w:r>
      <w:r w:rsidRPr="001018F2">
        <w:rPr>
          <w:sz w:val="24"/>
          <w:szCs w:val="24"/>
        </w:rPr>
        <w:t xml:space="preserve"> Person</w:t>
      </w:r>
      <w:r w:rsidRPr="00FB32F3">
        <w:rPr>
          <w:sz w:val="24"/>
          <w:szCs w:val="24"/>
        </w:rPr>
        <w:t xml:space="preserve"> shall, directly or indirectly, give or permit to be given anything of value, including gratuities, in excess of one hundred dollars </w:t>
      </w:r>
      <w:r w:rsidRPr="001018F2">
        <w:rPr>
          <w:b/>
          <w:sz w:val="24"/>
          <w:szCs w:val="24"/>
        </w:rPr>
        <w:t>($100)</w:t>
      </w:r>
      <w:r w:rsidRPr="001018F2">
        <w:rPr>
          <w:sz w:val="24"/>
          <w:szCs w:val="24"/>
        </w:rPr>
        <w:t xml:space="preserve"> </w:t>
      </w:r>
      <w:r w:rsidRPr="00FB32F3">
        <w:rPr>
          <w:sz w:val="24"/>
          <w:szCs w:val="24"/>
        </w:rPr>
        <w:t xml:space="preserve">per individual per year to any person, principal, proprietor, employee, agent or representative of another person where such payment or gratuity is in relation to the business of the employer of the recipient of the payment or gratuity. </w:t>
      </w:r>
      <w:r w:rsidRPr="001018F2">
        <w:rPr>
          <w:sz w:val="24"/>
        </w:rPr>
        <w:t xml:space="preserve">The rule protects against improprieties that may arise when members or their associated persons give gifts or gratuities to employees of a customer.  </w:t>
      </w:r>
      <w:r w:rsidRPr="00FB32F3">
        <w:rPr>
          <w:sz w:val="24"/>
          <w:szCs w:val="24"/>
        </w:rPr>
        <w:t xml:space="preserve">A gift of any kind is considered a gratuity. </w:t>
      </w:r>
    </w:p>
    <w:p w14:paraId="242FA266" w14:textId="77777777" w:rsidR="00186675" w:rsidRPr="00FB32F3" w:rsidRDefault="00186675" w:rsidP="00186675">
      <w:pPr>
        <w:shd w:val="clear" w:color="auto" w:fill="FFFFFF"/>
        <w:spacing w:line="270" w:lineRule="atLeast"/>
        <w:jc w:val="both"/>
        <w:rPr>
          <w:sz w:val="24"/>
          <w:szCs w:val="24"/>
        </w:rPr>
      </w:pPr>
    </w:p>
    <w:p w14:paraId="5275ED88" w14:textId="77777777" w:rsidR="00186675" w:rsidRPr="001018F2" w:rsidRDefault="00186675" w:rsidP="00186675">
      <w:pPr>
        <w:shd w:val="clear" w:color="auto" w:fill="FFFFFF"/>
        <w:spacing w:line="270" w:lineRule="atLeast"/>
        <w:jc w:val="both"/>
        <w:rPr>
          <w:sz w:val="24"/>
          <w:szCs w:val="24"/>
        </w:rPr>
      </w:pPr>
      <w:r w:rsidRPr="00FB32F3">
        <w:rPr>
          <w:sz w:val="24"/>
          <w:szCs w:val="24"/>
        </w:rPr>
        <w:t xml:space="preserve">(b) This Rule shall not apply to contracts of employment with or to compensation for services rendered by persons enumerated in paragraph (a) provided that there is in existence prior to the time of employment or before the services are rendered, a written agreement between the member and the person who is to be employed to perform such services. Such agreement shall include the nature of the proposed employment, the amount of the proposed compensation, and the written consent of such person's employer or principal. </w:t>
      </w:r>
    </w:p>
    <w:p w14:paraId="11266961" w14:textId="77777777" w:rsidR="00186675" w:rsidRPr="00FB32F3" w:rsidRDefault="00186675" w:rsidP="00186675">
      <w:pPr>
        <w:shd w:val="clear" w:color="auto" w:fill="FFFFFF"/>
        <w:spacing w:line="270" w:lineRule="atLeast"/>
        <w:jc w:val="both"/>
        <w:rPr>
          <w:sz w:val="24"/>
          <w:szCs w:val="24"/>
        </w:rPr>
      </w:pPr>
    </w:p>
    <w:p w14:paraId="09A56218" w14:textId="77777777" w:rsidR="00186675" w:rsidRPr="00FB32F3" w:rsidRDefault="00186675" w:rsidP="00186675">
      <w:pPr>
        <w:shd w:val="clear" w:color="auto" w:fill="FFFFFF"/>
        <w:spacing w:line="270" w:lineRule="atLeast"/>
        <w:jc w:val="both"/>
        <w:rPr>
          <w:sz w:val="24"/>
          <w:szCs w:val="24"/>
        </w:rPr>
      </w:pPr>
      <w:r w:rsidRPr="00FB32F3">
        <w:rPr>
          <w:sz w:val="24"/>
          <w:szCs w:val="24"/>
        </w:rPr>
        <w:t xml:space="preserve">(c) A separate record of all payments or gratuities in any amount known to the </w:t>
      </w:r>
      <w:r w:rsidR="00C935AC">
        <w:rPr>
          <w:sz w:val="24"/>
          <w:szCs w:val="24"/>
        </w:rPr>
        <w:t>Company</w:t>
      </w:r>
      <w:r w:rsidRPr="00FB32F3">
        <w:rPr>
          <w:sz w:val="24"/>
          <w:szCs w:val="24"/>
        </w:rPr>
        <w:t xml:space="preserve">, the employment agreement referred to in paragraph (b) and any employment compensation paid as a result thereof shall be retained by the </w:t>
      </w:r>
      <w:r w:rsidR="00C935AC">
        <w:rPr>
          <w:sz w:val="24"/>
          <w:szCs w:val="24"/>
        </w:rPr>
        <w:t>Company</w:t>
      </w:r>
      <w:r w:rsidRPr="00FB32F3">
        <w:rPr>
          <w:sz w:val="24"/>
          <w:szCs w:val="24"/>
        </w:rPr>
        <w:t xml:space="preserve"> for the period specified by SEA Rule 17a-4. </w:t>
      </w:r>
    </w:p>
    <w:p w14:paraId="28B0DA82" w14:textId="77777777" w:rsidR="00186675" w:rsidRPr="001018F2" w:rsidRDefault="00186675" w:rsidP="00186675">
      <w:pPr>
        <w:jc w:val="both"/>
        <w:rPr>
          <w:sz w:val="24"/>
        </w:rPr>
      </w:pPr>
    </w:p>
    <w:p w14:paraId="23BB7203" w14:textId="77777777" w:rsidR="00186675" w:rsidRPr="001018F2" w:rsidRDefault="00186675" w:rsidP="008B2FFA">
      <w:pPr>
        <w:ind w:firstLine="720"/>
        <w:jc w:val="both"/>
        <w:rPr>
          <w:sz w:val="24"/>
        </w:rPr>
      </w:pPr>
      <w:r w:rsidRPr="00EC737C">
        <w:rPr>
          <w:b/>
          <w:i/>
          <w:iCs/>
          <w:sz w:val="24"/>
        </w:rPr>
        <w:t>Personal Gifts/Exclusions</w:t>
      </w:r>
      <w:r w:rsidRPr="00EC737C">
        <w:rPr>
          <w:b/>
          <w:sz w:val="24"/>
        </w:rPr>
        <w:t xml:space="preserve"> </w:t>
      </w:r>
    </w:p>
    <w:p w14:paraId="6911AD30" w14:textId="77777777" w:rsidR="00186675" w:rsidRPr="001018F2" w:rsidRDefault="00186675" w:rsidP="00186675">
      <w:pPr>
        <w:pStyle w:val="MRS"/>
        <w:ind w:left="720"/>
      </w:pPr>
      <w:r w:rsidRPr="001018F2">
        <w:t>The prohibitions in Rule 3220 generally do not apply to personal gifts such as a wedding gift or a congratulatory gift for the birth of a child, provided that these gifts are not “in relation to the business of the employer of the recipient.” In determining whether a gift is “in relation to the business of the employer of the recipient,” members should consider a number of factors, including the nature of any pre-existing personal or family relationship between the person giving the gift and the recipient, and whether the registered representative paid for the gift. When a firm bears the cost of a gift, either directly or by reimbursing an employee, FINRA presumes that such gift is in relation to the business of the employer of the recipient.  The analysis of whether a gift is “in relation to the business of the employer” is required in connection with all gifts; firms should not treat gifts given during the holiday season or for other life events as personal in nature.</w:t>
      </w:r>
    </w:p>
    <w:p w14:paraId="662DEAF1" w14:textId="77777777" w:rsidR="006C46F0" w:rsidRDefault="006C46F0" w:rsidP="00186675">
      <w:pPr>
        <w:pStyle w:val="MRS"/>
        <w:ind w:left="720"/>
        <w:rPr>
          <w:b/>
          <w:i/>
          <w:iCs/>
        </w:rPr>
      </w:pPr>
    </w:p>
    <w:p w14:paraId="0A9B1DF5" w14:textId="77777777" w:rsidR="00186675" w:rsidRPr="001018F2" w:rsidRDefault="00186675" w:rsidP="00186675">
      <w:pPr>
        <w:pStyle w:val="MRS"/>
        <w:ind w:left="720"/>
        <w:rPr>
          <w:i/>
          <w:iCs/>
        </w:rPr>
      </w:pPr>
      <w:r w:rsidRPr="006C46F0">
        <w:rPr>
          <w:b/>
          <w:i/>
          <w:iCs/>
        </w:rPr>
        <w:t>De</w:t>
      </w:r>
      <w:r w:rsidR="002A604E">
        <w:rPr>
          <w:b/>
          <w:i/>
          <w:iCs/>
        </w:rPr>
        <w:t xml:space="preserve"> </w:t>
      </w:r>
      <w:r w:rsidRPr="006C46F0">
        <w:rPr>
          <w:b/>
          <w:i/>
          <w:iCs/>
        </w:rPr>
        <w:t>minimis and Promotional Items</w:t>
      </w:r>
    </w:p>
    <w:p w14:paraId="7BD903E3" w14:textId="77777777" w:rsidR="00186675" w:rsidRPr="001018F2" w:rsidRDefault="00186675" w:rsidP="00186675">
      <w:pPr>
        <w:pStyle w:val="MRS"/>
        <w:ind w:left="720"/>
      </w:pPr>
      <w:r w:rsidRPr="001018F2">
        <w:t xml:space="preserve">Rule 3220 also does not apply to gifts of de minimis value (e.g., pens, notepads or modest desk ornaments) or to promotional items of nominal value that display the </w:t>
      </w:r>
      <w:r w:rsidR="008B590B">
        <w:t>Company</w:t>
      </w:r>
      <w:r w:rsidRPr="001018F2">
        <w:t>’s logo (e.g., umbrellas, tote bags or shirts).</w:t>
      </w:r>
      <w:r w:rsidR="00960EFC">
        <w:t xml:space="preserve"> </w:t>
      </w:r>
      <w:r w:rsidRPr="001018F2">
        <w:t xml:space="preserve"> In order for a promotional item to fall within this exclusion, its value must be substantially below the $100 limit. Gifts valued in amounts above or near $100 would not be considered nominal. For example, expensive leather luggage and crystal pieces, notwithstanding the presence of firm logos, are not eligible for the exclusion for promotional items of nominal value.  FINRA also generally does not apply the prohibition to customary Lucite tombstones, plaques or other similar </w:t>
      </w:r>
      <w:r w:rsidRPr="001018F2">
        <w:lastRenderedPageBreak/>
        <w:t xml:space="preserve">solely decorative items commemorating a business transaction, even when such items have a cost of more than $100.  FINRA does not believe such gifts are items of value within the scope of </w:t>
      </w:r>
      <w:r w:rsidR="00E124C6">
        <w:t>the rule</w:t>
      </w:r>
      <w:r w:rsidRPr="001018F2">
        <w:t xml:space="preserve">. The restrictions of Rule 3220 would apply, however, where the item is not solely decorative, irrespective of whether the item was intended to commemorate a business transaction. For example, FINRA staff observed firms providing individuals with a bicycle and elaborate electronic equipment following the closing of a transaction. Such items are impermissible gifts under </w:t>
      </w:r>
      <w:r w:rsidR="00EF2E7A">
        <w:t>the rule</w:t>
      </w:r>
      <w:r w:rsidRPr="001018F2">
        <w:t>.</w:t>
      </w:r>
    </w:p>
    <w:p w14:paraId="4F770B08" w14:textId="77777777" w:rsidR="001679B2" w:rsidRDefault="001679B2" w:rsidP="00186675">
      <w:pPr>
        <w:pStyle w:val="MRS"/>
        <w:ind w:left="720"/>
        <w:rPr>
          <w:b/>
          <w:i/>
          <w:iCs/>
        </w:rPr>
      </w:pPr>
    </w:p>
    <w:p w14:paraId="24EF1D95" w14:textId="77777777" w:rsidR="00186675" w:rsidRPr="001018F2" w:rsidRDefault="00186675" w:rsidP="00186675">
      <w:pPr>
        <w:pStyle w:val="MRS"/>
        <w:ind w:left="720"/>
      </w:pPr>
      <w:r w:rsidRPr="00EC737C">
        <w:rPr>
          <w:b/>
          <w:i/>
          <w:iCs/>
        </w:rPr>
        <w:t>Aggregation of Gifts</w:t>
      </w:r>
    </w:p>
    <w:p w14:paraId="044E9148" w14:textId="77777777" w:rsidR="00186675" w:rsidRPr="001018F2" w:rsidRDefault="00186675" w:rsidP="00186675">
      <w:pPr>
        <w:pStyle w:val="MRS"/>
        <w:ind w:left="720"/>
      </w:pPr>
      <w:r w:rsidRPr="001018F2">
        <w:t xml:space="preserve">Rule 3220 imposes a gift limit of $100 per individual recipient per year. To ensure compliance with this $100 limit, </w:t>
      </w:r>
      <w:r w:rsidR="005A1A86">
        <w:t>Company</w:t>
      </w:r>
      <w:r w:rsidRPr="001018F2">
        <w:t xml:space="preserve"> must aggregate all gifts given by each </w:t>
      </w:r>
      <w:r w:rsidR="005A1A86">
        <w:t>A</w:t>
      </w:r>
      <w:r w:rsidRPr="001018F2">
        <w:t xml:space="preserve">ssociated </w:t>
      </w:r>
      <w:r w:rsidR="005A1A86">
        <w:t>P</w:t>
      </w:r>
      <w:r w:rsidRPr="001018F2">
        <w:t xml:space="preserve">erson to a particular recipient over the course of a year. In addition, </w:t>
      </w:r>
      <w:r w:rsidR="005A1A86">
        <w:t>Company</w:t>
      </w:r>
      <w:r w:rsidRPr="001018F2">
        <w:t xml:space="preserve"> is aggregating all gifts given by the </w:t>
      </w:r>
      <w:r w:rsidR="00EC1A86">
        <w:t>Company</w:t>
      </w:r>
      <w:r w:rsidRPr="001018F2">
        <w:t xml:space="preserve"> and its </w:t>
      </w:r>
      <w:r w:rsidR="005A1A86">
        <w:t>Associated P</w:t>
      </w:r>
      <w:r w:rsidRPr="001018F2">
        <w:t>ersons on a calendar year</w:t>
      </w:r>
      <w:r w:rsidR="005A1A86">
        <w:t xml:space="preserve"> </w:t>
      </w:r>
      <w:r w:rsidRPr="001018F2">
        <w:t>basis beginning with the first gift to any particular recipient.</w:t>
      </w:r>
    </w:p>
    <w:p w14:paraId="55283AD1" w14:textId="77777777" w:rsidR="00186675" w:rsidRPr="001018F2" w:rsidRDefault="00186675" w:rsidP="00186675">
      <w:pPr>
        <w:pStyle w:val="MRS"/>
        <w:ind w:left="720"/>
      </w:pPr>
    </w:p>
    <w:p w14:paraId="03653E98" w14:textId="77777777" w:rsidR="00186675" w:rsidRPr="001018F2" w:rsidRDefault="00186675" w:rsidP="00186675">
      <w:pPr>
        <w:pStyle w:val="MRS"/>
        <w:ind w:left="720"/>
        <w:rPr>
          <w:i/>
          <w:iCs/>
        </w:rPr>
      </w:pPr>
      <w:r w:rsidRPr="00EC737C">
        <w:rPr>
          <w:b/>
          <w:i/>
          <w:iCs/>
        </w:rPr>
        <w:t>Valuation of Gifts</w:t>
      </w:r>
    </w:p>
    <w:p w14:paraId="5E1EF873" w14:textId="77777777" w:rsidR="00186675" w:rsidRPr="001018F2" w:rsidRDefault="00186675" w:rsidP="00186675">
      <w:pPr>
        <w:pStyle w:val="MRS"/>
        <w:ind w:left="720"/>
      </w:pPr>
      <w:r w:rsidRPr="001018F2">
        <w:t>In general, gifts should be valued at the higher of cost or market value, exclusive of tax and delivery charges. When valuing tickets, a member should use the higher of cost or face value. For example, if a member makes a gift of a ticket to a sporting event that it procured in the secondary market, the value of such ticket would be the higher cost to the member, not the face value of the ticket.  If gifts are given to multiple recipients, members should record the names of each recipient and calculate and record the value of the gift on a pro rata per recipient basis, for purposes of ensuring compliance with the $100 limit. A gift basket worth $250 delivered to an office of three individuals for the benefit of each individual would be permissible under the Rule.</w:t>
      </w:r>
    </w:p>
    <w:p w14:paraId="652E4C8F" w14:textId="77777777" w:rsidR="00186675" w:rsidRPr="001018F2" w:rsidRDefault="00186675" w:rsidP="00186675">
      <w:pPr>
        <w:pStyle w:val="MRS"/>
        <w:ind w:left="720"/>
      </w:pPr>
    </w:p>
    <w:p w14:paraId="3C3C02A9" w14:textId="77777777" w:rsidR="00186675" w:rsidRPr="001018F2" w:rsidRDefault="00186675" w:rsidP="00186675">
      <w:pPr>
        <w:pStyle w:val="MRS"/>
        <w:ind w:left="720"/>
        <w:rPr>
          <w:i/>
          <w:iCs/>
        </w:rPr>
      </w:pPr>
      <w:r w:rsidRPr="00EC737C">
        <w:rPr>
          <w:b/>
          <w:i/>
          <w:iCs/>
        </w:rPr>
        <w:t>Gifts Incidental to Business Entertainment</w:t>
      </w:r>
    </w:p>
    <w:p w14:paraId="653ED8C5" w14:textId="77777777" w:rsidR="00186675" w:rsidRPr="001018F2" w:rsidRDefault="00186675" w:rsidP="00186675">
      <w:pPr>
        <w:pStyle w:val="MRS"/>
        <w:ind w:left="720"/>
      </w:pPr>
      <w:r w:rsidRPr="001018F2">
        <w:t>There is no express exclusion for gifts given during the course of business entertainment and conferences. Thus, for example, purchasing an umbrella during a round of golf would be considered a gift.  The Company must record these gifts, and include the value of such gifts, as part of its Rule 3220 compliance procedures.</w:t>
      </w:r>
    </w:p>
    <w:p w14:paraId="370EF36E" w14:textId="77777777" w:rsidR="00186675" w:rsidRPr="001018F2" w:rsidRDefault="00186675" w:rsidP="00186675">
      <w:pPr>
        <w:pStyle w:val="MRS"/>
        <w:ind w:left="720"/>
      </w:pPr>
    </w:p>
    <w:p w14:paraId="539D9216" w14:textId="77777777" w:rsidR="00186675" w:rsidRPr="001018F2" w:rsidRDefault="00186675" w:rsidP="00186675">
      <w:pPr>
        <w:pStyle w:val="MRS"/>
        <w:ind w:left="720"/>
        <w:rPr>
          <w:i/>
          <w:iCs/>
        </w:rPr>
      </w:pPr>
      <w:r w:rsidRPr="00EC737C">
        <w:rPr>
          <w:b/>
          <w:i/>
          <w:iCs/>
        </w:rPr>
        <w:t>Supervision and Recordkeeping</w:t>
      </w:r>
    </w:p>
    <w:p w14:paraId="5EFA28A3" w14:textId="77777777" w:rsidR="00186675" w:rsidRPr="001018F2" w:rsidRDefault="00186675" w:rsidP="00186675">
      <w:pPr>
        <w:pStyle w:val="MRS"/>
        <w:ind w:left="720"/>
      </w:pPr>
      <w:r w:rsidRPr="001018F2">
        <w:t>All gifts applicable to the foregoing paragraphs in this section must be (</w:t>
      </w:r>
      <w:proofErr w:type="spellStart"/>
      <w:r w:rsidRPr="001018F2">
        <w:t>i</w:t>
      </w:r>
      <w:proofErr w:type="spellEnd"/>
      <w:r w:rsidRPr="001018F2">
        <w:t xml:space="preserve">) reported to the Company, (ii) reviewed for compliance with </w:t>
      </w:r>
      <w:r w:rsidR="00662F8D">
        <w:t>said r</w:t>
      </w:r>
      <w:r w:rsidRPr="001018F2">
        <w:t>ule by Morris Monroe</w:t>
      </w:r>
      <w:r w:rsidR="00662F8D">
        <w:t>,</w:t>
      </w:r>
      <w:r w:rsidRPr="001018F2">
        <w:t xml:space="preserve"> Laura Hendricks, </w:t>
      </w:r>
      <w:r w:rsidR="00662F8D" w:rsidRPr="00DF5D51">
        <w:t>or the designated principal</w:t>
      </w:r>
      <w:r w:rsidR="00662F8D">
        <w:t xml:space="preserve">, </w:t>
      </w:r>
      <w:r w:rsidRPr="001018F2">
        <w:t xml:space="preserve">including aggregation as discussed above, and (iii) maintained in the </w:t>
      </w:r>
      <w:r w:rsidR="00662F8D">
        <w:t>Company</w:t>
      </w:r>
      <w:r w:rsidRPr="001018F2">
        <w:t>’s records.  Items of de minimis value or nominal promotional or commemorative items are not subject to Rule 3220’s record-keeping requirements.</w:t>
      </w:r>
    </w:p>
    <w:p w14:paraId="3DF5DC77" w14:textId="77777777" w:rsidR="00186675" w:rsidRDefault="00186675" w:rsidP="00186675">
      <w:pPr>
        <w:rPr>
          <w:sz w:val="24"/>
        </w:rPr>
      </w:pPr>
    </w:p>
    <w:p w14:paraId="1C17A69C" w14:textId="77777777" w:rsidR="00505242" w:rsidRDefault="00505242" w:rsidP="00186675">
      <w:pPr>
        <w:rPr>
          <w:sz w:val="24"/>
        </w:rPr>
      </w:pPr>
    </w:p>
    <w:p w14:paraId="525F7F4B" w14:textId="77777777" w:rsidR="00186675" w:rsidRPr="000C570A" w:rsidRDefault="00D114C8" w:rsidP="00936FEE">
      <w:pPr>
        <w:pStyle w:val="Heading2"/>
      </w:pPr>
      <w:bookmarkStart w:id="48" w:name="OutsideSecAccts"/>
      <w:bookmarkEnd w:id="48"/>
      <w:r w:rsidRPr="000C570A">
        <w:t>4.6</w:t>
      </w:r>
      <w:r w:rsidR="00CF784A">
        <w:t xml:space="preserve"> </w:t>
      </w:r>
      <w:r w:rsidR="00186675" w:rsidRPr="000C570A">
        <w:t>Outside Securities Accounts</w:t>
      </w:r>
    </w:p>
    <w:p w14:paraId="34A34B2B" w14:textId="77777777" w:rsidR="001765EA" w:rsidRDefault="00186675" w:rsidP="006C1897">
      <w:pPr>
        <w:pStyle w:val="MRS"/>
      </w:pPr>
      <w:r>
        <w:t xml:space="preserve">In accordance with </w:t>
      </w:r>
      <w:r w:rsidR="00EC1A86">
        <w:t xml:space="preserve">FINRA </w:t>
      </w:r>
      <w:r>
        <w:t xml:space="preserve">Rule </w:t>
      </w:r>
      <w:r w:rsidRPr="00790F31">
        <w:rPr>
          <w:b/>
          <w:bCs/>
        </w:rPr>
        <w:t>3</w:t>
      </w:r>
      <w:r w:rsidR="0037308F" w:rsidRPr="00790F31">
        <w:rPr>
          <w:b/>
          <w:bCs/>
        </w:rPr>
        <w:t>210</w:t>
      </w:r>
      <w:r w:rsidRPr="00790F31">
        <w:t>,</w:t>
      </w:r>
      <w:r w:rsidRPr="000C099C">
        <w:t xml:space="preserve"> all </w:t>
      </w:r>
      <w:r w:rsidR="00662F8D">
        <w:t>A</w:t>
      </w:r>
      <w:r w:rsidRPr="000C099C">
        <w:t xml:space="preserve">ssociated </w:t>
      </w:r>
      <w:r w:rsidR="00662F8D">
        <w:t>P</w:t>
      </w:r>
      <w:r w:rsidRPr="000C099C">
        <w:t xml:space="preserve">ersons shall be required to notify Morris Monroe </w:t>
      </w:r>
      <w:r w:rsidR="00662F8D">
        <w:t xml:space="preserve">or </w:t>
      </w:r>
      <w:r w:rsidR="00662F8D" w:rsidRPr="00DF5D51">
        <w:t>Compliance</w:t>
      </w:r>
      <w:r w:rsidR="00662F8D">
        <w:t xml:space="preserve"> </w:t>
      </w:r>
      <w:r w:rsidRPr="000C099C">
        <w:t>(</w:t>
      </w:r>
      <w:r w:rsidR="00662F8D">
        <w:t>may</w:t>
      </w:r>
      <w:r w:rsidRPr="000C099C">
        <w:t xml:space="preserve"> use </w:t>
      </w:r>
      <w:r w:rsidR="00EC1A86">
        <w:t xml:space="preserve">notice found in </w:t>
      </w:r>
      <w:r w:rsidRPr="000C099C">
        <w:t xml:space="preserve">Exhibit </w:t>
      </w:r>
      <w:r w:rsidR="00EC1A86">
        <w:t>B</w:t>
      </w:r>
      <w:r w:rsidRPr="000C099C">
        <w:t xml:space="preserve"> of these procedures) of the existence of any securities accounts maintain</w:t>
      </w:r>
      <w:r w:rsidR="00662F8D">
        <w:t>ed by the A</w:t>
      </w:r>
      <w:r w:rsidRPr="000C099C">
        <w:t xml:space="preserve">ssociated </w:t>
      </w:r>
      <w:r w:rsidR="00662F8D">
        <w:t>P</w:t>
      </w:r>
      <w:r w:rsidRPr="000C099C">
        <w:t>erson with any foreign or domestic brokerage firm, bank, investment adviser or other finan</w:t>
      </w:r>
      <w:r w:rsidR="00662F8D">
        <w:t>cial institution. Further, all Associated P</w:t>
      </w:r>
      <w:r w:rsidRPr="000C099C">
        <w:t xml:space="preserve">ersons shall be required to notify Morris Monroe </w:t>
      </w:r>
      <w:r w:rsidR="00662F8D">
        <w:t xml:space="preserve">or </w:t>
      </w:r>
      <w:r w:rsidR="00662F8D" w:rsidRPr="00DF5D51">
        <w:t>Compliance</w:t>
      </w:r>
      <w:r w:rsidR="00662F8D">
        <w:t xml:space="preserve"> </w:t>
      </w:r>
      <w:r w:rsidRPr="000C099C">
        <w:t xml:space="preserve">and the executing firm in writing, prior to opening a securities account or placing an initial order for the purchase or sale of securities with another firm, any foreign or domestic brokerage firm, bank, investment adviser or </w:t>
      </w:r>
      <w:r w:rsidRPr="000C099C">
        <w:lastRenderedPageBreak/>
        <w:t>other financial institution.  The written notice required hereby, shall advise the executing firm, foreign or domestic brokerage firm, bank, investment adviser or other financial institution of: (</w:t>
      </w:r>
      <w:proofErr w:type="spellStart"/>
      <w:r w:rsidRPr="000C099C">
        <w:t>i</w:t>
      </w:r>
      <w:proofErr w:type="spellEnd"/>
      <w:r w:rsidRPr="000C099C">
        <w:t xml:space="preserve">) the person's association with the Company; (ii) the Company's membership with FINRA; and (iii) the fact that such person is a restricted person in accordance with </w:t>
      </w:r>
      <w:r w:rsidR="004F3EE4">
        <w:t>FINRA Rules (p</w:t>
      </w:r>
      <w:r w:rsidRPr="000C099C">
        <w:t>rovided</w:t>
      </w:r>
      <w:r>
        <w:t xml:space="preserve"> however that if the account was established prior to the association of the person with the Company, the </w:t>
      </w:r>
      <w:r w:rsidR="006C46F0">
        <w:t>Associated P</w:t>
      </w:r>
      <w:r>
        <w:t>erson shall notify both the Company and the executing firm in writing after becoming associated</w:t>
      </w:r>
      <w:r w:rsidR="004F3EE4">
        <w:t>)</w:t>
      </w:r>
      <w:r>
        <w:t xml:space="preserve">.  </w:t>
      </w:r>
    </w:p>
    <w:p w14:paraId="7787922D" w14:textId="77777777" w:rsidR="006C1897" w:rsidRDefault="006C1897" w:rsidP="006C1897">
      <w:pPr>
        <w:rPr>
          <w:sz w:val="24"/>
          <w:szCs w:val="24"/>
        </w:rPr>
      </w:pPr>
    </w:p>
    <w:p w14:paraId="26FFB538" w14:textId="77777777" w:rsidR="006C1897" w:rsidRPr="00790F31" w:rsidRDefault="006C1897" w:rsidP="006C1897">
      <w:pPr>
        <w:rPr>
          <w:sz w:val="24"/>
          <w:szCs w:val="24"/>
        </w:rPr>
      </w:pPr>
      <w:r w:rsidRPr="00790F31">
        <w:rPr>
          <w:sz w:val="24"/>
          <w:szCs w:val="24"/>
        </w:rPr>
        <w:t xml:space="preserve">This includes any </w:t>
      </w:r>
      <w:r w:rsidR="005918C5" w:rsidRPr="00790F31">
        <w:rPr>
          <w:sz w:val="24"/>
          <w:szCs w:val="24"/>
        </w:rPr>
        <w:t>accounts</w:t>
      </w:r>
      <w:r w:rsidRPr="00790F31">
        <w:rPr>
          <w:sz w:val="24"/>
          <w:szCs w:val="24"/>
        </w:rPr>
        <w:t xml:space="preserve"> where the employee has a beneficial interest</w:t>
      </w:r>
      <w:r w:rsidR="003F549A" w:rsidRPr="00790F31">
        <w:rPr>
          <w:sz w:val="24"/>
          <w:szCs w:val="24"/>
        </w:rPr>
        <w:t xml:space="preserve"> or authority to make investment decisions</w:t>
      </w:r>
      <w:r w:rsidRPr="00790F31">
        <w:rPr>
          <w:sz w:val="24"/>
          <w:szCs w:val="24"/>
        </w:rPr>
        <w:t xml:space="preserve"> for the following:</w:t>
      </w:r>
    </w:p>
    <w:p w14:paraId="3AD7FC56" w14:textId="77777777" w:rsidR="006C1897" w:rsidRPr="00790F31" w:rsidRDefault="006C1897" w:rsidP="006C1897">
      <w:pPr>
        <w:rPr>
          <w:sz w:val="24"/>
          <w:szCs w:val="24"/>
        </w:rPr>
      </w:pPr>
    </w:p>
    <w:p w14:paraId="0AF844AA" w14:textId="77777777" w:rsidR="006C1897" w:rsidRPr="00790F31" w:rsidRDefault="006C1897" w:rsidP="003E7B18">
      <w:pPr>
        <w:numPr>
          <w:ilvl w:val="0"/>
          <w:numId w:val="301"/>
        </w:numPr>
        <w:rPr>
          <w:sz w:val="24"/>
          <w:szCs w:val="24"/>
        </w:rPr>
      </w:pPr>
      <w:r w:rsidRPr="00790F31">
        <w:rPr>
          <w:sz w:val="24"/>
          <w:szCs w:val="24"/>
        </w:rPr>
        <w:t>a spouse</w:t>
      </w:r>
    </w:p>
    <w:p w14:paraId="716EE3EE" w14:textId="77777777" w:rsidR="006C1897" w:rsidRPr="00790F31" w:rsidRDefault="005918C5" w:rsidP="003E7B18">
      <w:pPr>
        <w:numPr>
          <w:ilvl w:val="0"/>
          <w:numId w:val="301"/>
        </w:numPr>
        <w:rPr>
          <w:sz w:val="24"/>
          <w:szCs w:val="24"/>
        </w:rPr>
      </w:pPr>
      <w:r w:rsidRPr="00790F31">
        <w:rPr>
          <w:sz w:val="24"/>
          <w:szCs w:val="24"/>
        </w:rPr>
        <w:t>a child of the employee or the employee’s spouse</w:t>
      </w:r>
      <w:r w:rsidR="006C1897" w:rsidRPr="00790F31">
        <w:rPr>
          <w:sz w:val="24"/>
          <w:szCs w:val="24"/>
        </w:rPr>
        <w:t xml:space="preserve"> provided the child resides in the same household or is financially dependent upon the employee</w:t>
      </w:r>
    </w:p>
    <w:p w14:paraId="462B07D0" w14:textId="77777777" w:rsidR="006C1897" w:rsidRPr="00790F31" w:rsidRDefault="006C1897" w:rsidP="003E7B18">
      <w:pPr>
        <w:numPr>
          <w:ilvl w:val="0"/>
          <w:numId w:val="301"/>
        </w:numPr>
        <w:rPr>
          <w:sz w:val="24"/>
          <w:szCs w:val="24"/>
        </w:rPr>
      </w:pPr>
      <w:r w:rsidRPr="00790F31">
        <w:rPr>
          <w:sz w:val="24"/>
          <w:szCs w:val="24"/>
        </w:rPr>
        <w:t>any other related individual over whose account the employee has control</w:t>
      </w:r>
    </w:p>
    <w:p w14:paraId="7BD79532" w14:textId="77777777" w:rsidR="006C1897" w:rsidRPr="00790F31" w:rsidRDefault="006C1897" w:rsidP="003E7B18">
      <w:pPr>
        <w:numPr>
          <w:ilvl w:val="0"/>
          <w:numId w:val="301"/>
        </w:numPr>
        <w:rPr>
          <w:sz w:val="24"/>
          <w:szCs w:val="24"/>
        </w:rPr>
      </w:pPr>
      <w:r w:rsidRPr="00790F31">
        <w:rPr>
          <w:sz w:val="24"/>
          <w:szCs w:val="24"/>
        </w:rPr>
        <w:t>any other individual over whose account the employee has control and to whose financial support the employee materially contributes</w:t>
      </w:r>
    </w:p>
    <w:p w14:paraId="188388D1" w14:textId="77777777" w:rsidR="006C1897" w:rsidRDefault="006C1897" w:rsidP="006C1897">
      <w:pPr>
        <w:pStyle w:val="MRS"/>
      </w:pPr>
    </w:p>
    <w:p w14:paraId="092471E7" w14:textId="43C0C9C2" w:rsidR="00186675" w:rsidRPr="005D1066" w:rsidRDefault="00186675" w:rsidP="00186675">
      <w:pPr>
        <w:pStyle w:val="MRS"/>
      </w:pPr>
      <w:r>
        <w:t>Finally, for purposes of this section, notification shall not be applicable to transactions and or accounts dealing exclusively in unit investment trusts and variable contracts or redeemable securities of companies registered under the Investment Company Act of 1940, as amended.   In addition, pursuant to Rule 3050, the Company shall notify any person associated with another broker/dealer their desire to open an account with the Company.</w:t>
      </w:r>
      <w:r w:rsidR="000456DA">
        <w:t xml:space="preserve">  </w:t>
      </w:r>
      <w:r w:rsidR="000456DA" w:rsidRPr="005D1066">
        <w:t>Further, Company will obtain copies of outside securities account statements</w:t>
      </w:r>
      <w:r w:rsidR="007D4DEB" w:rsidRPr="005D1066">
        <w:t xml:space="preserve"> to be reviewed by Compliance or Operations personnel (currently </w:t>
      </w:r>
      <w:r w:rsidR="003A71A1" w:rsidRPr="003A71A1">
        <w:rPr>
          <w:color w:val="FF0000"/>
        </w:rPr>
        <w:t>Gloria Sedita or Laura Hendricks</w:t>
      </w:r>
      <w:r w:rsidR="007D4DEB" w:rsidRPr="003A71A1">
        <w:rPr>
          <w:color w:val="FF0000"/>
        </w:rPr>
        <w:t xml:space="preserve"> </w:t>
      </w:r>
      <w:r w:rsidR="007D4DEB" w:rsidRPr="005D1066">
        <w:t>initials) with random review by Laura Hendricks.</w:t>
      </w:r>
    </w:p>
    <w:p w14:paraId="56325254" w14:textId="77777777" w:rsidR="00186675" w:rsidRDefault="00186675" w:rsidP="00186675">
      <w:pPr>
        <w:jc w:val="both"/>
        <w:rPr>
          <w:sz w:val="24"/>
        </w:rPr>
      </w:pPr>
    </w:p>
    <w:p w14:paraId="638D4F2F" w14:textId="77777777" w:rsidR="00505242" w:rsidRDefault="00505242" w:rsidP="00186675">
      <w:pPr>
        <w:jc w:val="both"/>
        <w:rPr>
          <w:sz w:val="24"/>
        </w:rPr>
      </w:pPr>
    </w:p>
    <w:p w14:paraId="3F23A2C7" w14:textId="77777777" w:rsidR="00186675" w:rsidRPr="000C570A" w:rsidRDefault="00D114C8" w:rsidP="00936FEE">
      <w:pPr>
        <w:pStyle w:val="Heading2"/>
      </w:pPr>
      <w:r w:rsidRPr="000C570A">
        <w:t xml:space="preserve">4.7 </w:t>
      </w:r>
      <w:r w:rsidR="00186675" w:rsidRPr="000C570A">
        <w:t>Executive Representative</w:t>
      </w:r>
    </w:p>
    <w:p w14:paraId="55288AED" w14:textId="77777777" w:rsidR="00505242" w:rsidRDefault="008614BF" w:rsidP="00186675">
      <w:pPr>
        <w:rPr>
          <w:sz w:val="24"/>
          <w:szCs w:val="24"/>
        </w:rPr>
      </w:pPr>
      <w:r>
        <w:rPr>
          <w:sz w:val="24"/>
          <w:szCs w:val="24"/>
        </w:rPr>
        <w:t xml:space="preserve">In accordance with Article IV, Section 3 of FINRA By-Laws, Morris Monroe is the Company’s appointed “executive representative” as defined therein, who represents, votes, and acts for the Company in </w:t>
      </w:r>
      <w:r w:rsidR="00D26C25">
        <w:rPr>
          <w:sz w:val="24"/>
          <w:szCs w:val="24"/>
        </w:rPr>
        <w:t xml:space="preserve">certain </w:t>
      </w:r>
      <w:r>
        <w:rPr>
          <w:sz w:val="24"/>
          <w:szCs w:val="24"/>
        </w:rPr>
        <w:t>affairs of FINRA.  Any changes to the executive representative shall be made electronically through FINRA firm gateway.</w:t>
      </w:r>
    </w:p>
    <w:p w14:paraId="0F668FC0" w14:textId="77777777" w:rsidR="008614BF" w:rsidRDefault="008614BF" w:rsidP="00186675">
      <w:pPr>
        <w:rPr>
          <w:sz w:val="24"/>
          <w:szCs w:val="24"/>
        </w:rPr>
      </w:pPr>
    </w:p>
    <w:p w14:paraId="6CA57092" w14:textId="77777777" w:rsidR="008614BF" w:rsidRPr="008614BF" w:rsidRDefault="008614BF" w:rsidP="00186675">
      <w:pPr>
        <w:rPr>
          <w:sz w:val="24"/>
          <w:szCs w:val="24"/>
        </w:rPr>
      </w:pPr>
    </w:p>
    <w:p w14:paraId="21DC773E" w14:textId="77777777" w:rsidR="00186675" w:rsidRPr="00125389" w:rsidRDefault="00D114C8" w:rsidP="00936FEE">
      <w:pPr>
        <w:pStyle w:val="Heading2"/>
      </w:pPr>
      <w:r w:rsidRPr="00125389">
        <w:t xml:space="preserve">4.8 </w:t>
      </w:r>
      <w:r w:rsidR="00186675" w:rsidRPr="00125389">
        <w:t>Charitable Contributions</w:t>
      </w:r>
    </w:p>
    <w:p w14:paraId="21D75613" w14:textId="77777777" w:rsidR="00186675" w:rsidRPr="00790F31" w:rsidRDefault="00186675" w:rsidP="00B9228D">
      <w:r w:rsidRPr="00125389">
        <w:rPr>
          <w:sz w:val="24"/>
        </w:rPr>
        <w:t xml:space="preserve">A charitable contribution, as a result of a solicitation from an employee(s) or agent(s) of a customer or potential customer acting in a fiduciary capacity, could be construed as a conflict of interest similar to the payment of gifts or gratuities as established by FINRA Rule </w:t>
      </w:r>
      <w:r w:rsidRPr="00125389">
        <w:rPr>
          <w:b/>
          <w:bCs/>
          <w:sz w:val="24"/>
        </w:rPr>
        <w:t>3060</w:t>
      </w:r>
      <w:r w:rsidRPr="00125389">
        <w:rPr>
          <w:sz w:val="24"/>
        </w:rPr>
        <w:t xml:space="preserve">.  The Company does not restrict contributions to charitable organizations by </w:t>
      </w:r>
      <w:r w:rsidR="00EF4B89" w:rsidRPr="00125389">
        <w:rPr>
          <w:sz w:val="24"/>
        </w:rPr>
        <w:t>A</w:t>
      </w:r>
      <w:r w:rsidRPr="00125389">
        <w:rPr>
          <w:sz w:val="24"/>
        </w:rPr>
        <w:t xml:space="preserve">ssociated </w:t>
      </w:r>
      <w:r w:rsidR="00EF4B89" w:rsidRPr="00125389">
        <w:rPr>
          <w:sz w:val="24"/>
        </w:rPr>
        <w:t>P</w:t>
      </w:r>
      <w:r w:rsidRPr="00125389">
        <w:rPr>
          <w:sz w:val="24"/>
        </w:rPr>
        <w:t>ersons acting in their own capacity.  The Company will not reimburse charitable contributio</w:t>
      </w:r>
      <w:r w:rsidR="00E64479">
        <w:rPr>
          <w:sz w:val="24"/>
        </w:rPr>
        <w:t>ns made by Associated Persons.</w:t>
      </w:r>
      <w:r w:rsidR="00682CDD">
        <w:rPr>
          <w:sz w:val="24"/>
        </w:rPr>
        <w:t xml:space="preserve">  </w:t>
      </w:r>
      <w:r w:rsidR="00682CDD" w:rsidRPr="009165DF">
        <w:rPr>
          <w:sz w:val="24"/>
        </w:rPr>
        <w:t>The Company may choose to give charitable contributions on behalf of the Company with the approval of Morris Monroe</w:t>
      </w:r>
      <w:r w:rsidR="00FA74FC">
        <w:rPr>
          <w:sz w:val="24"/>
        </w:rPr>
        <w:t xml:space="preserve"> </w:t>
      </w:r>
      <w:r w:rsidR="00FA74FC" w:rsidRPr="00790F31">
        <w:rPr>
          <w:sz w:val="24"/>
        </w:rPr>
        <w:t>(as evidenced by his check signature or credit card transaction)</w:t>
      </w:r>
      <w:r w:rsidRPr="00790F31">
        <w:t>.</w:t>
      </w:r>
      <w:r w:rsidR="00682CDD" w:rsidRPr="00790F31">
        <w:t xml:space="preserve"> </w:t>
      </w:r>
    </w:p>
    <w:p w14:paraId="5D0DD47E" w14:textId="77777777" w:rsidR="00505242" w:rsidRPr="009165DF" w:rsidRDefault="00505242" w:rsidP="00B9228D"/>
    <w:p w14:paraId="769DCB73" w14:textId="77777777" w:rsidR="00186675" w:rsidRDefault="00186675" w:rsidP="00B9228D"/>
    <w:p w14:paraId="1E92E747" w14:textId="77777777" w:rsidR="00186675" w:rsidRPr="00125389" w:rsidRDefault="00D114C8" w:rsidP="00936FEE">
      <w:pPr>
        <w:pStyle w:val="Heading2"/>
      </w:pPr>
      <w:bookmarkStart w:id="49" w:name="HeightenedSupervision"/>
      <w:bookmarkEnd w:id="49"/>
      <w:r w:rsidRPr="00125389">
        <w:lastRenderedPageBreak/>
        <w:t xml:space="preserve">4.9 </w:t>
      </w:r>
      <w:r w:rsidR="00186675" w:rsidRPr="00125389">
        <w:t>Heightened Supervisory Procedures</w:t>
      </w:r>
    </w:p>
    <w:p w14:paraId="04BF42DF" w14:textId="77777777" w:rsidR="00186675" w:rsidRPr="000C099C" w:rsidRDefault="00186675" w:rsidP="00B9228D">
      <w:pPr>
        <w:rPr>
          <w:sz w:val="24"/>
        </w:rPr>
      </w:pPr>
      <w:r w:rsidRPr="000C099C">
        <w:rPr>
          <w:sz w:val="24"/>
        </w:rPr>
        <w:t xml:space="preserve">A heightened level of supervision will be employed where any registered representative </w:t>
      </w:r>
      <w:r w:rsidR="007C1749">
        <w:rPr>
          <w:sz w:val="24"/>
        </w:rPr>
        <w:t xml:space="preserve">or </w:t>
      </w:r>
      <w:r w:rsidR="002A4B34">
        <w:rPr>
          <w:sz w:val="24"/>
        </w:rPr>
        <w:t xml:space="preserve">office </w:t>
      </w:r>
      <w:r w:rsidR="002A4B34" w:rsidRPr="000C099C">
        <w:rPr>
          <w:sz w:val="24"/>
        </w:rPr>
        <w:t>ha</w:t>
      </w:r>
      <w:r w:rsidR="002A4B34">
        <w:rPr>
          <w:sz w:val="24"/>
        </w:rPr>
        <w:t>s</w:t>
      </w:r>
      <w:r w:rsidRPr="000C099C">
        <w:rPr>
          <w:sz w:val="24"/>
        </w:rPr>
        <w:t xml:space="preserve"> a history of sales practice problems and/or a history of multiple customer complaints and arbitrations that were resolved against the registered representative. Morris Monroe will be responsible for the supervision of any registered representative who falls into any of the above categories. Morris Monroe will assess the degree of additional supervision needed based on the type and quantity of violations.  Morris Monroe will notify the applicable registered representative of the additional supervision, its format, and length of time.  Both Morris Monroe and the registered representative will sign an acknowledgment as to the terms and time for the special supervision.  The product, customer, or activity type will be examined to determine if the representative’s activities will be restricted or additional reviews will be performed. </w:t>
      </w:r>
      <w:r w:rsidR="00960EFC">
        <w:rPr>
          <w:sz w:val="24"/>
        </w:rPr>
        <w:t xml:space="preserve">When applicable, </w:t>
      </w:r>
      <w:r w:rsidR="00EC1A86" w:rsidRPr="000C099C">
        <w:rPr>
          <w:sz w:val="24"/>
        </w:rPr>
        <w:t>Morris Monroe</w:t>
      </w:r>
      <w:r w:rsidRPr="000C099C">
        <w:rPr>
          <w:sz w:val="24"/>
        </w:rPr>
        <w:t xml:space="preserve"> </w:t>
      </w:r>
      <w:r w:rsidR="00D87DA2">
        <w:rPr>
          <w:sz w:val="24"/>
        </w:rPr>
        <w:t xml:space="preserve">or </w:t>
      </w:r>
      <w:r w:rsidR="00D87DA2" w:rsidRPr="00126A56">
        <w:rPr>
          <w:sz w:val="24"/>
        </w:rPr>
        <w:t xml:space="preserve">Laura Hendricks </w:t>
      </w:r>
      <w:r w:rsidRPr="000C099C">
        <w:rPr>
          <w:sz w:val="24"/>
        </w:rPr>
        <w:t>will review all new account forms for completeness and accuracy.  Additionally, he will contact customers on a random basis to review the information with the client and note the review on the new account form.  All trade corrections, extensions, and liquidations initiated by the registered</w:t>
      </w:r>
      <w:r w:rsidRPr="000C099C">
        <w:t xml:space="preserve"> </w:t>
      </w:r>
      <w:r w:rsidRPr="000C099C">
        <w:rPr>
          <w:sz w:val="24"/>
        </w:rPr>
        <w:t>representative must be approved in writing by Morris Monroe</w:t>
      </w:r>
      <w:r w:rsidR="00960EFC">
        <w:rPr>
          <w:sz w:val="24"/>
        </w:rPr>
        <w:t xml:space="preserve"> or Compliance</w:t>
      </w:r>
      <w:r w:rsidRPr="000C099C">
        <w:rPr>
          <w:sz w:val="24"/>
        </w:rPr>
        <w:t xml:space="preserve">.  All communication with the public will receive prior approval in writing by Morris Monroe </w:t>
      </w:r>
      <w:r w:rsidR="00D87DA2">
        <w:rPr>
          <w:sz w:val="24"/>
        </w:rPr>
        <w:t xml:space="preserve">or </w:t>
      </w:r>
      <w:r w:rsidR="00D87DA2" w:rsidRPr="00126A56">
        <w:rPr>
          <w:sz w:val="24"/>
        </w:rPr>
        <w:t>Laura Hendricks</w:t>
      </w:r>
      <w:r w:rsidR="00D87DA2">
        <w:rPr>
          <w:sz w:val="24"/>
        </w:rPr>
        <w:t xml:space="preserve"> </w:t>
      </w:r>
      <w:r w:rsidRPr="000C099C">
        <w:rPr>
          <w:sz w:val="24"/>
        </w:rPr>
        <w:t>before being utilized by the registered representative.</w:t>
      </w:r>
    </w:p>
    <w:p w14:paraId="387521B4" w14:textId="77777777" w:rsidR="00186675" w:rsidRPr="000C099C" w:rsidRDefault="00186675" w:rsidP="00B9228D">
      <w:pPr>
        <w:rPr>
          <w:sz w:val="24"/>
        </w:rPr>
      </w:pPr>
    </w:p>
    <w:p w14:paraId="009AD52E" w14:textId="77777777" w:rsidR="001372F3" w:rsidRPr="001372F3" w:rsidRDefault="001372F3" w:rsidP="00B9228D">
      <w:pPr>
        <w:pStyle w:val="Heading3"/>
        <w:jc w:val="left"/>
      </w:pPr>
      <w:r w:rsidRPr="001372F3">
        <w:t>4.</w:t>
      </w:r>
      <w:r>
        <w:t>9.1</w:t>
      </w:r>
      <w:r w:rsidRPr="001372F3">
        <w:t xml:space="preserve"> Supervision of </w:t>
      </w:r>
      <w:r w:rsidR="00EF4265">
        <w:t>Supervisors</w:t>
      </w:r>
    </w:p>
    <w:p w14:paraId="4EF0F092" w14:textId="77777777" w:rsidR="001372F3" w:rsidRPr="009165DF" w:rsidRDefault="001372F3" w:rsidP="00B9228D">
      <w:pPr>
        <w:shd w:val="clear" w:color="auto" w:fill="FFFFFF"/>
        <w:ind w:left="270"/>
        <w:rPr>
          <w:spacing w:val="8"/>
          <w:sz w:val="24"/>
          <w:szCs w:val="24"/>
        </w:rPr>
      </w:pPr>
      <w:r w:rsidRPr="009165DF">
        <w:rPr>
          <w:spacing w:val="8"/>
          <w:sz w:val="24"/>
          <w:szCs w:val="24"/>
        </w:rPr>
        <w:t xml:space="preserve">Day-to-day customer account activity conducted by office managers, sales managers, regional or district managers or anyone performing similar supervisory </w:t>
      </w:r>
      <w:r w:rsidR="00EF4265" w:rsidRPr="009165DF">
        <w:rPr>
          <w:spacing w:val="8"/>
          <w:sz w:val="24"/>
          <w:szCs w:val="24"/>
        </w:rPr>
        <w:t xml:space="preserve">qualifies for designation as a </w:t>
      </w:r>
      <w:r w:rsidR="00EF4265" w:rsidRPr="00790F31">
        <w:rPr>
          <w:spacing w:val="8"/>
          <w:sz w:val="24"/>
          <w:szCs w:val="24"/>
        </w:rPr>
        <w:t xml:space="preserve">supervisor.  Supervisors </w:t>
      </w:r>
      <w:r w:rsidR="00EF4265">
        <w:rPr>
          <w:spacing w:val="8"/>
          <w:sz w:val="24"/>
          <w:szCs w:val="24"/>
        </w:rPr>
        <w:t>are</w:t>
      </w:r>
      <w:r w:rsidRPr="009165DF">
        <w:rPr>
          <w:spacing w:val="8"/>
          <w:sz w:val="24"/>
          <w:szCs w:val="24"/>
        </w:rPr>
        <w:t xml:space="preserve"> subject to review and supervision by someone senior to or independent of the </w:t>
      </w:r>
      <w:r w:rsidR="00EF4265" w:rsidRPr="00790F31">
        <w:rPr>
          <w:spacing w:val="8"/>
          <w:sz w:val="24"/>
          <w:szCs w:val="24"/>
        </w:rPr>
        <w:t>supervisor</w:t>
      </w:r>
      <w:r w:rsidRPr="00790F31">
        <w:rPr>
          <w:spacing w:val="8"/>
          <w:sz w:val="24"/>
          <w:szCs w:val="24"/>
        </w:rPr>
        <w:t>.</w:t>
      </w:r>
      <w:r w:rsidRPr="009165DF">
        <w:rPr>
          <w:spacing w:val="8"/>
          <w:sz w:val="24"/>
          <w:szCs w:val="24"/>
        </w:rPr>
        <w:t xml:space="preserve"> </w:t>
      </w:r>
    </w:p>
    <w:p w14:paraId="0C49E6FD" w14:textId="77777777" w:rsidR="001372F3" w:rsidRPr="009165DF" w:rsidRDefault="001372F3" w:rsidP="00B9228D">
      <w:pPr>
        <w:shd w:val="clear" w:color="auto" w:fill="FFFFFF"/>
        <w:ind w:left="270"/>
        <w:rPr>
          <w:spacing w:val="8"/>
          <w:sz w:val="24"/>
          <w:szCs w:val="24"/>
        </w:rPr>
      </w:pPr>
    </w:p>
    <w:p w14:paraId="0A2F1D9A" w14:textId="77777777" w:rsidR="001372F3" w:rsidRPr="009165DF" w:rsidRDefault="001372F3" w:rsidP="00B9228D">
      <w:pPr>
        <w:shd w:val="clear" w:color="auto" w:fill="FFFFFF"/>
        <w:ind w:left="270"/>
        <w:rPr>
          <w:spacing w:val="8"/>
          <w:sz w:val="24"/>
          <w:szCs w:val="24"/>
        </w:rPr>
      </w:pPr>
      <w:r w:rsidRPr="009165DF">
        <w:rPr>
          <w:spacing w:val="8"/>
          <w:sz w:val="24"/>
          <w:szCs w:val="24"/>
        </w:rPr>
        <w:t>"Independent" means someone who:</w:t>
      </w:r>
    </w:p>
    <w:p w14:paraId="4C8F5E6F" w14:textId="77777777" w:rsidR="001372F3" w:rsidRPr="009165DF" w:rsidRDefault="005D1DFC" w:rsidP="00C1728B">
      <w:pPr>
        <w:numPr>
          <w:ilvl w:val="0"/>
          <w:numId w:val="116"/>
        </w:numPr>
        <w:shd w:val="clear" w:color="auto" w:fill="FFFFFF"/>
        <w:rPr>
          <w:spacing w:val="8"/>
          <w:sz w:val="24"/>
          <w:szCs w:val="24"/>
        </w:rPr>
      </w:pPr>
      <w:r>
        <w:rPr>
          <w:spacing w:val="8"/>
          <w:sz w:val="24"/>
          <w:szCs w:val="24"/>
        </w:rPr>
        <w:t>D</w:t>
      </w:r>
      <w:r w:rsidR="001372F3" w:rsidRPr="009165DF">
        <w:rPr>
          <w:spacing w:val="8"/>
          <w:sz w:val="24"/>
          <w:szCs w:val="24"/>
        </w:rPr>
        <w:t xml:space="preserve">oes not report directly or indirectly to the person supervised; </w:t>
      </w:r>
    </w:p>
    <w:p w14:paraId="332698B9" w14:textId="77777777" w:rsidR="001372F3" w:rsidRPr="009165DF" w:rsidRDefault="005D1DFC" w:rsidP="00C1728B">
      <w:pPr>
        <w:numPr>
          <w:ilvl w:val="0"/>
          <w:numId w:val="116"/>
        </w:numPr>
        <w:shd w:val="clear" w:color="auto" w:fill="FFFFFF"/>
        <w:rPr>
          <w:spacing w:val="8"/>
          <w:sz w:val="24"/>
          <w:szCs w:val="24"/>
        </w:rPr>
      </w:pPr>
      <w:r>
        <w:rPr>
          <w:spacing w:val="8"/>
          <w:sz w:val="24"/>
          <w:szCs w:val="24"/>
        </w:rPr>
        <w:t>I</w:t>
      </w:r>
      <w:r w:rsidR="001372F3" w:rsidRPr="009165DF">
        <w:rPr>
          <w:spacing w:val="8"/>
          <w:sz w:val="24"/>
          <w:szCs w:val="24"/>
        </w:rPr>
        <w:t xml:space="preserve">s located in an office other than the person supervised; </w:t>
      </w:r>
    </w:p>
    <w:p w14:paraId="6ABDC739" w14:textId="77777777" w:rsidR="001372F3" w:rsidRPr="009165DF" w:rsidRDefault="001372F3" w:rsidP="00C1728B">
      <w:pPr>
        <w:numPr>
          <w:ilvl w:val="0"/>
          <w:numId w:val="116"/>
        </w:numPr>
        <w:shd w:val="clear" w:color="auto" w:fill="FFFFFF"/>
        <w:rPr>
          <w:spacing w:val="8"/>
          <w:sz w:val="24"/>
          <w:szCs w:val="24"/>
        </w:rPr>
      </w:pPr>
      <w:r w:rsidRPr="009165DF">
        <w:rPr>
          <w:spacing w:val="8"/>
          <w:sz w:val="24"/>
          <w:szCs w:val="24"/>
        </w:rPr>
        <w:t xml:space="preserve">does not otherwise have supervisory responsibility over the activity being reviewed; </w:t>
      </w:r>
    </w:p>
    <w:p w14:paraId="0D90C3A1" w14:textId="77777777" w:rsidR="001372F3" w:rsidRPr="009165DF" w:rsidRDefault="005D1DFC" w:rsidP="00C1728B">
      <w:pPr>
        <w:numPr>
          <w:ilvl w:val="0"/>
          <w:numId w:val="116"/>
        </w:numPr>
        <w:shd w:val="clear" w:color="auto" w:fill="FFFFFF"/>
        <w:rPr>
          <w:spacing w:val="8"/>
          <w:sz w:val="24"/>
          <w:szCs w:val="24"/>
        </w:rPr>
      </w:pPr>
      <w:r>
        <w:rPr>
          <w:spacing w:val="8"/>
          <w:sz w:val="24"/>
          <w:szCs w:val="24"/>
        </w:rPr>
        <w:t>I</w:t>
      </w:r>
      <w:r w:rsidR="001372F3" w:rsidRPr="009165DF">
        <w:rPr>
          <w:spacing w:val="8"/>
          <w:sz w:val="24"/>
          <w:szCs w:val="24"/>
        </w:rPr>
        <w:t xml:space="preserve">s not compensated directly or indirectly (in whole or part) on revenues accruing from the activities supervised; and </w:t>
      </w:r>
    </w:p>
    <w:p w14:paraId="05ADBCE0" w14:textId="77777777" w:rsidR="001372F3" w:rsidRPr="00460C30" w:rsidRDefault="005D1DFC" w:rsidP="00C1728B">
      <w:pPr>
        <w:numPr>
          <w:ilvl w:val="0"/>
          <w:numId w:val="116"/>
        </w:numPr>
        <w:shd w:val="clear" w:color="auto" w:fill="FFFFFF"/>
        <w:rPr>
          <w:color w:val="FF0000"/>
          <w:spacing w:val="8"/>
          <w:sz w:val="24"/>
          <w:szCs w:val="24"/>
        </w:rPr>
      </w:pPr>
      <w:r>
        <w:rPr>
          <w:spacing w:val="8"/>
          <w:sz w:val="24"/>
          <w:szCs w:val="24"/>
        </w:rPr>
        <w:t>A</w:t>
      </w:r>
      <w:r w:rsidR="001372F3" w:rsidRPr="009165DF">
        <w:rPr>
          <w:spacing w:val="8"/>
          <w:sz w:val="24"/>
          <w:szCs w:val="24"/>
        </w:rPr>
        <w:t>lternates the review responsibility with another qualified person every two years or less</w:t>
      </w:r>
      <w:r w:rsidR="003D6A38">
        <w:rPr>
          <w:spacing w:val="8"/>
          <w:sz w:val="24"/>
          <w:szCs w:val="24"/>
        </w:rPr>
        <w:t>.</w:t>
      </w:r>
      <w:r w:rsidR="00D26C25" w:rsidRPr="00460C30">
        <w:rPr>
          <w:color w:val="FF0000"/>
          <w:spacing w:val="8"/>
          <w:sz w:val="24"/>
          <w:szCs w:val="24"/>
        </w:rPr>
        <w:t xml:space="preserve"> </w:t>
      </w:r>
    </w:p>
    <w:p w14:paraId="7533987E" w14:textId="77777777" w:rsidR="006F13F0" w:rsidRPr="009165DF" w:rsidRDefault="006F13F0" w:rsidP="00B9228D">
      <w:pPr>
        <w:shd w:val="clear" w:color="auto" w:fill="FFFFFF"/>
        <w:ind w:left="270"/>
        <w:rPr>
          <w:spacing w:val="8"/>
          <w:sz w:val="24"/>
          <w:szCs w:val="24"/>
        </w:rPr>
      </w:pPr>
    </w:p>
    <w:p w14:paraId="576DFFAD" w14:textId="77777777" w:rsidR="006F13F0" w:rsidRPr="009165DF" w:rsidRDefault="006F13F0" w:rsidP="00B9228D">
      <w:pPr>
        <w:shd w:val="clear" w:color="auto" w:fill="FFFFFF"/>
        <w:ind w:left="270"/>
        <w:rPr>
          <w:spacing w:val="8"/>
          <w:sz w:val="24"/>
          <w:szCs w:val="24"/>
        </w:rPr>
      </w:pPr>
      <w:r w:rsidRPr="009165DF">
        <w:rPr>
          <w:spacing w:val="8"/>
          <w:sz w:val="24"/>
          <w:szCs w:val="24"/>
        </w:rPr>
        <w:t xml:space="preserve">However, </w:t>
      </w:r>
      <w:r w:rsidR="00D451C7">
        <w:rPr>
          <w:spacing w:val="8"/>
          <w:sz w:val="24"/>
          <w:szCs w:val="24"/>
        </w:rPr>
        <w:t xml:space="preserve">as mentioned in Section 3.5.3, </w:t>
      </w:r>
      <w:r w:rsidRPr="009165DF">
        <w:rPr>
          <w:spacing w:val="8"/>
          <w:sz w:val="24"/>
          <w:szCs w:val="24"/>
        </w:rPr>
        <w:t xml:space="preserve">Company is limited in size and resources and claims exemption from the independent review of </w:t>
      </w:r>
      <w:r w:rsidR="00EF4265">
        <w:rPr>
          <w:spacing w:val="8"/>
          <w:sz w:val="24"/>
          <w:szCs w:val="24"/>
        </w:rPr>
        <w:t>supervisors</w:t>
      </w:r>
      <w:r w:rsidRPr="009165DF">
        <w:rPr>
          <w:spacing w:val="8"/>
          <w:sz w:val="24"/>
          <w:szCs w:val="24"/>
        </w:rPr>
        <w:t>.</w:t>
      </w:r>
      <w:r w:rsidR="00EF4265">
        <w:rPr>
          <w:spacing w:val="8"/>
          <w:sz w:val="24"/>
          <w:szCs w:val="24"/>
        </w:rPr>
        <w:t xml:space="preserve"> </w:t>
      </w:r>
      <w:r w:rsidRPr="009165DF">
        <w:rPr>
          <w:spacing w:val="8"/>
          <w:sz w:val="24"/>
          <w:szCs w:val="24"/>
        </w:rPr>
        <w:t xml:space="preserve"> The limiting factors include that there are no </w:t>
      </w:r>
      <w:proofErr w:type="gramStart"/>
      <w:r w:rsidRPr="009165DF">
        <w:rPr>
          <w:spacing w:val="8"/>
          <w:sz w:val="24"/>
          <w:szCs w:val="24"/>
        </w:rPr>
        <w:t>supervisors</w:t>
      </w:r>
      <w:proofErr w:type="gramEnd"/>
      <w:r w:rsidRPr="009165DF">
        <w:rPr>
          <w:spacing w:val="8"/>
          <w:sz w:val="24"/>
          <w:szCs w:val="24"/>
        </w:rPr>
        <w:t xml:space="preserve"> senior to or independent of </w:t>
      </w:r>
      <w:r w:rsidR="00EF4265">
        <w:rPr>
          <w:spacing w:val="8"/>
          <w:sz w:val="24"/>
          <w:szCs w:val="24"/>
        </w:rPr>
        <w:t>the applicable supervisors</w:t>
      </w:r>
      <w:r w:rsidRPr="009165DF">
        <w:rPr>
          <w:spacing w:val="8"/>
          <w:sz w:val="24"/>
          <w:szCs w:val="24"/>
        </w:rPr>
        <w:t xml:space="preserve">.  However, a qualified person conducts reviews and is knowledgeable of Company's policies and control procedures.  </w:t>
      </w:r>
    </w:p>
    <w:p w14:paraId="31F66AE3" w14:textId="77777777" w:rsidR="006F13F0" w:rsidRPr="009165DF" w:rsidRDefault="006F13F0" w:rsidP="00B9228D">
      <w:pPr>
        <w:shd w:val="clear" w:color="auto" w:fill="FFFFFF"/>
        <w:ind w:left="270"/>
        <w:rPr>
          <w:spacing w:val="8"/>
          <w:sz w:val="24"/>
          <w:szCs w:val="24"/>
        </w:rPr>
      </w:pPr>
    </w:p>
    <w:p w14:paraId="556F548A" w14:textId="77777777" w:rsidR="006F13F0" w:rsidRPr="009165DF" w:rsidRDefault="006F13F0" w:rsidP="00B9228D">
      <w:pPr>
        <w:shd w:val="clear" w:color="auto" w:fill="FFFFFF"/>
        <w:ind w:left="270"/>
        <w:rPr>
          <w:spacing w:val="8"/>
          <w:sz w:val="24"/>
          <w:szCs w:val="24"/>
        </w:rPr>
      </w:pPr>
      <w:r w:rsidRPr="009165DF">
        <w:rPr>
          <w:spacing w:val="8"/>
          <w:sz w:val="24"/>
          <w:szCs w:val="24"/>
        </w:rPr>
        <w:t xml:space="preserve">The reviews to be conducted by the Compliance Department are determined by the nature of the customer account activity. </w:t>
      </w:r>
      <w:r w:rsidR="00272A46">
        <w:rPr>
          <w:spacing w:val="8"/>
          <w:sz w:val="24"/>
          <w:szCs w:val="24"/>
        </w:rPr>
        <w:t xml:space="preserve"> </w:t>
      </w:r>
      <w:r w:rsidRPr="009165DF">
        <w:rPr>
          <w:spacing w:val="8"/>
          <w:sz w:val="24"/>
          <w:szCs w:val="24"/>
        </w:rPr>
        <w:t xml:space="preserve">Supervision will be substantially comparable to areas supervised for other RRs engaged in similar customer account activity. Those reviews are described throughout this manual. </w:t>
      </w:r>
    </w:p>
    <w:p w14:paraId="2B0B1650" w14:textId="77777777" w:rsidR="006F13F0" w:rsidRPr="009165DF" w:rsidRDefault="006F13F0" w:rsidP="00B9228D">
      <w:pPr>
        <w:shd w:val="clear" w:color="auto" w:fill="FFFFFF"/>
        <w:ind w:left="270"/>
        <w:rPr>
          <w:spacing w:val="8"/>
          <w:sz w:val="24"/>
          <w:szCs w:val="24"/>
        </w:rPr>
      </w:pPr>
    </w:p>
    <w:p w14:paraId="6363CF48" w14:textId="77777777" w:rsidR="006F13F0" w:rsidRPr="009165DF" w:rsidRDefault="006F13F0" w:rsidP="00B9228D">
      <w:pPr>
        <w:shd w:val="clear" w:color="auto" w:fill="FFFFFF"/>
        <w:ind w:left="270"/>
        <w:rPr>
          <w:spacing w:val="8"/>
          <w:sz w:val="24"/>
          <w:szCs w:val="24"/>
        </w:rPr>
      </w:pPr>
      <w:r w:rsidRPr="009165DF">
        <w:rPr>
          <w:spacing w:val="8"/>
          <w:sz w:val="24"/>
          <w:szCs w:val="24"/>
        </w:rPr>
        <w:t xml:space="preserve">Compliance will determine the areas to be supervised and incorporate them in a </w:t>
      </w:r>
      <w:r w:rsidR="00EF4265">
        <w:rPr>
          <w:spacing w:val="8"/>
          <w:sz w:val="24"/>
          <w:szCs w:val="24"/>
        </w:rPr>
        <w:t>Supervisor’s</w:t>
      </w:r>
      <w:r w:rsidRPr="009165DF">
        <w:rPr>
          <w:spacing w:val="8"/>
          <w:sz w:val="24"/>
          <w:szCs w:val="24"/>
        </w:rPr>
        <w:t xml:space="preserve"> Checklist to be complete</w:t>
      </w:r>
      <w:r w:rsidR="005C0E38" w:rsidRPr="009165DF">
        <w:rPr>
          <w:spacing w:val="8"/>
          <w:sz w:val="24"/>
          <w:szCs w:val="24"/>
        </w:rPr>
        <w:t>d by the reviewer</w:t>
      </w:r>
      <w:r w:rsidRPr="009165DF">
        <w:rPr>
          <w:spacing w:val="8"/>
          <w:sz w:val="24"/>
          <w:szCs w:val="24"/>
        </w:rPr>
        <w:t xml:space="preserve">, retained </w:t>
      </w:r>
      <w:r w:rsidR="005C0E38" w:rsidRPr="009165DF">
        <w:rPr>
          <w:spacing w:val="8"/>
          <w:sz w:val="24"/>
          <w:szCs w:val="24"/>
        </w:rPr>
        <w:t xml:space="preserve">as part of a Company’s </w:t>
      </w:r>
      <w:r w:rsidRPr="009165DF">
        <w:rPr>
          <w:spacing w:val="8"/>
          <w:sz w:val="24"/>
          <w:szCs w:val="24"/>
        </w:rPr>
        <w:t>office inspection</w:t>
      </w:r>
      <w:r w:rsidR="005C0E38" w:rsidRPr="009165DF">
        <w:rPr>
          <w:spacing w:val="8"/>
          <w:sz w:val="24"/>
          <w:szCs w:val="24"/>
        </w:rPr>
        <w:t>s</w:t>
      </w:r>
      <w:r w:rsidRPr="009165DF">
        <w:rPr>
          <w:spacing w:val="8"/>
          <w:sz w:val="24"/>
          <w:szCs w:val="24"/>
        </w:rPr>
        <w:t>.</w:t>
      </w:r>
    </w:p>
    <w:p w14:paraId="0713DD4B" w14:textId="77777777" w:rsidR="00186675" w:rsidRDefault="00186675" w:rsidP="00B9228D"/>
    <w:p w14:paraId="201D3B73" w14:textId="77777777" w:rsidR="00505242" w:rsidRPr="000C099C" w:rsidRDefault="00505242" w:rsidP="00B9228D"/>
    <w:p w14:paraId="1C7E5CE8" w14:textId="77777777" w:rsidR="00186675" w:rsidRPr="000C570A" w:rsidRDefault="00D114C8" w:rsidP="00936FEE">
      <w:pPr>
        <w:pStyle w:val="Heading2"/>
      </w:pPr>
      <w:bookmarkStart w:id="50" w:name="InvestmentAdvisoryActivities"/>
      <w:bookmarkEnd w:id="50"/>
      <w:r w:rsidRPr="000C570A">
        <w:t xml:space="preserve">4.10 </w:t>
      </w:r>
      <w:r w:rsidR="00186675" w:rsidRPr="000C570A">
        <w:t>Investment Advisory Activities of Associated Persons</w:t>
      </w:r>
    </w:p>
    <w:p w14:paraId="36BEF79D" w14:textId="62DD0C4D" w:rsidR="00186675" w:rsidRDefault="00186675" w:rsidP="00B9228D">
      <w:pPr>
        <w:rPr>
          <w:sz w:val="18"/>
          <w:szCs w:val="18"/>
        </w:rPr>
      </w:pPr>
      <w:r w:rsidRPr="000C099C">
        <w:rPr>
          <w:sz w:val="24"/>
        </w:rPr>
        <w:t xml:space="preserve">The Company will not hire registered representatives who are independently RIA registered.  </w:t>
      </w:r>
      <w:r w:rsidRPr="00126568">
        <w:rPr>
          <w:sz w:val="24"/>
        </w:rPr>
        <w:t xml:space="preserve">However, Company may hire an Associated Person who is dually appointed with another RIA provided they are not conducting transactions through another broker dealer </w:t>
      </w:r>
      <w:r w:rsidRPr="00126568">
        <w:rPr>
          <w:sz w:val="18"/>
          <w:szCs w:val="18"/>
        </w:rPr>
        <w:t>(08/20/08).</w:t>
      </w:r>
    </w:p>
    <w:p w14:paraId="552DBED6" w14:textId="56FF01EA" w:rsidR="00C64140" w:rsidRDefault="00C64140" w:rsidP="00B9228D">
      <w:pPr>
        <w:rPr>
          <w:sz w:val="18"/>
          <w:szCs w:val="18"/>
        </w:rPr>
      </w:pPr>
    </w:p>
    <w:p w14:paraId="1E7D3739" w14:textId="77777777" w:rsidR="00186675" w:rsidRPr="000C099C" w:rsidRDefault="00186675" w:rsidP="00B9228D">
      <w:pPr>
        <w:rPr>
          <w:sz w:val="24"/>
        </w:rPr>
      </w:pPr>
      <w:r>
        <w:rPr>
          <w:sz w:val="24"/>
        </w:rPr>
        <w:t>I</w:t>
      </w:r>
      <w:r w:rsidRPr="000C099C">
        <w:rPr>
          <w:sz w:val="24"/>
        </w:rPr>
        <w:t xml:space="preserve">n the event the Company decides to hire registered representatives </w:t>
      </w:r>
      <w:r>
        <w:rPr>
          <w:sz w:val="24"/>
        </w:rPr>
        <w:t xml:space="preserve">or Associated Persons </w:t>
      </w:r>
      <w:r w:rsidRPr="000C099C">
        <w:rPr>
          <w:sz w:val="24"/>
        </w:rPr>
        <w:t>in the future who are independently registered as investment advisers, the</w:t>
      </w:r>
      <w:r w:rsidR="00D451C7">
        <w:rPr>
          <w:sz w:val="24"/>
        </w:rPr>
        <w:t xml:space="preserve"> following</w:t>
      </w:r>
      <w:r w:rsidRPr="000C099C">
        <w:rPr>
          <w:sz w:val="24"/>
        </w:rPr>
        <w:t xml:space="preserve"> supervisory policies and review procedures will immediately be put into place.</w:t>
      </w:r>
    </w:p>
    <w:p w14:paraId="44BC441F" w14:textId="77777777" w:rsidR="00D114C8" w:rsidRDefault="00D114C8" w:rsidP="00B9228D">
      <w:pPr>
        <w:rPr>
          <w:sz w:val="24"/>
        </w:rPr>
      </w:pPr>
    </w:p>
    <w:p w14:paraId="058E3EDE" w14:textId="230D07F8" w:rsidR="00186675" w:rsidRDefault="00186675" w:rsidP="00B9228D">
      <w:pPr>
        <w:rPr>
          <w:sz w:val="24"/>
        </w:rPr>
      </w:pPr>
      <w:r w:rsidRPr="000C099C">
        <w:rPr>
          <w:sz w:val="24"/>
        </w:rPr>
        <w:t>It is imperative that the Company know and understand the nature of the securities business of its registered employees who are involved in executing securities transactions away from the Company.  To this end, FINRA has interpreted FINRA Rule 3040 to apply to a registered representative of this Company who is also a registered investment adviser</w:t>
      </w:r>
      <w:r>
        <w:rPr>
          <w:sz w:val="24"/>
        </w:rPr>
        <w:t xml:space="preserve"> participating (in his/her capacity as an investment adviser) in the execution of a trade at a broker/dealer other than the Company or </w:t>
      </w:r>
      <w:r w:rsidR="00B942D5" w:rsidRPr="00B942D5">
        <w:rPr>
          <w:color w:val="FF0000"/>
          <w:sz w:val="24"/>
        </w:rPr>
        <w:t>Avior Wealth Management, LLC (Avior).</w:t>
      </w:r>
    </w:p>
    <w:p w14:paraId="3D0E89D0" w14:textId="77777777" w:rsidR="00D114C8" w:rsidRDefault="00D114C8" w:rsidP="00B9228D">
      <w:pPr>
        <w:rPr>
          <w:sz w:val="24"/>
        </w:rPr>
      </w:pPr>
    </w:p>
    <w:p w14:paraId="71C9CF1F" w14:textId="77777777" w:rsidR="00186675" w:rsidRDefault="00186675" w:rsidP="00B9228D">
      <w:pPr>
        <w:rPr>
          <w:sz w:val="24"/>
        </w:rPr>
      </w:pPr>
      <w:r>
        <w:rPr>
          <w:sz w:val="24"/>
        </w:rPr>
        <w:t xml:space="preserve">Rule </w:t>
      </w:r>
      <w:r>
        <w:rPr>
          <w:b/>
          <w:bCs/>
          <w:sz w:val="24"/>
        </w:rPr>
        <w:t>3040</w:t>
      </w:r>
      <w:r>
        <w:rPr>
          <w:sz w:val="24"/>
        </w:rPr>
        <w:t xml:space="preserve"> requires a person </w:t>
      </w:r>
      <w:r w:rsidR="00D65441">
        <w:rPr>
          <w:sz w:val="24"/>
        </w:rPr>
        <w:t>registered</w:t>
      </w:r>
      <w:r>
        <w:rPr>
          <w:sz w:val="24"/>
        </w:rPr>
        <w:t xml:space="preserve"> with the Company, PRIOR to his or her participating in any private securities transactions, to provide written notice to the Company describing in detail the proposed transaction and his/her proposed role, including information as to whether he or she has received, or may receive, selling compensation in connection with the transaction.  The Company will advise the individual, in writing, as to whether it approves or disapproves of the participation as described.</w:t>
      </w:r>
    </w:p>
    <w:p w14:paraId="661BBAF1" w14:textId="77777777" w:rsidR="00D114C8" w:rsidRDefault="00D114C8" w:rsidP="00B9228D">
      <w:pPr>
        <w:rPr>
          <w:sz w:val="24"/>
        </w:rPr>
      </w:pPr>
    </w:p>
    <w:p w14:paraId="50DF91EE" w14:textId="220A241E" w:rsidR="00186675" w:rsidRDefault="00186675" w:rsidP="00B9228D">
      <w:pPr>
        <w:rPr>
          <w:sz w:val="24"/>
        </w:rPr>
      </w:pPr>
      <w:r>
        <w:rPr>
          <w:sz w:val="24"/>
        </w:rPr>
        <w:t xml:space="preserve">If the registered representative/adviser does not go beyond making a mere recommendation and the customer independently executes the order with another broker/dealer, directly with a mutual fund or with a third-party investment adviser, </w:t>
      </w:r>
      <w:r w:rsidRPr="000C099C">
        <w:rPr>
          <w:sz w:val="24"/>
        </w:rPr>
        <w:t>FINRA Conduct Rule 3040 does not apply but FINRA Conduct Rule 3030 (calling for a registered representative to provide prompt written notice of any outside business activity) WOULD apply.  Any investment</w:t>
      </w:r>
      <w:r>
        <w:rPr>
          <w:sz w:val="24"/>
        </w:rPr>
        <w:t xml:space="preserve"> adviser who is also a registered representative must require duplicate confirmations to be provided</w:t>
      </w:r>
      <w:r>
        <w:rPr>
          <w:b/>
          <w:sz w:val="24"/>
        </w:rPr>
        <w:t xml:space="preserve"> </w:t>
      </w:r>
      <w:r>
        <w:rPr>
          <w:sz w:val="24"/>
        </w:rPr>
        <w:t xml:space="preserve">for any transaction executed through a broker/dealer other than the Company or </w:t>
      </w:r>
      <w:r w:rsidR="00E9741B">
        <w:rPr>
          <w:color w:val="FF0000"/>
          <w:sz w:val="24"/>
        </w:rPr>
        <w:t>RIA</w:t>
      </w:r>
      <w:r>
        <w:rPr>
          <w:sz w:val="24"/>
        </w:rPr>
        <w:t>.</w:t>
      </w:r>
    </w:p>
    <w:p w14:paraId="2BEE4442" w14:textId="77777777" w:rsidR="005C5BED" w:rsidRDefault="005C5BED" w:rsidP="00B9228D">
      <w:pPr>
        <w:rPr>
          <w:sz w:val="24"/>
        </w:rPr>
      </w:pPr>
    </w:p>
    <w:p w14:paraId="6EBD67EC" w14:textId="77777777" w:rsidR="00186675" w:rsidRDefault="00186675" w:rsidP="00B9228D">
      <w:pPr>
        <w:rPr>
          <w:sz w:val="24"/>
        </w:rPr>
      </w:pPr>
      <w:r>
        <w:rPr>
          <w:sz w:val="24"/>
        </w:rPr>
        <w:t>If Company approves the individual's participation in an "a</w:t>
      </w:r>
      <w:r w:rsidR="006C46F0">
        <w:rPr>
          <w:sz w:val="24"/>
        </w:rPr>
        <w:t>way" transaction (in which the A</w:t>
      </w:r>
      <w:r>
        <w:rPr>
          <w:sz w:val="24"/>
        </w:rPr>
        <w:t xml:space="preserve">ssociated </w:t>
      </w:r>
      <w:r w:rsidR="006C46F0">
        <w:rPr>
          <w:sz w:val="24"/>
        </w:rPr>
        <w:t>P</w:t>
      </w:r>
      <w:r>
        <w:rPr>
          <w:sz w:val="24"/>
        </w:rPr>
        <w:t xml:space="preserve">erson has received or may receive selling compensation), a record of the transaction will be </w:t>
      </w:r>
      <w:r w:rsidR="005D1066">
        <w:rPr>
          <w:sz w:val="24"/>
        </w:rPr>
        <w:t>maintained,</w:t>
      </w:r>
      <w:r>
        <w:rPr>
          <w:sz w:val="24"/>
        </w:rPr>
        <w:t xml:space="preserve"> and the Company will supervise the participation in the transaction as if it were executed by the Company.</w:t>
      </w:r>
    </w:p>
    <w:p w14:paraId="7348C1AA" w14:textId="77777777" w:rsidR="00D114C8" w:rsidRDefault="00D114C8" w:rsidP="00B9228D">
      <w:pPr>
        <w:rPr>
          <w:sz w:val="24"/>
        </w:rPr>
      </w:pPr>
    </w:p>
    <w:p w14:paraId="493A9D8E" w14:textId="1C03F0E6" w:rsidR="00D114C8" w:rsidRDefault="00186675" w:rsidP="00B9228D">
      <w:pPr>
        <w:rPr>
          <w:sz w:val="24"/>
        </w:rPr>
      </w:pPr>
      <w:r>
        <w:rPr>
          <w:sz w:val="24"/>
        </w:rPr>
        <w:t xml:space="preserve">An example of a registered representative/registered investment adviser ("RR/RIA") participating in the execution of trades "away," is when he or she enters an order for an advisory customer with a brokerage firm other than the Company or </w:t>
      </w:r>
      <w:r w:rsidR="00E9741B">
        <w:rPr>
          <w:color w:val="FF0000"/>
          <w:sz w:val="24"/>
        </w:rPr>
        <w:t>RIA</w:t>
      </w:r>
      <w:r>
        <w:rPr>
          <w:sz w:val="24"/>
        </w:rPr>
        <w:t xml:space="preserve">, or directly with a mutual fund, or with any other entity (including another adviser) and received any compensation for the overall advisory services.  Conduct Rule 3040 (and the responsibility for the Company to </w:t>
      </w:r>
      <w:r w:rsidR="007B429A">
        <w:rPr>
          <w:sz w:val="24"/>
        </w:rPr>
        <w:t>supervise and</w:t>
      </w:r>
      <w:r>
        <w:rPr>
          <w:sz w:val="24"/>
        </w:rPr>
        <w:t xml:space="preserve"> maintain records on this transaction) would apply in this instance except as otherwise agreed to by the Company and the other broker/dealer firm.</w:t>
      </w:r>
      <w:r w:rsidR="000D00B8">
        <w:rPr>
          <w:sz w:val="24"/>
        </w:rPr>
        <w:t xml:space="preserve">  </w:t>
      </w:r>
      <w:r>
        <w:rPr>
          <w:sz w:val="24"/>
        </w:rPr>
        <w:t>The RR/RIA will not be required to get prior approval from the Company for each transaction</w:t>
      </w:r>
      <w:r w:rsidR="000D00B8">
        <w:rPr>
          <w:sz w:val="24"/>
        </w:rPr>
        <w:t>.</w:t>
      </w:r>
    </w:p>
    <w:p w14:paraId="68BB21BB" w14:textId="77777777" w:rsidR="000D00B8" w:rsidRDefault="000D00B8" w:rsidP="00B9228D">
      <w:pPr>
        <w:rPr>
          <w:sz w:val="24"/>
        </w:rPr>
      </w:pPr>
    </w:p>
    <w:p w14:paraId="6E09F845" w14:textId="77777777" w:rsidR="00186675" w:rsidRDefault="00186675" w:rsidP="00B9228D">
      <w:pPr>
        <w:rPr>
          <w:sz w:val="24"/>
        </w:rPr>
      </w:pPr>
      <w:r>
        <w:rPr>
          <w:sz w:val="24"/>
        </w:rPr>
        <w:t xml:space="preserve">Any registered </w:t>
      </w:r>
      <w:r w:rsidR="00303197">
        <w:rPr>
          <w:sz w:val="24"/>
        </w:rPr>
        <w:t>person</w:t>
      </w:r>
      <w:r>
        <w:rPr>
          <w:sz w:val="24"/>
        </w:rPr>
        <w:t xml:space="preserve"> of th</w:t>
      </w:r>
      <w:r w:rsidR="00303197">
        <w:rPr>
          <w:sz w:val="24"/>
        </w:rPr>
        <w:t>e</w:t>
      </w:r>
      <w:r>
        <w:rPr>
          <w:sz w:val="24"/>
        </w:rPr>
        <w:t xml:space="preserve"> Company who are also registered as investment advisers and who will be "selling away" must provide, in writing, a clear description of their proposed activities, </w:t>
      </w:r>
      <w:r>
        <w:rPr>
          <w:sz w:val="24"/>
        </w:rPr>
        <w:lastRenderedPageBreak/>
        <w:t>detailing the types of securities that would be executed, the service to be provided, compensation and compensation arrangements and a list of customers for whom this would apply.  The document is to be updated as circumstances apply (i.e. additional clients, a change in the way services are offered, transactions are executed, etc.).</w:t>
      </w:r>
    </w:p>
    <w:p w14:paraId="0F865A24" w14:textId="77777777" w:rsidR="00D114C8" w:rsidRDefault="00D114C8" w:rsidP="00B9228D">
      <w:pPr>
        <w:rPr>
          <w:sz w:val="24"/>
        </w:rPr>
      </w:pPr>
    </w:p>
    <w:p w14:paraId="303CE049" w14:textId="679B149F" w:rsidR="00186675" w:rsidRPr="006D0C4E" w:rsidRDefault="00186675" w:rsidP="00B9228D">
      <w:pPr>
        <w:rPr>
          <w:sz w:val="24"/>
        </w:rPr>
      </w:pPr>
      <w:r>
        <w:rPr>
          <w:sz w:val="24"/>
        </w:rPr>
        <w:t xml:space="preserve">Personnel files </w:t>
      </w:r>
      <w:r w:rsidR="007A0702" w:rsidRPr="00424F51">
        <w:rPr>
          <w:sz w:val="24"/>
        </w:rPr>
        <w:t>or other records</w:t>
      </w:r>
      <w:r w:rsidR="007A0702">
        <w:rPr>
          <w:sz w:val="24"/>
        </w:rPr>
        <w:t xml:space="preserve"> </w:t>
      </w:r>
      <w:r>
        <w:rPr>
          <w:sz w:val="24"/>
        </w:rPr>
        <w:t>for RR/RIA employees will be maintained to ensure the maintenance of (a) records of the registered representative's notice to the Company of their outside activities</w:t>
      </w:r>
      <w:r w:rsidR="000D00B8">
        <w:rPr>
          <w:sz w:val="24"/>
        </w:rPr>
        <w:t xml:space="preserve"> </w:t>
      </w:r>
      <w:r w:rsidR="000D00B8" w:rsidRPr="006D0C4E">
        <w:rPr>
          <w:sz w:val="24"/>
        </w:rPr>
        <w:t xml:space="preserve">(which may be in the form of the Form U-4 for </w:t>
      </w:r>
      <w:r w:rsidR="00DA33EA" w:rsidRPr="00DA33EA">
        <w:rPr>
          <w:color w:val="FF0000"/>
          <w:sz w:val="24"/>
        </w:rPr>
        <w:t>Avior</w:t>
      </w:r>
      <w:r w:rsidR="000D00B8" w:rsidRPr="006D0C4E">
        <w:rPr>
          <w:sz w:val="24"/>
        </w:rPr>
        <w:t>)</w:t>
      </w:r>
      <w:r w:rsidRPr="006D0C4E">
        <w:rPr>
          <w:sz w:val="24"/>
        </w:rPr>
        <w:t>, (b) any subsequent changes to the notice, (c) the Company's letter of approval or disapproval</w:t>
      </w:r>
      <w:r w:rsidR="000D00B8" w:rsidRPr="006D0C4E">
        <w:rPr>
          <w:sz w:val="24"/>
        </w:rPr>
        <w:t xml:space="preserve"> (which may be in the form of the processed Form U-4 for </w:t>
      </w:r>
      <w:r w:rsidR="00DA33EA" w:rsidRPr="00DA33EA">
        <w:rPr>
          <w:color w:val="FF0000"/>
          <w:sz w:val="24"/>
        </w:rPr>
        <w:t>Avior</w:t>
      </w:r>
      <w:r w:rsidR="000D00B8" w:rsidRPr="006D0C4E">
        <w:rPr>
          <w:sz w:val="24"/>
        </w:rPr>
        <w:t>)</w:t>
      </w:r>
      <w:r w:rsidRPr="006D0C4E">
        <w:rPr>
          <w:sz w:val="24"/>
        </w:rPr>
        <w:t>, and (</w:t>
      </w:r>
      <w:r w:rsidR="000D00B8" w:rsidRPr="006D0C4E">
        <w:rPr>
          <w:sz w:val="24"/>
        </w:rPr>
        <w:t>d</w:t>
      </w:r>
      <w:r w:rsidRPr="006D0C4E">
        <w:rPr>
          <w:sz w:val="24"/>
        </w:rPr>
        <w:t>) any other documents the Company’s compliance personnel have indicated are required in this situation.</w:t>
      </w:r>
    </w:p>
    <w:p w14:paraId="2A7515C1" w14:textId="77777777" w:rsidR="00D114C8" w:rsidRPr="006D0C4E" w:rsidRDefault="00D114C8" w:rsidP="00B9228D">
      <w:pPr>
        <w:rPr>
          <w:sz w:val="24"/>
        </w:rPr>
      </w:pPr>
    </w:p>
    <w:p w14:paraId="68D060A8" w14:textId="77777777" w:rsidR="00186675" w:rsidRDefault="00186675" w:rsidP="00B9228D">
      <w:pPr>
        <w:rPr>
          <w:sz w:val="24"/>
        </w:rPr>
      </w:pPr>
      <w:r>
        <w:rPr>
          <w:sz w:val="24"/>
        </w:rPr>
        <w:t>Customer records will be reviewed for such items as (a) copy of the registered representative’s advisory contract and any discretionary agreement used, (b) duplicate confirmations and account statements regarding the "away" transactions and (c) account opening cards, including investment objectives.</w:t>
      </w:r>
    </w:p>
    <w:p w14:paraId="1D18FB2E" w14:textId="77777777" w:rsidR="00D114C8" w:rsidRDefault="00D114C8" w:rsidP="00B9228D">
      <w:pPr>
        <w:rPr>
          <w:sz w:val="24"/>
        </w:rPr>
      </w:pPr>
    </w:p>
    <w:p w14:paraId="6268C7A2" w14:textId="77777777" w:rsidR="00186675" w:rsidRDefault="00186675" w:rsidP="00B9228D">
      <w:pPr>
        <w:rPr>
          <w:sz w:val="24"/>
        </w:rPr>
      </w:pPr>
      <w:r>
        <w:rPr>
          <w:sz w:val="24"/>
        </w:rPr>
        <w:t xml:space="preserve">Because the Company is responsible for supervising such transactions as if the transaction had been executed on its behalf, the Company will, in each instance of such "away" transactions, conduct a </w:t>
      </w:r>
      <w:r w:rsidR="005D1066">
        <w:rPr>
          <w:sz w:val="24"/>
        </w:rPr>
        <w:t>common-sense</w:t>
      </w:r>
      <w:r>
        <w:rPr>
          <w:sz w:val="24"/>
        </w:rPr>
        <w:t xml:space="preserve"> test to determine the appropriate level of due diligence required on the security, what suitability determinations are required, etc.</w:t>
      </w:r>
    </w:p>
    <w:p w14:paraId="68BF8D55" w14:textId="77777777" w:rsidR="008136C0" w:rsidRDefault="008136C0" w:rsidP="00B9228D">
      <w:pPr>
        <w:rPr>
          <w:sz w:val="24"/>
        </w:rPr>
      </w:pPr>
    </w:p>
    <w:p w14:paraId="179DDCE8" w14:textId="59214371" w:rsidR="008136C0" w:rsidRDefault="008136C0" w:rsidP="00B9228D">
      <w:pPr>
        <w:pStyle w:val="Heading3"/>
        <w:jc w:val="left"/>
      </w:pPr>
      <w:r>
        <w:t>4.10.1</w:t>
      </w:r>
      <w:r w:rsidR="004B2FCA">
        <w:t xml:space="preserve"> </w:t>
      </w:r>
      <w:r>
        <w:t xml:space="preserve">Registered </w:t>
      </w:r>
      <w:r w:rsidR="004B2FCA">
        <w:t xml:space="preserve">Investment Advisor </w:t>
      </w:r>
      <w:r>
        <w:t>Agents</w:t>
      </w:r>
    </w:p>
    <w:p w14:paraId="1E3080C2" w14:textId="11A6566E" w:rsidR="008136C0" w:rsidRPr="006D0C4E" w:rsidRDefault="008136C0" w:rsidP="00B9228D">
      <w:pPr>
        <w:ind w:left="270"/>
        <w:rPr>
          <w:sz w:val="24"/>
        </w:rPr>
      </w:pPr>
      <w:r w:rsidRPr="006D0C4E">
        <w:rPr>
          <w:sz w:val="24"/>
        </w:rPr>
        <w:t xml:space="preserve">There are registered representatives of the Company who are also registered agents of </w:t>
      </w:r>
      <w:r w:rsidR="004B2FCA">
        <w:rPr>
          <w:sz w:val="24"/>
        </w:rPr>
        <w:t xml:space="preserve">a </w:t>
      </w:r>
      <w:r w:rsidR="004B2FCA" w:rsidRPr="00DA6303">
        <w:rPr>
          <w:color w:val="FF0000"/>
          <w:sz w:val="24"/>
        </w:rPr>
        <w:t>Registered Investment Advisor (“RIA</w:t>
      </w:r>
      <w:r w:rsidRPr="00DA6303">
        <w:rPr>
          <w:color w:val="FF0000"/>
          <w:sz w:val="24"/>
        </w:rPr>
        <w:t xml:space="preserve">”).  </w:t>
      </w:r>
      <w:r w:rsidRPr="006D0C4E">
        <w:rPr>
          <w:sz w:val="24"/>
        </w:rPr>
        <w:t xml:space="preserve">These policies are designed to supervise the activities of such dually registered individuals. </w:t>
      </w:r>
    </w:p>
    <w:p w14:paraId="45C84919" w14:textId="77777777" w:rsidR="008136C0" w:rsidRPr="006D0C4E" w:rsidRDefault="008136C0" w:rsidP="00B9228D">
      <w:pPr>
        <w:ind w:left="270"/>
        <w:rPr>
          <w:sz w:val="24"/>
        </w:rPr>
      </w:pPr>
    </w:p>
    <w:p w14:paraId="2FA92DE2" w14:textId="3C63FA75" w:rsidR="000420BD" w:rsidRPr="00790F31" w:rsidRDefault="00C62F84" w:rsidP="003E7B18">
      <w:pPr>
        <w:numPr>
          <w:ilvl w:val="0"/>
          <w:numId w:val="150"/>
        </w:numPr>
        <w:ind w:left="900"/>
        <w:rPr>
          <w:sz w:val="24"/>
          <w:szCs w:val="24"/>
        </w:rPr>
      </w:pPr>
      <w:r>
        <w:rPr>
          <w:b/>
          <w:color w:val="FF0000"/>
          <w:sz w:val="24"/>
          <w:szCs w:val="24"/>
        </w:rPr>
        <w:t>A</w:t>
      </w:r>
      <w:r w:rsidRPr="00C62F84">
        <w:rPr>
          <w:b/>
          <w:color w:val="FF0000"/>
          <w:sz w:val="24"/>
          <w:szCs w:val="24"/>
        </w:rPr>
        <w:t>gents</w:t>
      </w:r>
      <w:r w:rsidR="00B80E4B" w:rsidRPr="0008522E">
        <w:rPr>
          <w:sz w:val="24"/>
          <w:szCs w:val="24"/>
        </w:rPr>
        <w:t xml:space="preserve">:  RRs </w:t>
      </w:r>
      <w:r w:rsidR="003F0A3D" w:rsidRPr="007F0C5D">
        <w:rPr>
          <w:sz w:val="24"/>
          <w:szCs w:val="24"/>
        </w:rPr>
        <w:t xml:space="preserve">who are also appointed as registered Agents of </w:t>
      </w:r>
      <w:r w:rsidR="00B942D5" w:rsidRPr="00B942D5">
        <w:rPr>
          <w:color w:val="FF0000"/>
          <w:sz w:val="24"/>
          <w:szCs w:val="24"/>
        </w:rPr>
        <w:t>RIA</w:t>
      </w:r>
      <w:r w:rsidR="003F0A3D" w:rsidRPr="007F0C5D">
        <w:rPr>
          <w:sz w:val="24"/>
          <w:szCs w:val="24"/>
        </w:rPr>
        <w:t xml:space="preserve"> </w:t>
      </w:r>
      <w:r w:rsidR="00B80E4B" w:rsidRPr="0008522E">
        <w:rPr>
          <w:sz w:val="24"/>
          <w:szCs w:val="24"/>
        </w:rPr>
        <w:t xml:space="preserve">may </w:t>
      </w:r>
      <w:r w:rsidRPr="00C62F84">
        <w:rPr>
          <w:color w:val="FF0000"/>
          <w:sz w:val="24"/>
          <w:szCs w:val="24"/>
        </w:rPr>
        <w:t>recommend</w:t>
      </w:r>
      <w:r w:rsidR="00B80E4B" w:rsidRPr="0008522E">
        <w:rPr>
          <w:sz w:val="24"/>
          <w:szCs w:val="24"/>
        </w:rPr>
        <w:t xml:space="preserve"> </w:t>
      </w:r>
      <w:r w:rsidRPr="00C62F84">
        <w:rPr>
          <w:color w:val="FF0000"/>
          <w:sz w:val="24"/>
          <w:szCs w:val="24"/>
        </w:rPr>
        <w:t>customers or</w:t>
      </w:r>
      <w:r w:rsidR="00B80E4B" w:rsidRPr="00C62F84">
        <w:rPr>
          <w:color w:val="FF0000"/>
          <w:sz w:val="24"/>
          <w:szCs w:val="24"/>
        </w:rPr>
        <w:t xml:space="preserve"> </w:t>
      </w:r>
      <w:r w:rsidR="00B80E4B" w:rsidRPr="0008522E">
        <w:rPr>
          <w:sz w:val="24"/>
          <w:szCs w:val="24"/>
        </w:rPr>
        <w:t xml:space="preserve">potential customers of </w:t>
      </w:r>
      <w:r w:rsidR="00DA6303" w:rsidRPr="00DA6303">
        <w:rPr>
          <w:color w:val="FF0000"/>
          <w:sz w:val="24"/>
          <w:szCs w:val="24"/>
        </w:rPr>
        <w:t>RIA</w:t>
      </w:r>
      <w:r w:rsidR="00B80E4B" w:rsidRPr="0008522E">
        <w:rPr>
          <w:sz w:val="24"/>
          <w:szCs w:val="24"/>
        </w:rPr>
        <w:t xml:space="preserve">. This may include providing investment advice to customers including guiding the customer's selection of an investment program and the underlying products in the program.  </w:t>
      </w:r>
      <w:r w:rsidR="00285C62" w:rsidRPr="0008522E">
        <w:rPr>
          <w:sz w:val="24"/>
          <w:szCs w:val="24"/>
        </w:rPr>
        <w:t xml:space="preserve">Only communications already approved by Company or </w:t>
      </w:r>
      <w:r w:rsidR="00DA6303" w:rsidRPr="00DA6303">
        <w:rPr>
          <w:color w:val="FF0000"/>
          <w:sz w:val="24"/>
          <w:szCs w:val="24"/>
        </w:rPr>
        <w:t>RIA</w:t>
      </w:r>
      <w:r w:rsidR="00285C62" w:rsidRPr="0008522E">
        <w:rPr>
          <w:sz w:val="24"/>
          <w:szCs w:val="24"/>
        </w:rPr>
        <w:t xml:space="preserve"> may be used for such </w:t>
      </w:r>
      <w:r w:rsidR="00AF7F55" w:rsidRPr="0008522E">
        <w:rPr>
          <w:sz w:val="24"/>
          <w:szCs w:val="24"/>
        </w:rPr>
        <w:t>activities</w:t>
      </w:r>
      <w:r w:rsidR="00285C62" w:rsidRPr="0008522E">
        <w:rPr>
          <w:sz w:val="24"/>
          <w:szCs w:val="24"/>
        </w:rPr>
        <w:t>.  S</w:t>
      </w:r>
      <w:r w:rsidR="00B80E4B" w:rsidRPr="0008522E">
        <w:rPr>
          <w:sz w:val="24"/>
          <w:szCs w:val="24"/>
        </w:rPr>
        <w:t xml:space="preserve">aid </w:t>
      </w:r>
      <w:r w:rsidRPr="00C62F84">
        <w:rPr>
          <w:color w:val="FF0000"/>
          <w:sz w:val="24"/>
          <w:szCs w:val="24"/>
        </w:rPr>
        <w:t>Agents</w:t>
      </w:r>
      <w:r w:rsidR="00B80E4B" w:rsidRPr="00C62F84">
        <w:rPr>
          <w:color w:val="FF0000"/>
          <w:sz w:val="24"/>
          <w:szCs w:val="24"/>
        </w:rPr>
        <w:t xml:space="preserve"> </w:t>
      </w:r>
      <w:r w:rsidR="00B80E4B" w:rsidRPr="0008522E">
        <w:rPr>
          <w:sz w:val="24"/>
          <w:szCs w:val="24"/>
        </w:rPr>
        <w:t>will share in the investment fee charged to any applicable client accounts.  Such fee sharing arrangement will be disclosed to clients in a fee disclosure form</w:t>
      </w:r>
      <w:r w:rsidR="00285C62" w:rsidRPr="0008522E">
        <w:rPr>
          <w:sz w:val="24"/>
          <w:szCs w:val="24"/>
        </w:rPr>
        <w:t xml:space="preserve"> at or prior to opening the client account</w:t>
      </w:r>
      <w:r w:rsidR="00B80E4B" w:rsidRPr="0008522E">
        <w:rPr>
          <w:sz w:val="24"/>
          <w:szCs w:val="24"/>
        </w:rPr>
        <w:t>.</w:t>
      </w:r>
      <w:r w:rsidR="00FC2DC4" w:rsidRPr="0008522E">
        <w:rPr>
          <w:sz w:val="24"/>
          <w:szCs w:val="24"/>
        </w:rPr>
        <w:t xml:space="preserve">  </w:t>
      </w:r>
      <w:r w:rsidR="00FC2DC4" w:rsidRPr="00790F31">
        <w:rPr>
          <w:sz w:val="24"/>
          <w:szCs w:val="24"/>
        </w:rPr>
        <w:t>Agents complete a</w:t>
      </w:r>
      <w:r>
        <w:rPr>
          <w:sz w:val="24"/>
          <w:szCs w:val="24"/>
        </w:rPr>
        <w:t xml:space="preserve">n </w:t>
      </w:r>
      <w:r w:rsidR="00FC2DC4" w:rsidRPr="00790F31">
        <w:rPr>
          <w:sz w:val="24"/>
          <w:szCs w:val="24"/>
        </w:rPr>
        <w:t xml:space="preserve">Agent Agreement with </w:t>
      </w:r>
      <w:r w:rsidR="00DA6303" w:rsidRPr="00DA6303">
        <w:rPr>
          <w:color w:val="FF0000"/>
          <w:sz w:val="24"/>
          <w:szCs w:val="24"/>
        </w:rPr>
        <w:t>RIA</w:t>
      </w:r>
      <w:r w:rsidR="0008522E" w:rsidRPr="00790F31">
        <w:rPr>
          <w:sz w:val="24"/>
          <w:szCs w:val="24"/>
        </w:rPr>
        <w:t xml:space="preserve"> which is accessible and available for review by the Company.</w:t>
      </w:r>
    </w:p>
    <w:p w14:paraId="0851FCDD" w14:textId="77777777" w:rsidR="00B80E4B" w:rsidRPr="00424F51" w:rsidRDefault="00B80E4B" w:rsidP="00B9228D">
      <w:pPr>
        <w:rPr>
          <w:sz w:val="24"/>
        </w:rPr>
      </w:pPr>
    </w:p>
    <w:p w14:paraId="4C5E61E2" w14:textId="2EE810A1" w:rsidR="008136C0" w:rsidRPr="006D0C4E" w:rsidRDefault="008136C0" w:rsidP="003E7B18">
      <w:pPr>
        <w:numPr>
          <w:ilvl w:val="0"/>
          <w:numId w:val="150"/>
        </w:numPr>
        <w:ind w:left="900"/>
        <w:rPr>
          <w:sz w:val="24"/>
        </w:rPr>
      </w:pPr>
      <w:r w:rsidRPr="006D0C4E">
        <w:rPr>
          <w:b/>
          <w:sz w:val="24"/>
        </w:rPr>
        <w:t>New Accounts</w:t>
      </w:r>
      <w:r w:rsidRPr="006D0C4E">
        <w:rPr>
          <w:sz w:val="24"/>
        </w:rPr>
        <w:t xml:space="preserve">:  All new </w:t>
      </w:r>
      <w:r w:rsidR="00DA6303">
        <w:rPr>
          <w:sz w:val="24"/>
        </w:rPr>
        <w:t>RIA</w:t>
      </w:r>
      <w:r w:rsidRPr="006D0C4E">
        <w:rPr>
          <w:sz w:val="24"/>
        </w:rPr>
        <w:t xml:space="preserve"> accounts will be reviewed by Company </w:t>
      </w:r>
      <w:r w:rsidR="00DA6303">
        <w:rPr>
          <w:sz w:val="24"/>
        </w:rPr>
        <w:t xml:space="preserve">or </w:t>
      </w:r>
      <w:r w:rsidR="00DA6303" w:rsidRPr="00DA6303">
        <w:rPr>
          <w:color w:val="FF0000"/>
          <w:sz w:val="24"/>
        </w:rPr>
        <w:t>RIA</w:t>
      </w:r>
      <w:r w:rsidR="00DA6303">
        <w:rPr>
          <w:sz w:val="24"/>
        </w:rPr>
        <w:t xml:space="preserve"> </w:t>
      </w:r>
      <w:r w:rsidRPr="006D0C4E">
        <w:rPr>
          <w:sz w:val="24"/>
        </w:rPr>
        <w:t xml:space="preserve">Compliance Department for </w:t>
      </w:r>
      <w:r w:rsidR="003F0A3D" w:rsidRPr="007F0C5D">
        <w:rPr>
          <w:sz w:val="24"/>
        </w:rPr>
        <w:t>best interest</w:t>
      </w:r>
      <w:r w:rsidRPr="006D0C4E">
        <w:rPr>
          <w:sz w:val="24"/>
        </w:rPr>
        <w:t xml:space="preserve">, document completion, and proper submission of funds.  Such review will be evidenced in WinOps </w:t>
      </w:r>
      <w:r w:rsidR="00DA6303" w:rsidRPr="00DA6303">
        <w:rPr>
          <w:color w:val="FF0000"/>
          <w:sz w:val="24"/>
        </w:rPr>
        <w:t xml:space="preserve">or other program </w:t>
      </w:r>
      <w:r w:rsidRPr="006D0C4E">
        <w:rPr>
          <w:sz w:val="24"/>
        </w:rPr>
        <w:t xml:space="preserve">with the date and initials of reviewer.  </w:t>
      </w:r>
    </w:p>
    <w:p w14:paraId="5BDDEC66" w14:textId="77777777" w:rsidR="00295A94" w:rsidRPr="006D0C4E" w:rsidRDefault="00295A94" w:rsidP="00B9228D">
      <w:pPr>
        <w:ind w:left="900"/>
        <w:rPr>
          <w:sz w:val="24"/>
        </w:rPr>
      </w:pPr>
    </w:p>
    <w:p w14:paraId="6BC2E1F7" w14:textId="1FA52542" w:rsidR="008136C0" w:rsidRPr="006D0C4E" w:rsidRDefault="008136C0" w:rsidP="003E7B18">
      <w:pPr>
        <w:numPr>
          <w:ilvl w:val="0"/>
          <w:numId w:val="150"/>
        </w:numPr>
        <w:ind w:left="900"/>
        <w:rPr>
          <w:sz w:val="24"/>
        </w:rPr>
      </w:pPr>
      <w:r w:rsidRPr="006D0C4E">
        <w:rPr>
          <w:b/>
          <w:sz w:val="24"/>
        </w:rPr>
        <w:t>Communication with the Public</w:t>
      </w:r>
      <w:r w:rsidRPr="006D0C4E">
        <w:rPr>
          <w:sz w:val="24"/>
        </w:rPr>
        <w:t xml:space="preserve">:  All electronic communication is currently archived for both Company and </w:t>
      </w:r>
      <w:r w:rsidR="00DA6303" w:rsidRPr="00DA6303">
        <w:rPr>
          <w:color w:val="FF0000"/>
          <w:sz w:val="24"/>
        </w:rPr>
        <w:t>RIA</w:t>
      </w:r>
      <w:r w:rsidR="00E6014F" w:rsidRPr="006D0C4E">
        <w:rPr>
          <w:sz w:val="24"/>
        </w:rPr>
        <w:t xml:space="preserve"> in </w:t>
      </w:r>
      <w:r w:rsidR="00DA6303" w:rsidRPr="00DA6303">
        <w:rPr>
          <w:color w:val="FF0000"/>
          <w:sz w:val="24"/>
        </w:rPr>
        <w:t>a</w:t>
      </w:r>
      <w:r w:rsidR="00E6014F" w:rsidRPr="006D0C4E">
        <w:rPr>
          <w:sz w:val="24"/>
        </w:rPr>
        <w:t xml:space="preserve"> shared archiving system</w:t>
      </w:r>
      <w:r w:rsidRPr="006D0C4E">
        <w:rPr>
          <w:sz w:val="24"/>
        </w:rPr>
        <w:t xml:space="preserve">. </w:t>
      </w:r>
      <w:r w:rsidR="00D451C7">
        <w:rPr>
          <w:sz w:val="24"/>
        </w:rPr>
        <w:t xml:space="preserve"> </w:t>
      </w:r>
      <w:r w:rsidR="00D451C7" w:rsidRPr="00604A2C">
        <w:rPr>
          <w:sz w:val="24"/>
        </w:rPr>
        <w:t>Emails are reviewed on a random basis at least once a week.</w:t>
      </w:r>
      <w:r w:rsidRPr="00D451C7">
        <w:rPr>
          <w:color w:val="FF0000"/>
          <w:sz w:val="24"/>
        </w:rPr>
        <w:t xml:space="preserve"> </w:t>
      </w:r>
      <w:r w:rsidRPr="006D0C4E">
        <w:rPr>
          <w:sz w:val="24"/>
        </w:rPr>
        <w:t xml:space="preserve">Any paper communications </w:t>
      </w:r>
      <w:r w:rsidR="00D60F66">
        <w:rPr>
          <w:sz w:val="24"/>
        </w:rPr>
        <w:t xml:space="preserve">to 25 or more people </w:t>
      </w:r>
      <w:r w:rsidR="00FA74FC" w:rsidRPr="00790F31">
        <w:rPr>
          <w:sz w:val="24"/>
        </w:rPr>
        <w:t xml:space="preserve">related to </w:t>
      </w:r>
      <w:r w:rsidR="00DA6303">
        <w:rPr>
          <w:sz w:val="24"/>
        </w:rPr>
        <w:t>RIA</w:t>
      </w:r>
      <w:r w:rsidR="00FA74FC" w:rsidRPr="00790F31">
        <w:rPr>
          <w:sz w:val="24"/>
        </w:rPr>
        <w:t xml:space="preserve"> business</w:t>
      </w:r>
      <w:r w:rsidR="00FA74FC" w:rsidRPr="00FA74FC">
        <w:rPr>
          <w:color w:val="FF0000"/>
          <w:sz w:val="24"/>
        </w:rPr>
        <w:t xml:space="preserve"> </w:t>
      </w:r>
      <w:r w:rsidRPr="006D0C4E">
        <w:rPr>
          <w:sz w:val="24"/>
        </w:rPr>
        <w:t xml:space="preserve">must be submitted to Company </w:t>
      </w:r>
      <w:r w:rsidR="00DA6303" w:rsidRPr="00DA6303">
        <w:rPr>
          <w:color w:val="FF0000"/>
          <w:sz w:val="24"/>
        </w:rPr>
        <w:t xml:space="preserve">or RIA </w:t>
      </w:r>
      <w:r w:rsidRPr="006D0C4E">
        <w:rPr>
          <w:sz w:val="24"/>
        </w:rPr>
        <w:t>Compliance Department for review</w:t>
      </w:r>
      <w:r w:rsidR="00E6014F" w:rsidRPr="006D0C4E">
        <w:rPr>
          <w:sz w:val="24"/>
        </w:rPr>
        <w:t xml:space="preserve">, </w:t>
      </w:r>
      <w:r w:rsidRPr="006D0C4E">
        <w:rPr>
          <w:sz w:val="24"/>
        </w:rPr>
        <w:t>approval</w:t>
      </w:r>
      <w:r w:rsidR="00E6014F" w:rsidRPr="006D0C4E">
        <w:rPr>
          <w:sz w:val="24"/>
        </w:rPr>
        <w:t>,</w:t>
      </w:r>
      <w:r w:rsidRPr="006D0C4E">
        <w:rPr>
          <w:sz w:val="24"/>
        </w:rPr>
        <w:t xml:space="preserve"> and recordkeeping.  </w:t>
      </w:r>
    </w:p>
    <w:p w14:paraId="2E63A390" w14:textId="77777777" w:rsidR="00295A94" w:rsidRPr="006D0C4E" w:rsidRDefault="00295A94" w:rsidP="00B9228D">
      <w:pPr>
        <w:rPr>
          <w:sz w:val="24"/>
        </w:rPr>
      </w:pPr>
    </w:p>
    <w:p w14:paraId="3F869544" w14:textId="637F2AC2" w:rsidR="00E6014F" w:rsidRPr="006D0C4E" w:rsidRDefault="00E6014F" w:rsidP="003E7B18">
      <w:pPr>
        <w:numPr>
          <w:ilvl w:val="0"/>
          <w:numId w:val="150"/>
        </w:numPr>
        <w:ind w:left="900"/>
        <w:rPr>
          <w:sz w:val="24"/>
        </w:rPr>
      </w:pPr>
      <w:r w:rsidRPr="006D0C4E">
        <w:rPr>
          <w:b/>
          <w:sz w:val="24"/>
        </w:rPr>
        <w:lastRenderedPageBreak/>
        <w:t>Trading</w:t>
      </w:r>
      <w:r w:rsidRPr="006D0C4E">
        <w:rPr>
          <w:sz w:val="24"/>
        </w:rPr>
        <w:t xml:space="preserve">:  All </w:t>
      </w:r>
      <w:r w:rsidR="00F47FBA" w:rsidRPr="00F47FBA">
        <w:rPr>
          <w:color w:val="FF0000"/>
          <w:sz w:val="24"/>
        </w:rPr>
        <w:t>RIA</w:t>
      </w:r>
      <w:r w:rsidRPr="006D0C4E">
        <w:rPr>
          <w:sz w:val="24"/>
        </w:rPr>
        <w:t xml:space="preserve"> trades are executed through the Company </w:t>
      </w:r>
      <w:r w:rsidR="00F47FBA" w:rsidRPr="00F47FBA">
        <w:rPr>
          <w:color w:val="FF0000"/>
          <w:sz w:val="24"/>
        </w:rPr>
        <w:t xml:space="preserve">or RIA </w:t>
      </w:r>
      <w:r w:rsidRPr="006D0C4E">
        <w:rPr>
          <w:sz w:val="24"/>
        </w:rPr>
        <w:t xml:space="preserve">home office.  All </w:t>
      </w:r>
      <w:r w:rsidR="00086B63">
        <w:rPr>
          <w:sz w:val="24"/>
        </w:rPr>
        <w:t>RIA</w:t>
      </w:r>
      <w:r w:rsidRPr="006D0C4E">
        <w:rPr>
          <w:sz w:val="24"/>
        </w:rPr>
        <w:t xml:space="preserve"> trades </w:t>
      </w:r>
      <w:r w:rsidR="0090781A" w:rsidRPr="006D0C4E">
        <w:rPr>
          <w:sz w:val="24"/>
        </w:rPr>
        <w:t xml:space="preserve">and trade tickets </w:t>
      </w:r>
      <w:r w:rsidRPr="006D0C4E">
        <w:rPr>
          <w:sz w:val="24"/>
        </w:rPr>
        <w:t xml:space="preserve">are reviewed by </w:t>
      </w:r>
      <w:r w:rsidR="0090781A" w:rsidRPr="006D0C4E">
        <w:rPr>
          <w:sz w:val="24"/>
        </w:rPr>
        <w:t xml:space="preserve">the </w:t>
      </w:r>
      <w:r w:rsidRPr="006D0C4E">
        <w:rPr>
          <w:sz w:val="24"/>
        </w:rPr>
        <w:t xml:space="preserve">Trading Department </w:t>
      </w:r>
      <w:r w:rsidR="00D60F66">
        <w:rPr>
          <w:sz w:val="24"/>
        </w:rPr>
        <w:t>or</w:t>
      </w:r>
      <w:r w:rsidRPr="006D0C4E">
        <w:rPr>
          <w:sz w:val="24"/>
        </w:rPr>
        <w:t xml:space="preserve"> by Mor</w:t>
      </w:r>
      <w:r w:rsidR="0090781A" w:rsidRPr="006D0C4E">
        <w:rPr>
          <w:sz w:val="24"/>
        </w:rPr>
        <w:t xml:space="preserve">ris Monroe </w:t>
      </w:r>
      <w:r w:rsidR="0090781A" w:rsidRPr="00604A2C">
        <w:rPr>
          <w:sz w:val="24"/>
        </w:rPr>
        <w:t xml:space="preserve">and </w:t>
      </w:r>
      <w:r w:rsidR="00662137" w:rsidRPr="00604A2C">
        <w:rPr>
          <w:sz w:val="24"/>
        </w:rPr>
        <w:t xml:space="preserve">Compliance.  Compliance </w:t>
      </w:r>
      <w:r w:rsidR="007F0C5D" w:rsidRPr="00604A2C">
        <w:rPr>
          <w:sz w:val="24"/>
        </w:rPr>
        <w:t>evidence</w:t>
      </w:r>
      <w:r w:rsidR="0090781A" w:rsidRPr="00604A2C">
        <w:rPr>
          <w:sz w:val="24"/>
        </w:rPr>
        <w:t xml:space="preserve"> said review by </w:t>
      </w:r>
      <w:r w:rsidR="00662137" w:rsidRPr="00604A2C">
        <w:rPr>
          <w:sz w:val="24"/>
        </w:rPr>
        <w:t>maintaining blotters of</w:t>
      </w:r>
      <w:r w:rsidR="0090781A" w:rsidRPr="00604A2C">
        <w:rPr>
          <w:sz w:val="24"/>
        </w:rPr>
        <w:t xml:space="preserve"> </w:t>
      </w:r>
      <w:r w:rsidR="00662137" w:rsidRPr="00604A2C">
        <w:rPr>
          <w:sz w:val="24"/>
        </w:rPr>
        <w:t>trades</w:t>
      </w:r>
      <w:r w:rsidR="0090781A" w:rsidRPr="00E330BA">
        <w:rPr>
          <w:color w:val="FF0000"/>
          <w:sz w:val="24"/>
        </w:rPr>
        <w:t>.</w:t>
      </w:r>
      <w:r w:rsidR="0090781A" w:rsidRPr="006D0C4E">
        <w:rPr>
          <w:sz w:val="24"/>
        </w:rPr>
        <w:t xml:space="preserve"> </w:t>
      </w:r>
      <w:r w:rsidR="00662137">
        <w:rPr>
          <w:sz w:val="24"/>
        </w:rPr>
        <w:t xml:space="preserve"> </w:t>
      </w:r>
      <w:r w:rsidRPr="006D0C4E">
        <w:rPr>
          <w:sz w:val="24"/>
        </w:rPr>
        <w:t xml:space="preserve">All </w:t>
      </w:r>
      <w:r w:rsidR="00086B63" w:rsidRPr="00086B63">
        <w:rPr>
          <w:color w:val="FF0000"/>
          <w:sz w:val="24"/>
        </w:rPr>
        <w:t>RIA</w:t>
      </w:r>
      <w:r w:rsidRPr="006D0C4E">
        <w:rPr>
          <w:sz w:val="24"/>
        </w:rPr>
        <w:t xml:space="preserve"> model decisions and modifications are made at the home office by Morris Monroe along with a support staff and logged in an excel spreadsheet that is maintained by Company for recordkeeping. </w:t>
      </w:r>
      <w:r w:rsidR="00A87A0F" w:rsidRPr="006D0C4E">
        <w:rPr>
          <w:sz w:val="24"/>
        </w:rPr>
        <w:t xml:space="preserve">Trade allocations, identifying the name or designation of the accounts for which the order is to be executed, must be received at the time but no later than noon of the next business day following the trading session.  Allocation will be maintained with the order memorandum.  </w:t>
      </w:r>
      <w:r w:rsidRPr="006D0C4E">
        <w:rPr>
          <w:sz w:val="24"/>
        </w:rPr>
        <w:t xml:space="preserve"> </w:t>
      </w:r>
    </w:p>
    <w:p w14:paraId="29193642" w14:textId="77777777" w:rsidR="00295A94" w:rsidRPr="006D0C4E" w:rsidRDefault="00295A94" w:rsidP="00B9228D">
      <w:pPr>
        <w:rPr>
          <w:sz w:val="24"/>
        </w:rPr>
      </w:pPr>
    </w:p>
    <w:p w14:paraId="474352AD" w14:textId="52BC5F99" w:rsidR="00293859" w:rsidRDefault="00295A94" w:rsidP="003E7B18">
      <w:pPr>
        <w:numPr>
          <w:ilvl w:val="0"/>
          <w:numId w:val="150"/>
        </w:numPr>
        <w:ind w:left="900"/>
        <w:rPr>
          <w:sz w:val="24"/>
        </w:rPr>
      </w:pPr>
      <w:r w:rsidRPr="006D0C4E">
        <w:rPr>
          <w:b/>
          <w:sz w:val="24"/>
        </w:rPr>
        <w:t>Written Supervisory Procedures (“WSP”)</w:t>
      </w:r>
      <w:r w:rsidRPr="006D0C4E">
        <w:rPr>
          <w:sz w:val="24"/>
        </w:rPr>
        <w:t xml:space="preserve">:  </w:t>
      </w:r>
      <w:r w:rsidR="00086B63" w:rsidRPr="00086B63">
        <w:rPr>
          <w:color w:val="FF0000"/>
          <w:sz w:val="24"/>
        </w:rPr>
        <w:t>RIA</w:t>
      </w:r>
      <w:r w:rsidRPr="006D0C4E">
        <w:rPr>
          <w:sz w:val="24"/>
        </w:rPr>
        <w:t xml:space="preserve"> maintains written supervisory procedures in addition to Company and are reviewed and approved by </w:t>
      </w:r>
      <w:r w:rsidR="00086B63" w:rsidRPr="00086B63">
        <w:rPr>
          <w:color w:val="FF0000"/>
          <w:sz w:val="24"/>
        </w:rPr>
        <w:t>an RIA principal</w:t>
      </w:r>
      <w:r w:rsidR="00086B63">
        <w:rPr>
          <w:sz w:val="24"/>
        </w:rPr>
        <w:t xml:space="preserve"> </w:t>
      </w:r>
      <w:r w:rsidRPr="006D0C4E">
        <w:rPr>
          <w:sz w:val="24"/>
        </w:rPr>
        <w:t xml:space="preserve">and Compliance Department. </w:t>
      </w:r>
      <w:r w:rsidR="00086B63" w:rsidRPr="00086B63">
        <w:rPr>
          <w:color w:val="FF0000"/>
          <w:sz w:val="24"/>
        </w:rPr>
        <w:t>RIA</w:t>
      </w:r>
      <w:r w:rsidR="00487C72" w:rsidRPr="006D0C4E">
        <w:rPr>
          <w:sz w:val="24"/>
        </w:rPr>
        <w:t xml:space="preserve"> </w:t>
      </w:r>
      <w:r w:rsidR="00293859" w:rsidRPr="006D0C4E">
        <w:rPr>
          <w:sz w:val="24"/>
        </w:rPr>
        <w:t>WSP also maintains procedures for Anti-Money Laundering, Regulation S-P, Insider Trading,</w:t>
      </w:r>
      <w:r w:rsidR="008B5264" w:rsidRPr="006D0C4E">
        <w:rPr>
          <w:sz w:val="24"/>
        </w:rPr>
        <w:t xml:space="preserve"> etc.</w:t>
      </w:r>
      <w:r w:rsidR="00293859" w:rsidRPr="006D0C4E">
        <w:rPr>
          <w:sz w:val="24"/>
        </w:rPr>
        <w:t xml:space="preserve"> </w:t>
      </w:r>
      <w:r w:rsidRPr="006D0C4E">
        <w:rPr>
          <w:sz w:val="24"/>
        </w:rPr>
        <w:t xml:space="preserve">Associated Persons acknowledge receipt and compliance with both WSPs on at least an annual basis and said acknowledgements are maintained in Company’s records.  In addition, both company WSPs are accessible to all Associated Persons on Company website.  </w:t>
      </w:r>
    </w:p>
    <w:p w14:paraId="7CC7825F" w14:textId="77777777" w:rsidR="005E0DC9" w:rsidRDefault="005E0DC9" w:rsidP="00B9228D">
      <w:pPr>
        <w:ind w:left="900"/>
        <w:rPr>
          <w:sz w:val="24"/>
        </w:rPr>
      </w:pPr>
    </w:p>
    <w:p w14:paraId="0CE17A50" w14:textId="40EFB459" w:rsidR="005E0DC9" w:rsidRPr="0008522E" w:rsidRDefault="005E0DC9" w:rsidP="003E7B18">
      <w:pPr>
        <w:pStyle w:val="ListParagraph"/>
        <w:numPr>
          <w:ilvl w:val="0"/>
          <w:numId w:val="150"/>
        </w:numPr>
        <w:ind w:left="900"/>
        <w:rPr>
          <w:sz w:val="24"/>
        </w:rPr>
      </w:pPr>
      <w:r w:rsidRPr="0008522E">
        <w:rPr>
          <w:b/>
          <w:sz w:val="24"/>
        </w:rPr>
        <w:t>Outside Business Activity</w:t>
      </w:r>
      <w:r w:rsidR="00E1395B" w:rsidRPr="00790F31">
        <w:rPr>
          <w:b/>
          <w:sz w:val="24"/>
        </w:rPr>
        <w:t>/PST</w:t>
      </w:r>
      <w:r w:rsidRPr="00790F31">
        <w:rPr>
          <w:sz w:val="24"/>
        </w:rPr>
        <w:t xml:space="preserve">:  </w:t>
      </w:r>
      <w:r w:rsidR="0008522E" w:rsidRPr="00790F31">
        <w:rPr>
          <w:sz w:val="24"/>
          <w:szCs w:val="24"/>
        </w:rPr>
        <w:t>Agents will complete a signed and dated written notice to the Company to engage in such activities.  Such Notice can be in the form of Company’s OBA/ Outside RIA Activities Form.  Company will sign, date, approve or not approve such activity, and keep such records as part of its books and records for three years after termination.</w:t>
      </w:r>
      <w:r w:rsidR="0008522E" w:rsidRPr="0008522E">
        <w:rPr>
          <w:color w:val="FF0000"/>
          <w:sz w:val="24"/>
          <w:szCs w:val="24"/>
        </w:rPr>
        <w:t xml:space="preserve">  </w:t>
      </w:r>
      <w:r w:rsidRPr="0008522E">
        <w:rPr>
          <w:sz w:val="24"/>
        </w:rPr>
        <w:t>Company will report the investment advisory agent activity as an outside business activity on applicable Form U-4s.</w:t>
      </w:r>
      <w:r w:rsidR="0008522E" w:rsidRPr="0008522E">
        <w:rPr>
          <w:sz w:val="24"/>
        </w:rPr>
        <w:t xml:space="preserve"> </w:t>
      </w:r>
    </w:p>
    <w:p w14:paraId="411E1605" w14:textId="77777777" w:rsidR="00293859" w:rsidRPr="00424F51" w:rsidRDefault="00293859" w:rsidP="00B9228D">
      <w:pPr>
        <w:pStyle w:val="ListParagraph"/>
        <w:rPr>
          <w:b/>
          <w:sz w:val="24"/>
        </w:rPr>
      </w:pPr>
    </w:p>
    <w:p w14:paraId="3A3F982E" w14:textId="5FDD4DB9" w:rsidR="00E6553A" w:rsidRPr="006D0C4E" w:rsidRDefault="00E6553A" w:rsidP="003E7B18">
      <w:pPr>
        <w:numPr>
          <w:ilvl w:val="0"/>
          <w:numId w:val="150"/>
        </w:numPr>
        <w:ind w:left="900"/>
        <w:rPr>
          <w:sz w:val="24"/>
        </w:rPr>
      </w:pPr>
      <w:r w:rsidRPr="006D0C4E">
        <w:rPr>
          <w:b/>
          <w:sz w:val="24"/>
        </w:rPr>
        <w:t>Annual Compliance Meeting</w:t>
      </w:r>
      <w:r w:rsidR="00ED7B99" w:rsidRPr="006D0C4E">
        <w:rPr>
          <w:b/>
          <w:sz w:val="24"/>
        </w:rPr>
        <w:t xml:space="preserve"> and Continuing Education</w:t>
      </w:r>
      <w:r w:rsidRPr="006D0C4E">
        <w:rPr>
          <w:sz w:val="24"/>
        </w:rPr>
        <w:t xml:space="preserve">:  Both companies conduct an annual compliance meeting </w:t>
      </w:r>
      <w:r w:rsidR="00ED7B99" w:rsidRPr="006D0C4E">
        <w:rPr>
          <w:sz w:val="24"/>
        </w:rPr>
        <w:t>and</w:t>
      </w:r>
      <w:r w:rsidR="00086B63">
        <w:rPr>
          <w:sz w:val="24"/>
        </w:rPr>
        <w:t>/or</w:t>
      </w:r>
      <w:r w:rsidR="00ED7B99" w:rsidRPr="006D0C4E">
        <w:rPr>
          <w:sz w:val="24"/>
        </w:rPr>
        <w:t xml:space="preserve"> continuing education </w:t>
      </w:r>
      <w:r w:rsidRPr="006D0C4E">
        <w:rPr>
          <w:sz w:val="24"/>
        </w:rPr>
        <w:t xml:space="preserve">to discuss and review relevant regulatory rules and information applicable to each company.  Company maintains a record of such </w:t>
      </w:r>
      <w:r w:rsidR="005C34EB" w:rsidRPr="006D0C4E">
        <w:rPr>
          <w:sz w:val="24"/>
        </w:rPr>
        <w:t>meetings and a log of attendees as part of its books and records.</w:t>
      </w:r>
    </w:p>
    <w:p w14:paraId="34BDF8CC" w14:textId="77777777" w:rsidR="00E6553A" w:rsidRPr="006D0C4E" w:rsidRDefault="00E6553A" w:rsidP="00B9228D">
      <w:pPr>
        <w:pStyle w:val="ListParagraph"/>
        <w:rPr>
          <w:b/>
          <w:sz w:val="24"/>
        </w:rPr>
      </w:pPr>
    </w:p>
    <w:p w14:paraId="76FE8D03" w14:textId="77777777" w:rsidR="00295A94" w:rsidRPr="006D0C4E" w:rsidRDefault="00295A94" w:rsidP="003E7B18">
      <w:pPr>
        <w:numPr>
          <w:ilvl w:val="0"/>
          <w:numId w:val="150"/>
        </w:numPr>
        <w:ind w:left="900"/>
        <w:rPr>
          <w:sz w:val="24"/>
        </w:rPr>
      </w:pPr>
      <w:r w:rsidRPr="006D0C4E">
        <w:rPr>
          <w:b/>
          <w:sz w:val="24"/>
        </w:rPr>
        <w:t xml:space="preserve">Annual Regulatory </w:t>
      </w:r>
      <w:r w:rsidR="00E6553A" w:rsidRPr="006D0C4E">
        <w:rPr>
          <w:b/>
          <w:sz w:val="24"/>
        </w:rPr>
        <w:t>Checklist</w:t>
      </w:r>
      <w:r w:rsidR="00E6553A" w:rsidRPr="006D0C4E">
        <w:rPr>
          <w:sz w:val="24"/>
        </w:rPr>
        <w:t xml:space="preserve">:  Company provides and maintains an annual regulatory checklist of Associated Persons of both companies </w:t>
      </w:r>
      <w:r w:rsidR="00AE313C" w:rsidRPr="006D0C4E">
        <w:rPr>
          <w:sz w:val="24"/>
        </w:rPr>
        <w:t xml:space="preserve">that collects such regulatory information such as OBAs, PSTs, address changes, Prohibited Acts, </w:t>
      </w:r>
      <w:r w:rsidR="00493EA4" w:rsidRPr="006D0C4E">
        <w:rPr>
          <w:sz w:val="24"/>
        </w:rPr>
        <w:t xml:space="preserve">etc.  Company relies on such information for both companies and maintains such checklists as part of </w:t>
      </w:r>
      <w:r w:rsidR="004D2726" w:rsidRPr="006D0C4E">
        <w:rPr>
          <w:sz w:val="24"/>
        </w:rPr>
        <w:t>its</w:t>
      </w:r>
      <w:r w:rsidR="00493EA4" w:rsidRPr="006D0C4E">
        <w:rPr>
          <w:sz w:val="24"/>
        </w:rPr>
        <w:t xml:space="preserve"> books and records.</w:t>
      </w:r>
    </w:p>
    <w:p w14:paraId="1E74A34E" w14:textId="77777777" w:rsidR="004D2726" w:rsidRPr="006D0C4E" w:rsidRDefault="004D2726" w:rsidP="00B9228D">
      <w:pPr>
        <w:pStyle w:val="ListParagraph"/>
        <w:rPr>
          <w:sz w:val="24"/>
        </w:rPr>
      </w:pPr>
    </w:p>
    <w:p w14:paraId="7BA99A82" w14:textId="77777777" w:rsidR="004D2726" w:rsidRPr="006D0C4E" w:rsidRDefault="004D2726" w:rsidP="003E7B18">
      <w:pPr>
        <w:numPr>
          <w:ilvl w:val="0"/>
          <w:numId w:val="150"/>
        </w:numPr>
        <w:ind w:left="900"/>
        <w:rPr>
          <w:sz w:val="24"/>
        </w:rPr>
      </w:pPr>
      <w:r w:rsidRPr="006D0C4E">
        <w:rPr>
          <w:b/>
          <w:sz w:val="24"/>
        </w:rPr>
        <w:t>Office Reviews</w:t>
      </w:r>
      <w:r w:rsidRPr="006D0C4E">
        <w:rPr>
          <w:sz w:val="24"/>
        </w:rPr>
        <w:t xml:space="preserve">:  </w:t>
      </w:r>
    </w:p>
    <w:p w14:paraId="34996FC1" w14:textId="77777777" w:rsidR="004D2726" w:rsidRPr="006D0C4E" w:rsidRDefault="004D2726" w:rsidP="00B9228D">
      <w:pPr>
        <w:pStyle w:val="ListParagraph"/>
        <w:rPr>
          <w:sz w:val="24"/>
        </w:rPr>
      </w:pPr>
    </w:p>
    <w:p w14:paraId="7D6102C5" w14:textId="3003B141" w:rsidR="004D2726" w:rsidRDefault="004D2726" w:rsidP="003E7B18">
      <w:pPr>
        <w:numPr>
          <w:ilvl w:val="0"/>
          <w:numId w:val="152"/>
        </w:numPr>
        <w:ind w:left="1440" w:hanging="180"/>
        <w:rPr>
          <w:sz w:val="24"/>
        </w:rPr>
      </w:pPr>
      <w:r w:rsidRPr="006D0C4E">
        <w:rPr>
          <w:b/>
          <w:sz w:val="24"/>
        </w:rPr>
        <w:t>Home Office</w:t>
      </w:r>
      <w:r w:rsidRPr="006D0C4E">
        <w:rPr>
          <w:sz w:val="24"/>
        </w:rPr>
        <w:t xml:space="preserve">:  Both Company and </w:t>
      </w:r>
      <w:r w:rsidR="00B942D5" w:rsidRPr="00B942D5">
        <w:rPr>
          <w:color w:val="FF0000"/>
          <w:sz w:val="24"/>
        </w:rPr>
        <w:t>RIA</w:t>
      </w:r>
      <w:r w:rsidRPr="006D0C4E">
        <w:rPr>
          <w:sz w:val="24"/>
        </w:rPr>
        <w:t xml:space="preserve"> are reviewed on at least an annual basis for compliance with SEC </w:t>
      </w:r>
      <w:r w:rsidR="00BB7E5E" w:rsidRPr="006D0C4E">
        <w:rPr>
          <w:sz w:val="24"/>
        </w:rPr>
        <w:t xml:space="preserve">Rules 17a-3 and 17a-4 </w:t>
      </w:r>
      <w:r w:rsidRPr="006D0C4E">
        <w:rPr>
          <w:sz w:val="24"/>
        </w:rPr>
        <w:t xml:space="preserve">recordkeeping requirements.  </w:t>
      </w:r>
      <w:r w:rsidR="00B942D5" w:rsidRPr="00B942D5">
        <w:rPr>
          <w:color w:val="FF0000"/>
          <w:sz w:val="24"/>
        </w:rPr>
        <w:t>RIA</w:t>
      </w:r>
      <w:r w:rsidRPr="006D0C4E">
        <w:rPr>
          <w:sz w:val="24"/>
        </w:rPr>
        <w:t xml:space="preserve"> review is accessible to Company</w:t>
      </w:r>
      <w:r w:rsidR="00B942D5">
        <w:rPr>
          <w:sz w:val="24"/>
        </w:rPr>
        <w:t>.</w:t>
      </w:r>
    </w:p>
    <w:p w14:paraId="55765C16" w14:textId="77777777" w:rsidR="00B7457B" w:rsidRPr="006D0C4E" w:rsidRDefault="00B7457B" w:rsidP="00B8316B">
      <w:pPr>
        <w:rPr>
          <w:sz w:val="24"/>
        </w:rPr>
      </w:pPr>
    </w:p>
    <w:p w14:paraId="38B7A876" w14:textId="0ADB7E09" w:rsidR="00B7457B" w:rsidRPr="00790F31" w:rsidRDefault="0091188C" w:rsidP="003E7B18">
      <w:pPr>
        <w:numPr>
          <w:ilvl w:val="0"/>
          <w:numId w:val="150"/>
        </w:numPr>
        <w:ind w:left="900"/>
        <w:rPr>
          <w:sz w:val="24"/>
        </w:rPr>
      </w:pPr>
      <w:r>
        <w:rPr>
          <w:b/>
          <w:sz w:val="24"/>
        </w:rPr>
        <w:t xml:space="preserve"> </w:t>
      </w:r>
      <w:r w:rsidR="008F6C36" w:rsidRPr="00790F31">
        <w:rPr>
          <w:b/>
          <w:sz w:val="24"/>
        </w:rPr>
        <w:t>Other</w:t>
      </w:r>
      <w:r w:rsidR="008F6C36">
        <w:rPr>
          <w:b/>
          <w:sz w:val="24"/>
        </w:rPr>
        <w:t xml:space="preserve"> </w:t>
      </w:r>
      <w:r w:rsidR="00B7457B" w:rsidRPr="006D0C4E">
        <w:rPr>
          <w:b/>
          <w:sz w:val="24"/>
        </w:rPr>
        <w:t>Books and Records</w:t>
      </w:r>
      <w:r w:rsidR="00B7457B" w:rsidRPr="006D0C4E">
        <w:rPr>
          <w:sz w:val="24"/>
        </w:rPr>
        <w:t xml:space="preserve">:  </w:t>
      </w:r>
      <w:r w:rsidR="00086B63">
        <w:rPr>
          <w:sz w:val="24"/>
        </w:rPr>
        <w:t xml:space="preserve">RIA </w:t>
      </w:r>
      <w:r w:rsidR="00B7457B" w:rsidRPr="006D0C4E">
        <w:rPr>
          <w:sz w:val="24"/>
        </w:rPr>
        <w:t xml:space="preserve">books and records are </w:t>
      </w:r>
      <w:r w:rsidR="00620891" w:rsidRPr="006D0C4E">
        <w:rPr>
          <w:sz w:val="24"/>
        </w:rPr>
        <w:t xml:space="preserve">maintained in the </w:t>
      </w:r>
      <w:r w:rsidR="00086B63" w:rsidRPr="009C2805">
        <w:rPr>
          <w:color w:val="FF0000"/>
          <w:sz w:val="24"/>
        </w:rPr>
        <w:t>RIA</w:t>
      </w:r>
      <w:r w:rsidR="00086B63">
        <w:rPr>
          <w:sz w:val="24"/>
        </w:rPr>
        <w:t xml:space="preserve"> home office and</w:t>
      </w:r>
      <w:r w:rsidR="00B7457B" w:rsidRPr="006D0C4E">
        <w:rPr>
          <w:sz w:val="24"/>
        </w:rPr>
        <w:t xml:space="preserve"> reviewed on at least an annual basis.</w:t>
      </w:r>
      <w:r w:rsidR="009D5ECA">
        <w:rPr>
          <w:sz w:val="24"/>
        </w:rPr>
        <w:t xml:space="preserve">  </w:t>
      </w:r>
      <w:r w:rsidR="0075782E" w:rsidRPr="00790F31">
        <w:rPr>
          <w:sz w:val="24"/>
        </w:rPr>
        <w:t>Specifically</w:t>
      </w:r>
      <w:r w:rsidR="00B9228D" w:rsidRPr="00790F31">
        <w:rPr>
          <w:sz w:val="24"/>
        </w:rPr>
        <w:t>,</w:t>
      </w:r>
      <w:r w:rsidR="0075782E" w:rsidRPr="00790F31">
        <w:rPr>
          <w:sz w:val="24"/>
        </w:rPr>
        <w:t xml:space="preserve"> (and pursuant to </w:t>
      </w:r>
      <w:r w:rsidR="00F50E73" w:rsidRPr="008239F6">
        <w:rPr>
          <w:sz w:val="24"/>
        </w:rPr>
        <w:t>FINRA</w:t>
      </w:r>
      <w:r w:rsidR="0075782E" w:rsidRPr="008239F6">
        <w:rPr>
          <w:sz w:val="24"/>
        </w:rPr>
        <w:t xml:space="preserve"> </w:t>
      </w:r>
      <w:r w:rsidR="0075782E" w:rsidRPr="00790F31">
        <w:rPr>
          <w:sz w:val="24"/>
        </w:rPr>
        <w:t>Notice 96-33)</w:t>
      </w:r>
      <w:r w:rsidR="009D5ECA" w:rsidRPr="00790F31">
        <w:rPr>
          <w:sz w:val="24"/>
        </w:rPr>
        <w:t>, the following records will also by maintained by Company:</w:t>
      </w:r>
    </w:p>
    <w:p w14:paraId="78C682FE" w14:textId="795B30E2" w:rsidR="00751C94" w:rsidRPr="00790F31" w:rsidRDefault="00751C94" w:rsidP="003E7B18">
      <w:pPr>
        <w:pStyle w:val="ListParagraph"/>
        <w:numPr>
          <w:ilvl w:val="0"/>
          <w:numId w:val="298"/>
        </w:numPr>
        <w:ind w:left="1620" w:hanging="270"/>
        <w:rPr>
          <w:sz w:val="24"/>
          <w:szCs w:val="24"/>
        </w:rPr>
      </w:pPr>
      <w:r w:rsidRPr="00790F31">
        <w:rPr>
          <w:sz w:val="24"/>
          <w:szCs w:val="24"/>
        </w:rPr>
        <w:t>A List of approved Agents (which is maintained as part of Exhibit A attached);</w:t>
      </w:r>
    </w:p>
    <w:p w14:paraId="729C3917" w14:textId="7A64D362" w:rsidR="00751C94" w:rsidRPr="00790F31" w:rsidRDefault="00790F31" w:rsidP="003E7B18">
      <w:pPr>
        <w:pStyle w:val="ListParagraph"/>
        <w:numPr>
          <w:ilvl w:val="0"/>
          <w:numId w:val="298"/>
        </w:numPr>
        <w:autoSpaceDE w:val="0"/>
        <w:autoSpaceDN w:val="0"/>
        <w:adjustRightInd w:val="0"/>
        <w:ind w:left="1620" w:hanging="270"/>
        <w:rPr>
          <w:sz w:val="24"/>
          <w:szCs w:val="24"/>
        </w:rPr>
      </w:pPr>
      <w:r>
        <w:rPr>
          <w:sz w:val="24"/>
          <w:szCs w:val="24"/>
        </w:rPr>
        <w:lastRenderedPageBreak/>
        <w:t>A</w:t>
      </w:r>
      <w:r w:rsidR="00751C94" w:rsidRPr="00790F31">
        <w:rPr>
          <w:sz w:val="24"/>
          <w:szCs w:val="24"/>
        </w:rPr>
        <w:t xml:space="preserve"> list of RR/IA customers, including those that are customers of both the Company and </w:t>
      </w:r>
      <w:r w:rsidR="009C2805" w:rsidRPr="009C2805">
        <w:rPr>
          <w:color w:val="FF0000"/>
          <w:sz w:val="24"/>
          <w:szCs w:val="24"/>
        </w:rPr>
        <w:t>R</w:t>
      </w:r>
      <w:r w:rsidR="00751C94" w:rsidRPr="009C2805">
        <w:rPr>
          <w:color w:val="FF0000"/>
          <w:sz w:val="24"/>
          <w:szCs w:val="24"/>
        </w:rPr>
        <w:t>I</w:t>
      </w:r>
      <w:r w:rsidR="009C2805" w:rsidRPr="009C2805">
        <w:rPr>
          <w:color w:val="FF0000"/>
          <w:sz w:val="24"/>
          <w:szCs w:val="24"/>
        </w:rPr>
        <w:t>A</w:t>
      </w:r>
      <w:r w:rsidR="00751C94" w:rsidRPr="00790F31">
        <w:rPr>
          <w:sz w:val="24"/>
          <w:szCs w:val="24"/>
        </w:rPr>
        <w:t xml:space="preserve"> with a cross reference to the RR/IA</w:t>
      </w:r>
      <w:r w:rsidR="001A7DD6" w:rsidRPr="00790F31">
        <w:rPr>
          <w:sz w:val="24"/>
          <w:szCs w:val="24"/>
        </w:rPr>
        <w:t>.  This is accomplished in WinOps</w:t>
      </w:r>
      <w:r w:rsidR="00690E28">
        <w:rPr>
          <w:sz w:val="24"/>
          <w:szCs w:val="24"/>
        </w:rPr>
        <w:t xml:space="preserve"> </w:t>
      </w:r>
      <w:r w:rsidR="00690E28" w:rsidRPr="007F0C5D">
        <w:rPr>
          <w:sz w:val="24"/>
          <w:szCs w:val="24"/>
        </w:rPr>
        <w:t>or Black Diamond (and potentially Selentica</w:t>
      </w:r>
      <w:r w:rsidR="00B942D5">
        <w:rPr>
          <w:sz w:val="24"/>
          <w:szCs w:val="24"/>
        </w:rPr>
        <w:t xml:space="preserve"> </w:t>
      </w:r>
      <w:r w:rsidR="00B942D5" w:rsidRPr="00B942D5">
        <w:rPr>
          <w:color w:val="FF0000"/>
          <w:sz w:val="24"/>
          <w:szCs w:val="24"/>
        </w:rPr>
        <w:t>or Salesforce</w:t>
      </w:r>
      <w:r w:rsidR="00690E28" w:rsidRPr="007F0C5D">
        <w:rPr>
          <w:sz w:val="24"/>
          <w:szCs w:val="24"/>
        </w:rPr>
        <w:t>-CRM)</w:t>
      </w:r>
      <w:r w:rsidR="00751C94" w:rsidRPr="007F0C5D">
        <w:rPr>
          <w:sz w:val="24"/>
          <w:szCs w:val="24"/>
        </w:rPr>
        <w:t>;</w:t>
      </w:r>
    </w:p>
    <w:p w14:paraId="6E471A11" w14:textId="66CC803F" w:rsidR="00B9228D" w:rsidRPr="00790F31" w:rsidRDefault="00B9228D" w:rsidP="003E7B18">
      <w:pPr>
        <w:pStyle w:val="ListParagraph"/>
        <w:numPr>
          <w:ilvl w:val="0"/>
          <w:numId w:val="298"/>
        </w:numPr>
        <w:autoSpaceDE w:val="0"/>
        <w:autoSpaceDN w:val="0"/>
        <w:adjustRightInd w:val="0"/>
        <w:ind w:left="1620" w:hanging="270"/>
        <w:rPr>
          <w:sz w:val="24"/>
          <w:szCs w:val="24"/>
        </w:rPr>
      </w:pPr>
      <w:r w:rsidRPr="00790F31">
        <w:rPr>
          <w:sz w:val="24"/>
          <w:szCs w:val="24"/>
        </w:rPr>
        <w:t>New Account documents</w:t>
      </w:r>
      <w:r w:rsidR="00A723E3">
        <w:rPr>
          <w:sz w:val="24"/>
          <w:szCs w:val="24"/>
        </w:rPr>
        <w:t xml:space="preserve"> </w:t>
      </w:r>
      <w:r w:rsidR="00A723E3" w:rsidRPr="00A723E3">
        <w:rPr>
          <w:color w:val="FF0000"/>
          <w:sz w:val="24"/>
          <w:szCs w:val="24"/>
        </w:rPr>
        <w:t>-</w:t>
      </w:r>
      <w:r w:rsidR="00A723E3">
        <w:rPr>
          <w:sz w:val="24"/>
          <w:szCs w:val="24"/>
        </w:rPr>
        <w:t xml:space="preserve"> </w:t>
      </w:r>
      <w:r w:rsidR="009C2805" w:rsidRPr="009C2805">
        <w:rPr>
          <w:color w:val="FF0000"/>
          <w:sz w:val="24"/>
          <w:szCs w:val="24"/>
        </w:rPr>
        <w:t>RIA</w:t>
      </w:r>
      <w:r w:rsidRPr="009C2805">
        <w:rPr>
          <w:color w:val="FF0000"/>
          <w:sz w:val="24"/>
          <w:szCs w:val="24"/>
        </w:rPr>
        <w:t xml:space="preserve"> </w:t>
      </w:r>
      <w:r w:rsidRPr="00790F31">
        <w:rPr>
          <w:sz w:val="24"/>
          <w:szCs w:val="24"/>
        </w:rPr>
        <w:t>Investment Agreement (which grants discretionary authority) and includes the Agent Disclosure</w:t>
      </w:r>
      <w:r w:rsidR="00116A12" w:rsidRPr="00790F31">
        <w:rPr>
          <w:sz w:val="24"/>
          <w:szCs w:val="24"/>
        </w:rPr>
        <w:t>;</w:t>
      </w:r>
    </w:p>
    <w:p w14:paraId="38C001FA" w14:textId="10CD3969" w:rsidR="00751C94" w:rsidRPr="00790F31" w:rsidRDefault="009C2805" w:rsidP="003E7B18">
      <w:pPr>
        <w:pStyle w:val="ListParagraph"/>
        <w:numPr>
          <w:ilvl w:val="0"/>
          <w:numId w:val="298"/>
        </w:numPr>
        <w:autoSpaceDE w:val="0"/>
        <w:autoSpaceDN w:val="0"/>
        <w:adjustRightInd w:val="0"/>
        <w:ind w:left="1620" w:hanging="270"/>
        <w:rPr>
          <w:sz w:val="24"/>
          <w:szCs w:val="24"/>
        </w:rPr>
      </w:pPr>
      <w:proofErr w:type="spellStart"/>
      <w:r>
        <w:rPr>
          <w:sz w:val="24"/>
          <w:szCs w:val="24"/>
        </w:rPr>
        <w:t>RIA</w:t>
      </w:r>
      <w:r w:rsidR="00116A12" w:rsidRPr="00790F31">
        <w:rPr>
          <w:sz w:val="24"/>
          <w:szCs w:val="24"/>
        </w:rPr>
        <w:t>customer</w:t>
      </w:r>
      <w:proofErr w:type="spellEnd"/>
      <w:r w:rsidR="00116A12" w:rsidRPr="00790F31">
        <w:rPr>
          <w:sz w:val="24"/>
          <w:szCs w:val="24"/>
        </w:rPr>
        <w:t xml:space="preserve"> statements;</w:t>
      </w:r>
    </w:p>
    <w:p w14:paraId="39189AC7" w14:textId="2710F54A" w:rsidR="00116A12" w:rsidRDefault="00116A12" w:rsidP="003E7B18">
      <w:pPr>
        <w:pStyle w:val="ListParagraph"/>
        <w:numPr>
          <w:ilvl w:val="0"/>
          <w:numId w:val="298"/>
        </w:numPr>
        <w:autoSpaceDE w:val="0"/>
        <w:autoSpaceDN w:val="0"/>
        <w:adjustRightInd w:val="0"/>
        <w:ind w:left="1620" w:hanging="270"/>
        <w:rPr>
          <w:sz w:val="24"/>
          <w:szCs w:val="24"/>
        </w:rPr>
      </w:pPr>
      <w:r w:rsidRPr="00790F31">
        <w:rPr>
          <w:sz w:val="24"/>
          <w:szCs w:val="24"/>
        </w:rPr>
        <w:t xml:space="preserve">Any </w:t>
      </w:r>
      <w:r w:rsidR="009C2805">
        <w:rPr>
          <w:sz w:val="24"/>
          <w:szCs w:val="24"/>
        </w:rPr>
        <w:t>RIA</w:t>
      </w:r>
      <w:r w:rsidRPr="00790F31">
        <w:rPr>
          <w:sz w:val="24"/>
          <w:szCs w:val="24"/>
        </w:rPr>
        <w:t xml:space="preserve"> communications with the public </w:t>
      </w:r>
    </w:p>
    <w:p w14:paraId="1EAFA7B7" w14:textId="602A67E1" w:rsidR="00C64140" w:rsidRDefault="00C64140" w:rsidP="00C64140">
      <w:pPr>
        <w:autoSpaceDE w:val="0"/>
        <w:autoSpaceDN w:val="0"/>
        <w:adjustRightInd w:val="0"/>
        <w:rPr>
          <w:sz w:val="24"/>
          <w:szCs w:val="24"/>
        </w:rPr>
      </w:pPr>
    </w:p>
    <w:p w14:paraId="55E01B99" w14:textId="5D9C5584" w:rsidR="00C64140" w:rsidRPr="00C64140" w:rsidRDefault="00C64140" w:rsidP="003E7B18">
      <w:pPr>
        <w:pStyle w:val="ListParagraph"/>
        <w:numPr>
          <w:ilvl w:val="0"/>
          <w:numId w:val="150"/>
        </w:numPr>
        <w:autoSpaceDE w:val="0"/>
        <w:autoSpaceDN w:val="0"/>
        <w:adjustRightInd w:val="0"/>
        <w:rPr>
          <w:sz w:val="24"/>
          <w:szCs w:val="24"/>
        </w:rPr>
      </w:pPr>
      <w:r>
        <w:rPr>
          <w:b/>
          <w:bCs/>
          <w:sz w:val="24"/>
          <w:szCs w:val="24"/>
        </w:rPr>
        <w:t>Dually Registered Agents</w:t>
      </w:r>
    </w:p>
    <w:p w14:paraId="7B251D11" w14:textId="0EEBEB66" w:rsidR="00C64140" w:rsidRPr="007F0C5D" w:rsidRDefault="00C64140" w:rsidP="00690E28">
      <w:pPr>
        <w:ind w:left="994"/>
        <w:rPr>
          <w:spacing w:val="8"/>
          <w:sz w:val="24"/>
          <w:szCs w:val="24"/>
        </w:rPr>
      </w:pPr>
      <w:r w:rsidRPr="007F0C5D">
        <w:rPr>
          <w:spacing w:val="8"/>
          <w:sz w:val="24"/>
          <w:szCs w:val="24"/>
        </w:rPr>
        <w:t>If a</w:t>
      </w:r>
      <w:r w:rsidR="00E62686" w:rsidRPr="007F0C5D">
        <w:rPr>
          <w:spacing w:val="8"/>
          <w:sz w:val="24"/>
          <w:szCs w:val="24"/>
        </w:rPr>
        <w:t xml:space="preserve"> registered Agent</w:t>
      </w:r>
      <w:r w:rsidRPr="007F0C5D">
        <w:rPr>
          <w:spacing w:val="8"/>
          <w:sz w:val="24"/>
          <w:szCs w:val="24"/>
        </w:rPr>
        <w:t xml:space="preserve"> of Company is dually registered as a registered </w:t>
      </w:r>
      <w:r w:rsidR="00E62686" w:rsidRPr="007F0C5D">
        <w:rPr>
          <w:spacing w:val="8"/>
          <w:sz w:val="24"/>
          <w:szCs w:val="24"/>
        </w:rPr>
        <w:t xml:space="preserve">investment advisor </w:t>
      </w:r>
      <w:r w:rsidRPr="007F0C5D">
        <w:rPr>
          <w:spacing w:val="8"/>
          <w:sz w:val="24"/>
          <w:szCs w:val="24"/>
        </w:rPr>
        <w:t xml:space="preserve">representative of </w:t>
      </w:r>
      <w:r w:rsidR="00E62686" w:rsidRPr="007F0C5D">
        <w:rPr>
          <w:spacing w:val="8"/>
          <w:sz w:val="24"/>
          <w:szCs w:val="24"/>
        </w:rPr>
        <w:t>RIA</w:t>
      </w:r>
      <w:r w:rsidRPr="007F0C5D">
        <w:rPr>
          <w:spacing w:val="8"/>
          <w:sz w:val="24"/>
          <w:szCs w:val="24"/>
        </w:rPr>
        <w:t xml:space="preserve"> (</w:t>
      </w:r>
      <w:r w:rsidRPr="007F0C5D">
        <w:rPr>
          <w:i/>
          <w:iCs/>
          <w:spacing w:val="8"/>
          <w:sz w:val="24"/>
          <w:szCs w:val="24"/>
        </w:rPr>
        <w:t>i.e.,</w:t>
      </w:r>
      <w:r w:rsidRPr="007F0C5D">
        <w:rPr>
          <w:spacing w:val="8"/>
          <w:sz w:val="24"/>
          <w:szCs w:val="24"/>
        </w:rPr>
        <w:t> in addition to being a</w:t>
      </w:r>
      <w:r w:rsidR="00E62686" w:rsidRPr="007F0C5D">
        <w:rPr>
          <w:spacing w:val="8"/>
          <w:sz w:val="24"/>
          <w:szCs w:val="24"/>
        </w:rPr>
        <w:t xml:space="preserve"> </w:t>
      </w:r>
      <w:r w:rsidRPr="007F0C5D">
        <w:rPr>
          <w:spacing w:val="8"/>
          <w:sz w:val="24"/>
          <w:szCs w:val="24"/>
        </w:rPr>
        <w:t xml:space="preserve"> </w:t>
      </w:r>
      <w:r w:rsidR="00E62686" w:rsidRPr="007F0C5D">
        <w:rPr>
          <w:spacing w:val="8"/>
          <w:sz w:val="24"/>
          <w:szCs w:val="24"/>
        </w:rPr>
        <w:t xml:space="preserve">registered </w:t>
      </w:r>
      <w:r w:rsidRPr="007F0C5D">
        <w:rPr>
          <w:spacing w:val="8"/>
          <w:sz w:val="24"/>
          <w:szCs w:val="24"/>
        </w:rPr>
        <w:t xml:space="preserve">representative), Company will ensure that clients interacting with such Agent is fully aware of the capacity the Agent is </w:t>
      </w:r>
      <w:proofErr w:type="gramStart"/>
      <w:r w:rsidRPr="007F0C5D">
        <w:rPr>
          <w:spacing w:val="8"/>
          <w:sz w:val="24"/>
          <w:szCs w:val="24"/>
        </w:rPr>
        <w:t>acting:</w:t>
      </w:r>
      <w:proofErr w:type="gramEnd"/>
      <w:r w:rsidRPr="007F0C5D">
        <w:rPr>
          <w:spacing w:val="8"/>
          <w:sz w:val="24"/>
          <w:szCs w:val="24"/>
        </w:rPr>
        <w:t xml:space="preserve"> either as an “Advisor” as an investment adviser representative of Company or a “Broker” as a registered representative of the broker-dealer.  In determining the capacity of an Agent, Company and/or such employee shall consider:</w:t>
      </w:r>
    </w:p>
    <w:p w14:paraId="6E916B65" w14:textId="77777777" w:rsidR="00690E28" w:rsidRPr="007F0C5D" w:rsidRDefault="00690E28" w:rsidP="00690E28">
      <w:pPr>
        <w:ind w:left="994"/>
        <w:rPr>
          <w:spacing w:val="8"/>
          <w:sz w:val="12"/>
          <w:szCs w:val="12"/>
        </w:rPr>
      </w:pPr>
    </w:p>
    <w:p w14:paraId="59D910BB" w14:textId="77777777" w:rsidR="00C64140" w:rsidRPr="007F0C5D" w:rsidRDefault="00C64140" w:rsidP="0005402C">
      <w:pPr>
        <w:numPr>
          <w:ilvl w:val="0"/>
          <w:numId w:val="375"/>
        </w:numPr>
        <w:tabs>
          <w:tab w:val="clear" w:pos="720"/>
          <w:tab w:val="num" w:pos="1530"/>
        </w:tabs>
        <w:ind w:left="1530"/>
        <w:rPr>
          <w:spacing w:val="8"/>
          <w:sz w:val="24"/>
          <w:szCs w:val="24"/>
        </w:rPr>
      </w:pPr>
      <w:r w:rsidRPr="007F0C5D">
        <w:rPr>
          <w:spacing w:val="8"/>
          <w:sz w:val="24"/>
          <w:szCs w:val="24"/>
        </w:rPr>
        <w:t>the type of account;</w:t>
      </w:r>
    </w:p>
    <w:p w14:paraId="7763C400" w14:textId="77777777" w:rsidR="00C64140" w:rsidRPr="007F0C5D" w:rsidRDefault="00C64140" w:rsidP="0005402C">
      <w:pPr>
        <w:numPr>
          <w:ilvl w:val="0"/>
          <w:numId w:val="375"/>
        </w:numPr>
        <w:tabs>
          <w:tab w:val="clear" w:pos="720"/>
          <w:tab w:val="num" w:pos="1530"/>
        </w:tabs>
        <w:spacing w:before="100" w:beforeAutospacing="1" w:after="100" w:afterAutospacing="1"/>
        <w:ind w:left="1530"/>
        <w:rPr>
          <w:spacing w:val="8"/>
          <w:sz w:val="24"/>
          <w:szCs w:val="24"/>
        </w:rPr>
      </w:pPr>
      <w:r w:rsidRPr="007F0C5D">
        <w:rPr>
          <w:spacing w:val="8"/>
          <w:sz w:val="24"/>
          <w:szCs w:val="24"/>
        </w:rPr>
        <w:t>how the account is described;</w:t>
      </w:r>
    </w:p>
    <w:p w14:paraId="49632DAF" w14:textId="77777777" w:rsidR="00C64140" w:rsidRPr="007F0C5D" w:rsidRDefault="00C64140" w:rsidP="0005402C">
      <w:pPr>
        <w:numPr>
          <w:ilvl w:val="0"/>
          <w:numId w:val="375"/>
        </w:numPr>
        <w:tabs>
          <w:tab w:val="clear" w:pos="720"/>
          <w:tab w:val="num" w:pos="1530"/>
        </w:tabs>
        <w:spacing w:before="100" w:beforeAutospacing="1" w:after="100" w:afterAutospacing="1"/>
        <w:ind w:left="1530"/>
        <w:rPr>
          <w:spacing w:val="8"/>
          <w:sz w:val="24"/>
          <w:szCs w:val="24"/>
        </w:rPr>
      </w:pPr>
      <w:r w:rsidRPr="007F0C5D">
        <w:rPr>
          <w:spacing w:val="8"/>
          <w:sz w:val="24"/>
          <w:szCs w:val="24"/>
        </w:rPr>
        <w:t>the type of compensation; and</w:t>
      </w:r>
    </w:p>
    <w:p w14:paraId="7CDC6BCF" w14:textId="77777777" w:rsidR="00C64140" w:rsidRPr="007F0C5D" w:rsidRDefault="00C64140" w:rsidP="0005402C">
      <w:pPr>
        <w:numPr>
          <w:ilvl w:val="0"/>
          <w:numId w:val="375"/>
        </w:numPr>
        <w:tabs>
          <w:tab w:val="clear" w:pos="720"/>
          <w:tab w:val="num" w:pos="1530"/>
        </w:tabs>
        <w:spacing w:before="100" w:beforeAutospacing="1" w:after="100" w:afterAutospacing="1"/>
        <w:ind w:left="1530"/>
        <w:rPr>
          <w:spacing w:val="8"/>
          <w:sz w:val="24"/>
          <w:szCs w:val="24"/>
        </w:rPr>
      </w:pPr>
      <w:r w:rsidRPr="007F0C5D">
        <w:rPr>
          <w:spacing w:val="8"/>
          <w:sz w:val="24"/>
          <w:szCs w:val="24"/>
        </w:rPr>
        <w:t>the nature of the service (</w:t>
      </w:r>
      <w:r w:rsidRPr="007F0C5D">
        <w:rPr>
          <w:i/>
          <w:iCs/>
          <w:spacing w:val="8"/>
          <w:sz w:val="24"/>
          <w:szCs w:val="24"/>
        </w:rPr>
        <w:t>i.e.;</w:t>
      </w:r>
      <w:r w:rsidRPr="007F0C5D">
        <w:rPr>
          <w:spacing w:val="8"/>
          <w:sz w:val="24"/>
          <w:szCs w:val="24"/>
        </w:rPr>
        <w:t> advisory or brokerage) being provided.</w:t>
      </w:r>
    </w:p>
    <w:p w14:paraId="5189A3E9" w14:textId="7C26BC98" w:rsidR="00C64140" w:rsidRPr="007F0C5D" w:rsidRDefault="00C64140" w:rsidP="00E62686">
      <w:pPr>
        <w:ind w:left="990"/>
        <w:jc w:val="both"/>
        <w:rPr>
          <w:sz w:val="24"/>
          <w:szCs w:val="24"/>
        </w:rPr>
      </w:pPr>
      <w:r w:rsidRPr="007F0C5D">
        <w:rPr>
          <w:sz w:val="24"/>
        </w:rPr>
        <w:t>Company’s New Account Form is utilized to disclose such capacity to Clients.</w:t>
      </w:r>
      <w:r w:rsidR="00E62686" w:rsidRPr="007F0C5D">
        <w:rPr>
          <w:sz w:val="24"/>
        </w:rPr>
        <w:t xml:space="preserve">  Furthermore, </w:t>
      </w:r>
      <w:r w:rsidR="00981DCD" w:rsidRPr="007F0C5D">
        <w:rPr>
          <w:sz w:val="24"/>
        </w:rPr>
        <w:t>r</w:t>
      </w:r>
      <w:r w:rsidR="00E62686" w:rsidRPr="007F0C5D">
        <w:rPr>
          <w:sz w:val="24"/>
        </w:rPr>
        <w:t>egistered representative</w:t>
      </w:r>
      <w:r w:rsidR="00690E28" w:rsidRPr="007F0C5D">
        <w:rPr>
          <w:sz w:val="24"/>
        </w:rPr>
        <w:t>s</w:t>
      </w:r>
      <w:r w:rsidR="00E62686" w:rsidRPr="007F0C5D">
        <w:rPr>
          <w:sz w:val="24"/>
        </w:rPr>
        <w:t xml:space="preserve"> not registered with the RIA as an Agent, may not use the words “Advisor, Adviser, nor Financial Advisor/Adviser” in any marketing material.</w:t>
      </w:r>
    </w:p>
    <w:p w14:paraId="7FF69EA7" w14:textId="77777777" w:rsidR="009D5ECA" w:rsidRPr="00790F31" w:rsidRDefault="009D5ECA" w:rsidP="00B9228D">
      <w:pPr>
        <w:ind w:left="900"/>
        <w:rPr>
          <w:sz w:val="24"/>
        </w:rPr>
      </w:pPr>
    </w:p>
    <w:p w14:paraId="33316F1F" w14:textId="77777777" w:rsidR="00017F26" w:rsidRDefault="00017F26" w:rsidP="00116A12">
      <w:bookmarkStart w:id="51" w:name="StatutorilyDisqualifiedIndiv"/>
      <w:bookmarkEnd w:id="51"/>
    </w:p>
    <w:p w14:paraId="0A80B4E2" w14:textId="77777777" w:rsidR="00186675" w:rsidRPr="000C570A" w:rsidRDefault="00AE313C" w:rsidP="00936FEE">
      <w:pPr>
        <w:pStyle w:val="Heading2"/>
      </w:pPr>
      <w:r w:rsidRPr="000C570A">
        <w:t>4.11 Statutorily</w:t>
      </w:r>
      <w:r w:rsidR="00186675" w:rsidRPr="000C570A">
        <w:t xml:space="preserve"> Disqualified Individuals or Inactive Registered Personnel.</w:t>
      </w:r>
    </w:p>
    <w:p w14:paraId="06A7F38F" w14:textId="77777777" w:rsidR="001033EC" w:rsidRPr="001033EC" w:rsidRDefault="00186675" w:rsidP="00B9228D">
      <w:pPr>
        <w:rPr>
          <w:sz w:val="24"/>
          <w:szCs w:val="24"/>
        </w:rPr>
      </w:pPr>
      <w:r w:rsidRPr="001033EC">
        <w:rPr>
          <w:sz w:val="24"/>
          <w:szCs w:val="24"/>
        </w:rPr>
        <w:t xml:space="preserve">It is the </w:t>
      </w:r>
      <w:r w:rsidR="008B590B">
        <w:rPr>
          <w:sz w:val="24"/>
          <w:szCs w:val="24"/>
        </w:rPr>
        <w:t>Company</w:t>
      </w:r>
      <w:r w:rsidRPr="001033EC">
        <w:rPr>
          <w:sz w:val="24"/>
          <w:szCs w:val="24"/>
        </w:rPr>
        <w:t>’s position not to hire any associated person who has been statutorily disqualified or deemed inactive.  However, in the event this should occur</w:t>
      </w:r>
      <w:r w:rsidR="001033EC" w:rsidRPr="001033EC">
        <w:rPr>
          <w:sz w:val="24"/>
          <w:szCs w:val="24"/>
        </w:rPr>
        <w:t xml:space="preserve"> due to </w:t>
      </w:r>
      <w:r w:rsidR="001033EC">
        <w:rPr>
          <w:sz w:val="24"/>
          <w:szCs w:val="24"/>
        </w:rPr>
        <w:t>i</w:t>
      </w:r>
      <w:r w:rsidR="001033EC" w:rsidRPr="001033EC">
        <w:rPr>
          <w:sz w:val="24"/>
          <w:szCs w:val="24"/>
        </w:rPr>
        <w:t xml:space="preserve">ndividuals </w:t>
      </w:r>
      <w:r w:rsidR="001033EC">
        <w:rPr>
          <w:sz w:val="24"/>
          <w:szCs w:val="24"/>
        </w:rPr>
        <w:t xml:space="preserve">who </w:t>
      </w:r>
      <w:r w:rsidR="001033EC" w:rsidRPr="001033EC">
        <w:rPr>
          <w:sz w:val="24"/>
          <w:szCs w:val="24"/>
        </w:rPr>
        <w:t>may become subject to statutory disqualifications as a result of a felony conviction or regulatory suspension, revocation of registrations or injunctions (including actions by domestic regulators including the CFTC and actions by foreign regulators), the followi</w:t>
      </w:r>
      <w:r w:rsidR="001033EC">
        <w:rPr>
          <w:sz w:val="24"/>
          <w:szCs w:val="24"/>
        </w:rPr>
        <w:t>ng procedures will be in effect:</w:t>
      </w:r>
    </w:p>
    <w:p w14:paraId="743763ED" w14:textId="77777777" w:rsidR="001033EC" w:rsidRPr="003B7614" w:rsidRDefault="001033EC" w:rsidP="001033EC">
      <w:pPr>
        <w:pStyle w:val="Normal1"/>
        <w:spacing w:before="0" w:after="0" w:afterAutospacing="0" w:line="240" w:lineRule="auto"/>
        <w:jc w:val="both"/>
        <w:rPr>
          <w:rFonts w:ascii="Times New Roman" w:hAnsi="Times New Roman" w:cs="Times New Roman"/>
          <w:i/>
          <w:color w:val="000000"/>
          <w:sz w:val="20"/>
          <w:szCs w:val="20"/>
        </w:rPr>
      </w:pPr>
      <w:r w:rsidRPr="001033EC">
        <w:rPr>
          <w:rFonts w:ascii="Times New Roman" w:hAnsi="Times New Roman" w:cs="Times New Roman"/>
          <w:i/>
          <w:sz w:val="20"/>
          <w:szCs w:val="20"/>
        </w:rPr>
        <w:t>(The definition of statutory disqualification is included in Section 3(a)(39) of the Securities Exchange Act of 1934</w:t>
      </w:r>
      <w:r w:rsidRPr="003B7614">
        <w:rPr>
          <w:rFonts w:ascii="Times New Roman" w:hAnsi="Times New Roman" w:cs="Times New Roman"/>
          <w:i/>
          <w:sz w:val="20"/>
          <w:szCs w:val="20"/>
        </w:rPr>
        <w:t>.</w:t>
      </w:r>
      <w:r w:rsidR="003B7614">
        <w:rPr>
          <w:rFonts w:ascii="Times New Roman" w:hAnsi="Times New Roman" w:cs="Times New Roman"/>
          <w:i/>
          <w:sz w:val="20"/>
          <w:szCs w:val="20"/>
        </w:rPr>
        <w:t xml:space="preserve"> FINRA Regulatory Notice 09-19 includes a chart in Attachment B that outlines statutory disqualification under the Rule.</w:t>
      </w:r>
      <w:r w:rsidRPr="003B7614">
        <w:rPr>
          <w:rFonts w:ascii="Times New Roman" w:hAnsi="Times New Roman" w:cs="Times New Roman"/>
          <w:i/>
          <w:color w:val="000000"/>
          <w:sz w:val="20"/>
          <w:szCs w:val="20"/>
        </w:rPr>
        <w:t>)</w:t>
      </w:r>
    </w:p>
    <w:p w14:paraId="0C017708" w14:textId="27FDAF0E" w:rsidR="00186675" w:rsidRDefault="00186675" w:rsidP="001033EC">
      <w:pPr>
        <w:jc w:val="both"/>
        <w:rPr>
          <w:b/>
          <w:sz w:val="24"/>
          <w:szCs w:val="24"/>
        </w:rPr>
      </w:pPr>
    </w:p>
    <w:p w14:paraId="4A317225" w14:textId="17428D4F" w:rsidR="00274833" w:rsidRPr="002A3ACC" w:rsidRDefault="00274833" w:rsidP="001033EC">
      <w:pPr>
        <w:jc w:val="both"/>
        <w:rPr>
          <w:color w:val="000000" w:themeColor="text1"/>
          <w:spacing w:val="8"/>
          <w:sz w:val="24"/>
          <w:szCs w:val="24"/>
          <w:shd w:val="clear" w:color="auto" w:fill="FFFFFF"/>
        </w:rPr>
      </w:pPr>
      <w:r w:rsidRPr="002A3ACC">
        <w:rPr>
          <w:color w:val="000000" w:themeColor="text1"/>
          <w:spacing w:val="8"/>
          <w:sz w:val="24"/>
          <w:szCs w:val="24"/>
          <w:shd w:val="clear" w:color="auto" w:fill="FFFFFF"/>
        </w:rPr>
        <w:t>Any prospective employees (including those engaged solely in clerical and/or ministerial activities) are subject to background investigations that include identification of potential statutory disqualification. Prior to hiring an individual subject to a statutory disqualification, Compliance should be consulted to review the nature of the statutory disqualification and potential heightened supervision that may be required. When an existing employee becomes subject to a statutory disqualification, Company is required to submit an application to continue associating with a disqualified person and establish an interim plan of heightened supervision in effect throughout the application review process.</w:t>
      </w:r>
    </w:p>
    <w:p w14:paraId="64ECF7F9" w14:textId="77777777" w:rsidR="00D505D9" w:rsidRPr="002A3ACC" w:rsidRDefault="00D505D9" w:rsidP="00D505D9">
      <w:pPr>
        <w:pStyle w:val="Normal45"/>
        <w:shd w:val="clear" w:color="auto" w:fill="FFFFFF"/>
        <w:spacing w:before="15" w:beforeAutospacing="0" w:line="240" w:lineRule="atLeast"/>
        <w:rPr>
          <w:color w:val="000000" w:themeColor="text1"/>
          <w:spacing w:val="8"/>
        </w:rPr>
      </w:pPr>
      <w:r w:rsidRPr="002A3ACC">
        <w:rPr>
          <w:color w:val="000000" w:themeColor="text1"/>
          <w:spacing w:val="8"/>
        </w:rPr>
        <w:t xml:space="preserve">Compliance is responsible for completion and filing of the appropriate regulatory form or application, which will be signed by a senior officer or partner of Company. A </w:t>
      </w:r>
      <w:r w:rsidRPr="002A3ACC">
        <w:rPr>
          <w:color w:val="000000" w:themeColor="text1"/>
          <w:spacing w:val="8"/>
        </w:rPr>
        <w:lastRenderedPageBreak/>
        <w:t xml:space="preserve">hearing may be required prior to approval of a new employee or existing employee's continued association with Company.  </w:t>
      </w:r>
    </w:p>
    <w:p w14:paraId="0F3209BA" w14:textId="61CA8ED9" w:rsidR="00274833" w:rsidRPr="002A3ACC" w:rsidRDefault="00D505D9" w:rsidP="00D505D9">
      <w:pPr>
        <w:pStyle w:val="Normal45"/>
        <w:shd w:val="clear" w:color="auto" w:fill="FFFFFF"/>
        <w:spacing w:before="15" w:beforeAutospacing="0" w:line="240" w:lineRule="atLeast"/>
        <w:rPr>
          <w:b/>
          <w:color w:val="000000" w:themeColor="text1"/>
        </w:rPr>
      </w:pPr>
      <w:r w:rsidRPr="002A3ACC">
        <w:rPr>
          <w:color w:val="000000" w:themeColor="text1"/>
          <w:spacing w:val="8"/>
        </w:rPr>
        <w:t xml:space="preserve">In addition, </w:t>
      </w:r>
      <w:r w:rsidRPr="002A3ACC">
        <w:rPr>
          <w:color w:val="000000" w:themeColor="text1"/>
          <w:spacing w:val="8"/>
          <w:shd w:val="clear" w:color="auto" w:fill="FFFFFF"/>
        </w:rPr>
        <w:t xml:space="preserve">Compliance will establish procedures to carry out the supervision required under agreement with the SRO reviewing the disqualified person, including records of supervision to be conducted by the designated supervisor. The supervisor assigned to supervise the statutorily disqualified person will be provided a copy of the procedures which must be signed by the supervisor who is then responsible for carrying them out.  </w:t>
      </w:r>
      <w:r w:rsidRPr="002A3ACC">
        <w:rPr>
          <w:color w:val="000000" w:themeColor="text1"/>
          <w:spacing w:val="8"/>
        </w:rPr>
        <w:t>When an employee becomes subject to a statutory disqualification, Compliance will file the necessary registration updates and, in addition, the required notification on the quarterly complaint report will be made to regulators consistent with those SRO's reporting requirements.</w:t>
      </w:r>
    </w:p>
    <w:p w14:paraId="2F40322B" w14:textId="742AC613" w:rsidR="00186675" w:rsidRDefault="00186675" w:rsidP="00C1728B">
      <w:pPr>
        <w:numPr>
          <w:ilvl w:val="1"/>
          <w:numId w:val="69"/>
        </w:numPr>
        <w:ind w:left="720"/>
        <w:rPr>
          <w:sz w:val="24"/>
        </w:rPr>
      </w:pPr>
      <w:r>
        <w:rPr>
          <w:sz w:val="24"/>
          <w:u w:val="single"/>
        </w:rPr>
        <w:t>CUSTOMER RELATIONS</w:t>
      </w:r>
      <w:r>
        <w:rPr>
          <w:sz w:val="24"/>
        </w:rPr>
        <w:t xml:space="preserve">:    All securities transactions conducted by an associated person who has been readmitted by </w:t>
      </w:r>
      <w:r w:rsidRPr="000C099C">
        <w:rPr>
          <w:sz w:val="24"/>
        </w:rPr>
        <w:t>FINRA after having been statutorily disqualified shall be reviewed and approved in writing by Morris Monroe, or designated principal, prior to execution.  All correspondence dealing with the solicitation of securities transactions with customers of the Company, or the solicitation of funds on behalf of customers of the Company shall be reviewed and approved in writing by Morris Monroe, or designated principal, prior to dissemination.  It is the Company's position that it will not allow any clients of an associated person who has been readmitted by FINRA after having</w:t>
      </w:r>
      <w:r>
        <w:rPr>
          <w:sz w:val="24"/>
        </w:rPr>
        <w:t xml:space="preserve"> been statutorily disqualified to participate in discretionary accounts.</w:t>
      </w:r>
    </w:p>
    <w:p w14:paraId="4CD1614E" w14:textId="77777777" w:rsidR="00FB1DBD" w:rsidRDefault="00FB1DBD" w:rsidP="00FB1DBD">
      <w:pPr>
        <w:ind w:left="720" w:hanging="270"/>
        <w:rPr>
          <w:sz w:val="24"/>
        </w:rPr>
      </w:pPr>
    </w:p>
    <w:p w14:paraId="178EC455" w14:textId="77777777" w:rsidR="00186675" w:rsidRDefault="00186675" w:rsidP="00FB1DBD">
      <w:pPr>
        <w:ind w:left="720"/>
        <w:jc w:val="both"/>
        <w:rPr>
          <w:sz w:val="24"/>
        </w:rPr>
      </w:pPr>
      <w:r>
        <w:rPr>
          <w:sz w:val="24"/>
        </w:rPr>
        <w:t>Further, it is the Company's position that in order for any individual to become associated after having been previously statutorily disqualified shall consent to a six (6) month strict probationary period during which; (1) Morris Monroe may accompany the associated person to any meetings the associated person might have with clients of the Company; (2) Morris Monroe shall randomly spot check phone conversations as they transpire between the associated person and clients of the Company; and (3) clients of the Company may be contacted by Morris Monroe and questioned as to representations made by the associated person during their course of dealings with the subject associated person.</w:t>
      </w:r>
    </w:p>
    <w:p w14:paraId="5B0E9FEF" w14:textId="77777777" w:rsidR="00186675" w:rsidRDefault="00186675" w:rsidP="00A2129F">
      <w:pPr>
        <w:ind w:left="450" w:hanging="180"/>
        <w:jc w:val="center"/>
        <w:rPr>
          <w:b/>
        </w:rPr>
      </w:pPr>
    </w:p>
    <w:p w14:paraId="5B1A705C" w14:textId="77777777" w:rsidR="00186675" w:rsidRPr="000C099C" w:rsidRDefault="00186675" w:rsidP="000C570A">
      <w:pPr>
        <w:tabs>
          <w:tab w:val="left" w:pos="720"/>
        </w:tabs>
        <w:ind w:left="720" w:hanging="270"/>
        <w:rPr>
          <w:sz w:val="24"/>
        </w:rPr>
      </w:pPr>
      <w:r>
        <w:rPr>
          <w:sz w:val="24"/>
        </w:rPr>
        <w:t>2.</w:t>
      </w:r>
      <w:r w:rsidR="000C570A">
        <w:rPr>
          <w:sz w:val="24"/>
        </w:rPr>
        <w:t xml:space="preserve">  </w:t>
      </w:r>
      <w:r>
        <w:rPr>
          <w:sz w:val="24"/>
          <w:u w:val="single"/>
        </w:rPr>
        <w:t>CUSTOMER COMPLAINTS</w:t>
      </w:r>
      <w:r>
        <w:rPr>
          <w:sz w:val="24"/>
        </w:rPr>
        <w:t>:   With respect to customer complaints, any complaint directed to or uncovered by Morris Monroe will be entered as a matter of record and a written file maintained with respect to the complaint detailing the disposition of such customer complaint.  Morris Monroe will have the absolute right to determine the disposition of all customer complaints.</w:t>
      </w:r>
      <w:r w:rsidR="000C570A">
        <w:rPr>
          <w:sz w:val="24"/>
        </w:rPr>
        <w:t xml:space="preserve">   </w:t>
      </w:r>
      <w:r>
        <w:rPr>
          <w:sz w:val="24"/>
        </w:rPr>
        <w:t xml:space="preserve">Further, it shall be the responsibility of Morris Monroe to timely report all customer complaint information and other specified events, electronically, to </w:t>
      </w:r>
      <w:r w:rsidRPr="000C099C">
        <w:rPr>
          <w:sz w:val="24"/>
        </w:rPr>
        <w:t xml:space="preserve">FINRA/CRD in accordance with </w:t>
      </w:r>
      <w:r w:rsidR="00547759" w:rsidRPr="00D14441">
        <w:rPr>
          <w:sz w:val="24"/>
        </w:rPr>
        <w:t xml:space="preserve">FINRA </w:t>
      </w:r>
      <w:r w:rsidRPr="00D14441">
        <w:rPr>
          <w:sz w:val="24"/>
        </w:rPr>
        <w:t xml:space="preserve">Rule </w:t>
      </w:r>
      <w:r w:rsidR="00547759" w:rsidRPr="00D14441">
        <w:rPr>
          <w:sz w:val="24"/>
        </w:rPr>
        <w:t>4530</w:t>
      </w:r>
      <w:r w:rsidRPr="000C099C">
        <w:rPr>
          <w:sz w:val="24"/>
        </w:rPr>
        <w:t>.  In this regard, on behalf of the Company, Morris Monroe shall promptly report within 10 business days of when the Company becomes aware of the complaint.</w:t>
      </w:r>
    </w:p>
    <w:p w14:paraId="20555FC7" w14:textId="77777777" w:rsidR="00186675" w:rsidRDefault="00186675" w:rsidP="000C570A">
      <w:pPr>
        <w:tabs>
          <w:tab w:val="left" w:pos="720"/>
        </w:tabs>
        <w:ind w:left="720" w:hanging="270"/>
        <w:jc w:val="both"/>
        <w:rPr>
          <w:sz w:val="24"/>
        </w:rPr>
      </w:pPr>
    </w:p>
    <w:p w14:paraId="06480D6B" w14:textId="77777777" w:rsidR="00186675" w:rsidRDefault="00186675" w:rsidP="000C570A">
      <w:pPr>
        <w:tabs>
          <w:tab w:val="left" w:pos="720"/>
        </w:tabs>
        <w:ind w:left="720" w:hanging="270"/>
        <w:rPr>
          <w:sz w:val="24"/>
        </w:rPr>
      </w:pPr>
      <w:r>
        <w:rPr>
          <w:sz w:val="24"/>
        </w:rPr>
        <w:t>3.</w:t>
      </w:r>
      <w:r w:rsidR="000C570A">
        <w:rPr>
          <w:sz w:val="24"/>
        </w:rPr>
        <w:t xml:space="preserve">  </w:t>
      </w:r>
      <w:r>
        <w:rPr>
          <w:sz w:val="24"/>
          <w:u w:val="single"/>
        </w:rPr>
        <w:t>CONDUCT OF ACCOUNTS</w:t>
      </w:r>
      <w:r>
        <w:rPr>
          <w:sz w:val="24"/>
        </w:rPr>
        <w:t xml:space="preserve">:   When an associated person, who was previously statutorily disqualified, receives a customer order said order is to be entered through Morris Monroe's office and shall be reviewed and accepted on behalf of the </w:t>
      </w:r>
      <w:r w:rsidR="00FB1DBD">
        <w:rPr>
          <w:sz w:val="24"/>
        </w:rPr>
        <w:t>Company prior</w:t>
      </w:r>
      <w:r>
        <w:rPr>
          <w:sz w:val="24"/>
        </w:rPr>
        <w:t xml:space="preserve"> to execution.  Access to any trading modules is strictly prohibited.  All order approved computers are login/password protected and are logged out when not at the computer.</w:t>
      </w:r>
    </w:p>
    <w:p w14:paraId="15377739" w14:textId="77777777" w:rsidR="00186675" w:rsidRDefault="00186675" w:rsidP="000C570A">
      <w:pPr>
        <w:tabs>
          <w:tab w:val="left" w:pos="720"/>
        </w:tabs>
        <w:ind w:left="720" w:hanging="270"/>
        <w:rPr>
          <w:sz w:val="24"/>
        </w:rPr>
      </w:pPr>
    </w:p>
    <w:p w14:paraId="0BE585C6" w14:textId="77777777" w:rsidR="00186675" w:rsidRDefault="00186675" w:rsidP="000C570A">
      <w:pPr>
        <w:tabs>
          <w:tab w:val="left" w:pos="720"/>
        </w:tabs>
        <w:ind w:left="720" w:hanging="270"/>
        <w:rPr>
          <w:sz w:val="24"/>
        </w:rPr>
      </w:pPr>
      <w:r>
        <w:rPr>
          <w:sz w:val="24"/>
        </w:rPr>
        <w:lastRenderedPageBreak/>
        <w:t>4.</w:t>
      </w:r>
      <w:r w:rsidR="000C570A">
        <w:rPr>
          <w:sz w:val="24"/>
        </w:rPr>
        <w:t xml:space="preserve">  </w:t>
      </w:r>
      <w:r>
        <w:rPr>
          <w:sz w:val="24"/>
          <w:u w:val="single"/>
        </w:rPr>
        <w:t>RECORDKEEPING</w:t>
      </w:r>
      <w:r>
        <w:rPr>
          <w:sz w:val="24"/>
        </w:rPr>
        <w:t>:   Where an associated person has been readmitted after having been statutorily disqualified, a log will be maintained of said individual's contacts with clients of the Company. This will be stored and maintained in the computer system of the company.</w:t>
      </w:r>
    </w:p>
    <w:p w14:paraId="7F49BC04" w14:textId="77777777" w:rsidR="00186675" w:rsidRDefault="00186675" w:rsidP="000C570A">
      <w:pPr>
        <w:tabs>
          <w:tab w:val="left" w:pos="720"/>
        </w:tabs>
        <w:ind w:left="720" w:hanging="270"/>
        <w:rPr>
          <w:u w:val="single"/>
        </w:rPr>
      </w:pPr>
    </w:p>
    <w:p w14:paraId="4ABEE368" w14:textId="1C0A9552" w:rsidR="00186675" w:rsidRDefault="00186675" w:rsidP="000C570A">
      <w:pPr>
        <w:tabs>
          <w:tab w:val="left" w:pos="720"/>
        </w:tabs>
        <w:ind w:left="720" w:hanging="270"/>
        <w:rPr>
          <w:sz w:val="24"/>
        </w:rPr>
      </w:pPr>
      <w:r>
        <w:rPr>
          <w:sz w:val="24"/>
        </w:rPr>
        <w:t>5.</w:t>
      </w:r>
      <w:r w:rsidR="000C570A">
        <w:rPr>
          <w:sz w:val="24"/>
        </w:rPr>
        <w:t xml:space="preserve">  </w:t>
      </w:r>
      <w:r>
        <w:rPr>
          <w:sz w:val="24"/>
          <w:u w:val="single"/>
        </w:rPr>
        <w:t>COMPLIANCE MEETINGS</w:t>
      </w:r>
      <w:r>
        <w:rPr>
          <w:sz w:val="24"/>
        </w:rPr>
        <w:t>:   Where an associated person has been readmitted after having been statutorily disqualified, all such individuals shall attend mandatory compliance meetings to be held by Morris Monroe or his designee.  Such meetings will cover at a minimum: (</w:t>
      </w:r>
      <w:proofErr w:type="spellStart"/>
      <w:r>
        <w:rPr>
          <w:sz w:val="24"/>
        </w:rPr>
        <w:t>i</w:t>
      </w:r>
      <w:proofErr w:type="spellEnd"/>
      <w:r>
        <w:rPr>
          <w:sz w:val="24"/>
        </w:rPr>
        <w:t xml:space="preserve">) current projects being worked on by the associated person with an emphasis on compliance issues relating thereto; (ii) a </w:t>
      </w:r>
      <w:r w:rsidR="002E309C">
        <w:rPr>
          <w:sz w:val="24"/>
        </w:rPr>
        <w:t>question-and-answer</w:t>
      </w:r>
      <w:r>
        <w:rPr>
          <w:sz w:val="24"/>
        </w:rPr>
        <w:t xml:space="preserve"> period in which the associated person may ask any question he/she may have and receive authoritative guidance concerning compliance issues relating thereto; (iii) a review of regulatory developments, firm policies and similar information. As evidence of attendance of such compliance meetings, attendance records will be maintained by the Company which shall reflect the date and location of the meeting, those in attendance and the subjects discussed.</w:t>
      </w:r>
    </w:p>
    <w:p w14:paraId="1826F3A9" w14:textId="77777777" w:rsidR="00186675" w:rsidRDefault="00186675" w:rsidP="00186675">
      <w:pPr>
        <w:rPr>
          <w:sz w:val="24"/>
        </w:rPr>
      </w:pPr>
    </w:p>
    <w:p w14:paraId="295E5CEF" w14:textId="77777777" w:rsidR="00186675" w:rsidRDefault="00FB1DBD" w:rsidP="00186675">
      <w:pPr>
        <w:rPr>
          <w:sz w:val="24"/>
        </w:rPr>
      </w:pPr>
      <w:r>
        <w:rPr>
          <w:sz w:val="24"/>
        </w:rPr>
        <w:t>Should a s</w:t>
      </w:r>
      <w:r w:rsidR="00186675">
        <w:rPr>
          <w:sz w:val="24"/>
        </w:rPr>
        <w:t xml:space="preserve">uspension, </w:t>
      </w:r>
      <w:r>
        <w:rPr>
          <w:sz w:val="24"/>
        </w:rPr>
        <w:t>r</w:t>
      </w:r>
      <w:r w:rsidR="00186675">
        <w:rPr>
          <w:sz w:val="24"/>
        </w:rPr>
        <w:t xml:space="preserve">evocation, </w:t>
      </w:r>
      <w:r>
        <w:rPr>
          <w:sz w:val="24"/>
        </w:rPr>
        <w:t>c</w:t>
      </w:r>
      <w:r w:rsidR="00186675">
        <w:rPr>
          <w:sz w:val="24"/>
        </w:rPr>
        <w:t xml:space="preserve">ancellation, or </w:t>
      </w:r>
      <w:r>
        <w:rPr>
          <w:sz w:val="24"/>
        </w:rPr>
        <w:t>b</w:t>
      </w:r>
      <w:r w:rsidR="00186675">
        <w:rPr>
          <w:sz w:val="24"/>
        </w:rPr>
        <w:t>ar occur for a current Associated Person, the</w:t>
      </w:r>
      <w:r w:rsidR="00126A56">
        <w:rPr>
          <w:sz w:val="24"/>
        </w:rPr>
        <w:t xml:space="preserve">se </w:t>
      </w:r>
      <w:r w:rsidR="00186675">
        <w:rPr>
          <w:sz w:val="24"/>
        </w:rPr>
        <w:t>procedures will be followed:</w:t>
      </w:r>
    </w:p>
    <w:p w14:paraId="241FFBB1" w14:textId="77777777" w:rsidR="00186675" w:rsidRDefault="00186675" w:rsidP="00186675">
      <w:pPr>
        <w:rPr>
          <w:sz w:val="24"/>
        </w:rPr>
      </w:pPr>
    </w:p>
    <w:p w14:paraId="7A0777FC" w14:textId="77777777" w:rsidR="00186675" w:rsidRDefault="00186675" w:rsidP="00216F83">
      <w:pPr>
        <w:numPr>
          <w:ilvl w:val="0"/>
          <w:numId w:val="30"/>
        </w:numPr>
        <w:rPr>
          <w:sz w:val="24"/>
        </w:rPr>
      </w:pPr>
      <w:r>
        <w:rPr>
          <w:sz w:val="24"/>
        </w:rPr>
        <w:t>Report the disciplinary action of the applicable Associated Person’s U-4;</w:t>
      </w:r>
    </w:p>
    <w:p w14:paraId="0B92F1B7" w14:textId="5F8D02D4" w:rsidR="00186675" w:rsidRDefault="00FB1DBD" w:rsidP="00216F83">
      <w:pPr>
        <w:numPr>
          <w:ilvl w:val="0"/>
          <w:numId w:val="30"/>
        </w:numPr>
        <w:jc w:val="both"/>
        <w:rPr>
          <w:sz w:val="24"/>
        </w:rPr>
      </w:pPr>
      <w:r>
        <w:rPr>
          <w:sz w:val="24"/>
        </w:rPr>
        <w:t>If a s</w:t>
      </w:r>
      <w:r w:rsidR="00186675">
        <w:rPr>
          <w:sz w:val="24"/>
        </w:rPr>
        <w:t xml:space="preserve">uspension, a) note the suspension dates in the </w:t>
      </w:r>
      <w:r w:rsidR="008C1D3A" w:rsidRPr="007F0C5D">
        <w:rPr>
          <w:sz w:val="24"/>
        </w:rPr>
        <w:t>CRM</w:t>
      </w:r>
      <w:r w:rsidR="00186675" w:rsidRPr="007F0C5D">
        <w:rPr>
          <w:sz w:val="24"/>
        </w:rPr>
        <w:t xml:space="preserve"> database; b) In the </w:t>
      </w:r>
      <w:r w:rsidR="00B812E9" w:rsidRPr="007F0C5D">
        <w:rPr>
          <w:sz w:val="24"/>
        </w:rPr>
        <w:t>HTS</w:t>
      </w:r>
      <w:r w:rsidR="00186675" w:rsidRPr="007F0C5D">
        <w:rPr>
          <w:sz w:val="24"/>
        </w:rPr>
        <w:t xml:space="preserve"> system, restrict the Associated Person by </w:t>
      </w:r>
      <w:r w:rsidR="002E309C" w:rsidRPr="007F0C5D">
        <w:rPr>
          <w:sz w:val="24"/>
        </w:rPr>
        <w:t>opening a case to</w:t>
      </w:r>
      <w:r w:rsidR="00186675" w:rsidRPr="007F0C5D">
        <w:rPr>
          <w:sz w:val="24"/>
        </w:rPr>
        <w:t xml:space="preserve"> mark inactive; c) set future action in </w:t>
      </w:r>
      <w:r w:rsidR="008C1D3A" w:rsidRPr="007F0C5D">
        <w:rPr>
          <w:sz w:val="24"/>
        </w:rPr>
        <w:t>the CRM</w:t>
      </w:r>
      <w:r w:rsidR="00186675" w:rsidRPr="007F0C5D">
        <w:rPr>
          <w:sz w:val="24"/>
        </w:rPr>
        <w:t xml:space="preserve"> for end of suspension date to </w:t>
      </w:r>
      <w:r w:rsidRPr="007F0C5D">
        <w:rPr>
          <w:sz w:val="24"/>
        </w:rPr>
        <w:t>unrestricted</w:t>
      </w:r>
      <w:r w:rsidR="00186675" w:rsidRPr="007F0C5D">
        <w:rPr>
          <w:sz w:val="24"/>
        </w:rPr>
        <w:t xml:space="preserve"> RR </w:t>
      </w:r>
      <w:r w:rsidR="002E309C" w:rsidRPr="007F0C5D">
        <w:rPr>
          <w:sz w:val="24"/>
        </w:rPr>
        <w:t>at HTS</w:t>
      </w:r>
      <w:r w:rsidR="00186675" w:rsidRPr="007F0C5D">
        <w:rPr>
          <w:sz w:val="24"/>
        </w:rPr>
        <w:t xml:space="preserve">; d) the </w:t>
      </w:r>
      <w:r w:rsidR="00186675">
        <w:rPr>
          <w:sz w:val="24"/>
        </w:rPr>
        <w:t xml:space="preserve">Company will not pay the Associated Person any remuneration during the suspension period.  The Associated Person will be marked as inactive in the accounting/payroll system to ensure that no remuneration can occur;  e) no securities business can be conducted, including but not limited to, solicitation of securities business, securities transactions, communication with the public, and suspension of commissions.  AP will be put under special supervision.  Morris Monroe will have the </w:t>
      </w:r>
      <w:r w:rsidR="006C46F0">
        <w:rPr>
          <w:sz w:val="24"/>
        </w:rPr>
        <w:t>responsibility</w:t>
      </w:r>
      <w:r w:rsidR="00186675">
        <w:rPr>
          <w:sz w:val="24"/>
        </w:rPr>
        <w:t xml:space="preserve"> for the special supervision and for ensuring these procedures are followed.</w:t>
      </w:r>
    </w:p>
    <w:p w14:paraId="1F4FB400" w14:textId="77777777" w:rsidR="00186675" w:rsidRDefault="00186675" w:rsidP="00186675">
      <w:pPr>
        <w:ind w:left="360"/>
        <w:rPr>
          <w:sz w:val="24"/>
        </w:rPr>
      </w:pPr>
      <w:r>
        <w:rPr>
          <w:sz w:val="24"/>
        </w:rPr>
        <w:t xml:space="preserve">3.   File Form U-5 if applicable for Revocation, or </w:t>
      </w:r>
      <w:r w:rsidR="006C46F0">
        <w:rPr>
          <w:sz w:val="24"/>
        </w:rPr>
        <w:t>bar</w:t>
      </w:r>
      <w:r>
        <w:rPr>
          <w:sz w:val="24"/>
        </w:rPr>
        <w:t>.</w:t>
      </w:r>
    </w:p>
    <w:p w14:paraId="4FB93885" w14:textId="77777777" w:rsidR="00186675" w:rsidRDefault="00186675" w:rsidP="00186675">
      <w:pPr>
        <w:jc w:val="both"/>
        <w:rPr>
          <w:b/>
          <w:sz w:val="24"/>
        </w:rPr>
      </w:pPr>
    </w:p>
    <w:p w14:paraId="0FBA1BF6" w14:textId="77777777" w:rsidR="00186675" w:rsidRDefault="00186675" w:rsidP="00186675">
      <w:pPr>
        <w:jc w:val="both"/>
        <w:rPr>
          <w:b/>
          <w:sz w:val="24"/>
        </w:rPr>
      </w:pPr>
    </w:p>
    <w:p w14:paraId="71CF7771" w14:textId="77777777" w:rsidR="00186675" w:rsidRPr="00DE6F13" w:rsidRDefault="00CF784A" w:rsidP="00936FEE">
      <w:pPr>
        <w:pStyle w:val="Heading2"/>
        <w:rPr>
          <w:i/>
          <w:u w:val="single"/>
        </w:rPr>
      </w:pPr>
      <w:bookmarkStart w:id="52" w:name="Guarantees"/>
      <w:bookmarkEnd w:id="52"/>
      <w:r w:rsidRPr="000C570A">
        <w:t>4.12 FINRA</w:t>
      </w:r>
      <w:r w:rsidR="00AB4899">
        <w:t xml:space="preserve"> Rule 2150</w:t>
      </w:r>
      <w:r w:rsidR="00126A56">
        <w:t xml:space="preserve"> -</w:t>
      </w:r>
      <w:r w:rsidR="00AB4899">
        <w:t xml:space="preserve"> </w:t>
      </w:r>
      <w:r w:rsidR="00186675" w:rsidRPr="000C570A">
        <w:t xml:space="preserve">Prohibitions </w:t>
      </w:r>
      <w:r w:rsidR="00BA050F" w:rsidRPr="000C570A">
        <w:t>against</w:t>
      </w:r>
      <w:r w:rsidR="00186675" w:rsidRPr="000C570A">
        <w:t xml:space="preserve"> Guaranteeing Performance Results of Customer’s Investments</w:t>
      </w:r>
      <w:r w:rsidR="00DE6F13">
        <w:t xml:space="preserve"> </w:t>
      </w:r>
      <w:r w:rsidR="00DE6F13" w:rsidRPr="00126A56">
        <w:rPr>
          <w:i/>
          <w:sz w:val="20"/>
        </w:rPr>
        <w:t>(</w:t>
      </w:r>
      <w:proofErr w:type="gramStart"/>
      <w:r w:rsidR="00DE6F13" w:rsidRPr="00126A56">
        <w:rPr>
          <w:i/>
          <w:sz w:val="20"/>
        </w:rPr>
        <w:t>eff</w:t>
      </w:r>
      <w:proofErr w:type="gramEnd"/>
      <w:r w:rsidR="00DE6F13" w:rsidRPr="00126A56">
        <w:rPr>
          <w:i/>
          <w:sz w:val="20"/>
        </w:rPr>
        <w:t xml:space="preserve"> 12/14/09)</w:t>
      </w:r>
    </w:p>
    <w:p w14:paraId="3F262A67" w14:textId="77777777" w:rsidR="003562CA" w:rsidRDefault="00186675" w:rsidP="00716599">
      <w:pPr>
        <w:jc w:val="both"/>
        <w:rPr>
          <w:sz w:val="24"/>
          <w:szCs w:val="24"/>
        </w:rPr>
      </w:pPr>
      <w:r>
        <w:rPr>
          <w:sz w:val="24"/>
        </w:rPr>
        <w:t xml:space="preserve">Pursuant to </w:t>
      </w:r>
      <w:r w:rsidRPr="000C099C">
        <w:rPr>
          <w:sz w:val="24"/>
        </w:rPr>
        <w:t xml:space="preserve">FINRA Rule </w:t>
      </w:r>
      <w:r w:rsidRPr="000C099C">
        <w:rPr>
          <w:b/>
          <w:bCs/>
          <w:sz w:val="24"/>
        </w:rPr>
        <w:t>2</w:t>
      </w:r>
      <w:r w:rsidR="00AB4899">
        <w:rPr>
          <w:b/>
          <w:bCs/>
          <w:sz w:val="24"/>
        </w:rPr>
        <w:t xml:space="preserve">150 </w:t>
      </w:r>
      <w:r w:rsidR="00AB4899" w:rsidRPr="00AB4899">
        <w:rPr>
          <w:bCs/>
          <w:i/>
          <w:sz w:val="24"/>
        </w:rPr>
        <w:t>(old 2</w:t>
      </w:r>
      <w:r w:rsidRPr="00AB4899">
        <w:rPr>
          <w:bCs/>
          <w:i/>
          <w:sz w:val="24"/>
        </w:rPr>
        <w:t>330</w:t>
      </w:r>
      <w:r w:rsidR="00AB4899" w:rsidRPr="00AB4899">
        <w:rPr>
          <w:bCs/>
          <w:i/>
          <w:sz w:val="24"/>
        </w:rPr>
        <w:t>)</w:t>
      </w:r>
      <w:r w:rsidRPr="00AB4899">
        <w:rPr>
          <w:i/>
          <w:sz w:val="24"/>
        </w:rPr>
        <w:t>,</w:t>
      </w:r>
      <w:r w:rsidRPr="000C099C">
        <w:rPr>
          <w:sz w:val="24"/>
        </w:rPr>
        <w:t xml:space="preserve"> neither the Company nor any </w:t>
      </w:r>
      <w:r w:rsidR="00AB4899">
        <w:rPr>
          <w:sz w:val="24"/>
        </w:rPr>
        <w:t>A</w:t>
      </w:r>
      <w:r w:rsidRPr="000C099C">
        <w:rPr>
          <w:sz w:val="24"/>
        </w:rPr>
        <w:t xml:space="preserve">ssociated </w:t>
      </w:r>
      <w:r w:rsidR="00AB4899">
        <w:rPr>
          <w:sz w:val="24"/>
        </w:rPr>
        <w:t>P</w:t>
      </w:r>
      <w:r w:rsidRPr="000C099C">
        <w:rPr>
          <w:sz w:val="24"/>
        </w:rPr>
        <w:t>erson shall in any way guarantee the performance results of a customer’s investment</w:t>
      </w:r>
      <w:r w:rsidR="00AE166F">
        <w:rPr>
          <w:sz w:val="24"/>
        </w:rPr>
        <w:t xml:space="preserve"> </w:t>
      </w:r>
      <w:r w:rsidR="00AE166F" w:rsidRPr="00AE166F">
        <w:rPr>
          <w:sz w:val="24"/>
          <w:szCs w:val="24"/>
        </w:rPr>
        <w:t>(</w:t>
      </w:r>
      <w:r w:rsidR="00AE166F" w:rsidRPr="00AE166F">
        <w:rPr>
          <w:rStyle w:val="us"/>
          <w:color w:val="000000"/>
          <w:sz w:val="24"/>
          <w:szCs w:val="24"/>
        </w:rPr>
        <w:t>a "guarantee" that is extended to all holders of a particular security by an issuer as part of that security generally would not be subject to the prohibition against guarantees</w:t>
      </w:r>
      <w:r w:rsidR="00AE166F">
        <w:rPr>
          <w:rStyle w:val="us"/>
          <w:color w:val="000000"/>
          <w:sz w:val="24"/>
          <w:szCs w:val="24"/>
        </w:rPr>
        <w:t>)</w:t>
      </w:r>
      <w:r w:rsidRPr="00AE166F">
        <w:rPr>
          <w:sz w:val="24"/>
          <w:szCs w:val="24"/>
        </w:rPr>
        <w:t>.  In addition, an Associated Person who intends to share in a</w:t>
      </w:r>
      <w:r w:rsidRPr="000C099C">
        <w:rPr>
          <w:sz w:val="24"/>
        </w:rPr>
        <w:t xml:space="preserve"> customer account in accordance with </w:t>
      </w:r>
      <w:r w:rsidR="00DE6F13">
        <w:rPr>
          <w:sz w:val="24"/>
        </w:rPr>
        <w:t xml:space="preserve">the </w:t>
      </w:r>
      <w:r w:rsidR="00737531">
        <w:rPr>
          <w:sz w:val="24"/>
        </w:rPr>
        <w:t>R</w:t>
      </w:r>
      <w:r w:rsidR="00737531" w:rsidRPr="000C099C">
        <w:rPr>
          <w:sz w:val="24"/>
        </w:rPr>
        <w:t>ule</w:t>
      </w:r>
      <w:r w:rsidRPr="000C099C">
        <w:rPr>
          <w:sz w:val="24"/>
        </w:rPr>
        <w:t xml:space="preserve"> must obtain prior written authorization from the Company to engage in such account.  Subsequently, the customer(s) written authorization and approval must also be obtained prior to account transactions</w:t>
      </w:r>
      <w:r w:rsidR="00DE6F13">
        <w:rPr>
          <w:sz w:val="24"/>
        </w:rPr>
        <w:t xml:space="preserve"> and any sharing must be </w:t>
      </w:r>
      <w:r w:rsidR="00DE6F13" w:rsidRPr="00DE6F13">
        <w:rPr>
          <w:rStyle w:val="us"/>
          <w:color w:val="000000"/>
          <w:sz w:val="24"/>
          <w:szCs w:val="24"/>
        </w:rPr>
        <w:t xml:space="preserve">only in direct proportion to the financial contributions made to such account by either the </w:t>
      </w:r>
      <w:r w:rsidR="00DE6F13">
        <w:rPr>
          <w:rStyle w:val="us"/>
          <w:color w:val="000000"/>
          <w:sz w:val="24"/>
          <w:szCs w:val="24"/>
        </w:rPr>
        <w:t>Company</w:t>
      </w:r>
      <w:r w:rsidR="00DE6F13" w:rsidRPr="00DE6F13">
        <w:rPr>
          <w:rStyle w:val="us"/>
          <w:color w:val="000000"/>
          <w:sz w:val="24"/>
          <w:szCs w:val="24"/>
        </w:rPr>
        <w:t xml:space="preserve"> or </w:t>
      </w:r>
      <w:r w:rsidR="00DE6F13">
        <w:rPr>
          <w:rStyle w:val="us"/>
          <w:color w:val="000000"/>
          <w:sz w:val="24"/>
          <w:szCs w:val="24"/>
        </w:rPr>
        <w:t>Associated P</w:t>
      </w:r>
      <w:r w:rsidR="00DE6F13" w:rsidRPr="00DE6F13">
        <w:rPr>
          <w:rStyle w:val="us"/>
          <w:color w:val="000000"/>
          <w:sz w:val="24"/>
          <w:szCs w:val="24"/>
        </w:rPr>
        <w:t>erson</w:t>
      </w:r>
      <w:r w:rsidR="00716599">
        <w:rPr>
          <w:rStyle w:val="us"/>
          <w:color w:val="000000"/>
          <w:sz w:val="24"/>
          <w:szCs w:val="24"/>
        </w:rPr>
        <w:t xml:space="preserve"> </w:t>
      </w:r>
      <w:r w:rsidR="00716599" w:rsidRPr="00716599">
        <w:rPr>
          <w:rStyle w:val="us"/>
          <w:color w:val="000000"/>
          <w:sz w:val="24"/>
          <w:szCs w:val="24"/>
        </w:rPr>
        <w:t>(except accounts of the immediate family of such Associated Person</w:t>
      </w:r>
      <w:r w:rsidR="00A50D78">
        <w:rPr>
          <w:rStyle w:val="us"/>
          <w:color w:val="000000"/>
          <w:sz w:val="24"/>
          <w:szCs w:val="24"/>
        </w:rPr>
        <w:t>)</w:t>
      </w:r>
      <w:r w:rsidR="00716599" w:rsidRPr="00716599">
        <w:rPr>
          <w:rStyle w:val="us"/>
          <w:color w:val="000000"/>
          <w:sz w:val="24"/>
          <w:szCs w:val="24"/>
        </w:rPr>
        <w:t>.   For purposes of this Rule, the term "immediate family" shall include parents, mother-in-law or father-in-law, husband or wife, children or any relative to whose support the Associated Person contributes directly or indirectly</w:t>
      </w:r>
      <w:r w:rsidR="00BC0F1B">
        <w:rPr>
          <w:rStyle w:val="us"/>
          <w:color w:val="000000"/>
          <w:sz w:val="24"/>
          <w:szCs w:val="24"/>
        </w:rPr>
        <w:t>)</w:t>
      </w:r>
      <w:r w:rsidRPr="00716599">
        <w:rPr>
          <w:sz w:val="24"/>
          <w:szCs w:val="24"/>
        </w:rPr>
        <w:t xml:space="preserve">.  </w:t>
      </w:r>
    </w:p>
    <w:p w14:paraId="3635911A" w14:textId="77777777" w:rsidR="003562CA" w:rsidRDefault="003562CA" w:rsidP="00716599">
      <w:pPr>
        <w:jc w:val="both"/>
        <w:rPr>
          <w:sz w:val="24"/>
          <w:szCs w:val="24"/>
        </w:rPr>
      </w:pPr>
    </w:p>
    <w:p w14:paraId="400C6A90" w14:textId="77777777" w:rsidR="003562CA" w:rsidRPr="003562CA" w:rsidRDefault="003562CA" w:rsidP="00AE166F">
      <w:pPr>
        <w:shd w:val="clear" w:color="auto" w:fill="FFFFFF"/>
        <w:spacing w:line="270" w:lineRule="atLeast"/>
        <w:jc w:val="both"/>
        <w:rPr>
          <w:color w:val="000000"/>
          <w:sz w:val="24"/>
          <w:szCs w:val="24"/>
        </w:rPr>
      </w:pPr>
      <w:r w:rsidRPr="003562CA">
        <w:rPr>
          <w:color w:val="000000"/>
          <w:sz w:val="24"/>
          <w:szCs w:val="24"/>
        </w:rPr>
        <w:lastRenderedPageBreak/>
        <w:t xml:space="preserve">Any Associated Person acting as an investment adviser may receive compensation based on a share in profits or gains in an account if the Associated Person seeking such compensation obtains prior written authorization from the </w:t>
      </w:r>
      <w:r w:rsidR="00A467C8" w:rsidRPr="003562CA">
        <w:rPr>
          <w:color w:val="000000"/>
          <w:sz w:val="24"/>
          <w:szCs w:val="24"/>
        </w:rPr>
        <w:t xml:space="preserve">Company </w:t>
      </w:r>
      <w:r w:rsidR="00737531" w:rsidRPr="003562CA">
        <w:rPr>
          <w:color w:val="000000"/>
          <w:sz w:val="24"/>
          <w:szCs w:val="24"/>
        </w:rPr>
        <w:t>and such</w:t>
      </w:r>
      <w:r w:rsidRPr="003562CA">
        <w:rPr>
          <w:color w:val="000000"/>
          <w:sz w:val="24"/>
          <w:szCs w:val="24"/>
        </w:rPr>
        <w:t xml:space="preserve"> compensation obtains prior written authorization from the customer; and all of the conditions in Rule 205-3 of the Investment Advisers Act (as the same may be amended from time to time) are satisfied. </w:t>
      </w:r>
    </w:p>
    <w:p w14:paraId="3760E12B" w14:textId="77777777" w:rsidR="00AE166F" w:rsidRDefault="00AE166F" w:rsidP="00AE166F">
      <w:pPr>
        <w:jc w:val="both"/>
        <w:rPr>
          <w:sz w:val="24"/>
          <w:szCs w:val="24"/>
        </w:rPr>
      </w:pPr>
    </w:p>
    <w:p w14:paraId="1AAAF3B5" w14:textId="77777777" w:rsidR="00AE166F" w:rsidRPr="00716599" w:rsidRDefault="00AE166F" w:rsidP="00AE166F">
      <w:pPr>
        <w:jc w:val="both"/>
        <w:rPr>
          <w:sz w:val="24"/>
          <w:szCs w:val="24"/>
        </w:rPr>
      </w:pPr>
      <w:r w:rsidRPr="00716599">
        <w:rPr>
          <w:sz w:val="24"/>
          <w:szCs w:val="24"/>
        </w:rPr>
        <w:t>Both Company and customer authorizations will be maintained with the account documents as well as in a centralized location for the duration of the account and 6 years after closing.</w:t>
      </w:r>
    </w:p>
    <w:p w14:paraId="2B542C5D" w14:textId="77777777" w:rsidR="003562CA" w:rsidRDefault="003562CA" w:rsidP="00716599">
      <w:pPr>
        <w:jc w:val="both"/>
        <w:rPr>
          <w:sz w:val="24"/>
          <w:szCs w:val="24"/>
        </w:rPr>
      </w:pPr>
    </w:p>
    <w:p w14:paraId="5736BBCF" w14:textId="302BCFC8" w:rsidR="00AE166F" w:rsidRPr="00AE166F" w:rsidRDefault="00AE166F" w:rsidP="00716599">
      <w:pPr>
        <w:jc w:val="both"/>
        <w:rPr>
          <w:sz w:val="24"/>
          <w:szCs w:val="24"/>
        </w:rPr>
      </w:pPr>
      <w:r w:rsidRPr="00AE166F">
        <w:rPr>
          <w:rStyle w:val="us"/>
          <w:color w:val="000000"/>
          <w:sz w:val="24"/>
          <w:szCs w:val="24"/>
        </w:rPr>
        <w:t>Nothing in this Rule shall preclude Company</w:t>
      </w:r>
      <w:r w:rsidR="00A467C8" w:rsidRPr="00AE166F">
        <w:rPr>
          <w:rStyle w:val="us"/>
          <w:color w:val="000000"/>
          <w:sz w:val="24"/>
          <w:szCs w:val="24"/>
        </w:rPr>
        <w:t>, but</w:t>
      </w:r>
      <w:r w:rsidRPr="00AE166F">
        <w:rPr>
          <w:rStyle w:val="us"/>
          <w:color w:val="000000"/>
          <w:sz w:val="24"/>
          <w:szCs w:val="24"/>
        </w:rPr>
        <w:t xml:space="preserve"> not an Associated Person of the Company, from determining on an after-the-fact basis, to reimburse a customer for transaction losses; provided, however, that the Company shall comply with all reporting requirements that may be applicable to such payment. For example, if the payment can reasonably be construed as a settlement, the member shall report the payment as a settlement under the applicable reporting requirement(s). In addition, nothing in this Rule shall</w:t>
      </w:r>
      <w:r w:rsidR="00737531">
        <w:rPr>
          <w:rStyle w:val="us"/>
          <w:color w:val="000000"/>
          <w:sz w:val="24"/>
          <w:szCs w:val="24"/>
        </w:rPr>
        <w:t xml:space="preserve"> preclude a member, but not an A</w:t>
      </w:r>
      <w:r w:rsidRPr="00AE166F">
        <w:rPr>
          <w:rStyle w:val="us"/>
          <w:color w:val="000000"/>
          <w:sz w:val="24"/>
          <w:szCs w:val="24"/>
        </w:rPr>
        <w:t xml:space="preserve">ssociated </w:t>
      </w:r>
      <w:r w:rsidR="00737531">
        <w:rPr>
          <w:rStyle w:val="us"/>
          <w:color w:val="000000"/>
          <w:sz w:val="24"/>
          <w:szCs w:val="24"/>
        </w:rPr>
        <w:t>P</w:t>
      </w:r>
      <w:r w:rsidRPr="00AE166F">
        <w:rPr>
          <w:rStyle w:val="us"/>
          <w:color w:val="000000"/>
          <w:sz w:val="24"/>
          <w:szCs w:val="24"/>
        </w:rPr>
        <w:t xml:space="preserve">erson of the </w:t>
      </w:r>
      <w:r w:rsidR="00737531">
        <w:rPr>
          <w:rStyle w:val="us"/>
          <w:color w:val="000000"/>
          <w:sz w:val="24"/>
          <w:szCs w:val="24"/>
        </w:rPr>
        <w:t>Company</w:t>
      </w:r>
      <w:r w:rsidRPr="00AE166F">
        <w:rPr>
          <w:rStyle w:val="us"/>
          <w:color w:val="000000"/>
          <w:sz w:val="24"/>
          <w:szCs w:val="24"/>
        </w:rPr>
        <w:t>, from correcting a bona fide error</w:t>
      </w:r>
      <w:r w:rsidR="00A33E76">
        <w:rPr>
          <w:rStyle w:val="us"/>
          <w:color w:val="000000"/>
          <w:sz w:val="24"/>
          <w:szCs w:val="24"/>
        </w:rPr>
        <w:t xml:space="preserve"> </w:t>
      </w:r>
      <w:r w:rsidR="00A33E76" w:rsidRPr="007F0C5D">
        <w:rPr>
          <w:rStyle w:val="us"/>
          <w:sz w:val="24"/>
          <w:szCs w:val="24"/>
        </w:rPr>
        <w:t>or reimburse excessive commission(s)</w:t>
      </w:r>
      <w:r w:rsidRPr="007F0C5D">
        <w:rPr>
          <w:rStyle w:val="us"/>
          <w:sz w:val="24"/>
          <w:szCs w:val="24"/>
        </w:rPr>
        <w:t xml:space="preserve">. </w:t>
      </w:r>
      <w:r w:rsidR="00737531" w:rsidRPr="00AE166F">
        <w:rPr>
          <w:rStyle w:val="us"/>
          <w:color w:val="000000"/>
          <w:sz w:val="24"/>
          <w:szCs w:val="24"/>
        </w:rPr>
        <w:t>This does</w:t>
      </w:r>
      <w:r w:rsidRPr="00AE166F">
        <w:rPr>
          <w:rStyle w:val="us"/>
          <w:color w:val="000000"/>
          <w:sz w:val="24"/>
          <w:szCs w:val="24"/>
        </w:rPr>
        <w:t xml:space="preserve"> not apply to an </w:t>
      </w:r>
      <w:r w:rsidR="00737531">
        <w:rPr>
          <w:rStyle w:val="us"/>
          <w:color w:val="000000"/>
          <w:sz w:val="24"/>
          <w:szCs w:val="24"/>
        </w:rPr>
        <w:t>A</w:t>
      </w:r>
      <w:r w:rsidRPr="00AE166F">
        <w:rPr>
          <w:rStyle w:val="us"/>
          <w:color w:val="000000"/>
          <w:sz w:val="24"/>
          <w:szCs w:val="24"/>
        </w:rPr>
        <w:t xml:space="preserve">ssociated </w:t>
      </w:r>
      <w:r w:rsidR="00737531">
        <w:rPr>
          <w:rStyle w:val="us"/>
          <w:color w:val="000000"/>
          <w:sz w:val="24"/>
          <w:szCs w:val="24"/>
        </w:rPr>
        <w:t>P</w:t>
      </w:r>
      <w:r w:rsidRPr="00AE166F">
        <w:rPr>
          <w:rStyle w:val="us"/>
          <w:color w:val="000000"/>
          <w:sz w:val="24"/>
          <w:szCs w:val="24"/>
        </w:rPr>
        <w:t xml:space="preserve">erson of </w:t>
      </w:r>
      <w:r w:rsidR="00737531">
        <w:rPr>
          <w:rStyle w:val="us"/>
          <w:color w:val="000000"/>
          <w:sz w:val="24"/>
          <w:szCs w:val="24"/>
        </w:rPr>
        <w:t>Company</w:t>
      </w:r>
      <w:r w:rsidRPr="00AE166F">
        <w:rPr>
          <w:rStyle w:val="us"/>
          <w:color w:val="000000"/>
          <w:sz w:val="24"/>
          <w:szCs w:val="24"/>
        </w:rPr>
        <w:t xml:space="preserve"> because of the concern that any such payment may conceal individual misconduct.</w:t>
      </w:r>
    </w:p>
    <w:p w14:paraId="69CFCDBC" w14:textId="77777777" w:rsidR="00186675" w:rsidRPr="00716599" w:rsidRDefault="00186675" w:rsidP="00716599">
      <w:pPr>
        <w:jc w:val="both"/>
        <w:rPr>
          <w:b/>
          <w:sz w:val="24"/>
          <w:szCs w:val="24"/>
        </w:rPr>
      </w:pPr>
    </w:p>
    <w:p w14:paraId="6414A7D2" w14:textId="77777777" w:rsidR="00505242" w:rsidRPr="000C099C" w:rsidRDefault="00505242" w:rsidP="00186675">
      <w:pPr>
        <w:jc w:val="both"/>
        <w:rPr>
          <w:b/>
          <w:sz w:val="24"/>
        </w:rPr>
      </w:pPr>
    </w:p>
    <w:p w14:paraId="07770D2B" w14:textId="77777777" w:rsidR="00186675" w:rsidRPr="000C570A" w:rsidRDefault="00D114C8" w:rsidP="00936FEE">
      <w:pPr>
        <w:pStyle w:val="Heading2"/>
      </w:pPr>
      <w:bookmarkStart w:id="53" w:name="UnauthorizedTrading"/>
      <w:bookmarkEnd w:id="53"/>
      <w:r w:rsidRPr="000C570A">
        <w:t xml:space="preserve">4.13 </w:t>
      </w:r>
      <w:r w:rsidR="00186675" w:rsidRPr="000C570A">
        <w:t xml:space="preserve">Unauthorized Trading  </w:t>
      </w:r>
    </w:p>
    <w:p w14:paraId="7D40D0FB" w14:textId="26671EA3" w:rsidR="00845834" w:rsidRPr="008239F6" w:rsidRDefault="00186675" w:rsidP="00845834">
      <w:pPr>
        <w:pStyle w:val="Normal40"/>
        <w:shd w:val="clear" w:color="auto" w:fill="FFFFFF"/>
        <w:spacing w:before="0" w:beforeAutospacing="0" w:after="0" w:afterAutospacing="0"/>
      </w:pPr>
      <w:r w:rsidRPr="000C099C">
        <w:t>"Unauthorized Trading", which refers to executing trades in a client's account without specific authorization, is forbidden by the Company and may be considered a violation of FINRA</w:t>
      </w:r>
      <w:r>
        <w:t xml:space="preserve"> Rules.  </w:t>
      </w:r>
      <w:r w:rsidR="00845834" w:rsidRPr="008239F6">
        <w:t xml:space="preserve">Failure to contact the customer or the customer's agent can result in the customer later rescinding the transaction because it was not authorized. </w:t>
      </w:r>
      <w:r w:rsidR="00902DD9">
        <w:t xml:space="preserve"> </w:t>
      </w:r>
      <w:r w:rsidR="00845834" w:rsidRPr="008239F6">
        <w:t>Engaging in unauthorized transactions subjects the employee to regulatory and Company discipline which may include fines and/or termination depending on the seriousness of the violation.  If Company determines an RR engaged in unauthorized trading, any related losses will be charged directly to the RR.</w:t>
      </w:r>
    </w:p>
    <w:p w14:paraId="3A9E2D63" w14:textId="77777777" w:rsidR="00845834" w:rsidRPr="008239F6" w:rsidRDefault="00845834" w:rsidP="00845834">
      <w:pPr>
        <w:pStyle w:val="Normal40"/>
        <w:shd w:val="clear" w:color="auto" w:fill="FFFFFF"/>
        <w:spacing w:before="0" w:beforeAutospacing="0" w:after="0" w:afterAutospacing="0"/>
      </w:pPr>
    </w:p>
    <w:p w14:paraId="614000B6" w14:textId="77777777" w:rsidR="00845834" w:rsidRPr="008239F6" w:rsidRDefault="00845834" w:rsidP="00845834">
      <w:pPr>
        <w:pStyle w:val="Normal40"/>
        <w:shd w:val="clear" w:color="auto" w:fill="FFFFFF"/>
        <w:spacing w:before="0" w:beforeAutospacing="0" w:after="0" w:afterAutospacing="0"/>
      </w:pPr>
      <w:r w:rsidRPr="008239F6">
        <w:t xml:space="preserve">RRs must also avoid "inadvertent" unauthorized transactions such as accepting an order from a husband for a wife's account where the wife has not signed a trading authorization giving her husband authority to trade on her behalf. </w:t>
      </w:r>
      <w:r w:rsidR="003879D7" w:rsidRPr="008239F6">
        <w:t xml:space="preserve"> </w:t>
      </w:r>
      <w:r w:rsidRPr="008239F6">
        <w:t xml:space="preserve">Doing a customer a "favor" by entering an order when he or she cannot be reached may be construed as good customer service by the RR but in </w:t>
      </w:r>
      <w:r w:rsidR="003879D7" w:rsidRPr="008239F6">
        <w:t>reality,</w:t>
      </w:r>
      <w:r w:rsidRPr="008239F6">
        <w:t xml:space="preserve"> is a rule violation and subjects the RR and </w:t>
      </w:r>
      <w:r w:rsidR="003879D7" w:rsidRPr="008239F6">
        <w:t>Company</w:t>
      </w:r>
      <w:r w:rsidRPr="008239F6">
        <w:t xml:space="preserve"> to potential liability for losses from unauthorized transactions.</w:t>
      </w:r>
    </w:p>
    <w:p w14:paraId="6F682679" w14:textId="77777777" w:rsidR="00AD6BDA" w:rsidRPr="008239F6" w:rsidRDefault="00AD6BDA" w:rsidP="00845834">
      <w:pPr>
        <w:tabs>
          <w:tab w:val="left" w:pos="2592"/>
          <w:tab w:val="left" w:pos="6480"/>
        </w:tabs>
        <w:jc w:val="both"/>
        <w:rPr>
          <w:sz w:val="24"/>
        </w:rPr>
      </w:pPr>
    </w:p>
    <w:p w14:paraId="0998E06E" w14:textId="77777777" w:rsidR="00845834" w:rsidRDefault="00845834" w:rsidP="00845834">
      <w:pPr>
        <w:tabs>
          <w:tab w:val="left" w:pos="2592"/>
          <w:tab w:val="left" w:pos="6480"/>
        </w:tabs>
        <w:jc w:val="both"/>
        <w:rPr>
          <w:sz w:val="24"/>
        </w:rPr>
      </w:pPr>
    </w:p>
    <w:p w14:paraId="48E681CD" w14:textId="77777777" w:rsidR="00186675" w:rsidRPr="000C570A" w:rsidRDefault="00D114C8" w:rsidP="00936FEE">
      <w:pPr>
        <w:pStyle w:val="Heading2"/>
      </w:pPr>
      <w:r w:rsidRPr="000C570A">
        <w:t xml:space="preserve">4.14 </w:t>
      </w:r>
      <w:r w:rsidR="00186675" w:rsidRPr="000C570A">
        <w:t xml:space="preserve">Discretionary Accounts  </w:t>
      </w:r>
    </w:p>
    <w:p w14:paraId="4E0E64E5" w14:textId="77777777" w:rsidR="009526C5" w:rsidRDefault="009526C5" w:rsidP="00186675">
      <w:pPr>
        <w:tabs>
          <w:tab w:val="left" w:pos="2592"/>
          <w:tab w:val="left" w:pos="6480"/>
        </w:tabs>
        <w:jc w:val="both"/>
        <w:rPr>
          <w:sz w:val="24"/>
        </w:rPr>
      </w:pPr>
      <w:r>
        <w:rPr>
          <w:sz w:val="24"/>
        </w:rPr>
        <w:t>The Company does not permit discretionary account</w:t>
      </w:r>
      <w:r w:rsidR="00DD5AAE">
        <w:rPr>
          <w:sz w:val="24"/>
        </w:rPr>
        <w:t>s without Company authorization</w:t>
      </w:r>
      <w:r>
        <w:rPr>
          <w:sz w:val="24"/>
        </w:rPr>
        <w:t xml:space="preserve">.  If the Company detects the existence of such account, the account will be </w:t>
      </w:r>
      <w:r w:rsidR="005D1066">
        <w:rPr>
          <w:sz w:val="24"/>
        </w:rPr>
        <w:t>frozen,</w:t>
      </w:r>
      <w:r>
        <w:rPr>
          <w:sz w:val="24"/>
        </w:rPr>
        <w:t xml:space="preserve"> and an investigation conducted.  Violations could result in possible fines, suspension, and or terminations.</w:t>
      </w:r>
    </w:p>
    <w:p w14:paraId="194193B7" w14:textId="77777777" w:rsidR="00505242" w:rsidRDefault="00505242" w:rsidP="00186675">
      <w:pPr>
        <w:tabs>
          <w:tab w:val="left" w:pos="2592"/>
          <w:tab w:val="left" w:pos="6480"/>
        </w:tabs>
        <w:jc w:val="both"/>
        <w:rPr>
          <w:sz w:val="24"/>
        </w:rPr>
      </w:pPr>
    </w:p>
    <w:p w14:paraId="03CC83E3" w14:textId="77777777" w:rsidR="009526C5" w:rsidRDefault="009526C5" w:rsidP="00186675">
      <w:pPr>
        <w:tabs>
          <w:tab w:val="left" w:pos="2592"/>
          <w:tab w:val="left" w:pos="6480"/>
        </w:tabs>
        <w:jc w:val="both"/>
        <w:rPr>
          <w:sz w:val="24"/>
        </w:rPr>
      </w:pPr>
    </w:p>
    <w:p w14:paraId="57EC5BFA" w14:textId="77777777" w:rsidR="00186675" w:rsidRPr="000C570A" w:rsidRDefault="00D114C8" w:rsidP="00936FEE">
      <w:pPr>
        <w:pStyle w:val="Heading2"/>
      </w:pPr>
      <w:r w:rsidRPr="000C570A">
        <w:t xml:space="preserve">4.15 </w:t>
      </w:r>
      <w:r w:rsidR="00186675" w:rsidRPr="000C570A">
        <w:t xml:space="preserve">Day Trading Accounts  </w:t>
      </w:r>
    </w:p>
    <w:p w14:paraId="21916EB9" w14:textId="77777777" w:rsidR="00505242" w:rsidRDefault="009526C5" w:rsidP="00186675">
      <w:pPr>
        <w:jc w:val="both"/>
        <w:rPr>
          <w:sz w:val="24"/>
        </w:rPr>
      </w:pPr>
      <w:r>
        <w:rPr>
          <w:sz w:val="24"/>
        </w:rPr>
        <w:t>The Company does not allow day trading accounts.</w:t>
      </w:r>
    </w:p>
    <w:p w14:paraId="63516E12" w14:textId="77777777" w:rsidR="009526C5" w:rsidRDefault="009526C5" w:rsidP="00186675">
      <w:pPr>
        <w:jc w:val="both"/>
        <w:rPr>
          <w:sz w:val="24"/>
        </w:rPr>
      </w:pPr>
    </w:p>
    <w:p w14:paraId="45F89197" w14:textId="77777777" w:rsidR="009526C5" w:rsidRDefault="009526C5" w:rsidP="00186675">
      <w:pPr>
        <w:jc w:val="both"/>
        <w:rPr>
          <w:sz w:val="24"/>
        </w:rPr>
      </w:pPr>
    </w:p>
    <w:p w14:paraId="6BF61AA8" w14:textId="77777777" w:rsidR="00186675" w:rsidRPr="000C570A" w:rsidRDefault="00D114C8" w:rsidP="00936FEE">
      <w:pPr>
        <w:pStyle w:val="Heading2"/>
      </w:pPr>
      <w:r w:rsidRPr="000C570A">
        <w:lastRenderedPageBreak/>
        <w:t xml:space="preserve">4.16 </w:t>
      </w:r>
      <w:r w:rsidR="00186675" w:rsidRPr="000C570A">
        <w:t xml:space="preserve">Mark-ups and Commission Charges    </w:t>
      </w:r>
    </w:p>
    <w:p w14:paraId="5B697FD6" w14:textId="77777777" w:rsidR="00186675" w:rsidRDefault="00186675" w:rsidP="00186675">
      <w:pPr>
        <w:jc w:val="both"/>
        <w:rPr>
          <w:sz w:val="24"/>
        </w:rPr>
      </w:pPr>
      <w:r>
        <w:rPr>
          <w:sz w:val="24"/>
        </w:rPr>
        <w:t>Morris</w:t>
      </w:r>
      <w:r w:rsidR="00AF4290">
        <w:rPr>
          <w:sz w:val="24"/>
        </w:rPr>
        <w:t xml:space="preserve"> </w:t>
      </w:r>
      <w:r>
        <w:rPr>
          <w:sz w:val="24"/>
        </w:rPr>
        <w:t>Monroe, his designee or the designated onsite Principal shall supervise securities transactions whether by reviewing each order ticket or by reviewing the purchase and sales blotter with commission (mark-ups) noted.  This will ensure that the Company's mark-up policies for riskless principal transactions, and commission charges for agency transactions, are being adhered to.</w:t>
      </w:r>
    </w:p>
    <w:p w14:paraId="795A28A7" w14:textId="77777777" w:rsidR="00186675" w:rsidRDefault="00186675" w:rsidP="00186675">
      <w:pPr>
        <w:jc w:val="both"/>
        <w:rPr>
          <w:sz w:val="24"/>
        </w:rPr>
      </w:pPr>
    </w:p>
    <w:p w14:paraId="12D68ECC" w14:textId="77777777" w:rsidR="00186675" w:rsidRDefault="00186675" w:rsidP="00186675">
      <w:pPr>
        <w:jc w:val="both"/>
        <w:rPr>
          <w:sz w:val="24"/>
        </w:rPr>
      </w:pPr>
      <w:r>
        <w:rPr>
          <w:sz w:val="24"/>
        </w:rPr>
        <w:t>The Company's mark-ups and commission charges will be based upon all relevant factors including:</w:t>
      </w:r>
    </w:p>
    <w:p w14:paraId="4C30F2F6" w14:textId="77777777" w:rsidR="00186675" w:rsidRDefault="00186675" w:rsidP="00186675">
      <w:pPr>
        <w:jc w:val="both"/>
        <w:rPr>
          <w:sz w:val="24"/>
        </w:rPr>
      </w:pPr>
    </w:p>
    <w:p w14:paraId="0CE5B2D1" w14:textId="77777777" w:rsidR="00186675" w:rsidRDefault="00186675" w:rsidP="00186675">
      <w:pPr>
        <w:ind w:left="720"/>
        <w:jc w:val="both"/>
        <w:rPr>
          <w:sz w:val="24"/>
        </w:rPr>
      </w:pPr>
      <w:r>
        <w:rPr>
          <w:sz w:val="24"/>
        </w:rPr>
        <w:t>1.</w:t>
      </w:r>
      <w:r>
        <w:rPr>
          <w:sz w:val="24"/>
        </w:rPr>
        <w:tab/>
        <w:t>Type of security involved;</w:t>
      </w:r>
    </w:p>
    <w:p w14:paraId="6309C188" w14:textId="77777777" w:rsidR="00186675" w:rsidRDefault="00186675" w:rsidP="00186675">
      <w:pPr>
        <w:ind w:left="720"/>
        <w:jc w:val="both"/>
        <w:rPr>
          <w:sz w:val="24"/>
        </w:rPr>
      </w:pPr>
      <w:r>
        <w:rPr>
          <w:sz w:val="24"/>
        </w:rPr>
        <w:t>2.</w:t>
      </w:r>
      <w:r>
        <w:rPr>
          <w:sz w:val="24"/>
        </w:rPr>
        <w:tab/>
        <w:t>Availability of the security in the market;</w:t>
      </w:r>
    </w:p>
    <w:p w14:paraId="085274CC" w14:textId="77777777" w:rsidR="00186675" w:rsidRDefault="00186675" w:rsidP="00186675">
      <w:pPr>
        <w:ind w:left="720"/>
        <w:jc w:val="both"/>
        <w:rPr>
          <w:sz w:val="24"/>
        </w:rPr>
      </w:pPr>
      <w:r>
        <w:rPr>
          <w:sz w:val="24"/>
        </w:rPr>
        <w:t>3.</w:t>
      </w:r>
      <w:r>
        <w:rPr>
          <w:sz w:val="24"/>
        </w:rPr>
        <w:tab/>
        <w:t>Price of the security;</w:t>
      </w:r>
    </w:p>
    <w:p w14:paraId="5E576949" w14:textId="77777777" w:rsidR="00186675" w:rsidRDefault="00186675" w:rsidP="00186675">
      <w:pPr>
        <w:ind w:left="720"/>
        <w:jc w:val="both"/>
        <w:rPr>
          <w:sz w:val="24"/>
        </w:rPr>
      </w:pPr>
      <w:r>
        <w:rPr>
          <w:sz w:val="24"/>
        </w:rPr>
        <w:t>4.</w:t>
      </w:r>
      <w:r>
        <w:rPr>
          <w:sz w:val="24"/>
        </w:rPr>
        <w:tab/>
        <w:t>Disclosure to the customer;</w:t>
      </w:r>
    </w:p>
    <w:p w14:paraId="5A6EF1AE" w14:textId="77777777" w:rsidR="00186675" w:rsidRDefault="00186675" w:rsidP="00186675">
      <w:pPr>
        <w:ind w:left="720"/>
        <w:jc w:val="both"/>
        <w:rPr>
          <w:sz w:val="24"/>
        </w:rPr>
      </w:pPr>
      <w:r>
        <w:rPr>
          <w:sz w:val="24"/>
        </w:rPr>
        <w:t>5.</w:t>
      </w:r>
      <w:r>
        <w:rPr>
          <w:sz w:val="24"/>
        </w:rPr>
        <w:tab/>
        <w:t>Profit resulting from transaction; and</w:t>
      </w:r>
    </w:p>
    <w:p w14:paraId="6D3A8A15" w14:textId="77777777" w:rsidR="00186675" w:rsidRDefault="00186675" w:rsidP="00186675">
      <w:pPr>
        <w:ind w:left="720"/>
        <w:jc w:val="both"/>
        <w:rPr>
          <w:sz w:val="24"/>
        </w:rPr>
      </w:pPr>
      <w:r>
        <w:rPr>
          <w:sz w:val="24"/>
        </w:rPr>
        <w:t>6.</w:t>
      </w:r>
      <w:r>
        <w:rPr>
          <w:sz w:val="24"/>
        </w:rPr>
        <w:tab/>
        <w:t>Amount of money involved.</w:t>
      </w:r>
    </w:p>
    <w:p w14:paraId="79D03AB7" w14:textId="77777777" w:rsidR="00186675" w:rsidRDefault="00186675" w:rsidP="00186675">
      <w:pPr>
        <w:ind w:left="720"/>
        <w:jc w:val="both"/>
        <w:rPr>
          <w:sz w:val="24"/>
        </w:rPr>
      </w:pPr>
    </w:p>
    <w:p w14:paraId="44697EAF" w14:textId="77777777" w:rsidR="00186675" w:rsidRDefault="00186675" w:rsidP="00186675">
      <w:pPr>
        <w:jc w:val="both"/>
        <w:rPr>
          <w:sz w:val="24"/>
        </w:rPr>
      </w:pPr>
      <w:r>
        <w:rPr>
          <w:sz w:val="24"/>
        </w:rPr>
        <w:t>In the cases of riskless principal transactions that may occur for corporate or government debt, the mark-up will be based upon contemporaneous cost. It is understood that the 5% mark-up/commission policy represents a guideline only and that Morris Monroe, his designee or the designated onsite Principal’s judgment is necessary in fulfilling the Company's responsibility in determining the fairness of the mark-ups.</w:t>
      </w:r>
    </w:p>
    <w:p w14:paraId="1E2DD153" w14:textId="77777777" w:rsidR="009526C5" w:rsidRDefault="009526C5" w:rsidP="00186675">
      <w:pPr>
        <w:jc w:val="both"/>
        <w:rPr>
          <w:sz w:val="24"/>
        </w:rPr>
      </w:pPr>
    </w:p>
    <w:p w14:paraId="5EC41725" w14:textId="77777777" w:rsidR="00186675" w:rsidRDefault="00186675" w:rsidP="00186675">
      <w:pPr>
        <w:jc w:val="both"/>
        <w:rPr>
          <w:sz w:val="24"/>
        </w:rPr>
      </w:pPr>
    </w:p>
    <w:p w14:paraId="23B8D6E9" w14:textId="266D4B61" w:rsidR="00186675" w:rsidRPr="000C570A" w:rsidRDefault="00126A56" w:rsidP="00936FEE">
      <w:pPr>
        <w:pStyle w:val="Heading2"/>
      </w:pPr>
      <w:r>
        <w:t xml:space="preserve">4.17 </w:t>
      </w:r>
      <w:r w:rsidR="00186675" w:rsidRPr="000C570A">
        <w:t>Misuse of Customer Account Statements or Confirmation</w:t>
      </w:r>
      <w:r w:rsidR="00C03915">
        <w:t>s</w:t>
      </w:r>
    </w:p>
    <w:p w14:paraId="051974C7" w14:textId="77777777" w:rsidR="00186675" w:rsidRDefault="00186675" w:rsidP="00186675">
      <w:pPr>
        <w:pStyle w:val="BodyText"/>
        <w:spacing w:before="0" w:after="0"/>
        <w:rPr>
          <w:bCs/>
        </w:rPr>
      </w:pPr>
      <w:r>
        <w:rPr>
          <w:bCs/>
        </w:rPr>
        <w:t>Any misuse or tampering of customer account statements or confirmations is strictly prohibited, is a violation of industry rules, and will be cause for immediate termination and reporting to applicable regulators.</w:t>
      </w:r>
    </w:p>
    <w:p w14:paraId="3CA19863" w14:textId="77777777" w:rsidR="00186675" w:rsidRDefault="00186675" w:rsidP="00186675">
      <w:pPr>
        <w:jc w:val="both"/>
        <w:rPr>
          <w:b/>
          <w:sz w:val="24"/>
        </w:rPr>
      </w:pPr>
    </w:p>
    <w:p w14:paraId="1E5FDA3F" w14:textId="77777777" w:rsidR="00505242" w:rsidRDefault="00505242" w:rsidP="00186675">
      <w:pPr>
        <w:jc w:val="both"/>
        <w:rPr>
          <w:b/>
          <w:sz w:val="24"/>
        </w:rPr>
      </w:pPr>
    </w:p>
    <w:p w14:paraId="5E4452EA" w14:textId="77777777" w:rsidR="00186675" w:rsidRPr="000C570A" w:rsidRDefault="00D114C8" w:rsidP="00936FEE">
      <w:pPr>
        <w:pStyle w:val="Heading2"/>
      </w:pPr>
      <w:r w:rsidRPr="000C570A">
        <w:t xml:space="preserve">4.18 </w:t>
      </w:r>
      <w:r w:rsidR="00186675" w:rsidRPr="000C570A">
        <w:t>Front</w:t>
      </w:r>
      <w:r w:rsidR="003946F8">
        <w:t xml:space="preserve"> </w:t>
      </w:r>
      <w:r w:rsidR="00186675" w:rsidRPr="000C570A">
        <w:t>Running of Block Transactions</w:t>
      </w:r>
    </w:p>
    <w:p w14:paraId="7E2DC567" w14:textId="77777777" w:rsidR="00186675" w:rsidRPr="008239F6" w:rsidRDefault="003946F8" w:rsidP="00186675">
      <w:pPr>
        <w:jc w:val="both"/>
        <w:rPr>
          <w:sz w:val="24"/>
        </w:rPr>
      </w:pPr>
      <w:r w:rsidRPr="008239F6">
        <w:rPr>
          <w:sz w:val="24"/>
        </w:rPr>
        <w:t>Pursuant to FINRA Rule 5270, n</w:t>
      </w:r>
      <w:r w:rsidR="00186675" w:rsidRPr="008239F6">
        <w:rPr>
          <w:sz w:val="24"/>
        </w:rPr>
        <w:t>o Associated Person may purchase or sell or cause the purchase or sale of a security or</w:t>
      </w:r>
      <w:r w:rsidR="002E7ABD" w:rsidRPr="008239F6">
        <w:rPr>
          <w:sz w:val="24"/>
        </w:rPr>
        <w:t xml:space="preserve"> related financial instrument</w:t>
      </w:r>
      <w:r w:rsidR="00186675" w:rsidRPr="008239F6">
        <w:rPr>
          <w:sz w:val="24"/>
        </w:rPr>
        <w:t xml:space="preserve"> for an employee or employee-related account prior to the time information concerning the block transaction has been made publicly available</w:t>
      </w:r>
      <w:r w:rsidR="002E7ABD" w:rsidRPr="008239F6">
        <w:rPr>
          <w:sz w:val="24"/>
        </w:rPr>
        <w:t xml:space="preserve"> or has become stale or obsolete.</w:t>
      </w:r>
    </w:p>
    <w:p w14:paraId="3CFAFDEC" w14:textId="77777777" w:rsidR="009526C5" w:rsidRPr="00761986" w:rsidRDefault="009526C5" w:rsidP="00186675">
      <w:pPr>
        <w:jc w:val="both"/>
        <w:rPr>
          <w:sz w:val="24"/>
        </w:rPr>
      </w:pPr>
    </w:p>
    <w:p w14:paraId="03EC2A2B" w14:textId="77777777" w:rsidR="002E7ABD" w:rsidRPr="008239F6" w:rsidRDefault="002E7ABD" w:rsidP="002E7ABD">
      <w:pPr>
        <w:shd w:val="clear" w:color="auto" w:fill="FFFFFF"/>
        <w:rPr>
          <w:sz w:val="24"/>
          <w:szCs w:val="24"/>
        </w:rPr>
      </w:pPr>
      <w:r w:rsidRPr="008239F6">
        <w:rPr>
          <w:sz w:val="24"/>
          <w:szCs w:val="24"/>
        </w:rPr>
        <w:t xml:space="preserve">This Rule applies to orders caused to be executed for any account in which Company or Associated Persons have an interest, any account with investment discretion, or for accounts of customers or </w:t>
      </w:r>
      <w:r w:rsidR="008E00DE" w:rsidRPr="008239F6">
        <w:rPr>
          <w:sz w:val="24"/>
          <w:szCs w:val="24"/>
        </w:rPr>
        <w:t xml:space="preserve">Company </w:t>
      </w:r>
      <w:r w:rsidRPr="008239F6">
        <w:rPr>
          <w:sz w:val="24"/>
          <w:szCs w:val="24"/>
        </w:rPr>
        <w:t xml:space="preserve">affiliates when the customer or affiliate has been provided such material, non-public market information by </w:t>
      </w:r>
      <w:r w:rsidR="008E00DE" w:rsidRPr="008239F6">
        <w:rPr>
          <w:sz w:val="24"/>
          <w:szCs w:val="24"/>
        </w:rPr>
        <w:t>Company</w:t>
      </w:r>
      <w:r w:rsidRPr="008239F6">
        <w:rPr>
          <w:sz w:val="24"/>
          <w:szCs w:val="24"/>
        </w:rPr>
        <w:t xml:space="preserve"> or any </w:t>
      </w:r>
      <w:r w:rsidR="008E00DE" w:rsidRPr="008239F6">
        <w:rPr>
          <w:sz w:val="24"/>
          <w:szCs w:val="24"/>
        </w:rPr>
        <w:t>Associated P</w:t>
      </w:r>
      <w:r w:rsidRPr="008239F6">
        <w:rPr>
          <w:sz w:val="24"/>
          <w:szCs w:val="24"/>
        </w:rPr>
        <w:t>erson</w:t>
      </w:r>
      <w:r w:rsidR="008E00DE" w:rsidRPr="008239F6">
        <w:rPr>
          <w:sz w:val="24"/>
          <w:szCs w:val="24"/>
        </w:rPr>
        <w:t>s</w:t>
      </w:r>
      <w:r w:rsidRPr="008239F6">
        <w:rPr>
          <w:sz w:val="24"/>
          <w:szCs w:val="24"/>
        </w:rPr>
        <w:t xml:space="preserve">. </w:t>
      </w:r>
    </w:p>
    <w:p w14:paraId="161A6886" w14:textId="77777777" w:rsidR="002E7ABD" w:rsidRPr="008239F6" w:rsidRDefault="002E7ABD" w:rsidP="002E7ABD">
      <w:pPr>
        <w:shd w:val="clear" w:color="auto" w:fill="FFFFFF"/>
        <w:rPr>
          <w:sz w:val="24"/>
          <w:szCs w:val="24"/>
        </w:rPr>
      </w:pPr>
    </w:p>
    <w:p w14:paraId="0E28994D" w14:textId="77777777" w:rsidR="002E7ABD" w:rsidRPr="008239F6" w:rsidRDefault="002E7ABD" w:rsidP="002E7ABD">
      <w:pPr>
        <w:shd w:val="clear" w:color="auto" w:fill="FFFFFF"/>
        <w:rPr>
          <w:sz w:val="24"/>
          <w:szCs w:val="24"/>
        </w:rPr>
      </w:pPr>
      <w:r w:rsidRPr="008239F6">
        <w:rPr>
          <w:sz w:val="24"/>
          <w:szCs w:val="24"/>
        </w:rPr>
        <w:t xml:space="preserve">For purposes of this Rule, the term "related financial instrument" shall mean any option, derivative, security-based swap, or other financial instrument overlying a security, the value of which is materially related to, or otherwise acts as a substitute for, such security, as well as any contract that is the functional economic equivalent of a position in such security. </w:t>
      </w:r>
    </w:p>
    <w:p w14:paraId="468DD06D" w14:textId="77777777" w:rsidR="002E7ABD" w:rsidRDefault="002E7ABD" w:rsidP="00186675">
      <w:pPr>
        <w:jc w:val="both"/>
        <w:rPr>
          <w:sz w:val="24"/>
        </w:rPr>
      </w:pPr>
    </w:p>
    <w:p w14:paraId="4981BAF1" w14:textId="77777777" w:rsidR="009526C5" w:rsidRDefault="009526C5" w:rsidP="00186675">
      <w:pPr>
        <w:jc w:val="both"/>
        <w:rPr>
          <w:sz w:val="24"/>
        </w:rPr>
      </w:pPr>
    </w:p>
    <w:p w14:paraId="10ED851F" w14:textId="77777777" w:rsidR="00F845AC" w:rsidRPr="0035367E" w:rsidRDefault="00D114C8" w:rsidP="00936FEE">
      <w:pPr>
        <w:pStyle w:val="Heading2"/>
        <w:rPr>
          <w:u w:val="single"/>
        </w:rPr>
      </w:pPr>
      <w:r w:rsidRPr="000C570A">
        <w:lastRenderedPageBreak/>
        <w:t>4.19</w:t>
      </w:r>
      <w:r w:rsidR="00F845AC">
        <w:t xml:space="preserve"> </w:t>
      </w:r>
      <w:r w:rsidR="00F845AC" w:rsidRPr="0035367E">
        <w:t xml:space="preserve">Rule 2790 – Restrictions on the Purchase and Sale </w:t>
      </w:r>
      <w:r w:rsidR="00D34ACE" w:rsidRPr="0035367E">
        <w:t>of IPOs</w:t>
      </w:r>
      <w:r w:rsidR="00F845AC" w:rsidRPr="0035367E">
        <w:t xml:space="preserve"> of Equity Securities</w:t>
      </w:r>
    </w:p>
    <w:p w14:paraId="0318BA60" w14:textId="77777777" w:rsidR="00F845AC" w:rsidRDefault="00F845AC" w:rsidP="00F845AC">
      <w:pPr>
        <w:jc w:val="both"/>
        <w:rPr>
          <w:sz w:val="24"/>
        </w:rPr>
      </w:pPr>
      <w:r w:rsidRPr="0035367E">
        <w:rPr>
          <w:sz w:val="24"/>
        </w:rPr>
        <w:t>Rule 2790 replaces the Free-Riding and Withholding rules and deals with the restrictions on the purchase and sale during the initial offering period by a broker-dealer or one of its registered representatives (or a member of his/her immediate family</w:t>
      </w:r>
      <w:r w:rsidR="005B177A">
        <w:rPr>
          <w:sz w:val="24"/>
        </w:rPr>
        <w:t xml:space="preserve"> </w:t>
      </w:r>
      <w:r w:rsidR="00F277AC" w:rsidRPr="00D14441">
        <w:rPr>
          <w:sz w:val="24"/>
        </w:rPr>
        <w:t>or</w:t>
      </w:r>
      <w:r w:rsidR="005B177A" w:rsidRPr="00D14441">
        <w:rPr>
          <w:sz w:val="24"/>
        </w:rPr>
        <w:t xml:space="preserve"> anyone materially supported by an employee or a member of the employee’s immediate family</w:t>
      </w:r>
      <w:r w:rsidRPr="00D14441">
        <w:rPr>
          <w:sz w:val="24"/>
        </w:rPr>
        <w:t>). Registered personnel are not</w:t>
      </w:r>
      <w:r>
        <w:rPr>
          <w:sz w:val="24"/>
        </w:rPr>
        <w:t xml:space="preserve"> considered members of the general public and are restricted from these issues.  </w:t>
      </w:r>
      <w:r w:rsidRPr="0035367E">
        <w:rPr>
          <w:sz w:val="24"/>
        </w:rPr>
        <w:t>FINRA p</w:t>
      </w:r>
      <w:r>
        <w:rPr>
          <w:sz w:val="24"/>
        </w:rPr>
        <w:t>enalties for proven violations are virtually automatic and normally include censure plus fines in the amount of all profits received.</w:t>
      </w:r>
    </w:p>
    <w:p w14:paraId="66B2AC9F" w14:textId="77777777" w:rsidR="00F845AC" w:rsidRDefault="00F845AC" w:rsidP="00F845AC">
      <w:pPr>
        <w:jc w:val="both"/>
        <w:rPr>
          <w:sz w:val="24"/>
        </w:rPr>
      </w:pPr>
    </w:p>
    <w:p w14:paraId="6F952EFF" w14:textId="77777777" w:rsidR="00F845AC" w:rsidRDefault="00F845AC" w:rsidP="00F845AC">
      <w:pPr>
        <w:jc w:val="both"/>
        <w:rPr>
          <w:sz w:val="24"/>
        </w:rPr>
      </w:pPr>
      <w:r>
        <w:rPr>
          <w:sz w:val="24"/>
        </w:rPr>
        <w:t>No registered representative of the Company may participate in any initial public offering of any security without prior written notice to and consent of Morris Monroe or his designee.  This requirement applies to all trades executed in any account maintained by a registered representative at any other firm.</w:t>
      </w:r>
    </w:p>
    <w:p w14:paraId="4938D84F" w14:textId="77777777" w:rsidR="00F845AC" w:rsidRDefault="00F845AC" w:rsidP="00F845AC">
      <w:pPr>
        <w:jc w:val="both"/>
        <w:rPr>
          <w:sz w:val="24"/>
        </w:rPr>
      </w:pPr>
    </w:p>
    <w:p w14:paraId="24CF294A" w14:textId="77777777" w:rsidR="00F845AC" w:rsidRDefault="00F845AC" w:rsidP="00F845AC">
      <w:pPr>
        <w:jc w:val="both"/>
        <w:rPr>
          <w:sz w:val="24"/>
        </w:rPr>
      </w:pPr>
      <w:r>
        <w:rPr>
          <w:sz w:val="24"/>
        </w:rPr>
        <w:t>It shall be inconsistent with high standards of commercial honor and just and equitable principles of trade for the Company, or a person associated with the Company, to fail to make a bona fide public distribution at the public offering price of securities of a public offering. This shall be the case whenever such issue begins regardless of whether such securities are acquired by the Company as an underwriter, a selling group member or from a broker-dealer participating in the distribution as an underwriter, selling group or otherwise.</w:t>
      </w:r>
    </w:p>
    <w:p w14:paraId="3A6FC683" w14:textId="77777777" w:rsidR="00F845AC" w:rsidRDefault="00F845AC" w:rsidP="00F845AC">
      <w:pPr>
        <w:jc w:val="both"/>
        <w:rPr>
          <w:sz w:val="24"/>
        </w:rPr>
      </w:pPr>
    </w:p>
    <w:p w14:paraId="6D1F6621" w14:textId="77777777" w:rsidR="00F845AC" w:rsidRDefault="00F845AC" w:rsidP="00F845AC">
      <w:pPr>
        <w:jc w:val="both"/>
        <w:rPr>
          <w:sz w:val="24"/>
        </w:rPr>
      </w:pPr>
      <w:r>
        <w:rPr>
          <w:sz w:val="24"/>
        </w:rPr>
        <w:t>Therefore, it shall not be permitted for the Company, or a person associated with the Company, to do any of the following:</w:t>
      </w:r>
    </w:p>
    <w:p w14:paraId="689DF852" w14:textId="77777777" w:rsidR="00F845AC" w:rsidRDefault="00F845AC" w:rsidP="00F845AC">
      <w:pPr>
        <w:jc w:val="both"/>
        <w:rPr>
          <w:sz w:val="24"/>
        </w:rPr>
      </w:pPr>
    </w:p>
    <w:p w14:paraId="0F4C5734" w14:textId="77777777" w:rsidR="00F845AC" w:rsidRDefault="00F845AC" w:rsidP="00F845AC">
      <w:pPr>
        <w:ind w:left="1440" w:hanging="708"/>
        <w:jc w:val="both"/>
        <w:rPr>
          <w:sz w:val="24"/>
        </w:rPr>
      </w:pPr>
      <w:r>
        <w:rPr>
          <w:sz w:val="24"/>
        </w:rPr>
        <w:t>1.</w:t>
      </w:r>
      <w:r>
        <w:rPr>
          <w:sz w:val="24"/>
        </w:rPr>
        <w:tab/>
      </w:r>
      <w:r w:rsidR="00A467C8">
        <w:rPr>
          <w:sz w:val="24"/>
        </w:rPr>
        <w:t>Continue</w:t>
      </w:r>
      <w:r>
        <w:rPr>
          <w:sz w:val="24"/>
        </w:rPr>
        <w:t xml:space="preserve"> to hold any of the securities so acquired in any of the Company's accounts;</w:t>
      </w:r>
    </w:p>
    <w:p w14:paraId="7EBA3191" w14:textId="77777777" w:rsidR="00F845AC" w:rsidRDefault="00F845AC" w:rsidP="00F845AC">
      <w:pPr>
        <w:ind w:left="1440" w:hanging="708"/>
        <w:jc w:val="both"/>
        <w:rPr>
          <w:sz w:val="24"/>
        </w:rPr>
      </w:pPr>
    </w:p>
    <w:p w14:paraId="480C730C" w14:textId="77777777" w:rsidR="00F845AC" w:rsidRDefault="00A467C8" w:rsidP="00651CC3">
      <w:pPr>
        <w:ind w:left="1170" w:hanging="450"/>
        <w:jc w:val="both"/>
        <w:rPr>
          <w:sz w:val="24"/>
        </w:rPr>
      </w:pPr>
      <w:r>
        <w:rPr>
          <w:sz w:val="24"/>
        </w:rPr>
        <w:t>2.</w:t>
      </w:r>
      <w:r>
        <w:rPr>
          <w:sz w:val="24"/>
        </w:rPr>
        <w:tab/>
        <w:t>S</w:t>
      </w:r>
      <w:r w:rsidR="00F845AC">
        <w:rPr>
          <w:sz w:val="24"/>
        </w:rPr>
        <w:t>ell any of the securities to any officer, director, general partner, employee or agent of the Company or of any other broker-dealer, or to a person associated with the Company or with any other broker-dealer, or to a member of the immediate family of any such person within certain provisions;</w:t>
      </w:r>
    </w:p>
    <w:p w14:paraId="20A67871" w14:textId="77777777" w:rsidR="00F845AC" w:rsidRDefault="00F845AC" w:rsidP="00F845AC">
      <w:pPr>
        <w:ind w:left="1440" w:hanging="720"/>
        <w:jc w:val="both"/>
        <w:rPr>
          <w:sz w:val="24"/>
        </w:rPr>
      </w:pPr>
    </w:p>
    <w:p w14:paraId="2D673BCD" w14:textId="77777777" w:rsidR="00F845AC" w:rsidRDefault="00F845AC" w:rsidP="00651CC3">
      <w:pPr>
        <w:ind w:left="1170" w:hanging="450"/>
        <w:jc w:val="both"/>
        <w:rPr>
          <w:sz w:val="24"/>
        </w:rPr>
      </w:pPr>
      <w:r>
        <w:rPr>
          <w:sz w:val="24"/>
        </w:rPr>
        <w:t>3.</w:t>
      </w:r>
      <w:r>
        <w:rPr>
          <w:sz w:val="24"/>
        </w:rPr>
        <w:tab/>
      </w:r>
      <w:r w:rsidR="00A467C8">
        <w:rPr>
          <w:sz w:val="24"/>
        </w:rPr>
        <w:t>S</w:t>
      </w:r>
      <w:r>
        <w:rPr>
          <w:sz w:val="24"/>
        </w:rPr>
        <w:t>ell any of the securities to an individual who is a finder with respect to a public offering or to any person acting in a fiduciary capacity to the managing underwriter, including, among others, attorneys, accountants and financial consultants, or to any other person who is supported directly or indirectly, to a material extent, by any person specified in this paragraph;</w:t>
      </w:r>
    </w:p>
    <w:p w14:paraId="6C6DFC84" w14:textId="77777777" w:rsidR="00F845AC" w:rsidRDefault="00F845AC" w:rsidP="00F845AC">
      <w:pPr>
        <w:ind w:left="1440"/>
        <w:jc w:val="both"/>
        <w:rPr>
          <w:sz w:val="24"/>
        </w:rPr>
      </w:pPr>
    </w:p>
    <w:p w14:paraId="527D3403" w14:textId="77777777" w:rsidR="00F845AC" w:rsidRDefault="00A467C8" w:rsidP="00651CC3">
      <w:pPr>
        <w:ind w:left="1170" w:hanging="450"/>
        <w:jc w:val="both"/>
        <w:rPr>
          <w:sz w:val="24"/>
        </w:rPr>
      </w:pPr>
      <w:r>
        <w:rPr>
          <w:sz w:val="24"/>
        </w:rPr>
        <w:t>4.</w:t>
      </w:r>
      <w:r>
        <w:rPr>
          <w:sz w:val="24"/>
        </w:rPr>
        <w:tab/>
        <w:t>S</w:t>
      </w:r>
      <w:r w:rsidR="00F845AC">
        <w:rPr>
          <w:sz w:val="24"/>
        </w:rPr>
        <w:t>ell any of the securities to any senior officer of a bank, savings and loan institution, insurance company, investment company, investment advisory firm or any other institutional type account (including, but not limited to, hedge funds, investment partnerships, investment corporations, or investment clubs), domestic or foreign, or to any person in the securities department of, or to any employee or any other person who may influence or whose activities directly or indirectly involved or are related to the function of buying or selling securities for any bank, savings and loan institution, insurance company, investment company, investment advisory firm, or other institutional type account, domestic or foreign or to any other person who is supported directly or indirectly, to a material extent, by any person specified in this paragraph;</w:t>
      </w:r>
    </w:p>
    <w:p w14:paraId="28412BD6" w14:textId="77777777" w:rsidR="00F845AC" w:rsidRDefault="00F845AC" w:rsidP="00F845AC">
      <w:pPr>
        <w:ind w:left="1440" w:hanging="720"/>
        <w:jc w:val="both"/>
        <w:rPr>
          <w:sz w:val="24"/>
        </w:rPr>
      </w:pPr>
    </w:p>
    <w:p w14:paraId="673B74ED" w14:textId="77777777" w:rsidR="00F845AC" w:rsidRDefault="00F845AC" w:rsidP="00651CC3">
      <w:pPr>
        <w:ind w:left="1170" w:hanging="450"/>
        <w:jc w:val="both"/>
        <w:rPr>
          <w:sz w:val="24"/>
        </w:rPr>
      </w:pPr>
      <w:r>
        <w:rPr>
          <w:sz w:val="24"/>
        </w:rPr>
        <w:lastRenderedPageBreak/>
        <w:t>5.</w:t>
      </w:r>
      <w:r>
        <w:rPr>
          <w:sz w:val="24"/>
        </w:rPr>
        <w:tab/>
      </w:r>
      <w:r w:rsidR="00A467C8">
        <w:rPr>
          <w:sz w:val="24"/>
        </w:rPr>
        <w:t>Sell</w:t>
      </w:r>
      <w:r>
        <w:rPr>
          <w:sz w:val="24"/>
        </w:rPr>
        <w:t xml:space="preserve"> any of the securities to any account in which any person specified under the above paragraphs has a beneficial interest, provided, however, the Company may sell part of its securities acquired as described above to:</w:t>
      </w:r>
    </w:p>
    <w:p w14:paraId="6F018D2C" w14:textId="77777777" w:rsidR="00F845AC" w:rsidRDefault="00F845AC" w:rsidP="00F845AC">
      <w:pPr>
        <w:ind w:left="1440" w:hanging="720"/>
        <w:jc w:val="both"/>
        <w:rPr>
          <w:sz w:val="24"/>
        </w:rPr>
      </w:pPr>
    </w:p>
    <w:p w14:paraId="2991D276" w14:textId="77777777" w:rsidR="00F845AC" w:rsidRDefault="00651CC3" w:rsidP="00F845AC">
      <w:pPr>
        <w:ind w:left="1440"/>
        <w:jc w:val="both"/>
        <w:rPr>
          <w:sz w:val="24"/>
        </w:rPr>
      </w:pPr>
      <w:r>
        <w:rPr>
          <w:sz w:val="24"/>
        </w:rPr>
        <w:t>a.</w:t>
      </w:r>
      <w:r>
        <w:rPr>
          <w:sz w:val="24"/>
        </w:rPr>
        <w:tab/>
        <w:t>P</w:t>
      </w:r>
      <w:r w:rsidR="00F845AC">
        <w:rPr>
          <w:sz w:val="24"/>
        </w:rPr>
        <w:t>ersons enumerated in paragraphs (3) or (4) above;</w:t>
      </w:r>
    </w:p>
    <w:p w14:paraId="5A43CDE9" w14:textId="77777777" w:rsidR="00F845AC" w:rsidRDefault="00F845AC" w:rsidP="00F845AC">
      <w:pPr>
        <w:ind w:left="1440"/>
        <w:jc w:val="both"/>
        <w:rPr>
          <w:sz w:val="24"/>
        </w:rPr>
      </w:pPr>
    </w:p>
    <w:p w14:paraId="763F43B3" w14:textId="77777777" w:rsidR="00F845AC" w:rsidRDefault="00651CC3" w:rsidP="00651CC3">
      <w:pPr>
        <w:ind w:left="1710" w:hanging="270"/>
        <w:jc w:val="both"/>
        <w:rPr>
          <w:sz w:val="24"/>
        </w:rPr>
      </w:pPr>
      <w:r>
        <w:rPr>
          <w:sz w:val="24"/>
        </w:rPr>
        <w:t>b.</w:t>
      </w:r>
      <w:r>
        <w:rPr>
          <w:sz w:val="24"/>
        </w:rPr>
        <w:tab/>
        <w:t>M</w:t>
      </w:r>
      <w:r w:rsidR="00F845AC">
        <w:rPr>
          <w:sz w:val="24"/>
        </w:rPr>
        <w:t>embers of the immediate family of persons enumerated in paragraph (2) above, provided that such person enumerated in paragraph (2) does not contribute directly or indirectly to the support of such member of the immediate family; and</w:t>
      </w:r>
    </w:p>
    <w:p w14:paraId="741524FB" w14:textId="77777777" w:rsidR="00F845AC" w:rsidRDefault="00F845AC" w:rsidP="00F845AC">
      <w:pPr>
        <w:ind w:left="1440"/>
        <w:jc w:val="both"/>
        <w:rPr>
          <w:sz w:val="24"/>
        </w:rPr>
      </w:pPr>
    </w:p>
    <w:p w14:paraId="6A38B43B" w14:textId="77777777" w:rsidR="00F845AC" w:rsidRDefault="00F845AC" w:rsidP="00651CC3">
      <w:pPr>
        <w:ind w:left="1710" w:hanging="270"/>
        <w:jc w:val="both"/>
        <w:rPr>
          <w:sz w:val="24"/>
        </w:rPr>
      </w:pPr>
      <w:r>
        <w:rPr>
          <w:sz w:val="24"/>
        </w:rPr>
        <w:t>c.</w:t>
      </w:r>
      <w:r w:rsidR="00651CC3">
        <w:rPr>
          <w:sz w:val="24"/>
        </w:rPr>
        <w:tab/>
        <w:t>A</w:t>
      </w:r>
      <w:r>
        <w:rPr>
          <w:sz w:val="24"/>
        </w:rPr>
        <w:t>ny account in which any person specified under paragraph (3) or (4) or subparagraph (b) of this paragraph has a beneficial interest;</w:t>
      </w:r>
      <w:r w:rsidR="00651CC3">
        <w:rPr>
          <w:sz w:val="24"/>
        </w:rPr>
        <w:t xml:space="preserve"> </w:t>
      </w:r>
      <w:r>
        <w:rPr>
          <w:sz w:val="24"/>
        </w:rPr>
        <w:t>provided that the Company is prepared to demonstrate that the securities were sold to such persons in accordance with their normal investment practice, that the aggregate of the securities so sold is insubstantial and not disproportionate in amount as compared to sales to members of the public and that the amount sold to any one of such persons is insubstantial in amount;</w:t>
      </w:r>
    </w:p>
    <w:p w14:paraId="1C672FCD" w14:textId="77777777" w:rsidR="00F845AC" w:rsidRDefault="00F845AC" w:rsidP="00F845AC">
      <w:pPr>
        <w:ind w:left="1440"/>
        <w:jc w:val="both"/>
        <w:rPr>
          <w:sz w:val="24"/>
        </w:rPr>
      </w:pPr>
    </w:p>
    <w:p w14:paraId="3DA18252" w14:textId="77777777" w:rsidR="00F845AC" w:rsidRDefault="00F845AC" w:rsidP="00651CC3">
      <w:pPr>
        <w:ind w:left="1170" w:hanging="450"/>
        <w:jc w:val="both"/>
        <w:rPr>
          <w:sz w:val="24"/>
        </w:rPr>
      </w:pPr>
      <w:r>
        <w:rPr>
          <w:sz w:val="24"/>
        </w:rPr>
        <w:t>6.</w:t>
      </w:r>
      <w:r>
        <w:rPr>
          <w:sz w:val="24"/>
        </w:rPr>
        <w:tab/>
      </w:r>
      <w:r w:rsidR="00651CC3">
        <w:rPr>
          <w:sz w:val="24"/>
        </w:rPr>
        <w:t>S</w:t>
      </w:r>
      <w:r>
        <w:rPr>
          <w:sz w:val="24"/>
        </w:rPr>
        <w:t>ell any of the securities, at or above the public offering price, to any other broker-dealer; provided, however, the Company may sell all or part of the securities acquired as described above to another broker-dealer upon receipt from the latter in writing of assurance that such purchase would be made to fill orders for bona fide public customers, other than those enumerated in paragraphs (1), (2), (3), (4) or (5) above, at the public offering price as an accommodation to them and without compensation for such;</w:t>
      </w:r>
    </w:p>
    <w:p w14:paraId="78115C20" w14:textId="77777777" w:rsidR="00F845AC" w:rsidRDefault="00F845AC" w:rsidP="00F845AC">
      <w:pPr>
        <w:ind w:left="2160" w:hanging="720"/>
        <w:jc w:val="both"/>
        <w:rPr>
          <w:sz w:val="24"/>
        </w:rPr>
      </w:pPr>
    </w:p>
    <w:p w14:paraId="4D083DBF" w14:textId="77777777" w:rsidR="00F845AC" w:rsidRDefault="00651CC3" w:rsidP="00651CC3">
      <w:pPr>
        <w:ind w:left="1170" w:hanging="450"/>
        <w:jc w:val="both"/>
        <w:rPr>
          <w:sz w:val="24"/>
        </w:rPr>
      </w:pPr>
      <w:r>
        <w:rPr>
          <w:sz w:val="24"/>
        </w:rPr>
        <w:t>7.</w:t>
      </w:r>
      <w:r>
        <w:rPr>
          <w:sz w:val="24"/>
        </w:rPr>
        <w:tab/>
        <w:t>S</w:t>
      </w:r>
      <w:r w:rsidR="00F845AC">
        <w:rPr>
          <w:sz w:val="24"/>
        </w:rPr>
        <w:t>ell any of the securities to any domestic bank, domestic branch of a foreign bank, trust company or other conduit for an undisclosed principal, within certain provisions; and</w:t>
      </w:r>
    </w:p>
    <w:p w14:paraId="5035A79F" w14:textId="77777777" w:rsidR="00F845AC" w:rsidRDefault="00F845AC" w:rsidP="00F845AC">
      <w:pPr>
        <w:ind w:left="2160" w:hanging="720"/>
        <w:jc w:val="both"/>
        <w:rPr>
          <w:sz w:val="24"/>
        </w:rPr>
      </w:pPr>
    </w:p>
    <w:p w14:paraId="356C536F" w14:textId="77777777" w:rsidR="00F845AC" w:rsidRDefault="00F845AC" w:rsidP="00BE7B77">
      <w:pPr>
        <w:ind w:left="1170" w:hanging="450"/>
        <w:jc w:val="both"/>
        <w:rPr>
          <w:sz w:val="24"/>
        </w:rPr>
      </w:pPr>
      <w:r>
        <w:rPr>
          <w:sz w:val="24"/>
        </w:rPr>
        <w:t>8.</w:t>
      </w:r>
      <w:r>
        <w:rPr>
          <w:sz w:val="24"/>
        </w:rPr>
        <w:tab/>
      </w:r>
      <w:r w:rsidR="00651CC3">
        <w:rPr>
          <w:sz w:val="24"/>
        </w:rPr>
        <w:t>S</w:t>
      </w:r>
      <w:r>
        <w:rPr>
          <w:sz w:val="24"/>
        </w:rPr>
        <w:t>ell any of the securities to a foreign broker-dealer or bank, within certain provisions.</w:t>
      </w:r>
    </w:p>
    <w:p w14:paraId="17C9868B" w14:textId="77777777" w:rsidR="00F845AC" w:rsidRDefault="00F845AC" w:rsidP="00F845AC">
      <w:pPr>
        <w:ind w:left="720"/>
        <w:jc w:val="both"/>
        <w:rPr>
          <w:sz w:val="24"/>
        </w:rPr>
      </w:pPr>
    </w:p>
    <w:p w14:paraId="293B4555" w14:textId="77777777" w:rsidR="00F845AC" w:rsidRDefault="00F845AC" w:rsidP="00F845AC">
      <w:pPr>
        <w:jc w:val="both"/>
        <w:rPr>
          <w:sz w:val="24"/>
        </w:rPr>
      </w:pPr>
      <w:r>
        <w:rPr>
          <w:sz w:val="24"/>
        </w:rPr>
        <w:t>The prohibitions referred to above shall not apply (</w:t>
      </w:r>
      <w:proofErr w:type="spellStart"/>
      <w:r>
        <w:rPr>
          <w:sz w:val="24"/>
        </w:rPr>
        <w:t>i</w:t>
      </w:r>
      <w:proofErr w:type="spellEnd"/>
      <w:r>
        <w:rPr>
          <w:sz w:val="24"/>
        </w:rPr>
        <w:t>) to a person in a limited registration category, and (ii) to sales to a member of the immediate family of a person associated with the company who is not supported directly or indirectly to a material extent by such person, if the sale is by a broker-dealer other than that employing the restricted person and the restricted person has no ability to control the allocation of the hot issue (certain additional restrictions apply).</w:t>
      </w:r>
    </w:p>
    <w:p w14:paraId="61DFA89E" w14:textId="77777777" w:rsidR="00F845AC" w:rsidRDefault="00F845AC" w:rsidP="00F845AC">
      <w:pPr>
        <w:jc w:val="both"/>
        <w:rPr>
          <w:sz w:val="24"/>
        </w:rPr>
      </w:pPr>
    </w:p>
    <w:p w14:paraId="5C548DF6" w14:textId="77777777" w:rsidR="00F845AC" w:rsidRDefault="00F845AC" w:rsidP="00F845AC">
      <w:pPr>
        <w:jc w:val="both"/>
        <w:rPr>
          <w:sz w:val="24"/>
        </w:rPr>
      </w:pPr>
      <w:r>
        <w:rPr>
          <w:sz w:val="24"/>
        </w:rPr>
        <w:t xml:space="preserve">For the purposes of this </w:t>
      </w:r>
      <w:r w:rsidR="00D34ACE">
        <w:rPr>
          <w:sz w:val="24"/>
        </w:rPr>
        <w:t>WSP</w:t>
      </w:r>
      <w:r>
        <w:rPr>
          <w:sz w:val="24"/>
        </w:rPr>
        <w:t>, the term "immediate family" shall mean, with respect to a person, his or her parents, mother-in-law or father-in-law, husband/or wife, brother or sister, brother-in-law or sister-in-law, son-in-law or daughter-in-law, and children. In addition, the term shall include any other person who is supported, directly or indirectly, to a material extent by the broker-dealer or associated person.</w:t>
      </w:r>
    </w:p>
    <w:p w14:paraId="32D70B08" w14:textId="77777777" w:rsidR="00BE7B77" w:rsidRDefault="00BE7B77" w:rsidP="00F845AC">
      <w:pPr>
        <w:jc w:val="both"/>
        <w:rPr>
          <w:sz w:val="24"/>
        </w:rPr>
      </w:pPr>
    </w:p>
    <w:p w14:paraId="7ECF04A0" w14:textId="77777777" w:rsidR="00F845AC" w:rsidRDefault="00F845AC" w:rsidP="00F845AC">
      <w:pPr>
        <w:jc w:val="both"/>
        <w:rPr>
          <w:sz w:val="24"/>
        </w:rPr>
      </w:pPr>
    </w:p>
    <w:p w14:paraId="66F15C58" w14:textId="77777777" w:rsidR="00F845AC" w:rsidRDefault="00F845AC" w:rsidP="00936FEE">
      <w:pPr>
        <w:pStyle w:val="Heading2"/>
      </w:pPr>
      <w:r>
        <w:lastRenderedPageBreak/>
        <w:t>4.20 Fictitious Accounts</w:t>
      </w:r>
    </w:p>
    <w:p w14:paraId="54707D4D" w14:textId="77777777" w:rsidR="00F845AC" w:rsidRDefault="00F845AC" w:rsidP="00F845AC">
      <w:pPr>
        <w:jc w:val="both"/>
        <w:rPr>
          <w:sz w:val="24"/>
        </w:rPr>
      </w:pPr>
      <w:r>
        <w:rPr>
          <w:sz w:val="24"/>
        </w:rPr>
        <w:t xml:space="preserve">Establishing fictitious accounts in order to execute transactions is strictly prohibited and considered a fraudulent practice. For example, such accounts could </w:t>
      </w:r>
      <w:r w:rsidR="00A467C8">
        <w:rPr>
          <w:sz w:val="24"/>
        </w:rPr>
        <w:t>not be used to illegally purchase “hot issues” since</w:t>
      </w:r>
      <w:r>
        <w:rPr>
          <w:sz w:val="24"/>
        </w:rPr>
        <w:t xml:space="preserve"> the selling broker-dealer nor the registered representative's broker-dealer would have knowledge of the transaction. Similarly, a registered representative could conceal his/her involvement in an account of an immediate family member in order to execute transactions which otherwise would be prohibited.</w:t>
      </w:r>
    </w:p>
    <w:p w14:paraId="7A83CAEF" w14:textId="77777777" w:rsidR="00F845AC" w:rsidRDefault="00F845AC" w:rsidP="00F845AC">
      <w:pPr>
        <w:jc w:val="both"/>
        <w:rPr>
          <w:sz w:val="24"/>
        </w:rPr>
      </w:pPr>
    </w:p>
    <w:p w14:paraId="2D0D3C78" w14:textId="77777777" w:rsidR="00F845AC" w:rsidRDefault="00F845AC" w:rsidP="00F845AC"/>
    <w:p w14:paraId="6FD594FE" w14:textId="77777777" w:rsidR="00186675" w:rsidRPr="000C570A" w:rsidRDefault="00007A6F" w:rsidP="00936FEE">
      <w:pPr>
        <w:pStyle w:val="Heading2"/>
      </w:pPr>
      <w:r>
        <w:t>4.21 Non</w:t>
      </w:r>
      <w:r w:rsidR="00186675" w:rsidRPr="000C570A">
        <w:t>-Branch Business Activities</w:t>
      </w:r>
    </w:p>
    <w:p w14:paraId="6FC1C676" w14:textId="77777777" w:rsidR="00186675" w:rsidRDefault="00186675" w:rsidP="00D114C8">
      <w:pPr>
        <w:pStyle w:val="BodyText2"/>
        <w:widowControl/>
        <w:jc w:val="both"/>
      </w:pPr>
      <w:r>
        <w:t xml:space="preserve">Any Associated Person not assigned to a registered branch office is required to conduct their securities business </w:t>
      </w:r>
      <w:r w:rsidR="00E87645" w:rsidRPr="00424F51">
        <w:t>through a registered branch</w:t>
      </w:r>
      <w:r>
        <w:t xml:space="preserve">.  No Company records may be maintained at the Associated Person’s location.  A review of transactions and original applications and forms will ensure this procedure is followed. </w:t>
      </w:r>
    </w:p>
    <w:p w14:paraId="77E7962C" w14:textId="77777777" w:rsidR="00660CEE" w:rsidRDefault="00660CEE" w:rsidP="00D114C8">
      <w:pPr>
        <w:pStyle w:val="BodyText2"/>
        <w:widowControl/>
        <w:jc w:val="both"/>
      </w:pPr>
    </w:p>
    <w:p w14:paraId="0A791930" w14:textId="77777777" w:rsidR="00660CEE" w:rsidRDefault="00660CEE" w:rsidP="00D114C8">
      <w:pPr>
        <w:pStyle w:val="BodyText2"/>
        <w:widowControl/>
        <w:jc w:val="both"/>
      </w:pPr>
    </w:p>
    <w:p w14:paraId="62C7FC02" w14:textId="77777777" w:rsidR="00186675" w:rsidRPr="000C570A" w:rsidRDefault="00D114C8" w:rsidP="00936FEE">
      <w:pPr>
        <w:pStyle w:val="Heading2"/>
      </w:pPr>
      <w:r w:rsidRPr="000C570A">
        <w:t>4.2</w:t>
      </w:r>
      <w:r w:rsidR="00F845AC">
        <w:t>2</w:t>
      </w:r>
      <w:r w:rsidRPr="000C570A">
        <w:t xml:space="preserve"> </w:t>
      </w:r>
      <w:r w:rsidR="00186675" w:rsidRPr="000C570A">
        <w:t xml:space="preserve">Lending or Borrowing Money (Rule </w:t>
      </w:r>
      <w:bookmarkStart w:id="54" w:name="LendingOrBorrowingMoney"/>
      <w:r w:rsidR="00186675" w:rsidRPr="000C570A">
        <w:t>3</w:t>
      </w:r>
      <w:r w:rsidR="006D6804">
        <w:t>24</w:t>
      </w:r>
      <w:r w:rsidR="00186675" w:rsidRPr="000C570A">
        <w:t>0</w:t>
      </w:r>
      <w:bookmarkEnd w:id="54"/>
      <w:r w:rsidR="00186675" w:rsidRPr="000C570A">
        <w:t xml:space="preserve"> </w:t>
      </w:r>
      <w:proofErr w:type="gramStart"/>
      <w:r w:rsidR="00A467C8" w:rsidRPr="0033073E">
        <w:rPr>
          <w:i/>
          <w:iCs/>
          <w:sz w:val="20"/>
          <w:szCs w:val="20"/>
        </w:rPr>
        <w:t>eff</w:t>
      </w:r>
      <w:proofErr w:type="gramEnd"/>
      <w:r w:rsidR="00186675" w:rsidRPr="0033073E">
        <w:rPr>
          <w:i/>
          <w:iCs/>
          <w:sz w:val="20"/>
          <w:szCs w:val="20"/>
        </w:rPr>
        <w:t xml:space="preserve"> </w:t>
      </w:r>
      <w:r w:rsidR="006D6804" w:rsidRPr="0033073E">
        <w:rPr>
          <w:i/>
          <w:iCs/>
          <w:sz w:val="20"/>
          <w:szCs w:val="20"/>
        </w:rPr>
        <w:t>06/14/10</w:t>
      </w:r>
      <w:r w:rsidR="00186675" w:rsidRPr="000C570A">
        <w:t>)</w:t>
      </w:r>
    </w:p>
    <w:p w14:paraId="2D1BD40F" w14:textId="77777777" w:rsidR="00186675" w:rsidRPr="00126568" w:rsidRDefault="00186675" w:rsidP="002D7BBD">
      <w:pPr>
        <w:jc w:val="both"/>
      </w:pPr>
      <w:r>
        <w:rPr>
          <w:sz w:val="24"/>
        </w:rPr>
        <w:t xml:space="preserve">Pursuant to </w:t>
      </w:r>
      <w:r w:rsidRPr="00126568">
        <w:rPr>
          <w:sz w:val="24"/>
        </w:rPr>
        <w:t>FINRA</w:t>
      </w:r>
      <w:r>
        <w:rPr>
          <w:sz w:val="24"/>
        </w:rPr>
        <w:t xml:space="preserve"> Rule </w:t>
      </w:r>
      <w:r w:rsidRPr="00126A56">
        <w:rPr>
          <w:sz w:val="24"/>
        </w:rPr>
        <w:t>3</w:t>
      </w:r>
      <w:r w:rsidR="006D6804" w:rsidRPr="00126A56">
        <w:rPr>
          <w:sz w:val="24"/>
        </w:rPr>
        <w:t>24</w:t>
      </w:r>
      <w:r w:rsidRPr="00126A56">
        <w:rPr>
          <w:sz w:val="24"/>
        </w:rPr>
        <w:t>0</w:t>
      </w:r>
      <w:r>
        <w:rPr>
          <w:sz w:val="24"/>
        </w:rPr>
        <w:t xml:space="preserve">, the Company </w:t>
      </w:r>
      <w:r w:rsidRPr="00126568">
        <w:rPr>
          <w:sz w:val="24"/>
        </w:rPr>
        <w:t xml:space="preserve">will adhere to the following procedures for such activities of lending to or borrowing money from a customer.  This policy will be reviewed at least annually and will be only allowed under the following five permissible events: </w:t>
      </w:r>
      <w:r w:rsidRPr="00126568">
        <w:t>(7</w:t>
      </w:r>
      <w:r w:rsidR="00101237">
        <w:t>/</w:t>
      </w:r>
      <w:r w:rsidRPr="00126568">
        <w:t>25/08)</w:t>
      </w:r>
    </w:p>
    <w:p w14:paraId="1FA31C8B" w14:textId="77777777" w:rsidR="00186675" w:rsidRDefault="00186675" w:rsidP="00186675">
      <w:pPr>
        <w:rPr>
          <w:sz w:val="24"/>
        </w:rPr>
      </w:pPr>
    </w:p>
    <w:p w14:paraId="4F8AB2D9" w14:textId="77777777" w:rsidR="00186675" w:rsidRPr="00604A2C" w:rsidRDefault="00186675" w:rsidP="00216F83">
      <w:pPr>
        <w:numPr>
          <w:ilvl w:val="0"/>
          <w:numId w:val="32"/>
        </w:numPr>
        <w:autoSpaceDE w:val="0"/>
        <w:autoSpaceDN w:val="0"/>
        <w:adjustRightInd w:val="0"/>
        <w:rPr>
          <w:i/>
        </w:rPr>
      </w:pPr>
      <w:r>
        <w:rPr>
          <w:sz w:val="24"/>
        </w:rPr>
        <w:t xml:space="preserve">The customer is a member of the registered person's immediate family </w:t>
      </w:r>
      <w:r w:rsidRPr="00604A2C">
        <w:rPr>
          <w:sz w:val="24"/>
        </w:rPr>
        <w:t>(</w:t>
      </w:r>
      <w:r w:rsidR="007A61DB" w:rsidRPr="00604A2C">
        <w:rPr>
          <w:i/>
        </w:rPr>
        <w:t>parents, grandparents, mother-in-law or father-in-law, husband or wife, brother or sister, brother-in-law or sister-in-law, son-in law or daughter-in-law, children, grandchildren, cousin, aunt or uncle, or niece or nephew, and any other person whom the registered person supports, directly or indirectly, to a material extent.</w:t>
      </w:r>
      <w:r w:rsidRPr="00604A2C">
        <w:rPr>
          <w:i/>
        </w:rPr>
        <w:t>);</w:t>
      </w:r>
    </w:p>
    <w:p w14:paraId="16FC0B12" w14:textId="77777777" w:rsidR="00186675" w:rsidRDefault="00186675" w:rsidP="00216F83">
      <w:pPr>
        <w:numPr>
          <w:ilvl w:val="0"/>
          <w:numId w:val="32"/>
        </w:numPr>
        <w:autoSpaceDE w:val="0"/>
        <w:autoSpaceDN w:val="0"/>
        <w:adjustRightInd w:val="0"/>
        <w:rPr>
          <w:color w:val="000000"/>
          <w:sz w:val="24"/>
        </w:rPr>
      </w:pPr>
      <w:r>
        <w:rPr>
          <w:color w:val="000000"/>
          <w:sz w:val="24"/>
        </w:rPr>
        <w:t>The customer is in the business of lending money</w:t>
      </w:r>
      <w:r w:rsidR="006D6804">
        <w:rPr>
          <w:color w:val="000000"/>
          <w:sz w:val="24"/>
        </w:rPr>
        <w:t xml:space="preserve"> </w:t>
      </w:r>
      <w:r w:rsidR="006D6804" w:rsidRPr="00126A56">
        <w:rPr>
          <w:sz w:val="24"/>
        </w:rPr>
        <w:t>acting in the course of such business</w:t>
      </w:r>
      <w:r>
        <w:rPr>
          <w:color w:val="000000"/>
          <w:sz w:val="24"/>
        </w:rPr>
        <w:t>;</w:t>
      </w:r>
    </w:p>
    <w:p w14:paraId="5E417C04" w14:textId="77777777" w:rsidR="00186675" w:rsidRDefault="00186675" w:rsidP="00216F83">
      <w:pPr>
        <w:numPr>
          <w:ilvl w:val="0"/>
          <w:numId w:val="32"/>
        </w:numPr>
        <w:autoSpaceDE w:val="0"/>
        <w:autoSpaceDN w:val="0"/>
        <w:adjustRightInd w:val="0"/>
        <w:rPr>
          <w:color w:val="000000"/>
          <w:sz w:val="24"/>
        </w:rPr>
      </w:pPr>
      <w:r>
        <w:rPr>
          <w:color w:val="000000"/>
          <w:sz w:val="24"/>
        </w:rPr>
        <w:t>The customer and the registered person are both registered persons of the same firm;</w:t>
      </w:r>
    </w:p>
    <w:p w14:paraId="113F946D" w14:textId="77777777" w:rsidR="00186675" w:rsidRDefault="00186675" w:rsidP="00216F83">
      <w:pPr>
        <w:numPr>
          <w:ilvl w:val="0"/>
          <w:numId w:val="32"/>
        </w:numPr>
        <w:autoSpaceDE w:val="0"/>
        <w:autoSpaceDN w:val="0"/>
        <w:adjustRightInd w:val="0"/>
        <w:rPr>
          <w:color w:val="000000"/>
          <w:sz w:val="24"/>
        </w:rPr>
      </w:pPr>
      <w:r>
        <w:rPr>
          <w:color w:val="000000"/>
          <w:sz w:val="24"/>
        </w:rPr>
        <w:t>The lending arrangement is based on a personal relationship outside of the broker-customer relationship; or</w:t>
      </w:r>
    </w:p>
    <w:p w14:paraId="4F2DCD73" w14:textId="77777777" w:rsidR="00186675" w:rsidRDefault="00186675" w:rsidP="00216F83">
      <w:pPr>
        <w:numPr>
          <w:ilvl w:val="0"/>
          <w:numId w:val="32"/>
        </w:numPr>
        <w:autoSpaceDE w:val="0"/>
        <w:autoSpaceDN w:val="0"/>
        <w:adjustRightInd w:val="0"/>
        <w:rPr>
          <w:color w:val="000000"/>
          <w:sz w:val="24"/>
        </w:rPr>
      </w:pPr>
      <w:r>
        <w:rPr>
          <w:color w:val="000000"/>
          <w:sz w:val="24"/>
        </w:rPr>
        <w:t>The lending arrangement is based on a business relationship outside of the broker-customer relationship.</w:t>
      </w:r>
    </w:p>
    <w:p w14:paraId="2B2F82EE" w14:textId="77777777" w:rsidR="00186675" w:rsidRDefault="00186675" w:rsidP="00186675">
      <w:pPr>
        <w:autoSpaceDE w:val="0"/>
        <w:autoSpaceDN w:val="0"/>
        <w:adjustRightInd w:val="0"/>
        <w:rPr>
          <w:color w:val="000000"/>
          <w:sz w:val="24"/>
        </w:rPr>
      </w:pPr>
    </w:p>
    <w:p w14:paraId="58BEA93E" w14:textId="77777777" w:rsidR="00186675" w:rsidRDefault="006D6804" w:rsidP="002D7BBD">
      <w:pPr>
        <w:autoSpaceDE w:val="0"/>
        <w:autoSpaceDN w:val="0"/>
        <w:adjustRightInd w:val="0"/>
        <w:jc w:val="both"/>
        <w:rPr>
          <w:color w:val="000000"/>
          <w:sz w:val="24"/>
        </w:rPr>
      </w:pPr>
      <w:r w:rsidRPr="00126A56">
        <w:rPr>
          <w:sz w:val="24"/>
        </w:rPr>
        <w:t>With the exception of lending or borrowing between immediate family members and between registered persons and customers who are in the business of lending, written approval must be obtained prior to any other lending arrangements described above or any modification of such arrangement, including extensions of duration. Such written pre-approvals shall be maintained for a period of three years after the date such lending arrangement has terminated or at least for three years subsequent to the registered person’s termination.</w:t>
      </w:r>
      <w:r>
        <w:rPr>
          <w:color w:val="0070C0"/>
          <w:sz w:val="24"/>
        </w:rPr>
        <w:t xml:space="preserve">  </w:t>
      </w:r>
      <w:r w:rsidR="00186675">
        <w:rPr>
          <w:color w:val="000000"/>
          <w:sz w:val="24"/>
        </w:rPr>
        <w:t>Morris Monroe will have the responsibility of pre-approving any loan in writing and maintain such approval as part of its records.</w:t>
      </w:r>
    </w:p>
    <w:p w14:paraId="256FA5FD" w14:textId="77777777" w:rsidR="00F56F5A" w:rsidRDefault="00F56F5A" w:rsidP="00186675">
      <w:pPr>
        <w:autoSpaceDE w:val="0"/>
        <w:autoSpaceDN w:val="0"/>
        <w:adjustRightInd w:val="0"/>
        <w:rPr>
          <w:color w:val="000000"/>
          <w:sz w:val="24"/>
        </w:rPr>
      </w:pPr>
    </w:p>
    <w:p w14:paraId="473F950E" w14:textId="77777777" w:rsidR="00F56F5A" w:rsidRDefault="00F56F5A" w:rsidP="00186675">
      <w:pPr>
        <w:autoSpaceDE w:val="0"/>
        <w:autoSpaceDN w:val="0"/>
        <w:adjustRightInd w:val="0"/>
        <w:rPr>
          <w:color w:val="000000"/>
          <w:sz w:val="24"/>
        </w:rPr>
      </w:pPr>
    </w:p>
    <w:p w14:paraId="6D461220" w14:textId="77777777" w:rsidR="00A96039" w:rsidRPr="008D3A77" w:rsidRDefault="00D114C8" w:rsidP="00936FEE">
      <w:pPr>
        <w:pStyle w:val="Heading2"/>
      </w:pPr>
      <w:r w:rsidRPr="008D3A77">
        <w:t>4.2</w:t>
      </w:r>
      <w:r w:rsidR="00D34ACE">
        <w:t>3</w:t>
      </w:r>
      <w:r w:rsidRPr="008D3A77">
        <w:t xml:space="preserve"> </w:t>
      </w:r>
      <w:r w:rsidR="00F56F5A" w:rsidRPr="008D3A77">
        <w:t>Rumors</w:t>
      </w:r>
    </w:p>
    <w:p w14:paraId="34323FE0" w14:textId="77777777" w:rsidR="00A96039" w:rsidRPr="008D3A77" w:rsidRDefault="002D7BBD" w:rsidP="008D3A77">
      <w:pPr>
        <w:jc w:val="both"/>
        <w:rPr>
          <w:sz w:val="24"/>
          <w:szCs w:val="24"/>
        </w:rPr>
      </w:pPr>
      <w:r w:rsidRPr="008D3A77">
        <w:rPr>
          <w:sz w:val="24"/>
          <w:szCs w:val="24"/>
        </w:rPr>
        <w:t>No employee may spread any rumors or misinformation</w:t>
      </w:r>
      <w:r w:rsidRPr="00A96039">
        <w:rPr>
          <w:sz w:val="24"/>
          <w:szCs w:val="24"/>
        </w:rPr>
        <w:t xml:space="preserve"> that the employee knows to be false or misleading. This includes rumors of a sensational character that might reasonably be expected to affect market conditions. Discussion of unsubstantiated information published by a widely circulated public media is not prohibited providing the source and unsubstantiated nature are also disclosed.</w:t>
      </w:r>
      <w:r w:rsidR="00A96039" w:rsidRPr="00A96039">
        <w:rPr>
          <w:sz w:val="24"/>
          <w:szCs w:val="24"/>
        </w:rPr>
        <w:t xml:space="preserve">  </w:t>
      </w:r>
      <w:r w:rsidR="00A96039" w:rsidRPr="008D3A77">
        <w:rPr>
          <w:sz w:val="24"/>
          <w:szCs w:val="24"/>
        </w:rPr>
        <w:t xml:space="preserve">As part of routine reviews of correspondence, any communications that appear to </w:t>
      </w:r>
      <w:r w:rsidR="00A96039" w:rsidRPr="008D3A77">
        <w:rPr>
          <w:sz w:val="24"/>
          <w:szCs w:val="24"/>
        </w:rPr>
        <w:lastRenderedPageBreak/>
        <w:t>spread rumors will be targeted for investigation by Comp</w:t>
      </w:r>
      <w:r w:rsidR="00F13B46">
        <w:rPr>
          <w:sz w:val="24"/>
          <w:szCs w:val="24"/>
        </w:rPr>
        <w:t>liance by contacting R</w:t>
      </w:r>
      <w:r w:rsidR="00A96039" w:rsidRPr="008D3A77">
        <w:rPr>
          <w:sz w:val="24"/>
          <w:szCs w:val="24"/>
        </w:rPr>
        <w:t>R regarding source of information, if false rumors are identified, Compliance will confer with Morris Monroe, any corrective action may include contacting recipients of correspondence containing false rumors; enhanced training for RR; disciplinary action appropriate to the offense.</w:t>
      </w:r>
    </w:p>
    <w:p w14:paraId="06C93DBC" w14:textId="77777777" w:rsidR="002D7BBD" w:rsidRPr="002D7BBD" w:rsidRDefault="002D7BBD" w:rsidP="002D7BBD"/>
    <w:p w14:paraId="7152021A" w14:textId="77777777" w:rsidR="00F56F5A" w:rsidRDefault="00F56F5A" w:rsidP="002D7BBD"/>
    <w:p w14:paraId="7227911C" w14:textId="77777777" w:rsidR="00186675" w:rsidRPr="000C570A" w:rsidRDefault="00F56F5A" w:rsidP="00936FEE">
      <w:pPr>
        <w:pStyle w:val="Heading2"/>
      </w:pPr>
      <w:r>
        <w:t>4.2</w:t>
      </w:r>
      <w:r w:rsidR="00D34ACE">
        <w:t>4</w:t>
      </w:r>
      <w:r>
        <w:t xml:space="preserve"> </w:t>
      </w:r>
      <w:r w:rsidR="00186675" w:rsidRPr="000C570A">
        <w:t>Taping Rule</w:t>
      </w:r>
    </w:p>
    <w:p w14:paraId="72F6CE23" w14:textId="3A3A1408" w:rsidR="00186675" w:rsidRPr="002A3ACC" w:rsidRDefault="00186675" w:rsidP="002D7BBD">
      <w:pPr>
        <w:pStyle w:val="NormalWeb"/>
        <w:spacing w:before="0" w:beforeAutospacing="0" w:after="0" w:afterAutospacing="0"/>
        <w:jc w:val="both"/>
        <w:rPr>
          <w:rFonts w:ascii="Times New Roman" w:hAnsi="Times New Roman" w:cs="Times New Roman"/>
          <w:color w:val="000000" w:themeColor="text1"/>
          <w:szCs w:val="20"/>
        </w:rPr>
      </w:pPr>
      <w:r>
        <w:rPr>
          <w:rFonts w:ascii="Times New Roman" w:hAnsi="Times New Roman" w:cs="Times New Roman"/>
        </w:rPr>
        <w:t xml:space="preserve">Per Rule </w:t>
      </w:r>
      <w:r w:rsidR="00B32144" w:rsidRPr="00604A2C">
        <w:rPr>
          <w:rFonts w:ascii="Times New Roman" w:hAnsi="Times New Roman" w:cs="Times New Roman"/>
          <w:color w:val="auto"/>
        </w:rPr>
        <w:t>3170</w:t>
      </w:r>
      <w:r>
        <w:rPr>
          <w:rFonts w:ascii="Times New Roman" w:hAnsi="Times New Roman" w:cs="Times New Roman"/>
        </w:rPr>
        <w:t xml:space="preserve">, the Taping Rule, should the Company hire a certain percentage of registered persons that have been employed by a Disciplined Firm, the </w:t>
      </w:r>
      <w:r w:rsidR="00F13B46">
        <w:rPr>
          <w:rFonts w:ascii="Times New Roman" w:hAnsi="Times New Roman" w:cs="Times New Roman"/>
        </w:rPr>
        <w:t>Company</w:t>
      </w:r>
      <w:r>
        <w:rPr>
          <w:rFonts w:ascii="Times New Roman" w:hAnsi="Times New Roman" w:cs="Times New Roman"/>
        </w:rPr>
        <w:t xml:space="preserve"> will tape record all telephone conversations between the </w:t>
      </w:r>
      <w:r w:rsidR="008938B6">
        <w:rPr>
          <w:rFonts w:ascii="Times New Roman" w:hAnsi="Times New Roman" w:cs="Times New Roman"/>
        </w:rPr>
        <w:t>Company</w:t>
      </w:r>
      <w:r>
        <w:rPr>
          <w:rFonts w:ascii="Times New Roman" w:hAnsi="Times New Roman" w:cs="Times New Roman"/>
        </w:rPr>
        <w:t xml:space="preserve">'s registered persons and both existing and potential customers.  A Disciplined Firm includes </w:t>
      </w:r>
      <w:r>
        <w:rPr>
          <w:rFonts w:ascii="Times New Roman" w:hAnsi="Times New Roman" w:cs="Times New Roman"/>
          <w:szCs w:val="20"/>
        </w:rPr>
        <w:t xml:space="preserve">a notice registered broker/dealer that (1) has been formally charged by either the CFTC or a registered futures association with deceptive telemarketing practices or promotional material relating to security futures, those charges have been resolved, and the </w:t>
      </w:r>
      <w:r w:rsidR="00713574" w:rsidRPr="00604A2C">
        <w:rPr>
          <w:rFonts w:ascii="Times New Roman" w:hAnsi="Times New Roman" w:cs="Times New Roman"/>
          <w:color w:val="auto"/>
          <w:szCs w:val="20"/>
        </w:rPr>
        <w:t xml:space="preserve">Futures Commission Merchant (FCM) </w:t>
      </w:r>
      <w:r w:rsidRPr="00604A2C">
        <w:rPr>
          <w:rFonts w:ascii="Times New Roman" w:hAnsi="Times New Roman" w:cs="Times New Roman"/>
          <w:color w:val="auto"/>
          <w:szCs w:val="20"/>
        </w:rPr>
        <w:t xml:space="preserve">or </w:t>
      </w:r>
      <w:r w:rsidR="00713574" w:rsidRPr="00604A2C">
        <w:rPr>
          <w:rFonts w:ascii="Times New Roman" w:hAnsi="Times New Roman" w:cs="Times New Roman"/>
          <w:color w:val="auto"/>
          <w:szCs w:val="20"/>
        </w:rPr>
        <w:t xml:space="preserve">Introducing Broker </w:t>
      </w:r>
      <w:r w:rsidR="00713574">
        <w:rPr>
          <w:rFonts w:ascii="Times New Roman" w:hAnsi="Times New Roman" w:cs="Times New Roman"/>
          <w:szCs w:val="20"/>
        </w:rPr>
        <w:t>(</w:t>
      </w:r>
      <w:r>
        <w:rPr>
          <w:rFonts w:ascii="Times New Roman" w:hAnsi="Times New Roman" w:cs="Times New Roman"/>
          <w:szCs w:val="20"/>
        </w:rPr>
        <w:t>IB</w:t>
      </w:r>
      <w:r w:rsidR="00713574">
        <w:rPr>
          <w:rFonts w:ascii="Times New Roman" w:hAnsi="Times New Roman" w:cs="Times New Roman"/>
          <w:szCs w:val="20"/>
        </w:rPr>
        <w:t>)</w:t>
      </w:r>
      <w:r>
        <w:rPr>
          <w:rFonts w:ascii="Times New Roman" w:hAnsi="Times New Roman" w:cs="Times New Roman"/>
          <w:szCs w:val="20"/>
        </w:rPr>
        <w:t xml:space="preserve"> has been closed down and permanently barred from the futures industry as a result of those charges; or (2) an FCM or IB that, in connection with sales practices involving the offer, purchase, or sale of security futures is subject to an order of the SEC revoking its registration as a broker or dealer.</w:t>
      </w:r>
      <w:r w:rsidR="00AE6801">
        <w:rPr>
          <w:rFonts w:ascii="Times New Roman" w:hAnsi="Times New Roman" w:cs="Times New Roman"/>
          <w:szCs w:val="20"/>
        </w:rPr>
        <w:t xml:space="preserve">  </w:t>
      </w:r>
      <w:r w:rsidR="00AE6801" w:rsidRPr="002A3ACC">
        <w:rPr>
          <w:rFonts w:ascii="Times New Roman" w:hAnsi="Times New Roman" w:cs="Times New Roman"/>
          <w:color w:val="000000" w:themeColor="text1"/>
          <w:szCs w:val="20"/>
        </w:rPr>
        <w:t>FINRA will notify BrokerCheck if the Company becomes subject to the Taping Rule.</w:t>
      </w:r>
    </w:p>
    <w:p w14:paraId="014F155F" w14:textId="77777777" w:rsidR="00660CEE" w:rsidRDefault="00660CEE" w:rsidP="00186675">
      <w:pPr>
        <w:pStyle w:val="NormalWeb"/>
        <w:spacing w:before="0" w:beforeAutospacing="0" w:after="0" w:afterAutospacing="0"/>
        <w:rPr>
          <w:rFonts w:ascii="Times New Roman" w:hAnsi="Times New Roman" w:cs="Times New Roman"/>
          <w:szCs w:val="20"/>
        </w:rPr>
      </w:pPr>
    </w:p>
    <w:p w14:paraId="51F38C57" w14:textId="77777777" w:rsidR="00660CEE" w:rsidRDefault="00660CEE" w:rsidP="00186675">
      <w:pPr>
        <w:pStyle w:val="NormalWeb"/>
        <w:spacing w:before="0" w:beforeAutospacing="0" w:after="0" w:afterAutospacing="0"/>
        <w:rPr>
          <w:rFonts w:ascii="Times New Roman" w:hAnsi="Times New Roman" w:cs="Times New Roman"/>
          <w:szCs w:val="20"/>
        </w:rPr>
      </w:pPr>
    </w:p>
    <w:p w14:paraId="075BD39B" w14:textId="77777777" w:rsidR="00186675" w:rsidRPr="000C570A" w:rsidRDefault="00D114C8" w:rsidP="00936FEE">
      <w:pPr>
        <w:pStyle w:val="Heading2"/>
      </w:pPr>
      <w:r w:rsidRPr="000C570A">
        <w:t>4.2</w:t>
      </w:r>
      <w:r w:rsidR="000737DD">
        <w:t>5</w:t>
      </w:r>
      <w:r w:rsidRPr="000C570A">
        <w:t xml:space="preserve"> </w:t>
      </w:r>
      <w:r w:rsidR="00186675" w:rsidRPr="000C570A">
        <w:t>Supervision of Recommendations by Newly Registered Representatives</w:t>
      </w:r>
    </w:p>
    <w:p w14:paraId="68D192C2" w14:textId="77777777" w:rsidR="00186675" w:rsidRPr="000C099C" w:rsidRDefault="00186675" w:rsidP="002D7BBD">
      <w:pPr>
        <w:pStyle w:val="BodyText2"/>
        <w:widowControl/>
        <w:jc w:val="both"/>
      </w:pPr>
      <w:r w:rsidRPr="000C099C">
        <w:t xml:space="preserve">The Company will ascertain any accounts by newly registered representatives as to the their current customers who may hold mutual funds or variable annuities and determine whether the Company may need to obtain any selling agreements to change the broker/dealer of record and supervise any recommendations by the newly registered representative for switches or exchanges as to whether they are in the best interest of the customer and ensure any documentation of such is maintained by the Company.   </w:t>
      </w:r>
    </w:p>
    <w:p w14:paraId="4AF8182F" w14:textId="77777777" w:rsidR="00186675" w:rsidRDefault="00186675" w:rsidP="00186675">
      <w:pPr>
        <w:rPr>
          <w:sz w:val="24"/>
        </w:rPr>
      </w:pPr>
    </w:p>
    <w:p w14:paraId="2AC498A5" w14:textId="77777777" w:rsidR="000C570A" w:rsidRDefault="000C570A" w:rsidP="00186675">
      <w:pPr>
        <w:jc w:val="both"/>
        <w:rPr>
          <w:b/>
          <w:sz w:val="24"/>
        </w:rPr>
      </w:pPr>
    </w:p>
    <w:p w14:paraId="5320B60D" w14:textId="77777777" w:rsidR="00667311" w:rsidRDefault="00D114C8" w:rsidP="00936FEE">
      <w:pPr>
        <w:pStyle w:val="Heading2"/>
      </w:pPr>
      <w:bookmarkStart w:id="55" w:name="PersonalTrading"/>
      <w:bookmarkEnd w:id="55"/>
      <w:r w:rsidRPr="000C570A">
        <w:t>4.2</w:t>
      </w:r>
      <w:r w:rsidR="000737DD">
        <w:t>6</w:t>
      </w:r>
      <w:r w:rsidR="00667311">
        <w:t xml:space="preserve"> Personal Tra</w:t>
      </w:r>
      <w:r w:rsidR="000D272D">
        <w:t>nsactions</w:t>
      </w:r>
      <w:r w:rsidR="00A5371D">
        <w:t xml:space="preserve"> &amp; Related Accounts</w:t>
      </w:r>
    </w:p>
    <w:p w14:paraId="28F4EED6" w14:textId="77777777" w:rsidR="00667311" w:rsidRDefault="00667311" w:rsidP="00747431">
      <w:pPr>
        <w:pStyle w:val="Normal10"/>
        <w:shd w:val="clear" w:color="auto" w:fill="FFFFFF"/>
        <w:spacing w:before="0" w:beforeAutospacing="0" w:after="0" w:afterAutospacing="0"/>
        <w:rPr>
          <w:color w:val="FF0000"/>
        </w:rPr>
      </w:pPr>
      <w:r w:rsidRPr="000059D7">
        <w:t xml:space="preserve">All personal trades will be conducted through the home office trading desk for in house accounts. </w:t>
      </w:r>
      <w:r w:rsidR="007967FE" w:rsidRPr="000059D7">
        <w:t>If known that a personal trade will also involve the same position for custom</w:t>
      </w:r>
      <w:r w:rsidRPr="000059D7">
        <w:t>er(s), all applicable trades will be handled through the home office trading desk as well to ensure that customer orders are entered prior to related persons trades.</w:t>
      </w:r>
      <w:r w:rsidR="000059D7" w:rsidRPr="000059D7">
        <w:t xml:space="preserve">  </w:t>
      </w:r>
      <w:r w:rsidR="000059D7" w:rsidRPr="00126A56">
        <w:t xml:space="preserve">The customer's interest has precedence over any Associated Person's personal interest. While there is no standard that applies in every case, in general, Associated Persons will solicit customer orders before entering orders for personal accounts in the same security. When an Associated Person receives a better price in a security the same day the customer executes an order in the same security on the same side of the market (buy or sell), the customer will generally receive the better price unless there are circumstances that justify the Associated Person's better price (time of order entry, inability to reach customer, </w:t>
      </w:r>
      <w:r w:rsidR="000059D7" w:rsidRPr="00126A56">
        <w:rPr>
          <w:i/>
          <w:iCs/>
        </w:rPr>
        <w:t>etc.</w:t>
      </w:r>
      <w:r w:rsidR="0062226A">
        <w:t xml:space="preserve">) </w:t>
      </w:r>
      <w:r w:rsidR="0062226A" w:rsidRPr="006D5CDF">
        <w:t xml:space="preserve">or the price difference is so miniscule to be significant (generally a matter of a few </w:t>
      </w:r>
      <w:r w:rsidR="0062226A" w:rsidRPr="008239F6">
        <w:t xml:space="preserve">cents </w:t>
      </w:r>
      <w:r w:rsidR="00DD76D6" w:rsidRPr="008239F6">
        <w:t xml:space="preserve">or dollars </w:t>
      </w:r>
      <w:r w:rsidR="0062226A" w:rsidRPr="008239F6">
        <w:t xml:space="preserve">in price).  Associated Person trades are reviewed on a sampling basis at least monthly </w:t>
      </w:r>
      <w:r w:rsidR="0062226A" w:rsidRPr="006D5CDF">
        <w:t>within the blotters and outside account statements.</w:t>
      </w:r>
    </w:p>
    <w:p w14:paraId="577B409D" w14:textId="77777777" w:rsidR="00747431" w:rsidRPr="009165DF" w:rsidRDefault="00747431" w:rsidP="00747431">
      <w:pPr>
        <w:pStyle w:val="Normal10"/>
        <w:shd w:val="clear" w:color="auto" w:fill="FFFFFF"/>
        <w:spacing w:before="0" w:beforeAutospacing="0" w:after="0" w:afterAutospacing="0"/>
        <w:rPr>
          <w:szCs w:val="20"/>
        </w:rPr>
      </w:pPr>
    </w:p>
    <w:p w14:paraId="2E6A9BB5" w14:textId="77777777" w:rsidR="00147EE7" w:rsidRDefault="00147EE7" w:rsidP="00147EE7">
      <w:pPr>
        <w:pStyle w:val="Heading3"/>
      </w:pPr>
      <w:r>
        <w:t>4.26.1 Prohibited Trading Activities</w:t>
      </w:r>
    </w:p>
    <w:p w14:paraId="4AE42BF8" w14:textId="77777777" w:rsidR="00667311" w:rsidRPr="009165DF" w:rsidRDefault="00667311" w:rsidP="00147EE7">
      <w:pPr>
        <w:pStyle w:val="NormalWeb"/>
        <w:spacing w:before="0" w:beforeAutospacing="0" w:after="0" w:afterAutospacing="0"/>
        <w:ind w:firstLine="270"/>
        <w:rPr>
          <w:rFonts w:ascii="Times New Roman" w:hAnsi="Times New Roman" w:cs="Times New Roman"/>
          <w:color w:val="auto"/>
          <w:szCs w:val="20"/>
        </w:rPr>
      </w:pPr>
      <w:r w:rsidRPr="009165DF">
        <w:rPr>
          <w:rFonts w:ascii="Times New Roman" w:hAnsi="Times New Roman" w:cs="Times New Roman"/>
          <w:color w:val="auto"/>
          <w:szCs w:val="20"/>
        </w:rPr>
        <w:t xml:space="preserve">Personal trading activities prohibited include: </w:t>
      </w:r>
    </w:p>
    <w:p w14:paraId="2E77B24B" w14:textId="77777777" w:rsidR="00667311" w:rsidRPr="009165DF" w:rsidRDefault="00667311" w:rsidP="00C1728B">
      <w:pPr>
        <w:pStyle w:val="NormalWeb"/>
        <w:numPr>
          <w:ilvl w:val="0"/>
          <w:numId w:val="89"/>
        </w:numPr>
        <w:rPr>
          <w:rFonts w:ascii="Times New Roman" w:hAnsi="Times New Roman" w:cs="Times New Roman"/>
          <w:color w:val="auto"/>
          <w:szCs w:val="20"/>
        </w:rPr>
      </w:pPr>
      <w:r w:rsidRPr="009165DF">
        <w:rPr>
          <w:rFonts w:ascii="Times New Roman" w:hAnsi="Times New Roman" w:cs="Times New Roman"/>
          <w:color w:val="auto"/>
          <w:szCs w:val="20"/>
        </w:rPr>
        <w:lastRenderedPageBreak/>
        <w:t>Trading in securities for personal accounts, or for accounts of family members or affiliates, shortly before trading the same securities for clients (</w:t>
      </w:r>
      <w:r w:rsidRPr="009165DF">
        <w:rPr>
          <w:rFonts w:ascii="Times New Roman" w:hAnsi="Times New Roman" w:cs="Times New Roman"/>
          <w:i/>
          <w:iCs/>
          <w:color w:val="auto"/>
          <w:szCs w:val="20"/>
        </w:rPr>
        <w:t>i.e.,</w:t>
      </w:r>
      <w:r w:rsidRPr="009165DF">
        <w:rPr>
          <w:rFonts w:ascii="Times New Roman" w:hAnsi="Times New Roman" w:cs="Times New Roman"/>
          <w:color w:val="auto"/>
          <w:szCs w:val="20"/>
        </w:rPr>
        <w:t xml:space="preserve"> front-running), and thereby receiving better prices</w:t>
      </w:r>
      <w:r w:rsidR="000D272D">
        <w:rPr>
          <w:rFonts w:ascii="Times New Roman" w:hAnsi="Times New Roman" w:cs="Times New Roman"/>
          <w:color w:val="auto"/>
          <w:szCs w:val="20"/>
        </w:rPr>
        <w:t xml:space="preserve"> (unless of such nominal value that would not affect the price or unknown customer transactions)</w:t>
      </w:r>
      <w:r w:rsidRPr="009165DF">
        <w:rPr>
          <w:rFonts w:ascii="Times New Roman" w:hAnsi="Times New Roman" w:cs="Times New Roman"/>
          <w:color w:val="auto"/>
          <w:szCs w:val="20"/>
        </w:rPr>
        <w:t xml:space="preserve">; and </w:t>
      </w:r>
    </w:p>
    <w:p w14:paraId="40FFC1FC" w14:textId="77777777" w:rsidR="00667311" w:rsidRPr="009165DF" w:rsidRDefault="00667311" w:rsidP="00C1728B">
      <w:pPr>
        <w:numPr>
          <w:ilvl w:val="0"/>
          <w:numId w:val="89"/>
        </w:numPr>
        <w:rPr>
          <w:sz w:val="24"/>
        </w:rPr>
      </w:pPr>
      <w:r w:rsidRPr="009165DF">
        <w:rPr>
          <w:sz w:val="24"/>
        </w:rPr>
        <w:t xml:space="preserve">Directing clients to trade in securities in which any Associated Person has an undisclosed interest, causing the value of those securities to increase to the Associated Person’s benefit. </w:t>
      </w:r>
    </w:p>
    <w:p w14:paraId="2EC1B91D" w14:textId="77777777" w:rsidR="00147EE7" w:rsidRDefault="00147EE7" w:rsidP="00147EE7">
      <w:pPr>
        <w:rPr>
          <w:color w:val="FF0000"/>
          <w:sz w:val="24"/>
          <w:szCs w:val="24"/>
        </w:rPr>
      </w:pPr>
      <w:bookmarkStart w:id="56" w:name="_Hlk234993836"/>
    </w:p>
    <w:p w14:paraId="58E75BD6" w14:textId="77777777" w:rsidR="00147EE7" w:rsidRDefault="00147EE7" w:rsidP="00147EE7">
      <w:pPr>
        <w:pStyle w:val="Heading3"/>
      </w:pPr>
      <w:r>
        <w:t>4.26.2 Internal Investigation of Transactions</w:t>
      </w:r>
    </w:p>
    <w:p w14:paraId="3EBAF377" w14:textId="77777777" w:rsidR="005B4F3D" w:rsidRPr="00604A2C" w:rsidRDefault="002E11BA" w:rsidP="00147EE7">
      <w:pPr>
        <w:ind w:left="270"/>
        <w:rPr>
          <w:sz w:val="24"/>
          <w:szCs w:val="24"/>
        </w:rPr>
      </w:pPr>
      <w:r w:rsidRPr="00604A2C">
        <w:rPr>
          <w:sz w:val="24"/>
          <w:szCs w:val="24"/>
        </w:rPr>
        <w:t xml:space="preserve">Company reviews securities transactions to identify trades that may violate provisions of the Exchange Act and its rules, rules of exchanges, or FINRA rules prohibiting insider trading and manipulative and deceptive devices.  </w:t>
      </w:r>
      <w:r w:rsidR="001D6A71" w:rsidRPr="00604A2C">
        <w:rPr>
          <w:sz w:val="24"/>
          <w:szCs w:val="24"/>
        </w:rPr>
        <w:t>However, since Company is not involved with investment banking activities as defined in FINRA Rule 3110(d)(4)(B</w:t>
      </w:r>
      <w:r w:rsidR="001D6A71" w:rsidRPr="00604A2C">
        <w:t>)</w:t>
      </w:r>
      <w:r w:rsidR="001D6A71" w:rsidRPr="00604A2C">
        <w:rPr>
          <w:sz w:val="24"/>
          <w:szCs w:val="24"/>
        </w:rPr>
        <w:t xml:space="preserve">, it is not required to file internal investigation reports with FINRA.   </w:t>
      </w:r>
      <w:r w:rsidR="005B4F3D" w:rsidRPr="00604A2C">
        <w:rPr>
          <w:sz w:val="24"/>
          <w:szCs w:val="24"/>
        </w:rPr>
        <w:t>Employee and employee related accounts ("covered accounts") are subject to review by Company. Covered accounts include:</w:t>
      </w:r>
    </w:p>
    <w:p w14:paraId="251AE417" w14:textId="77777777" w:rsidR="005B4F3D" w:rsidRPr="00604A2C" w:rsidRDefault="005B4F3D" w:rsidP="003E7B18">
      <w:pPr>
        <w:numPr>
          <w:ilvl w:val="0"/>
          <w:numId w:val="269"/>
        </w:numPr>
        <w:spacing w:before="100" w:beforeAutospacing="1" w:after="100" w:afterAutospacing="1"/>
        <w:ind w:hanging="270"/>
        <w:rPr>
          <w:sz w:val="24"/>
          <w:szCs w:val="24"/>
        </w:rPr>
      </w:pPr>
      <w:r w:rsidRPr="00604A2C">
        <w:rPr>
          <w:sz w:val="24"/>
          <w:szCs w:val="24"/>
        </w:rPr>
        <w:t>the spouse of a person associated with the member;</w:t>
      </w:r>
    </w:p>
    <w:p w14:paraId="13AD0141" w14:textId="77777777" w:rsidR="005B4F3D" w:rsidRPr="00604A2C" w:rsidRDefault="005B4F3D" w:rsidP="003E7B18">
      <w:pPr>
        <w:numPr>
          <w:ilvl w:val="0"/>
          <w:numId w:val="269"/>
        </w:numPr>
        <w:spacing w:before="100" w:beforeAutospacing="1" w:after="100" w:afterAutospacing="1"/>
        <w:ind w:hanging="270"/>
        <w:rPr>
          <w:sz w:val="24"/>
          <w:szCs w:val="24"/>
        </w:rPr>
      </w:pPr>
      <w:r w:rsidRPr="00604A2C">
        <w:rPr>
          <w:sz w:val="24"/>
          <w:szCs w:val="24"/>
        </w:rPr>
        <w:t>a child of the person associated with the member or such person's spouse, provided that the child resides in the same household as or is financially dependent upon the person associated with the member;</w:t>
      </w:r>
    </w:p>
    <w:p w14:paraId="6F15C53F" w14:textId="77777777" w:rsidR="005B4F3D" w:rsidRPr="00604A2C" w:rsidRDefault="005B4F3D" w:rsidP="003E7B18">
      <w:pPr>
        <w:numPr>
          <w:ilvl w:val="0"/>
          <w:numId w:val="269"/>
        </w:numPr>
        <w:spacing w:before="100" w:beforeAutospacing="1" w:after="100" w:afterAutospacing="1"/>
        <w:ind w:hanging="270"/>
        <w:rPr>
          <w:sz w:val="24"/>
          <w:szCs w:val="24"/>
        </w:rPr>
      </w:pPr>
      <w:r w:rsidRPr="00604A2C">
        <w:rPr>
          <w:sz w:val="24"/>
          <w:szCs w:val="24"/>
        </w:rPr>
        <w:t>any other related individual over whose account the person associated with the member has control; or</w:t>
      </w:r>
    </w:p>
    <w:p w14:paraId="313CE94A" w14:textId="77777777" w:rsidR="005B4F3D" w:rsidRPr="00604A2C" w:rsidRDefault="005B4F3D" w:rsidP="003E7B18">
      <w:pPr>
        <w:numPr>
          <w:ilvl w:val="0"/>
          <w:numId w:val="269"/>
        </w:numPr>
        <w:spacing w:before="100" w:beforeAutospacing="1" w:after="100" w:afterAutospacing="1"/>
        <w:ind w:hanging="270"/>
        <w:rPr>
          <w:sz w:val="24"/>
          <w:szCs w:val="24"/>
        </w:rPr>
      </w:pPr>
      <w:r w:rsidRPr="00604A2C">
        <w:rPr>
          <w:sz w:val="24"/>
          <w:szCs w:val="24"/>
        </w:rPr>
        <w:t>any other individual over whose account the associated person of the member has control and to whose financial support such person materially contributes.</w:t>
      </w:r>
    </w:p>
    <w:p w14:paraId="08CE88D6" w14:textId="77777777" w:rsidR="005B4F3D" w:rsidRPr="00604A2C" w:rsidRDefault="005B4F3D" w:rsidP="00CD2710">
      <w:pPr>
        <w:ind w:left="270"/>
        <w:rPr>
          <w:sz w:val="24"/>
          <w:szCs w:val="24"/>
        </w:rPr>
      </w:pPr>
      <w:r w:rsidRPr="00604A2C">
        <w:rPr>
          <w:sz w:val="24"/>
          <w:szCs w:val="24"/>
        </w:rPr>
        <w:t xml:space="preserve">In addition, accounts subject to review include any account where an employee has a beneficial interest or the authority to make investment decisions (for example, trust accounts, accounts for minors, </w:t>
      </w:r>
      <w:r w:rsidRPr="00604A2C">
        <w:rPr>
          <w:i/>
          <w:iCs/>
          <w:sz w:val="24"/>
          <w:szCs w:val="24"/>
        </w:rPr>
        <w:t>etc.</w:t>
      </w:r>
      <w:r w:rsidRPr="00604A2C">
        <w:rPr>
          <w:sz w:val="24"/>
          <w:szCs w:val="24"/>
        </w:rPr>
        <w:t xml:space="preserve">). "Accounts" also include securities or commodities accounts at </w:t>
      </w:r>
      <w:r w:rsidR="006D371E" w:rsidRPr="00604A2C">
        <w:rPr>
          <w:sz w:val="24"/>
          <w:szCs w:val="24"/>
        </w:rPr>
        <w:t>the Company</w:t>
      </w:r>
      <w:r w:rsidRPr="00604A2C">
        <w:rPr>
          <w:sz w:val="24"/>
          <w:szCs w:val="24"/>
        </w:rPr>
        <w:t xml:space="preserve"> or other financial institutions including foreign or domestic broker-dealers, investment advisers, banks and other financial institutions ("outside accounts" discussed in the next section).</w:t>
      </w:r>
    </w:p>
    <w:p w14:paraId="7664421F" w14:textId="77777777" w:rsidR="00CD2710" w:rsidRDefault="00CD2710" w:rsidP="00CD2710">
      <w:pPr>
        <w:pStyle w:val="BodyText"/>
        <w:spacing w:before="0" w:after="0"/>
        <w:ind w:left="270"/>
      </w:pPr>
    </w:p>
    <w:p w14:paraId="7F498AEE" w14:textId="77777777" w:rsidR="00667311" w:rsidRPr="00424F51" w:rsidRDefault="00667311" w:rsidP="00CD2710">
      <w:pPr>
        <w:pStyle w:val="BodyText"/>
        <w:spacing w:before="0" w:after="0"/>
        <w:ind w:left="270"/>
        <w:rPr>
          <w:b/>
        </w:rPr>
      </w:pPr>
      <w:r w:rsidRPr="009165DF">
        <w:t xml:space="preserve">Company must be notified of any outside securities accounts and receive duplicate statements </w:t>
      </w:r>
      <w:r w:rsidR="00312EC3" w:rsidRPr="009165DF">
        <w:t>that will</w:t>
      </w:r>
      <w:r w:rsidRPr="009165DF">
        <w:t xml:space="preserve"> be reviewed and maintained as part of the Company’s books and records for a period of three years</w:t>
      </w:r>
      <w:r w:rsidRPr="00D34ACE">
        <w:t>.</w:t>
      </w:r>
      <w:r w:rsidR="00D34ACE" w:rsidRPr="00D34ACE">
        <w:rPr>
          <w:bCs/>
        </w:rPr>
        <w:t xml:space="preserve"> </w:t>
      </w:r>
      <w:r w:rsidR="00D34ACE" w:rsidRPr="00126A56">
        <w:rPr>
          <w:bCs/>
        </w:rPr>
        <w:t xml:space="preserve">Statements may be reviewed by Morris Monroe, Laura Hendricks, </w:t>
      </w:r>
      <w:r w:rsidR="00D34ACE" w:rsidRPr="00424F51">
        <w:rPr>
          <w:bCs/>
        </w:rPr>
        <w:t xml:space="preserve">or </w:t>
      </w:r>
      <w:r w:rsidR="00734AC8" w:rsidRPr="00424F51">
        <w:rPr>
          <w:bCs/>
        </w:rPr>
        <w:t>other</w:t>
      </w:r>
      <w:r w:rsidR="00734AC8" w:rsidRPr="00734AC8">
        <w:rPr>
          <w:bCs/>
          <w:color w:val="FF0000"/>
        </w:rPr>
        <w:t xml:space="preserve"> </w:t>
      </w:r>
      <w:r w:rsidR="00734AC8" w:rsidRPr="00424F51">
        <w:rPr>
          <w:bCs/>
        </w:rPr>
        <w:t>Compliance personnel</w:t>
      </w:r>
      <w:r w:rsidR="00D34ACE" w:rsidRPr="00424F51">
        <w:rPr>
          <w:bCs/>
        </w:rPr>
        <w:t>.</w:t>
      </w:r>
    </w:p>
    <w:bookmarkEnd w:id="56"/>
    <w:p w14:paraId="4363CD6A" w14:textId="77777777" w:rsidR="00667311" w:rsidRDefault="00667311" w:rsidP="00CD2710"/>
    <w:p w14:paraId="66CC2636" w14:textId="77777777" w:rsidR="00CD2710" w:rsidRPr="00604A2C" w:rsidRDefault="00CD2710" w:rsidP="00CD2710">
      <w:pPr>
        <w:rPr>
          <w:sz w:val="24"/>
          <w:szCs w:val="24"/>
        </w:rPr>
      </w:pPr>
      <w:r>
        <w:rPr>
          <w:sz w:val="24"/>
          <w:szCs w:val="24"/>
        </w:rPr>
        <w:t xml:space="preserve">    </w:t>
      </w:r>
      <w:r w:rsidRPr="00604A2C">
        <w:rPr>
          <w:sz w:val="24"/>
          <w:szCs w:val="24"/>
        </w:rPr>
        <w:t>If a potential violation is identified, Compliance will:</w:t>
      </w:r>
    </w:p>
    <w:p w14:paraId="40E2C321" w14:textId="77777777" w:rsidR="00CD2710" w:rsidRPr="00604A2C" w:rsidRDefault="001D6A71" w:rsidP="003E7B18">
      <w:pPr>
        <w:numPr>
          <w:ilvl w:val="0"/>
          <w:numId w:val="270"/>
        </w:numPr>
        <w:rPr>
          <w:sz w:val="24"/>
          <w:szCs w:val="24"/>
        </w:rPr>
      </w:pPr>
      <w:r w:rsidRPr="00604A2C">
        <w:rPr>
          <w:sz w:val="24"/>
          <w:szCs w:val="24"/>
        </w:rPr>
        <w:t>R</w:t>
      </w:r>
      <w:r w:rsidR="00CD2710" w:rsidRPr="00604A2C">
        <w:rPr>
          <w:sz w:val="24"/>
          <w:szCs w:val="24"/>
        </w:rPr>
        <w:t>eview the circumstances of the transaction including contact with the RR and RR's supervisor.</w:t>
      </w:r>
    </w:p>
    <w:p w14:paraId="566496D6" w14:textId="77777777" w:rsidR="00CD2710" w:rsidRPr="00604A2C" w:rsidRDefault="001D6A71" w:rsidP="003E7B18">
      <w:pPr>
        <w:numPr>
          <w:ilvl w:val="0"/>
          <w:numId w:val="270"/>
        </w:numPr>
        <w:rPr>
          <w:sz w:val="24"/>
          <w:szCs w:val="24"/>
        </w:rPr>
      </w:pPr>
      <w:r w:rsidRPr="00604A2C">
        <w:rPr>
          <w:sz w:val="24"/>
          <w:szCs w:val="24"/>
        </w:rPr>
        <w:t>D</w:t>
      </w:r>
      <w:r w:rsidR="00CD2710" w:rsidRPr="00604A2C">
        <w:rPr>
          <w:sz w:val="24"/>
          <w:szCs w:val="24"/>
        </w:rPr>
        <w:t>etermine whether a violation has occurred.</w:t>
      </w:r>
    </w:p>
    <w:p w14:paraId="6BFB8561" w14:textId="77777777" w:rsidR="00CD2710" w:rsidRPr="00604A2C" w:rsidRDefault="001D6A71" w:rsidP="003E7B18">
      <w:pPr>
        <w:numPr>
          <w:ilvl w:val="0"/>
          <w:numId w:val="270"/>
        </w:numPr>
        <w:rPr>
          <w:sz w:val="24"/>
          <w:szCs w:val="24"/>
        </w:rPr>
      </w:pPr>
      <w:r w:rsidRPr="00604A2C">
        <w:rPr>
          <w:sz w:val="24"/>
          <w:szCs w:val="24"/>
        </w:rPr>
        <w:t>D</w:t>
      </w:r>
      <w:r w:rsidR="00CD2710" w:rsidRPr="00604A2C">
        <w:rPr>
          <w:sz w:val="24"/>
          <w:szCs w:val="24"/>
        </w:rPr>
        <w:t>etermine (in consultation with outside counsel or others, if necessary) what corrective action should be taken.</w:t>
      </w:r>
    </w:p>
    <w:p w14:paraId="2B38BAD3" w14:textId="77777777" w:rsidR="00CD2710" w:rsidRPr="00604A2C" w:rsidRDefault="001D6A71" w:rsidP="003E7B18">
      <w:pPr>
        <w:numPr>
          <w:ilvl w:val="0"/>
          <w:numId w:val="270"/>
        </w:numPr>
        <w:rPr>
          <w:sz w:val="24"/>
          <w:szCs w:val="24"/>
        </w:rPr>
      </w:pPr>
      <w:r w:rsidRPr="00604A2C">
        <w:rPr>
          <w:sz w:val="24"/>
          <w:szCs w:val="24"/>
        </w:rPr>
        <w:t>Re</w:t>
      </w:r>
      <w:r w:rsidR="00CD2710" w:rsidRPr="00604A2C">
        <w:rPr>
          <w:sz w:val="24"/>
          <w:szCs w:val="24"/>
        </w:rPr>
        <w:t>port to FINRA within 5 business days any internal investigation that concludes a violation has occurred.</w:t>
      </w:r>
    </w:p>
    <w:p w14:paraId="3A63E960" w14:textId="77777777" w:rsidR="00CD2710" w:rsidRPr="00604A2C" w:rsidRDefault="001D6A71" w:rsidP="003E7B18">
      <w:pPr>
        <w:numPr>
          <w:ilvl w:val="0"/>
          <w:numId w:val="270"/>
        </w:numPr>
        <w:rPr>
          <w:sz w:val="24"/>
          <w:szCs w:val="24"/>
        </w:rPr>
      </w:pPr>
      <w:r w:rsidRPr="00604A2C">
        <w:rPr>
          <w:sz w:val="24"/>
          <w:szCs w:val="24"/>
        </w:rPr>
        <w:t>F</w:t>
      </w:r>
      <w:r w:rsidR="00CD2710" w:rsidRPr="00604A2C">
        <w:rPr>
          <w:sz w:val="24"/>
          <w:szCs w:val="24"/>
        </w:rPr>
        <w:t>ile a quarterly report with FINRA of internal investigations within 10 business days of the end of each calendar quarter.</w:t>
      </w:r>
    </w:p>
    <w:p w14:paraId="25FCCE9C" w14:textId="49F188C0" w:rsidR="00CD2710" w:rsidRDefault="001D6A71" w:rsidP="003E7B18">
      <w:pPr>
        <w:numPr>
          <w:ilvl w:val="0"/>
          <w:numId w:val="270"/>
        </w:numPr>
        <w:rPr>
          <w:sz w:val="24"/>
          <w:szCs w:val="24"/>
        </w:rPr>
      </w:pPr>
      <w:r w:rsidRPr="00604A2C">
        <w:rPr>
          <w:sz w:val="24"/>
          <w:szCs w:val="24"/>
        </w:rPr>
        <w:t>D</w:t>
      </w:r>
      <w:r w:rsidR="00CD2710" w:rsidRPr="00604A2C">
        <w:rPr>
          <w:sz w:val="24"/>
          <w:szCs w:val="24"/>
        </w:rPr>
        <w:t>etermine whether the violation must be reported in another form such as updating Form U4 or U5.</w:t>
      </w:r>
    </w:p>
    <w:p w14:paraId="521816A6" w14:textId="0129C389" w:rsidR="00C03915" w:rsidRDefault="00C03915" w:rsidP="00C03915">
      <w:pPr>
        <w:ind w:left="360"/>
        <w:rPr>
          <w:sz w:val="24"/>
          <w:szCs w:val="24"/>
        </w:rPr>
      </w:pPr>
    </w:p>
    <w:p w14:paraId="5DD81F8A" w14:textId="3FA4D246" w:rsidR="00C03915" w:rsidRPr="00081825" w:rsidRDefault="00C03915" w:rsidP="00C03915">
      <w:pPr>
        <w:pStyle w:val="Heading3"/>
        <w:rPr>
          <w:b w:val="0"/>
          <w:bCs/>
          <w:i/>
          <w:iCs/>
        </w:rPr>
      </w:pPr>
      <w:r>
        <w:t>4.26.3 FINRA Rule 3241-Named as Customer’s Beneficiary or Holding a Position of Trust</w:t>
      </w:r>
      <w:r w:rsidR="00081825">
        <w:t xml:space="preserve"> </w:t>
      </w:r>
      <w:r w:rsidR="00081825" w:rsidRPr="00860B4F">
        <w:rPr>
          <w:b w:val="0"/>
          <w:bCs/>
          <w:i/>
          <w:iCs/>
          <w:sz w:val="22"/>
          <w:szCs w:val="22"/>
        </w:rPr>
        <w:t xml:space="preserve">(eff. 2/15/21) </w:t>
      </w:r>
    </w:p>
    <w:p w14:paraId="44106EE3" w14:textId="2F6F1A2B" w:rsidR="00C03915" w:rsidRPr="002A3ACC" w:rsidRDefault="00C03915" w:rsidP="00C03915">
      <w:pPr>
        <w:spacing w:before="15" w:after="100" w:afterAutospacing="1" w:line="240" w:lineRule="atLeast"/>
        <w:ind w:left="270"/>
        <w:rPr>
          <w:color w:val="000000" w:themeColor="text1"/>
          <w:spacing w:val="8"/>
          <w:sz w:val="24"/>
          <w:szCs w:val="24"/>
        </w:rPr>
      </w:pPr>
      <w:r w:rsidRPr="002A3ACC">
        <w:rPr>
          <w:color w:val="000000" w:themeColor="text1"/>
          <w:spacing w:val="8"/>
          <w:sz w:val="24"/>
          <w:szCs w:val="24"/>
        </w:rPr>
        <w:t>Pursuant to Rule 3241, Associated Persons, RRs, are limited from being named a beneficiary, executor or trustee, or having a power of attorney or similar position of trust for or on behalf of a customer.</w:t>
      </w:r>
      <w:r w:rsidRPr="002A3ACC">
        <w:rPr>
          <w:color w:val="000000" w:themeColor="text1"/>
          <w:spacing w:val="8"/>
          <w:sz w:val="24"/>
          <w:szCs w:val="24"/>
          <w:vertAlign w:val="superscript"/>
        </w:rPr>
        <w:t xml:space="preserve">* </w:t>
      </w:r>
      <w:r w:rsidRPr="002A3ACC">
        <w:rPr>
          <w:color w:val="000000" w:themeColor="text1"/>
          <w:spacing w:val="8"/>
          <w:sz w:val="24"/>
          <w:szCs w:val="24"/>
        </w:rPr>
        <w:t xml:space="preserve"> The RR is responsible for immediately notifying Compliance of any such potential designation. The notice requirement includes RRs who hold a beneficiary or position of trust status for an account transferring from a prior employer; the transferring RR must provide notice within 30 days of employment.</w:t>
      </w:r>
    </w:p>
    <w:p w14:paraId="457AC877" w14:textId="73338474" w:rsidR="00C03915" w:rsidRPr="002A3ACC" w:rsidRDefault="00C03915" w:rsidP="00C03915">
      <w:pPr>
        <w:spacing w:before="15" w:after="100" w:afterAutospacing="1" w:line="240" w:lineRule="atLeast"/>
        <w:ind w:left="270"/>
        <w:rPr>
          <w:color w:val="000000" w:themeColor="text1"/>
          <w:spacing w:val="8"/>
          <w:sz w:val="24"/>
          <w:szCs w:val="24"/>
        </w:rPr>
      </w:pPr>
      <w:r w:rsidRPr="002A3ACC">
        <w:rPr>
          <w:color w:val="000000" w:themeColor="text1"/>
          <w:spacing w:val="8"/>
          <w:sz w:val="24"/>
          <w:szCs w:val="24"/>
        </w:rPr>
        <w:t>These limitations do </w:t>
      </w:r>
      <w:r w:rsidRPr="002A3ACC">
        <w:rPr>
          <w:b/>
          <w:bCs/>
          <w:color w:val="000000" w:themeColor="text1"/>
          <w:spacing w:val="8"/>
          <w:sz w:val="24"/>
          <w:szCs w:val="24"/>
        </w:rPr>
        <w:t>not</w:t>
      </w:r>
      <w:r w:rsidRPr="002A3ACC">
        <w:rPr>
          <w:color w:val="000000" w:themeColor="text1"/>
          <w:spacing w:val="8"/>
          <w:sz w:val="24"/>
          <w:szCs w:val="24"/>
        </w:rPr>
        <w:t> apply where the customer is a member of the registered person's "immediate family</w:t>
      </w:r>
      <w:r w:rsidRPr="002A3ACC">
        <w:rPr>
          <w:color w:val="000000" w:themeColor="text1"/>
          <w:spacing w:val="8"/>
          <w:sz w:val="24"/>
          <w:szCs w:val="24"/>
          <w:vertAlign w:val="superscript"/>
        </w:rPr>
        <w:t>**</w:t>
      </w:r>
      <w:r w:rsidRPr="002A3ACC">
        <w:rPr>
          <w:color w:val="000000" w:themeColor="text1"/>
          <w:spacing w:val="8"/>
          <w:sz w:val="24"/>
          <w:szCs w:val="24"/>
        </w:rPr>
        <w:t>."  In addition, a registered person who does not have customer accounts assigned to him/her is not subject to these requirements.</w:t>
      </w:r>
    </w:p>
    <w:p w14:paraId="126965E9" w14:textId="77777777" w:rsidR="00C03915" w:rsidRPr="002A3ACC" w:rsidRDefault="00C03915" w:rsidP="00C03915">
      <w:pPr>
        <w:ind w:left="274"/>
        <w:rPr>
          <w:color w:val="000000" w:themeColor="text1"/>
          <w:spacing w:val="8"/>
          <w:sz w:val="24"/>
          <w:szCs w:val="24"/>
        </w:rPr>
      </w:pPr>
      <w:r w:rsidRPr="002A3ACC">
        <w:rPr>
          <w:color w:val="000000" w:themeColor="text1"/>
          <w:spacing w:val="8"/>
          <w:sz w:val="24"/>
          <w:szCs w:val="24"/>
        </w:rPr>
        <w:t>Exceptions to this limitation must be requested, in writing, from Compliance. The request must include the name(s) of the customer's account(s) and in what role the registered person will act (beneficiary, executor, trustee, </w:t>
      </w:r>
      <w:r w:rsidRPr="002A3ACC">
        <w:rPr>
          <w:i/>
          <w:iCs/>
          <w:color w:val="000000" w:themeColor="text1"/>
          <w:spacing w:val="8"/>
          <w:sz w:val="24"/>
          <w:szCs w:val="24"/>
        </w:rPr>
        <w:t>etc.</w:t>
      </w:r>
      <w:r w:rsidRPr="002A3ACC">
        <w:rPr>
          <w:color w:val="000000" w:themeColor="text1"/>
          <w:spacing w:val="8"/>
          <w:sz w:val="24"/>
          <w:szCs w:val="24"/>
        </w:rPr>
        <w:t>) as well as the following:</w:t>
      </w:r>
    </w:p>
    <w:p w14:paraId="7077459A" w14:textId="596E1049" w:rsidR="00C03915" w:rsidRPr="002A3ACC" w:rsidRDefault="00C03915" w:rsidP="0005402C">
      <w:pPr>
        <w:numPr>
          <w:ilvl w:val="0"/>
          <w:numId w:val="378"/>
        </w:numPr>
        <w:tabs>
          <w:tab w:val="clear" w:pos="720"/>
          <w:tab w:val="num" w:pos="810"/>
        </w:tabs>
        <w:ind w:left="810" w:hanging="270"/>
        <w:rPr>
          <w:color w:val="000000" w:themeColor="text1"/>
          <w:spacing w:val="8"/>
          <w:sz w:val="24"/>
          <w:szCs w:val="24"/>
        </w:rPr>
      </w:pPr>
      <w:r w:rsidRPr="002A3ACC">
        <w:rPr>
          <w:color w:val="000000" w:themeColor="text1"/>
          <w:spacing w:val="8"/>
          <w:sz w:val="24"/>
          <w:szCs w:val="24"/>
        </w:rPr>
        <w:t>length and type of relationship between the customer and the registered person;</w:t>
      </w:r>
    </w:p>
    <w:p w14:paraId="2AB61A5C" w14:textId="6E73B089" w:rsidR="00C03915" w:rsidRPr="002A3ACC" w:rsidRDefault="00C03915" w:rsidP="0005402C">
      <w:pPr>
        <w:numPr>
          <w:ilvl w:val="0"/>
          <w:numId w:val="378"/>
        </w:numPr>
        <w:tabs>
          <w:tab w:val="clear" w:pos="720"/>
          <w:tab w:val="num" w:pos="810"/>
        </w:tabs>
        <w:spacing w:before="100" w:beforeAutospacing="1" w:after="100" w:afterAutospacing="1"/>
        <w:ind w:left="810" w:hanging="270"/>
        <w:rPr>
          <w:color w:val="000000" w:themeColor="text1"/>
          <w:spacing w:val="8"/>
          <w:sz w:val="24"/>
          <w:szCs w:val="24"/>
        </w:rPr>
      </w:pPr>
      <w:r w:rsidRPr="002A3ACC">
        <w:rPr>
          <w:color w:val="000000" w:themeColor="text1"/>
          <w:spacing w:val="8"/>
          <w:sz w:val="24"/>
          <w:szCs w:val="24"/>
        </w:rPr>
        <w:t>the customer's age;</w:t>
      </w:r>
    </w:p>
    <w:p w14:paraId="271E072D" w14:textId="1A6D4F9A" w:rsidR="00C03915" w:rsidRPr="002A3ACC" w:rsidRDefault="00C03915" w:rsidP="0005402C">
      <w:pPr>
        <w:numPr>
          <w:ilvl w:val="0"/>
          <w:numId w:val="378"/>
        </w:numPr>
        <w:tabs>
          <w:tab w:val="clear" w:pos="720"/>
          <w:tab w:val="num" w:pos="810"/>
        </w:tabs>
        <w:spacing w:before="100" w:beforeAutospacing="1" w:after="100" w:afterAutospacing="1"/>
        <w:ind w:left="810" w:hanging="270"/>
        <w:rPr>
          <w:color w:val="000000" w:themeColor="text1"/>
          <w:spacing w:val="8"/>
          <w:sz w:val="24"/>
          <w:szCs w:val="24"/>
        </w:rPr>
      </w:pPr>
      <w:r w:rsidRPr="002A3ACC">
        <w:rPr>
          <w:color w:val="000000" w:themeColor="text1"/>
          <w:spacing w:val="8"/>
          <w:sz w:val="24"/>
          <w:szCs w:val="24"/>
        </w:rPr>
        <w:t>the size of any bequest relative to the size of the customer's estate;</w:t>
      </w:r>
    </w:p>
    <w:p w14:paraId="46061553" w14:textId="4F238092" w:rsidR="00C03915" w:rsidRPr="002A3ACC" w:rsidRDefault="00C03915" w:rsidP="0005402C">
      <w:pPr>
        <w:numPr>
          <w:ilvl w:val="0"/>
          <w:numId w:val="378"/>
        </w:numPr>
        <w:tabs>
          <w:tab w:val="clear" w:pos="720"/>
          <w:tab w:val="num" w:pos="810"/>
        </w:tabs>
        <w:spacing w:before="100" w:beforeAutospacing="1" w:after="100" w:afterAutospacing="1"/>
        <w:ind w:left="810" w:hanging="270"/>
        <w:rPr>
          <w:color w:val="000000" w:themeColor="text1"/>
          <w:spacing w:val="8"/>
          <w:sz w:val="24"/>
          <w:szCs w:val="24"/>
        </w:rPr>
      </w:pPr>
      <w:r w:rsidRPr="002A3ACC">
        <w:rPr>
          <w:color w:val="000000" w:themeColor="text1"/>
          <w:spacing w:val="8"/>
          <w:sz w:val="24"/>
          <w:szCs w:val="24"/>
        </w:rPr>
        <w:t>any remuneration to be paid to the RR;</w:t>
      </w:r>
      <w:r w:rsidR="00F435DE" w:rsidRPr="002A3ACC">
        <w:rPr>
          <w:color w:val="000000" w:themeColor="text1"/>
          <w:spacing w:val="8"/>
          <w:sz w:val="24"/>
          <w:szCs w:val="24"/>
        </w:rPr>
        <w:t xml:space="preserve"> and</w:t>
      </w:r>
    </w:p>
    <w:p w14:paraId="726CF208" w14:textId="20083915" w:rsidR="00C03915" w:rsidRPr="002A3ACC" w:rsidRDefault="00C03915" w:rsidP="0005402C">
      <w:pPr>
        <w:numPr>
          <w:ilvl w:val="0"/>
          <w:numId w:val="378"/>
        </w:numPr>
        <w:tabs>
          <w:tab w:val="clear" w:pos="720"/>
          <w:tab w:val="num" w:pos="810"/>
        </w:tabs>
        <w:spacing w:before="100" w:beforeAutospacing="1" w:after="100" w:afterAutospacing="1"/>
        <w:ind w:left="810" w:hanging="270"/>
        <w:rPr>
          <w:color w:val="000000" w:themeColor="text1"/>
          <w:spacing w:val="8"/>
          <w:sz w:val="24"/>
          <w:szCs w:val="24"/>
        </w:rPr>
      </w:pPr>
      <w:r w:rsidRPr="002A3ACC">
        <w:rPr>
          <w:color w:val="000000" w:themeColor="text1"/>
          <w:spacing w:val="8"/>
          <w:sz w:val="24"/>
          <w:szCs w:val="24"/>
        </w:rPr>
        <w:t>any customer mental or physical impairment that renders the customer unable to protect his or her own interests</w:t>
      </w:r>
      <w:r w:rsidR="00F435DE" w:rsidRPr="002A3ACC">
        <w:rPr>
          <w:color w:val="000000" w:themeColor="text1"/>
          <w:spacing w:val="8"/>
          <w:sz w:val="24"/>
          <w:szCs w:val="24"/>
        </w:rPr>
        <w:t>.</w:t>
      </w:r>
    </w:p>
    <w:p w14:paraId="588E17CA" w14:textId="77777777" w:rsidR="00C03915" w:rsidRPr="002A3ACC" w:rsidRDefault="00C03915" w:rsidP="00C03915">
      <w:pPr>
        <w:spacing w:before="15" w:after="100" w:afterAutospacing="1" w:line="240" w:lineRule="atLeast"/>
        <w:ind w:left="270"/>
        <w:rPr>
          <w:color w:val="000000" w:themeColor="text1"/>
          <w:spacing w:val="8"/>
          <w:sz w:val="24"/>
          <w:szCs w:val="24"/>
        </w:rPr>
      </w:pPr>
      <w:r w:rsidRPr="002A3ACC">
        <w:rPr>
          <w:color w:val="000000" w:themeColor="text1"/>
          <w:spacing w:val="8"/>
          <w:sz w:val="24"/>
          <w:szCs w:val="24"/>
        </w:rPr>
        <w:t>Registered persons may </w:t>
      </w:r>
      <w:r w:rsidRPr="002A3ACC">
        <w:rPr>
          <w:b/>
          <w:bCs/>
          <w:color w:val="000000" w:themeColor="text1"/>
          <w:spacing w:val="8"/>
          <w:sz w:val="24"/>
          <w:szCs w:val="24"/>
        </w:rPr>
        <w:t>not</w:t>
      </w:r>
      <w:r w:rsidRPr="002A3ACC">
        <w:rPr>
          <w:color w:val="000000" w:themeColor="text1"/>
          <w:spacing w:val="8"/>
          <w:sz w:val="24"/>
          <w:szCs w:val="24"/>
        </w:rPr>
        <w:t> accept such a role without </w:t>
      </w:r>
      <w:r w:rsidRPr="002A3ACC">
        <w:rPr>
          <w:b/>
          <w:bCs/>
          <w:color w:val="000000" w:themeColor="text1"/>
          <w:spacing w:val="8"/>
          <w:sz w:val="24"/>
          <w:szCs w:val="24"/>
        </w:rPr>
        <w:t>prior</w:t>
      </w:r>
      <w:r w:rsidRPr="002A3ACC">
        <w:rPr>
          <w:color w:val="000000" w:themeColor="text1"/>
          <w:spacing w:val="8"/>
          <w:sz w:val="24"/>
          <w:szCs w:val="24"/>
        </w:rPr>
        <w:t> approval from Compliance. In addition, a registered person may not instruct or ask a customer to name another person, such as the registered person's spouse or child, to be a beneficiary of the customer's estate or to receive a bequest from that estate.</w:t>
      </w:r>
    </w:p>
    <w:p w14:paraId="5E337606" w14:textId="6AD7DA4A" w:rsidR="00C03915" w:rsidRPr="002A3ACC" w:rsidRDefault="00F435DE" w:rsidP="00C03915">
      <w:pPr>
        <w:spacing w:before="15" w:after="100" w:afterAutospacing="1" w:line="240" w:lineRule="atLeast"/>
        <w:ind w:left="270"/>
        <w:rPr>
          <w:color w:val="000000" w:themeColor="text1"/>
          <w:spacing w:val="8"/>
          <w:sz w:val="24"/>
          <w:szCs w:val="24"/>
        </w:rPr>
      </w:pPr>
      <w:r w:rsidRPr="002A3ACC">
        <w:rPr>
          <w:noProof/>
          <w:color w:val="000000" w:themeColor="text1"/>
          <w:spacing w:val="8"/>
          <w:sz w:val="24"/>
          <w:szCs w:val="24"/>
        </w:rPr>
        <mc:AlternateContent>
          <mc:Choice Requires="wps">
            <w:drawing>
              <wp:anchor distT="45720" distB="45720" distL="114300" distR="114300" simplePos="0" relativeHeight="251665920" behindDoc="0" locked="0" layoutInCell="1" allowOverlap="1" wp14:anchorId="178B2526" wp14:editId="435CF025">
                <wp:simplePos x="0" y="0"/>
                <wp:positionH relativeFrom="column">
                  <wp:posOffset>200025</wp:posOffset>
                </wp:positionH>
                <wp:positionV relativeFrom="paragraph">
                  <wp:posOffset>868680</wp:posOffset>
                </wp:positionV>
                <wp:extent cx="5524500" cy="181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819275"/>
                        </a:xfrm>
                        <a:prstGeom prst="rect">
                          <a:avLst/>
                        </a:prstGeom>
                        <a:solidFill>
                          <a:schemeClr val="bg1">
                            <a:lumMod val="85000"/>
                          </a:schemeClr>
                        </a:solidFill>
                        <a:ln w="9525">
                          <a:solidFill>
                            <a:srgbClr val="000000"/>
                          </a:solidFill>
                          <a:miter lim="800000"/>
                          <a:headEnd/>
                          <a:tailEnd/>
                        </a:ln>
                      </wps:spPr>
                      <wps:txbx>
                        <w:txbxContent>
                          <w:p w14:paraId="4408E465" w14:textId="217CBAC4" w:rsidR="004613CE" w:rsidRPr="00323414" w:rsidRDefault="004613CE" w:rsidP="00F435DE">
                            <w:pPr>
                              <w:rPr>
                                <w:color w:val="000000" w:themeColor="text1"/>
                              </w:rPr>
                            </w:pPr>
                            <w:r w:rsidRPr="00323414">
                              <w:rPr>
                                <w:color w:val="000000" w:themeColor="text1"/>
                                <w:spacing w:val="8"/>
                                <w:shd w:val="clear" w:color="auto" w:fill="D9D9D9" w:themeFill="background1" w:themeFillShade="D9"/>
                                <w:vertAlign w:val="superscript"/>
                              </w:rPr>
                              <w:t>*</w:t>
                            </w:r>
                            <w:r w:rsidRPr="00323414">
                              <w:rPr>
                                <w:color w:val="000000" w:themeColor="text1"/>
                                <w:spacing w:val="8"/>
                                <w:shd w:val="clear" w:color="auto" w:fill="D9D9D9" w:themeFill="background1" w:themeFillShade="D9"/>
                              </w:rPr>
                              <w:t>"Customer" under this Rule includes any customer that has, or in the previous six months had, a securities account assigned to the registered person including a brokerage account, mutual fund account or variable insurance product account and accounts held directly at a mutual fund or variable insurance product issuer. It also includes someone who is a customer of another broker-dealer which subjects the activity to Rule 3241 on limitations explained in this section as well as Rule 3270 regarding outside business activities.</w:t>
                            </w:r>
                            <w:r w:rsidRPr="00323414">
                              <w:rPr>
                                <w:color w:val="000000" w:themeColor="text1"/>
                                <w:spacing w:val="8"/>
                              </w:rPr>
                              <w:br/>
                            </w:r>
                            <w:r w:rsidRPr="00323414">
                              <w:rPr>
                                <w:rFonts w:ascii="Tahoma" w:hAnsi="Tahoma" w:cs="Tahoma"/>
                                <w:color w:val="000000" w:themeColor="text1"/>
                                <w:spacing w:val="8"/>
                                <w:sz w:val="18"/>
                                <w:szCs w:val="18"/>
                              </w:rPr>
                              <w:br/>
                            </w:r>
                            <w:r w:rsidRPr="00323414">
                              <w:rPr>
                                <w:rFonts w:ascii="Tahoma" w:hAnsi="Tahoma" w:cs="Tahoma"/>
                                <w:color w:val="000000" w:themeColor="text1"/>
                                <w:spacing w:val="8"/>
                                <w:shd w:val="clear" w:color="auto" w:fill="D9D9D9" w:themeFill="background1" w:themeFillShade="D9"/>
                                <w:vertAlign w:val="superscript"/>
                              </w:rPr>
                              <w:t>**</w:t>
                            </w:r>
                            <w:r w:rsidRPr="00323414">
                              <w:rPr>
                                <w:rFonts w:ascii="Tahoma" w:hAnsi="Tahoma" w:cs="Tahoma"/>
                                <w:color w:val="000000" w:themeColor="text1"/>
                                <w:spacing w:val="8"/>
                                <w:sz w:val="18"/>
                                <w:szCs w:val="18"/>
                                <w:shd w:val="clear" w:color="auto" w:fill="D9D9D9" w:themeFill="background1" w:themeFillShade="D9"/>
                              </w:rPr>
                              <w:t>For purposes of Rule 3241, "immediate family" includes parents, grandparents, in-laws, spouse or domestic partner, sibling, children, grandchildren, first cousin, aunt or uncle, niece or nephew, and any other person who resides in the same household as the registered person and the registered person financially supports, directly or indirectly, to a material extent, and including step and adoptive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B2526" id="_x0000_t202" coordsize="21600,21600" o:spt="202" path="m,l,21600r21600,l21600,xe">
                <v:stroke joinstyle="miter"/>
                <v:path gradientshapeok="t" o:connecttype="rect"/>
              </v:shapetype>
              <v:shape id="Text Box 2" o:spid="_x0000_s1026" type="#_x0000_t202" style="position:absolute;left:0;text-align:left;margin-left:15.75pt;margin-top:68.4pt;width:435pt;height:143.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" fillcolor="#d8d8d8 [2732]">
                <v:textbox>
                  <w:txbxContent>
                    <w:p w14:paraId="4408E465" w14:textId="217CBAC4" w:rsidR="004613CE" w:rsidRPr="00323414" w:rsidRDefault="004613CE" w:rsidP="00F435DE">
                      <w:pPr>
                        <w:rPr>
                          <w:color w:val="000000" w:themeColor="text1"/>
                        </w:rPr>
                      </w:pPr>
                      <w:r w:rsidRPr="00323414">
                        <w:rPr>
                          <w:color w:val="000000" w:themeColor="text1"/>
                          <w:spacing w:val="8"/>
                          <w:shd w:val="clear" w:color="auto" w:fill="D9D9D9" w:themeFill="background1" w:themeFillShade="D9"/>
                          <w:vertAlign w:val="superscript"/>
                        </w:rPr>
                        <w:t>*</w:t>
                      </w:r>
                      <w:r w:rsidRPr="00323414">
                        <w:rPr>
                          <w:color w:val="000000" w:themeColor="text1"/>
                          <w:spacing w:val="8"/>
                          <w:shd w:val="clear" w:color="auto" w:fill="D9D9D9" w:themeFill="background1" w:themeFillShade="D9"/>
                        </w:rPr>
                        <w:t>"Customer" under this Rule includes any customer that has, or in the previous six months had, a securities account assigned to the registered person including a brokerage account, mutual fund account or variable insurance product account and accounts held directly at a mutual fund or variable insurance product issuer. It also includes someone who is a customer of another broker-dealer which subjects the activity to Rule 3241 on limitations explained in this section as well as Rule 3270 regarding outside business activities.</w:t>
                      </w:r>
                      <w:r w:rsidRPr="00323414">
                        <w:rPr>
                          <w:color w:val="000000" w:themeColor="text1"/>
                          <w:spacing w:val="8"/>
                        </w:rPr>
                        <w:br/>
                      </w:r>
                      <w:r w:rsidRPr="00323414">
                        <w:rPr>
                          <w:rFonts w:ascii="Tahoma" w:hAnsi="Tahoma" w:cs="Tahoma"/>
                          <w:color w:val="000000" w:themeColor="text1"/>
                          <w:spacing w:val="8"/>
                          <w:sz w:val="18"/>
                          <w:szCs w:val="18"/>
                        </w:rPr>
                        <w:br/>
                      </w:r>
                      <w:r w:rsidRPr="00323414">
                        <w:rPr>
                          <w:rFonts w:ascii="Tahoma" w:hAnsi="Tahoma" w:cs="Tahoma"/>
                          <w:color w:val="000000" w:themeColor="text1"/>
                          <w:spacing w:val="8"/>
                          <w:shd w:val="clear" w:color="auto" w:fill="D9D9D9" w:themeFill="background1" w:themeFillShade="D9"/>
                          <w:vertAlign w:val="superscript"/>
                        </w:rPr>
                        <w:t>**</w:t>
                      </w:r>
                      <w:r w:rsidRPr="00323414">
                        <w:rPr>
                          <w:rFonts w:ascii="Tahoma" w:hAnsi="Tahoma" w:cs="Tahoma"/>
                          <w:color w:val="000000" w:themeColor="text1"/>
                          <w:spacing w:val="8"/>
                          <w:sz w:val="18"/>
                          <w:szCs w:val="18"/>
                          <w:shd w:val="clear" w:color="auto" w:fill="D9D9D9" w:themeFill="background1" w:themeFillShade="D9"/>
                        </w:rPr>
                        <w:t>For purposes of Rule 3241, "immediate family" includes parents, grandparents, in-laws, spouse or domestic partner, sibling, children, grandchildren, first cousin, aunt or uncle, niece or nephew, and any other person who resides in the same household as the registered person and the registered person financially supports, directly or indirectly, to a material extent, and including step and adoptive relationships.</w:t>
                      </w:r>
                    </w:p>
                  </w:txbxContent>
                </v:textbox>
                <w10:wrap type="square"/>
              </v:shape>
            </w:pict>
          </mc:Fallback>
        </mc:AlternateContent>
      </w:r>
      <w:r w:rsidR="00C03915" w:rsidRPr="002A3ACC">
        <w:rPr>
          <w:color w:val="000000" w:themeColor="text1"/>
          <w:spacing w:val="8"/>
          <w:sz w:val="24"/>
          <w:szCs w:val="24"/>
        </w:rPr>
        <w:t>In the event a registered person unknowingly becomes the subject of these limitations (</w:t>
      </w:r>
      <w:r w:rsidR="00C03915" w:rsidRPr="002A3ACC">
        <w:rPr>
          <w:i/>
          <w:iCs/>
          <w:color w:val="000000" w:themeColor="text1"/>
          <w:spacing w:val="8"/>
          <w:sz w:val="24"/>
          <w:szCs w:val="24"/>
        </w:rPr>
        <w:t>e.g.,</w:t>
      </w:r>
      <w:r w:rsidR="00C03915" w:rsidRPr="002A3ACC">
        <w:rPr>
          <w:color w:val="000000" w:themeColor="text1"/>
          <w:spacing w:val="8"/>
          <w:sz w:val="24"/>
          <w:szCs w:val="24"/>
        </w:rPr>
        <w:t> notification of receiving a bequest, being named an executor, </w:t>
      </w:r>
      <w:r w:rsidR="00C03915" w:rsidRPr="002A3ACC">
        <w:rPr>
          <w:i/>
          <w:iCs/>
          <w:color w:val="000000" w:themeColor="text1"/>
          <w:spacing w:val="8"/>
          <w:sz w:val="24"/>
          <w:szCs w:val="24"/>
        </w:rPr>
        <w:t>etc.</w:t>
      </w:r>
      <w:r w:rsidR="00C03915" w:rsidRPr="002A3ACC">
        <w:rPr>
          <w:color w:val="000000" w:themeColor="text1"/>
          <w:spacing w:val="8"/>
          <w:sz w:val="24"/>
          <w:szCs w:val="24"/>
        </w:rPr>
        <w:t>), the registered person is obligated to decline the role or bequest unless written notice is provided to Compliance and approval is received.</w:t>
      </w:r>
    </w:p>
    <w:p w14:paraId="6E8EFC21" w14:textId="77777777" w:rsidR="00CD2710" w:rsidRPr="00604A2C" w:rsidRDefault="00CD2710" w:rsidP="00CD2710">
      <w:pPr>
        <w:ind w:left="270"/>
      </w:pPr>
    </w:p>
    <w:p w14:paraId="7E6B666F" w14:textId="77777777" w:rsidR="003B22F5" w:rsidRDefault="003B22F5" w:rsidP="00667311"/>
    <w:p w14:paraId="7945B89E" w14:textId="77777777" w:rsidR="003B22F5" w:rsidRPr="004542EF" w:rsidRDefault="00126A56" w:rsidP="00936FEE">
      <w:pPr>
        <w:pStyle w:val="Heading2"/>
      </w:pPr>
      <w:r>
        <w:lastRenderedPageBreak/>
        <w:t>4.2</w:t>
      </w:r>
      <w:r w:rsidR="000737DD">
        <w:t>7</w:t>
      </w:r>
      <w:r>
        <w:t xml:space="preserve"> </w:t>
      </w:r>
      <w:r w:rsidR="003B22F5" w:rsidRPr="00775CC3">
        <w:t xml:space="preserve">FINRA Rule 2060-Use of Information Obtained in Fiduciary Capacity </w:t>
      </w:r>
      <w:r w:rsidR="003B22F5" w:rsidRPr="004542EF">
        <w:rPr>
          <w:i/>
          <w:sz w:val="20"/>
          <w:szCs w:val="20"/>
        </w:rPr>
        <w:t>(</w:t>
      </w:r>
      <w:proofErr w:type="gramStart"/>
      <w:r w:rsidR="003B22F5" w:rsidRPr="004542EF">
        <w:rPr>
          <w:i/>
          <w:sz w:val="20"/>
          <w:szCs w:val="20"/>
        </w:rPr>
        <w:t>eff</w:t>
      </w:r>
      <w:proofErr w:type="gramEnd"/>
      <w:r w:rsidR="003B22F5" w:rsidRPr="004542EF">
        <w:rPr>
          <w:i/>
          <w:sz w:val="20"/>
          <w:szCs w:val="20"/>
        </w:rPr>
        <w:t xml:space="preserve"> 2/15/10)</w:t>
      </w:r>
    </w:p>
    <w:p w14:paraId="02C86ED4" w14:textId="77777777" w:rsidR="003B22F5" w:rsidRDefault="003B22F5" w:rsidP="00FF6FB1">
      <w:pPr>
        <w:shd w:val="clear" w:color="auto" w:fill="FFFFFF"/>
        <w:jc w:val="both"/>
        <w:rPr>
          <w:sz w:val="24"/>
          <w:szCs w:val="24"/>
        </w:rPr>
      </w:pPr>
      <w:r w:rsidRPr="009165DF">
        <w:rPr>
          <w:sz w:val="24"/>
          <w:szCs w:val="24"/>
        </w:rPr>
        <w:t xml:space="preserve">If Company, in acting as paying agent, transfer agent, trustee, or in any other similar capacity, has received information as to the ownership of securities, shall under no circumstances make use of such information for the purpose of soliciting purchases, sales or exchanges except at the request and on behalf of the issuer. </w:t>
      </w:r>
    </w:p>
    <w:p w14:paraId="5E505E01" w14:textId="77777777" w:rsidR="00CF2B79" w:rsidRDefault="00CF2B79" w:rsidP="00FF6FB1">
      <w:pPr>
        <w:shd w:val="clear" w:color="auto" w:fill="FFFFFF"/>
        <w:jc w:val="both"/>
        <w:rPr>
          <w:sz w:val="24"/>
          <w:szCs w:val="24"/>
        </w:rPr>
      </w:pPr>
    </w:p>
    <w:p w14:paraId="4C3345E6" w14:textId="77777777" w:rsidR="00CF2B79" w:rsidRDefault="00CF2B79" w:rsidP="00FF6FB1">
      <w:pPr>
        <w:shd w:val="clear" w:color="auto" w:fill="FFFFFF"/>
        <w:jc w:val="both"/>
        <w:rPr>
          <w:sz w:val="24"/>
          <w:szCs w:val="24"/>
        </w:rPr>
      </w:pPr>
    </w:p>
    <w:p w14:paraId="660D6ADC" w14:textId="60751878" w:rsidR="00CF2B79" w:rsidRPr="009165DF" w:rsidRDefault="00CF2B79" w:rsidP="00936FEE">
      <w:pPr>
        <w:pStyle w:val="Heading2"/>
      </w:pPr>
      <w:bookmarkStart w:id="57" w:name="_Hlk40877002"/>
      <w:r>
        <w:t>4.2</w:t>
      </w:r>
      <w:r w:rsidR="000737DD">
        <w:t>8</w:t>
      </w:r>
      <w:r>
        <w:t xml:space="preserve"> Enhanced </w:t>
      </w:r>
      <w:r w:rsidR="00E307DF">
        <w:t xml:space="preserve">&amp; Non-Cash </w:t>
      </w:r>
      <w:r>
        <w:t>Compensation</w:t>
      </w:r>
    </w:p>
    <w:bookmarkEnd w:id="57"/>
    <w:p w14:paraId="2BC95FC0" w14:textId="11F2556E" w:rsidR="00667311" w:rsidRDefault="00CF2B79" w:rsidP="00FF6FB1">
      <w:pPr>
        <w:jc w:val="both"/>
        <w:rPr>
          <w:sz w:val="24"/>
          <w:szCs w:val="24"/>
        </w:rPr>
      </w:pPr>
      <w:r w:rsidRPr="009F1432">
        <w:rPr>
          <w:sz w:val="24"/>
          <w:szCs w:val="24"/>
        </w:rPr>
        <w:t xml:space="preserve">Company may hire experienced Registered Reps from other broker/dealers and offer </w:t>
      </w:r>
      <w:r w:rsidRPr="00E307DF">
        <w:rPr>
          <w:b/>
          <w:bCs/>
          <w:sz w:val="24"/>
          <w:szCs w:val="24"/>
        </w:rPr>
        <w:t>enhanced compensation</w:t>
      </w:r>
      <w:r w:rsidRPr="009F1432">
        <w:rPr>
          <w:sz w:val="24"/>
          <w:szCs w:val="24"/>
        </w:rPr>
        <w:t xml:space="preserve"> to attract qualified individuals for employment</w:t>
      </w:r>
      <w:r w:rsidR="004023D4" w:rsidRPr="009F1432">
        <w:rPr>
          <w:sz w:val="24"/>
          <w:szCs w:val="24"/>
        </w:rPr>
        <w:t xml:space="preserve"> and to assist in the transition period when a Rep moves from another firm.  Compensation agreements may include up-front bonuses, higher payouts for a period of time, payment of licensing fees (where the Company otherwise would not pay them) and other enhanced compensation determined at the time an offer is made.  During the time of enhanced compensation, any applicable Rep’s business will be reviewed </w:t>
      </w:r>
      <w:r w:rsidR="00196769" w:rsidRPr="009F1432">
        <w:rPr>
          <w:sz w:val="24"/>
          <w:szCs w:val="24"/>
        </w:rPr>
        <w:t xml:space="preserve">by Compliance </w:t>
      </w:r>
      <w:r w:rsidR="004023D4" w:rsidRPr="009F1432">
        <w:rPr>
          <w:sz w:val="24"/>
          <w:szCs w:val="24"/>
        </w:rPr>
        <w:t>to specifically identify</w:t>
      </w:r>
      <w:r w:rsidR="007E5019" w:rsidRPr="009F1432">
        <w:rPr>
          <w:sz w:val="24"/>
          <w:szCs w:val="24"/>
        </w:rPr>
        <w:t xml:space="preserve"> any improper activity to maximize commissions such as churning or unsuitable</w:t>
      </w:r>
      <w:r w:rsidR="00196769" w:rsidRPr="009F1432">
        <w:rPr>
          <w:sz w:val="24"/>
          <w:szCs w:val="24"/>
        </w:rPr>
        <w:t xml:space="preserve"> recommendations.  If any improper activities are identified, corrective action may be taken which may include conferring with the Rep, contacting customers, cancelling transactions, or any other corrective action deemed appropriate.</w:t>
      </w:r>
    </w:p>
    <w:p w14:paraId="18C40F17" w14:textId="3483ACB0" w:rsidR="008D260E" w:rsidRDefault="008D260E" w:rsidP="00FF6FB1">
      <w:pPr>
        <w:jc w:val="both"/>
        <w:rPr>
          <w:sz w:val="24"/>
          <w:szCs w:val="24"/>
        </w:rPr>
      </w:pPr>
    </w:p>
    <w:p w14:paraId="3A84B2C8" w14:textId="7F9F727F" w:rsidR="008D260E" w:rsidRPr="007F0C5D" w:rsidRDefault="008D260E" w:rsidP="00FF6FB1">
      <w:pPr>
        <w:jc w:val="both"/>
        <w:rPr>
          <w:sz w:val="24"/>
          <w:szCs w:val="24"/>
        </w:rPr>
      </w:pPr>
      <w:r w:rsidRPr="007F0C5D">
        <w:rPr>
          <w:spacing w:val="8"/>
          <w:sz w:val="24"/>
          <w:szCs w:val="24"/>
          <w:shd w:val="clear" w:color="auto" w:fill="FFFFFF"/>
        </w:rPr>
        <w:t>Regulators' rules restrict compensation relating to the sale and distribution of debt, equity, direct participation program (DPP), REIT securities, and municipal securities. Employees may not accept (directly or indirectly) cash or non-cash compensation from outside firms or persons. The only exception includes compensation arrangements specifically approved by Company. Sales contests, sales quotas, bonuses, and non-cash compensation based on the sale of specific securities or securities types within a limited period of time are not permitted. These activities must be consistent with the applicable requirements of Regulation Best Interest.</w:t>
      </w:r>
    </w:p>
    <w:p w14:paraId="222EAF20" w14:textId="740118C4" w:rsidR="00E307DF" w:rsidRPr="007F0C5D" w:rsidRDefault="00E307DF" w:rsidP="00FF6FB1">
      <w:pPr>
        <w:jc w:val="both"/>
        <w:rPr>
          <w:sz w:val="24"/>
          <w:szCs w:val="24"/>
        </w:rPr>
      </w:pPr>
    </w:p>
    <w:p w14:paraId="23D68FD0" w14:textId="1A6972C6" w:rsidR="00E307DF" w:rsidRPr="007F0C5D" w:rsidRDefault="00E307DF" w:rsidP="008C69F8">
      <w:pPr>
        <w:rPr>
          <w:b/>
          <w:bCs/>
          <w:spacing w:val="8"/>
          <w:sz w:val="24"/>
          <w:szCs w:val="24"/>
        </w:rPr>
      </w:pPr>
      <w:bookmarkStart w:id="58" w:name="_Hlk40877071"/>
      <w:r w:rsidRPr="007F0C5D">
        <w:rPr>
          <w:spacing w:val="8"/>
          <w:sz w:val="24"/>
          <w:szCs w:val="24"/>
        </w:rPr>
        <w:t xml:space="preserve">The following types of </w:t>
      </w:r>
      <w:r w:rsidRPr="007F0C5D">
        <w:rPr>
          <w:b/>
          <w:bCs/>
          <w:spacing w:val="8"/>
          <w:sz w:val="24"/>
          <w:szCs w:val="24"/>
        </w:rPr>
        <w:t>non-cash compensation</w:t>
      </w:r>
      <w:r w:rsidRPr="007F0C5D">
        <w:rPr>
          <w:spacing w:val="8"/>
          <w:sz w:val="24"/>
          <w:szCs w:val="24"/>
        </w:rPr>
        <w:t xml:space="preserve"> are allowed provided they are </w:t>
      </w:r>
      <w:r w:rsidRPr="007F0C5D">
        <w:rPr>
          <w:b/>
          <w:bCs/>
          <w:spacing w:val="8"/>
          <w:sz w:val="24"/>
          <w:szCs w:val="24"/>
          <w:u w:val="single"/>
        </w:rPr>
        <w:t>not</w:t>
      </w:r>
      <w:r w:rsidRPr="007F0C5D">
        <w:rPr>
          <w:b/>
          <w:bCs/>
          <w:spacing w:val="8"/>
          <w:sz w:val="24"/>
          <w:szCs w:val="24"/>
        </w:rPr>
        <w:t xml:space="preserve"> preconditioned on achieving a sales goal:</w:t>
      </w:r>
    </w:p>
    <w:p w14:paraId="5A64CBBA" w14:textId="77777777" w:rsidR="008C69F8" w:rsidRPr="007F0C5D" w:rsidRDefault="008C69F8" w:rsidP="008C69F8">
      <w:pPr>
        <w:rPr>
          <w:spacing w:val="8"/>
          <w:sz w:val="16"/>
          <w:szCs w:val="16"/>
        </w:rPr>
      </w:pPr>
    </w:p>
    <w:p w14:paraId="7957D6C2" w14:textId="77777777" w:rsidR="00E307DF" w:rsidRPr="007F0C5D" w:rsidRDefault="00E307DF" w:rsidP="0005402C">
      <w:pPr>
        <w:numPr>
          <w:ilvl w:val="0"/>
          <w:numId w:val="356"/>
        </w:numPr>
        <w:rPr>
          <w:spacing w:val="8"/>
          <w:sz w:val="24"/>
          <w:szCs w:val="24"/>
        </w:rPr>
      </w:pPr>
      <w:r w:rsidRPr="007F0C5D">
        <w:rPr>
          <w:spacing w:val="8"/>
          <w:sz w:val="24"/>
          <w:szCs w:val="24"/>
        </w:rPr>
        <w:t>Gifts amounting in aggregate value not exceeding $100 annually, per person. All gifts must be reported to Compliance under Company's Gifts, Gratuities and Entertainment policy.</w:t>
      </w:r>
    </w:p>
    <w:p w14:paraId="39D6CA29" w14:textId="77777777" w:rsidR="00E307DF" w:rsidRPr="007F0C5D" w:rsidRDefault="00E307DF" w:rsidP="0005402C">
      <w:pPr>
        <w:numPr>
          <w:ilvl w:val="0"/>
          <w:numId w:val="356"/>
        </w:numPr>
        <w:spacing w:before="100" w:beforeAutospacing="1" w:after="100" w:afterAutospacing="1"/>
        <w:rPr>
          <w:spacing w:val="8"/>
          <w:sz w:val="24"/>
          <w:szCs w:val="24"/>
        </w:rPr>
      </w:pPr>
      <w:r w:rsidRPr="007F0C5D">
        <w:rPr>
          <w:spacing w:val="8"/>
          <w:sz w:val="24"/>
          <w:szCs w:val="24"/>
        </w:rPr>
        <w:t>An occasional meal, ticket to a sporting event or show, or comparable entertainment that is not so frequent nor so extensive as to raise any question of propriety.</w:t>
      </w:r>
    </w:p>
    <w:p w14:paraId="00166023" w14:textId="77777777" w:rsidR="00E307DF" w:rsidRPr="007F0C5D" w:rsidRDefault="00E307DF" w:rsidP="0005402C">
      <w:pPr>
        <w:numPr>
          <w:ilvl w:val="0"/>
          <w:numId w:val="356"/>
        </w:numPr>
        <w:spacing w:before="100" w:beforeAutospacing="1" w:after="100" w:afterAutospacing="1"/>
        <w:rPr>
          <w:spacing w:val="8"/>
          <w:sz w:val="24"/>
          <w:szCs w:val="24"/>
        </w:rPr>
      </w:pPr>
      <w:r w:rsidRPr="007F0C5D">
        <w:rPr>
          <w:spacing w:val="8"/>
          <w:sz w:val="24"/>
          <w:szCs w:val="24"/>
        </w:rPr>
        <w:t xml:space="preserve">Payment or reimbursement in connection with training or educational meetings, subject to several conditions. </w:t>
      </w:r>
      <w:r w:rsidRPr="007F0C5D">
        <w:rPr>
          <w:i/>
          <w:iCs/>
          <w:spacing w:val="8"/>
          <w:sz w:val="24"/>
          <w:szCs w:val="24"/>
        </w:rPr>
        <w:t>Note:</w:t>
      </w:r>
      <w:r w:rsidRPr="007F0C5D">
        <w:rPr>
          <w:spacing w:val="8"/>
          <w:sz w:val="24"/>
          <w:szCs w:val="24"/>
        </w:rPr>
        <w:t xml:space="preserve"> Prior approval must be obtained from the designated supervisor before participating in such meetings.</w:t>
      </w:r>
    </w:p>
    <w:p w14:paraId="7572DF00" w14:textId="77777777" w:rsidR="00E307DF" w:rsidRPr="007F0C5D" w:rsidRDefault="00E307DF" w:rsidP="0005402C">
      <w:pPr>
        <w:numPr>
          <w:ilvl w:val="0"/>
          <w:numId w:val="356"/>
        </w:numPr>
        <w:spacing w:before="100" w:beforeAutospacing="1" w:after="100" w:afterAutospacing="1"/>
        <w:rPr>
          <w:spacing w:val="8"/>
          <w:sz w:val="24"/>
          <w:szCs w:val="24"/>
        </w:rPr>
      </w:pPr>
      <w:r w:rsidRPr="007F0C5D">
        <w:rPr>
          <w:spacing w:val="8"/>
          <w:sz w:val="24"/>
          <w:szCs w:val="24"/>
        </w:rPr>
        <w:t xml:space="preserve">The location of the meeting is appropriate for its purpose, </w:t>
      </w:r>
      <w:r w:rsidRPr="007F0C5D">
        <w:rPr>
          <w:i/>
          <w:iCs/>
          <w:spacing w:val="8"/>
          <w:sz w:val="24"/>
          <w:szCs w:val="24"/>
        </w:rPr>
        <w:t>e.g.,</w:t>
      </w:r>
      <w:r w:rsidRPr="007F0C5D">
        <w:rPr>
          <w:spacing w:val="8"/>
          <w:sz w:val="24"/>
          <w:szCs w:val="24"/>
        </w:rPr>
        <w:t xml:space="preserve"> a U.S. office of the offeror or member holding the meeting, or a facility located in the vicinity of such office, or a U.S. regional location with respect to meetings of associated persons who work within that region or where a significant or representative asset of a DPP or REIT is located (inspection of real estate, oil and gas production facilities, and other types of assets that will be held and managed by the program). The designated supervisor will determine the appropriateness of the meeting.</w:t>
      </w:r>
    </w:p>
    <w:p w14:paraId="52E1FD5C" w14:textId="77777777" w:rsidR="00E307DF" w:rsidRPr="007F0C5D" w:rsidRDefault="00E307DF" w:rsidP="0005402C">
      <w:pPr>
        <w:numPr>
          <w:ilvl w:val="0"/>
          <w:numId w:val="356"/>
        </w:numPr>
        <w:spacing w:before="100" w:beforeAutospacing="1" w:after="100" w:afterAutospacing="1"/>
        <w:rPr>
          <w:spacing w:val="8"/>
          <w:sz w:val="24"/>
          <w:szCs w:val="24"/>
        </w:rPr>
      </w:pPr>
      <w:r w:rsidRPr="007F0C5D">
        <w:rPr>
          <w:spacing w:val="8"/>
          <w:sz w:val="24"/>
          <w:szCs w:val="24"/>
        </w:rPr>
        <w:lastRenderedPageBreak/>
        <w:t xml:space="preserve">Only expenses incurred by Company or its employees are eligible for payment. Expenses for guests of employees (spouse, </w:t>
      </w:r>
      <w:r w:rsidRPr="007F0C5D">
        <w:rPr>
          <w:i/>
          <w:iCs/>
          <w:spacing w:val="8"/>
          <w:sz w:val="24"/>
          <w:szCs w:val="24"/>
        </w:rPr>
        <w:t>etc.</w:t>
      </w:r>
      <w:r w:rsidRPr="007F0C5D">
        <w:rPr>
          <w:spacing w:val="8"/>
          <w:sz w:val="24"/>
          <w:szCs w:val="24"/>
        </w:rPr>
        <w:t>) will not be reimbursed.</w:t>
      </w:r>
    </w:p>
    <w:p w14:paraId="42C18B5D" w14:textId="65AAF51A" w:rsidR="00E307DF" w:rsidRPr="007F0C5D" w:rsidRDefault="00E307DF" w:rsidP="0005402C">
      <w:pPr>
        <w:numPr>
          <w:ilvl w:val="0"/>
          <w:numId w:val="356"/>
        </w:numPr>
        <w:spacing w:before="100" w:beforeAutospacing="1" w:after="100" w:afterAutospacing="1"/>
        <w:rPr>
          <w:spacing w:val="8"/>
          <w:sz w:val="24"/>
          <w:szCs w:val="24"/>
        </w:rPr>
      </w:pPr>
      <w:r w:rsidRPr="007F0C5D">
        <w:rPr>
          <w:spacing w:val="8"/>
          <w:sz w:val="24"/>
          <w:szCs w:val="24"/>
        </w:rPr>
        <w:t xml:space="preserve">Refer to the section </w:t>
      </w:r>
      <w:r w:rsidRPr="007F0C5D">
        <w:rPr>
          <w:i/>
          <w:iCs/>
          <w:spacing w:val="8"/>
          <w:sz w:val="24"/>
          <w:szCs w:val="24"/>
        </w:rPr>
        <w:t>Conflicts Of Interest</w:t>
      </w:r>
      <w:r w:rsidRPr="007F0C5D">
        <w:rPr>
          <w:spacing w:val="8"/>
          <w:sz w:val="24"/>
          <w:szCs w:val="24"/>
        </w:rPr>
        <w:t xml:space="preserve"> in the chapter </w:t>
      </w:r>
      <w:r w:rsidRPr="007F0C5D">
        <w:rPr>
          <w:i/>
          <w:iCs/>
          <w:spacing w:val="8"/>
          <w:sz w:val="24"/>
          <w:szCs w:val="24"/>
        </w:rPr>
        <w:t>REGULATION BEST INTEREST (BI)</w:t>
      </w:r>
      <w:r w:rsidRPr="007F0C5D">
        <w:rPr>
          <w:spacing w:val="8"/>
          <w:sz w:val="24"/>
          <w:szCs w:val="24"/>
        </w:rPr>
        <w:t xml:space="preserve"> for details regarding conflicts involving compensation.</w:t>
      </w:r>
    </w:p>
    <w:p w14:paraId="633E446E" w14:textId="3EFC4D8F" w:rsidR="00E307DF" w:rsidRPr="007F0C5D" w:rsidRDefault="00E307DF" w:rsidP="0005402C">
      <w:pPr>
        <w:numPr>
          <w:ilvl w:val="0"/>
          <w:numId w:val="356"/>
        </w:numPr>
        <w:spacing w:before="15" w:beforeAutospacing="1" w:after="100" w:afterAutospacing="1" w:line="240" w:lineRule="atLeast"/>
        <w:rPr>
          <w:spacing w:val="8"/>
          <w:sz w:val="24"/>
          <w:szCs w:val="24"/>
        </w:rPr>
      </w:pPr>
      <w:r w:rsidRPr="007F0C5D">
        <w:rPr>
          <w:spacing w:val="8"/>
          <w:sz w:val="24"/>
          <w:szCs w:val="24"/>
        </w:rPr>
        <w:t xml:space="preserve">RRs shall complete a Non-Cash Compensation notice form and provide to </w:t>
      </w:r>
      <w:r w:rsidR="007F51E7" w:rsidRPr="007F0C5D">
        <w:rPr>
          <w:spacing w:val="8"/>
          <w:sz w:val="24"/>
          <w:szCs w:val="24"/>
        </w:rPr>
        <w:t xml:space="preserve">the designated supervisor and/or </w:t>
      </w:r>
      <w:r w:rsidRPr="007F0C5D">
        <w:rPr>
          <w:spacing w:val="8"/>
          <w:sz w:val="24"/>
          <w:szCs w:val="24"/>
        </w:rPr>
        <w:t>Compliance for approval and recordkeeping.</w:t>
      </w:r>
    </w:p>
    <w:p w14:paraId="1D301AD2" w14:textId="705623B9" w:rsidR="00E307DF" w:rsidRPr="007F0C5D" w:rsidRDefault="00E307DF" w:rsidP="00E307DF">
      <w:pPr>
        <w:rPr>
          <w:spacing w:val="8"/>
          <w:sz w:val="24"/>
          <w:szCs w:val="24"/>
        </w:rPr>
      </w:pPr>
      <w:r w:rsidRPr="007F0C5D">
        <w:rPr>
          <w:spacing w:val="8"/>
          <w:sz w:val="24"/>
          <w:szCs w:val="24"/>
        </w:rPr>
        <w:t xml:space="preserve">Non-cash sales incentive programs </w:t>
      </w:r>
      <w:r w:rsidRPr="007F0C5D">
        <w:rPr>
          <w:b/>
          <w:bCs/>
          <w:spacing w:val="8"/>
          <w:sz w:val="24"/>
          <w:szCs w:val="24"/>
        </w:rPr>
        <w:t>may be preconditioned on achieving a sales goal</w:t>
      </w:r>
      <w:r w:rsidRPr="007F0C5D">
        <w:rPr>
          <w:spacing w:val="8"/>
          <w:sz w:val="24"/>
          <w:szCs w:val="24"/>
        </w:rPr>
        <w:t xml:space="preserve"> provided they are pre-approved in-house incentive programs sponsored by Company and meet the following criteria:</w:t>
      </w:r>
    </w:p>
    <w:p w14:paraId="33A56446" w14:textId="77777777" w:rsidR="00E307DF" w:rsidRPr="007F0C5D" w:rsidRDefault="00E307DF" w:rsidP="00E307DF">
      <w:pPr>
        <w:rPr>
          <w:spacing w:val="8"/>
          <w:sz w:val="14"/>
          <w:szCs w:val="14"/>
        </w:rPr>
      </w:pPr>
    </w:p>
    <w:p w14:paraId="59819BAA" w14:textId="77777777" w:rsidR="00E307DF" w:rsidRPr="007F0C5D" w:rsidRDefault="00E307DF" w:rsidP="0005402C">
      <w:pPr>
        <w:numPr>
          <w:ilvl w:val="0"/>
          <w:numId w:val="355"/>
        </w:numPr>
        <w:rPr>
          <w:spacing w:val="8"/>
          <w:sz w:val="24"/>
          <w:szCs w:val="24"/>
        </w:rPr>
      </w:pPr>
      <w:r w:rsidRPr="007F0C5D">
        <w:rPr>
          <w:spacing w:val="8"/>
          <w:sz w:val="24"/>
          <w:szCs w:val="24"/>
        </w:rPr>
        <w:t xml:space="preserve">The program must be based on the RR's total production with respect to all of that type of security sold by Company (investment company, DPP, </w:t>
      </w:r>
      <w:r w:rsidRPr="007F0C5D">
        <w:rPr>
          <w:i/>
          <w:iCs/>
          <w:spacing w:val="8"/>
          <w:sz w:val="24"/>
          <w:szCs w:val="24"/>
        </w:rPr>
        <w:t>etc.</w:t>
      </w:r>
      <w:r w:rsidRPr="007F0C5D">
        <w:rPr>
          <w:spacing w:val="8"/>
          <w:sz w:val="24"/>
          <w:szCs w:val="24"/>
        </w:rPr>
        <w:t>).</w:t>
      </w:r>
    </w:p>
    <w:p w14:paraId="5C3DBD7F" w14:textId="77777777" w:rsidR="00E307DF" w:rsidRPr="007F0C5D" w:rsidRDefault="00E307DF" w:rsidP="0005402C">
      <w:pPr>
        <w:numPr>
          <w:ilvl w:val="0"/>
          <w:numId w:val="355"/>
        </w:numPr>
        <w:spacing w:before="100" w:beforeAutospacing="1" w:after="100" w:afterAutospacing="1"/>
        <w:rPr>
          <w:spacing w:val="8"/>
          <w:sz w:val="24"/>
          <w:szCs w:val="24"/>
        </w:rPr>
      </w:pPr>
      <w:r w:rsidRPr="007F0C5D">
        <w:rPr>
          <w:spacing w:val="8"/>
          <w:sz w:val="24"/>
          <w:szCs w:val="24"/>
        </w:rPr>
        <w:t>Credit received for each security is equally weighted.</w:t>
      </w:r>
    </w:p>
    <w:p w14:paraId="479B8AD3" w14:textId="77777777" w:rsidR="00E307DF" w:rsidRPr="007F0C5D" w:rsidRDefault="00E307DF" w:rsidP="0005402C">
      <w:pPr>
        <w:numPr>
          <w:ilvl w:val="0"/>
          <w:numId w:val="355"/>
        </w:numPr>
        <w:rPr>
          <w:spacing w:val="8"/>
          <w:sz w:val="24"/>
          <w:szCs w:val="24"/>
        </w:rPr>
      </w:pPr>
      <w:r w:rsidRPr="007F0C5D">
        <w:rPr>
          <w:spacing w:val="8"/>
          <w:sz w:val="24"/>
          <w:szCs w:val="24"/>
        </w:rPr>
        <w:t>Only Company employees may participate.</w:t>
      </w:r>
    </w:p>
    <w:p w14:paraId="6D25E339" w14:textId="77777777" w:rsidR="00BD5FE2" w:rsidRPr="007F0C5D" w:rsidRDefault="00BD5FE2" w:rsidP="00BD5FE2">
      <w:pPr>
        <w:rPr>
          <w:spacing w:val="8"/>
          <w:sz w:val="24"/>
          <w:szCs w:val="24"/>
        </w:rPr>
      </w:pPr>
    </w:p>
    <w:p w14:paraId="3529AAC0" w14:textId="67E5922E" w:rsidR="00E307DF" w:rsidRPr="007F0C5D" w:rsidRDefault="00E307DF" w:rsidP="00BD5FE2">
      <w:pPr>
        <w:rPr>
          <w:spacing w:val="8"/>
          <w:sz w:val="24"/>
          <w:szCs w:val="24"/>
        </w:rPr>
      </w:pPr>
      <w:r w:rsidRPr="007F0C5D">
        <w:rPr>
          <w:spacing w:val="8"/>
          <w:sz w:val="24"/>
          <w:szCs w:val="24"/>
        </w:rPr>
        <w:t>Other firms may make contributions to the program, provided they do not participate, directly or indirectly, in the organization of the program. However, the outside entity may provide a speaker for the meeting.</w:t>
      </w:r>
      <w:bookmarkEnd w:id="58"/>
    </w:p>
    <w:p w14:paraId="133D767D" w14:textId="285924D6" w:rsidR="00604A2C" w:rsidRPr="007F0C5D" w:rsidRDefault="00604A2C" w:rsidP="00E307DF"/>
    <w:p w14:paraId="7EE6ED12" w14:textId="77777777" w:rsidR="00E307DF" w:rsidRDefault="00E307DF" w:rsidP="00E307DF"/>
    <w:p w14:paraId="37F756DA" w14:textId="77777777" w:rsidR="00D70F37" w:rsidRPr="009F1432" w:rsidRDefault="00D70F37" w:rsidP="00936FEE">
      <w:pPr>
        <w:pStyle w:val="Heading2"/>
        <w:rPr>
          <w:i/>
          <w:sz w:val="20"/>
          <w:szCs w:val="20"/>
        </w:rPr>
      </w:pPr>
      <w:r w:rsidRPr="009F1432">
        <w:t>4.</w:t>
      </w:r>
      <w:r w:rsidR="000737DD">
        <w:t>29</w:t>
      </w:r>
      <w:r w:rsidRPr="009F1432">
        <w:t xml:space="preserve"> FINRA Rule 5290 - Trade Shredding </w:t>
      </w:r>
      <w:r w:rsidRPr="009F1432">
        <w:rPr>
          <w:i/>
          <w:sz w:val="20"/>
          <w:szCs w:val="20"/>
        </w:rPr>
        <w:t>(</w:t>
      </w:r>
      <w:proofErr w:type="gramStart"/>
      <w:r w:rsidRPr="009F1432">
        <w:rPr>
          <w:i/>
          <w:sz w:val="20"/>
          <w:szCs w:val="20"/>
        </w:rPr>
        <w:t>eff</w:t>
      </w:r>
      <w:proofErr w:type="gramEnd"/>
      <w:r w:rsidRPr="009F1432">
        <w:rPr>
          <w:i/>
          <w:sz w:val="20"/>
          <w:szCs w:val="20"/>
        </w:rPr>
        <w:t xml:space="preserve"> 2/15/10)</w:t>
      </w:r>
    </w:p>
    <w:p w14:paraId="26CBC0F0" w14:textId="77777777" w:rsidR="00D70F37" w:rsidRPr="009F1432" w:rsidRDefault="00D70F37" w:rsidP="00D70F37">
      <w:pPr>
        <w:shd w:val="clear" w:color="auto" w:fill="FFFFFF"/>
        <w:jc w:val="both"/>
        <w:rPr>
          <w:sz w:val="24"/>
          <w:szCs w:val="24"/>
        </w:rPr>
      </w:pPr>
      <w:r w:rsidRPr="009F1432">
        <w:rPr>
          <w:sz w:val="24"/>
          <w:szCs w:val="24"/>
        </w:rPr>
        <w:t xml:space="preserve">Company or Associated Persons shall not engage in conduct that has the intent or effect of splitting any order into multiple smaller orders for execution or any execution into multiple smaller executions for transaction reporting for the primary purpose of maximizing a monetary or in-kind amount to be received by Company or Associated Person as a result of the execution of such orders or the transaction reporting of such executions. </w:t>
      </w:r>
      <w:r w:rsidR="003B6FDD">
        <w:rPr>
          <w:sz w:val="24"/>
          <w:szCs w:val="24"/>
        </w:rPr>
        <w:t xml:space="preserve"> </w:t>
      </w:r>
      <w:r w:rsidRPr="009F1432">
        <w:rPr>
          <w:sz w:val="24"/>
          <w:szCs w:val="24"/>
        </w:rPr>
        <w:t xml:space="preserve">For purposes of this Rule, “monetary or in-kind amount” shall be defined to include, but not be limited to, any credits, commissions, gratuities, payments for or rebates of fees, or any other payments of value to the member or Associated Person. </w:t>
      </w:r>
    </w:p>
    <w:p w14:paraId="71B5858F" w14:textId="77777777" w:rsidR="008D3EDD" w:rsidRPr="009F1432" w:rsidRDefault="008D3EDD" w:rsidP="00D70F37">
      <w:pPr>
        <w:shd w:val="clear" w:color="auto" w:fill="FFFFFF"/>
        <w:jc w:val="both"/>
        <w:rPr>
          <w:sz w:val="24"/>
          <w:szCs w:val="24"/>
        </w:rPr>
      </w:pPr>
    </w:p>
    <w:p w14:paraId="5BD1BF00" w14:textId="77777777" w:rsidR="008D3EDD" w:rsidRPr="009F1432" w:rsidRDefault="008D3EDD" w:rsidP="00D70F37">
      <w:pPr>
        <w:shd w:val="clear" w:color="auto" w:fill="FFFFFF"/>
        <w:jc w:val="both"/>
        <w:rPr>
          <w:sz w:val="24"/>
          <w:szCs w:val="24"/>
        </w:rPr>
      </w:pPr>
    </w:p>
    <w:p w14:paraId="18994D2D" w14:textId="77777777" w:rsidR="008D3EDD" w:rsidRPr="009F1432" w:rsidRDefault="008D3EDD" w:rsidP="00936FEE">
      <w:pPr>
        <w:pStyle w:val="Heading2"/>
      </w:pPr>
      <w:r w:rsidRPr="009F1432">
        <w:t>4.3</w:t>
      </w:r>
      <w:r w:rsidR="000737DD">
        <w:t>0</w:t>
      </w:r>
      <w:r w:rsidRPr="009F1432">
        <w:t xml:space="preserve"> The Foreign Corrupt Practices Act</w:t>
      </w:r>
      <w:r w:rsidR="004D506D" w:rsidRPr="009F1432">
        <w:t xml:space="preserve"> (FCPA) </w:t>
      </w:r>
    </w:p>
    <w:p w14:paraId="4C327995" w14:textId="77777777" w:rsidR="002B3771" w:rsidRPr="009F1432" w:rsidRDefault="004D506D" w:rsidP="00FF6FB1">
      <w:pPr>
        <w:jc w:val="both"/>
        <w:rPr>
          <w:sz w:val="24"/>
          <w:szCs w:val="24"/>
        </w:rPr>
      </w:pPr>
      <w:r w:rsidRPr="009F1432">
        <w:rPr>
          <w:sz w:val="24"/>
          <w:szCs w:val="24"/>
        </w:rPr>
        <w:t xml:space="preserve">Company has a commitment to comply with all Federal and regulatory requirements including with the FCPA.  The FCPA is a US act that applies to all employees, affiliates and </w:t>
      </w:r>
      <w:r w:rsidR="002B3771" w:rsidRPr="009F1432">
        <w:rPr>
          <w:sz w:val="24"/>
          <w:szCs w:val="24"/>
        </w:rPr>
        <w:t>subsidiaries involved in potential payments to foreign officials and provide</w:t>
      </w:r>
      <w:r w:rsidRPr="009F1432">
        <w:rPr>
          <w:sz w:val="24"/>
          <w:szCs w:val="24"/>
        </w:rPr>
        <w:t xml:space="preserve"> standards of conduct and practices under the anti-bribery and accounting provisions of the FCPA.  </w:t>
      </w:r>
    </w:p>
    <w:p w14:paraId="476F38D9" w14:textId="77777777" w:rsidR="002B3771" w:rsidRPr="009F1432" w:rsidRDefault="002B3771" w:rsidP="00FF6FB1">
      <w:pPr>
        <w:jc w:val="both"/>
        <w:rPr>
          <w:sz w:val="24"/>
          <w:szCs w:val="24"/>
        </w:rPr>
      </w:pPr>
    </w:p>
    <w:p w14:paraId="10E4B001" w14:textId="77777777" w:rsidR="004D506D" w:rsidRPr="009F1432" w:rsidRDefault="004D506D" w:rsidP="00FF6FB1">
      <w:pPr>
        <w:jc w:val="both"/>
        <w:rPr>
          <w:sz w:val="24"/>
          <w:szCs w:val="24"/>
        </w:rPr>
      </w:pPr>
      <w:r w:rsidRPr="009F1432">
        <w:rPr>
          <w:sz w:val="24"/>
          <w:szCs w:val="24"/>
        </w:rPr>
        <w:t>For purposes of this policy, a “Foreign Official” includes any officer of employee of a foreign government, agency, or instrumentality of the agency; public international organization; any person acting in an official capacity for or on behalf of any such government or department, agency, or instrumentality; or for or on behalf of any such public international organization; or a foreign political party or official or person acting on behalf of a foreign political party. Foreign Official also includes an employee of an entity that is 100% owned by a government. Foreign Officials may also include employees of an entity where a government holds a controlling interest. The U.S. Government has not specified what level of control creates a state-owned entity. Questions about whether someone is a Foreign Official should be referred to Compliance.</w:t>
      </w:r>
    </w:p>
    <w:p w14:paraId="3040E1AB" w14:textId="77777777" w:rsidR="004D506D" w:rsidRPr="009F1432" w:rsidRDefault="004D506D" w:rsidP="00FF6FB1">
      <w:pPr>
        <w:pStyle w:val="Normal1"/>
        <w:jc w:val="both"/>
        <w:rPr>
          <w:rFonts w:ascii="Times New Roman" w:hAnsi="Times New Roman" w:cs="Times New Roman"/>
          <w:sz w:val="24"/>
          <w:szCs w:val="24"/>
        </w:rPr>
      </w:pPr>
      <w:r w:rsidRPr="009F1432">
        <w:rPr>
          <w:rFonts w:ascii="Times New Roman" w:hAnsi="Times New Roman" w:cs="Times New Roman"/>
          <w:sz w:val="24"/>
          <w:szCs w:val="24"/>
        </w:rPr>
        <w:lastRenderedPageBreak/>
        <w:t xml:space="preserve">Violations of the FCPA can result in severe civil and criminal penalties for </w:t>
      </w:r>
      <w:r w:rsidR="006D371E">
        <w:rPr>
          <w:rFonts w:ascii="Times New Roman" w:hAnsi="Times New Roman" w:cs="Times New Roman"/>
          <w:sz w:val="24"/>
          <w:szCs w:val="24"/>
        </w:rPr>
        <w:t>the Company</w:t>
      </w:r>
      <w:r w:rsidRPr="009F1432">
        <w:rPr>
          <w:rFonts w:ascii="Times New Roman" w:hAnsi="Times New Roman" w:cs="Times New Roman"/>
          <w:sz w:val="24"/>
          <w:szCs w:val="24"/>
        </w:rPr>
        <w:t xml:space="preserve"> as well as individual employees. Failure to adhere to this policy may result in disciplinary action up to and including termination of employment. </w:t>
      </w:r>
      <w:r w:rsidR="002820A4" w:rsidRPr="009F1432">
        <w:rPr>
          <w:rFonts w:ascii="Times New Roman" w:hAnsi="Times New Roman" w:cs="Times New Roman"/>
          <w:sz w:val="24"/>
          <w:szCs w:val="24"/>
        </w:rPr>
        <w:t xml:space="preserve"> </w:t>
      </w:r>
    </w:p>
    <w:p w14:paraId="441E25A7" w14:textId="77777777" w:rsidR="002B3771" w:rsidRPr="009F1432" w:rsidRDefault="0066215D" w:rsidP="00FF6FB1">
      <w:pPr>
        <w:pStyle w:val="Heading3"/>
      </w:pPr>
      <w:r w:rsidRPr="009F1432">
        <w:t>4.3</w:t>
      </w:r>
      <w:r w:rsidR="000737DD">
        <w:t>0</w:t>
      </w:r>
      <w:r w:rsidRPr="009F1432">
        <w:t xml:space="preserve">.1 </w:t>
      </w:r>
      <w:r w:rsidR="002B3771" w:rsidRPr="009F1432">
        <w:t>Prohibitions:</w:t>
      </w:r>
    </w:p>
    <w:p w14:paraId="53974AEA" w14:textId="77777777" w:rsidR="005169AE" w:rsidRPr="009F1432" w:rsidRDefault="002B3771" w:rsidP="00FF6FB1">
      <w:pPr>
        <w:ind w:left="270"/>
        <w:jc w:val="both"/>
        <w:rPr>
          <w:sz w:val="24"/>
          <w:szCs w:val="24"/>
        </w:rPr>
      </w:pPr>
      <w:r w:rsidRPr="009F1432">
        <w:rPr>
          <w:sz w:val="24"/>
          <w:szCs w:val="24"/>
        </w:rPr>
        <w:t>In general, the FCPA violations of anti-bribery prohibitions involve</w:t>
      </w:r>
      <w:r w:rsidR="005169AE" w:rsidRPr="009F1432">
        <w:rPr>
          <w:sz w:val="24"/>
          <w:szCs w:val="24"/>
        </w:rPr>
        <w:t xml:space="preserve"> making use of the mails or any means or instrumentality of interstate commerce:</w:t>
      </w:r>
    </w:p>
    <w:p w14:paraId="6E21C547" w14:textId="77777777" w:rsidR="005169AE" w:rsidRPr="009F1432" w:rsidRDefault="005169AE" w:rsidP="00FF6FB1">
      <w:pPr>
        <w:jc w:val="both"/>
        <w:rPr>
          <w:sz w:val="24"/>
          <w:szCs w:val="24"/>
        </w:rPr>
      </w:pPr>
    </w:p>
    <w:p w14:paraId="209A1F91" w14:textId="77777777" w:rsidR="005169AE" w:rsidRPr="009F1432" w:rsidRDefault="005169AE" w:rsidP="00C1728B">
      <w:pPr>
        <w:numPr>
          <w:ilvl w:val="0"/>
          <w:numId w:val="133"/>
        </w:numPr>
        <w:ind w:left="720" w:hanging="310"/>
        <w:jc w:val="both"/>
        <w:rPr>
          <w:sz w:val="24"/>
          <w:szCs w:val="24"/>
        </w:rPr>
      </w:pPr>
      <w:r w:rsidRPr="009F1432">
        <w:rPr>
          <w:sz w:val="24"/>
          <w:szCs w:val="24"/>
        </w:rPr>
        <w:t>Corruptly;</w:t>
      </w:r>
    </w:p>
    <w:p w14:paraId="53B9D15F" w14:textId="77777777" w:rsidR="005169AE" w:rsidRPr="009F1432" w:rsidRDefault="005169AE" w:rsidP="00C1728B">
      <w:pPr>
        <w:numPr>
          <w:ilvl w:val="0"/>
          <w:numId w:val="133"/>
        </w:numPr>
        <w:ind w:left="720" w:hanging="310"/>
        <w:jc w:val="both"/>
        <w:rPr>
          <w:sz w:val="24"/>
          <w:szCs w:val="24"/>
        </w:rPr>
      </w:pPr>
      <w:r w:rsidRPr="009F1432">
        <w:rPr>
          <w:sz w:val="24"/>
          <w:szCs w:val="24"/>
        </w:rPr>
        <w:t>In furtherance of an offer, payment, promise to pay, or authorization of the payment of any money, or offer, gift, promise to give or authorization of the giving of anything of value to any:</w:t>
      </w:r>
    </w:p>
    <w:p w14:paraId="1AA1FF3B" w14:textId="77777777" w:rsidR="005169AE" w:rsidRPr="009F1432" w:rsidRDefault="005169AE" w:rsidP="00C1728B">
      <w:pPr>
        <w:numPr>
          <w:ilvl w:val="1"/>
          <w:numId w:val="70"/>
        </w:numPr>
        <w:jc w:val="both"/>
        <w:rPr>
          <w:sz w:val="24"/>
          <w:szCs w:val="24"/>
        </w:rPr>
      </w:pPr>
      <w:r w:rsidRPr="009F1432">
        <w:rPr>
          <w:sz w:val="24"/>
          <w:szCs w:val="24"/>
        </w:rPr>
        <w:t>Foreign official;</w:t>
      </w:r>
    </w:p>
    <w:p w14:paraId="53C94C7B" w14:textId="77777777" w:rsidR="005169AE" w:rsidRPr="009F1432" w:rsidRDefault="005169AE" w:rsidP="00C1728B">
      <w:pPr>
        <w:numPr>
          <w:ilvl w:val="1"/>
          <w:numId w:val="70"/>
        </w:numPr>
        <w:jc w:val="both"/>
        <w:rPr>
          <w:sz w:val="24"/>
          <w:szCs w:val="24"/>
        </w:rPr>
      </w:pPr>
      <w:r w:rsidRPr="009F1432">
        <w:rPr>
          <w:sz w:val="24"/>
          <w:szCs w:val="24"/>
        </w:rPr>
        <w:t>Foreign, political party or party official;</w:t>
      </w:r>
    </w:p>
    <w:p w14:paraId="6C87E08D" w14:textId="77777777" w:rsidR="005169AE" w:rsidRPr="009F1432" w:rsidRDefault="005169AE" w:rsidP="00C1728B">
      <w:pPr>
        <w:numPr>
          <w:ilvl w:val="1"/>
          <w:numId w:val="70"/>
        </w:numPr>
        <w:jc w:val="both"/>
        <w:rPr>
          <w:sz w:val="24"/>
          <w:szCs w:val="24"/>
        </w:rPr>
      </w:pPr>
      <w:r w:rsidRPr="009F1432">
        <w:rPr>
          <w:sz w:val="24"/>
          <w:szCs w:val="24"/>
        </w:rPr>
        <w:t xml:space="preserve">Candidate for </w:t>
      </w:r>
      <w:r w:rsidR="00126A56" w:rsidRPr="009F1432">
        <w:rPr>
          <w:sz w:val="24"/>
          <w:szCs w:val="24"/>
        </w:rPr>
        <w:t>foreign</w:t>
      </w:r>
      <w:r w:rsidRPr="009F1432">
        <w:rPr>
          <w:sz w:val="24"/>
          <w:szCs w:val="24"/>
        </w:rPr>
        <w:t xml:space="preserve"> political office; or</w:t>
      </w:r>
    </w:p>
    <w:p w14:paraId="33BE6135" w14:textId="77777777" w:rsidR="005169AE" w:rsidRPr="009F1432" w:rsidRDefault="005169AE" w:rsidP="00C1728B">
      <w:pPr>
        <w:numPr>
          <w:ilvl w:val="1"/>
          <w:numId w:val="70"/>
        </w:numPr>
        <w:jc w:val="both"/>
        <w:rPr>
          <w:sz w:val="24"/>
          <w:szCs w:val="24"/>
        </w:rPr>
      </w:pPr>
      <w:r w:rsidRPr="009F1432">
        <w:rPr>
          <w:sz w:val="24"/>
          <w:szCs w:val="24"/>
        </w:rPr>
        <w:t>Person while knowing that all or a portion of such money or thing of value will be offered, given or promised, directly or indirectly, to any foreign official, political party, party official or candidate;</w:t>
      </w:r>
    </w:p>
    <w:p w14:paraId="29A3FBF5" w14:textId="77777777" w:rsidR="005169AE" w:rsidRPr="009F1432" w:rsidRDefault="005169AE" w:rsidP="00C1728B">
      <w:pPr>
        <w:numPr>
          <w:ilvl w:val="0"/>
          <w:numId w:val="70"/>
        </w:numPr>
        <w:jc w:val="both"/>
        <w:rPr>
          <w:sz w:val="24"/>
          <w:szCs w:val="24"/>
        </w:rPr>
      </w:pPr>
      <w:r w:rsidRPr="009F1432">
        <w:rPr>
          <w:sz w:val="24"/>
          <w:szCs w:val="24"/>
        </w:rPr>
        <w:t>For the purpose of:</w:t>
      </w:r>
    </w:p>
    <w:p w14:paraId="1305A758" w14:textId="77777777" w:rsidR="005169AE" w:rsidRPr="009F1432" w:rsidRDefault="005169AE" w:rsidP="00C1728B">
      <w:pPr>
        <w:numPr>
          <w:ilvl w:val="1"/>
          <w:numId w:val="70"/>
        </w:numPr>
        <w:jc w:val="both"/>
        <w:rPr>
          <w:sz w:val="24"/>
          <w:szCs w:val="24"/>
        </w:rPr>
      </w:pPr>
      <w:r w:rsidRPr="009F1432">
        <w:rPr>
          <w:sz w:val="24"/>
          <w:szCs w:val="24"/>
        </w:rPr>
        <w:t>Influencing any act or decision of the foreign official, political party, party official or candidate in his or its official capacity;</w:t>
      </w:r>
    </w:p>
    <w:p w14:paraId="5AF19D6E" w14:textId="77777777" w:rsidR="005169AE" w:rsidRPr="009F1432" w:rsidRDefault="005169AE" w:rsidP="00C1728B">
      <w:pPr>
        <w:numPr>
          <w:ilvl w:val="1"/>
          <w:numId w:val="70"/>
        </w:numPr>
        <w:jc w:val="both"/>
        <w:rPr>
          <w:sz w:val="24"/>
          <w:szCs w:val="24"/>
        </w:rPr>
      </w:pPr>
      <w:r w:rsidRPr="009F1432">
        <w:rPr>
          <w:sz w:val="24"/>
          <w:szCs w:val="24"/>
        </w:rPr>
        <w:t>Inducing the foreign official, political party, party official or candidate to do or omit to do an act in violation of his or its lawful duty;</w:t>
      </w:r>
    </w:p>
    <w:p w14:paraId="0231633A" w14:textId="77777777" w:rsidR="005169AE" w:rsidRPr="009F1432" w:rsidRDefault="005169AE" w:rsidP="00C1728B">
      <w:pPr>
        <w:numPr>
          <w:ilvl w:val="1"/>
          <w:numId w:val="70"/>
        </w:numPr>
        <w:jc w:val="both"/>
        <w:rPr>
          <w:sz w:val="24"/>
          <w:szCs w:val="24"/>
        </w:rPr>
      </w:pPr>
      <w:r w:rsidRPr="009F1432">
        <w:rPr>
          <w:sz w:val="24"/>
          <w:szCs w:val="24"/>
        </w:rPr>
        <w:t>Securing any improper advantage;</w:t>
      </w:r>
    </w:p>
    <w:p w14:paraId="3BB84884" w14:textId="77777777" w:rsidR="005169AE" w:rsidRPr="009F1432" w:rsidRDefault="005169AE" w:rsidP="00C1728B">
      <w:pPr>
        <w:numPr>
          <w:ilvl w:val="1"/>
          <w:numId w:val="70"/>
        </w:numPr>
        <w:jc w:val="both"/>
        <w:rPr>
          <w:sz w:val="24"/>
          <w:szCs w:val="24"/>
        </w:rPr>
      </w:pPr>
      <w:r w:rsidRPr="009F1432">
        <w:rPr>
          <w:sz w:val="24"/>
          <w:szCs w:val="24"/>
        </w:rPr>
        <w:t xml:space="preserve">Inducing the foreign official, political party, party official or candidate to use his or its influence with a foreign government or instrumentality to affect or influence any act or decision of such government or instrumentality; or </w:t>
      </w:r>
    </w:p>
    <w:p w14:paraId="27C2BC62" w14:textId="77777777" w:rsidR="005169AE" w:rsidRPr="009F1432" w:rsidRDefault="005169AE" w:rsidP="00C1728B">
      <w:pPr>
        <w:numPr>
          <w:ilvl w:val="1"/>
          <w:numId w:val="70"/>
        </w:numPr>
        <w:jc w:val="both"/>
        <w:rPr>
          <w:sz w:val="24"/>
          <w:szCs w:val="24"/>
        </w:rPr>
      </w:pPr>
      <w:r w:rsidRPr="009F1432">
        <w:rPr>
          <w:sz w:val="24"/>
          <w:szCs w:val="24"/>
        </w:rPr>
        <w:t>In order to assist in obtaining or retaining business for or with, or directly business to, any person.</w:t>
      </w:r>
    </w:p>
    <w:p w14:paraId="74C1D091" w14:textId="77777777" w:rsidR="005169AE" w:rsidRPr="009F1432" w:rsidRDefault="005169AE" w:rsidP="00FF6FB1">
      <w:pPr>
        <w:jc w:val="both"/>
        <w:rPr>
          <w:sz w:val="24"/>
          <w:szCs w:val="24"/>
        </w:rPr>
      </w:pPr>
    </w:p>
    <w:p w14:paraId="4A6B4A21" w14:textId="77777777" w:rsidR="00212F56" w:rsidRPr="009F1432" w:rsidRDefault="00212F56" w:rsidP="00FF6FB1">
      <w:pPr>
        <w:pStyle w:val="Normal1"/>
        <w:ind w:left="270"/>
        <w:jc w:val="both"/>
        <w:rPr>
          <w:rFonts w:ascii="Times New Roman" w:hAnsi="Times New Roman" w:cs="Times New Roman"/>
          <w:sz w:val="24"/>
          <w:szCs w:val="24"/>
        </w:rPr>
      </w:pPr>
      <w:r w:rsidRPr="009F1432">
        <w:rPr>
          <w:rFonts w:ascii="Times New Roman" w:hAnsi="Times New Roman" w:cs="Times New Roman"/>
          <w:sz w:val="24"/>
          <w:szCs w:val="24"/>
        </w:rPr>
        <w:t xml:space="preserve">The FCPA prohibits employees from presenting an offer, gift, payment, promise of payment, authorization of payment, or any item of value to a Foreign Official with the intent of assisting the Company in obtaining, retaining or directing business to any person. Intent can include those gifts, payments, </w:t>
      </w:r>
      <w:r w:rsidR="005D1066" w:rsidRPr="009F1432">
        <w:rPr>
          <w:rFonts w:ascii="Times New Roman" w:hAnsi="Times New Roman" w:cs="Times New Roman"/>
          <w:sz w:val="24"/>
          <w:szCs w:val="24"/>
        </w:rPr>
        <w:t>etc.</w:t>
      </w:r>
      <w:r w:rsidRPr="009F1432">
        <w:rPr>
          <w:rFonts w:ascii="Times New Roman" w:hAnsi="Times New Roman" w:cs="Times New Roman"/>
          <w:sz w:val="24"/>
          <w:szCs w:val="24"/>
        </w:rPr>
        <w:t xml:space="preserve"> made with a conscious disregard or deliberate ignorance of their purpose.  The FCPA also prohibits any such payments to third parties or intermediaries while knowing that all or a portion of such money or thing of value will be offered, given or promised, directly or indirectly, to any Foreign Official. Intermediaries can include, but are not limited to, joint venture partners or other agents such as consultants, independent service providers and vendors. </w:t>
      </w:r>
    </w:p>
    <w:p w14:paraId="1107ACC8" w14:textId="77777777" w:rsidR="00212F56" w:rsidRPr="009F1432" w:rsidRDefault="00212F56" w:rsidP="00FF6FB1">
      <w:pPr>
        <w:pStyle w:val="Normal1"/>
        <w:ind w:left="270"/>
        <w:jc w:val="both"/>
        <w:rPr>
          <w:rFonts w:ascii="Times New Roman" w:hAnsi="Times New Roman" w:cs="Times New Roman"/>
          <w:sz w:val="24"/>
          <w:szCs w:val="24"/>
        </w:rPr>
      </w:pPr>
      <w:r w:rsidRPr="009F1432">
        <w:rPr>
          <w:rFonts w:ascii="Times New Roman" w:hAnsi="Times New Roman" w:cs="Times New Roman"/>
          <w:sz w:val="24"/>
          <w:szCs w:val="24"/>
        </w:rPr>
        <w:t xml:space="preserve">Cash payments and political contributions made on behalf of the Company to Foreign Officials, either directly or via a third party, are prohibited. </w:t>
      </w:r>
      <w:r w:rsidR="00E17A74" w:rsidRPr="009F1432">
        <w:rPr>
          <w:rFonts w:ascii="Times New Roman" w:hAnsi="Times New Roman" w:cs="Times New Roman"/>
          <w:sz w:val="24"/>
          <w:szCs w:val="24"/>
        </w:rPr>
        <w:t xml:space="preserve">In addition, if Company is deemed an “issuer” under FCPA, Morris Monroe or Laura Hendricks shall be responsible for establishing appropriate accounting and financial policies, procedures and other internal controls to fulfill the accounting provisions of the FCPA. </w:t>
      </w:r>
      <w:r w:rsidRPr="009F1432">
        <w:rPr>
          <w:rFonts w:ascii="Times New Roman" w:hAnsi="Times New Roman" w:cs="Times New Roman"/>
          <w:sz w:val="24"/>
          <w:szCs w:val="24"/>
        </w:rPr>
        <w:t>FINRA Regulatory Notice 11-12 has further information.</w:t>
      </w:r>
    </w:p>
    <w:p w14:paraId="6E7C317F" w14:textId="77777777" w:rsidR="00126A56" w:rsidRPr="009F1432" w:rsidRDefault="00126A56" w:rsidP="00FF6FB1">
      <w:pPr>
        <w:jc w:val="both"/>
      </w:pPr>
    </w:p>
    <w:p w14:paraId="2D83C1DC" w14:textId="77777777" w:rsidR="0066215D" w:rsidRPr="009F1432" w:rsidRDefault="0066215D" w:rsidP="00FF6FB1">
      <w:pPr>
        <w:pStyle w:val="Heading3"/>
      </w:pPr>
      <w:r w:rsidRPr="009F1432">
        <w:lastRenderedPageBreak/>
        <w:t>4.3</w:t>
      </w:r>
      <w:r w:rsidR="000737DD">
        <w:t>0</w:t>
      </w:r>
      <w:r w:rsidRPr="009F1432">
        <w:t>.2 Reporting Violations (Whistleblower)</w:t>
      </w:r>
    </w:p>
    <w:p w14:paraId="32B0DDFA" w14:textId="77777777" w:rsidR="0066215D" w:rsidRPr="009F1432" w:rsidRDefault="0066215D" w:rsidP="00FF6FB1">
      <w:pPr>
        <w:ind w:left="270"/>
        <w:jc w:val="both"/>
        <w:rPr>
          <w:sz w:val="24"/>
          <w:szCs w:val="24"/>
        </w:rPr>
      </w:pPr>
      <w:r w:rsidRPr="009F1432">
        <w:rPr>
          <w:sz w:val="24"/>
          <w:szCs w:val="24"/>
        </w:rPr>
        <w:t>It’s important for all employees and Associated Persons to participate in the Company’s commitment to comply with FCPA requirements.  Violations should be reported to:</w:t>
      </w:r>
    </w:p>
    <w:p w14:paraId="46409D7B" w14:textId="77777777" w:rsidR="0066215D" w:rsidRPr="009F1432" w:rsidRDefault="0066215D" w:rsidP="00C1728B">
      <w:pPr>
        <w:numPr>
          <w:ilvl w:val="0"/>
          <w:numId w:val="134"/>
        </w:numPr>
        <w:jc w:val="both"/>
        <w:rPr>
          <w:sz w:val="24"/>
          <w:szCs w:val="24"/>
        </w:rPr>
      </w:pPr>
      <w:r w:rsidRPr="009F1432">
        <w:rPr>
          <w:sz w:val="24"/>
          <w:szCs w:val="24"/>
        </w:rPr>
        <w:t>His or her supervisor, or if the supervisor may be involved, to</w:t>
      </w:r>
    </w:p>
    <w:p w14:paraId="37E65379" w14:textId="77777777" w:rsidR="0066215D" w:rsidRPr="009F1432" w:rsidRDefault="0066215D" w:rsidP="00C1728B">
      <w:pPr>
        <w:numPr>
          <w:ilvl w:val="0"/>
          <w:numId w:val="134"/>
        </w:numPr>
        <w:jc w:val="both"/>
        <w:rPr>
          <w:sz w:val="24"/>
          <w:szCs w:val="24"/>
        </w:rPr>
      </w:pPr>
      <w:r w:rsidRPr="009F1432">
        <w:rPr>
          <w:sz w:val="24"/>
          <w:szCs w:val="24"/>
        </w:rPr>
        <w:t>Compliance or a senior officer of the Company; or if the Company appears to be involved at a very high level, to</w:t>
      </w:r>
    </w:p>
    <w:p w14:paraId="1A1D0FFE" w14:textId="77777777" w:rsidR="0066215D" w:rsidRPr="009F1432" w:rsidRDefault="0066215D" w:rsidP="00C1728B">
      <w:pPr>
        <w:numPr>
          <w:ilvl w:val="0"/>
          <w:numId w:val="134"/>
        </w:numPr>
        <w:jc w:val="both"/>
        <w:rPr>
          <w:sz w:val="24"/>
          <w:szCs w:val="24"/>
        </w:rPr>
      </w:pPr>
      <w:r w:rsidRPr="009F1432">
        <w:rPr>
          <w:sz w:val="24"/>
          <w:szCs w:val="24"/>
        </w:rPr>
        <w:t>The SEC.</w:t>
      </w:r>
    </w:p>
    <w:p w14:paraId="67FB3E3D" w14:textId="77777777" w:rsidR="0066215D" w:rsidRPr="009F1432" w:rsidRDefault="0066215D" w:rsidP="00FF6FB1">
      <w:pPr>
        <w:jc w:val="both"/>
        <w:rPr>
          <w:sz w:val="24"/>
          <w:szCs w:val="24"/>
        </w:rPr>
      </w:pPr>
      <w:r w:rsidRPr="009F1432">
        <w:rPr>
          <w:sz w:val="24"/>
          <w:szCs w:val="24"/>
        </w:rPr>
        <w:t xml:space="preserve">   </w:t>
      </w:r>
    </w:p>
    <w:p w14:paraId="2C8FA87E" w14:textId="77777777" w:rsidR="0066215D" w:rsidRPr="009F1432" w:rsidRDefault="0066215D" w:rsidP="00FF6FB1">
      <w:pPr>
        <w:ind w:left="270"/>
        <w:jc w:val="both"/>
        <w:rPr>
          <w:sz w:val="24"/>
          <w:szCs w:val="24"/>
        </w:rPr>
      </w:pPr>
      <w:r w:rsidRPr="009F1432">
        <w:rPr>
          <w:sz w:val="24"/>
          <w:szCs w:val="24"/>
        </w:rPr>
        <w:t>Company has an anti-retaliation policy for employees and Associated Persons who report potential violations. These persons will not be subject to retaliation by the Company or its employees and should feel free to contact Compliance or Morris Monroe with any concerns about possible violations.</w:t>
      </w:r>
    </w:p>
    <w:p w14:paraId="1E3FA6B1" w14:textId="77777777" w:rsidR="0066215D" w:rsidRPr="009F1432" w:rsidRDefault="0066215D" w:rsidP="00FF6FB1">
      <w:pPr>
        <w:ind w:left="270"/>
        <w:jc w:val="both"/>
        <w:rPr>
          <w:sz w:val="24"/>
          <w:szCs w:val="24"/>
        </w:rPr>
      </w:pPr>
    </w:p>
    <w:p w14:paraId="0AEAA1A1" w14:textId="77777777" w:rsidR="0066215D" w:rsidRPr="009F1432" w:rsidRDefault="0066215D" w:rsidP="00FF6FB1">
      <w:pPr>
        <w:pStyle w:val="Heading3"/>
      </w:pPr>
      <w:r w:rsidRPr="009F1432">
        <w:t>4.3</w:t>
      </w:r>
      <w:r w:rsidR="000737DD">
        <w:t>0</w:t>
      </w:r>
      <w:r w:rsidRPr="009F1432">
        <w:t>.3 Certifications</w:t>
      </w:r>
    </w:p>
    <w:p w14:paraId="66476258" w14:textId="77777777" w:rsidR="0066215D" w:rsidRPr="009F1432" w:rsidRDefault="0066215D" w:rsidP="00FF6FB1">
      <w:pPr>
        <w:ind w:left="270"/>
        <w:jc w:val="both"/>
        <w:rPr>
          <w:sz w:val="24"/>
          <w:szCs w:val="24"/>
        </w:rPr>
      </w:pPr>
      <w:r w:rsidRPr="009F1432">
        <w:rPr>
          <w:sz w:val="24"/>
          <w:szCs w:val="24"/>
        </w:rPr>
        <w:t>Currently, there are no employees or Associated Persons who deal with foreign entities, persons, and/or accounts.  However, if that changes in the future, these persons may be required to submit annual certification regarding their knowledge of and compliance with the Company’s FCPA policy.  Compliance will maintain a list of affected employees and obtain certifications where required by the Company.</w:t>
      </w:r>
    </w:p>
    <w:p w14:paraId="5B94C766" w14:textId="77777777" w:rsidR="004D506D" w:rsidRPr="009F1432" w:rsidRDefault="004D506D" w:rsidP="00FF6FB1">
      <w:pPr>
        <w:jc w:val="both"/>
        <w:rPr>
          <w:sz w:val="24"/>
          <w:szCs w:val="24"/>
        </w:rPr>
      </w:pPr>
    </w:p>
    <w:p w14:paraId="75B27070" w14:textId="77777777" w:rsidR="004D506D" w:rsidRPr="009F1432" w:rsidRDefault="004D506D" w:rsidP="00FF6FB1">
      <w:pPr>
        <w:jc w:val="both"/>
      </w:pPr>
    </w:p>
    <w:p w14:paraId="59907777" w14:textId="77777777" w:rsidR="00AB540F" w:rsidRDefault="00AB540F" w:rsidP="00936FEE">
      <w:pPr>
        <w:pStyle w:val="Heading2"/>
      </w:pPr>
      <w:r>
        <w:t>4.3</w:t>
      </w:r>
      <w:r w:rsidR="000737DD">
        <w:t>1</w:t>
      </w:r>
      <w:r>
        <w:t xml:space="preserve"> Prohibited Acts</w:t>
      </w:r>
    </w:p>
    <w:p w14:paraId="1643F6F6" w14:textId="77777777" w:rsidR="00AB540F" w:rsidRPr="003B7614" w:rsidRDefault="00AB540F" w:rsidP="00AB540F">
      <w:pPr>
        <w:jc w:val="both"/>
        <w:rPr>
          <w:color w:val="000000"/>
          <w:sz w:val="24"/>
        </w:rPr>
      </w:pPr>
      <w:r w:rsidRPr="003B7614">
        <w:rPr>
          <w:color w:val="000000"/>
          <w:sz w:val="24"/>
        </w:rPr>
        <w:t>Registered Representatives are specifically prohibited by Company policies from the following:</w:t>
      </w:r>
    </w:p>
    <w:p w14:paraId="4865EFF7" w14:textId="77777777" w:rsidR="00AB540F" w:rsidRPr="003B7614" w:rsidRDefault="00AB540F" w:rsidP="00AB540F">
      <w:pPr>
        <w:rPr>
          <w:color w:val="000000"/>
          <w:sz w:val="24"/>
        </w:rPr>
      </w:pPr>
    </w:p>
    <w:p w14:paraId="09B3C434" w14:textId="77777777" w:rsidR="00E8009A" w:rsidRDefault="00AB540F" w:rsidP="003E7B18">
      <w:pPr>
        <w:pStyle w:val="ListParagraph"/>
        <w:numPr>
          <w:ilvl w:val="0"/>
          <w:numId w:val="309"/>
        </w:numPr>
        <w:ind w:left="360"/>
        <w:jc w:val="both"/>
        <w:rPr>
          <w:color w:val="000000"/>
          <w:sz w:val="24"/>
        </w:rPr>
      </w:pPr>
      <w:r w:rsidRPr="00E8009A">
        <w:rPr>
          <w:color w:val="000000"/>
          <w:sz w:val="24"/>
        </w:rPr>
        <w:t xml:space="preserve">In their personal capacity to act independently as an agent in the sale of securities for a client or any individual or firm other than </w:t>
      </w:r>
      <w:r w:rsidR="00333C56" w:rsidRPr="00E8009A">
        <w:rPr>
          <w:color w:val="000000"/>
          <w:sz w:val="24"/>
        </w:rPr>
        <w:t xml:space="preserve">through </w:t>
      </w:r>
      <w:r w:rsidRPr="00E8009A">
        <w:rPr>
          <w:color w:val="000000"/>
          <w:sz w:val="24"/>
        </w:rPr>
        <w:t>the Company</w:t>
      </w:r>
      <w:r w:rsidR="003B6FDD" w:rsidRPr="00E8009A">
        <w:rPr>
          <w:color w:val="000000"/>
          <w:sz w:val="24"/>
        </w:rPr>
        <w:t xml:space="preserve"> (</w:t>
      </w:r>
      <w:r w:rsidR="003B6FDD" w:rsidRPr="00E8009A">
        <w:rPr>
          <w:sz w:val="24"/>
        </w:rPr>
        <w:t>without the knowledge and consent of Company</w:t>
      </w:r>
      <w:r w:rsidR="003B6FDD" w:rsidRPr="00E8009A">
        <w:rPr>
          <w:color w:val="000000"/>
          <w:sz w:val="24"/>
        </w:rPr>
        <w:t>)</w:t>
      </w:r>
      <w:r w:rsidRPr="00E8009A">
        <w:rPr>
          <w:color w:val="000000"/>
          <w:sz w:val="24"/>
        </w:rPr>
        <w:t>.</w:t>
      </w:r>
      <w:r w:rsidR="00E8009A" w:rsidRPr="00E8009A">
        <w:rPr>
          <w:color w:val="000000"/>
          <w:sz w:val="24"/>
        </w:rPr>
        <w:t xml:space="preserve"> </w:t>
      </w:r>
    </w:p>
    <w:p w14:paraId="507AC0D4" w14:textId="77777777" w:rsidR="00E8009A" w:rsidRDefault="00E8009A" w:rsidP="00E8009A">
      <w:pPr>
        <w:pStyle w:val="ListParagraph"/>
        <w:ind w:left="360"/>
        <w:jc w:val="both"/>
        <w:rPr>
          <w:color w:val="000000"/>
          <w:sz w:val="24"/>
        </w:rPr>
      </w:pPr>
    </w:p>
    <w:p w14:paraId="104458DD" w14:textId="77777777" w:rsidR="00E8009A" w:rsidRDefault="00AB540F" w:rsidP="003E7B18">
      <w:pPr>
        <w:pStyle w:val="ListParagraph"/>
        <w:numPr>
          <w:ilvl w:val="0"/>
          <w:numId w:val="309"/>
        </w:numPr>
        <w:ind w:left="360"/>
        <w:jc w:val="both"/>
        <w:rPr>
          <w:color w:val="000000"/>
          <w:sz w:val="24"/>
        </w:rPr>
      </w:pPr>
      <w:r w:rsidRPr="00E8009A">
        <w:rPr>
          <w:color w:val="000000"/>
          <w:sz w:val="24"/>
        </w:rPr>
        <w:t>Warrant or guarantee the present or future value or price of any security or that any Company or issuer of securities will meet its objectives or obligations.</w:t>
      </w:r>
      <w:r w:rsidR="00E8009A" w:rsidRPr="00E8009A">
        <w:rPr>
          <w:color w:val="000000"/>
          <w:sz w:val="24"/>
        </w:rPr>
        <w:t xml:space="preserve"> </w:t>
      </w:r>
    </w:p>
    <w:p w14:paraId="2911D394" w14:textId="77777777" w:rsidR="00E8009A" w:rsidRPr="00E8009A" w:rsidRDefault="00E8009A" w:rsidP="00E8009A">
      <w:pPr>
        <w:pStyle w:val="ListParagraph"/>
        <w:rPr>
          <w:color w:val="000000"/>
          <w:sz w:val="24"/>
        </w:rPr>
      </w:pPr>
    </w:p>
    <w:p w14:paraId="2BEE9E92" w14:textId="77777777" w:rsidR="00E8009A" w:rsidRDefault="00AB540F" w:rsidP="003E7B18">
      <w:pPr>
        <w:pStyle w:val="ListParagraph"/>
        <w:numPr>
          <w:ilvl w:val="0"/>
          <w:numId w:val="309"/>
        </w:numPr>
        <w:ind w:left="360"/>
        <w:jc w:val="both"/>
        <w:rPr>
          <w:color w:val="000000"/>
          <w:sz w:val="24"/>
        </w:rPr>
      </w:pPr>
      <w:r w:rsidRPr="00E8009A">
        <w:rPr>
          <w:color w:val="000000"/>
          <w:sz w:val="24"/>
        </w:rPr>
        <w:t xml:space="preserve">Agree to repurchase at some future time a security from a client for their own account, or for any other account. </w:t>
      </w:r>
    </w:p>
    <w:p w14:paraId="7C461DA7" w14:textId="77777777" w:rsidR="00E8009A" w:rsidRPr="00E8009A" w:rsidRDefault="00E8009A" w:rsidP="00E8009A">
      <w:pPr>
        <w:pStyle w:val="ListParagraph"/>
        <w:rPr>
          <w:color w:val="000000"/>
          <w:sz w:val="24"/>
        </w:rPr>
      </w:pPr>
    </w:p>
    <w:p w14:paraId="28EC8EF9" w14:textId="77777777" w:rsidR="00E8009A" w:rsidRDefault="00AB540F" w:rsidP="003E7B18">
      <w:pPr>
        <w:pStyle w:val="ListParagraph"/>
        <w:numPr>
          <w:ilvl w:val="0"/>
          <w:numId w:val="309"/>
        </w:numPr>
        <w:ind w:left="360"/>
        <w:jc w:val="both"/>
        <w:rPr>
          <w:color w:val="000000"/>
          <w:sz w:val="24"/>
        </w:rPr>
      </w:pPr>
      <w:r w:rsidRPr="00E8009A">
        <w:rPr>
          <w:color w:val="000000"/>
          <w:sz w:val="24"/>
        </w:rPr>
        <w:t xml:space="preserve">Raise </w:t>
      </w:r>
      <w:r w:rsidR="005D1066" w:rsidRPr="00E8009A">
        <w:rPr>
          <w:color w:val="000000"/>
          <w:sz w:val="24"/>
        </w:rPr>
        <w:t>money or</w:t>
      </w:r>
      <w:r w:rsidRPr="00E8009A">
        <w:rPr>
          <w:color w:val="000000"/>
          <w:sz w:val="24"/>
        </w:rPr>
        <w:t xml:space="preserve"> participate in the raising of money for real estate syndications other than as an agent of the Company. </w:t>
      </w:r>
    </w:p>
    <w:p w14:paraId="1635B150" w14:textId="77777777" w:rsidR="00E8009A" w:rsidRPr="00E8009A" w:rsidRDefault="00E8009A" w:rsidP="00E8009A">
      <w:pPr>
        <w:pStyle w:val="ListParagraph"/>
        <w:rPr>
          <w:color w:val="000000"/>
          <w:sz w:val="24"/>
        </w:rPr>
      </w:pPr>
    </w:p>
    <w:p w14:paraId="24E00F26" w14:textId="77777777" w:rsidR="00E8009A" w:rsidRDefault="00AB540F" w:rsidP="003E7B18">
      <w:pPr>
        <w:pStyle w:val="ListParagraph"/>
        <w:numPr>
          <w:ilvl w:val="0"/>
          <w:numId w:val="309"/>
        </w:numPr>
        <w:ind w:left="360"/>
        <w:jc w:val="both"/>
        <w:rPr>
          <w:color w:val="000000"/>
          <w:sz w:val="24"/>
        </w:rPr>
      </w:pPr>
      <w:r w:rsidRPr="00E8009A">
        <w:rPr>
          <w:color w:val="000000"/>
          <w:sz w:val="24"/>
        </w:rPr>
        <w:t xml:space="preserve">Raise money for charitable or political organizations without first informing the Company. </w:t>
      </w:r>
    </w:p>
    <w:p w14:paraId="42B1EA6A" w14:textId="77777777" w:rsidR="00E8009A" w:rsidRPr="00E8009A" w:rsidRDefault="00E8009A" w:rsidP="00E8009A">
      <w:pPr>
        <w:pStyle w:val="ListParagraph"/>
        <w:rPr>
          <w:color w:val="000000"/>
          <w:sz w:val="24"/>
        </w:rPr>
      </w:pPr>
    </w:p>
    <w:p w14:paraId="3E7AB488" w14:textId="77777777" w:rsidR="00E8009A" w:rsidRDefault="00AB540F" w:rsidP="003E7B18">
      <w:pPr>
        <w:pStyle w:val="ListParagraph"/>
        <w:numPr>
          <w:ilvl w:val="0"/>
          <w:numId w:val="309"/>
        </w:numPr>
        <w:ind w:left="360"/>
        <w:jc w:val="both"/>
        <w:rPr>
          <w:color w:val="000000"/>
          <w:sz w:val="24"/>
        </w:rPr>
      </w:pPr>
      <w:r w:rsidRPr="00E8009A">
        <w:rPr>
          <w:color w:val="000000"/>
          <w:sz w:val="24"/>
        </w:rPr>
        <w:t>Act as personal custodian or trustee of securities, stock powers, money, or other property belonging to a client</w:t>
      </w:r>
      <w:r w:rsidR="00D34ACE" w:rsidRPr="00E8009A">
        <w:rPr>
          <w:color w:val="000000"/>
          <w:sz w:val="24"/>
        </w:rPr>
        <w:t xml:space="preserve"> </w:t>
      </w:r>
      <w:r w:rsidR="00D34ACE" w:rsidRPr="00E8009A">
        <w:rPr>
          <w:sz w:val="24"/>
        </w:rPr>
        <w:t>without Company authorization</w:t>
      </w:r>
      <w:r w:rsidRPr="00E8009A">
        <w:rPr>
          <w:color w:val="000000"/>
          <w:sz w:val="24"/>
        </w:rPr>
        <w:t xml:space="preserve">. </w:t>
      </w:r>
    </w:p>
    <w:p w14:paraId="046C9EF3" w14:textId="77777777" w:rsidR="00E8009A" w:rsidRPr="00E8009A" w:rsidRDefault="00E8009A" w:rsidP="00E8009A">
      <w:pPr>
        <w:pStyle w:val="ListParagraph"/>
        <w:rPr>
          <w:color w:val="000000"/>
          <w:sz w:val="24"/>
        </w:rPr>
      </w:pPr>
    </w:p>
    <w:p w14:paraId="561A8613" w14:textId="77777777" w:rsidR="00E8009A" w:rsidRDefault="00AB540F" w:rsidP="003E7B18">
      <w:pPr>
        <w:pStyle w:val="ListParagraph"/>
        <w:numPr>
          <w:ilvl w:val="0"/>
          <w:numId w:val="309"/>
        </w:numPr>
        <w:ind w:left="360"/>
        <w:jc w:val="both"/>
        <w:rPr>
          <w:color w:val="000000"/>
          <w:sz w:val="24"/>
        </w:rPr>
      </w:pPr>
      <w:r w:rsidRPr="00E8009A">
        <w:rPr>
          <w:color w:val="000000"/>
          <w:sz w:val="24"/>
        </w:rPr>
        <w:t>Borrow money or securities from a client</w:t>
      </w:r>
      <w:r w:rsidR="00FF2F50" w:rsidRPr="00E8009A">
        <w:rPr>
          <w:color w:val="000000"/>
          <w:sz w:val="24"/>
        </w:rPr>
        <w:t xml:space="preserve"> without Company approval and within the limitations specified by Company and regulatory rules</w:t>
      </w:r>
      <w:r w:rsidRPr="00E8009A">
        <w:rPr>
          <w:color w:val="000000"/>
          <w:sz w:val="24"/>
        </w:rPr>
        <w:t xml:space="preserve">. </w:t>
      </w:r>
    </w:p>
    <w:p w14:paraId="529670C6" w14:textId="77777777" w:rsidR="00E8009A" w:rsidRPr="00E8009A" w:rsidRDefault="00E8009A" w:rsidP="00E8009A">
      <w:pPr>
        <w:pStyle w:val="ListParagraph"/>
        <w:rPr>
          <w:color w:val="000000"/>
          <w:sz w:val="24"/>
        </w:rPr>
      </w:pPr>
    </w:p>
    <w:p w14:paraId="70714F04" w14:textId="77777777" w:rsidR="00E8009A" w:rsidRDefault="00AB540F" w:rsidP="003E7B18">
      <w:pPr>
        <w:pStyle w:val="ListParagraph"/>
        <w:numPr>
          <w:ilvl w:val="0"/>
          <w:numId w:val="309"/>
        </w:numPr>
        <w:ind w:left="360"/>
        <w:jc w:val="both"/>
        <w:rPr>
          <w:color w:val="000000"/>
          <w:sz w:val="24"/>
        </w:rPr>
      </w:pPr>
      <w:r w:rsidRPr="00E8009A">
        <w:rPr>
          <w:color w:val="000000"/>
          <w:sz w:val="24"/>
        </w:rPr>
        <w:t xml:space="preserve">Accept gratuities from a client or anyone other than the Company. </w:t>
      </w:r>
    </w:p>
    <w:p w14:paraId="45F14CA8" w14:textId="77777777" w:rsidR="00E8009A" w:rsidRPr="00E8009A" w:rsidRDefault="00E8009A" w:rsidP="00E8009A">
      <w:pPr>
        <w:pStyle w:val="ListParagraph"/>
        <w:rPr>
          <w:color w:val="000000"/>
          <w:sz w:val="24"/>
        </w:rPr>
      </w:pPr>
    </w:p>
    <w:p w14:paraId="55169AC7" w14:textId="77777777" w:rsidR="00E8009A" w:rsidRDefault="00AB540F" w:rsidP="003E7B18">
      <w:pPr>
        <w:pStyle w:val="ListParagraph"/>
        <w:numPr>
          <w:ilvl w:val="0"/>
          <w:numId w:val="309"/>
        </w:numPr>
        <w:ind w:left="360"/>
        <w:jc w:val="both"/>
        <w:rPr>
          <w:color w:val="000000"/>
          <w:sz w:val="24"/>
        </w:rPr>
      </w:pPr>
      <w:r w:rsidRPr="00E8009A">
        <w:rPr>
          <w:color w:val="000000"/>
          <w:sz w:val="24"/>
        </w:rPr>
        <w:t xml:space="preserve">Arrange for the extension or maintenance of credit to or for any customer. </w:t>
      </w:r>
    </w:p>
    <w:p w14:paraId="5F3CA4A6" w14:textId="77777777" w:rsidR="00E8009A" w:rsidRPr="00E8009A" w:rsidRDefault="00E8009A" w:rsidP="00E8009A">
      <w:pPr>
        <w:pStyle w:val="ListParagraph"/>
        <w:rPr>
          <w:color w:val="000000"/>
          <w:sz w:val="24"/>
        </w:rPr>
      </w:pPr>
    </w:p>
    <w:p w14:paraId="348564C6" w14:textId="77777777" w:rsidR="00E8009A" w:rsidRDefault="00AB540F" w:rsidP="003E7B18">
      <w:pPr>
        <w:pStyle w:val="ListParagraph"/>
        <w:numPr>
          <w:ilvl w:val="0"/>
          <w:numId w:val="309"/>
        </w:numPr>
        <w:ind w:left="360"/>
        <w:jc w:val="both"/>
        <w:rPr>
          <w:color w:val="000000"/>
          <w:sz w:val="24"/>
        </w:rPr>
      </w:pPr>
      <w:r w:rsidRPr="00E8009A">
        <w:rPr>
          <w:color w:val="000000"/>
          <w:sz w:val="24"/>
        </w:rPr>
        <w:lastRenderedPageBreak/>
        <w:t>Maintain a joint account in securities with any client or share any benefit with any client resulting from a securities transaction unless with the express written authorization from the Company.</w:t>
      </w:r>
    </w:p>
    <w:p w14:paraId="7C77CC0E" w14:textId="77777777" w:rsidR="00E8009A" w:rsidRPr="00E8009A" w:rsidRDefault="00E8009A" w:rsidP="00E8009A">
      <w:pPr>
        <w:pStyle w:val="ListParagraph"/>
        <w:rPr>
          <w:color w:val="000000"/>
          <w:sz w:val="24"/>
        </w:rPr>
      </w:pPr>
    </w:p>
    <w:p w14:paraId="1ADC23E8" w14:textId="77777777" w:rsidR="00E8009A" w:rsidRDefault="00AB540F" w:rsidP="003E7B18">
      <w:pPr>
        <w:pStyle w:val="ListParagraph"/>
        <w:numPr>
          <w:ilvl w:val="0"/>
          <w:numId w:val="309"/>
        </w:numPr>
        <w:ind w:left="360"/>
        <w:jc w:val="both"/>
        <w:rPr>
          <w:color w:val="000000"/>
          <w:sz w:val="24"/>
        </w:rPr>
      </w:pPr>
      <w:r w:rsidRPr="00E8009A">
        <w:rPr>
          <w:color w:val="000000"/>
          <w:sz w:val="24"/>
        </w:rPr>
        <w:t xml:space="preserve">Transfer any customer asset to own name or name of member of immediate family. </w:t>
      </w:r>
    </w:p>
    <w:p w14:paraId="0A5A47A3" w14:textId="77777777" w:rsidR="00E8009A" w:rsidRPr="00E8009A" w:rsidRDefault="00E8009A" w:rsidP="00E8009A">
      <w:pPr>
        <w:pStyle w:val="ListParagraph"/>
        <w:rPr>
          <w:color w:val="000000"/>
          <w:sz w:val="24"/>
        </w:rPr>
      </w:pPr>
    </w:p>
    <w:p w14:paraId="447AEF36" w14:textId="77777777" w:rsidR="00E8009A" w:rsidRDefault="00AB540F" w:rsidP="003E7B18">
      <w:pPr>
        <w:pStyle w:val="ListParagraph"/>
        <w:numPr>
          <w:ilvl w:val="0"/>
          <w:numId w:val="309"/>
        </w:numPr>
        <w:ind w:left="450" w:hanging="450"/>
        <w:jc w:val="both"/>
        <w:rPr>
          <w:color w:val="000000"/>
          <w:sz w:val="24"/>
        </w:rPr>
      </w:pPr>
      <w:r w:rsidRPr="00E8009A">
        <w:rPr>
          <w:color w:val="000000"/>
          <w:sz w:val="24"/>
        </w:rPr>
        <w:t xml:space="preserve">Enter into any business transaction jointly with a client without the specific prior </w:t>
      </w:r>
      <w:r w:rsidR="00E8009A" w:rsidRPr="00E8009A">
        <w:rPr>
          <w:color w:val="000000"/>
          <w:sz w:val="24"/>
        </w:rPr>
        <w:t>written approval</w:t>
      </w:r>
      <w:r w:rsidRPr="00E8009A">
        <w:rPr>
          <w:color w:val="000000"/>
          <w:sz w:val="24"/>
        </w:rPr>
        <w:t xml:space="preserve"> of the Company. </w:t>
      </w:r>
    </w:p>
    <w:p w14:paraId="3B37D0E5" w14:textId="77777777" w:rsidR="00E8009A" w:rsidRPr="00E8009A" w:rsidRDefault="00E8009A" w:rsidP="00E8009A">
      <w:pPr>
        <w:pStyle w:val="ListParagraph"/>
        <w:rPr>
          <w:color w:val="000000"/>
          <w:sz w:val="24"/>
        </w:rPr>
      </w:pPr>
    </w:p>
    <w:p w14:paraId="6755B8B5" w14:textId="100C10DC" w:rsidR="0023517A" w:rsidRPr="0023517A" w:rsidRDefault="00AB540F" w:rsidP="003E7B18">
      <w:pPr>
        <w:pStyle w:val="ListParagraph"/>
        <w:numPr>
          <w:ilvl w:val="0"/>
          <w:numId w:val="309"/>
        </w:numPr>
        <w:ind w:left="450" w:hanging="450"/>
        <w:jc w:val="both"/>
        <w:rPr>
          <w:sz w:val="24"/>
        </w:rPr>
      </w:pPr>
      <w:r w:rsidRPr="0023517A">
        <w:rPr>
          <w:color w:val="000000"/>
          <w:sz w:val="24"/>
        </w:rPr>
        <w:t>Forward or agree to forward confirmations or statements of account other than to the home or business address of the client</w:t>
      </w:r>
      <w:r w:rsidR="009C6148">
        <w:rPr>
          <w:color w:val="000000"/>
          <w:sz w:val="24"/>
        </w:rPr>
        <w:t xml:space="preserve"> </w:t>
      </w:r>
      <w:r w:rsidR="009C6148" w:rsidRPr="007F0C5D">
        <w:rPr>
          <w:sz w:val="24"/>
        </w:rPr>
        <w:t>or without the client authorization</w:t>
      </w:r>
      <w:r w:rsidR="009C6148">
        <w:rPr>
          <w:color w:val="000000"/>
          <w:sz w:val="24"/>
        </w:rPr>
        <w:t>.</w:t>
      </w:r>
    </w:p>
    <w:p w14:paraId="5E9BD796" w14:textId="77777777" w:rsidR="0023517A" w:rsidRPr="0023517A" w:rsidRDefault="0023517A" w:rsidP="0023517A">
      <w:pPr>
        <w:pStyle w:val="ListParagraph"/>
        <w:rPr>
          <w:color w:val="000000"/>
          <w:sz w:val="24"/>
        </w:rPr>
      </w:pPr>
    </w:p>
    <w:p w14:paraId="1BAA7B8C" w14:textId="77777777" w:rsidR="0023517A" w:rsidRDefault="00573FF7" w:rsidP="003E7B18">
      <w:pPr>
        <w:pStyle w:val="ListParagraph"/>
        <w:numPr>
          <w:ilvl w:val="0"/>
          <w:numId w:val="309"/>
        </w:numPr>
        <w:ind w:left="360" w:hanging="450"/>
        <w:jc w:val="both"/>
        <w:rPr>
          <w:sz w:val="24"/>
        </w:rPr>
      </w:pPr>
      <w:r w:rsidRPr="0023517A">
        <w:rPr>
          <w:color w:val="000000"/>
          <w:sz w:val="24"/>
        </w:rPr>
        <w:t>Provide tax advice without disclosing the Company or the Associated Person is not a tax professional; or t</w:t>
      </w:r>
      <w:r w:rsidR="00AB540F" w:rsidRPr="0023517A">
        <w:rPr>
          <w:color w:val="000000"/>
          <w:sz w:val="24"/>
        </w:rPr>
        <w:t>he practice of law or giving of counsel customarily received from attorneys.  All representatives will refrain from distributing any legal forms unle</w:t>
      </w:r>
      <w:r w:rsidRPr="0023517A">
        <w:rPr>
          <w:color w:val="000000"/>
          <w:sz w:val="24"/>
        </w:rPr>
        <w:t>ss they are stamped "Specimen</w:t>
      </w:r>
      <w:r w:rsidR="00734AC8" w:rsidRPr="0023517A">
        <w:rPr>
          <w:color w:val="000000"/>
          <w:sz w:val="24"/>
        </w:rPr>
        <w:t xml:space="preserve">," </w:t>
      </w:r>
      <w:r w:rsidR="00734AC8" w:rsidRPr="0023517A">
        <w:rPr>
          <w:sz w:val="24"/>
        </w:rPr>
        <w:t>or otherwise noted.</w:t>
      </w:r>
    </w:p>
    <w:p w14:paraId="76526C78" w14:textId="77777777" w:rsidR="0023517A" w:rsidRPr="0023517A" w:rsidRDefault="0023517A" w:rsidP="0023517A">
      <w:pPr>
        <w:pStyle w:val="ListParagraph"/>
        <w:rPr>
          <w:sz w:val="24"/>
        </w:rPr>
      </w:pPr>
    </w:p>
    <w:p w14:paraId="531823CA" w14:textId="77777777" w:rsidR="0023517A" w:rsidRDefault="00AB540F" w:rsidP="003E7B18">
      <w:pPr>
        <w:pStyle w:val="ListParagraph"/>
        <w:numPr>
          <w:ilvl w:val="0"/>
          <w:numId w:val="309"/>
        </w:numPr>
        <w:ind w:left="360" w:hanging="450"/>
        <w:jc w:val="both"/>
        <w:rPr>
          <w:sz w:val="24"/>
        </w:rPr>
      </w:pPr>
      <w:r w:rsidRPr="0023517A">
        <w:rPr>
          <w:sz w:val="24"/>
        </w:rPr>
        <w:t xml:space="preserve">Distribute unauthorized materials. </w:t>
      </w:r>
    </w:p>
    <w:p w14:paraId="6021E14F" w14:textId="77777777" w:rsidR="0023517A" w:rsidRPr="0023517A" w:rsidRDefault="0023517A" w:rsidP="0023517A">
      <w:pPr>
        <w:pStyle w:val="ListParagraph"/>
        <w:rPr>
          <w:sz w:val="24"/>
        </w:rPr>
      </w:pPr>
    </w:p>
    <w:p w14:paraId="0ECD873E" w14:textId="77777777" w:rsidR="0023517A" w:rsidRDefault="00AB540F" w:rsidP="003E7B18">
      <w:pPr>
        <w:pStyle w:val="ListParagraph"/>
        <w:numPr>
          <w:ilvl w:val="0"/>
          <w:numId w:val="309"/>
        </w:numPr>
        <w:ind w:left="360" w:hanging="450"/>
        <w:jc w:val="both"/>
        <w:rPr>
          <w:sz w:val="24"/>
        </w:rPr>
      </w:pPr>
      <w:r w:rsidRPr="0023517A">
        <w:rPr>
          <w:sz w:val="24"/>
        </w:rPr>
        <w:t xml:space="preserve">Distribute any sales material in any state where the Company is not registered as a Broker/ Dealer.   </w:t>
      </w:r>
    </w:p>
    <w:p w14:paraId="7DCA0C71" w14:textId="77777777" w:rsidR="0023517A" w:rsidRPr="0023517A" w:rsidRDefault="0023517A" w:rsidP="0023517A">
      <w:pPr>
        <w:pStyle w:val="ListParagraph"/>
        <w:rPr>
          <w:sz w:val="24"/>
        </w:rPr>
      </w:pPr>
    </w:p>
    <w:p w14:paraId="4B4C50B9" w14:textId="77777777" w:rsidR="0023517A" w:rsidRPr="0023517A" w:rsidRDefault="00AB540F" w:rsidP="003E7B18">
      <w:pPr>
        <w:pStyle w:val="ListParagraph"/>
        <w:numPr>
          <w:ilvl w:val="0"/>
          <w:numId w:val="309"/>
        </w:numPr>
        <w:ind w:left="360" w:hanging="450"/>
        <w:jc w:val="both"/>
        <w:rPr>
          <w:color w:val="000000"/>
          <w:sz w:val="24"/>
        </w:rPr>
      </w:pPr>
      <w:r w:rsidRPr="0023517A">
        <w:rPr>
          <w:sz w:val="24"/>
        </w:rPr>
        <w:t xml:space="preserve">Pay an unlicensed person and/or split commissions with an employee of another Broker/Dealer firm without the approval of the operations and compliance officer(s) of the Company and the company whose employee is involved. </w:t>
      </w:r>
    </w:p>
    <w:p w14:paraId="49C1A4D8" w14:textId="77777777" w:rsidR="0023517A" w:rsidRPr="0023517A" w:rsidRDefault="0023517A" w:rsidP="0023517A">
      <w:pPr>
        <w:pStyle w:val="ListParagraph"/>
        <w:rPr>
          <w:sz w:val="24"/>
        </w:rPr>
      </w:pPr>
    </w:p>
    <w:p w14:paraId="24DDD1EE" w14:textId="77777777" w:rsidR="0023517A" w:rsidRDefault="00FC4682" w:rsidP="003E7B18">
      <w:pPr>
        <w:pStyle w:val="ListParagraph"/>
        <w:numPr>
          <w:ilvl w:val="0"/>
          <w:numId w:val="309"/>
        </w:numPr>
        <w:ind w:left="360" w:hanging="450"/>
        <w:jc w:val="both"/>
        <w:rPr>
          <w:color w:val="000000"/>
          <w:sz w:val="24"/>
        </w:rPr>
      </w:pPr>
      <w:r w:rsidRPr="0023517A">
        <w:rPr>
          <w:sz w:val="24"/>
        </w:rPr>
        <w:t xml:space="preserve">Use </w:t>
      </w:r>
      <w:r w:rsidR="00625322" w:rsidRPr="0023517A">
        <w:rPr>
          <w:sz w:val="24"/>
        </w:rPr>
        <w:t>retail communication</w:t>
      </w:r>
      <w:r w:rsidR="00625322" w:rsidRPr="0023517A">
        <w:rPr>
          <w:color w:val="000000"/>
          <w:sz w:val="24"/>
        </w:rPr>
        <w:t xml:space="preserve"> </w:t>
      </w:r>
      <w:r w:rsidR="00AB540F" w:rsidRPr="0023517A">
        <w:rPr>
          <w:color w:val="000000"/>
          <w:sz w:val="24"/>
        </w:rPr>
        <w:t xml:space="preserve">with the </w:t>
      </w:r>
      <w:r w:rsidR="00987534" w:rsidRPr="0023517A">
        <w:rPr>
          <w:color w:val="000000"/>
          <w:sz w:val="24"/>
        </w:rPr>
        <w:t xml:space="preserve">general </w:t>
      </w:r>
      <w:r w:rsidR="00AB540F" w:rsidRPr="0023517A">
        <w:rPr>
          <w:color w:val="000000"/>
          <w:sz w:val="24"/>
        </w:rPr>
        <w:t xml:space="preserve">public </w:t>
      </w:r>
      <w:r w:rsidR="00871556" w:rsidRPr="0023517A">
        <w:rPr>
          <w:color w:val="000000"/>
          <w:sz w:val="24"/>
        </w:rPr>
        <w:t xml:space="preserve">without </w:t>
      </w:r>
      <w:r w:rsidR="00AB540F" w:rsidRPr="0023517A">
        <w:rPr>
          <w:color w:val="000000"/>
          <w:sz w:val="24"/>
        </w:rPr>
        <w:t>approv</w:t>
      </w:r>
      <w:r w:rsidR="00871556" w:rsidRPr="0023517A">
        <w:rPr>
          <w:color w:val="000000"/>
          <w:sz w:val="24"/>
        </w:rPr>
        <w:t>al</w:t>
      </w:r>
      <w:r w:rsidR="00AB540F" w:rsidRPr="0023517A">
        <w:rPr>
          <w:color w:val="000000"/>
          <w:sz w:val="24"/>
        </w:rPr>
        <w:t xml:space="preserve"> in writing by a principal of the Company. </w:t>
      </w:r>
    </w:p>
    <w:p w14:paraId="6CCB5AAB" w14:textId="77777777" w:rsidR="0023517A" w:rsidRPr="0023517A" w:rsidRDefault="0023517A" w:rsidP="0023517A">
      <w:pPr>
        <w:pStyle w:val="ListParagraph"/>
        <w:rPr>
          <w:color w:val="000000"/>
          <w:sz w:val="24"/>
        </w:rPr>
      </w:pPr>
    </w:p>
    <w:p w14:paraId="50624FB3" w14:textId="77777777" w:rsidR="0023517A" w:rsidRDefault="00AB540F" w:rsidP="003E7B18">
      <w:pPr>
        <w:pStyle w:val="ListParagraph"/>
        <w:numPr>
          <w:ilvl w:val="0"/>
          <w:numId w:val="309"/>
        </w:numPr>
        <w:ind w:left="360" w:hanging="450"/>
        <w:jc w:val="both"/>
        <w:rPr>
          <w:color w:val="000000"/>
          <w:sz w:val="24"/>
        </w:rPr>
      </w:pPr>
      <w:r w:rsidRPr="0023517A">
        <w:rPr>
          <w:color w:val="000000"/>
          <w:sz w:val="24"/>
        </w:rPr>
        <w:t xml:space="preserve">Offers and sales of new issues of securities shall be restricted only to individuals who satisfy the investment or suitability requirements which have been established by the issuer of the securities. </w:t>
      </w:r>
    </w:p>
    <w:p w14:paraId="66987059" w14:textId="77777777" w:rsidR="0023517A" w:rsidRPr="0023517A" w:rsidRDefault="0023517A" w:rsidP="0023517A">
      <w:pPr>
        <w:pStyle w:val="ListParagraph"/>
        <w:rPr>
          <w:color w:val="000000"/>
          <w:sz w:val="24"/>
        </w:rPr>
      </w:pPr>
    </w:p>
    <w:p w14:paraId="011AFCDF" w14:textId="77777777" w:rsidR="0023517A" w:rsidRPr="0023517A" w:rsidRDefault="00AB540F" w:rsidP="003E7B18">
      <w:pPr>
        <w:pStyle w:val="ListParagraph"/>
        <w:numPr>
          <w:ilvl w:val="0"/>
          <w:numId w:val="309"/>
        </w:numPr>
        <w:ind w:left="360" w:hanging="450"/>
        <w:jc w:val="both"/>
        <w:rPr>
          <w:color w:val="000000"/>
          <w:sz w:val="24"/>
          <w:szCs w:val="24"/>
        </w:rPr>
      </w:pPr>
      <w:r w:rsidRPr="0023517A">
        <w:rPr>
          <w:color w:val="000000"/>
          <w:sz w:val="24"/>
        </w:rPr>
        <w:t xml:space="preserve">In connection with the offer and sale of new issues of securities, all oral representations shall be restricted to matters set forth in the offering documents and other approved sales materials supplied to registered representatives of and by the Company. </w:t>
      </w:r>
    </w:p>
    <w:p w14:paraId="0363B821" w14:textId="77777777" w:rsidR="0023517A" w:rsidRPr="0023517A" w:rsidRDefault="0023517A" w:rsidP="0023517A">
      <w:pPr>
        <w:pStyle w:val="ListParagraph"/>
        <w:rPr>
          <w:color w:val="000000"/>
          <w:sz w:val="24"/>
          <w:szCs w:val="24"/>
        </w:rPr>
      </w:pPr>
    </w:p>
    <w:p w14:paraId="239B778C" w14:textId="77777777" w:rsidR="0023517A" w:rsidRDefault="00B07E3A" w:rsidP="003E7B18">
      <w:pPr>
        <w:pStyle w:val="ListParagraph"/>
        <w:numPr>
          <w:ilvl w:val="0"/>
          <w:numId w:val="309"/>
        </w:numPr>
        <w:ind w:left="360" w:hanging="450"/>
        <w:jc w:val="both"/>
        <w:rPr>
          <w:color w:val="000000"/>
          <w:sz w:val="24"/>
          <w:szCs w:val="24"/>
        </w:rPr>
      </w:pPr>
      <w:r w:rsidRPr="0023517A">
        <w:rPr>
          <w:color w:val="000000"/>
          <w:sz w:val="24"/>
          <w:szCs w:val="24"/>
        </w:rPr>
        <w:t xml:space="preserve">Sign documents on behalf of customers, even when doing so is meant to accommodate a customer's request. Customer signatures must be original </w:t>
      </w:r>
      <w:r w:rsidR="00537891" w:rsidRPr="0023517A">
        <w:rPr>
          <w:sz w:val="24"/>
          <w:szCs w:val="24"/>
        </w:rPr>
        <w:t>or sent electronically</w:t>
      </w:r>
      <w:r w:rsidR="00537891" w:rsidRPr="0023517A">
        <w:rPr>
          <w:color w:val="000000"/>
          <w:sz w:val="24"/>
          <w:szCs w:val="24"/>
        </w:rPr>
        <w:t xml:space="preserve"> </w:t>
      </w:r>
      <w:r w:rsidRPr="0023517A">
        <w:rPr>
          <w:color w:val="000000"/>
          <w:sz w:val="24"/>
          <w:szCs w:val="24"/>
        </w:rPr>
        <w:t>by the customer on all documents.</w:t>
      </w:r>
    </w:p>
    <w:p w14:paraId="1E46059E" w14:textId="77777777" w:rsidR="0023517A" w:rsidRPr="0023517A" w:rsidRDefault="0023517A" w:rsidP="0023517A">
      <w:pPr>
        <w:pStyle w:val="ListParagraph"/>
        <w:rPr>
          <w:color w:val="000000"/>
          <w:sz w:val="24"/>
          <w:szCs w:val="24"/>
        </w:rPr>
      </w:pPr>
    </w:p>
    <w:p w14:paraId="7F524B16" w14:textId="77777777" w:rsidR="008775F0" w:rsidRDefault="00E67016" w:rsidP="003E7B18">
      <w:pPr>
        <w:pStyle w:val="ListParagraph"/>
        <w:numPr>
          <w:ilvl w:val="0"/>
          <w:numId w:val="309"/>
        </w:numPr>
        <w:ind w:left="360" w:hanging="450"/>
        <w:jc w:val="both"/>
        <w:rPr>
          <w:color w:val="000000"/>
          <w:sz w:val="24"/>
          <w:szCs w:val="24"/>
        </w:rPr>
      </w:pPr>
      <w:r w:rsidRPr="008775F0">
        <w:rPr>
          <w:color w:val="000000"/>
          <w:sz w:val="24"/>
          <w:szCs w:val="24"/>
        </w:rPr>
        <w:t>Engage in high pressure sales tactics which may include excessive telephone calls, implying that a price may change on a security if the customer doesn't act immediately, or falsely representing that there is a limited supply of a security at a particular price.</w:t>
      </w:r>
    </w:p>
    <w:p w14:paraId="13177488" w14:textId="77777777" w:rsidR="008775F0" w:rsidRPr="008775F0" w:rsidRDefault="008775F0" w:rsidP="008775F0">
      <w:pPr>
        <w:pStyle w:val="ListParagraph"/>
        <w:rPr>
          <w:color w:val="000000"/>
          <w:sz w:val="24"/>
          <w:szCs w:val="24"/>
        </w:rPr>
      </w:pPr>
    </w:p>
    <w:p w14:paraId="05DE4613" w14:textId="77777777" w:rsidR="00B07E3A" w:rsidRDefault="00B07E3A" w:rsidP="003E7B18">
      <w:pPr>
        <w:pStyle w:val="ListParagraph"/>
        <w:numPr>
          <w:ilvl w:val="0"/>
          <w:numId w:val="309"/>
        </w:numPr>
        <w:ind w:left="360" w:hanging="450"/>
        <w:jc w:val="both"/>
        <w:rPr>
          <w:color w:val="000000"/>
          <w:sz w:val="24"/>
          <w:szCs w:val="24"/>
        </w:rPr>
      </w:pPr>
      <w:r w:rsidRPr="008775F0">
        <w:rPr>
          <w:color w:val="000000"/>
          <w:sz w:val="24"/>
          <w:szCs w:val="24"/>
        </w:rPr>
        <w:t>Make payments to customers of any kind to resolve an error or customer complaint. Errors and complaints must be brought to the attention of the employee's designated supervisor.</w:t>
      </w:r>
    </w:p>
    <w:p w14:paraId="3B32F103" w14:textId="77777777" w:rsidR="00FC0FA9" w:rsidRPr="00FC0FA9" w:rsidRDefault="00FC0FA9" w:rsidP="00FC0FA9">
      <w:pPr>
        <w:pStyle w:val="ListParagraph"/>
        <w:rPr>
          <w:color w:val="000000"/>
          <w:sz w:val="24"/>
          <w:szCs w:val="24"/>
        </w:rPr>
      </w:pPr>
    </w:p>
    <w:p w14:paraId="2C54DD14" w14:textId="77777777" w:rsidR="00FC0FA9" w:rsidRPr="008239F6" w:rsidRDefault="00FC0FA9" w:rsidP="003E7B18">
      <w:pPr>
        <w:pStyle w:val="ListParagraph"/>
        <w:numPr>
          <w:ilvl w:val="0"/>
          <w:numId w:val="309"/>
        </w:numPr>
        <w:ind w:left="360" w:hanging="450"/>
        <w:jc w:val="both"/>
        <w:rPr>
          <w:sz w:val="24"/>
          <w:szCs w:val="24"/>
        </w:rPr>
      </w:pPr>
      <w:r w:rsidRPr="008239F6">
        <w:rPr>
          <w:sz w:val="24"/>
          <w:szCs w:val="24"/>
        </w:rPr>
        <w:lastRenderedPageBreak/>
        <w:t>Use any professional designation without prior approval from Morris Monroe or Compliance.  Any designation must be disclosed to the Company prior to use on the applicable form in Exhibit B, Notice Forms.</w:t>
      </w:r>
    </w:p>
    <w:p w14:paraId="4EB20BB3" w14:textId="77777777" w:rsidR="00AB540F" w:rsidRPr="003B7614" w:rsidRDefault="00AB540F" w:rsidP="004D341A">
      <w:pPr>
        <w:ind w:left="360" w:hanging="360"/>
        <w:rPr>
          <w:color w:val="000000"/>
          <w:sz w:val="24"/>
          <w:szCs w:val="24"/>
        </w:rPr>
      </w:pPr>
    </w:p>
    <w:p w14:paraId="1F77BE27" w14:textId="77777777" w:rsidR="00AB540F" w:rsidRPr="003B7614" w:rsidRDefault="00573FF7" w:rsidP="00667311">
      <w:pPr>
        <w:rPr>
          <w:color w:val="000000"/>
          <w:sz w:val="24"/>
          <w:szCs w:val="24"/>
        </w:rPr>
      </w:pPr>
      <w:r w:rsidRPr="003B7614">
        <w:rPr>
          <w:color w:val="000000"/>
          <w:sz w:val="24"/>
          <w:szCs w:val="24"/>
        </w:rPr>
        <w:t xml:space="preserve">Associated </w:t>
      </w:r>
      <w:r w:rsidR="00987534" w:rsidRPr="003B7614">
        <w:rPr>
          <w:color w:val="000000"/>
          <w:sz w:val="24"/>
          <w:szCs w:val="24"/>
        </w:rPr>
        <w:t>Persons will</w:t>
      </w:r>
      <w:r w:rsidR="00AB540F" w:rsidRPr="003B7614">
        <w:rPr>
          <w:color w:val="000000"/>
          <w:sz w:val="24"/>
          <w:szCs w:val="24"/>
        </w:rPr>
        <w:t xml:space="preserve"> certify annually to the above Prohibited Acts and be maintained as part of Company’s records for three years subsequent to termination.</w:t>
      </w:r>
    </w:p>
    <w:p w14:paraId="4FC695C4" w14:textId="77777777" w:rsidR="00FD4721" w:rsidRDefault="00FD4721" w:rsidP="00FD4721"/>
    <w:p w14:paraId="106C5181" w14:textId="77777777" w:rsidR="00FD4721" w:rsidRDefault="00FD4721" w:rsidP="00FD4721"/>
    <w:p w14:paraId="267F786A" w14:textId="77777777" w:rsidR="00186675" w:rsidRPr="000C570A" w:rsidRDefault="00667311" w:rsidP="00936FEE">
      <w:pPr>
        <w:pStyle w:val="Heading2"/>
      </w:pPr>
      <w:bookmarkStart w:id="59" w:name="_4.32_Compliance_Meetings"/>
      <w:bookmarkEnd w:id="59"/>
      <w:r>
        <w:t>4.</w:t>
      </w:r>
      <w:r w:rsidR="00D70F37">
        <w:t>3</w:t>
      </w:r>
      <w:bookmarkStart w:id="60" w:name="ComplMeetings"/>
      <w:r w:rsidR="000737DD">
        <w:t>2</w:t>
      </w:r>
      <w:r w:rsidR="00126A56">
        <w:t xml:space="preserve"> </w:t>
      </w:r>
      <w:r w:rsidR="00186675" w:rsidRPr="000C570A">
        <w:t>Compliance Meetings</w:t>
      </w:r>
      <w:bookmarkEnd w:id="60"/>
    </w:p>
    <w:p w14:paraId="033B36FB" w14:textId="49E258C0" w:rsidR="00186675" w:rsidRDefault="00186675" w:rsidP="00186675">
      <w:pPr>
        <w:jc w:val="both"/>
        <w:rPr>
          <w:sz w:val="24"/>
        </w:rPr>
      </w:pPr>
      <w:r>
        <w:rPr>
          <w:sz w:val="24"/>
        </w:rPr>
        <w:t xml:space="preserve">All </w:t>
      </w:r>
      <w:r w:rsidR="00A467C8">
        <w:rPr>
          <w:sz w:val="24"/>
        </w:rPr>
        <w:t>A</w:t>
      </w:r>
      <w:r>
        <w:rPr>
          <w:sz w:val="24"/>
        </w:rPr>
        <w:t xml:space="preserve">ssociated </w:t>
      </w:r>
      <w:r w:rsidR="00A467C8">
        <w:rPr>
          <w:sz w:val="24"/>
        </w:rPr>
        <w:t>P</w:t>
      </w:r>
      <w:r>
        <w:rPr>
          <w:sz w:val="24"/>
        </w:rPr>
        <w:t>ersons shall attend mandatory annual compliance meetings to be held by Morris Monroe</w:t>
      </w:r>
      <w:r w:rsidR="00630233">
        <w:rPr>
          <w:sz w:val="24"/>
        </w:rPr>
        <w:t xml:space="preserve"> and/or</w:t>
      </w:r>
      <w:r>
        <w:rPr>
          <w:sz w:val="24"/>
        </w:rPr>
        <w:t xml:space="preserve"> </w:t>
      </w:r>
      <w:r w:rsidR="00537891" w:rsidRPr="00424F51">
        <w:rPr>
          <w:sz w:val="24"/>
        </w:rPr>
        <w:t>Compliance</w:t>
      </w:r>
      <w:r w:rsidRPr="00424F51">
        <w:rPr>
          <w:sz w:val="24"/>
        </w:rPr>
        <w:t>.</w:t>
      </w:r>
      <w:r>
        <w:rPr>
          <w:sz w:val="24"/>
        </w:rPr>
        <w:t xml:space="preserve"> Such meetings will </w:t>
      </w:r>
      <w:r w:rsidR="00032189" w:rsidRPr="00790F31">
        <w:rPr>
          <w:sz w:val="24"/>
        </w:rPr>
        <w:t xml:space="preserve">generally </w:t>
      </w:r>
      <w:r w:rsidRPr="00790F31">
        <w:rPr>
          <w:sz w:val="24"/>
        </w:rPr>
        <w:t xml:space="preserve">be held in </w:t>
      </w:r>
      <w:r w:rsidR="009C6148" w:rsidRPr="00790F31">
        <w:rPr>
          <w:sz w:val="24"/>
        </w:rPr>
        <w:t>person,</w:t>
      </w:r>
      <w:r w:rsidRPr="00790F31">
        <w:rPr>
          <w:sz w:val="24"/>
        </w:rPr>
        <w:t xml:space="preserve"> </w:t>
      </w:r>
      <w:r w:rsidR="00032189" w:rsidRPr="00790F31">
        <w:rPr>
          <w:sz w:val="24"/>
        </w:rPr>
        <w:t>however, may</w:t>
      </w:r>
      <w:r w:rsidRPr="00790F31">
        <w:rPr>
          <w:sz w:val="24"/>
        </w:rPr>
        <w:t xml:space="preserve"> be conducted via telecommunications</w:t>
      </w:r>
      <w:r w:rsidR="00032189" w:rsidRPr="00790F31">
        <w:rPr>
          <w:sz w:val="24"/>
        </w:rPr>
        <w:t xml:space="preserve"> or other electronic means</w:t>
      </w:r>
      <w:r w:rsidRPr="00790F31">
        <w:rPr>
          <w:sz w:val="24"/>
        </w:rPr>
        <w:t>.</w:t>
      </w:r>
      <w:r>
        <w:rPr>
          <w:sz w:val="24"/>
        </w:rPr>
        <w:t xml:space="preserve"> Such compliance meetings shall cover at a minimum, (</w:t>
      </w:r>
      <w:proofErr w:type="spellStart"/>
      <w:r>
        <w:rPr>
          <w:sz w:val="24"/>
        </w:rPr>
        <w:t>i</w:t>
      </w:r>
      <w:proofErr w:type="spellEnd"/>
      <w:r>
        <w:rPr>
          <w:sz w:val="24"/>
        </w:rPr>
        <w:t>) a review of the Company's product mix and metho</w:t>
      </w:r>
      <w:r w:rsidR="00A467C8">
        <w:rPr>
          <w:sz w:val="24"/>
        </w:rPr>
        <w:t>d of operation of each A</w:t>
      </w:r>
      <w:r>
        <w:rPr>
          <w:sz w:val="24"/>
        </w:rPr>
        <w:t xml:space="preserve">ssociated </w:t>
      </w:r>
      <w:r w:rsidR="00A467C8">
        <w:rPr>
          <w:sz w:val="24"/>
        </w:rPr>
        <w:t>P</w:t>
      </w:r>
      <w:r>
        <w:rPr>
          <w:sz w:val="24"/>
        </w:rPr>
        <w:t xml:space="preserve">erson with an emphasis on compliance issues relating thereto; (ii) a question and answer period in which the Company's associated persons may ask any question he or she may have and receive authoritative guidance concerning compliance issues relating thereto; (iii) a review of regulatory developments, firm policies, and similar information; and recent regulatory developments and or cases </w:t>
      </w:r>
      <w:r w:rsidR="00630233">
        <w:rPr>
          <w:sz w:val="24"/>
        </w:rPr>
        <w:t xml:space="preserve">(i.e. </w:t>
      </w:r>
      <w:r>
        <w:rPr>
          <w:sz w:val="24"/>
        </w:rPr>
        <w:t>dealing with insider trading, churning of client accounts, unauthorized trading, private securities transactions</w:t>
      </w:r>
      <w:r w:rsidR="00630233">
        <w:rPr>
          <w:sz w:val="24"/>
        </w:rPr>
        <w:t>)</w:t>
      </w:r>
      <w:r>
        <w:rPr>
          <w:sz w:val="24"/>
        </w:rPr>
        <w:t xml:space="preserve"> and other recent regulatory developments of interest to the Company.  As evidence of attendance of such </w:t>
      </w:r>
      <w:r w:rsidR="00537891">
        <w:rPr>
          <w:sz w:val="24"/>
        </w:rPr>
        <w:t xml:space="preserve">compliance meetings, </w:t>
      </w:r>
      <w:r>
        <w:rPr>
          <w:sz w:val="24"/>
        </w:rPr>
        <w:t xml:space="preserve">records will be maintained by the Company which shall reflect the date and location of the meeting, those in attendance and the subjects discussed.  </w:t>
      </w:r>
    </w:p>
    <w:p w14:paraId="11B8DEB4" w14:textId="77777777" w:rsidR="00186675" w:rsidRDefault="00186675" w:rsidP="00186675">
      <w:pPr>
        <w:jc w:val="both"/>
        <w:rPr>
          <w:sz w:val="24"/>
        </w:rPr>
      </w:pPr>
    </w:p>
    <w:p w14:paraId="7C44569D" w14:textId="77777777" w:rsidR="00186675" w:rsidRPr="00D14441" w:rsidRDefault="00186675" w:rsidP="00186675">
      <w:pPr>
        <w:jc w:val="both"/>
        <w:rPr>
          <w:sz w:val="24"/>
        </w:rPr>
      </w:pPr>
      <w:r>
        <w:rPr>
          <w:sz w:val="24"/>
        </w:rPr>
        <w:t xml:space="preserve">Makeup sessions shall be conducted by </w:t>
      </w:r>
      <w:r w:rsidR="00537891" w:rsidRPr="00424F51">
        <w:rPr>
          <w:sz w:val="24"/>
        </w:rPr>
        <w:t>Compliance</w:t>
      </w:r>
      <w:r w:rsidRPr="00424F51">
        <w:rPr>
          <w:sz w:val="24"/>
        </w:rPr>
        <w:t>,</w:t>
      </w:r>
      <w:r>
        <w:rPr>
          <w:sz w:val="24"/>
        </w:rPr>
        <w:t xml:space="preserve"> Morris Monroe, or the applicable OSJ Supervisor (who has already attended the meeting)</w:t>
      </w:r>
      <w:r w:rsidR="00781875">
        <w:rPr>
          <w:sz w:val="24"/>
        </w:rPr>
        <w:t xml:space="preserve"> </w:t>
      </w:r>
      <w:r w:rsidR="00781875" w:rsidRPr="00790F31">
        <w:rPr>
          <w:sz w:val="24"/>
        </w:rPr>
        <w:t>by 12/31 of the year</w:t>
      </w:r>
      <w:r w:rsidR="007B7042" w:rsidRPr="00790F31">
        <w:rPr>
          <w:sz w:val="24"/>
        </w:rPr>
        <w:t xml:space="preserve"> of the absence</w:t>
      </w:r>
      <w:r>
        <w:rPr>
          <w:sz w:val="24"/>
        </w:rPr>
        <w:t>. Due to the time, effort, and expense to conduct the a</w:t>
      </w:r>
      <w:r w:rsidR="00630233">
        <w:rPr>
          <w:sz w:val="24"/>
        </w:rPr>
        <w:t>nnual compliance meetings, any Associated P</w:t>
      </w:r>
      <w:r>
        <w:rPr>
          <w:sz w:val="24"/>
        </w:rPr>
        <w:t xml:space="preserve">erson who does not attend the group event will be assessed a charge of $500 </w:t>
      </w:r>
      <w:r w:rsidR="00333C56">
        <w:rPr>
          <w:sz w:val="24"/>
        </w:rPr>
        <w:t>t</w:t>
      </w:r>
      <w:r>
        <w:rPr>
          <w:sz w:val="24"/>
        </w:rPr>
        <w:t>o be paid within thirty days or deducted from commissions</w:t>
      </w:r>
      <w:r w:rsidR="002706EC">
        <w:rPr>
          <w:sz w:val="24"/>
        </w:rPr>
        <w:t xml:space="preserve">, </w:t>
      </w:r>
      <w:r w:rsidR="002706EC" w:rsidRPr="00D14441">
        <w:rPr>
          <w:sz w:val="24"/>
        </w:rPr>
        <w:t>unless authorized by Morris Monroe</w:t>
      </w:r>
      <w:r w:rsidR="00434B7E" w:rsidRPr="00D14441">
        <w:rPr>
          <w:sz w:val="24"/>
        </w:rPr>
        <w:t xml:space="preserve"> for extenuating circumstances</w:t>
      </w:r>
      <w:r w:rsidRPr="00D14441">
        <w:rPr>
          <w:sz w:val="24"/>
        </w:rPr>
        <w:t>.</w:t>
      </w:r>
    </w:p>
    <w:p w14:paraId="64BBB0DB" w14:textId="77777777" w:rsidR="00186675" w:rsidRDefault="00186675" w:rsidP="00186675">
      <w:pPr>
        <w:pStyle w:val="MRS"/>
      </w:pPr>
    </w:p>
    <w:p w14:paraId="0F7CAA16" w14:textId="77777777" w:rsidR="00D114C8" w:rsidRDefault="00D114C8" w:rsidP="00186675">
      <w:pPr>
        <w:rPr>
          <w:b/>
          <w:bCs/>
          <w:sz w:val="24"/>
        </w:rPr>
      </w:pPr>
    </w:p>
    <w:p w14:paraId="3C95D061" w14:textId="77777777" w:rsidR="00186675" w:rsidRPr="000C570A" w:rsidRDefault="003B22F5" w:rsidP="00936FEE">
      <w:pPr>
        <w:pStyle w:val="Heading2"/>
      </w:pPr>
      <w:r>
        <w:t>4.3</w:t>
      </w:r>
      <w:r w:rsidR="000737DD">
        <w:t>3</w:t>
      </w:r>
      <w:r w:rsidR="00D114C8" w:rsidRPr="000C570A">
        <w:t xml:space="preserve"> </w:t>
      </w:r>
      <w:r w:rsidR="00186675" w:rsidRPr="000C570A">
        <w:t>Annual Compliance/Regulatory Checklist</w:t>
      </w:r>
    </w:p>
    <w:p w14:paraId="5A67F087" w14:textId="77777777" w:rsidR="00186675" w:rsidRPr="000C099C" w:rsidRDefault="00186675" w:rsidP="00787AB1">
      <w:pPr>
        <w:pStyle w:val="BodyText2"/>
        <w:widowControl/>
        <w:jc w:val="both"/>
      </w:pPr>
      <w:r w:rsidRPr="000C099C">
        <w:t xml:space="preserve">The Company will conduct an annual compliance and regulatory survey of its Associated Persons in order to detect such occurrences of outside business activities, gifts, private securities transactions, etc.  This will be conducted at </w:t>
      </w:r>
      <w:r w:rsidR="00D06C2E" w:rsidRPr="00790F31">
        <w:t xml:space="preserve">or prior to </w:t>
      </w:r>
      <w:r w:rsidRPr="000C099C">
        <w:t>the annual compliance meeting and signed by each Associated Person as evidence of completion.  In addition, each checklist will be maintained as part of the Company’s permanent records until three years after the Associated Person has been terminated.</w:t>
      </w:r>
    </w:p>
    <w:p w14:paraId="60835C55" w14:textId="77777777" w:rsidR="00186675" w:rsidRPr="000C099C" w:rsidRDefault="00186675" w:rsidP="00186675">
      <w:pPr>
        <w:pStyle w:val="BodyText2"/>
        <w:widowControl/>
        <w:rPr>
          <w:b/>
          <w:bCs/>
        </w:rPr>
      </w:pPr>
    </w:p>
    <w:p w14:paraId="2A7A1B4C" w14:textId="77777777" w:rsidR="00505242" w:rsidRDefault="00505242" w:rsidP="00186675">
      <w:pPr>
        <w:pStyle w:val="BodyText2"/>
        <w:widowControl/>
        <w:rPr>
          <w:b/>
          <w:bCs/>
        </w:rPr>
      </w:pPr>
    </w:p>
    <w:p w14:paraId="2975F419" w14:textId="77777777" w:rsidR="00186675" w:rsidRPr="000C570A" w:rsidRDefault="00D114C8" w:rsidP="00936FEE">
      <w:pPr>
        <w:pStyle w:val="Heading2"/>
      </w:pPr>
      <w:r w:rsidRPr="000C570A">
        <w:t>4.</w:t>
      </w:r>
      <w:r w:rsidR="003A5545">
        <w:t>3</w:t>
      </w:r>
      <w:r w:rsidR="000737DD">
        <w:t>4</w:t>
      </w:r>
      <w:r w:rsidR="00F13549">
        <w:t xml:space="preserve"> </w:t>
      </w:r>
      <w:r w:rsidR="00186675" w:rsidRPr="000C570A">
        <w:t>Violations of Procedures</w:t>
      </w:r>
    </w:p>
    <w:p w14:paraId="2D22337B" w14:textId="77777777" w:rsidR="00186675" w:rsidRDefault="00186675" w:rsidP="00630233">
      <w:pPr>
        <w:pStyle w:val="BodyText2"/>
        <w:widowControl/>
        <w:jc w:val="both"/>
        <w:rPr>
          <w:bCs/>
        </w:rPr>
      </w:pPr>
      <w:r w:rsidRPr="000C099C">
        <w:rPr>
          <w:bCs/>
        </w:rPr>
        <w:t xml:space="preserve">Violation of the Company’s rules and procedures, unless specified otherwise in any section herein, may result in </w:t>
      </w:r>
      <w:r w:rsidR="00E77052" w:rsidRPr="009025E3">
        <w:rPr>
          <w:bCs/>
        </w:rPr>
        <w:t xml:space="preserve">warnings or </w:t>
      </w:r>
      <w:r w:rsidRPr="000C099C">
        <w:rPr>
          <w:bCs/>
        </w:rPr>
        <w:t>disciplinary action, including fines, and or termination.</w:t>
      </w:r>
    </w:p>
    <w:p w14:paraId="141DCBB4" w14:textId="77777777" w:rsidR="00F848C1" w:rsidRDefault="00F848C1" w:rsidP="00630233">
      <w:pPr>
        <w:pStyle w:val="BodyText2"/>
        <w:widowControl/>
        <w:jc w:val="both"/>
        <w:rPr>
          <w:bCs/>
        </w:rPr>
      </w:pPr>
    </w:p>
    <w:p w14:paraId="561C7FF2" w14:textId="77777777" w:rsidR="00C55BD0" w:rsidRDefault="00C55BD0" w:rsidP="00630233">
      <w:pPr>
        <w:pStyle w:val="BodyText2"/>
        <w:widowControl/>
        <w:jc w:val="both"/>
        <w:rPr>
          <w:bCs/>
        </w:rPr>
      </w:pPr>
    </w:p>
    <w:p w14:paraId="1E6552AA" w14:textId="77777777" w:rsidR="00F848C1" w:rsidRDefault="00F848C1" w:rsidP="00936FEE">
      <w:pPr>
        <w:pStyle w:val="Heading2"/>
      </w:pPr>
      <w:r>
        <w:lastRenderedPageBreak/>
        <w:t>4.3</w:t>
      </w:r>
      <w:r w:rsidR="000737DD">
        <w:t>5</w:t>
      </w:r>
      <w:r>
        <w:t xml:space="preserve"> Internal Disciplinary Actions</w:t>
      </w:r>
    </w:p>
    <w:p w14:paraId="3020FEE1" w14:textId="77777777" w:rsidR="00F848C1" w:rsidRPr="009F1432" w:rsidRDefault="00F848C1" w:rsidP="00F848C1">
      <w:pPr>
        <w:jc w:val="both"/>
        <w:rPr>
          <w:sz w:val="24"/>
          <w:szCs w:val="24"/>
        </w:rPr>
      </w:pPr>
      <w:r w:rsidRPr="009F1432">
        <w:rPr>
          <w:sz w:val="24"/>
          <w:szCs w:val="24"/>
        </w:rPr>
        <w:t xml:space="preserve">The Company’s goal in administering discipline is to take measures to maintain the quality of service provided to our customers by encouraging appropriate behavior.  The expected result of these measures is the deterrence of inappropriate behavior and, when improper activity occurs, to take corrective action commensurate with the activity.  Although it’s impossible to list all circumstances which discipline may be imposed, disciplinary action will be considered when there is either an admitted violation or a determination of an actual or probable violation of Company policy, regulatory rules or regulations, or federal/state laws. </w:t>
      </w:r>
      <w:r w:rsidR="005C2497" w:rsidRPr="009F1432">
        <w:rPr>
          <w:sz w:val="24"/>
          <w:szCs w:val="24"/>
        </w:rPr>
        <w:t>It is essential that Compliance be notified in advance of all disciplinary actions in order to analyze for regulatory reporting purposes and recordkeeping.  Morris Monroe and/or Compliance may determine or modify the terms of discipline depending on the facts and circumstances of the situation.</w:t>
      </w:r>
    </w:p>
    <w:p w14:paraId="7CDEBD46" w14:textId="77777777" w:rsidR="00F848C1" w:rsidRPr="009F1432" w:rsidRDefault="00F848C1" w:rsidP="00F848C1">
      <w:pPr>
        <w:jc w:val="both"/>
        <w:rPr>
          <w:sz w:val="24"/>
          <w:szCs w:val="24"/>
        </w:rPr>
      </w:pPr>
    </w:p>
    <w:p w14:paraId="081027D6" w14:textId="77777777" w:rsidR="00C0038E" w:rsidRPr="009F1432" w:rsidRDefault="00C0038E" w:rsidP="00C0038E">
      <w:pPr>
        <w:pStyle w:val="Heading3"/>
      </w:pPr>
      <w:r w:rsidRPr="009F1432">
        <w:t>4.3</w:t>
      </w:r>
      <w:r w:rsidR="000737DD">
        <w:t>5</w:t>
      </w:r>
      <w:r w:rsidRPr="009F1432">
        <w:t>.1 Types of Discipline</w:t>
      </w:r>
    </w:p>
    <w:p w14:paraId="6ED4E487" w14:textId="77777777" w:rsidR="00F848C1" w:rsidRPr="009F1432" w:rsidRDefault="00C0038E" w:rsidP="00FD65E4">
      <w:pPr>
        <w:ind w:left="270"/>
        <w:jc w:val="both"/>
        <w:rPr>
          <w:sz w:val="24"/>
          <w:szCs w:val="24"/>
        </w:rPr>
      </w:pPr>
      <w:r w:rsidRPr="009F1432">
        <w:rPr>
          <w:sz w:val="24"/>
          <w:szCs w:val="24"/>
        </w:rPr>
        <w:t>There is a range of possible disciplinary action; the level of discipline will be determined by Compliance.  Compliance will corroborate with the individual’s supervisor who will be copied on any communications to the individual regarding the disciplinary action.</w:t>
      </w:r>
      <w:r w:rsidR="00281EC0" w:rsidRPr="009F1432">
        <w:rPr>
          <w:sz w:val="24"/>
          <w:szCs w:val="24"/>
        </w:rPr>
        <w:t xml:space="preserve">  The more serious the conduct, the more severe the discipline</w:t>
      </w:r>
      <w:r w:rsidR="00FF6FB1" w:rsidRPr="009F1432">
        <w:rPr>
          <w:sz w:val="24"/>
          <w:szCs w:val="24"/>
        </w:rPr>
        <w:t xml:space="preserve"> will be</w:t>
      </w:r>
      <w:r w:rsidR="00281EC0" w:rsidRPr="009F1432">
        <w:rPr>
          <w:sz w:val="24"/>
          <w:szCs w:val="24"/>
        </w:rPr>
        <w:t>.  An individual’s prior complaint and disciplinary history will be considered in determining the appropriate level of discipline.  The activity’s risk to the Company, injury to customers, and the individual’s cooperation may all be factors (among others) in determining the discipline.</w:t>
      </w:r>
    </w:p>
    <w:p w14:paraId="784FFA30" w14:textId="77777777" w:rsidR="00C0038E" w:rsidRPr="009F1432" w:rsidRDefault="00C0038E" w:rsidP="00FD65E4">
      <w:pPr>
        <w:ind w:left="270"/>
        <w:jc w:val="both"/>
        <w:rPr>
          <w:sz w:val="24"/>
          <w:szCs w:val="24"/>
        </w:rPr>
      </w:pPr>
    </w:p>
    <w:p w14:paraId="2F3DFA0D" w14:textId="77777777" w:rsidR="00C0038E" w:rsidRPr="009F1432" w:rsidRDefault="00C0038E" w:rsidP="00C1728B">
      <w:pPr>
        <w:numPr>
          <w:ilvl w:val="0"/>
          <w:numId w:val="128"/>
        </w:numPr>
        <w:ind w:left="900" w:hanging="270"/>
        <w:jc w:val="both"/>
        <w:rPr>
          <w:sz w:val="24"/>
          <w:szCs w:val="24"/>
        </w:rPr>
      </w:pPr>
      <w:r w:rsidRPr="009F1432">
        <w:rPr>
          <w:b/>
          <w:sz w:val="24"/>
          <w:szCs w:val="24"/>
        </w:rPr>
        <w:t>Letter of Caution (LOC)</w:t>
      </w:r>
      <w:r w:rsidRPr="009F1432">
        <w:rPr>
          <w:sz w:val="24"/>
          <w:szCs w:val="24"/>
        </w:rPr>
        <w:t>:  A LOC is a memorandum that specifies a possible violation</w:t>
      </w:r>
      <w:r w:rsidR="00040167" w:rsidRPr="009F1432">
        <w:rPr>
          <w:sz w:val="24"/>
          <w:szCs w:val="24"/>
        </w:rPr>
        <w:t xml:space="preserve"> and/or serves as a warning for inappropriate behavior.  The LOC outlines the expected behavior and the possible consequences of future violations similar in nature.  The LOC </w:t>
      </w:r>
      <w:r w:rsidR="00FD65E4" w:rsidRPr="009F1432">
        <w:rPr>
          <w:sz w:val="24"/>
          <w:szCs w:val="24"/>
        </w:rPr>
        <w:t>will require the recipient’s signature certifying his/her receipt of the memorandum and understanding of the matter.</w:t>
      </w:r>
    </w:p>
    <w:p w14:paraId="77AE8CE0" w14:textId="77777777" w:rsidR="00D11388" w:rsidRPr="009F1432" w:rsidRDefault="00D11388" w:rsidP="00D11388">
      <w:pPr>
        <w:ind w:left="900"/>
        <w:jc w:val="both"/>
        <w:rPr>
          <w:sz w:val="24"/>
          <w:szCs w:val="24"/>
        </w:rPr>
      </w:pPr>
    </w:p>
    <w:p w14:paraId="7E5F6A80" w14:textId="77777777" w:rsidR="00FD65E4" w:rsidRPr="009F1432" w:rsidRDefault="00FD65E4" w:rsidP="00C1728B">
      <w:pPr>
        <w:numPr>
          <w:ilvl w:val="0"/>
          <w:numId w:val="128"/>
        </w:numPr>
        <w:ind w:left="900" w:hanging="270"/>
        <w:jc w:val="both"/>
        <w:rPr>
          <w:sz w:val="24"/>
          <w:szCs w:val="24"/>
        </w:rPr>
      </w:pPr>
      <w:r w:rsidRPr="009F1432">
        <w:rPr>
          <w:b/>
          <w:sz w:val="24"/>
          <w:szCs w:val="24"/>
        </w:rPr>
        <w:t>Admonishment</w:t>
      </w:r>
      <w:r w:rsidRPr="009F1432">
        <w:rPr>
          <w:sz w:val="24"/>
          <w:szCs w:val="24"/>
        </w:rPr>
        <w:t>:  An Admonishment is a memorandum that formally reprimands an individual based on admitted or determined violations.  The Admonishment specifies the violation(s) and expected behavior as well as the possible consequences of future violations similar in nature.  It may be administered with or without a fine and will require the recipient’s signature acknowledging his/her receipt of the form and understanding of the matter.</w:t>
      </w:r>
    </w:p>
    <w:p w14:paraId="2D85BDE4" w14:textId="77777777" w:rsidR="000B147D" w:rsidRPr="009F1432" w:rsidRDefault="000B147D" w:rsidP="000B147D">
      <w:pPr>
        <w:jc w:val="both"/>
        <w:rPr>
          <w:sz w:val="24"/>
          <w:szCs w:val="24"/>
        </w:rPr>
      </w:pPr>
    </w:p>
    <w:p w14:paraId="7ED2A45F" w14:textId="77777777" w:rsidR="00D11388" w:rsidRPr="009F1432" w:rsidRDefault="000B147D" w:rsidP="00C1728B">
      <w:pPr>
        <w:numPr>
          <w:ilvl w:val="0"/>
          <w:numId w:val="128"/>
        </w:numPr>
        <w:ind w:left="900" w:hanging="270"/>
        <w:jc w:val="both"/>
        <w:rPr>
          <w:sz w:val="24"/>
          <w:szCs w:val="24"/>
        </w:rPr>
      </w:pPr>
      <w:r w:rsidRPr="009F1432">
        <w:rPr>
          <w:b/>
          <w:sz w:val="24"/>
          <w:szCs w:val="24"/>
        </w:rPr>
        <w:t>Fine</w:t>
      </w:r>
      <w:r w:rsidRPr="009F1432">
        <w:rPr>
          <w:sz w:val="24"/>
          <w:szCs w:val="24"/>
        </w:rPr>
        <w:t xml:space="preserve">:  </w:t>
      </w:r>
      <w:r w:rsidR="00D71B8B" w:rsidRPr="009F1432">
        <w:rPr>
          <w:sz w:val="24"/>
          <w:szCs w:val="24"/>
        </w:rPr>
        <w:t>A Fine is a monetary sanction that will usually be attached to either an Admonishment or Suspension of Employment.  The Fine may be either non-reportable (amount less than what is required to be reported by an SRO) or reportable (if required to be reported to an SRO).  Fines will be withheld from the recipient’s commission or paid by a check or money order.  Any amount collected may be donated to a local charity.</w:t>
      </w:r>
    </w:p>
    <w:p w14:paraId="71F8DAD4" w14:textId="77777777" w:rsidR="00D71B8B" w:rsidRPr="009F1432" w:rsidRDefault="00D71B8B" w:rsidP="00D71B8B">
      <w:pPr>
        <w:pStyle w:val="ListParagraph"/>
        <w:rPr>
          <w:sz w:val="24"/>
          <w:szCs w:val="24"/>
        </w:rPr>
      </w:pPr>
    </w:p>
    <w:p w14:paraId="72EFDCD7" w14:textId="77777777" w:rsidR="00D71B8B" w:rsidRPr="009F1432" w:rsidRDefault="00D71B8B" w:rsidP="00C1728B">
      <w:pPr>
        <w:numPr>
          <w:ilvl w:val="0"/>
          <w:numId w:val="128"/>
        </w:numPr>
        <w:ind w:left="900" w:hanging="270"/>
        <w:jc w:val="both"/>
        <w:rPr>
          <w:sz w:val="24"/>
          <w:szCs w:val="24"/>
        </w:rPr>
      </w:pPr>
      <w:r w:rsidRPr="009F1432">
        <w:rPr>
          <w:b/>
          <w:sz w:val="24"/>
          <w:szCs w:val="24"/>
        </w:rPr>
        <w:t>Suspension of Employment</w:t>
      </w:r>
      <w:r w:rsidRPr="009F1432">
        <w:rPr>
          <w:sz w:val="24"/>
          <w:szCs w:val="24"/>
        </w:rPr>
        <w:t>:  An employee or Associated Person may be suspended for violations.  Prior to Suspension, the individual will be informed of the violation(s), the expected behavior, and the terms of the Suspension.  While under suspension, individual may not (</w:t>
      </w:r>
      <w:proofErr w:type="spellStart"/>
      <w:r w:rsidRPr="009F1432">
        <w:rPr>
          <w:sz w:val="24"/>
          <w:szCs w:val="24"/>
        </w:rPr>
        <w:t>i</w:t>
      </w:r>
      <w:proofErr w:type="spellEnd"/>
      <w:r w:rsidRPr="009F1432">
        <w:rPr>
          <w:sz w:val="24"/>
          <w:szCs w:val="24"/>
        </w:rPr>
        <w:t xml:space="preserve">) have direct or indirect contact with customers; (ii) act or represent as a registered representative; (iii) give investment advice or </w:t>
      </w:r>
      <w:r w:rsidR="00D21DAD" w:rsidRPr="009F1432">
        <w:rPr>
          <w:sz w:val="24"/>
          <w:szCs w:val="24"/>
        </w:rPr>
        <w:t>counsel; (</w:t>
      </w:r>
      <w:r w:rsidR="009E6AD1" w:rsidRPr="009F1432">
        <w:rPr>
          <w:sz w:val="24"/>
          <w:szCs w:val="24"/>
        </w:rPr>
        <w:t>iv) receive compensation; or (v) transact business in any securities account (other than for their own account).</w:t>
      </w:r>
      <w:r w:rsidR="00D12B37" w:rsidRPr="009F1432">
        <w:rPr>
          <w:sz w:val="24"/>
          <w:szCs w:val="24"/>
        </w:rPr>
        <w:t xml:space="preserve">  The Suspension memorandum will be delivered to the individual and specify the violation(s), expected behavior, and any possible consequences for future violations </w:t>
      </w:r>
      <w:r w:rsidR="00D12B37" w:rsidRPr="009F1432">
        <w:rPr>
          <w:sz w:val="24"/>
          <w:szCs w:val="24"/>
        </w:rPr>
        <w:lastRenderedPageBreak/>
        <w:t>similar in nature.  It may require the recipient’s signature acknowledging his/her receipt of such memorandum and understanding of the matter.  Suspensions will be reported by Compliance to any appropriate SRO.</w:t>
      </w:r>
    </w:p>
    <w:p w14:paraId="76F81E9C" w14:textId="77777777" w:rsidR="00717C68" w:rsidRPr="009F1432" w:rsidRDefault="00717C68" w:rsidP="00717C68">
      <w:pPr>
        <w:pStyle w:val="ListParagraph"/>
        <w:rPr>
          <w:sz w:val="24"/>
          <w:szCs w:val="24"/>
        </w:rPr>
      </w:pPr>
    </w:p>
    <w:p w14:paraId="27BB4647" w14:textId="77777777" w:rsidR="00717C68" w:rsidRPr="009F1432" w:rsidRDefault="00717C68" w:rsidP="00C1728B">
      <w:pPr>
        <w:numPr>
          <w:ilvl w:val="0"/>
          <w:numId w:val="128"/>
        </w:numPr>
        <w:ind w:left="900" w:hanging="270"/>
        <w:jc w:val="both"/>
        <w:rPr>
          <w:sz w:val="24"/>
          <w:szCs w:val="24"/>
        </w:rPr>
      </w:pPr>
      <w:r w:rsidRPr="009F1432">
        <w:rPr>
          <w:b/>
          <w:sz w:val="24"/>
          <w:szCs w:val="24"/>
        </w:rPr>
        <w:t>Termination</w:t>
      </w:r>
      <w:r w:rsidRPr="009F1432">
        <w:rPr>
          <w:sz w:val="24"/>
          <w:szCs w:val="24"/>
        </w:rPr>
        <w:t>:  Termination of employment may be determined for violations of Company policy, regulatory rules or regulations, or federal/state laws.  The individual will be informed of the violation and termination of employment.   Termination will be reported by Compliance to the appropriate SRO(s).</w:t>
      </w:r>
    </w:p>
    <w:p w14:paraId="5683D228" w14:textId="77777777" w:rsidR="00281EC0" w:rsidRPr="009F1432" w:rsidRDefault="00281EC0" w:rsidP="00281EC0">
      <w:pPr>
        <w:pStyle w:val="ListParagraph"/>
        <w:rPr>
          <w:sz w:val="24"/>
          <w:szCs w:val="24"/>
        </w:rPr>
      </w:pPr>
    </w:p>
    <w:p w14:paraId="1A22237F" w14:textId="77777777" w:rsidR="00281EC0" w:rsidRPr="009F1432" w:rsidRDefault="00281EC0" w:rsidP="00C1728B">
      <w:pPr>
        <w:numPr>
          <w:ilvl w:val="0"/>
          <w:numId w:val="128"/>
        </w:numPr>
        <w:ind w:left="900" w:hanging="270"/>
        <w:jc w:val="both"/>
        <w:rPr>
          <w:sz w:val="24"/>
          <w:szCs w:val="24"/>
        </w:rPr>
      </w:pPr>
      <w:r w:rsidRPr="009F1432">
        <w:rPr>
          <w:b/>
          <w:sz w:val="24"/>
          <w:szCs w:val="24"/>
        </w:rPr>
        <w:t>Additional Action</w:t>
      </w:r>
      <w:r w:rsidRPr="009F1432">
        <w:rPr>
          <w:sz w:val="24"/>
          <w:szCs w:val="24"/>
        </w:rPr>
        <w:t>:  Individuals may be subject to Heightened Supervision or may be subject to additional education, re-testing for licensing, title downgrading, or other remedial actions deemed appropriate by Compliance or Morris Monroe.</w:t>
      </w:r>
    </w:p>
    <w:p w14:paraId="2AB8863F" w14:textId="77777777" w:rsidR="00F848C1" w:rsidRPr="00126A56" w:rsidRDefault="00F848C1" w:rsidP="00FD65E4">
      <w:pPr>
        <w:ind w:left="270"/>
        <w:jc w:val="both"/>
        <w:rPr>
          <w:color w:val="FF0000"/>
          <w:sz w:val="24"/>
          <w:szCs w:val="24"/>
        </w:rPr>
      </w:pPr>
    </w:p>
    <w:p w14:paraId="0402E0D4" w14:textId="77777777" w:rsidR="00505242" w:rsidRDefault="00505242" w:rsidP="00452385">
      <w:pPr>
        <w:jc w:val="both"/>
        <w:rPr>
          <w:b/>
          <w:bCs/>
          <w:sz w:val="24"/>
          <w:szCs w:val="24"/>
        </w:rPr>
      </w:pPr>
    </w:p>
    <w:p w14:paraId="7D77D27E" w14:textId="77777777" w:rsidR="00452385" w:rsidRPr="000C570A" w:rsidRDefault="00D114C8" w:rsidP="00936FEE">
      <w:pPr>
        <w:pStyle w:val="Heading2"/>
      </w:pPr>
      <w:bookmarkStart w:id="61" w:name="TerminationProcedures"/>
      <w:bookmarkEnd w:id="61"/>
      <w:r w:rsidRPr="000C570A">
        <w:t>4.</w:t>
      </w:r>
      <w:r w:rsidR="00F845AC">
        <w:t>3</w:t>
      </w:r>
      <w:r w:rsidR="000737DD">
        <w:t>6</w:t>
      </w:r>
      <w:r w:rsidRPr="000C570A">
        <w:t xml:space="preserve"> </w:t>
      </w:r>
      <w:r w:rsidR="00186675" w:rsidRPr="000C570A">
        <w:t>Termination Procedures</w:t>
      </w:r>
      <w:r w:rsidR="00452385" w:rsidRPr="000C570A">
        <w:t xml:space="preserve"> </w:t>
      </w:r>
    </w:p>
    <w:p w14:paraId="78D335CA" w14:textId="77777777" w:rsidR="00452385" w:rsidRPr="000C099C" w:rsidRDefault="00452385" w:rsidP="00452385">
      <w:pPr>
        <w:jc w:val="both"/>
        <w:rPr>
          <w:sz w:val="24"/>
        </w:rPr>
      </w:pPr>
      <w:r w:rsidRPr="000C099C">
        <w:rPr>
          <w:sz w:val="24"/>
        </w:rPr>
        <w:t xml:space="preserve">Upon termination of any </w:t>
      </w:r>
      <w:r w:rsidR="00AD2B29">
        <w:rPr>
          <w:sz w:val="24"/>
        </w:rPr>
        <w:t>A</w:t>
      </w:r>
      <w:r w:rsidRPr="000C099C">
        <w:rPr>
          <w:sz w:val="24"/>
        </w:rPr>
        <w:t xml:space="preserve">ssociated </w:t>
      </w:r>
      <w:r w:rsidR="00AD2B29">
        <w:rPr>
          <w:sz w:val="24"/>
        </w:rPr>
        <w:t>P</w:t>
      </w:r>
      <w:r w:rsidRPr="000C099C">
        <w:rPr>
          <w:sz w:val="24"/>
        </w:rPr>
        <w:t>erson, it shall be the responsibility of Morris Monroe, or his designee, to promptly file a Form U5 with FINRA and mail a copy of said Form U5 to the terminated employee within ten (10) days of termination. The Form U5 shall become part of the employee's permanent file.</w:t>
      </w:r>
    </w:p>
    <w:p w14:paraId="59C376B3" w14:textId="77777777" w:rsidR="00186675" w:rsidRDefault="00186675" w:rsidP="00186675">
      <w:pPr>
        <w:pStyle w:val="BodyText2"/>
        <w:widowControl/>
        <w:rPr>
          <w:b/>
          <w:bCs/>
        </w:rPr>
      </w:pPr>
    </w:p>
    <w:p w14:paraId="3AAD95A8" w14:textId="77777777" w:rsidR="00186675" w:rsidRDefault="00186675" w:rsidP="00186675">
      <w:pPr>
        <w:pStyle w:val="BodyText2"/>
        <w:widowControl/>
      </w:pPr>
      <w:r>
        <w:t>Upon a request for termination/registration, the following procedures will be followed:</w:t>
      </w:r>
    </w:p>
    <w:p w14:paraId="305325B3" w14:textId="77777777" w:rsidR="00186675" w:rsidRDefault="00186675" w:rsidP="00216F83">
      <w:pPr>
        <w:pStyle w:val="BodyText2"/>
        <w:widowControl/>
        <w:numPr>
          <w:ilvl w:val="0"/>
          <w:numId w:val="27"/>
        </w:numPr>
      </w:pPr>
      <w:r>
        <w:t>Promptly file the Form U-5 with the CRD;</w:t>
      </w:r>
    </w:p>
    <w:p w14:paraId="00DA0B70" w14:textId="77777777" w:rsidR="00186675" w:rsidRDefault="00186675" w:rsidP="00216F83">
      <w:pPr>
        <w:pStyle w:val="BodyText2"/>
        <w:widowControl/>
        <w:numPr>
          <w:ilvl w:val="0"/>
          <w:numId w:val="27"/>
        </w:numPr>
      </w:pPr>
      <w:r>
        <w:t>Forward a copy to the Associated Person within 10 days of filing;</w:t>
      </w:r>
    </w:p>
    <w:p w14:paraId="47F57F22" w14:textId="77777777" w:rsidR="00186675" w:rsidRDefault="00186675" w:rsidP="00216F83">
      <w:pPr>
        <w:pStyle w:val="BodyText2"/>
        <w:widowControl/>
        <w:numPr>
          <w:ilvl w:val="0"/>
          <w:numId w:val="27"/>
        </w:numPr>
      </w:pPr>
      <w:r>
        <w:t>Place a copy of the form in said Associated Person’s file.</w:t>
      </w:r>
    </w:p>
    <w:p w14:paraId="301B2514" w14:textId="77777777" w:rsidR="00186675" w:rsidRDefault="00186675" w:rsidP="00216F83">
      <w:pPr>
        <w:pStyle w:val="BodyText2"/>
        <w:widowControl/>
        <w:numPr>
          <w:ilvl w:val="0"/>
          <w:numId w:val="27"/>
        </w:numPr>
      </w:pPr>
      <w:r>
        <w:t>Pull active file to Terminated Associated Person’s file.</w:t>
      </w:r>
    </w:p>
    <w:p w14:paraId="1C6A3A86" w14:textId="77777777" w:rsidR="00186675" w:rsidRPr="00790F31" w:rsidRDefault="00186675" w:rsidP="00216F83">
      <w:pPr>
        <w:pStyle w:val="BodyText2"/>
        <w:widowControl/>
        <w:numPr>
          <w:ilvl w:val="0"/>
          <w:numId w:val="27"/>
        </w:numPr>
      </w:pPr>
      <w:r>
        <w:t>Maintain the file for three years after termination.</w:t>
      </w:r>
    </w:p>
    <w:p w14:paraId="3253DA62" w14:textId="77777777" w:rsidR="00C16BB9" w:rsidRPr="00790F31" w:rsidRDefault="00C16BB9" w:rsidP="00216F83">
      <w:pPr>
        <w:pStyle w:val="BodyText2"/>
        <w:widowControl/>
        <w:numPr>
          <w:ilvl w:val="0"/>
          <w:numId w:val="27"/>
        </w:numPr>
      </w:pPr>
      <w:r w:rsidRPr="00790F31">
        <w:t>Terminate any logins, user access to Company and/or client related information</w:t>
      </w:r>
      <w:r w:rsidR="009A5776" w:rsidRPr="00790F31">
        <w:t>.</w:t>
      </w:r>
    </w:p>
    <w:p w14:paraId="55EDA1D0" w14:textId="77777777" w:rsidR="009A5776" w:rsidRDefault="009A5776" w:rsidP="00216F83">
      <w:pPr>
        <w:pStyle w:val="BodyText2"/>
        <w:widowControl/>
        <w:numPr>
          <w:ilvl w:val="0"/>
          <w:numId w:val="27"/>
        </w:numPr>
      </w:pPr>
      <w:r w:rsidRPr="00790F31">
        <w:t>Retrieve any Company related documents, keys, property, etc.</w:t>
      </w:r>
    </w:p>
    <w:p w14:paraId="18659BF4" w14:textId="77777777" w:rsidR="00C212C8" w:rsidRPr="008239F6" w:rsidRDefault="00C212C8" w:rsidP="00216F83">
      <w:pPr>
        <w:pStyle w:val="BodyText2"/>
        <w:widowControl/>
        <w:numPr>
          <w:ilvl w:val="0"/>
          <w:numId w:val="27"/>
        </w:numPr>
      </w:pPr>
      <w:r w:rsidRPr="008239F6">
        <w:t>Promptly reassign any accounts, change the Agent on the account, and notify the applicable customers of the change and how the account will continue to be serviced and/or their option to transfer their account to another firm.</w:t>
      </w:r>
    </w:p>
    <w:p w14:paraId="0D1CAEFE" w14:textId="77777777" w:rsidR="007D5D66" w:rsidRPr="008239F6" w:rsidRDefault="007D5D66" w:rsidP="007D5D66">
      <w:pPr>
        <w:pStyle w:val="Normal38"/>
        <w:spacing w:before="0" w:beforeAutospacing="0" w:after="0" w:afterAutospacing="0"/>
      </w:pPr>
    </w:p>
    <w:p w14:paraId="20720777" w14:textId="77777777" w:rsidR="007D5D66" w:rsidRPr="008239F6" w:rsidRDefault="007D5D66" w:rsidP="007D5D66">
      <w:pPr>
        <w:pStyle w:val="Normal38"/>
        <w:spacing w:before="0" w:beforeAutospacing="0" w:after="0" w:afterAutospacing="0"/>
      </w:pPr>
      <w:r w:rsidRPr="008239F6">
        <w:t>Designated supervisors should instruct branch or department employees, including RRs receiving reassigned accounts, to only indicate the employee is no longer with Company if asked why the RR is gone. No details or speculation regarding the departure should be given to customers or anyone else outside Company unless authorized by Compliance to do so.</w:t>
      </w:r>
    </w:p>
    <w:p w14:paraId="519514C1" w14:textId="041B359F" w:rsidR="007D5D66" w:rsidRDefault="007D5D66" w:rsidP="007D5D66">
      <w:pPr>
        <w:pStyle w:val="Normal38"/>
        <w:spacing w:before="0" w:beforeAutospacing="0" w:after="0" w:afterAutospacing="0"/>
      </w:pPr>
      <w:r w:rsidRPr="008239F6">
        <w:t>If asked by a customer, the customer may be advised he/she may be serviced by the newly assigned RR or an alternative RR or may transfer the account to another firm. If the departing RR consents, reasonable contact information may be provided in response to inquiries (phone number, e-mail or mailing address).</w:t>
      </w:r>
    </w:p>
    <w:p w14:paraId="22E4C611" w14:textId="3D8F4195" w:rsidR="00321CE6" w:rsidRDefault="00321CE6" w:rsidP="007D5D66">
      <w:pPr>
        <w:pStyle w:val="Normal38"/>
        <w:spacing w:before="0" w:beforeAutospacing="0" w:after="0" w:afterAutospacing="0"/>
      </w:pPr>
    </w:p>
    <w:p w14:paraId="3BD3CEF1" w14:textId="77777777" w:rsidR="00321CE6" w:rsidRPr="008239F6" w:rsidRDefault="00321CE6" w:rsidP="007D5D66">
      <w:pPr>
        <w:pStyle w:val="Normal38"/>
        <w:spacing w:before="0" w:beforeAutospacing="0" w:after="0" w:afterAutospacing="0"/>
      </w:pPr>
    </w:p>
    <w:p w14:paraId="5F4A169D" w14:textId="77777777" w:rsidR="007D5D66" w:rsidRPr="007D5D66" w:rsidRDefault="007D5D66" w:rsidP="007D5D66">
      <w:pPr>
        <w:pStyle w:val="Normal38"/>
        <w:spacing w:before="0" w:beforeAutospacing="0" w:after="0" w:afterAutospacing="0"/>
        <w:rPr>
          <w:color w:val="FF0000"/>
        </w:rPr>
      </w:pPr>
    </w:p>
    <w:p w14:paraId="38527175" w14:textId="77777777" w:rsidR="00186675" w:rsidRDefault="00186675" w:rsidP="007D5D66">
      <w:pPr>
        <w:pStyle w:val="BodyText2"/>
        <w:widowControl/>
      </w:pPr>
    </w:p>
    <w:p w14:paraId="4DD768F9" w14:textId="77777777" w:rsidR="00186675" w:rsidRPr="000C570A" w:rsidRDefault="00D114C8" w:rsidP="00936FEE">
      <w:pPr>
        <w:pStyle w:val="Heading2"/>
      </w:pPr>
      <w:bookmarkStart w:id="62" w:name="CE"/>
      <w:bookmarkEnd w:id="62"/>
      <w:r w:rsidRPr="000C570A">
        <w:t>4.</w:t>
      </w:r>
      <w:r w:rsidR="00F56F5A">
        <w:t>3</w:t>
      </w:r>
      <w:r w:rsidR="000737DD">
        <w:t>7</w:t>
      </w:r>
      <w:r w:rsidRPr="000C570A">
        <w:t xml:space="preserve"> </w:t>
      </w:r>
      <w:r w:rsidR="00186675" w:rsidRPr="000C570A">
        <w:t>Continuing Education</w:t>
      </w:r>
    </w:p>
    <w:p w14:paraId="5BE2FFA2" w14:textId="77777777" w:rsidR="00186675" w:rsidRDefault="00186675" w:rsidP="00186675">
      <w:pPr>
        <w:jc w:val="both"/>
        <w:rPr>
          <w:sz w:val="24"/>
        </w:rPr>
      </w:pPr>
      <w:r>
        <w:rPr>
          <w:sz w:val="24"/>
        </w:rPr>
        <w:t xml:space="preserve">In accordance with </w:t>
      </w:r>
      <w:r w:rsidRPr="00AD2BAC">
        <w:rPr>
          <w:sz w:val="24"/>
        </w:rPr>
        <w:t xml:space="preserve">FINRA </w:t>
      </w:r>
      <w:r w:rsidR="00CA7A4C">
        <w:rPr>
          <w:sz w:val="24"/>
        </w:rPr>
        <w:t>rules</w:t>
      </w:r>
      <w:r>
        <w:rPr>
          <w:sz w:val="24"/>
        </w:rPr>
        <w:t>, all Covered Associated Persons, as that term is defined by the Rule, shall participate in Continuing Education, the frequency and complexity of which shall be determined based upon the following factors:</w:t>
      </w:r>
    </w:p>
    <w:p w14:paraId="2E75C843" w14:textId="77777777" w:rsidR="00186675" w:rsidRDefault="00186675" w:rsidP="00186675">
      <w:pPr>
        <w:ind w:left="720" w:hanging="720"/>
        <w:jc w:val="both"/>
        <w:rPr>
          <w:sz w:val="24"/>
        </w:rPr>
      </w:pPr>
    </w:p>
    <w:p w14:paraId="77908715" w14:textId="77777777" w:rsidR="00186675" w:rsidRDefault="00186675" w:rsidP="00923345">
      <w:pPr>
        <w:ind w:left="720" w:hanging="360"/>
        <w:jc w:val="both"/>
        <w:rPr>
          <w:sz w:val="24"/>
        </w:rPr>
      </w:pPr>
      <w:r>
        <w:rPr>
          <w:sz w:val="24"/>
        </w:rPr>
        <w:t>1.</w:t>
      </w:r>
      <w:r>
        <w:rPr>
          <w:sz w:val="24"/>
        </w:rPr>
        <w:tab/>
      </w:r>
      <w:r w:rsidR="00946F25">
        <w:rPr>
          <w:sz w:val="24"/>
        </w:rPr>
        <w:t>The</w:t>
      </w:r>
      <w:r>
        <w:rPr>
          <w:sz w:val="24"/>
        </w:rPr>
        <w:t xml:space="preserve"> Covered Person's length of time in the industry;</w:t>
      </w:r>
    </w:p>
    <w:p w14:paraId="7E9B1B2C" w14:textId="77777777" w:rsidR="00186675" w:rsidRDefault="00186675" w:rsidP="00923345">
      <w:pPr>
        <w:ind w:left="720" w:hanging="360"/>
        <w:jc w:val="both"/>
        <w:rPr>
          <w:sz w:val="24"/>
        </w:rPr>
      </w:pPr>
      <w:r>
        <w:rPr>
          <w:sz w:val="24"/>
        </w:rPr>
        <w:t>2.</w:t>
      </w:r>
      <w:r>
        <w:rPr>
          <w:sz w:val="24"/>
        </w:rPr>
        <w:tab/>
      </w:r>
      <w:r w:rsidR="00946F25">
        <w:rPr>
          <w:sz w:val="24"/>
        </w:rPr>
        <w:t>The</w:t>
      </w:r>
      <w:r>
        <w:rPr>
          <w:sz w:val="24"/>
        </w:rPr>
        <w:t xml:space="preserve"> existence and nature of customer complaints against the Covered Person;</w:t>
      </w:r>
    </w:p>
    <w:p w14:paraId="1F6E7294" w14:textId="77777777" w:rsidR="00186675" w:rsidRDefault="00186675" w:rsidP="00923345">
      <w:pPr>
        <w:ind w:left="720" w:hanging="360"/>
        <w:jc w:val="both"/>
        <w:rPr>
          <w:sz w:val="24"/>
        </w:rPr>
      </w:pPr>
      <w:r>
        <w:rPr>
          <w:sz w:val="24"/>
        </w:rPr>
        <w:t>3.</w:t>
      </w:r>
      <w:r>
        <w:rPr>
          <w:sz w:val="24"/>
        </w:rPr>
        <w:tab/>
      </w:r>
      <w:r w:rsidR="00946F25">
        <w:rPr>
          <w:sz w:val="24"/>
        </w:rPr>
        <w:t>The</w:t>
      </w:r>
      <w:r>
        <w:rPr>
          <w:sz w:val="24"/>
        </w:rPr>
        <w:t xml:space="preserve"> existence and nature of any regulatory actions against the Covered Person;</w:t>
      </w:r>
    </w:p>
    <w:p w14:paraId="6B2E5A86" w14:textId="77777777" w:rsidR="00186675" w:rsidRDefault="00186675" w:rsidP="00923345">
      <w:pPr>
        <w:ind w:left="720" w:hanging="360"/>
        <w:jc w:val="both"/>
        <w:rPr>
          <w:sz w:val="24"/>
        </w:rPr>
      </w:pPr>
      <w:r>
        <w:rPr>
          <w:sz w:val="24"/>
        </w:rPr>
        <w:t>4.</w:t>
      </w:r>
      <w:r>
        <w:rPr>
          <w:sz w:val="24"/>
        </w:rPr>
        <w:tab/>
      </w:r>
      <w:r w:rsidR="00946F25">
        <w:rPr>
          <w:sz w:val="24"/>
        </w:rPr>
        <w:t>The</w:t>
      </w:r>
      <w:r>
        <w:rPr>
          <w:sz w:val="24"/>
        </w:rPr>
        <w:t xml:space="preserve"> existence and nature of any regulatory actions against the Company and or management thereof; and</w:t>
      </w:r>
    </w:p>
    <w:p w14:paraId="6C53C0CF" w14:textId="77777777" w:rsidR="00186675" w:rsidRDefault="00186675" w:rsidP="00923345">
      <w:pPr>
        <w:ind w:left="720" w:hanging="360"/>
        <w:jc w:val="both"/>
        <w:rPr>
          <w:sz w:val="24"/>
        </w:rPr>
      </w:pPr>
      <w:r>
        <w:rPr>
          <w:sz w:val="24"/>
        </w:rPr>
        <w:t>5.</w:t>
      </w:r>
      <w:r>
        <w:rPr>
          <w:sz w:val="24"/>
        </w:rPr>
        <w:tab/>
      </w:r>
      <w:r w:rsidR="00946F25">
        <w:rPr>
          <w:sz w:val="24"/>
        </w:rPr>
        <w:t>Changes</w:t>
      </w:r>
      <w:r>
        <w:rPr>
          <w:sz w:val="24"/>
        </w:rPr>
        <w:t xml:space="preserve"> in business activities for the Covered Person (including but not limited to additions of new products) which have taken place within the previous </w:t>
      </w:r>
      <w:r w:rsidR="00A77E26">
        <w:rPr>
          <w:sz w:val="24"/>
        </w:rPr>
        <w:t>twelve-month</w:t>
      </w:r>
      <w:r>
        <w:rPr>
          <w:sz w:val="24"/>
        </w:rPr>
        <w:t xml:space="preserve"> period, or which are anticipated to take place within the following </w:t>
      </w:r>
      <w:r w:rsidR="00614695">
        <w:rPr>
          <w:sz w:val="24"/>
        </w:rPr>
        <w:t>twelve-month</w:t>
      </w:r>
      <w:r>
        <w:rPr>
          <w:sz w:val="24"/>
        </w:rPr>
        <w:t xml:space="preserve"> period.</w:t>
      </w:r>
    </w:p>
    <w:p w14:paraId="6418C866" w14:textId="77777777" w:rsidR="00186675" w:rsidRDefault="00186675" w:rsidP="00923345">
      <w:pPr>
        <w:ind w:hanging="360"/>
        <w:jc w:val="both"/>
        <w:rPr>
          <w:sz w:val="24"/>
        </w:rPr>
      </w:pPr>
    </w:p>
    <w:p w14:paraId="25CCCCFE" w14:textId="77777777" w:rsidR="007B64F2" w:rsidRDefault="00186675" w:rsidP="00186675">
      <w:pPr>
        <w:jc w:val="both"/>
        <w:rPr>
          <w:sz w:val="24"/>
        </w:rPr>
      </w:pPr>
      <w:r>
        <w:rPr>
          <w:sz w:val="24"/>
        </w:rPr>
        <w:t>The Continuing Education Program shall consist of two elements</w:t>
      </w:r>
      <w:r w:rsidR="007B64F2">
        <w:rPr>
          <w:sz w:val="24"/>
        </w:rPr>
        <w:t>:</w:t>
      </w:r>
    </w:p>
    <w:p w14:paraId="3CE1013E" w14:textId="77777777" w:rsidR="00537891" w:rsidRDefault="00537891" w:rsidP="00186675">
      <w:pPr>
        <w:jc w:val="both"/>
        <w:rPr>
          <w:sz w:val="24"/>
        </w:rPr>
      </w:pPr>
    </w:p>
    <w:p w14:paraId="1EF9809E" w14:textId="77777777" w:rsidR="003C1A4C" w:rsidRPr="003C1A4C" w:rsidRDefault="007B64F2" w:rsidP="003E7B18">
      <w:pPr>
        <w:numPr>
          <w:ilvl w:val="0"/>
          <w:numId w:val="185"/>
        </w:numPr>
        <w:ind w:left="720"/>
        <w:jc w:val="both"/>
        <w:rPr>
          <w:sz w:val="24"/>
          <w:u w:val="single"/>
        </w:rPr>
      </w:pPr>
      <w:r>
        <w:rPr>
          <w:sz w:val="24"/>
        </w:rPr>
        <w:t>T</w:t>
      </w:r>
      <w:r w:rsidR="00186675">
        <w:rPr>
          <w:sz w:val="24"/>
        </w:rPr>
        <w:t xml:space="preserve">he </w:t>
      </w:r>
      <w:r w:rsidR="00186675" w:rsidRPr="00E77052">
        <w:rPr>
          <w:b/>
          <w:sz w:val="24"/>
        </w:rPr>
        <w:t>Regulatory Element</w:t>
      </w:r>
      <w:r w:rsidR="00186675">
        <w:rPr>
          <w:sz w:val="24"/>
        </w:rPr>
        <w:t xml:space="preserve"> </w:t>
      </w:r>
      <w:r w:rsidR="0012274F" w:rsidRPr="0012274F">
        <w:rPr>
          <w:b/>
          <w:sz w:val="24"/>
        </w:rPr>
        <w:t>-</w:t>
      </w:r>
      <w:r w:rsidR="0012274F">
        <w:rPr>
          <w:sz w:val="24"/>
        </w:rPr>
        <w:t xml:space="preserve"> </w:t>
      </w:r>
      <w:r w:rsidR="00186675">
        <w:rPr>
          <w:sz w:val="24"/>
        </w:rPr>
        <w:t xml:space="preserve">which shall be administered and monitored by </w:t>
      </w:r>
      <w:r w:rsidR="00D00EEB">
        <w:rPr>
          <w:sz w:val="24"/>
        </w:rPr>
        <w:t>FINRA</w:t>
      </w:r>
      <w:r w:rsidR="003C1A4C">
        <w:rPr>
          <w:sz w:val="24"/>
        </w:rPr>
        <w:t>; a</w:t>
      </w:r>
      <w:r w:rsidR="00186675">
        <w:rPr>
          <w:sz w:val="24"/>
        </w:rPr>
        <w:t xml:space="preserve">nd </w:t>
      </w:r>
    </w:p>
    <w:p w14:paraId="64C7DFC0" w14:textId="6389E6D4" w:rsidR="007F2688" w:rsidRPr="005B2252" w:rsidRDefault="003C1A4C" w:rsidP="003E7B18">
      <w:pPr>
        <w:numPr>
          <w:ilvl w:val="0"/>
          <w:numId w:val="185"/>
        </w:numPr>
        <w:ind w:left="720"/>
        <w:jc w:val="both"/>
        <w:rPr>
          <w:color w:val="FF0000"/>
          <w:sz w:val="24"/>
          <w:u w:val="single"/>
        </w:rPr>
      </w:pPr>
      <w:r>
        <w:rPr>
          <w:sz w:val="24"/>
        </w:rPr>
        <w:t>The</w:t>
      </w:r>
      <w:r w:rsidR="00186675">
        <w:rPr>
          <w:sz w:val="24"/>
        </w:rPr>
        <w:t xml:space="preserve"> </w:t>
      </w:r>
      <w:r w:rsidR="00186675" w:rsidRPr="00E77052">
        <w:rPr>
          <w:b/>
          <w:sz w:val="24"/>
        </w:rPr>
        <w:t xml:space="preserve">Firm Element </w:t>
      </w:r>
      <w:r w:rsidR="0012274F">
        <w:rPr>
          <w:b/>
          <w:sz w:val="24"/>
        </w:rPr>
        <w:t xml:space="preserve">- </w:t>
      </w:r>
      <w:r w:rsidR="00186675" w:rsidRPr="0012274F">
        <w:rPr>
          <w:sz w:val="24"/>
        </w:rPr>
        <w:t>which</w:t>
      </w:r>
      <w:r w:rsidR="00186675">
        <w:rPr>
          <w:sz w:val="24"/>
        </w:rPr>
        <w:t xml:space="preserve"> shall be administered and monitored by the Company.  Morris Monroe, or his Compliance Department designee, will have responsibility for ensuring both programs are </w:t>
      </w:r>
      <w:r w:rsidR="00AE1398">
        <w:rPr>
          <w:sz w:val="24"/>
        </w:rPr>
        <w:t>administered,</w:t>
      </w:r>
      <w:r w:rsidR="00186675">
        <w:rPr>
          <w:sz w:val="24"/>
        </w:rPr>
        <w:t xml:space="preserve"> and the proper records are maintained as evidence of participation and/or completion.</w:t>
      </w:r>
      <w:r w:rsidR="005B2252">
        <w:rPr>
          <w:sz w:val="24"/>
        </w:rPr>
        <w:t xml:space="preserve">  </w:t>
      </w:r>
      <w:r w:rsidR="005B2252" w:rsidRPr="005B2252">
        <w:rPr>
          <w:color w:val="FF0000"/>
          <w:sz w:val="24"/>
        </w:rPr>
        <w:t>All registered persons are required to complete continuing education administered by the Company</w:t>
      </w:r>
      <w:r w:rsidR="003A5A29">
        <w:rPr>
          <w:color w:val="FF0000"/>
          <w:sz w:val="24"/>
        </w:rPr>
        <w:t xml:space="preserve"> (“Covered Persons”)</w:t>
      </w:r>
      <w:r w:rsidR="005B2252" w:rsidRPr="005B2252">
        <w:rPr>
          <w:color w:val="FF0000"/>
          <w:sz w:val="24"/>
        </w:rPr>
        <w:t>.</w:t>
      </w:r>
    </w:p>
    <w:p w14:paraId="62DFA4FC" w14:textId="141AE08B" w:rsidR="00186675" w:rsidRPr="003A5A29" w:rsidRDefault="00186675" w:rsidP="00186675">
      <w:pPr>
        <w:jc w:val="both"/>
        <w:rPr>
          <w:sz w:val="18"/>
          <w:szCs w:val="14"/>
          <w:u w:val="single"/>
        </w:rPr>
      </w:pPr>
    </w:p>
    <w:p w14:paraId="6624FEF9" w14:textId="5098130B" w:rsidR="005B2252" w:rsidRDefault="005B2252" w:rsidP="00186675">
      <w:pPr>
        <w:jc w:val="both"/>
        <w:rPr>
          <w:color w:val="FF0000"/>
          <w:sz w:val="24"/>
        </w:rPr>
      </w:pPr>
      <w:r>
        <w:rPr>
          <w:color w:val="FF0000"/>
          <w:sz w:val="24"/>
        </w:rPr>
        <w:t xml:space="preserve">Both Elements must be completed by December 31 annually.  Failure to complete CE requirements by that time will result in suspension of registration.  </w:t>
      </w:r>
    </w:p>
    <w:p w14:paraId="3B161169" w14:textId="77777777" w:rsidR="00685B89" w:rsidRPr="00685B89" w:rsidRDefault="00685B89" w:rsidP="00685B89">
      <w:pPr>
        <w:pStyle w:val="Heading3"/>
        <w:spacing w:before="150" w:after="15"/>
        <w:ind w:hanging="270"/>
        <w:rPr>
          <w:color w:val="FF0000"/>
        </w:rPr>
      </w:pPr>
      <w:r w:rsidRPr="00685B89">
        <w:rPr>
          <w:color w:val="FF0000"/>
        </w:rPr>
        <w:t>Two-Year Qualification Period And Partial Terminations</w:t>
      </w:r>
    </w:p>
    <w:p w14:paraId="06AF74A7" w14:textId="3F761140" w:rsidR="005B2252" w:rsidRDefault="00685B89" w:rsidP="00685B89">
      <w:pPr>
        <w:pStyle w:val="NormalWeb"/>
        <w:spacing w:before="15" w:beforeAutospacing="0" w:line="240" w:lineRule="atLeast"/>
        <w:rPr>
          <w:u w:val="single"/>
        </w:rPr>
      </w:pPr>
      <w:r w:rsidRPr="00685B89">
        <w:rPr>
          <w:rFonts w:ascii="Times New Roman" w:hAnsi="Times New Roman" w:cs="Times New Roman"/>
          <w:color w:val="FF0000"/>
          <w:spacing w:val="8"/>
        </w:rPr>
        <w:t>Effective January 1, 2023, the two-year qualification period will apply to all partial terminations, with the exception of a partial termination of a registration category that is a subset of a broader registration category for which an individual remains registered or otherwise qualified under the two-year qualification period.</w:t>
      </w:r>
    </w:p>
    <w:p w14:paraId="38C94864" w14:textId="77777777" w:rsidR="00186675" w:rsidRDefault="00D114C8" w:rsidP="001A7509">
      <w:pPr>
        <w:pStyle w:val="Heading3"/>
      </w:pPr>
      <w:r w:rsidRPr="000C570A">
        <w:t>4.</w:t>
      </w:r>
      <w:r w:rsidR="00F56F5A">
        <w:t>3</w:t>
      </w:r>
      <w:r w:rsidR="000737DD">
        <w:t>7</w:t>
      </w:r>
      <w:r w:rsidRPr="000C570A">
        <w:t>.1</w:t>
      </w:r>
      <w:r w:rsidR="00F13549">
        <w:t xml:space="preserve"> </w:t>
      </w:r>
      <w:r w:rsidR="00186675" w:rsidRPr="000C570A">
        <w:t>Regulatory Element</w:t>
      </w:r>
    </w:p>
    <w:p w14:paraId="1CEAECF0" w14:textId="77777777" w:rsidR="00B4391E" w:rsidRPr="006D5CDF" w:rsidRDefault="00186675" w:rsidP="00923345">
      <w:pPr>
        <w:ind w:left="270"/>
        <w:jc w:val="both"/>
        <w:rPr>
          <w:sz w:val="24"/>
          <w:szCs w:val="24"/>
        </w:rPr>
      </w:pPr>
      <w:r>
        <w:rPr>
          <w:sz w:val="24"/>
        </w:rPr>
        <w:t xml:space="preserve">The Regulatory Element requires uniform periodic training </w:t>
      </w:r>
      <w:r w:rsidR="00074F03" w:rsidRPr="006D5CDF">
        <w:rPr>
          <w:sz w:val="24"/>
          <w:szCs w:val="24"/>
        </w:rPr>
        <w:t>that focuses on compliance, regulatory, ethical, and sales practice standards. Its content is derived from rules and regulations as well as standards and practices widely accepted within the industry.</w:t>
      </w:r>
    </w:p>
    <w:p w14:paraId="7B906709" w14:textId="77777777" w:rsidR="00074F03" w:rsidRPr="00074F03" w:rsidRDefault="00074F03" w:rsidP="00923345">
      <w:pPr>
        <w:ind w:left="270"/>
        <w:jc w:val="both"/>
        <w:rPr>
          <w:color w:val="FF0000"/>
          <w:sz w:val="22"/>
          <w:szCs w:val="22"/>
        </w:rPr>
      </w:pPr>
    </w:p>
    <w:p w14:paraId="6DCDB8C8" w14:textId="729D7677" w:rsidR="00B4391E" w:rsidRDefault="00186675" w:rsidP="00923345">
      <w:pPr>
        <w:ind w:left="270"/>
        <w:jc w:val="both"/>
        <w:rPr>
          <w:sz w:val="24"/>
        </w:rPr>
      </w:pPr>
      <w:r>
        <w:rPr>
          <w:sz w:val="24"/>
        </w:rPr>
        <w:t xml:space="preserve">The </w:t>
      </w:r>
      <w:r w:rsidR="00FA6659">
        <w:rPr>
          <w:sz w:val="24"/>
        </w:rPr>
        <w:t>t</w:t>
      </w:r>
      <w:r>
        <w:rPr>
          <w:sz w:val="24"/>
        </w:rPr>
        <w:t xml:space="preserve">raining is a </w:t>
      </w:r>
      <w:r w:rsidR="001363EE">
        <w:rPr>
          <w:sz w:val="24"/>
        </w:rPr>
        <w:t xml:space="preserve">computer-based </w:t>
      </w:r>
      <w:r>
        <w:rPr>
          <w:sz w:val="24"/>
        </w:rPr>
        <w:t xml:space="preserve">program which must be completed </w:t>
      </w:r>
      <w:r w:rsidR="001363EE">
        <w:rPr>
          <w:color w:val="FF0000"/>
          <w:sz w:val="24"/>
        </w:rPr>
        <w:t xml:space="preserve">annually by December 31 (beginning January </w:t>
      </w:r>
      <w:r w:rsidR="00FA6659">
        <w:rPr>
          <w:color w:val="FF0000"/>
          <w:sz w:val="24"/>
        </w:rPr>
        <w:t xml:space="preserve">1, </w:t>
      </w:r>
      <w:r w:rsidR="001363EE">
        <w:rPr>
          <w:color w:val="FF0000"/>
          <w:sz w:val="24"/>
        </w:rPr>
        <w:t xml:space="preserve">2023).  </w:t>
      </w:r>
      <w:r>
        <w:rPr>
          <w:sz w:val="24"/>
        </w:rPr>
        <w:t xml:space="preserve">The Company and, in turn, the subject person will be informed by </w:t>
      </w:r>
      <w:r w:rsidRPr="00AD2BAC">
        <w:rPr>
          <w:sz w:val="24"/>
        </w:rPr>
        <w:t xml:space="preserve">FINRA/CRD as to who and when each person will be required to participate in the Computer Based Training Session </w:t>
      </w:r>
      <w:r w:rsidR="00D83A35" w:rsidRPr="006D5CDF">
        <w:rPr>
          <w:sz w:val="24"/>
        </w:rPr>
        <w:t>administered</w:t>
      </w:r>
      <w:r w:rsidR="00074F03" w:rsidRPr="006D5CDF">
        <w:rPr>
          <w:sz w:val="24"/>
        </w:rPr>
        <w:t xml:space="preserve"> by FINRA</w:t>
      </w:r>
      <w:r w:rsidRPr="006D5CDF">
        <w:rPr>
          <w:sz w:val="24"/>
        </w:rPr>
        <w:t xml:space="preserve">. </w:t>
      </w:r>
      <w:r w:rsidR="001363EE">
        <w:rPr>
          <w:sz w:val="24"/>
        </w:rPr>
        <w:t xml:space="preserve"> </w:t>
      </w:r>
      <w:r w:rsidRPr="00AD2BAC">
        <w:rPr>
          <w:sz w:val="24"/>
        </w:rPr>
        <w:t xml:space="preserve">It shall be the responsibility of Morris Monroe or his designee to notify each covered person as to when their window begins and </w:t>
      </w:r>
      <w:r w:rsidR="001363EE" w:rsidRPr="001363EE">
        <w:rPr>
          <w:color w:val="FF0000"/>
          <w:sz w:val="24"/>
        </w:rPr>
        <w:t>the end-of-year completion requirement</w:t>
      </w:r>
      <w:r w:rsidRPr="001363EE">
        <w:rPr>
          <w:color w:val="FF0000"/>
          <w:sz w:val="24"/>
        </w:rPr>
        <w:t xml:space="preserve"> </w:t>
      </w:r>
      <w:r w:rsidRPr="00AD2BAC">
        <w:rPr>
          <w:sz w:val="24"/>
        </w:rPr>
        <w:t xml:space="preserve">for the Regulatory Element. </w:t>
      </w:r>
    </w:p>
    <w:p w14:paraId="0836BBE2" w14:textId="77777777" w:rsidR="00B4391E" w:rsidRDefault="00B4391E" w:rsidP="00923345">
      <w:pPr>
        <w:ind w:left="270"/>
        <w:jc w:val="both"/>
        <w:rPr>
          <w:sz w:val="24"/>
        </w:rPr>
      </w:pPr>
    </w:p>
    <w:p w14:paraId="36D27DE1" w14:textId="77777777" w:rsidR="00186675" w:rsidRPr="00AD2BAC" w:rsidRDefault="00186675" w:rsidP="00923345">
      <w:pPr>
        <w:ind w:left="270"/>
        <w:jc w:val="both"/>
        <w:rPr>
          <w:sz w:val="24"/>
        </w:rPr>
      </w:pPr>
      <w:r w:rsidRPr="00AD2BAC">
        <w:rPr>
          <w:sz w:val="24"/>
        </w:rPr>
        <w:t xml:space="preserve">Further to the extent any covered individual fails to complete the Regulatory Element during the time period required, the </w:t>
      </w:r>
      <w:r w:rsidR="00B4391E">
        <w:rPr>
          <w:sz w:val="24"/>
        </w:rPr>
        <w:t>C</w:t>
      </w:r>
      <w:r w:rsidRPr="00AD2BAC">
        <w:rPr>
          <w:sz w:val="24"/>
        </w:rPr>
        <w:t xml:space="preserve">ompany shall notify the individual that he or she is internally suspended from conducting a securities business until such time as he/she has successfully completed the Regulatory Element. Further, it shall be the responsibility of Morris Monroe to notify an individual of the effective date of his/her internal suspension, to obtain the individual's acknowledgment of his/her suspension, as well as notification of the withholding of commissions until such time as he/she has complied with the Regulatory Element. </w:t>
      </w:r>
      <w:r w:rsidR="00537891" w:rsidRPr="00AD2BAC">
        <w:rPr>
          <w:sz w:val="24"/>
        </w:rPr>
        <w:t>Morris Monroe</w:t>
      </w:r>
      <w:r w:rsidRPr="00AD2BAC">
        <w:rPr>
          <w:sz w:val="24"/>
        </w:rPr>
        <w:t xml:space="preserve"> or his designee shall monitor the activities of said individual in order to prevent that person from conducting a securities business until such time as he/she has successfully completed the Regulatory Element.  Finally, it shall be the responsibility of Laura Hendricks </w:t>
      </w:r>
      <w:r w:rsidRPr="00AD2BAC">
        <w:rPr>
          <w:sz w:val="24"/>
        </w:rPr>
        <w:lastRenderedPageBreak/>
        <w:t>to maintain a copy of all written notifications and acknowledgments regarding any internal suspensions, withholding of commissions and or notices concerning the Regulatory Element in the individual's personnel file with the Company.</w:t>
      </w:r>
    </w:p>
    <w:p w14:paraId="44340418" w14:textId="77777777" w:rsidR="00186675" w:rsidRPr="00B4391E" w:rsidRDefault="00186675" w:rsidP="00923345">
      <w:pPr>
        <w:ind w:left="270"/>
        <w:jc w:val="both"/>
        <w:rPr>
          <w:sz w:val="24"/>
        </w:rPr>
      </w:pPr>
    </w:p>
    <w:p w14:paraId="1A8DE104" w14:textId="77777777" w:rsidR="00186675" w:rsidRDefault="00D114C8" w:rsidP="001A7509">
      <w:pPr>
        <w:pStyle w:val="Heading3"/>
      </w:pPr>
      <w:r w:rsidRPr="002D12DF">
        <w:t>4.</w:t>
      </w:r>
      <w:r w:rsidR="00F56F5A">
        <w:t>3</w:t>
      </w:r>
      <w:r w:rsidR="000737DD">
        <w:t>7</w:t>
      </w:r>
      <w:r w:rsidRPr="002D12DF">
        <w:t xml:space="preserve">.2 </w:t>
      </w:r>
      <w:r w:rsidR="00186675" w:rsidRPr="002D12DF">
        <w:t>Firm Element</w:t>
      </w:r>
    </w:p>
    <w:p w14:paraId="4FFE1731" w14:textId="77777777" w:rsidR="00186675" w:rsidRDefault="00186675" w:rsidP="00923345">
      <w:pPr>
        <w:ind w:left="270"/>
        <w:jc w:val="both"/>
        <w:rPr>
          <w:sz w:val="24"/>
        </w:rPr>
      </w:pPr>
      <w:r>
        <w:rPr>
          <w:sz w:val="24"/>
        </w:rPr>
        <w:t>With respect to the Firm Element, the Company shall plan, develop, establish and implement a Continuing Education Program, under the direct supervision of Morris Monroe</w:t>
      </w:r>
      <w:r w:rsidR="00537891">
        <w:rPr>
          <w:sz w:val="24"/>
        </w:rPr>
        <w:t xml:space="preserve"> or </w:t>
      </w:r>
      <w:r w:rsidR="00537891" w:rsidRPr="00424F51">
        <w:rPr>
          <w:sz w:val="24"/>
        </w:rPr>
        <w:t>Compliance</w:t>
      </w:r>
      <w:r w:rsidRPr="00424F51">
        <w:rPr>
          <w:sz w:val="24"/>
        </w:rPr>
        <w:t xml:space="preserve">, for all registered </w:t>
      </w:r>
      <w:r w:rsidR="00163B5D" w:rsidRPr="00424F51">
        <w:rPr>
          <w:sz w:val="24"/>
        </w:rPr>
        <w:t>A</w:t>
      </w:r>
      <w:r w:rsidRPr="00424F51">
        <w:rPr>
          <w:sz w:val="24"/>
        </w:rPr>
        <w:t xml:space="preserve">ssociated </w:t>
      </w:r>
      <w:r w:rsidR="00163B5D" w:rsidRPr="00424F51">
        <w:rPr>
          <w:sz w:val="24"/>
        </w:rPr>
        <w:t>P</w:t>
      </w:r>
      <w:r w:rsidRPr="00424F51">
        <w:rPr>
          <w:sz w:val="24"/>
        </w:rPr>
        <w:t xml:space="preserve">ersons of the Company.   Each year, both a needs analysis and written plan will be prepared for the following year’s implementation.  </w:t>
      </w:r>
      <w:r w:rsidR="00537891" w:rsidRPr="00424F51">
        <w:rPr>
          <w:sz w:val="24"/>
        </w:rPr>
        <w:t>Compliance</w:t>
      </w:r>
      <w:r>
        <w:rPr>
          <w:sz w:val="24"/>
        </w:rPr>
        <w:t xml:space="preserve"> shall be responsible for maintaining copies of all work papers evidencing the steps taken by the Company to review and analyze its business activities and needs in order to plan for the coming year's Continuing Education Program curriculum.</w:t>
      </w:r>
    </w:p>
    <w:p w14:paraId="61CC8A3E" w14:textId="77777777" w:rsidR="00186675" w:rsidRDefault="00186675" w:rsidP="00923345">
      <w:pPr>
        <w:ind w:left="270"/>
        <w:jc w:val="both"/>
        <w:rPr>
          <w:sz w:val="24"/>
        </w:rPr>
      </w:pPr>
    </w:p>
    <w:p w14:paraId="7EE04563" w14:textId="38F3C9DF" w:rsidR="00163B5D" w:rsidRDefault="00186675" w:rsidP="00923345">
      <w:pPr>
        <w:ind w:left="270"/>
        <w:jc w:val="both"/>
        <w:rPr>
          <w:sz w:val="24"/>
        </w:rPr>
      </w:pPr>
      <w:r>
        <w:rPr>
          <w:sz w:val="24"/>
        </w:rPr>
        <w:t xml:space="preserve">Annually, both the Regulatory and Firm elements of the Company's Continuing Education Training Plan shall be reviewed, by Morris Monroe </w:t>
      </w:r>
      <w:r w:rsidR="00163B5D" w:rsidRPr="00D14441">
        <w:rPr>
          <w:sz w:val="24"/>
        </w:rPr>
        <w:t xml:space="preserve">or </w:t>
      </w:r>
      <w:r w:rsidR="00537891" w:rsidRPr="00424F51">
        <w:rPr>
          <w:sz w:val="24"/>
        </w:rPr>
        <w:t>Compliance</w:t>
      </w:r>
      <w:r w:rsidR="00163B5D" w:rsidRPr="00424F51">
        <w:rPr>
          <w:sz w:val="24"/>
        </w:rPr>
        <w:t xml:space="preserve"> </w:t>
      </w:r>
      <w:r w:rsidRPr="00424F51">
        <w:rPr>
          <w:sz w:val="24"/>
        </w:rPr>
        <w:t xml:space="preserve">in conjunction with progress reports produced </w:t>
      </w:r>
      <w:r w:rsidR="00596EEE" w:rsidRPr="00424F51">
        <w:rPr>
          <w:sz w:val="24"/>
        </w:rPr>
        <w:t>in</w:t>
      </w:r>
      <w:r w:rsidRPr="00424F51">
        <w:rPr>
          <w:sz w:val="24"/>
        </w:rPr>
        <w:t xml:space="preserve"> the </w:t>
      </w:r>
      <w:r w:rsidR="00596EEE" w:rsidRPr="00424F51">
        <w:rPr>
          <w:sz w:val="24"/>
        </w:rPr>
        <w:t xml:space="preserve">CE </w:t>
      </w:r>
      <w:r w:rsidRPr="00424F51">
        <w:rPr>
          <w:sz w:val="24"/>
        </w:rPr>
        <w:t xml:space="preserve">Regulatory Element </w:t>
      </w:r>
      <w:r w:rsidR="00596EEE" w:rsidRPr="00424F51">
        <w:rPr>
          <w:sz w:val="24"/>
        </w:rPr>
        <w:t>R</w:t>
      </w:r>
      <w:r w:rsidR="00537891" w:rsidRPr="00424F51">
        <w:rPr>
          <w:sz w:val="24"/>
        </w:rPr>
        <w:t>eport</w:t>
      </w:r>
      <w:r w:rsidR="00596EEE" w:rsidRPr="00424F51">
        <w:rPr>
          <w:sz w:val="24"/>
        </w:rPr>
        <w:t xml:space="preserve">s in the FINRA Firm Gateway </w:t>
      </w:r>
      <w:r w:rsidRPr="00424F51">
        <w:rPr>
          <w:sz w:val="24"/>
        </w:rPr>
        <w:t xml:space="preserve">and evaluation feedback forms obtained from Firm Element participants to determine the program's adequacy and any modifications and or enhancements required thereto. As part of the Company's administration of the Continuing Education Program, Morris Monroe </w:t>
      </w:r>
      <w:r w:rsidR="00163B5D" w:rsidRPr="00424F51">
        <w:rPr>
          <w:sz w:val="24"/>
        </w:rPr>
        <w:t xml:space="preserve">or </w:t>
      </w:r>
      <w:r w:rsidR="00537891" w:rsidRPr="00424F51">
        <w:rPr>
          <w:sz w:val="24"/>
        </w:rPr>
        <w:t>Compliance</w:t>
      </w:r>
      <w:r w:rsidR="00163B5D" w:rsidRPr="00424F51">
        <w:rPr>
          <w:sz w:val="24"/>
        </w:rPr>
        <w:t xml:space="preserve"> </w:t>
      </w:r>
      <w:r w:rsidRPr="00424F51">
        <w:rPr>
          <w:sz w:val="24"/>
        </w:rPr>
        <w:t>shall review Continuing Education Materials available through third party</w:t>
      </w:r>
      <w:r>
        <w:rPr>
          <w:sz w:val="24"/>
        </w:rPr>
        <w:t xml:space="preserve"> vendors for use with its registered </w:t>
      </w:r>
      <w:r w:rsidR="00163B5D">
        <w:rPr>
          <w:sz w:val="24"/>
        </w:rPr>
        <w:t>A</w:t>
      </w:r>
      <w:r>
        <w:rPr>
          <w:sz w:val="24"/>
        </w:rPr>
        <w:t xml:space="preserve">ssociated </w:t>
      </w:r>
      <w:r w:rsidR="00163B5D">
        <w:rPr>
          <w:sz w:val="24"/>
        </w:rPr>
        <w:t>P</w:t>
      </w:r>
      <w:r>
        <w:rPr>
          <w:sz w:val="24"/>
        </w:rPr>
        <w:t>ersons,</w:t>
      </w:r>
      <w:r w:rsidR="00A765BF">
        <w:rPr>
          <w:sz w:val="24"/>
        </w:rPr>
        <w:t xml:space="preserve"> </w:t>
      </w:r>
      <w:r w:rsidR="00A765BF" w:rsidRPr="00323414">
        <w:rPr>
          <w:color w:val="000000" w:themeColor="text1"/>
          <w:sz w:val="24"/>
        </w:rPr>
        <w:t xml:space="preserve">third-party courses completed by Associated Persons other than those assigned by the Company that Associated Persons may use to fulfill any Company requirements (i.e. anti-money laundering, cybersecurity, etc.) </w:t>
      </w:r>
      <w:r w:rsidRPr="00323414">
        <w:rPr>
          <w:color w:val="000000" w:themeColor="text1"/>
          <w:sz w:val="24"/>
        </w:rPr>
        <w:t>and</w:t>
      </w:r>
      <w:r w:rsidR="00A765BF" w:rsidRPr="00323414">
        <w:rPr>
          <w:color w:val="000000" w:themeColor="text1"/>
          <w:sz w:val="24"/>
        </w:rPr>
        <w:t>/or</w:t>
      </w:r>
      <w:r w:rsidRPr="00323414">
        <w:rPr>
          <w:color w:val="000000" w:themeColor="text1"/>
          <w:sz w:val="24"/>
        </w:rPr>
        <w:t xml:space="preserve"> </w:t>
      </w:r>
      <w:r>
        <w:rPr>
          <w:sz w:val="24"/>
        </w:rPr>
        <w:t>may develop internal study materials, and or memorandums as part of its overall method of delivery of target informati</w:t>
      </w:r>
      <w:r w:rsidR="00163B5D">
        <w:rPr>
          <w:sz w:val="24"/>
        </w:rPr>
        <w:t>on to be covered by registered Associated P</w:t>
      </w:r>
      <w:r>
        <w:rPr>
          <w:sz w:val="24"/>
        </w:rPr>
        <w:t xml:space="preserve">ersons as part of the Firm Element. </w:t>
      </w:r>
    </w:p>
    <w:p w14:paraId="7CD2D123" w14:textId="77777777" w:rsidR="00537891" w:rsidRDefault="00537891" w:rsidP="00923345">
      <w:pPr>
        <w:ind w:left="270"/>
        <w:jc w:val="both"/>
        <w:rPr>
          <w:sz w:val="24"/>
        </w:rPr>
      </w:pPr>
    </w:p>
    <w:p w14:paraId="3EAE1464" w14:textId="717037FB" w:rsidR="00186675" w:rsidRDefault="00186675" w:rsidP="00923345">
      <w:pPr>
        <w:ind w:left="270"/>
        <w:jc w:val="both"/>
        <w:rPr>
          <w:sz w:val="24"/>
        </w:rPr>
      </w:pPr>
      <w:r>
        <w:rPr>
          <w:sz w:val="24"/>
        </w:rPr>
        <w:t xml:space="preserve">Upon completion of the Firm Element portion of the Continuing Education Program, each individual will be given a Continuing Education Program Feedback and Evaluation Form to complete and return.  Said form shall be retained in the Company's records for use in evaluating the Company's Firm Element program. </w:t>
      </w:r>
    </w:p>
    <w:p w14:paraId="375110BA" w14:textId="77777777" w:rsidR="00186675" w:rsidRDefault="00186675" w:rsidP="00923345">
      <w:pPr>
        <w:ind w:left="270"/>
        <w:jc w:val="both"/>
        <w:rPr>
          <w:sz w:val="24"/>
        </w:rPr>
      </w:pPr>
    </w:p>
    <w:p w14:paraId="3BFB8597" w14:textId="77777777" w:rsidR="00186675" w:rsidRDefault="00186675" w:rsidP="00923345">
      <w:pPr>
        <w:ind w:left="270"/>
        <w:jc w:val="both"/>
        <w:rPr>
          <w:sz w:val="24"/>
        </w:rPr>
      </w:pPr>
      <w:r>
        <w:rPr>
          <w:sz w:val="24"/>
        </w:rPr>
        <w:t xml:space="preserve">Morris Monroe </w:t>
      </w:r>
      <w:r w:rsidR="007E6A26">
        <w:rPr>
          <w:sz w:val="24"/>
        </w:rPr>
        <w:t xml:space="preserve">or Compliance </w:t>
      </w:r>
      <w:r>
        <w:rPr>
          <w:sz w:val="24"/>
        </w:rPr>
        <w:t>shall also review annually the Company's business and operating history in determining the Company's objectives and goals for the following year's Continuing Education Program.  At a minimum, the objectives of the Company's Continuing Education Program shall be to:</w:t>
      </w:r>
    </w:p>
    <w:p w14:paraId="3B40B96A" w14:textId="77777777" w:rsidR="00186675" w:rsidRDefault="00186675" w:rsidP="00923345">
      <w:pPr>
        <w:ind w:left="270"/>
        <w:jc w:val="both"/>
        <w:rPr>
          <w:sz w:val="24"/>
        </w:rPr>
      </w:pPr>
    </w:p>
    <w:p w14:paraId="3D15DCE4" w14:textId="21DE765D" w:rsidR="00186675" w:rsidRDefault="00186675" w:rsidP="002D12DF">
      <w:pPr>
        <w:ind w:left="360"/>
        <w:jc w:val="both"/>
        <w:rPr>
          <w:sz w:val="24"/>
        </w:rPr>
      </w:pPr>
      <w:r>
        <w:rPr>
          <w:sz w:val="24"/>
        </w:rPr>
        <w:t>1.</w:t>
      </w:r>
      <w:r w:rsidR="00F31E72">
        <w:rPr>
          <w:sz w:val="24"/>
        </w:rPr>
        <w:t xml:space="preserve"> </w:t>
      </w:r>
      <w:r>
        <w:rPr>
          <w:sz w:val="24"/>
        </w:rPr>
        <w:t xml:space="preserve">Educate and or refresh all Covered Persons with issues regarding customer </w:t>
      </w:r>
      <w:r w:rsidR="009E563E" w:rsidRPr="007F0C5D">
        <w:rPr>
          <w:sz w:val="24"/>
        </w:rPr>
        <w:t>best interest</w:t>
      </w:r>
      <w:r>
        <w:rPr>
          <w:sz w:val="24"/>
        </w:rPr>
        <w:t>, handling of customer accounts, handling of communications with the public, handling of customer complaints and ethics training.</w:t>
      </w:r>
    </w:p>
    <w:p w14:paraId="0AC7F850" w14:textId="77777777" w:rsidR="00186675" w:rsidRDefault="00186675" w:rsidP="002D12DF">
      <w:pPr>
        <w:ind w:left="540"/>
        <w:jc w:val="both"/>
        <w:rPr>
          <w:sz w:val="24"/>
        </w:rPr>
      </w:pPr>
    </w:p>
    <w:p w14:paraId="348DD49A" w14:textId="4B8D7360" w:rsidR="00186675" w:rsidRDefault="00186675" w:rsidP="002D12DF">
      <w:pPr>
        <w:ind w:left="360"/>
        <w:jc w:val="both"/>
        <w:rPr>
          <w:sz w:val="24"/>
        </w:rPr>
      </w:pPr>
      <w:r>
        <w:rPr>
          <w:sz w:val="24"/>
        </w:rPr>
        <w:t>2.</w:t>
      </w:r>
      <w:r>
        <w:rPr>
          <w:sz w:val="24"/>
        </w:rPr>
        <w:tab/>
      </w:r>
      <w:r w:rsidR="00F31E72">
        <w:rPr>
          <w:sz w:val="24"/>
        </w:rPr>
        <w:t xml:space="preserve"> </w:t>
      </w:r>
      <w:r>
        <w:rPr>
          <w:sz w:val="24"/>
        </w:rPr>
        <w:t>Educate all Covered Persons with respect to the nature of the various products which the Company offers its customers, and new products which the Company may make available to its customers from time to time.</w:t>
      </w:r>
    </w:p>
    <w:p w14:paraId="4021F2FC" w14:textId="77777777" w:rsidR="00186675" w:rsidRDefault="00186675" w:rsidP="002D12DF">
      <w:pPr>
        <w:ind w:left="540"/>
        <w:jc w:val="both"/>
        <w:rPr>
          <w:sz w:val="24"/>
        </w:rPr>
      </w:pPr>
    </w:p>
    <w:p w14:paraId="71737B9F" w14:textId="6A315C8A" w:rsidR="00186675" w:rsidRDefault="00186675" w:rsidP="002D12DF">
      <w:pPr>
        <w:ind w:left="360"/>
        <w:jc w:val="both"/>
        <w:rPr>
          <w:sz w:val="24"/>
        </w:rPr>
      </w:pPr>
      <w:r>
        <w:rPr>
          <w:sz w:val="24"/>
        </w:rPr>
        <w:t>3.</w:t>
      </w:r>
      <w:r>
        <w:rPr>
          <w:sz w:val="24"/>
        </w:rPr>
        <w:tab/>
      </w:r>
      <w:r w:rsidR="00F31E72">
        <w:rPr>
          <w:sz w:val="24"/>
        </w:rPr>
        <w:t xml:space="preserve"> </w:t>
      </w:r>
      <w:r>
        <w:rPr>
          <w:sz w:val="24"/>
        </w:rPr>
        <w:t>Educate and or refresh all Covered Persons with respect to rules and regulations of the industry in which we operate, and actions which result in frequent violations of the rules and regulations of our industry.</w:t>
      </w:r>
      <w:r w:rsidR="002D12DF">
        <w:rPr>
          <w:sz w:val="24"/>
        </w:rPr>
        <w:t xml:space="preserve">  </w:t>
      </w:r>
      <w:r>
        <w:rPr>
          <w:sz w:val="24"/>
        </w:rPr>
        <w:t xml:space="preserve">As part of the annual review and planning for the forthcoming year's Continuing Education Program, the Company shall review and affirm and or establish </w:t>
      </w:r>
      <w:r>
        <w:rPr>
          <w:sz w:val="24"/>
        </w:rPr>
        <w:lastRenderedPageBreak/>
        <w:t>new objectives as a result of an analysis of key operational and structural factors directly related to the Company.  Pertinent factors of consideration may include the following:</w:t>
      </w:r>
    </w:p>
    <w:p w14:paraId="765A66F0" w14:textId="77777777" w:rsidR="00186675" w:rsidRDefault="00186675" w:rsidP="00923345">
      <w:pPr>
        <w:ind w:left="270"/>
        <w:jc w:val="both"/>
        <w:rPr>
          <w:sz w:val="24"/>
        </w:rPr>
      </w:pPr>
    </w:p>
    <w:p w14:paraId="052BFFD9" w14:textId="77777777" w:rsidR="00186675" w:rsidRDefault="00186675" w:rsidP="002D12DF">
      <w:pPr>
        <w:ind w:left="540"/>
        <w:jc w:val="both"/>
        <w:rPr>
          <w:sz w:val="24"/>
        </w:rPr>
      </w:pPr>
      <w:r>
        <w:rPr>
          <w:sz w:val="24"/>
        </w:rPr>
        <w:t>A.</w:t>
      </w:r>
      <w:r w:rsidR="002D12DF">
        <w:rPr>
          <w:sz w:val="24"/>
        </w:rPr>
        <w:t xml:space="preserve">  </w:t>
      </w:r>
      <w:r>
        <w:rPr>
          <w:sz w:val="24"/>
        </w:rPr>
        <w:t>A</w:t>
      </w:r>
      <w:r w:rsidR="00B44039">
        <w:rPr>
          <w:sz w:val="24"/>
        </w:rPr>
        <w:t>n</w:t>
      </w:r>
      <w:r>
        <w:rPr>
          <w:sz w:val="24"/>
        </w:rPr>
        <w:t xml:space="preserve"> analysis of the Company's Business profile and training needs. </w:t>
      </w:r>
    </w:p>
    <w:p w14:paraId="0402E8A6" w14:textId="77777777" w:rsidR="00186675" w:rsidRDefault="00186675" w:rsidP="002D12DF">
      <w:pPr>
        <w:ind w:left="540"/>
        <w:jc w:val="both"/>
        <w:rPr>
          <w:sz w:val="24"/>
        </w:rPr>
      </w:pPr>
      <w:r>
        <w:rPr>
          <w:sz w:val="24"/>
        </w:rPr>
        <w:t>B.</w:t>
      </w:r>
      <w:r w:rsidR="002D12DF">
        <w:rPr>
          <w:sz w:val="24"/>
        </w:rPr>
        <w:t xml:space="preserve">  </w:t>
      </w:r>
      <w:r>
        <w:rPr>
          <w:sz w:val="24"/>
        </w:rPr>
        <w:t>Internal Factors gathered through a polling of the priorities.</w:t>
      </w:r>
    </w:p>
    <w:p w14:paraId="7EA3E059" w14:textId="77777777" w:rsidR="00186675" w:rsidRDefault="00186675" w:rsidP="007E6A26">
      <w:pPr>
        <w:ind w:left="540"/>
        <w:jc w:val="both"/>
        <w:rPr>
          <w:sz w:val="24"/>
        </w:rPr>
      </w:pPr>
      <w:r>
        <w:rPr>
          <w:sz w:val="24"/>
        </w:rPr>
        <w:t>C.</w:t>
      </w:r>
      <w:r w:rsidR="002D12DF">
        <w:rPr>
          <w:sz w:val="24"/>
        </w:rPr>
        <w:t xml:space="preserve">  </w:t>
      </w:r>
      <w:r>
        <w:rPr>
          <w:sz w:val="24"/>
        </w:rPr>
        <w:t>External Factors should also be considered. These factors may include:</w:t>
      </w:r>
    </w:p>
    <w:p w14:paraId="6FE2B170" w14:textId="77777777" w:rsidR="00186675" w:rsidRDefault="00186675" w:rsidP="007E6A26">
      <w:pPr>
        <w:ind w:left="900"/>
        <w:jc w:val="both"/>
        <w:rPr>
          <w:sz w:val="24"/>
        </w:rPr>
      </w:pPr>
      <w:r>
        <w:rPr>
          <w:sz w:val="24"/>
        </w:rPr>
        <w:t>1.</w:t>
      </w:r>
      <w:r>
        <w:rPr>
          <w:sz w:val="24"/>
        </w:rPr>
        <w:tab/>
        <w:t>Review of previous regulatory examinations and related findings.</w:t>
      </w:r>
    </w:p>
    <w:p w14:paraId="66BE004F" w14:textId="77777777" w:rsidR="00186675" w:rsidRDefault="00186675" w:rsidP="002D12DF">
      <w:pPr>
        <w:ind w:left="900"/>
        <w:jc w:val="both"/>
        <w:rPr>
          <w:sz w:val="24"/>
        </w:rPr>
      </w:pPr>
      <w:r>
        <w:rPr>
          <w:sz w:val="24"/>
        </w:rPr>
        <w:t>2.</w:t>
      </w:r>
      <w:r>
        <w:rPr>
          <w:sz w:val="24"/>
        </w:rPr>
        <w:tab/>
        <w:t>Review of customer complaints, if any, received by the Company.</w:t>
      </w:r>
    </w:p>
    <w:p w14:paraId="221EC2D3" w14:textId="77777777" w:rsidR="00186675" w:rsidRDefault="00186675" w:rsidP="002D12DF">
      <w:pPr>
        <w:ind w:left="900"/>
        <w:jc w:val="both"/>
        <w:rPr>
          <w:sz w:val="24"/>
        </w:rPr>
      </w:pPr>
      <w:r>
        <w:rPr>
          <w:sz w:val="24"/>
        </w:rPr>
        <w:t>3.</w:t>
      </w:r>
      <w:r>
        <w:rPr>
          <w:sz w:val="24"/>
        </w:rPr>
        <w:tab/>
        <w:t>Review of recent Rule adoptions, changes and proposed rule changes.</w:t>
      </w:r>
    </w:p>
    <w:p w14:paraId="1124D041" w14:textId="77777777" w:rsidR="00186675" w:rsidRDefault="00186675" w:rsidP="00B44039">
      <w:pPr>
        <w:ind w:left="1170" w:hanging="270"/>
        <w:jc w:val="both"/>
        <w:rPr>
          <w:sz w:val="24"/>
        </w:rPr>
      </w:pPr>
      <w:r>
        <w:rPr>
          <w:sz w:val="24"/>
        </w:rPr>
        <w:t>4.</w:t>
      </w:r>
      <w:r>
        <w:rPr>
          <w:sz w:val="24"/>
        </w:rPr>
        <w:tab/>
        <w:t>Review of formal disciplinary actions taken against the Company, its officers, directors, or control persons, if any.</w:t>
      </w:r>
    </w:p>
    <w:p w14:paraId="4C55F88C" w14:textId="77777777" w:rsidR="00186675" w:rsidRDefault="00186675" w:rsidP="002D12DF">
      <w:pPr>
        <w:ind w:left="900" w:hanging="360"/>
        <w:jc w:val="both"/>
        <w:rPr>
          <w:sz w:val="24"/>
        </w:rPr>
      </w:pPr>
      <w:r>
        <w:rPr>
          <w:sz w:val="24"/>
        </w:rPr>
        <w:t>D.</w:t>
      </w:r>
      <w:r w:rsidR="006365BF">
        <w:rPr>
          <w:sz w:val="24"/>
        </w:rPr>
        <w:t xml:space="preserve"> </w:t>
      </w:r>
      <w:r>
        <w:rPr>
          <w:sz w:val="24"/>
        </w:rPr>
        <w:t xml:space="preserve">Special factors of concern to the Company may be gathered and will be a consideration in the </w:t>
      </w:r>
      <w:r w:rsidR="00CA578B">
        <w:rPr>
          <w:sz w:val="24"/>
        </w:rPr>
        <w:t>Co</w:t>
      </w:r>
      <w:r>
        <w:rPr>
          <w:sz w:val="24"/>
        </w:rPr>
        <w:t>m</w:t>
      </w:r>
      <w:r w:rsidR="00CA578B">
        <w:rPr>
          <w:sz w:val="24"/>
        </w:rPr>
        <w:t>pany</w:t>
      </w:r>
      <w:r>
        <w:rPr>
          <w:sz w:val="24"/>
        </w:rPr>
        <w:t xml:space="preserve">'s training plan. </w:t>
      </w:r>
    </w:p>
    <w:p w14:paraId="192CEFC6" w14:textId="77777777" w:rsidR="00186675" w:rsidRDefault="00186675" w:rsidP="00923345">
      <w:pPr>
        <w:ind w:left="270"/>
        <w:jc w:val="both"/>
        <w:rPr>
          <w:sz w:val="24"/>
        </w:rPr>
      </w:pPr>
    </w:p>
    <w:p w14:paraId="6BF73B65" w14:textId="77777777" w:rsidR="00186675" w:rsidRDefault="00186675" w:rsidP="00923345">
      <w:pPr>
        <w:ind w:left="270"/>
        <w:jc w:val="both"/>
        <w:rPr>
          <w:sz w:val="24"/>
        </w:rPr>
      </w:pPr>
      <w:r>
        <w:rPr>
          <w:sz w:val="24"/>
        </w:rPr>
        <w:t xml:space="preserve">In establishing the Firm Element of the Company's Continuing Education Program, the Company shall review third party vendor course materials which may be made available to Covered Persons, including but not limited to written, audio, video, and or self- study materials, outside instructors, as well as computerized courseware.  </w:t>
      </w:r>
      <w:r w:rsidR="006365BF">
        <w:rPr>
          <w:sz w:val="24"/>
        </w:rPr>
        <w:t>Tr</w:t>
      </w:r>
      <w:r>
        <w:rPr>
          <w:sz w:val="24"/>
        </w:rPr>
        <w:t xml:space="preserve">acking and management reports shall be maintained which shall provide Senior Management with information showing each Covered Person's curriculum and progress through the training program.  Laura Hendricks shall be responsible for maintaining copies of the </w:t>
      </w:r>
      <w:r w:rsidR="006365BF" w:rsidRPr="00D14441">
        <w:rPr>
          <w:sz w:val="24"/>
        </w:rPr>
        <w:t>any applicable</w:t>
      </w:r>
      <w:r w:rsidR="006365BF">
        <w:rPr>
          <w:sz w:val="24"/>
        </w:rPr>
        <w:t xml:space="preserve"> </w:t>
      </w:r>
      <w:r>
        <w:rPr>
          <w:sz w:val="24"/>
        </w:rPr>
        <w:t>Tracking and Management Reports as part of each Covered Person's personnel file for the Company, in accordance with SEC Rule 17a-3 and 17a-4.</w:t>
      </w:r>
    </w:p>
    <w:p w14:paraId="06AE81F0" w14:textId="77777777" w:rsidR="00186675" w:rsidRDefault="00186675" w:rsidP="00923345">
      <w:pPr>
        <w:ind w:left="270"/>
        <w:jc w:val="both"/>
        <w:rPr>
          <w:sz w:val="24"/>
        </w:rPr>
      </w:pPr>
    </w:p>
    <w:p w14:paraId="6FBB8B8F" w14:textId="77777777" w:rsidR="00186675" w:rsidRDefault="00186675" w:rsidP="00923345">
      <w:pPr>
        <w:ind w:left="270"/>
        <w:jc w:val="both"/>
        <w:rPr>
          <w:sz w:val="24"/>
        </w:rPr>
      </w:pPr>
      <w:r>
        <w:rPr>
          <w:sz w:val="24"/>
        </w:rPr>
        <w:t>The Company's Firm Element portion of the Continuing Education Program shall provide for proof of mastery as evidence of completion by a Covered Person.</w:t>
      </w:r>
    </w:p>
    <w:p w14:paraId="08E5CFB5" w14:textId="77777777" w:rsidR="00186675" w:rsidRDefault="00186675" w:rsidP="00923345">
      <w:pPr>
        <w:ind w:left="270"/>
        <w:jc w:val="both"/>
        <w:rPr>
          <w:sz w:val="24"/>
        </w:rPr>
      </w:pPr>
    </w:p>
    <w:p w14:paraId="735E15D0" w14:textId="77777777" w:rsidR="00186675" w:rsidRDefault="00186675" w:rsidP="00923345">
      <w:pPr>
        <w:ind w:left="270"/>
        <w:jc w:val="both"/>
        <w:rPr>
          <w:sz w:val="24"/>
        </w:rPr>
      </w:pPr>
      <w:r>
        <w:rPr>
          <w:sz w:val="24"/>
        </w:rPr>
        <w:t>The Company shall review various course materials available through third party vendors, which may be supplemented from time to time with written materials prepared by the Company, to provide each representative with an individualized curriculum of study, formulated based upon the following factors:</w:t>
      </w:r>
    </w:p>
    <w:p w14:paraId="7B77BC34" w14:textId="77777777" w:rsidR="00186675" w:rsidRDefault="00186675" w:rsidP="00923345">
      <w:pPr>
        <w:ind w:left="270"/>
        <w:jc w:val="both"/>
        <w:rPr>
          <w:sz w:val="24"/>
        </w:rPr>
      </w:pPr>
    </w:p>
    <w:p w14:paraId="3B7C099B" w14:textId="77777777" w:rsidR="00186675" w:rsidRDefault="00186675" w:rsidP="00923345">
      <w:pPr>
        <w:ind w:left="540"/>
        <w:jc w:val="both"/>
        <w:rPr>
          <w:sz w:val="24"/>
        </w:rPr>
      </w:pPr>
      <w:r>
        <w:rPr>
          <w:sz w:val="24"/>
        </w:rPr>
        <w:t>1.</w:t>
      </w:r>
      <w:r w:rsidR="00923345">
        <w:rPr>
          <w:sz w:val="24"/>
        </w:rPr>
        <w:t xml:space="preserve">  </w:t>
      </w:r>
      <w:r w:rsidR="00A467C8">
        <w:rPr>
          <w:sz w:val="24"/>
        </w:rPr>
        <w:t>The</w:t>
      </w:r>
      <w:r>
        <w:rPr>
          <w:sz w:val="24"/>
        </w:rPr>
        <w:t xml:space="preserve"> Covered Person's length of time in the industry;</w:t>
      </w:r>
    </w:p>
    <w:p w14:paraId="20895CBF" w14:textId="77777777" w:rsidR="00186675" w:rsidRDefault="00186675" w:rsidP="00923345">
      <w:pPr>
        <w:ind w:left="540"/>
        <w:jc w:val="both"/>
        <w:rPr>
          <w:sz w:val="24"/>
        </w:rPr>
      </w:pPr>
      <w:r>
        <w:rPr>
          <w:sz w:val="24"/>
        </w:rPr>
        <w:t>2.</w:t>
      </w:r>
      <w:r w:rsidR="00923345">
        <w:rPr>
          <w:sz w:val="24"/>
        </w:rPr>
        <w:t xml:space="preserve">  </w:t>
      </w:r>
      <w:r w:rsidR="00A467C8">
        <w:rPr>
          <w:sz w:val="24"/>
        </w:rPr>
        <w:t>The</w:t>
      </w:r>
      <w:r>
        <w:rPr>
          <w:sz w:val="24"/>
        </w:rPr>
        <w:t xml:space="preserve"> existence and nature of customer complaints against the Covered Person;</w:t>
      </w:r>
    </w:p>
    <w:p w14:paraId="50B7D245" w14:textId="77777777" w:rsidR="00186675" w:rsidRDefault="00186675" w:rsidP="00923345">
      <w:pPr>
        <w:ind w:left="540"/>
        <w:jc w:val="both"/>
        <w:rPr>
          <w:sz w:val="24"/>
        </w:rPr>
      </w:pPr>
      <w:r>
        <w:rPr>
          <w:sz w:val="24"/>
        </w:rPr>
        <w:t>3.</w:t>
      </w:r>
      <w:r w:rsidR="00923345">
        <w:rPr>
          <w:sz w:val="24"/>
        </w:rPr>
        <w:t xml:space="preserve">  </w:t>
      </w:r>
      <w:r w:rsidR="00A467C8">
        <w:rPr>
          <w:sz w:val="24"/>
        </w:rPr>
        <w:t>The</w:t>
      </w:r>
      <w:r>
        <w:rPr>
          <w:sz w:val="24"/>
        </w:rPr>
        <w:t xml:space="preserve"> existence and nature of any regulatory actions against the Covered Person;</w:t>
      </w:r>
    </w:p>
    <w:p w14:paraId="370A7476" w14:textId="77777777" w:rsidR="00186675" w:rsidRDefault="00186675" w:rsidP="00923345">
      <w:pPr>
        <w:ind w:left="900" w:hanging="360"/>
        <w:jc w:val="both"/>
        <w:rPr>
          <w:sz w:val="24"/>
        </w:rPr>
      </w:pPr>
      <w:r>
        <w:rPr>
          <w:sz w:val="24"/>
        </w:rPr>
        <w:t>4.</w:t>
      </w:r>
      <w:r w:rsidR="00923345">
        <w:rPr>
          <w:sz w:val="24"/>
        </w:rPr>
        <w:t xml:space="preserve"> </w:t>
      </w:r>
      <w:r w:rsidR="00A467C8">
        <w:rPr>
          <w:sz w:val="24"/>
        </w:rPr>
        <w:t>The</w:t>
      </w:r>
      <w:r>
        <w:rPr>
          <w:sz w:val="24"/>
        </w:rPr>
        <w:t xml:space="preserve"> existence and nature of any regulatory actions against the Company and or management thereof; and</w:t>
      </w:r>
    </w:p>
    <w:p w14:paraId="2722B314" w14:textId="77777777" w:rsidR="00186675" w:rsidRDefault="00186675" w:rsidP="000A6F41">
      <w:pPr>
        <w:ind w:left="810" w:hanging="270"/>
        <w:jc w:val="both"/>
        <w:rPr>
          <w:sz w:val="24"/>
        </w:rPr>
      </w:pPr>
      <w:r>
        <w:rPr>
          <w:sz w:val="24"/>
        </w:rPr>
        <w:t>5.</w:t>
      </w:r>
      <w:r w:rsidR="00923345">
        <w:rPr>
          <w:sz w:val="24"/>
        </w:rPr>
        <w:t xml:space="preserve"> </w:t>
      </w:r>
      <w:r w:rsidR="00A467C8">
        <w:rPr>
          <w:sz w:val="24"/>
        </w:rPr>
        <w:t>Changes</w:t>
      </w:r>
      <w:r>
        <w:rPr>
          <w:sz w:val="24"/>
        </w:rPr>
        <w:t xml:space="preserve"> in business activities for the Covered Person (including but not limited to additions of new products) which have taken place within the previous </w:t>
      </w:r>
      <w:r w:rsidR="00CA70E3">
        <w:rPr>
          <w:sz w:val="24"/>
        </w:rPr>
        <w:t>twelve-month</w:t>
      </w:r>
      <w:r>
        <w:rPr>
          <w:sz w:val="24"/>
        </w:rPr>
        <w:t xml:space="preserve"> period, or which are anticipated to take place within the following </w:t>
      </w:r>
      <w:r w:rsidR="00CA70E3">
        <w:rPr>
          <w:sz w:val="24"/>
        </w:rPr>
        <w:t>twelve-month</w:t>
      </w:r>
      <w:r>
        <w:rPr>
          <w:sz w:val="24"/>
        </w:rPr>
        <w:t xml:space="preserve"> period.</w:t>
      </w:r>
    </w:p>
    <w:p w14:paraId="793CC26E" w14:textId="77777777" w:rsidR="00186675" w:rsidRDefault="00186675" w:rsidP="00186675">
      <w:pPr>
        <w:jc w:val="both"/>
        <w:rPr>
          <w:sz w:val="24"/>
        </w:rPr>
      </w:pPr>
    </w:p>
    <w:p w14:paraId="2AFBF0B2" w14:textId="77777777" w:rsidR="00186675" w:rsidRDefault="00186675" w:rsidP="002D12DF">
      <w:pPr>
        <w:ind w:left="270"/>
        <w:jc w:val="both"/>
        <w:rPr>
          <w:sz w:val="24"/>
        </w:rPr>
      </w:pPr>
      <w:r>
        <w:rPr>
          <w:sz w:val="24"/>
        </w:rPr>
        <w:t xml:space="preserve">The Company shall review various courses prior to inclusion in the Company's Firm Element Continuing Education Program curriculum. Each course shall be reviewed </w:t>
      </w:r>
      <w:r w:rsidR="00CA70E3">
        <w:rPr>
          <w:sz w:val="24"/>
        </w:rPr>
        <w:t>to ensure that</w:t>
      </w:r>
      <w:r>
        <w:rPr>
          <w:sz w:val="24"/>
        </w:rPr>
        <w:t xml:space="preserve"> the courses satisfy the objectives determined by the Company to be the highest priority for study the coming year.  Only pre-mastered items would be excluded from a Covered Person's curriculum.</w:t>
      </w:r>
    </w:p>
    <w:p w14:paraId="1E4DA486" w14:textId="77777777" w:rsidR="00186675" w:rsidRDefault="00186675" w:rsidP="00186675">
      <w:pPr>
        <w:jc w:val="both"/>
        <w:rPr>
          <w:sz w:val="24"/>
        </w:rPr>
      </w:pPr>
    </w:p>
    <w:p w14:paraId="23AD6393" w14:textId="77777777" w:rsidR="00186675" w:rsidRPr="000A6F41" w:rsidRDefault="00186675" w:rsidP="00C1728B">
      <w:pPr>
        <w:pStyle w:val="ListParagraph"/>
        <w:numPr>
          <w:ilvl w:val="0"/>
          <w:numId w:val="128"/>
        </w:numPr>
        <w:ind w:left="900" w:hanging="270"/>
        <w:jc w:val="both"/>
        <w:rPr>
          <w:sz w:val="24"/>
        </w:rPr>
      </w:pPr>
      <w:r w:rsidRPr="000A6F41">
        <w:rPr>
          <w:sz w:val="24"/>
        </w:rPr>
        <w:t xml:space="preserve">Any subjects mandated by the </w:t>
      </w:r>
      <w:r w:rsidR="002528FC" w:rsidRPr="000A6F41">
        <w:rPr>
          <w:sz w:val="24"/>
        </w:rPr>
        <w:t>Co</w:t>
      </w:r>
      <w:r w:rsidRPr="000A6F41">
        <w:rPr>
          <w:sz w:val="24"/>
        </w:rPr>
        <w:t>m</w:t>
      </w:r>
      <w:r w:rsidR="002528FC" w:rsidRPr="000A6F41">
        <w:rPr>
          <w:sz w:val="24"/>
        </w:rPr>
        <w:t>pany</w:t>
      </w:r>
      <w:r w:rsidRPr="000A6F41">
        <w:rPr>
          <w:sz w:val="24"/>
        </w:rPr>
        <w:t xml:space="preserve"> shall be automatically included in every </w:t>
      </w:r>
      <w:r w:rsidR="00FB6CC0" w:rsidRPr="000A6F41">
        <w:rPr>
          <w:sz w:val="24"/>
        </w:rPr>
        <w:t>Covered Person’s</w:t>
      </w:r>
      <w:r w:rsidRPr="000A6F41">
        <w:rPr>
          <w:sz w:val="24"/>
        </w:rPr>
        <w:t xml:space="preserve"> curriculum without pre-testing.</w:t>
      </w:r>
    </w:p>
    <w:p w14:paraId="4DD1CF66" w14:textId="77777777" w:rsidR="00186675" w:rsidRPr="000A6F41" w:rsidRDefault="00186675" w:rsidP="00C1728B">
      <w:pPr>
        <w:pStyle w:val="ListParagraph"/>
        <w:numPr>
          <w:ilvl w:val="0"/>
          <w:numId w:val="128"/>
        </w:numPr>
        <w:ind w:left="900" w:hanging="270"/>
        <w:jc w:val="both"/>
        <w:rPr>
          <w:sz w:val="24"/>
        </w:rPr>
      </w:pPr>
      <w:r w:rsidRPr="000A6F41">
        <w:rPr>
          <w:sz w:val="24"/>
        </w:rPr>
        <w:lastRenderedPageBreak/>
        <w:t>Any areas of study mandated by the SRO's shall be automatically included in every Covered Person's curriculum.</w:t>
      </w:r>
    </w:p>
    <w:p w14:paraId="050E6376" w14:textId="77777777" w:rsidR="00186675" w:rsidRDefault="00186675" w:rsidP="00186675">
      <w:pPr>
        <w:jc w:val="both"/>
        <w:rPr>
          <w:sz w:val="24"/>
        </w:rPr>
      </w:pPr>
    </w:p>
    <w:p w14:paraId="140A4C75" w14:textId="77777777" w:rsidR="00186675" w:rsidRDefault="00186675" w:rsidP="002D12DF">
      <w:pPr>
        <w:pStyle w:val="BodyText"/>
        <w:spacing w:before="0" w:after="0"/>
        <w:ind w:left="270"/>
      </w:pPr>
      <w:r>
        <w:t xml:space="preserve">To the extent the Company utilizes </w:t>
      </w:r>
      <w:r w:rsidR="00614695">
        <w:t>computer-based</w:t>
      </w:r>
      <w:r>
        <w:t xml:space="preserve"> training courses as part of its Firm </w:t>
      </w:r>
      <w:r w:rsidR="00A467C8">
        <w:t>Element;</w:t>
      </w:r>
      <w:r>
        <w:t xml:space="preserve"> the courses shall be interactive lessons that teach to objectives.  It shall be the responsibility of </w:t>
      </w:r>
      <w:r w:rsidR="00964DA9" w:rsidRPr="006D5CDF">
        <w:t>Compliance</w:t>
      </w:r>
      <w:r w:rsidRPr="00964DA9">
        <w:rPr>
          <w:color w:val="FF0000"/>
        </w:rPr>
        <w:t xml:space="preserve"> </w:t>
      </w:r>
      <w:r>
        <w:t>to maintain copies of the course materials utilized as part of the Firm Element portion of the Company's Continuing Education Program, in accordance with SEC Rules 17a-3 and 17a-4.</w:t>
      </w:r>
    </w:p>
    <w:p w14:paraId="6A23ECE2" w14:textId="77777777" w:rsidR="00186675" w:rsidRDefault="00186675" w:rsidP="002D12DF">
      <w:pPr>
        <w:ind w:left="270"/>
        <w:jc w:val="both"/>
        <w:rPr>
          <w:sz w:val="24"/>
        </w:rPr>
      </w:pPr>
    </w:p>
    <w:p w14:paraId="7F4385C5" w14:textId="77777777" w:rsidR="00186675" w:rsidRPr="002D12DF" w:rsidRDefault="00F56F5A" w:rsidP="001A7509">
      <w:pPr>
        <w:pStyle w:val="Heading3"/>
      </w:pPr>
      <w:r>
        <w:t>4.3</w:t>
      </w:r>
      <w:r w:rsidR="000737DD">
        <w:t>7</w:t>
      </w:r>
      <w:r w:rsidR="00D114C8" w:rsidRPr="002D12DF">
        <w:t xml:space="preserve">.3 </w:t>
      </w:r>
      <w:r w:rsidR="00186675" w:rsidRPr="002D12DF">
        <w:t>Inactive CE Status</w:t>
      </w:r>
    </w:p>
    <w:p w14:paraId="5C6FD771" w14:textId="77777777" w:rsidR="00186675" w:rsidRDefault="00186675" w:rsidP="002D12DF">
      <w:pPr>
        <w:pStyle w:val="MRS"/>
        <w:ind w:left="270"/>
        <w:rPr>
          <w:b/>
          <w:bCs/>
        </w:rPr>
      </w:pPr>
      <w:r>
        <w:t>Any Covered Person who does not complete applicable CE during the required time period will be placed on Inactive CE status and will not be allowed to conduct securities transactions nor be paid any commissions until such time the CE requirement is satisfied.</w:t>
      </w:r>
    </w:p>
    <w:p w14:paraId="49A8F413" w14:textId="77777777" w:rsidR="00186675" w:rsidRDefault="00186675" w:rsidP="002D12DF">
      <w:pPr>
        <w:ind w:left="270"/>
        <w:jc w:val="both"/>
        <w:rPr>
          <w:sz w:val="24"/>
        </w:rPr>
      </w:pPr>
    </w:p>
    <w:p w14:paraId="71A85790" w14:textId="639F62A0" w:rsidR="00186675" w:rsidRDefault="00186675" w:rsidP="002D12DF">
      <w:pPr>
        <w:ind w:left="270"/>
        <w:jc w:val="both"/>
        <w:rPr>
          <w:sz w:val="24"/>
        </w:rPr>
      </w:pPr>
      <w:r>
        <w:rPr>
          <w:sz w:val="24"/>
        </w:rPr>
        <w:t xml:space="preserve">Morris Monroe and Laura Hendricks </w:t>
      </w:r>
      <w:r w:rsidR="00CA578B">
        <w:rPr>
          <w:sz w:val="24"/>
        </w:rPr>
        <w:t>will be designated on the Firm C</w:t>
      </w:r>
      <w:r>
        <w:rPr>
          <w:sz w:val="24"/>
        </w:rPr>
        <w:t xml:space="preserve">ontact questionnaire as the persons to receive CRD Regulatory Element e-mail notifications.  Laura Hendricks will review the Firm </w:t>
      </w:r>
      <w:r w:rsidR="00CA578B">
        <w:rPr>
          <w:sz w:val="24"/>
        </w:rPr>
        <w:t>C</w:t>
      </w:r>
      <w:r>
        <w:rPr>
          <w:sz w:val="24"/>
        </w:rPr>
        <w:t>ontact questionnaire within 17 business days of the end of each calendar quarter to ensure its accuracy and make an</w:t>
      </w:r>
      <w:r w:rsidR="00271435">
        <w:rPr>
          <w:sz w:val="24"/>
        </w:rPr>
        <w:t xml:space="preserve">y necessary updates.  </w:t>
      </w:r>
      <w:r w:rsidR="00271435" w:rsidRPr="009025E3">
        <w:rPr>
          <w:sz w:val="24"/>
        </w:rPr>
        <w:t>E</w:t>
      </w:r>
      <w:r w:rsidRPr="009025E3">
        <w:rPr>
          <w:sz w:val="24"/>
        </w:rPr>
        <w:t xml:space="preserve">vidence </w:t>
      </w:r>
      <w:r w:rsidR="00271435" w:rsidRPr="009025E3">
        <w:rPr>
          <w:sz w:val="24"/>
        </w:rPr>
        <w:t xml:space="preserve">of said </w:t>
      </w:r>
      <w:r w:rsidRPr="009025E3">
        <w:rPr>
          <w:sz w:val="24"/>
        </w:rPr>
        <w:t xml:space="preserve">review </w:t>
      </w:r>
      <w:r w:rsidR="00271435" w:rsidRPr="009025E3">
        <w:rPr>
          <w:sz w:val="24"/>
        </w:rPr>
        <w:t>will be maintained in a log</w:t>
      </w:r>
      <w:r w:rsidRPr="009025E3">
        <w:rPr>
          <w:sz w:val="24"/>
        </w:rPr>
        <w:t>.</w:t>
      </w:r>
    </w:p>
    <w:p w14:paraId="74977621" w14:textId="719BC04E" w:rsidR="00075413" w:rsidRDefault="00075413" w:rsidP="002D12DF">
      <w:pPr>
        <w:ind w:left="270"/>
        <w:jc w:val="both"/>
        <w:rPr>
          <w:sz w:val="24"/>
        </w:rPr>
      </w:pPr>
    </w:p>
    <w:p w14:paraId="7F2D54F6" w14:textId="62FC3598" w:rsidR="00075413" w:rsidRDefault="00075413" w:rsidP="00075413">
      <w:pPr>
        <w:pStyle w:val="Heading3"/>
      </w:pPr>
      <w:r>
        <w:t>4.37.4 Maintaining Terminated Person’s Registration</w:t>
      </w:r>
    </w:p>
    <w:p w14:paraId="20D0F0B3" w14:textId="77777777" w:rsidR="00321CE6" w:rsidRPr="00321CE6" w:rsidRDefault="00321CE6" w:rsidP="00321CE6">
      <w:pPr>
        <w:spacing w:after="120"/>
        <w:ind w:left="274"/>
        <w:rPr>
          <w:color w:val="FF0000"/>
          <w:spacing w:val="8"/>
          <w:sz w:val="24"/>
          <w:szCs w:val="24"/>
        </w:rPr>
      </w:pPr>
      <w:r w:rsidRPr="00321CE6">
        <w:rPr>
          <w:color w:val="FF0000"/>
          <w:spacing w:val="8"/>
          <w:sz w:val="24"/>
          <w:szCs w:val="24"/>
        </w:rPr>
        <w:t>Individuals who terminate their RR or principal registration categories may maintain their qualification(s) for five years following termination of terminated registration categories subject to the following conditions:</w:t>
      </w:r>
    </w:p>
    <w:p w14:paraId="3847989F" w14:textId="06A2AE71" w:rsidR="00321CE6" w:rsidRPr="00321CE6" w:rsidRDefault="00321CE6" w:rsidP="0005402C">
      <w:pPr>
        <w:numPr>
          <w:ilvl w:val="0"/>
          <w:numId w:val="401"/>
        </w:numPr>
        <w:tabs>
          <w:tab w:val="clear" w:pos="720"/>
          <w:tab w:val="left" w:pos="810"/>
        </w:tabs>
        <w:spacing w:after="120"/>
        <w:ind w:left="821" w:hanging="274"/>
        <w:rPr>
          <w:color w:val="FF0000"/>
          <w:spacing w:val="8"/>
          <w:sz w:val="24"/>
          <w:szCs w:val="24"/>
        </w:rPr>
      </w:pPr>
      <w:r w:rsidRPr="00321CE6">
        <w:rPr>
          <w:color w:val="FF0000"/>
          <w:spacing w:val="8"/>
          <w:sz w:val="24"/>
          <w:szCs w:val="24"/>
        </w:rPr>
        <w:t>The person was registered for at least one year immediately preceding termination of the registration category, and the person was not subject to a statutory disqualification and is not during the term of the Maintaining Qualifications Program (MQP).</w:t>
      </w:r>
    </w:p>
    <w:p w14:paraId="62342745" w14:textId="66BC92AA" w:rsidR="00D114C8" w:rsidRPr="00321CE6" w:rsidRDefault="00321CE6" w:rsidP="0005402C">
      <w:pPr>
        <w:numPr>
          <w:ilvl w:val="0"/>
          <w:numId w:val="401"/>
        </w:numPr>
        <w:tabs>
          <w:tab w:val="clear" w:pos="720"/>
          <w:tab w:val="left" w:pos="810"/>
        </w:tabs>
        <w:spacing w:before="100" w:beforeAutospacing="1" w:after="100" w:afterAutospacing="1"/>
        <w:ind w:left="810" w:hanging="270"/>
        <w:rPr>
          <w:b/>
        </w:rPr>
      </w:pPr>
      <w:r w:rsidRPr="00321CE6">
        <w:rPr>
          <w:color w:val="FF0000"/>
          <w:spacing w:val="8"/>
          <w:sz w:val="24"/>
          <w:szCs w:val="24"/>
        </w:rPr>
        <w:t>The person must satisfy CE requirements as outlined in FINRA Rule 1240(c).</w:t>
      </w:r>
    </w:p>
    <w:p w14:paraId="05D37AEE" w14:textId="77777777" w:rsidR="00DD2CE1" w:rsidRDefault="00DD2CE1" w:rsidP="00186675">
      <w:pPr>
        <w:pStyle w:val="BodyText2"/>
        <w:widowControl/>
        <w:rPr>
          <w:b/>
        </w:rPr>
      </w:pPr>
    </w:p>
    <w:p w14:paraId="1D1FAF6A" w14:textId="77777777" w:rsidR="001A07C4" w:rsidRPr="009F1432" w:rsidRDefault="0089611A" w:rsidP="00936FEE">
      <w:pPr>
        <w:pStyle w:val="Heading2"/>
      </w:pPr>
      <w:bookmarkStart w:id="63" w:name="OfficeInspections"/>
      <w:bookmarkEnd w:id="63"/>
      <w:r w:rsidRPr="009F1432">
        <w:t>4.</w:t>
      </w:r>
      <w:r w:rsidR="00FD4858">
        <w:t>38</w:t>
      </w:r>
      <w:r w:rsidRPr="009F1432">
        <w:t xml:space="preserve"> Reporting </w:t>
      </w:r>
      <w:r w:rsidR="001A07C4" w:rsidRPr="009F1432">
        <w:t>Possible Law or Rule Violations</w:t>
      </w:r>
    </w:p>
    <w:p w14:paraId="63993CC3" w14:textId="77777777" w:rsidR="001A07C4" w:rsidRPr="009F1432" w:rsidRDefault="001A07C4" w:rsidP="002D3CFB">
      <w:pPr>
        <w:pStyle w:val="MRS"/>
        <w:jc w:val="left"/>
      </w:pPr>
      <w:r w:rsidRPr="009F1432">
        <w:t>It is the</w:t>
      </w:r>
      <w:r w:rsidR="008126A2" w:rsidRPr="009F1432">
        <w:t xml:space="preserve"> intent</w:t>
      </w:r>
      <w:r w:rsidRPr="009F1432">
        <w:t xml:space="preserve"> of the Company to adhere to all laws and regulations that apply to the organization and achieve the goal of legal compliance.  The support of all Associated Persons is necessary to achieve compliance.</w:t>
      </w:r>
    </w:p>
    <w:p w14:paraId="08BCFB15" w14:textId="77777777" w:rsidR="001A07C4" w:rsidRPr="009F1432" w:rsidRDefault="001A07C4" w:rsidP="002D3CFB">
      <w:pPr>
        <w:pStyle w:val="MRS"/>
        <w:jc w:val="left"/>
      </w:pPr>
    </w:p>
    <w:p w14:paraId="54F8F9DE" w14:textId="77777777" w:rsidR="001A07C4" w:rsidRPr="009F1432" w:rsidRDefault="001A07C4" w:rsidP="001A07C4">
      <w:pPr>
        <w:pStyle w:val="Heading3"/>
      </w:pPr>
      <w:r w:rsidRPr="009F1432">
        <w:t>4.</w:t>
      </w:r>
      <w:r w:rsidR="00FD4858">
        <w:t>38</w:t>
      </w:r>
      <w:r w:rsidRPr="009F1432">
        <w:t>.1 Reporting</w:t>
      </w:r>
    </w:p>
    <w:p w14:paraId="6E969E0D" w14:textId="77777777" w:rsidR="001A07C4" w:rsidRPr="009F1432" w:rsidRDefault="001A07C4" w:rsidP="001A07C4">
      <w:pPr>
        <w:pStyle w:val="MRS"/>
        <w:ind w:left="270"/>
        <w:jc w:val="left"/>
      </w:pPr>
      <w:r w:rsidRPr="009F1432">
        <w:t>Associated Persons should report possible crimes or rule violations involving the Company, a department, or an employee(s) as well as outside vendors or service providers.  Reporting may be made to any or all of the following, keeping in mind where the Associated Person’s supervisor may be involved with the possible wrongdoing.</w:t>
      </w:r>
    </w:p>
    <w:p w14:paraId="233A41D9" w14:textId="77777777" w:rsidR="001A07C4" w:rsidRPr="009F1432" w:rsidRDefault="001A07C4" w:rsidP="001A07C4">
      <w:pPr>
        <w:pStyle w:val="MRS"/>
        <w:ind w:left="270"/>
        <w:jc w:val="left"/>
      </w:pPr>
    </w:p>
    <w:p w14:paraId="0CFCF5AE" w14:textId="77777777" w:rsidR="001A07C4" w:rsidRPr="009F1432" w:rsidRDefault="001A07C4" w:rsidP="003E7B18">
      <w:pPr>
        <w:pStyle w:val="MRS"/>
        <w:numPr>
          <w:ilvl w:val="0"/>
          <w:numId w:val="137"/>
        </w:numPr>
        <w:jc w:val="left"/>
      </w:pPr>
      <w:r w:rsidRPr="009F1432">
        <w:t>Immediate supervisor</w:t>
      </w:r>
    </w:p>
    <w:p w14:paraId="5F69D180" w14:textId="77777777" w:rsidR="001A07C4" w:rsidRPr="009F1432" w:rsidRDefault="001A07C4" w:rsidP="003E7B18">
      <w:pPr>
        <w:pStyle w:val="MRS"/>
        <w:numPr>
          <w:ilvl w:val="0"/>
          <w:numId w:val="137"/>
        </w:numPr>
        <w:jc w:val="left"/>
      </w:pPr>
      <w:r w:rsidRPr="009F1432">
        <w:t>Morris Monroe</w:t>
      </w:r>
    </w:p>
    <w:p w14:paraId="79970BAA" w14:textId="77777777" w:rsidR="001A07C4" w:rsidRPr="009F1432" w:rsidRDefault="001A07C4" w:rsidP="003E7B18">
      <w:pPr>
        <w:pStyle w:val="MRS"/>
        <w:numPr>
          <w:ilvl w:val="0"/>
          <w:numId w:val="137"/>
        </w:numPr>
        <w:jc w:val="left"/>
      </w:pPr>
      <w:r w:rsidRPr="009F1432">
        <w:t>Laura Hendricks</w:t>
      </w:r>
    </w:p>
    <w:p w14:paraId="32A775BD" w14:textId="77777777" w:rsidR="001A07C4" w:rsidRPr="009F1432" w:rsidRDefault="001A07C4" w:rsidP="003E7B18">
      <w:pPr>
        <w:pStyle w:val="MRS"/>
        <w:numPr>
          <w:ilvl w:val="0"/>
          <w:numId w:val="137"/>
        </w:numPr>
        <w:jc w:val="left"/>
      </w:pPr>
      <w:r w:rsidRPr="009F1432">
        <w:t>Portia Brown (legal counsel)</w:t>
      </w:r>
    </w:p>
    <w:p w14:paraId="5D5CAC99" w14:textId="77777777" w:rsidR="001A07C4" w:rsidRPr="009F1432" w:rsidRDefault="001A07C4" w:rsidP="001A07C4">
      <w:pPr>
        <w:pStyle w:val="MRS"/>
        <w:jc w:val="left"/>
      </w:pPr>
    </w:p>
    <w:p w14:paraId="47565AB9" w14:textId="77777777" w:rsidR="001A07C4" w:rsidRPr="009F1432" w:rsidRDefault="00592BFC" w:rsidP="00592BFC">
      <w:pPr>
        <w:pStyle w:val="Heading3"/>
      </w:pPr>
      <w:r w:rsidRPr="009F1432">
        <w:lastRenderedPageBreak/>
        <w:t>4.</w:t>
      </w:r>
      <w:r w:rsidR="00FD4858">
        <w:t>38</w:t>
      </w:r>
      <w:r w:rsidRPr="009F1432">
        <w:t>.2</w:t>
      </w:r>
      <w:r w:rsidR="00321681" w:rsidRPr="009F1432">
        <w:t xml:space="preserve"> </w:t>
      </w:r>
      <w:r w:rsidR="001A07C4" w:rsidRPr="009F1432">
        <w:t>Confidentiality of Reporting</w:t>
      </w:r>
    </w:p>
    <w:p w14:paraId="56E34FAF" w14:textId="77777777" w:rsidR="0049472D" w:rsidRPr="009F1432" w:rsidRDefault="001A07C4" w:rsidP="001A07C4">
      <w:pPr>
        <w:pStyle w:val="MRS"/>
        <w:ind w:left="270"/>
        <w:jc w:val="left"/>
      </w:pPr>
      <w:r w:rsidRPr="009F1432">
        <w:t>All reports</w:t>
      </w:r>
      <w:r w:rsidR="0049472D" w:rsidRPr="009F1432">
        <w:t>,</w:t>
      </w:r>
      <w:r w:rsidRPr="009F1432">
        <w:t xml:space="preserve"> </w:t>
      </w:r>
      <w:r w:rsidR="0049472D" w:rsidRPr="009F1432">
        <w:t xml:space="preserve">as well as the Associated Person’s identity, </w:t>
      </w:r>
      <w:r w:rsidRPr="009F1432">
        <w:t xml:space="preserve">will be </w:t>
      </w:r>
      <w:r w:rsidR="0049472D" w:rsidRPr="009F1432">
        <w:t>kept</w:t>
      </w:r>
      <w:r w:rsidRPr="009F1432">
        <w:t xml:space="preserve"> confidential</w:t>
      </w:r>
      <w:r w:rsidR="0049472D" w:rsidRPr="009F1432">
        <w:t xml:space="preserve"> other than to those who need to know such as the compliance officer, counsel, or someone else conducting an investigation.  Any potential wrongdoer mentioned in the report will not be provided the name of the person who filed a report.</w:t>
      </w:r>
    </w:p>
    <w:p w14:paraId="6974DCAA" w14:textId="77777777" w:rsidR="0049472D" w:rsidRPr="009F1432" w:rsidRDefault="0049472D" w:rsidP="001A07C4">
      <w:pPr>
        <w:pStyle w:val="MRS"/>
        <w:ind w:left="270"/>
        <w:jc w:val="left"/>
      </w:pPr>
    </w:p>
    <w:p w14:paraId="43425BC5" w14:textId="77777777" w:rsidR="00592BFC" w:rsidRPr="009F1432" w:rsidRDefault="00592BFC" w:rsidP="00592BFC">
      <w:pPr>
        <w:pStyle w:val="Heading3"/>
      </w:pPr>
      <w:r w:rsidRPr="009F1432">
        <w:t>4.</w:t>
      </w:r>
      <w:r w:rsidR="00FD4858">
        <w:t>38</w:t>
      </w:r>
      <w:r w:rsidRPr="009F1432">
        <w:t>.3 Investigation</w:t>
      </w:r>
    </w:p>
    <w:p w14:paraId="63C771A0" w14:textId="77777777" w:rsidR="00367007" w:rsidRPr="009F1432" w:rsidRDefault="00971C0C" w:rsidP="00592BFC">
      <w:pPr>
        <w:pStyle w:val="MRS"/>
        <w:ind w:left="270"/>
        <w:jc w:val="left"/>
      </w:pPr>
      <w:r w:rsidRPr="009F1432">
        <w:t xml:space="preserve">A supervisor or other manager who receives a report of possible violations should immediately refer to Morris Monroe or Laura Hendricks who will be responsible for conducting an investigation and overseeing the review until its conclusion, including potential reporting to any regulator.  If either Morris Monroe or Laura Hendricks are involved in the potential wrongdoing, either the supervisor it was reported to or Portia Brown will be responsible for conducting the investigation.  The reported wrongdoing will be investigated promptly and determine what action is required.  Outside counsel may also be engaged as part of the investigation.  </w:t>
      </w:r>
      <w:r w:rsidR="00367007" w:rsidRPr="009F1432">
        <w:t xml:space="preserve">The reporting Associated Person may be advised of the conclusion and resolution of the investigation.  </w:t>
      </w:r>
    </w:p>
    <w:p w14:paraId="755EF7E4" w14:textId="77777777" w:rsidR="00367007" w:rsidRPr="009F1432" w:rsidRDefault="00367007" w:rsidP="00592BFC">
      <w:pPr>
        <w:pStyle w:val="MRS"/>
        <w:ind w:left="270"/>
        <w:jc w:val="left"/>
      </w:pPr>
    </w:p>
    <w:p w14:paraId="5758CDD4" w14:textId="77777777" w:rsidR="00367007" w:rsidRPr="009F1432" w:rsidRDefault="00367007" w:rsidP="00367007">
      <w:pPr>
        <w:pStyle w:val="Heading3"/>
        <w:jc w:val="left"/>
      </w:pPr>
      <w:r w:rsidRPr="009F1432">
        <w:t>4.</w:t>
      </w:r>
      <w:r w:rsidR="00FD4858">
        <w:t>38</w:t>
      </w:r>
      <w:r w:rsidRPr="009F1432">
        <w:t>.4 Anti-Retaliation</w:t>
      </w:r>
    </w:p>
    <w:p w14:paraId="04DD1C5B" w14:textId="77777777" w:rsidR="00B5074F" w:rsidRPr="009F1432" w:rsidRDefault="00367007" w:rsidP="00367007">
      <w:pPr>
        <w:ind w:left="270"/>
        <w:rPr>
          <w:sz w:val="24"/>
          <w:szCs w:val="24"/>
        </w:rPr>
      </w:pPr>
      <w:r w:rsidRPr="009F1432">
        <w:rPr>
          <w:sz w:val="24"/>
          <w:szCs w:val="24"/>
        </w:rPr>
        <w:t>Company will not retaliate against an Associated Person who reports some practice of the Company, a department, another Associated Person or other individual(s) of another or entity the Company has a business relationship</w:t>
      </w:r>
      <w:r w:rsidR="00B5074F" w:rsidRPr="009F1432">
        <w:rPr>
          <w:sz w:val="24"/>
          <w:szCs w:val="24"/>
        </w:rPr>
        <w:t xml:space="preserve"> with that may represent a rule or law violation.  The Company will not retaliate against such Associated Persons who disclose or threaten to disclose any potential wrongdoing activity to the Company or regulator.</w:t>
      </w:r>
    </w:p>
    <w:p w14:paraId="31957679" w14:textId="77777777" w:rsidR="00B5074F" w:rsidRPr="009F1432" w:rsidRDefault="00B5074F" w:rsidP="00367007">
      <w:pPr>
        <w:ind w:left="270"/>
        <w:rPr>
          <w:sz w:val="24"/>
          <w:szCs w:val="24"/>
        </w:rPr>
      </w:pPr>
    </w:p>
    <w:p w14:paraId="4DEEC843" w14:textId="77777777" w:rsidR="008667E7" w:rsidRPr="00596EEE" w:rsidRDefault="00B5074F" w:rsidP="00596EEE">
      <w:pPr>
        <w:pStyle w:val="Heading3"/>
        <w:rPr>
          <w:rStyle w:val="Heading2Char"/>
          <w:b/>
        </w:rPr>
      </w:pPr>
      <w:r w:rsidRPr="00596EEE">
        <w:rPr>
          <w:rStyle w:val="Heading2Char"/>
          <w:b/>
        </w:rPr>
        <w:t>4.</w:t>
      </w:r>
      <w:r w:rsidR="00FD4858">
        <w:rPr>
          <w:rStyle w:val="Heading2Char"/>
          <w:b/>
        </w:rPr>
        <w:t>38</w:t>
      </w:r>
      <w:r w:rsidRPr="00596EEE">
        <w:rPr>
          <w:rStyle w:val="Heading2Char"/>
          <w:b/>
        </w:rPr>
        <w:t>.5 Federal Whistleblower Laws and Rules</w:t>
      </w:r>
    </w:p>
    <w:p w14:paraId="5C85970B" w14:textId="77777777" w:rsidR="00D158E5" w:rsidRDefault="00B5074F" w:rsidP="00647E36">
      <w:pPr>
        <w:ind w:left="270"/>
        <w:rPr>
          <w:sz w:val="24"/>
          <w:szCs w:val="24"/>
        </w:rPr>
      </w:pPr>
      <w:r w:rsidRPr="009F1432">
        <w:rPr>
          <w:sz w:val="24"/>
          <w:szCs w:val="24"/>
        </w:rPr>
        <w:t xml:space="preserve">The SEC Act includes Sec 21F and has adopted Rule 21F that provides for the reporting of possible </w:t>
      </w:r>
      <w:r w:rsidR="00D158E5" w:rsidRPr="009F1432">
        <w:rPr>
          <w:sz w:val="24"/>
          <w:szCs w:val="24"/>
        </w:rPr>
        <w:t>violation of federal securities laws and potential rewards for information that leads to successful enforcement of a covered judicial or administrative action where monetary sanctions equal $1,000,000 or more.  The Sarbanes-Oxley Act of 2002 (which governs public companies) and the Foreign Corrupt Practices Act (FCPA) also have whistleblower provisions.</w:t>
      </w:r>
    </w:p>
    <w:p w14:paraId="0C005FA2" w14:textId="77777777" w:rsidR="00614695" w:rsidRDefault="00614695">
      <w:pPr>
        <w:rPr>
          <w:sz w:val="24"/>
          <w:szCs w:val="24"/>
        </w:rPr>
      </w:pPr>
      <w:r>
        <w:rPr>
          <w:sz w:val="24"/>
          <w:szCs w:val="24"/>
        </w:rPr>
        <w:br w:type="page"/>
      </w:r>
    </w:p>
    <w:p w14:paraId="05618D24" w14:textId="77777777" w:rsidR="008A7968" w:rsidRPr="00614695" w:rsidRDefault="008A7968" w:rsidP="00647E36">
      <w:pPr>
        <w:ind w:left="270"/>
        <w:rPr>
          <w:sz w:val="12"/>
          <w:szCs w:val="24"/>
        </w:rPr>
      </w:pPr>
    </w:p>
    <w:p w14:paraId="0A7055E7" w14:textId="77777777" w:rsidR="008A4044" w:rsidRDefault="008A4044" w:rsidP="008A4044">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64" w:name="CustomerRelations"/>
    </w:p>
    <w:p w14:paraId="129C3EC3" w14:textId="77777777" w:rsidR="00660CEE" w:rsidRDefault="00186675" w:rsidP="00660CEE">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65" w:name="_Toc535916168"/>
      <w:bookmarkStart w:id="66" w:name="_Toc227820418"/>
      <w:bookmarkStart w:id="67" w:name="_Toc227821700"/>
      <w:bookmarkStart w:id="68" w:name="_Toc227821819"/>
      <w:r>
        <w:t>5</w:t>
      </w:r>
      <w:r w:rsidR="008A4044">
        <w:t>.</w:t>
      </w:r>
      <w:r w:rsidR="00FE3A30">
        <w:t xml:space="preserve">   </w:t>
      </w:r>
      <w:r w:rsidR="000C099C" w:rsidRPr="00D02250">
        <w:t>CUSTOMER</w:t>
      </w:r>
      <w:r w:rsidR="008A4044" w:rsidRPr="00D02250">
        <w:t xml:space="preserve"> </w:t>
      </w:r>
      <w:r w:rsidR="00660CEE">
        <w:t>ACCOUNTS</w:t>
      </w:r>
      <w:bookmarkEnd w:id="65"/>
    </w:p>
    <w:p w14:paraId="0F206907" w14:textId="77777777" w:rsidR="00660CEE" w:rsidRDefault="00660CEE" w:rsidP="00660CEE">
      <w:pPr>
        <w:pStyle w:val="Heading1"/>
        <w:pBdr>
          <w:top w:val="double" w:sz="12" w:space="1" w:color="000099"/>
          <w:left w:val="double" w:sz="12" w:space="4" w:color="000099"/>
          <w:bottom w:val="double" w:sz="12" w:space="1" w:color="000099"/>
          <w:right w:val="double" w:sz="12" w:space="4" w:color="000099"/>
        </w:pBdr>
        <w:shd w:val="pct10" w:color="0000FF" w:fill="auto"/>
        <w:jc w:val="center"/>
      </w:pPr>
    </w:p>
    <w:bookmarkEnd w:id="66"/>
    <w:bookmarkEnd w:id="67"/>
    <w:bookmarkEnd w:id="68"/>
    <w:p w14:paraId="6969EF22" w14:textId="77777777" w:rsidR="00660CEE" w:rsidRPr="00660CEE" w:rsidRDefault="00660CEE" w:rsidP="00660CEE"/>
    <w:bookmarkEnd w:id="64"/>
    <w:p w14:paraId="2007D108" w14:textId="77777777" w:rsidR="000C099C" w:rsidRDefault="000C099C">
      <w:pPr>
        <w:jc w:val="both"/>
        <w:rPr>
          <w:sz w:val="24"/>
        </w:rPr>
      </w:pPr>
    </w:p>
    <w:p w14:paraId="66EAE609" w14:textId="77777777" w:rsidR="007C6877" w:rsidRPr="00AB363C" w:rsidRDefault="00D114C8" w:rsidP="00936FEE">
      <w:pPr>
        <w:pStyle w:val="Heading2"/>
      </w:pPr>
      <w:r w:rsidRPr="00AB363C">
        <w:t>5.1</w:t>
      </w:r>
      <w:r w:rsidR="00DE013D" w:rsidRPr="00AB363C">
        <w:t xml:space="preserve"> </w:t>
      </w:r>
      <w:r w:rsidRPr="00AB363C">
        <w:t>Introduction</w:t>
      </w:r>
    </w:p>
    <w:p w14:paraId="5C87E812" w14:textId="45A9BEFA" w:rsidR="00D114C8" w:rsidRDefault="00D114C8" w:rsidP="00D114C8">
      <w:pPr>
        <w:jc w:val="both"/>
        <w:rPr>
          <w:sz w:val="24"/>
        </w:rPr>
      </w:pPr>
      <w:r>
        <w:rPr>
          <w:sz w:val="24"/>
        </w:rPr>
        <w:t>The Company is an introducing broker</w:t>
      </w:r>
      <w:r w:rsidR="00582050" w:rsidRPr="00424F51">
        <w:rPr>
          <w:sz w:val="24"/>
        </w:rPr>
        <w:t xml:space="preserve">/dealer </w:t>
      </w:r>
      <w:r w:rsidRPr="00424F51">
        <w:rPr>
          <w:sz w:val="24"/>
        </w:rPr>
        <w:t xml:space="preserve">and as such, utilizes the clearing firm, </w:t>
      </w:r>
      <w:r w:rsidR="00623909" w:rsidRPr="006D5CDF">
        <w:rPr>
          <w:sz w:val="24"/>
        </w:rPr>
        <w:t>Hilltop Securities</w:t>
      </w:r>
      <w:r w:rsidRPr="006D5CDF">
        <w:rPr>
          <w:sz w:val="24"/>
        </w:rPr>
        <w:t xml:space="preserve">. </w:t>
      </w:r>
      <w:r w:rsidR="007A4F8F" w:rsidRPr="006D5CDF">
        <w:rPr>
          <w:sz w:val="24"/>
        </w:rPr>
        <w:t>(“</w:t>
      </w:r>
      <w:r w:rsidR="00623909" w:rsidRPr="006D5CDF">
        <w:rPr>
          <w:sz w:val="24"/>
        </w:rPr>
        <w:t>HTS</w:t>
      </w:r>
      <w:r w:rsidR="007A4F8F" w:rsidRPr="006D5CDF">
        <w:rPr>
          <w:sz w:val="24"/>
        </w:rPr>
        <w:t xml:space="preserve">”) </w:t>
      </w:r>
      <w:r w:rsidRPr="006D5CDF">
        <w:rPr>
          <w:sz w:val="24"/>
        </w:rPr>
        <w:t xml:space="preserve">on a fully disclosed basis.  Accordingly, the Company has on file a clearing agreement with </w:t>
      </w:r>
      <w:r w:rsidR="008C0C72" w:rsidRPr="006D5CDF">
        <w:rPr>
          <w:sz w:val="24"/>
        </w:rPr>
        <w:t>HTS</w:t>
      </w:r>
      <w:r w:rsidRPr="006D5CDF">
        <w:rPr>
          <w:sz w:val="24"/>
        </w:rPr>
        <w:t xml:space="preserve">.  As such, each customer who opens an account through </w:t>
      </w:r>
      <w:r w:rsidR="008C0C72" w:rsidRPr="006D5CDF">
        <w:rPr>
          <w:sz w:val="24"/>
        </w:rPr>
        <w:t>HTS</w:t>
      </w:r>
      <w:r w:rsidRPr="006D5CDF">
        <w:rPr>
          <w:sz w:val="24"/>
        </w:rPr>
        <w:t xml:space="preserve"> will be notified in writing upon the opening of the account of the existence of the clearing agreement between the Company and the clearing firm.  </w:t>
      </w:r>
      <w:r w:rsidR="00582050" w:rsidRPr="006D5CDF">
        <w:rPr>
          <w:sz w:val="24"/>
        </w:rPr>
        <w:t xml:space="preserve">This is accomplished through the </w:t>
      </w:r>
      <w:r w:rsidR="008C0C72" w:rsidRPr="006D5CDF">
        <w:rPr>
          <w:sz w:val="24"/>
        </w:rPr>
        <w:t>HTS</w:t>
      </w:r>
      <w:r w:rsidR="00582050" w:rsidRPr="006D5CDF">
        <w:rPr>
          <w:sz w:val="24"/>
        </w:rPr>
        <w:t xml:space="preserve"> Customer Information Brochure given to new </w:t>
      </w:r>
      <w:r w:rsidR="008C0C72" w:rsidRPr="006D5CDF">
        <w:rPr>
          <w:sz w:val="24"/>
        </w:rPr>
        <w:t>HTS</w:t>
      </w:r>
      <w:r w:rsidR="00582050" w:rsidRPr="006D5CDF">
        <w:rPr>
          <w:sz w:val="24"/>
        </w:rPr>
        <w:t xml:space="preserve"> customers. </w:t>
      </w:r>
    </w:p>
    <w:p w14:paraId="1C106892" w14:textId="3C886428" w:rsidR="007E4377" w:rsidRDefault="007E4377" w:rsidP="00D114C8">
      <w:pPr>
        <w:jc w:val="both"/>
        <w:rPr>
          <w:sz w:val="24"/>
        </w:rPr>
      </w:pPr>
    </w:p>
    <w:p w14:paraId="5777386F" w14:textId="78CC7309" w:rsidR="007E4377" w:rsidRPr="00482C40" w:rsidRDefault="007E4377" w:rsidP="00D114C8">
      <w:pPr>
        <w:jc w:val="both"/>
        <w:rPr>
          <w:sz w:val="24"/>
          <w:szCs w:val="24"/>
        </w:rPr>
      </w:pPr>
      <w:r w:rsidRPr="00482C40">
        <w:rPr>
          <w:spacing w:val="8"/>
          <w:sz w:val="24"/>
          <w:szCs w:val="24"/>
          <w:shd w:val="clear" w:color="auto" w:fill="FFFFFF"/>
        </w:rPr>
        <w:t>This chapter outlines requirements when opening and maintaining accounts for customers. References to "suitability" apply only to those recommendations NOT subject to Regulation Best Interest (BI) which applies to retail customers and is addressed in a separate chapter by that name. Suitability requirements apply to entities and institutions (</w:t>
      </w:r>
      <w:r w:rsidRPr="00482C40">
        <w:rPr>
          <w:i/>
          <w:iCs/>
          <w:spacing w:val="8"/>
          <w:sz w:val="24"/>
          <w:szCs w:val="24"/>
          <w:shd w:val="clear" w:color="auto" w:fill="FFFFFF"/>
        </w:rPr>
        <w:t>e.g.,</w:t>
      </w:r>
      <w:r w:rsidRPr="00482C40">
        <w:rPr>
          <w:spacing w:val="8"/>
          <w:sz w:val="24"/>
          <w:szCs w:val="24"/>
          <w:shd w:val="clear" w:color="auto" w:fill="FFFFFF"/>
        </w:rPr>
        <w:t> pension funds) and natural persons who will not use recommendations primarily for personal, family, or household purposes (</w:t>
      </w:r>
      <w:r w:rsidRPr="00482C40">
        <w:rPr>
          <w:i/>
          <w:iCs/>
          <w:spacing w:val="8"/>
          <w:sz w:val="24"/>
          <w:szCs w:val="24"/>
          <w:shd w:val="clear" w:color="auto" w:fill="FFFFFF"/>
        </w:rPr>
        <w:t>e.g.,</w:t>
      </w:r>
      <w:r w:rsidRPr="00482C40">
        <w:rPr>
          <w:spacing w:val="8"/>
          <w:sz w:val="24"/>
          <w:szCs w:val="24"/>
          <w:shd w:val="clear" w:color="auto" w:fill="FFFFFF"/>
        </w:rPr>
        <w:t> small business owners and charitable trusts). Refer to the Section 5.7 </w:t>
      </w:r>
      <w:r w:rsidRPr="00482C40">
        <w:rPr>
          <w:i/>
          <w:iCs/>
          <w:spacing w:val="8"/>
          <w:sz w:val="24"/>
          <w:szCs w:val="24"/>
          <w:shd w:val="clear" w:color="auto" w:fill="FFFFFF"/>
        </w:rPr>
        <w:t>REGULATION BEST INTEREST (BI)</w:t>
      </w:r>
      <w:r w:rsidRPr="00482C40">
        <w:rPr>
          <w:spacing w:val="8"/>
          <w:sz w:val="24"/>
          <w:szCs w:val="24"/>
          <w:shd w:val="clear" w:color="auto" w:fill="FFFFFF"/>
        </w:rPr>
        <w:t> for requirements when dealing with retail customers.</w:t>
      </w:r>
    </w:p>
    <w:p w14:paraId="64DEDD98" w14:textId="77777777" w:rsidR="00D114C8" w:rsidRPr="00424F51" w:rsidRDefault="00D114C8" w:rsidP="007C6877">
      <w:pPr>
        <w:jc w:val="both"/>
        <w:rPr>
          <w:b/>
          <w:sz w:val="24"/>
        </w:rPr>
      </w:pPr>
    </w:p>
    <w:p w14:paraId="54E7EF01" w14:textId="77777777" w:rsidR="00AB363C" w:rsidRDefault="00AB363C" w:rsidP="00626DA3">
      <w:bookmarkStart w:id="69" w:name="FullyDiscl"/>
      <w:bookmarkEnd w:id="69"/>
    </w:p>
    <w:p w14:paraId="60C8CA95" w14:textId="77777777" w:rsidR="00296117" w:rsidRPr="00AB363C" w:rsidRDefault="00D114C8" w:rsidP="00936FEE">
      <w:pPr>
        <w:pStyle w:val="Heading2"/>
      </w:pPr>
      <w:r w:rsidRPr="00AB363C">
        <w:t>5.2</w:t>
      </w:r>
      <w:r w:rsidR="00121BAC">
        <w:t xml:space="preserve"> </w:t>
      </w:r>
      <w:r w:rsidR="00296117" w:rsidRPr="00AB363C">
        <w:t>Compliance Chart</w:t>
      </w:r>
    </w:p>
    <w:tbl>
      <w:tblPr>
        <w:tblW w:w="5459" w:type="pct"/>
        <w:tblCellSpacing w:w="0" w:type="dxa"/>
        <w:tblInd w:w="-57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48"/>
        <w:gridCol w:w="8275"/>
      </w:tblGrid>
      <w:tr w:rsidR="00296117" w:rsidRPr="003B7614" w14:paraId="5781E8B7" w14:textId="77777777">
        <w:trPr>
          <w:tblCellSpacing w:w="0" w:type="dxa"/>
        </w:trPr>
        <w:tc>
          <w:tcPr>
            <w:tcW w:w="913" w:type="pct"/>
            <w:tcBorders>
              <w:top w:val="outset" w:sz="6" w:space="0" w:color="auto"/>
              <w:left w:val="outset" w:sz="6" w:space="0" w:color="auto"/>
              <w:bottom w:val="outset" w:sz="6" w:space="0" w:color="auto"/>
              <w:right w:val="outset" w:sz="6" w:space="0" w:color="auto"/>
            </w:tcBorders>
            <w:vAlign w:val="center"/>
          </w:tcPr>
          <w:p w14:paraId="1210B270" w14:textId="77777777" w:rsidR="00296117" w:rsidRPr="003B7614" w:rsidRDefault="00296117" w:rsidP="00296117">
            <w:pPr>
              <w:jc w:val="center"/>
              <w:rPr>
                <w:b/>
                <w:bCs/>
                <w:color w:val="000000"/>
                <w:sz w:val="24"/>
                <w:szCs w:val="24"/>
              </w:rPr>
            </w:pPr>
            <w:r w:rsidRPr="003B7614">
              <w:rPr>
                <w:b/>
                <w:bCs/>
                <w:color w:val="000000"/>
                <w:sz w:val="24"/>
                <w:szCs w:val="24"/>
              </w:rPr>
              <w:t>Responsibility</w:t>
            </w:r>
          </w:p>
        </w:tc>
        <w:tc>
          <w:tcPr>
            <w:tcW w:w="4087" w:type="pct"/>
            <w:tcBorders>
              <w:top w:val="outset" w:sz="6" w:space="0" w:color="auto"/>
              <w:left w:val="outset" w:sz="6" w:space="0" w:color="auto"/>
              <w:bottom w:val="outset" w:sz="6" w:space="0" w:color="auto"/>
              <w:right w:val="outset" w:sz="6" w:space="0" w:color="auto"/>
            </w:tcBorders>
            <w:vAlign w:val="center"/>
          </w:tcPr>
          <w:p w14:paraId="259A3347" w14:textId="77777777" w:rsidR="00296117" w:rsidRPr="003B7614" w:rsidRDefault="00296117" w:rsidP="00C1728B">
            <w:pPr>
              <w:numPr>
                <w:ilvl w:val="0"/>
                <w:numId w:val="55"/>
              </w:numPr>
              <w:rPr>
                <w:color w:val="000000"/>
                <w:sz w:val="24"/>
                <w:szCs w:val="24"/>
              </w:rPr>
            </w:pPr>
            <w:r w:rsidRPr="003B7614">
              <w:rPr>
                <w:color w:val="000000"/>
                <w:sz w:val="24"/>
                <w:szCs w:val="24"/>
              </w:rPr>
              <w:t>Designated Supervisor</w:t>
            </w:r>
          </w:p>
          <w:p w14:paraId="27ADF44D" w14:textId="77777777" w:rsidR="00296117" w:rsidRPr="003B7614" w:rsidRDefault="008A2A6F" w:rsidP="00C1728B">
            <w:pPr>
              <w:numPr>
                <w:ilvl w:val="0"/>
                <w:numId w:val="55"/>
              </w:numPr>
              <w:rPr>
                <w:color w:val="000000"/>
                <w:sz w:val="24"/>
                <w:szCs w:val="24"/>
              </w:rPr>
            </w:pPr>
            <w:r w:rsidRPr="003B7614">
              <w:rPr>
                <w:color w:val="000000"/>
                <w:sz w:val="24"/>
                <w:szCs w:val="24"/>
              </w:rPr>
              <w:t>Compliance Review</w:t>
            </w:r>
          </w:p>
        </w:tc>
      </w:tr>
      <w:tr w:rsidR="00E57FE6" w:rsidRPr="003B7614" w14:paraId="538AA5C5" w14:textId="77777777">
        <w:trPr>
          <w:tblCellSpacing w:w="0" w:type="dxa"/>
        </w:trPr>
        <w:tc>
          <w:tcPr>
            <w:tcW w:w="913" w:type="pct"/>
            <w:tcBorders>
              <w:top w:val="outset" w:sz="6" w:space="0" w:color="auto"/>
              <w:left w:val="outset" w:sz="6" w:space="0" w:color="auto"/>
              <w:bottom w:val="outset" w:sz="6" w:space="0" w:color="auto"/>
              <w:right w:val="outset" w:sz="6" w:space="0" w:color="auto"/>
            </w:tcBorders>
            <w:vAlign w:val="center"/>
          </w:tcPr>
          <w:p w14:paraId="2DC99DE8" w14:textId="77777777" w:rsidR="00E57FE6" w:rsidRPr="003B7614" w:rsidRDefault="00E57FE6" w:rsidP="00296117">
            <w:pPr>
              <w:jc w:val="center"/>
              <w:rPr>
                <w:b/>
                <w:bCs/>
                <w:color w:val="000000"/>
                <w:sz w:val="24"/>
                <w:szCs w:val="24"/>
              </w:rPr>
            </w:pPr>
            <w:r w:rsidRPr="003B7614">
              <w:rPr>
                <w:b/>
                <w:bCs/>
                <w:color w:val="000000"/>
                <w:sz w:val="24"/>
                <w:szCs w:val="24"/>
              </w:rPr>
              <w:t>Statutes</w:t>
            </w:r>
          </w:p>
        </w:tc>
        <w:tc>
          <w:tcPr>
            <w:tcW w:w="4087" w:type="pct"/>
            <w:tcBorders>
              <w:top w:val="outset" w:sz="6" w:space="0" w:color="auto"/>
              <w:left w:val="outset" w:sz="6" w:space="0" w:color="auto"/>
              <w:bottom w:val="outset" w:sz="6" w:space="0" w:color="auto"/>
              <w:right w:val="outset" w:sz="6" w:space="0" w:color="auto"/>
            </w:tcBorders>
            <w:vAlign w:val="center"/>
          </w:tcPr>
          <w:p w14:paraId="2ABB9690" w14:textId="77777777" w:rsidR="00E57FE6" w:rsidRPr="003B7614" w:rsidRDefault="00E57FE6" w:rsidP="00C1728B">
            <w:pPr>
              <w:numPr>
                <w:ilvl w:val="0"/>
                <w:numId w:val="56"/>
              </w:numPr>
              <w:rPr>
                <w:color w:val="000000"/>
                <w:sz w:val="24"/>
                <w:szCs w:val="24"/>
              </w:rPr>
            </w:pPr>
            <w:r w:rsidRPr="003B7614">
              <w:rPr>
                <w:color w:val="000000"/>
                <w:sz w:val="24"/>
                <w:szCs w:val="24"/>
              </w:rPr>
              <w:t>SEC Rule 17a-3(a)(17)</w:t>
            </w:r>
          </w:p>
          <w:p w14:paraId="798BDE83" w14:textId="5674B15D" w:rsidR="00E278B2" w:rsidRPr="003B7614" w:rsidRDefault="00E278B2" w:rsidP="00C1728B">
            <w:pPr>
              <w:numPr>
                <w:ilvl w:val="0"/>
                <w:numId w:val="56"/>
              </w:numPr>
              <w:rPr>
                <w:color w:val="000000"/>
                <w:sz w:val="24"/>
                <w:szCs w:val="24"/>
              </w:rPr>
            </w:pPr>
            <w:r w:rsidRPr="003B7614">
              <w:rPr>
                <w:color w:val="000000"/>
                <w:sz w:val="24"/>
                <w:szCs w:val="24"/>
              </w:rPr>
              <w:t xml:space="preserve">US Patriot Act – Identity, Private Banking, Foreign </w:t>
            </w:r>
            <w:proofErr w:type="spellStart"/>
            <w:r w:rsidRPr="003B7614">
              <w:rPr>
                <w:color w:val="000000"/>
                <w:sz w:val="24"/>
                <w:szCs w:val="24"/>
              </w:rPr>
              <w:t>Corresp</w:t>
            </w:r>
            <w:proofErr w:type="spellEnd"/>
            <w:r w:rsidR="00F70B22">
              <w:rPr>
                <w:color w:val="000000"/>
                <w:sz w:val="24"/>
                <w:szCs w:val="24"/>
              </w:rPr>
              <w:t>.</w:t>
            </w:r>
            <w:r w:rsidRPr="003B7614">
              <w:rPr>
                <w:color w:val="000000"/>
                <w:sz w:val="24"/>
                <w:szCs w:val="24"/>
              </w:rPr>
              <w:t xml:space="preserve"> Accts</w:t>
            </w:r>
          </w:p>
          <w:p w14:paraId="05E43D62" w14:textId="77777777" w:rsidR="00E57FE6" w:rsidRPr="003B7614" w:rsidRDefault="00E57FE6" w:rsidP="00C1728B">
            <w:pPr>
              <w:numPr>
                <w:ilvl w:val="0"/>
                <w:numId w:val="56"/>
              </w:numPr>
              <w:rPr>
                <w:color w:val="000000"/>
                <w:sz w:val="24"/>
                <w:szCs w:val="24"/>
              </w:rPr>
            </w:pPr>
            <w:r w:rsidRPr="003B7614">
              <w:rPr>
                <w:color w:val="000000"/>
                <w:sz w:val="24"/>
                <w:szCs w:val="24"/>
              </w:rPr>
              <w:t>FINRA Rules 2310 and 3010(c)</w:t>
            </w:r>
          </w:p>
          <w:p w14:paraId="20137A66" w14:textId="77777777" w:rsidR="00810E0A" w:rsidRPr="009F1432" w:rsidRDefault="00810E0A" w:rsidP="00C1728B">
            <w:pPr>
              <w:numPr>
                <w:ilvl w:val="0"/>
                <w:numId w:val="56"/>
              </w:numPr>
              <w:rPr>
                <w:sz w:val="24"/>
                <w:szCs w:val="24"/>
              </w:rPr>
            </w:pPr>
            <w:r w:rsidRPr="003B7614">
              <w:rPr>
                <w:color w:val="000000"/>
                <w:sz w:val="24"/>
                <w:szCs w:val="24"/>
              </w:rPr>
              <w:t>'34 Act Rule 17a-3(17)(</w:t>
            </w:r>
            <w:proofErr w:type="spellStart"/>
            <w:r w:rsidRPr="003B7614">
              <w:rPr>
                <w:color w:val="000000"/>
                <w:sz w:val="24"/>
                <w:szCs w:val="24"/>
              </w:rPr>
              <w:t>i</w:t>
            </w:r>
            <w:proofErr w:type="spellEnd"/>
            <w:r w:rsidRPr="003B7614">
              <w:rPr>
                <w:color w:val="000000"/>
                <w:sz w:val="24"/>
                <w:szCs w:val="24"/>
              </w:rPr>
              <w:t xml:space="preserve">)(A); FINRA Rules 2310(b) and </w:t>
            </w:r>
            <w:r w:rsidR="00972FB7" w:rsidRPr="009F1432">
              <w:rPr>
                <w:sz w:val="24"/>
                <w:szCs w:val="24"/>
              </w:rPr>
              <w:t>451</w:t>
            </w:r>
            <w:r w:rsidR="0041540B" w:rsidRPr="009F1432">
              <w:rPr>
                <w:sz w:val="24"/>
                <w:szCs w:val="24"/>
              </w:rPr>
              <w:t>2</w:t>
            </w:r>
            <w:r w:rsidRPr="009F1432">
              <w:rPr>
                <w:sz w:val="24"/>
                <w:szCs w:val="24"/>
              </w:rPr>
              <w:t xml:space="preserve"> </w:t>
            </w:r>
            <w:r w:rsidR="0041540B" w:rsidRPr="009F1432">
              <w:rPr>
                <w:sz w:val="24"/>
                <w:szCs w:val="24"/>
              </w:rPr>
              <w:t>–</w:t>
            </w:r>
            <w:r w:rsidRPr="009F1432">
              <w:rPr>
                <w:sz w:val="24"/>
                <w:szCs w:val="24"/>
              </w:rPr>
              <w:t xml:space="preserve"> </w:t>
            </w:r>
            <w:r w:rsidR="0041540B" w:rsidRPr="009F1432">
              <w:rPr>
                <w:sz w:val="24"/>
                <w:szCs w:val="24"/>
              </w:rPr>
              <w:t xml:space="preserve">Account Information and </w:t>
            </w:r>
            <w:r w:rsidRPr="009F1432">
              <w:rPr>
                <w:sz w:val="24"/>
                <w:szCs w:val="24"/>
              </w:rPr>
              <w:t>Approval</w:t>
            </w:r>
          </w:p>
          <w:p w14:paraId="264B4B76" w14:textId="77777777" w:rsidR="00E57FE6" w:rsidRPr="009F1432" w:rsidRDefault="00E57FE6" w:rsidP="00C1728B">
            <w:pPr>
              <w:numPr>
                <w:ilvl w:val="0"/>
                <w:numId w:val="56"/>
              </w:numPr>
              <w:rPr>
                <w:sz w:val="24"/>
                <w:szCs w:val="24"/>
              </w:rPr>
            </w:pPr>
            <w:r w:rsidRPr="009F1432">
              <w:rPr>
                <w:sz w:val="24"/>
                <w:szCs w:val="24"/>
              </w:rPr>
              <w:t>FINRA Rules 3010(c)(1)(A) and (B) and 3010(c)(3)(C)</w:t>
            </w:r>
          </w:p>
          <w:p w14:paraId="319AAE62" w14:textId="77777777" w:rsidR="00036EDB" w:rsidRPr="009F1432" w:rsidRDefault="00036EDB" w:rsidP="00C1728B">
            <w:pPr>
              <w:numPr>
                <w:ilvl w:val="0"/>
                <w:numId w:val="56"/>
              </w:numPr>
              <w:rPr>
                <w:sz w:val="24"/>
                <w:szCs w:val="24"/>
              </w:rPr>
            </w:pPr>
            <w:r w:rsidRPr="009F1432">
              <w:rPr>
                <w:sz w:val="24"/>
                <w:szCs w:val="24"/>
              </w:rPr>
              <w:t>FINRA Rule 2262 – Control Relationship</w:t>
            </w:r>
          </w:p>
          <w:p w14:paraId="1620A824" w14:textId="77777777" w:rsidR="00036EDB" w:rsidRPr="009F1432" w:rsidRDefault="00036EDB" w:rsidP="00C1728B">
            <w:pPr>
              <w:numPr>
                <w:ilvl w:val="0"/>
                <w:numId w:val="56"/>
              </w:numPr>
              <w:rPr>
                <w:sz w:val="24"/>
                <w:szCs w:val="24"/>
              </w:rPr>
            </w:pPr>
            <w:r w:rsidRPr="009F1432">
              <w:rPr>
                <w:sz w:val="24"/>
                <w:szCs w:val="24"/>
              </w:rPr>
              <w:t>FINRA Rule 2264 – Margin Disclosure</w:t>
            </w:r>
          </w:p>
          <w:p w14:paraId="7DDF2BF1" w14:textId="77777777" w:rsidR="00810E0A" w:rsidRPr="009F1432" w:rsidRDefault="00810E0A" w:rsidP="00C1728B">
            <w:pPr>
              <w:numPr>
                <w:ilvl w:val="0"/>
                <w:numId w:val="56"/>
              </w:numPr>
              <w:rPr>
                <w:sz w:val="24"/>
                <w:szCs w:val="24"/>
              </w:rPr>
            </w:pPr>
            <w:r w:rsidRPr="009F1432">
              <w:rPr>
                <w:sz w:val="24"/>
                <w:szCs w:val="24"/>
              </w:rPr>
              <w:t>FINRA Rule 2</w:t>
            </w:r>
            <w:r w:rsidR="00990A11" w:rsidRPr="009F1432">
              <w:rPr>
                <w:sz w:val="24"/>
                <w:szCs w:val="24"/>
              </w:rPr>
              <w:t>266</w:t>
            </w:r>
            <w:r w:rsidRPr="009F1432">
              <w:rPr>
                <w:sz w:val="24"/>
                <w:szCs w:val="24"/>
              </w:rPr>
              <w:t xml:space="preserve"> – SIPC Disclosure</w:t>
            </w:r>
          </w:p>
          <w:p w14:paraId="75A5A599" w14:textId="77777777" w:rsidR="0089491B" w:rsidRPr="009F1432" w:rsidRDefault="0089491B" w:rsidP="00C1728B">
            <w:pPr>
              <w:numPr>
                <w:ilvl w:val="0"/>
                <w:numId w:val="56"/>
              </w:numPr>
              <w:rPr>
                <w:sz w:val="24"/>
                <w:szCs w:val="24"/>
              </w:rPr>
            </w:pPr>
            <w:r w:rsidRPr="009F1432">
              <w:rPr>
                <w:sz w:val="24"/>
                <w:szCs w:val="24"/>
              </w:rPr>
              <w:t>FINRA Rule 2267 – Investor Education and Protection</w:t>
            </w:r>
          </w:p>
          <w:p w14:paraId="6ECED1E5" w14:textId="77777777" w:rsidR="00B218D1" w:rsidRPr="009F1432" w:rsidRDefault="00B218D1" w:rsidP="00C1728B">
            <w:pPr>
              <w:numPr>
                <w:ilvl w:val="0"/>
                <w:numId w:val="56"/>
              </w:numPr>
              <w:rPr>
                <w:sz w:val="24"/>
                <w:szCs w:val="24"/>
              </w:rPr>
            </w:pPr>
            <w:r w:rsidRPr="009F1432">
              <w:rPr>
                <w:sz w:val="24"/>
                <w:szCs w:val="24"/>
              </w:rPr>
              <w:t xml:space="preserve">FINRA Rule 2269 – Participation or Interest in Primary or Secondary </w:t>
            </w:r>
            <w:proofErr w:type="spellStart"/>
            <w:r w:rsidRPr="009F1432">
              <w:rPr>
                <w:sz w:val="24"/>
                <w:szCs w:val="24"/>
              </w:rPr>
              <w:t>Distn</w:t>
            </w:r>
            <w:proofErr w:type="spellEnd"/>
          </w:p>
          <w:p w14:paraId="0F572D03" w14:textId="77777777" w:rsidR="00810E0A" w:rsidRPr="009F1432" w:rsidRDefault="00810E0A" w:rsidP="00C1728B">
            <w:pPr>
              <w:numPr>
                <w:ilvl w:val="0"/>
                <w:numId w:val="56"/>
              </w:numPr>
              <w:rPr>
                <w:sz w:val="24"/>
                <w:szCs w:val="24"/>
              </w:rPr>
            </w:pPr>
            <w:r w:rsidRPr="009F1432">
              <w:rPr>
                <w:sz w:val="24"/>
                <w:szCs w:val="24"/>
              </w:rPr>
              <w:t xml:space="preserve">FINRA Rule 3110(f) </w:t>
            </w:r>
            <w:r w:rsidR="000346AA" w:rsidRPr="009F1432">
              <w:rPr>
                <w:sz w:val="24"/>
                <w:szCs w:val="24"/>
              </w:rPr>
              <w:t xml:space="preserve">&amp; 2268 </w:t>
            </w:r>
            <w:r w:rsidRPr="009F1432">
              <w:rPr>
                <w:sz w:val="24"/>
                <w:szCs w:val="24"/>
              </w:rPr>
              <w:t>– Predispute Arbitration Ag</w:t>
            </w:r>
            <w:r w:rsidR="0024732A" w:rsidRPr="009F1432">
              <w:rPr>
                <w:sz w:val="24"/>
                <w:szCs w:val="24"/>
              </w:rPr>
              <w:t>ree</w:t>
            </w:r>
            <w:r w:rsidRPr="009F1432">
              <w:rPr>
                <w:sz w:val="24"/>
                <w:szCs w:val="24"/>
              </w:rPr>
              <w:t>m</w:t>
            </w:r>
            <w:r w:rsidR="0024732A" w:rsidRPr="009F1432">
              <w:rPr>
                <w:sz w:val="24"/>
                <w:szCs w:val="24"/>
              </w:rPr>
              <w:t>en</w:t>
            </w:r>
            <w:r w:rsidRPr="009F1432">
              <w:rPr>
                <w:sz w:val="24"/>
                <w:szCs w:val="24"/>
              </w:rPr>
              <w:t>t</w:t>
            </w:r>
            <w:r w:rsidR="000346AA" w:rsidRPr="009F1432">
              <w:rPr>
                <w:sz w:val="24"/>
                <w:szCs w:val="24"/>
              </w:rPr>
              <w:t xml:space="preserve"> </w:t>
            </w:r>
          </w:p>
          <w:p w14:paraId="1E669872" w14:textId="77777777" w:rsidR="00EA743B" w:rsidRPr="009F1432" w:rsidRDefault="00EA743B" w:rsidP="00C1728B">
            <w:pPr>
              <w:numPr>
                <w:ilvl w:val="0"/>
                <w:numId w:val="56"/>
              </w:numPr>
              <w:rPr>
                <w:sz w:val="24"/>
                <w:szCs w:val="24"/>
              </w:rPr>
            </w:pPr>
            <w:r w:rsidRPr="009F1432">
              <w:rPr>
                <w:sz w:val="24"/>
                <w:szCs w:val="24"/>
              </w:rPr>
              <w:t xml:space="preserve">'34 Act Rule 17a-3(a)(17); FINRA Rule </w:t>
            </w:r>
            <w:r w:rsidR="00972FB7" w:rsidRPr="009F1432">
              <w:rPr>
                <w:sz w:val="24"/>
                <w:szCs w:val="24"/>
              </w:rPr>
              <w:t>4515</w:t>
            </w:r>
            <w:r w:rsidRPr="009F1432">
              <w:rPr>
                <w:sz w:val="24"/>
                <w:szCs w:val="24"/>
              </w:rPr>
              <w:t xml:space="preserve"> – Updating Acct Info/ Periodic Verification</w:t>
            </w:r>
            <w:r w:rsidR="0041540B" w:rsidRPr="009F1432">
              <w:rPr>
                <w:sz w:val="24"/>
                <w:szCs w:val="24"/>
              </w:rPr>
              <w:t xml:space="preserve">, FINRA Employees, Accounts requiring notification to Employer </w:t>
            </w:r>
          </w:p>
          <w:p w14:paraId="60F30469" w14:textId="77777777" w:rsidR="00972FB7" w:rsidRPr="009F1432" w:rsidRDefault="00972FB7" w:rsidP="00C1728B">
            <w:pPr>
              <w:numPr>
                <w:ilvl w:val="0"/>
                <w:numId w:val="56"/>
              </w:numPr>
              <w:rPr>
                <w:sz w:val="24"/>
                <w:szCs w:val="24"/>
              </w:rPr>
            </w:pPr>
            <w:r w:rsidRPr="009F1432">
              <w:rPr>
                <w:sz w:val="24"/>
                <w:szCs w:val="24"/>
              </w:rPr>
              <w:t>FINRA Rule 4514 – Authorization for Negotiable Instruments drawn from Customer’s Account</w:t>
            </w:r>
          </w:p>
          <w:p w14:paraId="65FD166B" w14:textId="77777777" w:rsidR="000346AA" w:rsidRPr="009F1432" w:rsidRDefault="001E7254" w:rsidP="00C1728B">
            <w:pPr>
              <w:numPr>
                <w:ilvl w:val="0"/>
                <w:numId w:val="56"/>
              </w:numPr>
              <w:rPr>
                <w:sz w:val="24"/>
                <w:szCs w:val="24"/>
              </w:rPr>
            </w:pPr>
            <w:r w:rsidRPr="009F1432">
              <w:rPr>
                <w:sz w:val="24"/>
                <w:szCs w:val="24"/>
              </w:rPr>
              <w:t xml:space="preserve">FINRA Rule 4515 – Changes in Account Name or Designation </w:t>
            </w:r>
          </w:p>
          <w:p w14:paraId="395204C0" w14:textId="77777777" w:rsidR="00AE31AE" w:rsidRPr="009F1432" w:rsidRDefault="007E013F" w:rsidP="00C1728B">
            <w:pPr>
              <w:numPr>
                <w:ilvl w:val="0"/>
                <w:numId w:val="56"/>
              </w:numPr>
              <w:rPr>
                <w:sz w:val="24"/>
                <w:szCs w:val="24"/>
              </w:rPr>
            </w:pPr>
            <w:r w:rsidRPr="009F1432">
              <w:rPr>
                <w:sz w:val="24"/>
                <w:szCs w:val="24"/>
              </w:rPr>
              <w:t>Bank Secrecy Act and SEC Rule 17A-8</w:t>
            </w:r>
          </w:p>
          <w:p w14:paraId="1A8D1996" w14:textId="77777777" w:rsidR="00E75A75" w:rsidRPr="007A03CF" w:rsidRDefault="00E75A75" w:rsidP="00C1728B">
            <w:pPr>
              <w:numPr>
                <w:ilvl w:val="0"/>
                <w:numId w:val="56"/>
              </w:numPr>
              <w:rPr>
                <w:color w:val="000000"/>
                <w:sz w:val="24"/>
                <w:szCs w:val="24"/>
              </w:rPr>
            </w:pPr>
            <w:r w:rsidRPr="009F1432">
              <w:rPr>
                <w:sz w:val="24"/>
                <w:szCs w:val="24"/>
              </w:rPr>
              <w:t>FINRA Rule</w:t>
            </w:r>
            <w:r w:rsidR="00972FB7" w:rsidRPr="009F1432">
              <w:rPr>
                <w:sz w:val="24"/>
                <w:szCs w:val="24"/>
              </w:rPr>
              <w:t xml:space="preserve"> </w:t>
            </w:r>
            <w:r w:rsidR="00056A0C" w:rsidRPr="009F1432">
              <w:rPr>
                <w:sz w:val="24"/>
                <w:szCs w:val="24"/>
              </w:rPr>
              <w:t xml:space="preserve">4513 and </w:t>
            </w:r>
            <w:r w:rsidR="000979E9" w:rsidRPr="009F1432">
              <w:rPr>
                <w:sz w:val="24"/>
                <w:szCs w:val="24"/>
              </w:rPr>
              <w:t xml:space="preserve">4530 </w:t>
            </w:r>
            <w:r w:rsidRPr="009F1432">
              <w:rPr>
                <w:sz w:val="24"/>
                <w:szCs w:val="24"/>
              </w:rPr>
              <w:t>– Complaints</w:t>
            </w:r>
          </w:p>
          <w:p w14:paraId="321B4F2F" w14:textId="77777777" w:rsidR="00947F22" w:rsidRPr="009A065D" w:rsidRDefault="007A03CF" w:rsidP="00C1728B">
            <w:pPr>
              <w:numPr>
                <w:ilvl w:val="0"/>
                <w:numId w:val="56"/>
              </w:numPr>
              <w:rPr>
                <w:sz w:val="24"/>
                <w:szCs w:val="24"/>
              </w:rPr>
            </w:pPr>
            <w:r w:rsidRPr="00D14441">
              <w:rPr>
                <w:sz w:val="24"/>
                <w:szCs w:val="24"/>
              </w:rPr>
              <w:lastRenderedPageBreak/>
              <w:t xml:space="preserve">FINRA Rule 2090 and 2111 – Know your customer and Suitability </w:t>
            </w:r>
            <w:r w:rsidRPr="00D14441">
              <w:t>(</w:t>
            </w:r>
            <w:proofErr w:type="gramStart"/>
            <w:r w:rsidRPr="00D14441">
              <w:t>eff</w:t>
            </w:r>
            <w:proofErr w:type="gramEnd"/>
            <w:r w:rsidRPr="00D14441">
              <w:t xml:space="preserve"> 7/9/12)</w:t>
            </w:r>
          </w:p>
          <w:p w14:paraId="5CB980AF" w14:textId="77777777" w:rsidR="009A065D" w:rsidRPr="00947F22" w:rsidRDefault="009A065D" w:rsidP="00C1728B">
            <w:pPr>
              <w:numPr>
                <w:ilvl w:val="0"/>
                <w:numId w:val="56"/>
              </w:numPr>
              <w:rPr>
                <w:sz w:val="24"/>
                <w:szCs w:val="24"/>
              </w:rPr>
            </w:pPr>
            <w:r w:rsidRPr="0083736F">
              <w:rPr>
                <w:sz w:val="24"/>
                <w:szCs w:val="24"/>
              </w:rPr>
              <w:t>DOL Fid</w:t>
            </w:r>
            <w:r w:rsidR="008A7968" w:rsidRPr="0083736F">
              <w:rPr>
                <w:sz w:val="24"/>
                <w:szCs w:val="24"/>
              </w:rPr>
              <w:t>u</w:t>
            </w:r>
            <w:r w:rsidRPr="0083736F">
              <w:rPr>
                <w:sz w:val="24"/>
                <w:szCs w:val="24"/>
              </w:rPr>
              <w:t>ciary Standards</w:t>
            </w:r>
          </w:p>
        </w:tc>
      </w:tr>
      <w:tr w:rsidR="00296117" w:rsidRPr="003B7614" w14:paraId="14044031" w14:textId="77777777">
        <w:trPr>
          <w:tblCellSpacing w:w="0" w:type="dxa"/>
        </w:trPr>
        <w:tc>
          <w:tcPr>
            <w:tcW w:w="913" w:type="pct"/>
            <w:tcBorders>
              <w:top w:val="outset" w:sz="6" w:space="0" w:color="auto"/>
              <w:left w:val="outset" w:sz="6" w:space="0" w:color="auto"/>
              <w:bottom w:val="outset" w:sz="6" w:space="0" w:color="auto"/>
              <w:right w:val="outset" w:sz="6" w:space="0" w:color="auto"/>
            </w:tcBorders>
            <w:vAlign w:val="center"/>
          </w:tcPr>
          <w:p w14:paraId="09065B80" w14:textId="77777777" w:rsidR="00296117" w:rsidRPr="003B7614" w:rsidRDefault="00296117" w:rsidP="00296117">
            <w:pPr>
              <w:jc w:val="center"/>
              <w:rPr>
                <w:b/>
                <w:bCs/>
                <w:color w:val="000000"/>
                <w:sz w:val="24"/>
                <w:szCs w:val="24"/>
              </w:rPr>
            </w:pPr>
            <w:r w:rsidRPr="003B7614">
              <w:rPr>
                <w:b/>
                <w:bCs/>
                <w:color w:val="000000"/>
                <w:sz w:val="24"/>
                <w:szCs w:val="24"/>
              </w:rPr>
              <w:lastRenderedPageBreak/>
              <w:t>Frequency</w:t>
            </w:r>
          </w:p>
        </w:tc>
        <w:tc>
          <w:tcPr>
            <w:tcW w:w="4087" w:type="pct"/>
            <w:tcBorders>
              <w:top w:val="outset" w:sz="6" w:space="0" w:color="auto"/>
              <w:left w:val="outset" w:sz="6" w:space="0" w:color="auto"/>
              <w:bottom w:val="outset" w:sz="6" w:space="0" w:color="auto"/>
              <w:right w:val="outset" w:sz="6" w:space="0" w:color="auto"/>
            </w:tcBorders>
            <w:vAlign w:val="center"/>
          </w:tcPr>
          <w:p w14:paraId="53F0E450" w14:textId="77777777" w:rsidR="00296117" w:rsidRPr="003B7614" w:rsidRDefault="00296117" w:rsidP="00C1728B">
            <w:pPr>
              <w:numPr>
                <w:ilvl w:val="0"/>
                <w:numId w:val="56"/>
              </w:numPr>
              <w:rPr>
                <w:color w:val="000000"/>
                <w:sz w:val="24"/>
                <w:szCs w:val="24"/>
              </w:rPr>
            </w:pPr>
            <w:r w:rsidRPr="003B7614">
              <w:rPr>
                <w:color w:val="000000"/>
                <w:sz w:val="24"/>
                <w:szCs w:val="24"/>
              </w:rPr>
              <w:t>When accounts are opened</w:t>
            </w:r>
          </w:p>
          <w:p w14:paraId="5B73AE59" w14:textId="77777777" w:rsidR="008A2A6F" w:rsidRPr="003B7614" w:rsidRDefault="008A2A6F" w:rsidP="00C1728B">
            <w:pPr>
              <w:numPr>
                <w:ilvl w:val="0"/>
                <w:numId w:val="56"/>
              </w:numPr>
              <w:rPr>
                <w:color w:val="000000"/>
                <w:sz w:val="24"/>
                <w:szCs w:val="24"/>
              </w:rPr>
            </w:pPr>
            <w:r w:rsidRPr="003B7614">
              <w:rPr>
                <w:color w:val="000000"/>
                <w:sz w:val="24"/>
                <w:szCs w:val="24"/>
              </w:rPr>
              <w:t>Account reviews</w:t>
            </w:r>
          </w:p>
          <w:p w14:paraId="7FF46BA3" w14:textId="77777777" w:rsidR="00E75A75" w:rsidRPr="008F1967" w:rsidRDefault="00EA743B" w:rsidP="00C1728B">
            <w:pPr>
              <w:numPr>
                <w:ilvl w:val="0"/>
                <w:numId w:val="56"/>
              </w:numPr>
              <w:rPr>
                <w:sz w:val="24"/>
                <w:szCs w:val="24"/>
              </w:rPr>
            </w:pPr>
            <w:r w:rsidRPr="003B7614">
              <w:rPr>
                <w:color w:val="000000"/>
                <w:sz w:val="24"/>
                <w:szCs w:val="24"/>
              </w:rPr>
              <w:t>17A3 – 30 days within acct opening; every 36 months; upon change in acct notification</w:t>
            </w:r>
          </w:p>
          <w:p w14:paraId="5ED24E37" w14:textId="77777777" w:rsidR="003D2611" w:rsidRPr="008F1967" w:rsidRDefault="003D2611" w:rsidP="00C1728B">
            <w:pPr>
              <w:numPr>
                <w:ilvl w:val="0"/>
                <w:numId w:val="56"/>
              </w:numPr>
              <w:rPr>
                <w:sz w:val="24"/>
                <w:szCs w:val="24"/>
              </w:rPr>
            </w:pPr>
            <w:r w:rsidRPr="008F1967">
              <w:rPr>
                <w:sz w:val="24"/>
                <w:szCs w:val="24"/>
              </w:rPr>
              <w:t>When LOAs or checks are requested</w:t>
            </w:r>
          </w:p>
          <w:p w14:paraId="450F7384" w14:textId="77777777" w:rsidR="00E278B2" w:rsidRPr="003B7614" w:rsidRDefault="00E278B2" w:rsidP="00C1728B">
            <w:pPr>
              <w:numPr>
                <w:ilvl w:val="0"/>
                <w:numId w:val="56"/>
              </w:numPr>
              <w:rPr>
                <w:color w:val="000000"/>
                <w:sz w:val="24"/>
                <w:szCs w:val="24"/>
              </w:rPr>
            </w:pPr>
            <w:r w:rsidRPr="003B7614">
              <w:rPr>
                <w:color w:val="000000"/>
                <w:sz w:val="24"/>
                <w:szCs w:val="24"/>
              </w:rPr>
              <w:t>Training annually and as needed</w:t>
            </w:r>
          </w:p>
          <w:p w14:paraId="7CCF5921" w14:textId="77777777" w:rsidR="00E75A75" w:rsidRDefault="00E75A75" w:rsidP="00C1728B">
            <w:pPr>
              <w:numPr>
                <w:ilvl w:val="0"/>
                <w:numId w:val="56"/>
              </w:numPr>
              <w:rPr>
                <w:color w:val="000000"/>
                <w:sz w:val="24"/>
                <w:szCs w:val="24"/>
              </w:rPr>
            </w:pPr>
            <w:r w:rsidRPr="003B7614">
              <w:rPr>
                <w:color w:val="000000"/>
                <w:sz w:val="24"/>
                <w:szCs w:val="24"/>
              </w:rPr>
              <w:t xml:space="preserve">When </w:t>
            </w:r>
            <w:r w:rsidR="008A7968" w:rsidRPr="003B7614">
              <w:rPr>
                <w:color w:val="000000"/>
                <w:sz w:val="24"/>
                <w:szCs w:val="24"/>
              </w:rPr>
              <w:t>Customer Complaints</w:t>
            </w:r>
            <w:r w:rsidRPr="003B7614">
              <w:rPr>
                <w:color w:val="000000"/>
                <w:sz w:val="24"/>
                <w:szCs w:val="24"/>
              </w:rPr>
              <w:t xml:space="preserve"> are received</w:t>
            </w:r>
          </w:p>
          <w:p w14:paraId="399B4073" w14:textId="77777777" w:rsidR="006462D8" w:rsidRPr="00424F51" w:rsidRDefault="006462D8" w:rsidP="00C1728B">
            <w:pPr>
              <w:numPr>
                <w:ilvl w:val="0"/>
                <w:numId w:val="56"/>
              </w:numPr>
              <w:rPr>
                <w:sz w:val="24"/>
                <w:szCs w:val="24"/>
              </w:rPr>
            </w:pPr>
            <w:r w:rsidRPr="00424F51">
              <w:rPr>
                <w:sz w:val="24"/>
                <w:szCs w:val="24"/>
              </w:rPr>
              <w:t>When transaction and other reports are reviewed</w:t>
            </w:r>
          </w:p>
        </w:tc>
      </w:tr>
      <w:tr w:rsidR="00296117" w:rsidRPr="003B7614" w14:paraId="6A644E52" w14:textId="77777777">
        <w:trPr>
          <w:tblCellSpacing w:w="0" w:type="dxa"/>
        </w:trPr>
        <w:tc>
          <w:tcPr>
            <w:tcW w:w="913" w:type="pct"/>
            <w:tcBorders>
              <w:top w:val="outset" w:sz="6" w:space="0" w:color="auto"/>
              <w:left w:val="outset" w:sz="6" w:space="0" w:color="auto"/>
              <w:bottom w:val="outset" w:sz="6" w:space="0" w:color="auto"/>
              <w:right w:val="outset" w:sz="6" w:space="0" w:color="auto"/>
            </w:tcBorders>
            <w:vAlign w:val="center"/>
          </w:tcPr>
          <w:p w14:paraId="021F4510" w14:textId="77777777" w:rsidR="00296117" w:rsidRPr="003B7614" w:rsidRDefault="00296117" w:rsidP="00296117">
            <w:pPr>
              <w:jc w:val="center"/>
              <w:rPr>
                <w:b/>
                <w:bCs/>
                <w:color w:val="000000"/>
                <w:sz w:val="24"/>
                <w:szCs w:val="24"/>
              </w:rPr>
            </w:pPr>
            <w:r w:rsidRPr="003B7614">
              <w:rPr>
                <w:b/>
                <w:bCs/>
                <w:color w:val="000000"/>
                <w:sz w:val="24"/>
                <w:szCs w:val="24"/>
              </w:rPr>
              <w:t>Action</w:t>
            </w:r>
            <w:r w:rsidR="002D3CFB" w:rsidRPr="003B7614">
              <w:rPr>
                <w:b/>
                <w:bCs/>
                <w:color w:val="000000"/>
                <w:sz w:val="24"/>
                <w:szCs w:val="24"/>
              </w:rPr>
              <w:t>s</w:t>
            </w:r>
          </w:p>
        </w:tc>
        <w:tc>
          <w:tcPr>
            <w:tcW w:w="4087" w:type="pct"/>
            <w:tcBorders>
              <w:top w:val="outset" w:sz="6" w:space="0" w:color="auto"/>
              <w:left w:val="outset" w:sz="6" w:space="0" w:color="auto"/>
              <w:bottom w:val="outset" w:sz="6" w:space="0" w:color="auto"/>
              <w:right w:val="outset" w:sz="6" w:space="0" w:color="auto"/>
            </w:tcBorders>
            <w:vAlign w:val="center"/>
          </w:tcPr>
          <w:p w14:paraId="04A91F34" w14:textId="77777777" w:rsidR="008A2A6F" w:rsidRPr="003B7614" w:rsidRDefault="008A2A6F" w:rsidP="008A2A6F">
            <w:pPr>
              <w:ind w:left="720" w:hanging="330"/>
              <w:rPr>
                <w:color w:val="000000"/>
                <w:sz w:val="24"/>
                <w:szCs w:val="24"/>
              </w:rPr>
            </w:pPr>
            <w:r w:rsidRPr="003B7614">
              <w:rPr>
                <w:color w:val="000000"/>
                <w:sz w:val="24"/>
                <w:szCs w:val="24"/>
                <w:u w:val="single"/>
              </w:rPr>
              <w:t>Identity</w:t>
            </w:r>
            <w:r w:rsidRPr="003B7614">
              <w:rPr>
                <w:color w:val="000000"/>
                <w:sz w:val="24"/>
                <w:szCs w:val="24"/>
              </w:rPr>
              <w:t>:</w:t>
            </w:r>
          </w:p>
          <w:p w14:paraId="671EBDB2" w14:textId="77777777" w:rsidR="00296117" w:rsidRPr="003B7614" w:rsidRDefault="00296117" w:rsidP="00C1728B">
            <w:pPr>
              <w:numPr>
                <w:ilvl w:val="0"/>
                <w:numId w:val="57"/>
              </w:numPr>
              <w:rPr>
                <w:color w:val="000000"/>
                <w:sz w:val="24"/>
                <w:szCs w:val="24"/>
              </w:rPr>
            </w:pPr>
            <w:r w:rsidRPr="003B7614">
              <w:rPr>
                <w:color w:val="000000"/>
                <w:sz w:val="24"/>
                <w:szCs w:val="24"/>
              </w:rPr>
              <w:t xml:space="preserve">Before approving an account, determine that customer identification (ID) verification information is included with the new account application and meets </w:t>
            </w:r>
            <w:r w:rsidR="008A2A6F" w:rsidRPr="003B7614">
              <w:rPr>
                <w:color w:val="000000"/>
                <w:sz w:val="24"/>
                <w:szCs w:val="24"/>
              </w:rPr>
              <w:t>Company</w:t>
            </w:r>
            <w:r w:rsidRPr="003B7614">
              <w:rPr>
                <w:color w:val="000000"/>
                <w:sz w:val="24"/>
                <w:szCs w:val="24"/>
              </w:rPr>
              <w:t>'s requirements</w:t>
            </w:r>
            <w:r w:rsidR="008A2A6F" w:rsidRPr="003B7614">
              <w:rPr>
                <w:color w:val="000000"/>
                <w:sz w:val="24"/>
                <w:szCs w:val="24"/>
              </w:rPr>
              <w:t>;</w:t>
            </w:r>
          </w:p>
          <w:p w14:paraId="21604227" w14:textId="77777777" w:rsidR="00296117" w:rsidRPr="003B7614" w:rsidRDefault="00296117" w:rsidP="00C1728B">
            <w:pPr>
              <w:numPr>
                <w:ilvl w:val="0"/>
                <w:numId w:val="57"/>
              </w:numPr>
              <w:rPr>
                <w:color w:val="000000"/>
                <w:sz w:val="24"/>
                <w:szCs w:val="24"/>
              </w:rPr>
            </w:pPr>
            <w:r w:rsidRPr="003B7614">
              <w:rPr>
                <w:color w:val="000000"/>
                <w:sz w:val="24"/>
                <w:szCs w:val="24"/>
              </w:rPr>
              <w:t xml:space="preserve">For non-documentary verification, check the information included with the new account application for completeness and consistency with other customer-provided information (name, address, phone number, taxpayer ID number, </w:t>
            </w:r>
            <w:r w:rsidRPr="003B7614">
              <w:rPr>
                <w:i/>
                <w:iCs/>
                <w:color w:val="000000"/>
                <w:sz w:val="24"/>
                <w:szCs w:val="24"/>
              </w:rPr>
              <w:t>etc.</w:t>
            </w:r>
            <w:r w:rsidRPr="003B7614">
              <w:rPr>
                <w:color w:val="000000"/>
                <w:sz w:val="24"/>
                <w:szCs w:val="24"/>
              </w:rPr>
              <w:t>)</w:t>
            </w:r>
          </w:p>
          <w:p w14:paraId="04D69D53" w14:textId="77777777" w:rsidR="00AE31AE" w:rsidRPr="003B7614" w:rsidRDefault="00AE31AE" w:rsidP="00C1728B">
            <w:pPr>
              <w:numPr>
                <w:ilvl w:val="0"/>
                <w:numId w:val="57"/>
              </w:numPr>
              <w:rPr>
                <w:color w:val="000000"/>
                <w:sz w:val="24"/>
                <w:szCs w:val="24"/>
              </w:rPr>
            </w:pPr>
            <w:r w:rsidRPr="003B7614">
              <w:rPr>
                <w:color w:val="000000"/>
                <w:sz w:val="24"/>
                <w:szCs w:val="24"/>
              </w:rPr>
              <w:t>Taxpayer ID</w:t>
            </w:r>
          </w:p>
          <w:p w14:paraId="385E33BF" w14:textId="77777777" w:rsidR="00296117" w:rsidRDefault="00296117" w:rsidP="00C1728B">
            <w:pPr>
              <w:numPr>
                <w:ilvl w:val="0"/>
                <w:numId w:val="57"/>
              </w:numPr>
              <w:rPr>
                <w:color w:val="000000"/>
                <w:sz w:val="24"/>
                <w:szCs w:val="24"/>
              </w:rPr>
            </w:pPr>
            <w:r w:rsidRPr="003B7614">
              <w:rPr>
                <w:color w:val="000000"/>
                <w:sz w:val="24"/>
                <w:szCs w:val="24"/>
              </w:rPr>
              <w:t>For unacceptable verification information (incomplete, inconsistent), return the application to the RR for further information or disapprove the account</w:t>
            </w:r>
          </w:p>
          <w:p w14:paraId="10F401E1" w14:textId="77777777" w:rsidR="00E015FA" w:rsidRPr="00E015FA" w:rsidRDefault="00E015FA" w:rsidP="00C1728B">
            <w:pPr>
              <w:numPr>
                <w:ilvl w:val="0"/>
                <w:numId w:val="57"/>
              </w:numPr>
              <w:rPr>
                <w:color w:val="FF0000"/>
                <w:sz w:val="24"/>
                <w:szCs w:val="24"/>
              </w:rPr>
            </w:pPr>
            <w:r w:rsidRPr="00015C68">
              <w:rPr>
                <w:sz w:val="24"/>
                <w:szCs w:val="24"/>
              </w:rPr>
              <w:t>Obtain Beneficial Ownership information</w:t>
            </w:r>
            <w:r w:rsidR="00015C68" w:rsidRPr="008239F6">
              <w:rPr>
                <w:sz w:val="24"/>
                <w:szCs w:val="24"/>
              </w:rPr>
              <w:t>, if applicable.</w:t>
            </w:r>
          </w:p>
          <w:p w14:paraId="7BF8BFE5" w14:textId="77777777" w:rsidR="00AE31AE" w:rsidRPr="003B7614" w:rsidRDefault="00AE31AE" w:rsidP="008A2A6F">
            <w:pPr>
              <w:ind w:left="720" w:hanging="420"/>
              <w:rPr>
                <w:color w:val="000000"/>
                <w:sz w:val="24"/>
                <w:szCs w:val="24"/>
              </w:rPr>
            </w:pPr>
          </w:p>
          <w:p w14:paraId="10E6A603" w14:textId="08C4DA57" w:rsidR="008A2A6F" w:rsidRPr="003B7614" w:rsidRDefault="00F70B22" w:rsidP="008A2A6F">
            <w:pPr>
              <w:ind w:left="720" w:hanging="420"/>
              <w:rPr>
                <w:color w:val="000000"/>
                <w:sz w:val="24"/>
                <w:szCs w:val="24"/>
              </w:rPr>
            </w:pPr>
            <w:r w:rsidRPr="00482C40">
              <w:rPr>
                <w:sz w:val="24"/>
                <w:szCs w:val="24"/>
                <w:u w:val="single"/>
              </w:rPr>
              <w:t xml:space="preserve">Best Interest </w:t>
            </w:r>
            <w:r>
              <w:rPr>
                <w:color w:val="000000"/>
                <w:sz w:val="24"/>
                <w:szCs w:val="24"/>
                <w:u w:val="single"/>
              </w:rPr>
              <w:t>(</w:t>
            </w:r>
            <w:r w:rsidR="008A2A6F" w:rsidRPr="003B7614">
              <w:rPr>
                <w:color w:val="000000"/>
                <w:sz w:val="24"/>
                <w:szCs w:val="24"/>
                <w:u w:val="single"/>
              </w:rPr>
              <w:t>Suitability</w:t>
            </w:r>
            <w:r>
              <w:rPr>
                <w:color w:val="000000"/>
                <w:sz w:val="24"/>
                <w:szCs w:val="24"/>
                <w:u w:val="single"/>
              </w:rPr>
              <w:t>)</w:t>
            </w:r>
            <w:r w:rsidR="008A2A6F" w:rsidRPr="003B7614">
              <w:rPr>
                <w:color w:val="000000"/>
                <w:sz w:val="24"/>
                <w:szCs w:val="24"/>
              </w:rPr>
              <w:t>:</w:t>
            </w:r>
          </w:p>
          <w:p w14:paraId="7B7B7144" w14:textId="77777777" w:rsidR="008A2A6F" w:rsidRDefault="008A2A6F" w:rsidP="00C1728B">
            <w:pPr>
              <w:numPr>
                <w:ilvl w:val="0"/>
                <w:numId w:val="57"/>
              </w:numPr>
              <w:rPr>
                <w:color w:val="000000"/>
                <w:sz w:val="24"/>
                <w:szCs w:val="24"/>
              </w:rPr>
            </w:pPr>
            <w:r w:rsidRPr="003B7614">
              <w:rPr>
                <w:color w:val="000000"/>
                <w:sz w:val="24"/>
                <w:szCs w:val="24"/>
              </w:rPr>
              <w:t>New Acct Form, Account Documents</w:t>
            </w:r>
          </w:p>
          <w:p w14:paraId="49B5360A" w14:textId="77777777" w:rsidR="006355DE" w:rsidRDefault="006355DE" w:rsidP="00C1728B">
            <w:pPr>
              <w:numPr>
                <w:ilvl w:val="0"/>
                <w:numId w:val="57"/>
              </w:numPr>
              <w:rPr>
                <w:sz w:val="24"/>
                <w:szCs w:val="24"/>
              </w:rPr>
            </w:pPr>
            <w:r w:rsidRPr="00D14441">
              <w:rPr>
                <w:sz w:val="24"/>
                <w:szCs w:val="24"/>
              </w:rPr>
              <w:t>Obtain Institutional Suitability Certificates from institutional customers (when absent, flag account noting the form is deficient).</w:t>
            </w:r>
          </w:p>
          <w:p w14:paraId="47E6ECAF" w14:textId="77777777" w:rsidR="006462D8" w:rsidRPr="00424F51" w:rsidRDefault="006462D8" w:rsidP="00C1728B">
            <w:pPr>
              <w:numPr>
                <w:ilvl w:val="0"/>
                <w:numId w:val="57"/>
              </w:numPr>
              <w:rPr>
                <w:sz w:val="24"/>
                <w:szCs w:val="24"/>
              </w:rPr>
            </w:pPr>
            <w:r w:rsidRPr="00424F51">
              <w:rPr>
                <w:sz w:val="24"/>
                <w:szCs w:val="24"/>
              </w:rPr>
              <w:t>Transaction and other reports reviewed (</w:t>
            </w:r>
            <w:r w:rsidR="00737FEA" w:rsidRPr="00424F51">
              <w:rPr>
                <w:sz w:val="24"/>
                <w:szCs w:val="24"/>
              </w:rPr>
              <w:t xml:space="preserve">excessive trading, concentration, </w:t>
            </w:r>
            <w:r w:rsidR="00EA44AD" w:rsidRPr="00424F51">
              <w:rPr>
                <w:sz w:val="24"/>
                <w:szCs w:val="24"/>
              </w:rPr>
              <w:t>etc.</w:t>
            </w:r>
            <w:r w:rsidR="00737FEA" w:rsidRPr="00424F51">
              <w:rPr>
                <w:sz w:val="24"/>
                <w:szCs w:val="24"/>
              </w:rPr>
              <w:t>)</w:t>
            </w:r>
            <w:r w:rsidR="00B44521" w:rsidRPr="00424F51">
              <w:rPr>
                <w:sz w:val="24"/>
                <w:szCs w:val="24"/>
              </w:rPr>
              <w:t>.</w:t>
            </w:r>
          </w:p>
          <w:p w14:paraId="0112C142" w14:textId="77777777" w:rsidR="00B44521" w:rsidRPr="00424F51" w:rsidRDefault="00B44521" w:rsidP="00C1728B">
            <w:pPr>
              <w:numPr>
                <w:ilvl w:val="0"/>
                <w:numId w:val="57"/>
              </w:numPr>
              <w:rPr>
                <w:sz w:val="24"/>
                <w:szCs w:val="24"/>
              </w:rPr>
            </w:pPr>
            <w:r w:rsidRPr="00424F51">
              <w:rPr>
                <w:sz w:val="24"/>
                <w:szCs w:val="24"/>
              </w:rPr>
              <w:t>Where investment profile in incomplete, contact the RR to ascertain further information.</w:t>
            </w:r>
          </w:p>
          <w:p w14:paraId="478C9F9F" w14:textId="02F903C4" w:rsidR="00C779CF" w:rsidRDefault="00C779CF" w:rsidP="00C1728B">
            <w:pPr>
              <w:numPr>
                <w:ilvl w:val="0"/>
                <w:numId w:val="57"/>
              </w:numPr>
              <w:rPr>
                <w:sz w:val="24"/>
                <w:szCs w:val="24"/>
              </w:rPr>
            </w:pPr>
            <w:r w:rsidRPr="00424F51">
              <w:rPr>
                <w:sz w:val="24"/>
                <w:szCs w:val="24"/>
              </w:rPr>
              <w:t xml:space="preserve">Modify or restrict </w:t>
            </w:r>
            <w:r w:rsidR="00772C3D" w:rsidRPr="00424F51">
              <w:rPr>
                <w:sz w:val="24"/>
                <w:szCs w:val="24"/>
              </w:rPr>
              <w:t xml:space="preserve">future </w:t>
            </w:r>
            <w:r w:rsidRPr="00424F51">
              <w:rPr>
                <w:sz w:val="24"/>
                <w:szCs w:val="24"/>
              </w:rPr>
              <w:t>transactions if appropriate.</w:t>
            </w:r>
          </w:p>
          <w:p w14:paraId="2612269C" w14:textId="056F0688" w:rsidR="00F70B22" w:rsidRPr="00482C40" w:rsidRDefault="00F70B22" w:rsidP="00C1728B">
            <w:pPr>
              <w:numPr>
                <w:ilvl w:val="0"/>
                <w:numId w:val="57"/>
              </w:numPr>
              <w:rPr>
                <w:sz w:val="24"/>
                <w:szCs w:val="24"/>
              </w:rPr>
            </w:pPr>
            <w:r w:rsidRPr="00482C40">
              <w:rPr>
                <w:sz w:val="24"/>
                <w:szCs w:val="24"/>
              </w:rPr>
              <w:t>Delivery of Form CRS</w:t>
            </w:r>
          </w:p>
          <w:p w14:paraId="78D47BC3" w14:textId="77777777" w:rsidR="00AE31AE" w:rsidRPr="00424F51" w:rsidRDefault="00AE31AE" w:rsidP="00EA743B">
            <w:pPr>
              <w:ind w:left="720" w:hanging="420"/>
              <w:rPr>
                <w:sz w:val="24"/>
                <w:szCs w:val="24"/>
              </w:rPr>
            </w:pPr>
          </w:p>
          <w:p w14:paraId="0A9CEDD1" w14:textId="77777777" w:rsidR="00EA743B" w:rsidRPr="00424F51" w:rsidRDefault="00EA743B" w:rsidP="00EA743B">
            <w:pPr>
              <w:ind w:left="720" w:hanging="420"/>
              <w:rPr>
                <w:sz w:val="24"/>
                <w:szCs w:val="24"/>
              </w:rPr>
            </w:pPr>
            <w:r w:rsidRPr="00424F51">
              <w:rPr>
                <w:sz w:val="24"/>
                <w:szCs w:val="24"/>
                <w:u w:val="single"/>
              </w:rPr>
              <w:t>17A3/Verification</w:t>
            </w:r>
            <w:r w:rsidRPr="00424F51">
              <w:rPr>
                <w:sz w:val="24"/>
                <w:szCs w:val="24"/>
              </w:rPr>
              <w:t>:</w:t>
            </w:r>
          </w:p>
          <w:p w14:paraId="415C15B6" w14:textId="77777777" w:rsidR="00EA743B" w:rsidRPr="00424F51" w:rsidRDefault="00EA743B" w:rsidP="00C1728B">
            <w:pPr>
              <w:numPr>
                <w:ilvl w:val="0"/>
                <w:numId w:val="57"/>
              </w:numPr>
              <w:rPr>
                <w:sz w:val="24"/>
                <w:szCs w:val="24"/>
              </w:rPr>
            </w:pPr>
            <w:r w:rsidRPr="00424F51">
              <w:rPr>
                <w:sz w:val="24"/>
                <w:szCs w:val="24"/>
              </w:rPr>
              <w:t>Letter sent to customers</w:t>
            </w:r>
          </w:p>
          <w:p w14:paraId="04B9B618" w14:textId="77777777" w:rsidR="00EA743B" w:rsidRPr="00424F51" w:rsidRDefault="00EA743B" w:rsidP="00C1728B">
            <w:pPr>
              <w:numPr>
                <w:ilvl w:val="0"/>
                <w:numId w:val="57"/>
              </w:numPr>
              <w:rPr>
                <w:sz w:val="24"/>
                <w:szCs w:val="24"/>
              </w:rPr>
            </w:pPr>
            <w:r w:rsidRPr="00424F51">
              <w:rPr>
                <w:sz w:val="24"/>
                <w:szCs w:val="24"/>
              </w:rPr>
              <w:t>Log in Win</w:t>
            </w:r>
            <w:r w:rsidR="009F1432" w:rsidRPr="00424F51">
              <w:rPr>
                <w:sz w:val="24"/>
                <w:szCs w:val="24"/>
              </w:rPr>
              <w:t>O</w:t>
            </w:r>
            <w:r w:rsidRPr="00424F51">
              <w:rPr>
                <w:sz w:val="24"/>
                <w:szCs w:val="24"/>
              </w:rPr>
              <w:t>ps</w:t>
            </w:r>
          </w:p>
          <w:p w14:paraId="638B7B6D" w14:textId="77777777" w:rsidR="00E278B2" w:rsidRPr="00424F51" w:rsidRDefault="00E278B2" w:rsidP="00C1728B">
            <w:pPr>
              <w:numPr>
                <w:ilvl w:val="0"/>
                <w:numId w:val="57"/>
              </w:numPr>
              <w:rPr>
                <w:sz w:val="24"/>
                <w:szCs w:val="24"/>
              </w:rPr>
            </w:pPr>
            <w:r w:rsidRPr="00424F51">
              <w:rPr>
                <w:sz w:val="24"/>
                <w:szCs w:val="24"/>
              </w:rPr>
              <w:t>Compliance Meetings</w:t>
            </w:r>
          </w:p>
          <w:p w14:paraId="790AF416" w14:textId="77777777" w:rsidR="00EA743B" w:rsidRPr="00424F51" w:rsidRDefault="00E278B2" w:rsidP="00C1728B">
            <w:pPr>
              <w:numPr>
                <w:ilvl w:val="0"/>
                <w:numId w:val="57"/>
              </w:numPr>
              <w:rPr>
                <w:sz w:val="24"/>
                <w:szCs w:val="24"/>
              </w:rPr>
            </w:pPr>
            <w:r w:rsidRPr="00424F51">
              <w:rPr>
                <w:sz w:val="24"/>
                <w:szCs w:val="24"/>
              </w:rPr>
              <w:t>Ongoing – other actions</w:t>
            </w:r>
          </w:p>
          <w:p w14:paraId="3442FAFC" w14:textId="77777777" w:rsidR="00E75A75" w:rsidRPr="00424F51" w:rsidRDefault="00E75A75" w:rsidP="00E75A75">
            <w:pPr>
              <w:ind w:left="720"/>
              <w:rPr>
                <w:sz w:val="24"/>
                <w:szCs w:val="24"/>
              </w:rPr>
            </w:pPr>
          </w:p>
          <w:p w14:paraId="08A36D4B" w14:textId="77777777" w:rsidR="007A7D9B" w:rsidRPr="00424F51" w:rsidRDefault="007A7D9B" w:rsidP="007A7D9B">
            <w:pPr>
              <w:ind w:left="300"/>
              <w:rPr>
                <w:sz w:val="24"/>
                <w:szCs w:val="24"/>
              </w:rPr>
            </w:pPr>
            <w:r w:rsidRPr="00424F51">
              <w:rPr>
                <w:sz w:val="24"/>
                <w:szCs w:val="24"/>
                <w:u w:val="single"/>
              </w:rPr>
              <w:t>Disclosures</w:t>
            </w:r>
            <w:r w:rsidRPr="00424F51">
              <w:rPr>
                <w:sz w:val="24"/>
                <w:szCs w:val="24"/>
              </w:rPr>
              <w:t xml:space="preserve"> </w:t>
            </w:r>
          </w:p>
          <w:p w14:paraId="00A47E43" w14:textId="77777777" w:rsidR="007A7D9B" w:rsidRPr="00424F51" w:rsidRDefault="007A7D9B" w:rsidP="00C1728B">
            <w:pPr>
              <w:numPr>
                <w:ilvl w:val="0"/>
                <w:numId w:val="57"/>
              </w:numPr>
              <w:rPr>
                <w:sz w:val="24"/>
                <w:szCs w:val="24"/>
              </w:rPr>
            </w:pPr>
            <w:r w:rsidRPr="00424F51">
              <w:rPr>
                <w:sz w:val="24"/>
                <w:szCs w:val="24"/>
              </w:rPr>
              <w:t>Initial applicable disclosures</w:t>
            </w:r>
            <w:r w:rsidR="007A2948" w:rsidRPr="00424F51">
              <w:rPr>
                <w:sz w:val="24"/>
                <w:szCs w:val="24"/>
              </w:rPr>
              <w:t xml:space="preserve"> and acknowledgements</w:t>
            </w:r>
          </w:p>
          <w:p w14:paraId="418C83AA" w14:textId="77777777" w:rsidR="007A7D9B" w:rsidRPr="003B7614" w:rsidRDefault="007A7D9B" w:rsidP="00C1728B">
            <w:pPr>
              <w:numPr>
                <w:ilvl w:val="0"/>
                <w:numId w:val="57"/>
              </w:numPr>
              <w:rPr>
                <w:color w:val="000000"/>
                <w:sz w:val="24"/>
                <w:szCs w:val="24"/>
              </w:rPr>
            </w:pPr>
            <w:r w:rsidRPr="003B7614">
              <w:rPr>
                <w:color w:val="000000"/>
                <w:sz w:val="24"/>
                <w:szCs w:val="24"/>
              </w:rPr>
              <w:t>Any annual disclosures</w:t>
            </w:r>
          </w:p>
          <w:p w14:paraId="46A3FADB" w14:textId="77777777" w:rsidR="007A7D9B" w:rsidRPr="003B7614" w:rsidRDefault="007A7D9B" w:rsidP="00C1728B">
            <w:pPr>
              <w:numPr>
                <w:ilvl w:val="0"/>
                <w:numId w:val="57"/>
              </w:numPr>
              <w:rPr>
                <w:color w:val="000000"/>
                <w:sz w:val="24"/>
                <w:szCs w:val="24"/>
              </w:rPr>
            </w:pPr>
            <w:r w:rsidRPr="003B7614">
              <w:rPr>
                <w:color w:val="000000"/>
                <w:sz w:val="24"/>
                <w:szCs w:val="24"/>
              </w:rPr>
              <w:t>Website disclosures</w:t>
            </w:r>
          </w:p>
          <w:p w14:paraId="1BDB90A8" w14:textId="77777777" w:rsidR="007A7D9B" w:rsidRDefault="007A7D9B" w:rsidP="00E75A75">
            <w:pPr>
              <w:ind w:left="300"/>
              <w:rPr>
                <w:color w:val="000000"/>
                <w:sz w:val="24"/>
                <w:szCs w:val="24"/>
                <w:u w:val="single"/>
              </w:rPr>
            </w:pPr>
          </w:p>
          <w:p w14:paraId="5149427D" w14:textId="77777777" w:rsidR="003D2611" w:rsidRPr="008F1967" w:rsidRDefault="003D2611" w:rsidP="00E75A75">
            <w:pPr>
              <w:ind w:left="300"/>
              <w:rPr>
                <w:sz w:val="24"/>
                <w:szCs w:val="24"/>
                <w:u w:val="single"/>
              </w:rPr>
            </w:pPr>
            <w:r w:rsidRPr="008F1967">
              <w:rPr>
                <w:sz w:val="24"/>
                <w:szCs w:val="24"/>
                <w:u w:val="single"/>
              </w:rPr>
              <w:t>Customer funds and securities</w:t>
            </w:r>
          </w:p>
          <w:p w14:paraId="02889DDD" w14:textId="77777777" w:rsidR="003D2611" w:rsidRPr="008F1967" w:rsidRDefault="003D2611" w:rsidP="00C1728B">
            <w:pPr>
              <w:numPr>
                <w:ilvl w:val="0"/>
                <w:numId w:val="121"/>
              </w:numPr>
              <w:ind w:left="750"/>
              <w:rPr>
                <w:sz w:val="24"/>
                <w:szCs w:val="24"/>
                <w:u w:val="single"/>
              </w:rPr>
            </w:pPr>
            <w:r w:rsidRPr="008F1967">
              <w:rPr>
                <w:sz w:val="24"/>
                <w:szCs w:val="24"/>
              </w:rPr>
              <w:t>When a customer requests funds or securities to be disbursed or transmitted</w:t>
            </w:r>
          </w:p>
          <w:p w14:paraId="4E1CE2B4" w14:textId="77777777" w:rsidR="003D2611" w:rsidRPr="006462D8" w:rsidRDefault="003D2611" w:rsidP="00C1728B">
            <w:pPr>
              <w:numPr>
                <w:ilvl w:val="0"/>
                <w:numId w:val="121"/>
              </w:numPr>
              <w:ind w:left="750"/>
              <w:rPr>
                <w:sz w:val="24"/>
                <w:szCs w:val="24"/>
                <w:u w:val="single"/>
              </w:rPr>
            </w:pPr>
            <w:r w:rsidRPr="008F1967">
              <w:rPr>
                <w:sz w:val="24"/>
                <w:szCs w:val="24"/>
              </w:rPr>
              <w:t>When a customer submits a LOA</w:t>
            </w:r>
          </w:p>
          <w:p w14:paraId="4531EECE" w14:textId="77777777" w:rsidR="003D2611" w:rsidRPr="003B7614" w:rsidRDefault="003D2611" w:rsidP="003D2611">
            <w:pPr>
              <w:ind w:left="750"/>
              <w:rPr>
                <w:color w:val="000000"/>
                <w:sz w:val="24"/>
                <w:szCs w:val="24"/>
                <w:u w:val="single"/>
              </w:rPr>
            </w:pPr>
          </w:p>
          <w:p w14:paraId="27A33665" w14:textId="77777777" w:rsidR="00E75A75" w:rsidRPr="003B7614" w:rsidRDefault="00E75A75" w:rsidP="00E75A75">
            <w:pPr>
              <w:ind w:left="300"/>
              <w:rPr>
                <w:color w:val="000000"/>
                <w:sz w:val="24"/>
                <w:szCs w:val="24"/>
              </w:rPr>
            </w:pPr>
            <w:r w:rsidRPr="003B7614">
              <w:rPr>
                <w:color w:val="000000"/>
                <w:sz w:val="24"/>
                <w:szCs w:val="24"/>
                <w:u w:val="single"/>
              </w:rPr>
              <w:t>Complaints</w:t>
            </w:r>
            <w:r w:rsidRPr="003B7614">
              <w:rPr>
                <w:color w:val="000000"/>
                <w:sz w:val="24"/>
                <w:szCs w:val="24"/>
              </w:rPr>
              <w:t>:</w:t>
            </w:r>
          </w:p>
          <w:p w14:paraId="3B6A8733" w14:textId="77777777" w:rsidR="00E75A75" w:rsidRPr="009F1432" w:rsidRDefault="00E75A75" w:rsidP="00C1728B">
            <w:pPr>
              <w:numPr>
                <w:ilvl w:val="0"/>
                <w:numId w:val="57"/>
              </w:numPr>
              <w:rPr>
                <w:sz w:val="24"/>
                <w:szCs w:val="24"/>
              </w:rPr>
            </w:pPr>
            <w:r w:rsidRPr="003B7614">
              <w:rPr>
                <w:color w:val="000000"/>
                <w:sz w:val="24"/>
                <w:szCs w:val="24"/>
              </w:rPr>
              <w:t xml:space="preserve">File </w:t>
            </w:r>
            <w:r w:rsidR="00AF4290" w:rsidRPr="009F1432">
              <w:rPr>
                <w:sz w:val="24"/>
                <w:szCs w:val="24"/>
              </w:rPr>
              <w:t>4530</w:t>
            </w:r>
            <w:r w:rsidRPr="009F1432">
              <w:rPr>
                <w:sz w:val="24"/>
                <w:szCs w:val="24"/>
              </w:rPr>
              <w:t xml:space="preserve"> electronic report</w:t>
            </w:r>
            <w:r w:rsidR="003F0921" w:rsidRPr="009F1432">
              <w:rPr>
                <w:sz w:val="24"/>
                <w:szCs w:val="24"/>
              </w:rPr>
              <w:t xml:space="preserve"> within 30 calendar days of knowledge</w:t>
            </w:r>
          </w:p>
          <w:p w14:paraId="00D18673" w14:textId="77777777" w:rsidR="003F0921" w:rsidRPr="009F1432" w:rsidRDefault="003F0921" w:rsidP="00C1728B">
            <w:pPr>
              <w:numPr>
                <w:ilvl w:val="0"/>
                <w:numId w:val="57"/>
              </w:numPr>
              <w:rPr>
                <w:sz w:val="24"/>
                <w:szCs w:val="24"/>
              </w:rPr>
            </w:pPr>
            <w:r w:rsidRPr="009F1432">
              <w:rPr>
                <w:sz w:val="24"/>
                <w:szCs w:val="24"/>
              </w:rPr>
              <w:t>File electronically the quarterly statistical report by the 15</w:t>
            </w:r>
            <w:r w:rsidRPr="009F1432">
              <w:rPr>
                <w:sz w:val="24"/>
                <w:szCs w:val="24"/>
                <w:vertAlign w:val="superscript"/>
              </w:rPr>
              <w:t>th</w:t>
            </w:r>
            <w:r w:rsidRPr="009F1432">
              <w:rPr>
                <w:sz w:val="24"/>
                <w:szCs w:val="24"/>
              </w:rPr>
              <w:t xml:space="preserve"> of the month following calendar quarter</w:t>
            </w:r>
          </w:p>
          <w:p w14:paraId="011F91DE" w14:textId="77777777" w:rsidR="00E75A75" w:rsidRDefault="00E75A75" w:rsidP="00C1728B">
            <w:pPr>
              <w:numPr>
                <w:ilvl w:val="0"/>
                <w:numId w:val="57"/>
              </w:numPr>
              <w:rPr>
                <w:sz w:val="24"/>
                <w:szCs w:val="24"/>
              </w:rPr>
            </w:pPr>
            <w:r w:rsidRPr="009F1432">
              <w:rPr>
                <w:sz w:val="24"/>
                <w:szCs w:val="24"/>
              </w:rPr>
              <w:t>Any follow up to complaint</w:t>
            </w:r>
          </w:p>
          <w:p w14:paraId="332BABF2" w14:textId="77777777" w:rsidR="008C1440" w:rsidRDefault="008C1440" w:rsidP="008C1440">
            <w:pPr>
              <w:ind w:left="360"/>
              <w:rPr>
                <w:sz w:val="24"/>
                <w:szCs w:val="24"/>
              </w:rPr>
            </w:pPr>
          </w:p>
          <w:p w14:paraId="2D702E07" w14:textId="77777777" w:rsidR="008C1440" w:rsidRPr="0083736F" w:rsidRDefault="008C1440" w:rsidP="008C1440">
            <w:pPr>
              <w:ind w:left="360"/>
              <w:rPr>
                <w:sz w:val="24"/>
                <w:szCs w:val="24"/>
                <w:u w:val="single"/>
              </w:rPr>
            </w:pPr>
            <w:r w:rsidRPr="0083736F">
              <w:rPr>
                <w:sz w:val="24"/>
                <w:szCs w:val="24"/>
                <w:u w:val="single"/>
              </w:rPr>
              <w:t>Retirement Accounts</w:t>
            </w:r>
          </w:p>
          <w:p w14:paraId="43A29C32" w14:textId="77777777" w:rsidR="008C1440" w:rsidRPr="0083736F" w:rsidRDefault="008C1440" w:rsidP="003E7B18">
            <w:pPr>
              <w:pStyle w:val="ListParagraph"/>
              <w:numPr>
                <w:ilvl w:val="0"/>
                <w:numId w:val="305"/>
              </w:numPr>
              <w:shd w:val="clear" w:color="auto" w:fill="FFFFFF"/>
              <w:rPr>
                <w:sz w:val="24"/>
                <w:szCs w:val="24"/>
              </w:rPr>
            </w:pPr>
            <w:r w:rsidRPr="0083736F">
              <w:rPr>
                <w:sz w:val="24"/>
                <w:szCs w:val="24"/>
              </w:rPr>
              <w:t>Identify retirement accounts subject to fiduciary requirements</w:t>
            </w:r>
          </w:p>
          <w:p w14:paraId="504EFD99" w14:textId="77777777" w:rsidR="008C1440" w:rsidRPr="0083736F" w:rsidRDefault="008C1440" w:rsidP="003E7B18">
            <w:pPr>
              <w:pStyle w:val="ListParagraph"/>
              <w:numPr>
                <w:ilvl w:val="0"/>
                <w:numId w:val="305"/>
              </w:numPr>
              <w:shd w:val="clear" w:color="auto" w:fill="FFFFFF"/>
              <w:rPr>
                <w:sz w:val="24"/>
                <w:szCs w:val="24"/>
              </w:rPr>
            </w:pPr>
            <w:r w:rsidRPr="0083736F">
              <w:rPr>
                <w:sz w:val="24"/>
                <w:szCs w:val="24"/>
              </w:rPr>
              <w:t>Make determinations on complying with fiduciary requirements which may include:</w:t>
            </w:r>
          </w:p>
          <w:p w14:paraId="0163A70F" w14:textId="77777777" w:rsidR="008C1440" w:rsidRPr="0083736F" w:rsidRDefault="008C1440" w:rsidP="00C1728B">
            <w:pPr>
              <w:pStyle w:val="ListParagraph"/>
              <w:numPr>
                <w:ilvl w:val="1"/>
                <w:numId w:val="134"/>
              </w:numPr>
              <w:shd w:val="clear" w:color="auto" w:fill="FFFFFF"/>
              <w:ind w:left="979" w:right="30" w:hanging="270"/>
              <w:rPr>
                <w:sz w:val="24"/>
                <w:szCs w:val="24"/>
              </w:rPr>
            </w:pPr>
            <w:r w:rsidRPr="0083736F">
              <w:rPr>
                <w:sz w:val="24"/>
                <w:szCs w:val="24"/>
              </w:rPr>
              <w:t>Review existing compensation packages and arrangements</w:t>
            </w:r>
          </w:p>
          <w:p w14:paraId="670CA112" w14:textId="77777777" w:rsidR="008C1440" w:rsidRPr="0083736F" w:rsidRDefault="008C1440" w:rsidP="00C1728B">
            <w:pPr>
              <w:pStyle w:val="ListParagraph"/>
              <w:numPr>
                <w:ilvl w:val="1"/>
                <w:numId w:val="134"/>
              </w:numPr>
              <w:shd w:val="clear" w:color="auto" w:fill="FFFFFF"/>
              <w:ind w:left="979" w:right="30" w:hanging="270"/>
              <w:rPr>
                <w:sz w:val="24"/>
                <w:szCs w:val="24"/>
              </w:rPr>
            </w:pPr>
            <w:r w:rsidRPr="0083736F">
              <w:rPr>
                <w:sz w:val="24"/>
                <w:szCs w:val="24"/>
              </w:rPr>
              <w:t>Identify available exemptions and compliance procedures (BICs, principal transactions, </w:t>
            </w:r>
            <w:r w:rsidRPr="0083736F">
              <w:rPr>
                <w:i/>
                <w:iCs/>
                <w:sz w:val="24"/>
                <w:szCs w:val="24"/>
              </w:rPr>
              <w:t>etc.</w:t>
            </w:r>
            <w:r w:rsidRPr="0083736F">
              <w:rPr>
                <w:sz w:val="24"/>
                <w:szCs w:val="24"/>
              </w:rPr>
              <w:t>)</w:t>
            </w:r>
          </w:p>
          <w:p w14:paraId="6A8C1956" w14:textId="77777777" w:rsidR="008C1440" w:rsidRPr="0083736F" w:rsidRDefault="008C1440" w:rsidP="00C1728B">
            <w:pPr>
              <w:pStyle w:val="ListParagraph"/>
              <w:numPr>
                <w:ilvl w:val="1"/>
                <w:numId w:val="134"/>
              </w:numPr>
              <w:shd w:val="clear" w:color="auto" w:fill="FFFFFF"/>
              <w:ind w:left="979" w:right="30" w:hanging="270"/>
              <w:rPr>
                <w:sz w:val="24"/>
                <w:szCs w:val="24"/>
              </w:rPr>
            </w:pPr>
            <w:r w:rsidRPr="0083736F">
              <w:rPr>
                <w:sz w:val="24"/>
                <w:szCs w:val="24"/>
              </w:rPr>
              <w:t>Changing compensation to level fees</w:t>
            </w:r>
          </w:p>
          <w:p w14:paraId="1BB4EFD5" w14:textId="77777777" w:rsidR="008C1440" w:rsidRPr="0083736F" w:rsidRDefault="008C1440" w:rsidP="00C1728B">
            <w:pPr>
              <w:pStyle w:val="ListParagraph"/>
              <w:numPr>
                <w:ilvl w:val="1"/>
                <w:numId w:val="134"/>
              </w:numPr>
              <w:shd w:val="clear" w:color="auto" w:fill="FFFFFF"/>
              <w:ind w:left="979" w:right="60" w:hanging="270"/>
              <w:rPr>
                <w:sz w:val="24"/>
                <w:szCs w:val="24"/>
              </w:rPr>
            </w:pPr>
            <w:r w:rsidRPr="0083736F">
              <w:rPr>
                <w:sz w:val="24"/>
                <w:szCs w:val="24"/>
              </w:rPr>
              <w:t>When level fee fiduciary status is enacted, review accounts to confirm ongoing level fees are not disadvantageous to customers when fees are disproportionate to services provided</w:t>
            </w:r>
          </w:p>
          <w:p w14:paraId="07616DF6" w14:textId="77777777" w:rsidR="008C1440" w:rsidRPr="0083736F" w:rsidRDefault="008C1440" w:rsidP="00C1728B">
            <w:pPr>
              <w:pStyle w:val="ListParagraph"/>
              <w:numPr>
                <w:ilvl w:val="1"/>
                <w:numId w:val="134"/>
              </w:numPr>
              <w:shd w:val="clear" w:color="auto" w:fill="FFFFFF"/>
              <w:ind w:left="979" w:right="30" w:hanging="270"/>
              <w:rPr>
                <w:sz w:val="24"/>
                <w:szCs w:val="24"/>
              </w:rPr>
            </w:pPr>
            <w:r w:rsidRPr="0083736F">
              <w:rPr>
                <w:sz w:val="24"/>
                <w:szCs w:val="24"/>
              </w:rPr>
              <w:t>Review of mutual funds offered sold and classes appropriate for accounts</w:t>
            </w:r>
          </w:p>
          <w:p w14:paraId="3FC436F5" w14:textId="77777777" w:rsidR="008C1440" w:rsidRPr="0083736F" w:rsidRDefault="008C1440" w:rsidP="00C1728B">
            <w:pPr>
              <w:pStyle w:val="ListParagraph"/>
              <w:numPr>
                <w:ilvl w:val="1"/>
                <w:numId w:val="134"/>
              </w:numPr>
              <w:shd w:val="clear" w:color="auto" w:fill="FFFFFF"/>
              <w:ind w:left="979" w:right="30" w:hanging="270"/>
              <w:rPr>
                <w:sz w:val="24"/>
                <w:szCs w:val="24"/>
              </w:rPr>
            </w:pPr>
            <w:r w:rsidRPr="0083736F">
              <w:rPr>
                <w:sz w:val="24"/>
                <w:szCs w:val="24"/>
              </w:rPr>
              <w:t>Identify conflicts of interest and take appropriate action which may include:</w:t>
            </w:r>
          </w:p>
          <w:p w14:paraId="657D1E82" w14:textId="77777777" w:rsidR="008C1440" w:rsidRPr="0083736F" w:rsidRDefault="00F13FD5" w:rsidP="00C1728B">
            <w:pPr>
              <w:pStyle w:val="ListParagraph"/>
              <w:numPr>
                <w:ilvl w:val="2"/>
                <w:numId w:val="134"/>
              </w:numPr>
              <w:shd w:val="clear" w:color="auto" w:fill="FFFFFF"/>
              <w:ind w:left="1429" w:right="60" w:hanging="270"/>
              <w:rPr>
                <w:sz w:val="24"/>
                <w:szCs w:val="24"/>
              </w:rPr>
            </w:pPr>
            <w:r w:rsidRPr="0083736F">
              <w:rPr>
                <w:sz w:val="24"/>
                <w:szCs w:val="24"/>
              </w:rPr>
              <w:t>Disclosures</w:t>
            </w:r>
            <w:r w:rsidR="008C1440" w:rsidRPr="0083736F">
              <w:rPr>
                <w:sz w:val="24"/>
                <w:szCs w:val="24"/>
              </w:rPr>
              <w:t xml:space="preserve"> to customers (conflicts, cost of advice, </w:t>
            </w:r>
            <w:r w:rsidR="008C1440" w:rsidRPr="0083736F">
              <w:rPr>
                <w:i/>
                <w:iCs/>
                <w:sz w:val="24"/>
                <w:szCs w:val="24"/>
              </w:rPr>
              <w:t>etc.</w:t>
            </w:r>
            <w:r w:rsidR="008C1440" w:rsidRPr="0083736F">
              <w:rPr>
                <w:sz w:val="24"/>
                <w:szCs w:val="24"/>
              </w:rPr>
              <w:t>)</w:t>
            </w:r>
          </w:p>
          <w:p w14:paraId="0C084256" w14:textId="77777777" w:rsidR="008C1440" w:rsidRPr="0083736F" w:rsidRDefault="00F13FD5" w:rsidP="00C1728B">
            <w:pPr>
              <w:pStyle w:val="ListParagraph"/>
              <w:numPr>
                <w:ilvl w:val="2"/>
                <w:numId w:val="134"/>
              </w:numPr>
              <w:shd w:val="clear" w:color="auto" w:fill="FFFFFF"/>
              <w:ind w:left="1429" w:right="60" w:hanging="270"/>
              <w:rPr>
                <w:sz w:val="24"/>
                <w:szCs w:val="24"/>
              </w:rPr>
            </w:pPr>
            <w:r w:rsidRPr="0083736F">
              <w:rPr>
                <w:sz w:val="24"/>
                <w:szCs w:val="24"/>
              </w:rPr>
              <w:t>A</w:t>
            </w:r>
            <w:r w:rsidR="008C1440" w:rsidRPr="0083736F">
              <w:rPr>
                <w:sz w:val="24"/>
                <w:szCs w:val="24"/>
              </w:rPr>
              <w:t>djustment of compensation arrangements</w:t>
            </w:r>
          </w:p>
          <w:p w14:paraId="33E5A04E" w14:textId="77777777" w:rsidR="008C1440" w:rsidRPr="0083736F" w:rsidRDefault="008C1440" w:rsidP="00C1728B">
            <w:pPr>
              <w:pStyle w:val="ListParagraph"/>
              <w:numPr>
                <w:ilvl w:val="1"/>
                <w:numId w:val="134"/>
              </w:numPr>
              <w:shd w:val="clear" w:color="auto" w:fill="FFFFFF"/>
              <w:ind w:left="979" w:right="30" w:hanging="270"/>
              <w:rPr>
                <w:sz w:val="24"/>
                <w:szCs w:val="24"/>
              </w:rPr>
            </w:pPr>
            <w:r w:rsidRPr="0083736F">
              <w:rPr>
                <w:sz w:val="24"/>
                <w:szCs w:val="24"/>
              </w:rPr>
              <w:t>Written agreements with customers via BICs</w:t>
            </w:r>
          </w:p>
          <w:p w14:paraId="0B43999F" w14:textId="77777777" w:rsidR="008C1440" w:rsidRPr="0083736F" w:rsidRDefault="008C1440" w:rsidP="00C1728B">
            <w:pPr>
              <w:pStyle w:val="ListParagraph"/>
              <w:numPr>
                <w:ilvl w:val="0"/>
                <w:numId w:val="134"/>
              </w:numPr>
              <w:shd w:val="clear" w:color="auto" w:fill="FFFFFF"/>
              <w:rPr>
                <w:sz w:val="24"/>
                <w:szCs w:val="24"/>
              </w:rPr>
            </w:pPr>
            <w:r w:rsidRPr="0083736F">
              <w:rPr>
                <w:sz w:val="24"/>
                <w:szCs w:val="24"/>
              </w:rPr>
              <w:t>Provide notification to existing customers regarding fiduciary and best interests obligations (available through January 1, 2018)</w:t>
            </w:r>
          </w:p>
          <w:p w14:paraId="3B690E9A" w14:textId="77777777" w:rsidR="008C1440" w:rsidRPr="0083736F" w:rsidRDefault="008C1440" w:rsidP="00C1728B">
            <w:pPr>
              <w:pStyle w:val="ListParagraph"/>
              <w:numPr>
                <w:ilvl w:val="0"/>
                <w:numId w:val="134"/>
              </w:numPr>
              <w:shd w:val="clear" w:color="auto" w:fill="FFFFFF"/>
              <w:ind w:right="30"/>
              <w:rPr>
                <w:sz w:val="24"/>
                <w:szCs w:val="24"/>
              </w:rPr>
            </w:pPr>
            <w:r w:rsidRPr="0083736F">
              <w:rPr>
                <w:sz w:val="24"/>
                <w:szCs w:val="24"/>
              </w:rPr>
              <w:t>Determine what action will be taken for those accounts rejecting the amended contract language, which may include closing the account</w:t>
            </w:r>
          </w:p>
          <w:p w14:paraId="4861F95E" w14:textId="77777777" w:rsidR="008C1440" w:rsidRPr="0083736F" w:rsidRDefault="008C1440" w:rsidP="00C1728B">
            <w:pPr>
              <w:pStyle w:val="ListParagraph"/>
              <w:numPr>
                <w:ilvl w:val="0"/>
                <w:numId w:val="134"/>
              </w:numPr>
              <w:shd w:val="clear" w:color="auto" w:fill="FFFFFF"/>
              <w:rPr>
                <w:sz w:val="24"/>
                <w:szCs w:val="24"/>
              </w:rPr>
            </w:pPr>
            <w:r w:rsidRPr="0083736F">
              <w:rPr>
                <w:sz w:val="24"/>
                <w:szCs w:val="24"/>
              </w:rPr>
              <w:t>When acting as a level fee fiduciary, make disclosures to customers</w:t>
            </w:r>
          </w:p>
          <w:p w14:paraId="71A879AA" w14:textId="77777777" w:rsidR="008C1440" w:rsidRPr="0083736F" w:rsidRDefault="008C1440" w:rsidP="00C1728B">
            <w:pPr>
              <w:pStyle w:val="ListParagraph"/>
              <w:numPr>
                <w:ilvl w:val="0"/>
                <w:numId w:val="134"/>
              </w:numPr>
              <w:shd w:val="clear" w:color="auto" w:fill="FFFFFF"/>
              <w:rPr>
                <w:sz w:val="24"/>
                <w:szCs w:val="24"/>
              </w:rPr>
            </w:pPr>
            <w:r w:rsidRPr="0083736F">
              <w:rPr>
                <w:sz w:val="24"/>
                <w:szCs w:val="24"/>
              </w:rPr>
              <w:t>Communicate requirements to sales personnel</w:t>
            </w:r>
          </w:p>
          <w:p w14:paraId="67506BE3" w14:textId="77777777" w:rsidR="008C1440" w:rsidRPr="0083736F" w:rsidRDefault="008C1440" w:rsidP="00C1728B">
            <w:pPr>
              <w:pStyle w:val="ListParagraph"/>
              <w:numPr>
                <w:ilvl w:val="0"/>
                <w:numId w:val="134"/>
              </w:numPr>
              <w:shd w:val="clear" w:color="auto" w:fill="FFFFFF"/>
              <w:rPr>
                <w:sz w:val="24"/>
                <w:szCs w:val="24"/>
              </w:rPr>
            </w:pPr>
            <w:r w:rsidRPr="0083736F">
              <w:rPr>
                <w:sz w:val="24"/>
                <w:szCs w:val="24"/>
              </w:rPr>
              <w:t>Review retirement accounts for compliance with requirements (compensation, contracts, </w:t>
            </w:r>
            <w:r w:rsidRPr="0083736F">
              <w:rPr>
                <w:i/>
                <w:iCs/>
                <w:sz w:val="24"/>
                <w:szCs w:val="24"/>
              </w:rPr>
              <w:t>etc.</w:t>
            </w:r>
            <w:r w:rsidRPr="0083736F">
              <w:rPr>
                <w:sz w:val="24"/>
                <w:szCs w:val="24"/>
              </w:rPr>
              <w:t>)</w:t>
            </w:r>
          </w:p>
          <w:p w14:paraId="1347CA7F" w14:textId="77777777" w:rsidR="008C1440" w:rsidRPr="0083736F" w:rsidRDefault="008C1440" w:rsidP="00C1728B">
            <w:pPr>
              <w:pStyle w:val="ListParagraph"/>
              <w:numPr>
                <w:ilvl w:val="0"/>
                <w:numId w:val="134"/>
              </w:numPr>
              <w:shd w:val="clear" w:color="auto" w:fill="FFFFFF"/>
              <w:rPr>
                <w:sz w:val="24"/>
                <w:szCs w:val="24"/>
              </w:rPr>
            </w:pPr>
            <w:r w:rsidRPr="0083736F">
              <w:rPr>
                <w:sz w:val="24"/>
                <w:szCs w:val="24"/>
              </w:rPr>
              <w:t>Monitor compensation systems to confirm they are not disincentives to making recommendations in the customer's best interest</w:t>
            </w:r>
          </w:p>
          <w:p w14:paraId="4430143F" w14:textId="77777777" w:rsidR="008C1440" w:rsidRPr="0083736F" w:rsidRDefault="008C1440" w:rsidP="00C1728B">
            <w:pPr>
              <w:pStyle w:val="ListParagraph"/>
              <w:numPr>
                <w:ilvl w:val="0"/>
                <w:numId w:val="134"/>
              </w:numPr>
              <w:shd w:val="clear" w:color="auto" w:fill="FFFFFF"/>
              <w:rPr>
                <w:sz w:val="24"/>
                <w:szCs w:val="24"/>
              </w:rPr>
            </w:pPr>
            <w:r w:rsidRPr="0083736F">
              <w:rPr>
                <w:sz w:val="24"/>
                <w:szCs w:val="24"/>
              </w:rPr>
              <w:t>Train RRs regarding fiduciary responsibilities</w:t>
            </w:r>
          </w:p>
          <w:p w14:paraId="038591E0" w14:textId="77777777" w:rsidR="008C1440" w:rsidRPr="0083736F" w:rsidRDefault="008C1440" w:rsidP="00C1728B">
            <w:pPr>
              <w:pStyle w:val="ListParagraph"/>
              <w:numPr>
                <w:ilvl w:val="0"/>
                <w:numId w:val="134"/>
              </w:numPr>
              <w:shd w:val="clear" w:color="auto" w:fill="FFFFFF"/>
              <w:ind w:left="799" w:hanging="450"/>
              <w:rPr>
                <w:sz w:val="24"/>
                <w:szCs w:val="24"/>
                <w:u w:val="single"/>
              </w:rPr>
            </w:pPr>
            <w:r w:rsidRPr="0083736F">
              <w:rPr>
                <w:sz w:val="24"/>
                <w:szCs w:val="24"/>
              </w:rPr>
              <w:t>Post required information to web site</w:t>
            </w:r>
          </w:p>
          <w:p w14:paraId="1776949F" w14:textId="77777777" w:rsidR="008A2A6F" w:rsidRDefault="008A2A6F" w:rsidP="002F4E9E">
            <w:pPr>
              <w:ind w:left="720" w:hanging="360"/>
              <w:rPr>
                <w:color w:val="000000"/>
                <w:sz w:val="24"/>
                <w:szCs w:val="24"/>
              </w:rPr>
            </w:pPr>
          </w:p>
          <w:p w14:paraId="21F53BC8" w14:textId="77777777" w:rsidR="002F4E9E" w:rsidRPr="00900F75" w:rsidRDefault="002F4E9E" w:rsidP="002F4E9E">
            <w:pPr>
              <w:ind w:left="720" w:hanging="360"/>
              <w:rPr>
                <w:color w:val="FF0000"/>
                <w:sz w:val="24"/>
                <w:szCs w:val="24"/>
                <w:u w:val="single"/>
              </w:rPr>
            </w:pPr>
            <w:r w:rsidRPr="00900F75">
              <w:rPr>
                <w:color w:val="FF0000"/>
                <w:sz w:val="24"/>
                <w:szCs w:val="24"/>
                <w:u w:val="single"/>
              </w:rPr>
              <w:t>Senior Investors</w:t>
            </w:r>
          </w:p>
          <w:p w14:paraId="50749480" w14:textId="2371D15C" w:rsidR="002F4E9E" w:rsidRPr="00900F75" w:rsidRDefault="002F4E9E" w:rsidP="0005402C">
            <w:pPr>
              <w:pStyle w:val="ListParagraph"/>
              <w:numPr>
                <w:ilvl w:val="0"/>
                <w:numId w:val="399"/>
              </w:numPr>
              <w:ind w:left="720" w:hanging="270"/>
              <w:rPr>
                <w:color w:val="FF0000"/>
                <w:sz w:val="24"/>
                <w:szCs w:val="24"/>
              </w:rPr>
            </w:pPr>
            <w:r w:rsidRPr="00900F75">
              <w:rPr>
                <w:color w:val="FF0000"/>
                <w:sz w:val="24"/>
                <w:szCs w:val="24"/>
              </w:rPr>
              <w:t>Requests for temporary holds</w:t>
            </w:r>
          </w:p>
          <w:p w14:paraId="427ED490" w14:textId="48272A01" w:rsidR="002F4E9E" w:rsidRPr="00900F75" w:rsidRDefault="002F4E9E" w:rsidP="0005402C">
            <w:pPr>
              <w:pStyle w:val="ListParagraph"/>
              <w:numPr>
                <w:ilvl w:val="0"/>
                <w:numId w:val="399"/>
              </w:numPr>
              <w:ind w:left="720" w:hanging="270"/>
              <w:rPr>
                <w:color w:val="FF0000"/>
                <w:sz w:val="24"/>
                <w:szCs w:val="24"/>
              </w:rPr>
            </w:pPr>
            <w:r w:rsidRPr="00900F75">
              <w:rPr>
                <w:color w:val="FF0000"/>
                <w:sz w:val="24"/>
                <w:szCs w:val="24"/>
              </w:rPr>
              <w:t>Any indications of financial exploitation</w:t>
            </w:r>
            <w:r w:rsidR="00900F75" w:rsidRPr="00900F75">
              <w:rPr>
                <w:color w:val="FF0000"/>
                <w:sz w:val="24"/>
                <w:szCs w:val="24"/>
              </w:rPr>
              <w:t xml:space="preserve"> and/or escalation issues</w:t>
            </w:r>
          </w:p>
          <w:p w14:paraId="363A01D0" w14:textId="33214655" w:rsidR="002F4E9E" w:rsidRPr="002F4E9E" w:rsidRDefault="002F4E9E" w:rsidP="0005402C">
            <w:pPr>
              <w:pStyle w:val="ListParagraph"/>
              <w:numPr>
                <w:ilvl w:val="0"/>
                <w:numId w:val="399"/>
              </w:numPr>
              <w:ind w:left="720" w:hanging="270"/>
              <w:rPr>
                <w:color w:val="000000"/>
                <w:sz w:val="24"/>
                <w:szCs w:val="24"/>
              </w:rPr>
            </w:pPr>
            <w:r w:rsidRPr="00900F75">
              <w:rPr>
                <w:color w:val="FF0000"/>
                <w:sz w:val="24"/>
                <w:szCs w:val="24"/>
              </w:rPr>
              <w:t xml:space="preserve">Training </w:t>
            </w:r>
          </w:p>
        </w:tc>
      </w:tr>
      <w:tr w:rsidR="00296117" w:rsidRPr="00424F51" w14:paraId="4B914582" w14:textId="77777777">
        <w:trPr>
          <w:tblCellSpacing w:w="0" w:type="dxa"/>
        </w:trPr>
        <w:tc>
          <w:tcPr>
            <w:tcW w:w="913" w:type="pct"/>
            <w:tcBorders>
              <w:top w:val="outset" w:sz="6" w:space="0" w:color="auto"/>
              <w:left w:val="outset" w:sz="6" w:space="0" w:color="auto"/>
              <w:bottom w:val="outset" w:sz="6" w:space="0" w:color="auto"/>
              <w:right w:val="outset" w:sz="6" w:space="0" w:color="auto"/>
            </w:tcBorders>
            <w:vAlign w:val="center"/>
          </w:tcPr>
          <w:p w14:paraId="251D7DC0" w14:textId="77777777" w:rsidR="00296117" w:rsidRPr="00424F51" w:rsidRDefault="00296117" w:rsidP="00296117">
            <w:pPr>
              <w:jc w:val="center"/>
              <w:rPr>
                <w:b/>
                <w:bCs/>
                <w:sz w:val="24"/>
                <w:szCs w:val="24"/>
              </w:rPr>
            </w:pPr>
            <w:r w:rsidRPr="00424F51">
              <w:rPr>
                <w:b/>
                <w:bCs/>
                <w:sz w:val="24"/>
                <w:szCs w:val="24"/>
              </w:rPr>
              <w:lastRenderedPageBreak/>
              <w:t>Record</w:t>
            </w:r>
            <w:r w:rsidR="002D12DF" w:rsidRPr="00424F51">
              <w:rPr>
                <w:b/>
                <w:bCs/>
                <w:sz w:val="24"/>
                <w:szCs w:val="24"/>
              </w:rPr>
              <w:t>s</w:t>
            </w:r>
          </w:p>
        </w:tc>
        <w:tc>
          <w:tcPr>
            <w:tcW w:w="4087" w:type="pct"/>
            <w:tcBorders>
              <w:top w:val="outset" w:sz="6" w:space="0" w:color="auto"/>
              <w:left w:val="outset" w:sz="6" w:space="0" w:color="auto"/>
              <w:bottom w:val="outset" w:sz="6" w:space="0" w:color="auto"/>
              <w:right w:val="outset" w:sz="6" w:space="0" w:color="auto"/>
            </w:tcBorders>
            <w:vAlign w:val="center"/>
          </w:tcPr>
          <w:p w14:paraId="776E000B" w14:textId="77777777" w:rsidR="008A2A6F" w:rsidRPr="00424F51" w:rsidRDefault="00296117" w:rsidP="00C1728B">
            <w:pPr>
              <w:numPr>
                <w:ilvl w:val="0"/>
                <w:numId w:val="58"/>
              </w:numPr>
              <w:rPr>
                <w:sz w:val="24"/>
                <w:szCs w:val="24"/>
              </w:rPr>
            </w:pPr>
            <w:r w:rsidRPr="00424F51">
              <w:rPr>
                <w:sz w:val="24"/>
                <w:szCs w:val="24"/>
              </w:rPr>
              <w:t>New account records</w:t>
            </w:r>
          </w:p>
          <w:p w14:paraId="5204A945" w14:textId="77777777" w:rsidR="00296117" w:rsidRPr="00424F51" w:rsidRDefault="008A2A6F" w:rsidP="00C1728B">
            <w:pPr>
              <w:numPr>
                <w:ilvl w:val="0"/>
                <w:numId w:val="58"/>
              </w:numPr>
              <w:rPr>
                <w:sz w:val="24"/>
                <w:szCs w:val="24"/>
              </w:rPr>
            </w:pPr>
            <w:r w:rsidRPr="00424F51">
              <w:rPr>
                <w:sz w:val="24"/>
                <w:szCs w:val="24"/>
              </w:rPr>
              <w:t>S</w:t>
            </w:r>
            <w:r w:rsidR="00296117" w:rsidRPr="00424F51">
              <w:rPr>
                <w:sz w:val="24"/>
                <w:szCs w:val="24"/>
              </w:rPr>
              <w:t>upervisor's approval</w:t>
            </w:r>
          </w:p>
          <w:p w14:paraId="17DE9EE6" w14:textId="77777777" w:rsidR="008A2A6F" w:rsidRPr="00424F51" w:rsidRDefault="008A2A6F" w:rsidP="00C1728B">
            <w:pPr>
              <w:numPr>
                <w:ilvl w:val="0"/>
                <w:numId w:val="58"/>
              </w:numPr>
              <w:rPr>
                <w:sz w:val="24"/>
                <w:szCs w:val="24"/>
              </w:rPr>
            </w:pPr>
            <w:r w:rsidRPr="00424F51">
              <w:rPr>
                <w:sz w:val="24"/>
                <w:szCs w:val="24"/>
              </w:rPr>
              <w:t>Any applicable Compliance logs, notes in WinOps</w:t>
            </w:r>
          </w:p>
          <w:p w14:paraId="5282A76F" w14:textId="77777777" w:rsidR="008A2A6F" w:rsidRPr="00424F51" w:rsidRDefault="008A2A6F" w:rsidP="00C1728B">
            <w:pPr>
              <w:numPr>
                <w:ilvl w:val="0"/>
                <w:numId w:val="58"/>
              </w:numPr>
              <w:rPr>
                <w:sz w:val="24"/>
                <w:szCs w:val="24"/>
              </w:rPr>
            </w:pPr>
            <w:r w:rsidRPr="00424F51">
              <w:rPr>
                <w:sz w:val="24"/>
                <w:szCs w:val="24"/>
              </w:rPr>
              <w:t>Review log in WinOps</w:t>
            </w:r>
          </w:p>
          <w:p w14:paraId="795E2AE8" w14:textId="77777777" w:rsidR="003D2611" w:rsidRPr="00424F51" w:rsidRDefault="003D2611" w:rsidP="00C1728B">
            <w:pPr>
              <w:numPr>
                <w:ilvl w:val="0"/>
                <w:numId w:val="58"/>
              </w:numPr>
              <w:rPr>
                <w:sz w:val="24"/>
                <w:szCs w:val="24"/>
              </w:rPr>
            </w:pPr>
            <w:r w:rsidRPr="00424F51">
              <w:rPr>
                <w:sz w:val="24"/>
                <w:szCs w:val="24"/>
              </w:rPr>
              <w:t>LOAs, checks disbursed</w:t>
            </w:r>
          </w:p>
          <w:p w14:paraId="2CA10177" w14:textId="77777777" w:rsidR="00EA743B" w:rsidRPr="00424F51" w:rsidRDefault="00EA743B" w:rsidP="00C1728B">
            <w:pPr>
              <w:numPr>
                <w:ilvl w:val="0"/>
                <w:numId w:val="58"/>
              </w:numPr>
              <w:rPr>
                <w:sz w:val="24"/>
                <w:szCs w:val="24"/>
              </w:rPr>
            </w:pPr>
            <w:r w:rsidRPr="00424F51">
              <w:rPr>
                <w:sz w:val="24"/>
                <w:szCs w:val="24"/>
              </w:rPr>
              <w:t>17A3s returned, Log in WinOps</w:t>
            </w:r>
          </w:p>
          <w:p w14:paraId="37C1FD62" w14:textId="77777777" w:rsidR="00E278B2" w:rsidRPr="00424F51" w:rsidRDefault="00E278B2" w:rsidP="00C1728B">
            <w:pPr>
              <w:numPr>
                <w:ilvl w:val="0"/>
                <w:numId w:val="58"/>
              </w:numPr>
              <w:rPr>
                <w:sz w:val="24"/>
                <w:szCs w:val="24"/>
              </w:rPr>
            </w:pPr>
            <w:r w:rsidRPr="00424F51">
              <w:rPr>
                <w:sz w:val="24"/>
                <w:szCs w:val="24"/>
              </w:rPr>
              <w:t>Compliance meeting records</w:t>
            </w:r>
          </w:p>
          <w:p w14:paraId="28227990" w14:textId="77777777" w:rsidR="00C0239C" w:rsidRPr="00424F51" w:rsidRDefault="00C0239C" w:rsidP="00C1728B">
            <w:pPr>
              <w:numPr>
                <w:ilvl w:val="0"/>
                <w:numId w:val="58"/>
              </w:numPr>
              <w:rPr>
                <w:sz w:val="24"/>
                <w:szCs w:val="24"/>
              </w:rPr>
            </w:pPr>
            <w:r w:rsidRPr="00424F51">
              <w:rPr>
                <w:sz w:val="24"/>
                <w:szCs w:val="24"/>
              </w:rPr>
              <w:lastRenderedPageBreak/>
              <w:t xml:space="preserve">Customer Compliant/ </w:t>
            </w:r>
            <w:r w:rsidR="00AF4290" w:rsidRPr="00424F51">
              <w:rPr>
                <w:sz w:val="24"/>
                <w:szCs w:val="24"/>
              </w:rPr>
              <w:t>4530</w:t>
            </w:r>
            <w:r w:rsidRPr="00424F51">
              <w:rPr>
                <w:sz w:val="24"/>
                <w:szCs w:val="24"/>
              </w:rPr>
              <w:t xml:space="preserve"> filing in CRD, related documentation</w:t>
            </w:r>
          </w:p>
          <w:p w14:paraId="4D9E3E70" w14:textId="77777777" w:rsidR="007A7D9B" w:rsidRPr="00424F51" w:rsidRDefault="007A7D9B" w:rsidP="00C1728B">
            <w:pPr>
              <w:numPr>
                <w:ilvl w:val="0"/>
                <w:numId w:val="58"/>
              </w:numPr>
              <w:rPr>
                <w:sz w:val="24"/>
                <w:szCs w:val="24"/>
              </w:rPr>
            </w:pPr>
            <w:r w:rsidRPr="00424F51">
              <w:rPr>
                <w:sz w:val="24"/>
                <w:szCs w:val="24"/>
              </w:rPr>
              <w:t>Disclosure records</w:t>
            </w:r>
          </w:p>
          <w:p w14:paraId="4ACE2036" w14:textId="77777777" w:rsidR="006462D8" w:rsidRPr="00424F51" w:rsidRDefault="006462D8" w:rsidP="00C1728B">
            <w:pPr>
              <w:numPr>
                <w:ilvl w:val="0"/>
                <w:numId w:val="58"/>
              </w:numPr>
              <w:rPr>
                <w:sz w:val="24"/>
                <w:szCs w:val="24"/>
              </w:rPr>
            </w:pPr>
            <w:r w:rsidRPr="00424F51">
              <w:rPr>
                <w:sz w:val="24"/>
                <w:szCs w:val="24"/>
              </w:rPr>
              <w:t>Reviewed transaction and other reports</w:t>
            </w:r>
          </w:p>
          <w:p w14:paraId="60B68311" w14:textId="77777777" w:rsidR="001423D6" w:rsidRDefault="001423D6" w:rsidP="00C1728B">
            <w:pPr>
              <w:numPr>
                <w:ilvl w:val="0"/>
                <w:numId w:val="58"/>
              </w:numPr>
              <w:rPr>
                <w:sz w:val="24"/>
                <w:szCs w:val="24"/>
              </w:rPr>
            </w:pPr>
            <w:r w:rsidRPr="00424F51">
              <w:rPr>
                <w:sz w:val="24"/>
                <w:szCs w:val="24"/>
              </w:rPr>
              <w:t>Institutional Suitability Certificates</w:t>
            </w:r>
          </w:p>
          <w:p w14:paraId="54CF2001" w14:textId="77777777" w:rsidR="000261CF" w:rsidRPr="0083736F" w:rsidRDefault="000261CF" w:rsidP="00C1728B">
            <w:pPr>
              <w:numPr>
                <w:ilvl w:val="0"/>
                <w:numId w:val="58"/>
              </w:numPr>
              <w:tabs>
                <w:tab w:val="clear" w:pos="720"/>
                <w:tab w:val="num" w:pos="799"/>
              </w:tabs>
              <w:rPr>
                <w:sz w:val="24"/>
                <w:szCs w:val="24"/>
              </w:rPr>
            </w:pPr>
            <w:r w:rsidRPr="0083736F">
              <w:rPr>
                <w:sz w:val="24"/>
                <w:szCs w:val="24"/>
              </w:rPr>
              <w:t>Retirement Accounts:</w:t>
            </w:r>
          </w:p>
          <w:p w14:paraId="290BB7BB" w14:textId="77777777" w:rsidR="000261CF" w:rsidRPr="0083736F" w:rsidRDefault="000261CF" w:rsidP="00C1728B">
            <w:pPr>
              <w:pStyle w:val="ListParagraph"/>
              <w:numPr>
                <w:ilvl w:val="1"/>
                <w:numId w:val="134"/>
              </w:numPr>
              <w:shd w:val="clear" w:color="auto" w:fill="FFFFFF"/>
              <w:tabs>
                <w:tab w:val="num" w:pos="979"/>
              </w:tabs>
              <w:ind w:left="979" w:hanging="270"/>
              <w:rPr>
                <w:sz w:val="24"/>
                <w:szCs w:val="24"/>
              </w:rPr>
            </w:pPr>
            <w:r w:rsidRPr="0083736F">
              <w:rPr>
                <w:sz w:val="24"/>
                <w:szCs w:val="24"/>
              </w:rPr>
              <w:t>Identification of retirement accounts</w:t>
            </w:r>
          </w:p>
          <w:p w14:paraId="419453F4" w14:textId="77777777" w:rsidR="000261CF" w:rsidRPr="0083736F" w:rsidRDefault="000261CF" w:rsidP="00C1728B">
            <w:pPr>
              <w:pStyle w:val="ListParagraph"/>
              <w:numPr>
                <w:ilvl w:val="1"/>
                <w:numId w:val="134"/>
              </w:numPr>
              <w:shd w:val="clear" w:color="auto" w:fill="FFFFFF"/>
              <w:tabs>
                <w:tab w:val="num" w:pos="979"/>
              </w:tabs>
              <w:ind w:left="979" w:hanging="270"/>
              <w:rPr>
                <w:sz w:val="24"/>
                <w:szCs w:val="24"/>
              </w:rPr>
            </w:pPr>
            <w:r w:rsidRPr="0083736F">
              <w:rPr>
                <w:sz w:val="24"/>
                <w:szCs w:val="24"/>
              </w:rPr>
              <w:t>Product reviews</w:t>
            </w:r>
          </w:p>
          <w:p w14:paraId="72659B5E" w14:textId="77777777" w:rsidR="000261CF" w:rsidRPr="0083736F" w:rsidRDefault="000261CF" w:rsidP="00C1728B">
            <w:pPr>
              <w:pStyle w:val="ListParagraph"/>
              <w:numPr>
                <w:ilvl w:val="1"/>
                <w:numId w:val="134"/>
              </w:numPr>
              <w:shd w:val="clear" w:color="auto" w:fill="FFFFFF"/>
              <w:tabs>
                <w:tab w:val="num" w:pos="979"/>
              </w:tabs>
              <w:ind w:left="979" w:hanging="270"/>
              <w:rPr>
                <w:sz w:val="24"/>
                <w:szCs w:val="24"/>
              </w:rPr>
            </w:pPr>
            <w:r w:rsidRPr="0083736F">
              <w:rPr>
                <w:sz w:val="24"/>
                <w:szCs w:val="24"/>
              </w:rPr>
              <w:t>Reviews of compensation</w:t>
            </w:r>
          </w:p>
          <w:p w14:paraId="3F065C49" w14:textId="77777777" w:rsidR="000261CF" w:rsidRPr="0083736F" w:rsidRDefault="000261CF" w:rsidP="00C1728B">
            <w:pPr>
              <w:pStyle w:val="ListParagraph"/>
              <w:numPr>
                <w:ilvl w:val="1"/>
                <w:numId w:val="134"/>
              </w:numPr>
              <w:shd w:val="clear" w:color="auto" w:fill="FFFFFF"/>
              <w:tabs>
                <w:tab w:val="num" w:pos="979"/>
              </w:tabs>
              <w:ind w:left="979" w:hanging="270"/>
              <w:rPr>
                <w:sz w:val="24"/>
                <w:szCs w:val="24"/>
              </w:rPr>
            </w:pPr>
            <w:r w:rsidRPr="0083736F">
              <w:rPr>
                <w:sz w:val="24"/>
                <w:szCs w:val="24"/>
              </w:rPr>
              <w:t>Notifications to existing retirement account customers through January 1, 2018</w:t>
            </w:r>
          </w:p>
          <w:p w14:paraId="2E41A9BB" w14:textId="77777777" w:rsidR="000261CF" w:rsidRPr="004A2AB1" w:rsidRDefault="000261CF" w:rsidP="00C1728B">
            <w:pPr>
              <w:pStyle w:val="ListParagraph"/>
              <w:numPr>
                <w:ilvl w:val="1"/>
                <w:numId w:val="134"/>
              </w:numPr>
              <w:shd w:val="clear" w:color="auto" w:fill="FFFFFF"/>
              <w:tabs>
                <w:tab w:val="num" w:pos="979"/>
              </w:tabs>
              <w:ind w:left="979" w:hanging="270"/>
              <w:rPr>
                <w:rFonts w:ascii="Arial" w:hAnsi="Arial" w:cs="Arial"/>
                <w:color w:val="333333"/>
                <w:sz w:val="21"/>
                <w:szCs w:val="21"/>
              </w:rPr>
            </w:pPr>
            <w:r w:rsidRPr="0083736F">
              <w:rPr>
                <w:sz w:val="24"/>
                <w:szCs w:val="24"/>
              </w:rPr>
              <w:t>BICs</w:t>
            </w:r>
          </w:p>
          <w:p w14:paraId="1678341C" w14:textId="77777777" w:rsidR="004A2AB1" w:rsidRPr="00900F75" w:rsidRDefault="004A2AB1" w:rsidP="00C1728B">
            <w:pPr>
              <w:pStyle w:val="ListParagraph"/>
              <w:numPr>
                <w:ilvl w:val="1"/>
                <w:numId w:val="134"/>
              </w:numPr>
              <w:shd w:val="clear" w:color="auto" w:fill="FFFFFF"/>
              <w:tabs>
                <w:tab w:val="num" w:pos="979"/>
              </w:tabs>
              <w:ind w:left="979" w:hanging="270"/>
              <w:rPr>
                <w:color w:val="333333"/>
                <w:sz w:val="21"/>
                <w:szCs w:val="21"/>
              </w:rPr>
            </w:pPr>
            <w:r w:rsidRPr="00482C40">
              <w:rPr>
                <w:sz w:val="24"/>
                <w:szCs w:val="24"/>
              </w:rPr>
              <w:t>Form CRS records</w:t>
            </w:r>
          </w:p>
          <w:p w14:paraId="720F2F2A" w14:textId="3FCA7EA4" w:rsidR="00900F75" w:rsidRPr="00900F75" w:rsidRDefault="00900F75" w:rsidP="00900F75">
            <w:pPr>
              <w:pStyle w:val="ListParagraph"/>
              <w:numPr>
                <w:ilvl w:val="0"/>
                <w:numId w:val="134"/>
              </w:numPr>
              <w:shd w:val="clear" w:color="auto" w:fill="FFFFFF"/>
              <w:rPr>
                <w:color w:val="333333"/>
                <w:sz w:val="21"/>
                <w:szCs w:val="21"/>
              </w:rPr>
            </w:pPr>
            <w:r w:rsidRPr="00900F75">
              <w:rPr>
                <w:color w:val="FF0000"/>
                <w:sz w:val="21"/>
                <w:szCs w:val="21"/>
              </w:rPr>
              <w:t xml:space="preserve">Records of temporary holds, suspected financial exploitation, </w:t>
            </w:r>
            <w:r w:rsidR="001946FC" w:rsidRPr="00FF4258">
              <w:rPr>
                <w:color w:val="FF0000"/>
                <w:sz w:val="21"/>
                <w:szCs w:val="21"/>
              </w:rPr>
              <w:t>a</w:t>
            </w:r>
            <w:r w:rsidR="00FF4258" w:rsidRPr="00FF4258">
              <w:rPr>
                <w:color w:val="FF0000"/>
                <w:sz w:val="21"/>
                <w:szCs w:val="21"/>
              </w:rPr>
              <w:t>ny e</w:t>
            </w:r>
            <w:r w:rsidRPr="00900F75">
              <w:rPr>
                <w:color w:val="FF0000"/>
                <w:sz w:val="21"/>
                <w:szCs w:val="21"/>
              </w:rPr>
              <w:t>scalation issues.</w:t>
            </w:r>
          </w:p>
        </w:tc>
      </w:tr>
    </w:tbl>
    <w:p w14:paraId="1F2471C2" w14:textId="77777777" w:rsidR="00296117" w:rsidRPr="00424F51" w:rsidRDefault="00296117" w:rsidP="007C6877">
      <w:pPr>
        <w:jc w:val="both"/>
        <w:rPr>
          <w:sz w:val="24"/>
        </w:rPr>
      </w:pPr>
    </w:p>
    <w:p w14:paraId="542CD7AC" w14:textId="77777777" w:rsidR="00D114C8" w:rsidRPr="00424F51" w:rsidRDefault="00D114C8" w:rsidP="007C6877">
      <w:pPr>
        <w:jc w:val="both"/>
        <w:rPr>
          <w:sz w:val="24"/>
        </w:rPr>
      </w:pPr>
    </w:p>
    <w:p w14:paraId="575AC42A" w14:textId="77777777" w:rsidR="00D114C8" w:rsidRPr="00424F51" w:rsidRDefault="00D114C8" w:rsidP="00936FEE">
      <w:pPr>
        <w:pStyle w:val="Heading2"/>
      </w:pPr>
      <w:bookmarkStart w:id="70" w:name="NewAccounts"/>
      <w:bookmarkEnd w:id="70"/>
      <w:r w:rsidRPr="00424F51">
        <w:t>5.3</w:t>
      </w:r>
      <w:r w:rsidR="00DE013D" w:rsidRPr="00424F51">
        <w:t xml:space="preserve"> </w:t>
      </w:r>
      <w:r w:rsidRPr="00424F51">
        <w:t>New Accounts</w:t>
      </w:r>
    </w:p>
    <w:p w14:paraId="50246190" w14:textId="61E4F05E" w:rsidR="00D114C8" w:rsidRPr="009025E3" w:rsidRDefault="00D114C8" w:rsidP="00D114C8">
      <w:pPr>
        <w:jc w:val="both"/>
        <w:rPr>
          <w:sz w:val="24"/>
        </w:rPr>
      </w:pPr>
      <w:r w:rsidRPr="00424F51">
        <w:rPr>
          <w:sz w:val="24"/>
        </w:rPr>
        <w:t xml:space="preserve">All new accounts opened with the Company will require the Company's acceptance of such account.  Acceptance will be acknowledged by the designated person's signing of all subscription agreements and/or New Account Forms.  Customer Accounts originating in the home office shall be accepted by Morris Monroe </w:t>
      </w:r>
      <w:r w:rsidR="0032404C" w:rsidRPr="00424F51">
        <w:rPr>
          <w:sz w:val="24"/>
        </w:rPr>
        <w:t>or other principal(s)</w:t>
      </w:r>
      <w:r w:rsidR="0032404C">
        <w:rPr>
          <w:sz w:val="24"/>
        </w:rPr>
        <w:t xml:space="preserve"> </w:t>
      </w:r>
      <w:r>
        <w:rPr>
          <w:sz w:val="24"/>
        </w:rPr>
        <w:t xml:space="preserve">on behalf of the Company and the designated principal for </w:t>
      </w:r>
      <w:r w:rsidR="00560F40">
        <w:rPr>
          <w:sz w:val="24"/>
        </w:rPr>
        <w:t>any</w:t>
      </w:r>
      <w:r>
        <w:rPr>
          <w:sz w:val="24"/>
        </w:rPr>
        <w:t xml:space="preserve"> OSJ.  </w:t>
      </w:r>
      <w:r w:rsidRPr="006D5CDF">
        <w:rPr>
          <w:sz w:val="24"/>
        </w:rPr>
        <w:t>Morris Monroe accounts will be further approved by Laura Hendricks</w:t>
      </w:r>
      <w:r w:rsidR="004B4326" w:rsidRPr="006D5CDF">
        <w:rPr>
          <w:sz w:val="24"/>
        </w:rPr>
        <w:t xml:space="preserve">, </w:t>
      </w:r>
      <w:r w:rsidRPr="00B81D46">
        <w:rPr>
          <w:sz w:val="24"/>
        </w:rPr>
        <w:t xml:space="preserve"> evidenced in a field in Win</w:t>
      </w:r>
      <w:r w:rsidR="009F1432">
        <w:rPr>
          <w:sz w:val="24"/>
        </w:rPr>
        <w:t>O</w:t>
      </w:r>
      <w:r w:rsidRPr="00B81D46">
        <w:rPr>
          <w:sz w:val="24"/>
        </w:rPr>
        <w:t>ps (can be post account opening but with an effort made to do so within 30 days of being entered into WinOps).</w:t>
      </w:r>
      <w:r w:rsidR="00EA44AD">
        <w:rPr>
          <w:sz w:val="24"/>
        </w:rPr>
        <w:t xml:space="preserve">  </w:t>
      </w:r>
    </w:p>
    <w:p w14:paraId="1EBFB724" w14:textId="77777777" w:rsidR="007A2948" w:rsidRDefault="007A2948" w:rsidP="00D114C8">
      <w:pPr>
        <w:jc w:val="both"/>
        <w:rPr>
          <w:sz w:val="24"/>
        </w:rPr>
      </w:pPr>
    </w:p>
    <w:p w14:paraId="3BE1B426" w14:textId="77777777" w:rsidR="007A2948" w:rsidRPr="00424F51" w:rsidRDefault="007A2948" w:rsidP="00D114C8">
      <w:pPr>
        <w:jc w:val="both"/>
        <w:rPr>
          <w:sz w:val="24"/>
          <w:szCs w:val="24"/>
        </w:rPr>
      </w:pPr>
      <w:r w:rsidRPr="00424F51">
        <w:rPr>
          <w:sz w:val="24"/>
          <w:szCs w:val="24"/>
        </w:rPr>
        <w:t xml:space="preserve">Company will provide </w:t>
      </w:r>
      <w:r w:rsidR="00ED3A5B" w:rsidRPr="00424F51">
        <w:rPr>
          <w:sz w:val="24"/>
          <w:szCs w:val="24"/>
        </w:rPr>
        <w:t xml:space="preserve">required written disclosures to each new customer prior to or at the time a new account </w:t>
      </w:r>
      <w:r w:rsidR="0032404C" w:rsidRPr="00424F51">
        <w:rPr>
          <w:sz w:val="24"/>
          <w:szCs w:val="24"/>
        </w:rPr>
        <w:t>is</w:t>
      </w:r>
      <w:r w:rsidRPr="00424F51">
        <w:rPr>
          <w:sz w:val="24"/>
          <w:szCs w:val="24"/>
        </w:rPr>
        <w:t xml:space="preserve"> opened. In addition, customers will be asked to acknowledge, in writing, their receipt and understanding of the required disclosures.</w:t>
      </w:r>
    </w:p>
    <w:p w14:paraId="5CC8E800" w14:textId="77777777" w:rsidR="002F1F0A" w:rsidRPr="00424F51" w:rsidRDefault="002F1F0A" w:rsidP="00D114C8">
      <w:pPr>
        <w:jc w:val="both"/>
        <w:rPr>
          <w:sz w:val="24"/>
        </w:rPr>
      </w:pPr>
    </w:p>
    <w:p w14:paraId="22792BCE" w14:textId="77777777" w:rsidR="00AB363C" w:rsidRPr="00424F51" w:rsidRDefault="0041540B" w:rsidP="003E7B18">
      <w:pPr>
        <w:pStyle w:val="Heading3"/>
        <w:numPr>
          <w:ilvl w:val="2"/>
          <w:numId w:val="310"/>
        </w:numPr>
      </w:pPr>
      <w:r w:rsidRPr="00424F51">
        <w:t xml:space="preserve">Rule 4512 - </w:t>
      </w:r>
      <w:r w:rsidR="00AB363C" w:rsidRPr="00424F51">
        <w:t xml:space="preserve">Account </w:t>
      </w:r>
      <w:r w:rsidRPr="00424F51">
        <w:t>Information</w:t>
      </w:r>
      <w:r w:rsidR="00B85268">
        <w:t>/</w:t>
      </w:r>
      <w:r w:rsidR="009616FE">
        <w:t xml:space="preserve"> Customer Due Diligence</w:t>
      </w:r>
    </w:p>
    <w:p w14:paraId="1D925594" w14:textId="77777777" w:rsidR="0041540B" w:rsidRPr="00424F51" w:rsidRDefault="00056A0C" w:rsidP="0041540B">
      <w:pPr>
        <w:ind w:left="360"/>
        <w:rPr>
          <w:sz w:val="24"/>
          <w:szCs w:val="24"/>
        </w:rPr>
      </w:pPr>
      <w:r w:rsidRPr="00424F51">
        <w:rPr>
          <w:sz w:val="24"/>
          <w:szCs w:val="24"/>
        </w:rPr>
        <w:t>Company shall obtain/maintain the following information for each account:</w:t>
      </w:r>
    </w:p>
    <w:p w14:paraId="11E9DD25" w14:textId="77777777" w:rsidR="00056A0C" w:rsidRPr="00424F51" w:rsidRDefault="00056A0C" w:rsidP="003E7B18">
      <w:pPr>
        <w:numPr>
          <w:ilvl w:val="0"/>
          <w:numId w:val="155"/>
        </w:numPr>
        <w:ind w:left="990" w:hanging="270"/>
        <w:rPr>
          <w:sz w:val="24"/>
          <w:szCs w:val="24"/>
        </w:rPr>
      </w:pPr>
      <w:r w:rsidRPr="00424F51">
        <w:rPr>
          <w:sz w:val="24"/>
          <w:szCs w:val="24"/>
        </w:rPr>
        <w:t xml:space="preserve"> Customer’s name and residence address;</w:t>
      </w:r>
    </w:p>
    <w:p w14:paraId="53D587C4" w14:textId="77777777" w:rsidR="00056A0C" w:rsidRPr="00424F51" w:rsidRDefault="00056A0C" w:rsidP="003E7B18">
      <w:pPr>
        <w:numPr>
          <w:ilvl w:val="0"/>
          <w:numId w:val="155"/>
        </w:numPr>
        <w:ind w:left="990" w:hanging="270"/>
        <w:rPr>
          <w:sz w:val="24"/>
          <w:szCs w:val="24"/>
        </w:rPr>
      </w:pPr>
      <w:r w:rsidRPr="00424F51">
        <w:rPr>
          <w:sz w:val="24"/>
          <w:szCs w:val="24"/>
        </w:rPr>
        <w:t xml:space="preserve"> Whether customer is of legal age;</w:t>
      </w:r>
    </w:p>
    <w:p w14:paraId="41C6544D" w14:textId="77777777" w:rsidR="00056A0C" w:rsidRPr="00424F51" w:rsidRDefault="00056A0C" w:rsidP="003E7B18">
      <w:pPr>
        <w:numPr>
          <w:ilvl w:val="0"/>
          <w:numId w:val="155"/>
        </w:numPr>
        <w:ind w:left="990" w:hanging="270"/>
        <w:rPr>
          <w:sz w:val="24"/>
          <w:szCs w:val="24"/>
        </w:rPr>
      </w:pPr>
      <w:r w:rsidRPr="00424F51">
        <w:rPr>
          <w:sz w:val="24"/>
          <w:szCs w:val="24"/>
        </w:rPr>
        <w:t xml:space="preserve"> Name of RR responsible for the account;</w:t>
      </w:r>
    </w:p>
    <w:p w14:paraId="709CEF9A" w14:textId="77777777" w:rsidR="00056A0C" w:rsidRPr="00424F51" w:rsidRDefault="00056A0C" w:rsidP="003E7B18">
      <w:pPr>
        <w:numPr>
          <w:ilvl w:val="0"/>
          <w:numId w:val="155"/>
        </w:numPr>
        <w:rPr>
          <w:sz w:val="24"/>
          <w:szCs w:val="24"/>
        </w:rPr>
      </w:pPr>
      <w:r w:rsidRPr="00424F51">
        <w:rPr>
          <w:sz w:val="24"/>
          <w:szCs w:val="24"/>
        </w:rPr>
        <w:t xml:space="preserve">Signature </w:t>
      </w:r>
      <w:r w:rsidR="00ED2BAE" w:rsidRPr="008239F6">
        <w:rPr>
          <w:sz w:val="24"/>
          <w:szCs w:val="24"/>
        </w:rPr>
        <w:t xml:space="preserve">(or electronic signature) of customer(s) and </w:t>
      </w:r>
      <w:r w:rsidRPr="00424F51">
        <w:rPr>
          <w:sz w:val="24"/>
          <w:szCs w:val="24"/>
        </w:rPr>
        <w:t>of principal denoting acceptance and approval of account;</w:t>
      </w:r>
    </w:p>
    <w:p w14:paraId="4FA0DAC9" w14:textId="77777777" w:rsidR="00056A0C" w:rsidRDefault="00056A0C" w:rsidP="003E7B18">
      <w:pPr>
        <w:numPr>
          <w:ilvl w:val="0"/>
          <w:numId w:val="155"/>
        </w:numPr>
        <w:rPr>
          <w:sz w:val="24"/>
          <w:szCs w:val="24"/>
        </w:rPr>
      </w:pPr>
      <w:r w:rsidRPr="00424F51">
        <w:rPr>
          <w:sz w:val="24"/>
          <w:szCs w:val="24"/>
        </w:rPr>
        <w:t xml:space="preserve">If the customer is a non-natural entity, the names of any person(s) authorized </w:t>
      </w:r>
      <w:r w:rsidR="005E2400" w:rsidRPr="00424F51">
        <w:rPr>
          <w:sz w:val="24"/>
          <w:szCs w:val="24"/>
        </w:rPr>
        <w:t xml:space="preserve">to </w:t>
      </w:r>
      <w:r w:rsidR="005E2400">
        <w:rPr>
          <w:sz w:val="24"/>
          <w:szCs w:val="24"/>
        </w:rPr>
        <w:t>transact</w:t>
      </w:r>
      <w:r w:rsidRPr="00424F51">
        <w:rPr>
          <w:sz w:val="24"/>
          <w:szCs w:val="24"/>
        </w:rPr>
        <w:t xml:space="preserve"> business on behalf of the entity</w:t>
      </w:r>
      <w:r w:rsidR="00812B6F">
        <w:rPr>
          <w:sz w:val="24"/>
          <w:szCs w:val="24"/>
        </w:rPr>
        <w:t>;</w:t>
      </w:r>
      <w:r w:rsidRPr="00424F51">
        <w:rPr>
          <w:sz w:val="24"/>
          <w:szCs w:val="24"/>
        </w:rPr>
        <w:t xml:space="preserve">  </w:t>
      </w:r>
    </w:p>
    <w:p w14:paraId="68F623F7" w14:textId="77777777" w:rsidR="00812B6F" w:rsidRPr="0083736F" w:rsidRDefault="00812B6F" w:rsidP="003E7B18">
      <w:pPr>
        <w:numPr>
          <w:ilvl w:val="0"/>
          <w:numId w:val="155"/>
        </w:numPr>
        <w:rPr>
          <w:sz w:val="24"/>
          <w:szCs w:val="24"/>
        </w:rPr>
      </w:pPr>
      <w:r w:rsidRPr="0083736F">
        <w:rPr>
          <w:sz w:val="24"/>
          <w:szCs w:val="24"/>
        </w:rPr>
        <w:t>Tax ID number</w:t>
      </w:r>
      <w:r w:rsidR="00CD4261" w:rsidRPr="0083736F">
        <w:rPr>
          <w:sz w:val="24"/>
          <w:szCs w:val="24"/>
        </w:rPr>
        <w:t xml:space="preserve"> (further information below under Section 5.5)</w:t>
      </w:r>
      <w:r w:rsidRPr="0083736F">
        <w:rPr>
          <w:sz w:val="24"/>
          <w:szCs w:val="24"/>
        </w:rPr>
        <w:t xml:space="preserve">; </w:t>
      </w:r>
    </w:p>
    <w:p w14:paraId="45CE977E" w14:textId="77777777" w:rsidR="00812B6F" w:rsidRPr="0083736F" w:rsidRDefault="00812B6F" w:rsidP="003E7B18">
      <w:pPr>
        <w:numPr>
          <w:ilvl w:val="0"/>
          <w:numId w:val="155"/>
        </w:numPr>
        <w:rPr>
          <w:sz w:val="24"/>
          <w:szCs w:val="24"/>
        </w:rPr>
      </w:pPr>
      <w:r w:rsidRPr="0083736F">
        <w:rPr>
          <w:sz w:val="24"/>
          <w:szCs w:val="24"/>
        </w:rPr>
        <w:t>Occupation, and name and address of employer;</w:t>
      </w:r>
    </w:p>
    <w:p w14:paraId="219691AB" w14:textId="77777777" w:rsidR="00812B6F" w:rsidRPr="0083736F" w:rsidRDefault="00812B6F" w:rsidP="003E7B18">
      <w:pPr>
        <w:numPr>
          <w:ilvl w:val="0"/>
          <w:numId w:val="155"/>
        </w:numPr>
        <w:rPr>
          <w:sz w:val="24"/>
          <w:szCs w:val="24"/>
        </w:rPr>
      </w:pPr>
      <w:r w:rsidRPr="0083736F">
        <w:rPr>
          <w:sz w:val="24"/>
          <w:szCs w:val="24"/>
        </w:rPr>
        <w:t xml:space="preserve">Whether the accountholder(s) is/are </w:t>
      </w:r>
      <w:r w:rsidR="003C4D88" w:rsidRPr="0083736F">
        <w:rPr>
          <w:sz w:val="24"/>
          <w:szCs w:val="24"/>
        </w:rPr>
        <w:t xml:space="preserve">an </w:t>
      </w:r>
      <w:r w:rsidRPr="0083736F">
        <w:rPr>
          <w:sz w:val="24"/>
          <w:szCs w:val="24"/>
        </w:rPr>
        <w:t xml:space="preserve">associated </w:t>
      </w:r>
      <w:r w:rsidR="003C4D88" w:rsidRPr="0083736F">
        <w:rPr>
          <w:sz w:val="24"/>
          <w:szCs w:val="24"/>
        </w:rPr>
        <w:t xml:space="preserve">person </w:t>
      </w:r>
      <w:r w:rsidRPr="0083736F">
        <w:rPr>
          <w:sz w:val="24"/>
          <w:szCs w:val="24"/>
        </w:rPr>
        <w:t xml:space="preserve">with a </w:t>
      </w:r>
      <w:r w:rsidR="003C4D88" w:rsidRPr="0083736F">
        <w:rPr>
          <w:sz w:val="24"/>
          <w:szCs w:val="24"/>
        </w:rPr>
        <w:t>member firm;</w:t>
      </w:r>
      <w:r w:rsidR="00BD5D1E" w:rsidRPr="0083736F">
        <w:rPr>
          <w:sz w:val="24"/>
          <w:szCs w:val="24"/>
        </w:rPr>
        <w:t xml:space="preserve"> and</w:t>
      </w:r>
    </w:p>
    <w:p w14:paraId="285F1F3F" w14:textId="0F1E06CA" w:rsidR="00BD5D1E" w:rsidRDefault="00BD5D1E" w:rsidP="003E7B18">
      <w:pPr>
        <w:numPr>
          <w:ilvl w:val="0"/>
          <w:numId w:val="155"/>
        </w:numPr>
        <w:rPr>
          <w:sz w:val="24"/>
          <w:szCs w:val="24"/>
        </w:rPr>
      </w:pPr>
      <w:r w:rsidRPr="0083736F">
        <w:rPr>
          <w:sz w:val="24"/>
          <w:szCs w:val="24"/>
        </w:rPr>
        <w:t>Other factors noted in Section 5.11</w:t>
      </w:r>
      <w:r w:rsidR="00C26FDD">
        <w:rPr>
          <w:sz w:val="24"/>
          <w:szCs w:val="24"/>
        </w:rPr>
        <w:t xml:space="preserve"> </w:t>
      </w:r>
      <w:r w:rsidR="00C26FDD" w:rsidRPr="00482C40">
        <w:rPr>
          <w:sz w:val="24"/>
          <w:szCs w:val="24"/>
        </w:rPr>
        <w:t>and 5.25 (Trusted Contact)</w:t>
      </w:r>
      <w:r w:rsidRPr="00482C40">
        <w:rPr>
          <w:sz w:val="24"/>
          <w:szCs w:val="24"/>
        </w:rPr>
        <w:t>.</w:t>
      </w:r>
    </w:p>
    <w:p w14:paraId="643E6A5C" w14:textId="77777777" w:rsidR="00484EBE" w:rsidRPr="00015C68" w:rsidRDefault="001C7278" w:rsidP="003E7B18">
      <w:pPr>
        <w:numPr>
          <w:ilvl w:val="0"/>
          <w:numId w:val="155"/>
        </w:numPr>
        <w:rPr>
          <w:sz w:val="24"/>
          <w:szCs w:val="24"/>
        </w:rPr>
      </w:pPr>
      <w:r w:rsidRPr="00015C68">
        <w:rPr>
          <w:sz w:val="24"/>
          <w:szCs w:val="24"/>
        </w:rPr>
        <w:t xml:space="preserve">Legal Entities and </w:t>
      </w:r>
      <w:r w:rsidR="00484EBE" w:rsidRPr="00015C68">
        <w:rPr>
          <w:sz w:val="24"/>
          <w:szCs w:val="24"/>
        </w:rPr>
        <w:t>Beneficial Owners – including information about the following</w:t>
      </w:r>
    </w:p>
    <w:p w14:paraId="49832749" w14:textId="77777777" w:rsidR="00500935" w:rsidRPr="00015C68" w:rsidRDefault="00484EBE" w:rsidP="00C1728B">
      <w:pPr>
        <w:pStyle w:val="ListParagraph"/>
        <w:numPr>
          <w:ilvl w:val="1"/>
          <w:numId w:val="134"/>
        </w:numPr>
        <w:rPr>
          <w:sz w:val="24"/>
          <w:szCs w:val="24"/>
        </w:rPr>
      </w:pPr>
      <w:r w:rsidRPr="00015C68">
        <w:rPr>
          <w:sz w:val="24"/>
          <w:szCs w:val="24"/>
        </w:rPr>
        <w:t>Any individual who (directly or indirectly) owns 25% or more of the equity of a legal entity customer; a single individual with ability to control, manage, or direct a legal entity (</w:t>
      </w:r>
      <w:r w:rsidRPr="00015C68">
        <w:rPr>
          <w:i/>
          <w:iCs/>
          <w:sz w:val="24"/>
          <w:szCs w:val="24"/>
        </w:rPr>
        <w:t>e.g.,</w:t>
      </w:r>
      <w:r w:rsidRPr="00015C68">
        <w:rPr>
          <w:sz w:val="24"/>
          <w:szCs w:val="24"/>
        </w:rPr>
        <w:t xml:space="preserve"> CEO, CFO), or anyone else who regularly performs these functions. Does not include a nominee or straw man.</w:t>
      </w:r>
    </w:p>
    <w:p w14:paraId="4786E985" w14:textId="77777777" w:rsidR="000B706F" w:rsidRPr="00015C68" w:rsidRDefault="000B706F" w:rsidP="00C1728B">
      <w:pPr>
        <w:pStyle w:val="ListParagraph"/>
        <w:numPr>
          <w:ilvl w:val="1"/>
          <w:numId w:val="134"/>
        </w:numPr>
        <w:rPr>
          <w:sz w:val="24"/>
          <w:szCs w:val="24"/>
        </w:rPr>
      </w:pPr>
      <w:r w:rsidRPr="00015C68">
        <w:rPr>
          <w:sz w:val="24"/>
          <w:szCs w:val="24"/>
        </w:rPr>
        <w:t>Beneficial owner identification and certification (using FinCEN</w:t>
      </w:r>
      <w:r w:rsidR="00A7309F" w:rsidRPr="00015C68">
        <w:rPr>
          <w:sz w:val="24"/>
          <w:szCs w:val="24"/>
        </w:rPr>
        <w:t xml:space="preserve">’s </w:t>
      </w:r>
      <w:r w:rsidRPr="00015C68">
        <w:rPr>
          <w:sz w:val="24"/>
          <w:szCs w:val="24"/>
        </w:rPr>
        <w:t xml:space="preserve">or custodian’s </w:t>
      </w:r>
      <w:r w:rsidR="00A87405" w:rsidRPr="00015C68">
        <w:rPr>
          <w:sz w:val="24"/>
          <w:szCs w:val="24"/>
        </w:rPr>
        <w:t xml:space="preserve">certification </w:t>
      </w:r>
      <w:r w:rsidRPr="00015C68">
        <w:rPr>
          <w:sz w:val="24"/>
          <w:szCs w:val="24"/>
        </w:rPr>
        <w:t>form).</w:t>
      </w:r>
    </w:p>
    <w:p w14:paraId="1DB97088" w14:textId="77777777" w:rsidR="00484EBE" w:rsidRPr="00015C68" w:rsidRDefault="00484EBE" w:rsidP="00C1728B">
      <w:pPr>
        <w:pStyle w:val="ListParagraph"/>
        <w:numPr>
          <w:ilvl w:val="1"/>
          <w:numId w:val="134"/>
        </w:numPr>
        <w:rPr>
          <w:sz w:val="24"/>
          <w:szCs w:val="24"/>
        </w:rPr>
      </w:pPr>
      <w:r w:rsidRPr="00015C68">
        <w:rPr>
          <w:sz w:val="24"/>
          <w:szCs w:val="24"/>
        </w:rPr>
        <w:lastRenderedPageBreak/>
        <w:t>The nature and purpose of customer relationships.</w:t>
      </w:r>
    </w:p>
    <w:p w14:paraId="6E1EC362" w14:textId="77777777" w:rsidR="000B706F" w:rsidRPr="00015C68" w:rsidRDefault="00484EBE" w:rsidP="00C1728B">
      <w:pPr>
        <w:pStyle w:val="ListParagraph"/>
        <w:numPr>
          <w:ilvl w:val="1"/>
          <w:numId w:val="134"/>
        </w:numPr>
        <w:rPr>
          <w:sz w:val="24"/>
          <w:szCs w:val="24"/>
        </w:rPr>
      </w:pPr>
      <w:r w:rsidRPr="00015C68">
        <w:rPr>
          <w:sz w:val="24"/>
          <w:szCs w:val="24"/>
        </w:rPr>
        <w:t>Information sufficient at the time of account opening so customer activity may be assessed for SAR requirements (may include type of customer requesting services; type of account being opened; services or products being used).</w:t>
      </w:r>
    </w:p>
    <w:p w14:paraId="2D3A665D" w14:textId="77777777" w:rsidR="00B466C6" w:rsidRPr="00015C68" w:rsidRDefault="00B466C6" w:rsidP="00C1728B">
      <w:pPr>
        <w:pStyle w:val="ListParagraph"/>
        <w:numPr>
          <w:ilvl w:val="1"/>
          <w:numId w:val="134"/>
        </w:numPr>
        <w:rPr>
          <w:sz w:val="32"/>
          <w:szCs w:val="24"/>
        </w:rPr>
      </w:pPr>
      <w:r w:rsidRPr="00015C68">
        <w:rPr>
          <w:sz w:val="24"/>
        </w:rPr>
        <w:t>Beneficial owners are subject to AML requirements including OFAC reviews.</w:t>
      </w:r>
    </w:p>
    <w:p w14:paraId="3475B6A8" w14:textId="77777777" w:rsidR="000B706F" w:rsidRPr="00015C68" w:rsidRDefault="00484EBE" w:rsidP="00C1728B">
      <w:pPr>
        <w:pStyle w:val="ListParagraph"/>
        <w:numPr>
          <w:ilvl w:val="1"/>
          <w:numId w:val="134"/>
        </w:numPr>
        <w:rPr>
          <w:sz w:val="24"/>
          <w:szCs w:val="24"/>
        </w:rPr>
      </w:pPr>
      <w:r w:rsidRPr="00015C68">
        <w:rPr>
          <w:sz w:val="24"/>
          <w:szCs w:val="24"/>
        </w:rPr>
        <w:t>Ongoing monitoring" on a risk basis to maintain and update customer information.</w:t>
      </w:r>
    </w:p>
    <w:p w14:paraId="22ED1FB4" w14:textId="77777777" w:rsidR="00484EBE" w:rsidRPr="00015C68" w:rsidRDefault="00484EBE" w:rsidP="00C1728B">
      <w:pPr>
        <w:pStyle w:val="ListParagraph"/>
        <w:numPr>
          <w:ilvl w:val="1"/>
          <w:numId w:val="134"/>
        </w:numPr>
        <w:rPr>
          <w:sz w:val="24"/>
          <w:szCs w:val="24"/>
        </w:rPr>
      </w:pPr>
      <w:r w:rsidRPr="00015C68">
        <w:rPr>
          <w:sz w:val="24"/>
          <w:szCs w:val="24"/>
        </w:rPr>
        <w:t>Information will be retained for five years from the date of account closing.</w:t>
      </w:r>
    </w:p>
    <w:p w14:paraId="7DE5F99B" w14:textId="42B8F4E0" w:rsidR="00A62D3A" w:rsidRDefault="00A62D3A" w:rsidP="00C1728B">
      <w:pPr>
        <w:pStyle w:val="ListParagraph"/>
        <w:numPr>
          <w:ilvl w:val="1"/>
          <w:numId w:val="134"/>
        </w:numPr>
        <w:rPr>
          <w:sz w:val="24"/>
          <w:szCs w:val="24"/>
        </w:rPr>
      </w:pPr>
      <w:r w:rsidRPr="00015C68">
        <w:rPr>
          <w:b/>
          <w:sz w:val="24"/>
          <w:szCs w:val="24"/>
        </w:rPr>
        <w:t>Ownership and control prongs</w:t>
      </w:r>
      <w:r w:rsidRPr="00015C68">
        <w:rPr>
          <w:sz w:val="24"/>
          <w:szCs w:val="24"/>
        </w:rPr>
        <w:t xml:space="preserve"> - </w:t>
      </w:r>
      <w:r w:rsidR="00E77DBF" w:rsidRPr="00015C68">
        <w:rPr>
          <w:sz w:val="24"/>
          <w:szCs w:val="24"/>
        </w:rPr>
        <w:t xml:space="preserve">The CDD rule utilizes a two-pronged approach to defining a beneficial owner - an ownership prong and a control prong. Under the ownership prong, a beneficial owner is defined as each individual, if any, who, directly or indirectly, owns 25 percent or more of the equity interests of a legal entity customer. However, the rule recognizes that there may be instances when no single individual owns 25 percent or more of the equity interest of the legal entity; in such instances, the Company is still required to collect the required information for one individual who controls, </w:t>
      </w:r>
      <w:r w:rsidR="00482C40" w:rsidRPr="00015C68">
        <w:rPr>
          <w:sz w:val="24"/>
          <w:szCs w:val="24"/>
        </w:rPr>
        <w:t>manages,</w:t>
      </w:r>
      <w:r w:rsidR="00E77DBF" w:rsidRPr="00015C68">
        <w:rPr>
          <w:sz w:val="24"/>
          <w:szCs w:val="24"/>
        </w:rPr>
        <w:t xml:space="preserve"> or directs the legal entity customer. Under the control prong, a beneficial owner is defined as a single individual with significant responsibility to control, manage or direct a legal entity customer, including an executive officer or senior manager (</w:t>
      </w:r>
      <w:r w:rsidR="00E77DBF" w:rsidRPr="00015C68">
        <w:rPr>
          <w:rStyle w:val="Emphasis"/>
          <w:sz w:val="24"/>
          <w:szCs w:val="24"/>
        </w:rPr>
        <w:t>e.g.,</w:t>
      </w:r>
      <w:r w:rsidR="00E77DBF" w:rsidRPr="00015C68">
        <w:rPr>
          <w:sz w:val="24"/>
          <w:szCs w:val="24"/>
        </w:rPr>
        <w:t xml:space="preserve"> a chief executive officer, chief financial officer, chief operating officer, managing member, general partner, president, vice president or treasurer) or any other individual who regularly performs similar functions. The ownership and control prongs, although related, are independent requirements. Thus, satisfaction of, or exclusion from, regulatory obligations under one prong does not mean the Company's obligations under the other prong are also satisfied or excluded.</w:t>
      </w:r>
    </w:p>
    <w:p w14:paraId="4C971342" w14:textId="77777777" w:rsidR="00D625AF" w:rsidRPr="00015C68" w:rsidRDefault="00D625AF" w:rsidP="00D625AF">
      <w:pPr>
        <w:pStyle w:val="ListParagraph"/>
        <w:ind w:left="1440"/>
        <w:rPr>
          <w:sz w:val="24"/>
          <w:szCs w:val="24"/>
        </w:rPr>
      </w:pPr>
    </w:p>
    <w:p w14:paraId="7AA59881" w14:textId="0223B6E9" w:rsidR="008923FA" w:rsidRPr="00537928" w:rsidRDefault="00D625AF" w:rsidP="00422171">
      <w:pPr>
        <w:numPr>
          <w:ilvl w:val="0"/>
          <w:numId w:val="155"/>
        </w:numPr>
        <w:spacing w:before="15" w:after="100" w:afterAutospacing="1" w:line="240" w:lineRule="atLeast"/>
        <w:rPr>
          <w:sz w:val="24"/>
          <w:szCs w:val="24"/>
        </w:rPr>
      </w:pPr>
      <w:r w:rsidRPr="00537928">
        <w:rPr>
          <w:b/>
          <w:bCs/>
          <w:color w:val="FF0000"/>
          <w:sz w:val="24"/>
          <w:szCs w:val="24"/>
        </w:rPr>
        <w:t>Customer Signatures</w:t>
      </w:r>
      <w:r w:rsidRPr="00537928">
        <w:rPr>
          <w:color w:val="FF0000"/>
          <w:sz w:val="24"/>
          <w:szCs w:val="24"/>
        </w:rPr>
        <w:t xml:space="preserve">:  </w:t>
      </w:r>
      <w:r w:rsidRPr="00537928">
        <w:rPr>
          <w:color w:val="FF0000"/>
          <w:spacing w:val="8"/>
          <w:sz w:val="24"/>
          <w:szCs w:val="24"/>
        </w:rPr>
        <w:t>Customers are required to sign multiple documents when opening an account; sometimes additional or new forms are required later after the account is opened. All signatures must be original by the customer. Associated Persons (AP) must not agree to sign on the customer's behalf when requested. Engaging in forgery and falsification will subject the AP to disciplinary action which may include termination. Such activity is a violation of regulatory rules and may also be a criminal offense.</w:t>
      </w:r>
      <w:r w:rsidR="00537928" w:rsidRPr="00537928">
        <w:rPr>
          <w:color w:val="FF0000"/>
          <w:spacing w:val="8"/>
          <w:sz w:val="24"/>
          <w:szCs w:val="24"/>
        </w:rPr>
        <w:t xml:space="preserve">  </w:t>
      </w:r>
      <w:r w:rsidRPr="00537928">
        <w:rPr>
          <w:color w:val="FF0000"/>
          <w:spacing w:val="8"/>
          <w:sz w:val="24"/>
          <w:szCs w:val="24"/>
        </w:rPr>
        <w:t>In addition to manual signatures, digital signatures also must be original by the customer.  If an AP is asked to sign a document on behalf of a customer, that AP may not sign for a customer and must report the incident to their  supervisor.</w:t>
      </w:r>
    </w:p>
    <w:p w14:paraId="3DD88DF7" w14:textId="77777777" w:rsidR="008F1967" w:rsidRDefault="00462F16" w:rsidP="00462F16">
      <w:pPr>
        <w:ind w:firstLine="360"/>
        <w:rPr>
          <w:sz w:val="24"/>
          <w:szCs w:val="24"/>
        </w:rPr>
      </w:pPr>
      <w:r>
        <w:rPr>
          <w:sz w:val="24"/>
          <w:szCs w:val="24"/>
        </w:rPr>
        <w:t>Processing new accounts:</w:t>
      </w:r>
    </w:p>
    <w:p w14:paraId="37CB155F" w14:textId="77777777" w:rsidR="00462F16" w:rsidRPr="00424F51" w:rsidRDefault="00462F16" w:rsidP="00462F16">
      <w:pPr>
        <w:ind w:firstLine="360"/>
      </w:pPr>
    </w:p>
    <w:p w14:paraId="04FFB2C9" w14:textId="77777777" w:rsidR="008F1967" w:rsidRPr="00424F51" w:rsidRDefault="00323862" w:rsidP="003E7B18">
      <w:pPr>
        <w:numPr>
          <w:ilvl w:val="0"/>
          <w:numId w:val="145"/>
        </w:num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270"/>
      </w:pPr>
      <w:r>
        <w:rPr>
          <w:sz w:val="24"/>
        </w:rPr>
        <w:t xml:space="preserve"> </w:t>
      </w:r>
      <w:r w:rsidR="00AB363C" w:rsidRPr="00424F51">
        <w:rPr>
          <w:sz w:val="24"/>
        </w:rPr>
        <w:t xml:space="preserve">Review new account information for </w:t>
      </w:r>
      <w:r w:rsidR="00AB363C" w:rsidRPr="00424F51">
        <w:rPr>
          <w:b/>
          <w:bCs/>
          <w:sz w:val="24"/>
          <w:u w:val="single"/>
        </w:rPr>
        <w:t>completeness</w:t>
      </w:r>
      <w:r w:rsidR="00AB363C" w:rsidRPr="00424F51">
        <w:rPr>
          <w:sz w:val="24"/>
        </w:rPr>
        <w:t xml:space="preserve">. </w:t>
      </w:r>
    </w:p>
    <w:p w14:paraId="607A7141" w14:textId="77777777" w:rsidR="00E55ACB" w:rsidRPr="00424F51" w:rsidRDefault="00323862" w:rsidP="003E7B18">
      <w:pPr>
        <w:numPr>
          <w:ilvl w:val="0"/>
          <w:numId w:val="145"/>
        </w:numPr>
        <w:tabs>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270"/>
        <w:rPr>
          <w:sz w:val="24"/>
        </w:rPr>
      </w:pPr>
      <w:r>
        <w:rPr>
          <w:sz w:val="24"/>
          <w:szCs w:val="24"/>
        </w:rPr>
        <w:t xml:space="preserve"> </w:t>
      </w:r>
      <w:r w:rsidR="00AB363C" w:rsidRPr="00424F51">
        <w:rPr>
          <w:sz w:val="24"/>
          <w:szCs w:val="24"/>
        </w:rPr>
        <w:t>Make sure principal has signed new account form,</w:t>
      </w:r>
      <w:r w:rsidR="00D44707" w:rsidRPr="00424F51">
        <w:rPr>
          <w:sz w:val="24"/>
          <w:szCs w:val="24"/>
        </w:rPr>
        <w:t xml:space="preserve"> together with and after </w:t>
      </w:r>
      <w:r w:rsidR="00D44707" w:rsidRPr="00424F51">
        <w:rPr>
          <w:sz w:val="24"/>
          <w:szCs w:val="24"/>
        </w:rPr>
        <w:tab/>
      </w:r>
      <w:r w:rsidR="00AB363C" w:rsidRPr="00424F51">
        <w:rPr>
          <w:sz w:val="24"/>
          <w:szCs w:val="24"/>
        </w:rPr>
        <w:t>execution by responsible registered representative.</w:t>
      </w:r>
      <w:r w:rsidR="00E42465" w:rsidRPr="00424F51">
        <w:rPr>
          <w:sz w:val="24"/>
        </w:rPr>
        <w:t xml:space="preserve"> </w:t>
      </w:r>
    </w:p>
    <w:p w14:paraId="5457B935" w14:textId="77777777" w:rsidR="008F1967" w:rsidRPr="00424F51" w:rsidRDefault="00323862" w:rsidP="003E7B18">
      <w:pPr>
        <w:numPr>
          <w:ilvl w:val="0"/>
          <w:numId w:val="145"/>
        </w:numPr>
        <w:tabs>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270"/>
        <w:rPr>
          <w:sz w:val="24"/>
        </w:rPr>
      </w:pPr>
      <w:r>
        <w:rPr>
          <w:sz w:val="24"/>
        </w:rPr>
        <w:t xml:space="preserve"> </w:t>
      </w:r>
      <w:r w:rsidR="00AB363C" w:rsidRPr="00424F51">
        <w:rPr>
          <w:sz w:val="24"/>
        </w:rPr>
        <w:t xml:space="preserve">Search OFAC list </w:t>
      </w:r>
      <w:r w:rsidR="00BD05DE" w:rsidRPr="00424F51">
        <w:rPr>
          <w:sz w:val="24"/>
        </w:rPr>
        <w:t>when</w:t>
      </w:r>
      <w:r w:rsidR="00AB363C" w:rsidRPr="00424F51">
        <w:rPr>
          <w:sz w:val="24"/>
        </w:rPr>
        <w:t xml:space="preserve"> opening the account and maintain copy of report.</w:t>
      </w:r>
    </w:p>
    <w:p w14:paraId="446903FD" w14:textId="77777777" w:rsidR="00E55ACB" w:rsidRPr="00424F51" w:rsidRDefault="00AB363C" w:rsidP="003E7B18">
      <w:pPr>
        <w:numPr>
          <w:ilvl w:val="0"/>
          <w:numId w:val="145"/>
        </w:num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rPr>
          <w:sz w:val="24"/>
        </w:rPr>
      </w:pPr>
      <w:r w:rsidRPr="00424F51">
        <w:rPr>
          <w:sz w:val="24"/>
        </w:rPr>
        <w:t xml:space="preserve">Obtain copy of driver’s license </w:t>
      </w:r>
      <w:r w:rsidR="00B04FB1" w:rsidRPr="00424F51">
        <w:rPr>
          <w:sz w:val="24"/>
        </w:rPr>
        <w:t>f</w:t>
      </w:r>
      <w:r w:rsidRPr="00424F51">
        <w:rPr>
          <w:sz w:val="24"/>
        </w:rPr>
        <w:t>or all account holders.</w:t>
      </w:r>
    </w:p>
    <w:p w14:paraId="0BCAE3AB" w14:textId="77777777" w:rsidR="00E55ACB" w:rsidRDefault="00AB363C" w:rsidP="003E7B18">
      <w:pPr>
        <w:numPr>
          <w:ilvl w:val="0"/>
          <w:numId w:val="145"/>
        </w:num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rPr>
          <w:sz w:val="24"/>
        </w:rPr>
      </w:pPr>
      <w:r w:rsidRPr="00424F51">
        <w:rPr>
          <w:sz w:val="24"/>
        </w:rPr>
        <w:t xml:space="preserve">Input information to </w:t>
      </w:r>
      <w:r w:rsidR="00E42465" w:rsidRPr="00424F51">
        <w:rPr>
          <w:sz w:val="24"/>
        </w:rPr>
        <w:t>clearing firm, if applicable.</w:t>
      </w:r>
      <w:r w:rsidR="00E55ACB" w:rsidRPr="00424F51">
        <w:rPr>
          <w:sz w:val="24"/>
        </w:rPr>
        <w:t xml:space="preserve"> </w:t>
      </w:r>
    </w:p>
    <w:p w14:paraId="018CDA09" w14:textId="77777777" w:rsidR="00D801C6" w:rsidRPr="00015C68" w:rsidRDefault="00D801C6" w:rsidP="003E7B18">
      <w:pPr>
        <w:numPr>
          <w:ilvl w:val="0"/>
          <w:numId w:val="145"/>
        </w:num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rPr>
          <w:sz w:val="24"/>
        </w:rPr>
      </w:pPr>
      <w:r w:rsidRPr="00015C68">
        <w:rPr>
          <w:sz w:val="24"/>
        </w:rPr>
        <w:t>Beginning in September 2018, Company will have the option for customers of HTS new accounts to sign the HTS new account application electronically.  eSignatures and their processing will require extra diligence to ensure it is the customer signing and/or comparing such e</w:t>
      </w:r>
      <w:r w:rsidR="00015C68">
        <w:rPr>
          <w:sz w:val="24"/>
        </w:rPr>
        <w:t>-</w:t>
      </w:r>
      <w:r w:rsidRPr="00015C68">
        <w:rPr>
          <w:sz w:val="24"/>
        </w:rPr>
        <w:t xml:space="preserve">signature to other Company forms if applicable.  </w:t>
      </w:r>
    </w:p>
    <w:p w14:paraId="1395469E" w14:textId="77777777" w:rsidR="008F1967" w:rsidRPr="00424F51" w:rsidRDefault="00E42465" w:rsidP="003E7B18">
      <w:pPr>
        <w:numPr>
          <w:ilvl w:val="0"/>
          <w:numId w:val="145"/>
        </w:num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rPr>
          <w:sz w:val="24"/>
        </w:rPr>
      </w:pPr>
      <w:r w:rsidRPr="00424F51">
        <w:rPr>
          <w:sz w:val="24"/>
        </w:rPr>
        <w:t>Email</w:t>
      </w:r>
      <w:r w:rsidR="00AB363C" w:rsidRPr="00424F51">
        <w:rPr>
          <w:sz w:val="24"/>
        </w:rPr>
        <w:t xml:space="preserve"> one copy to clearing firm </w:t>
      </w:r>
      <w:r w:rsidRPr="00424F51">
        <w:rPr>
          <w:sz w:val="24"/>
        </w:rPr>
        <w:t>or</w:t>
      </w:r>
      <w:r w:rsidR="00AB363C" w:rsidRPr="00424F51">
        <w:rPr>
          <w:sz w:val="24"/>
        </w:rPr>
        <w:t xml:space="preserve"> mail, forward copy to customer file.</w:t>
      </w:r>
    </w:p>
    <w:p w14:paraId="60C2C97B" w14:textId="77777777" w:rsidR="00E55ACB" w:rsidRPr="00424F51" w:rsidRDefault="00AB363C" w:rsidP="003E7B18">
      <w:pPr>
        <w:numPr>
          <w:ilvl w:val="0"/>
          <w:numId w:val="145"/>
        </w:num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rPr>
          <w:sz w:val="24"/>
        </w:rPr>
      </w:pPr>
      <w:r w:rsidRPr="00424F51">
        <w:rPr>
          <w:sz w:val="24"/>
        </w:rPr>
        <w:lastRenderedPageBreak/>
        <w:t xml:space="preserve">Before filing in new customer file, check </w:t>
      </w:r>
      <w:r w:rsidR="00DF1147" w:rsidRPr="006D5CDF">
        <w:rPr>
          <w:sz w:val="24"/>
        </w:rPr>
        <w:t>HTS</w:t>
      </w:r>
      <w:r w:rsidR="00E42465" w:rsidRPr="006D5CDF">
        <w:rPr>
          <w:sz w:val="24"/>
        </w:rPr>
        <w:t xml:space="preserve"> </w:t>
      </w:r>
      <w:r w:rsidRPr="00424F51">
        <w:rPr>
          <w:sz w:val="24"/>
        </w:rPr>
        <w:t xml:space="preserve">screen </w:t>
      </w:r>
      <w:r w:rsidR="0032404C" w:rsidRPr="00424F51">
        <w:rPr>
          <w:sz w:val="24"/>
        </w:rPr>
        <w:t xml:space="preserve">same or </w:t>
      </w:r>
      <w:r w:rsidRPr="00424F51">
        <w:rPr>
          <w:sz w:val="24"/>
        </w:rPr>
        <w:t>next day to make sure account is set up properly.</w:t>
      </w:r>
    </w:p>
    <w:p w14:paraId="2BB84DDD" w14:textId="77777777" w:rsidR="00E55ACB" w:rsidRPr="00424F51" w:rsidRDefault="00323862" w:rsidP="003E7B18">
      <w:pPr>
        <w:numPr>
          <w:ilvl w:val="0"/>
          <w:numId w:val="145"/>
        </w:numPr>
        <w:tabs>
          <w:tab w:val="left" w:pos="720"/>
          <w:tab w:val="left" w:pos="108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270"/>
        <w:rPr>
          <w:sz w:val="24"/>
        </w:rPr>
      </w:pPr>
      <w:r>
        <w:rPr>
          <w:sz w:val="24"/>
        </w:rPr>
        <w:t xml:space="preserve"> </w:t>
      </w:r>
      <w:r w:rsidR="00BD05DE" w:rsidRPr="00424F51">
        <w:rPr>
          <w:sz w:val="24"/>
        </w:rPr>
        <w:t>Scan documents into WinOps.</w:t>
      </w:r>
    </w:p>
    <w:p w14:paraId="588FCEBB" w14:textId="77777777" w:rsidR="00E55ACB" w:rsidRPr="00424F51" w:rsidRDefault="00E42465" w:rsidP="003E7B18">
      <w:pPr>
        <w:numPr>
          <w:ilvl w:val="0"/>
          <w:numId w:val="145"/>
        </w:numPr>
        <w:tabs>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450"/>
        <w:rPr>
          <w:sz w:val="24"/>
        </w:rPr>
      </w:pPr>
      <w:r w:rsidRPr="00424F51">
        <w:rPr>
          <w:sz w:val="24"/>
        </w:rPr>
        <w:t xml:space="preserve">File any </w:t>
      </w:r>
      <w:r w:rsidR="00AB363C" w:rsidRPr="00424F51">
        <w:rPr>
          <w:sz w:val="24"/>
        </w:rPr>
        <w:t>cop</w:t>
      </w:r>
      <w:r w:rsidRPr="00424F51">
        <w:rPr>
          <w:sz w:val="24"/>
        </w:rPr>
        <w:t xml:space="preserve">ies or original documents at respective OSJ </w:t>
      </w:r>
      <w:r w:rsidR="00AB363C" w:rsidRPr="00424F51">
        <w:rPr>
          <w:sz w:val="24"/>
        </w:rPr>
        <w:t xml:space="preserve">branch.  </w:t>
      </w:r>
    </w:p>
    <w:p w14:paraId="1FFAC5A9" w14:textId="77777777" w:rsidR="00E55ACB" w:rsidRPr="00424F51" w:rsidRDefault="00AB363C" w:rsidP="003E7B18">
      <w:pPr>
        <w:numPr>
          <w:ilvl w:val="0"/>
          <w:numId w:val="145"/>
        </w:numPr>
        <w:tabs>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450"/>
        <w:rPr>
          <w:sz w:val="24"/>
        </w:rPr>
      </w:pPr>
      <w:r w:rsidRPr="00424F51">
        <w:rPr>
          <w:sz w:val="24"/>
        </w:rPr>
        <w:t xml:space="preserve">Send copy of new account information </w:t>
      </w:r>
      <w:r w:rsidR="0032404C" w:rsidRPr="00424F51">
        <w:rPr>
          <w:sz w:val="24"/>
        </w:rPr>
        <w:t xml:space="preserve">to customer </w:t>
      </w:r>
      <w:r w:rsidRPr="00424F51">
        <w:rPr>
          <w:sz w:val="24"/>
        </w:rPr>
        <w:t xml:space="preserve">within 30 days of opening </w:t>
      </w:r>
      <w:r w:rsidR="008F1967" w:rsidRPr="00424F51">
        <w:rPr>
          <w:sz w:val="24"/>
        </w:rPr>
        <w:t>account and</w:t>
      </w:r>
      <w:r w:rsidRPr="00424F51">
        <w:rPr>
          <w:sz w:val="24"/>
        </w:rPr>
        <w:t xml:space="preserve"> every three years thereafter</w:t>
      </w:r>
      <w:r w:rsidR="0032404C" w:rsidRPr="00424F51">
        <w:rPr>
          <w:sz w:val="24"/>
        </w:rPr>
        <w:t xml:space="preserve"> (SEC 17a-3 letter)</w:t>
      </w:r>
      <w:r w:rsidRPr="00424F51">
        <w:rPr>
          <w:sz w:val="24"/>
        </w:rPr>
        <w:t>.</w:t>
      </w:r>
    </w:p>
    <w:p w14:paraId="727DA32F" w14:textId="77777777" w:rsidR="00E55ACB" w:rsidRPr="00424F51" w:rsidRDefault="00E42465" w:rsidP="003E7B18">
      <w:pPr>
        <w:numPr>
          <w:ilvl w:val="0"/>
          <w:numId w:val="145"/>
        </w:numPr>
        <w:tabs>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450"/>
        <w:rPr>
          <w:sz w:val="24"/>
        </w:rPr>
      </w:pPr>
      <w:r w:rsidRPr="00424F51">
        <w:rPr>
          <w:sz w:val="24"/>
        </w:rPr>
        <w:t>Record any checks received in the Send/Receive Log.</w:t>
      </w:r>
    </w:p>
    <w:p w14:paraId="58EA2427" w14:textId="77777777" w:rsidR="00E42465" w:rsidRPr="006D5CDF" w:rsidRDefault="008F1967" w:rsidP="003E7B18">
      <w:pPr>
        <w:numPr>
          <w:ilvl w:val="0"/>
          <w:numId w:val="145"/>
        </w:numPr>
        <w:tabs>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450"/>
        <w:rPr>
          <w:sz w:val="24"/>
        </w:rPr>
      </w:pPr>
      <w:r w:rsidRPr="00E55ACB">
        <w:rPr>
          <w:sz w:val="24"/>
        </w:rPr>
        <w:t>Forward</w:t>
      </w:r>
      <w:r w:rsidR="00E42465" w:rsidRPr="00E55ACB">
        <w:rPr>
          <w:sz w:val="24"/>
        </w:rPr>
        <w:t xml:space="preserve"> any applicable applications and checks to appropriate vendor (if check received, forward by noon the following day</w:t>
      </w:r>
      <w:r w:rsidR="00323862">
        <w:rPr>
          <w:sz w:val="24"/>
        </w:rPr>
        <w:t xml:space="preserve"> </w:t>
      </w:r>
      <w:r w:rsidR="00323862" w:rsidRPr="006D5CDF">
        <w:rPr>
          <w:sz w:val="24"/>
        </w:rPr>
        <w:t>(unless a direct purchase mutual fund or variable annuity which allows up to seven days)</w:t>
      </w:r>
      <w:r w:rsidR="00E42465" w:rsidRPr="006D5CDF">
        <w:rPr>
          <w:sz w:val="24"/>
        </w:rPr>
        <w:t>.</w:t>
      </w:r>
    </w:p>
    <w:p w14:paraId="2979E388" w14:textId="7522804A" w:rsidR="00BD05DE" w:rsidRDefault="00D44707" w:rsidP="008C1D3A">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450"/>
        <w:rPr>
          <w:sz w:val="24"/>
        </w:rPr>
      </w:pPr>
      <w:r>
        <w:rPr>
          <w:sz w:val="24"/>
        </w:rPr>
        <w:t>1</w:t>
      </w:r>
      <w:r w:rsidR="008C1D3A">
        <w:rPr>
          <w:sz w:val="24"/>
        </w:rPr>
        <w:t>4</w:t>
      </w:r>
      <w:r>
        <w:rPr>
          <w:sz w:val="24"/>
        </w:rPr>
        <w:t xml:space="preserve">. </w:t>
      </w:r>
      <w:r w:rsidR="008C1D3A">
        <w:rPr>
          <w:sz w:val="24"/>
        </w:rPr>
        <w:t xml:space="preserve"> </w:t>
      </w:r>
      <w:r w:rsidR="00BD05DE">
        <w:rPr>
          <w:sz w:val="24"/>
        </w:rPr>
        <w:t xml:space="preserve">Enter any customer information in </w:t>
      </w:r>
      <w:r w:rsidR="000C144E" w:rsidRPr="00482C40">
        <w:rPr>
          <w:sz w:val="24"/>
        </w:rPr>
        <w:t>the CRM</w:t>
      </w:r>
      <w:r w:rsidR="00BD05DE" w:rsidRPr="00482C40">
        <w:rPr>
          <w:sz w:val="24"/>
        </w:rPr>
        <w:t xml:space="preserve"> </w:t>
      </w:r>
      <w:r w:rsidR="00BD05DE">
        <w:rPr>
          <w:sz w:val="24"/>
        </w:rPr>
        <w:t>database.</w:t>
      </w:r>
    </w:p>
    <w:p w14:paraId="441A9972" w14:textId="77777777" w:rsidR="00664BAC" w:rsidRDefault="00664BAC" w:rsidP="00AB363C">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450"/>
        <w:jc w:val="both"/>
        <w:rPr>
          <w:sz w:val="24"/>
        </w:rPr>
      </w:pPr>
    </w:p>
    <w:p w14:paraId="4B7D775D" w14:textId="77777777" w:rsidR="00664BAC" w:rsidRDefault="00664BAC" w:rsidP="001A7509">
      <w:pPr>
        <w:pStyle w:val="Heading3"/>
      </w:pPr>
      <w:bookmarkStart w:id="71" w:name="_5.3.2_Customer_Account"/>
      <w:bookmarkEnd w:id="71"/>
      <w:r>
        <w:t>5.3.</w:t>
      </w:r>
      <w:r w:rsidR="003D4F91">
        <w:t>2</w:t>
      </w:r>
      <w:r>
        <w:t xml:space="preserve"> </w:t>
      </w:r>
      <w:r w:rsidRPr="00765011">
        <w:t>Customer</w:t>
      </w:r>
      <w:r>
        <w:t xml:space="preserve"> Account Requests  </w:t>
      </w:r>
    </w:p>
    <w:p w14:paraId="27591988" w14:textId="77777777" w:rsidR="00664BAC" w:rsidRDefault="00664BAC" w:rsidP="00C1728B">
      <w:pPr>
        <w:numPr>
          <w:ilvl w:val="0"/>
          <w:numId w:val="93"/>
        </w:numPr>
        <w:tabs>
          <w:tab w:val="left" w:pos="270"/>
          <w:tab w:val="left" w:pos="720"/>
          <w:tab w:val="left" w:pos="99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Any change to a customer account must be in writing from the client or verbal if from authorized person. </w:t>
      </w:r>
    </w:p>
    <w:p w14:paraId="20353BB8" w14:textId="43E7EE8F" w:rsidR="00664BAC" w:rsidRPr="00487A5A" w:rsidRDefault="00664BAC" w:rsidP="00C1728B">
      <w:pPr>
        <w:numPr>
          <w:ilvl w:val="0"/>
          <w:numId w:val="93"/>
        </w:numPr>
        <w:tabs>
          <w:tab w:val="left" w:pos="270"/>
          <w:tab w:val="left" w:pos="720"/>
          <w:tab w:val="left" w:pos="99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color w:val="FF0000"/>
          <w:sz w:val="24"/>
        </w:rPr>
      </w:pPr>
      <w:r>
        <w:rPr>
          <w:sz w:val="24"/>
        </w:rPr>
        <w:t>Address changes must be kept in customer file with date of change</w:t>
      </w:r>
      <w:r w:rsidR="00516420">
        <w:rPr>
          <w:sz w:val="24"/>
        </w:rPr>
        <w:t xml:space="preserve"> </w:t>
      </w:r>
      <w:r w:rsidR="00516420" w:rsidRPr="00424F51">
        <w:rPr>
          <w:sz w:val="24"/>
        </w:rPr>
        <w:t xml:space="preserve">or noted in WinOps or </w:t>
      </w:r>
      <w:r w:rsidR="00C52E4D" w:rsidRPr="00482C40">
        <w:rPr>
          <w:sz w:val="24"/>
        </w:rPr>
        <w:t>the CRM</w:t>
      </w:r>
      <w:r w:rsidRPr="00424F51">
        <w:rPr>
          <w:sz w:val="24"/>
        </w:rPr>
        <w:t>. The Change of Address letter must be sent to customer’s old address (evidence</w:t>
      </w:r>
      <w:r w:rsidR="00113DC4">
        <w:rPr>
          <w:sz w:val="24"/>
        </w:rPr>
        <w:t xml:space="preserve"> of verification sent is maintained</w:t>
      </w:r>
      <w:r w:rsidRPr="00424F51">
        <w:rPr>
          <w:sz w:val="24"/>
        </w:rPr>
        <w:t xml:space="preserve"> in </w:t>
      </w:r>
      <w:r w:rsidR="00113DC4">
        <w:rPr>
          <w:sz w:val="24"/>
        </w:rPr>
        <w:t>the</w:t>
      </w:r>
      <w:r w:rsidR="000E3113" w:rsidRPr="00424F51">
        <w:rPr>
          <w:sz w:val="24"/>
        </w:rPr>
        <w:t xml:space="preserve"> WinOps</w:t>
      </w:r>
      <w:r w:rsidRPr="00424F51">
        <w:rPr>
          <w:sz w:val="24"/>
        </w:rPr>
        <w:t xml:space="preserve"> </w:t>
      </w:r>
      <w:r w:rsidRPr="006D5CDF">
        <w:rPr>
          <w:sz w:val="24"/>
        </w:rPr>
        <w:t>database</w:t>
      </w:r>
      <w:r w:rsidR="00C77AC2" w:rsidRPr="006D5CDF">
        <w:rPr>
          <w:sz w:val="24"/>
        </w:rPr>
        <w:t xml:space="preserve"> or if sent by Custodian</w:t>
      </w:r>
      <w:r w:rsidR="00DA7916" w:rsidRPr="006D5CDF">
        <w:rPr>
          <w:sz w:val="24"/>
        </w:rPr>
        <w:t>,</w:t>
      </w:r>
      <w:r w:rsidR="00C77AC2" w:rsidRPr="006D5CDF">
        <w:rPr>
          <w:sz w:val="24"/>
        </w:rPr>
        <w:t xml:space="preserve"> in an accessible record</w:t>
      </w:r>
      <w:r w:rsidRPr="006D5CDF">
        <w:rPr>
          <w:sz w:val="24"/>
        </w:rPr>
        <w:t xml:space="preserve">).  </w:t>
      </w:r>
      <w:r w:rsidR="00487A5A" w:rsidRPr="00487A5A">
        <w:rPr>
          <w:color w:val="FF0000"/>
          <w:sz w:val="24"/>
        </w:rPr>
        <w:t>Alternatively, if custodian requires their proprietary form to be completed and the form is sent to the contact information o</w:t>
      </w:r>
      <w:r w:rsidR="00487A5A">
        <w:rPr>
          <w:color w:val="FF0000"/>
          <w:sz w:val="24"/>
        </w:rPr>
        <w:t>n</w:t>
      </w:r>
      <w:r w:rsidR="00487A5A" w:rsidRPr="00487A5A">
        <w:rPr>
          <w:color w:val="FF0000"/>
          <w:sz w:val="24"/>
        </w:rPr>
        <w:t xml:space="preserve"> record</w:t>
      </w:r>
      <w:r w:rsidR="00487A5A">
        <w:rPr>
          <w:color w:val="FF0000"/>
          <w:sz w:val="24"/>
        </w:rPr>
        <w:t xml:space="preserve">, customer signature(s) match previous documents, and the date is noted on the form, no verification needs to be sent.  </w:t>
      </w:r>
    </w:p>
    <w:p w14:paraId="3540B5FF" w14:textId="77777777" w:rsidR="00744692" w:rsidRPr="00424F51" w:rsidRDefault="001E7254" w:rsidP="00C1728B">
      <w:pPr>
        <w:numPr>
          <w:ilvl w:val="0"/>
          <w:numId w:val="93"/>
        </w:numPr>
        <w:tabs>
          <w:tab w:val="left" w:pos="270"/>
          <w:tab w:val="left" w:pos="720"/>
          <w:tab w:val="left" w:pos="99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autoSpaceDE w:val="0"/>
        <w:autoSpaceDN w:val="0"/>
        <w:adjustRightInd w:val="0"/>
        <w:spacing w:line="240" w:lineRule="exact"/>
        <w:jc w:val="both"/>
        <w:rPr>
          <w:sz w:val="24"/>
          <w:szCs w:val="24"/>
        </w:rPr>
      </w:pPr>
      <w:r w:rsidRPr="00424F51">
        <w:rPr>
          <w:sz w:val="24"/>
        </w:rPr>
        <w:t xml:space="preserve">Pursuant to Rule 4515, </w:t>
      </w:r>
      <w:r w:rsidR="00664BAC" w:rsidRPr="00424F51">
        <w:rPr>
          <w:sz w:val="24"/>
        </w:rPr>
        <w:t>Acco</w:t>
      </w:r>
      <w:r w:rsidR="005B1BD2" w:rsidRPr="00424F51">
        <w:rPr>
          <w:sz w:val="24"/>
        </w:rPr>
        <w:t>unt Registration C</w:t>
      </w:r>
      <w:r w:rsidR="00664BAC" w:rsidRPr="00424F51">
        <w:rPr>
          <w:sz w:val="24"/>
        </w:rPr>
        <w:t>hange requests must be approved by a principal prior to any new transactions</w:t>
      </w:r>
      <w:r w:rsidRPr="00424F51">
        <w:rPr>
          <w:sz w:val="24"/>
        </w:rPr>
        <w:t xml:space="preserve"> and document the essential facts the principal relied on in approving such change</w:t>
      </w:r>
      <w:r w:rsidR="000274E4">
        <w:rPr>
          <w:sz w:val="24"/>
        </w:rPr>
        <w:t>, if applicable</w:t>
      </w:r>
      <w:r w:rsidR="00664BAC" w:rsidRPr="00424F51">
        <w:rPr>
          <w:sz w:val="24"/>
        </w:rPr>
        <w:t>. This can be evidenced either on a new account form, LOA, or an order ticket.  Any copies of registration change requests will be maintained in WinOps and/or client filing.</w:t>
      </w:r>
      <w:r w:rsidR="009B7015" w:rsidRPr="00424F51">
        <w:rPr>
          <w:sz w:val="24"/>
        </w:rPr>
        <w:t xml:space="preserve">  FINRA Rule 4515.01 </w:t>
      </w:r>
      <w:r w:rsidR="009B7015" w:rsidRPr="00424F51">
        <w:rPr>
          <w:sz w:val="24"/>
          <w:szCs w:val="24"/>
        </w:rPr>
        <w:t xml:space="preserve">provides that when accepting orders from investment advisers, the Company may allow such investment advisers to make allocations on their orders for customers on whose behalf the investment advisers submit the orders, as long as the Company receives specific account designations or customer names from such investment advisers by noon of the </w:t>
      </w:r>
      <w:r w:rsidR="009B7015" w:rsidRPr="00424F51">
        <w:rPr>
          <w:i/>
          <w:iCs/>
          <w:sz w:val="24"/>
          <w:szCs w:val="24"/>
        </w:rPr>
        <w:t xml:space="preserve">next </w:t>
      </w:r>
      <w:r w:rsidR="009B7015" w:rsidRPr="00424F51">
        <w:rPr>
          <w:sz w:val="24"/>
          <w:szCs w:val="24"/>
        </w:rPr>
        <w:t xml:space="preserve">business day </w:t>
      </w:r>
      <w:r w:rsidR="009B7015" w:rsidRPr="00424F51">
        <w:rPr>
          <w:i/>
          <w:iCs/>
          <w:sz w:val="24"/>
          <w:szCs w:val="24"/>
        </w:rPr>
        <w:t xml:space="preserve">following </w:t>
      </w:r>
      <w:r w:rsidR="009B7015" w:rsidRPr="00424F51">
        <w:rPr>
          <w:sz w:val="24"/>
          <w:szCs w:val="24"/>
        </w:rPr>
        <w:t>the trading session</w:t>
      </w:r>
      <w:r w:rsidR="00150ABB" w:rsidRPr="00424F51">
        <w:rPr>
          <w:sz w:val="24"/>
          <w:szCs w:val="24"/>
        </w:rPr>
        <w:t xml:space="preserve">. </w:t>
      </w:r>
      <w:r w:rsidR="00744692" w:rsidRPr="00424F51">
        <w:rPr>
          <w:sz w:val="24"/>
          <w:szCs w:val="24"/>
        </w:rPr>
        <w:t xml:space="preserve"> This rule only applies when there is more than one customer for any particular order.  Lastly, FINRA Rule 4515.01 clarifies that Company may not knowingly facilitate the allocation of orders from investment advisers in a manner other than in compliance with both (</w:t>
      </w:r>
      <w:proofErr w:type="spellStart"/>
      <w:r w:rsidR="00744692" w:rsidRPr="00424F51">
        <w:rPr>
          <w:sz w:val="24"/>
          <w:szCs w:val="24"/>
        </w:rPr>
        <w:t>i</w:t>
      </w:r>
      <w:proofErr w:type="spellEnd"/>
      <w:r w:rsidR="00744692" w:rsidRPr="00424F51">
        <w:rPr>
          <w:sz w:val="24"/>
          <w:szCs w:val="24"/>
        </w:rPr>
        <w:t>) the investment adviser’s intent at the time of trade execution to allocate shares on a percentage basis to the participating accounts and (ii) the investment adviser’s fiduciary duty with respect to allocations for such participating accounts, including but not limited to allocations based on the performance of a transaction between the time of execution and the time of allocation. The “knowingly facilitate” standard means that Company may not act recklessly or with knowledge in facilitating an investment adviser’s breach of its fiduciary duty to its clients, and compliance with that standard turns on the facts and circumstances.</w:t>
      </w:r>
    </w:p>
    <w:p w14:paraId="0E92BB4D" w14:textId="77777777" w:rsidR="006A3749" w:rsidRPr="006D5CDF" w:rsidRDefault="00664BAC" w:rsidP="00C1728B">
      <w:pPr>
        <w:numPr>
          <w:ilvl w:val="0"/>
          <w:numId w:val="93"/>
        </w:numPr>
        <w:tabs>
          <w:tab w:val="left" w:pos="270"/>
          <w:tab w:val="left" w:pos="720"/>
          <w:tab w:val="left" w:pos="99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autoSpaceDE w:val="0"/>
        <w:autoSpaceDN w:val="0"/>
        <w:adjustRightInd w:val="0"/>
        <w:spacing w:line="240" w:lineRule="exact"/>
        <w:jc w:val="both"/>
        <w:rPr>
          <w:rFonts w:ascii="TheSans-B4SemiLight" w:hAnsi="TheSans-B4SemiLight" w:cs="TheSans-B4SemiLight"/>
        </w:rPr>
      </w:pPr>
      <w:r w:rsidRPr="00424F51">
        <w:rPr>
          <w:sz w:val="24"/>
        </w:rPr>
        <w:t xml:space="preserve">Check requests must be processed the same day if before cutoff time. Check the account to make sure there is not </w:t>
      </w:r>
      <w:r w:rsidR="008134ED" w:rsidRPr="00424F51">
        <w:rPr>
          <w:sz w:val="24"/>
        </w:rPr>
        <w:t>withholding,</w:t>
      </w:r>
      <w:r w:rsidR="00036487" w:rsidRPr="00424F51">
        <w:rPr>
          <w:sz w:val="24"/>
        </w:rPr>
        <w:t xml:space="preserve"> and funds are available (notify the client and RR if a position must be sold for further instructions to generate the necessary funds)</w:t>
      </w:r>
      <w:r w:rsidRPr="00424F51">
        <w:rPr>
          <w:sz w:val="24"/>
        </w:rPr>
        <w:t xml:space="preserve">. Notify registered representative if there is </w:t>
      </w:r>
      <w:proofErr w:type="gramStart"/>
      <w:r w:rsidRPr="00424F51">
        <w:rPr>
          <w:sz w:val="24"/>
        </w:rPr>
        <w:t>paper work</w:t>
      </w:r>
      <w:proofErr w:type="gramEnd"/>
      <w:r w:rsidRPr="00424F51">
        <w:rPr>
          <w:sz w:val="24"/>
        </w:rPr>
        <w:t xml:space="preserve"> needed. No check can be</w:t>
      </w:r>
      <w:r w:rsidRPr="006A3749">
        <w:rPr>
          <w:sz w:val="24"/>
        </w:rPr>
        <w:t xml:space="preserve"> disbursed until the paperwork is in order.</w:t>
      </w:r>
      <w:r w:rsidR="006A3749" w:rsidRPr="006A3749">
        <w:rPr>
          <w:sz w:val="24"/>
        </w:rPr>
        <w:t xml:space="preserve"> </w:t>
      </w:r>
      <w:r w:rsidR="00EF5E21">
        <w:rPr>
          <w:sz w:val="24"/>
        </w:rPr>
        <w:t xml:space="preserve"> </w:t>
      </w:r>
      <w:r w:rsidR="00EF5E21" w:rsidRPr="006D5CDF">
        <w:rPr>
          <w:sz w:val="24"/>
        </w:rPr>
        <w:t>If request is received electronically, a verbal confirmation must be obtained from the accountholder and documented with the request or check PRIOR to sending.</w:t>
      </w:r>
    </w:p>
    <w:p w14:paraId="2E282D46" w14:textId="6A2EB988" w:rsidR="00664BAC" w:rsidRDefault="00664BAC" w:rsidP="00664BAC">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1D9080F5" w14:textId="36008FE7" w:rsidR="00D8117C" w:rsidRPr="00D8117C" w:rsidRDefault="00D8117C" w:rsidP="00D8117C">
      <w:pPr>
        <w:pStyle w:val="Heading3"/>
        <w:rPr>
          <w:color w:val="FF0000"/>
        </w:rPr>
      </w:pPr>
      <w:r>
        <w:t>5.3.3. Regulation Best Interest</w:t>
      </w:r>
    </w:p>
    <w:p w14:paraId="0311F769" w14:textId="3C0FC787" w:rsidR="00D8117C" w:rsidRPr="00482C40" w:rsidRDefault="00D8117C" w:rsidP="00D8117C">
      <w:pPr>
        <w:ind w:firstLine="270"/>
        <w:rPr>
          <w:spacing w:val="8"/>
          <w:sz w:val="24"/>
          <w:szCs w:val="24"/>
        </w:rPr>
      </w:pPr>
      <w:r w:rsidRPr="00482C40">
        <w:rPr>
          <w:spacing w:val="8"/>
          <w:sz w:val="24"/>
          <w:szCs w:val="24"/>
        </w:rPr>
        <w:t>Regulation BI applies to new accounts in two keyways:</w:t>
      </w:r>
    </w:p>
    <w:p w14:paraId="634D2034" w14:textId="77777777" w:rsidR="00D8117C" w:rsidRPr="00482C40" w:rsidRDefault="00D8117C" w:rsidP="0005402C">
      <w:pPr>
        <w:numPr>
          <w:ilvl w:val="0"/>
          <w:numId w:val="352"/>
        </w:numPr>
        <w:ind w:hanging="180"/>
        <w:rPr>
          <w:spacing w:val="8"/>
          <w:sz w:val="24"/>
          <w:szCs w:val="24"/>
        </w:rPr>
      </w:pPr>
      <w:r w:rsidRPr="00482C40">
        <w:rPr>
          <w:spacing w:val="8"/>
          <w:sz w:val="24"/>
          <w:szCs w:val="24"/>
        </w:rPr>
        <w:t>New customers must be provided with the Form CRS Relationship Summary at the time the account is opened.</w:t>
      </w:r>
    </w:p>
    <w:p w14:paraId="20D9596A" w14:textId="77777777" w:rsidR="00D8117C" w:rsidRPr="00482C40" w:rsidRDefault="00D8117C" w:rsidP="0005402C">
      <w:pPr>
        <w:numPr>
          <w:ilvl w:val="0"/>
          <w:numId w:val="352"/>
        </w:numPr>
        <w:ind w:hanging="180"/>
        <w:rPr>
          <w:spacing w:val="8"/>
          <w:sz w:val="24"/>
          <w:szCs w:val="24"/>
        </w:rPr>
      </w:pPr>
      <w:r w:rsidRPr="00482C40">
        <w:rPr>
          <w:spacing w:val="8"/>
          <w:sz w:val="24"/>
          <w:szCs w:val="24"/>
        </w:rPr>
        <w:lastRenderedPageBreak/>
        <w:t>Recommendations to open accounts are subject to Regulation BI requirements and require provision of the Form.</w:t>
      </w:r>
    </w:p>
    <w:p w14:paraId="4E9D7326" w14:textId="11B23ACB" w:rsidR="00D8117C" w:rsidRPr="00482C40" w:rsidRDefault="00D8117C" w:rsidP="00D8117C">
      <w:pPr>
        <w:ind w:left="270"/>
        <w:rPr>
          <w:spacing w:val="8"/>
          <w:sz w:val="24"/>
          <w:szCs w:val="24"/>
        </w:rPr>
      </w:pPr>
      <w:r w:rsidRPr="00482C40">
        <w:rPr>
          <w:spacing w:val="8"/>
          <w:sz w:val="24"/>
          <w:szCs w:val="24"/>
        </w:rPr>
        <w:t xml:space="preserve">The standards for making account recommendations in the customer's best interest are included in Section 5.7 </w:t>
      </w:r>
      <w:r w:rsidRPr="00482C40">
        <w:rPr>
          <w:i/>
          <w:iCs/>
          <w:spacing w:val="8"/>
          <w:sz w:val="24"/>
          <w:szCs w:val="24"/>
        </w:rPr>
        <w:t>REGULATION BEST INTEREST (REG BI)</w:t>
      </w:r>
      <w:r w:rsidRPr="00482C40">
        <w:rPr>
          <w:spacing w:val="8"/>
          <w:sz w:val="24"/>
          <w:szCs w:val="24"/>
        </w:rPr>
        <w:t>.</w:t>
      </w:r>
    </w:p>
    <w:p w14:paraId="7D862F58" w14:textId="1FD34C9D" w:rsidR="009C044A" w:rsidRPr="00482C40" w:rsidRDefault="009C044A" w:rsidP="00D8117C">
      <w:pPr>
        <w:ind w:left="270"/>
        <w:rPr>
          <w:spacing w:val="8"/>
          <w:sz w:val="24"/>
          <w:szCs w:val="24"/>
        </w:rPr>
      </w:pPr>
    </w:p>
    <w:p w14:paraId="082EF071" w14:textId="489F5A2D" w:rsidR="009C044A" w:rsidRDefault="009C044A" w:rsidP="009C044A">
      <w:pPr>
        <w:pStyle w:val="Heading3"/>
      </w:pPr>
      <w:r>
        <w:t>5.3.4 AML Procedures for New Accounts</w:t>
      </w:r>
    </w:p>
    <w:p w14:paraId="245355E1" w14:textId="1ED9ECB0" w:rsidR="009C044A" w:rsidRPr="009C044A" w:rsidRDefault="009C044A" w:rsidP="00D8117C">
      <w:pPr>
        <w:ind w:left="270"/>
        <w:rPr>
          <w:color w:val="FF0000"/>
          <w:sz w:val="32"/>
          <w:szCs w:val="32"/>
        </w:rPr>
      </w:pPr>
      <w:r w:rsidRPr="009C044A">
        <w:rPr>
          <w:sz w:val="24"/>
          <w:szCs w:val="24"/>
        </w:rPr>
        <w:t>See procedures under Section 7 of these Written Supervisory Procedures</w:t>
      </w:r>
    </w:p>
    <w:p w14:paraId="2E6808AA" w14:textId="77777777" w:rsidR="00D8117C" w:rsidRPr="00D8117C" w:rsidRDefault="00D8117C" w:rsidP="00D8117C">
      <w:pPr>
        <w:ind w:left="360"/>
      </w:pPr>
    </w:p>
    <w:p w14:paraId="565DA807" w14:textId="77777777" w:rsidR="00AB363C" w:rsidRDefault="00AB363C" w:rsidP="007C6877">
      <w:pPr>
        <w:jc w:val="both"/>
        <w:rPr>
          <w:sz w:val="24"/>
        </w:rPr>
      </w:pPr>
    </w:p>
    <w:p w14:paraId="6203E6F6" w14:textId="77777777" w:rsidR="00C82AE4" w:rsidRPr="00E42465" w:rsidRDefault="007E013F" w:rsidP="00936FEE">
      <w:pPr>
        <w:pStyle w:val="Heading2"/>
      </w:pPr>
      <w:r w:rsidRPr="00E42465">
        <w:t xml:space="preserve">5.4 </w:t>
      </w:r>
      <w:r w:rsidR="00965D86" w:rsidRPr="00E42465">
        <w:t xml:space="preserve">FINRA Rule </w:t>
      </w:r>
      <w:r w:rsidR="00C82AE4" w:rsidRPr="00E42465">
        <w:t>3</w:t>
      </w:r>
      <w:r w:rsidR="00965D86" w:rsidRPr="00E42465">
        <w:t>2</w:t>
      </w:r>
      <w:r w:rsidR="00C82AE4" w:rsidRPr="00E42465">
        <w:t>50</w:t>
      </w:r>
      <w:r w:rsidR="00BD4615">
        <w:t xml:space="preserve"> </w:t>
      </w:r>
      <w:r w:rsidR="00C82AE4" w:rsidRPr="00E42465">
        <w:t>-</w:t>
      </w:r>
      <w:r w:rsidR="00BD4615">
        <w:t xml:space="preserve"> </w:t>
      </w:r>
      <w:r w:rsidR="00C82AE4" w:rsidRPr="00E42465">
        <w:t>Designation of Accounts</w:t>
      </w:r>
    </w:p>
    <w:p w14:paraId="4AC06414" w14:textId="77777777" w:rsidR="002F5384" w:rsidRPr="003B7614" w:rsidRDefault="002F5384" w:rsidP="002F5384">
      <w:pPr>
        <w:shd w:val="clear" w:color="auto" w:fill="FFFFFF"/>
        <w:spacing w:line="270" w:lineRule="atLeast"/>
        <w:jc w:val="both"/>
        <w:rPr>
          <w:color w:val="000000"/>
          <w:sz w:val="24"/>
          <w:szCs w:val="24"/>
        </w:rPr>
      </w:pPr>
      <w:r w:rsidRPr="003B7614">
        <w:rPr>
          <w:color w:val="000000"/>
          <w:sz w:val="24"/>
          <w:szCs w:val="24"/>
        </w:rPr>
        <w:t xml:space="preserve">Company shall not carry an account on its books in the name of a person other than that of the customer, except that an account may be designated by a number or symbol, provided </w:t>
      </w:r>
      <w:r w:rsidR="00A55F18" w:rsidRPr="003B7614">
        <w:rPr>
          <w:color w:val="000000"/>
          <w:sz w:val="24"/>
          <w:szCs w:val="24"/>
        </w:rPr>
        <w:t xml:space="preserve">Company </w:t>
      </w:r>
      <w:r w:rsidRPr="003B7614">
        <w:rPr>
          <w:color w:val="000000"/>
          <w:sz w:val="24"/>
          <w:szCs w:val="24"/>
        </w:rPr>
        <w:t xml:space="preserve">has on file a written statement signed by the customer attesting the ownership of such account. </w:t>
      </w:r>
    </w:p>
    <w:p w14:paraId="51CC1EA5" w14:textId="77777777" w:rsidR="002F5384" w:rsidRPr="002F5384" w:rsidRDefault="002F5384" w:rsidP="002F5384"/>
    <w:p w14:paraId="1EC06F71" w14:textId="77777777" w:rsidR="00C82AE4" w:rsidRPr="00C82AE4" w:rsidRDefault="00C82AE4" w:rsidP="00C82AE4">
      <w:pPr>
        <w:rPr>
          <w:color w:val="0000FF"/>
        </w:rPr>
      </w:pPr>
    </w:p>
    <w:p w14:paraId="5780112D" w14:textId="77777777" w:rsidR="007E013F" w:rsidRPr="00E42465" w:rsidRDefault="00C82AE4" w:rsidP="00936FEE">
      <w:pPr>
        <w:pStyle w:val="Heading2"/>
      </w:pPr>
      <w:r w:rsidRPr="00E42465">
        <w:t xml:space="preserve">5.5 </w:t>
      </w:r>
      <w:r w:rsidR="007E013F" w:rsidRPr="00E42465">
        <w:t>Bank Secrecy Act</w:t>
      </w:r>
    </w:p>
    <w:p w14:paraId="671FBDFE" w14:textId="77777777" w:rsidR="007E013F" w:rsidRDefault="007E013F" w:rsidP="007E013F">
      <w:pPr>
        <w:jc w:val="both"/>
        <w:rPr>
          <w:sz w:val="24"/>
        </w:rPr>
      </w:pPr>
      <w:r>
        <w:rPr>
          <w:sz w:val="24"/>
        </w:rPr>
        <w:t>With respect to each new account established by the Company, by persons residing or doing business in the United States, or a citizen of the United States, the Company shall within 30 days from the date such account is opened, secure and maintain a record of the taxpayer's identification number of the person on whose behalf the account is established; or in the case of an account of one or more individuals, the Company shall secure and maintain a record of the social security number of an individual having a financial interest in the subject account.</w:t>
      </w:r>
    </w:p>
    <w:p w14:paraId="47C8A086" w14:textId="77777777" w:rsidR="007E013F" w:rsidRDefault="007E013F" w:rsidP="007E013F">
      <w:pPr>
        <w:jc w:val="both"/>
        <w:rPr>
          <w:sz w:val="24"/>
        </w:rPr>
      </w:pPr>
    </w:p>
    <w:p w14:paraId="76C31A0E" w14:textId="0605DE8F" w:rsidR="007E013F" w:rsidRDefault="007E013F" w:rsidP="007E013F">
      <w:pPr>
        <w:jc w:val="both"/>
        <w:rPr>
          <w:sz w:val="24"/>
        </w:rPr>
      </w:pPr>
      <w:r>
        <w:rPr>
          <w:sz w:val="24"/>
        </w:rPr>
        <w:t xml:space="preserve">In the event that the Company has been unable to secure the identification required within the </w:t>
      </w:r>
      <w:r w:rsidR="00A4478E">
        <w:rPr>
          <w:sz w:val="24"/>
        </w:rPr>
        <w:t>30-day</w:t>
      </w:r>
      <w:r>
        <w:rPr>
          <w:sz w:val="24"/>
        </w:rPr>
        <w:t xml:space="preserve"> period specified, it will nevertheless not be deemed to be in violation of the Bank Secrecy Act or SEC Rule 17a-8, if:</w:t>
      </w:r>
    </w:p>
    <w:p w14:paraId="35CB8213" w14:textId="77777777" w:rsidR="007E013F" w:rsidRDefault="007E013F" w:rsidP="007E013F">
      <w:pPr>
        <w:jc w:val="both"/>
        <w:rPr>
          <w:sz w:val="24"/>
        </w:rPr>
      </w:pPr>
    </w:p>
    <w:p w14:paraId="5B49D776" w14:textId="77777777" w:rsidR="007E013F" w:rsidRDefault="007E013F" w:rsidP="007E013F">
      <w:pPr>
        <w:jc w:val="both"/>
        <w:rPr>
          <w:sz w:val="24"/>
        </w:rPr>
      </w:pPr>
      <w:r>
        <w:rPr>
          <w:sz w:val="24"/>
        </w:rPr>
        <w:t>(1)</w:t>
      </w:r>
      <w:r>
        <w:rPr>
          <w:sz w:val="24"/>
        </w:rPr>
        <w:tab/>
      </w:r>
      <w:r w:rsidR="004452F8">
        <w:rPr>
          <w:sz w:val="24"/>
        </w:rPr>
        <w:t xml:space="preserve"> </w:t>
      </w:r>
      <w:r w:rsidR="005606A7">
        <w:rPr>
          <w:sz w:val="24"/>
        </w:rPr>
        <w:t xml:space="preserve"> </w:t>
      </w:r>
      <w:r w:rsidR="00765011">
        <w:rPr>
          <w:sz w:val="24"/>
        </w:rPr>
        <w:t>The</w:t>
      </w:r>
      <w:r>
        <w:rPr>
          <w:sz w:val="24"/>
        </w:rPr>
        <w:t xml:space="preserve"> Company has made a reasonable effort to secure such identification; and</w:t>
      </w:r>
    </w:p>
    <w:p w14:paraId="3ADBAB6D" w14:textId="77777777" w:rsidR="007E013F" w:rsidRDefault="007E013F" w:rsidP="007E013F">
      <w:pPr>
        <w:jc w:val="both"/>
        <w:rPr>
          <w:sz w:val="24"/>
        </w:rPr>
      </w:pPr>
    </w:p>
    <w:p w14:paraId="184C3B1C" w14:textId="77777777" w:rsidR="007E013F" w:rsidRDefault="007E013F" w:rsidP="004452F8">
      <w:pPr>
        <w:ind w:left="450" w:hanging="450"/>
        <w:jc w:val="both"/>
        <w:rPr>
          <w:sz w:val="24"/>
        </w:rPr>
      </w:pPr>
      <w:r>
        <w:rPr>
          <w:sz w:val="24"/>
        </w:rPr>
        <w:t>(2)</w:t>
      </w:r>
      <w:r>
        <w:rPr>
          <w:sz w:val="24"/>
        </w:rPr>
        <w:tab/>
      </w:r>
      <w:r w:rsidR="00765011">
        <w:rPr>
          <w:sz w:val="24"/>
        </w:rPr>
        <w:t>The</w:t>
      </w:r>
      <w:r>
        <w:rPr>
          <w:sz w:val="24"/>
        </w:rPr>
        <w:t xml:space="preserve"> Company maintains a list containing the names, addresses, and account numbers of those persons from whom it has been unable to secure such identification, and makes the names, addresses, and account numbers of those persons available to the proper authorities as may be requested.</w:t>
      </w:r>
    </w:p>
    <w:p w14:paraId="3F8451BA" w14:textId="77777777" w:rsidR="007E013F" w:rsidRDefault="007E013F" w:rsidP="007E013F">
      <w:pPr>
        <w:jc w:val="both"/>
        <w:rPr>
          <w:sz w:val="24"/>
        </w:rPr>
      </w:pPr>
    </w:p>
    <w:p w14:paraId="52401B05" w14:textId="391E2FF1" w:rsidR="007E013F" w:rsidRDefault="007E013F" w:rsidP="007E013F">
      <w:pPr>
        <w:jc w:val="both"/>
        <w:rPr>
          <w:sz w:val="24"/>
        </w:rPr>
      </w:pPr>
      <w:r>
        <w:rPr>
          <w:sz w:val="24"/>
        </w:rPr>
        <w:t xml:space="preserve">The Company's personnel must </w:t>
      </w:r>
      <w:r w:rsidR="00A4478E">
        <w:rPr>
          <w:sz w:val="24"/>
        </w:rPr>
        <w:t>ensure</w:t>
      </w:r>
      <w:r>
        <w:rPr>
          <w:sz w:val="24"/>
        </w:rPr>
        <w:t xml:space="preserve"> that a W-9 is obtained for each account established on behalf of a customer. If a W-9 is not obtained, the appropriate backup withholding will be applied by </w:t>
      </w:r>
      <w:r w:rsidR="00571E34" w:rsidRPr="0083736F">
        <w:rPr>
          <w:sz w:val="24"/>
        </w:rPr>
        <w:t>Hilltop</w:t>
      </w:r>
      <w:r w:rsidRPr="0083736F">
        <w:rPr>
          <w:sz w:val="24"/>
        </w:rPr>
        <w:t xml:space="preserve"> </w:t>
      </w:r>
      <w:r>
        <w:rPr>
          <w:sz w:val="24"/>
        </w:rPr>
        <w:t>Securities, Inc. and a list of all outstanding W-9's shall be maintained by the Company as a part of its books and records.</w:t>
      </w:r>
    </w:p>
    <w:p w14:paraId="00596F7A" w14:textId="77777777" w:rsidR="007E013F" w:rsidRDefault="007E013F" w:rsidP="007E013F">
      <w:pPr>
        <w:jc w:val="both"/>
        <w:rPr>
          <w:sz w:val="24"/>
        </w:rPr>
      </w:pPr>
    </w:p>
    <w:p w14:paraId="02165AF0" w14:textId="77777777" w:rsidR="007E013F" w:rsidRDefault="007E013F" w:rsidP="007E013F">
      <w:pPr>
        <w:jc w:val="both"/>
        <w:rPr>
          <w:sz w:val="24"/>
        </w:rPr>
      </w:pPr>
      <w:r>
        <w:rPr>
          <w:sz w:val="24"/>
        </w:rPr>
        <w:t>Where a person is a nonresident alien, the Company shall also record the person's passport number or description of other government document</w:t>
      </w:r>
      <w:r w:rsidR="00BC639B">
        <w:rPr>
          <w:sz w:val="24"/>
        </w:rPr>
        <w:t>(s)</w:t>
      </w:r>
      <w:r>
        <w:rPr>
          <w:sz w:val="24"/>
        </w:rPr>
        <w:t xml:space="preserve"> used to verify the individual's identity.</w:t>
      </w:r>
    </w:p>
    <w:p w14:paraId="2EAB64D5" w14:textId="77777777" w:rsidR="007E013F" w:rsidRDefault="007E013F" w:rsidP="007E013F">
      <w:pPr>
        <w:jc w:val="both"/>
        <w:rPr>
          <w:sz w:val="24"/>
        </w:rPr>
      </w:pPr>
    </w:p>
    <w:p w14:paraId="004817B6" w14:textId="67EEBEDA" w:rsidR="007E013F" w:rsidRDefault="007E013F" w:rsidP="007E013F">
      <w:pPr>
        <w:jc w:val="both"/>
        <w:rPr>
          <w:sz w:val="24"/>
        </w:rPr>
      </w:pPr>
      <w:r>
        <w:rPr>
          <w:sz w:val="24"/>
        </w:rPr>
        <w:t>The 30</w:t>
      </w:r>
      <w:r w:rsidR="008939B9">
        <w:rPr>
          <w:sz w:val="24"/>
        </w:rPr>
        <w:t>-</w:t>
      </w:r>
      <w:r>
        <w:rPr>
          <w:sz w:val="24"/>
        </w:rPr>
        <w:t>day period provided for in the Bank Secrecy Act shall be extended where the person establishing the account has applied for a taxpayer identification or social security number on Form S-4 or S-5, until such time as the person maintaining the account has had a reasonable opportunity to secure such number and furnish it to the Company.</w:t>
      </w:r>
    </w:p>
    <w:p w14:paraId="68C25A9F" w14:textId="77777777" w:rsidR="007E013F" w:rsidRDefault="007E013F" w:rsidP="007E013F">
      <w:pPr>
        <w:jc w:val="both"/>
        <w:rPr>
          <w:sz w:val="24"/>
        </w:rPr>
      </w:pPr>
    </w:p>
    <w:p w14:paraId="031B827C" w14:textId="77777777" w:rsidR="007E013F" w:rsidRDefault="007E013F" w:rsidP="007E013F">
      <w:pPr>
        <w:jc w:val="both"/>
        <w:rPr>
          <w:sz w:val="24"/>
        </w:rPr>
      </w:pPr>
      <w:r>
        <w:rPr>
          <w:sz w:val="24"/>
        </w:rPr>
        <w:lastRenderedPageBreak/>
        <w:t>A taxpayer identification number for a deposit or share account required under the above paragraph need not be secured in the following instances:</w:t>
      </w:r>
    </w:p>
    <w:p w14:paraId="51698AC4" w14:textId="77777777" w:rsidR="007E013F" w:rsidRDefault="007E013F" w:rsidP="007E013F">
      <w:pPr>
        <w:jc w:val="both"/>
        <w:rPr>
          <w:sz w:val="24"/>
        </w:rPr>
      </w:pPr>
    </w:p>
    <w:p w14:paraId="58FD5220" w14:textId="77777777" w:rsidR="007E013F" w:rsidRDefault="007E013F" w:rsidP="003638B5">
      <w:pPr>
        <w:ind w:left="450" w:hanging="450"/>
        <w:jc w:val="both"/>
        <w:rPr>
          <w:sz w:val="24"/>
        </w:rPr>
      </w:pPr>
      <w:r>
        <w:rPr>
          <w:sz w:val="24"/>
        </w:rPr>
        <w:t>(1)</w:t>
      </w:r>
      <w:r>
        <w:rPr>
          <w:sz w:val="24"/>
        </w:rPr>
        <w:tab/>
        <w:t>Accounts for public funds opened by agencies and instrumentalities of Federal, State, local or foreign governments;</w:t>
      </w:r>
    </w:p>
    <w:p w14:paraId="09448D10" w14:textId="77777777" w:rsidR="007E013F" w:rsidRDefault="007E013F" w:rsidP="007E013F">
      <w:pPr>
        <w:ind w:left="720" w:hanging="720"/>
        <w:jc w:val="both"/>
        <w:rPr>
          <w:sz w:val="24"/>
        </w:rPr>
      </w:pPr>
    </w:p>
    <w:p w14:paraId="25E466D2" w14:textId="77777777" w:rsidR="007E013F" w:rsidRDefault="007E013F" w:rsidP="005606A7">
      <w:pPr>
        <w:ind w:left="450" w:hanging="450"/>
        <w:jc w:val="both"/>
        <w:rPr>
          <w:sz w:val="24"/>
        </w:rPr>
      </w:pPr>
      <w:r>
        <w:rPr>
          <w:sz w:val="24"/>
        </w:rPr>
        <w:t>(2)</w:t>
      </w:r>
      <w:r w:rsidR="003638B5">
        <w:rPr>
          <w:sz w:val="24"/>
        </w:rPr>
        <w:t xml:space="preserve">  </w:t>
      </w:r>
      <w:r w:rsidR="00AD1B5D">
        <w:rPr>
          <w:sz w:val="24"/>
        </w:rPr>
        <w:t>Accounts</w:t>
      </w:r>
      <w:r>
        <w:rPr>
          <w:sz w:val="24"/>
        </w:rPr>
        <w:t xml:space="preserve"> for aliens who are:</w:t>
      </w:r>
    </w:p>
    <w:p w14:paraId="46494F1F" w14:textId="77777777" w:rsidR="007E013F" w:rsidRDefault="007E013F" w:rsidP="007E013F">
      <w:pPr>
        <w:ind w:left="720" w:hanging="720"/>
        <w:jc w:val="both"/>
        <w:rPr>
          <w:sz w:val="24"/>
        </w:rPr>
      </w:pPr>
    </w:p>
    <w:p w14:paraId="056D2105" w14:textId="77777777" w:rsidR="007E013F" w:rsidRDefault="007E013F" w:rsidP="005606A7">
      <w:pPr>
        <w:ind w:left="1170" w:hanging="450"/>
        <w:jc w:val="both"/>
        <w:rPr>
          <w:sz w:val="24"/>
        </w:rPr>
      </w:pPr>
      <w:r>
        <w:rPr>
          <w:sz w:val="24"/>
        </w:rPr>
        <w:t>(a)</w:t>
      </w:r>
      <w:r>
        <w:rPr>
          <w:sz w:val="24"/>
        </w:rPr>
        <w:tab/>
      </w:r>
      <w:r w:rsidR="00765011">
        <w:rPr>
          <w:sz w:val="24"/>
        </w:rPr>
        <w:t>Ambassadors</w:t>
      </w:r>
      <w:r>
        <w:rPr>
          <w:sz w:val="24"/>
        </w:rPr>
        <w:t>, ministers, career diplomatic or consular office, or</w:t>
      </w:r>
    </w:p>
    <w:p w14:paraId="46987E9A" w14:textId="77777777" w:rsidR="007E013F" w:rsidRDefault="007E013F" w:rsidP="007E013F">
      <w:pPr>
        <w:ind w:left="1440" w:hanging="720"/>
        <w:jc w:val="both"/>
        <w:rPr>
          <w:sz w:val="24"/>
        </w:rPr>
      </w:pPr>
    </w:p>
    <w:p w14:paraId="633DC637" w14:textId="77777777" w:rsidR="007E013F" w:rsidRDefault="007E013F" w:rsidP="003638B5">
      <w:pPr>
        <w:ind w:left="1170" w:hanging="450"/>
        <w:jc w:val="both"/>
        <w:rPr>
          <w:sz w:val="24"/>
        </w:rPr>
      </w:pPr>
      <w:r>
        <w:rPr>
          <w:sz w:val="24"/>
        </w:rPr>
        <w:t>(b)</w:t>
      </w:r>
      <w:r>
        <w:rPr>
          <w:sz w:val="24"/>
        </w:rPr>
        <w:tab/>
      </w:r>
      <w:r w:rsidR="00765011">
        <w:rPr>
          <w:sz w:val="24"/>
        </w:rPr>
        <w:t>Naval</w:t>
      </w:r>
      <w:r>
        <w:rPr>
          <w:sz w:val="24"/>
        </w:rPr>
        <w:t xml:space="preserve">, military or other </w:t>
      </w:r>
      <w:r w:rsidR="00015C68">
        <w:rPr>
          <w:sz w:val="24"/>
        </w:rPr>
        <w:t>attachés</w:t>
      </w:r>
      <w:r>
        <w:rPr>
          <w:sz w:val="24"/>
        </w:rPr>
        <w:t xml:space="preserve"> of foreign embassies, and legations, and for the members of their immediate families.</w:t>
      </w:r>
    </w:p>
    <w:p w14:paraId="53EA17E0" w14:textId="77777777" w:rsidR="007E013F" w:rsidRDefault="007E013F" w:rsidP="007E013F">
      <w:pPr>
        <w:ind w:left="720" w:hanging="720"/>
        <w:jc w:val="both"/>
        <w:rPr>
          <w:sz w:val="24"/>
        </w:rPr>
      </w:pPr>
    </w:p>
    <w:p w14:paraId="56A2DBCB" w14:textId="77777777" w:rsidR="007E013F" w:rsidRDefault="00AD1B5D" w:rsidP="003638B5">
      <w:pPr>
        <w:ind w:left="450" w:hanging="450"/>
        <w:jc w:val="both"/>
        <w:rPr>
          <w:sz w:val="24"/>
        </w:rPr>
      </w:pPr>
      <w:r>
        <w:rPr>
          <w:sz w:val="24"/>
        </w:rPr>
        <w:t>(3)</w:t>
      </w:r>
      <w:r>
        <w:rPr>
          <w:sz w:val="24"/>
        </w:rPr>
        <w:tab/>
        <w:t>A</w:t>
      </w:r>
      <w:r w:rsidR="007E013F">
        <w:rPr>
          <w:sz w:val="24"/>
        </w:rPr>
        <w:t>ccounts for aliens who are accredited representatives to international organizations which are entitled to enjoy privileges, exemption, and immunities as an international organization under the International Organizations Immunities Act of December 29, 1945 (22 USC Sec. 288), and for the members of their immediate families.</w:t>
      </w:r>
    </w:p>
    <w:p w14:paraId="40D6D868" w14:textId="77777777" w:rsidR="007E013F" w:rsidRDefault="007E013F" w:rsidP="007E013F">
      <w:pPr>
        <w:ind w:left="720" w:hanging="720"/>
        <w:jc w:val="both"/>
        <w:rPr>
          <w:sz w:val="24"/>
        </w:rPr>
      </w:pPr>
    </w:p>
    <w:p w14:paraId="0D38E992" w14:textId="11752C4B" w:rsidR="007E013F" w:rsidRDefault="008939B9" w:rsidP="007E013F">
      <w:pPr>
        <w:jc w:val="both"/>
        <w:rPr>
          <w:sz w:val="24"/>
        </w:rPr>
      </w:pPr>
      <w:r w:rsidRPr="00482C40">
        <w:rPr>
          <w:sz w:val="24"/>
        </w:rPr>
        <w:t>Company</w:t>
      </w:r>
      <w:r w:rsidR="007E013F" w:rsidRPr="00482C40">
        <w:rPr>
          <w:sz w:val="24"/>
        </w:rPr>
        <w:t xml:space="preserve"> will, in addition, retain as required, either the original</w:t>
      </w:r>
      <w:r w:rsidRPr="00482C40">
        <w:rPr>
          <w:sz w:val="24"/>
        </w:rPr>
        <w:t xml:space="preserve">, </w:t>
      </w:r>
      <w:r w:rsidR="007E013F" w:rsidRPr="00482C40">
        <w:rPr>
          <w:sz w:val="24"/>
        </w:rPr>
        <w:t>a copy</w:t>
      </w:r>
      <w:r w:rsidRPr="00482C40">
        <w:rPr>
          <w:sz w:val="24"/>
        </w:rPr>
        <w:t>,</w:t>
      </w:r>
      <w:r w:rsidR="007E013F" w:rsidRPr="00482C40">
        <w:rPr>
          <w:sz w:val="24"/>
        </w:rPr>
        <w:t xml:space="preserve"> or </w:t>
      </w:r>
      <w:r w:rsidRPr="00482C40">
        <w:rPr>
          <w:sz w:val="24"/>
        </w:rPr>
        <w:t xml:space="preserve">other </w:t>
      </w:r>
      <w:r>
        <w:rPr>
          <w:sz w:val="24"/>
        </w:rPr>
        <w:t>r</w:t>
      </w:r>
      <w:r w:rsidR="007E013F">
        <w:rPr>
          <w:sz w:val="24"/>
        </w:rPr>
        <w:t>eproduction of each of the following:</w:t>
      </w:r>
    </w:p>
    <w:p w14:paraId="5B654D12" w14:textId="77777777" w:rsidR="007E013F" w:rsidRDefault="007E013F" w:rsidP="007E013F">
      <w:pPr>
        <w:ind w:left="720" w:hanging="720"/>
        <w:jc w:val="both"/>
        <w:rPr>
          <w:sz w:val="24"/>
        </w:rPr>
      </w:pPr>
    </w:p>
    <w:p w14:paraId="584A8CDF" w14:textId="77777777" w:rsidR="007E013F" w:rsidRDefault="007E013F" w:rsidP="005606A7">
      <w:pPr>
        <w:ind w:left="360" w:hanging="360"/>
        <w:jc w:val="both"/>
        <w:rPr>
          <w:sz w:val="24"/>
        </w:rPr>
      </w:pPr>
      <w:r>
        <w:rPr>
          <w:sz w:val="24"/>
        </w:rPr>
        <w:t>(1)</w:t>
      </w:r>
      <w:r>
        <w:rPr>
          <w:sz w:val="24"/>
        </w:rPr>
        <w:tab/>
      </w:r>
      <w:r w:rsidR="004B64FC">
        <w:rPr>
          <w:sz w:val="24"/>
        </w:rPr>
        <w:t xml:space="preserve">  </w:t>
      </w:r>
      <w:r>
        <w:rPr>
          <w:sz w:val="24"/>
        </w:rPr>
        <w:t>Each document granting signature or trading authority over each customer's account;</w:t>
      </w:r>
    </w:p>
    <w:p w14:paraId="3F0B1EFA" w14:textId="77777777" w:rsidR="007E013F" w:rsidRDefault="007E013F" w:rsidP="007E013F">
      <w:pPr>
        <w:ind w:left="720" w:hanging="720"/>
        <w:jc w:val="both"/>
        <w:rPr>
          <w:sz w:val="24"/>
        </w:rPr>
      </w:pPr>
    </w:p>
    <w:p w14:paraId="28B0401A" w14:textId="77777777" w:rsidR="007E013F" w:rsidRDefault="007E013F" w:rsidP="004B64FC">
      <w:pPr>
        <w:ind w:left="450" w:hanging="450"/>
        <w:jc w:val="both"/>
        <w:rPr>
          <w:sz w:val="24"/>
        </w:rPr>
      </w:pPr>
      <w:r>
        <w:rPr>
          <w:sz w:val="24"/>
        </w:rPr>
        <w:t>(2)</w:t>
      </w:r>
      <w:r>
        <w:rPr>
          <w:sz w:val="24"/>
        </w:rPr>
        <w:tab/>
        <w:t>Each record described in section 240.17a-3(a)(1), (2), (3), (5), (6), (7), (8), and (9) of Title 17, Code of Federal Regulations;</w:t>
      </w:r>
    </w:p>
    <w:p w14:paraId="0C97F2C6" w14:textId="77777777" w:rsidR="007E013F" w:rsidRDefault="007E013F" w:rsidP="007E013F">
      <w:pPr>
        <w:ind w:left="720" w:hanging="720"/>
        <w:jc w:val="both"/>
        <w:rPr>
          <w:sz w:val="24"/>
        </w:rPr>
      </w:pPr>
    </w:p>
    <w:p w14:paraId="3C495ACA" w14:textId="77777777" w:rsidR="007E013F" w:rsidRDefault="007E013F" w:rsidP="004B64FC">
      <w:pPr>
        <w:ind w:left="450" w:hanging="450"/>
        <w:jc w:val="both"/>
        <w:rPr>
          <w:sz w:val="24"/>
        </w:rPr>
      </w:pPr>
      <w:r>
        <w:rPr>
          <w:sz w:val="24"/>
        </w:rPr>
        <w:t>(3)</w:t>
      </w:r>
      <w:r>
        <w:rPr>
          <w:sz w:val="24"/>
        </w:rPr>
        <w:tab/>
        <w:t>A record of each remittance or transfer of funds, or of currency, checks or monetary instruments, investment securities, or credit, of more than $3,000 to a person, account, or place, outside of the United States</w:t>
      </w:r>
      <w:r w:rsidR="00C440FB">
        <w:rPr>
          <w:sz w:val="24"/>
        </w:rPr>
        <w:t xml:space="preserve"> </w:t>
      </w:r>
      <w:r w:rsidR="00C440FB" w:rsidRPr="008B6447">
        <w:rPr>
          <w:sz w:val="24"/>
        </w:rPr>
        <w:t xml:space="preserve">(maintained by </w:t>
      </w:r>
      <w:r w:rsidR="00DF1147" w:rsidRPr="006D5CDF">
        <w:rPr>
          <w:sz w:val="24"/>
        </w:rPr>
        <w:t>HTS</w:t>
      </w:r>
      <w:r w:rsidR="00C440FB" w:rsidRPr="008B6447">
        <w:rPr>
          <w:sz w:val="24"/>
        </w:rPr>
        <w:t>)</w:t>
      </w:r>
      <w:r w:rsidRPr="008B6447">
        <w:rPr>
          <w:sz w:val="24"/>
        </w:rPr>
        <w:t>.</w:t>
      </w:r>
    </w:p>
    <w:p w14:paraId="652CCE73" w14:textId="77777777" w:rsidR="007E013F" w:rsidRDefault="007E013F" w:rsidP="007E013F">
      <w:pPr>
        <w:ind w:left="720" w:hanging="720"/>
        <w:jc w:val="both"/>
        <w:rPr>
          <w:sz w:val="24"/>
        </w:rPr>
      </w:pPr>
    </w:p>
    <w:p w14:paraId="02F8EE2B" w14:textId="77777777" w:rsidR="007E013F" w:rsidRDefault="007E013F" w:rsidP="004B64FC">
      <w:pPr>
        <w:ind w:left="450" w:hanging="450"/>
        <w:jc w:val="both"/>
        <w:rPr>
          <w:sz w:val="24"/>
        </w:rPr>
      </w:pPr>
      <w:r>
        <w:rPr>
          <w:sz w:val="24"/>
        </w:rPr>
        <w:t>(4)</w:t>
      </w:r>
      <w:r>
        <w:rPr>
          <w:sz w:val="24"/>
        </w:rPr>
        <w:tab/>
      </w:r>
      <w:r w:rsidR="004B64FC">
        <w:rPr>
          <w:sz w:val="24"/>
        </w:rPr>
        <w:t>A</w:t>
      </w:r>
      <w:r>
        <w:rPr>
          <w:sz w:val="24"/>
        </w:rPr>
        <w:t xml:space="preserve"> record of each receipt of currency, other monetary instruments, checks or investment securities and of each transfer of funds or credit, of more than $3,000 received on any one occasion directly and not through a domestic financial institution, from any person, account or place outside the United </w:t>
      </w:r>
      <w:r w:rsidRPr="008B6447">
        <w:rPr>
          <w:sz w:val="24"/>
        </w:rPr>
        <w:t>States</w:t>
      </w:r>
      <w:r w:rsidR="00C440FB" w:rsidRPr="008B6447">
        <w:rPr>
          <w:sz w:val="24"/>
        </w:rPr>
        <w:t xml:space="preserve"> (maintained by </w:t>
      </w:r>
      <w:r w:rsidR="00DF1147" w:rsidRPr="006D5CDF">
        <w:rPr>
          <w:sz w:val="24"/>
        </w:rPr>
        <w:t>HTS</w:t>
      </w:r>
      <w:r w:rsidR="00C440FB" w:rsidRPr="008B6447">
        <w:rPr>
          <w:sz w:val="24"/>
        </w:rPr>
        <w:t>)</w:t>
      </w:r>
      <w:r w:rsidRPr="008B6447">
        <w:rPr>
          <w:sz w:val="24"/>
        </w:rPr>
        <w:t>.</w:t>
      </w:r>
    </w:p>
    <w:p w14:paraId="22D599AD" w14:textId="77777777" w:rsidR="007E013F" w:rsidRDefault="007E013F" w:rsidP="007E013F">
      <w:pPr>
        <w:ind w:left="720" w:hanging="720"/>
        <w:jc w:val="both"/>
        <w:rPr>
          <w:sz w:val="24"/>
        </w:rPr>
      </w:pPr>
    </w:p>
    <w:p w14:paraId="77754236" w14:textId="77777777" w:rsidR="007E013F" w:rsidRDefault="007E013F" w:rsidP="007E013F">
      <w:pPr>
        <w:jc w:val="both"/>
        <w:rPr>
          <w:sz w:val="24"/>
        </w:rPr>
      </w:pPr>
      <w:r>
        <w:rPr>
          <w:sz w:val="24"/>
        </w:rPr>
        <w:t xml:space="preserve">It shall be the responsibility of Morris Monroe </w:t>
      </w:r>
      <w:r w:rsidR="003869EB" w:rsidRPr="00D14441">
        <w:rPr>
          <w:sz w:val="24"/>
        </w:rPr>
        <w:t>or Compliance</w:t>
      </w:r>
      <w:r w:rsidR="003869EB">
        <w:rPr>
          <w:sz w:val="24"/>
        </w:rPr>
        <w:t xml:space="preserve"> </w:t>
      </w:r>
      <w:r>
        <w:rPr>
          <w:sz w:val="24"/>
        </w:rPr>
        <w:t>to review the Company's books and records for compliance with the requirements of the Bank Secrecy Act.</w:t>
      </w:r>
    </w:p>
    <w:p w14:paraId="687A0395" w14:textId="77777777" w:rsidR="007E013F" w:rsidRDefault="007E013F" w:rsidP="007E013F">
      <w:pPr>
        <w:jc w:val="both"/>
        <w:rPr>
          <w:sz w:val="24"/>
        </w:rPr>
      </w:pPr>
    </w:p>
    <w:p w14:paraId="2BE84F9C" w14:textId="77777777" w:rsidR="007E013F" w:rsidRPr="003869EB" w:rsidRDefault="007E013F" w:rsidP="00CD4261">
      <w:pPr>
        <w:ind w:left="720"/>
        <w:jc w:val="both"/>
        <w:rPr>
          <w:sz w:val="24"/>
        </w:rPr>
      </w:pPr>
      <w:r w:rsidRPr="003869EB">
        <w:rPr>
          <w:b/>
          <w:sz w:val="24"/>
        </w:rPr>
        <w:t>The Joint and Travel Rules</w:t>
      </w:r>
      <w:r w:rsidR="003869EB">
        <w:rPr>
          <w:sz w:val="24"/>
        </w:rPr>
        <w:t>:</w:t>
      </w:r>
    </w:p>
    <w:p w14:paraId="0A42DD68" w14:textId="77777777" w:rsidR="00CD4261" w:rsidRDefault="00CD4261" w:rsidP="00CD4261">
      <w:pPr>
        <w:tabs>
          <w:tab w:val="num" w:pos="720"/>
        </w:tabs>
        <w:ind w:left="720"/>
        <w:jc w:val="both"/>
        <w:rPr>
          <w:sz w:val="24"/>
        </w:rPr>
      </w:pPr>
    </w:p>
    <w:p w14:paraId="42348811" w14:textId="77777777" w:rsidR="007E013F" w:rsidRDefault="007E013F" w:rsidP="00CD4261">
      <w:pPr>
        <w:tabs>
          <w:tab w:val="num" w:pos="720"/>
        </w:tabs>
        <w:ind w:left="720"/>
        <w:jc w:val="both"/>
        <w:rPr>
          <w:sz w:val="24"/>
        </w:rPr>
      </w:pPr>
      <w:r>
        <w:rPr>
          <w:sz w:val="24"/>
        </w:rPr>
        <w:t xml:space="preserve">The joint rule requires that if the </w:t>
      </w:r>
      <w:r w:rsidR="00CA578B">
        <w:rPr>
          <w:sz w:val="24"/>
        </w:rPr>
        <w:t>Company</w:t>
      </w:r>
      <w:r>
        <w:rPr>
          <w:sz w:val="24"/>
        </w:rPr>
        <w:t xml:space="preserve"> is involved in a wire transfer greater than $3,000 the </w:t>
      </w:r>
      <w:r w:rsidR="00CA578B">
        <w:rPr>
          <w:sz w:val="24"/>
        </w:rPr>
        <w:t>Company</w:t>
      </w:r>
      <w:r>
        <w:rPr>
          <w:sz w:val="24"/>
        </w:rPr>
        <w:t xml:space="preserve"> must collect and retain certain information regarding the transfer depending on its role in the transfer and the relationship to the parties.  The </w:t>
      </w:r>
      <w:r w:rsidR="00CA578B">
        <w:rPr>
          <w:sz w:val="24"/>
        </w:rPr>
        <w:t>Company</w:t>
      </w:r>
      <w:r>
        <w:rPr>
          <w:sz w:val="24"/>
        </w:rPr>
        <w:t xml:space="preserve"> will also verify the identity of transmitters and recipients that are not established customers. </w:t>
      </w:r>
    </w:p>
    <w:p w14:paraId="7454D13C" w14:textId="77777777" w:rsidR="007E013F" w:rsidRDefault="007E013F" w:rsidP="007E013F">
      <w:pPr>
        <w:ind w:left="720"/>
        <w:jc w:val="both"/>
        <w:rPr>
          <w:sz w:val="24"/>
        </w:rPr>
      </w:pPr>
    </w:p>
    <w:p w14:paraId="74EBDB90" w14:textId="5730F94F" w:rsidR="007E013F" w:rsidRDefault="007E013F" w:rsidP="007E013F">
      <w:pPr>
        <w:tabs>
          <w:tab w:val="num" w:pos="720"/>
        </w:tabs>
        <w:ind w:left="720"/>
        <w:jc w:val="both"/>
        <w:rPr>
          <w:sz w:val="24"/>
        </w:rPr>
      </w:pPr>
      <w:r>
        <w:rPr>
          <w:sz w:val="24"/>
        </w:rPr>
        <w:t>The travel rule requires intermediary parties to wire transfers greater than $3,000 to include all information received about such wire transfers in their re</w:t>
      </w:r>
      <w:r w:rsidR="008939B9">
        <w:rPr>
          <w:sz w:val="24"/>
        </w:rPr>
        <w:t>-</w:t>
      </w:r>
      <w:r>
        <w:rPr>
          <w:sz w:val="24"/>
        </w:rPr>
        <w:t xml:space="preserve">transmittal of the wire order.  </w:t>
      </w:r>
    </w:p>
    <w:p w14:paraId="17530B64" w14:textId="77777777" w:rsidR="007E013F" w:rsidRDefault="007E013F" w:rsidP="007E013F">
      <w:pPr>
        <w:ind w:left="720"/>
        <w:jc w:val="both"/>
        <w:rPr>
          <w:sz w:val="24"/>
        </w:rPr>
      </w:pPr>
    </w:p>
    <w:p w14:paraId="67E8BA57" w14:textId="77777777" w:rsidR="007E013F" w:rsidRDefault="007E013F" w:rsidP="007E013F">
      <w:pPr>
        <w:tabs>
          <w:tab w:val="num" w:pos="720"/>
        </w:tabs>
        <w:ind w:left="720"/>
        <w:jc w:val="both"/>
        <w:rPr>
          <w:sz w:val="24"/>
        </w:rPr>
      </w:pPr>
      <w:r>
        <w:rPr>
          <w:sz w:val="24"/>
        </w:rPr>
        <w:lastRenderedPageBreak/>
        <w:t>The joint rule requires that when functioning as the transmittor’s financial institution for an established customer</w:t>
      </w:r>
      <w:r w:rsidR="003869EB">
        <w:rPr>
          <w:sz w:val="24"/>
        </w:rPr>
        <w:t>,</w:t>
      </w:r>
      <w:r>
        <w:rPr>
          <w:sz w:val="24"/>
        </w:rPr>
        <w:t xml:space="preserve"> the </w:t>
      </w:r>
      <w:r w:rsidR="003869EB">
        <w:rPr>
          <w:sz w:val="24"/>
        </w:rPr>
        <w:t>Company</w:t>
      </w:r>
      <w:r>
        <w:rPr>
          <w:sz w:val="24"/>
        </w:rPr>
        <w:t xml:space="preserve"> must be able to retrieve the information by account number and account name.  </w:t>
      </w:r>
    </w:p>
    <w:p w14:paraId="66419297" w14:textId="77777777" w:rsidR="007E013F" w:rsidRDefault="007E013F" w:rsidP="007E013F">
      <w:pPr>
        <w:ind w:left="720"/>
        <w:jc w:val="both"/>
        <w:rPr>
          <w:sz w:val="24"/>
        </w:rPr>
      </w:pPr>
    </w:p>
    <w:p w14:paraId="7CA195C6" w14:textId="77777777" w:rsidR="007E013F" w:rsidRDefault="007E013F" w:rsidP="007E013F">
      <w:pPr>
        <w:tabs>
          <w:tab w:val="num" w:pos="720"/>
        </w:tabs>
        <w:ind w:left="720"/>
        <w:jc w:val="both"/>
        <w:rPr>
          <w:sz w:val="24"/>
        </w:rPr>
      </w:pPr>
      <w:r>
        <w:rPr>
          <w:sz w:val="24"/>
        </w:rPr>
        <w:t>The following transmittals of funds are not subject to the requirements of the joint rule: Any transfer of less than $3,000; transmittals of funds where the transmittor and the recipient are any of the following: a bank, a wholly owned domestic subsidiary of a bank charted in the US; a broker dealer in securities; a wholly owned domestic subsidiary of a broker dealer in securities: the United States; a state or local government or a federal, state or local government agency or instrumentality.</w:t>
      </w:r>
    </w:p>
    <w:p w14:paraId="5DFBD4D9" w14:textId="77777777" w:rsidR="007E013F" w:rsidRDefault="007E013F" w:rsidP="007E013F">
      <w:pPr>
        <w:jc w:val="both"/>
        <w:rPr>
          <w:sz w:val="24"/>
        </w:rPr>
      </w:pPr>
    </w:p>
    <w:p w14:paraId="212175DB" w14:textId="77777777" w:rsidR="007E013F" w:rsidRDefault="007E013F" w:rsidP="007E013F">
      <w:pPr>
        <w:tabs>
          <w:tab w:val="num" w:pos="720"/>
        </w:tabs>
        <w:ind w:left="720"/>
        <w:jc w:val="both"/>
        <w:rPr>
          <w:sz w:val="24"/>
        </w:rPr>
      </w:pPr>
      <w:r>
        <w:rPr>
          <w:sz w:val="24"/>
        </w:rPr>
        <w:t xml:space="preserve">The </w:t>
      </w:r>
      <w:r w:rsidR="00CA578B">
        <w:rPr>
          <w:sz w:val="24"/>
        </w:rPr>
        <w:t>Company</w:t>
      </w:r>
      <w:r>
        <w:rPr>
          <w:sz w:val="24"/>
        </w:rPr>
        <w:t xml:space="preserve"> will maintain a </w:t>
      </w:r>
      <w:r w:rsidR="007A4F8F">
        <w:rPr>
          <w:sz w:val="24"/>
        </w:rPr>
        <w:t>record</w:t>
      </w:r>
      <w:r>
        <w:rPr>
          <w:sz w:val="24"/>
        </w:rPr>
        <w:t xml:space="preserve"> of all wire transfer</w:t>
      </w:r>
      <w:r w:rsidR="007A4F8F">
        <w:rPr>
          <w:sz w:val="24"/>
        </w:rPr>
        <w:t>s</w:t>
      </w:r>
      <w:r>
        <w:rPr>
          <w:sz w:val="24"/>
        </w:rPr>
        <w:t xml:space="preserve"> over $3,000 received and delivered</w:t>
      </w:r>
      <w:r w:rsidR="00C440FB">
        <w:rPr>
          <w:sz w:val="24"/>
        </w:rPr>
        <w:t xml:space="preserve"> </w:t>
      </w:r>
      <w:r w:rsidR="00C440FB" w:rsidRPr="008B6447">
        <w:rPr>
          <w:sz w:val="24"/>
        </w:rPr>
        <w:t xml:space="preserve">(maintained by </w:t>
      </w:r>
      <w:r w:rsidR="00DF1147" w:rsidRPr="006D5CDF">
        <w:rPr>
          <w:sz w:val="24"/>
        </w:rPr>
        <w:t>HTS</w:t>
      </w:r>
      <w:r w:rsidR="00C440FB" w:rsidRPr="006D5CDF">
        <w:rPr>
          <w:sz w:val="24"/>
        </w:rPr>
        <w:t>)</w:t>
      </w:r>
      <w:r w:rsidRPr="008B6447">
        <w:rPr>
          <w:sz w:val="24"/>
        </w:rPr>
        <w:t xml:space="preserve">.  </w:t>
      </w:r>
      <w:r>
        <w:rPr>
          <w:sz w:val="24"/>
        </w:rPr>
        <w:t xml:space="preserve">A copy of the transmittal </w:t>
      </w:r>
      <w:r w:rsidR="007A4F8F">
        <w:rPr>
          <w:sz w:val="24"/>
        </w:rPr>
        <w:t>may</w:t>
      </w:r>
      <w:r>
        <w:rPr>
          <w:sz w:val="24"/>
        </w:rPr>
        <w:t xml:space="preserve"> also be kept in the customer’s file.  </w:t>
      </w:r>
    </w:p>
    <w:p w14:paraId="1BB3110D" w14:textId="77777777" w:rsidR="007E013F" w:rsidRDefault="007E013F" w:rsidP="007E013F">
      <w:pPr>
        <w:jc w:val="both"/>
        <w:rPr>
          <w:sz w:val="24"/>
        </w:rPr>
      </w:pPr>
    </w:p>
    <w:p w14:paraId="3FA1E5EE" w14:textId="77777777" w:rsidR="007E013F" w:rsidRDefault="007E013F" w:rsidP="007C6877">
      <w:pPr>
        <w:jc w:val="both"/>
        <w:rPr>
          <w:sz w:val="24"/>
        </w:rPr>
      </w:pPr>
    </w:p>
    <w:p w14:paraId="40FEBCDE" w14:textId="77777777" w:rsidR="007C6877" w:rsidRPr="00E42465" w:rsidRDefault="00D114C8" w:rsidP="00936FEE">
      <w:pPr>
        <w:pStyle w:val="Heading2"/>
      </w:pPr>
      <w:bookmarkStart w:id="72" w:name="AcctActivityReviews"/>
      <w:bookmarkStart w:id="73" w:name="_5.6_Account_and"/>
      <w:bookmarkStart w:id="74" w:name="_Toc153361366"/>
      <w:bookmarkStart w:id="75" w:name="_Toc153361600"/>
      <w:bookmarkEnd w:id="72"/>
      <w:bookmarkEnd w:id="73"/>
      <w:r w:rsidRPr="00E42465">
        <w:t>5.</w:t>
      </w:r>
      <w:r w:rsidR="00C82AE4" w:rsidRPr="00E42465">
        <w:t>6</w:t>
      </w:r>
      <w:r w:rsidR="009654C0" w:rsidRPr="00E42465">
        <w:t xml:space="preserve"> </w:t>
      </w:r>
      <w:r w:rsidR="007C6877" w:rsidRPr="00E42465">
        <w:t>Account and Activity Reviews</w:t>
      </w:r>
      <w:bookmarkEnd w:id="74"/>
      <w:bookmarkEnd w:id="75"/>
    </w:p>
    <w:p w14:paraId="07A06F96" w14:textId="77777777" w:rsidR="006E644E" w:rsidRPr="00AC708B" w:rsidRDefault="006E644E" w:rsidP="006E644E">
      <w:pPr>
        <w:jc w:val="both"/>
        <w:rPr>
          <w:sz w:val="24"/>
        </w:rPr>
      </w:pPr>
      <w:r w:rsidRPr="00AC708B">
        <w:rPr>
          <w:sz w:val="24"/>
        </w:rPr>
        <w:t>All new accounts are both reviewed by the designated principal as well as Laura Hendricks and documented in WinOps the date of the review.</w:t>
      </w:r>
    </w:p>
    <w:p w14:paraId="30E5864A" w14:textId="77777777" w:rsidR="006E644E" w:rsidRPr="008F26D4" w:rsidRDefault="006E644E" w:rsidP="006E644E">
      <w:pPr>
        <w:jc w:val="both"/>
        <w:rPr>
          <w:color w:val="FF0000"/>
          <w:sz w:val="24"/>
        </w:rPr>
      </w:pPr>
    </w:p>
    <w:p w14:paraId="705D9295" w14:textId="62886C78" w:rsidR="007C6877" w:rsidRPr="006D5CDF" w:rsidRDefault="007C6877" w:rsidP="007C6877">
      <w:pPr>
        <w:pStyle w:val="MRS"/>
      </w:pPr>
      <w:r>
        <w:t>Customer Accounts will be reviewed on an ongoing basis by Morris Monroe or his designee</w:t>
      </w:r>
      <w:r w:rsidR="007A4F8F">
        <w:t>, to</w:t>
      </w:r>
      <w:r>
        <w:t xml:space="preserve"> assist in detecting and preventing violations of, and achieving compliance with applicable laws, regulations and rules.  Such review will be conducted on a random basis for account</w:t>
      </w:r>
      <w:r w:rsidR="00953FCD">
        <w:t>s by reviewing the account via D</w:t>
      </w:r>
      <w:r w:rsidR="001A20B6">
        <w:t>ST</w:t>
      </w:r>
      <w:r>
        <w:t xml:space="preserve">Vision, product vendor websites and or </w:t>
      </w:r>
      <w:r w:rsidR="00DF1147" w:rsidRPr="006D5CDF">
        <w:t>HTS</w:t>
      </w:r>
      <w:r w:rsidRPr="006D5CDF">
        <w:t xml:space="preserve"> </w:t>
      </w:r>
      <w:proofErr w:type="gramStart"/>
      <w:r>
        <w:t>back</w:t>
      </w:r>
      <w:r w:rsidR="00867AB0">
        <w:t xml:space="preserve"> </w:t>
      </w:r>
      <w:r>
        <w:t>office</w:t>
      </w:r>
      <w:proofErr w:type="gramEnd"/>
      <w:r>
        <w:t xml:space="preserve"> system</w:t>
      </w:r>
      <w:r w:rsidR="00E87C58">
        <w:t xml:space="preserve"> and trading logs. </w:t>
      </w:r>
      <w:r>
        <w:t xml:space="preserve">  </w:t>
      </w:r>
      <w:r w:rsidR="000A7EE1">
        <w:t>S</w:t>
      </w:r>
      <w:r>
        <w:t xml:space="preserve">uch review will be maintained by Morris Monroe or </w:t>
      </w:r>
      <w:r w:rsidR="00DF1147" w:rsidRPr="006D5CDF">
        <w:t>Compliance</w:t>
      </w:r>
      <w:r w:rsidRPr="006D5CDF">
        <w:t xml:space="preserve"> </w:t>
      </w:r>
      <w:r w:rsidR="00E87C58">
        <w:t xml:space="preserve">with </w:t>
      </w:r>
      <w:r w:rsidRPr="006D5CDF">
        <w:t xml:space="preserve">the date and the initials of the person who conducted the review. </w:t>
      </w:r>
    </w:p>
    <w:p w14:paraId="50CD45D4" w14:textId="77777777" w:rsidR="007C6877" w:rsidRDefault="007C6877" w:rsidP="007C6877">
      <w:pPr>
        <w:jc w:val="both"/>
        <w:rPr>
          <w:sz w:val="24"/>
        </w:rPr>
      </w:pPr>
    </w:p>
    <w:p w14:paraId="6DFCBED6" w14:textId="7D8BF82D" w:rsidR="007C6877" w:rsidRDefault="007C6877" w:rsidP="009F403C">
      <w:pPr>
        <w:jc w:val="both"/>
        <w:rPr>
          <w:sz w:val="24"/>
        </w:rPr>
      </w:pPr>
      <w:r>
        <w:rPr>
          <w:sz w:val="24"/>
        </w:rPr>
        <w:t xml:space="preserve">Margin Accounts will be maintained by the </w:t>
      </w:r>
      <w:r w:rsidR="00CA578B">
        <w:rPr>
          <w:sz w:val="24"/>
        </w:rPr>
        <w:t>Company</w:t>
      </w:r>
      <w:r>
        <w:rPr>
          <w:sz w:val="24"/>
        </w:rPr>
        <w:t xml:space="preserve"> under the supervision of Morris Monroe</w:t>
      </w:r>
      <w:r w:rsidR="00020F90">
        <w:rPr>
          <w:sz w:val="24"/>
        </w:rPr>
        <w:t xml:space="preserve"> or his designee</w:t>
      </w:r>
      <w:r>
        <w:rPr>
          <w:sz w:val="24"/>
        </w:rPr>
        <w:t xml:space="preserve">.  The Company will follow the margin requirements of its clearing broker, </w:t>
      </w:r>
      <w:r w:rsidR="000A7EE1" w:rsidRPr="0083736F">
        <w:rPr>
          <w:sz w:val="24"/>
        </w:rPr>
        <w:t>Hilltop</w:t>
      </w:r>
      <w:r w:rsidR="000A7EE1">
        <w:rPr>
          <w:color w:val="FF0000"/>
          <w:sz w:val="24"/>
        </w:rPr>
        <w:t xml:space="preserve"> </w:t>
      </w:r>
      <w:r w:rsidR="000A7EE1">
        <w:rPr>
          <w:sz w:val="24"/>
        </w:rPr>
        <w:t>Securities</w:t>
      </w:r>
      <w:r>
        <w:rPr>
          <w:sz w:val="24"/>
        </w:rPr>
        <w:t xml:space="preserve">, Inc.  Morris Monroe or his </w:t>
      </w:r>
      <w:r w:rsidR="00015C68">
        <w:rPr>
          <w:sz w:val="24"/>
        </w:rPr>
        <w:t>back-office</w:t>
      </w:r>
      <w:r>
        <w:rPr>
          <w:sz w:val="24"/>
        </w:rPr>
        <w:t xml:space="preserve"> designees will review Reg T call reports and House call reports.  Each designated RR and respective principal will be responsible for contacting the customer to meet all calls.  The call reports </w:t>
      </w:r>
      <w:r w:rsidR="00E6040E">
        <w:rPr>
          <w:sz w:val="24"/>
        </w:rPr>
        <w:t>can be</w:t>
      </w:r>
      <w:r>
        <w:rPr>
          <w:sz w:val="24"/>
        </w:rPr>
        <w:t xml:space="preserve"> faxed or emailed directly to the representative of the account.  Notes reflecting the follow-up to the notice will be maintained in the </w:t>
      </w:r>
      <w:r w:rsidR="00C52E4D" w:rsidRPr="00482C40">
        <w:rPr>
          <w:sz w:val="24"/>
        </w:rPr>
        <w:t>CRM</w:t>
      </w:r>
      <w:r>
        <w:rPr>
          <w:sz w:val="24"/>
        </w:rPr>
        <w:t xml:space="preserve"> software system</w:t>
      </w:r>
      <w:r w:rsidR="00FB2433">
        <w:rPr>
          <w:sz w:val="24"/>
        </w:rPr>
        <w:t xml:space="preserve"> </w:t>
      </w:r>
      <w:r w:rsidR="00FB2433" w:rsidRPr="00424F51">
        <w:rPr>
          <w:sz w:val="24"/>
        </w:rPr>
        <w:t>or WinOps</w:t>
      </w:r>
      <w:r>
        <w:rPr>
          <w:sz w:val="24"/>
        </w:rPr>
        <w:t xml:space="preserve">.  Each respective principal will be responsible for notifying the clearing broker of any Reg T extensions.  </w:t>
      </w:r>
    </w:p>
    <w:p w14:paraId="14321C5E" w14:textId="77777777" w:rsidR="00816630" w:rsidRDefault="00816630" w:rsidP="009F403C">
      <w:pPr>
        <w:jc w:val="both"/>
        <w:rPr>
          <w:sz w:val="24"/>
        </w:rPr>
      </w:pPr>
    </w:p>
    <w:p w14:paraId="6177091B" w14:textId="77777777" w:rsidR="009F403C" w:rsidRPr="0083736F" w:rsidRDefault="009F403C" w:rsidP="009F403C">
      <w:pPr>
        <w:autoSpaceDE w:val="0"/>
        <w:autoSpaceDN w:val="0"/>
        <w:adjustRightInd w:val="0"/>
        <w:rPr>
          <w:sz w:val="24"/>
          <w:szCs w:val="24"/>
        </w:rPr>
      </w:pPr>
      <w:r w:rsidRPr="0083736F">
        <w:rPr>
          <w:sz w:val="24"/>
          <w:szCs w:val="24"/>
        </w:rPr>
        <w:t>Accounts that are concentrated in certain security positions may increase risk for the customer, particularly if the security is purchased on margin. RRs must consider the following factors for concentrated customer accounts:</w:t>
      </w:r>
    </w:p>
    <w:p w14:paraId="2EA52B2C" w14:textId="77777777" w:rsidR="009F403C" w:rsidRPr="0083736F" w:rsidRDefault="009F403C" w:rsidP="003E7B18">
      <w:pPr>
        <w:numPr>
          <w:ilvl w:val="0"/>
          <w:numId w:val="306"/>
        </w:numPr>
        <w:autoSpaceDE w:val="0"/>
        <w:autoSpaceDN w:val="0"/>
        <w:adjustRightInd w:val="0"/>
        <w:rPr>
          <w:sz w:val="24"/>
          <w:szCs w:val="24"/>
        </w:rPr>
      </w:pPr>
      <w:r w:rsidRPr="0083736F">
        <w:rPr>
          <w:sz w:val="24"/>
          <w:szCs w:val="24"/>
        </w:rPr>
        <w:t xml:space="preserve">Is the concentrated position in a margin account? </w:t>
      </w:r>
    </w:p>
    <w:p w14:paraId="11761313" w14:textId="77777777" w:rsidR="009F403C" w:rsidRPr="0083736F" w:rsidRDefault="009F403C" w:rsidP="003E7B18">
      <w:pPr>
        <w:numPr>
          <w:ilvl w:val="0"/>
          <w:numId w:val="306"/>
        </w:numPr>
        <w:autoSpaceDE w:val="0"/>
        <w:autoSpaceDN w:val="0"/>
        <w:adjustRightInd w:val="0"/>
        <w:rPr>
          <w:sz w:val="24"/>
          <w:szCs w:val="24"/>
        </w:rPr>
      </w:pPr>
      <w:r w:rsidRPr="0083736F">
        <w:rPr>
          <w:sz w:val="24"/>
          <w:szCs w:val="24"/>
        </w:rPr>
        <w:t>Do trading characteristics (</w:t>
      </w:r>
      <w:r w:rsidR="00F54397" w:rsidRPr="0083736F">
        <w:rPr>
          <w:sz w:val="24"/>
          <w:szCs w:val="24"/>
        </w:rPr>
        <w:t>thinly traded</w:t>
      </w:r>
      <w:r w:rsidRPr="0083736F">
        <w:rPr>
          <w:sz w:val="24"/>
          <w:szCs w:val="24"/>
        </w:rPr>
        <w:t xml:space="preserve">, limited markets) create added risk to the customer? </w:t>
      </w:r>
    </w:p>
    <w:p w14:paraId="79C67C71" w14:textId="77777777" w:rsidR="009F403C" w:rsidRPr="0083736F" w:rsidRDefault="009F403C" w:rsidP="003E7B18">
      <w:pPr>
        <w:numPr>
          <w:ilvl w:val="0"/>
          <w:numId w:val="306"/>
        </w:numPr>
        <w:autoSpaceDE w:val="0"/>
        <w:autoSpaceDN w:val="0"/>
        <w:adjustRightInd w:val="0"/>
        <w:rPr>
          <w:sz w:val="24"/>
          <w:szCs w:val="24"/>
        </w:rPr>
      </w:pPr>
      <w:r w:rsidRPr="0083736F">
        <w:rPr>
          <w:sz w:val="24"/>
          <w:szCs w:val="24"/>
        </w:rPr>
        <w:t xml:space="preserve">If the concentrated position is </w:t>
      </w:r>
      <w:r w:rsidR="00F54397" w:rsidRPr="0083736F">
        <w:rPr>
          <w:sz w:val="24"/>
          <w:szCs w:val="24"/>
        </w:rPr>
        <w:t>higher risk</w:t>
      </w:r>
      <w:r w:rsidRPr="0083736F">
        <w:rPr>
          <w:sz w:val="24"/>
          <w:szCs w:val="24"/>
        </w:rPr>
        <w:t xml:space="preserve">, is the customer aware of this risk and suitable for such a position or positions? </w:t>
      </w:r>
    </w:p>
    <w:p w14:paraId="4EA0F243" w14:textId="77777777" w:rsidR="009F403C" w:rsidRPr="0083736F" w:rsidRDefault="009F403C" w:rsidP="003E7B18">
      <w:pPr>
        <w:numPr>
          <w:ilvl w:val="0"/>
          <w:numId w:val="306"/>
        </w:numPr>
        <w:autoSpaceDE w:val="0"/>
        <w:autoSpaceDN w:val="0"/>
        <w:adjustRightInd w:val="0"/>
        <w:rPr>
          <w:sz w:val="24"/>
          <w:szCs w:val="24"/>
        </w:rPr>
      </w:pPr>
      <w:r w:rsidRPr="0083736F">
        <w:rPr>
          <w:sz w:val="24"/>
          <w:szCs w:val="24"/>
        </w:rPr>
        <w:t>Should the concentrated position be mitigated by reducing margin exposure or selling off some of the position?</w:t>
      </w:r>
    </w:p>
    <w:p w14:paraId="0F7ACDE2" w14:textId="77777777" w:rsidR="009F403C" w:rsidRDefault="009F403C" w:rsidP="009F403C">
      <w:pPr>
        <w:jc w:val="both"/>
        <w:rPr>
          <w:color w:val="000000"/>
          <w:sz w:val="24"/>
        </w:rPr>
      </w:pPr>
    </w:p>
    <w:p w14:paraId="75390CE6" w14:textId="77777777" w:rsidR="008F26D4" w:rsidRDefault="00816630" w:rsidP="009F403C">
      <w:pPr>
        <w:jc w:val="both"/>
        <w:rPr>
          <w:color w:val="000000"/>
          <w:sz w:val="24"/>
        </w:rPr>
      </w:pPr>
      <w:r w:rsidRPr="003B7614">
        <w:rPr>
          <w:color w:val="000000"/>
          <w:sz w:val="24"/>
        </w:rPr>
        <w:lastRenderedPageBreak/>
        <w:t xml:space="preserve">Reviews will also be conducted to detect any customer residing in a state where the Company is not registered.  In addition, a customer may notify Company they are moving to a state where Company is not registered.  In the event one is discovered, the account </w:t>
      </w:r>
      <w:r w:rsidR="00A96D9C">
        <w:rPr>
          <w:color w:val="000000"/>
          <w:sz w:val="24"/>
        </w:rPr>
        <w:t>may</w:t>
      </w:r>
      <w:r w:rsidRPr="003B7614">
        <w:rPr>
          <w:color w:val="000000"/>
          <w:sz w:val="24"/>
        </w:rPr>
        <w:t xml:space="preserve"> be frozen from further activity while it can be determined if the Company will pursue licensing in such state.  If not, a letter from the Compliance Department will be forwarded to the customer with instructions that the account is now deemed </w:t>
      </w:r>
      <w:r w:rsidR="0083736F" w:rsidRPr="00015C68">
        <w:rPr>
          <w:sz w:val="24"/>
        </w:rPr>
        <w:t>restricted</w:t>
      </w:r>
      <w:r w:rsidRPr="00015C68">
        <w:rPr>
          <w:sz w:val="24"/>
        </w:rPr>
        <w:t xml:space="preserve"> </w:t>
      </w:r>
      <w:r w:rsidRPr="003B7614">
        <w:rPr>
          <w:color w:val="000000"/>
          <w:sz w:val="24"/>
        </w:rPr>
        <w:t xml:space="preserve">and </w:t>
      </w:r>
      <w:r w:rsidR="00020F90">
        <w:rPr>
          <w:color w:val="000000"/>
          <w:sz w:val="24"/>
        </w:rPr>
        <w:t xml:space="preserve">it </w:t>
      </w:r>
      <w:r w:rsidRPr="003B7614">
        <w:rPr>
          <w:color w:val="000000"/>
          <w:sz w:val="24"/>
        </w:rPr>
        <w:t xml:space="preserve">will assist them in transferring the account.  Code accounts in </w:t>
      </w:r>
      <w:r w:rsidR="00DF1147" w:rsidRPr="00F67C1D">
        <w:rPr>
          <w:sz w:val="24"/>
        </w:rPr>
        <w:t>HTS</w:t>
      </w:r>
      <w:r w:rsidR="00C01419" w:rsidRPr="003B7614">
        <w:rPr>
          <w:color w:val="000000"/>
          <w:sz w:val="24"/>
        </w:rPr>
        <w:t xml:space="preserve"> or applicable site and </w:t>
      </w:r>
      <w:r w:rsidRPr="003B7614">
        <w:rPr>
          <w:color w:val="000000"/>
          <w:sz w:val="24"/>
        </w:rPr>
        <w:t>Win</w:t>
      </w:r>
      <w:r w:rsidR="00C01419" w:rsidRPr="003B7614">
        <w:rPr>
          <w:color w:val="000000"/>
          <w:sz w:val="24"/>
        </w:rPr>
        <w:t>Ops</w:t>
      </w:r>
      <w:r w:rsidRPr="003B7614">
        <w:rPr>
          <w:color w:val="000000"/>
          <w:sz w:val="24"/>
        </w:rPr>
        <w:t xml:space="preserve"> as CLOSED or HOLD until account is </w:t>
      </w:r>
      <w:r w:rsidR="00015C68" w:rsidRPr="003B7614">
        <w:rPr>
          <w:color w:val="000000"/>
          <w:sz w:val="24"/>
        </w:rPr>
        <w:t>transferred,</w:t>
      </w:r>
      <w:r w:rsidRPr="003B7614">
        <w:rPr>
          <w:color w:val="000000"/>
          <w:sz w:val="24"/>
        </w:rPr>
        <w:t xml:space="preserve"> or Company is registered.</w:t>
      </w:r>
    </w:p>
    <w:p w14:paraId="28B0BD6E" w14:textId="77777777" w:rsidR="007C6877" w:rsidRDefault="007C6877" w:rsidP="007C6877">
      <w:pPr>
        <w:jc w:val="both"/>
        <w:rPr>
          <w:sz w:val="24"/>
        </w:rPr>
      </w:pPr>
    </w:p>
    <w:p w14:paraId="1F5FF1C4" w14:textId="77777777" w:rsidR="007C6877" w:rsidRDefault="007C6877" w:rsidP="007C6877">
      <w:pPr>
        <w:jc w:val="both"/>
        <w:rPr>
          <w:sz w:val="24"/>
          <w:szCs w:val="18"/>
        </w:rPr>
      </w:pPr>
      <w:bookmarkStart w:id="76" w:name="SECRule17a4b6"/>
      <w:bookmarkEnd w:id="76"/>
      <w:r>
        <w:rPr>
          <w:sz w:val="24"/>
        </w:rPr>
        <w:t xml:space="preserve">Pursuant to </w:t>
      </w:r>
      <w:r>
        <w:rPr>
          <w:b/>
          <w:bCs/>
          <w:sz w:val="24"/>
        </w:rPr>
        <w:t>SEC Rule 17a-4(b)(6)</w:t>
      </w:r>
      <w:r>
        <w:rPr>
          <w:sz w:val="24"/>
        </w:rPr>
        <w:t>, the Company will maintain records of any</w:t>
      </w:r>
      <w:r>
        <w:rPr>
          <w:sz w:val="24"/>
          <w:szCs w:val="18"/>
        </w:rPr>
        <w:t xml:space="preserve"> guarantees of accounts and any powers of attorney and other evidence of the granting of any discretionary authority given in respect of any account, and copies of resolutions empowering an agent to act on behalf of a corporation.</w:t>
      </w:r>
    </w:p>
    <w:p w14:paraId="3ECAA6A6" w14:textId="77777777" w:rsidR="00C23199" w:rsidRDefault="00C23199" w:rsidP="00C23199">
      <w:bookmarkStart w:id="77" w:name="_Toc153361367"/>
      <w:bookmarkStart w:id="78" w:name="_Toc153361601"/>
    </w:p>
    <w:bookmarkEnd w:id="77"/>
    <w:bookmarkEnd w:id="78"/>
    <w:p w14:paraId="7F67FBDA" w14:textId="77777777" w:rsidR="00551A18" w:rsidRDefault="00551A18" w:rsidP="000D186A"/>
    <w:p w14:paraId="5335DA52" w14:textId="043CA47D" w:rsidR="007C6877" w:rsidRPr="00E42465" w:rsidRDefault="00C23199" w:rsidP="00936FEE">
      <w:pPr>
        <w:pStyle w:val="Heading2"/>
      </w:pPr>
      <w:r w:rsidRPr="00E42465">
        <w:t>5.</w:t>
      </w:r>
      <w:r w:rsidR="00551A18">
        <w:t>7</w:t>
      </w:r>
      <w:r w:rsidR="0000553E" w:rsidRPr="00E42465">
        <w:t xml:space="preserve"> </w:t>
      </w:r>
      <w:r w:rsidR="009C044A">
        <w:t>Regulation Best Interest – Reg BI</w:t>
      </w:r>
    </w:p>
    <w:p w14:paraId="587E2F8B" w14:textId="77777777" w:rsidR="00481C8F" w:rsidRPr="00482C40" w:rsidRDefault="00481C8F" w:rsidP="00481C8F">
      <w:pPr>
        <w:shd w:val="clear" w:color="auto" w:fill="FFFFFF"/>
        <w:spacing w:after="150"/>
        <w:textAlignment w:val="baseline"/>
        <w:rPr>
          <w:sz w:val="24"/>
        </w:rPr>
      </w:pPr>
      <w:r w:rsidRPr="00482C40">
        <w:rPr>
          <w:sz w:val="24"/>
        </w:rPr>
        <w:t xml:space="preserve">The SEC adopted Regulation Best Interest (with a compliance effective date of </w:t>
      </w:r>
      <w:r w:rsidRPr="00482C40">
        <w:rPr>
          <w:b/>
          <w:sz w:val="24"/>
        </w:rPr>
        <w:t>June 30, 2020</w:t>
      </w:r>
      <w:r w:rsidRPr="00482C40">
        <w:rPr>
          <w:sz w:val="24"/>
        </w:rPr>
        <w:t>), which establishes a new standard of conduct under the Securities Exchange Act of 1934 (“Exchange Act”) for broker-dealers and natural persons who are associated persons of a broker-dealer (“associated persons”) when making a recommendation of any securities transaction or investment strategy involving securities (including account recommendations) to a retail customer.</w:t>
      </w:r>
    </w:p>
    <w:p w14:paraId="7BF2DD21" w14:textId="77777777" w:rsidR="00481C8F" w:rsidRPr="00482C40" w:rsidRDefault="00481C8F" w:rsidP="00481C8F">
      <w:pPr>
        <w:shd w:val="clear" w:color="auto" w:fill="FFFFFF"/>
        <w:spacing w:after="150"/>
        <w:textAlignment w:val="baseline"/>
        <w:rPr>
          <w:sz w:val="24"/>
        </w:rPr>
      </w:pPr>
      <w:r w:rsidRPr="00482C40">
        <w:rPr>
          <w:sz w:val="24"/>
        </w:rPr>
        <w:t>When making such a recommendation to a retail customer, Company must act in the best interest of the retail customer at the time the recommendation is made, without placing Company’s financial or other interest ahead of the retail customer’s interests.</w:t>
      </w:r>
    </w:p>
    <w:p w14:paraId="1D604CE9" w14:textId="43963276" w:rsidR="00481C8F" w:rsidRPr="00482C40" w:rsidRDefault="00481C8F" w:rsidP="00190E0E">
      <w:pPr>
        <w:shd w:val="clear" w:color="auto" w:fill="FFFFFF"/>
        <w:textAlignment w:val="baseline"/>
        <w:rPr>
          <w:sz w:val="12"/>
          <w:szCs w:val="8"/>
        </w:rPr>
      </w:pPr>
      <w:r w:rsidRPr="00482C40">
        <w:rPr>
          <w:sz w:val="24"/>
        </w:rPr>
        <w:t>This </w:t>
      </w:r>
      <w:r w:rsidRPr="00482C40">
        <w:rPr>
          <w:b/>
          <w:bCs/>
          <w:i/>
          <w:iCs/>
          <w:sz w:val="24"/>
          <w:bdr w:val="none" w:sz="0" w:space="0" w:color="auto" w:frame="1"/>
        </w:rPr>
        <w:t>general obligation</w:t>
      </w:r>
      <w:r w:rsidRPr="00482C40">
        <w:rPr>
          <w:sz w:val="24"/>
        </w:rPr>
        <w:t> is satisfied only if you comply with four specified </w:t>
      </w:r>
      <w:r w:rsidRPr="00482C40">
        <w:rPr>
          <w:b/>
          <w:bCs/>
          <w:i/>
          <w:iCs/>
          <w:sz w:val="24"/>
          <w:bdr w:val="none" w:sz="0" w:space="0" w:color="auto" w:frame="1"/>
        </w:rPr>
        <w:t>component obligations</w:t>
      </w:r>
      <w:r w:rsidRPr="00482C40">
        <w:rPr>
          <w:b/>
          <w:bCs/>
          <w:sz w:val="24"/>
          <w:bdr w:val="none" w:sz="0" w:space="0" w:color="auto" w:frame="1"/>
        </w:rPr>
        <w:t>:</w:t>
      </w:r>
    </w:p>
    <w:p w14:paraId="1A51A022" w14:textId="6DC107D5" w:rsidR="00AD4750" w:rsidRPr="00AD4750" w:rsidRDefault="00481C8F" w:rsidP="00AD4750">
      <w:pPr>
        <w:pStyle w:val="ListParagraph"/>
        <w:numPr>
          <w:ilvl w:val="0"/>
          <w:numId w:val="342"/>
        </w:numPr>
        <w:shd w:val="clear" w:color="auto" w:fill="FFFFFF"/>
        <w:spacing w:before="100" w:beforeAutospacing="1" w:after="80"/>
        <w:ind w:hanging="274"/>
        <w:textAlignment w:val="baseline"/>
        <w:rPr>
          <w:sz w:val="24"/>
        </w:rPr>
      </w:pPr>
      <w:r w:rsidRPr="00482C40">
        <w:rPr>
          <w:b/>
          <w:bCs/>
          <w:i/>
          <w:iCs/>
          <w:sz w:val="24"/>
          <w:bdr w:val="none" w:sz="0" w:space="0" w:color="auto" w:frame="1"/>
        </w:rPr>
        <w:t>Disclosure Obligation</w:t>
      </w:r>
      <w:r w:rsidRPr="00482C40">
        <w:rPr>
          <w:b/>
          <w:bCs/>
          <w:sz w:val="24"/>
          <w:bdr w:val="none" w:sz="0" w:space="0" w:color="auto" w:frame="1"/>
        </w:rPr>
        <w:t>:</w:t>
      </w:r>
      <w:r w:rsidRPr="00482C40">
        <w:rPr>
          <w:sz w:val="24"/>
        </w:rPr>
        <w:t> provide certain required disclosure before or at the time of the recommendation, about the recommendation and the relationship between the Company and its retail customer.  This would include both a Form CRS that explains the capacity in which the Company and Associated Person will be acting for the account when it is opened and further, any specific product disclosure forms that explain applicable fees and other pertinent information;</w:t>
      </w:r>
    </w:p>
    <w:p w14:paraId="1107601E" w14:textId="6DC107D5" w:rsidR="00481C8F" w:rsidRPr="00482C40" w:rsidRDefault="00481C8F" w:rsidP="0005402C">
      <w:pPr>
        <w:numPr>
          <w:ilvl w:val="0"/>
          <w:numId w:val="342"/>
        </w:numPr>
        <w:shd w:val="clear" w:color="auto" w:fill="FFFFFF"/>
        <w:ind w:hanging="270"/>
        <w:textAlignment w:val="baseline"/>
        <w:rPr>
          <w:sz w:val="24"/>
        </w:rPr>
      </w:pPr>
      <w:r w:rsidRPr="00482C40">
        <w:rPr>
          <w:b/>
          <w:bCs/>
          <w:i/>
          <w:iCs/>
          <w:sz w:val="24"/>
          <w:bdr w:val="none" w:sz="0" w:space="0" w:color="auto" w:frame="1"/>
        </w:rPr>
        <w:t>Care Obligation</w:t>
      </w:r>
      <w:r w:rsidRPr="00482C40">
        <w:rPr>
          <w:b/>
          <w:bCs/>
          <w:sz w:val="24"/>
          <w:bdr w:val="none" w:sz="0" w:space="0" w:color="auto" w:frame="1"/>
        </w:rPr>
        <w:t>:</w:t>
      </w:r>
      <w:r w:rsidRPr="00482C40">
        <w:rPr>
          <w:sz w:val="24"/>
        </w:rPr>
        <w:t> exercise reasonable diligence, care, and skill in making the recommendation;</w:t>
      </w:r>
    </w:p>
    <w:p w14:paraId="62FF1A77" w14:textId="77777777" w:rsidR="00481C8F" w:rsidRPr="00482C40" w:rsidRDefault="00481C8F" w:rsidP="007E73B7">
      <w:pPr>
        <w:shd w:val="clear" w:color="auto" w:fill="FFFFFF"/>
        <w:ind w:hanging="270"/>
        <w:textAlignment w:val="baseline"/>
        <w:rPr>
          <w:sz w:val="12"/>
          <w:szCs w:val="8"/>
        </w:rPr>
      </w:pPr>
    </w:p>
    <w:p w14:paraId="6FA73094" w14:textId="77777777" w:rsidR="00481C8F" w:rsidRPr="00482C40" w:rsidRDefault="00481C8F" w:rsidP="0005402C">
      <w:pPr>
        <w:numPr>
          <w:ilvl w:val="0"/>
          <w:numId w:val="342"/>
        </w:numPr>
        <w:shd w:val="clear" w:color="auto" w:fill="FFFFFF"/>
        <w:ind w:hanging="270"/>
        <w:textAlignment w:val="baseline"/>
        <w:rPr>
          <w:sz w:val="24"/>
        </w:rPr>
      </w:pPr>
      <w:r w:rsidRPr="00482C40">
        <w:rPr>
          <w:b/>
          <w:bCs/>
          <w:i/>
          <w:iCs/>
          <w:sz w:val="24"/>
          <w:bdr w:val="none" w:sz="0" w:space="0" w:color="auto" w:frame="1"/>
        </w:rPr>
        <w:t>Conflict of Interest Obligation</w:t>
      </w:r>
      <w:r w:rsidRPr="00482C40">
        <w:rPr>
          <w:sz w:val="24"/>
        </w:rPr>
        <w:t>: establish, maintain, and enforce written policies and procedures reasonably designed to address conflicts of interest; and</w:t>
      </w:r>
    </w:p>
    <w:p w14:paraId="7BFF8670" w14:textId="77777777" w:rsidR="00481C8F" w:rsidRPr="00482C40" w:rsidRDefault="00481C8F" w:rsidP="007E73B7">
      <w:pPr>
        <w:shd w:val="clear" w:color="auto" w:fill="FFFFFF"/>
        <w:ind w:hanging="270"/>
        <w:textAlignment w:val="baseline"/>
        <w:rPr>
          <w:sz w:val="12"/>
          <w:szCs w:val="8"/>
        </w:rPr>
      </w:pPr>
    </w:p>
    <w:p w14:paraId="14D56D74" w14:textId="77777777" w:rsidR="00481C8F" w:rsidRPr="00482C40" w:rsidRDefault="00481C8F" w:rsidP="0005402C">
      <w:pPr>
        <w:numPr>
          <w:ilvl w:val="0"/>
          <w:numId w:val="342"/>
        </w:numPr>
        <w:shd w:val="clear" w:color="auto" w:fill="FFFFFF"/>
        <w:ind w:hanging="270"/>
        <w:textAlignment w:val="baseline"/>
        <w:rPr>
          <w:sz w:val="24"/>
        </w:rPr>
      </w:pPr>
      <w:r w:rsidRPr="00482C40">
        <w:rPr>
          <w:b/>
          <w:bCs/>
          <w:i/>
          <w:iCs/>
          <w:sz w:val="24"/>
          <w:bdr w:val="none" w:sz="0" w:space="0" w:color="auto" w:frame="1"/>
        </w:rPr>
        <w:t>Compliance Obligation</w:t>
      </w:r>
      <w:r w:rsidRPr="00482C40">
        <w:rPr>
          <w:b/>
          <w:bCs/>
          <w:sz w:val="24"/>
          <w:bdr w:val="none" w:sz="0" w:space="0" w:color="auto" w:frame="1"/>
        </w:rPr>
        <w:t>:</w:t>
      </w:r>
      <w:r w:rsidRPr="00482C40">
        <w:rPr>
          <w:sz w:val="24"/>
        </w:rPr>
        <w:t> establish, maintain, and enforce written policies and procedures reasonably designed to achieve compliance with Regulation Best Interest.</w:t>
      </w:r>
    </w:p>
    <w:p w14:paraId="5AD4AADE" w14:textId="79622587" w:rsidR="00481C8F" w:rsidRPr="00482C40" w:rsidRDefault="00481C8F" w:rsidP="007E73B7">
      <w:pPr>
        <w:shd w:val="clear" w:color="auto" w:fill="FFFFFF"/>
        <w:ind w:left="270"/>
        <w:textAlignment w:val="baseline"/>
        <w:rPr>
          <w:sz w:val="24"/>
        </w:rPr>
      </w:pPr>
    </w:p>
    <w:p w14:paraId="2BABFB8A" w14:textId="5CCBCDBA" w:rsidR="00481C8F" w:rsidRPr="00482C40" w:rsidRDefault="00481C8F" w:rsidP="00481C8F">
      <w:pPr>
        <w:pStyle w:val="Heading3"/>
      </w:pPr>
      <w:r w:rsidRPr="00482C40">
        <w:t xml:space="preserve">5.7.1 Definitions </w:t>
      </w:r>
    </w:p>
    <w:p w14:paraId="436E6AAE" w14:textId="4B5504B1" w:rsidR="00D92A74" w:rsidRPr="00482C40" w:rsidRDefault="00D92A74" w:rsidP="00D92A74">
      <w:pPr>
        <w:ind w:left="270"/>
        <w:rPr>
          <w:b/>
          <w:sz w:val="24"/>
          <w:szCs w:val="24"/>
          <w:u w:val="single"/>
        </w:rPr>
      </w:pPr>
      <w:r w:rsidRPr="00482C40">
        <w:rPr>
          <w:b/>
          <w:sz w:val="24"/>
          <w:szCs w:val="24"/>
          <w:u w:val="single"/>
        </w:rPr>
        <w:t>Accounts</w:t>
      </w:r>
      <w:r w:rsidRPr="00482C40">
        <w:rPr>
          <w:sz w:val="24"/>
          <w:szCs w:val="24"/>
        </w:rPr>
        <w:t>: R</w:t>
      </w:r>
      <w:r w:rsidRPr="00482C40">
        <w:rPr>
          <w:sz w:val="24"/>
          <w:szCs w:val="24"/>
          <w:shd w:val="clear" w:color="auto" w:fill="FFFFFF"/>
        </w:rPr>
        <w:t>ecommendations include account types generally (e.g., to open an IRA or other brokerage account), as well as recommendations to roll over or transfer assets from one type of account to another (e.g., a workplace retirement plan account to an IRA).</w:t>
      </w:r>
    </w:p>
    <w:p w14:paraId="49740CFE" w14:textId="77777777" w:rsidR="00D92A74" w:rsidRPr="00482C40" w:rsidRDefault="00D92A74" w:rsidP="00466451">
      <w:pPr>
        <w:ind w:left="274"/>
        <w:rPr>
          <w:b/>
          <w:sz w:val="24"/>
          <w:szCs w:val="24"/>
          <w:u w:val="single"/>
        </w:rPr>
      </w:pPr>
    </w:p>
    <w:p w14:paraId="48A22131" w14:textId="7DFF6289" w:rsidR="00466451" w:rsidRPr="00482C40" w:rsidRDefault="00466451" w:rsidP="00466451">
      <w:pPr>
        <w:ind w:left="274"/>
        <w:rPr>
          <w:sz w:val="24"/>
          <w:szCs w:val="24"/>
        </w:rPr>
      </w:pPr>
      <w:r w:rsidRPr="00482C40">
        <w:rPr>
          <w:b/>
          <w:sz w:val="24"/>
          <w:szCs w:val="24"/>
          <w:u w:val="single"/>
        </w:rPr>
        <w:lastRenderedPageBreak/>
        <w:t>Affiliate</w:t>
      </w:r>
      <w:r w:rsidRPr="00482C40">
        <w:rPr>
          <w:bCs/>
          <w:sz w:val="24"/>
          <w:szCs w:val="24"/>
        </w:rPr>
        <w:t xml:space="preserve">:  </w:t>
      </w:r>
      <w:r w:rsidRPr="00482C40">
        <w:rPr>
          <w:sz w:val="24"/>
          <w:szCs w:val="24"/>
        </w:rPr>
        <w:t>Any persons directly or indirectly controlling or controlled by Company or under common control with Company.</w:t>
      </w:r>
    </w:p>
    <w:p w14:paraId="63C393B0" w14:textId="77777777" w:rsidR="00466451" w:rsidRPr="00482C40" w:rsidRDefault="00466451" w:rsidP="00466451">
      <w:pPr>
        <w:ind w:left="274"/>
        <w:rPr>
          <w:bCs/>
          <w:sz w:val="24"/>
          <w:szCs w:val="24"/>
        </w:rPr>
      </w:pPr>
    </w:p>
    <w:p w14:paraId="6EB062A4" w14:textId="77777777" w:rsidR="00466451" w:rsidRPr="00482C40" w:rsidRDefault="00466451" w:rsidP="00466451">
      <w:pPr>
        <w:ind w:left="274"/>
        <w:rPr>
          <w:sz w:val="24"/>
          <w:szCs w:val="24"/>
        </w:rPr>
      </w:pPr>
      <w:r w:rsidRPr="00482C40">
        <w:rPr>
          <w:b/>
          <w:sz w:val="24"/>
          <w:szCs w:val="24"/>
          <w:u w:val="single"/>
        </w:rPr>
        <w:t>Best Interest</w:t>
      </w:r>
      <w:r w:rsidRPr="00482C40">
        <w:rPr>
          <w:bCs/>
          <w:sz w:val="24"/>
          <w:szCs w:val="24"/>
        </w:rPr>
        <w:t xml:space="preserve">:  </w:t>
      </w:r>
      <w:r w:rsidRPr="00482C40">
        <w:rPr>
          <w:sz w:val="24"/>
          <w:szCs w:val="24"/>
        </w:rPr>
        <w:t>The term "best interest" is explained through SEC guidance and interpretations and is not expressly defined. Whether a broker-dealer has acted in the retail customer's best interest in compliance with Regulation BI will turn on an objective assessment of the facts and circumstances of how the specific components of Regulation BI - including its Disclosure, Care, Conflict of Interest, and Compliance Obligations - are satisfied at the time that the recommendation is made (and not in hindsight).</w:t>
      </w:r>
    </w:p>
    <w:p w14:paraId="755E34C4" w14:textId="7FC52E4D" w:rsidR="00466451" w:rsidRPr="00482C40" w:rsidRDefault="00466451" w:rsidP="00481C8F">
      <w:pPr>
        <w:ind w:left="270"/>
        <w:rPr>
          <w:bCs/>
          <w:sz w:val="24"/>
          <w:szCs w:val="24"/>
        </w:rPr>
      </w:pPr>
    </w:p>
    <w:p w14:paraId="1F094FA8" w14:textId="0217D6ED" w:rsidR="00466451" w:rsidRPr="00482C40" w:rsidRDefault="00466451" w:rsidP="00481C8F">
      <w:pPr>
        <w:ind w:left="270"/>
        <w:rPr>
          <w:sz w:val="24"/>
          <w:szCs w:val="24"/>
        </w:rPr>
      </w:pPr>
      <w:r w:rsidRPr="00482C40">
        <w:rPr>
          <w:b/>
          <w:sz w:val="24"/>
          <w:szCs w:val="24"/>
          <w:u w:val="single"/>
        </w:rPr>
        <w:t>Conflict of Interest</w:t>
      </w:r>
      <w:r w:rsidRPr="00482C40">
        <w:rPr>
          <w:bCs/>
          <w:sz w:val="24"/>
          <w:szCs w:val="24"/>
        </w:rPr>
        <w:t xml:space="preserve">:  </w:t>
      </w:r>
      <w:r w:rsidRPr="00482C40">
        <w:rPr>
          <w:sz w:val="24"/>
          <w:szCs w:val="24"/>
        </w:rPr>
        <w:t>A conflict of interest is an interest that might incline a broker-dealer or RR, consciously or unconsciously, to make a recommendation that is not disinterested.</w:t>
      </w:r>
    </w:p>
    <w:p w14:paraId="1CE7F446" w14:textId="260A54C3" w:rsidR="00466451" w:rsidRPr="00482C40" w:rsidRDefault="00466451" w:rsidP="00466451">
      <w:pPr>
        <w:rPr>
          <w:sz w:val="24"/>
          <w:szCs w:val="24"/>
        </w:rPr>
      </w:pPr>
    </w:p>
    <w:p w14:paraId="37796D8F" w14:textId="216B7E48" w:rsidR="00D92A74" w:rsidRPr="00482C40" w:rsidRDefault="00D92A74" w:rsidP="00466451">
      <w:pPr>
        <w:ind w:left="270"/>
        <w:rPr>
          <w:sz w:val="24"/>
          <w:szCs w:val="24"/>
        </w:rPr>
      </w:pPr>
      <w:r w:rsidRPr="00482C40">
        <w:rPr>
          <w:b/>
          <w:sz w:val="24"/>
          <w:szCs w:val="24"/>
          <w:u w:val="single"/>
        </w:rPr>
        <w:t>Customer Relationship Summary</w:t>
      </w:r>
      <w:r w:rsidRPr="00482C40">
        <w:rPr>
          <w:bCs/>
          <w:sz w:val="24"/>
          <w:szCs w:val="24"/>
        </w:rPr>
        <w:t xml:space="preserve">:  </w:t>
      </w:r>
      <w:r w:rsidRPr="00482C40">
        <w:rPr>
          <w:sz w:val="24"/>
          <w:szCs w:val="24"/>
        </w:rPr>
        <w:t>A written disclosure statement (Form CRS) that must be provided to retail investors when a recommendation is made (as defined in Reg BI).</w:t>
      </w:r>
    </w:p>
    <w:p w14:paraId="33D86580" w14:textId="77777777" w:rsidR="00D92A74" w:rsidRPr="00482C40" w:rsidRDefault="00D92A74" w:rsidP="00466451">
      <w:pPr>
        <w:ind w:left="270"/>
        <w:rPr>
          <w:bCs/>
          <w:sz w:val="24"/>
          <w:szCs w:val="24"/>
        </w:rPr>
      </w:pPr>
    </w:p>
    <w:p w14:paraId="538DE5B3" w14:textId="17A1DBC9" w:rsidR="00466451" w:rsidRPr="00482C40" w:rsidRDefault="00466451" w:rsidP="00466451">
      <w:pPr>
        <w:ind w:left="270"/>
        <w:rPr>
          <w:sz w:val="24"/>
          <w:szCs w:val="24"/>
        </w:rPr>
      </w:pPr>
      <w:r w:rsidRPr="00482C40">
        <w:rPr>
          <w:b/>
          <w:sz w:val="24"/>
          <w:szCs w:val="24"/>
          <w:u w:val="single"/>
        </w:rPr>
        <w:t>Dual Registrant</w:t>
      </w:r>
      <w:r w:rsidRPr="00482C40">
        <w:rPr>
          <w:bCs/>
          <w:sz w:val="24"/>
          <w:szCs w:val="24"/>
        </w:rPr>
        <w:t xml:space="preserve">:  </w:t>
      </w:r>
      <w:r w:rsidRPr="00482C40">
        <w:rPr>
          <w:sz w:val="24"/>
          <w:szCs w:val="24"/>
        </w:rPr>
        <w:t>A firm that is dually registered as a broker-dealer under section 15 of the Exchange Act and an investment adviser under section 203 of the Advisers Act and offers services to retail investors as both a broker-dealer and an investment adviser.  There are exceptions; for example, if a BD dually registered offers investment advisory services to retail investors, but offers brokerage services only to institutional investors, the BD is not a dual registrant for purposes of Form CRS.  In the case of Company, it has an affiliated investment advisor company and therefore chooses to publish one Form CRS.</w:t>
      </w:r>
    </w:p>
    <w:p w14:paraId="37D1AE48" w14:textId="05B1DF38" w:rsidR="00466451" w:rsidRPr="00482C40" w:rsidRDefault="00466451" w:rsidP="00466451">
      <w:pPr>
        <w:ind w:left="270"/>
        <w:rPr>
          <w:bCs/>
          <w:sz w:val="24"/>
          <w:szCs w:val="24"/>
        </w:rPr>
      </w:pPr>
    </w:p>
    <w:p w14:paraId="4DD53533" w14:textId="77777777" w:rsidR="00D92A74" w:rsidRPr="00482C40" w:rsidRDefault="00D92A74" w:rsidP="00D92A74">
      <w:pPr>
        <w:ind w:left="270"/>
        <w:rPr>
          <w:sz w:val="24"/>
          <w:szCs w:val="24"/>
        </w:rPr>
      </w:pPr>
      <w:r w:rsidRPr="00482C40">
        <w:rPr>
          <w:b/>
          <w:sz w:val="24"/>
          <w:szCs w:val="24"/>
          <w:u w:val="single"/>
        </w:rPr>
        <w:t>Full and Fair</w:t>
      </w:r>
      <w:r w:rsidRPr="00482C40">
        <w:rPr>
          <w:sz w:val="24"/>
          <w:szCs w:val="24"/>
        </w:rPr>
        <w:t>: Sufficient information to enable a retail customer to make an informed decision with regard to a recommendation.</w:t>
      </w:r>
    </w:p>
    <w:p w14:paraId="3CA2915F" w14:textId="77777777" w:rsidR="00D92A74" w:rsidRPr="00482C40" w:rsidRDefault="00D92A74" w:rsidP="00D92A74">
      <w:pPr>
        <w:ind w:left="270"/>
        <w:rPr>
          <w:b/>
          <w:sz w:val="24"/>
          <w:szCs w:val="24"/>
          <w:u w:val="single"/>
        </w:rPr>
      </w:pPr>
    </w:p>
    <w:p w14:paraId="5BD47D4E" w14:textId="0C3DDF0C" w:rsidR="00D92A74" w:rsidRPr="00482C40" w:rsidRDefault="00D92A74" w:rsidP="00D92A74">
      <w:pPr>
        <w:ind w:left="270"/>
        <w:rPr>
          <w:sz w:val="24"/>
        </w:rPr>
      </w:pPr>
      <w:r w:rsidRPr="00482C40">
        <w:rPr>
          <w:b/>
          <w:sz w:val="24"/>
          <w:szCs w:val="24"/>
          <w:u w:val="single"/>
        </w:rPr>
        <w:t>Legal Representative</w:t>
      </w:r>
      <w:r w:rsidRPr="00482C40">
        <w:rPr>
          <w:sz w:val="24"/>
          <w:szCs w:val="24"/>
        </w:rPr>
        <w:t xml:space="preserve">: </w:t>
      </w:r>
      <w:r w:rsidRPr="00482C40">
        <w:rPr>
          <w:sz w:val="24"/>
        </w:rPr>
        <w:t>“Legal representative” includes the non-professional legal representatives of such a natural person, e.g., a non-professional trustee that represents the assets of a natural person. Reg BI would not apply when the legal representative is acting in a professional capacity as a regulated financial services industry professional retained to exercise independent professional judgment. Therefore, recommendations to registered IAs and BDs or corporate fiduciaries would not trigger Reg BI. On the other hand, recommendations to non-professional trustees, executors, conservators and persons holding power of attorney that represent natural persons are covered.</w:t>
      </w:r>
    </w:p>
    <w:p w14:paraId="08C137A7" w14:textId="77777777" w:rsidR="00D92A74" w:rsidRPr="00482C40" w:rsidRDefault="00D92A74" w:rsidP="00481C8F">
      <w:pPr>
        <w:ind w:left="270"/>
        <w:rPr>
          <w:b/>
          <w:sz w:val="24"/>
          <w:szCs w:val="24"/>
          <w:u w:val="single"/>
        </w:rPr>
      </w:pPr>
    </w:p>
    <w:p w14:paraId="32C0099F" w14:textId="77777777" w:rsidR="00D92A74" w:rsidRPr="00482C40" w:rsidRDefault="00D92A74" w:rsidP="00D92A74">
      <w:pPr>
        <w:ind w:left="270"/>
        <w:rPr>
          <w:sz w:val="32"/>
          <w:szCs w:val="24"/>
        </w:rPr>
      </w:pPr>
      <w:r w:rsidRPr="00482C40">
        <w:rPr>
          <w:b/>
          <w:sz w:val="24"/>
          <w:szCs w:val="24"/>
          <w:u w:val="single"/>
        </w:rPr>
        <w:t>Personal, Family, or Household Purposes</w:t>
      </w:r>
      <w:r w:rsidRPr="00482C40">
        <w:rPr>
          <w:sz w:val="24"/>
          <w:szCs w:val="24"/>
        </w:rPr>
        <w:t xml:space="preserve">: </w:t>
      </w:r>
      <w:r w:rsidRPr="00482C40">
        <w:rPr>
          <w:sz w:val="24"/>
        </w:rPr>
        <w:t>The phrase “primarily for personal, family, or household purposes” covers any recommendation to a natural person for his or her account, other than recommendations to a natural person seeking these services for commercial or business purposes.  Reg BI would not cover, for example, an employee seeking services for an employer or an individual seeking services for a small business or on behalf of another non-natural person entity, such as a charitable trust.</w:t>
      </w:r>
    </w:p>
    <w:p w14:paraId="4A866717" w14:textId="77777777" w:rsidR="00D92A74" w:rsidRPr="00482C40" w:rsidRDefault="00D92A74" w:rsidP="00D92A74">
      <w:pPr>
        <w:ind w:left="270"/>
        <w:rPr>
          <w:b/>
          <w:sz w:val="24"/>
          <w:szCs w:val="24"/>
          <w:u w:val="single"/>
        </w:rPr>
      </w:pPr>
    </w:p>
    <w:p w14:paraId="64E28CE8" w14:textId="7042B77F" w:rsidR="00D92A74" w:rsidRPr="00482C40" w:rsidRDefault="00D92A74" w:rsidP="00D92A74">
      <w:pPr>
        <w:ind w:left="270"/>
        <w:rPr>
          <w:sz w:val="24"/>
          <w:szCs w:val="24"/>
        </w:rPr>
      </w:pPr>
      <w:r w:rsidRPr="00482C40">
        <w:rPr>
          <w:b/>
          <w:sz w:val="24"/>
          <w:szCs w:val="24"/>
          <w:u w:val="single"/>
        </w:rPr>
        <w:t>Receives and Uses</w:t>
      </w:r>
      <w:r w:rsidRPr="00482C40">
        <w:rPr>
          <w:sz w:val="24"/>
          <w:szCs w:val="24"/>
        </w:rPr>
        <w:t>: The term “use” means when, as a result of the recommendation:</w:t>
      </w:r>
    </w:p>
    <w:p w14:paraId="62447A91" w14:textId="77777777" w:rsidR="00D92A74" w:rsidRPr="00482C40" w:rsidRDefault="00D92A74" w:rsidP="0005402C">
      <w:pPr>
        <w:pStyle w:val="ListParagraph"/>
        <w:numPr>
          <w:ilvl w:val="0"/>
          <w:numId w:val="343"/>
        </w:numPr>
        <w:rPr>
          <w:sz w:val="24"/>
          <w:szCs w:val="24"/>
        </w:rPr>
      </w:pPr>
      <w:r w:rsidRPr="00482C40">
        <w:rPr>
          <w:sz w:val="24"/>
          <w:szCs w:val="24"/>
        </w:rPr>
        <w:t xml:space="preserve">The retail customer opens a brokerage account with the Company, regardless of whether the Company receives compensation; </w:t>
      </w:r>
    </w:p>
    <w:p w14:paraId="781F0828" w14:textId="77777777" w:rsidR="00D92A74" w:rsidRPr="00482C40" w:rsidRDefault="00D92A74" w:rsidP="0005402C">
      <w:pPr>
        <w:pStyle w:val="ListParagraph"/>
        <w:numPr>
          <w:ilvl w:val="0"/>
          <w:numId w:val="343"/>
        </w:numPr>
        <w:rPr>
          <w:sz w:val="24"/>
          <w:szCs w:val="24"/>
        </w:rPr>
      </w:pPr>
      <w:r w:rsidRPr="00482C40">
        <w:rPr>
          <w:sz w:val="24"/>
          <w:szCs w:val="24"/>
        </w:rPr>
        <w:t xml:space="preserve">The retail customer has an existing account with the Company and receives a recommendation from the Company, regardless of whether they receive or will receive compensation, directly or indirectly, as a result of the recommendation; or </w:t>
      </w:r>
    </w:p>
    <w:p w14:paraId="5988CD8E" w14:textId="77777777" w:rsidR="00D92A74" w:rsidRPr="00482C40" w:rsidRDefault="00D92A74" w:rsidP="0005402C">
      <w:pPr>
        <w:pStyle w:val="ListParagraph"/>
        <w:numPr>
          <w:ilvl w:val="0"/>
          <w:numId w:val="343"/>
        </w:numPr>
        <w:rPr>
          <w:sz w:val="24"/>
          <w:szCs w:val="24"/>
        </w:rPr>
      </w:pPr>
      <w:r w:rsidRPr="00482C40">
        <w:rPr>
          <w:sz w:val="24"/>
          <w:szCs w:val="24"/>
        </w:rPr>
        <w:lastRenderedPageBreak/>
        <w:t xml:space="preserve">The Company receives or will receive compensation, directly or indirectly, as a result of that recommendation, even if that retail customer does not have an account at the firm. </w:t>
      </w:r>
    </w:p>
    <w:p w14:paraId="55620DF7" w14:textId="77777777" w:rsidR="00D92A74" w:rsidRPr="00482C40" w:rsidRDefault="00D92A74" w:rsidP="00481C8F">
      <w:pPr>
        <w:ind w:left="270"/>
        <w:rPr>
          <w:b/>
          <w:sz w:val="24"/>
          <w:szCs w:val="24"/>
          <w:u w:val="single"/>
        </w:rPr>
      </w:pPr>
    </w:p>
    <w:p w14:paraId="7FDD9E64" w14:textId="01D7F86D" w:rsidR="00481C8F" w:rsidRPr="00482C40" w:rsidRDefault="00481C8F" w:rsidP="00481C8F">
      <w:pPr>
        <w:ind w:left="270"/>
        <w:rPr>
          <w:sz w:val="24"/>
          <w:szCs w:val="24"/>
        </w:rPr>
      </w:pPr>
      <w:r w:rsidRPr="00482C40">
        <w:rPr>
          <w:b/>
          <w:sz w:val="24"/>
          <w:szCs w:val="24"/>
          <w:u w:val="single"/>
        </w:rPr>
        <w:t>Recommendation</w:t>
      </w:r>
      <w:r w:rsidRPr="00482C40">
        <w:rPr>
          <w:sz w:val="24"/>
          <w:szCs w:val="24"/>
        </w:rPr>
        <w:t xml:space="preserve">: </w:t>
      </w:r>
      <w:r w:rsidRPr="00482C40">
        <w:rPr>
          <w:sz w:val="24"/>
          <w:szCs w:val="24"/>
          <w:shd w:val="clear" w:color="auto" w:fill="FFFFFF"/>
        </w:rPr>
        <w:t>whether a recommendation has been made is not susceptible to a bright line definition. Factors considered in determining whether a recommendation has taken place include whether the communication “reasonably could be viewed as a ‘call to action’” and “reasonably would influence an investor to trade a particular security or group of securities.” The more individually tailored the communication to a specific customer or targeted group of customers about a security or group of securities, the greater the likelihood that the communication may be viewed as a “recommendation.”</w:t>
      </w:r>
    </w:p>
    <w:p w14:paraId="74126A8B" w14:textId="77777777" w:rsidR="00481C8F" w:rsidRPr="00482C40" w:rsidRDefault="00481C8F" w:rsidP="00481C8F">
      <w:pPr>
        <w:pStyle w:val="NormalWeb"/>
        <w:shd w:val="clear" w:color="auto" w:fill="FFFFFF"/>
        <w:spacing w:before="0" w:beforeAutospacing="0" w:after="0" w:afterAutospacing="0"/>
        <w:ind w:left="270"/>
        <w:textAlignment w:val="baseline"/>
        <w:rPr>
          <w:rFonts w:ascii="Times New Roman" w:hAnsi="Times New Roman" w:cs="Times New Roman"/>
          <w:color w:val="auto"/>
        </w:rPr>
      </w:pPr>
    </w:p>
    <w:p w14:paraId="018E5F65" w14:textId="77777777" w:rsidR="00481C8F" w:rsidRPr="00482C40" w:rsidRDefault="00481C8F" w:rsidP="00481C8F">
      <w:pPr>
        <w:pStyle w:val="NormalWeb"/>
        <w:shd w:val="clear" w:color="auto" w:fill="FFFFFF"/>
        <w:spacing w:before="0" w:beforeAutospacing="0" w:after="0" w:afterAutospacing="0"/>
        <w:ind w:left="270"/>
        <w:textAlignment w:val="baseline"/>
        <w:rPr>
          <w:rFonts w:ascii="Times New Roman" w:hAnsi="Times New Roman" w:cs="Times New Roman"/>
          <w:color w:val="auto"/>
        </w:rPr>
      </w:pPr>
      <w:r w:rsidRPr="00482C40">
        <w:rPr>
          <w:rFonts w:ascii="Times New Roman" w:hAnsi="Times New Roman" w:cs="Times New Roman"/>
          <w:color w:val="auto"/>
        </w:rPr>
        <w:t>However, Regulation Best Interest does not apply to investment advice provided to a retail customer by a dual-registrant when acting in the capacity of an investment adviser, even if the retail customer has a brokerage relationship with the dual-registrant or the dual-registrant executes the transaction in a brokerage capacity.</w:t>
      </w:r>
    </w:p>
    <w:p w14:paraId="581491F8" w14:textId="77777777" w:rsidR="00481C8F" w:rsidRPr="00482C40" w:rsidRDefault="00481C8F" w:rsidP="00481C8F">
      <w:pPr>
        <w:ind w:left="270"/>
        <w:rPr>
          <w:sz w:val="24"/>
          <w:szCs w:val="24"/>
        </w:rPr>
      </w:pPr>
    </w:p>
    <w:p w14:paraId="2830CF0E" w14:textId="77777777" w:rsidR="00481C8F" w:rsidRPr="00482C40" w:rsidRDefault="00481C8F" w:rsidP="00481C8F">
      <w:pPr>
        <w:ind w:left="270"/>
        <w:rPr>
          <w:b/>
          <w:sz w:val="28"/>
          <w:szCs w:val="24"/>
          <w:u w:val="single"/>
        </w:rPr>
      </w:pPr>
      <w:r w:rsidRPr="00482C40">
        <w:rPr>
          <w:b/>
          <w:sz w:val="24"/>
          <w:szCs w:val="24"/>
          <w:u w:val="single"/>
        </w:rPr>
        <w:t>Retail Customer</w:t>
      </w:r>
      <w:r w:rsidRPr="00482C40">
        <w:rPr>
          <w:sz w:val="24"/>
          <w:szCs w:val="24"/>
        </w:rPr>
        <w:t>: A</w:t>
      </w:r>
      <w:r w:rsidRPr="00482C40">
        <w:t xml:space="preserve"> </w:t>
      </w:r>
      <w:r w:rsidRPr="00482C40">
        <w:rPr>
          <w:sz w:val="22"/>
        </w:rPr>
        <w:t xml:space="preserve">“retail customer” as a natural person, or the legal representative of such person, who: (a) receives a recommendation for any </w:t>
      </w:r>
      <w:r w:rsidRPr="00482C40">
        <w:rPr>
          <w:sz w:val="22"/>
          <w:u w:val="single"/>
        </w:rPr>
        <w:t>securities</w:t>
      </w:r>
      <w:r w:rsidRPr="00482C40">
        <w:rPr>
          <w:sz w:val="22"/>
        </w:rPr>
        <w:t xml:space="preserve"> transaction or investment strategy from a BD or AP; and (b) uses the recommendation primarily for personal, family or household purposes.</w:t>
      </w:r>
    </w:p>
    <w:p w14:paraId="3EB13581" w14:textId="77777777" w:rsidR="00573C36" w:rsidRPr="00482C40" w:rsidRDefault="00573C36" w:rsidP="00573C36"/>
    <w:p w14:paraId="697F88AC" w14:textId="1FEC1368" w:rsidR="00E877C6" w:rsidRPr="00482C40" w:rsidRDefault="00E877C6" w:rsidP="00D20990">
      <w:pPr>
        <w:pStyle w:val="Heading3"/>
      </w:pPr>
      <w:r w:rsidRPr="00482C40">
        <w:t>5.7.2 Disclosure Obligation</w:t>
      </w:r>
    </w:p>
    <w:p w14:paraId="771A1C94" w14:textId="77777777" w:rsidR="00D20990" w:rsidRPr="00482C40" w:rsidRDefault="00D20990" w:rsidP="00D20990">
      <w:pPr>
        <w:ind w:left="270"/>
        <w:rPr>
          <w:sz w:val="24"/>
          <w:szCs w:val="24"/>
        </w:rPr>
      </w:pPr>
      <w:bookmarkStart w:id="79" w:name="_Hlk41035784"/>
      <w:r w:rsidRPr="00482C40">
        <w:rPr>
          <w:sz w:val="24"/>
          <w:szCs w:val="24"/>
        </w:rPr>
        <w:t>The obligation to provide full and fair disclosure should give sufficient information to enable a retail investor to make an informed decision with regard to a recommendation.</w:t>
      </w:r>
    </w:p>
    <w:bookmarkEnd w:id="79"/>
    <w:p w14:paraId="4937D570" w14:textId="77777777" w:rsidR="00D20990" w:rsidRPr="00482C40" w:rsidRDefault="00D20990" w:rsidP="00D20990">
      <w:pPr>
        <w:ind w:left="274"/>
        <w:rPr>
          <w:sz w:val="24"/>
          <w:szCs w:val="24"/>
        </w:rPr>
      </w:pPr>
    </w:p>
    <w:p w14:paraId="3FC74164" w14:textId="7E040D44" w:rsidR="00D20990" w:rsidRPr="00482C40" w:rsidRDefault="00D20990" w:rsidP="00D20990">
      <w:pPr>
        <w:ind w:left="274"/>
        <w:rPr>
          <w:sz w:val="24"/>
          <w:szCs w:val="24"/>
        </w:rPr>
      </w:pPr>
      <w:r w:rsidRPr="00482C40">
        <w:rPr>
          <w:sz w:val="24"/>
          <w:szCs w:val="24"/>
        </w:rPr>
        <w:t>The disclosure obligation requires a BD or RR, prior to or at the time of the recommendation, to provide the retail customer, in writing, full and fair disclosure of:</w:t>
      </w:r>
    </w:p>
    <w:p w14:paraId="7C7DD2E6" w14:textId="77777777" w:rsidR="00D20990" w:rsidRPr="00482C40" w:rsidRDefault="00D20990" w:rsidP="00D20990">
      <w:pPr>
        <w:ind w:left="274"/>
        <w:rPr>
          <w:sz w:val="18"/>
          <w:szCs w:val="18"/>
        </w:rPr>
      </w:pPr>
    </w:p>
    <w:p w14:paraId="5A247B42" w14:textId="77777777" w:rsidR="00D20990" w:rsidRPr="00482C40" w:rsidRDefault="00D20990" w:rsidP="0005402C">
      <w:pPr>
        <w:numPr>
          <w:ilvl w:val="0"/>
          <w:numId w:val="357"/>
        </w:numPr>
        <w:ind w:hanging="270"/>
        <w:rPr>
          <w:sz w:val="24"/>
          <w:szCs w:val="24"/>
        </w:rPr>
      </w:pPr>
      <w:r w:rsidRPr="00482C40">
        <w:rPr>
          <w:sz w:val="24"/>
          <w:szCs w:val="24"/>
        </w:rPr>
        <w:t>All material facts relating to the scope and terms of the relationship with the retail customer, including:</w:t>
      </w:r>
    </w:p>
    <w:p w14:paraId="44997C53" w14:textId="77777777" w:rsidR="00D20990" w:rsidRPr="00482C40" w:rsidRDefault="00D20990" w:rsidP="0005402C">
      <w:pPr>
        <w:numPr>
          <w:ilvl w:val="1"/>
          <w:numId w:val="357"/>
        </w:numPr>
        <w:spacing w:before="100" w:beforeAutospacing="1" w:after="100" w:afterAutospacing="1"/>
        <w:rPr>
          <w:sz w:val="24"/>
          <w:szCs w:val="24"/>
        </w:rPr>
      </w:pPr>
      <w:r w:rsidRPr="00482C40">
        <w:rPr>
          <w:sz w:val="24"/>
          <w:szCs w:val="24"/>
        </w:rPr>
        <w:t>That the BD or associated person is acting as a BD or an associated person with respect to the recommendation;</w:t>
      </w:r>
    </w:p>
    <w:p w14:paraId="4F4364D4" w14:textId="77777777" w:rsidR="00D20990" w:rsidRPr="00482C40" w:rsidRDefault="00D20990" w:rsidP="0005402C">
      <w:pPr>
        <w:numPr>
          <w:ilvl w:val="1"/>
          <w:numId w:val="357"/>
        </w:numPr>
        <w:spacing w:before="100" w:beforeAutospacing="1" w:after="100" w:afterAutospacing="1"/>
        <w:rPr>
          <w:sz w:val="24"/>
          <w:szCs w:val="24"/>
        </w:rPr>
      </w:pPr>
      <w:r w:rsidRPr="00482C40">
        <w:rPr>
          <w:sz w:val="24"/>
          <w:szCs w:val="24"/>
        </w:rPr>
        <w:t>The material fees and costs that apply to the retail customer's transactions, holdings, and accounts;</w:t>
      </w:r>
    </w:p>
    <w:p w14:paraId="677FE956" w14:textId="77777777" w:rsidR="00D20990" w:rsidRPr="00482C40" w:rsidRDefault="00D20990" w:rsidP="0005402C">
      <w:pPr>
        <w:numPr>
          <w:ilvl w:val="1"/>
          <w:numId w:val="357"/>
        </w:numPr>
        <w:spacing w:before="100" w:beforeAutospacing="1" w:after="100" w:afterAutospacing="1"/>
        <w:rPr>
          <w:sz w:val="24"/>
          <w:szCs w:val="24"/>
        </w:rPr>
      </w:pPr>
      <w:r w:rsidRPr="00482C40">
        <w:rPr>
          <w:sz w:val="24"/>
          <w:szCs w:val="24"/>
        </w:rPr>
        <w:t>The type and scope of services provided to the retail customer, including any material limitations on the securities or investment strategies involving securities that may be recommended to the retail customer; and</w:t>
      </w:r>
    </w:p>
    <w:p w14:paraId="31277DA8" w14:textId="512AFF11" w:rsidR="00D20990" w:rsidRPr="00482C40" w:rsidRDefault="00D20990" w:rsidP="0005402C">
      <w:pPr>
        <w:numPr>
          <w:ilvl w:val="1"/>
          <w:numId w:val="357"/>
        </w:numPr>
        <w:spacing w:before="100" w:beforeAutospacing="1" w:after="100" w:afterAutospacing="1"/>
        <w:rPr>
          <w:sz w:val="24"/>
          <w:szCs w:val="24"/>
        </w:rPr>
      </w:pPr>
      <w:r w:rsidRPr="00482C40">
        <w:rPr>
          <w:sz w:val="24"/>
          <w:szCs w:val="24"/>
        </w:rPr>
        <w:t>Material facts relating to conflicts of interest that are associated with the recommendation. "Material facts" are facts a retail customer would consider important in making an investment decision.</w:t>
      </w:r>
      <w:r w:rsidR="00D47FC4" w:rsidRPr="00482C40">
        <w:rPr>
          <w:sz w:val="24"/>
          <w:szCs w:val="24"/>
        </w:rPr>
        <w:t xml:space="preserve"> </w:t>
      </w:r>
      <w:r w:rsidRPr="00482C40">
        <w:rPr>
          <w:sz w:val="24"/>
          <w:szCs w:val="24"/>
        </w:rPr>
        <w:t xml:space="preserve"> For example, material facts relating to conflicts of interest including, but not limited to, how RRs are compensated and the benefits to a BD from recommending a proprietary product.</w:t>
      </w:r>
    </w:p>
    <w:p w14:paraId="530C61B5" w14:textId="77777777" w:rsidR="00D20990" w:rsidRPr="00482C40" w:rsidRDefault="00D20990" w:rsidP="0005402C">
      <w:pPr>
        <w:numPr>
          <w:ilvl w:val="0"/>
          <w:numId w:val="357"/>
        </w:numPr>
        <w:spacing w:before="100" w:beforeAutospacing="1" w:after="100" w:afterAutospacing="1"/>
        <w:ind w:hanging="270"/>
        <w:rPr>
          <w:sz w:val="24"/>
          <w:szCs w:val="24"/>
        </w:rPr>
      </w:pPr>
      <w:r w:rsidRPr="00482C40">
        <w:rPr>
          <w:sz w:val="24"/>
          <w:szCs w:val="24"/>
        </w:rPr>
        <w:t>Other material facts relating to the scope and terms of the relationship with the retail customer which include:</w:t>
      </w:r>
    </w:p>
    <w:p w14:paraId="1D0D4821" w14:textId="77777777" w:rsidR="00D20990" w:rsidRPr="00482C40" w:rsidRDefault="00D20990" w:rsidP="0005402C">
      <w:pPr>
        <w:numPr>
          <w:ilvl w:val="1"/>
          <w:numId w:val="357"/>
        </w:numPr>
        <w:spacing w:before="100" w:beforeAutospacing="1" w:after="100" w:afterAutospacing="1"/>
        <w:rPr>
          <w:sz w:val="24"/>
          <w:szCs w:val="24"/>
        </w:rPr>
      </w:pPr>
      <w:r w:rsidRPr="00482C40">
        <w:rPr>
          <w:sz w:val="24"/>
          <w:szCs w:val="24"/>
        </w:rPr>
        <w:t>The general basis for a recommendation (</w:t>
      </w:r>
      <w:r w:rsidRPr="00482C40">
        <w:rPr>
          <w:i/>
          <w:iCs/>
          <w:sz w:val="24"/>
          <w:szCs w:val="24"/>
        </w:rPr>
        <w:t>i.e.,</w:t>
      </w:r>
      <w:r w:rsidRPr="00482C40">
        <w:rPr>
          <w:sz w:val="24"/>
          <w:szCs w:val="24"/>
        </w:rPr>
        <w:t xml:space="preserve"> what might commonly be described as investment approach, philosophy, or strategy); and</w:t>
      </w:r>
    </w:p>
    <w:p w14:paraId="2194D8A1" w14:textId="77777777" w:rsidR="00D20990" w:rsidRPr="00482C40" w:rsidRDefault="00D20990" w:rsidP="0005402C">
      <w:pPr>
        <w:numPr>
          <w:ilvl w:val="1"/>
          <w:numId w:val="357"/>
        </w:numPr>
        <w:spacing w:before="100" w:beforeAutospacing="1" w:after="100" w:afterAutospacing="1"/>
        <w:rPr>
          <w:sz w:val="24"/>
          <w:szCs w:val="24"/>
        </w:rPr>
      </w:pPr>
      <w:r w:rsidRPr="00482C40">
        <w:rPr>
          <w:sz w:val="24"/>
          <w:szCs w:val="24"/>
        </w:rPr>
        <w:t>Risks associated with recommendations in standardized terms.</w:t>
      </w:r>
    </w:p>
    <w:p w14:paraId="66476CA1" w14:textId="77777777" w:rsidR="00D20990" w:rsidRPr="00482C40" w:rsidRDefault="00D20990" w:rsidP="0005402C">
      <w:pPr>
        <w:numPr>
          <w:ilvl w:val="0"/>
          <w:numId w:val="357"/>
        </w:numPr>
        <w:spacing w:before="100" w:beforeAutospacing="1" w:after="100" w:afterAutospacing="1"/>
        <w:ind w:hanging="270"/>
        <w:rPr>
          <w:sz w:val="24"/>
          <w:szCs w:val="24"/>
        </w:rPr>
      </w:pPr>
      <w:r w:rsidRPr="00482C40">
        <w:rPr>
          <w:sz w:val="24"/>
          <w:szCs w:val="24"/>
        </w:rPr>
        <w:t>If necessary, other material facts relating to the scope and terms of the relationship.</w:t>
      </w:r>
    </w:p>
    <w:p w14:paraId="5D1F5C04" w14:textId="77777777" w:rsidR="00D20990" w:rsidRPr="00482C40" w:rsidRDefault="00D20990" w:rsidP="00BC72C4">
      <w:pPr>
        <w:spacing w:before="100" w:beforeAutospacing="1" w:after="80"/>
        <w:ind w:left="274"/>
        <w:rPr>
          <w:sz w:val="24"/>
          <w:szCs w:val="24"/>
        </w:rPr>
      </w:pPr>
      <w:r w:rsidRPr="00482C40">
        <w:rPr>
          <w:sz w:val="24"/>
          <w:szCs w:val="24"/>
        </w:rPr>
        <w:lastRenderedPageBreak/>
        <w:t>Disclosures are provided in a variety of ways, including (but not necessarily limited to) the following:</w:t>
      </w:r>
    </w:p>
    <w:p w14:paraId="1719E524" w14:textId="77777777" w:rsidR="00D20990" w:rsidRPr="00482C40" w:rsidRDefault="00D20990" w:rsidP="00BC72C4">
      <w:pPr>
        <w:numPr>
          <w:ilvl w:val="0"/>
          <w:numId w:val="358"/>
        </w:numPr>
        <w:spacing w:before="80" w:after="100" w:afterAutospacing="1"/>
        <w:ind w:hanging="274"/>
        <w:rPr>
          <w:sz w:val="24"/>
          <w:szCs w:val="24"/>
        </w:rPr>
      </w:pPr>
      <w:r w:rsidRPr="00482C40">
        <w:rPr>
          <w:sz w:val="24"/>
          <w:szCs w:val="24"/>
        </w:rPr>
        <w:t>Electronic mailings to those who have consented to receive electronic delivery</w:t>
      </w:r>
    </w:p>
    <w:p w14:paraId="577847D4" w14:textId="77777777" w:rsidR="00D20990" w:rsidRPr="00482C40" w:rsidRDefault="00D20990" w:rsidP="0005402C">
      <w:pPr>
        <w:numPr>
          <w:ilvl w:val="0"/>
          <w:numId w:val="358"/>
        </w:numPr>
        <w:spacing w:before="100" w:beforeAutospacing="1" w:after="100" w:afterAutospacing="1"/>
        <w:ind w:hanging="270"/>
        <w:rPr>
          <w:sz w:val="24"/>
          <w:szCs w:val="24"/>
        </w:rPr>
      </w:pPr>
      <w:r w:rsidRPr="00482C40">
        <w:rPr>
          <w:sz w:val="24"/>
          <w:szCs w:val="24"/>
        </w:rPr>
        <w:t>Form CRS Relationship Summary</w:t>
      </w:r>
    </w:p>
    <w:p w14:paraId="3C68813C" w14:textId="77777777" w:rsidR="00D20990" w:rsidRPr="00482C40" w:rsidRDefault="00D20990" w:rsidP="0005402C">
      <w:pPr>
        <w:numPr>
          <w:ilvl w:val="0"/>
          <w:numId w:val="358"/>
        </w:numPr>
        <w:spacing w:before="100" w:beforeAutospacing="1" w:after="100" w:afterAutospacing="1"/>
        <w:ind w:hanging="270"/>
        <w:rPr>
          <w:sz w:val="24"/>
          <w:szCs w:val="24"/>
        </w:rPr>
      </w:pPr>
      <w:r w:rsidRPr="00482C40">
        <w:rPr>
          <w:sz w:val="24"/>
          <w:szCs w:val="24"/>
        </w:rPr>
        <w:t>Account opening documents and account agreements</w:t>
      </w:r>
    </w:p>
    <w:p w14:paraId="10329FE2" w14:textId="57D125C4" w:rsidR="00D20990" w:rsidRPr="00482C40" w:rsidRDefault="001704D8" w:rsidP="0005402C">
      <w:pPr>
        <w:numPr>
          <w:ilvl w:val="0"/>
          <w:numId w:val="358"/>
        </w:numPr>
        <w:spacing w:before="100" w:beforeAutospacing="1" w:after="100" w:afterAutospacing="1"/>
        <w:ind w:hanging="270"/>
        <w:rPr>
          <w:sz w:val="24"/>
          <w:szCs w:val="24"/>
        </w:rPr>
      </w:pPr>
      <w:r w:rsidRPr="00482C40">
        <w:rPr>
          <w:sz w:val="24"/>
          <w:szCs w:val="24"/>
        </w:rPr>
        <w:t>Company</w:t>
      </w:r>
      <w:r w:rsidR="00D20990" w:rsidRPr="00482C40">
        <w:rPr>
          <w:sz w:val="24"/>
          <w:szCs w:val="24"/>
        </w:rPr>
        <w:t>'s website</w:t>
      </w:r>
    </w:p>
    <w:p w14:paraId="24DEC693" w14:textId="5CE4A6B6" w:rsidR="00481C8F" w:rsidRPr="00482C40" w:rsidRDefault="00D20990" w:rsidP="00A951C9">
      <w:pPr>
        <w:spacing w:before="100" w:beforeAutospacing="1" w:after="100" w:afterAutospacing="1"/>
        <w:ind w:left="270"/>
        <w:rPr>
          <w:sz w:val="24"/>
          <w:szCs w:val="24"/>
        </w:rPr>
      </w:pPr>
      <w:r w:rsidRPr="00482C40">
        <w:rPr>
          <w:sz w:val="24"/>
          <w:szCs w:val="24"/>
        </w:rPr>
        <w:t>While disclosures must be in writing, in certain circumstances oral disclosures (no later than the time of the transaction) to supplement facts not reasonably known at the time written disclosure is made.</w:t>
      </w:r>
    </w:p>
    <w:p w14:paraId="4127203D" w14:textId="4663E5E8" w:rsidR="00A951C9" w:rsidRPr="00482C40" w:rsidRDefault="00A951C9" w:rsidP="007459E3">
      <w:pPr>
        <w:pStyle w:val="Heading3"/>
        <w:contextualSpacing/>
      </w:pPr>
      <w:r w:rsidRPr="00482C40">
        <w:t>5.7.</w:t>
      </w:r>
      <w:r w:rsidR="00347924" w:rsidRPr="00482C40">
        <w:t>3</w:t>
      </w:r>
      <w:r w:rsidRPr="00482C40">
        <w:t xml:space="preserve"> Care Obligation</w:t>
      </w:r>
    </w:p>
    <w:p w14:paraId="30F20861" w14:textId="0C17CF08" w:rsidR="007459E3" w:rsidRPr="00482C40" w:rsidRDefault="007459E3" w:rsidP="007459E3">
      <w:pPr>
        <w:ind w:left="270"/>
        <w:rPr>
          <w:sz w:val="24"/>
          <w:szCs w:val="24"/>
        </w:rPr>
      </w:pPr>
      <w:r w:rsidRPr="00482C40">
        <w:rPr>
          <w:sz w:val="24"/>
          <w:szCs w:val="24"/>
        </w:rPr>
        <w:t xml:space="preserve">The care obligation is broader than the existing suitability standard because it: (1) explicitly requires that the recommendation be in the customer's best interest and that the </w:t>
      </w:r>
      <w:r w:rsidR="00963CE1" w:rsidRPr="00482C40">
        <w:rPr>
          <w:sz w:val="24"/>
          <w:szCs w:val="24"/>
        </w:rPr>
        <w:t>Company</w:t>
      </w:r>
      <w:r w:rsidRPr="00482C40">
        <w:rPr>
          <w:sz w:val="24"/>
          <w:szCs w:val="24"/>
        </w:rPr>
        <w:t xml:space="preserve"> and RRs do not place their interests ahead of the customer; (2) explicitly requires that cost be a consideration; (3) applies the quantitative suitability requirement (recommending a series of transactions, avoiding excessive activity); and (4) requires the </w:t>
      </w:r>
      <w:r w:rsidR="00963CE1" w:rsidRPr="00482C40">
        <w:rPr>
          <w:sz w:val="24"/>
          <w:szCs w:val="24"/>
        </w:rPr>
        <w:t>Company</w:t>
      </w:r>
      <w:r w:rsidRPr="00482C40">
        <w:rPr>
          <w:sz w:val="24"/>
          <w:szCs w:val="24"/>
        </w:rPr>
        <w:t xml:space="preserve"> and RRs to consider "reasonably available alternatives" as part of having a "reasonable basis to believe" that the recommendation is in the best interests of the customer.</w:t>
      </w:r>
    </w:p>
    <w:p w14:paraId="5038509F" w14:textId="77777777" w:rsidR="007459E3" w:rsidRPr="00482C40" w:rsidRDefault="007459E3" w:rsidP="007459E3">
      <w:pPr>
        <w:spacing w:before="100" w:beforeAutospacing="1" w:after="100" w:afterAutospacing="1"/>
        <w:ind w:left="270"/>
        <w:rPr>
          <w:sz w:val="24"/>
          <w:szCs w:val="24"/>
        </w:rPr>
      </w:pPr>
      <w:r w:rsidRPr="00482C40">
        <w:rPr>
          <w:sz w:val="24"/>
          <w:szCs w:val="24"/>
        </w:rPr>
        <w:t>The RR must exercise reasonable diligence, care, and skill to:</w:t>
      </w:r>
    </w:p>
    <w:p w14:paraId="1B79C65F" w14:textId="77777777" w:rsidR="007459E3" w:rsidRPr="00482C40" w:rsidRDefault="007459E3" w:rsidP="0005402C">
      <w:pPr>
        <w:numPr>
          <w:ilvl w:val="0"/>
          <w:numId w:val="359"/>
        </w:numPr>
        <w:spacing w:before="100" w:beforeAutospacing="1" w:after="100" w:afterAutospacing="1"/>
        <w:ind w:hanging="270"/>
        <w:rPr>
          <w:sz w:val="24"/>
          <w:szCs w:val="24"/>
        </w:rPr>
      </w:pPr>
      <w:r w:rsidRPr="00482C40">
        <w:rPr>
          <w:sz w:val="24"/>
          <w:szCs w:val="24"/>
        </w:rPr>
        <w:t>understand the risks, rewards, and costs associated with the recommendation;</w:t>
      </w:r>
    </w:p>
    <w:p w14:paraId="29BBDF7D" w14:textId="77777777" w:rsidR="007459E3" w:rsidRPr="00482C40" w:rsidRDefault="007459E3" w:rsidP="0005402C">
      <w:pPr>
        <w:numPr>
          <w:ilvl w:val="0"/>
          <w:numId w:val="359"/>
        </w:numPr>
        <w:spacing w:before="100" w:beforeAutospacing="1" w:after="100" w:afterAutospacing="1"/>
        <w:ind w:hanging="270"/>
        <w:rPr>
          <w:sz w:val="24"/>
          <w:szCs w:val="24"/>
        </w:rPr>
      </w:pPr>
      <w:r w:rsidRPr="00482C40">
        <w:rPr>
          <w:sz w:val="24"/>
          <w:szCs w:val="24"/>
        </w:rPr>
        <w:t>have a reasonable basis to believe the recommendation is in the customer's best interest; and</w:t>
      </w:r>
    </w:p>
    <w:p w14:paraId="277981FF" w14:textId="124EE222" w:rsidR="007459E3" w:rsidRPr="00482C40" w:rsidRDefault="007459E3" w:rsidP="0005402C">
      <w:pPr>
        <w:numPr>
          <w:ilvl w:val="0"/>
          <w:numId w:val="359"/>
        </w:numPr>
        <w:spacing w:before="100" w:beforeAutospacing="1" w:after="100" w:afterAutospacing="1"/>
        <w:ind w:hanging="270"/>
        <w:rPr>
          <w:sz w:val="24"/>
          <w:szCs w:val="24"/>
        </w:rPr>
      </w:pPr>
      <w:r w:rsidRPr="00482C40">
        <w:rPr>
          <w:sz w:val="24"/>
          <w:szCs w:val="24"/>
        </w:rPr>
        <w:t xml:space="preserve">have a reasonable basis to believe that recommended transactions are in the customer's best interest based on the customer's investment profile and doesn't place the interests of the </w:t>
      </w:r>
      <w:r w:rsidR="00963CE1" w:rsidRPr="00482C40">
        <w:rPr>
          <w:sz w:val="24"/>
          <w:szCs w:val="24"/>
        </w:rPr>
        <w:t>Company</w:t>
      </w:r>
      <w:r w:rsidRPr="00482C40">
        <w:rPr>
          <w:sz w:val="24"/>
          <w:szCs w:val="24"/>
        </w:rPr>
        <w:t xml:space="preserve"> ahead of the customer. This includes avoiding transactions that are excessive.</w:t>
      </w:r>
    </w:p>
    <w:p w14:paraId="7B7CE754" w14:textId="6A657449" w:rsidR="007459E3" w:rsidRPr="00482C40" w:rsidRDefault="007459E3" w:rsidP="007459E3">
      <w:pPr>
        <w:spacing w:before="100" w:beforeAutospacing="1" w:after="100" w:afterAutospacing="1"/>
        <w:ind w:left="270"/>
        <w:rPr>
          <w:sz w:val="24"/>
          <w:szCs w:val="24"/>
        </w:rPr>
      </w:pPr>
      <w:r w:rsidRPr="00482C40">
        <w:rPr>
          <w:sz w:val="24"/>
          <w:szCs w:val="24"/>
        </w:rPr>
        <w:t xml:space="preserve">In particular, </w:t>
      </w:r>
      <w:r w:rsidR="00963CE1" w:rsidRPr="00482C40">
        <w:rPr>
          <w:sz w:val="24"/>
          <w:szCs w:val="24"/>
        </w:rPr>
        <w:t>Company</w:t>
      </w:r>
      <w:r w:rsidRPr="00482C40">
        <w:rPr>
          <w:sz w:val="24"/>
          <w:szCs w:val="24"/>
        </w:rPr>
        <w:t xml:space="preserve"> and RR</w:t>
      </w:r>
      <w:r w:rsidR="00963CE1" w:rsidRPr="00482C40">
        <w:rPr>
          <w:sz w:val="24"/>
          <w:szCs w:val="24"/>
        </w:rPr>
        <w:t>s</w:t>
      </w:r>
      <w:r w:rsidRPr="00482C40">
        <w:rPr>
          <w:sz w:val="24"/>
          <w:szCs w:val="24"/>
        </w:rPr>
        <w:t xml:space="preserve"> must understand complex products, and recommendations of complex investments should be documented, particularly where a recommendation may seem inconsistent with a retail customer's objectives on its face. </w:t>
      </w:r>
      <w:r w:rsidR="00D47FC4" w:rsidRPr="00482C40">
        <w:rPr>
          <w:sz w:val="24"/>
          <w:szCs w:val="24"/>
        </w:rPr>
        <w:t xml:space="preserve"> </w:t>
      </w:r>
      <w:r w:rsidRPr="00482C40">
        <w:rPr>
          <w:sz w:val="24"/>
          <w:szCs w:val="24"/>
        </w:rPr>
        <w:t>The care obligation applies to a series of recommended transactions (quantitative suitability).</w:t>
      </w:r>
    </w:p>
    <w:p w14:paraId="31D17F85" w14:textId="13933C7D" w:rsidR="00D47FC4" w:rsidRPr="00482C40" w:rsidRDefault="00D47FC4" w:rsidP="001A587F">
      <w:pPr>
        <w:pStyle w:val="Heading4"/>
      </w:pPr>
      <w:r w:rsidRPr="00482C40">
        <w:t>5.7.</w:t>
      </w:r>
      <w:r w:rsidR="003974BF" w:rsidRPr="00482C40">
        <w:t>3</w:t>
      </w:r>
      <w:r w:rsidRPr="00482C40">
        <w:t>.1 Factors to Consider</w:t>
      </w:r>
    </w:p>
    <w:p w14:paraId="0B100774" w14:textId="6AD96A57" w:rsidR="00D47FC4" w:rsidRPr="00482C40" w:rsidRDefault="00D47FC4" w:rsidP="00D47FC4">
      <w:pPr>
        <w:ind w:left="360"/>
        <w:contextualSpacing/>
        <w:rPr>
          <w:sz w:val="24"/>
          <w:szCs w:val="24"/>
        </w:rPr>
      </w:pPr>
      <w:r w:rsidRPr="00482C40">
        <w:rPr>
          <w:sz w:val="24"/>
          <w:szCs w:val="24"/>
        </w:rPr>
        <w:t>When making recommendations, the following non-exclusive list of factors (depending on the particular product or strategy recommended) may be considered:</w:t>
      </w:r>
    </w:p>
    <w:p w14:paraId="00FAB274" w14:textId="77777777" w:rsidR="00D47FC4" w:rsidRPr="00482C40" w:rsidRDefault="00D47FC4" w:rsidP="0005402C">
      <w:pPr>
        <w:numPr>
          <w:ilvl w:val="0"/>
          <w:numId w:val="360"/>
        </w:numPr>
        <w:spacing w:before="100" w:beforeAutospacing="1" w:after="100" w:afterAutospacing="1"/>
        <w:ind w:hanging="270"/>
        <w:rPr>
          <w:sz w:val="24"/>
          <w:szCs w:val="24"/>
        </w:rPr>
      </w:pPr>
      <w:r w:rsidRPr="00482C40">
        <w:rPr>
          <w:sz w:val="24"/>
          <w:szCs w:val="24"/>
        </w:rPr>
        <w:t>What are the characteristics (including any special or unusual features) of the security or strategy?</w:t>
      </w:r>
    </w:p>
    <w:p w14:paraId="2C9CC04B" w14:textId="77777777" w:rsidR="00D47FC4" w:rsidRPr="00482C40" w:rsidRDefault="00D47FC4" w:rsidP="0005402C">
      <w:pPr>
        <w:numPr>
          <w:ilvl w:val="0"/>
          <w:numId w:val="360"/>
        </w:numPr>
        <w:spacing w:before="100" w:beforeAutospacing="1" w:after="100" w:afterAutospacing="1"/>
        <w:ind w:hanging="270"/>
        <w:rPr>
          <w:sz w:val="24"/>
          <w:szCs w:val="24"/>
        </w:rPr>
      </w:pPr>
      <w:r w:rsidRPr="00482C40">
        <w:rPr>
          <w:sz w:val="24"/>
          <w:szCs w:val="24"/>
        </w:rPr>
        <w:t xml:space="preserve">What are the initial and subsequent costs (if any, </w:t>
      </w:r>
      <w:r w:rsidRPr="00482C40">
        <w:rPr>
          <w:i/>
          <w:iCs/>
          <w:sz w:val="24"/>
          <w:szCs w:val="24"/>
        </w:rPr>
        <w:t>e.g.,</w:t>
      </w:r>
      <w:r w:rsidRPr="00482C40">
        <w:rPr>
          <w:sz w:val="24"/>
          <w:szCs w:val="24"/>
        </w:rPr>
        <w:t xml:space="preserve"> surrender or redemption costs) of the security or strategy?</w:t>
      </w:r>
    </w:p>
    <w:p w14:paraId="1489C0E9" w14:textId="77777777" w:rsidR="00D47FC4" w:rsidRPr="00482C40" w:rsidRDefault="00D47FC4" w:rsidP="0005402C">
      <w:pPr>
        <w:numPr>
          <w:ilvl w:val="0"/>
          <w:numId w:val="360"/>
        </w:numPr>
        <w:spacing w:before="100" w:beforeAutospacing="1" w:after="100" w:afterAutospacing="1"/>
        <w:ind w:hanging="270"/>
        <w:rPr>
          <w:sz w:val="24"/>
          <w:szCs w:val="24"/>
        </w:rPr>
      </w:pPr>
      <w:r w:rsidRPr="00482C40">
        <w:rPr>
          <w:sz w:val="24"/>
          <w:szCs w:val="24"/>
        </w:rPr>
        <w:t>How liquid is the security?</w:t>
      </w:r>
    </w:p>
    <w:p w14:paraId="03BA6A73" w14:textId="77777777" w:rsidR="00D47FC4" w:rsidRPr="00482C40" w:rsidRDefault="00D47FC4" w:rsidP="0005402C">
      <w:pPr>
        <w:numPr>
          <w:ilvl w:val="0"/>
          <w:numId w:val="360"/>
        </w:numPr>
        <w:spacing w:before="100" w:beforeAutospacing="1" w:after="100" w:afterAutospacing="1"/>
        <w:ind w:hanging="270"/>
        <w:rPr>
          <w:sz w:val="24"/>
          <w:szCs w:val="24"/>
        </w:rPr>
      </w:pPr>
      <w:r w:rsidRPr="00482C40">
        <w:rPr>
          <w:sz w:val="24"/>
          <w:szCs w:val="24"/>
        </w:rPr>
        <w:t>What are the risks, volatility, and likely performance in a variety of market conditions (normal or stressed)?</w:t>
      </w:r>
    </w:p>
    <w:p w14:paraId="219277A9" w14:textId="77777777" w:rsidR="00D47FC4" w:rsidRPr="00482C40" w:rsidRDefault="00D47FC4" w:rsidP="0005402C">
      <w:pPr>
        <w:numPr>
          <w:ilvl w:val="0"/>
          <w:numId w:val="360"/>
        </w:numPr>
        <w:spacing w:before="100" w:beforeAutospacing="1" w:after="100" w:afterAutospacing="1"/>
        <w:ind w:hanging="270"/>
        <w:rPr>
          <w:sz w:val="24"/>
          <w:szCs w:val="24"/>
        </w:rPr>
      </w:pPr>
      <w:r w:rsidRPr="00482C40">
        <w:rPr>
          <w:sz w:val="24"/>
          <w:szCs w:val="24"/>
        </w:rPr>
        <w:t>What is the expected return of the security?</w:t>
      </w:r>
    </w:p>
    <w:p w14:paraId="0B05613B" w14:textId="77777777" w:rsidR="00D47FC4" w:rsidRPr="00482C40" w:rsidRDefault="00D47FC4" w:rsidP="0005402C">
      <w:pPr>
        <w:numPr>
          <w:ilvl w:val="0"/>
          <w:numId w:val="360"/>
        </w:numPr>
        <w:spacing w:before="100" w:beforeAutospacing="1" w:after="100" w:afterAutospacing="1"/>
        <w:ind w:hanging="270"/>
        <w:rPr>
          <w:sz w:val="24"/>
          <w:szCs w:val="24"/>
        </w:rPr>
      </w:pPr>
      <w:r w:rsidRPr="00482C40">
        <w:rPr>
          <w:sz w:val="24"/>
          <w:szCs w:val="24"/>
        </w:rPr>
        <w:t>What are the financial incentives to recommend the security or investment strategy?</w:t>
      </w:r>
    </w:p>
    <w:p w14:paraId="686FD38F" w14:textId="3BB6AF07" w:rsidR="00D47FC4" w:rsidRPr="00482C40" w:rsidRDefault="00D47FC4" w:rsidP="0005402C">
      <w:pPr>
        <w:numPr>
          <w:ilvl w:val="0"/>
          <w:numId w:val="360"/>
        </w:numPr>
        <w:spacing w:before="100" w:beforeAutospacing="1" w:after="100" w:afterAutospacing="1"/>
        <w:ind w:hanging="270"/>
        <w:rPr>
          <w:sz w:val="24"/>
          <w:szCs w:val="24"/>
        </w:rPr>
      </w:pPr>
      <w:r w:rsidRPr="00482C40">
        <w:rPr>
          <w:sz w:val="24"/>
          <w:szCs w:val="24"/>
        </w:rPr>
        <w:lastRenderedPageBreak/>
        <w:t>Are there alternative investments or strategies, at lower cost, that may meet the customer's needs?  More costly products may be recommended provided there is a reasonable basis to believe they are in the best interest of the customer.  There is no obligation to recommend the "best" of all possible alternatives.</w:t>
      </w:r>
    </w:p>
    <w:p w14:paraId="0653D1D8" w14:textId="465E93EF" w:rsidR="00A951C9" w:rsidRPr="00482C40" w:rsidRDefault="00D47FC4" w:rsidP="001A587F">
      <w:pPr>
        <w:pStyle w:val="Heading4"/>
      </w:pPr>
      <w:r w:rsidRPr="00482C40">
        <w:t>5.7.</w:t>
      </w:r>
      <w:r w:rsidR="003974BF" w:rsidRPr="00482C40">
        <w:t>3.</w:t>
      </w:r>
      <w:r w:rsidRPr="00482C40">
        <w:t>2 Recommending Types of Accounts</w:t>
      </w:r>
    </w:p>
    <w:p w14:paraId="772B18F3" w14:textId="597FADBA" w:rsidR="00D47FC4" w:rsidRPr="00482C40" w:rsidRDefault="00D47FC4" w:rsidP="00D47FC4">
      <w:pPr>
        <w:ind w:left="360"/>
        <w:contextualSpacing/>
        <w:rPr>
          <w:sz w:val="24"/>
          <w:szCs w:val="24"/>
        </w:rPr>
      </w:pPr>
      <w:r w:rsidRPr="00482C40">
        <w:rPr>
          <w:sz w:val="24"/>
          <w:szCs w:val="24"/>
        </w:rPr>
        <w:t xml:space="preserve">RRs must have a reasonable basis for recommending accounts (margin, brokerage or advisory, IRAs, </w:t>
      </w:r>
      <w:r w:rsidRPr="00482C40">
        <w:rPr>
          <w:i/>
          <w:iCs/>
          <w:sz w:val="24"/>
          <w:szCs w:val="24"/>
        </w:rPr>
        <w:t>etc.</w:t>
      </w:r>
      <w:r w:rsidRPr="00482C40">
        <w:rPr>
          <w:sz w:val="24"/>
          <w:szCs w:val="24"/>
        </w:rPr>
        <w:t>). This includes the following considerations:</w:t>
      </w:r>
    </w:p>
    <w:p w14:paraId="1238933D" w14:textId="77777777" w:rsidR="00D47FC4" w:rsidRPr="00482C40" w:rsidRDefault="00D47FC4" w:rsidP="00D47FC4">
      <w:pPr>
        <w:ind w:left="360"/>
        <w:contextualSpacing/>
        <w:rPr>
          <w:sz w:val="14"/>
          <w:szCs w:val="14"/>
        </w:rPr>
      </w:pPr>
    </w:p>
    <w:p w14:paraId="4B691A16" w14:textId="77777777" w:rsidR="00D47FC4" w:rsidRPr="00482C40" w:rsidRDefault="00D47FC4" w:rsidP="0005402C">
      <w:pPr>
        <w:numPr>
          <w:ilvl w:val="0"/>
          <w:numId w:val="361"/>
        </w:numPr>
        <w:tabs>
          <w:tab w:val="clear" w:pos="720"/>
          <w:tab w:val="num" w:pos="900"/>
        </w:tabs>
        <w:ind w:left="900" w:hanging="270"/>
        <w:rPr>
          <w:sz w:val="24"/>
          <w:szCs w:val="24"/>
        </w:rPr>
      </w:pPr>
      <w:r w:rsidRPr="00482C40">
        <w:rPr>
          <w:sz w:val="24"/>
          <w:szCs w:val="24"/>
        </w:rPr>
        <w:t>services and products provided in the account;</w:t>
      </w:r>
    </w:p>
    <w:p w14:paraId="1A1AA8EB" w14:textId="77777777" w:rsidR="00D47FC4" w:rsidRPr="00482C40" w:rsidRDefault="00D47FC4" w:rsidP="0005402C">
      <w:pPr>
        <w:numPr>
          <w:ilvl w:val="0"/>
          <w:numId w:val="361"/>
        </w:numPr>
        <w:tabs>
          <w:tab w:val="clear" w:pos="720"/>
          <w:tab w:val="num" w:pos="900"/>
        </w:tabs>
        <w:spacing w:before="100" w:beforeAutospacing="1" w:after="100" w:afterAutospacing="1"/>
        <w:ind w:left="900" w:hanging="270"/>
        <w:rPr>
          <w:sz w:val="24"/>
          <w:szCs w:val="24"/>
        </w:rPr>
      </w:pPr>
      <w:r w:rsidRPr="00482C40">
        <w:rPr>
          <w:sz w:val="24"/>
          <w:szCs w:val="24"/>
        </w:rPr>
        <w:t>projected cost of the account;</w:t>
      </w:r>
    </w:p>
    <w:p w14:paraId="0BCEFA91" w14:textId="77777777" w:rsidR="00D47FC4" w:rsidRPr="00482C40" w:rsidRDefault="00D47FC4" w:rsidP="0005402C">
      <w:pPr>
        <w:numPr>
          <w:ilvl w:val="0"/>
          <w:numId w:val="361"/>
        </w:numPr>
        <w:tabs>
          <w:tab w:val="clear" w:pos="720"/>
          <w:tab w:val="num" w:pos="900"/>
        </w:tabs>
        <w:spacing w:before="100" w:beforeAutospacing="1" w:after="100" w:afterAutospacing="1"/>
        <w:ind w:left="900" w:hanging="270"/>
        <w:rPr>
          <w:sz w:val="24"/>
          <w:szCs w:val="24"/>
        </w:rPr>
      </w:pPr>
      <w:r w:rsidRPr="00482C40">
        <w:rPr>
          <w:sz w:val="24"/>
          <w:szCs w:val="24"/>
        </w:rPr>
        <w:t>alternative account types available;</w:t>
      </w:r>
    </w:p>
    <w:p w14:paraId="1E6F5330" w14:textId="77777777" w:rsidR="00D47FC4" w:rsidRPr="00482C40" w:rsidRDefault="00D47FC4" w:rsidP="0005402C">
      <w:pPr>
        <w:numPr>
          <w:ilvl w:val="0"/>
          <w:numId w:val="361"/>
        </w:numPr>
        <w:tabs>
          <w:tab w:val="clear" w:pos="720"/>
          <w:tab w:val="num" w:pos="900"/>
        </w:tabs>
        <w:spacing w:before="100" w:beforeAutospacing="1" w:after="100" w:afterAutospacing="1"/>
        <w:ind w:left="900" w:hanging="270"/>
        <w:rPr>
          <w:sz w:val="24"/>
          <w:szCs w:val="24"/>
        </w:rPr>
      </w:pPr>
      <w:r w:rsidRPr="00482C40">
        <w:rPr>
          <w:sz w:val="24"/>
          <w:szCs w:val="24"/>
        </w:rPr>
        <w:t>services the retail customer requests; and</w:t>
      </w:r>
    </w:p>
    <w:p w14:paraId="2FD708FE" w14:textId="77777777" w:rsidR="00D47FC4" w:rsidRPr="00482C40" w:rsidRDefault="00D47FC4" w:rsidP="0005402C">
      <w:pPr>
        <w:numPr>
          <w:ilvl w:val="0"/>
          <w:numId w:val="361"/>
        </w:numPr>
        <w:tabs>
          <w:tab w:val="clear" w:pos="720"/>
          <w:tab w:val="num" w:pos="900"/>
        </w:tabs>
        <w:spacing w:before="100" w:beforeAutospacing="1" w:after="100" w:afterAutospacing="1"/>
        <w:ind w:left="900" w:hanging="270"/>
        <w:rPr>
          <w:sz w:val="24"/>
          <w:szCs w:val="24"/>
        </w:rPr>
      </w:pPr>
      <w:r w:rsidRPr="00482C40">
        <w:rPr>
          <w:sz w:val="24"/>
          <w:szCs w:val="24"/>
        </w:rPr>
        <w:t>the retail customer's investment profile. Profile elements include age, other investments, financial situation and needs, tax status, investment objectives, investment experience, investment time horizon, liquidity needs, risk tolerance, and any other information disclosed by the customer.</w:t>
      </w:r>
    </w:p>
    <w:p w14:paraId="6780C6B9" w14:textId="59CF9EFD" w:rsidR="00D47FC4" w:rsidRPr="00482C40" w:rsidRDefault="00D47FC4" w:rsidP="00D47FC4">
      <w:pPr>
        <w:ind w:left="360"/>
        <w:contextualSpacing/>
        <w:rPr>
          <w:sz w:val="24"/>
          <w:szCs w:val="24"/>
        </w:rPr>
      </w:pPr>
      <w:r w:rsidRPr="00482C40">
        <w:rPr>
          <w:sz w:val="24"/>
          <w:szCs w:val="24"/>
        </w:rPr>
        <w:t>Additional considerations when recommending IRAs (including rollovers or transfers of assets in a workplace retirement plan account to an IRA) include:</w:t>
      </w:r>
    </w:p>
    <w:p w14:paraId="0D132BDA" w14:textId="77777777" w:rsidR="00D47FC4" w:rsidRPr="00482C40" w:rsidRDefault="00D47FC4" w:rsidP="00D47FC4">
      <w:pPr>
        <w:ind w:left="360"/>
        <w:contextualSpacing/>
        <w:rPr>
          <w:sz w:val="14"/>
          <w:szCs w:val="14"/>
        </w:rPr>
      </w:pPr>
    </w:p>
    <w:p w14:paraId="525487DD" w14:textId="77777777" w:rsidR="00D47FC4" w:rsidRPr="00482C40" w:rsidRDefault="00D47FC4" w:rsidP="0005402C">
      <w:pPr>
        <w:numPr>
          <w:ilvl w:val="0"/>
          <w:numId w:val="362"/>
        </w:numPr>
        <w:tabs>
          <w:tab w:val="clear" w:pos="720"/>
          <w:tab w:val="num" w:pos="900"/>
        </w:tabs>
        <w:ind w:left="990"/>
        <w:contextualSpacing/>
        <w:rPr>
          <w:sz w:val="24"/>
          <w:szCs w:val="24"/>
        </w:rPr>
      </w:pPr>
      <w:r w:rsidRPr="00482C40">
        <w:rPr>
          <w:sz w:val="24"/>
          <w:szCs w:val="24"/>
        </w:rPr>
        <w:t>customer's current financial situation and liquidity needs;</w:t>
      </w:r>
    </w:p>
    <w:p w14:paraId="0FED0F44" w14:textId="77777777" w:rsidR="00D47FC4" w:rsidRPr="00482C40" w:rsidRDefault="00D47FC4" w:rsidP="0005402C">
      <w:pPr>
        <w:numPr>
          <w:ilvl w:val="0"/>
          <w:numId w:val="362"/>
        </w:numPr>
        <w:tabs>
          <w:tab w:val="clear" w:pos="720"/>
          <w:tab w:val="num" w:pos="900"/>
        </w:tabs>
        <w:spacing w:before="100" w:beforeAutospacing="1" w:after="100" w:afterAutospacing="1"/>
        <w:ind w:left="990"/>
        <w:rPr>
          <w:sz w:val="24"/>
          <w:szCs w:val="24"/>
        </w:rPr>
      </w:pPr>
      <w:r w:rsidRPr="00482C40">
        <w:rPr>
          <w:sz w:val="24"/>
          <w:szCs w:val="24"/>
        </w:rPr>
        <w:t>fees and expenses;</w:t>
      </w:r>
    </w:p>
    <w:p w14:paraId="146F5F59" w14:textId="77777777" w:rsidR="00D47FC4" w:rsidRPr="00482C40" w:rsidRDefault="00D47FC4" w:rsidP="0005402C">
      <w:pPr>
        <w:numPr>
          <w:ilvl w:val="0"/>
          <w:numId w:val="362"/>
        </w:numPr>
        <w:tabs>
          <w:tab w:val="clear" w:pos="720"/>
          <w:tab w:val="num" w:pos="900"/>
        </w:tabs>
        <w:spacing w:before="100" w:beforeAutospacing="1" w:after="100" w:afterAutospacing="1"/>
        <w:ind w:left="990"/>
        <w:rPr>
          <w:sz w:val="24"/>
          <w:szCs w:val="24"/>
        </w:rPr>
      </w:pPr>
      <w:r w:rsidRPr="00482C40">
        <w:rPr>
          <w:sz w:val="24"/>
          <w:szCs w:val="24"/>
        </w:rPr>
        <w:t>level of services available;</w:t>
      </w:r>
    </w:p>
    <w:p w14:paraId="0FA9A34A" w14:textId="77777777" w:rsidR="00D47FC4" w:rsidRPr="00482C40" w:rsidRDefault="00D47FC4" w:rsidP="0005402C">
      <w:pPr>
        <w:numPr>
          <w:ilvl w:val="0"/>
          <w:numId w:val="362"/>
        </w:numPr>
        <w:tabs>
          <w:tab w:val="clear" w:pos="720"/>
          <w:tab w:val="num" w:pos="900"/>
        </w:tabs>
        <w:spacing w:before="100" w:beforeAutospacing="1" w:after="100" w:afterAutospacing="1"/>
        <w:ind w:left="990"/>
        <w:rPr>
          <w:sz w:val="24"/>
          <w:szCs w:val="24"/>
        </w:rPr>
      </w:pPr>
      <w:r w:rsidRPr="00482C40">
        <w:rPr>
          <w:sz w:val="24"/>
          <w:szCs w:val="24"/>
        </w:rPr>
        <w:t>ability to take penalty-free withdrawals;</w:t>
      </w:r>
    </w:p>
    <w:p w14:paraId="79EA0C12" w14:textId="77777777" w:rsidR="00D47FC4" w:rsidRPr="00482C40" w:rsidRDefault="00D47FC4" w:rsidP="0005402C">
      <w:pPr>
        <w:numPr>
          <w:ilvl w:val="0"/>
          <w:numId w:val="362"/>
        </w:numPr>
        <w:tabs>
          <w:tab w:val="clear" w:pos="720"/>
          <w:tab w:val="num" w:pos="900"/>
        </w:tabs>
        <w:spacing w:before="100" w:beforeAutospacing="1" w:after="100" w:afterAutospacing="1"/>
        <w:ind w:left="990"/>
        <w:rPr>
          <w:sz w:val="24"/>
          <w:szCs w:val="24"/>
        </w:rPr>
      </w:pPr>
      <w:r w:rsidRPr="00482C40">
        <w:rPr>
          <w:sz w:val="24"/>
          <w:szCs w:val="24"/>
        </w:rPr>
        <w:t>application of required minimum distributions;</w:t>
      </w:r>
    </w:p>
    <w:p w14:paraId="22DE059A" w14:textId="77777777" w:rsidR="00D47FC4" w:rsidRPr="00482C40" w:rsidRDefault="00D47FC4" w:rsidP="0005402C">
      <w:pPr>
        <w:numPr>
          <w:ilvl w:val="0"/>
          <w:numId w:val="362"/>
        </w:numPr>
        <w:tabs>
          <w:tab w:val="clear" w:pos="720"/>
          <w:tab w:val="num" w:pos="900"/>
        </w:tabs>
        <w:spacing w:before="100" w:beforeAutospacing="1" w:after="100" w:afterAutospacing="1"/>
        <w:ind w:left="990"/>
        <w:rPr>
          <w:sz w:val="24"/>
          <w:szCs w:val="24"/>
        </w:rPr>
      </w:pPr>
      <w:r w:rsidRPr="00482C40">
        <w:rPr>
          <w:sz w:val="24"/>
          <w:szCs w:val="24"/>
        </w:rPr>
        <w:t>protections from creditors and legal judgments;</w:t>
      </w:r>
    </w:p>
    <w:p w14:paraId="3A89B08C" w14:textId="77777777" w:rsidR="00D47FC4" w:rsidRPr="00482C40" w:rsidRDefault="00D47FC4" w:rsidP="0005402C">
      <w:pPr>
        <w:numPr>
          <w:ilvl w:val="0"/>
          <w:numId w:val="362"/>
        </w:numPr>
        <w:tabs>
          <w:tab w:val="clear" w:pos="720"/>
          <w:tab w:val="num" w:pos="900"/>
        </w:tabs>
        <w:spacing w:before="100" w:beforeAutospacing="1" w:after="100" w:afterAutospacing="1"/>
        <w:ind w:left="990"/>
        <w:rPr>
          <w:sz w:val="24"/>
          <w:szCs w:val="24"/>
        </w:rPr>
      </w:pPr>
      <w:r w:rsidRPr="00482C40">
        <w:rPr>
          <w:sz w:val="24"/>
          <w:szCs w:val="24"/>
        </w:rPr>
        <w:t>holdings of employer stock; and</w:t>
      </w:r>
    </w:p>
    <w:p w14:paraId="4F46CF43" w14:textId="77777777" w:rsidR="00D47FC4" w:rsidRPr="00482C40" w:rsidRDefault="00D47FC4" w:rsidP="0005402C">
      <w:pPr>
        <w:numPr>
          <w:ilvl w:val="0"/>
          <w:numId w:val="362"/>
        </w:numPr>
        <w:tabs>
          <w:tab w:val="clear" w:pos="720"/>
          <w:tab w:val="num" w:pos="900"/>
        </w:tabs>
        <w:spacing w:before="100" w:beforeAutospacing="1" w:after="100" w:afterAutospacing="1"/>
        <w:ind w:left="990"/>
        <w:rPr>
          <w:sz w:val="24"/>
          <w:szCs w:val="24"/>
        </w:rPr>
      </w:pPr>
      <w:r w:rsidRPr="00482C40">
        <w:rPr>
          <w:sz w:val="24"/>
          <w:szCs w:val="24"/>
        </w:rPr>
        <w:t>any special features of the existing account.</w:t>
      </w:r>
    </w:p>
    <w:p w14:paraId="2B3A72CA" w14:textId="72C4B05A" w:rsidR="00D47FC4" w:rsidRPr="00482C40" w:rsidRDefault="00D47FC4" w:rsidP="001A587F">
      <w:pPr>
        <w:pStyle w:val="Heading4"/>
      </w:pPr>
      <w:r w:rsidRPr="00482C40">
        <w:t>5.7.</w:t>
      </w:r>
      <w:r w:rsidR="003974BF" w:rsidRPr="00482C40">
        <w:t>3</w:t>
      </w:r>
      <w:r w:rsidRPr="00482C40">
        <w:t>.3 Costs</w:t>
      </w:r>
    </w:p>
    <w:p w14:paraId="515117E7" w14:textId="05D7AA73" w:rsidR="00D47FC4" w:rsidRPr="00482C40" w:rsidRDefault="00D47FC4" w:rsidP="00D47FC4">
      <w:pPr>
        <w:ind w:left="360"/>
        <w:rPr>
          <w:sz w:val="24"/>
          <w:szCs w:val="24"/>
        </w:rPr>
      </w:pPr>
      <w:r w:rsidRPr="00482C40">
        <w:rPr>
          <w:sz w:val="24"/>
          <w:szCs w:val="24"/>
        </w:rPr>
        <w:t xml:space="preserve">The RR should understand and consider the potential costs associated with the recommendation and have a reasonable basis to believe that the recommendation does not place the financial or other interest of Company or RR ahead of the interest of the retail customer. </w:t>
      </w:r>
      <w:r w:rsidR="00E32682" w:rsidRPr="00482C40">
        <w:rPr>
          <w:sz w:val="24"/>
          <w:szCs w:val="24"/>
        </w:rPr>
        <w:t xml:space="preserve"> </w:t>
      </w:r>
      <w:r w:rsidRPr="00482C40">
        <w:rPr>
          <w:sz w:val="24"/>
          <w:szCs w:val="24"/>
        </w:rPr>
        <w:t xml:space="preserve">While cost must be considered, it should never be the only consideration. </w:t>
      </w:r>
      <w:r w:rsidR="00E32682" w:rsidRPr="00482C40">
        <w:rPr>
          <w:sz w:val="24"/>
          <w:szCs w:val="24"/>
        </w:rPr>
        <w:t xml:space="preserve"> </w:t>
      </w:r>
      <w:r w:rsidRPr="00482C40">
        <w:rPr>
          <w:sz w:val="24"/>
          <w:szCs w:val="24"/>
        </w:rPr>
        <w:t xml:space="preserve">Cost is only one of many important factors to be considered regarding the recommendation and that the standard does not necessarily require the "lowest cost option." </w:t>
      </w:r>
      <w:r w:rsidR="003974BF" w:rsidRPr="00482C40">
        <w:rPr>
          <w:sz w:val="24"/>
          <w:szCs w:val="24"/>
        </w:rPr>
        <w:t xml:space="preserve"> </w:t>
      </w:r>
      <w:r w:rsidRPr="00482C40">
        <w:rPr>
          <w:sz w:val="24"/>
          <w:szCs w:val="24"/>
        </w:rPr>
        <w:t>RRs need to consider costs in light of other factors and the retail customer's investment profile.</w:t>
      </w:r>
    </w:p>
    <w:p w14:paraId="60CA70AA" w14:textId="77777777" w:rsidR="00D47FC4" w:rsidRPr="00482C40" w:rsidRDefault="00D47FC4" w:rsidP="00D47FC4"/>
    <w:p w14:paraId="0C204F99" w14:textId="03C86E6A" w:rsidR="00A951C9" w:rsidRPr="00482C40" w:rsidRDefault="00E32682" w:rsidP="001A587F">
      <w:pPr>
        <w:pStyle w:val="Heading4"/>
      </w:pPr>
      <w:r w:rsidRPr="00482C40">
        <w:t>5.7.</w:t>
      </w:r>
      <w:r w:rsidR="003974BF" w:rsidRPr="00482C40">
        <w:t>3</w:t>
      </w:r>
      <w:r w:rsidRPr="00482C40">
        <w:t>.4 Alternatives</w:t>
      </w:r>
    </w:p>
    <w:p w14:paraId="1A17B328" w14:textId="328487B0" w:rsidR="00E32682" w:rsidRPr="00482C40" w:rsidRDefault="00E32682" w:rsidP="00E32682">
      <w:pPr>
        <w:ind w:left="360"/>
        <w:rPr>
          <w:sz w:val="24"/>
          <w:szCs w:val="24"/>
        </w:rPr>
      </w:pPr>
      <w:r w:rsidRPr="00482C40">
        <w:rPr>
          <w:sz w:val="24"/>
          <w:szCs w:val="24"/>
        </w:rPr>
        <w:t>Alternatives should be considered before making recommendations to a particular retail customer.  This does not mean customers must be offered all alternatives or necessarily the lowest-cost alternative or the "single best" alternative. Reasonably available alternatives include considerations of, for example:</w:t>
      </w:r>
    </w:p>
    <w:p w14:paraId="1A40C79F" w14:textId="77777777" w:rsidR="00E32682" w:rsidRPr="00482C40" w:rsidRDefault="00E32682" w:rsidP="0005402C">
      <w:pPr>
        <w:numPr>
          <w:ilvl w:val="0"/>
          <w:numId w:val="363"/>
        </w:numPr>
        <w:tabs>
          <w:tab w:val="clear" w:pos="720"/>
        </w:tabs>
        <w:spacing w:before="100" w:beforeAutospacing="1" w:after="100" w:afterAutospacing="1"/>
        <w:ind w:left="810" w:hanging="270"/>
        <w:rPr>
          <w:sz w:val="24"/>
          <w:szCs w:val="24"/>
        </w:rPr>
      </w:pPr>
      <w:r w:rsidRPr="00482C40">
        <w:rPr>
          <w:sz w:val="24"/>
          <w:szCs w:val="24"/>
        </w:rPr>
        <w:t>An RR's customer base (including the general investment objectives and needs of the customer base)</w:t>
      </w:r>
    </w:p>
    <w:p w14:paraId="4236DA2E" w14:textId="77777777" w:rsidR="00E32682" w:rsidRPr="00482C40" w:rsidRDefault="00E32682" w:rsidP="0005402C">
      <w:pPr>
        <w:numPr>
          <w:ilvl w:val="0"/>
          <w:numId w:val="363"/>
        </w:numPr>
        <w:tabs>
          <w:tab w:val="clear" w:pos="720"/>
        </w:tabs>
        <w:spacing w:before="100" w:beforeAutospacing="1" w:after="100" w:afterAutospacing="1"/>
        <w:ind w:left="810" w:hanging="270"/>
        <w:rPr>
          <w:sz w:val="24"/>
          <w:szCs w:val="24"/>
        </w:rPr>
      </w:pPr>
      <w:r w:rsidRPr="00482C40">
        <w:rPr>
          <w:sz w:val="24"/>
          <w:szCs w:val="24"/>
        </w:rPr>
        <w:t>Investments and services available to the RR to recommend (including limitations due to the RR's licensing)</w:t>
      </w:r>
    </w:p>
    <w:p w14:paraId="4D5CF21F" w14:textId="77777777" w:rsidR="00E32682" w:rsidRPr="00482C40" w:rsidRDefault="00E32682" w:rsidP="0005402C">
      <w:pPr>
        <w:numPr>
          <w:ilvl w:val="0"/>
          <w:numId w:val="363"/>
        </w:numPr>
        <w:tabs>
          <w:tab w:val="clear" w:pos="720"/>
        </w:tabs>
        <w:spacing w:before="100" w:beforeAutospacing="1" w:after="100" w:afterAutospacing="1"/>
        <w:ind w:left="810" w:hanging="270"/>
        <w:rPr>
          <w:sz w:val="24"/>
          <w:szCs w:val="24"/>
        </w:rPr>
      </w:pPr>
      <w:r w:rsidRPr="00482C40">
        <w:rPr>
          <w:sz w:val="24"/>
          <w:szCs w:val="24"/>
        </w:rPr>
        <w:lastRenderedPageBreak/>
        <w:t>Specific limitations on the available investments and services with respect to certain retail investors (</w:t>
      </w:r>
      <w:r w:rsidRPr="00482C40">
        <w:rPr>
          <w:i/>
          <w:iCs/>
          <w:sz w:val="24"/>
          <w:szCs w:val="24"/>
        </w:rPr>
        <w:t>e.g.,</w:t>
      </w:r>
      <w:r w:rsidRPr="00482C40">
        <w:rPr>
          <w:sz w:val="24"/>
          <w:szCs w:val="24"/>
        </w:rPr>
        <w:t xml:space="preserve"> product or service income thresholds; product geographic limitations; or product limitations based on account type, such as those only eligible for IRA accounts)</w:t>
      </w:r>
    </w:p>
    <w:p w14:paraId="241A255A" w14:textId="3413AD91" w:rsidR="00E32682" w:rsidRPr="00482C40" w:rsidRDefault="00E32682" w:rsidP="001A587F">
      <w:pPr>
        <w:pStyle w:val="Heading4"/>
      </w:pPr>
      <w:r w:rsidRPr="00482C40">
        <w:t>5.7.</w:t>
      </w:r>
      <w:r w:rsidR="003974BF" w:rsidRPr="00482C40">
        <w:t>3</w:t>
      </w:r>
      <w:r w:rsidRPr="00482C40">
        <w:t>.5 Quantitative Suitability</w:t>
      </w:r>
    </w:p>
    <w:p w14:paraId="5DC324AA" w14:textId="563E94B7" w:rsidR="00E32682" w:rsidRPr="00482C40" w:rsidRDefault="00E32682" w:rsidP="00E32682">
      <w:pPr>
        <w:ind w:left="360"/>
        <w:rPr>
          <w:sz w:val="24"/>
          <w:szCs w:val="24"/>
        </w:rPr>
      </w:pPr>
      <w:r w:rsidRPr="00482C40">
        <w:rPr>
          <w:sz w:val="24"/>
          <w:szCs w:val="24"/>
        </w:rPr>
        <w:t>RRs may not make recommendations that result in transactions excessive for the customer considering the customer's investment objectives (also known as "churning"). A series of recommended transactions must be in the customer's best interest. The customer may be contacted by Company to confirm that active trading is appropriate.</w:t>
      </w:r>
    </w:p>
    <w:p w14:paraId="39DC0347" w14:textId="77777777" w:rsidR="00E32682" w:rsidRPr="00482C40" w:rsidRDefault="00E32682" w:rsidP="00E32682">
      <w:pPr>
        <w:ind w:left="360"/>
        <w:rPr>
          <w:sz w:val="24"/>
          <w:szCs w:val="24"/>
        </w:rPr>
      </w:pPr>
    </w:p>
    <w:p w14:paraId="42F5762B" w14:textId="16136FC8" w:rsidR="00E32682" w:rsidRPr="00482C40" w:rsidRDefault="00E32682" w:rsidP="001A587F">
      <w:pPr>
        <w:pStyle w:val="Heading4"/>
      </w:pPr>
      <w:r w:rsidRPr="00482C40">
        <w:t>5.7.</w:t>
      </w:r>
      <w:r w:rsidR="003974BF" w:rsidRPr="00482C40">
        <w:t>3</w:t>
      </w:r>
      <w:r w:rsidRPr="00482C40">
        <w:t>.6 Material Limitations</w:t>
      </w:r>
    </w:p>
    <w:p w14:paraId="418B0893" w14:textId="77777777" w:rsidR="00E32682" w:rsidRPr="00482C40" w:rsidRDefault="00E32682" w:rsidP="00E32682">
      <w:pPr>
        <w:ind w:left="360"/>
        <w:rPr>
          <w:sz w:val="24"/>
          <w:szCs w:val="24"/>
        </w:rPr>
      </w:pPr>
      <w:r w:rsidRPr="00482C40">
        <w:rPr>
          <w:sz w:val="24"/>
          <w:szCs w:val="24"/>
        </w:rPr>
        <w:t>If Company materially limits its product offerings to certain proprietary or other limited menus of products or third-party arrangements, its limited menu does not justify a product recommendation that is not in the customer's best interest.</w:t>
      </w:r>
    </w:p>
    <w:p w14:paraId="09FCC7D6" w14:textId="77777777" w:rsidR="00E32682" w:rsidRPr="00482C40" w:rsidRDefault="00E32682" w:rsidP="00E32682"/>
    <w:p w14:paraId="107FF009" w14:textId="6A1B6369" w:rsidR="00E32682" w:rsidRPr="00482C40" w:rsidRDefault="00E32682" w:rsidP="009E7DFA">
      <w:pPr>
        <w:pStyle w:val="Heading3"/>
      </w:pPr>
      <w:r w:rsidRPr="00482C40">
        <w:t>5.7.</w:t>
      </w:r>
      <w:r w:rsidR="00347924" w:rsidRPr="00482C40">
        <w:t>4</w:t>
      </w:r>
      <w:r w:rsidRPr="00482C40">
        <w:t xml:space="preserve"> </w:t>
      </w:r>
      <w:r w:rsidR="009E7DFA" w:rsidRPr="00482C40">
        <w:t>Conflict of Interest Obligation</w:t>
      </w:r>
    </w:p>
    <w:p w14:paraId="3F81D260" w14:textId="3A82CDCE" w:rsidR="009E7DFA" w:rsidRPr="00482C40" w:rsidRDefault="009E7DFA" w:rsidP="009E7DFA">
      <w:pPr>
        <w:ind w:left="270"/>
        <w:rPr>
          <w:sz w:val="24"/>
          <w:szCs w:val="24"/>
        </w:rPr>
      </w:pPr>
      <w:r w:rsidRPr="00482C40">
        <w:rPr>
          <w:sz w:val="24"/>
          <w:szCs w:val="24"/>
        </w:rPr>
        <w:t xml:space="preserve">A conflict of interest is an interest that might incline a BD or an RR - consciously or </w:t>
      </w:r>
      <w:r w:rsidR="00211D39" w:rsidRPr="00482C40">
        <w:rPr>
          <w:sz w:val="24"/>
          <w:szCs w:val="24"/>
        </w:rPr>
        <w:t>sub</w:t>
      </w:r>
      <w:r w:rsidRPr="00482C40">
        <w:rPr>
          <w:sz w:val="24"/>
          <w:szCs w:val="24"/>
        </w:rPr>
        <w:t>consciously - to make a recommendation that is not disinterested. Conflicts may exist between the BD and the retail customer; between the RR and the retail customer; and between the BD and the RR. Additional conflicts may exist between customers (</w:t>
      </w:r>
      <w:r w:rsidRPr="00482C40">
        <w:rPr>
          <w:i/>
          <w:iCs/>
          <w:sz w:val="24"/>
          <w:szCs w:val="24"/>
        </w:rPr>
        <w:t>e.g.,</w:t>
      </w:r>
      <w:r w:rsidRPr="00482C40">
        <w:rPr>
          <w:sz w:val="24"/>
          <w:szCs w:val="24"/>
        </w:rPr>
        <w:t xml:space="preserve"> IPO allocations or proprietary research or advice among different types of customers).</w:t>
      </w:r>
    </w:p>
    <w:p w14:paraId="727089C9" w14:textId="77777777" w:rsidR="009E7DFA" w:rsidRPr="00482C40" w:rsidRDefault="009E7DFA" w:rsidP="009E7DFA">
      <w:pPr>
        <w:spacing w:before="100" w:beforeAutospacing="1" w:after="100" w:afterAutospacing="1"/>
        <w:ind w:left="270"/>
        <w:rPr>
          <w:sz w:val="24"/>
          <w:szCs w:val="24"/>
        </w:rPr>
      </w:pPr>
      <w:r w:rsidRPr="00482C40">
        <w:rPr>
          <w:sz w:val="24"/>
          <w:szCs w:val="24"/>
        </w:rPr>
        <w:t>Company has an obligation to avoid or mitigate conflicts of interest where possible and provide disclosure where conflicts may exist.</w:t>
      </w:r>
    </w:p>
    <w:p w14:paraId="6262C6D9" w14:textId="2269699F" w:rsidR="009E7DFA" w:rsidRPr="00482C40" w:rsidRDefault="009E7DFA" w:rsidP="009E7DFA">
      <w:pPr>
        <w:spacing w:before="100" w:beforeAutospacing="1" w:after="100" w:afterAutospacing="1"/>
        <w:ind w:left="270"/>
        <w:rPr>
          <w:sz w:val="24"/>
          <w:szCs w:val="24"/>
        </w:rPr>
      </w:pPr>
      <w:r w:rsidRPr="00482C40">
        <w:rPr>
          <w:sz w:val="24"/>
          <w:szCs w:val="24"/>
        </w:rPr>
        <w:t>Company will identify conflicts and, where appropriate, identify material limitations placed on the investment product or strategy and any conflicts associated with such limitations (</w:t>
      </w:r>
      <w:r w:rsidRPr="00482C40">
        <w:rPr>
          <w:i/>
          <w:iCs/>
          <w:sz w:val="24"/>
          <w:szCs w:val="24"/>
        </w:rPr>
        <w:t>e.g.,</w:t>
      </w:r>
      <w:r w:rsidRPr="00482C40">
        <w:rPr>
          <w:sz w:val="24"/>
          <w:szCs w:val="24"/>
        </w:rPr>
        <w:t xml:space="preserve"> limited product menu, proprietary products only, </w:t>
      </w:r>
      <w:r w:rsidRPr="00482C40">
        <w:rPr>
          <w:i/>
          <w:iCs/>
          <w:sz w:val="24"/>
          <w:szCs w:val="24"/>
        </w:rPr>
        <w:t>etc.</w:t>
      </w:r>
      <w:r w:rsidRPr="00482C40">
        <w:rPr>
          <w:sz w:val="24"/>
          <w:szCs w:val="24"/>
        </w:rPr>
        <w:t>) and make necessary disclosures.</w:t>
      </w:r>
      <w:r w:rsidR="00211D39" w:rsidRPr="00482C40">
        <w:rPr>
          <w:sz w:val="24"/>
          <w:szCs w:val="24"/>
        </w:rPr>
        <w:t xml:space="preserve">  In addition, the Annual Regulatory Checklist will also help to detect any unreported conflicts.</w:t>
      </w:r>
    </w:p>
    <w:p w14:paraId="00C57030" w14:textId="1D4C29D0" w:rsidR="00903EE5" w:rsidRPr="00482C40" w:rsidRDefault="00903EE5" w:rsidP="009E7DFA">
      <w:pPr>
        <w:ind w:left="274"/>
        <w:rPr>
          <w:sz w:val="24"/>
          <w:szCs w:val="24"/>
        </w:rPr>
      </w:pPr>
      <w:r w:rsidRPr="00482C40">
        <w:rPr>
          <w:sz w:val="24"/>
          <w:szCs w:val="24"/>
        </w:rPr>
        <w:t>Depending on a product’s complexity, a</w:t>
      </w:r>
      <w:r w:rsidR="00BF75BD" w:rsidRPr="00482C40">
        <w:rPr>
          <w:sz w:val="24"/>
          <w:szCs w:val="24"/>
        </w:rPr>
        <w:t>n enhanced</w:t>
      </w:r>
      <w:r w:rsidRPr="00482C40">
        <w:rPr>
          <w:sz w:val="24"/>
          <w:szCs w:val="24"/>
        </w:rPr>
        <w:t xml:space="preserve"> product review process may serve in identifying material limitations</w:t>
      </w:r>
      <w:r w:rsidR="003E2A2B" w:rsidRPr="00482C40">
        <w:rPr>
          <w:sz w:val="24"/>
          <w:szCs w:val="24"/>
        </w:rPr>
        <w:t xml:space="preserve"> or</w:t>
      </w:r>
      <w:r w:rsidRPr="00482C40">
        <w:rPr>
          <w:sz w:val="24"/>
          <w:szCs w:val="24"/>
        </w:rPr>
        <w:t xml:space="preserve"> conflicts of interest</w:t>
      </w:r>
      <w:r w:rsidR="003E2A2B" w:rsidRPr="00482C40">
        <w:rPr>
          <w:sz w:val="24"/>
          <w:szCs w:val="24"/>
        </w:rPr>
        <w:t xml:space="preserve">.  Company could </w:t>
      </w:r>
      <w:r w:rsidRPr="00482C40">
        <w:rPr>
          <w:sz w:val="24"/>
          <w:szCs w:val="24"/>
        </w:rPr>
        <w:t>either declin</w:t>
      </w:r>
      <w:r w:rsidR="003E2A2B" w:rsidRPr="00482C40">
        <w:rPr>
          <w:sz w:val="24"/>
          <w:szCs w:val="24"/>
        </w:rPr>
        <w:t>e</w:t>
      </w:r>
      <w:r w:rsidRPr="00482C40">
        <w:rPr>
          <w:sz w:val="24"/>
          <w:szCs w:val="24"/>
        </w:rPr>
        <w:t xml:space="preserve"> to recommend the product or </w:t>
      </w:r>
      <w:r w:rsidR="003E2A2B" w:rsidRPr="00482C40">
        <w:rPr>
          <w:sz w:val="24"/>
          <w:szCs w:val="24"/>
        </w:rPr>
        <w:t>offer</w:t>
      </w:r>
      <w:r w:rsidRPr="00482C40">
        <w:rPr>
          <w:sz w:val="24"/>
          <w:szCs w:val="24"/>
        </w:rPr>
        <w:t xml:space="preserve"> further disclosures when a conflict cannot be mitigated. </w:t>
      </w:r>
    </w:p>
    <w:p w14:paraId="02736327" w14:textId="6B2B8CCC" w:rsidR="009E7DFA" w:rsidRPr="00482C40" w:rsidRDefault="009E7DFA" w:rsidP="009E7DFA">
      <w:pPr>
        <w:ind w:left="274"/>
        <w:rPr>
          <w:sz w:val="24"/>
          <w:szCs w:val="24"/>
        </w:rPr>
      </w:pPr>
      <w:r w:rsidRPr="00482C40">
        <w:rPr>
          <w:sz w:val="24"/>
          <w:szCs w:val="24"/>
        </w:rPr>
        <w:t xml:space="preserve">Incentive programs (whether provided by Company or a third party) such as sales contests, sales quotas, bonuses, non-cash compensation, </w:t>
      </w:r>
      <w:r w:rsidRPr="00482C40">
        <w:rPr>
          <w:i/>
          <w:iCs/>
          <w:sz w:val="24"/>
          <w:szCs w:val="24"/>
        </w:rPr>
        <w:t>etc.,</w:t>
      </w:r>
      <w:r w:rsidRPr="00482C40">
        <w:rPr>
          <w:sz w:val="24"/>
          <w:szCs w:val="24"/>
        </w:rPr>
        <w:t xml:space="preserve"> within a limited period of time are prohibited if they are based on:</w:t>
      </w:r>
    </w:p>
    <w:p w14:paraId="46E642F9" w14:textId="77777777" w:rsidR="009E7DFA" w:rsidRPr="00482C40" w:rsidRDefault="009E7DFA" w:rsidP="009E7DFA">
      <w:pPr>
        <w:ind w:left="274"/>
        <w:rPr>
          <w:sz w:val="14"/>
          <w:szCs w:val="14"/>
        </w:rPr>
      </w:pPr>
    </w:p>
    <w:p w14:paraId="1FAF8D5C" w14:textId="77777777" w:rsidR="009E7DFA" w:rsidRPr="00482C40" w:rsidRDefault="009E7DFA" w:rsidP="0005402C">
      <w:pPr>
        <w:numPr>
          <w:ilvl w:val="0"/>
          <w:numId w:val="364"/>
        </w:numPr>
        <w:tabs>
          <w:tab w:val="clear" w:pos="720"/>
          <w:tab w:val="num" w:pos="810"/>
        </w:tabs>
        <w:ind w:left="810" w:hanging="270"/>
        <w:rPr>
          <w:sz w:val="24"/>
          <w:szCs w:val="24"/>
        </w:rPr>
      </w:pPr>
      <w:r w:rsidRPr="00482C40">
        <w:rPr>
          <w:sz w:val="24"/>
          <w:szCs w:val="24"/>
        </w:rPr>
        <w:t>a specific product; or</w:t>
      </w:r>
    </w:p>
    <w:p w14:paraId="2CCED320" w14:textId="6F1A0944" w:rsidR="009E7DFA" w:rsidRPr="00482C40" w:rsidRDefault="009E7DFA" w:rsidP="0005402C">
      <w:pPr>
        <w:numPr>
          <w:ilvl w:val="0"/>
          <w:numId w:val="364"/>
        </w:numPr>
        <w:tabs>
          <w:tab w:val="clear" w:pos="720"/>
          <w:tab w:val="num" w:pos="810"/>
        </w:tabs>
        <w:spacing w:before="100" w:beforeAutospacing="1" w:after="100" w:afterAutospacing="1"/>
        <w:ind w:left="810" w:hanging="270"/>
        <w:rPr>
          <w:sz w:val="24"/>
          <w:szCs w:val="24"/>
        </w:rPr>
      </w:pPr>
      <w:r w:rsidRPr="00482C40">
        <w:rPr>
          <w:sz w:val="24"/>
          <w:szCs w:val="24"/>
        </w:rPr>
        <w:t>types of securities.</w:t>
      </w:r>
    </w:p>
    <w:p w14:paraId="54E27621" w14:textId="69112F0E" w:rsidR="00370E97" w:rsidRPr="00482C40" w:rsidRDefault="00370E97" w:rsidP="00370E97">
      <w:pPr>
        <w:spacing w:before="100" w:beforeAutospacing="1" w:after="100" w:afterAutospacing="1"/>
        <w:ind w:left="270"/>
        <w:rPr>
          <w:sz w:val="24"/>
          <w:szCs w:val="24"/>
        </w:rPr>
      </w:pPr>
      <w:r w:rsidRPr="00482C40">
        <w:rPr>
          <w:sz w:val="24"/>
          <w:szCs w:val="24"/>
        </w:rPr>
        <w:t xml:space="preserve">This requirement is </w:t>
      </w:r>
      <w:r w:rsidR="005155F7" w:rsidRPr="00482C40">
        <w:rPr>
          <w:sz w:val="24"/>
          <w:szCs w:val="24"/>
        </w:rPr>
        <w:t xml:space="preserve">not </w:t>
      </w:r>
      <w:r w:rsidRPr="00482C40">
        <w:rPr>
          <w:sz w:val="24"/>
          <w:szCs w:val="24"/>
        </w:rPr>
        <w:t xml:space="preserve">intended to prohibit training or education meetings, provided they are not based on </w:t>
      </w:r>
      <w:r w:rsidR="006D64D3" w:rsidRPr="00482C40">
        <w:rPr>
          <w:sz w:val="24"/>
          <w:szCs w:val="24"/>
        </w:rPr>
        <w:t>the sale of specific securities within a limited period o</w:t>
      </w:r>
      <w:r w:rsidR="005155F7" w:rsidRPr="00482C40">
        <w:rPr>
          <w:sz w:val="24"/>
          <w:szCs w:val="24"/>
        </w:rPr>
        <w:t>f</w:t>
      </w:r>
      <w:r w:rsidR="006D64D3" w:rsidRPr="00482C40">
        <w:rPr>
          <w:sz w:val="24"/>
          <w:szCs w:val="24"/>
        </w:rPr>
        <w:t xml:space="preserve"> time.</w:t>
      </w:r>
    </w:p>
    <w:p w14:paraId="15862ECC" w14:textId="52B64767" w:rsidR="009E7DFA" w:rsidRPr="00482C40" w:rsidRDefault="009E7DFA" w:rsidP="009E7DFA">
      <w:pPr>
        <w:ind w:left="270"/>
        <w:rPr>
          <w:sz w:val="24"/>
          <w:szCs w:val="24"/>
        </w:rPr>
      </w:pPr>
      <w:r w:rsidRPr="00482C40">
        <w:rPr>
          <w:sz w:val="24"/>
          <w:szCs w:val="24"/>
        </w:rPr>
        <w:t>RRs have an obligation to avoid conflicts of interest when dealing with retail customers; some examples are listed below.</w:t>
      </w:r>
    </w:p>
    <w:p w14:paraId="35DE1130" w14:textId="77777777" w:rsidR="009E7DFA" w:rsidRPr="00482C40" w:rsidRDefault="009E7DFA" w:rsidP="009E7DFA">
      <w:pPr>
        <w:ind w:left="270"/>
        <w:rPr>
          <w:sz w:val="16"/>
          <w:szCs w:val="16"/>
        </w:rPr>
      </w:pPr>
    </w:p>
    <w:p w14:paraId="57BDF61D" w14:textId="77777777" w:rsidR="009E7DFA" w:rsidRPr="00482C40" w:rsidRDefault="009E7DFA" w:rsidP="0005402C">
      <w:pPr>
        <w:numPr>
          <w:ilvl w:val="0"/>
          <w:numId w:val="365"/>
        </w:numPr>
        <w:tabs>
          <w:tab w:val="clear" w:pos="720"/>
          <w:tab w:val="num" w:pos="900"/>
        </w:tabs>
        <w:ind w:left="810" w:hanging="270"/>
        <w:rPr>
          <w:sz w:val="24"/>
          <w:szCs w:val="24"/>
        </w:rPr>
      </w:pPr>
      <w:r w:rsidRPr="00482C40">
        <w:rPr>
          <w:sz w:val="24"/>
          <w:szCs w:val="24"/>
        </w:rPr>
        <w:t>Recommending proprietary products because they result in higher compensation without considering the customer's needs and alternative investments.</w:t>
      </w:r>
    </w:p>
    <w:p w14:paraId="2D97A49B" w14:textId="77777777" w:rsidR="009E7DFA" w:rsidRPr="00482C40" w:rsidRDefault="009E7DFA" w:rsidP="0005402C">
      <w:pPr>
        <w:numPr>
          <w:ilvl w:val="0"/>
          <w:numId w:val="365"/>
        </w:numPr>
        <w:tabs>
          <w:tab w:val="clear" w:pos="720"/>
          <w:tab w:val="num" w:pos="900"/>
        </w:tabs>
        <w:spacing w:before="100" w:beforeAutospacing="1" w:after="100" w:afterAutospacing="1"/>
        <w:ind w:left="810" w:hanging="270"/>
        <w:rPr>
          <w:sz w:val="24"/>
          <w:szCs w:val="24"/>
        </w:rPr>
      </w:pPr>
      <w:r w:rsidRPr="00482C40">
        <w:rPr>
          <w:sz w:val="24"/>
          <w:szCs w:val="24"/>
        </w:rPr>
        <w:lastRenderedPageBreak/>
        <w:t>Recommending other products or services based on compensation/incentives from Company or third parties.</w:t>
      </w:r>
    </w:p>
    <w:p w14:paraId="37F2C4C8" w14:textId="1827D2BA" w:rsidR="009E7DFA" w:rsidRPr="00482C40" w:rsidRDefault="00843E46" w:rsidP="00843E46">
      <w:pPr>
        <w:pStyle w:val="Heading3"/>
      </w:pPr>
      <w:r w:rsidRPr="00482C40">
        <w:t>5.7.</w:t>
      </w:r>
      <w:r w:rsidR="00347924" w:rsidRPr="00482C40">
        <w:t>5</w:t>
      </w:r>
      <w:r w:rsidRPr="00482C40">
        <w:t xml:space="preserve"> Compliance Obligation</w:t>
      </w:r>
    </w:p>
    <w:p w14:paraId="728812E5" w14:textId="0CC209E6" w:rsidR="00843E46" w:rsidRPr="00482C40" w:rsidRDefault="00843E46" w:rsidP="00843E46">
      <w:pPr>
        <w:ind w:left="270"/>
        <w:rPr>
          <w:sz w:val="24"/>
          <w:szCs w:val="24"/>
        </w:rPr>
      </w:pPr>
      <w:r w:rsidRPr="00482C40">
        <w:rPr>
          <w:sz w:val="24"/>
          <w:szCs w:val="24"/>
        </w:rPr>
        <w:t xml:space="preserve">Company </w:t>
      </w:r>
      <w:r w:rsidR="00444DC2" w:rsidRPr="00482C40">
        <w:rPr>
          <w:sz w:val="24"/>
          <w:szCs w:val="24"/>
        </w:rPr>
        <w:t>has</w:t>
      </w:r>
      <w:r w:rsidR="00117D25" w:rsidRPr="00482C40">
        <w:rPr>
          <w:sz w:val="24"/>
          <w:szCs w:val="24"/>
        </w:rPr>
        <w:t xml:space="preserve"> adopt</w:t>
      </w:r>
      <w:r w:rsidR="00444DC2" w:rsidRPr="00482C40">
        <w:rPr>
          <w:sz w:val="24"/>
          <w:szCs w:val="24"/>
        </w:rPr>
        <w:t>ed</w:t>
      </w:r>
      <w:r w:rsidR="00117D25" w:rsidRPr="00482C40">
        <w:rPr>
          <w:sz w:val="24"/>
          <w:szCs w:val="24"/>
        </w:rPr>
        <w:t xml:space="preserve"> policies and procedures </w:t>
      </w:r>
      <w:r w:rsidR="00444DC2" w:rsidRPr="00482C40">
        <w:rPr>
          <w:sz w:val="24"/>
          <w:szCs w:val="24"/>
        </w:rPr>
        <w:t xml:space="preserve">reasonably designed </w:t>
      </w:r>
      <w:r w:rsidR="00117D25" w:rsidRPr="00482C40">
        <w:rPr>
          <w:sz w:val="24"/>
          <w:szCs w:val="24"/>
        </w:rPr>
        <w:t xml:space="preserve">to </w:t>
      </w:r>
      <w:r w:rsidR="00444DC2" w:rsidRPr="00482C40">
        <w:rPr>
          <w:sz w:val="24"/>
          <w:szCs w:val="24"/>
        </w:rPr>
        <w:t xml:space="preserve">achieve compliance with </w:t>
      </w:r>
      <w:r w:rsidR="00117D25" w:rsidRPr="00482C40">
        <w:rPr>
          <w:sz w:val="24"/>
          <w:szCs w:val="24"/>
        </w:rPr>
        <w:t>Reg BI</w:t>
      </w:r>
      <w:r w:rsidR="00AB1408" w:rsidRPr="00482C40">
        <w:rPr>
          <w:sz w:val="24"/>
          <w:szCs w:val="24"/>
        </w:rPr>
        <w:t>.</w:t>
      </w:r>
      <w:r w:rsidR="00444DC2" w:rsidRPr="00482C40">
        <w:rPr>
          <w:sz w:val="24"/>
          <w:szCs w:val="24"/>
        </w:rPr>
        <w:t xml:space="preserve"> </w:t>
      </w:r>
      <w:r w:rsidR="00AB1408" w:rsidRPr="00482C40">
        <w:rPr>
          <w:sz w:val="24"/>
          <w:szCs w:val="24"/>
        </w:rPr>
        <w:t xml:space="preserve"> </w:t>
      </w:r>
      <w:r w:rsidRPr="00482C40">
        <w:rPr>
          <w:sz w:val="24"/>
          <w:szCs w:val="24"/>
        </w:rPr>
        <w:t xml:space="preserve">It is the responsibility of RRs to be familiar with these requirements and act in the customer's best interest at all times. </w:t>
      </w:r>
      <w:r w:rsidR="007D5415" w:rsidRPr="00482C40">
        <w:rPr>
          <w:sz w:val="24"/>
          <w:szCs w:val="24"/>
        </w:rPr>
        <w:t xml:space="preserve">In addition, the </w:t>
      </w:r>
      <w:r w:rsidR="0053638B" w:rsidRPr="00482C40">
        <w:rPr>
          <w:sz w:val="24"/>
          <w:szCs w:val="24"/>
        </w:rPr>
        <w:t>remaining</w:t>
      </w:r>
      <w:r w:rsidR="007D5415" w:rsidRPr="00482C40">
        <w:rPr>
          <w:sz w:val="24"/>
          <w:szCs w:val="24"/>
        </w:rPr>
        <w:t xml:space="preserve"> sections of 5.7  address further Compliance Obligations of the regulation.  </w:t>
      </w:r>
      <w:r w:rsidRPr="00482C40">
        <w:rPr>
          <w:sz w:val="24"/>
          <w:szCs w:val="24"/>
        </w:rPr>
        <w:t>Questions should be referred to Compliance.</w:t>
      </w:r>
    </w:p>
    <w:p w14:paraId="66F6E4F4" w14:textId="28BA5050" w:rsidR="00BB2787" w:rsidRPr="00482C40" w:rsidRDefault="00BB2787" w:rsidP="00843E46">
      <w:pPr>
        <w:ind w:left="270"/>
        <w:rPr>
          <w:sz w:val="24"/>
          <w:szCs w:val="24"/>
        </w:rPr>
      </w:pPr>
    </w:p>
    <w:p w14:paraId="0EA7E794" w14:textId="32E705BF" w:rsidR="00BB2787" w:rsidRPr="00482C40" w:rsidRDefault="00BB2787" w:rsidP="001A587F">
      <w:pPr>
        <w:pStyle w:val="Heading4"/>
      </w:pPr>
      <w:r w:rsidRPr="00482C40">
        <w:t>5.7.5.1 Controls</w:t>
      </w:r>
    </w:p>
    <w:p w14:paraId="0238CC24" w14:textId="77777777" w:rsidR="00BB2787" w:rsidRPr="00482C40" w:rsidRDefault="00BB2787" w:rsidP="00BB2787">
      <w:pPr>
        <w:ind w:left="360"/>
        <w:rPr>
          <w:sz w:val="24"/>
          <w:szCs w:val="24"/>
        </w:rPr>
      </w:pPr>
      <w:r w:rsidRPr="00482C40">
        <w:rPr>
          <w:sz w:val="24"/>
          <w:szCs w:val="24"/>
        </w:rPr>
        <w:t>Company conducts reviews of the following:</w:t>
      </w:r>
    </w:p>
    <w:p w14:paraId="63D43219" w14:textId="28C8E081" w:rsidR="00BB2787" w:rsidRPr="00482C40" w:rsidRDefault="00BB2787" w:rsidP="0005402C">
      <w:pPr>
        <w:pStyle w:val="ListParagraph"/>
        <w:numPr>
          <w:ilvl w:val="0"/>
          <w:numId w:val="366"/>
        </w:numPr>
        <w:ind w:left="900" w:hanging="270"/>
        <w:rPr>
          <w:sz w:val="24"/>
          <w:szCs w:val="24"/>
        </w:rPr>
      </w:pPr>
      <w:r w:rsidRPr="00482C40">
        <w:rPr>
          <w:b/>
          <w:bCs/>
          <w:sz w:val="24"/>
          <w:szCs w:val="24"/>
        </w:rPr>
        <w:t>New Accounts</w:t>
      </w:r>
      <w:r w:rsidRPr="00482C40">
        <w:rPr>
          <w:sz w:val="24"/>
          <w:szCs w:val="24"/>
        </w:rPr>
        <w:t xml:space="preserve"> – each account is reviewed and approved by a principal and Compliance </w:t>
      </w:r>
      <w:r w:rsidR="00FF34B9" w:rsidRPr="00482C40">
        <w:rPr>
          <w:sz w:val="24"/>
          <w:szCs w:val="24"/>
        </w:rPr>
        <w:t>which includes product selection verses the investment profile.</w:t>
      </w:r>
      <w:r w:rsidRPr="00482C40">
        <w:rPr>
          <w:sz w:val="24"/>
          <w:szCs w:val="24"/>
        </w:rPr>
        <w:t xml:space="preserve"> and conducts an annual testing and internal review for policies and procedures.  </w:t>
      </w:r>
    </w:p>
    <w:p w14:paraId="06B4468E" w14:textId="17FAE316" w:rsidR="00BB2787" w:rsidRPr="00482C40" w:rsidRDefault="00BB2787" w:rsidP="0005402C">
      <w:pPr>
        <w:pStyle w:val="ListParagraph"/>
        <w:numPr>
          <w:ilvl w:val="0"/>
          <w:numId w:val="366"/>
        </w:numPr>
        <w:ind w:left="900" w:hanging="270"/>
        <w:rPr>
          <w:sz w:val="24"/>
          <w:szCs w:val="24"/>
        </w:rPr>
      </w:pPr>
      <w:r w:rsidRPr="00482C40">
        <w:rPr>
          <w:b/>
          <w:bCs/>
          <w:sz w:val="24"/>
          <w:szCs w:val="24"/>
        </w:rPr>
        <w:t>Trades</w:t>
      </w:r>
      <w:r w:rsidRPr="00482C40">
        <w:rPr>
          <w:sz w:val="24"/>
          <w:szCs w:val="24"/>
        </w:rPr>
        <w:t xml:space="preserve"> – a Principal and Compliance review trades on a regular basis as well as </w:t>
      </w:r>
      <w:r w:rsidR="00505768" w:rsidRPr="00482C40">
        <w:rPr>
          <w:sz w:val="24"/>
          <w:szCs w:val="24"/>
        </w:rPr>
        <w:t xml:space="preserve">Compliance reviews </w:t>
      </w:r>
      <w:r w:rsidRPr="00482C40">
        <w:rPr>
          <w:sz w:val="24"/>
          <w:szCs w:val="24"/>
        </w:rPr>
        <w:t xml:space="preserve">monitoring reports </w:t>
      </w:r>
      <w:r w:rsidR="00505768" w:rsidRPr="00482C40">
        <w:rPr>
          <w:sz w:val="24"/>
          <w:szCs w:val="24"/>
        </w:rPr>
        <w:t xml:space="preserve">from the clearing firm </w:t>
      </w:r>
      <w:r w:rsidRPr="00482C40">
        <w:rPr>
          <w:sz w:val="24"/>
          <w:szCs w:val="24"/>
        </w:rPr>
        <w:t xml:space="preserve">that include excessive trading. </w:t>
      </w:r>
    </w:p>
    <w:p w14:paraId="0CB1858F" w14:textId="1024BF3C" w:rsidR="00FF34B9" w:rsidRPr="00482C40" w:rsidRDefault="00FF34B9" w:rsidP="0005402C">
      <w:pPr>
        <w:pStyle w:val="ListParagraph"/>
        <w:numPr>
          <w:ilvl w:val="0"/>
          <w:numId w:val="366"/>
        </w:numPr>
        <w:ind w:left="900" w:hanging="270"/>
        <w:rPr>
          <w:sz w:val="24"/>
          <w:szCs w:val="24"/>
        </w:rPr>
      </w:pPr>
      <w:r w:rsidRPr="00482C40">
        <w:rPr>
          <w:b/>
          <w:bCs/>
          <w:sz w:val="24"/>
          <w:szCs w:val="24"/>
        </w:rPr>
        <w:t xml:space="preserve">Policies and Procedures </w:t>
      </w:r>
      <w:r w:rsidR="005153C5" w:rsidRPr="00482C40">
        <w:rPr>
          <w:sz w:val="24"/>
          <w:szCs w:val="24"/>
        </w:rPr>
        <w:t>–</w:t>
      </w:r>
      <w:r w:rsidRPr="00482C40">
        <w:rPr>
          <w:sz w:val="24"/>
          <w:szCs w:val="24"/>
        </w:rPr>
        <w:t xml:space="preserve"> </w:t>
      </w:r>
      <w:r w:rsidR="00AB1408" w:rsidRPr="00482C40">
        <w:rPr>
          <w:sz w:val="24"/>
          <w:szCs w:val="24"/>
        </w:rPr>
        <w:t>Company reviews and updates its policies and procedures on an ongoing basis to help ensure compliance with regulations.</w:t>
      </w:r>
      <w:r w:rsidRPr="00482C40">
        <w:rPr>
          <w:sz w:val="24"/>
          <w:szCs w:val="24"/>
        </w:rPr>
        <w:t xml:space="preserve"> </w:t>
      </w:r>
      <w:r w:rsidR="00AB1408" w:rsidRPr="00482C40">
        <w:rPr>
          <w:sz w:val="24"/>
          <w:szCs w:val="24"/>
        </w:rPr>
        <w:t>Form CRS will a</w:t>
      </w:r>
    </w:p>
    <w:p w14:paraId="5FCC3A9A" w14:textId="44FDB4E2" w:rsidR="00FF34B9" w:rsidRPr="00482C40" w:rsidRDefault="00FF34B9" w:rsidP="0005402C">
      <w:pPr>
        <w:pStyle w:val="ListParagraph"/>
        <w:numPr>
          <w:ilvl w:val="0"/>
          <w:numId w:val="366"/>
        </w:numPr>
        <w:ind w:left="900" w:hanging="270"/>
        <w:rPr>
          <w:sz w:val="24"/>
          <w:szCs w:val="24"/>
        </w:rPr>
      </w:pPr>
      <w:r w:rsidRPr="00482C40">
        <w:rPr>
          <w:b/>
          <w:bCs/>
          <w:sz w:val="24"/>
          <w:szCs w:val="24"/>
        </w:rPr>
        <w:t xml:space="preserve">Annual Regulatory Checklist </w:t>
      </w:r>
      <w:r w:rsidR="005153C5" w:rsidRPr="00482C40">
        <w:rPr>
          <w:sz w:val="24"/>
          <w:szCs w:val="24"/>
        </w:rPr>
        <w:t>–</w:t>
      </w:r>
      <w:r w:rsidRPr="00482C40">
        <w:rPr>
          <w:sz w:val="24"/>
          <w:szCs w:val="24"/>
        </w:rPr>
        <w:t xml:space="preserve"> </w:t>
      </w:r>
      <w:r w:rsidR="00AB1408" w:rsidRPr="00482C40">
        <w:rPr>
          <w:sz w:val="24"/>
          <w:szCs w:val="24"/>
        </w:rPr>
        <w:t>Company requires an annual regulatory checklist to ascertain any conflicts of interest that have not been reported to Company or that are forthcoming.</w:t>
      </w:r>
    </w:p>
    <w:p w14:paraId="52D63940" w14:textId="333CD338" w:rsidR="005153C5" w:rsidRPr="00482C40" w:rsidRDefault="005153C5" w:rsidP="0005402C">
      <w:pPr>
        <w:pStyle w:val="ListParagraph"/>
        <w:numPr>
          <w:ilvl w:val="0"/>
          <w:numId w:val="366"/>
        </w:numPr>
        <w:ind w:left="900" w:hanging="270"/>
        <w:rPr>
          <w:sz w:val="24"/>
          <w:szCs w:val="24"/>
        </w:rPr>
      </w:pPr>
      <w:r w:rsidRPr="00482C40">
        <w:rPr>
          <w:b/>
          <w:bCs/>
          <w:sz w:val="24"/>
          <w:szCs w:val="24"/>
        </w:rPr>
        <w:t>Internal Review</w:t>
      </w:r>
      <w:r w:rsidRPr="00482C40">
        <w:rPr>
          <w:sz w:val="24"/>
          <w:szCs w:val="24"/>
        </w:rPr>
        <w:t xml:space="preserve"> – Compliance conducts an annual review and testing of policies and procedures </w:t>
      </w:r>
      <w:r w:rsidR="00AB1408" w:rsidRPr="00482C40">
        <w:rPr>
          <w:sz w:val="24"/>
          <w:szCs w:val="24"/>
        </w:rPr>
        <w:t>which will include compliance with Reg BI.</w:t>
      </w:r>
    </w:p>
    <w:p w14:paraId="3F7FD1ED" w14:textId="36B2B6BE" w:rsidR="00AB1408" w:rsidRPr="00482C40" w:rsidRDefault="00AB1408" w:rsidP="0005402C">
      <w:pPr>
        <w:pStyle w:val="ListParagraph"/>
        <w:numPr>
          <w:ilvl w:val="0"/>
          <w:numId w:val="366"/>
        </w:numPr>
        <w:ind w:left="900" w:hanging="270"/>
        <w:rPr>
          <w:sz w:val="24"/>
          <w:szCs w:val="24"/>
        </w:rPr>
      </w:pPr>
      <w:r w:rsidRPr="00482C40">
        <w:rPr>
          <w:b/>
          <w:bCs/>
          <w:sz w:val="24"/>
          <w:szCs w:val="24"/>
        </w:rPr>
        <w:t xml:space="preserve">Form CRS </w:t>
      </w:r>
      <w:r w:rsidRPr="00482C40">
        <w:rPr>
          <w:sz w:val="24"/>
          <w:szCs w:val="24"/>
        </w:rPr>
        <w:t>- Form CRS will also be reviewed at least on an annual basis to ensure information is current or if any material amendments may be required.</w:t>
      </w:r>
    </w:p>
    <w:p w14:paraId="38B5D632" w14:textId="075CC9BA" w:rsidR="00BB2787" w:rsidRPr="00482C40" w:rsidRDefault="00BB2787" w:rsidP="00843E46">
      <w:pPr>
        <w:ind w:left="270"/>
        <w:rPr>
          <w:sz w:val="24"/>
          <w:szCs w:val="24"/>
        </w:rPr>
      </w:pPr>
    </w:p>
    <w:p w14:paraId="0DB3908F" w14:textId="6CDBE376" w:rsidR="00AB1408" w:rsidRPr="00482C40" w:rsidRDefault="00AB1408" w:rsidP="001A587F">
      <w:pPr>
        <w:pStyle w:val="Heading4"/>
      </w:pPr>
      <w:r w:rsidRPr="00482C40">
        <w:t>5.7.5.2 Non-Compliance</w:t>
      </w:r>
    </w:p>
    <w:p w14:paraId="39C77C61" w14:textId="6EFDB86C" w:rsidR="00B477FD" w:rsidRPr="002A440B" w:rsidRDefault="00B477FD" w:rsidP="00B477FD">
      <w:pPr>
        <w:ind w:left="360"/>
        <w:rPr>
          <w:color w:val="000000" w:themeColor="text1"/>
          <w:sz w:val="24"/>
          <w:szCs w:val="24"/>
        </w:rPr>
      </w:pPr>
      <w:r w:rsidRPr="00482C40">
        <w:rPr>
          <w:sz w:val="24"/>
          <w:szCs w:val="24"/>
        </w:rPr>
        <w:t>I</w:t>
      </w:r>
      <w:r w:rsidR="00E77456" w:rsidRPr="00482C40">
        <w:rPr>
          <w:sz w:val="24"/>
          <w:szCs w:val="24"/>
        </w:rPr>
        <w:t>f</w:t>
      </w:r>
      <w:r w:rsidRPr="00482C40">
        <w:rPr>
          <w:sz w:val="24"/>
          <w:szCs w:val="24"/>
        </w:rPr>
        <w:t xml:space="preserve"> Company becomes aware o</w:t>
      </w:r>
      <w:r w:rsidR="00E77456" w:rsidRPr="00482C40">
        <w:rPr>
          <w:sz w:val="24"/>
          <w:szCs w:val="24"/>
        </w:rPr>
        <w:t>f</w:t>
      </w:r>
      <w:r w:rsidRPr="00482C40">
        <w:rPr>
          <w:sz w:val="24"/>
          <w:szCs w:val="24"/>
        </w:rPr>
        <w:t xml:space="preserve"> non-compliance with </w:t>
      </w:r>
      <w:r w:rsidR="00E77456" w:rsidRPr="00482C40">
        <w:rPr>
          <w:sz w:val="24"/>
          <w:szCs w:val="24"/>
        </w:rPr>
        <w:t xml:space="preserve">a part of the </w:t>
      </w:r>
      <w:r w:rsidRPr="00482C40">
        <w:rPr>
          <w:sz w:val="24"/>
          <w:szCs w:val="24"/>
        </w:rPr>
        <w:t>regulation</w:t>
      </w:r>
      <w:r w:rsidR="00657B5F">
        <w:rPr>
          <w:sz w:val="24"/>
          <w:szCs w:val="24"/>
        </w:rPr>
        <w:t xml:space="preserve"> </w:t>
      </w:r>
      <w:r w:rsidR="00657B5F" w:rsidRPr="002A440B">
        <w:rPr>
          <w:color w:val="000000" w:themeColor="text1"/>
          <w:sz w:val="24"/>
          <w:szCs w:val="24"/>
        </w:rPr>
        <w:t>(or any other regulation)</w:t>
      </w:r>
      <w:r w:rsidRPr="002A440B">
        <w:rPr>
          <w:color w:val="000000" w:themeColor="text1"/>
          <w:sz w:val="24"/>
          <w:szCs w:val="24"/>
        </w:rPr>
        <w:t>, Compliance and/or a principal will review and asses what action(s) may need to be taken to address the non-compliance or for remediation.  This may include</w:t>
      </w:r>
      <w:r w:rsidR="007B3C49" w:rsidRPr="002A440B">
        <w:rPr>
          <w:color w:val="000000" w:themeColor="text1"/>
          <w:sz w:val="24"/>
          <w:szCs w:val="24"/>
        </w:rPr>
        <w:t xml:space="preserve"> some of the following:</w:t>
      </w:r>
    </w:p>
    <w:p w14:paraId="4CFF17B0" w14:textId="5CBF9BC2" w:rsidR="00B477FD" w:rsidRPr="002A440B" w:rsidRDefault="00B477FD" w:rsidP="0005402C">
      <w:pPr>
        <w:pStyle w:val="ListParagraph"/>
        <w:numPr>
          <w:ilvl w:val="0"/>
          <w:numId w:val="367"/>
        </w:numPr>
        <w:ind w:left="900" w:hanging="270"/>
        <w:rPr>
          <w:color w:val="000000" w:themeColor="text1"/>
          <w:sz w:val="24"/>
          <w:szCs w:val="24"/>
        </w:rPr>
      </w:pPr>
      <w:r w:rsidRPr="002A440B">
        <w:rPr>
          <w:color w:val="000000" w:themeColor="text1"/>
          <w:sz w:val="24"/>
          <w:szCs w:val="24"/>
        </w:rPr>
        <w:t>A review of any discovered account and related transactions and take any necessary action</w:t>
      </w:r>
      <w:r w:rsidR="007B3C49" w:rsidRPr="002A440B">
        <w:rPr>
          <w:color w:val="000000" w:themeColor="text1"/>
          <w:sz w:val="24"/>
          <w:szCs w:val="24"/>
        </w:rPr>
        <w:t>s</w:t>
      </w:r>
      <w:r w:rsidRPr="002A440B">
        <w:rPr>
          <w:color w:val="000000" w:themeColor="text1"/>
          <w:sz w:val="24"/>
          <w:szCs w:val="24"/>
        </w:rPr>
        <w:t xml:space="preserve"> with </w:t>
      </w:r>
      <w:r w:rsidR="007B3C49" w:rsidRPr="002A440B">
        <w:rPr>
          <w:color w:val="000000" w:themeColor="text1"/>
          <w:sz w:val="24"/>
          <w:szCs w:val="24"/>
        </w:rPr>
        <w:t>a registered representative or customer to help remediate the issue.</w:t>
      </w:r>
    </w:p>
    <w:p w14:paraId="10C610C0" w14:textId="2D3BA160" w:rsidR="007B3C49" w:rsidRPr="002A440B" w:rsidRDefault="007B3C49" w:rsidP="0005402C">
      <w:pPr>
        <w:pStyle w:val="ListParagraph"/>
        <w:numPr>
          <w:ilvl w:val="0"/>
          <w:numId w:val="367"/>
        </w:numPr>
        <w:ind w:left="900" w:hanging="270"/>
        <w:rPr>
          <w:color w:val="000000" w:themeColor="text1"/>
          <w:sz w:val="24"/>
          <w:szCs w:val="24"/>
        </w:rPr>
      </w:pPr>
      <w:r w:rsidRPr="002A440B">
        <w:rPr>
          <w:color w:val="000000" w:themeColor="text1"/>
          <w:sz w:val="24"/>
          <w:szCs w:val="24"/>
        </w:rPr>
        <w:t>Review and update any gap in policies and procedures and add it to the annual review to ensure future compliance.</w:t>
      </w:r>
    </w:p>
    <w:p w14:paraId="29C0F170" w14:textId="7B3ACA55" w:rsidR="007B3C49" w:rsidRPr="002A440B" w:rsidRDefault="007B3C49" w:rsidP="0005402C">
      <w:pPr>
        <w:pStyle w:val="ListParagraph"/>
        <w:numPr>
          <w:ilvl w:val="0"/>
          <w:numId w:val="367"/>
        </w:numPr>
        <w:ind w:left="900" w:hanging="270"/>
        <w:rPr>
          <w:color w:val="000000" w:themeColor="text1"/>
          <w:sz w:val="24"/>
          <w:szCs w:val="24"/>
        </w:rPr>
      </w:pPr>
      <w:r w:rsidRPr="002A440B">
        <w:rPr>
          <w:color w:val="000000" w:themeColor="text1"/>
          <w:sz w:val="24"/>
          <w:szCs w:val="24"/>
        </w:rPr>
        <w:t>Review and update the Form CRS if any material changes.</w:t>
      </w:r>
    </w:p>
    <w:p w14:paraId="19710C5A" w14:textId="62BF9A4F" w:rsidR="007B3C49" w:rsidRPr="002A440B" w:rsidRDefault="007B3C49" w:rsidP="0005402C">
      <w:pPr>
        <w:pStyle w:val="ListParagraph"/>
        <w:numPr>
          <w:ilvl w:val="0"/>
          <w:numId w:val="367"/>
        </w:numPr>
        <w:ind w:left="900" w:hanging="270"/>
        <w:rPr>
          <w:color w:val="000000" w:themeColor="text1"/>
          <w:sz w:val="24"/>
          <w:szCs w:val="24"/>
        </w:rPr>
      </w:pPr>
      <w:r w:rsidRPr="002A440B">
        <w:rPr>
          <w:color w:val="000000" w:themeColor="text1"/>
          <w:sz w:val="24"/>
          <w:szCs w:val="24"/>
        </w:rPr>
        <w:t>Review and update any items that may need to be added to the annual regulatory checklist to capture that information.</w:t>
      </w:r>
    </w:p>
    <w:p w14:paraId="5656ACF4" w14:textId="2B0F5287" w:rsidR="00AB1408" w:rsidRPr="002A440B" w:rsidRDefault="00AB1408" w:rsidP="00B477FD">
      <w:pPr>
        <w:ind w:left="360"/>
        <w:rPr>
          <w:color w:val="000000" w:themeColor="text1"/>
        </w:rPr>
      </w:pPr>
    </w:p>
    <w:p w14:paraId="05DDD140" w14:textId="0EA17DF1" w:rsidR="00D05EFE" w:rsidRPr="002A440B" w:rsidRDefault="00D05EFE" w:rsidP="00B477FD">
      <w:pPr>
        <w:ind w:left="360"/>
        <w:rPr>
          <w:color w:val="000000" w:themeColor="text1"/>
          <w:sz w:val="24"/>
          <w:szCs w:val="24"/>
          <w:shd w:val="clear" w:color="auto" w:fill="FFFFFF"/>
        </w:rPr>
      </w:pPr>
      <w:r w:rsidRPr="002A440B">
        <w:rPr>
          <w:color w:val="000000" w:themeColor="text1"/>
          <w:sz w:val="24"/>
          <w:szCs w:val="24"/>
          <w:shd w:val="clear" w:color="auto" w:fill="FFFFFF"/>
        </w:rPr>
        <w:t>Subsequently, Morris Monroe will have the ultimate responsibility for approving and ensuring the processing of such action or restitution.</w:t>
      </w:r>
    </w:p>
    <w:p w14:paraId="64693501" w14:textId="77777777" w:rsidR="00D05EFE" w:rsidRPr="002A440B" w:rsidRDefault="00D05EFE" w:rsidP="00B477FD">
      <w:pPr>
        <w:ind w:left="360"/>
        <w:rPr>
          <w:color w:val="000000" w:themeColor="text1"/>
        </w:rPr>
      </w:pPr>
    </w:p>
    <w:p w14:paraId="3D7B9D6C" w14:textId="7DA7138F" w:rsidR="00AB1408" w:rsidRPr="00482C40" w:rsidRDefault="00AB1408" w:rsidP="001A587F">
      <w:pPr>
        <w:pStyle w:val="Heading4"/>
      </w:pPr>
      <w:r w:rsidRPr="00482C40">
        <w:t>5.7.5.3 Training</w:t>
      </w:r>
    </w:p>
    <w:p w14:paraId="6BE65937" w14:textId="6D4340D2" w:rsidR="00AB1408" w:rsidRPr="00482C40" w:rsidRDefault="007B3C49" w:rsidP="007B3C49">
      <w:pPr>
        <w:ind w:left="360"/>
        <w:rPr>
          <w:i/>
          <w:iCs/>
          <w:sz w:val="24"/>
          <w:szCs w:val="24"/>
        </w:rPr>
      </w:pPr>
      <w:r w:rsidRPr="00482C40">
        <w:rPr>
          <w:sz w:val="24"/>
          <w:szCs w:val="24"/>
        </w:rPr>
        <w:t xml:space="preserve">Company conducts at least annual training for its Associated Persons.  This includes the annual compliance meeting, continuing education, and intermittent training on compliance </w:t>
      </w:r>
      <w:r w:rsidRPr="00482C40">
        <w:rPr>
          <w:sz w:val="24"/>
          <w:szCs w:val="24"/>
        </w:rPr>
        <w:lastRenderedPageBreak/>
        <w:t>issues.  Training may be conducted in person, online, telephonically, emailed notices, etc.</w:t>
      </w:r>
      <w:r w:rsidR="00E77456" w:rsidRPr="00482C40">
        <w:rPr>
          <w:sz w:val="24"/>
          <w:szCs w:val="24"/>
        </w:rPr>
        <w:t>; all in effort to ensure compliance with Reg BI and other regulations and Company procedures</w:t>
      </w:r>
      <w:r w:rsidR="007E1E20" w:rsidRPr="00482C40">
        <w:rPr>
          <w:sz w:val="24"/>
          <w:szCs w:val="24"/>
        </w:rPr>
        <w:t xml:space="preserve"> </w:t>
      </w:r>
      <w:r w:rsidR="007E1E20" w:rsidRPr="00482C40">
        <w:rPr>
          <w:i/>
          <w:iCs/>
          <w:sz w:val="24"/>
          <w:szCs w:val="24"/>
        </w:rPr>
        <w:t>(further information in Section 5.7.8).</w:t>
      </w:r>
    </w:p>
    <w:p w14:paraId="02796B7F" w14:textId="77777777" w:rsidR="009E7DFA" w:rsidRPr="00482C40" w:rsidRDefault="009E7DFA" w:rsidP="00843E46"/>
    <w:p w14:paraId="1174BD90" w14:textId="0CD74569" w:rsidR="00481C8F" w:rsidRPr="00482C40" w:rsidRDefault="00481C8F" w:rsidP="00481C8F">
      <w:pPr>
        <w:pStyle w:val="Heading3"/>
      </w:pPr>
      <w:r w:rsidRPr="00482C40">
        <w:t>5.7.</w:t>
      </w:r>
      <w:r w:rsidR="00347924" w:rsidRPr="00482C40">
        <w:t>6</w:t>
      </w:r>
      <w:r w:rsidRPr="00482C40">
        <w:t xml:space="preserve"> Form CRS (Customer Relationship Summary)</w:t>
      </w:r>
    </w:p>
    <w:p w14:paraId="4698EDB7" w14:textId="19695782" w:rsidR="00481C8F" w:rsidRPr="00482C40" w:rsidRDefault="00481C8F" w:rsidP="00481C8F">
      <w:pPr>
        <w:pStyle w:val="Normal3"/>
        <w:spacing w:before="0" w:beforeAutospacing="0" w:after="0" w:afterAutospacing="0"/>
        <w:ind w:left="270"/>
        <w:rPr>
          <w:spacing w:val="8"/>
          <w:shd w:val="clear" w:color="auto" w:fill="FFFFFF"/>
        </w:rPr>
      </w:pPr>
      <w:r w:rsidRPr="00482C40">
        <w:rPr>
          <w:spacing w:val="8"/>
          <w:shd w:val="clear" w:color="auto" w:fill="FFFFFF"/>
        </w:rPr>
        <w:t>Company’s Customer Relationship Summary (Form CRS) provides clients with succinct information about the relationships and services Company offers, fees and costs that clients will pay, specified conflicts of interest and standards of conduct, and disciplinary history, among other things. Since Company is a Broker/Dealer and has an affiliated RIA, one combined form will be used for both entities.</w:t>
      </w:r>
    </w:p>
    <w:p w14:paraId="73E46C5B" w14:textId="77777777" w:rsidR="00481C8F" w:rsidRPr="00482C40" w:rsidRDefault="00481C8F" w:rsidP="00481C8F">
      <w:pPr>
        <w:ind w:left="360"/>
        <w:rPr>
          <w:sz w:val="24"/>
          <w:szCs w:val="24"/>
        </w:rPr>
      </w:pPr>
    </w:p>
    <w:p w14:paraId="1D1DC7F6" w14:textId="13CBA366" w:rsidR="00481C8F" w:rsidRPr="00482C40" w:rsidRDefault="00481C8F" w:rsidP="001A587F">
      <w:pPr>
        <w:pStyle w:val="Heading4"/>
      </w:pPr>
      <w:r w:rsidRPr="00482C40">
        <w:t>5.7.</w:t>
      </w:r>
      <w:r w:rsidR="00347924" w:rsidRPr="00482C40">
        <w:t>6</w:t>
      </w:r>
      <w:r w:rsidRPr="00482C40">
        <w:t>.1 Content</w:t>
      </w:r>
    </w:p>
    <w:p w14:paraId="1A8CE73C" w14:textId="77777777" w:rsidR="00481C8F" w:rsidRPr="00482C40" w:rsidRDefault="00481C8F" w:rsidP="00481C8F">
      <w:pPr>
        <w:ind w:left="270" w:firstLine="90"/>
        <w:rPr>
          <w:sz w:val="24"/>
          <w:szCs w:val="24"/>
        </w:rPr>
      </w:pPr>
      <w:r w:rsidRPr="00482C40">
        <w:rPr>
          <w:sz w:val="24"/>
          <w:szCs w:val="24"/>
        </w:rPr>
        <w:t>Morris Monroe (CCO) will ensure the Form CRS includes the following content:</w:t>
      </w:r>
    </w:p>
    <w:p w14:paraId="2A8FAB7C" w14:textId="77777777" w:rsidR="00481C8F" w:rsidRPr="00482C40" w:rsidRDefault="00481C8F" w:rsidP="00481C8F">
      <w:pPr>
        <w:pStyle w:val="Normal3"/>
        <w:spacing w:before="0" w:beforeAutospacing="0" w:after="0" w:afterAutospacing="0"/>
        <w:rPr>
          <w:spacing w:val="8"/>
          <w:sz w:val="16"/>
          <w:szCs w:val="16"/>
          <w:shd w:val="clear" w:color="auto" w:fill="FFFFFF"/>
        </w:rPr>
      </w:pPr>
    </w:p>
    <w:p w14:paraId="64B280D9" w14:textId="77777777" w:rsidR="00481C8F" w:rsidRPr="00482C40" w:rsidRDefault="00481C8F" w:rsidP="0005402C">
      <w:pPr>
        <w:pStyle w:val="ListParagraph"/>
        <w:numPr>
          <w:ilvl w:val="0"/>
          <w:numId w:val="344"/>
        </w:numPr>
        <w:shd w:val="clear" w:color="auto" w:fill="FFFFFF"/>
        <w:ind w:left="900" w:hanging="270"/>
        <w:rPr>
          <w:spacing w:val="8"/>
          <w:sz w:val="24"/>
          <w:szCs w:val="24"/>
        </w:rPr>
      </w:pPr>
      <w:r w:rsidRPr="00482C40">
        <w:rPr>
          <w:b/>
          <w:sz w:val="24"/>
          <w:szCs w:val="24"/>
          <w:shd w:val="clear" w:color="auto" w:fill="FFFFFF"/>
        </w:rPr>
        <w:t>Item 1 – Introduction</w:t>
      </w:r>
      <w:r w:rsidRPr="00482C40">
        <w:rPr>
          <w:sz w:val="24"/>
          <w:szCs w:val="24"/>
          <w:shd w:val="clear" w:color="auto" w:fill="FFFFFF"/>
        </w:rPr>
        <w:t xml:space="preserve">: </w:t>
      </w:r>
      <w:r w:rsidRPr="00482C40">
        <w:rPr>
          <w:spacing w:val="8"/>
          <w:sz w:val="24"/>
          <w:szCs w:val="24"/>
        </w:rPr>
        <w:t>The date appears prominently at the beginning of the Relationship Summary (</w:t>
      </w:r>
      <w:r w:rsidRPr="00482C40">
        <w:rPr>
          <w:i/>
          <w:iCs/>
          <w:spacing w:val="8"/>
          <w:sz w:val="24"/>
          <w:szCs w:val="24"/>
        </w:rPr>
        <w:t>e.g.,</w:t>
      </w:r>
      <w:r w:rsidRPr="00482C40">
        <w:rPr>
          <w:spacing w:val="8"/>
          <w:sz w:val="24"/>
          <w:szCs w:val="24"/>
        </w:rPr>
        <w:t> in the header or footer of the first page or in a similar location for a Relationship Summary provided electronically) and make the other requirements of Item 1 of Form CRS.</w:t>
      </w:r>
    </w:p>
    <w:p w14:paraId="2F05E5A4" w14:textId="77777777" w:rsidR="00481C8F" w:rsidRPr="00482C40" w:rsidRDefault="00481C8F" w:rsidP="00481C8F">
      <w:pPr>
        <w:pStyle w:val="Normal19"/>
        <w:shd w:val="clear" w:color="auto" w:fill="FFFFFF"/>
        <w:spacing w:before="0" w:beforeAutospacing="0" w:after="0" w:afterAutospacing="0"/>
        <w:ind w:left="900" w:hanging="270"/>
        <w:rPr>
          <w:b/>
          <w:bCs/>
          <w:spacing w:val="8"/>
        </w:rPr>
      </w:pPr>
    </w:p>
    <w:p w14:paraId="10479222" w14:textId="77777777" w:rsidR="00481C8F" w:rsidRPr="00482C40" w:rsidRDefault="00481C8F" w:rsidP="0005402C">
      <w:pPr>
        <w:pStyle w:val="ListParagraph"/>
        <w:numPr>
          <w:ilvl w:val="0"/>
          <w:numId w:val="344"/>
        </w:numPr>
        <w:shd w:val="clear" w:color="auto" w:fill="FFFFFF"/>
        <w:ind w:left="900" w:hanging="270"/>
        <w:rPr>
          <w:spacing w:val="8"/>
          <w:sz w:val="24"/>
          <w:szCs w:val="24"/>
        </w:rPr>
      </w:pPr>
      <w:r w:rsidRPr="00482C40">
        <w:rPr>
          <w:b/>
          <w:sz w:val="24"/>
          <w:szCs w:val="24"/>
        </w:rPr>
        <w:t>Item 2 - Relationships and Services</w:t>
      </w:r>
      <w:r w:rsidRPr="00482C40">
        <w:rPr>
          <w:sz w:val="24"/>
          <w:szCs w:val="24"/>
        </w:rPr>
        <w:t xml:space="preserve">: </w:t>
      </w:r>
      <w:r w:rsidRPr="00482C40">
        <w:rPr>
          <w:spacing w:val="8"/>
          <w:sz w:val="24"/>
          <w:szCs w:val="24"/>
        </w:rPr>
        <w:t>Company's investment services offered to retail clients to be disclosed including summaries of the principal services, accounts, or investments it makes available to retail clients, and any material limitations on such services. Additionally, this section must include the five "conversational services" listed in Item 2.</w:t>
      </w:r>
    </w:p>
    <w:p w14:paraId="24BDD5C1" w14:textId="77777777" w:rsidR="00481C8F" w:rsidRPr="00482C40" w:rsidRDefault="00481C8F" w:rsidP="00481C8F">
      <w:pPr>
        <w:pStyle w:val="Normal19"/>
        <w:shd w:val="clear" w:color="auto" w:fill="FFFFFF"/>
        <w:spacing w:before="0" w:beforeAutospacing="0" w:after="0" w:afterAutospacing="0"/>
        <w:ind w:left="900" w:hanging="270"/>
        <w:rPr>
          <w:spacing w:val="8"/>
        </w:rPr>
      </w:pPr>
    </w:p>
    <w:p w14:paraId="21BE17D2" w14:textId="77777777" w:rsidR="00481C8F" w:rsidRPr="00482C40" w:rsidRDefault="00481C8F" w:rsidP="0005402C">
      <w:pPr>
        <w:pStyle w:val="ListParagraph"/>
        <w:numPr>
          <w:ilvl w:val="0"/>
          <w:numId w:val="344"/>
        </w:numPr>
        <w:shd w:val="clear" w:color="auto" w:fill="FFFFFF"/>
        <w:ind w:left="900" w:hanging="270"/>
        <w:rPr>
          <w:spacing w:val="8"/>
        </w:rPr>
      </w:pPr>
      <w:r w:rsidRPr="00482C40">
        <w:rPr>
          <w:b/>
          <w:sz w:val="24"/>
          <w:szCs w:val="24"/>
        </w:rPr>
        <w:t>Item 3 - Fees, Costs, Conflicts, and Standards of Conduct</w:t>
      </w:r>
      <w:r w:rsidRPr="00482C40">
        <w:rPr>
          <w:sz w:val="24"/>
          <w:szCs w:val="24"/>
        </w:rPr>
        <w:t>: D</w:t>
      </w:r>
      <w:r w:rsidRPr="00482C40">
        <w:rPr>
          <w:spacing w:val="8"/>
          <w:sz w:val="24"/>
          <w:szCs w:val="24"/>
        </w:rPr>
        <w:t xml:space="preserve">escribes Company’s fees, fixed fees, product level fees as well as other fees and costs related to its services.  </w:t>
      </w:r>
    </w:p>
    <w:p w14:paraId="14A48A70" w14:textId="77777777" w:rsidR="00481C8F" w:rsidRPr="00482C40" w:rsidRDefault="00481C8F" w:rsidP="00481C8F">
      <w:pPr>
        <w:shd w:val="clear" w:color="auto" w:fill="FFFFFF"/>
        <w:ind w:left="900" w:hanging="270"/>
        <w:rPr>
          <w:spacing w:val="8"/>
        </w:rPr>
      </w:pPr>
    </w:p>
    <w:p w14:paraId="075FB88B" w14:textId="77777777" w:rsidR="00481C8F" w:rsidRPr="00482C40" w:rsidRDefault="00481C8F" w:rsidP="0005402C">
      <w:pPr>
        <w:pStyle w:val="ListParagraph"/>
        <w:numPr>
          <w:ilvl w:val="0"/>
          <w:numId w:val="344"/>
        </w:numPr>
        <w:shd w:val="clear" w:color="auto" w:fill="FFFFFF"/>
        <w:ind w:left="900" w:hanging="270"/>
        <w:rPr>
          <w:spacing w:val="8"/>
          <w:sz w:val="24"/>
          <w:szCs w:val="24"/>
        </w:rPr>
      </w:pPr>
      <w:r w:rsidRPr="00482C40">
        <w:rPr>
          <w:b/>
          <w:sz w:val="24"/>
          <w:szCs w:val="24"/>
        </w:rPr>
        <w:t>Item 4 - Disciplinary History</w:t>
      </w:r>
      <w:r w:rsidRPr="00482C40">
        <w:rPr>
          <w:sz w:val="24"/>
          <w:szCs w:val="24"/>
        </w:rPr>
        <w:t xml:space="preserve">:  Disclose </w:t>
      </w:r>
      <w:r w:rsidRPr="00482C40">
        <w:rPr>
          <w:spacing w:val="8"/>
          <w:sz w:val="24"/>
          <w:szCs w:val="24"/>
        </w:rPr>
        <w:t>Company's disciplinary history in the Relationship Summary as well as the required "conversational starter."</w:t>
      </w:r>
    </w:p>
    <w:p w14:paraId="7E375567" w14:textId="77777777" w:rsidR="00481C8F" w:rsidRPr="00482C40" w:rsidRDefault="00481C8F" w:rsidP="00481C8F">
      <w:pPr>
        <w:ind w:left="900" w:hanging="270"/>
        <w:rPr>
          <w:sz w:val="24"/>
          <w:szCs w:val="24"/>
        </w:rPr>
      </w:pPr>
    </w:p>
    <w:p w14:paraId="2BD4575E" w14:textId="77777777" w:rsidR="00481C8F" w:rsidRPr="00482C40" w:rsidRDefault="00481C8F" w:rsidP="0005402C">
      <w:pPr>
        <w:pStyle w:val="ListParagraph"/>
        <w:numPr>
          <w:ilvl w:val="0"/>
          <w:numId w:val="344"/>
        </w:numPr>
        <w:shd w:val="clear" w:color="auto" w:fill="FFFFFF"/>
        <w:ind w:left="900" w:hanging="270"/>
        <w:rPr>
          <w:spacing w:val="8"/>
          <w:sz w:val="24"/>
          <w:szCs w:val="24"/>
        </w:rPr>
      </w:pPr>
      <w:r w:rsidRPr="00482C40">
        <w:rPr>
          <w:b/>
          <w:sz w:val="24"/>
          <w:szCs w:val="24"/>
        </w:rPr>
        <w:t>Item 5 - Additional Information</w:t>
      </w:r>
      <w:r w:rsidRPr="00482C40">
        <w:rPr>
          <w:sz w:val="24"/>
          <w:szCs w:val="24"/>
        </w:rPr>
        <w:t>:  S</w:t>
      </w:r>
      <w:r w:rsidRPr="00482C40">
        <w:rPr>
          <w:spacing w:val="8"/>
          <w:sz w:val="24"/>
          <w:szCs w:val="24"/>
        </w:rPr>
        <w:t>ets forth where the retail client can find additional information about Company’s investment advisory services and request a copy of the relationship summary as well as a telephone number where retail investors can request up-to-date information and request a copy of the relationship summary.  The required "conversational starter" must be included.</w:t>
      </w:r>
    </w:p>
    <w:p w14:paraId="0C2869DF" w14:textId="77777777" w:rsidR="00481C8F" w:rsidRPr="00482C40" w:rsidRDefault="00481C8F" w:rsidP="00481C8F">
      <w:pPr>
        <w:ind w:firstLine="360"/>
        <w:rPr>
          <w:sz w:val="24"/>
        </w:rPr>
      </w:pPr>
    </w:p>
    <w:p w14:paraId="057256BF" w14:textId="1EA80F25" w:rsidR="00481C8F" w:rsidRPr="00482C40" w:rsidRDefault="00481C8F" w:rsidP="001A587F">
      <w:pPr>
        <w:pStyle w:val="Heading4"/>
      </w:pPr>
      <w:r w:rsidRPr="00482C40">
        <w:t>5.7.</w:t>
      </w:r>
      <w:r w:rsidR="00347924" w:rsidRPr="00482C40">
        <w:t>6</w:t>
      </w:r>
      <w:r w:rsidRPr="00482C40">
        <w:t>.2 Filings</w:t>
      </w:r>
    </w:p>
    <w:p w14:paraId="0E76A2D9" w14:textId="77777777" w:rsidR="00481C8F" w:rsidRPr="00482C40" w:rsidRDefault="00481C8F" w:rsidP="0053698A">
      <w:pPr>
        <w:pStyle w:val="Normal3"/>
        <w:spacing w:before="0" w:beforeAutospacing="0" w:after="0" w:afterAutospacing="0"/>
        <w:ind w:left="360"/>
      </w:pPr>
      <w:r w:rsidRPr="00482C40">
        <w:t xml:space="preserve">Company and its affiliated RIA will </w:t>
      </w:r>
      <w:r w:rsidRPr="00482C40">
        <w:rPr>
          <w:spacing w:val="8"/>
          <w:shd w:val="clear" w:color="auto" w:fill="FFFFFF"/>
        </w:rPr>
        <w:t xml:space="preserve">have a period of time beginning on </w:t>
      </w:r>
      <w:r w:rsidRPr="00482C40">
        <w:rPr>
          <w:b/>
          <w:spacing w:val="8"/>
          <w:shd w:val="clear" w:color="auto" w:fill="FFFFFF"/>
        </w:rPr>
        <w:t xml:space="preserve">May 1, </w:t>
      </w:r>
      <w:proofErr w:type="gramStart"/>
      <w:r w:rsidRPr="00482C40">
        <w:rPr>
          <w:b/>
          <w:spacing w:val="8"/>
          <w:shd w:val="clear" w:color="auto" w:fill="FFFFFF"/>
        </w:rPr>
        <w:t>2020</w:t>
      </w:r>
      <w:proofErr w:type="gramEnd"/>
      <w:r w:rsidRPr="00482C40">
        <w:rPr>
          <w:spacing w:val="8"/>
          <w:shd w:val="clear" w:color="auto" w:fill="FFFFFF"/>
        </w:rPr>
        <w:t xml:space="preserve"> until </w:t>
      </w:r>
      <w:r w:rsidRPr="00482C40">
        <w:rPr>
          <w:b/>
          <w:spacing w:val="8"/>
          <w:shd w:val="clear" w:color="auto" w:fill="FFFFFF"/>
        </w:rPr>
        <w:t>June 30, 2020</w:t>
      </w:r>
      <w:r w:rsidRPr="00482C40">
        <w:rPr>
          <w:spacing w:val="8"/>
          <w:shd w:val="clear" w:color="auto" w:fill="FFFFFF"/>
        </w:rPr>
        <w:t xml:space="preserve"> to file its initial Relationship Summary.  Both companies must file its Form CRS electronically with the SEC through the Central Registration Depository (Web CRD) operated by the Financial Industry Regulatory Authority, Inc. (FINRA), and thereafter, file an annual amended Form CRS in accordance with the instructions in Form CRS. Company will make such filing in a text-searchable format and the filing will be structured with machine-readable headings.</w:t>
      </w:r>
    </w:p>
    <w:p w14:paraId="785220EA" w14:textId="77777777" w:rsidR="00481C8F" w:rsidRPr="00482C40" w:rsidRDefault="00481C8F" w:rsidP="00481C8F">
      <w:pPr>
        <w:ind w:left="360"/>
        <w:rPr>
          <w:sz w:val="24"/>
        </w:rPr>
      </w:pPr>
    </w:p>
    <w:p w14:paraId="01C5B928" w14:textId="7DE88092" w:rsidR="00481C8F" w:rsidRPr="00482C40" w:rsidRDefault="00481C8F" w:rsidP="001A587F">
      <w:pPr>
        <w:pStyle w:val="Heading4"/>
      </w:pPr>
      <w:r w:rsidRPr="00482C40">
        <w:lastRenderedPageBreak/>
        <w:t>5.7.</w:t>
      </w:r>
      <w:r w:rsidR="00347924" w:rsidRPr="00482C40">
        <w:t>6</w:t>
      </w:r>
      <w:r w:rsidRPr="00482C40">
        <w:t>.3 Amendments</w:t>
      </w:r>
    </w:p>
    <w:p w14:paraId="195CE8A8" w14:textId="77777777" w:rsidR="00481C8F" w:rsidRPr="00482C40" w:rsidRDefault="00481C8F" w:rsidP="0053698A">
      <w:pPr>
        <w:pStyle w:val="Normal19"/>
        <w:spacing w:before="0" w:beforeAutospacing="0" w:after="0" w:afterAutospacing="0"/>
        <w:ind w:left="360"/>
        <w:rPr>
          <w:rFonts w:ascii="Tahoma" w:hAnsi="Tahoma" w:cs="Tahoma"/>
          <w:spacing w:val="8"/>
          <w:sz w:val="18"/>
          <w:szCs w:val="18"/>
        </w:rPr>
      </w:pPr>
      <w:r w:rsidRPr="00482C40">
        <w:rPr>
          <w:spacing w:val="8"/>
        </w:rPr>
        <w:t>Company will file an amended Relationship Summary as another-than-annual amendment or by including the Relationship Summary as part of an annual updating amendment, within the 30 days in which they are required to file the amendment.  Subsequently, Company will deliver to existing clients within 60 days the most recent changes including an exhibit highlighting or summarizing material changes filed.  Company will submit amended versions of its Relationship Summary as part of its annual updating amendment</w:t>
      </w:r>
      <w:r w:rsidRPr="00482C40">
        <w:rPr>
          <w:rFonts w:ascii="Tahoma" w:hAnsi="Tahoma" w:cs="Tahoma"/>
          <w:spacing w:val="8"/>
          <w:sz w:val="18"/>
          <w:szCs w:val="18"/>
        </w:rPr>
        <w:t xml:space="preserve">.  </w:t>
      </w:r>
    </w:p>
    <w:p w14:paraId="1C56468F" w14:textId="77777777" w:rsidR="00481C8F" w:rsidRPr="00482C40" w:rsidRDefault="00481C8F" w:rsidP="00481C8F">
      <w:pPr>
        <w:ind w:firstLine="360"/>
        <w:rPr>
          <w:sz w:val="24"/>
        </w:rPr>
      </w:pPr>
    </w:p>
    <w:p w14:paraId="34DD980B" w14:textId="271A4EED" w:rsidR="00481C8F" w:rsidRPr="00482C40" w:rsidRDefault="00481C8F" w:rsidP="001A587F">
      <w:pPr>
        <w:pStyle w:val="Heading4"/>
      </w:pPr>
      <w:r w:rsidRPr="00482C40">
        <w:t>5.7.</w:t>
      </w:r>
      <w:r w:rsidR="00347924" w:rsidRPr="00482C40">
        <w:t>6</w:t>
      </w:r>
      <w:r w:rsidRPr="00482C40">
        <w:t>.4 Initial Delivery to Clients</w:t>
      </w:r>
    </w:p>
    <w:p w14:paraId="341EAB66" w14:textId="77777777" w:rsidR="00481C8F" w:rsidRPr="00482C40" w:rsidRDefault="00481C8F" w:rsidP="0053698A">
      <w:pPr>
        <w:ind w:left="360"/>
        <w:rPr>
          <w:spacing w:val="8"/>
          <w:sz w:val="24"/>
          <w:szCs w:val="24"/>
          <w:shd w:val="clear" w:color="auto" w:fill="FFFFFF"/>
        </w:rPr>
      </w:pPr>
      <w:r w:rsidRPr="00482C40">
        <w:rPr>
          <w:spacing w:val="8"/>
          <w:sz w:val="24"/>
          <w:szCs w:val="24"/>
          <w:shd w:val="clear" w:color="auto" w:fill="FFFFFF"/>
        </w:rPr>
        <w:t>Company will be required to deliver its relationship summary (Form CRS) as follows:</w:t>
      </w:r>
    </w:p>
    <w:p w14:paraId="17A233E3" w14:textId="77777777" w:rsidR="00481C8F" w:rsidRPr="00482C40" w:rsidRDefault="00481C8F" w:rsidP="0005402C">
      <w:pPr>
        <w:pStyle w:val="ListParagraph"/>
        <w:numPr>
          <w:ilvl w:val="0"/>
          <w:numId w:val="349"/>
        </w:numPr>
        <w:ind w:left="900" w:hanging="270"/>
        <w:rPr>
          <w:spacing w:val="8"/>
          <w:sz w:val="24"/>
          <w:szCs w:val="24"/>
          <w:shd w:val="clear" w:color="auto" w:fill="FFFFFF"/>
        </w:rPr>
      </w:pPr>
      <w:r w:rsidRPr="00482C40">
        <w:rPr>
          <w:spacing w:val="8"/>
          <w:sz w:val="24"/>
          <w:szCs w:val="24"/>
          <w:shd w:val="clear" w:color="auto" w:fill="FFFFFF"/>
        </w:rPr>
        <w:t>To all existing clients who are retail investors on an initial one-time basis within 30 days after the date Company is first required to file its Relationship Summary with FINRA; and</w:t>
      </w:r>
    </w:p>
    <w:p w14:paraId="44AD380C" w14:textId="77777777" w:rsidR="00481C8F" w:rsidRPr="00482C40" w:rsidRDefault="00481C8F" w:rsidP="0005402C">
      <w:pPr>
        <w:pStyle w:val="ListParagraph"/>
        <w:numPr>
          <w:ilvl w:val="0"/>
          <w:numId w:val="349"/>
        </w:numPr>
        <w:ind w:left="900" w:hanging="270"/>
        <w:rPr>
          <w:spacing w:val="8"/>
          <w:sz w:val="24"/>
          <w:szCs w:val="24"/>
          <w:shd w:val="clear" w:color="auto" w:fill="FFFFFF"/>
        </w:rPr>
      </w:pPr>
      <w:r w:rsidRPr="00482C40">
        <w:rPr>
          <w:spacing w:val="8"/>
          <w:sz w:val="24"/>
          <w:szCs w:val="24"/>
          <w:shd w:val="clear" w:color="auto" w:fill="FFFFFF"/>
        </w:rPr>
        <w:t>To each new retail client after June 30, 2020, its current Relationship Summary (Form CRS) before or at the time a person or entity becomes a retail client.  The copy date of any Form CRS provided will be recorded in WinOps in the customer record; and</w:t>
      </w:r>
    </w:p>
    <w:p w14:paraId="444C011F" w14:textId="77777777" w:rsidR="00481C8F" w:rsidRPr="00482C40" w:rsidRDefault="00481C8F" w:rsidP="00481C8F">
      <w:pPr>
        <w:ind w:firstLine="360"/>
        <w:rPr>
          <w:sz w:val="24"/>
        </w:rPr>
      </w:pPr>
    </w:p>
    <w:p w14:paraId="32D3D728" w14:textId="785E0BEC" w:rsidR="00481C8F" w:rsidRPr="00482C40" w:rsidRDefault="00481C8F" w:rsidP="001A587F">
      <w:pPr>
        <w:pStyle w:val="Heading4"/>
      </w:pPr>
      <w:r w:rsidRPr="00482C40">
        <w:t>5.7.</w:t>
      </w:r>
      <w:r w:rsidR="00347924" w:rsidRPr="00482C40">
        <w:t>6</w:t>
      </w:r>
      <w:r w:rsidRPr="00482C40">
        <w:t>.5 Other Delivery Requirements</w:t>
      </w:r>
    </w:p>
    <w:p w14:paraId="03F1EBA8" w14:textId="0E6D6920" w:rsidR="00481C8F" w:rsidRPr="00482C40" w:rsidRDefault="00481C8F" w:rsidP="0053698A">
      <w:pPr>
        <w:spacing w:line="240" w:lineRule="atLeast"/>
        <w:ind w:left="360"/>
        <w:rPr>
          <w:spacing w:val="8"/>
          <w:sz w:val="24"/>
          <w:szCs w:val="24"/>
        </w:rPr>
      </w:pPr>
      <w:r w:rsidRPr="00482C40">
        <w:rPr>
          <w:spacing w:val="8"/>
          <w:sz w:val="24"/>
          <w:szCs w:val="24"/>
        </w:rPr>
        <w:t>Company will deliver to each retail client who is an existing customer its current Form CRS before or at the time</w:t>
      </w:r>
      <w:r w:rsidR="003A4476" w:rsidRPr="00482C40">
        <w:rPr>
          <w:spacing w:val="8"/>
          <w:sz w:val="24"/>
          <w:szCs w:val="24"/>
        </w:rPr>
        <w:t xml:space="preserve"> of a recommendation.  The form is required upon the first event that triggers the requirement which includes when</w:t>
      </w:r>
      <w:r w:rsidRPr="00482C40">
        <w:rPr>
          <w:spacing w:val="8"/>
          <w:sz w:val="24"/>
          <w:szCs w:val="24"/>
        </w:rPr>
        <w:t>:</w:t>
      </w:r>
    </w:p>
    <w:p w14:paraId="72EA4280" w14:textId="1724CDBF" w:rsidR="00481C8F" w:rsidRPr="00482C40" w:rsidRDefault="0053698A" w:rsidP="0005402C">
      <w:pPr>
        <w:numPr>
          <w:ilvl w:val="0"/>
          <w:numId w:val="345"/>
        </w:numPr>
        <w:tabs>
          <w:tab w:val="clear" w:pos="720"/>
          <w:tab w:val="num" w:pos="900"/>
        </w:tabs>
        <w:spacing w:before="100" w:beforeAutospacing="1" w:after="100" w:afterAutospacing="1"/>
        <w:ind w:left="900" w:hanging="270"/>
        <w:rPr>
          <w:spacing w:val="8"/>
          <w:sz w:val="24"/>
          <w:szCs w:val="24"/>
        </w:rPr>
      </w:pPr>
      <w:r w:rsidRPr="00482C40">
        <w:rPr>
          <w:spacing w:val="8"/>
          <w:sz w:val="24"/>
          <w:szCs w:val="24"/>
        </w:rPr>
        <w:t>A new account is opened, or an existing c</w:t>
      </w:r>
      <w:r w:rsidR="007E73B7" w:rsidRPr="00482C40">
        <w:rPr>
          <w:spacing w:val="8"/>
          <w:sz w:val="24"/>
          <w:szCs w:val="24"/>
        </w:rPr>
        <w:t>lient</w:t>
      </w:r>
      <w:r w:rsidRPr="00482C40">
        <w:rPr>
          <w:spacing w:val="8"/>
          <w:sz w:val="24"/>
          <w:szCs w:val="24"/>
        </w:rPr>
        <w:t xml:space="preserve"> o</w:t>
      </w:r>
      <w:r w:rsidR="00481C8F" w:rsidRPr="00482C40">
        <w:rPr>
          <w:spacing w:val="8"/>
          <w:sz w:val="24"/>
          <w:szCs w:val="24"/>
        </w:rPr>
        <w:t>pens a new account that is different from the retail client's existing account(s);</w:t>
      </w:r>
    </w:p>
    <w:p w14:paraId="20062ABA" w14:textId="6AB3D359" w:rsidR="00481C8F" w:rsidRPr="00482C40" w:rsidRDefault="00356686" w:rsidP="0005402C">
      <w:pPr>
        <w:numPr>
          <w:ilvl w:val="0"/>
          <w:numId w:val="345"/>
        </w:numPr>
        <w:tabs>
          <w:tab w:val="clear" w:pos="720"/>
          <w:tab w:val="num" w:pos="900"/>
        </w:tabs>
        <w:spacing w:before="100" w:beforeAutospacing="1" w:after="100" w:afterAutospacing="1"/>
        <w:ind w:left="900" w:hanging="270"/>
        <w:rPr>
          <w:spacing w:val="8"/>
          <w:sz w:val="24"/>
          <w:szCs w:val="24"/>
        </w:rPr>
      </w:pPr>
      <w:r w:rsidRPr="00482C40">
        <w:rPr>
          <w:spacing w:val="8"/>
          <w:sz w:val="24"/>
          <w:szCs w:val="24"/>
        </w:rPr>
        <w:t>R</w:t>
      </w:r>
      <w:r w:rsidR="00481C8F" w:rsidRPr="00482C40">
        <w:rPr>
          <w:spacing w:val="8"/>
          <w:sz w:val="24"/>
          <w:szCs w:val="24"/>
        </w:rPr>
        <w:t>ecommend</w:t>
      </w:r>
      <w:r w:rsidRPr="00482C40">
        <w:rPr>
          <w:spacing w:val="8"/>
          <w:sz w:val="24"/>
          <w:szCs w:val="24"/>
        </w:rPr>
        <w:t xml:space="preserve">ing </w:t>
      </w:r>
      <w:r w:rsidR="00481C8F" w:rsidRPr="00482C40">
        <w:rPr>
          <w:spacing w:val="8"/>
          <w:sz w:val="24"/>
          <w:szCs w:val="24"/>
        </w:rPr>
        <w:t xml:space="preserve">that the retail client roll over assets from a retirement account into a new or existing account or investment; or </w:t>
      </w:r>
    </w:p>
    <w:p w14:paraId="27A1EFB9" w14:textId="3355B7DD" w:rsidR="00481C8F" w:rsidRPr="00482C40" w:rsidRDefault="00356686" w:rsidP="0005402C">
      <w:pPr>
        <w:numPr>
          <w:ilvl w:val="0"/>
          <w:numId w:val="345"/>
        </w:numPr>
        <w:tabs>
          <w:tab w:val="clear" w:pos="720"/>
          <w:tab w:val="num" w:pos="900"/>
        </w:tabs>
        <w:spacing w:before="15" w:beforeAutospacing="1" w:after="100" w:afterAutospacing="1" w:line="240" w:lineRule="atLeast"/>
        <w:ind w:left="900" w:hanging="270"/>
        <w:rPr>
          <w:spacing w:val="8"/>
          <w:sz w:val="24"/>
          <w:szCs w:val="24"/>
        </w:rPr>
      </w:pPr>
      <w:r w:rsidRPr="00482C40">
        <w:rPr>
          <w:spacing w:val="8"/>
          <w:sz w:val="24"/>
          <w:szCs w:val="24"/>
        </w:rPr>
        <w:t>R</w:t>
      </w:r>
      <w:r w:rsidR="00481C8F" w:rsidRPr="00482C40">
        <w:rPr>
          <w:spacing w:val="8"/>
          <w:sz w:val="24"/>
          <w:szCs w:val="24"/>
        </w:rPr>
        <w:t>ecommend</w:t>
      </w:r>
      <w:r w:rsidRPr="00482C40">
        <w:rPr>
          <w:spacing w:val="8"/>
          <w:sz w:val="24"/>
          <w:szCs w:val="24"/>
        </w:rPr>
        <w:t>ing</w:t>
      </w:r>
      <w:r w:rsidR="00481C8F" w:rsidRPr="00482C40">
        <w:rPr>
          <w:spacing w:val="8"/>
          <w:sz w:val="24"/>
          <w:szCs w:val="24"/>
        </w:rPr>
        <w:t xml:space="preserve"> or provid</w:t>
      </w:r>
      <w:r w:rsidRPr="00482C40">
        <w:rPr>
          <w:spacing w:val="8"/>
          <w:sz w:val="24"/>
          <w:szCs w:val="24"/>
        </w:rPr>
        <w:t>ing</w:t>
      </w:r>
      <w:r w:rsidR="00481C8F" w:rsidRPr="00482C40">
        <w:rPr>
          <w:spacing w:val="8"/>
          <w:sz w:val="24"/>
          <w:szCs w:val="24"/>
        </w:rPr>
        <w:t xml:space="preserve"> a new investment advisory service or investment that does not necessarily involve the opening of a new account and would not be held in an existing account.</w:t>
      </w:r>
    </w:p>
    <w:p w14:paraId="0B0EAF4B" w14:textId="1CA69CAA" w:rsidR="0053698A" w:rsidRPr="00482C40" w:rsidRDefault="00C6751A" w:rsidP="0005402C">
      <w:pPr>
        <w:numPr>
          <w:ilvl w:val="0"/>
          <w:numId w:val="345"/>
        </w:numPr>
        <w:tabs>
          <w:tab w:val="clear" w:pos="720"/>
          <w:tab w:val="num" w:pos="900"/>
        </w:tabs>
        <w:spacing w:before="15" w:beforeAutospacing="1" w:after="100" w:afterAutospacing="1" w:line="240" w:lineRule="atLeast"/>
        <w:ind w:left="900" w:hanging="270"/>
        <w:rPr>
          <w:spacing w:val="8"/>
          <w:sz w:val="24"/>
          <w:szCs w:val="24"/>
        </w:rPr>
      </w:pPr>
      <w:r w:rsidRPr="00482C40">
        <w:rPr>
          <w:spacing w:val="8"/>
          <w:sz w:val="24"/>
          <w:szCs w:val="24"/>
        </w:rPr>
        <w:t>Recommend</w:t>
      </w:r>
      <w:r w:rsidR="00356686" w:rsidRPr="00482C40">
        <w:rPr>
          <w:spacing w:val="8"/>
          <w:sz w:val="24"/>
          <w:szCs w:val="24"/>
        </w:rPr>
        <w:t>ing</w:t>
      </w:r>
      <w:r w:rsidRPr="00482C40">
        <w:rPr>
          <w:spacing w:val="8"/>
          <w:sz w:val="24"/>
          <w:szCs w:val="24"/>
        </w:rPr>
        <w:t xml:space="preserve"> a new</w:t>
      </w:r>
      <w:r w:rsidR="0053698A" w:rsidRPr="00482C40">
        <w:rPr>
          <w:spacing w:val="8"/>
          <w:sz w:val="24"/>
          <w:szCs w:val="24"/>
        </w:rPr>
        <w:t xml:space="preserve"> investment strategy</w:t>
      </w:r>
      <w:r w:rsidRPr="00482C40">
        <w:rPr>
          <w:spacing w:val="8"/>
          <w:sz w:val="24"/>
          <w:szCs w:val="24"/>
        </w:rPr>
        <w:t>.</w:t>
      </w:r>
      <w:r w:rsidR="0053698A" w:rsidRPr="00482C40">
        <w:rPr>
          <w:spacing w:val="8"/>
          <w:sz w:val="24"/>
          <w:szCs w:val="24"/>
        </w:rPr>
        <w:t xml:space="preserve"> </w:t>
      </w:r>
    </w:p>
    <w:p w14:paraId="62C49EC5" w14:textId="1403AC17" w:rsidR="0053698A" w:rsidRPr="00482C40" w:rsidRDefault="0053698A" w:rsidP="0005402C">
      <w:pPr>
        <w:numPr>
          <w:ilvl w:val="0"/>
          <w:numId w:val="345"/>
        </w:numPr>
        <w:tabs>
          <w:tab w:val="clear" w:pos="720"/>
          <w:tab w:val="num" w:pos="900"/>
        </w:tabs>
        <w:spacing w:before="15" w:beforeAutospacing="1" w:after="100" w:afterAutospacing="1" w:line="240" w:lineRule="atLeast"/>
        <w:ind w:left="900" w:hanging="270"/>
        <w:rPr>
          <w:spacing w:val="8"/>
          <w:sz w:val="24"/>
          <w:szCs w:val="24"/>
        </w:rPr>
      </w:pPr>
      <w:r w:rsidRPr="00482C40">
        <w:rPr>
          <w:spacing w:val="8"/>
          <w:sz w:val="24"/>
          <w:szCs w:val="24"/>
        </w:rPr>
        <w:t>Recommend</w:t>
      </w:r>
      <w:r w:rsidR="00356686" w:rsidRPr="00482C40">
        <w:rPr>
          <w:spacing w:val="8"/>
          <w:sz w:val="24"/>
          <w:szCs w:val="24"/>
        </w:rPr>
        <w:t>ing</w:t>
      </w:r>
      <w:r w:rsidRPr="00482C40">
        <w:rPr>
          <w:spacing w:val="8"/>
          <w:sz w:val="24"/>
          <w:szCs w:val="24"/>
        </w:rPr>
        <w:t xml:space="preserve"> or provid</w:t>
      </w:r>
      <w:r w:rsidR="00356686" w:rsidRPr="00482C40">
        <w:rPr>
          <w:spacing w:val="8"/>
          <w:sz w:val="24"/>
          <w:szCs w:val="24"/>
        </w:rPr>
        <w:t>ing</w:t>
      </w:r>
      <w:r w:rsidRPr="00482C40">
        <w:rPr>
          <w:spacing w:val="8"/>
          <w:sz w:val="24"/>
          <w:szCs w:val="24"/>
        </w:rPr>
        <w:t xml:space="preserve"> a new service or product that does not necessarily involve opening a new account or would not </w:t>
      </w:r>
      <w:r w:rsidR="00ED4C0F" w:rsidRPr="00482C40">
        <w:rPr>
          <w:spacing w:val="8"/>
          <w:sz w:val="24"/>
          <w:szCs w:val="24"/>
        </w:rPr>
        <w:t xml:space="preserve">be </w:t>
      </w:r>
      <w:r w:rsidRPr="00482C40">
        <w:rPr>
          <w:spacing w:val="8"/>
          <w:sz w:val="24"/>
          <w:szCs w:val="24"/>
        </w:rPr>
        <w:t xml:space="preserve">held in an existing account </w:t>
      </w:r>
      <w:r w:rsidR="00ED4C0F" w:rsidRPr="00482C40">
        <w:rPr>
          <w:spacing w:val="8"/>
          <w:sz w:val="24"/>
          <w:szCs w:val="24"/>
        </w:rPr>
        <w:t>(for example – the first-time purchase of a direct mutual fund or insurance product that is a security through a “check and application” process.</w:t>
      </w:r>
    </w:p>
    <w:p w14:paraId="0A7650FF" w14:textId="12916492" w:rsidR="00481C8F" w:rsidRPr="00482C40" w:rsidRDefault="00356686" w:rsidP="0005402C">
      <w:pPr>
        <w:numPr>
          <w:ilvl w:val="0"/>
          <w:numId w:val="345"/>
        </w:numPr>
        <w:tabs>
          <w:tab w:val="clear" w:pos="720"/>
          <w:tab w:val="num" w:pos="900"/>
        </w:tabs>
        <w:spacing w:before="15" w:beforeAutospacing="1" w:after="100" w:afterAutospacing="1" w:line="240" w:lineRule="atLeast"/>
        <w:ind w:left="900" w:hanging="270"/>
        <w:rPr>
          <w:spacing w:val="8"/>
          <w:sz w:val="24"/>
          <w:szCs w:val="24"/>
        </w:rPr>
      </w:pPr>
      <w:r w:rsidRPr="00482C40">
        <w:rPr>
          <w:spacing w:val="8"/>
          <w:sz w:val="24"/>
          <w:szCs w:val="24"/>
        </w:rPr>
        <w:t>A</w:t>
      </w:r>
      <w:r w:rsidR="00481C8F" w:rsidRPr="00482C40">
        <w:rPr>
          <w:spacing w:val="8"/>
          <w:sz w:val="24"/>
          <w:szCs w:val="24"/>
        </w:rPr>
        <w:t xml:space="preserve">ny change </w:t>
      </w:r>
      <w:r w:rsidRPr="00482C40">
        <w:rPr>
          <w:spacing w:val="8"/>
          <w:sz w:val="24"/>
          <w:szCs w:val="24"/>
        </w:rPr>
        <w:t xml:space="preserve">is </w:t>
      </w:r>
      <w:r w:rsidR="00481C8F" w:rsidRPr="00482C40">
        <w:rPr>
          <w:spacing w:val="8"/>
          <w:sz w:val="24"/>
          <w:szCs w:val="24"/>
        </w:rPr>
        <w:t>made to Form CRS</w:t>
      </w:r>
      <w:r w:rsidRPr="00482C40">
        <w:rPr>
          <w:spacing w:val="8"/>
          <w:sz w:val="24"/>
          <w:szCs w:val="24"/>
        </w:rPr>
        <w:t>.  Company will communicate</w:t>
      </w:r>
      <w:r w:rsidR="00481C8F" w:rsidRPr="00482C40">
        <w:rPr>
          <w:spacing w:val="8"/>
          <w:sz w:val="24"/>
          <w:szCs w:val="24"/>
        </w:rPr>
        <w:t xml:space="preserve"> to each retail investor who is an existing client within 60 days after the amendments are required to be made and without charge. The communication may be made by delivering the amended Form CRS or by communicating the information through another disclosure that is delivered to the retail investor (or a summary or highlighted information of the changes).</w:t>
      </w:r>
    </w:p>
    <w:p w14:paraId="780DF05E" w14:textId="333164C6" w:rsidR="00481C8F" w:rsidRPr="00482C40" w:rsidRDefault="00356686" w:rsidP="0005402C">
      <w:pPr>
        <w:numPr>
          <w:ilvl w:val="0"/>
          <w:numId w:val="345"/>
        </w:numPr>
        <w:tabs>
          <w:tab w:val="clear" w:pos="720"/>
          <w:tab w:val="num" w:pos="900"/>
        </w:tabs>
        <w:spacing w:before="15" w:beforeAutospacing="1" w:after="100" w:afterAutospacing="1" w:line="240" w:lineRule="atLeast"/>
        <w:ind w:left="900" w:hanging="270"/>
        <w:rPr>
          <w:spacing w:val="8"/>
          <w:sz w:val="24"/>
          <w:szCs w:val="24"/>
        </w:rPr>
      </w:pPr>
      <w:r w:rsidRPr="00482C40">
        <w:rPr>
          <w:spacing w:val="8"/>
          <w:sz w:val="24"/>
          <w:szCs w:val="24"/>
        </w:rPr>
        <w:t>A</w:t>
      </w:r>
      <w:r w:rsidR="00481C8F" w:rsidRPr="00482C40">
        <w:rPr>
          <w:spacing w:val="8"/>
          <w:sz w:val="24"/>
          <w:szCs w:val="24"/>
        </w:rPr>
        <w:t xml:space="preserve"> retail investor </w:t>
      </w:r>
      <w:r w:rsidRPr="00482C40">
        <w:rPr>
          <w:spacing w:val="8"/>
          <w:sz w:val="24"/>
          <w:szCs w:val="24"/>
        </w:rPr>
        <w:t xml:space="preserve">requests a copy (provided </w:t>
      </w:r>
      <w:r w:rsidR="00481C8F" w:rsidRPr="00482C40">
        <w:rPr>
          <w:spacing w:val="8"/>
          <w:sz w:val="24"/>
          <w:szCs w:val="24"/>
        </w:rPr>
        <w:t>within 30 days</w:t>
      </w:r>
      <w:r w:rsidRPr="00482C40">
        <w:rPr>
          <w:spacing w:val="8"/>
          <w:sz w:val="24"/>
          <w:szCs w:val="24"/>
        </w:rPr>
        <w:t>)</w:t>
      </w:r>
      <w:r w:rsidR="00481C8F" w:rsidRPr="00482C40">
        <w:rPr>
          <w:spacing w:val="8"/>
          <w:sz w:val="24"/>
          <w:szCs w:val="24"/>
        </w:rPr>
        <w:t>.</w:t>
      </w:r>
    </w:p>
    <w:p w14:paraId="49CB4D05" w14:textId="4A7E4349" w:rsidR="00481C8F" w:rsidRPr="00482C40" w:rsidRDefault="00481C8F" w:rsidP="001A587F">
      <w:pPr>
        <w:pStyle w:val="Heading4"/>
      </w:pPr>
      <w:r w:rsidRPr="00482C40">
        <w:lastRenderedPageBreak/>
        <w:t>5.7.</w:t>
      </w:r>
      <w:r w:rsidR="00347924" w:rsidRPr="00482C40">
        <w:t>6</w:t>
      </w:r>
      <w:r w:rsidRPr="00482C40">
        <w:t>.6 Updates</w:t>
      </w:r>
    </w:p>
    <w:p w14:paraId="175690DC" w14:textId="68E83690" w:rsidR="00481C8F" w:rsidRPr="00482C40" w:rsidRDefault="00481C8F" w:rsidP="00ED4C0F">
      <w:pPr>
        <w:ind w:left="360"/>
        <w:rPr>
          <w:spacing w:val="8"/>
          <w:sz w:val="24"/>
          <w:szCs w:val="24"/>
        </w:rPr>
      </w:pPr>
      <w:r w:rsidRPr="00482C40">
        <w:rPr>
          <w:spacing w:val="8"/>
          <w:sz w:val="24"/>
          <w:szCs w:val="24"/>
        </w:rPr>
        <w:t xml:space="preserve">Company must amend its Form CRS within 30 days whenever any information becomes materially inaccurate by filing with the SEC/FINRA an additional other-than-annual amendment or by including the Relationship Summary as part of an annual updating amendment. </w:t>
      </w:r>
      <w:r w:rsidR="00ED4C0F" w:rsidRPr="00482C40">
        <w:rPr>
          <w:spacing w:val="8"/>
          <w:sz w:val="24"/>
          <w:szCs w:val="24"/>
        </w:rPr>
        <w:t xml:space="preserve"> </w:t>
      </w:r>
      <w:r w:rsidR="00ED4C0F" w:rsidRPr="00482C40">
        <w:rPr>
          <w:sz w:val="24"/>
          <w:szCs w:val="24"/>
        </w:rPr>
        <w:t>Updated summaries will be provided to customers within 60 days after material updates with changes highlighted.  Updates may be provided electronically to customers who have consented to electronic delivery.</w:t>
      </w:r>
    </w:p>
    <w:p w14:paraId="6F000BCE" w14:textId="77777777" w:rsidR="00481C8F" w:rsidRPr="00482C40" w:rsidRDefault="00481C8F" w:rsidP="00481C8F">
      <w:pPr>
        <w:ind w:firstLine="360"/>
        <w:rPr>
          <w:sz w:val="24"/>
        </w:rPr>
      </w:pPr>
    </w:p>
    <w:p w14:paraId="6FD1CD67" w14:textId="1D0702ED" w:rsidR="00481C8F" w:rsidRPr="00482C40" w:rsidRDefault="00481C8F" w:rsidP="001A587F">
      <w:pPr>
        <w:pStyle w:val="Heading4"/>
      </w:pPr>
      <w:r w:rsidRPr="00482C40">
        <w:t>5.7.</w:t>
      </w:r>
      <w:r w:rsidR="00347924" w:rsidRPr="00482C40">
        <w:t>6</w:t>
      </w:r>
      <w:r w:rsidRPr="00482C40">
        <w:t>.7 Website</w:t>
      </w:r>
    </w:p>
    <w:p w14:paraId="5EC1D417" w14:textId="5223220F" w:rsidR="00481C8F" w:rsidRPr="00482C40" w:rsidRDefault="00481C8F" w:rsidP="0053698A">
      <w:pPr>
        <w:ind w:left="360"/>
        <w:rPr>
          <w:spacing w:val="8"/>
          <w:sz w:val="24"/>
          <w:szCs w:val="24"/>
        </w:rPr>
      </w:pPr>
      <w:r w:rsidRPr="00482C40">
        <w:rPr>
          <w:spacing w:val="8"/>
          <w:sz w:val="24"/>
          <w:szCs w:val="24"/>
        </w:rPr>
        <w:t>Company will post the current Form CRS prominently on its website, in a location and format that is easily accessible for retail clients.</w:t>
      </w:r>
    </w:p>
    <w:p w14:paraId="28DE69ED" w14:textId="77925FB8" w:rsidR="00CC64E2" w:rsidRPr="00482C40" w:rsidRDefault="00CC64E2" w:rsidP="0053698A">
      <w:pPr>
        <w:ind w:left="360"/>
        <w:rPr>
          <w:spacing w:val="8"/>
          <w:sz w:val="24"/>
          <w:szCs w:val="24"/>
        </w:rPr>
      </w:pPr>
    </w:p>
    <w:p w14:paraId="456EFFA4" w14:textId="1BC523CE" w:rsidR="00CC64E2" w:rsidRPr="00482C40" w:rsidRDefault="00CC64E2" w:rsidP="001A587F">
      <w:pPr>
        <w:pStyle w:val="Heading4"/>
      </w:pPr>
      <w:r w:rsidRPr="00482C40">
        <w:t>5.7.</w:t>
      </w:r>
      <w:r w:rsidR="00347924" w:rsidRPr="00482C40">
        <w:t>6</w:t>
      </w:r>
      <w:r w:rsidRPr="00482C40">
        <w:t>.8 Dual Registrants</w:t>
      </w:r>
    </w:p>
    <w:p w14:paraId="08E65F6D" w14:textId="6A56505A" w:rsidR="00CC64E2" w:rsidRPr="00482C40" w:rsidRDefault="00CC64E2" w:rsidP="00CC64E2">
      <w:pPr>
        <w:ind w:left="360"/>
        <w:rPr>
          <w:sz w:val="24"/>
          <w:szCs w:val="24"/>
        </w:rPr>
      </w:pPr>
      <w:r w:rsidRPr="00482C40">
        <w:rPr>
          <w:sz w:val="24"/>
          <w:szCs w:val="24"/>
        </w:rPr>
        <w:t xml:space="preserve">Dual registrants and affiliates (as defined in this chapter) are required to provide a Form CRS for both the broker-dealer and advisory relationships; the form may be combined. Broker-dealers have an obligation to file Form CRS with FINRA's CRD and advisers are required to file with IARD.  Company and its affiliated RIA, Woodlands Asset Management, Inc., provide a combined form.  </w:t>
      </w:r>
    </w:p>
    <w:p w14:paraId="07F9E785" w14:textId="19339E2E" w:rsidR="0053698A" w:rsidRPr="00482C40" w:rsidRDefault="0053698A" w:rsidP="0053698A">
      <w:pPr>
        <w:ind w:left="360"/>
        <w:rPr>
          <w:spacing w:val="8"/>
          <w:sz w:val="24"/>
          <w:szCs w:val="24"/>
        </w:rPr>
      </w:pPr>
    </w:p>
    <w:p w14:paraId="6C47FB69" w14:textId="4BA33C20" w:rsidR="0053698A" w:rsidRPr="00482C40" w:rsidRDefault="0053698A" w:rsidP="0053698A">
      <w:pPr>
        <w:shd w:val="clear" w:color="auto" w:fill="D9D9D9" w:themeFill="background1" w:themeFillShade="D9"/>
        <w:ind w:left="360"/>
      </w:pPr>
      <w:r w:rsidRPr="00482C40">
        <w:rPr>
          <w:sz w:val="24"/>
          <w:szCs w:val="24"/>
        </w:rPr>
        <w:t xml:space="preserve">[SEC Form CRS instructions: </w:t>
      </w:r>
      <w:hyperlink r:id="rId9" w:tgtFrame="_blank" w:history="1">
        <w:r w:rsidRPr="00482C40">
          <w:rPr>
            <w:sz w:val="24"/>
            <w:szCs w:val="24"/>
            <w:u w:val="single"/>
          </w:rPr>
          <w:t>https://www.sec.gov/rules/final/2019/34-86032-appendix-b.pdf</w:t>
        </w:r>
      </w:hyperlink>
      <w:r w:rsidRPr="00482C40">
        <w:rPr>
          <w:sz w:val="24"/>
          <w:szCs w:val="24"/>
        </w:rPr>
        <w:t xml:space="preserve">; SEC FAQs on Form CRS: </w:t>
      </w:r>
      <w:hyperlink r:id="rId10" w:tgtFrame="_blank" w:history="1">
        <w:r w:rsidRPr="00482C40">
          <w:rPr>
            <w:sz w:val="24"/>
            <w:szCs w:val="24"/>
            <w:u w:val="single"/>
          </w:rPr>
          <w:t>https://www.sec.gov/info/smallbus/secg/form-crs-relationship-summary</w:t>
        </w:r>
      </w:hyperlink>
      <w:r w:rsidRPr="00482C40">
        <w:rPr>
          <w:sz w:val="24"/>
          <w:szCs w:val="24"/>
        </w:rPr>
        <w:t xml:space="preserve">; SEC Form CRS Relationship Summary Small Entity Compliance Guide: </w:t>
      </w:r>
      <w:hyperlink r:id="rId11" w:tgtFrame="_blank" w:history="1">
        <w:r w:rsidRPr="00482C40">
          <w:rPr>
            <w:sz w:val="24"/>
            <w:szCs w:val="24"/>
            <w:u w:val="single"/>
          </w:rPr>
          <w:t>https://www.sec.gov/info/smallbus/secg/form-crs-relationship-summary</w:t>
        </w:r>
      </w:hyperlink>
      <w:r w:rsidRPr="00482C40">
        <w:rPr>
          <w:sz w:val="24"/>
          <w:szCs w:val="24"/>
        </w:rPr>
        <w:t>]</w:t>
      </w:r>
    </w:p>
    <w:p w14:paraId="4CF250F1" w14:textId="77777777" w:rsidR="00481C8F" w:rsidRPr="00482C40" w:rsidRDefault="00481C8F" w:rsidP="00481C8F"/>
    <w:p w14:paraId="07181E8C" w14:textId="2B3F618E" w:rsidR="00481C8F" w:rsidRPr="00482C40" w:rsidRDefault="00481C8F" w:rsidP="004F7472">
      <w:pPr>
        <w:pStyle w:val="Heading3"/>
        <w:ind w:left="274"/>
      </w:pPr>
      <w:r w:rsidRPr="00482C40">
        <w:t>5.7.</w:t>
      </w:r>
      <w:r w:rsidR="00347924" w:rsidRPr="00482C40">
        <w:t>7</w:t>
      </w:r>
      <w:r w:rsidRPr="00482C40">
        <w:t xml:space="preserve"> Recordkeeping </w:t>
      </w:r>
    </w:p>
    <w:p w14:paraId="7CB69C17" w14:textId="1CA9D735" w:rsidR="004F7472" w:rsidRPr="00482C40" w:rsidRDefault="004F7472" w:rsidP="004F7472">
      <w:pPr>
        <w:ind w:left="270"/>
        <w:rPr>
          <w:sz w:val="24"/>
          <w:szCs w:val="24"/>
        </w:rPr>
      </w:pPr>
      <w:r w:rsidRPr="00482C40">
        <w:rPr>
          <w:sz w:val="24"/>
          <w:szCs w:val="24"/>
        </w:rPr>
        <w:t xml:space="preserve">Records of all information collected from and provided to the retail customer shall be  maintained in accordance with recordkeeping rules.  Records are not required to evidence best interest determinations on a recommendation-by-recommendation basis.  Company also is not required to provide information regarding the basis for each particular recommendation.  Records of Form CRS </w:t>
      </w:r>
      <w:r w:rsidR="008F12C0" w:rsidRPr="00482C40">
        <w:rPr>
          <w:sz w:val="24"/>
          <w:szCs w:val="24"/>
        </w:rPr>
        <w:t xml:space="preserve">delivery </w:t>
      </w:r>
      <w:r w:rsidRPr="00482C40">
        <w:rPr>
          <w:sz w:val="24"/>
          <w:szCs w:val="24"/>
        </w:rPr>
        <w:t>will be retained for six years after the earlier of the date that the account was closed or the date on which the information was collected, provided, replaced or updated.</w:t>
      </w:r>
      <w:r w:rsidR="006557A8" w:rsidRPr="00482C40">
        <w:rPr>
          <w:sz w:val="24"/>
          <w:szCs w:val="24"/>
        </w:rPr>
        <w:t xml:space="preserve">  A record of any notice to a client or potential client will be maintained in WinOps</w:t>
      </w:r>
      <w:r w:rsidR="00B9653D" w:rsidRPr="00482C40">
        <w:rPr>
          <w:sz w:val="24"/>
          <w:szCs w:val="24"/>
        </w:rPr>
        <w:t xml:space="preserve"> (group notices may be kept in excel)</w:t>
      </w:r>
      <w:r w:rsidR="006557A8" w:rsidRPr="00482C40">
        <w:rPr>
          <w:sz w:val="24"/>
          <w:szCs w:val="24"/>
        </w:rPr>
        <w:t>.</w:t>
      </w:r>
    </w:p>
    <w:p w14:paraId="37C0FE9B" w14:textId="77777777" w:rsidR="00481C8F" w:rsidRPr="00482C40" w:rsidRDefault="00481C8F" w:rsidP="00481C8F"/>
    <w:p w14:paraId="01F44F36" w14:textId="24705CCA" w:rsidR="00481C8F" w:rsidRPr="00482C40" w:rsidRDefault="00481C8F" w:rsidP="00272D8D">
      <w:pPr>
        <w:pStyle w:val="Heading3"/>
      </w:pPr>
      <w:r w:rsidRPr="00482C40">
        <w:t>5.7.</w:t>
      </w:r>
      <w:r w:rsidR="00347924" w:rsidRPr="00482C40">
        <w:t>8</w:t>
      </w:r>
      <w:r w:rsidRPr="00482C40">
        <w:t xml:space="preserve"> Training</w:t>
      </w:r>
    </w:p>
    <w:p w14:paraId="148F885C" w14:textId="77777777" w:rsidR="00481C8F" w:rsidRPr="00482C40" w:rsidRDefault="00481C8F" w:rsidP="00272D8D">
      <w:pPr>
        <w:ind w:left="270"/>
      </w:pPr>
      <w:r w:rsidRPr="00482C40">
        <w:rPr>
          <w:sz w:val="24"/>
        </w:rPr>
        <w:t>Company will ensure all Associated Persons are properly trained on Regulation BI and the corresponding Form CRS and Company’s policies and procedures related thereto.  A record of any training and the content will be maintained by Company as part of its records for a period of three years.</w:t>
      </w:r>
    </w:p>
    <w:p w14:paraId="6F33AACF" w14:textId="77777777" w:rsidR="007C6877" w:rsidRPr="00482C40" w:rsidRDefault="007C6877" w:rsidP="007C6877">
      <w:pPr>
        <w:pStyle w:val="MRS"/>
        <w:jc w:val="left"/>
      </w:pPr>
    </w:p>
    <w:p w14:paraId="2C2CB32C" w14:textId="77777777" w:rsidR="00A83989" w:rsidRDefault="00A83989" w:rsidP="007C6877">
      <w:pPr>
        <w:pStyle w:val="MRS"/>
        <w:jc w:val="left"/>
        <w:rPr>
          <w:b/>
          <w:bCs/>
        </w:rPr>
      </w:pPr>
    </w:p>
    <w:p w14:paraId="49E26F15" w14:textId="77777777" w:rsidR="007C6877" w:rsidRPr="00E42465" w:rsidRDefault="0000553E" w:rsidP="00936FEE">
      <w:pPr>
        <w:pStyle w:val="Heading2"/>
      </w:pPr>
      <w:r w:rsidRPr="00E42465">
        <w:t>5</w:t>
      </w:r>
      <w:r w:rsidR="00C23199" w:rsidRPr="00E42465">
        <w:t>.</w:t>
      </w:r>
      <w:r w:rsidR="00551A18">
        <w:t>8</w:t>
      </w:r>
      <w:r w:rsidRPr="00E42465">
        <w:t xml:space="preserve"> </w:t>
      </w:r>
      <w:r w:rsidR="007C6877" w:rsidRPr="00E42465">
        <w:t>Accounts for Association and AMEX Employees</w:t>
      </w:r>
    </w:p>
    <w:p w14:paraId="0ECC5924" w14:textId="77777777" w:rsidR="007C6877" w:rsidRDefault="007C6877" w:rsidP="00AD1B5D">
      <w:pPr>
        <w:pStyle w:val="MRS"/>
      </w:pPr>
      <w:r>
        <w:t xml:space="preserve">The Company currently does not maintain any Association or AMEX Employee (“employee”) accounts.  However, in the event it does in the future, the Company shall promptly obtain and implement an instruction from the employee directing that duplicate account statements be provided by the Company to the Association.  The Company shall not directly or indirectly make any loan of money or securities to the employee other than those allowed by law.  The Company </w:t>
      </w:r>
      <w:r>
        <w:lastRenderedPageBreak/>
        <w:t xml:space="preserve">shall not directly or indirectly give, or permit to be given, anything more than nominal value, as set forth in </w:t>
      </w:r>
      <w:r w:rsidRPr="00B81D46">
        <w:t xml:space="preserve">FINRA Rule </w:t>
      </w:r>
      <w:r>
        <w:t>3220</w:t>
      </w:r>
      <w:r w:rsidRPr="00B81D46">
        <w:t>, to any employee who is responsible for any regulatory matter.</w:t>
      </w:r>
    </w:p>
    <w:p w14:paraId="50846BC1" w14:textId="77777777" w:rsidR="00660CEE" w:rsidRDefault="00660CEE" w:rsidP="007C6877">
      <w:pPr>
        <w:pStyle w:val="MRS"/>
        <w:jc w:val="left"/>
      </w:pPr>
    </w:p>
    <w:p w14:paraId="0326B55E" w14:textId="77777777" w:rsidR="007C6877" w:rsidRDefault="007C6877" w:rsidP="007C6877">
      <w:pPr>
        <w:pStyle w:val="MRS"/>
        <w:jc w:val="left"/>
      </w:pPr>
    </w:p>
    <w:p w14:paraId="7F0879FD" w14:textId="77777777" w:rsidR="007C6877" w:rsidRPr="00E42465" w:rsidRDefault="00C23199" w:rsidP="00936FEE">
      <w:pPr>
        <w:pStyle w:val="Heading2"/>
      </w:pPr>
      <w:r w:rsidRPr="00E42465">
        <w:t>5</w:t>
      </w:r>
      <w:r w:rsidR="0000553E" w:rsidRPr="00E42465">
        <w:t>.</w:t>
      </w:r>
      <w:r w:rsidR="000D186A">
        <w:t>9</w:t>
      </w:r>
      <w:r w:rsidR="00DE013D" w:rsidRPr="00E42465">
        <w:t xml:space="preserve"> </w:t>
      </w:r>
      <w:r w:rsidR="007C6877" w:rsidRPr="00E42465">
        <w:t>FINRA Rule 2070</w:t>
      </w:r>
      <w:r w:rsidR="00E42465">
        <w:t>-</w:t>
      </w:r>
      <w:r w:rsidR="007C6877" w:rsidRPr="00E42465">
        <w:t>Transactions Involving FINRA Employees</w:t>
      </w:r>
    </w:p>
    <w:p w14:paraId="033CCA83" w14:textId="77777777" w:rsidR="007C6877" w:rsidRDefault="007C6877" w:rsidP="007C6877">
      <w:pPr>
        <w:jc w:val="both"/>
        <w:rPr>
          <w:sz w:val="24"/>
          <w:szCs w:val="24"/>
        </w:rPr>
      </w:pPr>
      <w:r w:rsidRPr="005B3338">
        <w:rPr>
          <w:sz w:val="24"/>
          <w:szCs w:val="24"/>
        </w:rPr>
        <w:t xml:space="preserve">Pursuant to FINRA Rule </w:t>
      </w:r>
      <w:r w:rsidRPr="005B3338">
        <w:rPr>
          <w:b/>
          <w:sz w:val="24"/>
          <w:szCs w:val="24"/>
        </w:rPr>
        <w:t>2070</w:t>
      </w:r>
      <w:r w:rsidR="00AD1B5D">
        <w:rPr>
          <w:sz w:val="24"/>
          <w:szCs w:val="24"/>
        </w:rPr>
        <w:t>, the Company will ensure:</w:t>
      </w:r>
    </w:p>
    <w:p w14:paraId="4E31C7D9" w14:textId="77777777" w:rsidR="00E837F7" w:rsidRPr="005B3338" w:rsidRDefault="00E837F7" w:rsidP="007C6877">
      <w:pPr>
        <w:jc w:val="both"/>
        <w:rPr>
          <w:sz w:val="24"/>
          <w:szCs w:val="24"/>
        </w:rPr>
      </w:pPr>
    </w:p>
    <w:p w14:paraId="66CCBBE1" w14:textId="77777777" w:rsidR="007C6877" w:rsidRPr="005B3338" w:rsidRDefault="007C6877" w:rsidP="007C6877">
      <w:pPr>
        <w:shd w:val="clear" w:color="auto" w:fill="FFFFFF"/>
        <w:spacing w:line="270" w:lineRule="atLeast"/>
        <w:jc w:val="both"/>
        <w:rPr>
          <w:sz w:val="24"/>
          <w:szCs w:val="24"/>
        </w:rPr>
      </w:pPr>
      <w:r w:rsidRPr="005B3338">
        <w:rPr>
          <w:sz w:val="24"/>
          <w:szCs w:val="24"/>
        </w:rPr>
        <w:t xml:space="preserve">(a) When it has actual notice that a FINRA employee has a financial interest in, or controls trading in, an account, the Company shall promptly obtain and implement an instruction from the employee directing the Company to provide duplicate account statements to FINRA. </w:t>
      </w:r>
    </w:p>
    <w:p w14:paraId="575094BB" w14:textId="77777777" w:rsidR="007C6877" w:rsidRPr="005B3338" w:rsidRDefault="007C6877" w:rsidP="007C6877">
      <w:pPr>
        <w:shd w:val="clear" w:color="auto" w:fill="FFFFFF"/>
        <w:spacing w:line="270" w:lineRule="atLeast"/>
        <w:jc w:val="both"/>
        <w:rPr>
          <w:sz w:val="24"/>
          <w:szCs w:val="24"/>
        </w:rPr>
      </w:pPr>
      <w:r w:rsidRPr="005B3338">
        <w:rPr>
          <w:sz w:val="24"/>
          <w:szCs w:val="24"/>
        </w:rPr>
        <w:t xml:space="preserve">(b) It does not directly or indirectly make any loan of money or securities to any FINRA employee. However, this prohibition does not apply to loans made in the context of disclosed, routine banking and brokerage agreements, or loans that are clearly motivated by a personal or family relationship. </w:t>
      </w:r>
    </w:p>
    <w:p w14:paraId="4966BCA6" w14:textId="77777777" w:rsidR="007C6877" w:rsidRPr="005B3338" w:rsidRDefault="007C6877" w:rsidP="007C6877">
      <w:pPr>
        <w:shd w:val="clear" w:color="auto" w:fill="FFFFFF"/>
        <w:spacing w:line="270" w:lineRule="atLeast"/>
        <w:jc w:val="both"/>
        <w:rPr>
          <w:sz w:val="24"/>
          <w:szCs w:val="24"/>
        </w:rPr>
      </w:pPr>
      <w:r w:rsidRPr="005B3338">
        <w:rPr>
          <w:sz w:val="24"/>
          <w:szCs w:val="24"/>
        </w:rPr>
        <w:t xml:space="preserve">(c) Notwithstanding the annual dollar limitation set forth in Rule 3220(a), it does not directly or indirectly give, or permit to be given, anything above nominal value to any FINRA employee who has responsibility for a regulatory matter involving the Company. For purposes of this paragraph, the term "regulatory matter" includes, but is not limited to, examinations, disciplinary proceedings, membership applications and dispute-resolution proceedings. </w:t>
      </w:r>
    </w:p>
    <w:p w14:paraId="056009AB" w14:textId="77777777" w:rsidR="007C6877" w:rsidRDefault="007C6877" w:rsidP="007C6877">
      <w:pPr>
        <w:pStyle w:val="MRS"/>
        <w:jc w:val="left"/>
      </w:pPr>
    </w:p>
    <w:p w14:paraId="505FA509" w14:textId="77777777" w:rsidR="00C23199" w:rsidRPr="00B81D46" w:rsidRDefault="00C23199" w:rsidP="007C6877">
      <w:pPr>
        <w:pStyle w:val="MRS"/>
        <w:jc w:val="left"/>
      </w:pPr>
    </w:p>
    <w:p w14:paraId="004B21CA" w14:textId="77777777" w:rsidR="007C6877" w:rsidRPr="00E42465" w:rsidRDefault="00C23199" w:rsidP="00936FEE">
      <w:pPr>
        <w:pStyle w:val="Heading2"/>
      </w:pPr>
      <w:r w:rsidRPr="00E42465">
        <w:t>5</w:t>
      </w:r>
      <w:r w:rsidR="0000553E" w:rsidRPr="00E42465">
        <w:t>.</w:t>
      </w:r>
      <w:r w:rsidR="007E013F" w:rsidRPr="00E42465">
        <w:t>1</w:t>
      </w:r>
      <w:r w:rsidR="000D186A">
        <w:t>0</w:t>
      </w:r>
      <w:r w:rsidR="0000553E" w:rsidRPr="00E42465">
        <w:t xml:space="preserve"> </w:t>
      </w:r>
      <w:r w:rsidR="00F35CC2" w:rsidRPr="00E42465">
        <w:t>FINRA Rule 3110(f)</w:t>
      </w:r>
      <w:r w:rsidR="00E42465">
        <w:t>-</w:t>
      </w:r>
      <w:r w:rsidR="007C6877" w:rsidRPr="00E42465">
        <w:t>Predispute Arbitration Agreements</w:t>
      </w:r>
    </w:p>
    <w:p w14:paraId="5D5BFBDA" w14:textId="77777777" w:rsidR="007C6877" w:rsidRDefault="007C6877" w:rsidP="007C6877">
      <w:pPr>
        <w:autoSpaceDE w:val="0"/>
        <w:autoSpaceDN w:val="0"/>
        <w:adjustRightInd w:val="0"/>
        <w:rPr>
          <w:sz w:val="24"/>
        </w:rPr>
      </w:pPr>
      <w:r w:rsidRPr="00B81D46">
        <w:rPr>
          <w:sz w:val="24"/>
        </w:rPr>
        <w:t xml:space="preserve">Pursuant to FINRA Rule 3110(f), the Company will provide a copy of </w:t>
      </w:r>
      <w:r w:rsidR="000F56AD">
        <w:rPr>
          <w:sz w:val="24"/>
        </w:rPr>
        <w:t>its</w:t>
      </w:r>
      <w:r w:rsidRPr="00B81D46">
        <w:rPr>
          <w:sz w:val="24"/>
        </w:rPr>
        <w:t xml:space="preserve"> customer agreement containing the predispute arbitration clause to the customer, who must acknowledge receipt thereof on the New Account Form, at the time of signing</w:t>
      </w:r>
      <w:r w:rsidR="00297FCA">
        <w:rPr>
          <w:sz w:val="24"/>
        </w:rPr>
        <w:t>.</w:t>
      </w:r>
      <w:r w:rsidR="00297FCA" w:rsidRPr="00B81D46">
        <w:rPr>
          <w:sz w:val="24"/>
        </w:rPr>
        <w:t xml:space="preserve"> The</w:t>
      </w:r>
      <w:r w:rsidRPr="00B81D46">
        <w:rPr>
          <w:sz w:val="24"/>
        </w:rPr>
        <w:t xml:space="preserve"> time requirement for delivery of a copy of the customer agreement from the time of signing must be within 30 days of signing.  In addition, the Company will provide customers who request a copy of any predispute arbitration clause or client agreement with a copy within 10 business days of the request.  The changes to FINRA Rule 3110(f) approved by the SEC on November 22, 2004, bec</w:t>
      </w:r>
      <w:r w:rsidR="007356BF">
        <w:rPr>
          <w:sz w:val="24"/>
        </w:rPr>
        <w:t>a</w:t>
      </w:r>
      <w:r w:rsidRPr="00B81D46">
        <w:rPr>
          <w:sz w:val="24"/>
        </w:rPr>
        <w:t>me effective on June 1, 2005.</w:t>
      </w:r>
    </w:p>
    <w:p w14:paraId="2CD9C040" w14:textId="77777777" w:rsidR="00C20374" w:rsidRDefault="00C20374" w:rsidP="007C6877">
      <w:pPr>
        <w:autoSpaceDE w:val="0"/>
        <w:autoSpaceDN w:val="0"/>
        <w:adjustRightInd w:val="0"/>
        <w:rPr>
          <w:sz w:val="24"/>
        </w:rPr>
      </w:pPr>
    </w:p>
    <w:p w14:paraId="38B12840" w14:textId="77777777" w:rsidR="00C20374" w:rsidRPr="00C20374" w:rsidRDefault="00C20374" w:rsidP="00C20374">
      <w:pPr>
        <w:pStyle w:val="Heading3"/>
        <w:rPr>
          <w:b w:val="0"/>
          <w:i/>
        </w:rPr>
      </w:pPr>
      <w:r>
        <w:t xml:space="preserve">5.10.1 FINRA Rule 2268 </w:t>
      </w:r>
      <w:r w:rsidR="006152BF">
        <w:t xml:space="preserve">– Disclosures </w:t>
      </w:r>
      <w:r w:rsidRPr="00C20374">
        <w:rPr>
          <w:b w:val="0"/>
          <w:i/>
          <w:sz w:val="20"/>
          <w:szCs w:val="20"/>
        </w:rPr>
        <w:t>(</w:t>
      </w:r>
      <w:proofErr w:type="gramStart"/>
      <w:r w:rsidRPr="00C20374">
        <w:rPr>
          <w:b w:val="0"/>
          <w:i/>
          <w:sz w:val="20"/>
          <w:szCs w:val="20"/>
        </w:rPr>
        <w:t>eff</w:t>
      </w:r>
      <w:proofErr w:type="gramEnd"/>
      <w:r w:rsidRPr="00C20374">
        <w:rPr>
          <w:b w:val="0"/>
          <w:i/>
          <w:sz w:val="20"/>
          <w:szCs w:val="20"/>
        </w:rPr>
        <w:t xml:space="preserve"> 12/05/11)</w:t>
      </w:r>
    </w:p>
    <w:p w14:paraId="7F61E049" w14:textId="77777777" w:rsidR="007C6877" w:rsidRDefault="00C20374" w:rsidP="00C20374">
      <w:pPr>
        <w:autoSpaceDE w:val="0"/>
        <w:autoSpaceDN w:val="0"/>
        <w:adjustRightInd w:val="0"/>
        <w:ind w:left="270"/>
        <w:rPr>
          <w:sz w:val="24"/>
          <w:szCs w:val="24"/>
        </w:rPr>
      </w:pPr>
      <w:r w:rsidRPr="009F1432">
        <w:rPr>
          <w:sz w:val="24"/>
          <w:szCs w:val="24"/>
        </w:rPr>
        <w:t>FINRA Rule 2268 requires, among other things, that predispute arbitration agreements contain certain highlighted disclosures so that customers are advised about what they are agreeing to when they sign them. The new rule continues the requirements of NASD Rule 3110(f) and updates the disclosure language to reflect amendments to FINRA Rule 12904, which requires arbitrators to provide an explained decision to the parties in eligible cases if there is a joint request by all parties at least 20 days before the first scheduled hearing date. The disclosure provision regarding explained decisions will apply prospectively to predispute arbitration agreements entered into on or after December 5, 2011, the effective</w:t>
      </w:r>
      <w:r w:rsidR="000346AA" w:rsidRPr="009F1432">
        <w:rPr>
          <w:sz w:val="24"/>
          <w:szCs w:val="24"/>
        </w:rPr>
        <w:t xml:space="preserve"> date of the Rule.</w:t>
      </w:r>
    </w:p>
    <w:p w14:paraId="68E643D5" w14:textId="77777777" w:rsidR="00B3286C" w:rsidRPr="009F1432" w:rsidRDefault="00B3286C" w:rsidP="00C20374">
      <w:pPr>
        <w:autoSpaceDE w:val="0"/>
        <w:autoSpaceDN w:val="0"/>
        <w:adjustRightInd w:val="0"/>
        <w:ind w:left="270"/>
        <w:rPr>
          <w:sz w:val="24"/>
          <w:szCs w:val="24"/>
        </w:rPr>
      </w:pPr>
    </w:p>
    <w:p w14:paraId="64C53132" w14:textId="77777777" w:rsidR="00A83989" w:rsidRPr="009F1432" w:rsidRDefault="00A83989" w:rsidP="007C6877">
      <w:pPr>
        <w:autoSpaceDE w:val="0"/>
        <w:autoSpaceDN w:val="0"/>
        <w:adjustRightInd w:val="0"/>
        <w:rPr>
          <w:rFonts w:ascii="Frutiger-Roman" w:hAnsi="Frutiger-Roman"/>
        </w:rPr>
      </w:pPr>
    </w:p>
    <w:p w14:paraId="7BFD3DCD" w14:textId="77777777" w:rsidR="007C6877" w:rsidRPr="009F1432" w:rsidRDefault="00C23199" w:rsidP="00936FEE">
      <w:pPr>
        <w:pStyle w:val="Heading2"/>
      </w:pPr>
      <w:bookmarkStart w:id="80" w:name="Suitability"/>
      <w:bookmarkStart w:id="81" w:name="_5.11_Suitability"/>
      <w:bookmarkEnd w:id="80"/>
      <w:bookmarkEnd w:id="81"/>
      <w:r w:rsidRPr="009F1432">
        <w:t>5</w:t>
      </w:r>
      <w:r w:rsidR="0000553E" w:rsidRPr="009F1432">
        <w:t>.</w:t>
      </w:r>
      <w:r w:rsidRPr="009F1432">
        <w:t>1</w:t>
      </w:r>
      <w:r w:rsidR="000D186A" w:rsidRPr="009F1432">
        <w:t>1</w:t>
      </w:r>
      <w:r w:rsidR="00DE013D" w:rsidRPr="009F1432">
        <w:t xml:space="preserve"> </w:t>
      </w:r>
      <w:r w:rsidR="007C6877" w:rsidRPr="009F1432">
        <w:t>Suitability</w:t>
      </w:r>
    </w:p>
    <w:p w14:paraId="3D38DE3B" w14:textId="69ADB05B" w:rsidR="00173434" w:rsidRPr="00482C40" w:rsidRDefault="00F32C79" w:rsidP="00BD20DF">
      <w:pPr>
        <w:rPr>
          <w:sz w:val="24"/>
        </w:rPr>
      </w:pPr>
      <w:r>
        <w:rPr>
          <w:sz w:val="24"/>
        </w:rPr>
        <w:t>W</w:t>
      </w:r>
      <w:r w:rsidR="00173434" w:rsidRPr="00D14441">
        <w:rPr>
          <w:sz w:val="24"/>
        </w:rPr>
        <w:t xml:space="preserve">hen opening and maintaining customer </w:t>
      </w:r>
      <w:r w:rsidR="00173434" w:rsidRPr="00482C40">
        <w:rPr>
          <w:sz w:val="24"/>
        </w:rPr>
        <w:t>accounts</w:t>
      </w:r>
      <w:r w:rsidRPr="00482C40">
        <w:rPr>
          <w:sz w:val="24"/>
        </w:rPr>
        <w:t xml:space="preserve"> that are not subject to Reg BI</w:t>
      </w:r>
      <w:r w:rsidR="002B7016" w:rsidRPr="00482C40">
        <w:rPr>
          <w:sz w:val="24"/>
        </w:rPr>
        <w:t xml:space="preserve"> (i.e. </w:t>
      </w:r>
      <w:r w:rsidR="002B7016" w:rsidRPr="00482C40">
        <w:rPr>
          <w:sz w:val="24"/>
          <w:szCs w:val="24"/>
          <w:shd w:val="clear" w:color="auto" w:fill="FFFFFF"/>
        </w:rPr>
        <w:t xml:space="preserve">entities and institutions (e.g. pension funds) and natural persons who will NOT use recommendations primarily for personal, family, or household purposes (e.g., small business owners and </w:t>
      </w:r>
      <w:r w:rsidR="002B7016" w:rsidRPr="00482C40">
        <w:rPr>
          <w:sz w:val="24"/>
          <w:szCs w:val="24"/>
          <w:shd w:val="clear" w:color="auto" w:fill="FFFFFF"/>
        </w:rPr>
        <w:lastRenderedPageBreak/>
        <w:t>charitable trusts)</w:t>
      </w:r>
      <w:r w:rsidRPr="00482C40">
        <w:rPr>
          <w:sz w:val="24"/>
          <w:szCs w:val="24"/>
        </w:rPr>
        <w:t>,</w:t>
      </w:r>
      <w:r w:rsidRPr="00482C40">
        <w:rPr>
          <w:sz w:val="24"/>
        </w:rPr>
        <w:t xml:space="preserve"> </w:t>
      </w:r>
      <w:r w:rsidR="00173434" w:rsidRPr="00482C40">
        <w:rPr>
          <w:sz w:val="24"/>
        </w:rPr>
        <w:t xml:space="preserve">Company and its RRs are obligated to use reasonable due diligence to “know the customer” by obtaining essential facts about the customer and the authority of each person acting on behalf of the customer. </w:t>
      </w:r>
      <w:r w:rsidRPr="00482C40">
        <w:rPr>
          <w:sz w:val="24"/>
        </w:rPr>
        <w:t xml:space="preserve"> </w:t>
      </w:r>
    </w:p>
    <w:p w14:paraId="49B2418B" w14:textId="77777777" w:rsidR="00173434" w:rsidRPr="00482C40" w:rsidRDefault="00173434" w:rsidP="00BD20DF">
      <w:pPr>
        <w:rPr>
          <w:sz w:val="24"/>
        </w:rPr>
      </w:pPr>
    </w:p>
    <w:p w14:paraId="56894F9B" w14:textId="1936F5BE" w:rsidR="007C6877" w:rsidRDefault="00F32C79" w:rsidP="00BD20DF">
      <w:pPr>
        <w:rPr>
          <w:sz w:val="24"/>
        </w:rPr>
      </w:pPr>
      <w:r w:rsidRPr="00482C40">
        <w:rPr>
          <w:sz w:val="24"/>
        </w:rPr>
        <w:t>However, a</w:t>
      </w:r>
      <w:r w:rsidR="007C6877" w:rsidRPr="00482C40">
        <w:rPr>
          <w:sz w:val="24"/>
        </w:rPr>
        <w:t>ll Associated Persons will determine each customer's investment objectives and desires</w:t>
      </w:r>
      <w:r w:rsidRPr="00482C40">
        <w:rPr>
          <w:sz w:val="24"/>
        </w:rPr>
        <w:t xml:space="preserve"> (whether subject to Reg BI or not)</w:t>
      </w:r>
      <w:r w:rsidR="007C6877" w:rsidRPr="00482C40">
        <w:rPr>
          <w:sz w:val="24"/>
        </w:rPr>
        <w:t xml:space="preserve">.  These objectives and desires will be evaluated with respect to each client's circumstances and financial condition.  Investments will not be allowed </w:t>
      </w:r>
      <w:r w:rsidR="007C6877">
        <w:rPr>
          <w:sz w:val="24"/>
        </w:rPr>
        <w:t xml:space="preserve">nor recommended which are not compatible with the objectives and desires of each customer. </w:t>
      </w:r>
    </w:p>
    <w:p w14:paraId="6CBFCC8A" w14:textId="77777777" w:rsidR="007C6877" w:rsidRDefault="007C6877" w:rsidP="007C6877">
      <w:pPr>
        <w:jc w:val="both"/>
        <w:rPr>
          <w:sz w:val="24"/>
        </w:rPr>
      </w:pPr>
    </w:p>
    <w:p w14:paraId="1516C52B" w14:textId="77777777" w:rsidR="00F86169" w:rsidRDefault="007C6877" w:rsidP="007C6877">
      <w:pPr>
        <w:jc w:val="both"/>
        <w:rPr>
          <w:sz w:val="24"/>
        </w:rPr>
      </w:pPr>
      <w:r>
        <w:rPr>
          <w:sz w:val="24"/>
        </w:rPr>
        <w:t xml:space="preserve">Factors to be utilized in determining such objectives and desires will be: </w:t>
      </w:r>
    </w:p>
    <w:p w14:paraId="2596BFFD" w14:textId="77777777" w:rsidR="00F86169" w:rsidRDefault="00BD20DF" w:rsidP="007C6877">
      <w:pPr>
        <w:jc w:val="both"/>
        <w:rPr>
          <w:sz w:val="24"/>
        </w:rPr>
      </w:pPr>
      <w:r>
        <w:rPr>
          <w:sz w:val="24"/>
        </w:rPr>
        <w:t>(a)  C</w:t>
      </w:r>
      <w:r w:rsidR="007C6877">
        <w:rPr>
          <w:sz w:val="24"/>
        </w:rPr>
        <w:t xml:space="preserve">ustomer's relative financial position; </w:t>
      </w:r>
    </w:p>
    <w:p w14:paraId="23501DAF" w14:textId="77777777" w:rsidR="00F86169" w:rsidRDefault="00BD20DF" w:rsidP="007C6877">
      <w:pPr>
        <w:jc w:val="both"/>
        <w:rPr>
          <w:sz w:val="24"/>
        </w:rPr>
      </w:pPr>
      <w:r>
        <w:rPr>
          <w:sz w:val="24"/>
        </w:rPr>
        <w:t>(b)  I</w:t>
      </w:r>
      <w:r w:rsidR="007C6877">
        <w:rPr>
          <w:sz w:val="24"/>
        </w:rPr>
        <w:t xml:space="preserve">ncome and type of employment; </w:t>
      </w:r>
    </w:p>
    <w:p w14:paraId="538F9512" w14:textId="77777777" w:rsidR="00F86169" w:rsidRDefault="007C6877" w:rsidP="007C6877">
      <w:pPr>
        <w:jc w:val="both"/>
        <w:rPr>
          <w:sz w:val="24"/>
        </w:rPr>
      </w:pPr>
      <w:r>
        <w:rPr>
          <w:sz w:val="24"/>
        </w:rPr>
        <w:t xml:space="preserve">(c) </w:t>
      </w:r>
      <w:r w:rsidR="00BD20DF">
        <w:rPr>
          <w:sz w:val="24"/>
        </w:rPr>
        <w:t xml:space="preserve"> L</w:t>
      </w:r>
      <w:r>
        <w:rPr>
          <w:sz w:val="24"/>
        </w:rPr>
        <w:t>evel of education</w:t>
      </w:r>
      <w:r w:rsidR="00AD225E">
        <w:rPr>
          <w:sz w:val="24"/>
        </w:rPr>
        <w:t xml:space="preserve"> or financial experience</w:t>
      </w:r>
      <w:r>
        <w:rPr>
          <w:sz w:val="24"/>
        </w:rPr>
        <w:t xml:space="preserve">; </w:t>
      </w:r>
    </w:p>
    <w:p w14:paraId="4656ACDB" w14:textId="77777777" w:rsidR="00F86169" w:rsidRDefault="007C6877" w:rsidP="007C6877">
      <w:pPr>
        <w:jc w:val="both"/>
        <w:rPr>
          <w:sz w:val="24"/>
        </w:rPr>
      </w:pPr>
      <w:r>
        <w:rPr>
          <w:sz w:val="24"/>
        </w:rPr>
        <w:t xml:space="preserve">(d) </w:t>
      </w:r>
      <w:r w:rsidR="00BD20DF">
        <w:rPr>
          <w:sz w:val="24"/>
        </w:rPr>
        <w:t xml:space="preserve"> M</w:t>
      </w:r>
      <w:r>
        <w:rPr>
          <w:sz w:val="24"/>
        </w:rPr>
        <w:t xml:space="preserve">arital status; </w:t>
      </w:r>
    </w:p>
    <w:p w14:paraId="063214D2" w14:textId="77777777" w:rsidR="00F86169" w:rsidRDefault="00BD20DF" w:rsidP="007C6877">
      <w:pPr>
        <w:jc w:val="both"/>
        <w:rPr>
          <w:sz w:val="24"/>
        </w:rPr>
      </w:pPr>
      <w:r>
        <w:rPr>
          <w:sz w:val="24"/>
        </w:rPr>
        <w:t>(e)  C</w:t>
      </w:r>
      <w:r w:rsidR="007C6877">
        <w:rPr>
          <w:sz w:val="24"/>
        </w:rPr>
        <w:t>ustomer's ability to h</w:t>
      </w:r>
      <w:r w:rsidR="00F86169">
        <w:rPr>
          <w:sz w:val="24"/>
        </w:rPr>
        <w:t xml:space="preserve">old an investment, long term; </w:t>
      </w:r>
    </w:p>
    <w:p w14:paraId="4A5565CD" w14:textId="77777777" w:rsidR="00F86169" w:rsidRPr="00D14441" w:rsidRDefault="00F86169" w:rsidP="007C6877">
      <w:pPr>
        <w:jc w:val="both"/>
        <w:rPr>
          <w:sz w:val="24"/>
        </w:rPr>
      </w:pPr>
      <w:r w:rsidRPr="00D14441">
        <w:rPr>
          <w:sz w:val="24"/>
        </w:rPr>
        <w:t xml:space="preserve">(f) </w:t>
      </w:r>
      <w:r w:rsidR="00BD20DF" w:rsidRPr="00D14441">
        <w:rPr>
          <w:sz w:val="24"/>
        </w:rPr>
        <w:t xml:space="preserve"> A</w:t>
      </w:r>
      <w:r w:rsidRPr="00D14441">
        <w:rPr>
          <w:sz w:val="24"/>
        </w:rPr>
        <w:t xml:space="preserve">ge; </w:t>
      </w:r>
    </w:p>
    <w:p w14:paraId="492F3513" w14:textId="77777777" w:rsidR="00F86169" w:rsidRPr="00D14441" w:rsidRDefault="00F86169" w:rsidP="007C6877">
      <w:pPr>
        <w:jc w:val="both"/>
        <w:rPr>
          <w:sz w:val="24"/>
        </w:rPr>
      </w:pPr>
      <w:r w:rsidRPr="00D14441">
        <w:rPr>
          <w:sz w:val="24"/>
        </w:rPr>
        <w:t xml:space="preserve">(g) </w:t>
      </w:r>
      <w:r w:rsidR="00BD20DF" w:rsidRPr="00D14441">
        <w:rPr>
          <w:sz w:val="24"/>
        </w:rPr>
        <w:t xml:space="preserve"> Li</w:t>
      </w:r>
      <w:r w:rsidRPr="00D14441">
        <w:rPr>
          <w:sz w:val="24"/>
        </w:rPr>
        <w:t>quidity needs; and</w:t>
      </w:r>
    </w:p>
    <w:p w14:paraId="3313FE4F" w14:textId="77777777" w:rsidR="00A61615" w:rsidRDefault="00F86169" w:rsidP="007C6877">
      <w:pPr>
        <w:jc w:val="both"/>
        <w:rPr>
          <w:sz w:val="24"/>
        </w:rPr>
      </w:pPr>
      <w:r w:rsidRPr="00D14441">
        <w:rPr>
          <w:sz w:val="24"/>
        </w:rPr>
        <w:t>(h</w:t>
      </w:r>
      <w:r w:rsidR="00BD20DF" w:rsidRPr="00D14441">
        <w:rPr>
          <w:sz w:val="24"/>
        </w:rPr>
        <w:t>)  T</w:t>
      </w:r>
      <w:r w:rsidRPr="00D14441">
        <w:rPr>
          <w:sz w:val="24"/>
        </w:rPr>
        <w:t>ime horizon</w:t>
      </w:r>
      <w:r w:rsidR="00A61615">
        <w:rPr>
          <w:sz w:val="24"/>
        </w:rPr>
        <w:t>:</w:t>
      </w:r>
    </w:p>
    <w:p w14:paraId="210FDF76" w14:textId="77777777" w:rsidR="00A61615" w:rsidRPr="00424F51" w:rsidRDefault="00A61615" w:rsidP="00A61615">
      <w:pPr>
        <w:ind w:left="360" w:firstLine="90"/>
        <w:jc w:val="both"/>
        <w:rPr>
          <w:sz w:val="24"/>
        </w:rPr>
      </w:pPr>
      <w:r w:rsidRPr="00424F51">
        <w:rPr>
          <w:sz w:val="24"/>
        </w:rPr>
        <w:t>Short – less than five years;</w:t>
      </w:r>
    </w:p>
    <w:p w14:paraId="78FC85A2" w14:textId="77777777" w:rsidR="00A61615" w:rsidRPr="00424F51" w:rsidRDefault="00A61615" w:rsidP="00A61615">
      <w:pPr>
        <w:ind w:left="360" w:firstLine="90"/>
        <w:jc w:val="both"/>
        <w:rPr>
          <w:sz w:val="24"/>
        </w:rPr>
      </w:pPr>
      <w:r w:rsidRPr="00424F51">
        <w:rPr>
          <w:sz w:val="24"/>
        </w:rPr>
        <w:t>Medium – between 5 and 10 years; and</w:t>
      </w:r>
    </w:p>
    <w:p w14:paraId="0A9F9AE8" w14:textId="77777777" w:rsidR="00F86169" w:rsidRPr="00424F51" w:rsidRDefault="00A61615" w:rsidP="00A61615">
      <w:pPr>
        <w:ind w:left="360" w:firstLine="90"/>
        <w:jc w:val="both"/>
        <w:rPr>
          <w:sz w:val="24"/>
        </w:rPr>
      </w:pPr>
      <w:r w:rsidRPr="00424F51">
        <w:rPr>
          <w:sz w:val="24"/>
        </w:rPr>
        <w:t>Long – greater than 10 years</w:t>
      </w:r>
      <w:r w:rsidR="00F86169" w:rsidRPr="00424F51">
        <w:rPr>
          <w:sz w:val="24"/>
        </w:rPr>
        <w:t>.</w:t>
      </w:r>
    </w:p>
    <w:p w14:paraId="28065DEC" w14:textId="77777777" w:rsidR="00F86169" w:rsidRPr="00D14441" w:rsidRDefault="00F86169" w:rsidP="007C6877">
      <w:pPr>
        <w:jc w:val="both"/>
        <w:rPr>
          <w:sz w:val="24"/>
        </w:rPr>
      </w:pPr>
    </w:p>
    <w:p w14:paraId="174DDD96" w14:textId="77777777" w:rsidR="007C6877" w:rsidRPr="00D14441" w:rsidRDefault="007C6877" w:rsidP="007C6877">
      <w:pPr>
        <w:jc w:val="both"/>
        <w:rPr>
          <w:sz w:val="24"/>
        </w:rPr>
      </w:pPr>
      <w:r w:rsidRPr="00D14441">
        <w:rPr>
          <w:sz w:val="24"/>
        </w:rPr>
        <w:t>Every Associated Person must make a reasonable effort to obtain this information for every new account</w:t>
      </w:r>
      <w:r w:rsidR="007E60E3" w:rsidRPr="00D14441">
        <w:rPr>
          <w:sz w:val="24"/>
        </w:rPr>
        <w:t xml:space="preserve"> on the New Account Form and updated when necessary or received from the customer</w:t>
      </w:r>
      <w:r w:rsidRPr="00D14441">
        <w:rPr>
          <w:sz w:val="24"/>
        </w:rPr>
        <w:t xml:space="preserve">.  </w:t>
      </w:r>
    </w:p>
    <w:p w14:paraId="213A7579" w14:textId="77777777" w:rsidR="007C6877" w:rsidRPr="00D14441" w:rsidRDefault="007C6877" w:rsidP="00A14DFB">
      <w:pPr>
        <w:ind w:firstLine="288"/>
        <w:jc w:val="both"/>
        <w:rPr>
          <w:sz w:val="24"/>
        </w:rPr>
      </w:pPr>
    </w:p>
    <w:p w14:paraId="5AB95C5A" w14:textId="77777777" w:rsidR="007C6877" w:rsidRPr="006D5CDF" w:rsidRDefault="007C6877" w:rsidP="007C6877">
      <w:pPr>
        <w:jc w:val="both"/>
        <w:rPr>
          <w:sz w:val="24"/>
        </w:rPr>
      </w:pPr>
      <w:r w:rsidRPr="00D14441">
        <w:rPr>
          <w:sz w:val="24"/>
        </w:rPr>
        <w:t>All Associated Persons shall conduct their business by observing the high standards of commercial honor and just and equitable principals of trade as promulgated by our regulatory authorities and Company</w:t>
      </w:r>
      <w:r w:rsidR="000F56AD">
        <w:rPr>
          <w:sz w:val="24"/>
        </w:rPr>
        <w:t>’s</w:t>
      </w:r>
      <w:r w:rsidRPr="00D14441">
        <w:rPr>
          <w:sz w:val="24"/>
        </w:rPr>
        <w:t xml:space="preserve"> procedures.  </w:t>
      </w:r>
      <w:r w:rsidR="00E359D0" w:rsidRPr="006D5CDF">
        <w:rPr>
          <w:sz w:val="24"/>
        </w:rPr>
        <w:t xml:space="preserve">In addition, Associated Persons may not offer tax advice and should refer clients to their tax professional. </w:t>
      </w:r>
    </w:p>
    <w:p w14:paraId="1418C7C8" w14:textId="77777777" w:rsidR="00AA1707" w:rsidRPr="00D14441" w:rsidRDefault="00AA1707" w:rsidP="007C6877">
      <w:pPr>
        <w:jc w:val="both"/>
        <w:rPr>
          <w:sz w:val="24"/>
        </w:rPr>
      </w:pPr>
    </w:p>
    <w:p w14:paraId="15B50A64" w14:textId="77777777" w:rsidR="00C23199" w:rsidRPr="00D14441" w:rsidRDefault="006106BA" w:rsidP="006106BA">
      <w:pPr>
        <w:pStyle w:val="Heading3"/>
      </w:pPr>
      <w:r w:rsidRPr="00D14441">
        <w:t>5.11.1 Suitability of Recommendations</w:t>
      </w:r>
    </w:p>
    <w:p w14:paraId="5D5C63C9" w14:textId="77777777" w:rsidR="006106BA" w:rsidRPr="00D14441" w:rsidRDefault="006106BA" w:rsidP="006106BA">
      <w:pPr>
        <w:shd w:val="clear" w:color="auto" w:fill="FFFFFF"/>
        <w:ind w:left="274"/>
        <w:rPr>
          <w:spacing w:val="8"/>
          <w:sz w:val="24"/>
          <w:szCs w:val="24"/>
        </w:rPr>
      </w:pPr>
      <w:r w:rsidRPr="00D14441">
        <w:rPr>
          <w:spacing w:val="8"/>
          <w:sz w:val="24"/>
          <w:szCs w:val="24"/>
        </w:rPr>
        <w:t xml:space="preserve">RRs must have a reasonable basis for believing that a recommended transaction or </w:t>
      </w:r>
      <w:r w:rsidRPr="00D14441">
        <w:rPr>
          <w:b/>
          <w:i/>
          <w:spacing w:val="8"/>
          <w:sz w:val="24"/>
          <w:szCs w:val="24"/>
        </w:rPr>
        <w:t>investment strategy</w:t>
      </w:r>
      <w:r w:rsidRPr="00D14441">
        <w:rPr>
          <w:spacing w:val="8"/>
          <w:sz w:val="24"/>
          <w:szCs w:val="24"/>
        </w:rPr>
        <w:t xml:space="preserve"> involving a security or securities is suitable for the customer. Recommendations should be based on information obtained through reasonable diligence to ascertain the customer's investment profile</w:t>
      </w:r>
      <w:r w:rsidR="00CF085F" w:rsidRPr="00D14441">
        <w:rPr>
          <w:spacing w:val="8"/>
          <w:sz w:val="24"/>
          <w:szCs w:val="24"/>
        </w:rPr>
        <w:t xml:space="preserve"> listed above</w:t>
      </w:r>
      <w:r w:rsidRPr="00D14441">
        <w:rPr>
          <w:spacing w:val="8"/>
          <w:sz w:val="24"/>
          <w:szCs w:val="24"/>
        </w:rPr>
        <w:t xml:space="preserve"> and any other information the customer may disclose in connection with the recommendation.</w:t>
      </w:r>
    </w:p>
    <w:p w14:paraId="3C6CFE78" w14:textId="77777777" w:rsidR="004C700D" w:rsidRPr="00D14441" w:rsidRDefault="004C700D" w:rsidP="006106BA">
      <w:pPr>
        <w:shd w:val="clear" w:color="auto" w:fill="FFFFFF"/>
        <w:ind w:left="274"/>
        <w:rPr>
          <w:spacing w:val="8"/>
          <w:sz w:val="24"/>
          <w:szCs w:val="24"/>
        </w:rPr>
      </w:pPr>
    </w:p>
    <w:p w14:paraId="3C6B2360" w14:textId="77777777" w:rsidR="004C700D" w:rsidRPr="00D14441" w:rsidRDefault="004C700D" w:rsidP="004C700D">
      <w:pPr>
        <w:pStyle w:val="Heading3"/>
      </w:pPr>
      <w:r w:rsidRPr="00D14441">
        <w:t>5.11.2 Investment Strategy</w:t>
      </w:r>
    </w:p>
    <w:p w14:paraId="7538F549" w14:textId="77777777" w:rsidR="00D14271" w:rsidRPr="00D14441" w:rsidRDefault="00D14271" w:rsidP="00D14271">
      <w:pPr>
        <w:shd w:val="clear" w:color="auto" w:fill="FFFFFF"/>
        <w:spacing w:before="13" w:after="100" w:afterAutospacing="1" w:line="200" w:lineRule="atLeast"/>
        <w:ind w:left="270"/>
        <w:rPr>
          <w:spacing w:val="8"/>
          <w:sz w:val="24"/>
          <w:szCs w:val="24"/>
        </w:rPr>
      </w:pPr>
      <w:r w:rsidRPr="00D14441">
        <w:rPr>
          <w:spacing w:val="8"/>
          <w:sz w:val="24"/>
          <w:szCs w:val="24"/>
        </w:rPr>
        <w:t xml:space="preserve">“Investment strategy" is defined in FINRA rules to include, among other things, an explicit recommendation to hold a security or securities. </w:t>
      </w:r>
      <w:r w:rsidR="003A0175" w:rsidRPr="00D14441">
        <w:rPr>
          <w:spacing w:val="8"/>
          <w:sz w:val="24"/>
          <w:szCs w:val="24"/>
        </w:rPr>
        <w:t xml:space="preserve"> </w:t>
      </w:r>
      <w:r w:rsidRPr="00D14441">
        <w:rPr>
          <w:spacing w:val="8"/>
          <w:sz w:val="24"/>
          <w:szCs w:val="24"/>
        </w:rPr>
        <w:t>However, the following communications are excluded as long as they do not include (standing alone or in combination with other communications) a recommendation of a particular security or securities:</w:t>
      </w:r>
    </w:p>
    <w:p w14:paraId="2526E270" w14:textId="77777777" w:rsidR="00D14271" w:rsidRPr="00D14441" w:rsidRDefault="00D14271" w:rsidP="003E7B18">
      <w:pPr>
        <w:numPr>
          <w:ilvl w:val="0"/>
          <w:numId w:val="170"/>
        </w:numPr>
        <w:shd w:val="clear" w:color="auto" w:fill="FFFFFF"/>
        <w:spacing w:before="100" w:beforeAutospacing="1" w:after="100" w:afterAutospacing="1" w:line="200" w:lineRule="atLeast"/>
        <w:ind w:left="450" w:firstLine="0"/>
        <w:rPr>
          <w:spacing w:val="8"/>
          <w:sz w:val="24"/>
          <w:szCs w:val="24"/>
        </w:rPr>
      </w:pPr>
      <w:r w:rsidRPr="00D14441">
        <w:rPr>
          <w:spacing w:val="8"/>
          <w:sz w:val="24"/>
          <w:szCs w:val="24"/>
        </w:rPr>
        <w:t>General financial and investment information, including (</w:t>
      </w:r>
      <w:proofErr w:type="spellStart"/>
      <w:r w:rsidRPr="00D14441">
        <w:rPr>
          <w:spacing w:val="8"/>
          <w:sz w:val="24"/>
          <w:szCs w:val="24"/>
        </w:rPr>
        <w:t>i</w:t>
      </w:r>
      <w:proofErr w:type="spellEnd"/>
      <w:r w:rsidRPr="00D14441">
        <w:rPr>
          <w:spacing w:val="8"/>
          <w:sz w:val="24"/>
          <w:szCs w:val="24"/>
        </w:rPr>
        <w:t>) basic investment concepts, such as risk and return, diversification, dollar cost averaging, compounded return, and tax deferred investment, (ii) historic differences in the return of asset classes (</w:t>
      </w:r>
      <w:r w:rsidRPr="00D14441">
        <w:rPr>
          <w:i/>
          <w:iCs/>
          <w:spacing w:val="8"/>
          <w:sz w:val="24"/>
          <w:szCs w:val="24"/>
        </w:rPr>
        <w:t>e.g.,</w:t>
      </w:r>
      <w:r w:rsidRPr="00D14441">
        <w:rPr>
          <w:spacing w:val="8"/>
          <w:sz w:val="24"/>
          <w:szCs w:val="24"/>
        </w:rPr>
        <w:t xml:space="preserve"> equities, bonds, or cash) based on standard market indices, (iii) effects </w:t>
      </w:r>
      <w:r w:rsidRPr="00D14441">
        <w:rPr>
          <w:spacing w:val="8"/>
          <w:sz w:val="24"/>
          <w:szCs w:val="24"/>
        </w:rPr>
        <w:lastRenderedPageBreak/>
        <w:t xml:space="preserve">of inflation, (iv) estimates of future retirement income needs, and (v) assessment of a customer's investment profile; </w:t>
      </w:r>
    </w:p>
    <w:p w14:paraId="5FC9B256" w14:textId="77777777" w:rsidR="00D14271" w:rsidRPr="00D14441" w:rsidRDefault="00D14271" w:rsidP="003E7B18">
      <w:pPr>
        <w:numPr>
          <w:ilvl w:val="0"/>
          <w:numId w:val="170"/>
        </w:numPr>
        <w:shd w:val="clear" w:color="auto" w:fill="FFFFFF"/>
        <w:spacing w:before="100" w:beforeAutospacing="1" w:after="100" w:afterAutospacing="1" w:line="200" w:lineRule="atLeast"/>
        <w:ind w:left="450" w:firstLine="0"/>
        <w:rPr>
          <w:spacing w:val="8"/>
          <w:sz w:val="24"/>
          <w:szCs w:val="24"/>
        </w:rPr>
      </w:pPr>
      <w:r w:rsidRPr="00D14441">
        <w:rPr>
          <w:spacing w:val="8"/>
          <w:sz w:val="24"/>
          <w:szCs w:val="24"/>
        </w:rPr>
        <w:t xml:space="preserve">Descriptive information about an employer-sponsored retirement or benefit plan, participation in the plan, the benefits of plan participation, and the investment options available under the plan; </w:t>
      </w:r>
    </w:p>
    <w:p w14:paraId="57CB6A4D" w14:textId="77777777" w:rsidR="00D14271" w:rsidRPr="00D14441" w:rsidRDefault="00D14271" w:rsidP="003E7B18">
      <w:pPr>
        <w:numPr>
          <w:ilvl w:val="0"/>
          <w:numId w:val="170"/>
        </w:numPr>
        <w:shd w:val="clear" w:color="auto" w:fill="FFFFFF"/>
        <w:spacing w:before="100" w:beforeAutospacing="1" w:after="100" w:afterAutospacing="1" w:line="200" w:lineRule="atLeast"/>
        <w:ind w:left="450" w:firstLine="0"/>
        <w:rPr>
          <w:spacing w:val="8"/>
          <w:sz w:val="24"/>
          <w:szCs w:val="24"/>
        </w:rPr>
      </w:pPr>
      <w:r w:rsidRPr="00D14441">
        <w:rPr>
          <w:spacing w:val="8"/>
          <w:sz w:val="24"/>
          <w:szCs w:val="24"/>
        </w:rPr>
        <w:t>Asset allocation models that are (</w:t>
      </w:r>
      <w:proofErr w:type="spellStart"/>
      <w:r w:rsidRPr="00D14441">
        <w:rPr>
          <w:spacing w:val="8"/>
          <w:sz w:val="24"/>
          <w:szCs w:val="24"/>
        </w:rPr>
        <w:t>i</w:t>
      </w:r>
      <w:proofErr w:type="spellEnd"/>
      <w:r w:rsidRPr="00D14441">
        <w:rPr>
          <w:spacing w:val="8"/>
          <w:sz w:val="24"/>
          <w:szCs w:val="24"/>
        </w:rPr>
        <w:t xml:space="preserve">) based on generally accepted investment theory, (ii) accompanied by disclosures of all material facts and assumptions that may affect a reasonable investor's assessment of the asset allocation model or any report generated by such model, and (iii) in compliance with NASD IM-2210-6 (Requirements for the Use of Investment Analysis Tools) if the asset allocation model is an "investment analysis tool" covered by NASD IM-2210-6; and </w:t>
      </w:r>
    </w:p>
    <w:p w14:paraId="31B9FCBE" w14:textId="77777777" w:rsidR="00432687" w:rsidRPr="00D14441" w:rsidRDefault="00D14271" w:rsidP="003E7B18">
      <w:pPr>
        <w:numPr>
          <w:ilvl w:val="0"/>
          <w:numId w:val="170"/>
        </w:numPr>
        <w:shd w:val="clear" w:color="auto" w:fill="FFFFFF"/>
        <w:ind w:left="450" w:firstLine="0"/>
        <w:rPr>
          <w:spacing w:val="8"/>
          <w:sz w:val="24"/>
          <w:szCs w:val="24"/>
        </w:rPr>
      </w:pPr>
      <w:r w:rsidRPr="00D14441">
        <w:rPr>
          <w:spacing w:val="8"/>
          <w:sz w:val="24"/>
          <w:szCs w:val="24"/>
        </w:rPr>
        <w:t>Interactive investment materials that incorporate the above.</w:t>
      </w:r>
    </w:p>
    <w:p w14:paraId="4721C6A9" w14:textId="77777777" w:rsidR="00432687" w:rsidRPr="00D14441" w:rsidRDefault="00432687" w:rsidP="00432687">
      <w:pPr>
        <w:shd w:val="clear" w:color="auto" w:fill="FFFFFF"/>
        <w:ind w:left="450"/>
        <w:rPr>
          <w:spacing w:val="8"/>
          <w:sz w:val="24"/>
          <w:szCs w:val="24"/>
        </w:rPr>
      </w:pPr>
    </w:p>
    <w:p w14:paraId="75CF1FBA" w14:textId="77777777" w:rsidR="006106BA" w:rsidRPr="00D14441" w:rsidRDefault="00432687" w:rsidP="00432687">
      <w:pPr>
        <w:ind w:left="270"/>
        <w:rPr>
          <w:b/>
          <w:sz w:val="24"/>
          <w:szCs w:val="24"/>
          <w:u w:val="single"/>
        </w:rPr>
      </w:pPr>
      <w:r w:rsidRPr="00D14441">
        <w:rPr>
          <w:b/>
          <w:sz w:val="24"/>
          <w:szCs w:val="24"/>
          <w:u w:val="single"/>
        </w:rPr>
        <w:t>Hold Recommendations</w:t>
      </w:r>
    </w:p>
    <w:p w14:paraId="260116B6" w14:textId="77777777" w:rsidR="00432687" w:rsidRPr="00D14441" w:rsidRDefault="00432687" w:rsidP="00432687">
      <w:pPr>
        <w:ind w:left="270"/>
        <w:rPr>
          <w:sz w:val="24"/>
          <w:szCs w:val="24"/>
        </w:rPr>
      </w:pPr>
      <w:r w:rsidRPr="00D14441">
        <w:rPr>
          <w:sz w:val="24"/>
          <w:szCs w:val="24"/>
        </w:rPr>
        <w:t>Suitability obligations apply to recommendations to hold a security or securities or to continue to use an investment strategy, even if the RR did not recommend the original purchase. RRs should disclose and document (</w:t>
      </w:r>
      <w:r w:rsidR="001B377C">
        <w:rPr>
          <w:sz w:val="24"/>
          <w:szCs w:val="24"/>
        </w:rPr>
        <w:t xml:space="preserve">on the order record or the </w:t>
      </w:r>
      <w:r w:rsidR="001B377C" w:rsidRPr="008B6447">
        <w:rPr>
          <w:sz w:val="24"/>
          <w:szCs w:val="24"/>
        </w:rPr>
        <w:t xml:space="preserve">account </w:t>
      </w:r>
      <w:r w:rsidRPr="008B6447">
        <w:rPr>
          <w:sz w:val="24"/>
          <w:szCs w:val="24"/>
        </w:rPr>
        <w:t>r</w:t>
      </w:r>
      <w:r w:rsidRPr="00D14441">
        <w:rPr>
          <w:sz w:val="24"/>
          <w:szCs w:val="24"/>
        </w:rPr>
        <w:t xml:space="preserve">ecords) that the hold recommendation is based on relevant factors known at the time of the recommendation only, and that continued monitoring or recommendations will not occur (if that is the case). Some hold recommendations should be documented including those for shorter-term investments; those that have a periodic reset or similar mechanism that could alter the investment's character over time; those that are particularly vulnerable to market conditions; or those that are otherwise potentially risky when the recommendation is made. For example, risky investments may include leveraged ETFs, mortgage REITs, an issuer facing significant financial or other material risks, an over-concentrated position, and a security inconsistent with the customer's investment profile. These hold recommendations should be documented in the </w:t>
      </w:r>
      <w:r w:rsidR="00AF5987" w:rsidRPr="008B6447">
        <w:rPr>
          <w:sz w:val="24"/>
          <w:szCs w:val="24"/>
        </w:rPr>
        <w:t>account</w:t>
      </w:r>
      <w:r w:rsidRPr="00D14441">
        <w:rPr>
          <w:sz w:val="24"/>
          <w:szCs w:val="24"/>
        </w:rPr>
        <w:t xml:space="preserve"> records.</w:t>
      </w:r>
    </w:p>
    <w:p w14:paraId="12D10C93" w14:textId="77777777" w:rsidR="00432687" w:rsidRPr="00D14441" w:rsidRDefault="00432687" w:rsidP="00432687">
      <w:pPr>
        <w:ind w:left="270"/>
        <w:rPr>
          <w:sz w:val="24"/>
          <w:szCs w:val="24"/>
        </w:rPr>
      </w:pPr>
    </w:p>
    <w:p w14:paraId="78DC2FAD" w14:textId="77777777" w:rsidR="00432687" w:rsidRPr="00D14441" w:rsidRDefault="00432687" w:rsidP="00432687">
      <w:pPr>
        <w:ind w:left="270"/>
        <w:rPr>
          <w:b/>
          <w:sz w:val="24"/>
          <w:szCs w:val="24"/>
          <w:u w:val="single"/>
        </w:rPr>
      </w:pPr>
      <w:r w:rsidRPr="00D14441">
        <w:rPr>
          <w:b/>
          <w:sz w:val="24"/>
          <w:szCs w:val="24"/>
          <w:u w:val="single"/>
        </w:rPr>
        <w:t>Complex Products</w:t>
      </w:r>
    </w:p>
    <w:p w14:paraId="321DFC9B" w14:textId="77777777" w:rsidR="00B75A62" w:rsidRPr="00D14441" w:rsidRDefault="00432687" w:rsidP="00B75A62">
      <w:pPr>
        <w:shd w:val="clear" w:color="auto" w:fill="FFFFFF"/>
        <w:ind w:left="274"/>
        <w:rPr>
          <w:spacing w:val="8"/>
          <w:sz w:val="24"/>
          <w:szCs w:val="24"/>
        </w:rPr>
      </w:pPr>
      <w:r w:rsidRPr="00D14441">
        <w:rPr>
          <w:spacing w:val="8"/>
          <w:sz w:val="24"/>
          <w:szCs w:val="24"/>
        </w:rPr>
        <w:t xml:space="preserve">The suitability of recommendations of complex investments should be documented on the order record or in the </w:t>
      </w:r>
      <w:r w:rsidR="00AF5987" w:rsidRPr="008B6447">
        <w:rPr>
          <w:spacing w:val="8"/>
          <w:sz w:val="24"/>
          <w:szCs w:val="24"/>
        </w:rPr>
        <w:t>account</w:t>
      </w:r>
      <w:r w:rsidRPr="00D14441">
        <w:rPr>
          <w:spacing w:val="8"/>
          <w:sz w:val="24"/>
          <w:szCs w:val="24"/>
        </w:rPr>
        <w:t xml:space="preserve"> records</w:t>
      </w:r>
      <w:r w:rsidR="00D16537" w:rsidRPr="00D14441">
        <w:rPr>
          <w:spacing w:val="8"/>
          <w:sz w:val="24"/>
          <w:szCs w:val="24"/>
        </w:rPr>
        <w:t xml:space="preserve"> (or WinOps)</w:t>
      </w:r>
      <w:r w:rsidRPr="00D14441">
        <w:rPr>
          <w:spacing w:val="8"/>
          <w:sz w:val="24"/>
          <w:szCs w:val="24"/>
        </w:rPr>
        <w:t xml:space="preserve">. FINRA provided examples of complex products to include: </w:t>
      </w:r>
    </w:p>
    <w:p w14:paraId="43708A6B" w14:textId="77777777" w:rsidR="00B75A62" w:rsidRPr="00D14441" w:rsidRDefault="00B75A62" w:rsidP="00B75A62">
      <w:pPr>
        <w:shd w:val="clear" w:color="auto" w:fill="FFFFFF"/>
        <w:ind w:left="274"/>
        <w:rPr>
          <w:spacing w:val="8"/>
          <w:sz w:val="24"/>
          <w:szCs w:val="24"/>
        </w:rPr>
      </w:pPr>
    </w:p>
    <w:p w14:paraId="4F7B08FB" w14:textId="77777777" w:rsidR="001E7AA6" w:rsidRPr="00D14441" w:rsidRDefault="00456284" w:rsidP="003E7B18">
      <w:pPr>
        <w:numPr>
          <w:ilvl w:val="0"/>
          <w:numId w:val="182"/>
        </w:numPr>
        <w:shd w:val="clear" w:color="auto" w:fill="FFFFFF"/>
        <w:rPr>
          <w:spacing w:val="8"/>
          <w:sz w:val="24"/>
          <w:szCs w:val="24"/>
        </w:rPr>
      </w:pPr>
      <w:r w:rsidRPr="00D14441">
        <w:rPr>
          <w:spacing w:val="8"/>
          <w:sz w:val="24"/>
          <w:szCs w:val="24"/>
        </w:rPr>
        <w:t>A</w:t>
      </w:r>
      <w:r w:rsidR="00432687" w:rsidRPr="00D14441">
        <w:rPr>
          <w:spacing w:val="8"/>
          <w:sz w:val="24"/>
          <w:szCs w:val="24"/>
        </w:rPr>
        <w:t xml:space="preserve">sset-backed securities secured by a pool of collateral; </w:t>
      </w:r>
    </w:p>
    <w:p w14:paraId="3E14646B" w14:textId="77777777" w:rsidR="001E7AA6" w:rsidRPr="00D14441" w:rsidRDefault="00456284" w:rsidP="003E7B18">
      <w:pPr>
        <w:numPr>
          <w:ilvl w:val="0"/>
          <w:numId w:val="182"/>
        </w:numPr>
        <w:shd w:val="clear" w:color="auto" w:fill="FFFFFF"/>
        <w:rPr>
          <w:spacing w:val="8"/>
          <w:sz w:val="24"/>
          <w:szCs w:val="24"/>
        </w:rPr>
      </w:pPr>
      <w:r w:rsidRPr="00D14441">
        <w:rPr>
          <w:spacing w:val="8"/>
          <w:sz w:val="24"/>
          <w:szCs w:val="24"/>
        </w:rPr>
        <w:t>U</w:t>
      </w:r>
      <w:r w:rsidR="00432687" w:rsidRPr="00D14441">
        <w:rPr>
          <w:spacing w:val="8"/>
          <w:sz w:val="24"/>
          <w:szCs w:val="24"/>
        </w:rPr>
        <w:t xml:space="preserve">nlisted REITs; </w:t>
      </w:r>
    </w:p>
    <w:p w14:paraId="2F5D318B" w14:textId="77777777" w:rsidR="001E7AA6" w:rsidRPr="00D14441" w:rsidRDefault="00456284" w:rsidP="003E7B18">
      <w:pPr>
        <w:numPr>
          <w:ilvl w:val="0"/>
          <w:numId w:val="182"/>
        </w:numPr>
        <w:shd w:val="clear" w:color="auto" w:fill="FFFFFF"/>
        <w:rPr>
          <w:spacing w:val="8"/>
          <w:sz w:val="24"/>
          <w:szCs w:val="24"/>
        </w:rPr>
      </w:pPr>
      <w:r w:rsidRPr="00D14441">
        <w:rPr>
          <w:spacing w:val="8"/>
          <w:sz w:val="24"/>
          <w:szCs w:val="24"/>
        </w:rPr>
        <w:t>I</w:t>
      </w:r>
      <w:r w:rsidR="00432687" w:rsidRPr="00D14441">
        <w:rPr>
          <w:spacing w:val="8"/>
          <w:sz w:val="24"/>
          <w:szCs w:val="24"/>
        </w:rPr>
        <w:t xml:space="preserve">nvestments with an embedded derivative component; </w:t>
      </w:r>
    </w:p>
    <w:p w14:paraId="25425EB7" w14:textId="77777777" w:rsidR="001E7AA6" w:rsidRPr="00D14441" w:rsidRDefault="00456284" w:rsidP="003E7B18">
      <w:pPr>
        <w:numPr>
          <w:ilvl w:val="0"/>
          <w:numId w:val="182"/>
        </w:numPr>
        <w:shd w:val="clear" w:color="auto" w:fill="FFFFFF"/>
        <w:rPr>
          <w:spacing w:val="8"/>
          <w:sz w:val="24"/>
          <w:szCs w:val="24"/>
        </w:rPr>
      </w:pPr>
      <w:r w:rsidRPr="00D14441">
        <w:rPr>
          <w:spacing w:val="8"/>
          <w:sz w:val="24"/>
          <w:szCs w:val="24"/>
        </w:rPr>
        <w:t>P</w:t>
      </w:r>
      <w:r w:rsidR="00432687" w:rsidRPr="00D14441">
        <w:rPr>
          <w:spacing w:val="8"/>
          <w:sz w:val="24"/>
          <w:szCs w:val="24"/>
        </w:rPr>
        <w:t xml:space="preserve">roducts with contingencies in gains or losses; </w:t>
      </w:r>
    </w:p>
    <w:p w14:paraId="7E385550" w14:textId="77777777" w:rsidR="001E7AA6" w:rsidRPr="00D14441" w:rsidRDefault="00456284" w:rsidP="003E7B18">
      <w:pPr>
        <w:numPr>
          <w:ilvl w:val="0"/>
          <w:numId w:val="182"/>
        </w:numPr>
        <w:shd w:val="clear" w:color="auto" w:fill="FFFFFF"/>
        <w:rPr>
          <w:spacing w:val="8"/>
          <w:sz w:val="24"/>
          <w:szCs w:val="24"/>
        </w:rPr>
      </w:pPr>
      <w:r w:rsidRPr="00D14441">
        <w:rPr>
          <w:spacing w:val="8"/>
          <w:sz w:val="24"/>
          <w:szCs w:val="24"/>
        </w:rPr>
        <w:t>S</w:t>
      </w:r>
      <w:r w:rsidR="00432687" w:rsidRPr="00D14441">
        <w:rPr>
          <w:spacing w:val="8"/>
          <w:sz w:val="24"/>
          <w:szCs w:val="24"/>
        </w:rPr>
        <w:t xml:space="preserve">tructured notes with "worst of" features; and </w:t>
      </w:r>
    </w:p>
    <w:p w14:paraId="522DDF2A" w14:textId="77777777" w:rsidR="001E7AA6" w:rsidRPr="00D14441" w:rsidRDefault="00456284" w:rsidP="003E7B18">
      <w:pPr>
        <w:numPr>
          <w:ilvl w:val="0"/>
          <w:numId w:val="182"/>
        </w:numPr>
        <w:shd w:val="clear" w:color="auto" w:fill="FFFFFF"/>
        <w:ind w:left="990"/>
        <w:rPr>
          <w:spacing w:val="8"/>
          <w:sz w:val="24"/>
          <w:szCs w:val="24"/>
        </w:rPr>
      </w:pPr>
      <w:r w:rsidRPr="00D14441">
        <w:rPr>
          <w:spacing w:val="8"/>
          <w:sz w:val="24"/>
          <w:szCs w:val="24"/>
        </w:rPr>
        <w:t>Investments</w:t>
      </w:r>
      <w:r w:rsidR="00432687" w:rsidRPr="00D14441">
        <w:rPr>
          <w:spacing w:val="8"/>
          <w:sz w:val="24"/>
          <w:szCs w:val="24"/>
        </w:rPr>
        <w:t xml:space="preserve"> linked to the performance of markets that may not be understood by investors.</w:t>
      </w:r>
      <w:r w:rsidR="001E7AA6" w:rsidRPr="00D14441">
        <w:rPr>
          <w:spacing w:val="8"/>
          <w:sz w:val="24"/>
          <w:szCs w:val="24"/>
        </w:rPr>
        <w:t xml:space="preserve">  </w:t>
      </w:r>
    </w:p>
    <w:p w14:paraId="44D726E6" w14:textId="77777777" w:rsidR="001E7AA6" w:rsidRPr="00D14441" w:rsidRDefault="001E7AA6" w:rsidP="001E7AA6">
      <w:pPr>
        <w:shd w:val="clear" w:color="auto" w:fill="FFFFFF"/>
        <w:rPr>
          <w:spacing w:val="8"/>
          <w:sz w:val="24"/>
          <w:szCs w:val="24"/>
        </w:rPr>
      </w:pPr>
    </w:p>
    <w:p w14:paraId="0CFC1AD4" w14:textId="77777777" w:rsidR="00432687" w:rsidRPr="00D14441" w:rsidRDefault="00432687" w:rsidP="001E7AA6">
      <w:pPr>
        <w:shd w:val="clear" w:color="auto" w:fill="FFFFFF"/>
        <w:ind w:left="270"/>
        <w:rPr>
          <w:spacing w:val="8"/>
          <w:sz w:val="24"/>
          <w:szCs w:val="24"/>
        </w:rPr>
      </w:pPr>
      <w:r w:rsidRPr="00D14441">
        <w:rPr>
          <w:spacing w:val="8"/>
          <w:sz w:val="24"/>
          <w:szCs w:val="24"/>
        </w:rPr>
        <w:t xml:space="preserve">Documentation provides support for the RR and </w:t>
      </w:r>
      <w:r w:rsidR="001E7AA6" w:rsidRPr="00D14441">
        <w:rPr>
          <w:spacing w:val="8"/>
          <w:sz w:val="24"/>
          <w:szCs w:val="24"/>
        </w:rPr>
        <w:t>the Company</w:t>
      </w:r>
      <w:r w:rsidRPr="00D14441">
        <w:rPr>
          <w:spacing w:val="8"/>
          <w:sz w:val="24"/>
          <w:szCs w:val="24"/>
        </w:rPr>
        <w:t xml:space="preserve"> in the event of a future question about suitability, either from a regulator or in a civil (court or arbitration) context.</w:t>
      </w:r>
    </w:p>
    <w:p w14:paraId="3E9DDF41" w14:textId="77777777" w:rsidR="00432687" w:rsidRPr="00D14441" w:rsidRDefault="00432687" w:rsidP="00432687">
      <w:pPr>
        <w:ind w:left="270"/>
        <w:rPr>
          <w:b/>
          <w:sz w:val="24"/>
          <w:szCs w:val="24"/>
          <w:u w:val="single"/>
        </w:rPr>
      </w:pPr>
    </w:p>
    <w:p w14:paraId="498A88D8" w14:textId="77777777" w:rsidR="00322B24" w:rsidRPr="00D14441" w:rsidRDefault="00322B24" w:rsidP="00322B24">
      <w:pPr>
        <w:pStyle w:val="Heading3"/>
      </w:pPr>
      <w:r w:rsidRPr="00D14441">
        <w:t>5.11.3 Components of Suitability Obligations</w:t>
      </w:r>
    </w:p>
    <w:p w14:paraId="62B0A434" w14:textId="77777777" w:rsidR="00322B24" w:rsidRPr="00D14441" w:rsidRDefault="00322B24" w:rsidP="00322B24">
      <w:pPr>
        <w:shd w:val="clear" w:color="auto" w:fill="FFFFFF"/>
        <w:ind w:left="274"/>
        <w:rPr>
          <w:spacing w:val="8"/>
          <w:sz w:val="24"/>
          <w:szCs w:val="24"/>
        </w:rPr>
      </w:pPr>
      <w:r w:rsidRPr="00D14441">
        <w:rPr>
          <w:spacing w:val="8"/>
          <w:sz w:val="24"/>
          <w:szCs w:val="24"/>
        </w:rPr>
        <w:t>As excerpted from the suitability rule, there are three main obligations: reasonable-basis suitability, customer-specific suitability, and quantitative suitability.</w:t>
      </w:r>
    </w:p>
    <w:p w14:paraId="2D9841A6" w14:textId="77777777" w:rsidR="00322B24" w:rsidRPr="00D14441" w:rsidRDefault="00322B24" w:rsidP="009B3D24">
      <w:pPr>
        <w:shd w:val="clear" w:color="auto" w:fill="FFFFFF"/>
        <w:ind w:left="900" w:hanging="360"/>
        <w:rPr>
          <w:spacing w:val="8"/>
          <w:sz w:val="24"/>
          <w:szCs w:val="24"/>
        </w:rPr>
      </w:pPr>
    </w:p>
    <w:p w14:paraId="451B4037" w14:textId="77777777" w:rsidR="00846D47" w:rsidRPr="00D14441" w:rsidRDefault="00846D47" w:rsidP="003E7B18">
      <w:pPr>
        <w:numPr>
          <w:ilvl w:val="0"/>
          <w:numId w:val="181"/>
        </w:numPr>
        <w:shd w:val="clear" w:color="auto" w:fill="FFFFFF"/>
        <w:spacing w:before="100" w:beforeAutospacing="1" w:after="100" w:afterAutospacing="1" w:line="200" w:lineRule="atLeast"/>
        <w:ind w:left="900"/>
        <w:rPr>
          <w:spacing w:val="8"/>
          <w:sz w:val="24"/>
          <w:szCs w:val="24"/>
        </w:rPr>
      </w:pPr>
      <w:r w:rsidRPr="00D14441">
        <w:rPr>
          <w:spacing w:val="8"/>
          <w:sz w:val="24"/>
          <w:szCs w:val="24"/>
        </w:rPr>
        <w:lastRenderedPageBreak/>
        <w:t xml:space="preserve">The </w:t>
      </w:r>
      <w:r w:rsidRPr="00D14441">
        <w:rPr>
          <w:spacing w:val="8"/>
          <w:sz w:val="24"/>
          <w:szCs w:val="24"/>
          <w:u w:val="single"/>
        </w:rPr>
        <w:t>reasonable-basis</w:t>
      </w:r>
      <w:r w:rsidRPr="00D14441">
        <w:rPr>
          <w:spacing w:val="8"/>
          <w:sz w:val="24"/>
          <w:szCs w:val="24"/>
        </w:rPr>
        <w:t xml:space="preserve"> obligation requires a reasonable basis to believe, based on reasonable diligence, that the recommendation is suitable for at least some investors. In general, what constitutes reasonable diligence will vary depending on, among other things, the complexity of and risks associated with the security or investment strategy and </w:t>
      </w:r>
      <w:r w:rsidR="00970492" w:rsidRPr="00D14441">
        <w:rPr>
          <w:spacing w:val="8"/>
          <w:sz w:val="24"/>
          <w:szCs w:val="24"/>
        </w:rPr>
        <w:t>the Company</w:t>
      </w:r>
      <w:r w:rsidRPr="00D14441">
        <w:rPr>
          <w:spacing w:val="8"/>
          <w:sz w:val="24"/>
          <w:szCs w:val="24"/>
        </w:rPr>
        <w:t xml:space="preserve">'s or RR's familiarity with the security or investment strategy. Reasonable diligence must provide an understanding of the potential risks and rewards associated with the recommended security or strategy. The lack of such an understanding when recommending a security or strategy violates the suitability rule. </w:t>
      </w:r>
    </w:p>
    <w:p w14:paraId="417B5FB0" w14:textId="77777777" w:rsidR="009B3D24" w:rsidRPr="00D14441" w:rsidRDefault="009B3D24" w:rsidP="003E7B18">
      <w:pPr>
        <w:numPr>
          <w:ilvl w:val="0"/>
          <w:numId w:val="181"/>
        </w:numPr>
        <w:shd w:val="clear" w:color="auto" w:fill="FFFFFF"/>
        <w:tabs>
          <w:tab w:val="num" w:pos="810"/>
        </w:tabs>
        <w:spacing w:before="100" w:beforeAutospacing="1" w:after="100" w:afterAutospacing="1" w:line="240" w:lineRule="atLeast"/>
        <w:ind w:left="900"/>
        <w:rPr>
          <w:spacing w:val="8"/>
          <w:sz w:val="24"/>
          <w:szCs w:val="24"/>
        </w:rPr>
      </w:pPr>
      <w:r w:rsidRPr="00D14441">
        <w:rPr>
          <w:spacing w:val="8"/>
          <w:sz w:val="24"/>
          <w:szCs w:val="24"/>
        </w:rPr>
        <w:t xml:space="preserve"> </w:t>
      </w:r>
      <w:r w:rsidR="00224627" w:rsidRPr="00D14441">
        <w:rPr>
          <w:spacing w:val="8"/>
          <w:sz w:val="24"/>
          <w:szCs w:val="24"/>
        </w:rPr>
        <w:t xml:space="preserve">The </w:t>
      </w:r>
      <w:r w:rsidR="00224627" w:rsidRPr="00D14441">
        <w:rPr>
          <w:spacing w:val="8"/>
          <w:sz w:val="24"/>
          <w:szCs w:val="24"/>
          <w:u w:val="single"/>
        </w:rPr>
        <w:t>customer-specific</w:t>
      </w:r>
      <w:r w:rsidR="00224627" w:rsidRPr="00D14441">
        <w:rPr>
          <w:spacing w:val="8"/>
          <w:sz w:val="24"/>
          <w:szCs w:val="24"/>
        </w:rPr>
        <w:t xml:space="preserve"> obligation requires a reasonable basis to believe that the recommendation is suitable for a particular customer based on that customer's investment profile which includes the customer's age, other investments, financial situation and needs, tax status, investment objectives, investment experience, investment time horizon, liquidity needs, risk tolerance, and any other information the customer may disclose.</w:t>
      </w:r>
      <w:r w:rsidRPr="00D14441">
        <w:rPr>
          <w:spacing w:val="8"/>
          <w:sz w:val="24"/>
          <w:szCs w:val="24"/>
        </w:rPr>
        <w:t xml:space="preserve"> </w:t>
      </w:r>
    </w:p>
    <w:p w14:paraId="3512B762" w14:textId="77777777" w:rsidR="009B3D24" w:rsidRPr="00D14441" w:rsidRDefault="009B3D24" w:rsidP="003E7B18">
      <w:pPr>
        <w:numPr>
          <w:ilvl w:val="0"/>
          <w:numId w:val="181"/>
        </w:numPr>
        <w:shd w:val="clear" w:color="auto" w:fill="FFFFFF"/>
        <w:tabs>
          <w:tab w:val="num" w:pos="810"/>
        </w:tabs>
        <w:spacing w:before="100" w:beforeAutospacing="1" w:after="100" w:afterAutospacing="1" w:line="240" w:lineRule="atLeast"/>
        <w:ind w:left="900"/>
        <w:rPr>
          <w:spacing w:val="8"/>
          <w:sz w:val="24"/>
          <w:szCs w:val="24"/>
        </w:rPr>
      </w:pPr>
      <w:r w:rsidRPr="00D14441">
        <w:rPr>
          <w:spacing w:val="8"/>
          <w:sz w:val="24"/>
          <w:szCs w:val="24"/>
        </w:rPr>
        <w:t xml:space="preserve"> </w:t>
      </w:r>
      <w:r w:rsidRPr="00D14441">
        <w:rPr>
          <w:spacing w:val="8"/>
          <w:sz w:val="24"/>
          <w:szCs w:val="24"/>
          <w:u w:val="single"/>
        </w:rPr>
        <w:t>Quantitative</w:t>
      </w:r>
      <w:r w:rsidRPr="00D14441">
        <w:rPr>
          <w:spacing w:val="8"/>
          <w:sz w:val="24"/>
          <w:szCs w:val="24"/>
        </w:rPr>
        <w:t xml:space="preserve"> suitability refers to avoiding excessive activity and requires a firm or RR who has actual or de facto control over a customer account to have a reasonable basis for believing that a series of recommended transactions, even if suitable when viewed in isolation, are not excessive and unsuitable for the customer when taken together in light of the customer's investment profile. No single test defines excessive activity, but factors such as the turnover rate, the cost-equity ratio, and the use of in-and-out trading in a customer's account may provide a basis for a finding a violation of the quantitative suitability obligation.</w:t>
      </w:r>
    </w:p>
    <w:p w14:paraId="2A11F947" w14:textId="77777777" w:rsidR="00447FBE" w:rsidRPr="00D14441" w:rsidRDefault="00447FBE" w:rsidP="00403372">
      <w:pPr>
        <w:tabs>
          <w:tab w:val="num" w:pos="450"/>
        </w:tabs>
        <w:ind w:left="450"/>
        <w:rPr>
          <w:spacing w:val="8"/>
          <w:sz w:val="24"/>
          <w:szCs w:val="24"/>
        </w:rPr>
      </w:pPr>
    </w:p>
    <w:p w14:paraId="0E94E7FF" w14:textId="77777777" w:rsidR="00447FBE" w:rsidRPr="00D14441" w:rsidRDefault="00447FBE" w:rsidP="00447FBE">
      <w:pPr>
        <w:pStyle w:val="Heading3"/>
      </w:pPr>
      <w:r w:rsidRPr="00D14441">
        <w:t>5.11.4 Risk Based Approach</w:t>
      </w:r>
    </w:p>
    <w:p w14:paraId="0194D4E4" w14:textId="77777777" w:rsidR="00447FBE" w:rsidRPr="00D14441" w:rsidRDefault="00403372" w:rsidP="00447FBE">
      <w:pPr>
        <w:tabs>
          <w:tab w:val="num" w:pos="270"/>
        </w:tabs>
        <w:ind w:left="270"/>
        <w:rPr>
          <w:spacing w:val="8"/>
          <w:sz w:val="24"/>
          <w:szCs w:val="24"/>
        </w:rPr>
      </w:pPr>
      <w:r w:rsidRPr="00D14441">
        <w:rPr>
          <w:spacing w:val="8"/>
          <w:sz w:val="24"/>
          <w:szCs w:val="24"/>
        </w:rPr>
        <w:t xml:space="preserve">Company is taking a </w:t>
      </w:r>
      <w:r w:rsidR="00015C68" w:rsidRPr="00D14441">
        <w:rPr>
          <w:spacing w:val="8"/>
          <w:sz w:val="24"/>
          <w:szCs w:val="24"/>
        </w:rPr>
        <w:t>risk-based</w:t>
      </w:r>
      <w:r w:rsidRPr="00D14441">
        <w:rPr>
          <w:spacing w:val="8"/>
          <w:sz w:val="24"/>
          <w:szCs w:val="24"/>
        </w:rPr>
        <w:t xml:space="preserve"> approach to applying the components of the suitability rules.  </w:t>
      </w:r>
      <w:r w:rsidR="00447FBE" w:rsidRPr="00D14441">
        <w:rPr>
          <w:spacing w:val="8"/>
          <w:sz w:val="24"/>
          <w:szCs w:val="24"/>
        </w:rPr>
        <w:t>First, there may be different levels of risk associated with a securities transaction or a series of transactions and/or secondly</w:t>
      </w:r>
      <w:r w:rsidR="005C7166" w:rsidRPr="00D14441">
        <w:rPr>
          <w:spacing w:val="8"/>
          <w:sz w:val="24"/>
          <w:szCs w:val="24"/>
        </w:rPr>
        <w:t>,</w:t>
      </w:r>
      <w:r w:rsidR="00447FBE" w:rsidRPr="00D14441">
        <w:rPr>
          <w:spacing w:val="8"/>
          <w:sz w:val="24"/>
          <w:szCs w:val="24"/>
        </w:rPr>
        <w:t xml:space="preserve"> with an investment strategy associated with an account.  </w:t>
      </w:r>
      <w:r w:rsidR="00220126" w:rsidRPr="00D14441">
        <w:rPr>
          <w:spacing w:val="8"/>
          <w:sz w:val="24"/>
          <w:szCs w:val="24"/>
        </w:rPr>
        <w:t>New a</w:t>
      </w:r>
      <w:r w:rsidRPr="00D14441">
        <w:rPr>
          <w:spacing w:val="8"/>
          <w:sz w:val="24"/>
          <w:szCs w:val="24"/>
        </w:rPr>
        <w:t xml:space="preserve">ccounts </w:t>
      </w:r>
      <w:r w:rsidR="00220126" w:rsidRPr="00D14441">
        <w:rPr>
          <w:spacing w:val="8"/>
          <w:sz w:val="24"/>
          <w:szCs w:val="24"/>
        </w:rPr>
        <w:t xml:space="preserve">(beginning July 9, 2012) </w:t>
      </w:r>
      <w:r w:rsidR="00447FBE" w:rsidRPr="00D14441">
        <w:rPr>
          <w:spacing w:val="8"/>
          <w:sz w:val="24"/>
          <w:szCs w:val="24"/>
        </w:rPr>
        <w:t xml:space="preserve">will be assigned a Suitability </w:t>
      </w:r>
      <w:r w:rsidR="005C7166" w:rsidRPr="00D14441">
        <w:rPr>
          <w:spacing w:val="8"/>
          <w:sz w:val="24"/>
          <w:szCs w:val="24"/>
        </w:rPr>
        <w:t xml:space="preserve">Risk </w:t>
      </w:r>
      <w:r w:rsidR="00447FBE" w:rsidRPr="00D14441">
        <w:rPr>
          <w:spacing w:val="8"/>
          <w:sz w:val="24"/>
          <w:szCs w:val="24"/>
        </w:rPr>
        <w:t>L</w:t>
      </w:r>
      <w:r w:rsidRPr="00D14441">
        <w:rPr>
          <w:spacing w:val="8"/>
          <w:sz w:val="24"/>
          <w:szCs w:val="24"/>
        </w:rPr>
        <w:t xml:space="preserve">evel </w:t>
      </w:r>
      <w:r w:rsidR="00220126" w:rsidRPr="00D14441">
        <w:rPr>
          <w:spacing w:val="8"/>
          <w:sz w:val="24"/>
          <w:szCs w:val="24"/>
        </w:rPr>
        <w:t xml:space="preserve">in WinOps </w:t>
      </w:r>
      <w:r w:rsidRPr="00D14441">
        <w:rPr>
          <w:spacing w:val="8"/>
          <w:sz w:val="24"/>
          <w:szCs w:val="24"/>
        </w:rPr>
        <w:t>with the following indicato</w:t>
      </w:r>
      <w:r w:rsidR="00220126" w:rsidRPr="00D14441">
        <w:rPr>
          <w:spacing w:val="8"/>
          <w:sz w:val="24"/>
          <w:szCs w:val="24"/>
        </w:rPr>
        <w:t>rs</w:t>
      </w:r>
      <w:r w:rsidRPr="00D14441">
        <w:rPr>
          <w:spacing w:val="8"/>
          <w:sz w:val="24"/>
          <w:szCs w:val="24"/>
        </w:rPr>
        <w:t>:</w:t>
      </w:r>
      <w:r w:rsidR="00447FBE" w:rsidRPr="00D14441">
        <w:rPr>
          <w:spacing w:val="8"/>
          <w:sz w:val="24"/>
          <w:szCs w:val="24"/>
        </w:rPr>
        <w:t xml:space="preserve">  </w:t>
      </w:r>
    </w:p>
    <w:p w14:paraId="45B7EB98" w14:textId="77777777" w:rsidR="00447FBE" w:rsidRPr="00D14441" w:rsidRDefault="00447FBE" w:rsidP="00447FBE">
      <w:pPr>
        <w:tabs>
          <w:tab w:val="num" w:pos="270"/>
        </w:tabs>
        <w:ind w:left="270"/>
        <w:rPr>
          <w:spacing w:val="8"/>
          <w:sz w:val="24"/>
          <w:szCs w:val="24"/>
        </w:rPr>
      </w:pPr>
    </w:p>
    <w:p w14:paraId="3BD60BF9" w14:textId="77777777" w:rsidR="00BE07AA" w:rsidRPr="00D14441" w:rsidRDefault="00403372" w:rsidP="003E7B18">
      <w:pPr>
        <w:numPr>
          <w:ilvl w:val="0"/>
          <w:numId w:val="172"/>
        </w:numPr>
        <w:ind w:left="900"/>
        <w:rPr>
          <w:spacing w:val="8"/>
          <w:sz w:val="24"/>
          <w:szCs w:val="24"/>
        </w:rPr>
      </w:pPr>
      <w:r w:rsidRPr="00D14441">
        <w:rPr>
          <w:b/>
          <w:spacing w:val="8"/>
          <w:sz w:val="24"/>
          <w:szCs w:val="24"/>
        </w:rPr>
        <w:t>High</w:t>
      </w:r>
      <w:r w:rsidRPr="00D14441">
        <w:rPr>
          <w:spacing w:val="8"/>
          <w:sz w:val="24"/>
          <w:szCs w:val="24"/>
        </w:rPr>
        <w:t xml:space="preserve">:  </w:t>
      </w:r>
      <w:r w:rsidR="00220126" w:rsidRPr="00D14441">
        <w:rPr>
          <w:spacing w:val="8"/>
          <w:sz w:val="24"/>
          <w:szCs w:val="24"/>
        </w:rPr>
        <w:t>the account</w:t>
      </w:r>
      <w:r w:rsidRPr="00D14441">
        <w:rPr>
          <w:spacing w:val="8"/>
          <w:sz w:val="24"/>
          <w:szCs w:val="24"/>
        </w:rPr>
        <w:t xml:space="preserve"> will likely have an investment strategy </w:t>
      </w:r>
      <w:r w:rsidR="00447FBE" w:rsidRPr="00D14441">
        <w:rPr>
          <w:spacing w:val="8"/>
          <w:sz w:val="24"/>
          <w:szCs w:val="24"/>
        </w:rPr>
        <w:t>or incur a series of transactions</w:t>
      </w:r>
      <w:r w:rsidR="000F7FBD" w:rsidRPr="00D14441">
        <w:rPr>
          <w:spacing w:val="8"/>
          <w:sz w:val="24"/>
          <w:szCs w:val="24"/>
        </w:rPr>
        <w:t xml:space="preserve"> or complex products</w:t>
      </w:r>
      <w:r w:rsidR="00447FBE" w:rsidRPr="00D14441">
        <w:rPr>
          <w:spacing w:val="8"/>
          <w:sz w:val="24"/>
          <w:szCs w:val="24"/>
        </w:rPr>
        <w:t xml:space="preserve"> </w:t>
      </w:r>
      <w:r w:rsidRPr="00D14441">
        <w:rPr>
          <w:spacing w:val="8"/>
          <w:sz w:val="24"/>
          <w:szCs w:val="24"/>
        </w:rPr>
        <w:t xml:space="preserve">that requires </w:t>
      </w:r>
      <w:r w:rsidR="00447FBE" w:rsidRPr="00D14441">
        <w:rPr>
          <w:spacing w:val="8"/>
          <w:sz w:val="24"/>
          <w:szCs w:val="24"/>
        </w:rPr>
        <w:t>heightened s</w:t>
      </w:r>
      <w:r w:rsidRPr="00D14441">
        <w:rPr>
          <w:spacing w:val="8"/>
          <w:sz w:val="24"/>
          <w:szCs w:val="24"/>
        </w:rPr>
        <w:t xml:space="preserve">upervision and review </w:t>
      </w:r>
      <w:r w:rsidR="00220126" w:rsidRPr="00D14441">
        <w:rPr>
          <w:spacing w:val="8"/>
          <w:sz w:val="24"/>
          <w:szCs w:val="24"/>
        </w:rPr>
        <w:t>of recommendations</w:t>
      </w:r>
      <w:r w:rsidR="00447FBE" w:rsidRPr="00D14441">
        <w:rPr>
          <w:spacing w:val="8"/>
          <w:sz w:val="24"/>
          <w:szCs w:val="24"/>
        </w:rPr>
        <w:t xml:space="preserve"> to determine suitability for the customer</w:t>
      </w:r>
      <w:r w:rsidR="00220126" w:rsidRPr="00D14441">
        <w:rPr>
          <w:spacing w:val="8"/>
          <w:sz w:val="24"/>
          <w:szCs w:val="24"/>
        </w:rPr>
        <w:t xml:space="preserve">.  </w:t>
      </w:r>
    </w:p>
    <w:p w14:paraId="1D962806" w14:textId="77777777" w:rsidR="00BE07AA" w:rsidRPr="00D14441" w:rsidRDefault="00BE07AA" w:rsidP="00BE07AA">
      <w:pPr>
        <w:ind w:left="900"/>
        <w:rPr>
          <w:b/>
          <w:spacing w:val="8"/>
          <w:sz w:val="24"/>
          <w:szCs w:val="24"/>
        </w:rPr>
      </w:pPr>
    </w:p>
    <w:p w14:paraId="248A3C7B" w14:textId="77777777" w:rsidR="00BE7E6C" w:rsidRPr="00D14441" w:rsidRDefault="00220126" w:rsidP="00BE07AA">
      <w:pPr>
        <w:ind w:left="900"/>
        <w:rPr>
          <w:spacing w:val="8"/>
          <w:sz w:val="24"/>
          <w:szCs w:val="24"/>
        </w:rPr>
      </w:pPr>
      <w:r w:rsidRPr="00D14441">
        <w:rPr>
          <w:spacing w:val="8"/>
          <w:sz w:val="24"/>
          <w:szCs w:val="24"/>
        </w:rPr>
        <w:t>When a High level is assigned</w:t>
      </w:r>
      <w:r w:rsidR="00BE7E6C" w:rsidRPr="00D14441">
        <w:rPr>
          <w:spacing w:val="8"/>
          <w:sz w:val="24"/>
          <w:szCs w:val="24"/>
        </w:rPr>
        <w:t>:</w:t>
      </w:r>
    </w:p>
    <w:p w14:paraId="663F0D67" w14:textId="77777777" w:rsidR="00BE7E6C" w:rsidRPr="00D14441" w:rsidRDefault="00BE7E6C" w:rsidP="00BE07AA">
      <w:pPr>
        <w:ind w:left="900"/>
        <w:rPr>
          <w:spacing w:val="8"/>
          <w:sz w:val="24"/>
          <w:szCs w:val="24"/>
        </w:rPr>
      </w:pPr>
    </w:p>
    <w:p w14:paraId="1BF216A4" w14:textId="77777777" w:rsidR="009A74A9" w:rsidRPr="00D14441" w:rsidRDefault="009A74A9" w:rsidP="003E7B18">
      <w:pPr>
        <w:numPr>
          <w:ilvl w:val="0"/>
          <w:numId w:val="173"/>
        </w:numPr>
        <w:ind w:left="1710" w:hanging="398"/>
        <w:rPr>
          <w:spacing w:val="8"/>
          <w:sz w:val="24"/>
          <w:szCs w:val="24"/>
        </w:rPr>
      </w:pPr>
      <w:r w:rsidRPr="00D14441">
        <w:rPr>
          <w:spacing w:val="8"/>
          <w:sz w:val="24"/>
          <w:szCs w:val="24"/>
        </w:rPr>
        <w:t xml:space="preserve">A </w:t>
      </w:r>
      <w:r w:rsidR="00607788" w:rsidRPr="00D14441">
        <w:rPr>
          <w:spacing w:val="8"/>
          <w:sz w:val="24"/>
          <w:szCs w:val="24"/>
        </w:rPr>
        <w:t>Heightened</w:t>
      </w:r>
      <w:r w:rsidRPr="00D14441">
        <w:rPr>
          <w:spacing w:val="8"/>
          <w:sz w:val="24"/>
          <w:szCs w:val="24"/>
        </w:rPr>
        <w:t xml:space="preserve"> Customer Supervision Form will be completed and signed by both the RR and Supervisor or Compliance</w:t>
      </w:r>
      <w:r w:rsidR="00607788" w:rsidRPr="00D14441">
        <w:rPr>
          <w:spacing w:val="8"/>
          <w:sz w:val="24"/>
          <w:szCs w:val="24"/>
        </w:rPr>
        <w:t xml:space="preserve"> and maintained in WinOps</w:t>
      </w:r>
      <w:r w:rsidRPr="00D14441">
        <w:rPr>
          <w:spacing w:val="8"/>
          <w:sz w:val="24"/>
          <w:szCs w:val="24"/>
        </w:rPr>
        <w:t xml:space="preserve">; </w:t>
      </w:r>
    </w:p>
    <w:p w14:paraId="315B4C79" w14:textId="77777777" w:rsidR="00607788" w:rsidRPr="00D14441" w:rsidRDefault="00607788" w:rsidP="003E7B18">
      <w:pPr>
        <w:numPr>
          <w:ilvl w:val="0"/>
          <w:numId w:val="173"/>
        </w:numPr>
        <w:ind w:left="1710" w:hanging="398"/>
        <w:rPr>
          <w:spacing w:val="8"/>
          <w:sz w:val="24"/>
          <w:szCs w:val="24"/>
        </w:rPr>
      </w:pPr>
      <w:r w:rsidRPr="00D14441">
        <w:rPr>
          <w:spacing w:val="8"/>
          <w:sz w:val="24"/>
          <w:szCs w:val="24"/>
        </w:rPr>
        <w:t>Review with the RR the heightened status and their intentions for the account and the information required for the form and their signature</w:t>
      </w:r>
      <w:r w:rsidR="00FD6AD7" w:rsidRPr="00D14441">
        <w:rPr>
          <w:spacing w:val="8"/>
          <w:sz w:val="24"/>
          <w:szCs w:val="24"/>
        </w:rPr>
        <w:t>;</w:t>
      </w:r>
    </w:p>
    <w:p w14:paraId="16918EF5" w14:textId="77777777" w:rsidR="00447FBE" w:rsidRPr="00D14441" w:rsidRDefault="00BE7E6C" w:rsidP="003E7B18">
      <w:pPr>
        <w:numPr>
          <w:ilvl w:val="0"/>
          <w:numId w:val="173"/>
        </w:numPr>
        <w:ind w:left="1710" w:hanging="398"/>
        <w:rPr>
          <w:spacing w:val="8"/>
          <w:sz w:val="24"/>
          <w:szCs w:val="24"/>
        </w:rPr>
      </w:pPr>
      <w:r w:rsidRPr="00D14441">
        <w:rPr>
          <w:spacing w:val="8"/>
          <w:sz w:val="24"/>
          <w:szCs w:val="24"/>
        </w:rPr>
        <w:t xml:space="preserve">Contact the </w:t>
      </w:r>
      <w:r w:rsidR="00220126" w:rsidRPr="00D14441">
        <w:rPr>
          <w:spacing w:val="8"/>
          <w:sz w:val="24"/>
          <w:szCs w:val="24"/>
        </w:rPr>
        <w:t xml:space="preserve">customer when </w:t>
      </w:r>
      <w:r w:rsidR="00BE07AA" w:rsidRPr="00D14441">
        <w:rPr>
          <w:spacing w:val="8"/>
          <w:sz w:val="24"/>
          <w:szCs w:val="24"/>
        </w:rPr>
        <w:t>questions arise or to confirm their understanding or acknowledgement</w:t>
      </w:r>
      <w:r w:rsidRPr="00D14441">
        <w:rPr>
          <w:spacing w:val="8"/>
          <w:sz w:val="24"/>
          <w:szCs w:val="24"/>
        </w:rPr>
        <w:t xml:space="preserve"> and document said</w:t>
      </w:r>
      <w:r w:rsidR="009A74A9" w:rsidRPr="00D14441">
        <w:rPr>
          <w:spacing w:val="8"/>
          <w:sz w:val="24"/>
          <w:szCs w:val="24"/>
        </w:rPr>
        <w:t xml:space="preserve"> contact in t</w:t>
      </w:r>
      <w:r w:rsidRPr="00D14441">
        <w:rPr>
          <w:spacing w:val="8"/>
          <w:sz w:val="24"/>
          <w:szCs w:val="24"/>
        </w:rPr>
        <w:t xml:space="preserve">he Heighted Customer </w:t>
      </w:r>
      <w:r w:rsidR="00607788" w:rsidRPr="00D14441">
        <w:rPr>
          <w:spacing w:val="8"/>
          <w:sz w:val="24"/>
          <w:szCs w:val="24"/>
        </w:rPr>
        <w:t>Supervision</w:t>
      </w:r>
      <w:r w:rsidRPr="00D14441">
        <w:rPr>
          <w:spacing w:val="8"/>
          <w:sz w:val="24"/>
          <w:szCs w:val="24"/>
        </w:rPr>
        <w:t xml:space="preserve"> Form</w:t>
      </w:r>
      <w:r w:rsidR="009A74A9" w:rsidRPr="00D14441">
        <w:rPr>
          <w:spacing w:val="8"/>
          <w:sz w:val="24"/>
          <w:szCs w:val="24"/>
        </w:rPr>
        <w:t xml:space="preserve"> in </w:t>
      </w:r>
      <w:r w:rsidRPr="00D14441">
        <w:rPr>
          <w:spacing w:val="8"/>
          <w:sz w:val="24"/>
          <w:szCs w:val="24"/>
        </w:rPr>
        <w:t>WinOps;</w:t>
      </w:r>
    </w:p>
    <w:p w14:paraId="69260E0A" w14:textId="77777777" w:rsidR="00FD6AD7" w:rsidRPr="00D14441" w:rsidRDefault="00FD6AD7" w:rsidP="003E7B18">
      <w:pPr>
        <w:numPr>
          <w:ilvl w:val="0"/>
          <w:numId w:val="173"/>
        </w:numPr>
        <w:ind w:left="1710" w:hanging="398"/>
        <w:rPr>
          <w:spacing w:val="8"/>
          <w:sz w:val="24"/>
          <w:szCs w:val="24"/>
        </w:rPr>
      </w:pPr>
      <w:r w:rsidRPr="00D14441">
        <w:rPr>
          <w:spacing w:val="8"/>
          <w:sz w:val="24"/>
          <w:szCs w:val="24"/>
        </w:rPr>
        <w:t>Utilize amended Product Disclosure Forms that discusses any investment strategy or suitability risks; and</w:t>
      </w:r>
    </w:p>
    <w:p w14:paraId="73F588F2" w14:textId="77777777" w:rsidR="00607788" w:rsidRPr="00D14441" w:rsidRDefault="00607788" w:rsidP="003E7B18">
      <w:pPr>
        <w:numPr>
          <w:ilvl w:val="0"/>
          <w:numId w:val="173"/>
        </w:numPr>
        <w:ind w:left="1710" w:hanging="398"/>
        <w:rPr>
          <w:spacing w:val="8"/>
          <w:sz w:val="24"/>
          <w:szCs w:val="24"/>
        </w:rPr>
      </w:pPr>
      <w:r w:rsidRPr="00D14441">
        <w:rPr>
          <w:spacing w:val="8"/>
          <w:sz w:val="24"/>
          <w:szCs w:val="24"/>
        </w:rPr>
        <w:lastRenderedPageBreak/>
        <w:t xml:space="preserve">The designated supervisor or Compliance will run account-specific   monthly blotters to be maintained as evidence of review. </w:t>
      </w:r>
    </w:p>
    <w:p w14:paraId="2D939AA9" w14:textId="77777777" w:rsidR="00BE7E6C" w:rsidRPr="00D14441" w:rsidRDefault="00BE7E6C" w:rsidP="009A74A9">
      <w:pPr>
        <w:ind w:left="1620"/>
        <w:rPr>
          <w:spacing w:val="8"/>
          <w:sz w:val="24"/>
          <w:szCs w:val="24"/>
        </w:rPr>
      </w:pPr>
    </w:p>
    <w:p w14:paraId="12A10ADB" w14:textId="4DB17F0B" w:rsidR="00403372" w:rsidRPr="00D14441" w:rsidRDefault="00447FBE" w:rsidP="003E7B18">
      <w:pPr>
        <w:numPr>
          <w:ilvl w:val="0"/>
          <w:numId w:val="172"/>
        </w:numPr>
        <w:ind w:left="900"/>
        <w:rPr>
          <w:spacing w:val="8"/>
          <w:sz w:val="24"/>
          <w:szCs w:val="24"/>
        </w:rPr>
      </w:pPr>
      <w:r w:rsidRPr="00D14441">
        <w:rPr>
          <w:b/>
          <w:spacing w:val="8"/>
          <w:sz w:val="24"/>
          <w:szCs w:val="24"/>
        </w:rPr>
        <w:t>Medium</w:t>
      </w:r>
      <w:r w:rsidRPr="00D14441">
        <w:rPr>
          <w:spacing w:val="8"/>
          <w:sz w:val="24"/>
          <w:szCs w:val="24"/>
        </w:rPr>
        <w:t xml:space="preserve">:  </w:t>
      </w:r>
      <w:r w:rsidR="00220126" w:rsidRPr="00D14441">
        <w:rPr>
          <w:spacing w:val="8"/>
          <w:sz w:val="24"/>
          <w:szCs w:val="24"/>
        </w:rPr>
        <w:t xml:space="preserve">there may be some concern as to the security or securities being recommended.  This may </w:t>
      </w:r>
      <w:r w:rsidR="00122B9A">
        <w:rPr>
          <w:spacing w:val="8"/>
          <w:sz w:val="24"/>
          <w:szCs w:val="24"/>
        </w:rPr>
        <w:t xml:space="preserve">be </w:t>
      </w:r>
      <w:r w:rsidR="00220126" w:rsidRPr="00D14441">
        <w:rPr>
          <w:spacing w:val="8"/>
          <w:sz w:val="24"/>
          <w:szCs w:val="24"/>
        </w:rPr>
        <w:t>due to certain type of products that are considered to be a higher risk for investors or more complex.  It may also include an account where an investment strategy may require more supervision to ensure suitability.</w:t>
      </w:r>
      <w:r w:rsidR="00607788" w:rsidRPr="00D14441">
        <w:rPr>
          <w:spacing w:val="8"/>
          <w:sz w:val="24"/>
          <w:szCs w:val="24"/>
        </w:rPr>
        <w:t xml:space="preserve"> </w:t>
      </w:r>
      <w:r w:rsidR="00C3014C" w:rsidRPr="00D14441">
        <w:rPr>
          <w:spacing w:val="8"/>
          <w:sz w:val="24"/>
          <w:szCs w:val="24"/>
        </w:rPr>
        <w:t xml:space="preserve"> </w:t>
      </w:r>
      <w:r w:rsidR="00607788" w:rsidRPr="00D14441">
        <w:rPr>
          <w:spacing w:val="8"/>
          <w:sz w:val="24"/>
          <w:szCs w:val="24"/>
        </w:rPr>
        <w:t>Depending on the circumstances as determined by Morris Monroe</w:t>
      </w:r>
      <w:r w:rsidR="00FD6AD7" w:rsidRPr="00D14441">
        <w:rPr>
          <w:spacing w:val="8"/>
          <w:sz w:val="24"/>
          <w:szCs w:val="24"/>
        </w:rPr>
        <w:t xml:space="preserve"> and indicated on any Heightened Customer Supervision Form</w:t>
      </w:r>
      <w:r w:rsidR="00607788" w:rsidRPr="00D14441">
        <w:rPr>
          <w:spacing w:val="8"/>
          <w:sz w:val="24"/>
          <w:szCs w:val="24"/>
        </w:rPr>
        <w:t>, some or all the same steps above may be followed.</w:t>
      </w:r>
    </w:p>
    <w:p w14:paraId="472A35A5" w14:textId="77777777" w:rsidR="00607788" w:rsidRPr="00D14441" w:rsidRDefault="00607788" w:rsidP="00607788">
      <w:pPr>
        <w:ind w:left="900"/>
        <w:rPr>
          <w:spacing w:val="8"/>
          <w:sz w:val="24"/>
          <w:szCs w:val="24"/>
        </w:rPr>
      </w:pPr>
    </w:p>
    <w:p w14:paraId="3958DCB9" w14:textId="77777777" w:rsidR="00220126" w:rsidRPr="00D14441" w:rsidRDefault="00220126" w:rsidP="003E7B18">
      <w:pPr>
        <w:numPr>
          <w:ilvl w:val="0"/>
          <w:numId w:val="172"/>
        </w:numPr>
        <w:ind w:left="900"/>
        <w:rPr>
          <w:spacing w:val="8"/>
          <w:sz w:val="24"/>
          <w:szCs w:val="24"/>
        </w:rPr>
      </w:pPr>
      <w:r w:rsidRPr="00D14441">
        <w:rPr>
          <w:b/>
          <w:spacing w:val="8"/>
          <w:sz w:val="24"/>
          <w:szCs w:val="24"/>
        </w:rPr>
        <w:t>Low</w:t>
      </w:r>
      <w:r w:rsidRPr="00D14441">
        <w:rPr>
          <w:spacing w:val="8"/>
          <w:sz w:val="24"/>
          <w:szCs w:val="24"/>
        </w:rPr>
        <w:t xml:space="preserve">:  </w:t>
      </w:r>
      <w:r w:rsidR="00607788" w:rsidRPr="00D14441">
        <w:rPr>
          <w:spacing w:val="8"/>
          <w:sz w:val="24"/>
          <w:szCs w:val="24"/>
        </w:rPr>
        <w:t xml:space="preserve">no heightened supervision is necessary.  </w:t>
      </w:r>
      <w:r w:rsidR="00AF5987">
        <w:rPr>
          <w:spacing w:val="8"/>
          <w:sz w:val="24"/>
          <w:szCs w:val="24"/>
        </w:rPr>
        <w:t>This may include a</w:t>
      </w:r>
      <w:r w:rsidR="00607788" w:rsidRPr="00D14441">
        <w:rPr>
          <w:spacing w:val="8"/>
          <w:sz w:val="24"/>
          <w:szCs w:val="24"/>
        </w:rPr>
        <w:t xml:space="preserve">ccounts that typically invest in mutual funds, 529 plans, </w:t>
      </w:r>
      <w:r w:rsidR="005C7166" w:rsidRPr="00D14441">
        <w:rPr>
          <w:spacing w:val="8"/>
          <w:sz w:val="24"/>
          <w:szCs w:val="24"/>
        </w:rPr>
        <w:t xml:space="preserve">employer plans </w:t>
      </w:r>
      <w:r w:rsidR="0053592E" w:rsidRPr="00D14441">
        <w:rPr>
          <w:spacing w:val="8"/>
          <w:sz w:val="24"/>
          <w:szCs w:val="24"/>
        </w:rPr>
        <w:t xml:space="preserve">and </w:t>
      </w:r>
      <w:r w:rsidR="00607788" w:rsidRPr="00D14441">
        <w:rPr>
          <w:spacing w:val="8"/>
          <w:sz w:val="24"/>
          <w:szCs w:val="24"/>
        </w:rPr>
        <w:t xml:space="preserve">occasional purchases in a </w:t>
      </w:r>
      <w:r w:rsidR="00DD2EF4" w:rsidRPr="006D5CDF">
        <w:rPr>
          <w:spacing w:val="8"/>
          <w:sz w:val="24"/>
          <w:szCs w:val="24"/>
        </w:rPr>
        <w:t>HTS</w:t>
      </w:r>
      <w:r w:rsidR="00607788" w:rsidRPr="006D5CDF">
        <w:rPr>
          <w:spacing w:val="8"/>
          <w:sz w:val="24"/>
          <w:szCs w:val="24"/>
        </w:rPr>
        <w:t xml:space="preserve"> a</w:t>
      </w:r>
      <w:r w:rsidR="00607788" w:rsidRPr="00D14441">
        <w:rPr>
          <w:spacing w:val="8"/>
          <w:sz w:val="24"/>
          <w:szCs w:val="24"/>
        </w:rPr>
        <w:t xml:space="preserve">ccount for mutual funds, equities, and bonds </w:t>
      </w:r>
      <w:r w:rsidR="00AF5987" w:rsidRPr="008B6447">
        <w:rPr>
          <w:spacing w:val="8"/>
          <w:sz w:val="24"/>
          <w:szCs w:val="24"/>
        </w:rPr>
        <w:t xml:space="preserve">and accredited investors purchasing private placements </w:t>
      </w:r>
      <w:r w:rsidR="00C3014C" w:rsidRPr="00D14441">
        <w:rPr>
          <w:spacing w:val="8"/>
          <w:sz w:val="24"/>
          <w:szCs w:val="24"/>
        </w:rPr>
        <w:t xml:space="preserve">will meet the </w:t>
      </w:r>
      <w:r w:rsidR="00607788" w:rsidRPr="00D14441">
        <w:rPr>
          <w:spacing w:val="8"/>
          <w:sz w:val="24"/>
          <w:szCs w:val="24"/>
        </w:rPr>
        <w:t>same supervision as before Rule</w:t>
      </w:r>
      <w:r w:rsidR="00C3014C" w:rsidRPr="00D14441">
        <w:rPr>
          <w:spacing w:val="8"/>
          <w:sz w:val="24"/>
          <w:szCs w:val="24"/>
        </w:rPr>
        <w:t xml:space="preserve">s 2090 and </w:t>
      </w:r>
      <w:r w:rsidR="00607788" w:rsidRPr="00D14441">
        <w:rPr>
          <w:spacing w:val="8"/>
          <w:sz w:val="24"/>
          <w:szCs w:val="24"/>
        </w:rPr>
        <w:t>2111</w:t>
      </w:r>
      <w:r w:rsidR="00C3014C" w:rsidRPr="00D14441">
        <w:rPr>
          <w:spacing w:val="8"/>
          <w:sz w:val="24"/>
          <w:szCs w:val="24"/>
        </w:rPr>
        <w:t xml:space="preserve"> became effective and will not need further documentation.  </w:t>
      </w:r>
    </w:p>
    <w:p w14:paraId="2118809F" w14:textId="77777777" w:rsidR="00322B24" w:rsidRPr="00D14441" w:rsidRDefault="00322B24" w:rsidP="00403372">
      <w:pPr>
        <w:tabs>
          <w:tab w:val="num" w:pos="450"/>
        </w:tabs>
        <w:ind w:left="450"/>
        <w:rPr>
          <w:spacing w:val="8"/>
          <w:sz w:val="24"/>
          <w:szCs w:val="24"/>
        </w:rPr>
      </w:pPr>
      <w:r w:rsidRPr="00D14441">
        <w:rPr>
          <w:spacing w:val="8"/>
          <w:sz w:val="24"/>
          <w:szCs w:val="24"/>
        </w:rPr>
        <w:t> </w:t>
      </w:r>
    </w:p>
    <w:p w14:paraId="440B1E51" w14:textId="77777777" w:rsidR="003E5265" w:rsidRPr="00D14441" w:rsidRDefault="003E5265" w:rsidP="003E5265">
      <w:pPr>
        <w:pStyle w:val="Heading3"/>
      </w:pPr>
      <w:r w:rsidRPr="00D14441">
        <w:t>5.11.</w:t>
      </w:r>
      <w:r w:rsidR="00DD2EF4">
        <w:t>5</w:t>
      </w:r>
      <w:r w:rsidRPr="00D14441">
        <w:t xml:space="preserve"> Customer Financial Ability</w:t>
      </w:r>
    </w:p>
    <w:p w14:paraId="7996D8FF" w14:textId="77777777" w:rsidR="003E5265" w:rsidRPr="00D14441" w:rsidRDefault="003E5265" w:rsidP="003E5265">
      <w:pPr>
        <w:shd w:val="clear" w:color="auto" w:fill="FFFFFF"/>
        <w:ind w:left="270"/>
        <w:rPr>
          <w:spacing w:val="8"/>
          <w:sz w:val="24"/>
          <w:szCs w:val="24"/>
        </w:rPr>
      </w:pPr>
      <w:r w:rsidRPr="00D14441">
        <w:rPr>
          <w:spacing w:val="8"/>
          <w:sz w:val="24"/>
          <w:szCs w:val="24"/>
        </w:rPr>
        <w:t xml:space="preserve">Rule 2111 prohibits recommending a transaction or investment strategy involving a security or securities or the continuing purchase of a security or securities or use of an investment strategy involving a security or securities unless the </w:t>
      </w:r>
      <w:r w:rsidR="004542C5" w:rsidRPr="00D14441">
        <w:rPr>
          <w:spacing w:val="8"/>
          <w:sz w:val="24"/>
          <w:szCs w:val="24"/>
        </w:rPr>
        <w:t>Company</w:t>
      </w:r>
      <w:r w:rsidRPr="00D14441">
        <w:rPr>
          <w:spacing w:val="8"/>
          <w:sz w:val="24"/>
          <w:szCs w:val="24"/>
        </w:rPr>
        <w:t xml:space="preserve"> or </w:t>
      </w:r>
      <w:r w:rsidR="004542C5" w:rsidRPr="00D14441">
        <w:rPr>
          <w:spacing w:val="8"/>
          <w:sz w:val="24"/>
          <w:szCs w:val="24"/>
        </w:rPr>
        <w:t>A</w:t>
      </w:r>
      <w:r w:rsidRPr="00D14441">
        <w:rPr>
          <w:spacing w:val="8"/>
          <w:sz w:val="24"/>
          <w:szCs w:val="24"/>
        </w:rPr>
        <w:t xml:space="preserve">ssociated </w:t>
      </w:r>
      <w:r w:rsidR="004542C5" w:rsidRPr="00D14441">
        <w:rPr>
          <w:spacing w:val="8"/>
          <w:sz w:val="24"/>
          <w:szCs w:val="24"/>
        </w:rPr>
        <w:t>P</w:t>
      </w:r>
      <w:r w:rsidRPr="00D14441">
        <w:rPr>
          <w:spacing w:val="8"/>
          <w:sz w:val="24"/>
          <w:szCs w:val="24"/>
        </w:rPr>
        <w:t>erson has a reasonable basis to believe that the customer has the financial ability to meet such a commitment.</w:t>
      </w:r>
    </w:p>
    <w:p w14:paraId="2B0FAB18" w14:textId="77777777" w:rsidR="00061304" w:rsidRPr="00D14441" w:rsidRDefault="00061304" w:rsidP="003E5265">
      <w:pPr>
        <w:shd w:val="clear" w:color="auto" w:fill="FFFFFF"/>
        <w:ind w:left="270"/>
        <w:rPr>
          <w:spacing w:val="8"/>
          <w:sz w:val="24"/>
          <w:szCs w:val="24"/>
        </w:rPr>
      </w:pPr>
    </w:p>
    <w:p w14:paraId="13238652" w14:textId="77777777" w:rsidR="00061304" w:rsidRPr="00D14441" w:rsidRDefault="00061304" w:rsidP="00061304">
      <w:pPr>
        <w:pStyle w:val="Heading3"/>
      </w:pPr>
      <w:r w:rsidRPr="00D14441">
        <w:t>5.11.</w:t>
      </w:r>
      <w:r w:rsidR="00DD2EF4">
        <w:t xml:space="preserve">6 </w:t>
      </w:r>
      <w:r w:rsidRPr="00D14441">
        <w:t>Institutional Accounts</w:t>
      </w:r>
    </w:p>
    <w:p w14:paraId="54E4C005" w14:textId="77777777" w:rsidR="00403372" w:rsidRPr="00D14441" w:rsidRDefault="00061304" w:rsidP="00061304">
      <w:pPr>
        <w:ind w:left="270"/>
        <w:rPr>
          <w:sz w:val="24"/>
          <w:szCs w:val="24"/>
        </w:rPr>
      </w:pPr>
      <w:r w:rsidRPr="00D14441">
        <w:rPr>
          <w:sz w:val="24"/>
          <w:szCs w:val="24"/>
        </w:rPr>
        <w:t xml:space="preserve">There is an exemption from suitability </w:t>
      </w:r>
      <w:r w:rsidR="00403372" w:rsidRPr="00D14441">
        <w:rPr>
          <w:sz w:val="24"/>
          <w:szCs w:val="24"/>
        </w:rPr>
        <w:t>obligations</w:t>
      </w:r>
      <w:r w:rsidRPr="00D14441">
        <w:rPr>
          <w:sz w:val="24"/>
          <w:szCs w:val="24"/>
        </w:rPr>
        <w:t xml:space="preserve"> </w:t>
      </w:r>
      <w:r w:rsidR="0008068A" w:rsidRPr="00424F51">
        <w:rPr>
          <w:sz w:val="24"/>
          <w:szCs w:val="24"/>
        </w:rPr>
        <w:t xml:space="preserve">from customer-specific recommendations when made </w:t>
      </w:r>
      <w:r w:rsidRPr="00424F51">
        <w:rPr>
          <w:sz w:val="24"/>
          <w:szCs w:val="24"/>
        </w:rPr>
        <w:t>for certain institutional accounts</w:t>
      </w:r>
      <w:r w:rsidR="0008068A" w:rsidRPr="00424F51">
        <w:rPr>
          <w:sz w:val="24"/>
          <w:szCs w:val="24"/>
        </w:rPr>
        <w:t xml:space="preserve"> defined by Rule 4512(c)</w:t>
      </w:r>
      <w:r w:rsidRPr="00424F51">
        <w:rPr>
          <w:sz w:val="24"/>
          <w:szCs w:val="24"/>
        </w:rPr>
        <w:t>.</w:t>
      </w:r>
      <w:r w:rsidRPr="00D14441">
        <w:rPr>
          <w:sz w:val="24"/>
          <w:szCs w:val="24"/>
        </w:rPr>
        <w:t xml:space="preserve">  </w:t>
      </w:r>
    </w:p>
    <w:p w14:paraId="66A75D8D" w14:textId="77777777" w:rsidR="00403372" w:rsidRPr="00D14441" w:rsidRDefault="00403372" w:rsidP="00061304">
      <w:pPr>
        <w:ind w:left="270"/>
        <w:rPr>
          <w:sz w:val="24"/>
          <w:szCs w:val="24"/>
        </w:rPr>
      </w:pPr>
    </w:p>
    <w:p w14:paraId="3DBCCCFB" w14:textId="77777777" w:rsidR="00403372" w:rsidRPr="00D14441" w:rsidRDefault="00403372" w:rsidP="00061304">
      <w:pPr>
        <w:ind w:left="270"/>
        <w:rPr>
          <w:i/>
          <w:sz w:val="24"/>
          <w:szCs w:val="24"/>
        </w:rPr>
      </w:pPr>
      <w:r w:rsidRPr="00D14441">
        <w:rPr>
          <w:i/>
          <w:sz w:val="24"/>
          <w:szCs w:val="24"/>
        </w:rPr>
        <w:t>Definition</w:t>
      </w:r>
    </w:p>
    <w:p w14:paraId="0F107C19" w14:textId="77777777" w:rsidR="005C51E4" w:rsidRPr="00D14441" w:rsidRDefault="005C51E4" w:rsidP="005C51E4">
      <w:pPr>
        <w:ind w:left="270"/>
        <w:rPr>
          <w:sz w:val="24"/>
          <w:szCs w:val="24"/>
        </w:rPr>
      </w:pPr>
      <w:r w:rsidRPr="00D14441">
        <w:rPr>
          <w:sz w:val="24"/>
          <w:szCs w:val="24"/>
        </w:rPr>
        <w:t xml:space="preserve">For purposes of this Rule, the term "institutional account" shall mean the account of: </w:t>
      </w:r>
    </w:p>
    <w:p w14:paraId="0675866E" w14:textId="77777777" w:rsidR="005C51E4" w:rsidRPr="00D14441" w:rsidRDefault="005C51E4" w:rsidP="005C51E4">
      <w:pPr>
        <w:ind w:left="270"/>
        <w:rPr>
          <w:sz w:val="24"/>
          <w:szCs w:val="24"/>
        </w:rPr>
      </w:pPr>
    </w:p>
    <w:p w14:paraId="65B2D80A" w14:textId="77777777" w:rsidR="005C51E4" w:rsidRPr="00D14441" w:rsidRDefault="005C51E4" w:rsidP="005C51E4">
      <w:pPr>
        <w:ind w:left="630" w:hanging="360"/>
        <w:rPr>
          <w:sz w:val="24"/>
          <w:szCs w:val="24"/>
        </w:rPr>
      </w:pPr>
      <w:r w:rsidRPr="00D14441">
        <w:rPr>
          <w:sz w:val="24"/>
          <w:szCs w:val="24"/>
        </w:rPr>
        <w:t xml:space="preserve">(1) </w:t>
      </w:r>
      <w:r w:rsidR="004542C5" w:rsidRPr="00D14441">
        <w:rPr>
          <w:sz w:val="24"/>
          <w:szCs w:val="24"/>
        </w:rPr>
        <w:t>A</w:t>
      </w:r>
      <w:r w:rsidRPr="00D14441">
        <w:rPr>
          <w:sz w:val="24"/>
          <w:szCs w:val="24"/>
        </w:rPr>
        <w:t xml:space="preserve"> bank, savings and loan association, insurance company or registered investment company; </w:t>
      </w:r>
    </w:p>
    <w:p w14:paraId="1916ECAC" w14:textId="77777777" w:rsidR="005C51E4" w:rsidRPr="00D14441" w:rsidRDefault="005C51E4" w:rsidP="005C51E4">
      <w:pPr>
        <w:ind w:left="630" w:hanging="360"/>
        <w:rPr>
          <w:sz w:val="24"/>
          <w:szCs w:val="24"/>
        </w:rPr>
      </w:pPr>
      <w:r w:rsidRPr="00D14441">
        <w:rPr>
          <w:sz w:val="24"/>
          <w:szCs w:val="24"/>
        </w:rPr>
        <w:t xml:space="preserve">(2) </w:t>
      </w:r>
      <w:r w:rsidR="004542C5" w:rsidRPr="00D14441">
        <w:rPr>
          <w:sz w:val="24"/>
          <w:szCs w:val="24"/>
        </w:rPr>
        <w:t>An</w:t>
      </w:r>
      <w:r w:rsidRPr="00D14441">
        <w:rPr>
          <w:sz w:val="24"/>
          <w:szCs w:val="24"/>
        </w:rPr>
        <w:t xml:space="preserve"> investment adviser registered either with the SEC under Section 203 of the Investment Advisers Act or with a state securities commission (or any agency or office performing like functions); or </w:t>
      </w:r>
    </w:p>
    <w:p w14:paraId="1F8251B0" w14:textId="77777777" w:rsidR="005C51E4" w:rsidRPr="00D14441" w:rsidRDefault="005C51E4" w:rsidP="005C51E4">
      <w:pPr>
        <w:ind w:left="630" w:hanging="360"/>
        <w:rPr>
          <w:sz w:val="24"/>
          <w:szCs w:val="24"/>
        </w:rPr>
      </w:pPr>
      <w:r w:rsidRPr="00D14441">
        <w:rPr>
          <w:sz w:val="24"/>
          <w:szCs w:val="24"/>
        </w:rPr>
        <w:t xml:space="preserve">(3) </w:t>
      </w:r>
      <w:r w:rsidR="004542C5" w:rsidRPr="00D14441">
        <w:rPr>
          <w:sz w:val="24"/>
          <w:szCs w:val="24"/>
        </w:rPr>
        <w:t>Any</w:t>
      </w:r>
      <w:r w:rsidRPr="00D14441">
        <w:rPr>
          <w:sz w:val="24"/>
          <w:szCs w:val="24"/>
        </w:rPr>
        <w:t xml:space="preserve"> other person (whether a natural person, corporation, partnership, trust or otherwise) with total assets of at least $50 million.</w:t>
      </w:r>
    </w:p>
    <w:p w14:paraId="65848030" w14:textId="77777777" w:rsidR="00403372" w:rsidRPr="00D14441" w:rsidRDefault="005C51E4" w:rsidP="005C51E4">
      <w:pPr>
        <w:ind w:left="270"/>
        <w:rPr>
          <w:sz w:val="24"/>
          <w:szCs w:val="24"/>
        </w:rPr>
      </w:pPr>
      <w:r w:rsidRPr="00D14441">
        <w:rPr>
          <w:sz w:val="24"/>
          <w:szCs w:val="24"/>
        </w:rPr>
        <w:t xml:space="preserve"> </w:t>
      </w:r>
    </w:p>
    <w:p w14:paraId="27369492" w14:textId="77777777" w:rsidR="00061304" w:rsidRPr="00D14441" w:rsidRDefault="00061304" w:rsidP="00061304">
      <w:pPr>
        <w:ind w:left="270"/>
        <w:rPr>
          <w:sz w:val="24"/>
          <w:szCs w:val="24"/>
        </w:rPr>
      </w:pPr>
      <w:r w:rsidRPr="00D14441">
        <w:rPr>
          <w:sz w:val="24"/>
          <w:szCs w:val="24"/>
        </w:rPr>
        <w:t xml:space="preserve">Factors to consider when determining the scope of the Company’s </w:t>
      </w:r>
      <w:r w:rsidR="00403372" w:rsidRPr="00D14441">
        <w:rPr>
          <w:sz w:val="24"/>
          <w:szCs w:val="24"/>
        </w:rPr>
        <w:t>suitability</w:t>
      </w:r>
      <w:r w:rsidRPr="00D14441">
        <w:rPr>
          <w:sz w:val="24"/>
          <w:szCs w:val="24"/>
        </w:rPr>
        <w:t xml:space="preserve"> obligation </w:t>
      </w:r>
      <w:r w:rsidR="00403372" w:rsidRPr="00D14441">
        <w:rPr>
          <w:sz w:val="24"/>
          <w:szCs w:val="24"/>
        </w:rPr>
        <w:t>w</w:t>
      </w:r>
      <w:r w:rsidRPr="00D14441">
        <w:rPr>
          <w:sz w:val="24"/>
          <w:szCs w:val="24"/>
        </w:rPr>
        <w:t>hen making recommendations to institutional customers include:</w:t>
      </w:r>
    </w:p>
    <w:p w14:paraId="73EE646D" w14:textId="77777777" w:rsidR="00061304" w:rsidRPr="00D14441" w:rsidRDefault="00061304" w:rsidP="00061304">
      <w:pPr>
        <w:ind w:left="270"/>
        <w:rPr>
          <w:sz w:val="24"/>
          <w:szCs w:val="24"/>
        </w:rPr>
      </w:pPr>
    </w:p>
    <w:p w14:paraId="1B8F9D11" w14:textId="77777777" w:rsidR="00061304" w:rsidRPr="00D14441" w:rsidRDefault="00061304" w:rsidP="003E7B18">
      <w:pPr>
        <w:numPr>
          <w:ilvl w:val="0"/>
          <w:numId w:val="171"/>
        </w:numPr>
        <w:ind w:hanging="270"/>
      </w:pPr>
      <w:r w:rsidRPr="00D14441">
        <w:rPr>
          <w:sz w:val="24"/>
          <w:szCs w:val="24"/>
        </w:rPr>
        <w:t>The customer’s capability to evaluate investment risk independently both in general and with regard to particular transactions and investment strategies involving a security or securities; and</w:t>
      </w:r>
    </w:p>
    <w:p w14:paraId="6F894534" w14:textId="77777777" w:rsidR="00061304" w:rsidRPr="00D14441" w:rsidRDefault="00061304" w:rsidP="003E7B18">
      <w:pPr>
        <w:numPr>
          <w:ilvl w:val="0"/>
          <w:numId w:val="171"/>
        </w:numPr>
        <w:ind w:hanging="270"/>
      </w:pPr>
      <w:r w:rsidRPr="00D14441">
        <w:rPr>
          <w:sz w:val="24"/>
          <w:szCs w:val="24"/>
        </w:rPr>
        <w:t xml:space="preserve">The institutional customer’s affirmation indicating that it is exercising independent judgment in evaluating the recommendations.  </w:t>
      </w:r>
    </w:p>
    <w:p w14:paraId="0030C64B" w14:textId="77777777" w:rsidR="00061304" w:rsidRPr="00D14441" w:rsidRDefault="00061304" w:rsidP="00061304">
      <w:pPr>
        <w:ind w:left="630"/>
        <w:rPr>
          <w:sz w:val="24"/>
          <w:szCs w:val="24"/>
        </w:rPr>
      </w:pPr>
    </w:p>
    <w:p w14:paraId="6A33DC06" w14:textId="77777777" w:rsidR="00061304" w:rsidRPr="00D14441" w:rsidRDefault="00061304" w:rsidP="00061304">
      <w:pPr>
        <w:ind w:left="630"/>
        <w:rPr>
          <w:sz w:val="24"/>
          <w:szCs w:val="24"/>
        </w:rPr>
      </w:pPr>
      <w:r w:rsidRPr="00D14441">
        <w:rPr>
          <w:sz w:val="24"/>
          <w:szCs w:val="24"/>
        </w:rPr>
        <w:lastRenderedPageBreak/>
        <w:t xml:space="preserve">An institutional customer may indicate that it is exercising independent judgment on a trade-by-trade basis, on an asset-class-by-asset-class basis, or in terms of all potential transactions for its account.  Institutional accounts will be requested to provide the Institutional Suitability Certificate (from </w:t>
      </w:r>
      <w:hyperlink r:id="rId12" w:anchor="isc" w:history="1">
        <w:r w:rsidR="009F1B03" w:rsidRPr="00085231">
          <w:rPr>
            <w:rStyle w:val="Hyperlink"/>
            <w:sz w:val="24"/>
            <w:szCs w:val="24"/>
          </w:rPr>
          <w:t>http://www.sifma.org/services/standard-forms-and-documentation/cross-product/#isc</w:t>
        </w:r>
      </w:hyperlink>
      <w:r w:rsidR="009F1B03">
        <w:rPr>
          <w:sz w:val="24"/>
          <w:szCs w:val="24"/>
        </w:rPr>
        <w:t xml:space="preserve"> </w:t>
      </w:r>
      <w:r w:rsidRPr="00D14441">
        <w:rPr>
          <w:sz w:val="24"/>
          <w:szCs w:val="24"/>
        </w:rPr>
        <w:t xml:space="preserve">) to comply with the exemption. </w:t>
      </w:r>
    </w:p>
    <w:p w14:paraId="628CB589" w14:textId="77777777" w:rsidR="00061304" w:rsidRPr="00D14441" w:rsidRDefault="00061304" w:rsidP="00257D07">
      <w:pPr>
        <w:ind w:left="634"/>
        <w:rPr>
          <w:sz w:val="24"/>
          <w:szCs w:val="24"/>
        </w:rPr>
      </w:pPr>
    </w:p>
    <w:p w14:paraId="4B1D2B73" w14:textId="77777777" w:rsidR="00257D07" w:rsidRDefault="00257D07" w:rsidP="00257D07">
      <w:pPr>
        <w:autoSpaceDE w:val="0"/>
        <w:autoSpaceDN w:val="0"/>
        <w:adjustRightInd w:val="0"/>
        <w:ind w:left="634"/>
        <w:rPr>
          <w:sz w:val="24"/>
          <w:szCs w:val="24"/>
        </w:rPr>
      </w:pPr>
      <w:r w:rsidRPr="00D14441">
        <w:rPr>
          <w:sz w:val="24"/>
          <w:szCs w:val="24"/>
        </w:rPr>
        <w:t>Where an RR has reason to believe an institutional investor is not capable of understanding an investment or making an independent decision, the RR is obligated to make a specific suitability determination and should note this action on order records, in the RR's records, or in the account's records.</w:t>
      </w:r>
    </w:p>
    <w:p w14:paraId="651EF052" w14:textId="77777777" w:rsidR="00767CC4" w:rsidRDefault="00767CC4" w:rsidP="00257D07">
      <w:pPr>
        <w:autoSpaceDE w:val="0"/>
        <w:autoSpaceDN w:val="0"/>
        <w:adjustRightInd w:val="0"/>
        <w:ind w:left="634"/>
        <w:rPr>
          <w:sz w:val="24"/>
          <w:szCs w:val="24"/>
        </w:rPr>
      </w:pPr>
    </w:p>
    <w:p w14:paraId="3918BD16" w14:textId="77777777" w:rsidR="00322B24" w:rsidRPr="00D14441" w:rsidRDefault="00322B24" w:rsidP="00257D07">
      <w:pPr>
        <w:ind w:left="630"/>
        <w:rPr>
          <w:sz w:val="24"/>
          <w:szCs w:val="24"/>
        </w:rPr>
      </w:pPr>
    </w:p>
    <w:p w14:paraId="6C89C092" w14:textId="77777777" w:rsidR="00A83989" w:rsidRDefault="00C23199" w:rsidP="00936FEE">
      <w:pPr>
        <w:pStyle w:val="Heading2"/>
      </w:pPr>
      <w:bookmarkStart w:id="82" w:name="HandlingCustChecks"/>
      <w:bookmarkStart w:id="83" w:name="_Toc153361368"/>
      <w:bookmarkStart w:id="84" w:name="_Toc153361602"/>
      <w:bookmarkEnd w:id="82"/>
      <w:r w:rsidRPr="00E42465">
        <w:t>5</w:t>
      </w:r>
      <w:r w:rsidR="0000553E" w:rsidRPr="00E42465">
        <w:t>.1</w:t>
      </w:r>
      <w:r w:rsidR="000D186A">
        <w:t>2</w:t>
      </w:r>
      <w:r w:rsidR="0000553E" w:rsidRPr="00E42465">
        <w:t xml:space="preserve"> </w:t>
      </w:r>
      <w:r w:rsidR="00A83989" w:rsidRPr="00E42465">
        <w:t>Delivery and Acceptance of Checks and Securities</w:t>
      </w:r>
      <w:bookmarkEnd w:id="83"/>
      <w:bookmarkEnd w:id="84"/>
    </w:p>
    <w:p w14:paraId="7BAD9998" w14:textId="77777777" w:rsidR="007453DF" w:rsidRDefault="007453DF" w:rsidP="00DD003F">
      <w:pPr>
        <w:rPr>
          <w:sz w:val="24"/>
          <w:szCs w:val="24"/>
        </w:rPr>
      </w:pPr>
      <w:r>
        <w:rPr>
          <w:sz w:val="24"/>
          <w:szCs w:val="24"/>
        </w:rPr>
        <w:t>Pursuant to net capital limits, Company does not hold customer funds or securities and therefore has the following procedures in place:</w:t>
      </w:r>
    </w:p>
    <w:p w14:paraId="4DEA6676" w14:textId="77777777" w:rsidR="007453DF" w:rsidRDefault="007453DF" w:rsidP="00DD003F">
      <w:pPr>
        <w:rPr>
          <w:sz w:val="24"/>
          <w:szCs w:val="24"/>
        </w:rPr>
      </w:pPr>
    </w:p>
    <w:p w14:paraId="34699BA7" w14:textId="77777777" w:rsidR="007453DF" w:rsidRDefault="007453DF" w:rsidP="00DD003F">
      <w:pPr>
        <w:pStyle w:val="Heading3"/>
        <w:jc w:val="left"/>
      </w:pPr>
      <w:r>
        <w:t>5.</w:t>
      </w:r>
      <w:r w:rsidRPr="00765011">
        <w:t>1</w:t>
      </w:r>
      <w:r w:rsidR="000D186A" w:rsidRPr="00765011">
        <w:t>2</w:t>
      </w:r>
      <w:r>
        <w:t xml:space="preserve">.1 </w:t>
      </w:r>
      <w:r w:rsidRPr="002611EC">
        <w:t>Checks Received</w:t>
      </w:r>
    </w:p>
    <w:p w14:paraId="528526E4" w14:textId="77777777" w:rsidR="007453DF" w:rsidRDefault="007453DF" w:rsidP="00DD003F">
      <w:pPr>
        <w:tabs>
          <w:tab w:val="left" w:pos="1080"/>
          <w:tab w:val="left" w:pos="115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hanging="720"/>
        <w:rPr>
          <w:sz w:val="24"/>
        </w:rPr>
      </w:pPr>
    </w:p>
    <w:p w14:paraId="5931CEC5" w14:textId="77777777" w:rsidR="000C5EEC" w:rsidRDefault="007453DF" w:rsidP="00C1728B">
      <w:pPr>
        <w:numPr>
          <w:ilvl w:val="0"/>
          <w:numId w:val="91"/>
        </w:numPr>
        <w:tabs>
          <w:tab w:val="clear" w:pos="2520"/>
          <w:tab w:val="num" w:pos="900"/>
          <w:tab w:val="left" w:pos="153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hanging="450"/>
        <w:rPr>
          <w:sz w:val="24"/>
        </w:rPr>
      </w:pPr>
      <w:r>
        <w:rPr>
          <w:sz w:val="24"/>
        </w:rPr>
        <w:t xml:space="preserve">Checks received in an office must be forwarded </w:t>
      </w:r>
      <w:r w:rsidR="00D12B04">
        <w:rPr>
          <w:sz w:val="24"/>
        </w:rPr>
        <w:t xml:space="preserve">by noon the following day </w:t>
      </w:r>
      <w:r w:rsidR="00323862">
        <w:rPr>
          <w:sz w:val="24"/>
        </w:rPr>
        <w:t xml:space="preserve">to the intended recipient </w:t>
      </w:r>
      <w:r w:rsidR="00323862" w:rsidRPr="006D5CDF">
        <w:rPr>
          <w:sz w:val="24"/>
        </w:rPr>
        <w:t>(unless otherwise indicated by direct mutual fund purchases and variable annuities)</w:t>
      </w:r>
      <w:r w:rsidR="000C5EEC">
        <w:rPr>
          <w:sz w:val="24"/>
        </w:rPr>
        <w:t xml:space="preserve">.  </w:t>
      </w:r>
    </w:p>
    <w:p w14:paraId="66D64284" w14:textId="77777777" w:rsidR="000C5EEC" w:rsidRDefault="000C5EEC" w:rsidP="000C5EEC">
      <w:pPr>
        <w:tabs>
          <w:tab w:val="left" w:pos="153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rPr>
          <w:sz w:val="24"/>
        </w:rPr>
      </w:pPr>
    </w:p>
    <w:p w14:paraId="44C2B1D2" w14:textId="77777777" w:rsidR="002D7C50" w:rsidRPr="00AD760F" w:rsidRDefault="000C5EEC" w:rsidP="000C5EEC">
      <w:pPr>
        <w:tabs>
          <w:tab w:val="left" w:pos="153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rPr>
          <w:sz w:val="24"/>
          <w:szCs w:val="24"/>
        </w:rPr>
      </w:pPr>
      <w:r w:rsidRPr="00AD760F">
        <w:rPr>
          <w:sz w:val="24"/>
        </w:rPr>
        <w:t xml:space="preserve">For subscription way business, Company </w:t>
      </w:r>
      <w:r w:rsidRPr="00AD760F">
        <w:rPr>
          <w:sz w:val="24"/>
          <w:szCs w:val="24"/>
        </w:rPr>
        <w:t>is obligated, by FINRA rule, to transmit customer payments to the payees (</w:t>
      </w:r>
      <w:r w:rsidRPr="00AD760F">
        <w:rPr>
          <w:i/>
          <w:iCs/>
          <w:sz w:val="24"/>
          <w:szCs w:val="24"/>
        </w:rPr>
        <w:t>i.e.,</w:t>
      </w:r>
      <w:r w:rsidRPr="00AD760F">
        <w:rPr>
          <w:sz w:val="24"/>
          <w:szCs w:val="24"/>
        </w:rPr>
        <w:t xml:space="preserve"> underwriters, investment companies or their designated agents) by the end of the third business day following receipt of a customer's order to purchase or by the end of one business day following receipt of a customer's payment, whichever is the later date. </w:t>
      </w:r>
    </w:p>
    <w:p w14:paraId="7C2CA665" w14:textId="77777777" w:rsidR="002D7C50" w:rsidRPr="00AD760F" w:rsidRDefault="002D7C50" w:rsidP="000C5EEC">
      <w:pPr>
        <w:tabs>
          <w:tab w:val="left" w:pos="153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rPr>
          <w:sz w:val="24"/>
          <w:szCs w:val="24"/>
        </w:rPr>
      </w:pPr>
    </w:p>
    <w:p w14:paraId="57F85A1D" w14:textId="77777777" w:rsidR="000C5EEC" w:rsidRPr="00AD760F" w:rsidRDefault="000C5EEC" w:rsidP="000C5EEC">
      <w:pPr>
        <w:tabs>
          <w:tab w:val="left" w:pos="153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rPr>
          <w:sz w:val="24"/>
        </w:rPr>
      </w:pPr>
      <w:r w:rsidRPr="00AD760F">
        <w:rPr>
          <w:sz w:val="24"/>
          <w:szCs w:val="24"/>
        </w:rPr>
        <w:t>RRs must safeguard each check and promptly prepare and forward a complete and correct application package to the designated OSJ. The Principal at the OSJ will perform a suitability review and determine whether to approve each subscription-way sale within seven business days after receiving a complete and correct application package. Checks will be transmitted no later than noon of the business day following the date the Principal reviews and approves the transaction.</w:t>
      </w:r>
    </w:p>
    <w:p w14:paraId="6DA5FA40" w14:textId="77777777" w:rsidR="007453DF" w:rsidRPr="006D5CDF" w:rsidRDefault="000C5EEC" w:rsidP="000C5EEC">
      <w:pPr>
        <w:tabs>
          <w:tab w:val="left" w:pos="153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rPr>
          <w:sz w:val="24"/>
        </w:rPr>
      </w:pPr>
      <w:r>
        <w:rPr>
          <w:sz w:val="24"/>
        </w:rPr>
        <w:t xml:space="preserve"> </w:t>
      </w:r>
    </w:p>
    <w:p w14:paraId="137E62C9" w14:textId="2D63A59C" w:rsidR="007453DF" w:rsidRDefault="007453DF" w:rsidP="00C1728B">
      <w:pPr>
        <w:numPr>
          <w:ilvl w:val="0"/>
          <w:numId w:val="91"/>
        </w:numPr>
        <w:tabs>
          <w:tab w:val="clear" w:pos="2520"/>
          <w:tab w:val="num" w:pos="900"/>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hanging="450"/>
        <w:rPr>
          <w:sz w:val="24"/>
        </w:rPr>
      </w:pPr>
      <w:r w:rsidRPr="006D5CDF">
        <w:rPr>
          <w:sz w:val="24"/>
        </w:rPr>
        <w:t>Make copy of check for files and enter into Checks Received and Forwarded Blotter in WinOps.</w:t>
      </w:r>
    </w:p>
    <w:p w14:paraId="62D518A1" w14:textId="77777777" w:rsidR="00122B9A" w:rsidRPr="006D5CDF" w:rsidRDefault="00122B9A" w:rsidP="00122B9A">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rPr>
          <w:sz w:val="24"/>
        </w:rPr>
      </w:pPr>
    </w:p>
    <w:p w14:paraId="72A08478" w14:textId="241EB2DB" w:rsidR="007453DF" w:rsidRDefault="007453DF" w:rsidP="00C1728B">
      <w:pPr>
        <w:numPr>
          <w:ilvl w:val="0"/>
          <w:numId w:val="91"/>
        </w:numPr>
        <w:tabs>
          <w:tab w:val="clear" w:pos="2520"/>
          <w:tab w:val="left" w:pos="720"/>
          <w:tab w:val="num" w:pos="90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hanging="450"/>
        <w:rPr>
          <w:sz w:val="24"/>
        </w:rPr>
      </w:pPr>
      <w:r w:rsidRPr="006D5CDF">
        <w:rPr>
          <w:sz w:val="24"/>
        </w:rPr>
        <w:t xml:space="preserve">   If check is for deposit into </w:t>
      </w:r>
      <w:r w:rsidR="00DF1147" w:rsidRPr="006D5CDF">
        <w:rPr>
          <w:sz w:val="24"/>
        </w:rPr>
        <w:t>HTS</w:t>
      </w:r>
      <w:r w:rsidRPr="006D5CDF">
        <w:rPr>
          <w:sz w:val="24"/>
        </w:rPr>
        <w:t xml:space="preserve">, prepare </w:t>
      </w:r>
      <w:r w:rsidR="009F1432" w:rsidRPr="006D5CDF">
        <w:rPr>
          <w:sz w:val="24"/>
        </w:rPr>
        <w:t>deposit;</w:t>
      </w:r>
      <w:r w:rsidRPr="006D5CDF">
        <w:rPr>
          <w:sz w:val="24"/>
        </w:rPr>
        <w:t xml:space="preserve"> make copy of deposit for cashiering file, and process through </w:t>
      </w:r>
      <w:r w:rsidR="00DF1147" w:rsidRPr="006D5CDF">
        <w:rPr>
          <w:sz w:val="24"/>
        </w:rPr>
        <w:t>HTS</w:t>
      </w:r>
      <w:r w:rsidRPr="006D5CDF">
        <w:rPr>
          <w:sz w:val="24"/>
        </w:rPr>
        <w:t>/</w:t>
      </w:r>
      <w:proofErr w:type="spellStart"/>
      <w:r w:rsidRPr="006D5CDF">
        <w:rPr>
          <w:sz w:val="24"/>
        </w:rPr>
        <w:t>RemitPro</w:t>
      </w:r>
      <w:proofErr w:type="spellEnd"/>
      <w:r w:rsidRPr="006D5CDF">
        <w:rPr>
          <w:sz w:val="24"/>
        </w:rPr>
        <w:t xml:space="preserve"> for electronic deposit.  Verify customer account numbers and make sure account numbers are on customer checks.</w:t>
      </w:r>
    </w:p>
    <w:p w14:paraId="48C03148" w14:textId="77777777" w:rsidR="00122B9A" w:rsidRPr="006D5CDF" w:rsidRDefault="00122B9A" w:rsidP="00122B9A">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rPr>
          <w:sz w:val="24"/>
        </w:rPr>
      </w:pPr>
    </w:p>
    <w:p w14:paraId="1306EC6D" w14:textId="086A88AA" w:rsidR="007453DF" w:rsidRDefault="007453DF" w:rsidP="00C1728B">
      <w:pPr>
        <w:numPr>
          <w:ilvl w:val="0"/>
          <w:numId w:val="91"/>
        </w:numPr>
        <w:tabs>
          <w:tab w:val="clear" w:pos="2520"/>
          <w:tab w:val="num" w:pos="900"/>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hanging="450"/>
        <w:rPr>
          <w:sz w:val="24"/>
        </w:rPr>
      </w:pPr>
      <w:r w:rsidRPr="006D5CDF">
        <w:rPr>
          <w:sz w:val="24"/>
        </w:rPr>
        <w:t>If check is to be forwarded to product vendor, forward in mail</w:t>
      </w:r>
      <w:r w:rsidR="007165A6" w:rsidRPr="006D5CDF">
        <w:rPr>
          <w:sz w:val="24"/>
        </w:rPr>
        <w:t xml:space="preserve"> (may be overnight)</w:t>
      </w:r>
      <w:r w:rsidRPr="006D5CDF">
        <w:rPr>
          <w:sz w:val="24"/>
        </w:rPr>
        <w:t xml:space="preserve"> along with any application materials.  Maintain sender</w:t>
      </w:r>
      <w:r w:rsidR="00062A0A" w:rsidRPr="006D5CDF">
        <w:rPr>
          <w:sz w:val="24"/>
        </w:rPr>
        <w:t>’</w:t>
      </w:r>
      <w:r w:rsidRPr="006D5CDF">
        <w:rPr>
          <w:sz w:val="24"/>
        </w:rPr>
        <w:t>s portion of delivery ticket in central location for proof of delivery</w:t>
      </w:r>
      <w:r w:rsidR="007165A6" w:rsidRPr="006D5CDF">
        <w:rPr>
          <w:sz w:val="24"/>
        </w:rPr>
        <w:t xml:space="preserve"> if applicable</w:t>
      </w:r>
      <w:r w:rsidRPr="006D5CDF">
        <w:rPr>
          <w:sz w:val="24"/>
        </w:rPr>
        <w:t>.</w:t>
      </w:r>
    </w:p>
    <w:p w14:paraId="7A0994DB" w14:textId="77777777" w:rsidR="00122B9A" w:rsidRPr="006D5CDF" w:rsidRDefault="00122B9A" w:rsidP="00122B9A">
      <w:pPr>
        <w:tabs>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rPr>
          <w:sz w:val="24"/>
        </w:rPr>
      </w:pPr>
    </w:p>
    <w:p w14:paraId="0BA8DCC1" w14:textId="77777777" w:rsidR="007453DF" w:rsidRPr="006D5CDF" w:rsidRDefault="007453DF" w:rsidP="00C1728B">
      <w:pPr>
        <w:numPr>
          <w:ilvl w:val="0"/>
          <w:numId w:val="91"/>
        </w:numPr>
        <w:tabs>
          <w:tab w:val="clear" w:pos="2520"/>
          <w:tab w:val="num" w:pos="900"/>
        </w:tabs>
        <w:ind w:left="892" w:hanging="446"/>
        <w:rPr>
          <w:sz w:val="24"/>
        </w:rPr>
      </w:pPr>
      <w:r w:rsidRPr="006D5CDF">
        <w:rPr>
          <w:sz w:val="24"/>
        </w:rPr>
        <w:t>Checks made payable to the Company instead of the intended recipient will be returned promptly to the customer</w:t>
      </w:r>
      <w:r w:rsidR="006D0D76" w:rsidRPr="006D5CDF">
        <w:rPr>
          <w:sz w:val="24"/>
        </w:rPr>
        <w:t xml:space="preserve">, by the next business day, </w:t>
      </w:r>
      <w:r w:rsidRPr="006D5CDF">
        <w:rPr>
          <w:sz w:val="24"/>
        </w:rPr>
        <w:t xml:space="preserve">to re-issue the check to the proper recipient.   </w:t>
      </w:r>
      <w:r w:rsidR="001C343C" w:rsidRPr="006D5CDF">
        <w:rPr>
          <w:sz w:val="24"/>
        </w:rPr>
        <w:t>Any check payable to Company and</w:t>
      </w:r>
      <w:r w:rsidR="007165A6" w:rsidRPr="006D5CDF">
        <w:rPr>
          <w:sz w:val="24"/>
        </w:rPr>
        <w:t>/or</w:t>
      </w:r>
      <w:r w:rsidR="001C343C" w:rsidRPr="006D5CDF">
        <w:rPr>
          <w:sz w:val="24"/>
        </w:rPr>
        <w:t xml:space="preserve"> returned to Customer will also be logged in the Send/Rec Log (checks received and forwarded blotter)</w:t>
      </w:r>
      <w:r w:rsidR="00D83FEE" w:rsidRPr="006D5CDF">
        <w:rPr>
          <w:sz w:val="24"/>
        </w:rPr>
        <w:t xml:space="preserve"> and a copy of the check maintained in the cashiering file.</w:t>
      </w:r>
      <w:r w:rsidR="001C343C" w:rsidRPr="006D5CDF">
        <w:rPr>
          <w:sz w:val="24"/>
        </w:rPr>
        <w:t xml:space="preserve">  </w:t>
      </w:r>
      <w:r w:rsidRPr="006D5CDF">
        <w:rPr>
          <w:sz w:val="24"/>
        </w:rPr>
        <w:t xml:space="preserve">In the event, a check made payable to the Company or branch office is deposited or forwarded to the intended </w:t>
      </w:r>
      <w:r w:rsidRPr="006D5CDF">
        <w:rPr>
          <w:sz w:val="24"/>
        </w:rPr>
        <w:lastRenderedPageBreak/>
        <w:t xml:space="preserve">recipient, </w:t>
      </w:r>
      <w:r w:rsidR="007A157F" w:rsidRPr="006D5CDF">
        <w:rPr>
          <w:sz w:val="24"/>
        </w:rPr>
        <w:t>Compliance</w:t>
      </w:r>
      <w:r w:rsidRPr="006D5CDF">
        <w:rPr>
          <w:sz w:val="24"/>
        </w:rPr>
        <w:t xml:space="preserve"> or </w:t>
      </w:r>
      <w:r w:rsidR="007A157F" w:rsidRPr="006D5CDF">
        <w:rPr>
          <w:sz w:val="24"/>
        </w:rPr>
        <w:t>other personnel</w:t>
      </w:r>
      <w:r w:rsidRPr="006D5CDF">
        <w:rPr>
          <w:sz w:val="24"/>
        </w:rPr>
        <w:t xml:space="preserve"> will follow up with the deposit to ensure the funds were </w:t>
      </w:r>
      <w:r w:rsidRPr="006D5CDF">
        <w:rPr>
          <w:sz w:val="24"/>
          <w:u w:val="single"/>
        </w:rPr>
        <w:t>not</w:t>
      </w:r>
      <w:r w:rsidRPr="006D5CDF">
        <w:rPr>
          <w:sz w:val="24"/>
        </w:rPr>
        <w:t xml:space="preserve"> deposited into a Company or branch account with evidence of review indicated in </w:t>
      </w:r>
      <w:r w:rsidR="006C6B1E">
        <w:rPr>
          <w:sz w:val="24"/>
        </w:rPr>
        <w:t xml:space="preserve">the </w:t>
      </w:r>
      <w:r w:rsidR="006C6B1E" w:rsidRPr="0083736F">
        <w:rPr>
          <w:sz w:val="24"/>
        </w:rPr>
        <w:t>Cashiering file</w:t>
      </w:r>
      <w:r w:rsidRPr="006D5CDF">
        <w:rPr>
          <w:sz w:val="24"/>
        </w:rPr>
        <w:t xml:space="preserve">.  </w:t>
      </w:r>
    </w:p>
    <w:p w14:paraId="682992B5" w14:textId="77777777" w:rsidR="007453DF" w:rsidRPr="006D5CDF" w:rsidRDefault="007453DF" w:rsidP="00DD003F">
      <w:pPr>
        <w:tabs>
          <w:tab w:val="left" w:pos="153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2160"/>
        <w:rPr>
          <w:sz w:val="24"/>
        </w:rPr>
      </w:pPr>
    </w:p>
    <w:p w14:paraId="1DEE053E" w14:textId="77777777" w:rsidR="007453DF" w:rsidRPr="006D5CDF" w:rsidRDefault="00353C42" w:rsidP="00DD003F">
      <w:pPr>
        <w:pStyle w:val="Heading3"/>
        <w:jc w:val="left"/>
      </w:pPr>
      <w:r w:rsidRPr="006D5CDF">
        <w:t xml:space="preserve">5.12.2 </w:t>
      </w:r>
      <w:r w:rsidR="00B53FCF" w:rsidRPr="006D5CDF">
        <w:t xml:space="preserve">FINRA Rule 4514 - </w:t>
      </w:r>
      <w:r w:rsidRPr="006D5CDF">
        <w:t>Negotiable Instruments Drawn from a Customer’s Account</w:t>
      </w:r>
    </w:p>
    <w:p w14:paraId="4F4BED0B" w14:textId="77777777" w:rsidR="00F22A96" w:rsidRPr="006D5CDF" w:rsidRDefault="00353C42" w:rsidP="00DD003F">
      <w:pPr>
        <w:ind w:left="274"/>
        <w:rPr>
          <w:sz w:val="24"/>
          <w:szCs w:val="24"/>
        </w:rPr>
      </w:pPr>
      <w:r w:rsidRPr="006D5CDF">
        <w:rPr>
          <w:sz w:val="24"/>
          <w:szCs w:val="24"/>
        </w:rPr>
        <w:t xml:space="preserve">A customer’s written signature is required whenever the Company obtains or submits for payment a check, draft, or other form of negotiable paper from a customer’s checking, savings, share, or similar account.  </w:t>
      </w:r>
      <w:r w:rsidR="00CD0526" w:rsidRPr="006D5CDF">
        <w:rPr>
          <w:sz w:val="24"/>
          <w:szCs w:val="24"/>
        </w:rPr>
        <w:t xml:space="preserve">Where the written authorization is separate </w:t>
      </w:r>
      <w:r w:rsidR="00CD0526" w:rsidRPr="006D5CDF">
        <w:rPr>
          <w:sz w:val="24"/>
          <w:szCs w:val="24"/>
          <w:shd w:val="clear" w:color="auto" w:fill="FFFFFF"/>
        </w:rPr>
        <w:t>from the negotiable instrument, the member shall preserve the authorization for a period of three years following the date the authorization expires. This provision shall not, however, require members to preserve copies of negotiable instruments signed by customers.</w:t>
      </w:r>
      <w:r w:rsidRPr="006D5CDF">
        <w:rPr>
          <w:sz w:val="24"/>
          <w:szCs w:val="24"/>
        </w:rPr>
        <w:t xml:space="preserve"> </w:t>
      </w:r>
    </w:p>
    <w:p w14:paraId="2ED1B0D0" w14:textId="77777777" w:rsidR="00F22A96" w:rsidRPr="006D5CDF" w:rsidRDefault="00F22A96" w:rsidP="00DD003F">
      <w:pPr>
        <w:ind w:left="274"/>
        <w:rPr>
          <w:sz w:val="24"/>
          <w:szCs w:val="24"/>
        </w:rPr>
      </w:pPr>
    </w:p>
    <w:p w14:paraId="3D78F208" w14:textId="77777777" w:rsidR="00F22A96" w:rsidRPr="006D5CDF" w:rsidRDefault="005A7710" w:rsidP="001A587F">
      <w:pPr>
        <w:pStyle w:val="Heading4"/>
      </w:pPr>
      <w:r w:rsidRPr="006D5CDF">
        <w:t xml:space="preserve"> </w:t>
      </w:r>
      <w:r w:rsidR="00CD0526" w:rsidRPr="006D5CDF">
        <w:t>HT</w:t>
      </w:r>
      <w:r w:rsidR="00F22A96" w:rsidRPr="006D5CDF">
        <w:t>S Draft Writing</w:t>
      </w:r>
    </w:p>
    <w:p w14:paraId="63E9E7E8" w14:textId="77777777" w:rsidR="00353C42" w:rsidRPr="006D5CDF" w:rsidRDefault="00353C42" w:rsidP="00CD0526">
      <w:pPr>
        <w:ind w:left="446"/>
        <w:rPr>
          <w:sz w:val="24"/>
          <w:szCs w:val="24"/>
        </w:rPr>
      </w:pPr>
      <w:r w:rsidRPr="006D5CDF">
        <w:rPr>
          <w:sz w:val="24"/>
          <w:szCs w:val="24"/>
        </w:rPr>
        <w:t xml:space="preserve">In addition to obtaining the signed authorization, the following steps for draft writing on </w:t>
      </w:r>
      <w:r w:rsidR="00CD0526" w:rsidRPr="006D5CDF">
        <w:rPr>
          <w:sz w:val="24"/>
          <w:szCs w:val="24"/>
        </w:rPr>
        <w:t>HTS</w:t>
      </w:r>
      <w:r w:rsidRPr="006D5CDF">
        <w:rPr>
          <w:sz w:val="24"/>
          <w:szCs w:val="24"/>
        </w:rPr>
        <w:t xml:space="preserve"> accounts applies:</w:t>
      </w:r>
    </w:p>
    <w:p w14:paraId="1F72A8AB" w14:textId="77777777" w:rsidR="00353C42" w:rsidRPr="006D5CDF" w:rsidRDefault="00353C42" w:rsidP="00353C42">
      <w:pPr>
        <w:ind w:left="270"/>
        <w:rPr>
          <w:sz w:val="24"/>
          <w:szCs w:val="24"/>
        </w:rPr>
      </w:pPr>
    </w:p>
    <w:p w14:paraId="0CBD657E" w14:textId="77777777" w:rsidR="007453DF" w:rsidRDefault="007453DF" w:rsidP="00C1728B">
      <w:pPr>
        <w:numPr>
          <w:ilvl w:val="0"/>
          <w:numId w:val="92"/>
        </w:numPr>
        <w:tabs>
          <w:tab w:val="clear" w:pos="2520"/>
          <w:tab w:val="num" w:pos="900"/>
          <w:tab w:val="left" w:pos="1080"/>
          <w:tab w:val="left" w:pos="1152"/>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hanging="450"/>
        <w:jc w:val="both"/>
        <w:rPr>
          <w:sz w:val="24"/>
        </w:rPr>
      </w:pPr>
      <w:r>
        <w:rPr>
          <w:sz w:val="24"/>
        </w:rPr>
        <w:t xml:space="preserve">Branches authorized with draft writing capabilities must ensure a secure, locked location and limited access to draft records.  Do not leave terminals or draft locations unattended.  Do not leave blank </w:t>
      </w:r>
      <w:r w:rsidR="00015C68">
        <w:rPr>
          <w:sz w:val="24"/>
        </w:rPr>
        <w:t>drafts or</w:t>
      </w:r>
      <w:r>
        <w:rPr>
          <w:sz w:val="24"/>
        </w:rPr>
        <w:t xml:space="preserve"> completed drafts unattended or in unsecured locations overnight.</w:t>
      </w:r>
    </w:p>
    <w:p w14:paraId="58EB3D2F" w14:textId="439BF558" w:rsidR="007453DF" w:rsidRPr="006D5CDF" w:rsidRDefault="007453DF" w:rsidP="00C1728B">
      <w:pPr>
        <w:numPr>
          <w:ilvl w:val="0"/>
          <w:numId w:val="92"/>
        </w:numPr>
        <w:tabs>
          <w:tab w:val="clear" w:pos="2520"/>
          <w:tab w:val="num" w:pos="900"/>
          <w:tab w:val="left" w:pos="1080"/>
          <w:tab w:val="left" w:pos="1152"/>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hanging="450"/>
        <w:jc w:val="both"/>
        <w:rPr>
          <w:sz w:val="24"/>
        </w:rPr>
      </w:pPr>
      <w:r>
        <w:rPr>
          <w:sz w:val="24"/>
        </w:rPr>
        <w:t xml:space="preserve">Authorized signatories must be submitted to </w:t>
      </w:r>
      <w:r w:rsidR="00CD0526" w:rsidRPr="006D5CDF">
        <w:rPr>
          <w:sz w:val="24"/>
        </w:rPr>
        <w:t>HT</w:t>
      </w:r>
      <w:r w:rsidRPr="006D5CDF">
        <w:rPr>
          <w:sz w:val="24"/>
        </w:rPr>
        <w:t>S Accounting Department (as well as any additions, deletions, temporary changes, etc</w:t>
      </w:r>
      <w:r w:rsidR="00015C68">
        <w:rPr>
          <w:sz w:val="24"/>
        </w:rPr>
        <w:t>.</w:t>
      </w:r>
      <w:r w:rsidRPr="006D5CDF">
        <w:rPr>
          <w:sz w:val="24"/>
        </w:rPr>
        <w:t xml:space="preserve">). Approvals must be obtained by </w:t>
      </w:r>
      <w:r w:rsidR="00CD0526" w:rsidRPr="006D5CDF">
        <w:rPr>
          <w:sz w:val="24"/>
        </w:rPr>
        <w:t>HTS</w:t>
      </w:r>
      <w:r w:rsidRPr="006D5CDF">
        <w:rPr>
          <w:sz w:val="24"/>
        </w:rPr>
        <w:t xml:space="preserve"> (Customer Service, Retirement Department, etc</w:t>
      </w:r>
      <w:r w:rsidR="00015C68">
        <w:rPr>
          <w:sz w:val="24"/>
        </w:rPr>
        <w:t>.</w:t>
      </w:r>
      <w:r w:rsidRPr="006D5CDF">
        <w:rPr>
          <w:sz w:val="24"/>
        </w:rPr>
        <w:t xml:space="preserve">) prior to disbursing any funds.  Use drafts in numerical sequence.  Any breaks in sequence must be reported to </w:t>
      </w:r>
      <w:r w:rsidR="00CD0526" w:rsidRPr="006D5CDF">
        <w:rPr>
          <w:sz w:val="24"/>
        </w:rPr>
        <w:t>HTS</w:t>
      </w:r>
      <w:r w:rsidRPr="006D5CDF">
        <w:rPr>
          <w:sz w:val="24"/>
        </w:rPr>
        <w:t xml:space="preserve"> Accounting Dept.</w:t>
      </w:r>
      <w:r w:rsidR="008D0D3D" w:rsidRPr="006D5CDF">
        <w:rPr>
          <w:sz w:val="24"/>
        </w:rPr>
        <w:t xml:space="preserve"> Current authorized personnel/signatories are Morris Monroe, Laura Hendricks</w:t>
      </w:r>
      <w:r w:rsidR="0068457D">
        <w:rPr>
          <w:sz w:val="24"/>
        </w:rPr>
        <w:t xml:space="preserve"> </w:t>
      </w:r>
      <w:r w:rsidR="0068457D" w:rsidRPr="0068457D">
        <w:rPr>
          <w:color w:val="FF0000"/>
          <w:sz w:val="24"/>
        </w:rPr>
        <w:t>and</w:t>
      </w:r>
      <w:r w:rsidR="00A96D9C" w:rsidRPr="006D5CDF">
        <w:rPr>
          <w:sz w:val="24"/>
        </w:rPr>
        <w:t xml:space="preserve"> </w:t>
      </w:r>
      <w:r w:rsidR="00015C68" w:rsidRPr="00015C68">
        <w:rPr>
          <w:sz w:val="24"/>
        </w:rPr>
        <w:t>back-office</w:t>
      </w:r>
      <w:r w:rsidR="0044443C" w:rsidRPr="00015C68">
        <w:rPr>
          <w:sz w:val="24"/>
        </w:rPr>
        <w:t xml:space="preserve"> personnel</w:t>
      </w:r>
      <w:r w:rsidR="008D0D3D" w:rsidRPr="00015C68">
        <w:rPr>
          <w:sz w:val="24"/>
        </w:rPr>
        <w:t xml:space="preserve"> </w:t>
      </w:r>
      <w:r w:rsidR="008D0D3D" w:rsidRPr="006D5CDF">
        <w:rPr>
          <w:sz w:val="24"/>
        </w:rPr>
        <w:t>in the home office</w:t>
      </w:r>
      <w:r w:rsidR="0068457D">
        <w:rPr>
          <w:sz w:val="24"/>
        </w:rPr>
        <w:t>.</w:t>
      </w:r>
      <w:r w:rsidR="008D0D3D" w:rsidRPr="006D5CDF">
        <w:rPr>
          <w:sz w:val="24"/>
        </w:rPr>
        <w:t xml:space="preserve"> </w:t>
      </w:r>
    </w:p>
    <w:p w14:paraId="53970692" w14:textId="77777777" w:rsidR="007453DF" w:rsidRPr="006D5CDF" w:rsidRDefault="007453DF" w:rsidP="00C1728B">
      <w:pPr>
        <w:numPr>
          <w:ilvl w:val="0"/>
          <w:numId w:val="92"/>
        </w:numPr>
        <w:tabs>
          <w:tab w:val="clear" w:pos="2520"/>
          <w:tab w:val="num" w:pos="900"/>
          <w:tab w:val="left" w:pos="1080"/>
          <w:tab w:val="left" w:pos="1152"/>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hanging="450"/>
        <w:jc w:val="both"/>
        <w:rPr>
          <w:sz w:val="24"/>
        </w:rPr>
      </w:pPr>
      <w:r w:rsidRPr="006D5CDF">
        <w:rPr>
          <w:sz w:val="24"/>
        </w:rPr>
        <w:t xml:space="preserve">Each person authorized with draft privileges should be trained in proper reading of accounts, draft approval thresholds and requirements, void and stop payment procedures, and controls of draft inventory. </w:t>
      </w:r>
      <w:r w:rsidR="008D0D3D" w:rsidRPr="006D5CDF">
        <w:rPr>
          <w:sz w:val="24"/>
        </w:rPr>
        <w:t xml:space="preserve">  </w:t>
      </w:r>
    </w:p>
    <w:p w14:paraId="63E3E85A" w14:textId="77777777" w:rsidR="007453DF" w:rsidRPr="006D5CDF" w:rsidRDefault="007453DF" w:rsidP="00C1728B">
      <w:pPr>
        <w:numPr>
          <w:ilvl w:val="0"/>
          <w:numId w:val="92"/>
        </w:numPr>
        <w:tabs>
          <w:tab w:val="clear" w:pos="2520"/>
          <w:tab w:val="num" w:pos="900"/>
          <w:tab w:val="left" w:pos="1080"/>
          <w:tab w:val="left" w:pos="1152"/>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hanging="450"/>
        <w:jc w:val="both"/>
        <w:rPr>
          <w:sz w:val="24"/>
        </w:rPr>
      </w:pPr>
      <w:r w:rsidRPr="006D5CDF">
        <w:rPr>
          <w:sz w:val="24"/>
        </w:rPr>
        <w:t>An authorized signature is required on each draft.</w:t>
      </w:r>
      <w:r w:rsidR="00F50C5E" w:rsidRPr="006D5CDF">
        <w:rPr>
          <w:sz w:val="24"/>
        </w:rPr>
        <w:t xml:space="preserve">  Signed, blank checks are prohibited.  Only complete check information with amount and payee may be signed.</w:t>
      </w:r>
    </w:p>
    <w:p w14:paraId="3955B251" w14:textId="77777777" w:rsidR="007453DF" w:rsidRPr="006D5CDF" w:rsidRDefault="007453DF" w:rsidP="00C1728B">
      <w:pPr>
        <w:numPr>
          <w:ilvl w:val="0"/>
          <w:numId w:val="92"/>
        </w:numPr>
        <w:tabs>
          <w:tab w:val="clear" w:pos="2520"/>
          <w:tab w:val="num" w:pos="900"/>
          <w:tab w:val="left" w:pos="1080"/>
          <w:tab w:val="left" w:pos="1152"/>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hanging="450"/>
        <w:jc w:val="both"/>
        <w:rPr>
          <w:sz w:val="24"/>
        </w:rPr>
      </w:pPr>
      <w:r w:rsidRPr="006D5CDF">
        <w:rPr>
          <w:sz w:val="24"/>
        </w:rPr>
        <w:t>A Disbursement Log must be maintained recording Date of Disbursement, Draft Number, Account Name, Account Number, Reason for Disbursement, and Amount.  Maintain a record of all voided drafts.  Any replacements drafts must be made payable to same payee as the original draft.</w:t>
      </w:r>
    </w:p>
    <w:p w14:paraId="27A69D4D" w14:textId="77777777" w:rsidR="007453DF" w:rsidRPr="006D5CDF" w:rsidRDefault="007453DF" w:rsidP="00C1728B">
      <w:pPr>
        <w:numPr>
          <w:ilvl w:val="0"/>
          <w:numId w:val="92"/>
        </w:numPr>
        <w:tabs>
          <w:tab w:val="clear" w:pos="2520"/>
          <w:tab w:val="num" w:pos="900"/>
          <w:tab w:val="left" w:pos="1080"/>
          <w:tab w:val="left" w:pos="1152"/>
          <w:tab w:val="left" w:pos="1800"/>
          <w:tab w:val="left" w:pos="216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00" w:hanging="450"/>
        <w:jc w:val="both"/>
        <w:rPr>
          <w:sz w:val="24"/>
        </w:rPr>
      </w:pPr>
      <w:r w:rsidRPr="006D5CDF">
        <w:rPr>
          <w:sz w:val="24"/>
        </w:rPr>
        <w:t xml:space="preserve">Maintain copies of drafts with the appropriate </w:t>
      </w:r>
      <w:r w:rsidR="007340EE" w:rsidRPr="006D5CDF">
        <w:rPr>
          <w:sz w:val="24"/>
        </w:rPr>
        <w:t>HTS</w:t>
      </w:r>
      <w:r w:rsidRPr="006D5CDF">
        <w:rPr>
          <w:sz w:val="24"/>
        </w:rPr>
        <w:t xml:space="preserve"> employee approval indicated</w:t>
      </w:r>
      <w:r w:rsidR="00353C42" w:rsidRPr="006D5CDF">
        <w:rPr>
          <w:sz w:val="24"/>
        </w:rPr>
        <w:t xml:space="preserve"> along with any written signed authorization in a central location</w:t>
      </w:r>
      <w:r w:rsidRPr="006D5CDF">
        <w:rPr>
          <w:sz w:val="24"/>
        </w:rPr>
        <w:t>.</w:t>
      </w:r>
    </w:p>
    <w:p w14:paraId="3DED5E93" w14:textId="77777777" w:rsidR="007453DF" w:rsidRPr="006D5CDF" w:rsidRDefault="007453DF" w:rsidP="007453DF">
      <w:pPr>
        <w:rPr>
          <w:sz w:val="24"/>
          <w:szCs w:val="24"/>
        </w:rPr>
      </w:pPr>
    </w:p>
    <w:p w14:paraId="565211CE" w14:textId="77777777" w:rsidR="00EC25F2" w:rsidRPr="006D5CDF" w:rsidRDefault="00EC25F2" w:rsidP="001A7509">
      <w:pPr>
        <w:pStyle w:val="Heading3"/>
      </w:pPr>
      <w:bookmarkStart w:id="85" w:name="HandlingSecurities"/>
      <w:bookmarkEnd w:id="85"/>
      <w:r w:rsidRPr="006D5CDF">
        <w:t>5.1</w:t>
      </w:r>
      <w:r w:rsidR="000D186A" w:rsidRPr="006D5CDF">
        <w:t>2</w:t>
      </w:r>
      <w:r w:rsidRPr="006D5CDF">
        <w:t xml:space="preserve">.3 Securities Certificates Received and Delivered  </w:t>
      </w:r>
    </w:p>
    <w:p w14:paraId="2581F4F6" w14:textId="77777777" w:rsidR="00EC25F2" w:rsidRDefault="00EC25F2" w:rsidP="001A7509">
      <w:pPr>
        <w:ind w:left="270"/>
        <w:jc w:val="both"/>
        <w:rPr>
          <w:sz w:val="24"/>
        </w:rPr>
      </w:pPr>
      <w:r w:rsidRPr="006D5CDF">
        <w:rPr>
          <w:sz w:val="24"/>
        </w:rPr>
        <w:t>Any securities received by the Company, will promptly be returned to the customer</w:t>
      </w:r>
      <w:r w:rsidR="00326413" w:rsidRPr="006D5CDF">
        <w:rPr>
          <w:sz w:val="24"/>
        </w:rPr>
        <w:t xml:space="preserve">, by the next business day, </w:t>
      </w:r>
      <w:r w:rsidRPr="006D5CDF">
        <w:rPr>
          <w:sz w:val="24"/>
        </w:rPr>
        <w:t>for forwarding directly to the clearing firm themselves. C</w:t>
      </w:r>
      <w:r w:rsidRPr="006D5CDF">
        <w:rPr>
          <w:sz w:val="24"/>
          <w:szCs w:val="24"/>
        </w:rPr>
        <w:t xml:space="preserve">opies of the certificates forwarded by customer may be maintained in client file.  </w:t>
      </w:r>
      <w:r w:rsidRPr="006D5CDF">
        <w:rPr>
          <w:sz w:val="24"/>
        </w:rPr>
        <w:t xml:space="preserve">This applies to stock certificates only.  Any variable annuity contracts received by the Company will be forwarded promptly to the </w:t>
      </w:r>
      <w:r w:rsidRPr="00B81D46">
        <w:rPr>
          <w:sz w:val="24"/>
        </w:rPr>
        <w:t>customer.</w:t>
      </w:r>
    </w:p>
    <w:p w14:paraId="059F5524" w14:textId="77777777" w:rsidR="00EC25F2" w:rsidRDefault="00EC25F2" w:rsidP="00EC25F2">
      <w:pPr>
        <w:tabs>
          <w:tab w:val="left" w:pos="72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4C91FC67" w14:textId="77777777" w:rsidR="00EC25F2" w:rsidRPr="00EC25F2" w:rsidRDefault="00EC25F2" w:rsidP="008A2AE1">
      <w:pPr>
        <w:tabs>
          <w:tab w:val="left" w:pos="27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270"/>
        <w:jc w:val="both"/>
        <w:rPr>
          <w:sz w:val="24"/>
        </w:rPr>
      </w:pPr>
      <w:r w:rsidRPr="00EC25F2">
        <w:rPr>
          <w:bCs/>
          <w:sz w:val="24"/>
        </w:rPr>
        <w:t xml:space="preserve">In the event the </w:t>
      </w:r>
      <w:r w:rsidR="00062A0A">
        <w:rPr>
          <w:bCs/>
          <w:sz w:val="24"/>
        </w:rPr>
        <w:t>Company</w:t>
      </w:r>
      <w:r w:rsidRPr="00EC25F2">
        <w:rPr>
          <w:bCs/>
          <w:sz w:val="24"/>
        </w:rPr>
        <w:t xml:space="preserve"> increases its net capital to the required level, the procedures will be as follows</w:t>
      </w:r>
      <w:r w:rsidRPr="00EC25F2">
        <w:rPr>
          <w:sz w:val="24"/>
        </w:rPr>
        <w:t>:</w:t>
      </w:r>
    </w:p>
    <w:p w14:paraId="178CC959" w14:textId="77777777" w:rsidR="00EC25F2" w:rsidRDefault="00EC25F2" w:rsidP="00EC25F2">
      <w:pPr>
        <w:tabs>
          <w:tab w:val="left" w:pos="72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0F150B37" w14:textId="77777777" w:rsidR="00EC25F2" w:rsidRDefault="00EC25F2" w:rsidP="00EC25F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jc w:val="both"/>
        <w:rPr>
          <w:sz w:val="24"/>
        </w:rPr>
      </w:pPr>
      <w:r>
        <w:rPr>
          <w:sz w:val="24"/>
        </w:rPr>
        <w:tab/>
        <w:t>1.</w:t>
      </w:r>
      <w:r>
        <w:rPr>
          <w:sz w:val="24"/>
        </w:rPr>
        <w:tab/>
        <w:t>Back office must maintain secure possession of certificates once received. Process and send same day to clearing firm with appropriate documentation. We cannot hold client certificates overnight.</w:t>
      </w:r>
    </w:p>
    <w:p w14:paraId="355BF314" w14:textId="77777777" w:rsidR="00EC25F2" w:rsidRDefault="00EC25F2" w:rsidP="00EC25F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lastRenderedPageBreak/>
        <w:tab/>
        <w:t>2.</w:t>
      </w:r>
      <w:r>
        <w:rPr>
          <w:sz w:val="24"/>
        </w:rPr>
        <w:tab/>
        <w:t xml:space="preserve">Stock powers are required if client did not sign back of certificate. If client did sign, </w:t>
      </w:r>
      <w:r>
        <w:rPr>
          <w:sz w:val="24"/>
        </w:rPr>
        <w:tab/>
      </w:r>
      <w:r>
        <w:rPr>
          <w:sz w:val="24"/>
        </w:rPr>
        <w:tab/>
      </w:r>
      <w:r>
        <w:rPr>
          <w:sz w:val="24"/>
        </w:rPr>
        <w:tab/>
        <w:t>make sure the name on the certificate matches the signature.</w:t>
      </w:r>
    </w:p>
    <w:p w14:paraId="238925A7" w14:textId="77777777" w:rsidR="00EC25F2" w:rsidRDefault="00EC25F2" w:rsidP="00EC25F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3.</w:t>
      </w:r>
      <w:r>
        <w:rPr>
          <w:sz w:val="24"/>
        </w:rPr>
        <w:tab/>
        <w:t>Make copies of certificates (both sides if back is signed).</w:t>
      </w:r>
    </w:p>
    <w:p w14:paraId="5F7633E9" w14:textId="77777777" w:rsidR="00EC25F2" w:rsidRDefault="00EC25F2" w:rsidP="00EC25F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5.</w:t>
      </w:r>
      <w:r>
        <w:rPr>
          <w:sz w:val="24"/>
        </w:rPr>
        <w:tab/>
        <w:t>Fill out stock received blotter.</w:t>
      </w:r>
    </w:p>
    <w:p w14:paraId="54B24CFB" w14:textId="77777777" w:rsidR="00EC25F2" w:rsidRDefault="00EC25F2" w:rsidP="00EC25F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6.</w:t>
      </w:r>
      <w:r>
        <w:rPr>
          <w:sz w:val="24"/>
        </w:rPr>
        <w:tab/>
        <w:t>Check certificates and stock power (if applicable) for errors.</w:t>
      </w:r>
    </w:p>
    <w:p w14:paraId="57402322" w14:textId="77777777" w:rsidR="00EC25F2" w:rsidRDefault="008B6447" w:rsidP="00EC25F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7.</w:t>
      </w:r>
      <w:r>
        <w:rPr>
          <w:sz w:val="24"/>
        </w:rPr>
        <w:tab/>
        <w:t xml:space="preserve">Check </w:t>
      </w:r>
      <w:proofErr w:type="spellStart"/>
      <w:r>
        <w:rPr>
          <w:sz w:val="24"/>
        </w:rPr>
        <w:t>C</w:t>
      </w:r>
      <w:r w:rsidR="00EC25F2">
        <w:rPr>
          <w:sz w:val="24"/>
        </w:rPr>
        <w:t>usip</w:t>
      </w:r>
      <w:proofErr w:type="spellEnd"/>
      <w:r w:rsidR="00EC25F2">
        <w:rPr>
          <w:sz w:val="24"/>
        </w:rPr>
        <w:t xml:space="preserve"> number, certificate number, client account number and security </w:t>
      </w:r>
      <w:r w:rsidR="00EC25F2">
        <w:rPr>
          <w:sz w:val="24"/>
        </w:rPr>
        <w:tab/>
      </w:r>
      <w:r w:rsidR="00EC25F2">
        <w:rPr>
          <w:sz w:val="24"/>
        </w:rPr>
        <w:tab/>
      </w:r>
      <w:r w:rsidR="00EC25F2">
        <w:rPr>
          <w:sz w:val="24"/>
        </w:rPr>
        <w:tab/>
      </w:r>
      <w:r w:rsidR="00EC25F2">
        <w:rPr>
          <w:sz w:val="24"/>
        </w:rPr>
        <w:tab/>
      </w:r>
      <w:r w:rsidR="00121BAC">
        <w:rPr>
          <w:sz w:val="24"/>
        </w:rPr>
        <w:t xml:space="preserve">      </w:t>
      </w:r>
      <w:r w:rsidR="00EC25F2">
        <w:rPr>
          <w:sz w:val="24"/>
        </w:rPr>
        <w:t>description.</w:t>
      </w:r>
    </w:p>
    <w:p w14:paraId="5290A30C" w14:textId="77777777" w:rsidR="00EC25F2" w:rsidRDefault="00EC25F2" w:rsidP="00EC25F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8.</w:t>
      </w:r>
      <w:r>
        <w:rPr>
          <w:sz w:val="24"/>
        </w:rPr>
        <w:tab/>
        <w:t>Send certificate and stock power via Airborne to clearing firm, Attn: Stock Receipts.</w:t>
      </w:r>
    </w:p>
    <w:p w14:paraId="11CBD915" w14:textId="77777777" w:rsidR="00EC25F2" w:rsidRDefault="00EC25F2" w:rsidP="00EC25F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r>
        <w:rPr>
          <w:sz w:val="24"/>
        </w:rPr>
        <w:t>9.   Attach copy of certificates and stock power and file in stock received file.</w:t>
      </w:r>
    </w:p>
    <w:p w14:paraId="5453A650" w14:textId="77777777" w:rsidR="00EC25F2" w:rsidRDefault="00EC25F2" w:rsidP="00EC25F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360"/>
        <w:jc w:val="both"/>
        <w:rPr>
          <w:sz w:val="24"/>
        </w:rPr>
      </w:pPr>
    </w:p>
    <w:p w14:paraId="282020EF" w14:textId="77777777" w:rsidR="00C23199" w:rsidRPr="001923AB" w:rsidRDefault="001923AB" w:rsidP="001923AB">
      <w:pPr>
        <w:pStyle w:val="Heading3"/>
        <w:ind w:left="274"/>
      </w:pPr>
      <w:r>
        <w:t xml:space="preserve">5.12.4 </w:t>
      </w:r>
      <w:r w:rsidR="008F5FC4">
        <w:t xml:space="preserve">Lost </w:t>
      </w:r>
      <w:r w:rsidR="00606AF7">
        <w:t>Security holders</w:t>
      </w:r>
      <w:r w:rsidR="008F5FC4">
        <w:t xml:space="preserve"> a</w:t>
      </w:r>
      <w:r w:rsidRPr="001923AB">
        <w:t>nd Unresponsive Payees</w:t>
      </w:r>
    </w:p>
    <w:p w14:paraId="739C2A71" w14:textId="77777777" w:rsidR="001923AB" w:rsidRPr="008B6447" w:rsidRDefault="001923AB" w:rsidP="001923AB">
      <w:pPr>
        <w:ind w:left="270"/>
        <w:rPr>
          <w:sz w:val="24"/>
        </w:rPr>
      </w:pPr>
      <w:r w:rsidRPr="008B6447">
        <w:rPr>
          <w:sz w:val="24"/>
          <w:szCs w:val="24"/>
        </w:rPr>
        <w:t xml:space="preserve">Company, through its clearing firm, is required to search for holders of securities with whom it has lost contact and to provide notifications to persons who have not negotiated checks that have been sent to them. "Lost </w:t>
      </w:r>
      <w:r w:rsidR="00606AF7" w:rsidRPr="008B6447">
        <w:rPr>
          <w:sz w:val="24"/>
          <w:szCs w:val="24"/>
        </w:rPr>
        <w:t>security holders</w:t>
      </w:r>
      <w:r w:rsidRPr="008B6447">
        <w:rPr>
          <w:sz w:val="24"/>
          <w:szCs w:val="24"/>
        </w:rPr>
        <w:t xml:space="preserve">" are customers to whom any correspondence was sent and returned as undeliverable and for whom an updated address has not been received or is not obtainable from the customer. </w:t>
      </w:r>
      <w:r w:rsidRPr="008B6447">
        <w:rPr>
          <w:b/>
          <w:bCs/>
          <w:sz w:val="24"/>
          <w:szCs w:val="24"/>
        </w:rPr>
        <w:t xml:space="preserve">The requirement does not apply when the </w:t>
      </w:r>
      <w:r w:rsidR="00606AF7" w:rsidRPr="008B6447">
        <w:rPr>
          <w:b/>
          <w:bCs/>
          <w:sz w:val="24"/>
          <w:szCs w:val="24"/>
        </w:rPr>
        <w:t>security holder</w:t>
      </w:r>
      <w:r w:rsidRPr="008B6447">
        <w:rPr>
          <w:b/>
          <w:bCs/>
          <w:sz w:val="24"/>
          <w:szCs w:val="24"/>
        </w:rPr>
        <w:t xml:space="preserve"> is not a natural person, </w:t>
      </w:r>
      <w:r w:rsidRPr="008B6447">
        <w:rPr>
          <w:b/>
          <w:sz w:val="24"/>
          <w:szCs w:val="24"/>
        </w:rPr>
        <w:t xml:space="preserve">the </w:t>
      </w:r>
      <w:r w:rsidR="00606AF7" w:rsidRPr="008B6447">
        <w:rPr>
          <w:b/>
          <w:sz w:val="24"/>
          <w:szCs w:val="24"/>
        </w:rPr>
        <w:t>security holder</w:t>
      </w:r>
      <w:r w:rsidRPr="008B6447">
        <w:rPr>
          <w:b/>
          <w:sz w:val="24"/>
          <w:szCs w:val="24"/>
        </w:rPr>
        <w:t xml:space="preserve"> is deceased</w:t>
      </w:r>
      <w:r w:rsidR="003E5ACA" w:rsidRPr="008B6447">
        <w:rPr>
          <w:b/>
          <w:sz w:val="24"/>
          <w:szCs w:val="24"/>
        </w:rPr>
        <w:t>,</w:t>
      </w:r>
      <w:r w:rsidRPr="008B6447">
        <w:rPr>
          <w:b/>
          <w:sz w:val="24"/>
          <w:szCs w:val="24"/>
        </w:rPr>
        <w:t xml:space="preserve"> the total value of assets in the account is less than $25</w:t>
      </w:r>
      <w:r w:rsidR="003709D5" w:rsidRPr="008B6447">
        <w:rPr>
          <w:b/>
          <w:sz w:val="24"/>
          <w:szCs w:val="24"/>
        </w:rPr>
        <w:t>, or the check amount is less than $25</w:t>
      </w:r>
      <w:r w:rsidRPr="008B6447">
        <w:rPr>
          <w:b/>
          <w:sz w:val="24"/>
          <w:szCs w:val="24"/>
        </w:rPr>
        <w:t>.</w:t>
      </w:r>
    </w:p>
    <w:p w14:paraId="4915250A" w14:textId="77777777" w:rsidR="001923AB" w:rsidRDefault="001923AB" w:rsidP="002A2943"/>
    <w:p w14:paraId="4B3AD15D" w14:textId="77777777" w:rsidR="00122C53" w:rsidRDefault="00122C53" w:rsidP="002A2943"/>
    <w:p w14:paraId="2A7EC9BC" w14:textId="77777777" w:rsidR="0037023A" w:rsidRPr="00E42465" w:rsidRDefault="00C23199" w:rsidP="00936FEE">
      <w:pPr>
        <w:pStyle w:val="Heading2"/>
      </w:pPr>
      <w:r w:rsidRPr="00E42465">
        <w:t>5</w:t>
      </w:r>
      <w:r w:rsidR="0000553E" w:rsidRPr="00E42465">
        <w:t>.1</w:t>
      </w:r>
      <w:r w:rsidR="000D186A">
        <w:t>3</w:t>
      </w:r>
      <w:r w:rsidR="0000553E" w:rsidRPr="00E42465">
        <w:t xml:space="preserve"> </w:t>
      </w:r>
      <w:r w:rsidR="0037023A" w:rsidRPr="00E42465">
        <w:t>Currency and Foreign Transactions</w:t>
      </w:r>
    </w:p>
    <w:p w14:paraId="5D0DE8D1" w14:textId="4B253B82" w:rsidR="0037023A" w:rsidRDefault="0037023A" w:rsidP="0037023A">
      <w:pPr>
        <w:jc w:val="both"/>
        <w:rPr>
          <w:sz w:val="24"/>
        </w:rPr>
      </w:pPr>
      <w:r>
        <w:rPr>
          <w:sz w:val="24"/>
        </w:rPr>
        <w:t xml:space="preserve">It is a policy of the Company not to accept any cash payments for stock purchases or amounts to be credited to a customer's account.   In addition, no checks drawn on foreign banks will be accepted.  Any wire to or from a foreign destination must be approved by Morris Monroe in advance.  In the event any cash is ever deposited in error or any check drawn on foreign banks is </w:t>
      </w:r>
      <w:r w:rsidR="00D325E7">
        <w:rPr>
          <w:sz w:val="24"/>
        </w:rPr>
        <w:t>deposited;</w:t>
      </w:r>
      <w:r>
        <w:rPr>
          <w:sz w:val="24"/>
        </w:rPr>
        <w:t xml:space="preserve"> the appropriate action will be taken as stated in the AML section of these WSPs.</w:t>
      </w:r>
    </w:p>
    <w:p w14:paraId="79A98A9D" w14:textId="77777777" w:rsidR="0037023A" w:rsidRDefault="0037023A" w:rsidP="00A83989">
      <w:pPr>
        <w:jc w:val="both"/>
        <w:rPr>
          <w:sz w:val="24"/>
        </w:rPr>
      </w:pPr>
    </w:p>
    <w:p w14:paraId="7837B06D" w14:textId="77777777" w:rsidR="00C23199" w:rsidRDefault="00C23199" w:rsidP="00A83989">
      <w:pPr>
        <w:jc w:val="both"/>
        <w:rPr>
          <w:sz w:val="24"/>
        </w:rPr>
      </w:pPr>
    </w:p>
    <w:p w14:paraId="0B784E7F" w14:textId="77777777" w:rsidR="00BA7153" w:rsidRPr="0056219E" w:rsidRDefault="00C23199" w:rsidP="00936FEE">
      <w:pPr>
        <w:pStyle w:val="Heading2"/>
      </w:pPr>
      <w:r w:rsidRPr="0056219E">
        <w:t>5</w:t>
      </w:r>
      <w:r w:rsidR="0000553E" w:rsidRPr="0056219E">
        <w:t>.1</w:t>
      </w:r>
      <w:r w:rsidR="000D186A">
        <w:t>4</w:t>
      </w:r>
      <w:r w:rsidR="0000553E" w:rsidRPr="0056219E">
        <w:t xml:space="preserve"> </w:t>
      </w:r>
      <w:r w:rsidR="00BA7153" w:rsidRPr="0056219E">
        <w:t>Multi-State Registration Activities</w:t>
      </w:r>
    </w:p>
    <w:p w14:paraId="21680C38" w14:textId="466158E3" w:rsidR="00BA7153" w:rsidRPr="00424F51" w:rsidRDefault="00BA7153" w:rsidP="00BA7153">
      <w:pPr>
        <w:jc w:val="both"/>
        <w:rPr>
          <w:sz w:val="24"/>
        </w:rPr>
      </w:pPr>
      <w:r>
        <w:rPr>
          <w:sz w:val="24"/>
        </w:rPr>
        <w:t xml:space="preserve">New accounts shall be reviewed by the designated principal at each OSJ and compared with the </w:t>
      </w:r>
      <w:r w:rsidR="004E7078">
        <w:rPr>
          <w:sz w:val="24"/>
        </w:rPr>
        <w:t>Company</w:t>
      </w:r>
      <w:r>
        <w:rPr>
          <w:sz w:val="24"/>
        </w:rPr>
        <w:t xml:space="preserve">'s state registrations and/or a determination made as to the availability of transaction exemptions with the account's home state, at or prior to acceptance of the new account. </w:t>
      </w:r>
      <w:r w:rsidR="00A96D9C">
        <w:rPr>
          <w:sz w:val="24"/>
        </w:rPr>
        <w:t xml:space="preserve"> </w:t>
      </w:r>
      <w:r>
        <w:rPr>
          <w:sz w:val="24"/>
        </w:rPr>
        <w:t xml:space="preserve">It shall be the responsibility of the designated principal at each OSJ to have knowledge of the </w:t>
      </w:r>
      <w:r w:rsidR="004E7078">
        <w:rPr>
          <w:sz w:val="24"/>
        </w:rPr>
        <w:t>Co</w:t>
      </w:r>
      <w:r>
        <w:rPr>
          <w:sz w:val="24"/>
        </w:rPr>
        <w:t>m</w:t>
      </w:r>
      <w:r w:rsidR="004E7078">
        <w:rPr>
          <w:sz w:val="24"/>
        </w:rPr>
        <w:t>pany</w:t>
      </w:r>
      <w:r>
        <w:rPr>
          <w:sz w:val="24"/>
        </w:rPr>
        <w:t xml:space="preserve">'s state registrations, registrations of </w:t>
      </w:r>
      <w:r w:rsidR="004E7078">
        <w:rPr>
          <w:sz w:val="24"/>
        </w:rPr>
        <w:t>its</w:t>
      </w:r>
      <w:r>
        <w:rPr>
          <w:sz w:val="24"/>
        </w:rPr>
        <w:t xml:space="preserve"> agents and customer accounts to </w:t>
      </w:r>
      <w:r w:rsidR="00D325E7">
        <w:rPr>
          <w:sz w:val="24"/>
        </w:rPr>
        <w:t>ensure</w:t>
      </w:r>
      <w:r>
        <w:rPr>
          <w:sz w:val="24"/>
        </w:rPr>
        <w:t xml:space="preserve"> compliance with all multi-state registration requirements and or any exemptions from registration.</w:t>
      </w:r>
      <w:r w:rsidR="00990794">
        <w:rPr>
          <w:sz w:val="24"/>
        </w:rPr>
        <w:t xml:space="preserve">  </w:t>
      </w:r>
      <w:r w:rsidR="00990794" w:rsidRPr="00424F51">
        <w:rPr>
          <w:sz w:val="24"/>
        </w:rPr>
        <w:t xml:space="preserve">A quarterly report will be conducted in WinOps to review all outside states (other than Texas) to determine any regulatory issues.  Customers occasionally move to new states and a determination needs to be made whether the Company and RR need to be registered there or to assist the customer in transferring their account.  </w:t>
      </w:r>
      <w:r w:rsidR="003D61B1" w:rsidRPr="00424F51">
        <w:rPr>
          <w:sz w:val="24"/>
        </w:rPr>
        <w:t>Any actions will be recorded either on the report and/or in the customer record in WinOps.</w:t>
      </w:r>
    </w:p>
    <w:p w14:paraId="2FA98F05" w14:textId="77777777" w:rsidR="00BA7153" w:rsidRDefault="00BA7153" w:rsidP="00A83989">
      <w:pPr>
        <w:jc w:val="both"/>
        <w:rPr>
          <w:sz w:val="24"/>
        </w:rPr>
      </w:pPr>
    </w:p>
    <w:p w14:paraId="16E08205" w14:textId="77777777" w:rsidR="00B310D0" w:rsidRDefault="00B310D0" w:rsidP="00B310D0"/>
    <w:p w14:paraId="3DE8AD11" w14:textId="77777777" w:rsidR="00A83989" w:rsidRPr="0056219E" w:rsidRDefault="00C23199" w:rsidP="00936FEE">
      <w:pPr>
        <w:pStyle w:val="Heading2"/>
      </w:pPr>
      <w:bookmarkStart w:id="86" w:name="FeesCharged"/>
      <w:bookmarkEnd w:id="86"/>
      <w:r w:rsidRPr="0056219E">
        <w:t>5</w:t>
      </w:r>
      <w:r w:rsidR="0000553E" w:rsidRPr="0056219E">
        <w:t>.1</w:t>
      </w:r>
      <w:r w:rsidR="000D186A">
        <w:t>5</w:t>
      </w:r>
      <w:r w:rsidR="0000553E" w:rsidRPr="0056219E">
        <w:t xml:space="preserve"> </w:t>
      </w:r>
      <w:r w:rsidR="00A83989" w:rsidRPr="0056219E">
        <w:t xml:space="preserve">Fees Charged for Services </w:t>
      </w:r>
    </w:p>
    <w:p w14:paraId="2244484F" w14:textId="77777777" w:rsidR="00A83989" w:rsidRDefault="00DE20C3" w:rsidP="00A83989">
      <w:pPr>
        <w:jc w:val="both"/>
        <w:rPr>
          <w:sz w:val="24"/>
        </w:rPr>
      </w:pPr>
      <w:r>
        <w:rPr>
          <w:sz w:val="24"/>
        </w:rPr>
        <w:t>P</w:t>
      </w:r>
      <w:r w:rsidR="00A83989" w:rsidRPr="00B81D46">
        <w:rPr>
          <w:sz w:val="24"/>
        </w:rPr>
        <w:t>ursuant to FINRA Rule</w:t>
      </w:r>
      <w:r w:rsidR="00B310D0">
        <w:rPr>
          <w:sz w:val="24"/>
        </w:rPr>
        <w:t>s</w:t>
      </w:r>
      <w:r w:rsidR="00A83989" w:rsidRPr="00B81D46">
        <w:rPr>
          <w:sz w:val="24"/>
        </w:rPr>
        <w:t xml:space="preserve">, </w:t>
      </w:r>
      <w:r w:rsidRPr="00D801C6">
        <w:rPr>
          <w:sz w:val="24"/>
        </w:rPr>
        <w:t>member firms are</w:t>
      </w:r>
      <w:r w:rsidR="001909CA" w:rsidRPr="00D801C6">
        <w:rPr>
          <w:sz w:val="24"/>
        </w:rPr>
        <w:t xml:space="preserve"> allowed to </w:t>
      </w:r>
      <w:r w:rsidR="00A83989" w:rsidRPr="00B81D46">
        <w:rPr>
          <w:sz w:val="24"/>
        </w:rPr>
        <w:t xml:space="preserve">charge reasonable </w:t>
      </w:r>
      <w:r w:rsidR="001909CA">
        <w:rPr>
          <w:sz w:val="24"/>
        </w:rPr>
        <w:t>fee</w:t>
      </w:r>
      <w:r w:rsidR="00A83989" w:rsidRPr="00B81D46">
        <w:rPr>
          <w:sz w:val="24"/>
        </w:rPr>
        <w:t>s, if any, for such services including miscellaneous services such as</w:t>
      </w:r>
      <w:r w:rsidR="00A83989">
        <w:rPr>
          <w:sz w:val="24"/>
        </w:rPr>
        <w:t xml:space="preserve"> collection of moneys due for principal, dividends, or interest, exchange or transfer of securities, appraisals, safekeeping or custodial services and other services.   The Company will monitor </w:t>
      </w:r>
      <w:r w:rsidRPr="00D801C6">
        <w:rPr>
          <w:sz w:val="24"/>
        </w:rPr>
        <w:t>any applicable</w:t>
      </w:r>
      <w:r w:rsidR="00A83989" w:rsidRPr="00D801C6">
        <w:rPr>
          <w:sz w:val="24"/>
        </w:rPr>
        <w:t xml:space="preserve"> </w:t>
      </w:r>
      <w:r w:rsidR="00A83989">
        <w:rPr>
          <w:sz w:val="24"/>
        </w:rPr>
        <w:t xml:space="preserve">charges via daily reports </w:t>
      </w:r>
      <w:r w:rsidR="00B310D0">
        <w:rPr>
          <w:sz w:val="24"/>
        </w:rPr>
        <w:t xml:space="preserve">and any </w:t>
      </w:r>
      <w:r w:rsidR="00A83989">
        <w:rPr>
          <w:sz w:val="24"/>
        </w:rPr>
        <w:t xml:space="preserve">received from </w:t>
      </w:r>
      <w:r w:rsidR="00C934D5" w:rsidRPr="006D5CDF">
        <w:rPr>
          <w:sz w:val="24"/>
        </w:rPr>
        <w:t>HTS</w:t>
      </w:r>
      <w:r w:rsidR="00B310D0" w:rsidRPr="006D5CDF">
        <w:rPr>
          <w:sz w:val="24"/>
        </w:rPr>
        <w:t xml:space="preserve"> </w:t>
      </w:r>
      <w:r w:rsidR="00B310D0">
        <w:rPr>
          <w:sz w:val="24"/>
        </w:rPr>
        <w:t>for such transactions through the clearing firm</w:t>
      </w:r>
      <w:r w:rsidR="00A83989">
        <w:rPr>
          <w:sz w:val="24"/>
        </w:rPr>
        <w:t xml:space="preserve">.  Any questionable </w:t>
      </w:r>
      <w:r w:rsidR="00A83989">
        <w:rPr>
          <w:sz w:val="24"/>
        </w:rPr>
        <w:lastRenderedPageBreak/>
        <w:t xml:space="preserve">charge will be immediately brought to the attention to Morris Monroe </w:t>
      </w:r>
      <w:r w:rsidR="007C051F">
        <w:rPr>
          <w:sz w:val="24"/>
        </w:rPr>
        <w:t xml:space="preserve">or the designated principal </w:t>
      </w:r>
      <w:r w:rsidR="00A83989">
        <w:rPr>
          <w:sz w:val="24"/>
        </w:rPr>
        <w:t>for further investigation.</w:t>
      </w:r>
      <w:r w:rsidR="00B310D0">
        <w:rPr>
          <w:sz w:val="24"/>
        </w:rPr>
        <w:t xml:space="preserve">  </w:t>
      </w:r>
    </w:p>
    <w:p w14:paraId="3096BE17" w14:textId="77777777" w:rsidR="00A83989" w:rsidRDefault="00A83989" w:rsidP="00A83989">
      <w:pPr>
        <w:jc w:val="both"/>
        <w:rPr>
          <w:sz w:val="24"/>
        </w:rPr>
      </w:pPr>
    </w:p>
    <w:p w14:paraId="22074575" w14:textId="77777777" w:rsidR="00C23199" w:rsidRDefault="00C23199" w:rsidP="00A83989">
      <w:pPr>
        <w:jc w:val="both"/>
        <w:rPr>
          <w:sz w:val="24"/>
        </w:rPr>
      </w:pPr>
    </w:p>
    <w:p w14:paraId="0C006FD3" w14:textId="77777777" w:rsidR="00CE76DD" w:rsidRPr="0056219E" w:rsidRDefault="00C23199" w:rsidP="00936FEE">
      <w:pPr>
        <w:pStyle w:val="Heading2"/>
      </w:pPr>
      <w:bookmarkStart w:id="87" w:name="DiscretionaryAccts"/>
      <w:bookmarkEnd w:id="87"/>
      <w:r w:rsidRPr="0056219E">
        <w:t>5</w:t>
      </w:r>
      <w:r w:rsidR="0000553E" w:rsidRPr="0056219E">
        <w:t>.1</w:t>
      </w:r>
      <w:r w:rsidR="000D186A">
        <w:t>6</w:t>
      </w:r>
      <w:r w:rsidR="0000553E" w:rsidRPr="0056219E">
        <w:t xml:space="preserve"> </w:t>
      </w:r>
      <w:r w:rsidR="00CE76DD" w:rsidRPr="0056219E">
        <w:t xml:space="preserve">Discretionary Account Activity </w:t>
      </w:r>
    </w:p>
    <w:p w14:paraId="07CEAEB9" w14:textId="77777777" w:rsidR="00CE76DD" w:rsidRDefault="00BB3F6F" w:rsidP="00CE76DD">
      <w:pPr>
        <w:tabs>
          <w:tab w:val="left" w:pos="576"/>
          <w:tab w:val="left" w:pos="720"/>
          <w:tab w:val="left" w:pos="2592"/>
          <w:tab w:val="left" w:pos="7200"/>
        </w:tabs>
        <w:jc w:val="both"/>
        <w:rPr>
          <w:sz w:val="24"/>
        </w:rPr>
      </w:pPr>
      <w:r>
        <w:rPr>
          <w:sz w:val="24"/>
        </w:rPr>
        <w:t>T</w:t>
      </w:r>
      <w:r w:rsidR="00CE76DD">
        <w:rPr>
          <w:sz w:val="24"/>
        </w:rPr>
        <w:t>he following procedures have been established in the event a discretionary account is approved.</w:t>
      </w:r>
    </w:p>
    <w:p w14:paraId="1F11A41C" w14:textId="77777777" w:rsidR="00CE76DD" w:rsidRDefault="00CE76DD" w:rsidP="00CE76DD">
      <w:pPr>
        <w:tabs>
          <w:tab w:val="left" w:pos="576"/>
          <w:tab w:val="left" w:pos="720"/>
          <w:tab w:val="left" w:pos="2592"/>
          <w:tab w:val="left" w:pos="7200"/>
        </w:tabs>
        <w:jc w:val="both"/>
        <w:rPr>
          <w:sz w:val="24"/>
        </w:rPr>
      </w:pPr>
    </w:p>
    <w:p w14:paraId="02D182CB" w14:textId="77777777" w:rsidR="00CE76DD" w:rsidRPr="008B6447" w:rsidRDefault="00CE76DD" w:rsidP="00CE76DD">
      <w:pPr>
        <w:tabs>
          <w:tab w:val="left" w:pos="576"/>
          <w:tab w:val="left" w:pos="720"/>
          <w:tab w:val="left" w:pos="2592"/>
          <w:tab w:val="left" w:pos="7200"/>
        </w:tabs>
        <w:jc w:val="both"/>
        <w:rPr>
          <w:sz w:val="24"/>
        </w:rPr>
      </w:pPr>
      <w:r>
        <w:rPr>
          <w:sz w:val="24"/>
        </w:rPr>
        <w:t>Transactions in discretionary accounts will be monitored for excessive activity. All orders placed for a discretionary account must be reviewed and initialed by Morris Monroe or the designated principal prior to execution.  No account may be handled by a registered person of the Company unless a written Power of Attorney has been granted by the Customer to the registered person, and a copy of that Power of Attorney is on file in the customer's file.  It shall be Morris Monroe’</w:t>
      </w:r>
      <w:r w:rsidR="00AD1B5D">
        <w:rPr>
          <w:sz w:val="24"/>
        </w:rPr>
        <w:t>s</w:t>
      </w:r>
      <w:r>
        <w:rPr>
          <w:sz w:val="24"/>
        </w:rPr>
        <w:t xml:space="preserve"> responsibility to review discretionary accounts and to maintain evidence of review</w:t>
      </w:r>
      <w:r w:rsidR="00FD12F5">
        <w:rPr>
          <w:sz w:val="24"/>
        </w:rPr>
        <w:t xml:space="preserve"> </w:t>
      </w:r>
      <w:r w:rsidR="00FD12F5" w:rsidRPr="008B6447">
        <w:rPr>
          <w:sz w:val="24"/>
        </w:rPr>
        <w:t>(or by another principal if applicable to Morris Monroe)</w:t>
      </w:r>
      <w:r w:rsidRPr="008B6447">
        <w:rPr>
          <w:sz w:val="24"/>
        </w:rPr>
        <w:t xml:space="preserve">.  </w:t>
      </w:r>
      <w:r w:rsidR="00C934D5">
        <w:rPr>
          <w:sz w:val="24"/>
        </w:rPr>
        <w:t xml:space="preserve">In addition, </w:t>
      </w:r>
      <w:r w:rsidR="00A07049" w:rsidRPr="008B6447">
        <w:rPr>
          <w:sz w:val="24"/>
        </w:rPr>
        <w:t>review of Company’s trade blotters further evidences such review.</w:t>
      </w:r>
    </w:p>
    <w:p w14:paraId="3A935733" w14:textId="77777777" w:rsidR="00CE76DD" w:rsidRDefault="00CE76DD" w:rsidP="00CE76DD">
      <w:pPr>
        <w:tabs>
          <w:tab w:val="left" w:pos="576"/>
          <w:tab w:val="left" w:pos="720"/>
          <w:tab w:val="left" w:pos="2592"/>
          <w:tab w:val="left" w:pos="7200"/>
        </w:tabs>
        <w:jc w:val="both"/>
        <w:rPr>
          <w:sz w:val="24"/>
        </w:rPr>
      </w:pPr>
    </w:p>
    <w:p w14:paraId="418514E0" w14:textId="77777777" w:rsidR="00CE76DD" w:rsidRDefault="00CE76DD" w:rsidP="00CE76DD">
      <w:pPr>
        <w:tabs>
          <w:tab w:val="left" w:pos="576"/>
          <w:tab w:val="left" w:pos="720"/>
          <w:tab w:val="left" w:pos="2592"/>
          <w:tab w:val="left" w:pos="7200"/>
        </w:tabs>
        <w:jc w:val="both"/>
        <w:rPr>
          <w:sz w:val="24"/>
        </w:rPr>
      </w:pPr>
      <w:r>
        <w:rPr>
          <w:sz w:val="24"/>
        </w:rPr>
        <w:t xml:space="preserve">Written Authorization - No discretionary activity may be </w:t>
      </w:r>
      <w:r w:rsidR="00AD1B5D">
        <w:rPr>
          <w:sz w:val="24"/>
        </w:rPr>
        <w:t>affected</w:t>
      </w:r>
      <w:r>
        <w:rPr>
          <w:sz w:val="24"/>
        </w:rPr>
        <w:t xml:space="preserve"> on behalf of any customer's account unless prior written authorization has been obtained from the customer.  Such authorization must contain the nature of the relationship with the customer, specific activities authorized and/or not authorized by the customer, age, and occupation of the customer, investment objectives of the account and signatures of the customer and the registered representative.  </w:t>
      </w:r>
      <w:r w:rsidR="00555B6E" w:rsidRPr="008B6447">
        <w:rPr>
          <w:sz w:val="24"/>
        </w:rPr>
        <w:t xml:space="preserve">Said authorization may be in the form of the account opening documents and the customer(s)’ signature(s). </w:t>
      </w:r>
      <w:r w:rsidR="00555B6E">
        <w:rPr>
          <w:sz w:val="24"/>
        </w:rPr>
        <w:t xml:space="preserve"> </w:t>
      </w:r>
      <w:r>
        <w:rPr>
          <w:sz w:val="24"/>
        </w:rPr>
        <w:t>All discretionary account authorizations will be reviewed annually.</w:t>
      </w:r>
    </w:p>
    <w:p w14:paraId="297E9B96" w14:textId="77777777" w:rsidR="00CE76DD" w:rsidRDefault="00CE76DD" w:rsidP="00CE76DD">
      <w:pPr>
        <w:tabs>
          <w:tab w:val="left" w:pos="576"/>
          <w:tab w:val="left" w:pos="720"/>
          <w:tab w:val="left" w:pos="2592"/>
          <w:tab w:val="left" w:pos="7200"/>
        </w:tabs>
        <w:jc w:val="both"/>
        <w:rPr>
          <w:sz w:val="24"/>
        </w:rPr>
      </w:pPr>
    </w:p>
    <w:p w14:paraId="79238488" w14:textId="77777777" w:rsidR="00CE76DD" w:rsidRDefault="00CE76DD" w:rsidP="00CE76DD">
      <w:pPr>
        <w:tabs>
          <w:tab w:val="left" w:pos="576"/>
          <w:tab w:val="left" w:pos="720"/>
          <w:tab w:val="left" w:pos="2592"/>
          <w:tab w:val="left" w:pos="7200"/>
        </w:tabs>
        <w:jc w:val="both"/>
        <w:rPr>
          <w:sz w:val="24"/>
        </w:rPr>
      </w:pPr>
      <w:r>
        <w:rPr>
          <w:sz w:val="24"/>
        </w:rPr>
        <w:t>The discretionary account form must be approved in writing by Morris Monroe</w:t>
      </w:r>
      <w:r w:rsidR="00BB3F6F">
        <w:rPr>
          <w:sz w:val="24"/>
        </w:rPr>
        <w:t xml:space="preserve"> or </w:t>
      </w:r>
      <w:r w:rsidR="00BB3F6F" w:rsidRPr="00121BAC">
        <w:rPr>
          <w:sz w:val="24"/>
        </w:rPr>
        <w:t>Laura Hendricks</w:t>
      </w:r>
      <w:r>
        <w:rPr>
          <w:sz w:val="24"/>
        </w:rPr>
        <w:t xml:space="preserve">, </w:t>
      </w:r>
      <w:r>
        <w:rPr>
          <w:sz w:val="24"/>
          <w:u w:val="single"/>
        </w:rPr>
        <w:t>PRIOR TO</w:t>
      </w:r>
      <w:r>
        <w:rPr>
          <w:sz w:val="24"/>
        </w:rPr>
        <w:t xml:space="preserve"> any discretionary activity on behalf of the customer.  A copy of each discretionary account form must be maintained in the customer's file and must be sent to each customer.</w:t>
      </w:r>
    </w:p>
    <w:p w14:paraId="62A05AB4" w14:textId="77777777" w:rsidR="00CE76DD" w:rsidRDefault="00CE76DD" w:rsidP="00CE76DD">
      <w:pPr>
        <w:tabs>
          <w:tab w:val="left" w:pos="576"/>
          <w:tab w:val="left" w:pos="720"/>
          <w:tab w:val="left" w:pos="2592"/>
          <w:tab w:val="left" w:pos="7200"/>
        </w:tabs>
        <w:jc w:val="both"/>
        <w:rPr>
          <w:sz w:val="24"/>
        </w:rPr>
      </w:pPr>
    </w:p>
    <w:p w14:paraId="3CC48AA0" w14:textId="77777777" w:rsidR="00CE76DD" w:rsidRDefault="00CE76DD" w:rsidP="00CE76DD">
      <w:pPr>
        <w:tabs>
          <w:tab w:val="left" w:pos="576"/>
          <w:tab w:val="left" w:pos="720"/>
          <w:tab w:val="left" w:pos="2592"/>
          <w:tab w:val="left" w:pos="7200"/>
        </w:tabs>
        <w:jc w:val="both"/>
        <w:rPr>
          <w:sz w:val="24"/>
        </w:rPr>
      </w:pPr>
      <w:r>
        <w:rPr>
          <w:sz w:val="24"/>
        </w:rPr>
        <w:t xml:space="preserve">Discretionary Transactions - Each discretionary transaction must be promptly approved in writing by Morris Monroe or the designated principal.  The principal may elect to approve the orders prior to </w:t>
      </w:r>
      <w:r w:rsidR="00015C68">
        <w:rPr>
          <w:sz w:val="24"/>
        </w:rPr>
        <w:t>execution or</w:t>
      </w:r>
      <w:r>
        <w:rPr>
          <w:sz w:val="24"/>
        </w:rPr>
        <w:t xml:space="preserve"> may elect to approve discretionary offers soon after execution.</w:t>
      </w:r>
    </w:p>
    <w:p w14:paraId="5B06F0CB" w14:textId="77777777" w:rsidR="00CE76DD" w:rsidRDefault="00CE76DD" w:rsidP="00CE76DD">
      <w:pPr>
        <w:tabs>
          <w:tab w:val="left" w:pos="576"/>
          <w:tab w:val="left" w:pos="720"/>
          <w:tab w:val="left" w:pos="2592"/>
          <w:tab w:val="left" w:pos="7200"/>
        </w:tabs>
        <w:jc w:val="both"/>
        <w:rPr>
          <w:sz w:val="24"/>
        </w:rPr>
      </w:pPr>
    </w:p>
    <w:p w14:paraId="34507F54" w14:textId="77777777" w:rsidR="005372FA" w:rsidRPr="008B6447" w:rsidRDefault="00CE76DD" w:rsidP="005372FA">
      <w:pPr>
        <w:pStyle w:val="BodyText"/>
        <w:tabs>
          <w:tab w:val="left" w:pos="576"/>
          <w:tab w:val="left" w:pos="720"/>
          <w:tab w:val="left" w:pos="2592"/>
          <w:tab w:val="left" w:pos="7200"/>
        </w:tabs>
        <w:spacing w:before="0" w:after="0"/>
      </w:pPr>
      <w:r>
        <w:t xml:space="preserve">The principal shall review each discretionary order carefully to ensure that proper execution takes place with regard to pricing, commissions, etc.  In addition, each discretionary order ticket must note that the transaction has been </w:t>
      </w:r>
      <w:r w:rsidR="00015C68">
        <w:t>affected</w:t>
      </w:r>
      <w:r>
        <w:t xml:space="preserve"> on a discretionary basis on behalf of the customer</w:t>
      </w:r>
      <w:r w:rsidR="005372FA">
        <w:t xml:space="preserve"> </w:t>
      </w:r>
      <w:r w:rsidR="005372FA" w:rsidRPr="008B6447">
        <w:t>unless authorized by the customer.</w:t>
      </w:r>
    </w:p>
    <w:p w14:paraId="0F317C5B" w14:textId="77777777" w:rsidR="00CE76DD" w:rsidRDefault="00CE76DD" w:rsidP="00CE76DD">
      <w:pPr>
        <w:tabs>
          <w:tab w:val="left" w:pos="576"/>
          <w:tab w:val="left" w:pos="720"/>
          <w:tab w:val="left" w:pos="2592"/>
          <w:tab w:val="left" w:pos="7200"/>
        </w:tabs>
        <w:jc w:val="both"/>
        <w:rPr>
          <w:sz w:val="24"/>
        </w:rPr>
      </w:pPr>
    </w:p>
    <w:p w14:paraId="787C636E" w14:textId="77777777" w:rsidR="00CE76DD" w:rsidRDefault="00CE76DD" w:rsidP="00CE76DD">
      <w:pPr>
        <w:tabs>
          <w:tab w:val="left" w:pos="576"/>
          <w:tab w:val="left" w:pos="720"/>
          <w:tab w:val="left" w:pos="2592"/>
          <w:tab w:val="left" w:pos="7200"/>
        </w:tabs>
        <w:jc w:val="both"/>
        <w:rPr>
          <w:sz w:val="24"/>
        </w:rPr>
      </w:pPr>
      <w:r>
        <w:rPr>
          <w:sz w:val="24"/>
        </w:rPr>
        <w:t xml:space="preserve">Each discretionary account must also be the subject of regular and frequent reviews by </w:t>
      </w:r>
      <w:r w:rsidR="00121BAC">
        <w:rPr>
          <w:sz w:val="24"/>
        </w:rPr>
        <w:t>Morris Monroe</w:t>
      </w:r>
      <w:r>
        <w:rPr>
          <w:sz w:val="24"/>
        </w:rPr>
        <w:t xml:space="preserve"> or</w:t>
      </w:r>
      <w:r w:rsidR="003E5EEF">
        <w:rPr>
          <w:sz w:val="24"/>
        </w:rPr>
        <w:t xml:space="preserve"> his designee on behalf of the C</w:t>
      </w:r>
      <w:r>
        <w:rPr>
          <w:sz w:val="24"/>
        </w:rPr>
        <w:t>ompany.  Such review should be conducted to guard against excessive activity or improper transactions.  In addition, Morris Monroe shall take steps to ensure that adequate disclosure of all account activities has been provided to the customer in the form of statements, confirmations, etc.</w:t>
      </w:r>
    </w:p>
    <w:p w14:paraId="56FF71E3" w14:textId="77777777" w:rsidR="00CE76DD" w:rsidRDefault="00CE76DD" w:rsidP="00CE76DD">
      <w:pPr>
        <w:tabs>
          <w:tab w:val="left" w:pos="576"/>
          <w:tab w:val="left" w:pos="720"/>
          <w:tab w:val="left" w:pos="2592"/>
          <w:tab w:val="left" w:pos="7200"/>
        </w:tabs>
        <w:jc w:val="both"/>
        <w:rPr>
          <w:sz w:val="24"/>
        </w:rPr>
      </w:pPr>
    </w:p>
    <w:p w14:paraId="20C10648" w14:textId="77777777" w:rsidR="00CE76DD" w:rsidRPr="008B6447" w:rsidRDefault="00CE76DD" w:rsidP="00CE76DD">
      <w:pPr>
        <w:pStyle w:val="BodyText"/>
        <w:tabs>
          <w:tab w:val="left" w:pos="576"/>
          <w:tab w:val="left" w:pos="720"/>
          <w:tab w:val="left" w:pos="2592"/>
          <w:tab w:val="left" w:pos="7200"/>
        </w:tabs>
        <w:spacing w:before="0" w:after="0"/>
      </w:pPr>
      <w:r>
        <w:t>Excessive Activity - Discretionary transactions in a customer's account are strictly prohibited if they can be shown to be excessive in size or frequency given the investment objectives</w:t>
      </w:r>
      <w:r w:rsidR="005372FA">
        <w:t xml:space="preserve"> </w:t>
      </w:r>
      <w:r w:rsidR="005372FA" w:rsidRPr="008B6447">
        <w:t>or absent customer’s knowledge and consent.</w:t>
      </w:r>
    </w:p>
    <w:p w14:paraId="281AB274" w14:textId="77777777" w:rsidR="00CE76DD" w:rsidRDefault="00CE76DD" w:rsidP="00CE76DD">
      <w:pPr>
        <w:tabs>
          <w:tab w:val="left" w:pos="576"/>
          <w:tab w:val="left" w:pos="720"/>
          <w:tab w:val="left" w:pos="2592"/>
          <w:tab w:val="left" w:pos="7200"/>
        </w:tabs>
        <w:jc w:val="both"/>
        <w:rPr>
          <w:sz w:val="24"/>
        </w:rPr>
      </w:pPr>
    </w:p>
    <w:p w14:paraId="233CCBC2" w14:textId="77777777" w:rsidR="00CE76DD" w:rsidRDefault="00CE76DD" w:rsidP="00CE76DD">
      <w:pPr>
        <w:tabs>
          <w:tab w:val="left" w:pos="576"/>
          <w:tab w:val="left" w:pos="720"/>
          <w:tab w:val="left" w:pos="2592"/>
          <w:tab w:val="left" w:pos="7200"/>
        </w:tabs>
        <w:jc w:val="both"/>
        <w:rPr>
          <w:sz w:val="24"/>
        </w:rPr>
      </w:pPr>
      <w:r>
        <w:rPr>
          <w:sz w:val="24"/>
        </w:rPr>
        <w:lastRenderedPageBreak/>
        <w:t>Particular attention must be given to discretionary account activities.  Special consideration should be given to frequent buys and sells in the same security, large buys or sells that seem out of line with the customer's objectives or financial resources, purchases that are paid for out of the proceeds from the sales of other securities, and total commissions that appear excessive given the size of the account equity.</w:t>
      </w:r>
    </w:p>
    <w:p w14:paraId="6E618D1E" w14:textId="77777777" w:rsidR="00CE76DD" w:rsidRDefault="00CE76DD" w:rsidP="00CE76DD">
      <w:pPr>
        <w:tabs>
          <w:tab w:val="left" w:pos="576"/>
          <w:tab w:val="left" w:pos="720"/>
          <w:tab w:val="left" w:pos="2592"/>
          <w:tab w:val="left" w:pos="7200"/>
        </w:tabs>
        <w:jc w:val="both"/>
        <w:rPr>
          <w:sz w:val="24"/>
        </w:rPr>
      </w:pPr>
    </w:p>
    <w:p w14:paraId="2F6FA838" w14:textId="77777777" w:rsidR="00CE76DD" w:rsidRPr="00034E2D" w:rsidRDefault="00CE76DD" w:rsidP="00CE76DD">
      <w:pPr>
        <w:tabs>
          <w:tab w:val="left" w:pos="576"/>
          <w:tab w:val="left" w:pos="720"/>
          <w:tab w:val="left" w:pos="2592"/>
          <w:tab w:val="left" w:pos="7200"/>
        </w:tabs>
        <w:jc w:val="both"/>
        <w:rPr>
          <w:sz w:val="24"/>
        </w:rPr>
      </w:pPr>
      <w:r>
        <w:rPr>
          <w:sz w:val="24"/>
        </w:rPr>
        <w:t xml:space="preserve">Several factors will be taken into account when reviewing for excessive activity.  These </w:t>
      </w:r>
      <w:proofErr w:type="gramStart"/>
      <w:r>
        <w:rPr>
          <w:sz w:val="24"/>
        </w:rPr>
        <w:t>include:</w:t>
      </w:r>
      <w:proofErr w:type="gramEnd"/>
      <w:r>
        <w:rPr>
          <w:sz w:val="24"/>
        </w:rPr>
        <w:t xml:space="preserve">  investment objectives, sophistication of the customer, age, financial resources, and reason for discretionary account status</w:t>
      </w:r>
      <w:r w:rsidR="00CD030C">
        <w:rPr>
          <w:sz w:val="24"/>
        </w:rPr>
        <w:t xml:space="preserve"> </w:t>
      </w:r>
      <w:r w:rsidR="00CD030C" w:rsidRPr="00034E2D">
        <w:rPr>
          <w:sz w:val="24"/>
        </w:rPr>
        <w:t>and whether the customer is aware of such activity and receives confirmations and statements</w:t>
      </w:r>
      <w:r w:rsidRPr="00034E2D">
        <w:rPr>
          <w:sz w:val="24"/>
        </w:rPr>
        <w:t>.</w:t>
      </w:r>
    </w:p>
    <w:p w14:paraId="69952A9B" w14:textId="77777777" w:rsidR="00CE76DD" w:rsidRPr="00034E2D" w:rsidRDefault="00CE76DD" w:rsidP="00CE76DD">
      <w:pPr>
        <w:tabs>
          <w:tab w:val="left" w:pos="576"/>
          <w:tab w:val="left" w:pos="720"/>
          <w:tab w:val="left" w:pos="2592"/>
          <w:tab w:val="left" w:pos="7200"/>
        </w:tabs>
        <w:jc w:val="both"/>
        <w:rPr>
          <w:sz w:val="24"/>
        </w:rPr>
      </w:pPr>
    </w:p>
    <w:p w14:paraId="1A907A57" w14:textId="341258DC" w:rsidR="00CE76DD" w:rsidRDefault="00CE76DD" w:rsidP="00CE76DD">
      <w:pPr>
        <w:autoSpaceDE w:val="0"/>
        <w:autoSpaceDN w:val="0"/>
        <w:adjustRightInd w:val="0"/>
        <w:rPr>
          <w:color w:val="231F20"/>
          <w:sz w:val="24"/>
        </w:rPr>
      </w:pPr>
      <w:r>
        <w:rPr>
          <w:color w:val="231F20"/>
          <w:sz w:val="24"/>
        </w:rPr>
        <w:t xml:space="preserve">Rule </w:t>
      </w:r>
      <w:r w:rsidR="007028E9" w:rsidRPr="002A440B">
        <w:rPr>
          <w:b/>
          <w:color w:val="000000" w:themeColor="text1"/>
          <w:sz w:val="24"/>
        </w:rPr>
        <w:t>3260</w:t>
      </w:r>
      <w:r>
        <w:rPr>
          <w:color w:val="231F20"/>
          <w:sz w:val="24"/>
        </w:rPr>
        <w:t xml:space="preserve"> allows members to exercise time and price discretion on orders for the purchase or sale of a definite amount of a specified security without prior written authorization from the customer or prior written approval by the member. </w:t>
      </w:r>
      <w:r w:rsidR="00CD030C">
        <w:rPr>
          <w:color w:val="231F20"/>
          <w:sz w:val="24"/>
        </w:rPr>
        <w:t xml:space="preserve"> </w:t>
      </w:r>
      <w:r>
        <w:rPr>
          <w:color w:val="231F20"/>
          <w:sz w:val="24"/>
        </w:rPr>
        <w:t xml:space="preserve">However, the duration of this discretionary authority is limited to the day it is granted, absent written authorization to the contrary. </w:t>
      </w:r>
      <w:r w:rsidR="00CD030C">
        <w:rPr>
          <w:color w:val="231F20"/>
          <w:sz w:val="24"/>
        </w:rPr>
        <w:t xml:space="preserve"> </w:t>
      </w:r>
      <w:r>
        <w:rPr>
          <w:color w:val="231F20"/>
          <w:sz w:val="24"/>
        </w:rPr>
        <w:t>In</w:t>
      </w:r>
      <w:r>
        <w:rPr>
          <w:color w:val="231F20"/>
          <w:sz w:val="24"/>
          <w:u w:val="single"/>
        </w:rPr>
        <w:t xml:space="preserve"> </w:t>
      </w:r>
      <w:r>
        <w:rPr>
          <w:color w:val="231F20"/>
          <w:sz w:val="24"/>
        </w:rPr>
        <w:t>addition, any exercise of time and price discretion must be reflected on the customer order ticket.</w:t>
      </w:r>
    </w:p>
    <w:p w14:paraId="33B22303" w14:textId="77777777" w:rsidR="00CE76DD" w:rsidRDefault="00CE76DD" w:rsidP="00CE76DD">
      <w:pPr>
        <w:autoSpaceDE w:val="0"/>
        <w:autoSpaceDN w:val="0"/>
        <w:adjustRightInd w:val="0"/>
        <w:rPr>
          <w:color w:val="231F20"/>
          <w:sz w:val="24"/>
        </w:rPr>
      </w:pPr>
    </w:p>
    <w:p w14:paraId="53F607E6" w14:textId="77777777" w:rsidR="00CE76DD" w:rsidRDefault="00CE76DD" w:rsidP="00CE76DD">
      <w:pPr>
        <w:autoSpaceDE w:val="0"/>
        <w:autoSpaceDN w:val="0"/>
        <w:adjustRightInd w:val="0"/>
        <w:rPr>
          <w:color w:val="000000"/>
          <w:sz w:val="24"/>
        </w:rPr>
      </w:pPr>
    </w:p>
    <w:p w14:paraId="2099EC48" w14:textId="77777777" w:rsidR="00D97156" w:rsidRPr="00D97156" w:rsidRDefault="00C23199" w:rsidP="00936FEE">
      <w:pPr>
        <w:pStyle w:val="Heading2"/>
      </w:pPr>
      <w:r w:rsidRPr="00D97156">
        <w:t>5</w:t>
      </w:r>
      <w:r w:rsidR="0000553E" w:rsidRPr="00D97156">
        <w:t>.1</w:t>
      </w:r>
      <w:r w:rsidR="000D186A">
        <w:t>7</w:t>
      </w:r>
      <w:r w:rsidR="0000553E" w:rsidRPr="00D97156">
        <w:t xml:space="preserve"> </w:t>
      </w:r>
      <w:r w:rsidR="00D97156" w:rsidRPr="00D97156">
        <w:t xml:space="preserve">Online </w:t>
      </w:r>
      <w:r w:rsidR="006965CC">
        <w:t>HTS</w:t>
      </w:r>
      <w:r w:rsidR="004D4B11">
        <w:t xml:space="preserve"> </w:t>
      </w:r>
      <w:r w:rsidR="00D97156" w:rsidRPr="00D97156">
        <w:t>Account Access</w:t>
      </w:r>
      <w:r w:rsidR="00E27083">
        <w:t xml:space="preserve"> </w:t>
      </w:r>
      <w:r w:rsidR="00E27083" w:rsidRPr="00121BAC">
        <w:rPr>
          <w:i/>
          <w:sz w:val="20"/>
        </w:rPr>
        <w:t>(8/10/09)</w:t>
      </w:r>
    </w:p>
    <w:p w14:paraId="4C0A44F2" w14:textId="25D23258" w:rsidR="00D97156" w:rsidRPr="00517FCF" w:rsidRDefault="00D97156" w:rsidP="00680671">
      <w:pPr>
        <w:jc w:val="both"/>
        <w:rPr>
          <w:sz w:val="24"/>
          <w:szCs w:val="24"/>
        </w:rPr>
      </w:pPr>
      <w:r w:rsidRPr="00517FCF">
        <w:rPr>
          <w:sz w:val="24"/>
          <w:szCs w:val="24"/>
        </w:rPr>
        <w:t xml:space="preserve">Company may grant customers online access to their </w:t>
      </w:r>
      <w:r w:rsidR="00D4257C" w:rsidRPr="00D801C6">
        <w:rPr>
          <w:sz w:val="24"/>
          <w:szCs w:val="24"/>
        </w:rPr>
        <w:t>Hilltop</w:t>
      </w:r>
      <w:r w:rsidR="00680671" w:rsidRPr="00517FCF">
        <w:rPr>
          <w:sz w:val="24"/>
          <w:szCs w:val="24"/>
        </w:rPr>
        <w:t xml:space="preserve"> Securities </w:t>
      </w:r>
      <w:r w:rsidRPr="00517FCF">
        <w:rPr>
          <w:sz w:val="24"/>
          <w:szCs w:val="24"/>
        </w:rPr>
        <w:t>clearing firm</w:t>
      </w:r>
      <w:r w:rsidR="00680671" w:rsidRPr="00517FCF">
        <w:rPr>
          <w:sz w:val="24"/>
          <w:szCs w:val="24"/>
        </w:rPr>
        <w:t xml:space="preserve"> </w:t>
      </w:r>
      <w:r w:rsidRPr="00517FCF">
        <w:rPr>
          <w:sz w:val="24"/>
          <w:szCs w:val="24"/>
        </w:rPr>
        <w:t xml:space="preserve">accounts through </w:t>
      </w:r>
      <w:r w:rsidR="00D325E7" w:rsidRPr="00CC601C">
        <w:rPr>
          <w:sz w:val="24"/>
          <w:szCs w:val="24"/>
        </w:rPr>
        <w:t>a</w:t>
      </w:r>
      <w:r w:rsidR="00CC3DF8" w:rsidRPr="00CC601C">
        <w:rPr>
          <w:sz w:val="24"/>
          <w:szCs w:val="24"/>
        </w:rPr>
        <w:t xml:space="preserve"> </w:t>
      </w:r>
      <w:r w:rsidR="00D325E7" w:rsidRPr="00CC601C">
        <w:rPr>
          <w:sz w:val="24"/>
          <w:szCs w:val="24"/>
        </w:rPr>
        <w:t>clearing firm</w:t>
      </w:r>
      <w:r w:rsidR="00CC3DF8" w:rsidRPr="00CC601C">
        <w:rPr>
          <w:sz w:val="24"/>
          <w:szCs w:val="24"/>
        </w:rPr>
        <w:t xml:space="preserve"> sponsored site </w:t>
      </w:r>
      <w:r w:rsidR="00680671" w:rsidRPr="00517FCF">
        <w:rPr>
          <w:sz w:val="24"/>
          <w:szCs w:val="24"/>
        </w:rPr>
        <w:t>and completion of said application</w:t>
      </w:r>
      <w:r w:rsidRPr="00517FCF">
        <w:rPr>
          <w:sz w:val="24"/>
          <w:szCs w:val="24"/>
        </w:rPr>
        <w:t xml:space="preserve">.  Any user </w:t>
      </w:r>
      <w:proofErr w:type="gramStart"/>
      <w:r w:rsidRPr="00517FCF">
        <w:rPr>
          <w:sz w:val="24"/>
          <w:szCs w:val="24"/>
        </w:rPr>
        <w:t>id’s</w:t>
      </w:r>
      <w:proofErr w:type="gramEnd"/>
      <w:r w:rsidRPr="00517FCF">
        <w:rPr>
          <w:sz w:val="24"/>
          <w:szCs w:val="24"/>
        </w:rPr>
        <w:t xml:space="preserve"> or passwords should be disclosed to customers </w:t>
      </w:r>
      <w:r w:rsidR="00D71B66">
        <w:rPr>
          <w:sz w:val="24"/>
          <w:szCs w:val="24"/>
        </w:rPr>
        <w:t xml:space="preserve">preferably </w:t>
      </w:r>
      <w:r w:rsidRPr="00517FCF">
        <w:rPr>
          <w:sz w:val="24"/>
          <w:szCs w:val="24"/>
        </w:rPr>
        <w:t>telephonically and not through email (to protect such information).  In addition, any customer wishing order entry must be approved by the applicable supervisor or principal.</w:t>
      </w:r>
    </w:p>
    <w:p w14:paraId="4103D9FF" w14:textId="77777777" w:rsidR="00D97156" w:rsidRDefault="00D97156" w:rsidP="00D97156"/>
    <w:p w14:paraId="4BCEDC8F" w14:textId="77777777" w:rsidR="00D97156" w:rsidRDefault="00D97156" w:rsidP="00D97156"/>
    <w:p w14:paraId="59F03A61" w14:textId="77777777" w:rsidR="00A83989" w:rsidRPr="0056219E" w:rsidRDefault="00D97156" w:rsidP="00936FEE">
      <w:pPr>
        <w:pStyle w:val="Heading2"/>
      </w:pPr>
      <w:r>
        <w:t>5.</w:t>
      </w:r>
      <w:r w:rsidR="000D186A">
        <w:t>18</w:t>
      </w:r>
      <w:r>
        <w:t xml:space="preserve"> </w:t>
      </w:r>
      <w:r w:rsidR="00A83989" w:rsidRPr="0056219E">
        <w:t>Forwarding of Proxy or Other Materials</w:t>
      </w:r>
    </w:p>
    <w:p w14:paraId="6FFC92AC" w14:textId="77777777" w:rsidR="00A83989" w:rsidRDefault="00A83989" w:rsidP="00A83989">
      <w:pPr>
        <w:pStyle w:val="MRS"/>
      </w:pPr>
      <w:r>
        <w:t>The Company does not carry customer accounts and therefore does not forward proxy or other related materials.</w:t>
      </w:r>
    </w:p>
    <w:p w14:paraId="4793BEDB" w14:textId="77777777" w:rsidR="00A83989" w:rsidRDefault="00A83989" w:rsidP="00A83989">
      <w:pPr>
        <w:pStyle w:val="MRS"/>
      </w:pPr>
    </w:p>
    <w:p w14:paraId="0A0DA078" w14:textId="77777777" w:rsidR="00C23199" w:rsidRDefault="00C23199" w:rsidP="00A83989">
      <w:pPr>
        <w:pStyle w:val="MRS"/>
      </w:pPr>
    </w:p>
    <w:p w14:paraId="47D1C4F4" w14:textId="60F96D16" w:rsidR="00A83989" w:rsidRDefault="00C23199" w:rsidP="00936FEE">
      <w:pPr>
        <w:pStyle w:val="Heading2"/>
      </w:pPr>
      <w:r w:rsidRPr="0056219E">
        <w:t>5</w:t>
      </w:r>
      <w:r w:rsidR="0000553E" w:rsidRPr="0056219E">
        <w:t>.</w:t>
      </w:r>
      <w:r w:rsidR="000D186A">
        <w:t>19</w:t>
      </w:r>
      <w:r w:rsidR="0000553E" w:rsidRPr="0056219E">
        <w:t xml:space="preserve"> </w:t>
      </w:r>
      <w:r w:rsidR="00A83989" w:rsidRPr="0056219E">
        <w:t>Customer Account Statement</w:t>
      </w:r>
      <w:r w:rsidR="005532DB">
        <w:t>s and Confirmations</w:t>
      </w:r>
      <w:r w:rsidR="00A83989" w:rsidRPr="0056219E">
        <w:t xml:space="preserve"> </w:t>
      </w:r>
    </w:p>
    <w:p w14:paraId="5BDADEE6" w14:textId="3C360AE8" w:rsidR="005532DB" w:rsidRPr="002A440B" w:rsidRDefault="005532DB" w:rsidP="005532DB">
      <w:pPr>
        <w:rPr>
          <w:color w:val="000000" w:themeColor="text1"/>
          <w:sz w:val="24"/>
          <w:szCs w:val="24"/>
        </w:rPr>
      </w:pPr>
      <w:r w:rsidRPr="002A440B">
        <w:rPr>
          <w:color w:val="000000" w:themeColor="text1"/>
          <w:sz w:val="24"/>
          <w:szCs w:val="24"/>
        </w:rPr>
        <w:t xml:space="preserve">Customer statements and </w:t>
      </w:r>
      <w:r w:rsidR="009052D9" w:rsidRPr="002A440B">
        <w:rPr>
          <w:color w:val="000000" w:themeColor="text1"/>
          <w:sz w:val="24"/>
          <w:szCs w:val="24"/>
        </w:rPr>
        <w:t xml:space="preserve">transaction </w:t>
      </w:r>
      <w:r w:rsidRPr="002A440B">
        <w:rPr>
          <w:color w:val="000000" w:themeColor="text1"/>
          <w:sz w:val="24"/>
          <w:szCs w:val="24"/>
        </w:rPr>
        <w:t xml:space="preserve">confirmations are generated from and forwarded to customers from the account custodians.  </w:t>
      </w:r>
    </w:p>
    <w:p w14:paraId="732E398E" w14:textId="77777777" w:rsidR="005532DB" w:rsidRPr="002A440B" w:rsidRDefault="005532DB" w:rsidP="005532DB">
      <w:pPr>
        <w:rPr>
          <w:color w:val="000000" w:themeColor="text1"/>
        </w:rPr>
      </w:pPr>
    </w:p>
    <w:p w14:paraId="557DA8AB" w14:textId="77777777" w:rsidR="00A83989" w:rsidRDefault="00A83989" w:rsidP="00A83989">
      <w:pPr>
        <w:pStyle w:val="MRS"/>
      </w:pPr>
      <w:r>
        <w:t>Effective March 6, 2007</w:t>
      </w:r>
      <w:r w:rsidRPr="000C099C">
        <w:t>, FINRA</w:t>
      </w:r>
      <w:r>
        <w:t xml:space="preserve"> Rule 2340 requires that customer account statements include a notification to customers to promptly report any inaccuracies or discrepancies on their account statements to their introducing and clearing broker.  The statement must also advise the customer that any oral communication should be reconfirmed in writing to further protect the customer’s rights to include those under the Securities Investor Protection Act (SIPA).  As such, </w:t>
      </w:r>
      <w:r w:rsidR="00121BAC">
        <w:t>Morris Monroe</w:t>
      </w:r>
      <w:r>
        <w:t xml:space="preserve"> </w:t>
      </w:r>
      <w:r w:rsidR="00C5447A">
        <w:t xml:space="preserve">or Compliance </w:t>
      </w:r>
      <w:r>
        <w:t xml:space="preserve">will be responsible for ensuring </w:t>
      </w:r>
      <w:r w:rsidR="006965CC" w:rsidRPr="006D5CDF">
        <w:t>HTS</w:t>
      </w:r>
      <w:r>
        <w:t xml:space="preserve"> prints such notification on the account statements.  Additionally, the notification will contain the name, address and telephone number of the</w:t>
      </w:r>
      <w:r w:rsidR="002A3FC1">
        <w:t xml:space="preserve"> responsible individual/company </w:t>
      </w:r>
      <w:r>
        <w:t xml:space="preserve">who the customer can </w:t>
      </w:r>
      <w:r w:rsidR="00015C68">
        <w:t>contact</w:t>
      </w:r>
      <w:r>
        <w:t xml:space="preserve"> </w:t>
      </w:r>
      <w:r w:rsidR="00015C68">
        <w:t xml:space="preserve">for </w:t>
      </w:r>
      <w:r>
        <w:t>inquiries regarding their account.</w:t>
      </w:r>
    </w:p>
    <w:p w14:paraId="50BC94C4" w14:textId="77777777" w:rsidR="00A83989" w:rsidRDefault="00A83989" w:rsidP="00A83989">
      <w:pPr>
        <w:pStyle w:val="MRS"/>
      </w:pPr>
    </w:p>
    <w:p w14:paraId="6DA40B93" w14:textId="77777777" w:rsidR="00C23199" w:rsidRDefault="00C23199" w:rsidP="00A83989">
      <w:pPr>
        <w:pStyle w:val="MRS"/>
      </w:pPr>
    </w:p>
    <w:p w14:paraId="495D0794" w14:textId="77777777" w:rsidR="00A83989" w:rsidRPr="0056219E" w:rsidRDefault="00C23199" w:rsidP="00936FEE">
      <w:pPr>
        <w:pStyle w:val="Heading2"/>
      </w:pPr>
      <w:r w:rsidRPr="0056219E">
        <w:lastRenderedPageBreak/>
        <w:t>5</w:t>
      </w:r>
      <w:r w:rsidR="0000553E" w:rsidRPr="0056219E">
        <w:t>.</w:t>
      </w:r>
      <w:r w:rsidR="007E013F" w:rsidRPr="0056219E">
        <w:t>2</w:t>
      </w:r>
      <w:r w:rsidR="000D186A">
        <w:t>0</w:t>
      </w:r>
      <w:r w:rsidR="0000553E" w:rsidRPr="0056219E">
        <w:t xml:space="preserve"> </w:t>
      </w:r>
      <w:r w:rsidR="00A83989" w:rsidRPr="0056219E">
        <w:t>FINRA Rule 2020</w:t>
      </w:r>
      <w:r w:rsidR="0056219E" w:rsidRPr="0056219E">
        <w:t>-</w:t>
      </w:r>
      <w:r w:rsidR="00A83989" w:rsidRPr="0056219E">
        <w:t>Use of Manipulative, Deceptive or Other Fraudulent Devices</w:t>
      </w:r>
    </w:p>
    <w:p w14:paraId="10F8984D" w14:textId="77777777" w:rsidR="00A83989" w:rsidRPr="005421C2" w:rsidRDefault="00A83989" w:rsidP="00A83989">
      <w:pPr>
        <w:shd w:val="clear" w:color="auto" w:fill="FFFFFF"/>
        <w:spacing w:line="270" w:lineRule="atLeast"/>
        <w:jc w:val="both"/>
        <w:rPr>
          <w:sz w:val="24"/>
          <w:szCs w:val="24"/>
        </w:rPr>
      </w:pPr>
      <w:r w:rsidRPr="005421C2">
        <w:rPr>
          <w:sz w:val="24"/>
          <w:szCs w:val="24"/>
        </w:rPr>
        <w:t>Pursuant</w:t>
      </w:r>
      <w:r w:rsidR="001044C9">
        <w:rPr>
          <w:sz w:val="24"/>
          <w:szCs w:val="24"/>
        </w:rPr>
        <w:t xml:space="preserve"> to Rule 2020, the Company will</w:t>
      </w:r>
      <w:r w:rsidRPr="005421C2">
        <w:rPr>
          <w:sz w:val="24"/>
          <w:szCs w:val="24"/>
        </w:rPr>
        <w:t xml:space="preserve"> not </w:t>
      </w:r>
      <w:r w:rsidR="002A3FC1" w:rsidRPr="005421C2">
        <w:rPr>
          <w:sz w:val="24"/>
          <w:szCs w:val="24"/>
        </w:rPr>
        <w:t>affect</w:t>
      </w:r>
      <w:r w:rsidRPr="005421C2">
        <w:rPr>
          <w:sz w:val="24"/>
          <w:szCs w:val="24"/>
        </w:rPr>
        <w:t xml:space="preserve"> any transaction in, or induce the purchase or sale of, any security by means of any manipulative, deceptive or other fraudulent device or contrivance. </w:t>
      </w:r>
    </w:p>
    <w:p w14:paraId="2BF78C27" w14:textId="77777777" w:rsidR="00A83989" w:rsidRDefault="00A83989" w:rsidP="00A83989">
      <w:pPr>
        <w:pStyle w:val="MRS"/>
      </w:pPr>
    </w:p>
    <w:p w14:paraId="52C88743" w14:textId="77777777" w:rsidR="00C23199" w:rsidRDefault="00C23199" w:rsidP="00A83989">
      <w:pPr>
        <w:pStyle w:val="MRS"/>
      </w:pPr>
    </w:p>
    <w:p w14:paraId="71FA0009" w14:textId="77777777" w:rsidR="00A83989" w:rsidRPr="0076417B" w:rsidRDefault="00C23199" w:rsidP="00936FEE">
      <w:pPr>
        <w:pStyle w:val="Heading2"/>
        <w:rPr>
          <w:sz w:val="20"/>
        </w:rPr>
      </w:pPr>
      <w:bookmarkStart w:id="88" w:name="ExhibitM"/>
      <w:bookmarkStart w:id="89" w:name="Rule2140"/>
      <w:r w:rsidRPr="0056219E">
        <w:t>5</w:t>
      </w:r>
      <w:r w:rsidR="0000553E" w:rsidRPr="0056219E">
        <w:t>.</w:t>
      </w:r>
      <w:r w:rsidRPr="0056219E">
        <w:t>2</w:t>
      </w:r>
      <w:r w:rsidR="000D186A">
        <w:t>1</w:t>
      </w:r>
      <w:r w:rsidRPr="0056219E">
        <w:t xml:space="preserve"> </w:t>
      </w:r>
      <w:r w:rsidR="00A83989" w:rsidRPr="0056219E">
        <w:t>FINR</w:t>
      </w:r>
      <w:r w:rsidRPr="0056219E">
        <w:t>A</w:t>
      </w:r>
      <w:r w:rsidR="00A83989" w:rsidRPr="0056219E">
        <w:t xml:space="preserve"> Rule 2140 </w:t>
      </w:r>
      <w:bookmarkEnd w:id="88"/>
      <w:bookmarkEnd w:id="89"/>
      <w:r w:rsidR="00A83989" w:rsidRPr="0056219E">
        <w:t xml:space="preserve">Interfering </w:t>
      </w:r>
      <w:r w:rsidR="00062A0A" w:rsidRPr="0056219E">
        <w:t>with</w:t>
      </w:r>
      <w:r w:rsidR="00A83989" w:rsidRPr="0056219E">
        <w:t xml:space="preserve"> the Transfer of Customer Accounts in the Context of Employment</w:t>
      </w:r>
      <w:r w:rsidR="0081031E">
        <w:t xml:space="preserve"> </w:t>
      </w:r>
      <w:r w:rsidR="00A83989" w:rsidRPr="0056219E">
        <w:t>Disputes</w:t>
      </w:r>
      <w:r w:rsidR="00A83989" w:rsidRPr="002D3CFB">
        <w:t xml:space="preserve"> </w:t>
      </w:r>
      <w:r w:rsidR="00A83989" w:rsidRPr="00AF20A5">
        <w:rPr>
          <w:i/>
          <w:sz w:val="20"/>
        </w:rPr>
        <w:t>(</w:t>
      </w:r>
      <w:proofErr w:type="gramStart"/>
      <w:r w:rsidR="00A83989" w:rsidRPr="00AF20A5">
        <w:rPr>
          <w:i/>
          <w:sz w:val="20"/>
        </w:rPr>
        <w:t>eff</w:t>
      </w:r>
      <w:proofErr w:type="gramEnd"/>
      <w:r w:rsidR="00A83989" w:rsidRPr="00AF20A5">
        <w:rPr>
          <w:i/>
          <w:sz w:val="20"/>
        </w:rPr>
        <w:t xml:space="preserve"> 06/15/09)</w:t>
      </w:r>
    </w:p>
    <w:p w14:paraId="1EE04C49" w14:textId="77777777" w:rsidR="00A83989" w:rsidRPr="00517FCF" w:rsidRDefault="0081031E" w:rsidP="00A83989">
      <w:pPr>
        <w:shd w:val="clear" w:color="auto" w:fill="FFFFFF"/>
        <w:spacing w:line="270" w:lineRule="atLeast"/>
        <w:jc w:val="both"/>
        <w:rPr>
          <w:b/>
          <w:szCs w:val="24"/>
        </w:rPr>
      </w:pPr>
      <w:r w:rsidRPr="00517FCF">
        <w:rPr>
          <w:rStyle w:val="us"/>
          <w:sz w:val="24"/>
          <w:szCs w:val="24"/>
        </w:rPr>
        <w:t>Neither the</w:t>
      </w:r>
      <w:r w:rsidR="00A83989" w:rsidRPr="00517FCF">
        <w:rPr>
          <w:rStyle w:val="us"/>
          <w:sz w:val="24"/>
          <w:szCs w:val="24"/>
        </w:rPr>
        <w:t xml:space="preserve"> Company nor any A</w:t>
      </w:r>
      <w:r w:rsidR="00A83989" w:rsidRPr="00517FCF">
        <w:rPr>
          <w:sz w:val="24"/>
          <w:szCs w:val="24"/>
        </w:rPr>
        <w:t xml:space="preserve">ssociated Person </w:t>
      </w:r>
      <w:r w:rsidR="00A83989" w:rsidRPr="00517FCF">
        <w:rPr>
          <w:rStyle w:val="us"/>
          <w:sz w:val="24"/>
          <w:szCs w:val="24"/>
        </w:rPr>
        <w:t>shall</w:t>
      </w:r>
      <w:r w:rsidR="00A83989" w:rsidRPr="00517FCF">
        <w:rPr>
          <w:sz w:val="24"/>
          <w:szCs w:val="24"/>
        </w:rPr>
        <w:t xml:space="preserve"> interfere with a customer's request to transfer his or her account in connection with the change in employment of the customer's registered representative </w:t>
      </w:r>
      <w:r w:rsidR="00A83989" w:rsidRPr="00517FCF">
        <w:rPr>
          <w:rStyle w:val="us"/>
          <w:sz w:val="24"/>
          <w:szCs w:val="24"/>
        </w:rPr>
        <w:t>where</w:t>
      </w:r>
      <w:r w:rsidR="00A83989" w:rsidRPr="00517FCF">
        <w:rPr>
          <w:sz w:val="24"/>
          <w:szCs w:val="24"/>
        </w:rPr>
        <w:t xml:space="preserve"> the account is not subject to any lien for monies owed by the customer or other bona fide claim. Prohibited interference includes, but is not limited to, seeking a judicial order or decree that would bar or restrict the submission, delivery or acceptance of a written request from a customer to transfer his or her account. </w:t>
      </w:r>
    </w:p>
    <w:p w14:paraId="1DDB5F78" w14:textId="77777777" w:rsidR="007C6877" w:rsidRPr="00517FCF" w:rsidRDefault="007C6877" w:rsidP="00A83989">
      <w:pPr>
        <w:jc w:val="both"/>
        <w:rPr>
          <w:sz w:val="24"/>
        </w:rPr>
      </w:pPr>
    </w:p>
    <w:p w14:paraId="03EA34FF" w14:textId="77777777" w:rsidR="0000553E" w:rsidRPr="00517FCF" w:rsidRDefault="0000553E" w:rsidP="007C6877">
      <w:pPr>
        <w:jc w:val="both"/>
        <w:rPr>
          <w:b/>
          <w:sz w:val="24"/>
        </w:rPr>
      </w:pPr>
    </w:p>
    <w:p w14:paraId="4AFFC92B" w14:textId="77777777" w:rsidR="00C1715D" w:rsidRDefault="001044C9" w:rsidP="00936FEE">
      <w:pPr>
        <w:pStyle w:val="Heading2"/>
      </w:pPr>
      <w:r w:rsidRPr="0056219E">
        <w:t>5.2</w:t>
      </w:r>
      <w:r w:rsidR="000D186A">
        <w:t>2</w:t>
      </w:r>
      <w:r w:rsidRPr="0056219E">
        <w:t xml:space="preserve"> </w:t>
      </w:r>
      <w:r w:rsidR="00C1715D">
        <w:t>ACATS</w:t>
      </w:r>
    </w:p>
    <w:p w14:paraId="51D548BE" w14:textId="77777777" w:rsidR="00C1715D" w:rsidRDefault="00C1715D" w:rsidP="00C171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When an ACAT </w:t>
      </w:r>
      <w:r w:rsidR="00C5447A">
        <w:rPr>
          <w:sz w:val="24"/>
        </w:rPr>
        <w:t xml:space="preserve">(Automated Customer Account Transfer) </w:t>
      </w:r>
      <w:r>
        <w:rPr>
          <w:sz w:val="24"/>
        </w:rPr>
        <w:t>request is received, the following procedures have been adopted to ensure timely processing:</w:t>
      </w:r>
    </w:p>
    <w:p w14:paraId="7E547DDB" w14:textId="77777777" w:rsidR="00C1715D" w:rsidRDefault="00C1715D" w:rsidP="00C1715D">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0A6D3CCA" w14:textId="77777777" w:rsidR="00C1715D" w:rsidRDefault="00C1715D" w:rsidP="00C171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1.</w:t>
      </w:r>
      <w:r>
        <w:rPr>
          <w:sz w:val="24"/>
        </w:rPr>
        <w:tab/>
        <w:t>Make sure proper forms are received for IRA's and regular accounts.</w:t>
      </w:r>
    </w:p>
    <w:p w14:paraId="1BC1B92C" w14:textId="77777777" w:rsidR="00C1715D" w:rsidRDefault="00C1715D" w:rsidP="00C171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2.</w:t>
      </w:r>
      <w:r>
        <w:rPr>
          <w:sz w:val="24"/>
        </w:rPr>
        <w:tab/>
        <w:t>Check forms for account numbers, client name for client's signature.</w:t>
      </w:r>
    </w:p>
    <w:p w14:paraId="71E991C4" w14:textId="77777777" w:rsidR="00C1715D" w:rsidRDefault="00C1715D" w:rsidP="00C171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3.</w:t>
      </w:r>
      <w:r>
        <w:rPr>
          <w:sz w:val="24"/>
        </w:rPr>
        <w:tab/>
        <w:t>Fill in and check for receiving account number.</w:t>
      </w:r>
    </w:p>
    <w:p w14:paraId="288A02AB" w14:textId="77777777" w:rsidR="00C1715D" w:rsidRDefault="00C1715D" w:rsidP="00C171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4.</w:t>
      </w:r>
      <w:r>
        <w:rPr>
          <w:sz w:val="24"/>
        </w:rPr>
        <w:tab/>
        <w:t>Make sure statement is attached from incoming account and check number.</w:t>
      </w:r>
    </w:p>
    <w:p w14:paraId="51951457" w14:textId="77777777" w:rsidR="00C1715D" w:rsidRDefault="00C1715D" w:rsidP="00C171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5.</w:t>
      </w:r>
      <w:r>
        <w:rPr>
          <w:sz w:val="24"/>
        </w:rPr>
        <w:tab/>
        <w:t>Double check account number, name and social security number.</w:t>
      </w:r>
    </w:p>
    <w:p w14:paraId="5F3A2C9D" w14:textId="77777777" w:rsidR="00C1715D" w:rsidRDefault="00C1715D" w:rsidP="00C171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6.</w:t>
      </w:r>
      <w:r>
        <w:rPr>
          <w:sz w:val="24"/>
        </w:rPr>
        <w:tab/>
        <w:t>Check DTC number (use NSCC directory).</w:t>
      </w:r>
    </w:p>
    <w:p w14:paraId="55CE6929" w14:textId="77777777" w:rsidR="00C1715D" w:rsidRDefault="00C1715D" w:rsidP="00C171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7.</w:t>
      </w:r>
      <w:r>
        <w:rPr>
          <w:sz w:val="24"/>
        </w:rPr>
        <w:tab/>
        <w:t>Make sure account is set up with the Company</w:t>
      </w:r>
      <w:r w:rsidR="0016735C">
        <w:rPr>
          <w:sz w:val="24"/>
        </w:rPr>
        <w:t xml:space="preserve"> if incoming ACAT</w:t>
      </w:r>
      <w:r>
        <w:rPr>
          <w:sz w:val="24"/>
        </w:rPr>
        <w:t>.</w:t>
      </w:r>
    </w:p>
    <w:p w14:paraId="6AA539D6" w14:textId="77777777" w:rsidR="00C1715D" w:rsidRDefault="00C1715D" w:rsidP="00C171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8.</w:t>
      </w:r>
      <w:r>
        <w:rPr>
          <w:sz w:val="24"/>
        </w:rPr>
        <w:tab/>
        <w:t>Check carrying firm account number and if in correct space provided.</w:t>
      </w:r>
    </w:p>
    <w:p w14:paraId="5FA8AED1" w14:textId="77777777" w:rsidR="00C1715D" w:rsidRDefault="00C1715D" w:rsidP="00C171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9.</w:t>
      </w:r>
      <w:r>
        <w:rPr>
          <w:sz w:val="24"/>
        </w:rPr>
        <w:tab/>
        <w:t>File copy in “Transfer” file until completed, thereafter, file in client file.</w:t>
      </w:r>
    </w:p>
    <w:p w14:paraId="65476D3A" w14:textId="77777777" w:rsidR="00C1715D" w:rsidRDefault="00C1715D" w:rsidP="003B515B">
      <w:pPr>
        <w:numPr>
          <w:ilvl w:val="0"/>
          <w:numId w:val="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Send original to clearing firm or scan and email to same.</w:t>
      </w:r>
    </w:p>
    <w:p w14:paraId="00363A18" w14:textId="77777777" w:rsidR="00DD214E" w:rsidRDefault="00DD214E" w:rsidP="009D1777">
      <w:pPr>
        <w:numPr>
          <w:ilvl w:val="0"/>
          <w:numId w:val="1"/>
        </w:numPr>
        <w:tabs>
          <w:tab w:val="left" w:pos="72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Incoming ACATS:  Stock cannot be sold for a client against an incoming ACAT. Stock must be received and/or verified for the client account prior to any sale.</w:t>
      </w:r>
    </w:p>
    <w:p w14:paraId="3B5F4D09" w14:textId="77777777" w:rsidR="00C1715D" w:rsidRPr="00C1715D" w:rsidRDefault="00C1715D" w:rsidP="00C1715D"/>
    <w:p w14:paraId="521B3374" w14:textId="77777777" w:rsidR="00C1715D" w:rsidRDefault="00C1715D" w:rsidP="00C1715D"/>
    <w:p w14:paraId="7891C18E" w14:textId="77777777" w:rsidR="00816F56" w:rsidRDefault="00816F56" w:rsidP="00936FEE">
      <w:pPr>
        <w:pStyle w:val="Heading2"/>
      </w:pPr>
      <w:r>
        <w:t>5.23 Transmittals and Withdrawals of Customer Assets</w:t>
      </w:r>
    </w:p>
    <w:p w14:paraId="0ABB4B51" w14:textId="77777777" w:rsidR="00816F56" w:rsidRPr="00517FCF" w:rsidRDefault="00816F56" w:rsidP="00816F56">
      <w:pPr>
        <w:jc w:val="both"/>
        <w:rPr>
          <w:sz w:val="24"/>
          <w:szCs w:val="24"/>
        </w:rPr>
      </w:pPr>
      <w:r w:rsidRPr="00517FCF">
        <w:rPr>
          <w:sz w:val="24"/>
          <w:szCs w:val="24"/>
        </w:rPr>
        <w:t>Company has adopted these procedures reasonabl</w:t>
      </w:r>
      <w:r w:rsidR="0016735C">
        <w:rPr>
          <w:sz w:val="24"/>
          <w:szCs w:val="24"/>
        </w:rPr>
        <w:t>y</w:t>
      </w:r>
      <w:r w:rsidRPr="00517FCF">
        <w:rPr>
          <w:sz w:val="24"/>
          <w:szCs w:val="24"/>
        </w:rPr>
        <w:t xml:space="preserve"> designed to ensure proper handling of transmittals and withdrawals of customer assets.  Company will review and monitor the transmittal of funds and securities:</w:t>
      </w:r>
    </w:p>
    <w:p w14:paraId="4E45171A" w14:textId="77777777" w:rsidR="003154F8" w:rsidRPr="00517FCF" w:rsidRDefault="003154F8" w:rsidP="00816F56">
      <w:pPr>
        <w:jc w:val="both"/>
        <w:rPr>
          <w:sz w:val="24"/>
          <w:szCs w:val="24"/>
        </w:rPr>
      </w:pPr>
    </w:p>
    <w:p w14:paraId="4B940E85" w14:textId="77777777" w:rsidR="00816F56" w:rsidRPr="00517FCF" w:rsidRDefault="00816F56" w:rsidP="00C1728B">
      <w:pPr>
        <w:numPr>
          <w:ilvl w:val="0"/>
          <w:numId w:val="117"/>
        </w:numPr>
        <w:ind w:left="630" w:hanging="270"/>
        <w:jc w:val="both"/>
        <w:rPr>
          <w:sz w:val="24"/>
          <w:szCs w:val="24"/>
        </w:rPr>
      </w:pPr>
      <w:r w:rsidRPr="00517FCF">
        <w:rPr>
          <w:sz w:val="24"/>
          <w:szCs w:val="24"/>
        </w:rPr>
        <w:t>From customer accounts to third-party accounts (i.e. may result in change of beneficial ownership;</w:t>
      </w:r>
    </w:p>
    <w:p w14:paraId="09FDE880" w14:textId="436FFC66" w:rsidR="00816F56" w:rsidRPr="00517FCF" w:rsidRDefault="00816F56" w:rsidP="00C1728B">
      <w:pPr>
        <w:numPr>
          <w:ilvl w:val="0"/>
          <w:numId w:val="117"/>
        </w:numPr>
        <w:ind w:left="630" w:hanging="270"/>
        <w:jc w:val="both"/>
        <w:rPr>
          <w:sz w:val="24"/>
          <w:szCs w:val="24"/>
        </w:rPr>
      </w:pPr>
      <w:r w:rsidRPr="00517FCF">
        <w:rPr>
          <w:sz w:val="24"/>
          <w:szCs w:val="24"/>
        </w:rPr>
        <w:t>From customer accounts to outside entities (i.e. banks, investment companies, etc</w:t>
      </w:r>
      <w:r w:rsidR="00450382">
        <w:rPr>
          <w:sz w:val="24"/>
          <w:szCs w:val="24"/>
        </w:rPr>
        <w:t>.</w:t>
      </w:r>
      <w:r w:rsidRPr="00517FCF">
        <w:rPr>
          <w:sz w:val="24"/>
          <w:szCs w:val="24"/>
        </w:rPr>
        <w:t>);</w:t>
      </w:r>
    </w:p>
    <w:p w14:paraId="6CCD245B" w14:textId="77777777" w:rsidR="00816F56" w:rsidRPr="00517FCF" w:rsidRDefault="00816F56" w:rsidP="00C1728B">
      <w:pPr>
        <w:numPr>
          <w:ilvl w:val="0"/>
          <w:numId w:val="117"/>
        </w:numPr>
        <w:ind w:left="630" w:hanging="270"/>
        <w:jc w:val="both"/>
        <w:rPr>
          <w:sz w:val="24"/>
          <w:szCs w:val="24"/>
        </w:rPr>
      </w:pPr>
      <w:r w:rsidRPr="00517FCF">
        <w:rPr>
          <w:sz w:val="24"/>
          <w:szCs w:val="24"/>
        </w:rPr>
        <w:t>From customer accounts to locations other than their primary residence or address of record; and</w:t>
      </w:r>
    </w:p>
    <w:p w14:paraId="14F89732" w14:textId="77777777" w:rsidR="00816F56" w:rsidRPr="00517FCF" w:rsidRDefault="00816F56" w:rsidP="00C1728B">
      <w:pPr>
        <w:numPr>
          <w:ilvl w:val="0"/>
          <w:numId w:val="117"/>
        </w:numPr>
        <w:ind w:left="630" w:hanging="270"/>
        <w:jc w:val="both"/>
        <w:rPr>
          <w:sz w:val="24"/>
          <w:szCs w:val="24"/>
        </w:rPr>
      </w:pPr>
      <w:r w:rsidRPr="00517FCF">
        <w:rPr>
          <w:sz w:val="24"/>
          <w:szCs w:val="24"/>
        </w:rPr>
        <w:t>Between customers and Associated Persons.</w:t>
      </w:r>
    </w:p>
    <w:p w14:paraId="1FCD0E71" w14:textId="77777777" w:rsidR="00816F56" w:rsidRPr="00517FCF" w:rsidRDefault="00816F56" w:rsidP="00816F56">
      <w:pPr>
        <w:jc w:val="both"/>
        <w:rPr>
          <w:sz w:val="24"/>
          <w:szCs w:val="24"/>
        </w:rPr>
      </w:pPr>
    </w:p>
    <w:p w14:paraId="18AFBE26" w14:textId="77777777" w:rsidR="00BC11B1" w:rsidRDefault="00BC11B1" w:rsidP="00816F56">
      <w:pPr>
        <w:jc w:val="both"/>
        <w:rPr>
          <w:sz w:val="24"/>
          <w:szCs w:val="24"/>
        </w:rPr>
      </w:pPr>
      <w:r w:rsidRPr="00517FCF">
        <w:rPr>
          <w:sz w:val="24"/>
          <w:szCs w:val="24"/>
        </w:rPr>
        <w:t>Each OSJ will maintain an operations</w:t>
      </w:r>
      <w:r w:rsidR="005B60AB">
        <w:rPr>
          <w:sz w:val="24"/>
          <w:szCs w:val="24"/>
        </w:rPr>
        <w:t>/cashiering</w:t>
      </w:r>
      <w:r w:rsidRPr="00517FCF">
        <w:rPr>
          <w:sz w:val="24"/>
          <w:szCs w:val="24"/>
        </w:rPr>
        <w:t xml:space="preserve"> file in a central location to record all transmittals and withdrawals of customer assets.  </w:t>
      </w:r>
    </w:p>
    <w:p w14:paraId="291E7B04" w14:textId="77777777" w:rsidR="009532B7" w:rsidRPr="00517FCF" w:rsidRDefault="009532B7" w:rsidP="00816F56">
      <w:pPr>
        <w:jc w:val="both"/>
        <w:rPr>
          <w:sz w:val="24"/>
          <w:szCs w:val="24"/>
        </w:rPr>
      </w:pPr>
    </w:p>
    <w:p w14:paraId="11621FAC" w14:textId="77777777" w:rsidR="00115767" w:rsidRDefault="00115767" w:rsidP="00816F56">
      <w:pPr>
        <w:jc w:val="both"/>
        <w:rPr>
          <w:sz w:val="24"/>
          <w:szCs w:val="24"/>
        </w:rPr>
      </w:pPr>
      <w:r w:rsidRPr="00C24ED3">
        <w:rPr>
          <w:b/>
          <w:sz w:val="24"/>
          <w:szCs w:val="24"/>
        </w:rPr>
        <w:lastRenderedPageBreak/>
        <w:t>Procedures</w:t>
      </w:r>
      <w:r w:rsidRPr="00517FCF">
        <w:rPr>
          <w:sz w:val="24"/>
          <w:szCs w:val="24"/>
        </w:rPr>
        <w:t>:</w:t>
      </w:r>
    </w:p>
    <w:p w14:paraId="7C65CD71" w14:textId="77777777" w:rsidR="00DE4DD4" w:rsidRPr="00606AF7" w:rsidRDefault="00DE4DD4" w:rsidP="00816F56">
      <w:pPr>
        <w:jc w:val="both"/>
        <w:rPr>
          <w:sz w:val="24"/>
          <w:szCs w:val="24"/>
        </w:rPr>
      </w:pPr>
      <w:r w:rsidRPr="00606AF7">
        <w:rPr>
          <w:sz w:val="24"/>
          <w:szCs w:val="24"/>
        </w:rPr>
        <w:t>Back office or Operations personnel (or other designated individuals) are responsible for processing the following:</w:t>
      </w:r>
    </w:p>
    <w:p w14:paraId="68875E96" w14:textId="7B891A3F" w:rsidR="00115767" w:rsidRDefault="00115767" w:rsidP="00C1728B">
      <w:pPr>
        <w:numPr>
          <w:ilvl w:val="0"/>
          <w:numId w:val="118"/>
        </w:numPr>
        <w:rPr>
          <w:sz w:val="24"/>
          <w:szCs w:val="24"/>
        </w:rPr>
      </w:pPr>
      <w:r w:rsidRPr="00517FCF">
        <w:rPr>
          <w:sz w:val="24"/>
          <w:szCs w:val="24"/>
        </w:rPr>
        <w:t xml:space="preserve">Any transfers to third parties require written </w:t>
      </w:r>
      <w:r w:rsidR="006D091A">
        <w:rPr>
          <w:sz w:val="24"/>
          <w:szCs w:val="24"/>
        </w:rPr>
        <w:t>letters of authorization (</w:t>
      </w:r>
      <w:r w:rsidRPr="00517FCF">
        <w:rPr>
          <w:sz w:val="24"/>
          <w:szCs w:val="24"/>
        </w:rPr>
        <w:t>LOAs</w:t>
      </w:r>
      <w:r w:rsidR="006D091A">
        <w:rPr>
          <w:sz w:val="24"/>
          <w:szCs w:val="24"/>
        </w:rPr>
        <w:t xml:space="preserve">) </w:t>
      </w:r>
      <w:r w:rsidR="00BB3DBB" w:rsidRPr="00517FCF">
        <w:rPr>
          <w:sz w:val="24"/>
          <w:szCs w:val="24"/>
        </w:rPr>
        <w:t>with original signatures by all applicable parties per the registration type – i.e. Joint owners, etc</w:t>
      </w:r>
      <w:r w:rsidR="00C04A4C">
        <w:rPr>
          <w:sz w:val="24"/>
          <w:szCs w:val="24"/>
        </w:rPr>
        <w:t>.</w:t>
      </w:r>
      <w:r w:rsidR="00BB3DBB" w:rsidRPr="00517FCF">
        <w:rPr>
          <w:sz w:val="24"/>
          <w:szCs w:val="24"/>
        </w:rPr>
        <w:t xml:space="preserve">) </w:t>
      </w:r>
      <w:r w:rsidRPr="00517FCF">
        <w:rPr>
          <w:sz w:val="24"/>
          <w:szCs w:val="24"/>
        </w:rPr>
        <w:t xml:space="preserve">or </w:t>
      </w:r>
      <w:r w:rsidR="004C64F1" w:rsidRPr="00517FCF">
        <w:rPr>
          <w:sz w:val="24"/>
          <w:szCs w:val="24"/>
        </w:rPr>
        <w:t xml:space="preserve">vendor proprietary forms and </w:t>
      </w:r>
      <w:r w:rsidR="00BB3DBB" w:rsidRPr="00517FCF">
        <w:rPr>
          <w:sz w:val="24"/>
          <w:szCs w:val="24"/>
        </w:rPr>
        <w:t xml:space="preserve">maintained by the Company or </w:t>
      </w:r>
      <w:r w:rsidR="004C64F1" w:rsidRPr="00517FCF">
        <w:rPr>
          <w:sz w:val="24"/>
          <w:szCs w:val="24"/>
        </w:rPr>
        <w:t xml:space="preserve">forwarded to the appropriate custodian for handling.  </w:t>
      </w:r>
      <w:r w:rsidR="006D091A" w:rsidRPr="00AF20A5">
        <w:rPr>
          <w:sz w:val="24"/>
          <w:szCs w:val="24"/>
        </w:rPr>
        <w:t xml:space="preserve">LOAs may be received or transmitted by mail or other means including electronic communication with verifiable signature. </w:t>
      </w:r>
      <w:r w:rsidR="006D091A">
        <w:rPr>
          <w:sz w:val="24"/>
          <w:szCs w:val="24"/>
        </w:rPr>
        <w:t xml:space="preserve"> </w:t>
      </w:r>
      <w:r w:rsidR="004C64F1" w:rsidRPr="00517FCF">
        <w:rPr>
          <w:sz w:val="24"/>
          <w:szCs w:val="24"/>
        </w:rPr>
        <w:t>Any forms requiring a signature guarantee will be stamped by authorized personnel only (as described below in this Section 5).</w:t>
      </w:r>
    </w:p>
    <w:p w14:paraId="2C44881F" w14:textId="77777777" w:rsidR="006D091A" w:rsidRPr="00AF20A5" w:rsidRDefault="006D091A" w:rsidP="00C1728B">
      <w:pPr>
        <w:numPr>
          <w:ilvl w:val="0"/>
          <w:numId w:val="118"/>
        </w:numPr>
        <w:rPr>
          <w:sz w:val="24"/>
          <w:szCs w:val="24"/>
        </w:rPr>
      </w:pPr>
      <w:r w:rsidRPr="00AF20A5">
        <w:rPr>
          <w:sz w:val="24"/>
          <w:szCs w:val="24"/>
        </w:rPr>
        <w:t xml:space="preserve">If an LOA copy is not presented in person by the customer, the customer’s signature </w:t>
      </w:r>
      <w:r w:rsidR="00064526" w:rsidRPr="00AF20A5">
        <w:rPr>
          <w:sz w:val="24"/>
          <w:szCs w:val="24"/>
        </w:rPr>
        <w:t>shall be verified against existing account records.</w:t>
      </w:r>
    </w:p>
    <w:p w14:paraId="5C26C8C1" w14:textId="77777777" w:rsidR="00064526" w:rsidRPr="009F1432" w:rsidRDefault="00064526" w:rsidP="00C1728B">
      <w:pPr>
        <w:numPr>
          <w:ilvl w:val="0"/>
          <w:numId w:val="118"/>
        </w:numPr>
        <w:rPr>
          <w:sz w:val="24"/>
          <w:szCs w:val="24"/>
        </w:rPr>
      </w:pPr>
      <w:r w:rsidRPr="00AF20A5">
        <w:rPr>
          <w:sz w:val="24"/>
          <w:szCs w:val="24"/>
        </w:rPr>
        <w:t>Where transfers to a third party are ongoing, a “standing” LOA is permitted.</w:t>
      </w:r>
      <w:r w:rsidR="006E4910">
        <w:rPr>
          <w:sz w:val="24"/>
          <w:szCs w:val="24"/>
        </w:rPr>
        <w:t xml:space="preserve">  </w:t>
      </w:r>
      <w:r w:rsidR="006E4910" w:rsidRPr="009F1432">
        <w:rPr>
          <w:sz w:val="24"/>
          <w:szCs w:val="24"/>
        </w:rPr>
        <w:t>Notification will be sent to the customer confirming the transfer.</w:t>
      </w:r>
    </w:p>
    <w:p w14:paraId="56F0767E" w14:textId="61F4B09F" w:rsidR="00AE2364" w:rsidRPr="00AF20A5" w:rsidRDefault="00AE2364" w:rsidP="00C1728B">
      <w:pPr>
        <w:pStyle w:val="Normal1"/>
        <w:numPr>
          <w:ilvl w:val="0"/>
          <w:numId w:val="118"/>
        </w:numPr>
        <w:spacing w:before="0" w:after="0" w:afterAutospacing="0" w:line="240" w:lineRule="auto"/>
        <w:rPr>
          <w:rFonts w:ascii="Times New Roman" w:hAnsi="Times New Roman" w:cs="Times New Roman"/>
          <w:sz w:val="24"/>
          <w:szCs w:val="24"/>
        </w:rPr>
      </w:pPr>
      <w:r w:rsidRPr="009F1432">
        <w:rPr>
          <w:rFonts w:ascii="Times New Roman" w:hAnsi="Times New Roman" w:cs="Times New Roman"/>
          <w:sz w:val="24"/>
          <w:szCs w:val="24"/>
        </w:rPr>
        <w:t xml:space="preserve">Funds and securities will be sent to the customer's address of </w:t>
      </w:r>
      <w:r w:rsidR="00C04A4C" w:rsidRPr="009F1432">
        <w:rPr>
          <w:rFonts w:ascii="Times New Roman" w:hAnsi="Times New Roman" w:cs="Times New Roman"/>
          <w:sz w:val="24"/>
          <w:szCs w:val="24"/>
        </w:rPr>
        <w:t>record unless</w:t>
      </w:r>
      <w:r w:rsidRPr="009F1432">
        <w:rPr>
          <w:rFonts w:ascii="Times New Roman" w:hAnsi="Times New Roman" w:cs="Times New Roman"/>
          <w:sz w:val="24"/>
          <w:szCs w:val="24"/>
        </w:rPr>
        <w:t xml:space="preserve"> the</w:t>
      </w:r>
      <w:r w:rsidRPr="00AF20A5">
        <w:rPr>
          <w:rFonts w:ascii="Times New Roman" w:hAnsi="Times New Roman" w:cs="Times New Roman"/>
          <w:sz w:val="24"/>
          <w:szCs w:val="24"/>
        </w:rPr>
        <w:t xml:space="preserve"> customer provides </w:t>
      </w:r>
      <w:r w:rsidRPr="00AF20A5">
        <w:rPr>
          <w:rFonts w:ascii="Times New Roman" w:hAnsi="Times New Roman" w:cs="Times New Roman"/>
          <w:b/>
          <w:bCs/>
          <w:sz w:val="24"/>
          <w:szCs w:val="24"/>
        </w:rPr>
        <w:t>written</w:t>
      </w:r>
      <w:r w:rsidRPr="00AF20A5">
        <w:rPr>
          <w:rFonts w:ascii="Times New Roman" w:hAnsi="Times New Roman" w:cs="Times New Roman"/>
          <w:sz w:val="24"/>
          <w:szCs w:val="24"/>
        </w:rPr>
        <w:t xml:space="preserve"> authorization to use an alternative address.</w:t>
      </w:r>
    </w:p>
    <w:p w14:paraId="61FEAC91" w14:textId="77777777" w:rsidR="006D091A" w:rsidRDefault="00064526" w:rsidP="00C1728B">
      <w:pPr>
        <w:numPr>
          <w:ilvl w:val="0"/>
          <w:numId w:val="118"/>
        </w:numPr>
        <w:rPr>
          <w:sz w:val="24"/>
          <w:szCs w:val="24"/>
        </w:rPr>
      </w:pPr>
      <w:r w:rsidRPr="00AF20A5">
        <w:rPr>
          <w:sz w:val="24"/>
          <w:szCs w:val="24"/>
        </w:rPr>
        <w:t>Copies of LOAs are retained in Company’s records.</w:t>
      </w:r>
    </w:p>
    <w:p w14:paraId="022F2CFE" w14:textId="77777777" w:rsidR="009532B7" w:rsidRPr="00D949D0" w:rsidRDefault="005B60AB" w:rsidP="00C1728B">
      <w:pPr>
        <w:numPr>
          <w:ilvl w:val="0"/>
          <w:numId w:val="118"/>
        </w:numPr>
        <w:rPr>
          <w:sz w:val="24"/>
          <w:szCs w:val="24"/>
        </w:rPr>
      </w:pPr>
      <w:r>
        <w:rPr>
          <w:sz w:val="24"/>
          <w:szCs w:val="24"/>
        </w:rPr>
        <w:t>The customer will be cont</w:t>
      </w:r>
      <w:r w:rsidR="009532B7" w:rsidRPr="00D949D0">
        <w:rPr>
          <w:sz w:val="24"/>
          <w:szCs w:val="24"/>
        </w:rPr>
        <w:t>acted by phone, mail, or other means independent of the email account to verify the accuracy of the instructions.</w:t>
      </w:r>
    </w:p>
    <w:p w14:paraId="66DDB87B" w14:textId="77777777" w:rsidR="009532B7" w:rsidRPr="00D949D0" w:rsidRDefault="009532B7" w:rsidP="00C1728B">
      <w:pPr>
        <w:numPr>
          <w:ilvl w:val="0"/>
          <w:numId w:val="118"/>
        </w:numPr>
        <w:rPr>
          <w:sz w:val="24"/>
          <w:szCs w:val="24"/>
        </w:rPr>
      </w:pPr>
      <w:r w:rsidRPr="00D949D0">
        <w:rPr>
          <w:sz w:val="24"/>
          <w:szCs w:val="24"/>
        </w:rPr>
        <w:t>The RR, assistant, or operations person receiving instructions should be aware of “red flags” (i.e. funds to be transferred to an unfamiliar third party, particularly in a foreign country, transfers that appear to be out of the ordinary for the customer, and requests that indicate urgency or otherwise appear designed to deter verification of transfer instructions).</w:t>
      </w:r>
    </w:p>
    <w:p w14:paraId="62FB26F8" w14:textId="77777777" w:rsidR="00CC76FA" w:rsidRPr="00D949D0" w:rsidRDefault="00CC76FA" w:rsidP="00C1728B">
      <w:pPr>
        <w:numPr>
          <w:ilvl w:val="0"/>
          <w:numId w:val="118"/>
        </w:numPr>
        <w:rPr>
          <w:sz w:val="24"/>
          <w:szCs w:val="24"/>
        </w:rPr>
      </w:pPr>
      <w:r w:rsidRPr="00D949D0">
        <w:rPr>
          <w:sz w:val="24"/>
          <w:szCs w:val="24"/>
        </w:rPr>
        <w:t xml:space="preserve">If Company processes any transactions through its clearing firm, the clearing firm will have its own procedures to prevent unauthorized </w:t>
      </w:r>
      <w:r w:rsidR="00F54397" w:rsidRPr="00D949D0">
        <w:rPr>
          <w:sz w:val="24"/>
          <w:szCs w:val="24"/>
        </w:rPr>
        <w:t>third-party</w:t>
      </w:r>
      <w:r w:rsidRPr="00D949D0">
        <w:rPr>
          <w:sz w:val="24"/>
          <w:szCs w:val="24"/>
        </w:rPr>
        <w:t xml:space="preserve"> transmittals.</w:t>
      </w:r>
    </w:p>
    <w:p w14:paraId="5812D23B" w14:textId="77777777" w:rsidR="004C64F1" w:rsidRPr="00517FCF" w:rsidRDefault="004C64F1" w:rsidP="00C1728B">
      <w:pPr>
        <w:numPr>
          <w:ilvl w:val="0"/>
          <w:numId w:val="118"/>
        </w:numPr>
        <w:rPr>
          <w:sz w:val="24"/>
          <w:szCs w:val="24"/>
        </w:rPr>
      </w:pPr>
      <w:r w:rsidRPr="00517FCF">
        <w:rPr>
          <w:sz w:val="24"/>
          <w:szCs w:val="24"/>
        </w:rPr>
        <w:t>Any request to pick up funds in person must present a pictu</w:t>
      </w:r>
      <w:r w:rsidR="00707BF6" w:rsidRPr="00517FCF">
        <w:rPr>
          <w:sz w:val="24"/>
          <w:szCs w:val="24"/>
        </w:rPr>
        <w:t>re ID if their identif</w:t>
      </w:r>
      <w:r w:rsidR="00F50C5E" w:rsidRPr="00517FCF">
        <w:rPr>
          <w:sz w:val="24"/>
          <w:szCs w:val="24"/>
        </w:rPr>
        <w:t>ication is unknown to personnel and noted on the Company copy of said disbursement.</w:t>
      </w:r>
    </w:p>
    <w:p w14:paraId="65180EFA" w14:textId="77777777" w:rsidR="004C64F1" w:rsidRDefault="00C52D69" w:rsidP="00C1728B">
      <w:pPr>
        <w:numPr>
          <w:ilvl w:val="0"/>
          <w:numId w:val="118"/>
        </w:numPr>
        <w:rPr>
          <w:sz w:val="24"/>
          <w:szCs w:val="24"/>
        </w:rPr>
      </w:pPr>
      <w:r w:rsidRPr="006D5CDF">
        <w:rPr>
          <w:sz w:val="24"/>
          <w:szCs w:val="24"/>
        </w:rPr>
        <w:t>HTS</w:t>
      </w:r>
      <w:r w:rsidR="004E6DAF" w:rsidRPr="006D5CDF">
        <w:rPr>
          <w:sz w:val="24"/>
          <w:szCs w:val="24"/>
        </w:rPr>
        <w:t xml:space="preserve"> draft writing procedures are described above in this Section 5 to be followed or if </w:t>
      </w:r>
      <w:r w:rsidRPr="006D5CDF">
        <w:rPr>
          <w:sz w:val="24"/>
          <w:szCs w:val="24"/>
        </w:rPr>
        <w:t>HTS</w:t>
      </w:r>
      <w:r w:rsidR="004E6DAF" w:rsidRPr="006D5CDF">
        <w:rPr>
          <w:sz w:val="24"/>
          <w:szCs w:val="24"/>
        </w:rPr>
        <w:t xml:space="preserve"> </w:t>
      </w:r>
      <w:r w:rsidR="004E6DAF" w:rsidRPr="00517FCF">
        <w:rPr>
          <w:sz w:val="24"/>
          <w:szCs w:val="24"/>
        </w:rPr>
        <w:t>will issue the check, forward the request to the Cashiering or other applicable department promptly for processing.</w:t>
      </w:r>
    </w:p>
    <w:p w14:paraId="67037C16" w14:textId="77777777" w:rsidR="007F03E3" w:rsidRPr="00AF20A5" w:rsidRDefault="007F03E3" w:rsidP="00C1728B">
      <w:pPr>
        <w:numPr>
          <w:ilvl w:val="0"/>
          <w:numId w:val="118"/>
        </w:numPr>
        <w:rPr>
          <w:sz w:val="24"/>
          <w:szCs w:val="24"/>
        </w:rPr>
      </w:pPr>
      <w:r w:rsidRPr="00AF20A5">
        <w:rPr>
          <w:sz w:val="24"/>
          <w:szCs w:val="24"/>
        </w:rPr>
        <w:t>Suspicious or questionable activity must be brought to the attention of Morris Monroe or Laura Hendricks to determine whether a Suspicious Activity Report must be filed.</w:t>
      </w:r>
      <w:r w:rsidR="00AE2364" w:rsidRPr="00AF20A5">
        <w:rPr>
          <w:sz w:val="24"/>
          <w:szCs w:val="24"/>
        </w:rPr>
        <w:t xml:space="preserve">  Such activities may include transfers without required authorizations, a pattern or transfers that have no reasonable business basis, or any other activity the employee considers suspicious.</w:t>
      </w:r>
    </w:p>
    <w:p w14:paraId="0BBC4E15" w14:textId="77777777" w:rsidR="00C1715D" w:rsidRDefault="00C1715D" w:rsidP="00C1715D">
      <w:pPr>
        <w:rPr>
          <w:rFonts w:ascii="Tahoma" w:hAnsi="Tahoma" w:cs="Tahoma"/>
          <w:spacing w:val="8"/>
          <w:sz w:val="18"/>
          <w:szCs w:val="18"/>
        </w:rPr>
      </w:pPr>
    </w:p>
    <w:p w14:paraId="520C394B" w14:textId="77777777" w:rsidR="00AE2364" w:rsidRDefault="00AE2364" w:rsidP="00C1715D"/>
    <w:p w14:paraId="39FEDEE5" w14:textId="77777777" w:rsidR="00C1715D" w:rsidRDefault="00C1715D" w:rsidP="00936FEE">
      <w:pPr>
        <w:pStyle w:val="Heading2"/>
      </w:pPr>
      <w:bookmarkStart w:id="90" w:name="_5.24_STAMP_Signature"/>
      <w:bookmarkEnd w:id="90"/>
      <w:r>
        <w:t>5.2</w:t>
      </w:r>
      <w:r w:rsidR="00816F56">
        <w:t>4</w:t>
      </w:r>
      <w:r w:rsidR="00AF20A5">
        <w:t xml:space="preserve"> </w:t>
      </w:r>
      <w:r>
        <w:t>STAMP Signature Guarantees</w:t>
      </w:r>
    </w:p>
    <w:p w14:paraId="01B9B935" w14:textId="77777777" w:rsidR="00C1715D" w:rsidRDefault="00C1715D" w:rsidP="00C1715D">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The following procedures have been adopted to process requests for signature guarantees and to safeguard the equipment:</w:t>
      </w:r>
    </w:p>
    <w:p w14:paraId="4D02DAB4" w14:textId="77777777" w:rsidR="00C1715D" w:rsidRDefault="00C1715D" w:rsidP="00C1715D">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hanging="720"/>
        <w:jc w:val="both"/>
        <w:rPr>
          <w:sz w:val="24"/>
        </w:rPr>
      </w:pPr>
      <w:r>
        <w:rPr>
          <w:sz w:val="24"/>
        </w:rPr>
        <w:tab/>
      </w:r>
    </w:p>
    <w:p w14:paraId="018D0AEE" w14:textId="77777777" w:rsidR="00E375F9" w:rsidRDefault="00C1715D" w:rsidP="00C1728B">
      <w:pPr>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When not in use, equipment must be locked in a drawer or cabinet at all times.  Only employees of the Company may act as signatories.  Only authorized personnel may maintain the key</w:t>
      </w:r>
      <w:r w:rsidR="00E375F9">
        <w:rPr>
          <w:sz w:val="24"/>
        </w:rPr>
        <w:t>:</w:t>
      </w:r>
    </w:p>
    <w:p w14:paraId="1AE90748" w14:textId="2EE79A91" w:rsidR="00C1715D" w:rsidRDefault="00604740" w:rsidP="00E375F9">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r>
        <w:rPr>
          <w:sz w:val="24"/>
        </w:rPr>
        <w:t xml:space="preserve">Morris Monroe, </w:t>
      </w:r>
      <w:r w:rsidR="00C1715D">
        <w:rPr>
          <w:sz w:val="24"/>
        </w:rPr>
        <w:t>Laura Hendricks</w:t>
      </w:r>
      <w:r w:rsidR="00C1715D" w:rsidRPr="008B4FFD">
        <w:rPr>
          <w:sz w:val="24"/>
        </w:rPr>
        <w:t xml:space="preserve">, </w:t>
      </w:r>
      <w:r w:rsidR="00CE0FC7">
        <w:rPr>
          <w:sz w:val="24"/>
        </w:rPr>
        <w:t xml:space="preserve">and </w:t>
      </w:r>
      <w:r w:rsidRPr="008B4FFD">
        <w:rPr>
          <w:sz w:val="24"/>
        </w:rPr>
        <w:t xml:space="preserve">all </w:t>
      </w:r>
      <w:r w:rsidR="00A05BDE" w:rsidRPr="008B4FFD">
        <w:rPr>
          <w:sz w:val="24"/>
        </w:rPr>
        <w:t xml:space="preserve">home office </w:t>
      </w:r>
      <w:r w:rsidR="005C6350" w:rsidRPr="008B4FFD">
        <w:rPr>
          <w:sz w:val="24"/>
        </w:rPr>
        <w:t>back-office</w:t>
      </w:r>
      <w:r w:rsidRPr="008B4FFD">
        <w:rPr>
          <w:sz w:val="24"/>
        </w:rPr>
        <w:t xml:space="preserve"> personnel</w:t>
      </w:r>
      <w:r w:rsidR="00A05BDE" w:rsidRPr="008B4FFD">
        <w:rPr>
          <w:sz w:val="24"/>
        </w:rPr>
        <w:t xml:space="preserve"> who have conducted training and certification</w:t>
      </w:r>
      <w:r w:rsidR="00C1715D">
        <w:rPr>
          <w:sz w:val="24"/>
        </w:rPr>
        <w:t>.</w:t>
      </w:r>
    </w:p>
    <w:p w14:paraId="78C91F2F" w14:textId="77777777" w:rsidR="00C1715D" w:rsidRDefault="00C1715D" w:rsidP="00C1728B">
      <w:pPr>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The endorser(s) MUST be a customer, have a continuing relationship with Company or is entering a relationship with Company.  Every diligent effort must be made to ensure the person </w:t>
      </w:r>
      <w:r w:rsidR="005C6350">
        <w:rPr>
          <w:sz w:val="24"/>
        </w:rPr>
        <w:t>whose</w:t>
      </w:r>
      <w:r>
        <w:rPr>
          <w:sz w:val="24"/>
        </w:rPr>
        <w:t xml:space="preserve"> signature is being guaranteed is authentic (request photo ID), </w:t>
      </w:r>
      <w:r>
        <w:rPr>
          <w:sz w:val="24"/>
        </w:rPr>
        <w:lastRenderedPageBreak/>
        <w:t>has the authority to endorse, is of majority age and in control of their affairs.  Endorser(s) should be in your presence.</w:t>
      </w:r>
    </w:p>
    <w:p w14:paraId="56BE4519" w14:textId="77777777" w:rsidR="00C1715D" w:rsidRDefault="00C1715D" w:rsidP="00C1728B">
      <w:pPr>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Only transactions or securities whose value does not</w:t>
      </w:r>
      <w:r w:rsidR="00194C80">
        <w:rPr>
          <w:sz w:val="24"/>
        </w:rPr>
        <w:t xml:space="preserve"> exceed $</w:t>
      </w:r>
      <w:r w:rsidR="000555E6" w:rsidRPr="00AD760F">
        <w:rPr>
          <w:sz w:val="24"/>
        </w:rPr>
        <w:t>25</w:t>
      </w:r>
      <w:r w:rsidR="00194C80" w:rsidRPr="00AD760F">
        <w:rPr>
          <w:sz w:val="24"/>
        </w:rPr>
        <w:t>0,</w:t>
      </w:r>
      <w:r w:rsidR="00194C80">
        <w:rPr>
          <w:sz w:val="24"/>
        </w:rPr>
        <w:t xml:space="preserve">000 are authorized </w:t>
      </w:r>
      <w:r>
        <w:rPr>
          <w:sz w:val="24"/>
        </w:rPr>
        <w:t>for guarantee.</w:t>
      </w:r>
    </w:p>
    <w:p w14:paraId="5C6DAB6B" w14:textId="77777777" w:rsidR="00C1715D" w:rsidRDefault="00C1715D" w:rsidP="00C1728B">
      <w:pPr>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Record transaction imprint in the GUARANTEE CONTROL LOG.</w:t>
      </w:r>
    </w:p>
    <w:p w14:paraId="765611D1" w14:textId="77777777" w:rsidR="00C1715D" w:rsidRDefault="00C1715D" w:rsidP="00C1728B">
      <w:pPr>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Never re-ink a pad – reorder new pads from Company Home office.</w:t>
      </w:r>
    </w:p>
    <w:p w14:paraId="5EF678FB" w14:textId="77777777" w:rsidR="00C1715D" w:rsidRDefault="00C1715D" w:rsidP="00C1728B">
      <w:pPr>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Notify Morris Monroe or Laura Hendricks if any equipment is lost or stolen.</w:t>
      </w:r>
    </w:p>
    <w:p w14:paraId="308C3157" w14:textId="1F6C0C27" w:rsidR="005E1D28" w:rsidRPr="005E1D28" w:rsidRDefault="005E1D28" w:rsidP="00C1728B">
      <w:pPr>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color w:val="FF0000"/>
          <w:sz w:val="24"/>
        </w:rPr>
      </w:pPr>
      <w:r w:rsidRPr="008B4FFD">
        <w:rPr>
          <w:sz w:val="24"/>
        </w:rPr>
        <w:t xml:space="preserve">Ensure any new </w:t>
      </w:r>
      <w:r w:rsidR="00EB3EED" w:rsidRPr="008B4FFD">
        <w:rPr>
          <w:sz w:val="24"/>
        </w:rPr>
        <w:t>back-office</w:t>
      </w:r>
      <w:r w:rsidRPr="008B4FFD">
        <w:rPr>
          <w:sz w:val="24"/>
        </w:rPr>
        <w:t xml:space="preserve"> personnel are trained on the use of the equipment.  Such training will be conducted by Compliance or senior back office personnel on Company procedures and new employees will be required to complete the Kemark Financial training at</w:t>
      </w:r>
      <w:r>
        <w:rPr>
          <w:color w:val="FF0000"/>
          <w:sz w:val="24"/>
        </w:rPr>
        <w:t xml:space="preserve"> </w:t>
      </w:r>
      <w:hyperlink r:id="rId13" w:history="1">
        <w:r w:rsidRPr="008B4FFD">
          <w:rPr>
            <w:rStyle w:val="Hyperlink"/>
            <w:sz w:val="24"/>
          </w:rPr>
          <w:t>www.STAMPesource.com</w:t>
        </w:r>
      </w:hyperlink>
      <w:r w:rsidRPr="008B4FFD">
        <w:rPr>
          <w:sz w:val="24"/>
        </w:rPr>
        <w:t>.</w:t>
      </w:r>
    </w:p>
    <w:p w14:paraId="0D4DAFA0" w14:textId="77777777" w:rsidR="007941A5" w:rsidRPr="008B4FFD" w:rsidRDefault="007941A5" w:rsidP="00C1728B">
      <w:pPr>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sidRPr="008B4FFD">
        <w:rPr>
          <w:sz w:val="24"/>
        </w:rPr>
        <w:t xml:space="preserve">Company will maintain an inventory of active and inactive or destroyed equipment and review at least annually. </w:t>
      </w:r>
    </w:p>
    <w:p w14:paraId="78573881" w14:textId="77777777" w:rsidR="001438CF" w:rsidRPr="008B4FFD" w:rsidRDefault="001438CF" w:rsidP="00C1728B">
      <w:pPr>
        <w:numPr>
          <w:ilvl w:val="0"/>
          <w:numId w:val="4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sidRPr="008B4FFD">
        <w:rPr>
          <w:sz w:val="24"/>
        </w:rPr>
        <w:t xml:space="preserve">Company shall pay the annual premium for the Surety Bond </w:t>
      </w:r>
      <w:r w:rsidR="005E1D28" w:rsidRPr="008B4FFD">
        <w:rPr>
          <w:sz w:val="24"/>
        </w:rPr>
        <w:t>required by the administrator of the STAMP program</w:t>
      </w:r>
      <w:r w:rsidRPr="008B4FFD">
        <w:rPr>
          <w:sz w:val="24"/>
        </w:rPr>
        <w:t>.</w:t>
      </w:r>
    </w:p>
    <w:p w14:paraId="451FB396" w14:textId="77777777" w:rsidR="00C1715D" w:rsidRPr="008B4FFD" w:rsidRDefault="00C1715D" w:rsidP="00722EB3">
      <w:pPr>
        <w:tabs>
          <w:tab w:val="left" w:pos="1080"/>
        </w:tabs>
      </w:pPr>
    </w:p>
    <w:p w14:paraId="6C394BBE" w14:textId="77777777" w:rsidR="00194C80" w:rsidRDefault="00194C80" w:rsidP="00D21818"/>
    <w:p w14:paraId="6D1BB873" w14:textId="77777777" w:rsidR="007C6877" w:rsidRPr="0056219E" w:rsidRDefault="00E43F16" w:rsidP="00936FEE">
      <w:pPr>
        <w:pStyle w:val="Heading2"/>
      </w:pPr>
      <w:r>
        <w:t>5.2</w:t>
      </w:r>
      <w:r w:rsidR="00816F56">
        <w:t>5</w:t>
      </w:r>
      <w:r>
        <w:t xml:space="preserve"> </w:t>
      </w:r>
      <w:r w:rsidR="007C6877" w:rsidRPr="0056219E">
        <w:t>Senior Investor Guidelines</w:t>
      </w:r>
    </w:p>
    <w:p w14:paraId="5B7FFA81" w14:textId="464988DF" w:rsidR="007C6877" w:rsidRDefault="007C6877" w:rsidP="007C6877">
      <w:pPr>
        <w:jc w:val="both"/>
        <w:rPr>
          <w:sz w:val="24"/>
        </w:rPr>
      </w:pPr>
      <w:r w:rsidRPr="00126568">
        <w:rPr>
          <w:sz w:val="24"/>
        </w:rPr>
        <w:t xml:space="preserve">In order to address one of the most significant trends in our business – the aging of the population and, consequently, the growing number of </w:t>
      </w:r>
      <w:r w:rsidR="009923B8">
        <w:rPr>
          <w:sz w:val="24"/>
        </w:rPr>
        <w:t>Company’s</w:t>
      </w:r>
      <w:r w:rsidRPr="00126568">
        <w:rPr>
          <w:sz w:val="24"/>
        </w:rPr>
        <w:t xml:space="preserve"> clients who are at or near retirement age, the following guidelines</w:t>
      </w:r>
      <w:r w:rsidR="009923B8">
        <w:rPr>
          <w:sz w:val="24"/>
        </w:rPr>
        <w:t xml:space="preserve"> have been adopted</w:t>
      </w:r>
      <w:r w:rsidRPr="00126568">
        <w:rPr>
          <w:sz w:val="24"/>
        </w:rPr>
        <w:t xml:space="preserve"> when dealing with senior investors</w:t>
      </w:r>
      <w:r w:rsidR="008422D0">
        <w:rPr>
          <w:sz w:val="24"/>
        </w:rPr>
        <w:t>.</w:t>
      </w:r>
    </w:p>
    <w:p w14:paraId="0E14B805" w14:textId="4BE44599" w:rsidR="008422D0" w:rsidRDefault="008422D0" w:rsidP="007C6877">
      <w:pPr>
        <w:jc w:val="both"/>
        <w:rPr>
          <w:sz w:val="24"/>
        </w:rPr>
      </w:pPr>
    </w:p>
    <w:p w14:paraId="581DB15C" w14:textId="56A078D1" w:rsidR="008422D0" w:rsidRPr="008D32FC" w:rsidRDefault="008422D0" w:rsidP="002F4E9E">
      <w:pPr>
        <w:pBdr>
          <w:top w:val="single" w:sz="4" w:space="1" w:color="auto"/>
          <w:left w:val="single" w:sz="4" w:space="4" w:color="auto"/>
          <w:bottom w:val="single" w:sz="4" w:space="1" w:color="auto"/>
          <w:right w:val="single" w:sz="4" w:space="4" w:color="auto"/>
        </w:pBdr>
        <w:rPr>
          <w:color w:val="FF0000"/>
          <w:szCs w:val="16"/>
        </w:rPr>
      </w:pPr>
      <w:r w:rsidRPr="008D32FC">
        <w:rPr>
          <w:i/>
          <w:iCs/>
          <w:color w:val="FF0000"/>
          <w:sz w:val="22"/>
          <w:szCs w:val="18"/>
        </w:rPr>
        <w:t>Resources</w:t>
      </w:r>
      <w:r w:rsidRPr="008D32FC">
        <w:rPr>
          <w:i/>
          <w:iCs/>
          <w:color w:val="FF0000"/>
          <w:sz w:val="24"/>
        </w:rPr>
        <w:t xml:space="preserve">: </w:t>
      </w:r>
      <w:r w:rsidRPr="008D32FC">
        <w:rPr>
          <w:color w:val="FF0000"/>
          <w:szCs w:val="16"/>
        </w:rPr>
        <w:t>SEC/NASA 2008 report on Protecting Senior Investors:</w:t>
      </w:r>
    </w:p>
    <w:p w14:paraId="0F4ED7C0" w14:textId="0EE00232" w:rsidR="008422D0" w:rsidRPr="008D32FC" w:rsidRDefault="00D6319C" w:rsidP="002F4E9E">
      <w:pPr>
        <w:pBdr>
          <w:top w:val="single" w:sz="4" w:space="1" w:color="auto"/>
          <w:left w:val="single" w:sz="4" w:space="4" w:color="auto"/>
          <w:bottom w:val="single" w:sz="4" w:space="1" w:color="auto"/>
          <w:right w:val="single" w:sz="4" w:space="4" w:color="auto"/>
        </w:pBdr>
        <w:rPr>
          <w:i/>
          <w:iCs/>
          <w:color w:val="FF0000"/>
        </w:rPr>
      </w:pPr>
      <w:hyperlink r:id="rId14" w:history="1">
        <w:r w:rsidR="002F4E9E" w:rsidRPr="008D32FC">
          <w:rPr>
            <w:rStyle w:val="Hyperlink"/>
            <w:color w:val="FF0000"/>
            <w:spacing w:val="8"/>
            <w:shd w:val="clear" w:color="auto" w:fill="FFFFFF"/>
          </w:rPr>
          <w:t>http://www.sec.gov/spotlight/seniors/seniorspracticesreport092208.pdf</w:t>
        </w:r>
      </w:hyperlink>
      <w:r w:rsidR="008422D0" w:rsidRPr="008D32FC">
        <w:rPr>
          <w:color w:val="FF0000"/>
          <w:spacing w:val="8"/>
          <w:shd w:val="clear" w:color="auto" w:fill="FFFFFF"/>
        </w:rPr>
        <w:t xml:space="preserve">; </w:t>
      </w:r>
      <w:r w:rsidR="002F4E9E" w:rsidRPr="008D32FC">
        <w:rPr>
          <w:color w:val="FF0000"/>
          <w:spacing w:val="8"/>
          <w:shd w:val="clear" w:color="auto" w:fill="FFFFFF"/>
        </w:rPr>
        <w:t xml:space="preserve">2010 addendum to 2008 report: </w:t>
      </w:r>
      <w:r w:rsidR="008422D0" w:rsidRPr="008D32FC">
        <w:rPr>
          <w:color w:val="FF0000"/>
          <w:spacing w:val="8"/>
          <w:shd w:val="clear" w:color="auto" w:fill="FFFFFF"/>
        </w:rPr>
        <w:t>report: </w:t>
      </w:r>
      <w:hyperlink r:id="rId15" w:tgtFrame="_blank" w:history="1">
        <w:r w:rsidR="008422D0" w:rsidRPr="008D32FC">
          <w:rPr>
            <w:rStyle w:val="Hyperlink"/>
            <w:color w:val="FF0000"/>
            <w:spacing w:val="8"/>
            <w:shd w:val="clear" w:color="auto" w:fill="FFFFFF"/>
          </w:rPr>
          <w:t>http://www.sec.gov/spotlight/seniors/seniorspracticesreport081210.pdf</w:t>
        </w:r>
      </w:hyperlink>
      <w:r w:rsidR="008422D0" w:rsidRPr="008D32FC">
        <w:rPr>
          <w:color w:val="FF0000"/>
          <w:spacing w:val="8"/>
          <w:shd w:val="clear" w:color="auto" w:fill="FFFFFF"/>
        </w:rPr>
        <w:t>; SEC web site Senior Investors: </w:t>
      </w:r>
      <w:hyperlink r:id="rId16" w:tgtFrame="_blank" w:history="1">
        <w:r w:rsidR="008422D0" w:rsidRPr="008D32FC">
          <w:rPr>
            <w:rStyle w:val="Hyperlink"/>
            <w:color w:val="FF0000"/>
            <w:spacing w:val="8"/>
            <w:shd w:val="clear" w:color="auto" w:fill="FFFFFF"/>
          </w:rPr>
          <w:t>http://www.sec.gov/divisions/marketreg/seniorinvestors.htm</w:t>
        </w:r>
      </w:hyperlink>
      <w:r w:rsidR="008422D0" w:rsidRPr="008D32FC">
        <w:rPr>
          <w:color w:val="FF0000"/>
          <w:spacing w:val="8"/>
          <w:shd w:val="clear" w:color="auto" w:fill="FFFFFF"/>
        </w:rPr>
        <w:t>; FINRA Rule 2165 and 4512; FINRA Regulatory Notice 22-05, 17-11, 11-52 and 07-43; FINRA FAQs re financial exploitation of seniors: </w:t>
      </w:r>
      <w:hyperlink r:id="rId17" w:tgtFrame="_blank" w:history="1">
        <w:r w:rsidR="008422D0" w:rsidRPr="008D32FC">
          <w:rPr>
            <w:rStyle w:val="Hyperlink"/>
            <w:color w:val="FF0000"/>
            <w:spacing w:val="8"/>
            <w:shd w:val="clear" w:color="auto" w:fill="FFFFFF"/>
          </w:rPr>
          <w:t>http://www.finra.org/industry/frequently-asked-questions-regarding-finra-rules-relating-financial-exploitation-seniors</w:t>
        </w:r>
      </w:hyperlink>
      <w:r w:rsidR="008422D0" w:rsidRPr="008D32FC">
        <w:rPr>
          <w:color w:val="FF0000"/>
          <w:spacing w:val="8"/>
          <w:shd w:val="clear" w:color="auto" w:fill="FFFFFF"/>
        </w:rPr>
        <w:t>; Senior Safe Act: Sec. 303 of Economic Growth, Regulatory Relief and Consumer Protection Act; NASAA/SEC/FINRA Senior Safe Act Fact Sheet: </w:t>
      </w:r>
      <w:hyperlink r:id="rId18" w:tgtFrame="_blank" w:history="1">
        <w:r w:rsidR="008422D0" w:rsidRPr="008D32FC">
          <w:rPr>
            <w:rStyle w:val="Hyperlink"/>
            <w:color w:val="FF0000"/>
            <w:spacing w:val="8"/>
            <w:shd w:val="clear" w:color="auto" w:fill="FFFFFF"/>
          </w:rPr>
          <w:t>http://www.nasaa.org/wp-content/uploads/2019/05/Senior-Safe-Act-Fact-Sheet.pdf</w:t>
        </w:r>
      </w:hyperlink>
      <w:r w:rsidR="008422D0" w:rsidRPr="008D32FC">
        <w:rPr>
          <w:color w:val="FF0000"/>
          <w:spacing w:val="8"/>
          <w:shd w:val="clear" w:color="auto" w:fill="FFFFFF"/>
        </w:rPr>
        <w:t>]</w:t>
      </w:r>
    </w:p>
    <w:p w14:paraId="57BA01E6" w14:textId="77777777" w:rsidR="007C6877" w:rsidRDefault="007C6877" w:rsidP="007C6877">
      <w:pPr>
        <w:jc w:val="both"/>
        <w:rPr>
          <w:sz w:val="24"/>
        </w:rPr>
      </w:pPr>
    </w:p>
    <w:p w14:paraId="15E7C8FF" w14:textId="77777777" w:rsidR="00C23199" w:rsidRDefault="00C23199" w:rsidP="001A7509">
      <w:pPr>
        <w:pStyle w:val="Heading3"/>
      </w:pPr>
      <w:r>
        <w:t>5</w:t>
      </w:r>
      <w:r w:rsidR="0000553E">
        <w:t>.</w:t>
      </w:r>
      <w:r>
        <w:t>2</w:t>
      </w:r>
      <w:r w:rsidR="00816F56">
        <w:t>5</w:t>
      </w:r>
      <w:r w:rsidR="0000553E">
        <w:t xml:space="preserve">.1 </w:t>
      </w:r>
      <w:r w:rsidR="007C6877" w:rsidRPr="00EF3CE5">
        <w:t>S</w:t>
      </w:r>
      <w:r w:rsidR="00EF3CE5" w:rsidRPr="00EF3CE5">
        <w:t>uitability</w:t>
      </w:r>
      <w:r w:rsidR="007C6877" w:rsidRPr="00126568">
        <w:t xml:space="preserve"> </w:t>
      </w:r>
    </w:p>
    <w:p w14:paraId="78169C73" w14:textId="77777777" w:rsidR="007C6877" w:rsidRPr="00126568" w:rsidRDefault="00C23199" w:rsidP="001A7509">
      <w:pPr>
        <w:ind w:left="270"/>
        <w:jc w:val="both"/>
        <w:rPr>
          <w:sz w:val="24"/>
        </w:rPr>
      </w:pPr>
      <w:r>
        <w:rPr>
          <w:sz w:val="24"/>
        </w:rPr>
        <w:t>I</w:t>
      </w:r>
      <w:r w:rsidR="007C6877" w:rsidRPr="00126568">
        <w:rPr>
          <w:sz w:val="24"/>
        </w:rPr>
        <w:t>n addition to the standard suitability review for all accounts, additional attention should be focused on the following:</w:t>
      </w:r>
    </w:p>
    <w:p w14:paraId="167CE25D" w14:textId="77777777" w:rsidR="007C6877" w:rsidRPr="00126568" w:rsidRDefault="007C6877" w:rsidP="007C6877">
      <w:pPr>
        <w:ind w:left="1080"/>
        <w:jc w:val="both"/>
        <w:rPr>
          <w:b/>
          <w:sz w:val="24"/>
        </w:rPr>
      </w:pPr>
    </w:p>
    <w:p w14:paraId="5004C38E" w14:textId="77777777" w:rsidR="007C6877" w:rsidRPr="00126568" w:rsidRDefault="007C6877" w:rsidP="007C6877">
      <w:pPr>
        <w:ind w:left="1080"/>
        <w:jc w:val="both"/>
        <w:rPr>
          <w:sz w:val="24"/>
        </w:rPr>
      </w:pPr>
      <w:r w:rsidRPr="00126568">
        <w:rPr>
          <w:b/>
          <w:bCs/>
          <w:sz w:val="24"/>
          <w:u w:val="single"/>
        </w:rPr>
        <w:t>Investment time horizon</w:t>
      </w:r>
      <w:r w:rsidR="00062A0A">
        <w:rPr>
          <w:bCs/>
          <w:sz w:val="24"/>
        </w:rPr>
        <w:t>:</w:t>
      </w:r>
      <w:r w:rsidRPr="00126568">
        <w:rPr>
          <w:sz w:val="24"/>
        </w:rPr>
        <w:t xml:space="preserve"> Older clients may have a shorter investment time horizon than younger clients. This fact may affect the client’s ability to handle risk.  When a senior client incurs investment losses, he or she may not have sufficient time to recoup those losses in the market.  At the same time, the American population is living longer.  A senior investor’s portfolio may need to fund a retirement that lasts for decades. </w:t>
      </w:r>
    </w:p>
    <w:p w14:paraId="61CEFA26" w14:textId="77777777" w:rsidR="007C6877" w:rsidRPr="00126568" w:rsidRDefault="007C6877" w:rsidP="007C6877">
      <w:pPr>
        <w:ind w:left="1080"/>
        <w:jc w:val="both"/>
        <w:rPr>
          <w:sz w:val="24"/>
        </w:rPr>
      </w:pPr>
    </w:p>
    <w:p w14:paraId="5C5F5C4B" w14:textId="77777777" w:rsidR="007C6877" w:rsidRPr="00126568" w:rsidRDefault="007C6877" w:rsidP="007C6877">
      <w:pPr>
        <w:ind w:left="1080"/>
        <w:jc w:val="both"/>
        <w:rPr>
          <w:sz w:val="24"/>
        </w:rPr>
      </w:pPr>
      <w:r w:rsidRPr="00126568">
        <w:rPr>
          <w:b/>
          <w:bCs/>
          <w:sz w:val="24"/>
          <w:u w:val="single"/>
        </w:rPr>
        <w:t>Changes in investment objectives</w:t>
      </w:r>
      <w:r w:rsidR="00062A0A">
        <w:rPr>
          <w:bCs/>
          <w:sz w:val="24"/>
        </w:rPr>
        <w:t>:</w:t>
      </w:r>
      <w:r w:rsidRPr="00126568">
        <w:rPr>
          <w:sz w:val="24"/>
        </w:rPr>
        <w:t xml:space="preserve"> As clients retire, they often move from an “accumulation” mode into a “distribution” mode.  Therefore, growth may be less important than a reliable income for many older investors.</w:t>
      </w:r>
    </w:p>
    <w:p w14:paraId="516496F1" w14:textId="77777777" w:rsidR="007C6877" w:rsidRPr="00126568" w:rsidRDefault="007C6877" w:rsidP="007C6877">
      <w:pPr>
        <w:ind w:left="1080"/>
        <w:jc w:val="both"/>
        <w:rPr>
          <w:sz w:val="24"/>
        </w:rPr>
      </w:pPr>
    </w:p>
    <w:p w14:paraId="1AFF7265" w14:textId="77777777" w:rsidR="007C6877" w:rsidRPr="00126568" w:rsidRDefault="007C6877" w:rsidP="007C6877">
      <w:pPr>
        <w:ind w:left="1080"/>
        <w:jc w:val="both"/>
        <w:rPr>
          <w:sz w:val="24"/>
        </w:rPr>
      </w:pPr>
      <w:r w:rsidRPr="00126568">
        <w:rPr>
          <w:b/>
          <w:bCs/>
          <w:sz w:val="24"/>
          <w:u w:val="single"/>
        </w:rPr>
        <w:t>Liquidity needs</w:t>
      </w:r>
      <w:r w:rsidR="00062A0A">
        <w:rPr>
          <w:bCs/>
          <w:sz w:val="24"/>
        </w:rPr>
        <w:t>:</w:t>
      </w:r>
      <w:r w:rsidRPr="00126568">
        <w:rPr>
          <w:sz w:val="24"/>
        </w:rPr>
        <w:t xml:space="preserve"> Older clients may incur substantial expenses, particularly related to health care costs.  These expenses may arise unexpectedly, so it is important for clients to have sufficient liquidity to meet both foreseeable and unforeseeable needs.</w:t>
      </w:r>
    </w:p>
    <w:p w14:paraId="54D4542C" w14:textId="77777777" w:rsidR="007C6877" w:rsidRPr="00126568" w:rsidRDefault="007C6877" w:rsidP="007C6877">
      <w:pPr>
        <w:ind w:left="1080"/>
        <w:jc w:val="both"/>
        <w:rPr>
          <w:sz w:val="24"/>
        </w:rPr>
      </w:pPr>
    </w:p>
    <w:p w14:paraId="70AE00C3" w14:textId="77777777" w:rsidR="007C6877" w:rsidRPr="00126568" w:rsidRDefault="007C6877" w:rsidP="007C6877">
      <w:pPr>
        <w:ind w:left="1080"/>
        <w:jc w:val="both"/>
        <w:rPr>
          <w:sz w:val="24"/>
        </w:rPr>
      </w:pPr>
      <w:r w:rsidRPr="00126568">
        <w:rPr>
          <w:b/>
          <w:bCs/>
          <w:sz w:val="24"/>
          <w:u w:val="single"/>
        </w:rPr>
        <w:t>Possible changes in tax status</w:t>
      </w:r>
      <w:r w:rsidR="00062A0A">
        <w:rPr>
          <w:bCs/>
          <w:sz w:val="24"/>
        </w:rPr>
        <w:t>:</w:t>
      </w:r>
      <w:r w:rsidRPr="00126568">
        <w:rPr>
          <w:sz w:val="24"/>
        </w:rPr>
        <w:t xml:space="preserve"> As clients retire, their tax status may change.  Although it is the client’s responsibility to consult his or her tax professional, </w:t>
      </w:r>
      <w:r w:rsidRPr="00126568">
        <w:rPr>
          <w:sz w:val="24"/>
        </w:rPr>
        <w:lastRenderedPageBreak/>
        <w:t>Associated Persons should be sensitive to tax considerations when making recommendations to older clients.</w:t>
      </w:r>
    </w:p>
    <w:p w14:paraId="5E601E71" w14:textId="77777777" w:rsidR="007C6877" w:rsidRPr="00126568" w:rsidRDefault="007C6877" w:rsidP="007C6877">
      <w:pPr>
        <w:ind w:left="1080"/>
        <w:jc w:val="both"/>
        <w:rPr>
          <w:sz w:val="24"/>
        </w:rPr>
      </w:pPr>
    </w:p>
    <w:p w14:paraId="287CBA95" w14:textId="77777777" w:rsidR="007C6877" w:rsidRPr="00126568" w:rsidRDefault="007C6877" w:rsidP="007C6877">
      <w:pPr>
        <w:ind w:left="1080"/>
        <w:jc w:val="both"/>
        <w:rPr>
          <w:sz w:val="24"/>
        </w:rPr>
      </w:pPr>
      <w:r w:rsidRPr="00126568">
        <w:rPr>
          <w:b/>
          <w:bCs/>
          <w:sz w:val="24"/>
          <w:u w:val="single"/>
        </w:rPr>
        <w:t>Risk tolerance</w:t>
      </w:r>
      <w:r w:rsidR="00062A0A">
        <w:rPr>
          <w:bCs/>
          <w:sz w:val="24"/>
        </w:rPr>
        <w:t>:</w:t>
      </w:r>
      <w:r w:rsidRPr="00126568">
        <w:rPr>
          <w:sz w:val="24"/>
        </w:rPr>
        <w:t xml:space="preserve"> As client</w:t>
      </w:r>
      <w:r w:rsidR="00A11EFD">
        <w:rPr>
          <w:sz w:val="24"/>
        </w:rPr>
        <w:t>’</w:t>
      </w:r>
      <w:r w:rsidRPr="00126568">
        <w:rPr>
          <w:sz w:val="24"/>
        </w:rPr>
        <w:t>s age and income levels may decrease with retirement</w:t>
      </w:r>
      <w:r w:rsidR="001F4739" w:rsidRPr="00126568">
        <w:rPr>
          <w:sz w:val="24"/>
        </w:rPr>
        <w:t>, clients’</w:t>
      </w:r>
      <w:r w:rsidRPr="00126568">
        <w:rPr>
          <w:sz w:val="24"/>
        </w:rPr>
        <w:t xml:space="preserve"> appetite for assuming investment risks may decline as well. Associated Persons must take this into account and find investments that have a degree of </w:t>
      </w:r>
      <w:r w:rsidR="001F4739" w:rsidRPr="00126568">
        <w:rPr>
          <w:sz w:val="24"/>
        </w:rPr>
        <w:t>risk clients</w:t>
      </w:r>
      <w:r w:rsidRPr="00126568">
        <w:rPr>
          <w:sz w:val="24"/>
        </w:rPr>
        <w:t xml:space="preserve"> will be comfortable bearing. </w:t>
      </w:r>
    </w:p>
    <w:p w14:paraId="540E9E53" w14:textId="77777777" w:rsidR="007C6877" w:rsidRPr="00126568" w:rsidRDefault="007C6877" w:rsidP="007C6877">
      <w:pPr>
        <w:ind w:left="1080"/>
        <w:jc w:val="both"/>
        <w:rPr>
          <w:sz w:val="24"/>
        </w:rPr>
      </w:pPr>
    </w:p>
    <w:p w14:paraId="4FDCB8D5" w14:textId="77777777" w:rsidR="007C6877" w:rsidRPr="00126568" w:rsidRDefault="007C6877" w:rsidP="007C6877">
      <w:pPr>
        <w:ind w:left="1080"/>
        <w:jc w:val="both"/>
        <w:rPr>
          <w:sz w:val="24"/>
        </w:rPr>
      </w:pPr>
      <w:r w:rsidRPr="00126568">
        <w:rPr>
          <w:sz w:val="24"/>
        </w:rPr>
        <w:t>In addition, as part of knowing your customer, it is important to keep up-to-date information on the following factors as well:</w:t>
      </w:r>
    </w:p>
    <w:p w14:paraId="61ABA5AF" w14:textId="77777777" w:rsidR="007C6877" w:rsidRPr="00126568" w:rsidRDefault="007C6877" w:rsidP="007C6877">
      <w:pPr>
        <w:ind w:left="1080"/>
        <w:jc w:val="both"/>
        <w:rPr>
          <w:sz w:val="24"/>
        </w:rPr>
      </w:pPr>
    </w:p>
    <w:p w14:paraId="11001068" w14:textId="77777777" w:rsidR="007C6877" w:rsidRPr="00126568" w:rsidRDefault="007C6877" w:rsidP="007C6877">
      <w:pPr>
        <w:ind w:left="1080"/>
        <w:jc w:val="both"/>
        <w:rPr>
          <w:sz w:val="24"/>
        </w:rPr>
      </w:pPr>
      <w:r w:rsidRPr="00126568">
        <w:rPr>
          <w:b/>
          <w:bCs/>
          <w:i/>
          <w:iCs/>
          <w:sz w:val="24"/>
        </w:rPr>
        <w:t>Employment:</w:t>
      </w:r>
      <w:r w:rsidRPr="00126568">
        <w:rPr>
          <w:i/>
          <w:iCs/>
          <w:sz w:val="24"/>
        </w:rPr>
        <w:t xml:space="preserve"> Is the customer currently employed? If so, how much longer does he or she plan to work? Is the client planning to work part-time in retirement?</w:t>
      </w:r>
    </w:p>
    <w:p w14:paraId="4A82137D" w14:textId="77777777" w:rsidR="007C6877" w:rsidRPr="00126568" w:rsidRDefault="007C6877" w:rsidP="007C6877">
      <w:pPr>
        <w:ind w:left="1080"/>
        <w:jc w:val="both"/>
        <w:rPr>
          <w:b/>
          <w:bCs/>
          <w:i/>
          <w:iCs/>
          <w:sz w:val="24"/>
        </w:rPr>
      </w:pPr>
      <w:r w:rsidRPr="00126568">
        <w:rPr>
          <w:b/>
          <w:bCs/>
          <w:i/>
          <w:iCs/>
          <w:sz w:val="24"/>
        </w:rPr>
        <w:t>Expenses:</w:t>
      </w:r>
      <w:r w:rsidRPr="00126568">
        <w:rPr>
          <w:i/>
          <w:iCs/>
          <w:sz w:val="24"/>
        </w:rPr>
        <w:t xml:space="preserve">  What are the customer's primary expenses? For example, does the customer still have a mortgage? Are they planning to travel once retired?</w:t>
      </w:r>
    </w:p>
    <w:p w14:paraId="7B32749A" w14:textId="77777777" w:rsidR="007C6877" w:rsidRPr="00126568" w:rsidRDefault="007C6877" w:rsidP="007C6877">
      <w:pPr>
        <w:ind w:left="1080"/>
        <w:jc w:val="both"/>
        <w:rPr>
          <w:sz w:val="24"/>
        </w:rPr>
      </w:pPr>
      <w:r w:rsidRPr="00126568">
        <w:rPr>
          <w:b/>
          <w:bCs/>
          <w:i/>
          <w:iCs/>
          <w:sz w:val="24"/>
        </w:rPr>
        <w:t>Income Needs:</w:t>
      </w:r>
      <w:r w:rsidRPr="00126568">
        <w:rPr>
          <w:i/>
          <w:iCs/>
          <w:sz w:val="24"/>
        </w:rPr>
        <w:t xml:space="preserve"> How much income does the customer need to meet fixed or anticipated expenses?</w:t>
      </w:r>
    </w:p>
    <w:p w14:paraId="59B0421D" w14:textId="77777777" w:rsidR="007C6877" w:rsidRPr="00126568" w:rsidRDefault="007C6877" w:rsidP="007C6877">
      <w:pPr>
        <w:ind w:left="1080"/>
        <w:jc w:val="both"/>
        <w:rPr>
          <w:sz w:val="24"/>
        </w:rPr>
      </w:pPr>
      <w:r w:rsidRPr="00126568">
        <w:rPr>
          <w:b/>
          <w:bCs/>
          <w:i/>
          <w:iCs/>
          <w:sz w:val="24"/>
        </w:rPr>
        <w:t>Savings:</w:t>
      </w:r>
      <w:r w:rsidRPr="00126568">
        <w:rPr>
          <w:i/>
          <w:iCs/>
          <w:sz w:val="24"/>
        </w:rPr>
        <w:t xml:space="preserve">  How much has the customer saved for retirement? How are those assets invested?</w:t>
      </w:r>
    </w:p>
    <w:p w14:paraId="59E52A46" w14:textId="77777777" w:rsidR="007C6877" w:rsidRPr="00126568" w:rsidRDefault="007C6877" w:rsidP="007C6877">
      <w:pPr>
        <w:ind w:left="1080"/>
        <w:jc w:val="both"/>
        <w:rPr>
          <w:sz w:val="24"/>
        </w:rPr>
      </w:pPr>
      <w:r w:rsidRPr="00126568">
        <w:rPr>
          <w:b/>
          <w:bCs/>
          <w:i/>
          <w:iCs/>
          <w:sz w:val="24"/>
        </w:rPr>
        <w:t>Liquidity:</w:t>
      </w:r>
      <w:r w:rsidRPr="00126568">
        <w:rPr>
          <w:i/>
          <w:iCs/>
          <w:sz w:val="24"/>
        </w:rPr>
        <w:t xml:space="preserve">  How important is the liquidity of income-generating assets to the customer? Does the client have liquid assets to meet anticipated and unanticipated needs?</w:t>
      </w:r>
    </w:p>
    <w:p w14:paraId="4793B42B" w14:textId="77777777" w:rsidR="007C6877" w:rsidRPr="00126568" w:rsidRDefault="007C6877" w:rsidP="007C6877">
      <w:pPr>
        <w:ind w:left="1080"/>
        <w:jc w:val="both"/>
        <w:rPr>
          <w:sz w:val="24"/>
        </w:rPr>
      </w:pPr>
      <w:r w:rsidRPr="00126568">
        <w:rPr>
          <w:b/>
          <w:bCs/>
          <w:i/>
          <w:iCs/>
          <w:sz w:val="24"/>
        </w:rPr>
        <w:t>Goals:</w:t>
      </w:r>
      <w:r w:rsidRPr="00126568">
        <w:rPr>
          <w:i/>
          <w:iCs/>
          <w:sz w:val="24"/>
        </w:rPr>
        <w:t xml:space="preserve">  What </w:t>
      </w:r>
      <w:proofErr w:type="gramStart"/>
      <w:r w:rsidRPr="00126568">
        <w:rPr>
          <w:i/>
          <w:iCs/>
          <w:sz w:val="24"/>
        </w:rPr>
        <w:t>are</w:t>
      </w:r>
      <w:proofErr w:type="gramEnd"/>
      <w:r w:rsidRPr="00126568">
        <w:rPr>
          <w:i/>
          <w:iCs/>
          <w:sz w:val="24"/>
        </w:rPr>
        <w:t xml:space="preserve"> the customer's financial and investment goals? For example, how important is generating income, preserving capital or accumulating assets for heirs?</w:t>
      </w:r>
    </w:p>
    <w:p w14:paraId="0873AF50" w14:textId="77777777" w:rsidR="007C6877" w:rsidRPr="00126568" w:rsidRDefault="007C6877" w:rsidP="007C6877">
      <w:pPr>
        <w:ind w:left="1080"/>
        <w:jc w:val="both"/>
        <w:rPr>
          <w:sz w:val="24"/>
        </w:rPr>
      </w:pPr>
      <w:r w:rsidRPr="00126568">
        <w:rPr>
          <w:b/>
          <w:bCs/>
          <w:i/>
          <w:iCs/>
          <w:sz w:val="24"/>
        </w:rPr>
        <w:t>Health:</w:t>
      </w:r>
      <w:r w:rsidRPr="00126568">
        <w:rPr>
          <w:i/>
          <w:iCs/>
          <w:sz w:val="24"/>
        </w:rPr>
        <w:t xml:space="preserve"> What health care insurance does the customer have? Will the customer be relying on investment assets for anticipated and unanticipated health costs?</w:t>
      </w:r>
    </w:p>
    <w:p w14:paraId="591953CC" w14:textId="77777777" w:rsidR="007C6877" w:rsidRPr="00126568" w:rsidRDefault="007C6877" w:rsidP="007C6877">
      <w:pPr>
        <w:ind w:left="360"/>
        <w:jc w:val="both"/>
        <w:rPr>
          <w:sz w:val="24"/>
        </w:rPr>
      </w:pPr>
    </w:p>
    <w:p w14:paraId="3BB09ABE" w14:textId="77777777" w:rsidR="00C23199" w:rsidRDefault="00C23199" w:rsidP="001A7509">
      <w:pPr>
        <w:pStyle w:val="Heading3"/>
      </w:pPr>
      <w:r>
        <w:t>5</w:t>
      </w:r>
      <w:r w:rsidR="0000553E">
        <w:t>.</w:t>
      </w:r>
      <w:r>
        <w:t>2</w:t>
      </w:r>
      <w:r w:rsidR="00816F56">
        <w:t>5</w:t>
      </w:r>
      <w:r w:rsidR="00AF20A5">
        <w:t xml:space="preserve">.2 </w:t>
      </w:r>
      <w:r w:rsidR="007C6877" w:rsidRPr="001F4739">
        <w:t>Communications</w:t>
      </w:r>
      <w:r w:rsidR="007C6877" w:rsidRPr="00126568">
        <w:t xml:space="preserve"> with the Public  </w:t>
      </w:r>
    </w:p>
    <w:p w14:paraId="012D3881" w14:textId="77777777" w:rsidR="007C6877" w:rsidRPr="00126568" w:rsidRDefault="007C6877" w:rsidP="001A7509">
      <w:pPr>
        <w:ind w:left="270"/>
        <w:jc w:val="both"/>
        <w:rPr>
          <w:sz w:val="24"/>
          <w:szCs w:val="24"/>
        </w:rPr>
      </w:pPr>
      <w:r w:rsidRPr="00126568">
        <w:rPr>
          <w:sz w:val="24"/>
        </w:rPr>
        <w:t xml:space="preserve">All communication with the public must be truthful and in good taste, fair and balanced, and not project performance or promise specific results.  However, </w:t>
      </w:r>
      <w:r w:rsidRPr="00126568">
        <w:rPr>
          <w:sz w:val="24"/>
          <w:szCs w:val="24"/>
        </w:rPr>
        <w:t>FINRA, the SEC, and State regulators are increasingly focused on communications and seminars aimed at senior investors.  Based on various studies and “regulatory sweeps,” the regulators have identified a number of potentially inappropriate practices.</w:t>
      </w:r>
    </w:p>
    <w:p w14:paraId="3EDD594C" w14:textId="77777777" w:rsidR="007C6877" w:rsidRPr="00126568" w:rsidRDefault="007C6877" w:rsidP="007C6877">
      <w:pPr>
        <w:jc w:val="both"/>
        <w:rPr>
          <w:sz w:val="24"/>
          <w:szCs w:val="24"/>
        </w:rPr>
      </w:pPr>
    </w:p>
    <w:p w14:paraId="4CB7876F" w14:textId="77777777" w:rsidR="007C6877" w:rsidRPr="00126568" w:rsidRDefault="007C6877" w:rsidP="007C6877">
      <w:pPr>
        <w:ind w:left="1080"/>
        <w:jc w:val="both"/>
        <w:rPr>
          <w:sz w:val="24"/>
        </w:rPr>
      </w:pPr>
      <w:r w:rsidRPr="00126568">
        <w:rPr>
          <w:sz w:val="24"/>
        </w:rPr>
        <w:t>For example: “High Pressure Sales Tactics.”  This may include the use of language such as “Limited Seats Available”, or “You must act now.”  Such language would be inconsistent with the Company’s guidelines for communications.</w:t>
      </w:r>
    </w:p>
    <w:p w14:paraId="37D395ED" w14:textId="77777777" w:rsidR="007C6877" w:rsidRPr="00126568" w:rsidRDefault="007C6877" w:rsidP="007C6877">
      <w:pPr>
        <w:jc w:val="both"/>
        <w:rPr>
          <w:sz w:val="24"/>
        </w:rPr>
      </w:pPr>
    </w:p>
    <w:p w14:paraId="4B2B6E74" w14:textId="77777777" w:rsidR="007C6877" w:rsidRPr="00126568" w:rsidRDefault="007C6877" w:rsidP="007C6877">
      <w:pPr>
        <w:ind w:left="1080"/>
        <w:jc w:val="both"/>
        <w:rPr>
          <w:sz w:val="24"/>
        </w:rPr>
      </w:pPr>
      <w:r w:rsidRPr="00126568">
        <w:rPr>
          <w:sz w:val="24"/>
        </w:rPr>
        <w:t>Another example is lavish inducements offered to seminar attendees.  These may include expensive meals or fancy door prizes.  Meals and entertainment offered to clients must not be lavish.  The focus must be on the content of the seminar – not the inducements.</w:t>
      </w:r>
    </w:p>
    <w:p w14:paraId="5C392B4F" w14:textId="77777777" w:rsidR="007C6877" w:rsidRPr="00126568" w:rsidRDefault="007C6877" w:rsidP="007C6877">
      <w:pPr>
        <w:ind w:left="360"/>
        <w:jc w:val="both"/>
        <w:rPr>
          <w:sz w:val="24"/>
        </w:rPr>
      </w:pPr>
    </w:p>
    <w:p w14:paraId="183F675E" w14:textId="77777777" w:rsidR="007C6877" w:rsidRPr="00126568" w:rsidRDefault="007C6877" w:rsidP="007C6877">
      <w:pPr>
        <w:tabs>
          <w:tab w:val="left" w:pos="1080"/>
        </w:tabs>
        <w:ind w:left="1080"/>
        <w:jc w:val="both"/>
        <w:rPr>
          <w:sz w:val="24"/>
        </w:rPr>
      </w:pPr>
      <w:r w:rsidRPr="00126568">
        <w:rPr>
          <w:sz w:val="24"/>
        </w:rPr>
        <w:t>The regulators are also concerned about misrepresentations regarding the nature of the seminar.  Statements such as “Educational seminar -- Nothing will be sold” may not be appropriate if a product vendor will be presenting a particular product.  Company policies prohibit any misrepresentations.</w:t>
      </w:r>
    </w:p>
    <w:p w14:paraId="536D49AE" w14:textId="77777777" w:rsidR="007C6877" w:rsidRPr="00126568" w:rsidRDefault="007C6877" w:rsidP="007C6877">
      <w:pPr>
        <w:ind w:left="360"/>
        <w:jc w:val="both"/>
        <w:rPr>
          <w:sz w:val="24"/>
        </w:rPr>
      </w:pPr>
    </w:p>
    <w:p w14:paraId="22B06B75" w14:textId="77777777" w:rsidR="007C6877" w:rsidRPr="00126568" w:rsidRDefault="007C6877" w:rsidP="007C6877">
      <w:pPr>
        <w:ind w:left="1080"/>
        <w:jc w:val="both"/>
        <w:rPr>
          <w:sz w:val="24"/>
        </w:rPr>
      </w:pPr>
      <w:r w:rsidRPr="00126568">
        <w:rPr>
          <w:sz w:val="24"/>
        </w:rPr>
        <w:lastRenderedPageBreak/>
        <w:t xml:space="preserve">Finally, seminar presentations must not contain exaggerated promises, such as guarantees of high returns that cannot be substantiated.  Again, Company policies prohibit any misrepresentations or exaggerations in client communications. </w:t>
      </w:r>
    </w:p>
    <w:p w14:paraId="651739C6" w14:textId="77777777" w:rsidR="007C6877" w:rsidRPr="00126568" w:rsidRDefault="007C6877" w:rsidP="007C6877">
      <w:pPr>
        <w:ind w:left="1080"/>
        <w:jc w:val="both"/>
        <w:rPr>
          <w:sz w:val="24"/>
        </w:rPr>
      </w:pPr>
    </w:p>
    <w:p w14:paraId="47104BB4" w14:textId="77777777" w:rsidR="007C6877" w:rsidRPr="00126568" w:rsidRDefault="007C6877" w:rsidP="007C6877">
      <w:pPr>
        <w:ind w:left="1080"/>
        <w:jc w:val="both"/>
        <w:rPr>
          <w:sz w:val="24"/>
        </w:rPr>
      </w:pPr>
      <w:r w:rsidRPr="00126568">
        <w:rPr>
          <w:sz w:val="24"/>
        </w:rPr>
        <w:t>Consequently, Associated Persons must adhere to the following procedures as related in senior investors in particular:</w:t>
      </w:r>
    </w:p>
    <w:p w14:paraId="57350C02" w14:textId="77777777" w:rsidR="007C6877" w:rsidRPr="00126568" w:rsidRDefault="007C6877" w:rsidP="007C6877">
      <w:pPr>
        <w:ind w:left="360"/>
        <w:jc w:val="both"/>
        <w:rPr>
          <w:sz w:val="24"/>
          <w:szCs w:val="24"/>
        </w:rPr>
      </w:pPr>
    </w:p>
    <w:p w14:paraId="291A9DD7" w14:textId="77777777" w:rsidR="007C6877" w:rsidRPr="00126568" w:rsidRDefault="007C6877" w:rsidP="00855F6C">
      <w:pPr>
        <w:ind w:left="1260" w:hanging="180"/>
        <w:jc w:val="both"/>
        <w:rPr>
          <w:sz w:val="24"/>
          <w:szCs w:val="24"/>
        </w:rPr>
      </w:pPr>
      <w:r w:rsidRPr="00126568">
        <w:rPr>
          <w:sz w:val="24"/>
          <w:szCs w:val="24"/>
        </w:rPr>
        <w:t>• Any seminar, whether geared toward seniors or not, must be approved by Morris Monroe or the Compliance Department only.  A Sales Seminar Notice form must be completed along with all materials to be presented, including the invitation, as well as information regarding any speaker(s).   If a door prize will be included as part of the seminar, keep in mind Compliance Department pre-approval is required.  Prizes must be of nominal value; and the prize cannot be cash, coins or securities.  If a product vendor is reimbursing all or part of the expenses of the seminar, additional procedures apply.  A Non-Cash Compensation form must also be submitted, and a representative of the vendor must be present at the seminar, regardless of the amount of reimbursement being provided.</w:t>
      </w:r>
    </w:p>
    <w:p w14:paraId="7D261745" w14:textId="77777777" w:rsidR="007C6877" w:rsidRPr="00126568" w:rsidRDefault="007C6877" w:rsidP="00855F6C">
      <w:pPr>
        <w:ind w:left="1260" w:hanging="180"/>
        <w:jc w:val="both"/>
        <w:rPr>
          <w:sz w:val="24"/>
          <w:szCs w:val="24"/>
        </w:rPr>
      </w:pPr>
      <w:r w:rsidRPr="00126568">
        <w:rPr>
          <w:sz w:val="24"/>
          <w:szCs w:val="24"/>
        </w:rPr>
        <w:t xml:space="preserve">    </w:t>
      </w:r>
    </w:p>
    <w:p w14:paraId="3957ADEC" w14:textId="77777777" w:rsidR="007C6877" w:rsidRPr="00126568" w:rsidRDefault="007C6877" w:rsidP="00855F6C">
      <w:pPr>
        <w:ind w:left="1260" w:hanging="180"/>
        <w:jc w:val="both"/>
        <w:rPr>
          <w:sz w:val="24"/>
          <w:szCs w:val="24"/>
        </w:rPr>
      </w:pPr>
      <w:r w:rsidRPr="00126568">
        <w:rPr>
          <w:sz w:val="24"/>
          <w:szCs w:val="24"/>
        </w:rPr>
        <w:t xml:space="preserve">• In addition, any </w:t>
      </w:r>
      <w:r w:rsidR="00B80029">
        <w:rPr>
          <w:sz w:val="24"/>
          <w:szCs w:val="24"/>
        </w:rPr>
        <w:t xml:space="preserve">securities related </w:t>
      </w:r>
      <w:r w:rsidRPr="00126568">
        <w:rPr>
          <w:sz w:val="24"/>
          <w:szCs w:val="24"/>
        </w:rPr>
        <w:t>communication geared specifically to a senior targeted audience must be pre-approved by Morris Monroe or the Compliance department.</w:t>
      </w:r>
    </w:p>
    <w:p w14:paraId="73B81A50" w14:textId="77777777" w:rsidR="007C6877" w:rsidRPr="00126568" w:rsidRDefault="007C6877" w:rsidP="00855F6C">
      <w:pPr>
        <w:ind w:left="1260" w:hanging="180"/>
        <w:jc w:val="both"/>
        <w:rPr>
          <w:sz w:val="24"/>
          <w:szCs w:val="24"/>
        </w:rPr>
      </w:pPr>
    </w:p>
    <w:p w14:paraId="78D65842" w14:textId="77777777" w:rsidR="007C6877" w:rsidRPr="00126568" w:rsidRDefault="00855F6C" w:rsidP="00B94E7F">
      <w:pPr>
        <w:ind w:left="1260" w:hanging="180"/>
        <w:jc w:val="both"/>
        <w:rPr>
          <w:sz w:val="24"/>
        </w:rPr>
      </w:pPr>
      <w:r>
        <w:rPr>
          <w:sz w:val="24"/>
          <w:szCs w:val="24"/>
        </w:rPr>
        <w:t xml:space="preserve">• </w:t>
      </w:r>
      <w:r w:rsidR="007C6877" w:rsidRPr="00126568">
        <w:rPr>
          <w:sz w:val="24"/>
          <w:szCs w:val="24"/>
        </w:rPr>
        <w:t>All professional designations must be approved by Morris Monroe or the Compliance Department and the use of any “senior specialist” is strictly prohibited.</w:t>
      </w:r>
      <w:r w:rsidR="007C6877" w:rsidRPr="00126568">
        <w:rPr>
          <w:sz w:val="24"/>
        </w:rPr>
        <w:t xml:space="preserve">  </w:t>
      </w:r>
    </w:p>
    <w:p w14:paraId="5204DD14" w14:textId="77777777" w:rsidR="007C6877" w:rsidRPr="00126568" w:rsidRDefault="007C6877" w:rsidP="007C6877">
      <w:pPr>
        <w:ind w:left="360"/>
        <w:jc w:val="both"/>
        <w:rPr>
          <w:sz w:val="24"/>
        </w:rPr>
      </w:pPr>
    </w:p>
    <w:p w14:paraId="1FA220E8" w14:textId="77777777" w:rsidR="00C23199" w:rsidRDefault="00C23199" w:rsidP="001A7509">
      <w:pPr>
        <w:pStyle w:val="Heading3"/>
      </w:pPr>
      <w:r>
        <w:t>5</w:t>
      </w:r>
      <w:r w:rsidR="0000553E">
        <w:t>.</w:t>
      </w:r>
      <w:r>
        <w:t>2</w:t>
      </w:r>
      <w:r w:rsidR="00816F56">
        <w:t>5</w:t>
      </w:r>
      <w:r w:rsidR="0000553E">
        <w:t xml:space="preserve">.3 </w:t>
      </w:r>
      <w:r w:rsidR="007C6877" w:rsidRPr="00126568">
        <w:t>P</w:t>
      </w:r>
      <w:r w:rsidR="00C82AE4">
        <w:t>roduct</w:t>
      </w:r>
      <w:r w:rsidR="007C6877" w:rsidRPr="00126568">
        <w:t xml:space="preserve"> C</w:t>
      </w:r>
      <w:r w:rsidR="00C82AE4">
        <w:t>onsideration</w:t>
      </w:r>
      <w:r w:rsidR="007C6877" w:rsidRPr="00126568">
        <w:t xml:space="preserve">  </w:t>
      </w:r>
    </w:p>
    <w:p w14:paraId="29D5398D" w14:textId="77777777" w:rsidR="004639AF" w:rsidRDefault="00C23199" w:rsidP="004639AF">
      <w:pPr>
        <w:ind w:left="270"/>
        <w:jc w:val="both"/>
        <w:rPr>
          <w:sz w:val="24"/>
          <w:szCs w:val="24"/>
        </w:rPr>
      </w:pPr>
      <w:r>
        <w:rPr>
          <w:sz w:val="24"/>
          <w:szCs w:val="24"/>
        </w:rPr>
        <w:t>W</w:t>
      </w:r>
      <w:r w:rsidR="007C6877" w:rsidRPr="00126568">
        <w:rPr>
          <w:sz w:val="24"/>
          <w:szCs w:val="24"/>
        </w:rPr>
        <w:t xml:space="preserve">hile no product is, per se, unsuitable for senior investors, it should also be noted that changes to the investment time horizon, liquidity needs and/or risk tolerance of senior investors may affect the suitability of certain recommendations. Therefore, products having certain features warrant careful consideration with senior clients. For example: </w:t>
      </w:r>
    </w:p>
    <w:p w14:paraId="740DA4D2" w14:textId="77777777" w:rsidR="004639AF" w:rsidRDefault="004639AF" w:rsidP="004639AF">
      <w:pPr>
        <w:ind w:left="270"/>
        <w:jc w:val="both"/>
        <w:rPr>
          <w:sz w:val="24"/>
          <w:szCs w:val="24"/>
        </w:rPr>
      </w:pPr>
    </w:p>
    <w:p w14:paraId="4A78FAE2" w14:textId="77777777" w:rsidR="007C6877" w:rsidRDefault="00B345C8" w:rsidP="0079169D">
      <w:pPr>
        <w:ind w:left="1260" w:hanging="180"/>
        <w:rPr>
          <w:sz w:val="24"/>
          <w:szCs w:val="24"/>
        </w:rPr>
      </w:pPr>
      <w:r w:rsidRPr="00126568">
        <w:rPr>
          <w:sz w:val="24"/>
          <w:szCs w:val="24"/>
        </w:rPr>
        <w:t xml:space="preserve">• </w:t>
      </w:r>
      <w:r>
        <w:rPr>
          <w:sz w:val="24"/>
          <w:szCs w:val="24"/>
        </w:rPr>
        <w:t>Products</w:t>
      </w:r>
      <w:r w:rsidR="007C6877" w:rsidRPr="00126568">
        <w:rPr>
          <w:sz w:val="24"/>
          <w:szCs w:val="24"/>
        </w:rPr>
        <w:t xml:space="preserve"> </w:t>
      </w:r>
      <w:r w:rsidR="0079169D">
        <w:rPr>
          <w:sz w:val="24"/>
          <w:szCs w:val="24"/>
        </w:rPr>
        <w:t>that have withdrawal penalties</w:t>
      </w:r>
      <w:r w:rsidR="007C6877" w:rsidRPr="00126568">
        <w:rPr>
          <w:sz w:val="24"/>
          <w:szCs w:val="24"/>
        </w:rPr>
        <w:t xml:space="preserve"> </w:t>
      </w:r>
      <w:r w:rsidR="00A352B4" w:rsidRPr="004639AF">
        <w:rPr>
          <w:sz w:val="24"/>
          <w:szCs w:val="24"/>
        </w:rPr>
        <w:t>or otherwise lack liquidity may be inconsistent with an older investor’s liquidity needs and investment time horizon.  As clients get older, they may incur expenses for things such as health care, prescription drugs, and nursing homes.  They may need to tap their investment assets to meet these expenses, and therefore, need a certain amount of liquid assets to meet these needs.</w:t>
      </w:r>
    </w:p>
    <w:p w14:paraId="1E3D8DD7" w14:textId="77777777" w:rsidR="0079169D" w:rsidRDefault="0079169D" w:rsidP="004639AF">
      <w:pPr>
        <w:ind w:left="1260" w:hanging="180"/>
        <w:jc w:val="both"/>
        <w:rPr>
          <w:sz w:val="24"/>
          <w:szCs w:val="24"/>
        </w:rPr>
      </w:pPr>
    </w:p>
    <w:p w14:paraId="3A772D80" w14:textId="77777777" w:rsidR="0079169D" w:rsidRDefault="00B345C8" w:rsidP="00A352B4">
      <w:pPr>
        <w:ind w:left="1260" w:hanging="180"/>
        <w:rPr>
          <w:sz w:val="24"/>
          <w:szCs w:val="24"/>
        </w:rPr>
      </w:pPr>
      <w:r w:rsidRPr="00126568">
        <w:rPr>
          <w:sz w:val="24"/>
          <w:szCs w:val="24"/>
        </w:rPr>
        <w:t xml:space="preserve">• </w:t>
      </w:r>
      <w:r>
        <w:rPr>
          <w:sz w:val="24"/>
          <w:szCs w:val="24"/>
        </w:rPr>
        <w:t>Products</w:t>
      </w:r>
      <w:r w:rsidR="0079169D" w:rsidRPr="00126568">
        <w:rPr>
          <w:sz w:val="24"/>
          <w:szCs w:val="24"/>
        </w:rPr>
        <w:t xml:space="preserve"> with long holding periods may not be appropriate for senior investors.  For example, products with far reaching dates of maturity (where principal is protected only at maturity) may not be appropriate for investors with shorter time horizons.</w:t>
      </w:r>
    </w:p>
    <w:p w14:paraId="09194A6A" w14:textId="77777777" w:rsidR="007C6877" w:rsidRPr="00126568" w:rsidRDefault="007C6877" w:rsidP="00A352B4">
      <w:pPr>
        <w:ind w:left="1260" w:hanging="180"/>
        <w:rPr>
          <w:sz w:val="24"/>
          <w:szCs w:val="24"/>
        </w:rPr>
      </w:pPr>
    </w:p>
    <w:p w14:paraId="2A487FDA" w14:textId="77777777" w:rsidR="007C6877" w:rsidRPr="00126568" w:rsidRDefault="00B345C8" w:rsidP="00A352B4">
      <w:pPr>
        <w:ind w:left="1260" w:hanging="180"/>
        <w:rPr>
          <w:sz w:val="24"/>
          <w:szCs w:val="24"/>
        </w:rPr>
      </w:pPr>
      <w:r w:rsidRPr="00126568">
        <w:rPr>
          <w:sz w:val="24"/>
          <w:szCs w:val="24"/>
        </w:rPr>
        <w:t xml:space="preserve">• </w:t>
      </w:r>
      <w:r>
        <w:rPr>
          <w:sz w:val="24"/>
          <w:szCs w:val="24"/>
        </w:rPr>
        <w:t>Likewise</w:t>
      </w:r>
      <w:r w:rsidR="007C6877" w:rsidRPr="00126568">
        <w:rPr>
          <w:sz w:val="24"/>
          <w:szCs w:val="24"/>
        </w:rPr>
        <w:t xml:space="preserve">, an investment that requires an extended period of time for the investor to realize its full benefits may not be suitable for a client with a limited time horizon due to age or poor health. </w:t>
      </w:r>
    </w:p>
    <w:p w14:paraId="3A5DA2A4" w14:textId="77777777" w:rsidR="007C6877" w:rsidRPr="00126568" w:rsidRDefault="007C6877" w:rsidP="00A352B4">
      <w:pPr>
        <w:ind w:left="1260" w:hanging="180"/>
        <w:rPr>
          <w:sz w:val="24"/>
          <w:szCs w:val="24"/>
        </w:rPr>
      </w:pPr>
    </w:p>
    <w:p w14:paraId="35353C41" w14:textId="77777777" w:rsidR="007C6877" w:rsidRPr="00126568" w:rsidRDefault="007C6877" w:rsidP="00E7352C">
      <w:pPr>
        <w:ind w:left="1260" w:hanging="180"/>
        <w:rPr>
          <w:sz w:val="24"/>
          <w:szCs w:val="24"/>
        </w:rPr>
      </w:pPr>
      <w:r w:rsidRPr="00126568">
        <w:rPr>
          <w:sz w:val="24"/>
          <w:szCs w:val="24"/>
        </w:rPr>
        <w:t xml:space="preserve">• </w:t>
      </w:r>
      <w:r w:rsidR="00A352B4">
        <w:rPr>
          <w:sz w:val="24"/>
          <w:szCs w:val="24"/>
        </w:rPr>
        <w:t xml:space="preserve"> </w:t>
      </w:r>
      <w:r w:rsidRPr="00126568">
        <w:rPr>
          <w:sz w:val="24"/>
          <w:szCs w:val="24"/>
        </w:rPr>
        <w:t xml:space="preserve">Be mindful of recommending too much risk in order to maximize retirement income as the client approaches retirement; or ignoring “inflation risk” – that is, </w:t>
      </w:r>
      <w:r w:rsidRPr="00126568">
        <w:rPr>
          <w:sz w:val="24"/>
          <w:szCs w:val="24"/>
        </w:rPr>
        <w:lastRenderedPageBreak/>
        <w:t>the risk that  client’s investments will not hold up against inflation.  Certain low-yielding investments may not protect an investor’s assets over time (i.e. a 60-year-old client in excellent health who wishes to retire early and live off his investments.  A portfolio consisting of CDs or Treasury Bonds might not hold up against inflation).</w:t>
      </w:r>
    </w:p>
    <w:p w14:paraId="565558D0" w14:textId="77777777" w:rsidR="007C6877" w:rsidRPr="00126568" w:rsidRDefault="007C6877" w:rsidP="00E7352C">
      <w:pPr>
        <w:ind w:left="1080"/>
        <w:rPr>
          <w:sz w:val="24"/>
          <w:szCs w:val="24"/>
        </w:rPr>
      </w:pPr>
    </w:p>
    <w:p w14:paraId="233CFD2E" w14:textId="77777777" w:rsidR="007C6877" w:rsidRPr="00126568" w:rsidRDefault="00B345C8" w:rsidP="00E7352C">
      <w:pPr>
        <w:ind w:left="1260" w:hanging="180"/>
        <w:rPr>
          <w:sz w:val="24"/>
          <w:szCs w:val="24"/>
        </w:rPr>
      </w:pPr>
      <w:r w:rsidRPr="00126568">
        <w:rPr>
          <w:sz w:val="24"/>
          <w:szCs w:val="24"/>
        </w:rPr>
        <w:t xml:space="preserve">• </w:t>
      </w:r>
      <w:r>
        <w:rPr>
          <w:sz w:val="24"/>
          <w:szCs w:val="24"/>
        </w:rPr>
        <w:t>Finally</w:t>
      </w:r>
      <w:r w:rsidR="007C6877" w:rsidRPr="00126568">
        <w:rPr>
          <w:sz w:val="24"/>
          <w:szCs w:val="24"/>
        </w:rPr>
        <w:t xml:space="preserve">, older investors may have particular difficulty evaluating the costs and risks of products that are highly complex in nature. </w:t>
      </w:r>
    </w:p>
    <w:p w14:paraId="75C98A7A" w14:textId="77777777" w:rsidR="007C6877" w:rsidRPr="00126568" w:rsidRDefault="007C6877" w:rsidP="00A352B4">
      <w:pPr>
        <w:ind w:left="1080"/>
        <w:rPr>
          <w:sz w:val="24"/>
          <w:szCs w:val="24"/>
        </w:rPr>
      </w:pPr>
    </w:p>
    <w:p w14:paraId="4FD25013" w14:textId="77777777" w:rsidR="007C6877" w:rsidRPr="00126568" w:rsidRDefault="007C6877" w:rsidP="00A352B4">
      <w:pPr>
        <w:ind w:left="1080"/>
        <w:rPr>
          <w:sz w:val="24"/>
          <w:szCs w:val="24"/>
        </w:rPr>
      </w:pPr>
      <w:r w:rsidRPr="00126568">
        <w:rPr>
          <w:sz w:val="24"/>
          <w:szCs w:val="24"/>
        </w:rPr>
        <w:t xml:space="preserve">Associated Persons need to seek the right balance between preserving assets and allowing for enough growth to fund what could be a long retirement. For clients with a long investment horizon, growth will be an important consideration, while other clients may have health issues that would make preservation and liquidity of existing assets the paramount concerns. One size does not fit all when it comes to investment recommendations. That is why the strategy and products recommended should always be tailored for the senior client’s circumstances, goals, level of sophistication, and need for liquidity.  </w:t>
      </w:r>
    </w:p>
    <w:p w14:paraId="5256B627" w14:textId="77777777" w:rsidR="007C6877" w:rsidRPr="00126568" w:rsidRDefault="007C6877" w:rsidP="00A352B4">
      <w:pPr>
        <w:ind w:left="1080"/>
        <w:rPr>
          <w:sz w:val="24"/>
          <w:szCs w:val="24"/>
        </w:rPr>
      </w:pPr>
    </w:p>
    <w:p w14:paraId="6396DA6C" w14:textId="77777777" w:rsidR="007C6877" w:rsidRPr="00126568" w:rsidRDefault="007C6877" w:rsidP="00A352B4">
      <w:pPr>
        <w:ind w:left="1080"/>
        <w:rPr>
          <w:i/>
          <w:sz w:val="24"/>
          <w:szCs w:val="24"/>
        </w:rPr>
      </w:pPr>
      <w:r w:rsidRPr="00126568">
        <w:rPr>
          <w:b/>
          <w:i/>
          <w:sz w:val="24"/>
          <w:szCs w:val="24"/>
        </w:rPr>
        <w:t>Prohibited Recommendations</w:t>
      </w:r>
      <w:r w:rsidRPr="00126568">
        <w:rPr>
          <w:i/>
          <w:sz w:val="24"/>
          <w:szCs w:val="24"/>
        </w:rPr>
        <w:t>:</w:t>
      </w:r>
      <w:r w:rsidR="001F4739">
        <w:rPr>
          <w:i/>
          <w:sz w:val="24"/>
          <w:szCs w:val="24"/>
        </w:rPr>
        <w:t xml:space="preserve"> </w:t>
      </w:r>
      <w:r w:rsidR="00FB4C74">
        <w:rPr>
          <w:i/>
          <w:sz w:val="24"/>
          <w:szCs w:val="24"/>
        </w:rPr>
        <w:t xml:space="preserve"> </w:t>
      </w:r>
      <w:r w:rsidRPr="00126568">
        <w:rPr>
          <w:i/>
          <w:sz w:val="24"/>
          <w:szCs w:val="24"/>
        </w:rPr>
        <w:t xml:space="preserve">Associated Persons are prohibited from recommending any client </w:t>
      </w:r>
      <w:r w:rsidR="00AF20A5">
        <w:rPr>
          <w:i/>
          <w:sz w:val="24"/>
          <w:szCs w:val="24"/>
        </w:rPr>
        <w:t>to</w:t>
      </w:r>
      <w:r w:rsidRPr="00126568">
        <w:rPr>
          <w:i/>
          <w:sz w:val="24"/>
          <w:szCs w:val="24"/>
        </w:rPr>
        <w:t xml:space="preserve"> withdraw equity from their home in order to purchase securities.</w:t>
      </w:r>
    </w:p>
    <w:p w14:paraId="2D463C6C" w14:textId="77777777" w:rsidR="007C6877" w:rsidRPr="00126568" w:rsidRDefault="007C6877" w:rsidP="00A352B4">
      <w:pPr>
        <w:rPr>
          <w:sz w:val="24"/>
          <w:szCs w:val="24"/>
        </w:rPr>
      </w:pPr>
    </w:p>
    <w:p w14:paraId="7A88D73E" w14:textId="77777777" w:rsidR="007C6877" w:rsidRPr="00126568" w:rsidRDefault="007C6877" w:rsidP="00A352B4">
      <w:pPr>
        <w:ind w:left="360"/>
        <w:rPr>
          <w:sz w:val="24"/>
        </w:rPr>
      </w:pPr>
    </w:p>
    <w:p w14:paraId="6EB667D2" w14:textId="0583BAE1" w:rsidR="00D2531A" w:rsidRDefault="00C23199" w:rsidP="00A352B4">
      <w:pPr>
        <w:pStyle w:val="Heading3"/>
        <w:jc w:val="left"/>
      </w:pPr>
      <w:r>
        <w:t>5</w:t>
      </w:r>
      <w:r w:rsidR="0000553E">
        <w:t>.</w:t>
      </w:r>
      <w:r>
        <w:t>2</w:t>
      </w:r>
      <w:r w:rsidR="00816F56">
        <w:t>5</w:t>
      </w:r>
      <w:r w:rsidR="0000553E">
        <w:t xml:space="preserve">.4 </w:t>
      </w:r>
      <w:r w:rsidR="00041B12">
        <w:t xml:space="preserve">Senior Safe Act/ </w:t>
      </w:r>
      <w:r w:rsidR="00D2531A">
        <w:t>FINRA Rule 2165</w:t>
      </w:r>
      <w:r w:rsidR="00C11F70">
        <w:t xml:space="preserve"> – Financial Exploitation of Seniors</w:t>
      </w:r>
    </w:p>
    <w:p w14:paraId="66B9DEB2" w14:textId="0F4CB628" w:rsidR="00D2531A" w:rsidRDefault="00D2531A" w:rsidP="00D2531A">
      <w:pPr>
        <w:ind w:left="270"/>
        <w:rPr>
          <w:sz w:val="24"/>
          <w:szCs w:val="24"/>
        </w:rPr>
      </w:pPr>
      <w:r w:rsidRPr="00B30F8C">
        <w:rPr>
          <w:sz w:val="24"/>
          <w:szCs w:val="24"/>
        </w:rPr>
        <w:t xml:space="preserve">Beginning February 5, </w:t>
      </w:r>
      <w:proofErr w:type="gramStart"/>
      <w:r w:rsidRPr="00B30F8C">
        <w:rPr>
          <w:sz w:val="24"/>
          <w:szCs w:val="24"/>
        </w:rPr>
        <w:t>2018</w:t>
      </w:r>
      <w:proofErr w:type="gramEnd"/>
      <w:r w:rsidRPr="00B30F8C">
        <w:rPr>
          <w:sz w:val="24"/>
          <w:szCs w:val="24"/>
        </w:rPr>
        <w:t xml:space="preserve"> and pursuant to FINRA </w:t>
      </w:r>
      <w:r w:rsidR="008B4FFD">
        <w:rPr>
          <w:sz w:val="24"/>
          <w:szCs w:val="24"/>
        </w:rPr>
        <w:t>R</w:t>
      </w:r>
      <w:r w:rsidRPr="00B30F8C">
        <w:rPr>
          <w:sz w:val="24"/>
          <w:szCs w:val="24"/>
        </w:rPr>
        <w:t>ule 2165</w:t>
      </w:r>
      <w:r w:rsidR="00C11F70" w:rsidRPr="00B30F8C">
        <w:rPr>
          <w:sz w:val="24"/>
          <w:szCs w:val="24"/>
        </w:rPr>
        <w:t xml:space="preserve">, </w:t>
      </w:r>
      <w:r w:rsidRPr="00B30F8C">
        <w:rPr>
          <w:sz w:val="24"/>
          <w:szCs w:val="24"/>
        </w:rPr>
        <w:t xml:space="preserve">Company will inquire of all customers a </w:t>
      </w:r>
      <w:r w:rsidRPr="0031228B">
        <w:rPr>
          <w:b/>
          <w:bCs/>
          <w:sz w:val="24"/>
          <w:szCs w:val="24"/>
        </w:rPr>
        <w:t xml:space="preserve">Trusted </w:t>
      </w:r>
      <w:r w:rsidRPr="002A440B">
        <w:rPr>
          <w:b/>
          <w:bCs/>
          <w:color w:val="000000" w:themeColor="text1"/>
          <w:sz w:val="24"/>
          <w:szCs w:val="24"/>
        </w:rPr>
        <w:t>Contact</w:t>
      </w:r>
      <w:r w:rsidRPr="002A440B">
        <w:rPr>
          <w:color w:val="000000" w:themeColor="text1"/>
          <w:sz w:val="24"/>
          <w:szCs w:val="24"/>
        </w:rPr>
        <w:t xml:space="preserve"> </w:t>
      </w:r>
      <w:r w:rsidR="0031228B" w:rsidRPr="002A440B">
        <w:rPr>
          <w:color w:val="000000" w:themeColor="text1"/>
          <w:sz w:val="24"/>
          <w:szCs w:val="24"/>
        </w:rPr>
        <w:t xml:space="preserve">(which includes </w:t>
      </w:r>
      <w:r w:rsidR="0031228B" w:rsidRPr="002A440B">
        <w:rPr>
          <w:color w:val="000000" w:themeColor="text1"/>
          <w:spacing w:val="8"/>
          <w:sz w:val="24"/>
          <w:szCs w:val="24"/>
          <w:shd w:val="clear" w:color="auto" w:fill="FFFFFF"/>
        </w:rPr>
        <w:t>natural person customers age 65 or older or who have physical or mental impairments Company reasonably believes are unable to protect their own interest)</w:t>
      </w:r>
      <w:r w:rsidR="0031228B" w:rsidRPr="002A440B">
        <w:rPr>
          <w:rFonts w:ascii="Tahoma" w:hAnsi="Tahoma" w:cs="Tahoma"/>
          <w:color w:val="000000" w:themeColor="text1"/>
          <w:spacing w:val="8"/>
          <w:sz w:val="18"/>
          <w:szCs w:val="18"/>
          <w:shd w:val="clear" w:color="auto" w:fill="FFFFFF"/>
        </w:rPr>
        <w:t xml:space="preserve"> </w:t>
      </w:r>
      <w:r w:rsidRPr="002A440B">
        <w:rPr>
          <w:color w:val="000000" w:themeColor="text1"/>
          <w:sz w:val="24"/>
          <w:szCs w:val="24"/>
        </w:rPr>
        <w:t xml:space="preserve">and </w:t>
      </w:r>
      <w:r w:rsidRPr="00B30F8C">
        <w:rPr>
          <w:sz w:val="24"/>
          <w:szCs w:val="24"/>
        </w:rPr>
        <w:t xml:space="preserve">disclose under what circumstances it may contact that person(s).  </w:t>
      </w:r>
      <w:r w:rsidR="000367FD" w:rsidRPr="00B30F8C">
        <w:rPr>
          <w:sz w:val="24"/>
          <w:szCs w:val="24"/>
        </w:rPr>
        <w:t>In addition, Company will have the option to hold the disbursement of funds and/or securities from a “specified account” for up to 14 days if it believes financial exploitation has, is</w:t>
      </w:r>
      <w:r w:rsidR="005E7092" w:rsidRPr="00B30F8C">
        <w:rPr>
          <w:sz w:val="24"/>
          <w:szCs w:val="24"/>
        </w:rPr>
        <w:t>,</w:t>
      </w:r>
      <w:r w:rsidR="000367FD" w:rsidRPr="00B30F8C">
        <w:rPr>
          <w:sz w:val="24"/>
          <w:szCs w:val="24"/>
        </w:rPr>
        <w:t xml:space="preserve"> or is about to occur.  A specified account is for someone 65 or older or </w:t>
      </w:r>
      <w:r w:rsidR="00375EE9" w:rsidRPr="008B4FFD">
        <w:rPr>
          <w:sz w:val="24"/>
          <w:szCs w:val="24"/>
        </w:rPr>
        <w:t>w</w:t>
      </w:r>
      <w:r w:rsidR="000367FD" w:rsidRPr="00B30F8C">
        <w:rPr>
          <w:sz w:val="24"/>
          <w:szCs w:val="24"/>
        </w:rPr>
        <w:t xml:space="preserve">ho is 18 or older and unable to </w:t>
      </w:r>
      <w:r w:rsidR="000367FD" w:rsidRPr="00B30F8C">
        <w:rPr>
          <w:kern w:val="24"/>
          <w:sz w:val="24"/>
          <w:szCs w:val="24"/>
        </w:rPr>
        <w:t>protect his or her own interests based on the facts and circumstances observed in the Company’s business relationship with the person</w:t>
      </w:r>
      <w:r w:rsidR="000367FD" w:rsidRPr="00B30F8C">
        <w:rPr>
          <w:sz w:val="24"/>
          <w:szCs w:val="24"/>
        </w:rPr>
        <w:t xml:space="preserve"> (i.e. mentally or physically impaired).</w:t>
      </w:r>
    </w:p>
    <w:p w14:paraId="03A132CD" w14:textId="77777777" w:rsidR="00CE4F70" w:rsidRDefault="00CE4F70" w:rsidP="00D2531A">
      <w:pPr>
        <w:ind w:left="270"/>
        <w:rPr>
          <w:sz w:val="24"/>
          <w:szCs w:val="24"/>
        </w:rPr>
      </w:pPr>
    </w:p>
    <w:p w14:paraId="5A2697AC" w14:textId="77777777" w:rsidR="00CE4F70" w:rsidRPr="008B4FFD" w:rsidRDefault="00CE4F70" w:rsidP="00CE4F70">
      <w:pPr>
        <w:shd w:val="clear" w:color="auto" w:fill="FFFFFF"/>
        <w:ind w:left="270"/>
        <w:rPr>
          <w:sz w:val="24"/>
          <w:szCs w:val="24"/>
        </w:rPr>
      </w:pPr>
      <w:r w:rsidRPr="008B4FFD">
        <w:rPr>
          <w:sz w:val="24"/>
          <w:szCs w:val="24"/>
        </w:rPr>
        <w:t xml:space="preserve">For purposes of this rule, financial exploitation shall include </w:t>
      </w:r>
    </w:p>
    <w:p w14:paraId="159579FA" w14:textId="77777777" w:rsidR="00CE4F70" w:rsidRPr="008B4FFD" w:rsidRDefault="00CE4F70" w:rsidP="003E7B18">
      <w:pPr>
        <w:pStyle w:val="ListParagraph"/>
        <w:numPr>
          <w:ilvl w:val="0"/>
          <w:numId w:val="314"/>
        </w:numPr>
        <w:shd w:val="clear" w:color="auto" w:fill="FFFFFF"/>
        <w:ind w:left="720" w:hanging="270"/>
        <w:rPr>
          <w:sz w:val="24"/>
          <w:szCs w:val="24"/>
        </w:rPr>
      </w:pPr>
      <w:r w:rsidRPr="008B4FFD">
        <w:rPr>
          <w:sz w:val="24"/>
          <w:szCs w:val="24"/>
        </w:rPr>
        <w:t xml:space="preserve">the wrongful or unauthorized taking, withholding, appropriation, or use of a Specified Adult's funds or securities; or </w:t>
      </w:r>
    </w:p>
    <w:p w14:paraId="22753327" w14:textId="77777777" w:rsidR="00CE4F70" w:rsidRPr="008B4FFD" w:rsidRDefault="00CE4F70" w:rsidP="003E7B18">
      <w:pPr>
        <w:pStyle w:val="ListParagraph"/>
        <w:numPr>
          <w:ilvl w:val="0"/>
          <w:numId w:val="314"/>
        </w:numPr>
        <w:shd w:val="clear" w:color="auto" w:fill="FFFFFF"/>
        <w:ind w:left="720" w:hanging="270"/>
        <w:rPr>
          <w:sz w:val="24"/>
          <w:szCs w:val="24"/>
        </w:rPr>
      </w:pPr>
      <w:r w:rsidRPr="008B4FFD">
        <w:rPr>
          <w:sz w:val="24"/>
          <w:szCs w:val="24"/>
        </w:rPr>
        <w:t>any act or omission by a person, including through the use of a power of attorney, guardianship, or any other authority regarding a Specified Adult, to:</w:t>
      </w:r>
    </w:p>
    <w:p w14:paraId="05383604" w14:textId="77777777" w:rsidR="00CE4F70" w:rsidRPr="008B4FFD" w:rsidRDefault="00CE4F70" w:rsidP="00CE4F70">
      <w:pPr>
        <w:shd w:val="clear" w:color="auto" w:fill="FFFFFF"/>
        <w:ind w:left="1260" w:hanging="360"/>
        <w:rPr>
          <w:sz w:val="24"/>
          <w:szCs w:val="24"/>
        </w:rPr>
      </w:pPr>
      <w:r w:rsidRPr="008B4FFD">
        <w:rPr>
          <w:sz w:val="24"/>
          <w:szCs w:val="24"/>
        </w:rPr>
        <w:t>(</w:t>
      </w:r>
      <w:proofErr w:type="spellStart"/>
      <w:r w:rsidRPr="008B4FFD">
        <w:rPr>
          <w:sz w:val="24"/>
          <w:szCs w:val="24"/>
        </w:rPr>
        <w:t>i</w:t>
      </w:r>
      <w:proofErr w:type="spellEnd"/>
      <w:r w:rsidRPr="008B4FFD">
        <w:rPr>
          <w:sz w:val="24"/>
          <w:szCs w:val="24"/>
        </w:rPr>
        <w:t>)  obtain control, through deception, intimidation or undue influence, over the Specified Adult's money, assets or property; or</w:t>
      </w:r>
    </w:p>
    <w:p w14:paraId="587CD892" w14:textId="77777777" w:rsidR="00CE4F70" w:rsidRPr="008B4FFD" w:rsidRDefault="00CE4F70" w:rsidP="00CE4F70">
      <w:pPr>
        <w:shd w:val="clear" w:color="auto" w:fill="FFFFFF"/>
        <w:ind w:left="1170" w:hanging="270"/>
        <w:rPr>
          <w:sz w:val="24"/>
          <w:szCs w:val="24"/>
        </w:rPr>
      </w:pPr>
      <w:r w:rsidRPr="008B4FFD">
        <w:rPr>
          <w:sz w:val="24"/>
          <w:szCs w:val="24"/>
        </w:rPr>
        <w:t>(ii) convert the Specified Adult's money, assets or property.</w:t>
      </w:r>
    </w:p>
    <w:p w14:paraId="488D3DD1" w14:textId="77777777" w:rsidR="00CE108D" w:rsidRPr="008B4FFD" w:rsidRDefault="00CE108D" w:rsidP="00CE4F70">
      <w:pPr>
        <w:shd w:val="clear" w:color="auto" w:fill="FFFFFF"/>
        <w:ind w:left="1170" w:hanging="270"/>
        <w:rPr>
          <w:sz w:val="24"/>
          <w:szCs w:val="24"/>
        </w:rPr>
      </w:pPr>
    </w:p>
    <w:p w14:paraId="6D896087" w14:textId="0BB64689" w:rsidR="00CE108D" w:rsidRPr="008B4FFD" w:rsidRDefault="00282431" w:rsidP="001A587F">
      <w:pPr>
        <w:pStyle w:val="Heading4"/>
      </w:pPr>
      <w:r>
        <w:t xml:space="preserve">5.25.4.1 </w:t>
      </w:r>
      <w:r w:rsidR="00CE108D" w:rsidRPr="008B4FFD">
        <w:t>Temporary Hold on Disbursements</w:t>
      </w:r>
    </w:p>
    <w:p w14:paraId="4A490092" w14:textId="15B9C277" w:rsidR="00CE108D" w:rsidRPr="00121111" w:rsidRDefault="00CE108D" w:rsidP="00282431">
      <w:pPr>
        <w:shd w:val="clear" w:color="auto" w:fill="FFFFFF"/>
        <w:ind w:left="360"/>
        <w:rPr>
          <w:sz w:val="24"/>
          <w:szCs w:val="24"/>
        </w:rPr>
      </w:pPr>
      <w:r w:rsidRPr="008B4FFD">
        <w:rPr>
          <w:sz w:val="24"/>
          <w:szCs w:val="24"/>
        </w:rPr>
        <w:t xml:space="preserve">Company </w:t>
      </w:r>
      <w:r w:rsidRPr="008B4FFD">
        <w:rPr>
          <w:rStyle w:val="us"/>
          <w:sz w:val="24"/>
          <w:szCs w:val="24"/>
        </w:rPr>
        <w:t>may place a temporary hold on a disbursement of funds or securities from the Account of a Specified Adult</w:t>
      </w:r>
      <w:r w:rsidR="00250987">
        <w:rPr>
          <w:rStyle w:val="us"/>
          <w:sz w:val="24"/>
          <w:szCs w:val="24"/>
        </w:rPr>
        <w:t xml:space="preserve"> </w:t>
      </w:r>
      <w:r w:rsidR="00121111">
        <w:rPr>
          <w:rStyle w:val="us"/>
          <w:sz w:val="24"/>
          <w:szCs w:val="24"/>
        </w:rPr>
        <w:t>if:</w:t>
      </w:r>
    </w:p>
    <w:p w14:paraId="1265FE24" w14:textId="77777777" w:rsidR="00121111" w:rsidRPr="008B4FFD" w:rsidRDefault="00121111" w:rsidP="00121111">
      <w:pPr>
        <w:pStyle w:val="ListParagraph"/>
        <w:numPr>
          <w:ilvl w:val="0"/>
          <w:numId w:val="315"/>
        </w:numPr>
        <w:shd w:val="clear" w:color="auto" w:fill="FFFFFF"/>
        <w:ind w:left="720" w:hanging="270"/>
        <w:rPr>
          <w:rStyle w:val="us"/>
          <w:sz w:val="24"/>
          <w:szCs w:val="24"/>
        </w:rPr>
      </w:pPr>
      <w:r w:rsidRPr="008B4FFD">
        <w:rPr>
          <w:rStyle w:val="us"/>
          <w:sz w:val="24"/>
          <w:szCs w:val="24"/>
        </w:rPr>
        <w:lastRenderedPageBreak/>
        <w:t xml:space="preserve">The member reasonably believes that financial exploitation of the Specified Adult has occurred, is occurring, has been attempted, or will be attempted; and </w:t>
      </w:r>
    </w:p>
    <w:p w14:paraId="57711322" w14:textId="2AE147D0" w:rsidR="00CE108D" w:rsidRPr="008B4FFD" w:rsidRDefault="00CE108D" w:rsidP="003E7B18">
      <w:pPr>
        <w:pStyle w:val="ListParagraph"/>
        <w:numPr>
          <w:ilvl w:val="0"/>
          <w:numId w:val="315"/>
        </w:numPr>
        <w:shd w:val="clear" w:color="auto" w:fill="FFFFFF"/>
        <w:ind w:left="720" w:hanging="270"/>
        <w:rPr>
          <w:sz w:val="24"/>
          <w:szCs w:val="24"/>
        </w:rPr>
      </w:pPr>
      <w:r w:rsidRPr="008B4FFD">
        <w:rPr>
          <w:rStyle w:val="us"/>
          <w:sz w:val="24"/>
          <w:szCs w:val="24"/>
        </w:rPr>
        <w:t>The member, not later than two business days after the date that the member first placed the temporary hold on the disbursement of funds or securities, provides notification orally or in writing, which may be electronic, of the temporary hold and the reason for the temporary hold to:</w:t>
      </w:r>
    </w:p>
    <w:p w14:paraId="27F7DDB0" w14:textId="77777777" w:rsidR="00CE108D" w:rsidRPr="008B4FFD" w:rsidRDefault="00CE108D" w:rsidP="00B50022">
      <w:pPr>
        <w:shd w:val="clear" w:color="auto" w:fill="FFFFFF"/>
        <w:ind w:left="1350" w:hanging="360"/>
        <w:rPr>
          <w:sz w:val="24"/>
          <w:szCs w:val="24"/>
        </w:rPr>
      </w:pPr>
      <w:r w:rsidRPr="008B4FFD">
        <w:rPr>
          <w:rStyle w:val="us"/>
          <w:sz w:val="24"/>
          <w:szCs w:val="24"/>
        </w:rPr>
        <w:t>(</w:t>
      </w:r>
      <w:proofErr w:type="spellStart"/>
      <w:r w:rsidRPr="008B4FFD">
        <w:rPr>
          <w:rStyle w:val="us"/>
          <w:sz w:val="24"/>
          <w:szCs w:val="24"/>
        </w:rPr>
        <w:t>i</w:t>
      </w:r>
      <w:proofErr w:type="spellEnd"/>
      <w:r w:rsidRPr="008B4FFD">
        <w:rPr>
          <w:rStyle w:val="us"/>
          <w:sz w:val="24"/>
          <w:szCs w:val="24"/>
        </w:rPr>
        <w:t>) all parties authorized to transact business on the Account, unless a party is unavailable or the member reasonably believes that the party has engaged, is engaged, or will engage in the financial exploitation of the Specified Adult; and</w:t>
      </w:r>
    </w:p>
    <w:p w14:paraId="6B0076B6" w14:textId="77777777" w:rsidR="00B50022" w:rsidRPr="008B4FFD" w:rsidRDefault="00CE108D" w:rsidP="00C86FE7">
      <w:pPr>
        <w:shd w:val="clear" w:color="auto" w:fill="FFFFFF"/>
        <w:ind w:left="1350" w:hanging="360"/>
        <w:rPr>
          <w:rStyle w:val="us"/>
          <w:sz w:val="24"/>
          <w:szCs w:val="24"/>
        </w:rPr>
      </w:pPr>
      <w:r w:rsidRPr="008B4FFD">
        <w:rPr>
          <w:rStyle w:val="us"/>
          <w:sz w:val="24"/>
          <w:szCs w:val="24"/>
        </w:rPr>
        <w:t>(ii) the Trusted Contact Person(s), unless the Trusted Contact Person is unavailable or the member reasonably believes that the Trusted Contact Person(s) has engaged, is engaged, or will engage in the financial exploitation of the Specified Adult; and</w:t>
      </w:r>
    </w:p>
    <w:p w14:paraId="0BD712CA" w14:textId="39EBF169" w:rsidR="00CE108D" w:rsidRDefault="00CE108D" w:rsidP="006B3C99">
      <w:pPr>
        <w:pStyle w:val="ListParagraph"/>
        <w:numPr>
          <w:ilvl w:val="0"/>
          <w:numId w:val="315"/>
        </w:numPr>
        <w:shd w:val="clear" w:color="auto" w:fill="FFFFFF"/>
        <w:ind w:left="720" w:hanging="270"/>
        <w:rPr>
          <w:rStyle w:val="us"/>
          <w:sz w:val="24"/>
          <w:szCs w:val="24"/>
        </w:rPr>
      </w:pPr>
      <w:r w:rsidRPr="008B4FFD">
        <w:rPr>
          <w:rStyle w:val="us"/>
          <w:sz w:val="24"/>
          <w:szCs w:val="24"/>
        </w:rPr>
        <w:t xml:space="preserve">The temporary hold authorized by this Rule will expire not later than 15 business days after the date that </w:t>
      </w:r>
      <w:r w:rsidR="00B50022" w:rsidRPr="008B4FFD">
        <w:rPr>
          <w:rStyle w:val="us"/>
          <w:sz w:val="24"/>
          <w:szCs w:val="24"/>
        </w:rPr>
        <w:t>Company</w:t>
      </w:r>
      <w:r w:rsidRPr="008B4FFD">
        <w:rPr>
          <w:rStyle w:val="us"/>
          <w:sz w:val="24"/>
          <w:szCs w:val="24"/>
        </w:rPr>
        <w:t xml:space="preserve"> first placed the temporary hold on the disbursement of funds or securities, unless otherwise terminated or extended by a state regulator or agency of competent jurisdiction or a court of competent </w:t>
      </w:r>
      <w:r w:rsidR="00CC601C" w:rsidRPr="008B4FFD">
        <w:rPr>
          <w:rStyle w:val="us"/>
          <w:sz w:val="24"/>
          <w:szCs w:val="24"/>
        </w:rPr>
        <w:t>jurisdiction or</w:t>
      </w:r>
      <w:r w:rsidRPr="008B4FFD">
        <w:rPr>
          <w:rStyle w:val="us"/>
          <w:sz w:val="24"/>
          <w:szCs w:val="24"/>
        </w:rPr>
        <w:t xml:space="preserve"> extended pursuant to this Rule.</w:t>
      </w:r>
    </w:p>
    <w:p w14:paraId="3A3B89ED" w14:textId="12CA74F8" w:rsidR="006B3C99" w:rsidRPr="006B3C99" w:rsidRDefault="006B3C99" w:rsidP="0005402C">
      <w:pPr>
        <w:numPr>
          <w:ilvl w:val="0"/>
          <w:numId w:val="400"/>
        </w:numPr>
        <w:tabs>
          <w:tab w:val="clear" w:pos="720"/>
          <w:tab w:val="num" w:pos="1260"/>
        </w:tabs>
        <w:ind w:left="1260" w:hanging="270"/>
        <w:rPr>
          <w:color w:val="FF0000"/>
          <w:spacing w:val="8"/>
          <w:sz w:val="24"/>
          <w:szCs w:val="24"/>
        </w:rPr>
      </w:pPr>
      <w:r w:rsidRPr="006B3C99">
        <w:rPr>
          <w:color w:val="FF0000"/>
          <w:sz w:val="24"/>
          <w:szCs w:val="24"/>
        </w:rPr>
        <w:t xml:space="preserve">The </w:t>
      </w:r>
      <w:r w:rsidRPr="006B3C99">
        <w:rPr>
          <w:color w:val="FF0000"/>
          <w:spacing w:val="8"/>
          <w:sz w:val="24"/>
          <w:szCs w:val="24"/>
        </w:rPr>
        <w:t>temporary hold may be extended 10 business days</w:t>
      </w:r>
    </w:p>
    <w:p w14:paraId="19271CB8" w14:textId="77777777" w:rsidR="006B3C99" w:rsidRPr="006B3C99" w:rsidRDefault="006B3C99" w:rsidP="0005402C">
      <w:pPr>
        <w:numPr>
          <w:ilvl w:val="0"/>
          <w:numId w:val="400"/>
        </w:numPr>
        <w:tabs>
          <w:tab w:val="clear" w:pos="720"/>
          <w:tab w:val="num" w:pos="1260"/>
        </w:tabs>
        <w:spacing w:before="100" w:beforeAutospacing="1" w:after="100" w:afterAutospacing="1"/>
        <w:ind w:left="1260" w:hanging="270"/>
        <w:rPr>
          <w:color w:val="FF0000"/>
          <w:spacing w:val="8"/>
          <w:sz w:val="24"/>
          <w:szCs w:val="24"/>
        </w:rPr>
      </w:pPr>
      <w:r w:rsidRPr="006B3C99">
        <w:rPr>
          <w:color w:val="FF0000"/>
          <w:spacing w:val="8"/>
          <w:sz w:val="24"/>
          <w:szCs w:val="24"/>
        </w:rPr>
        <w:t>The temporary hold may be extended an additional 30 business days beyond the initial 25 days (the first 15-day hold plus the extension of 10 days) for a total potential hold of 55 business days</w:t>
      </w:r>
    </w:p>
    <w:p w14:paraId="2B99137A" w14:textId="0C858D99" w:rsidR="006D3A1D" w:rsidRPr="006B3C99" w:rsidRDefault="006D3A1D" w:rsidP="006B3C99">
      <w:pPr>
        <w:shd w:val="clear" w:color="auto" w:fill="FFFFFF"/>
        <w:rPr>
          <w:sz w:val="24"/>
          <w:szCs w:val="24"/>
        </w:rPr>
      </w:pPr>
    </w:p>
    <w:p w14:paraId="54F88DCC" w14:textId="77777777" w:rsidR="00B50022" w:rsidRPr="008B4FFD" w:rsidRDefault="00B50022" w:rsidP="00CE108D">
      <w:pPr>
        <w:shd w:val="clear" w:color="auto" w:fill="FFFFFF"/>
        <w:ind w:left="270"/>
        <w:rPr>
          <w:rStyle w:val="us"/>
          <w:sz w:val="24"/>
          <w:szCs w:val="24"/>
        </w:rPr>
      </w:pPr>
    </w:p>
    <w:p w14:paraId="5E64B0B6" w14:textId="77777777" w:rsidR="00CE108D" w:rsidRPr="008B4FFD" w:rsidRDefault="00CE108D" w:rsidP="00CE108D">
      <w:pPr>
        <w:shd w:val="clear" w:color="auto" w:fill="FFFFFF"/>
        <w:ind w:left="270"/>
        <w:rPr>
          <w:sz w:val="24"/>
          <w:szCs w:val="24"/>
        </w:rPr>
      </w:pPr>
      <w:r w:rsidRPr="008B4FFD">
        <w:rPr>
          <w:rStyle w:val="us"/>
          <w:sz w:val="24"/>
          <w:szCs w:val="24"/>
        </w:rPr>
        <w:t xml:space="preserve">Provided </w:t>
      </w:r>
      <w:r w:rsidR="00B50022" w:rsidRPr="008B4FFD">
        <w:rPr>
          <w:rStyle w:val="us"/>
          <w:sz w:val="24"/>
          <w:szCs w:val="24"/>
        </w:rPr>
        <w:t>Company</w:t>
      </w:r>
      <w:r w:rsidRPr="008B4FFD">
        <w:rPr>
          <w:rStyle w:val="us"/>
          <w:sz w:val="24"/>
          <w:szCs w:val="24"/>
        </w:rPr>
        <w:t xml:space="preserve">'s internal review of the facts and circumstances under this Rule supports the </w:t>
      </w:r>
      <w:r w:rsidR="006D1158" w:rsidRPr="008B4FFD">
        <w:rPr>
          <w:rStyle w:val="us"/>
          <w:sz w:val="24"/>
          <w:szCs w:val="24"/>
        </w:rPr>
        <w:t>Company</w:t>
      </w:r>
      <w:r w:rsidRPr="008B4FFD">
        <w:rPr>
          <w:rStyle w:val="us"/>
          <w:sz w:val="24"/>
          <w:szCs w:val="24"/>
        </w:rPr>
        <w:t>'s reasonable belief that the financial exploitation of the Specified Adult has occurred, is occurring, has been attempted, or will be attempted, the temporary hold authorized by this Rule may be extended for no longer than 10 business days following the date authorized by this Rule, unless otherwise terminated or extended by a state regulator or agency of competent jurisdiction or a court of competent jurisdiction.</w:t>
      </w:r>
    </w:p>
    <w:p w14:paraId="57DC1BA5" w14:textId="77777777" w:rsidR="006D1158" w:rsidRPr="008B4FFD" w:rsidRDefault="006D1158" w:rsidP="00CE108D">
      <w:pPr>
        <w:shd w:val="clear" w:color="auto" w:fill="FFFFFF"/>
        <w:ind w:left="270"/>
        <w:rPr>
          <w:rStyle w:val="Strong"/>
          <w:sz w:val="24"/>
          <w:szCs w:val="24"/>
        </w:rPr>
      </w:pPr>
    </w:p>
    <w:p w14:paraId="321D6781" w14:textId="1A0EE781" w:rsidR="00CE108D" w:rsidRPr="00282431" w:rsidRDefault="00282431" w:rsidP="001A587F">
      <w:pPr>
        <w:pStyle w:val="Heading4"/>
      </w:pPr>
      <w:r w:rsidRPr="00282431">
        <w:rPr>
          <w:rStyle w:val="Strong"/>
          <w:b/>
          <w:bCs w:val="0"/>
        </w:rPr>
        <w:t xml:space="preserve">5.25.4.2 </w:t>
      </w:r>
      <w:r w:rsidR="00CE108D" w:rsidRPr="00282431">
        <w:rPr>
          <w:rStyle w:val="Strong"/>
          <w:b/>
          <w:bCs w:val="0"/>
        </w:rPr>
        <w:t>Supervision</w:t>
      </w:r>
    </w:p>
    <w:p w14:paraId="2D187C2F" w14:textId="77777777" w:rsidR="006D1158" w:rsidRPr="008B4FFD" w:rsidRDefault="00C86FE7" w:rsidP="00282431">
      <w:pPr>
        <w:shd w:val="clear" w:color="auto" w:fill="FFFFFF"/>
        <w:ind w:left="360"/>
        <w:rPr>
          <w:rStyle w:val="us"/>
          <w:sz w:val="24"/>
          <w:szCs w:val="24"/>
        </w:rPr>
      </w:pPr>
      <w:r w:rsidRPr="008B4FFD">
        <w:rPr>
          <w:rStyle w:val="us"/>
          <w:sz w:val="24"/>
          <w:szCs w:val="24"/>
        </w:rPr>
        <w:t>Any Company employee who detects the need for a hold shall notify Morris Monroe, the OSJ Supervisor, or Compliance</w:t>
      </w:r>
      <w:r w:rsidR="00CE108D" w:rsidRPr="008B4FFD">
        <w:rPr>
          <w:rStyle w:val="us"/>
          <w:sz w:val="24"/>
          <w:szCs w:val="24"/>
        </w:rPr>
        <w:t xml:space="preserve"> </w:t>
      </w:r>
      <w:r w:rsidR="00C46D61" w:rsidRPr="008B4FFD">
        <w:rPr>
          <w:rStyle w:val="us"/>
          <w:sz w:val="24"/>
          <w:szCs w:val="24"/>
        </w:rPr>
        <w:t xml:space="preserve">(Laura Hendricks) </w:t>
      </w:r>
      <w:r w:rsidRPr="008B4FFD">
        <w:rPr>
          <w:rStyle w:val="us"/>
          <w:sz w:val="24"/>
          <w:szCs w:val="24"/>
        </w:rPr>
        <w:t xml:space="preserve">who are </w:t>
      </w:r>
      <w:r w:rsidR="00C46D61" w:rsidRPr="008B4FFD">
        <w:rPr>
          <w:rStyle w:val="us"/>
          <w:sz w:val="24"/>
          <w:szCs w:val="24"/>
        </w:rPr>
        <w:t xml:space="preserve">each </w:t>
      </w:r>
      <w:r w:rsidR="00CE108D" w:rsidRPr="008B4FFD">
        <w:rPr>
          <w:rStyle w:val="us"/>
          <w:sz w:val="24"/>
          <w:szCs w:val="24"/>
        </w:rPr>
        <w:t xml:space="preserve">authorized to place, terminate or extend a temporary hold on behalf of the member pursuant to this Rule. </w:t>
      </w:r>
    </w:p>
    <w:p w14:paraId="1F60D305" w14:textId="77777777" w:rsidR="00C46D61" w:rsidRPr="008B4FFD" w:rsidRDefault="00C46D61" w:rsidP="00CE108D">
      <w:pPr>
        <w:shd w:val="clear" w:color="auto" w:fill="FFFFFF"/>
        <w:ind w:left="270"/>
        <w:rPr>
          <w:rStyle w:val="Strong"/>
          <w:sz w:val="24"/>
          <w:szCs w:val="24"/>
        </w:rPr>
      </w:pPr>
    </w:p>
    <w:p w14:paraId="608C2647" w14:textId="64FA07B9" w:rsidR="00CE108D" w:rsidRPr="001A587F" w:rsidRDefault="001A587F" w:rsidP="001A587F">
      <w:pPr>
        <w:pStyle w:val="Heading4"/>
      </w:pPr>
      <w:r w:rsidRPr="001A587F">
        <w:rPr>
          <w:rStyle w:val="Strong"/>
          <w:b/>
          <w:bCs w:val="0"/>
        </w:rPr>
        <w:t xml:space="preserve">5.25.4.3 </w:t>
      </w:r>
      <w:r w:rsidR="00CE108D" w:rsidRPr="001A587F">
        <w:rPr>
          <w:rStyle w:val="Strong"/>
          <w:b/>
          <w:bCs w:val="0"/>
        </w:rPr>
        <w:t>Record Retention</w:t>
      </w:r>
    </w:p>
    <w:p w14:paraId="7BA56C39" w14:textId="77777777" w:rsidR="00CE108D" w:rsidRPr="008B4FFD" w:rsidRDefault="00C46D61" w:rsidP="00936FEE">
      <w:pPr>
        <w:shd w:val="clear" w:color="auto" w:fill="FFFFFF"/>
        <w:ind w:left="270"/>
        <w:rPr>
          <w:sz w:val="24"/>
          <w:szCs w:val="24"/>
        </w:rPr>
      </w:pPr>
      <w:r w:rsidRPr="008B4FFD">
        <w:rPr>
          <w:rStyle w:val="us"/>
          <w:sz w:val="24"/>
          <w:szCs w:val="24"/>
        </w:rPr>
        <w:t xml:space="preserve">Company </w:t>
      </w:r>
      <w:r w:rsidR="00CE108D" w:rsidRPr="008B4FFD">
        <w:rPr>
          <w:rStyle w:val="us"/>
          <w:sz w:val="24"/>
          <w:szCs w:val="24"/>
        </w:rPr>
        <w:t xml:space="preserve">shall retain records related to compliance with this Rule, which shall be readily available to FINRA, upon request. The retained records shall include records of: (1) request(s) for disbursement that may constitute financial exploitation of a Specified Adult and the resulting temporary hold; (2) the finding of a reasonable belief that financial exploitation has occurred, is occurring, has been attempted, or will be attempted underlying the decision to place a temporary hold on a disbursement; (3) the name and title of the </w:t>
      </w:r>
      <w:r w:rsidRPr="008B4FFD">
        <w:rPr>
          <w:rStyle w:val="us"/>
          <w:sz w:val="24"/>
          <w:szCs w:val="24"/>
        </w:rPr>
        <w:t>A</w:t>
      </w:r>
      <w:r w:rsidR="00CE108D" w:rsidRPr="008B4FFD">
        <w:rPr>
          <w:rStyle w:val="us"/>
          <w:sz w:val="24"/>
          <w:szCs w:val="24"/>
        </w:rPr>
        <w:t xml:space="preserve">ssociated </w:t>
      </w:r>
      <w:r w:rsidRPr="008B4FFD">
        <w:rPr>
          <w:rStyle w:val="us"/>
          <w:sz w:val="24"/>
          <w:szCs w:val="24"/>
        </w:rPr>
        <w:t>P</w:t>
      </w:r>
      <w:r w:rsidR="00CE108D" w:rsidRPr="008B4FFD">
        <w:rPr>
          <w:rStyle w:val="us"/>
          <w:sz w:val="24"/>
          <w:szCs w:val="24"/>
        </w:rPr>
        <w:t>erson that authorized the temporary hold on a disbursement; (4) notification(s) to the relevant parties pursuant to paragraph this Rule; and (5) the internal review of the facts and circumstances pursuant to this Rule.</w:t>
      </w:r>
    </w:p>
    <w:p w14:paraId="1435BF45" w14:textId="77777777" w:rsidR="00CE4F70" w:rsidRPr="00B30F8C" w:rsidRDefault="00CE4F70" w:rsidP="00D2531A">
      <w:pPr>
        <w:ind w:left="270"/>
        <w:rPr>
          <w:sz w:val="24"/>
          <w:szCs w:val="24"/>
        </w:rPr>
      </w:pPr>
    </w:p>
    <w:p w14:paraId="6CF77795" w14:textId="77777777" w:rsidR="00D2531A" w:rsidRPr="00B30F8C" w:rsidRDefault="00D2531A" w:rsidP="00D2531A"/>
    <w:p w14:paraId="0FC5770B" w14:textId="3ABB9F02" w:rsidR="00936FEE" w:rsidRPr="004C35A3" w:rsidRDefault="00D2531A" w:rsidP="00936FEE">
      <w:pPr>
        <w:pStyle w:val="Heading3"/>
        <w:rPr>
          <w:b w:val="0"/>
          <w:bCs/>
        </w:rPr>
      </w:pPr>
      <w:r w:rsidRPr="00936FEE">
        <w:lastRenderedPageBreak/>
        <w:t>5.2</w:t>
      </w:r>
      <w:r w:rsidR="00936FEE">
        <w:t>5.5</w:t>
      </w:r>
      <w:r w:rsidRPr="00936FEE">
        <w:t xml:space="preserve"> </w:t>
      </w:r>
      <w:r w:rsidR="00936FEE" w:rsidRPr="00936FEE">
        <w:t>Registered Persons (RRs) Being A Customer's Beneficiary Or Holding A Position Of Trust</w:t>
      </w:r>
      <w:r w:rsidR="004C35A3">
        <w:t xml:space="preserve"> </w:t>
      </w:r>
      <w:r w:rsidR="004C35A3" w:rsidRPr="004C35A3">
        <w:rPr>
          <w:b w:val="0"/>
          <w:bCs/>
          <w:i/>
          <w:iCs/>
          <w:sz w:val="20"/>
          <w:szCs w:val="20"/>
        </w:rPr>
        <w:t>(05/25/22)</w:t>
      </w:r>
    </w:p>
    <w:p w14:paraId="730CC359" w14:textId="1E834D5B" w:rsidR="00D84338" w:rsidRPr="00D84338" w:rsidRDefault="00D84338" w:rsidP="00D84338">
      <w:pPr>
        <w:spacing w:before="15" w:after="100" w:afterAutospacing="1" w:line="240" w:lineRule="atLeast"/>
        <w:ind w:left="270"/>
        <w:rPr>
          <w:color w:val="FF0000"/>
          <w:spacing w:val="8"/>
          <w:sz w:val="24"/>
          <w:szCs w:val="24"/>
        </w:rPr>
      </w:pPr>
      <w:r w:rsidRPr="00D84338">
        <w:rPr>
          <w:color w:val="FF0000"/>
          <w:spacing w:val="8"/>
          <w:sz w:val="24"/>
          <w:szCs w:val="24"/>
        </w:rPr>
        <w:t>RRs are limited from being named a beneficiary, executor or trustee, or having a power of attorney or similar position of trust for or on behalf of a customer. The RR is responsible for immediately notifying Compliance of any such potential designation. The notice requirement includes RRs who hold a beneficiary or position of trust status for an account transferring from a prior employer; the transferring RR must provide notice within 30 days of employment.</w:t>
      </w:r>
    </w:p>
    <w:p w14:paraId="4BAF1EC6" w14:textId="521A2FFC" w:rsidR="00D84338" w:rsidRPr="00D84338" w:rsidRDefault="00D84338" w:rsidP="00D84338">
      <w:pPr>
        <w:spacing w:before="15" w:after="100" w:afterAutospacing="1" w:line="240" w:lineRule="atLeast"/>
        <w:ind w:left="270"/>
        <w:rPr>
          <w:color w:val="FF0000"/>
          <w:spacing w:val="8"/>
          <w:sz w:val="24"/>
          <w:szCs w:val="24"/>
        </w:rPr>
      </w:pPr>
      <w:r w:rsidRPr="00D84338">
        <w:rPr>
          <w:color w:val="FF0000"/>
          <w:spacing w:val="8"/>
          <w:sz w:val="24"/>
          <w:szCs w:val="24"/>
        </w:rPr>
        <w:t>These limitations do </w:t>
      </w:r>
      <w:r w:rsidRPr="00D84338">
        <w:rPr>
          <w:b/>
          <w:bCs/>
          <w:color w:val="FF0000"/>
          <w:spacing w:val="8"/>
          <w:sz w:val="24"/>
          <w:szCs w:val="24"/>
        </w:rPr>
        <w:t>not</w:t>
      </w:r>
      <w:r w:rsidRPr="00D84338">
        <w:rPr>
          <w:color w:val="FF0000"/>
          <w:spacing w:val="8"/>
          <w:sz w:val="24"/>
          <w:szCs w:val="24"/>
        </w:rPr>
        <w:t> apply where the customer is a member of the registered person's "immediate family. In addition, a registered person who does not have customer accounts assigned to him/her is not subject to these requirements.</w:t>
      </w:r>
    </w:p>
    <w:p w14:paraId="183C6C12" w14:textId="77777777" w:rsidR="00D84338" w:rsidRPr="00D84338" w:rsidRDefault="00D84338" w:rsidP="00D84338">
      <w:pPr>
        <w:spacing w:before="15" w:after="100" w:afterAutospacing="1" w:line="240" w:lineRule="atLeast"/>
        <w:ind w:left="270"/>
        <w:rPr>
          <w:color w:val="FF0000"/>
          <w:spacing w:val="8"/>
          <w:sz w:val="24"/>
          <w:szCs w:val="24"/>
        </w:rPr>
      </w:pPr>
      <w:r w:rsidRPr="00D84338">
        <w:rPr>
          <w:color w:val="FF0000"/>
          <w:spacing w:val="8"/>
          <w:sz w:val="24"/>
          <w:szCs w:val="24"/>
        </w:rPr>
        <w:t>Exceptions to this limitation must be requested, in writing, from Compliance. The request must include the name(s) of the customer's account(s) and in what role the registered person will act (beneficiary, executor, trustee, </w:t>
      </w:r>
      <w:r w:rsidRPr="00D84338">
        <w:rPr>
          <w:i/>
          <w:iCs/>
          <w:color w:val="FF0000"/>
          <w:spacing w:val="8"/>
          <w:sz w:val="24"/>
          <w:szCs w:val="24"/>
        </w:rPr>
        <w:t>etc.</w:t>
      </w:r>
      <w:r w:rsidRPr="00D84338">
        <w:rPr>
          <w:color w:val="FF0000"/>
          <w:spacing w:val="8"/>
          <w:sz w:val="24"/>
          <w:szCs w:val="24"/>
        </w:rPr>
        <w:t>) as well as the following:</w:t>
      </w:r>
    </w:p>
    <w:p w14:paraId="610AB5B8" w14:textId="77777777" w:rsidR="00D84338" w:rsidRPr="00D84338" w:rsidRDefault="00D84338" w:rsidP="0005402C">
      <w:pPr>
        <w:numPr>
          <w:ilvl w:val="0"/>
          <w:numId w:val="402"/>
        </w:numPr>
        <w:tabs>
          <w:tab w:val="clear" w:pos="720"/>
        </w:tabs>
        <w:spacing w:before="100" w:beforeAutospacing="1" w:after="100" w:afterAutospacing="1"/>
        <w:ind w:left="810" w:hanging="270"/>
        <w:rPr>
          <w:color w:val="FF0000"/>
          <w:spacing w:val="8"/>
          <w:sz w:val="24"/>
          <w:szCs w:val="24"/>
        </w:rPr>
      </w:pPr>
      <w:r w:rsidRPr="00D84338">
        <w:rPr>
          <w:color w:val="FF0000"/>
          <w:spacing w:val="8"/>
          <w:sz w:val="24"/>
          <w:szCs w:val="24"/>
        </w:rPr>
        <w:t>length and type of relationship between the customer and the registered person</w:t>
      </w:r>
    </w:p>
    <w:p w14:paraId="72EA431C" w14:textId="77777777" w:rsidR="00D84338" w:rsidRPr="00D84338" w:rsidRDefault="00D84338" w:rsidP="0005402C">
      <w:pPr>
        <w:numPr>
          <w:ilvl w:val="0"/>
          <w:numId w:val="402"/>
        </w:numPr>
        <w:tabs>
          <w:tab w:val="clear" w:pos="720"/>
        </w:tabs>
        <w:spacing w:before="100" w:beforeAutospacing="1" w:after="100" w:afterAutospacing="1"/>
        <w:ind w:left="810" w:hanging="270"/>
        <w:rPr>
          <w:color w:val="FF0000"/>
          <w:spacing w:val="8"/>
          <w:sz w:val="24"/>
          <w:szCs w:val="24"/>
        </w:rPr>
      </w:pPr>
      <w:r w:rsidRPr="00D84338">
        <w:rPr>
          <w:color w:val="FF0000"/>
          <w:spacing w:val="8"/>
          <w:sz w:val="24"/>
          <w:szCs w:val="24"/>
        </w:rPr>
        <w:t>the customer's age</w:t>
      </w:r>
    </w:p>
    <w:p w14:paraId="201D7F43" w14:textId="77777777" w:rsidR="00D84338" w:rsidRPr="00D84338" w:rsidRDefault="00D84338" w:rsidP="0005402C">
      <w:pPr>
        <w:numPr>
          <w:ilvl w:val="0"/>
          <w:numId w:val="402"/>
        </w:numPr>
        <w:tabs>
          <w:tab w:val="clear" w:pos="720"/>
        </w:tabs>
        <w:spacing w:before="100" w:beforeAutospacing="1" w:after="100" w:afterAutospacing="1"/>
        <w:ind w:left="810" w:hanging="270"/>
        <w:rPr>
          <w:color w:val="FF0000"/>
          <w:spacing w:val="8"/>
          <w:sz w:val="24"/>
          <w:szCs w:val="24"/>
        </w:rPr>
      </w:pPr>
      <w:r w:rsidRPr="00D84338">
        <w:rPr>
          <w:color w:val="FF0000"/>
          <w:spacing w:val="8"/>
          <w:sz w:val="24"/>
          <w:szCs w:val="24"/>
        </w:rPr>
        <w:t>the size of any bequest relative to the size of the customer's estate</w:t>
      </w:r>
    </w:p>
    <w:p w14:paraId="26A7EB02" w14:textId="77777777" w:rsidR="00D84338" w:rsidRPr="00D84338" w:rsidRDefault="00D84338" w:rsidP="0005402C">
      <w:pPr>
        <w:numPr>
          <w:ilvl w:val="0"/>
          <w:numId w:val="402"/>
        </w:numPr>
        <w:tabs>
          <w:tab w:val="clear" w:pos="720"/>
        </w:tabs>
        <w:spacing w:before="100" w:beforeAutospacing="1" w:after="100" w:afterAutospacing="1"/>
        <w:ind w:left="810" w:hanging="270"/>
        <w:rPr>
          <w:color w:val="FF0000"/>
          <w:spacing w:val="8"/>
          <w:sz w:val="24"/>
          <w:szCs w:val="24"/>
        </w:rPr>
      </w:pPr>
      <w:r w:rsidRPr="00D84338">
        <w:rPr>
          <w:color w:val="FF0000"/>
          <w:spacing w:val="8"/>
          <w:sz w:val="24"/>
          <w:szCs w:val="24"/>
        </w:rPr>
        <w:t>any remuneration to be paid to the RR</w:t>
      </w:r>
    </w:p>
    <w:p w14:paraId="12EF7203" w14:textId="77777777" w:rsidR="00D84338" w:rsidRPr="00D84338" w:rsidRDefault="00D84338" w:rsidP="0005402C">
      <w:pPr>
        <w:numPr>
          <w:ilvl w:val="0"/>
          <w:numId w:val="402"/>
        </w:numPr>
        <w:tabs>
          <w:tab w:val="clear" w:pos="720"/>
        </w:tabs>
        <w:spacing w:before="100" w:beforeAutospacing="1" w:after="100" w:afterAutospacing="1"/>
        <w:ind w:left="810" w:hanging="270"/>
        <w:rPr>
          <w:color w:val="FF0000"/>
          <w:spacing w:val="8"/>
          <w:sz w:val="24"/>
          <w:szCs w:val="24"/>
        </w:rPr>
      </w:pPr>
      <w:r w:rsidRPr="00D84338">
        <w:rPr>
          <w:color w:val="FF0000"/>
          <w:spacing w:val="8"/>
          <w:sz w:val="24"/>
          <w:szCs w:val="24"/>
        </w:rPr>
        <w:t>any customer mental or physical impairment that renders the customer unable to protect his or her own interests</w:t>
      </w:r>
    </w:p>
    <w:p w14:paraId="06F59F1B" w14:textId="77777777" w:rsidR="00D84338" w:rsidRPr="00D84338" w:rsidRDefault="00D84338" w:rsidP="00D84338">
      <w:pPr>
        <w:spacing w:before="15" w:after="100" w:afterAutospacing="1" w:line="240" w:lineRule="atLeast"/>
        <w:ind w:left="270"/>
        <w:rPr>
          <w:color w:val="FF0000"/>
          <w:spacing w:val="8"/>
          <w:sz w:val="24"/>
          <w:szCs w:val="24"/>
        </w:rPr>
      </w:pPr>
      <w:r w:rsidRPr="00D84338">
        <w:rPr>
          <w:color w:val="FF0000"/>
          <w:spacing w:val="8"/>
          <w:sz w:val="24"/>
          <w:szCs w:val="24"/>
        </w:rPr>
        <w:t>Registered persons may </w:t>
      </w:r>
      <w:r w:rsidRPr="00D84338">
        <w:rPr>
          <w:b/>
          <w:bCs/>
          <w:color w:val="FF0000"/>
          <w:spacing w:val="8"/>
          <w:sz w:val="24"/>
          <w:szCs w:val="24"/>
        </w:rPr>
        <w:t>not</w:t>
      </w:r>
      <w:r w:rsidRPr="00D84338">
        <w:rPr>
          <w:color w:val="FF0000"/>
          <w:spacing w:val="8"/>
          <w:sz w:val="24"/>
          <w:szCs w:val="24"/>
        </w:rPr>
        <w:t> accept such a role without </w:t>
      </w:r>
      <w:r w:rsidRPr="00D84338">
        <w:rPr>
          <w:b/>
          <w:bCs/>
          <w:color w:val="FF0000"/>
          <w:spacing w:val="8"/>
          <w:sz w:val="24"/>
          <w:szCs w:val="24"/>
        </w:rPr>
        <w:t>prior</w:t>
      </w:r>
      <w:r w:rsidRPr="00D84338">
        <w:rPr>
          <w:color w:val="FF0000"/>
          <w:spacing w:val="8"/>
          <w:sz w:val="24"/>
          <w:szCs w:val="24"/>
        </w:rPr>
        <w:t> approval from Compliance. In addition, a registered person may not instruct or ask a customer to name another person, such as the registered person's spouse or child, to be a beneficiary of the customer's estate or to receive a bequest from that estate.</w:t>
      </w:r>
    </w:p>
    <w:p w14:paraId="17E58343" w14:textId="77777777" w:rsidR="00D84338" w:rsidRPr="00D84338" w:rsidRDefault="00D84338" w:rsidP="00D84338">
      <w:pPr>
        <w:ind w:left="274"/>
        <w:rPr>
          <w:color w:val="FF0000"/>
          <w:spacing w:val="8"/>
          <w:sz w:val="24"/>
          <w:szCs w:val="24"/>
        </w:rPr>
      </w:pPr>
      <w:r w:rsidRPr="00D84338">
        <w:rPr>
          <w:color w:val="FF0000"/>
          <w:spacing w:val="8"/>
          <w:sz w:val="24"/>
          <w:szCs w:val="24"/>
        </w:rPr>
        <w:t>In the event a registered person unknowingly becomes the subject of these limitations (</w:t>
      </w:r>
      <w:r w:rsidRPr="00D84338">
        <w:rPr>
          <w:i/>
          <w:iCs/>
          <w:color w:val="FF0000"/>
          <w:spacing w:val="8"/>
          <w:sz w:val="24"/>
          <w:szCs w:val="24"/>
        </w:rPr>
        <w:t>e.g.,</w:t>
      </w:r>
      <w:r w:rsidRPr="00D84338">
        <w:rPr>
          <w:color w:val="FF0000"/>
          <w:spacing w:val="8"/>
          <w:sz w:val="24"/>
          <w:szCs w:val="24"/>
        </w:rPr>
        <w:t> notification of receiving a bequest, being named an executor, </w:t>
      </w:r>
      <w:r w:rsidRPr="00D84338">
        <w:rPr>
          <w:i/>
          <w:iCs/>
          <w:color w:val="FF0000"/>
          <w:spacing w:val="8"/>
          <w:sz w:val="24"/>
          <w:szCs w:val="24"/>
        </w:rPr>
        <w:t>etc.</w:t>
      </w:r>
      <w:r w:rsidRPr="00D84338">
        <w:rPr>
          <w:color w:val="FF0000"/>
          <w:spacing w:val="8"/>
          <w:sz w:val="24"/>
          <w:szCs w:val="24"/>
        </w:rPr>
        <w:t>), the registered person is obligated to decline the role or bequest unless written notice is provided to Compliance and approval is received.</w:t>
      </w:r>
    </w:p>
    <w:p w14:paraId="393CFB08" w14:textId="2574A15D" w:rsidR="00936FEE" w:rsidRDefault="00936FEE" w:rsidP="00D84338">
      <w:pPr>
        <w:ind w:left="274"/>
      </w:pPr>
    </w:p>
    <w:p w14:paraId="6CB36DD6" w14:textId="1999E80E" w:rsidR="00C23199" w:rsidRDefault="00936FEE" w:rsidP="00D84338">
      <w:pPr>
        <w:pStyle w:val="Heading3"/>
        <w:ind w:left="274"/>
        <w:jc w:val="left"/>
      </w:pPr>
      <w:r>
        <w:t>5.26.</w:t>
      </w:r>
      <w:r w:rsidR="00271E2E">
        <w:t>6</w:t>
      </w:r>
      <w:r>
        <w:t xml:space="preserve"> </w:t>
      </w:r>
      <w:r w:rsidR="007C6877" w:rsidRPr="00126568">
        <w:t xml:space="preserve">Red Flags   </w:t>
      </w:r>
    </w:p>
    <w:p w14:paraId="4C19F28F" w14:textId="1BAF24BA" w:rsidR="007C6877" w:rsidRPr="00126568" w:rsidRDefault="007C6877" w:rsidP="00CC601C">
      <w:pPr>
        <w:ind w:left="270"/>
        <w:rPr>
          <w:b/>
          <w:sz w:val="24"/>
        </w:rPr>
      </w:pPr>
      <w:r w:rsidRPr="00126568">
        <w:rPr>
          <w:sz w:val="24"/>
        </w:rPr>
        <w:t xml:space="preserve">Diminished capacity and elder abuse </w:t>
      </w:r>
      <w:r w:rsidRPr="00126568">
        <w:rPr>
          <w:sz w:val="24"/>
          <w:szCs w:val="24"/>
        </w:rPr>
        <w:t>are two problems that emphasize the particular vulnerability of many older clients.  Diminished mental capacity, such as Alzheimer’s disease and other forms of dementia, may impair a client’s ability to make appropriate decisions regarding his or her portfolio.  Elder financial abuse occurs when a person exploits a position of trust or influence in order to gain power over a senior citizen’s assets.  Below are some common “red flags” for diminished capacity and suspected elder abuse, as well as procedures for escalating these issues.</w:t>
      </w:r>
    </w:p>
    <w:p w14:paraId="1A7B457F" w14:textId="77777777" w:rsidR="007C6877" w:rsidRDefault="007C6877" w:rsidP="00A352B4">
      <w:pPr>
        <w:ind w:left="1080"/>
        <w:rPr>
          <w:b/>
          <w:sz w:val="24"/>
        </w:rPr>
      </w:pPr>
    </w:p>
    <w:p w14:paraId="0625E20C" w14:textId="77777777" w:rsidR="007C6877" w:rsidRPr="00126568" w:rsidRDefault="007C6877" w:rsidP="00A352B4">
      <w:pPr>
        <w:ind w:left="1080"/>
        <w:rPr>
          <w:sz w:val="24"/>
        </w:rPr>
      </w:pPr>
      <w:r w:rsidRPr="00126568">
        <w:rPr>
          <w:b/>
          <w:sz w:val="24"/>
        </w:rPr>
        <w:t>RED FLAGS</w:t>
      </w:r>
      <w:r w:rsidRPr="00126568">
        <w:rPr>
          <w:sz w:val="24"/>
        </w:rPr>
        <w:t xml:space="preserve">: </w:t>
      </w:r>
    </w:p>
    <w:p w14:paraId="765D8FB8" w14:textId="77777777" w:rsidR="007C6877" w:rsidRPr="00126568" w:rsidRDefault="007C6877" w:rsidP="00A352B4">
      <w:pPr>
        <w:ind w:left="1080"/>
        <w:rPr>
          <w:sz w:val="24"/>
        </w:rPr>
      </w:pPr>
    </w:p>
    <w:p w14:paraId="7E5F69DF" w14:textId="77777777" w:rsidR="004F1DE7" w:rsidRPr="00D949D0" w:rsidRDefault="007C6877" w:rsidP="00A352B4">
      <w:pPr>
        <w:ind w:left="1080"/>
        <w:rPr>
          <w:sz w:val="24"/>
        </w:rPr>
      </w:pPr>
      <w:r w:rsidRPr="00126568">
        <w:rPr>
          <w:b/>
          <w:sz w:val="24"/>
          <w:u w:val="single"/>
        </w:rPr>
        <w:t>Diminished Capacity</w:t>
      </w:r>
      <w:r w:rsidRPr="00126568">
        <w:rPr>
          <w:sz w:val="24"/>
        </w:rPr>
        <w:t xml:space="preserve">:  </w:t>
      </w:r>
      <w:r w:rsidR="004F1DE7" w:rsidRPr="00D949D0">
        <w:rPr>
          <w:sz w:val="24"/>
        </w:rPr>
        <w:t xml:space="preserve">A difficult issue is a customer who appears to be suffering from diminished capacity.  If a customer’s behavior suggests reduced capacity, it is important to take steps to protect the customer, the RR, and the Company.  Relatives </w:t>
      </w:r>
      <w:r w:rsidR="004F1DE7" w:rsidRPr="00D949D0">
        <w:rPr>
          <w:sz w:val="24"/>
        </w:rPr>
        <w:lastRenderedPageBreak/>
        <w:t xml:space="preserve">or estate beneficiaries may file a complaint or lawsuit if they believe the customer was unable to understand what was occurring in his/her account.  </w:t>
      </w:r>
    </w:p>
    <w:p w14:paraId="2D6D7CBC" w14:textId="77777777" w:rsidR="004F1DE7" w:rsidRDefault="004F1DE7" w:rsidP="00A352B4">
      <w:pPr>
        <w:ind w:left="1080"/>
        <w:rPr>
          <w:sz w:val="24"/>
        </w:rPr>
      </w:pPr>
    </w:p>
    <w:p w14:paraId="5C57015A" w14:textId="77777777" w:rsidR="007C6877" w:rsidRPr="00126568" w:rsidRDefault="003A6BA7" w:rsidP="00A352B4">
      <w:pPr>
        <w:ind w:left="1080"/>
        <w:rPr>
          <w:sz w:val="24"/>
        </w:rPr>
      </w:pPr>
      <w:r w:rsidRPr="00126568">
        <w:rPr>
          <w:sz w:val="24"/>
        </w:rPr>
        <w:t>Keep</w:t>
      </w:r>
      <w:r w:rsidR="007C6877" w:rsidRPr="00126568">
        <w:rPr>
          <w:sz w:val="24"/>
        </w:rPr>
        <w:t xml:space="preserve"> in mind this is not an </w:t>
      </w:r>
      <w:r w:rsidR="003E7E30" w:rsidRPr="00126568">
        <w:rPr>
          <w:sz w:val="24"/>
        </w:rPr>
        <w:t>all-inclusive</w:t>
      </w:r>
      <w:r w:rsidR="007C6877" w:rsidRPr="00126568">
        <w:rPr>
          <w:sz w:val="24"/>
        </w:rPr>
        <w:t xml:space="preserve"> list nor is one item alone indicative of the condition, however, these red flags are provided for assistance in noting developments that may occur with senior clients:</w:t>
      </w:r>
    </w:p>
    <w:p w14:paraId="10DBB75C" w14:textId="77777777" w:rsidR="007C6877" w:rsidRPr="00126568" w:rsidRDefault="007C6877" w:rsidP="00A352B4">
      <w:pPr>
        <w:ind w:left="1080"/>
        <w:rPr>
          <w:sz w:val="24"/>
        </w:rPr>
      </w:pPr>
    </w:p>
    <w:p w14:paraId="5815F9D8" w14:textId="77777777" w:rsidR="007C6877" w:rsidRPr="00126568" w:rsidRDefault="007C6877" w:rsidP="00A352B4">
      <w:pPr>
        <w:ind w:left="1080"/>
        <w:rPr>
          <w:sz w:val="24"/>
          <w:szCs w:val="24"/>
        </w:rPr>
      </w:pPr>
      <w:r w:rsidRPr="00126568">
        <w:rPr>
          <w:sz w:val="24"/>
          <w:szCs w:val="24"/>
        </w:rPr>
        <w:t>• Memory loss;</w:t>
      </w:r>
    </w:p>
    <w:p w14:paraId="5E1EC0DD" w14:textId="77777777" w:rsidR="007C6877" w:rsidRPr="00126568" w:rsidRDefault="007C6877" w:rsidP="00A352B4">
      <w:pPr>
        <w:tabs>
          <w:tab w:val="left" w:pos="1080"/>
        </w:tabs>
        <w:ind w:left="1080"/>
        <w:rPr>
          <w:sz w:val="24"/>
        </w:rPr>
      </w:pPr>
      <w:r w:rsidRPr="00126568">
        <w:rPr>
          <w:sz w:val="24"/>
          <w:szCs w:val="24"/>
        </w:rPr>
        <w:t>• D</w:t>
      </w:r>
      <w:r w:rsidRPr="00126568">
        <w:rPr>
          <w:sz w:val="24"/>
        </w:rPr>
        <w:t xml:space="preserve">isorientation or confusion; </w:t>
      </w:r>
    </w:p>
    <w:p w14:paraId="5CD9BF9E" w14:textId="77777777" w:rsidR="007C6877" w:rsidRPr="00126568" w:rsidRDefault="007C6877" w:rsidP="00A352B4">
      <w:pPr>
        <w:tabs>
          <w:tab w:val="left" w:pos="1080"/>
        </w:tabs>
        <w:ind w:left="1080"/>
        <w:rPr>
          <w:sz w:val="24"/>
        </w:rPr>
      </w:pPr>
      <w:r w:rsidRPr="00126568">
        <w:rPr>
          <w:sz w:val="24"/>
          <w:szCs w:val="24"/>
        </w:rPr>
        <w:t>• Diffic</w:t>
      </w:r>
      <w:r w:rsidRPr="00126568">
        <w:rPr>
          <w:sz w:val="24"/>
        </w:rPr>
        <w:t xml:space="preserve">ulty performing simple tasks; </w:t>
      </w:r>
    </w:p>
    <w:p w14:paraId="2898E85E" w14:textId="77777777" w:rsidR="007C6877" w:rsidRPr="00126568" w:rsidRDefault="007C6877" w:rsidP="00A352B4">
      <w:pPr>
        <w:tabs>
          <w:tab w:val="left" w:pos="1080"/>
        </w:tabs>
        <w:ind w:left="1080"/>
        <w:rPr>
          <w:sz w:val="24"/>
        </w:rPr>
      </w:pPr>
      <w:r w:rsidRPr="00126568">
        <w:rPr>
          <w:sz w:val="24"/>
          <w:szCs w:val="24"/>
        </w:rPr>
        <w:t>• Diffic</w:t>
      </w:r>
      <w:r w:rsidRPr="00126568">
        <w:rPr>
          <w:sz w:val="24"/>
        </w:rPr>
        <w:t xml:space="preserve">ulty speaking; </w:t>
      </w:r>
    </w:p>
    <w:p w14:paraId="0D171B12" w14:textId="77777777" w:rsidR="007C6877" w:rsidRPr="00126568" w:rsidRDefault="007C6877" w:rsidP="00A352B4">
      <w:pPr>
        <w:tabs>
          <w:tab w:val="left" w:pos="1080"/>
        </w:tabs>
        <w:ind w:left="1080"/>
        <w:rPr>
          <w:sz w:val="24"/>
        </w:rPr>
      </w:pPr>
      <w:r w:rsidRPr="00126568">
        <w:rPr>
          <w:sz w:val="24"/>
          <w:szCs w:val="24"/>
        </w:rPr>
        <w:t>• Diffic</w:t>
      </w:r>
      <w:r w:rsidRPr="00126568">
        <w:rPr>
          <w:sz w:val="24"/>
        </w:rPr>
        <w:t xml:space="preserve">ulty with abstract thinking; </w:t>
      </w:r>
    </w:p>
    <w:p w14:paraId="4A762880" w14:textId="77777777" w:rsidR="007C6877" w:rsidRPr="00126568" w:rsidRDefault="007C6877" w:rsidP="00A352B4">
      <w:pPr>
        <w:tabs>
          <w:tab w:val="left" w:pos="1080"/>
        </w:tabs>
        <w:ind w:left="1080"/>
        <w:rPr>
          <w:sz w:val="24"/>
        </w:rPr>
      </w:pPr>
      <w:r w:rsidRPr="00126568">
        <w:rPr>
          <w:sz w:val="24"/>
          <w:szCs w:val="24"/>
        </w:rPr>
        <w:t>• M</w:t>
      </w:r>
      <w:r w:rsidRPr="00126568">
        <w:rPr>
          <w:sz w:val="24"/>
        </w:rPr>
        <w:t xml:space="preserve">isplacing items; </w:t>
      </w:r>
    </w:p>
    <w:p w14:paraId="31FCA1B9" w14:textId="77777777" w:rsidR="007C6877" w:rsidRPr="00126568" w:rsidRDefault="007C6877" w:rsidP="00A352B4">
      <w:pPr>
        <w:tabs>
          <w:tab w:val="left" w:pos="1080"/>
        </w:tabs>
        <w:ind w:left="1080"/>
        <w:rPr>
          <w:sz w:val="24"/>
        </w:rPr>
      </w:pPr>
      <w:r w:rsidRPr="00126568">
        <w:rPr>
          <w:sz w:val="24"/>
          <w:szCs w:val="24"/>
        </w:rPr>
        <w:t>• D</w:t>
      </w:r>
      <w:r w:rsidRPr="00126568">
        <w:rPr>
          <w:sz w:val="24"/>
        </w:rPr>
        <w:t xml:space="preserve">rastic mood swings; </w:t>
      </w:r>
    </w:p>
    <w:p w14:paraId="43D50D46" w14:textId="77777777" w:rsidR="007C6877" w:rsidRPr="00126568" w:rsidRDefault="007C6877" w:rsidP="00A352B4">
      <w:pPr>
        <w:tabs>
          <w:tab w:val="left" w:pos="1080"/>
        </w:tabs>
        <w:ind w:left="1080"/>
        <w:rPr>
          <w:sz w:val="24"/>
        </w:rPr>
      </w:pPr>
      <w:r w:rsidRPr="00126568">
        <w:rPr>
          <w:sz w:val="24"/>
          <w:szCs w:val="24"/>
        </w:rPr>
        <w:t xml:space="preserve">• </w:t>
      </w:r>
      <w:r w:rsidRPr="00126568">
        <w:rPr>
          <w:sz w:val="24"/>
        </w:rPr>
        <w:t xml:space="preserve">Changes in personality; </w:t>
      </w:r>
    </w:p>
    <w:p w14:paraId="5F6B12D1" w14:textId="77777777" w:rsidR="007C6877" w:rsidRPr="00126568" w:rsidRDefault="007C6877" w:rsidP="00A352B4">
      <w:pPr>
        <w:tabs>
          <w:tab w:val="left" w:pos="1080"/>
        </w:tabs>
        <w:ind w:left="1080"/>
        <w:rPr>
          <w:sz w:val="24"/>
        </w:rPr>
      </w:pPr>
      <w:r w:rsidRPr="00126568">
        <w:rPr>
          <w:sz w:val="24"/>
          <w:szCs w:val="24"/>
        </w:rPr>
        <w:t>• In</w:t>
      </w:r>
      <w:r w:rsidRPr="00126568">
        <w:rPr>
          <w:sz w:val="24"/>
        </w:rPr>
        <w:t>creased passivity; and</w:t>
      </w:r>
    </w:p>
    <w:p w14:paraId="29BDB458" w14:textId="77777777" w:rsidR="007C6877" w:rsidRPr="00126568" w:rsidRDefault="007C6877" w:rsidP="00A352B4">
      <w:pPr>
        <w:tabs>
          <w:tab w:val="left" w:pos="1080"/>
        </w:tabs>
        <w:ind w:left="1080"/>
        <w:rPr>
          <w:sz w:val="24"/>
        </w:rPr>
      </w:pPr>
      <w:r w:rsidRPr="00126568">
        <w:rPr>
          <w:sz w:val="24"/>
          <w:szCs w:val="24"/>
        </w:rPr>
        <w:t xml:space="preserve">• </w:t>
      </w:r>
      <w:r w:rsidRPr="00126568">
        <w:rPr>
          <w:sz w:val="24"/>
        </w:rPr>
        <w:t>Poor judgment.</w:t>
      </w:r>
    </w:p>
    <w:p w14:paraId="6DBC5454" w14:textId="77777777" w:rsidR="007C6877" w:rsidRPr="00126568" w:rsidRDefault="007C6877" w:rsidP="00A352B4">
      <w:pPr>
        <w:ind w:left="360"/>
        <w:rPr>
          <w:b/>
          <w:caps/>
          <w:sz w:val="24"/>
          <w:szCs w:val="24"/>
        </w:rPr>
      </w:pPr>
    </w:p>
    <w:p w14:paraId="6CFC1BD7" w14:textId="77777777" w:rsidR="007C6877" w:rsidRDefault="007C6877" w:rsidP="00A352B4">
      <w:pPr>
        <w:ind w:left="1080"/>
        <w:rPr>
          <w:sz w:val="24"/>
          <w:szCs w:val="24"/>
        </w:rPr>
      </w:pPr>
      <w:r w:rsidRPr="00126568">
        <w:rPr>
          <w:sz w:val="24"/>
          <w:szCs w:val="24"/>
        </w:rPr>
        <w:t xml:space="preserve">For example, a client may repeat an order multiple times over several days without any apparent realization that he or she has already given you the order.  </w:t>
      </w:r>
      <w:proofErr w:type="gramStart"/>
      <w:r w:rsidRPr="00126568">
        <w:rPr>
          <w:sz w:val="24"/>
          <w:szCs w:val="24"/>
        </w:rPr>
        <w:t>Or,</w:t>
      </w:r>
      <w:proofErr w:type="gramEnd"/>
      <w:r w:rsidRPr="00126568">
        <w:rPr>
          <w:sz w:val="24"/>
          <w:szCs w:val="24"/>
        </w:rPr>
        <w:t xml:space="preserve"> a client may appear disoriented or confused when you meet with him or her.  If you notice such symptoms, your client may be suffering from diminished capacity.   </w:t>
      </w:r>
    </w:p>
    <w:p w14:paraId="1EC4F4BA" w14:textId="77777777" w:rsidR="004F1DE7" w:rsidRDefault="004F1DE7" w:rsidP="007C6877">
      <w:pPr>
        <w:ind w:left="1080"/>
        <w:jc w:val="both"/>
        <w:rPr>
          <w:sz w:val="24"/>
          <w:szCs w:val="24"/>
        </w:rPr>
      </w:pPr>
    </w:p>
    <w:p w14:paraId="04ED5386" w14:textId="77777777" w:rsidR="004F1DE7" w:rsidRPr="00D949D0" w:rsidRDefault="004F1DE7" w:rsidP="007C6877">
      <w:pPr>
        <w:ind w:left="1080"/>
        <w:jc w:val="both"/>
        <w:rPr>
          <w:sz w:val="24"/>
          <w:szCs w:val="24"/>
        </w:rPr>
      </w:pPr>
      <w:r w:rsidRPr="00D949D0">
        <w:rPr>
          <w:sz w:val="24"/>
          <w:szCs w:val="24"/>
        </w:rPr>
        <w:t>There are a number of steps that may be taken to address this issue:</w:t>
      </w:r>
    </w:p>
    <w:p w14:paraId="1FA9E7E4" w14:textId="77777777" w:rsidR="004F1DE7" w:rsidRPr="00D949D0" w:rsidRDefault="004F1DE7" w:rsidP="007C6877">
      <w:pPr>
        <w:ind w:left="1080"/>
        <w:jc w:val="both"/>
        <w:rPr>
          <w:sz w:val="24"/>
          <w:szCs w:val="24"/>
        </w:rPr>
      </w:pPr>
    </w:p>
    <w:p w14:paraId="5431CFBF" w14:textId="77777777" w:rsidR="004F1DE7" w:rsidRPr="00D949D0" w:rsidRDefault="004F1DE7" w:rsidP="003E7B18">
      <w:pPr>
        <w:numPr>
          <w:ilvl w:val="0"/>
          <w:numId w:val="159"/>
        </w:numPr>
        <w:ind w:left="1710" w:hanging="270"/>
        <w:jc w:val="both"/>
        <w:rPr>
          <w:sz w:val="24"/>
          <w:szCs w:val="24"/>
        </w:rPr>
      </w:pPr>
      <w:r w:rsidRPr="00D949D0">
        <w:rPr>
          <w:sz w:val="24"/>
          <w:szCs w:val="24"/>
        </w:rPr>
        <w:t>Have a conversation with the customer with the branch supervisor or other supervisor present to assist in making a determination.</w:t>
      </w:r>
    </w:p>
    <w:p w14:paraId="15FBBBE3" w14:textId="77777777" w:rsidR="004F1DE7" w:rsidRPr="00D949D0" w:rsidRDefault="004F1DE7" w:rsidP="003E7B18">
      <w:pPr>
        <w:numPr>
          <w:ilvl w:val="0"/>
          <w:numId w:val="159"/>
        </w:numPr>
        <w:ind w:left="1710" w:hanging="270"/>
        <w:jc w:val="both"/>
        <w:rPr>
          <w:sz w:val="24"/>
          <w:szCs w:val="24"/>
        </w:rPr>
      </w:pPr>
      <w:r w:rsidRPr="00D949D0">
        <w:rPr>
          <w:sz w:val="24"/>
          <w:szCs w:val="24"/>
        </w:rPr>
        <w:t>Raise the issue with family members and determine if the customer has given power or attorney to another person.</w:t>
      </w:r>
    </w:p>
    <w:p w14:paraId="7563C3B6" w14:textId="77777777" w:rsidR="004F1DE7" w:rsidRPr="00D949D0" w:rsidRDefault="004F1DE7" w:rsidP="003E7B18">
      <w:pPr>
        <w:numPr>
          <w:ilvl w:val="0"/>
          <w:numId w:val="159"/>
        </w:numPr>
        <w:ind w:left="1710" w:hanging="270"/>
        <w:jc w:val="both"/>
        <w:rPr>
          <w:sz w:val="24"/>
          <w:szCs w:val="24"/>
        </w:rPr>
      </w:pPr>
      <w:r w:rsidRPr="00D949D0">
        <w:rPr>
          <w:sz w:val="24"/>
          <w:szCs w:val="24"/>
        </w:rPr>
        <w:t>Document meetings, conversations, and other exchanges with relatives about the situation.</w:t>
      </w:r>
    </w:p>
    <w:p w14:paraId="0F580B91" w14:textId="77777777" w:rsidR="004F1DE7" w:rsidRPr="00D949D0" w:rsidRDefault="004F1DE7" w:rsidP="003E7B18">
      <w:pPr>
        <w:numPr>
          <w:ilvl w:val="0"/>
          <w:numId w:val="159"/>
        </w:numPr>
        <w:ind w:left="1710" w:hanging="270"/>
        <w:jc w:val="both"/>
        <w:rPr>
          <w:sz w:val="24"/>
          <w:szCs w:val="24"/>
        </w:rPr>
      </w:pPr>
      <w:r w:rsidRPr="00D949D0">
        <w:rPr>
          <w:sz w:val="24"/>
          <w:szCs w:val="24"/>
        </w:rPr>
        <w:t>Document communications with the customer about investments.</w:t>
      </w:r>
    </w:p>
    <w:p w14:paraId="3FC06343" w14:textId="77777777" w:rsidR="004F1DE7" w:rsidRPr="00D949D0" w:rsidRDefault="004F1DE7" w:rsidP="003E7B18">
      <w:pPr>
        <w:numPr>
          <w:ilvl w:val="0"/>
          <w:numId w:val="159"/>
        </w:numPr>
        <w:ind w:left="1710" w:hanging="270"/>
        <w:jc w:val="both"/>
        <w:rPr>
          <w:sz w:val="24"/>
          <w:szCs w:val="24"/>
        </w:rPr>
      </w:pPr>
      <w:r w:rsidRPr="00D949D0">
        <w:rPr>
          <w:sz w:val="24"/>
          <w:szCs w:val="24"/>
        </w:rPr>
        <w:t>As a final alternative, decide not to continue doing business with the customer.</w:t>
      </w:r>
    </w:p>
    <w:p w14:paraId="52ACD3E9" w14:textId="77777777" w:rsidR="00AF1129" w:rsidRPr="00D949D0" w:rsidRDefault="00AF1129" w:rsidP="00AF1129">
      <w:pPr>
        <w:ind w:left="1080"/>
        <w:jc w:val="both"/>
        <w:rPr>
          <w:sz w:val="24"/>
          <w:szCs w:val="24"/>
        </w:rPr>
      </w:pPr>
    </w:p>
    <w:p w14:paraId="4B4A71ED" w14:textId="77777777" w:rsidR="00AF1129" w:rsidRPr="00D949D0" w:rsidRDefault="00AF1129" w:rsidP="00AF1129">
      <w:pPr>
        <w:ind w:left="1080"/>
        <w:jc w:val="both"/>
        <w:rPr>
          <w:sz w:val="24"/>
          <w:szCs w:val="24"/>
        </w:rPr>
      </w:pPr>
      <w:r w:rsidRPr="00D949D0">
        <w:rPr>
          <w:sz w:val="24"/>
          <w:szCs w:val="24"/>
        </w:rPr>
        <w:t>Contact Compliance with questions about a proper course of action.</w:t>
      </w:r>
    </w:p>
    <w:p w14:paraId="02017A9A" w14:textId="77777777" w:rsidR="007C6877" w:rsidRPr="00126568" w:rsidRDefault="007C6877" w:rsidP="007C6877">
      <w:pPr>
        <w:ind w:left="360"/>
        <w:jc w:val="both"/>
        <w:rPr>
          <w:sz w:val="24"/>
        </w:rPr>
      </w:pPr>
    </w:p>
    <w:p w14:paraId="0DC90FD5" w14:textId="77777777" w:rsidR="007C6877" w:rsidRPr="00126568" w:rsidRDefault="007C6877" w:rsidP="007C6877">
      <w:pPr>
        <w:ind w:left="1080"/>
        <w:jc w:val="both"/>
        <w:rPr>
          <w:sz w:val="24"/>
        </w:rPr>
      </w:pPr>
      <w:r w:rsidRPr="00126568">
        <w:rPr>
          <w:b/>
          <w:sz w:val="24"/>
          <w:u w:val="single"/>
        </w:rPr>
        <w:t>Elder Abus</w:t>
      </w:r>
      <w:r w:rsidRPr="00126568">
        <w:rPr>
          <w:sz w:val="24"/>
          <w:u w:val="single"/>
        </w:rPr>
        <w:t>e</w:t>
      </w:r>
      <w:r w:rsidRPr="00126568">
        <w:rPr>
          <w:sz w:val="24"/>
        </w:rPr>
        <w:t>: occurs when someo</w:t>
      </w:r>
      <w:r w:rsidR="006E0989">
        <w:rPr>
          <w:sz w:val="24"/>
        </w:rPr>
        <w:t>ne</w:t>
      </w:r>
      <w:r w:rsidRPr="00126568">
        <w:rPr>
          <w:sz w:val="24"/>
        </w:rPr>
        <w:t xml:space="preserve"> exploits a position of influence or trust over an elderly person to gain access to that person’s assets, funds or property.  Be aware of these red flags for potential financial exploitation:</w:t>
      </w:r>
    </w:p>
    <w:p w14:paraId="75712676" w14:textId="77777777" w:rsidR="007C6877" w:rsidRPr="00126568" w:rsidRDefault="007C6877" w:rsidP="007C6877">
      <w:pPr>
        <w:ind w:left="1080"/>
        <w:jc w:val="both"/>
        <w:rPr>
          <w:sz w:val="24"/>
        </w:rPr>
      </w:pPr>
    </w:p>
    <w:p w14:paraId="10DD63AC" w14:textId="77777777" w:rsidR="007C6877" w:rsidRPr="00126568" w:rsidRDefault="006E0989" w:rsidP="006E0989">
      <w:pPr>
        <w:ind w:left="1260" w:hanging="180"/>
        <w:jc w:val="both"/>
        <w:rPr>
          <w:sz w:val="24"/>
        </w:rPr>
      </w:pPr>
      <w:r>
        <w:rPr>
          <w:sz w:val="24"/>
        </w:rPr>
        <w:t xml:space="preserve">• </w:t>
      </w:r>
      <w:r w:rsidR="007C6877" w:rsidRPr="00126568">
        <w:rPr>
          <w:sz w:val="24"/>
        </w:rPr>
        <w:t>The elder’s sudden reluctance to discuss financial matters.  This includes signs of intimidation or reluctance to speak in the presence of a caregiver;</w:t>
      </w:r>
    </w:p>
    <w:p w14:paraId="1845790E" w14:textId="77777777" w:rsidR="007C6877" w:rsidRPr="00126568" w:rsidRDefault="007C6877" w:rsidP="007C6877">
      <w:pPr>
        <w:ind w:left="1080"/>
        <w:jc w:val="both"/>
        <w:rPr>
          <w:sz w:val="24"/>
        </w:rPr>
      </w:pPr>
    </w:p>
    <w:p w14:paraId="3C41D113" w14:textId="77777777" w:rsidR="007C6877" w:rsidRPr="00126568" w:rsidRDefault="007C6877" w:rsidP="007C6877">
      <w:pPr>
        <w:ind w:left="1260" w:hanging="180"/>
        <w:jc w:val="both"/>
        <w:rPr>
          <w:sz w:val="24"/>
        </w:rPr>
      </w:pPr>
      <w:r w:rsidRPr="00126568">
        <w:rPr>
          <w:sz w:val="24"/>
        </w:rPr>
        <w:t>• Sudden, atypical, or unexplained withdrawals; drastic shifts in investment style; or other sudden changes to the elder’s financial situation;</w:t>
      </w:r>
    </w:p>
    <w:p w14:paraId="43FE8837" w14:textId="77777777" w:rsidR="007C6877" w:rsidRPr="00126568" w:rsidRDefault="007C6877" w:rsidP="007C6877">
      <w:pPr>
        <w:ind w:left="1080"/>
        <w:jc w:val="both"/>
        <w:rPr>
          <w:sz w:val="24"/>
        </w:rPr>
      </w:pPr>
    </w:p>
    <w:p w14:paraId="16BC764E" w14:textId="77777777" w:rsidR="007C6877" w:rsidRPr="00126568" w:rsidRDefault="007C6877" w:rsidP="007C6877">
      <w:pPr>
        <w:ind w:left="1080"/>
        <w:jc w:val="both"/>
        <w:rPr>
          <w:sz w:val="24"/>
        </w:rPr>
      </w:pPr>
      <w:r w:rsidRPr="00126568">
        <w:rPr>
          <w:sz w:val="24"/>
        </w:rPr>
        <w:t>• Abrupt changes in wills, trusts, or power of attorney;</w:t>
      </w:r>
    </w:p>
    <w:p w14:paraId="57135D62" w14:textId="77777777" w:rsidR="007C6877" w:rsidRPr="00126568" w:rsidRDefault="007C6877" w:rsidP="007C6877">
      <w:pPr>
        <w:ind w:left="1080"/>
        <w:jc w:val="both"/>
        <w:rPr>
          <w:sz w:val="24"/>
        </w:rPr>
      </w:pPr>
    </w:p>
    <w:p w14:paraId="1CF26AA5" w14:textId="77777777" w:rsidR="007C6877" w:rsidRPr="00126568" w:rsidRDefault="007C6877" w:rsidP="007C6877">
      <w:pPr>
        <w:ind w:left="1080"/>
        <w:jc w:val="both"/>
        <w:rPr>
          <w:sz w:val="24"/>
        </w:rPr>
      </w:pPr>
      <w:r w:rsidRPr="00126568">
        <w:rPr>
          <w:sz w:val="24"/>
        </w:rPr>
        <w:t>• Changes in beneficiaries on insurance policies or IRAs;</w:t>
      </w:r>
    </w:p>
    <w:p w14:paraId="1AF200F4" w14:textId="77777777" w:rsidR="007C6877" w:rsidRPr="00126568" w:rsidRDefault="007C6877" w:rsidP="007C6877">
      <w:pPr>
        <w:ind w:left="1080"/>
        <w:jc w:val="both"/>
        <w:rPr>
          <w:sz w:val="24"/>
        </w:rPr>
      </w:pPr>
    </w:p>
    <w:p w14:paraId="511B4F48" w14:textId="77777777" w:rsidR="007C6877" w:rsidRPr="00126568" w:rsidRDefault="007C6877" w:rsidP="007C6877">
      <w:pPr>
        <w:ind w:left="1080"/>
        <w:jc w:val="both"/>
        <w:rPr>
          <w:sz w:val="24"/>
        </w:rPr>
      </w:pPr>
      <w:r w:rsidRPr="00126568">
        <w:rPr>
          <w:sz w:val="24"/>
        </w:rPr>
        <w:t>• Client is concerned or confused about missing funds in his or her account;</w:t>
      </w:r>
    </w:p>
    <w:p w14:paraId="1FBD514E" w14:textId="77777777" w:rsidR="007C6877" w:rsidRPr="00126568" w:rsidRDefault="007C6877" w:rsidP="007C6877">
      <w:pPr>
        <w:ind w:left="1080"/>
        <w:jc w:val="both"/>
        <w:rPr>
          <w:sz w:val="24"/>
        </w:rPr>
      </w:pPr>
    </w:p>
    <w:p w14:paraId="3CE4D023" w14:textId="77777777" w:rsidR="007C6877" w:rsidRPr="00126568" w:rsidRDefault="007C6877" w:rsidP="007C6877">
      <w:pPr>
        <w:ind w:left="1080"/>
        <w:jc w:val="both"/>
        <w:rPr>
          <w:sz w:val="24"/>
        </w:rPr>
      </w:pPr>
      <w:r w:rsidRPr="00126568">
        <w:rPr>
          <w:sz w:val="24"/>
        </w:rPr>
        <w:t>• Unusual or first-time wire transfers, especially to foreign countries;</w:t>
      </w:r>
    </w:p>
    <w:p w14:paraId="3111AE66" w14:textId="77777777" w:rsidR="007C6877" w:rsidRPr="00126568" w:rsidRDefault="007C6877" w:rsidP="007C6877">
      <w:pPr>
        <w:ind w:left="1080"/>
        <w:jc w:val="both"/>
        <w:rPr>
          <w:sz w:val="24"/>
        </w:rPr>
      </w:pPr>
    </w:p>
    <w:p w14:paraId="0E5C572C" w14:textId="77777777" w:rsidR="007C6877" w:rsidRPr="00126568" w:rsidRDefault="007C6877" w:rsidP="007C6877">
      <w:pPr>
        <w:ind w:left="1260" w:hanging="180"/>
        <w:jc w:val="both"/>
        <w:rPr>
          <w:sz w:val="24"/>
        </w:rPr>
      </w:pPr>
      <w:r w:rsidRPr="00126568">
        <w:rPr>
          <w:sz w:val="24"/>
        </w:rPr>
        <w:t>• The elder is fearful of eviction or nursing home placement if money is not given to a caretaker; and</w:t>
      </w:r>
    </w:p>
    <w:p w14:paraId="0788FDD7" w14:textId="77777777" w:rsidR="007C6877" w:rsidRPr="00126568" w:rsidRDefault="007C6877" w:rsidP="007C6877">
      <w:pPr>
        <w:ind w:left="1080"/>
        <w:jc w:val="both"/>
        <w:rPr>
          <w:sz w:val="24"/>
        </w:rPr>
      </w:pPr>
    </w:p>
    <w:p w14:paraId="2D7EE631" w14:textId="77777777" w:rsidR="007C6877" w:rsidRPr="00126568" w:rsidRDefault="007C6877" w:rsidP="007C6877">
      <w:pPr>
        <w:ind w:left="1080"/>
        <w:jc w:val="both"/>
        <w:rPr>
          <w:sz w:val="24"/>
        </w:rPr>
      </w:pPr>
      <w:r w:rsidRPr="00126568">
        <w:rPr>
          <w:sz w:val="24"/>
        </w:rPr>
        <w:t>• Elders who appear to be receiving insufficient care despite having money.</w:t>
      </w:r>
    </w:p>
    <w:p w14:paraId="7851AB68" w14:textId="77777777" w:rsidR="007C6877" w:rsidRPr="00126568" w:rsidRDefault="007C6877" w:rsidP="007C6877">
      <w:pPr>
        <w:ind w:left="1080"/>
        <w:jc w:val="both"/>
        <w:rPr>
          <w:sz w:val="24"/>
        </w:rPr>
      </w:pPr>
    </w:p>
    <w:p w14:paraId="7029AB2A" w14:textId="77777777" w:rsidR="007C6877" w:rsidRPr="00126568" w:rsidRDefault="007C6877" w:rsidP="007C6877">
      <w:pPr>
        <w:ind w:left="1080"/>
        <w:jc w:val="both"/>
        <w:rPr>
          <w:sz w:val="24"/>
        </w:rPr>
      </w:pPr>
      <w:r w:rsidRPr="00126568">
        <w:rPr>
          <w:sz w:val="24"/>
        </w:rPr>
        <w:t>• Increasing lack of contact with and interest in the outside world; and</w:t>
      </w:r>
    </w:p>
    <w:p w14:paraId="09986A2A" w14:textId="77777777" w:rsidR="007C6877" w:rsidRPr="00126568" w:rsidRDefault="007C6877" w:rsidP="007C6877">
      <w:pPr>
        <w:ind w:left="1080"/>
        <w:jc w:val="both"/>
        <w:rPr>
          <w:sz w:val="24"/>
        </w:rPr>
      </w:pPr>
    </w:p>
    <w:p w14:paraId="372D8322" w14:textId="77777777" w:rsidR="007C6877" w:rsidRPr="00126568" w:rsidRDefault="007C6877" w:rsidP="007C6877">
      <w:pPr>
        <w:ind w:left="1080"/>
        <w:jc w:val="both"/>
        <w:rPr>
          <w:sz w:val="24"/>
        </w:rPr>
      </w:pPr>
      <w:r w:rsidRPr="00126568">
        <w:rPr>
          <w:sz w:val="24"/>
        </w:rPr>
        <w:t>• The elder’s admission of financial or material exploitation or suspected exploitation.</w:t>
      </w:r>
    </w:p>
    <w:p w14:paraId="680C79D4" w14:textId="77777777" w:rsidR="007C6877" w:rsidRPr="00126568" w:rsidRDefault="007C6877" w:rsidP="007C6877">
      <w:pPr>
        <w:ind w:left="1080"/>
        <w:jc w:val="both"/>
        <w:rPr>
          <w:sz w:val="24"/>
        </w:rPr>
      </w:pPr>
    </w:p>
    <w:p w14:paraId="41AAA8FC" w14:textId="77777777" w:rsidR="007C6877" w:rsidRPr="00126568" w:rsidRDefault="007C6877" w:rsidP="007C6877">
      <w:pPr>
        <w:ind w:left="1080"/>
        <w:jc w:val="both"/>
        <w:rPr>
          <w:sz w:val="24"/>
        </w:rPr>
      </w:pPr>
      <w:r w:rsidRPr="00126568">
        <w:rPr>
          <w:sz w:val="24"/>
        </w:rPr>
        <w:t>Tactics may include:</w:t>
      </w:r>
    </w:p>
    <w:p w14:paraId="4B21A5C3" w14:textId="77777777" w:rsidR="0083082E" w:rsidRDefault="007C6877" w:rsidP="003E7B18">
      <w:pPr>
        <w:pStyle w:val="ListParagraph"/>
        <w:numPr>
          <w:ilvl w:val="0"/>
          <w:numId w:val="311"/>
        </w:numPr>
        <w:ind w:left="1350" w:hanging="270"/>
        <w:jc w:val="both"/>
        <w:rPr>
          <w:iCs/>
          <w:sz w:val="24"/>
          <w:szCs w:val="24"/>
        </w:rPr>
      </w:pPr>
      <w:r w:rsidRPr="0083082E">
        <w:rPr>
          <w:iCs/>
          <w:sz w:val="24"/>
          <w:szCs w:val="24"/>
        </w:rPr>
        <w:t xml:space="preserve">Cashing an elderly person’s checks without authorization or permission; </w:t>
      </w:r>
    </w:p>
    <w:p w14:paraId="64E0F7FD" w14:textId="77777777" w:rsidR="0083082E" w:rsidRDefault="007C6877" w:rsidP="003E7B18">
      <w:pPr>
        <w:pStyle w:val="ListParagraph"/>
        <w:numPr>
          <w:ilvl w:val="0"/>
          <w:numId w:val="311"/>
        </w:numPr>
        <w:ind w:left="1350" w:hanging="270"/>
        <w:jc w:val="both"/>
        <w:rPr>
          <w:iCs/>
          <w:sz w:val="24"/>
          <w:szCs w:val="24"/>
        </w:rPr>
      </w:pPr>
      <w:r w:rsidRPr="0083082E">
        <w:rPr>
          <w:iCs/>
          <w:sz w:val="24"/>
          <w:szCs w:val="24"/>
        </w:rPr>
        <w:t xml:space="preserve">Forging an older person’s signature; </w:t>
      </w:r>
    </w:p>
    <w:p w14:paraId="2596900F" w14:textId="77777777" w:rsidR="0083082E" w:rsidRDefault="007C6877" w:rsidP="003E7B18">
      <w:pPr>
        <w:pStyle w:val="ListParagraph"/>
        <w:numPr>
          <w:ilvl w:val="0"/>
          <w:numId w:val="311"/>
        </w:numPr>
        <w:ind w:left="1350" w:hanging="270"/>
        <w:jc w:val="both"/>
        <w:rPr>
          <w:iCs/>
          <w:sz w:val="24"/>
          <w:szCs w:val="24"/>
        </w:rPr>
      </w:pPr>
      <w:r w:rsidRPr="0083082E">
        <w:rPr>
          <w:iCs/>
          <w:sz w:val="24"/>
          <w:szCs w:val="24"/>
        </w:rPr>
        <w:t xml:space="preserve">Misusing or stealing an older person’s money or possessions; </w:t>
      </w:r>
    </w:p>
    <w:p w14:paraId="1C215F8D" w14:textId="77777777" w:rsidR="0083082E" w:rsidRDefault="0083082E" w:rsidP="003E7B18">
      <w:pPr>
        <w:pStyle w:val="ListParagraph"/>
        <w:numPr>
          <w:ilvl w:val="0"/>
          <w:numId w:val="311"/>
        </w:numPr>
        <w:ind w:left="1350" w:hanging="270"/>
        <w:jc w:val="both"/>
        <w:rPr>
          <w:iCs/>
          <w:sz w:val="24"/>
          <w:szCs w:val="24"/>
        </w:rPr>
      </w:pPr>
      <w:r w:rsidRPr="0083082E">
        <w:rPr>
          <w:iCs/>
          <w:sz w:val="24"/>
          <w:szCs w:val="24"/>
        </w:rPr>
        <w:t>C</w:t>
      </w:r>
      <w:r w:rsidR="007C6877" w:rsidRPr="0083082E">
        <w:rPr>
          <w:iCs/>
          <w:sz w:val="24"/>
          <w:szCs w:val="24"/>
        </w:rPr>
        <w:t xml:space="preserve">oercing or deceiving an older person into signing documents (for example, a contract or will); and </w:t>
      </w:r>
    </w:p>
    <w:p w14:paraId="475B5E5E" w14:textId="77777777" w:rsidR="007C6877" w:rsidRPr="0083082E" w:rsidRDefault="0083082E" w:rsidP="003E7B18">
      <w:pPr>
        <w:pStyle w:val="ListParagraph"/>
        <w:numPr>
          <w:ilvl w:val="0"/>
          <w:numId w:val="311"/>
        </w:numPr>
        <w:ind w:left="1350" w:hanging="270"/>
        <w:jc w:val="both"/>
        <w:rPr>
          <w:iCs/>
          <w:sz w:val="24"/>
          <w:szCs w:val="24"/>
        </w:rPr>
      </w:pPr>
      <w:r>
        <w:rPr>
          <w:iCs/>
          <w:sz w:val="24"/>
          <w:szCs w:val="24"/>
        </w:rPr>
        <w:t>I</w:t>
      </w:r>
      <w:r w:rsidR="007C6877" w:rsidRPr="0083082E">
        <w:rPr>
          <w:iCs/>
          <w:sz w:val="24"/>
          <w:szCs w:val="24"/>
        </w:rPr>
        <w:t>mproperly using a conservatorship, guardianship, or power of attorney.</w:t>
      </w:r>
    </w:p>
    <w:p w14:paraId="17401431" w14:textId="77777777" w:rsidR="007C6877" w:rsidRPr="00126568" w:rsidRDefault="007C6877" w:rsidP="007C6877">
      <w:pPr>
        <w:ind w:left="1080"/>
        <w:jc w:val="both"/>
        <w:rPr>
          <w:iCs/>
          <w:sz w:val="24"/>
          <w:szCs w:val="24"/>
        </w:rPr>
      </w:pPr>
    </w:p>
    <w:p w14:paraId="10535FB0" w14:textId="77777777" w:rsidR="007C6877" w:rsidRPr="00126568" w:rsidRDefault="007C6877" w:rsidP="007C6877">
      <w:pPr>
        <w:ind w:left="1080"/>
        <w:jc w:val="both"/>
        <w:rPr>
          <w:iCs/>
          <w:sz w:val="24"/>
          <w:szCs w:val="24"/>
        </w:rPr>
      </w:pPr>
      <w:r w:rsidRPr="00126568">
        <w:rPr>
          <w:iCs/>
          <w:sz w:val="24"/>
          <w:szCs w:val="24"/>
        </w:rPr>
        <w:t xml:space="preserve">For example, a caretaker coerces an elderly client to transfer cash to </w:t>
      </w:r>
      <w:r w:rsidR="006E0989">
        <w:rPr>
          <w:iCs/>
          <w:sz w:val="24"/>
          <w:szCs w:val="24"/>
        </w:rPr>
        <w:t>him/</w:t>
      </w:r>
      <w:r w:rsidRPr="00126568">
        <w:rPr>
          <w:iCs/>
          <w:sz w:val="24"/>
          <w:szCs w:val="24"/>
        </w:rPr>
        <w:t xml:space="preserve">her.  The caretaker threatens to have the client committed to a nursing home if </w:t>
      </w:r>
      <w:r w:rsidR="006E0989">
        <w:rPr>
          <w:iCs/>
          <w:sz w:val="24"/>
          <w:szCs w:val="24"/>
        </w:rPr>
        <w:t>t</w:t>
      </w:r>
      <w:r w:rsidRPr="00126568">
        <w:rPr>
          <w:iCs/>
          <w:sz w:val="24"/>
          <w:szCs w:val="24"/>
        </w:rPr>
        <w:t>he</w:t>
      </w:r>
      <w:r w:rsidR="006E0989">
        <w:rPr>
          <w:iCs/>
          <w:sz w:val="24"/>
          <w:szCs w:val="24"/>
        </w:rPr>
        <w:t>y</w:t>
      </w:r>
      <w:r w:rsidRPr="00126568">
        <w:rPr>
          <w:iCs/>
          <w:sz w:val="24"/>
          <w:szCs w:val="24"/>
        </w:rPr>
        <w:t xml:space="preserve"> refuse.</w:t>
      </w:r>
    </w:p>
    <w:p w14:paraId="698AAC24" w14:textId="77777777" w:rsidR="007C6877" w:rsidRPr="00126568" w:rsidRDefault="007C6877" w:rsidP="007C6877">
      <w:pPr>
        <w:ind w:left="1080"/>
        <w:jc w:val="both"/>
        <w:rPr>
          <w:iCs/>
          <w:sz w:val="24"/>
          <w:szCs w:val="24"/>
        </w:rPr>
      </w:pPr>
    </w:p>
    <w:p w14:paraId="07FACCAE" w14:textId="77777777" w:rsidR="007C6877" w:rsidRPr="00126568" w:rsidRDefault="007C6877" w:rsidP="007C6877">
      <w:pPr>
        <w:ind w:left="1080"/>
        <w:jc w:val="both"/>
        <w:rPr>
          <w:iCs/>
          <w:sz w:val="24"/>
          <w:szCs w:val="24"/>
        </w:rPr>
      </w:pPr>
      <w:r w:rsidRPr="00126568">
        <w:rPr>
          <w:iCs/>
          <w:sz w:val="24"/>
          <w:szCs w:val="24"/>
        </w:rPr>
        <w:t xml:space="preserve">An elderly client grants power of attorney to her son.  The son makes speculative investments – hoping to increase his </w:t>
      </w:r>
      <w:r w:rsidR="008B4FFD" w:rsidRPr="00126568">
        <w:rPr>
          <w:iCs/>
          <w:sz w:val="24"/>
          <w:szCs w:val="24"/>
        </w:rPr>
        <w:t>inheritance but</w:t>
      </w:r>
      <w:r w:rsidRPr="00126568">
        <w:rPr>
          <w:iCs/>
          <w:sz w:val="24"/>
          <w:szCs w:val="24"/>
        </w:rPr>
        <w:t xml:space="preserve"> ignoring his mother’s need for current income.</w:t>
      </w:r>
    </w:p>
    <w:p w14:paraId="3B8ADC65" w14:textId="77777777" w:rsidR="007C6877" w:rsidRPr="00126568" w:rsidRDefault="007C6877" w:rsidP="007C6877">
      <w:pPr>
        <w:ind w:left="1080"/>
        <w:jc w:val="both"/>
        <w:rPr>
          <w:iCs/>
          <w:sz w:val="24"/>
          <w:szCs w:val="24"/>
        </w:rPr>
      </w:pPr>
    </w:p>
    <w:p w14:paraId="5935D679" w14:textId="77777777" w:rsidR="007C6877" w:rsidRPr="00126568" w:rsidRDefault="007C6877" w:rsidP="007C6877">
      <w:pPr>
        <w:ind w:left="1080"/>
        <w:jc w:val="both"/>
        <w:rPr>
          <w:sz w:val="24"/>
        </w:rPr>
      </w:pPr>
      <w:r w:rsidRPr="00126568">
        <w:rPr>
          <w:iCs/>
          <w:sz w:val="24"/>
          <w:szCs w:val="24"/>
        </w:rPr>
        <w:t>An elderly client requests a large wire transfer to make a “good faith” payment to secure his winnings in a lottery.</w:t>
      </w:r>
    </w:p>
    <w:p w14:paraId="0171BA40" w14:textId="77777777" w:rsidR="007C6877" w:rsidRPr="00126568" w:rsidRDefault="007C6877" w:rsidP="007C6877">
      <w:pPr>
        <w:ind w:left="1080"/>
        <w:jc w:val="both"/>
        <w:rPr>
          <w:sz w:val="24"/>
        </w:rPr>
      </w:pPr>
    </w:p>
    <w:p w14:paraId="0302D802" w14:textId="23CA5FF0" w:rsidR="00C23199" w:rsidRDefault="009204BE" w:rsidP="001A7509">
      <w:pPr>
        <w:pStyle w:val="Heading3"/>
      </w:pPr>
      <w:r>
        <w:t>5.2</w:t>
      </w:r>
      <w:r w:rsidR="00816F56">
        <w:t>5</w:t>
      </w:r>
      <w:r w:rsidR="00EF3CE5">
        <w:t>.</w:t>
      </w:r>
      <w:r w:rsidR="00936FEE">
        <w:t>7</w:t>
      </w:r>
      <w:r w:rsidR="00EF3CE5">
        <w:t xml:space="preserve"> Escalation</w:t>
      </w:r>
      <w:r w:rsidR="007C6877" w:rsidRPr="00126568">
        <w:t xml:space="preserve"> Procedures  </w:t>
      </w:r>
    </w:p>
    <w:p w14:paraId="1F258565" w14:textId="77777777" w:rsidR="007C6877" w:rsidRPr="00126568" w:rsidRDefault="007C6877" w:rsidP="001A7509">
      <w:pPr>
        <w:ind w:left="270"/>
        <w:jc w:val="both"/>
        <w:rPr>
          <w:sz w:val="24"/>
        </w:rPr>
      </w:pPr>
      <w:r w:rsidRPr="00126568">
        <w:rPr>
          <w:sz w:val="24"/>
        </w:rPr>
        <w:t>The Company strongly recommends Associated Persons at the account opening stage to encourage all clients to prepare for the future (power of attorney, guardianships or conservatorships, etc</w:t>
      </w:r>
      <w:r w:rsidR="003E7E30">
        <w:rPr>
          <w:sz w:val="24"/>
        </w:rPr>
        <w:t>.</w:t>
      </w:r>
      <w:r w:rsidRPr="00126568">
        <w:rPr>
          <w:sz w:val="24"/>
        </w:rPr>
        <w:t xml:space="preserve">).  </w:t>
      </w:r>
      <w:r w:rsidR="00D2531A" w:rsidRPr="006723F9">
        <w:rPr>
          <w:sz w:val="24"/>
        </w:rPr>
        <w:t xml:space="preserve">Contact </w:t>
      </w:r>
      <w:r w:rsidRPr="006723F9">
        <w:rPr>
          <w:sz w:val="24"/>
        </w:rPr>
        <w:t xml:space="preserve">the </w:t>
      </w:r>
      <w:r w:rsidRPr="00126568">
        <w:rPr>
          <w:sz w:val="24"/>
        </w:rPr>
        <w:t>client</w:t>
      </w:r>
      <w:r w:rsidR="00D2531A">
        <w:rPr>
          <w:sz w:val="24"/>
        </w:rPr>
        <w:t>’s</w:t>
      </w:r>
      <w:r w:rsidRPr="00126568">
        <w:rPr>
          <w:sz w:val="24"/>
        </w:rPr>
        <w:t xml:space="preserve"> </w:t>
      </w:r>
      <w:r w:rsidR="00D2531A">
        <w:rPr>
          <w:sz w:val="24"/>
        </w:rPr>
        <w:t>e</w:t>
      </w:r>
      <w:r w:rsidR="001A7509" w:rsidRPr="00126568">
        <w:rPr>
          <w:sz w:val="24"/>
        </w:rPr>
        <w:t>mergency</w:t>
      </w:r>
      <w:r w:rsidRPr="00126568">
        <w:rPr>
          <w:sz w:val="24"/>
        </w:rPr>
        <w:t xml:space="preserve"> or </w:t>
      </w:r>
      <w:r w:rsidR="006723F9" w:rsidRPr="008B4FFD">
        <w:rPr>
          <w:sz w:val="24"/>
        </w:rPr>
        <w:t>Trusted C</w:t>
      </w:r>
      <w:r w:rsidRPr="00126568">
        <w:rPr>
          <w:sz w:val="24"/>
        </w:rPr>
        <w:t xml:space="preserve">ontact </w:t>
      </w:r>
      <w:r w:rsidR="00D2531A" w:rsidRPr="006723F9">
        <w:rPr>
          <w:sz w:val="24"/>
        </w:rPr>
        <w:t>if deemed necessary</w:t>
      </w:r>
      <w:r w:rsidRPr="006723F9">
        <w:rPr>
          <w:sz w:val="24"/>
        </w:rPr>
        <w:t xml:space="preserve">.  </w:t>
      </w:r>
      <w:r w:rsidRPr="00126568">
        <w:rPr>
          <w:sz w:val="24"/>
        </w:rPr>
        <w:t xml:space="preserve">Inform the client that in addition to the SEC 17a-3 letters they will receive, to keep us informed of any changes to their circumstances.  </w:t>
      </w:r>
    </w:p>
    <w:p w14:paraId="7D7B294C" w14:textId="77777777" w:rsidR="007C6877" w:rsidRPr="00126568" w:rsidRDefault="007C6877" w:rsidP="007C6877">
      <w:pPr>
        <w:ind w:left="360"/>
        <w:jc w:val="both"/>
        <w:rPr>
          <w:b/>
          <w:caps/>
          <w:sz w:val="24"/>
          <w:szCs w:val="24"/>
        </w:rPr>
      </w:pPr>
    </w:p>
    <w:p w14:paraId="78EC439A" w14:textId="77777777" w:rsidR="007C6877" w:rsidRPr="00126568" w:rsidRDefault="007C6877" w:rsidP="006E0989">
      <w:pPr>
        <w:tabs>
          <w:tab w:val="left" w:pos="270"/>
        </w:tabs>
        <w:ind w:left="270"/>
        <w:jc w:val="both"/>
        <w:rPr>
          <w:sz w:val="24"/>
        </w:rPr>
      </w:pPr>
      <w:r w:rsidRPr="00126568">
        <w:rPr>
          <w:sz w:val="24"/>
          <w:szCs w:val="24"/>
        </w:rPr>
        <w:t xml:space="preserve">However, in the course of the relationship with a client, if an Associated Person even </w:t>
      </w:r>
      <w:r w:rsidRPr="00126568">
        <w:rPr>
          <w:i/>
          <w:sz w:val="24"/>
          <w:szCs w:val="24"/>
        </w:rPr>
        <w:t xml:space="preserve">suspects </w:t>
      </w:r>
      <w:r w:rsidRPr="00126568">
        <w:rPr>
          <w:sz w:val="24"/>
          <w:szCs w:val="24"/>
        </w:rPr>
        <w:t>abuse or diminished capacity, it is enough reason to escalate these procedures:</w:t>
      </w:r>
    </w:p>
    <w:p w14:paraId="1AEA5E43" w14:textId="77777777" w:rsidR="007C6877" w:rsidRPr="00126568" w:rsidRDefault="007C6877" w:rsidP="007C6877">
      <w:pPr>
        <w:ind w:left="360"/>
        <w:jc w:val="both"/>
        <w:rPr>
          <w:sz w:val="24"/>
        </w:rPr>
      </w:pPr>
    </w:p>
    <w:p w14:paraId="2C2EF8CC" w14:textId="77777777" w:rsidR="007C6877" w:rsidRPr="00126568" w:rsidRDefault="003E7E30" w:rsidP="003E7E30">
      <w:pPr>
        <w:ind w:left="810" w:hanging="180"/>
        <w:jc w:val="both"/>
        <w:rPr>
          <w:sz w:val="24"/>
        </w:rPr>
      </w:pPr>
      <w:r w:rsidRPr="00126568">
        <w:rPr>
          <w:sz w:val="24"/>
        </w:rPr>
        <w:t xml:space="preserve">• </w:t>
      </w:r>
      <w:r>
        <w:rPr>
          <w:sz w:val="24"/>
        </w:rPr>
        <w:t>First</w:t>
      </w:r>
      <w:r w:rsidR="003D64B8">
        <w:rPr>
          <w:sz w:val="24"/>
        </w:rPr>
        <w:t>,</w:t>
      </w:r>
      <w:r w:rsidR="007C6877" w:rsidRPr="00126568">
        <w:rPr>
          <w:sz w:val="24"/>
        </w:rPr>
        <w:t xml:space="preserve"> report any instances to both the designated supervisor </w:t>
      </w:r>
      <w:r w:rsidR="007C6877" w:rsidRPr="00126568">
        <w:rPr>
          <w:b/>
          <w:sz w:val="24"/>
        </w:rPr>
        <w:t xml:space="preserve">as well as </w:t>
      </w:r>
      <w:r w:rsidR="007C6877" w:rsidRPr="00126568">
        <w:rPr>
          <w:sz w:val="24"/>
        </w:rPr>
        <w:t>the Compliance Department.</w:t>
      </w:r>
    </w:p>
    <w:p w14:paraId="210B7663" w14:textId="77777777" w:rsidR="007C6877" w:rsidRPr="00126568" w:rsidRDefault="007C6877" w:rsidP="006E0989">
      <w:pPr>
        <w:ind w:left="900" w:hanging="270"/>
        <w:jc w:val="both"/>
        <w:rPr>
          <w:sz w:val="24"/>
        </w:rPr>
      </w:pPr>
    </w:p>
    <w:p w14:paraId="4FC98A5B" w14:textId="6DB85BAD" w:rsidR="007C6877" w:rsidRPr="00126568" w:rsidRDefault="007C6877" w:rsidP="006E0989">
      <w:pPr>
        <w:ind w:left="810" w:hanging="180"/>
        <w:jc w:val="both"/>
        <w:rPr>
          <w:sz w:val="24"/>
        </w:rPr>
      </w:pPr>
      <w:r w:rsidRPr="00126568">
        <w:rPr>
          <w:sz w:val="24"/>
        </w:rPr>
        <w:t xml:space="preserve">• An incident report will be completed and documented in WinOps (as well as in </w:t>
      </w:r>
      <w:r w:rsidR="00C52E4D" w:rsidRPr="00CC601C">
        <w:rPr>
          <w:sz w:val="24"/>
        </w:rPr>
        <w:t>the CRM</w:t>
      </w:r>
      <w:r w:rsidRPr="00126568">
        <w:rPr>
          <w:sz w:val="24"/>
        </w:rPr>
        <w:t>, if desired, but not required);</w:t>
      </w:r>
    </w:p>
    <w:p w14:paraId="01CDAF76" w14:textId="77777777" w:rsidR="007C6877" w:rsidRPr="00126568" w:rsidRDefault="007C6877" w:rsidP="006E0989">
      <w:pPr>
        <w:ind w:left="900" w:hanging="270"/>
        <w:jc w:val="both"/>
        <w:rPr>
          <w:sz w:val="24"/>
        </w:rPr>
      </w:pPr>
    </w:p>
    <w:p w14:paraId="4AD0F2A5" w14:textId="77777777" w:rsidR="007C6877" w:rsidRPr="00126568" w:rsidRDefault="007C6877" w:rsidP="006E0989">
      <w:pPr>
        <w:ind w:left="810" w:hanging="180"/>
        <w:jc w:val="both"/>
        <w:rPr>
          <w:sz w:val="24"/>
        </w:rPr>
      </w:pPr>
      <w:r w:rsidRPr="00126568">
        <w:rPr>
          <w:sz w:val="24"/>
        </w:rPr>
        <w:lastRenderedPageBreak/>
        <w:t xml:space="preserve">• If determined by Morris Monroe or </w:t>
      </w:r>
      <w:r w:rsidR="00F66BBE">
        <w:rPr>
          <w:sz w:val="24"/>
        </w:rPr>
        <w:t>C</w:t>
      </w:r>
      <w:r w:rsidRPr="00126568">
        <w:rPr>
          <w:sz w:val="24"/>
        </w:rPr>
        <w:t>ompliance, the account may be restricted from any further recommendations in the account(s) and will be noted in WinOps as well as communicated to the Associated Person, the designated supervisor, and applicable backoffice personnel;</w:t>
      </w:r>
    </w:p>
    <w:p w14:paraId="4CF9874C" w14:textId="77777777" w:rsidR="007C6877" w:rsidRPr="00126568" w:rsidRDefault="007C6877" w:rsidP="006E0989">
      <w:pPr>
        <w:ind w:left="900" w:hanging="270"/>
        <w:jc w:val="both"/>
        <w:rPr>
          <w:sz w:val="24"/>
        </w:rPr>
      </w:pPr>
    </w:p>
    <w:p w14:paraId="1BC859E9" w14:textId="77777777" w:rsidR="00A702F0" w:rsidRPr="00126568" w:rsidRDefault="007C6877" w:rsidP="00A702F0">
      <w:pPr>
        <w:ind w:left="900" w:hanging="270"/>
        <w:jc w:val="both"/>
        <w:rPr>
          <w:sz w:val="24"/>
        </w:rPr>
      </w:pPr>
      <w:r w:rsidRPr="00126568">
        <w:rPr>
          <w:sz w:val="24"/>
        </w:rPr>
        <w:t>• Determine if an alternate contact is on file and whether that person(s) should be notified;</w:t>
      </w:r>
    </w:p>
    <w:p w14:paraId="702DF750" w14:textId="77777777" w:rsidR="007C6877" w:rsidRPr="00126568" w:rsidRDefault="007C6877" w:rsidP="006E0989">
      <w:pPr>
        <w:ind w:left="900" w:hanging="270"/>
        <w:jc w:val="both"/>
        <w:rPr>
          <w:sz w:val="24"/>
        </w:rPr>
      </w:pPr>
    </w:p>
    <w:p w14:paraId="2E75B6B1" w14:textId="77777777" w:rsidR="007C6877" w:rsidRDefault="007C6877" w:rsidP="006E0989">
      <w:pPr>
        <w:ind w:left="810" w:hanging="180"/>
        <w:jc w:val="both"/>
        <w:rPr>
          <w:sz w:val="24"/>
        </w:rPr>
      </w:pPr>
      <w:r w:rsidRPr="00126568">
        <w:rPr>
          <w:sz w:val="24"/>
        </w:rPr>
        <w:t>• The Compliance Department will be responsible for reporting any abuse to the proper authorities (Elder Abuse Hotline: 800-252-5400 or 512-834-3784).</w:t>
      </w:r>
    </w:p>
    <w:p w14:paraId="74EE7D3D" w14:textId="77777777" w:rsidR="00A702F0" w:rsidRDefault="00A702F0" w:rsidP="006E0989">
      <w:pPr>
        <w:ind w:left="810" w:hanging="180"/>
        <w:jc w:val="both"/>
        <w:rPr>
          <w:sz w:val="24"/>
        </w:rPr>
      </w:pPr>
    </w:p>
    <w:p w14:paraId="7C477E4C" w14:textId="77777777" w:rsidR="00A702F0" w:rsidRPr="009C707E" w:rsidRDefault="00A702F0" w:rsidP="003E7B18">
      <w:pPr>
        <w:pStyle w:val="ListParagraph"/>
        <w:numPr>
          <w:ilvl w:val="0"/>
          <w:numId w:val="312"/>
        </w:numPr>
        <w:ind w:left="810" w:hanging="180"/>
        <w:rPr>
          <w:sz w:val="24"/>
        </w:rPr>
      </w:pPr>
      <w:r w:rsidRPr="009C707E">
        <w:rPr>
          <w:sz w:val="24"/>
        </w:rPr>
        <w:t xml:space="preserve">Determine if the Company should file the Texas State Securities Board’s Financial Exploitation Form (found at </w:t>
      </w:r>
      <w:hyperlink r:id="rId19" w:history="1">
        <w:r w:rsidRPr="00A702F0">
          <w:rPr>
            <w:rStyle w:val="Hyperlink"/>
            <w:sz w:val="24"/>
          </w:rPr>
          <w:t>https://www.ssb.texas.gov/sites/default/files/ReportOfFinancialExploitation_Form_Nov2017.pdf</w:t>
        </w:r>
      </w:hyperlink>
      <w:r w:rsidRPr="009C707E">
        <w:rPr>
          <w:sz w:val="24"/>
        </w:rPr>
        <w:t>.</w:t>
      </w:r>
      <w:r w:rsidR="002D1F1D" w:rsidRPr="009C707E">
        <w:rPr>
          <w:sz w:val="24"/>
        </w:rPr>
        <w:t xml:space="preserve">  Although not required, the TSSB strongly encourages firms to do so.</w:t>
      </w:r>
    </w:p>
    <w:p w14:paraId="5DC5349A" w14:textId="77777777" w:rsidR="00A702F0" w:rsidRPr="00A702F0" w:rsidRDefault="00A702F0" w:rsidP="00A702F0">
      <w:pPr>
        <w:pStyle w:val="ListParagraph"/>
        <w:ind w:left="1350"/>
        <w:jc w:val="both"/>
        <w:rPr>
          <w:sz w:val="24"/>
        </w:rPr>
      </w:pPr>
    </w:p>
    <w:p w14:paraId="717FCFAF" w14:textId="77777777" w:rsidR="007C6877" w:rsidRPr="00126568" w:rsidRDefault="007C6877" w:rsidP="007C6877">
      <w:pPr>
        <w:ind w:left="1260" w:hanging="180"/>
        <w:jc w:val="both"/>
        <w:rPr>
          <w:sz w:val="24"/>
        </w:rPr>
      </w:pPr>
    </w:p>
    <w:p w14:paraId="4F4F6150" w14:textId="17F2461D" w:rsidR="00C23199" w:rsidRDefault="00C23199" w:rsidP="001A7509">
      <w:pPr>
        <w:pStyle w:val="Heading3"/>
      </w:pPr>
      <w:r>
        <w:t>5</w:t>
      </w:r>
      <w:r w:rsidR="0000553E">
        <w:t>.</w:t>
      </w:r>
      <w:r>
        <w:t>2</w:t>
      </w:r>
      <w:r w:rsidR="00816F56">
        <w:t>5</w:t>
      </w:r>
      <w:r w:rsidR="0000553E">
        <w:t>.</w:t>
      </w:r>
      <w:r w:rsidR="00936FEE">
        <w:t>8</w:t>
      </w:r>
      <w:r w:rsidR="0000553E">
        <w:t xml:space="preserve"> </w:t>
      </w:r>
      <w:r w:rsidR="007C6877" w:rsidRPr="00126568">
        <w:t>S</w:t>
      </w:r>
      <w:r w:rsidR="00C82AE4">
        <w:t>upervision</w:t>
      </w:r>
      <w:r w:rsidR="007C6877" w:rsidRPr="008F26D4">
        <w:rPr>
          <w:color w:val="FF0000"/>
        </w:rPr>
        <w:t xml:space="preserve"> </w:t>
      </w:r>
      <w:r w:rsidR="007C6877" w:rsidRPr="00126568">
        <w:t xml:space="preserve"> </w:t>
      </w:r>
    </w:p>
    <w:p w14:paraId="335513E7" w14:textId="77777777" w:rsidR="007C6877" w:rsidRDefault="007C6877" w:rsidP="001A7509">
      <w:pPr>
        <w:ind w:left="270"/>
        <w:jc w:val="both"/>
        <w:rPr>
          <w:sz w:val="24"/>
        </w:rPr>
      </w:pPr>
      <w:r w:rsidRPr="00126568">
        <w:rPr>
          <w:sz w:val="24"/>
        </w:rPr>
        <w:t xml:space="preserve">It is the responsibility of each designated principal to oversee the activities of their Associated Person’s senior investor activities, suitability, and product recommendations.  However, in the event of any escalation issue, it will be the responsibility of Morris Monroe </w:t>
      </w:r>
      <w:r w:rsidR="00110ECB">
        <w:rPr>
          <w:sz w:val="24"/>
        </w:rPr>
        <w:t xml:space="preserve">or Compliance </w:t>
      </w:r>
      <w:r w:rsidRPr="00126568">
        <w:rPr>
          <w:sz w:val="24"/>
        </w:rPr>
        <w:t>to ensure that the proper procedures are followed.  In addition, any incidences will be recorded in WinOps and in a central file location for the purposes of the Company’s books and records maintenance.  A review of any reported incidences will be documented in the internal examination as well.</w:t>
      </w:r>
    </w:p>
    <w:p w14:paraId="61E95697" w14:textId="77777777" w:rsidR="008F26D4" w:rsidRDefault="008F26D4" w:rsidP="001A7509">
      <w:pPr>
        <w:ind w:left="270"/>
        <w:jc w:val="both"/>
        <w:rPr>
          <w:sz w:val="24"/>
        </w:rPr>
      </w:pPr>
    </w:p>
    <w:p w14:paraId="4FABB83F" w14:textId="77777777" w:rsidR="008F26D4" w:rsidRPr="00126568" w:rsidRDefault="008F26D4" w:rsidP="001A7509">
      <w:pPr>
        <w:ind w:left="270"/>
        <w:jc w:val="both"/>
        <w:rPr>
          <w:b/>
          <w:sz w:val="24"/>
        </w:rPr>
      </w:pPr>
      <w:r>
        <w:rPr>
          <w:sz w:val="24"/>
        </w:rPr>
        <w:t>In addition,</w:t>
      </w:r>
    </w:p>
    <w:p w14:paraId="09C8171E" w14:textId="77777777" w:rsidR="007C6877" w:rsidRPr="00126568" w:rsidRDefault="007C6877" w:rsidP="007C6877">
      <w:pPr>
        <w:jc w:val="both"/>
        <w:rPr>
          <w:sz w:val="24"/>
        </w:rPr>
      </w:pPr>
    </w:p>
    <w:p w14:paraId="5C2B7F49" w14:textId="5F23DD48" w:rsidR="00C23199" w:rsidRDefault="00C23199" w:rsidP="001A7509">
      <w:pPr>
        <w:pStyle w:val="Heading3"/>
      </w:pPr>
      <w:r>
        <w:t>5</w:t>
      </w:r>
      <w:r w:rsidR="0000553E">
        <w:t>.</w:t>
      </w:r>
      <w:r>
        <w:t>2</w:t>
      </w:r>
      <w:r w:rsidR="00816F56">
        <w:t>5</w:t>
      </w:r>
      <w:r w:rsidR="00F66BBE">
        <w:t>.</w:t>
      </w:r>
      <w:r w:rsidR="00936FEE">
        <w:t>9</w:t>
      </w:r>
      <w:r w:rsidR="00A8339B">
        <w:t xml:space="preserve"> </w:t>
      </w:r>
      <w:r w:rsidR="007C6877" w:rsidRPr="00126568">
        <w:t xml:space="preserve">Training  </w:t>
      </w:r>
    </w:p>
    <w:p w14:paraId="0BBF05DD" w14:textId="77777777" w:rsidR="007C6877" w:rsidRDefault="007C6877" w:rsidP="001A7509">
      <w:pPr>
        <w:ind w:left="270"/>
        <w:jc w:val="both"/>
        <w:rPr>
          <w:sz w:val="24"/>
        </w:rPr>
      </w:pPr>
      <w:r w:rsidRPr="00126568">
        <w:rPr>
          <w:sz w:val="24"/>
        </w:rPr>
        <w:t xml:space="preserve">As part of the annual compliance meeting, a review of the Company’s procedures will be conducted and an opportunity for Associated Persons and staff to ask questions and discuss any related client examples that may be applicable. </w:t>
      </w:r>
    </w:p>
    <w:p w14:paraId="3A50A9CE" w14:textId="77777777" w:rsidR="003D64B8" w:rsidRDefault="003D64B8" w:rsidP="001A7509">
      <w:pPr>
        <w:ind w:left="270"/>
        <w:jc w:val="both"/>
        <w:rPr>
          <w:b/>
          <w:sz w:val="24"/>
        </w:rPr>
      </w:pPr>
    </w:p>
    <w:p w14:paraId="438F185B" w14:textId="639D4458" w:rsidR="006500AC" w:rsidRPr="002C5B71" w:rsidRDefault="006500AC" w:rsidP="00936FEE">
      <w:pPr>
        <w:pStyle w:val="Heading2"/>
        <w:rPr>
          <w:i/>
        </w:rPr>
      </w:pPr>
      <w:r>
        <w:t xml:space="preserve">5.26 </w:t>
      </w:r>
      <w:r w:rsidR="00991592">
        <w:t xml:space="preserve">Pension and </w:t>
      </w:r>
      <w:r>
        <w:t>Retirement Plans</w:t>
      </w:r>
    </w:p>
    <w:p w14:paraId="42EBF7B7" w14:textId="3AC9ECB7" w:rsidR="00B6287A" w:rsidRPr="002A440B" w:rsidRDefault="00B6287A" w:rsidP="003C593A">
      <w:pPr>
        <w:rPr>
          <w:color w:val="000000" w:themeColor="text1"/>
          <w:sz w:val="24"/>
          <w:szCs w:val="24"/>
        </w:rPr>
      </w:pPr>
      <w:r w:rsidRPr="002A440B">
        <w:rPr>
          <w:color w:val="000000" w:themeColor="text1"/>
          <w:sz w:val="24"/>
          <w:szCs w:val="24"/>
        </w:rPr>
        <w:t xml:space="preserve">Pension and retirement accounts are regulated under the Employee Retirement and Income Security Act of 1974 (ERISA).  </w:t>
      </w:r>
      <w:r w:rsidR="003C593A" w:rsidRPr="002A440B">
        <w:rPr>
          <w:color w:val="000000" w:themeColor="text1"/>
          <w:sz w:val="24"/>
          <w:szCs w:val="24"/>
        </w:rPr>
        <w:t xml:space="preserve">Differences </w:t>
      </w:r>
      <w:r w:rsidRPr="002A440B">
        <w:rPr>
          <w:color w:val="000000" w:themeColor="text1"/>
          <w:sz w:val="24"/>
          <w:szCs w:val="24"/>
        </w:rPr>
        <w:t xml:space="preserve">in plans </w:t>
      </w:r>
      <w:r w:rsidR="003C593A" w:rsidRPr="002A440B">
        <w:rPr>
          <w:color w:val="000000" w:themeColor="text1"/>
          <w:sz w:val="24"/>
          <w:szCs w:val="24"/>
        </w:rPr>
        <w:t xml:space="preserve">include limits on contributions, tax deductibility, costs, types of plan sponsors (employer or otherwise), and who may participate. </w:t>
      </w:r>
      <w:r w:rsidRPr="002A440B">
        <w:rPr>
          <w:color w:val="000000" w:themeColor="text1"/>
          <w:sz w:val="24"/>
          <w:szCs w:val="24"/>
        </w:rPr>
        <w:t xml:space="preserve"> ERISA is administered by </w:t>
      </w:r>
      <w:r w:rsidR="00991592" w:rsidRPr="002A440B">
        <w:rPr>
          <w:color w:val="000000" w:themeColor="text1"/>
          <w:sz w:val="24"/>
          <w:szCs w:val="24"/>
        </w:rPr>
        <w:t>the Department of Labor (DOL) which issues rules, interpretations, and exemptions</w:t>
      </w:r>
      <w:r w:rsidR="00176C60" w:rsidRPr="002A440B">
        <w:rPr>
          <w:color w:val="000000" w:themeColor="text1"/>
          <w:sz w:val="24"/>
          <w:szCs w:val="24"/>
        </w:rPr>
        <w:t xml:space="preserve"> which includes PTE 2020-02</w:t>
      </w:r>
      <w:r w:rsidR="00991592" w:rsidRPr="002A440B">
        <w:rPr>
          <w:color w:val="000000" w:themeColor="text1"/>
          <w:sz w:val="24"/>
          <w:szCs w:val="24"/>
        </w:rPr>
        <w:t>.  Key elements include:</w:t>
      </w:r>
    </w:p>
    <w:p w14:paraId="2AC6193F" w14:textId="6E567151" w:rsidR="00991592" w:rsidRPr="002A440B" w:rsidRDefault="00991592" w:rsidP="0005402C">
      <w:pPr>
        <w:pStyle w:val="ListParagraph"/>
        <w:numPr>
          <w:ilvl w:val="0"/>
          <w:numId w:val="389"/>
        </w:numPr>
        <w:rPr>
          <w:color w:val="000000" w:themeColor="text1"/>
          <w:sz w:val="24"/>
          <w:szCs w:val="24"/>
        </w:rPr>
      </w:pPr>
      <w:r w:rsidRPr="002A440B">
        <w:rPr>
          <w:color w:val="000000" w:themeColor="text1"/>
          <w:sz w:val="24"/>
          <w:szCs w:val="24"/>
        </w:rPr>
        <w:t>Who is a fiduciary subject to related requirements</w:t>
      </w:r>
      <w:r w:rsidR="006B41D5" w:rsidRPr="002A440B">
        <w:rPr>
          <w:color w:val="000000" w:themeColor="text1"/>
          <w:sz w:val="24"/>
          <w:szCs w:val="24"/>
        </w:rPr>
        <w:t>; and</w:t>
      </w:r>
    </w:p>
    <w:p w14:paraId="1BAE9A2F" w14:textId="0546270B" w:rsidR="00991592" w:rsidRPr="002A440B" w:rsidRDefault="00991592" w:rsidP="0005402C">
      <w:pPr>
        <w:pStyle w:val="ListParagraph"/>
        <w:numPr>
          <w:ilvl w:val="0"/>
          <w:numId w:val="389"/>
        </w:numPr>
        <w:rPr>
          <w:color w:val="000000" w:themeColor="text1"/>
          <w:sz w:val="24"/>
          <w:szCs w:val="24"/>
        </w:rPr>
      </w:pPr>
      <w:r w:rsidRPr="002A440B">
        <w:rPr>
          <w:color w:val="000000" w:themeColor="text1"/>
          <w:sz w:val="24"/>
          <w:szCs w:val="24"/>
        </w:rPr>
        <w:t>Exemptions from “prohibited transactions” which are considered self-dealing and not allowed in these accounts</w:t>
      </w:r>
      <w:r w:rsidR="006B41D5" w:rsidRPr="002A440B">
        <w:rPr>
          <w:color w:val="000000" w:themeColor="text1"/>
          <w:sz w:val="24"/>
          <w:szCs w:val="24"/>
        </w:rPr>
        <w:t>.</w:t>
      </w:r>
    </w:p>
    <w:p w14:paraId="3522DF47" w14:textId="77777777" w:rsidR="00866F51" w:rsidRDefault="00866F51" w:rsidP="00866F51">
      <w:pPr>
        <w:pStyle w:val="ListParagraph"/>
        <w:rPr>
          <w:color w:val="FF0000"/>
          <w:sz w:val="24"/>
          <w:szCs w:val="24"/>
        </w:rPr>
      </w:pPr>
    </w:p>
    <w:p w14:paraId="20F862B3" w14:textId="3C069ABD" w:rsidR="00866F51" w:rsidRDefault="00866F51" w:rsidP="00866F51">
      <w:pPr>
        <w:pStyle w:val="Heading3"/>
      </w:pPr>
      <w:r>
        <w:t>5.26.1 Fiduciary Status</w:t>
      </w:r>
    </w:p>
    <w:p w14:paraId="28A7712D" w14:textId="142F3F85" w:rsidR="00866F51" w:rsidRPr="002A440B" w:rsidRDefault="00866F51" w:rsidP="00866F51">
      <w:pPr>
        <w:spacing w:before="15" w:after="100" w:afterAutospacing="1" w:line="240" w:lineRule="atLeast"/>
        <w:ind w:left="270"/>
        <w:rPr>
          <w:color w:val="000000" w:themeColor="text1"/>
          <w:spacing w:val="8"/>
          <w:sz w:val="24"/>
          <w:szCs w:val="24"/>
        </w:rPr>
      </w:pPr>
      <w:r w:rsidRPr="002A440B">
        <w:rPr>
          <w:color w:val="000000" w:themeColor="text1"/>
          <w:spacing w:val="8"/>
          <w:sz w:val="24"/>
          <w:szCs w:val="24"/>
        </w:rPr>
        <w:t>The DOL has outlined a "five-prong" test to identify who is a fiduciary. All five parts of the test must be satisfied to meet the fiduciary test. Under the DOL's five-part test for advice to constitute "investment advice," a financial institution or investment professional must:</w:t>
      </w:r>
    </w:p>
    <w:p w14:paraId="3AADA6B0" w14:textId="77777777" w:rsidR="00866F51" w:rsidRPr="002A440B" w:rsidRDefault="00866F51" w:rsidP="0005402C">
      <w:pPr>
        <w:numPr>
          <w:ilvl w:val="0"/>
          <w:numId w:val="390"/>
        </w:numPr>
        <w:tabs>
          <w:tab w:val="clear" w:pos="720"/>
          <w:tab w:val="num" w:pos="81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lastRenderedPageBreak/>
        <w:t>Render advice to the plan, plan fiduciary, or IRA owner as to the value of securities or other property, or make recommendations as to the advisability of investing in, purchasing or selling securities or other property,</w:t>
      </w:r>
    </w:p>
    <w:p w14:paraId="32E07186" w14:textId="77777777" w:rsidR="00866F51" w:rsidRPr="002A440B" w:rsidRDefault="00866F51" w:rsidP="0005402C">
      <w:pPr>
        <w:numPr>
          <w:ilvl w:val="0"/>
          <w:numId w:val="390"/>
        </w:numPr>
        <w:tabs>
          <w:tab w:val="clear" w:pos="720"/>
          <w:tab w:val="num" w:pos="81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On a regular basis,</w:t>
      </w:r>
    </w:p>
    <w:p w14:paraId="676FF55F" w14:textId="77777777" w:rsidR="00866F51" w:rsidRPr="002A440B" w:rsidRDefault="00866F51" w:rsidP="0005402C">
      <w:pPr>
        <w:numPr>
          <w:ilvl w:val="0"/>
          <w:numId w:val="390"/>
        </w:numPr>
        <w:tabs>
          <w:tab w:val="clear" w:pos="720"/>
          <w:tab w:val="num" w:pos="81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Pursuant to a mutual agreement, arrangement, or understanding with the plan, plan fiduciary, or IRA owner, that</w:t>
      </w:r>
    </w:p>
    <w:p w14:paraId="4D253998" w14:textId="77777777" w:rsidR="00866F51" w:rsidRPr="002A440B" w:rsidRDefault="00866F51" w:rsidP="0005402C">
      <w:pPr>
        <w:numPr>
          <w:ilvl w:val="0"/>
          <w:numId w:val="390"/>
        </w:numPr>
        <w:tabs>
          <w:tab w:val="clear" w:pos="720"/>
          <w:tab w:val="num" w:pos="81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The advice will serve as a primary basis for investment decisions with respect to plan or IRA assets, and that</w:t>
      </w:r>
    </w:p>
    <w:p w14:paraId="281F4E44" w14:textId="77777777" w:rsidR="00866F51" w:rsidRPr="002A440B" w:rsidRDefault="00866F51" w:rsidP="0005402C">
      <w:pPr>
        <w:numPr>
          <w:ilvl w:val="0"/>
          <w:numId w:val="390"/>
        </w:numPr>
        <w:tabs>
          <w:tab w:val="clear" w:pos="720"/>
          <w:tab w:val="num" w:pos="81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The advice will be individualized based on the particular needs of the plan or IRA.</w:t>
      </w:r>
    </w:p>
    <w:p w14:paraId="540A5C92" w14:textId="77777777" w:rsidR="00866F51" w:rsidRPr="002A440B" w:rsidRDefault="00866F51" w:rsidP="00866F51">
      <w:pPr>
        <w:spacing w:before="15" w:after="100" w:afterAutospacing="1" w:line="240" w:lineRule="atLeast"/>
        <w:ind w:left="270"/>
        <w:rPr>
          <w:color w:val="000000" w:themeColor="text1"/>
          <w:spacing w:val="8"/>
          <w:sz w:val="24"/>
          <w:szCs w:val="24"/>
        </w:rPr>
      </w:pPr>
      <w:r w:rsidRPr="002A440B">
        <w:rPr>
          <w:color w:val="000000" w:themeColor="text1"/>
          <w:spacing w:val="8"/>
          <w:sz w:val="24"/>
          <w:szCs w:val="24"/>
        </w:rPr>
        <w:t>The three consequences to a financial institution or investment professional that meets this five-part test </w:t>
      </w:r>
      <w:r w:rsidRPr="002A440B">
        <w:rPr>
          <w:b/>
          <w:bCs/>
          <w:color w:val="000000" w:themeColor="text1"/>
          <w:spacing w:val="8"/>
          <w:sz w:val="24"/>
          <w:szCs w:val="24"/>
        </w:rPr>
        <w:t>and</w:t>
      </w:r>
      <w:r w:rsidRPr="002A440B">
        <w:rPr>
          <w:color w:val="000000" w:themeColor="text1"/>
          <w:spacing w:val="8"/>
          <w:sz w:val="24"/>
          <w:szCs w:val="24"/>
        </w:rPr>
        <w:t> receives a fee or other compensation (including traditional brokerage commissions), direct or indirect, is that the institution or professional:</w:t>
      </w:r>
    </w:p>
    <w:p w14:paraId="2C8E2D06" w14:textId="77777777" w:rsidR="00866F51" w:rsidRPr="002A440B" w:rsidRDefault="00866F51" w:rsidP="0005402C">
      <w:pPr>
        <w:numPr>
          <w:ilvl w:val="0"/>
          <w:numId w:val="391"/>
        </w:numPr>
        <w:tabs>
          <w:tab w:val="clear" w:pos="720"/>
          <w:tab w:val="num" w:pos="90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is an "investment advice fiduciary" under ERISA and the IRS Code</w:t>
      </w:r>
    </w:p>
    <w:p w14:paraId="65620CCE" w14:textId="77777777" w:rsidR="00866F51" w:rsidRPr="002A440B" w:rsidRDefault="00866F51" w:rsidP="0005402C">
      <w:pPr>
        <w:numPr>
          <w:ilvl w:val="0"/>
          <w:numId w:val="391"/>
        </w:numPr>
        <w:tabs>
          <w:tab w:val="clear" w:pos="720"/>
          <w:tab w:val="num" w:pos="90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is subject to fiduciary duties with respect to an employee benefit plan</w:t>
      </w:r>
    </w:p>
    <w:p w14:paraId="7D921B91" w14:textId="7B2726D2" w:rsidR="00866F51" w:rsidRPr="002A440B" w:rsidRDefault="00866F51" w:rsidP="0005402C">
      <w:pPr>
        <w:numPr>
          <w:ilvl w:val="0"/>
          <w:numId w:val="391"/>
        </w:numPr>
        <w:tabs>
          <w:tab w:val="clear" w:pos="720"/>
          <w:tab w:val="num" w:pos="90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is forbidden from engaging in certain "prohibited transactions" involving plans, IRAs or annuities unless an exemption applies</w:t>
      </w:r>
    </w:p>
    <w:p w14:paraId="28093A0E" w14:textId="4C4CB4A1" w:rsidR="00176C60" w:rsidRDefault="00176C60" w:rsidP="00176C60">
      <w:pPr>
        <w:pStyle w:val="Heading3"/>
      </w:pPr>
      <w:r>
        <w:t>5.26.2 Requirements</w:t>
      </w:r>
    </w:p>
    <w:p w14:paraId="518050AB" w14:textId="77777777" w:rsidR="00176C60" w:rsidRPr="002A440B" w:rsidRDefault="00176C60" w:rsidP="00176C60">
      <w:pPr>
        <w:shd w:val="clear" w:color="auto" w:fill="FFFFFF"/>
        <w:spacing w:before="15" w:after="100" w:afterAutospacing="1" w:line="240" w:lineRule="atLeast"/>
        <w:ind w:left="270"/>
        <w:rPr>
          <w:color w:val="000000" w:themeColor="text1"/>
          <w:spacing w:val="8"/>
          <w:sz w:val="24"/>
          <w:szCs w:val="24"/>
        </w:rPr>
      </w:pPr>
      <w:r w:rsidRPr="002A440B">
        <w:rPr>
          <w:color w:val="000000" w:themeColor="text1"/>
          <w:spacing w:val="8"/>
          <w:sz w:val="24"/>
          <w:szCs w:val="24"/>
        </w:rPr>
        <w:t>Requirements when acting as a fiduciary to pension/retirement/IRAs include the following.</w:t>
      </w:r>
    </w:p>
    <w:p w14:paraId="42A3804B" w14:textId="77777777" w:rsidR="00176C60" w:rsidRPr="002A440B" w:rsidRDefault="00176C60" w:rsidP="0005402C">
      <w:pPr>
        <w:numPr>
          <w:ilvl w:val="0"/>
          <w:numId w:val="392"/>
        </w:numPr>
        <w:shd w:val="clear" w:color="auto" w:fill="FFFFFF"/>
        <w:tabs>
          <w:tab w:val="clear" w:pos="72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Provide disclosure acknowledging fiduciary status in writing</w:t>
      </w:r>
    </w:p>
    <w:p w14:paraId="157DA4BA" w14:textId="77777777" w:rsidR="00176C60" w:rsidRPr="002A440B" w:rsidRDefault="00176C60" w:rsidP="0005402C">
      <w:pPr>
        <w:numPr>
          <w:ilvl w:val="0"/>
          <w:numId w:val="392"/>
        </w:numPr>
        <w:shd w:val="clear" w:color="auto" w:fill="FFFFFF"/>
        <w:tabs>
          <w:tab w:val="clear" w:pos="72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Disclose the investment related services being provided and any material conflicts of interest in providing these services</w:t>
      </w:r>
    </w:p>
    <w:p w14:paraId="10252121" w14:textId="77777777" w:rsidR="00176C60" w:rsidRPr="002A440B" w:rsidRDefault="00176C60" w:rsidP="0005402C">
      <w:pPr>
        <w:numPr>
          <w:ilvl w:val="0"/>
          <w:numId w:val="392"/>
        </w:numPr>
        <w:shd w:val="clear" w:color="auto" w:fill="FFFFFF"/>
        <w:tabs>
          <w:tab w:val="clear" w:pos="72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Adhere to "impartial conduct standards" which include:</w:t>
      </w:r>
    </w:p>
    <w:p w14:paraId="7B74B33F" w14:textId="38B40ECD" w:rsidR="00176C60" w:rsidRPr="002A440B" w:rsidRDefault="00176C60" w:rsidP="0005402C">
      <w:pPr>
        <w:numPr>
          <w:ilvl w:val="1"/>
          <w:numId w:val="392"/>
        </w:numPr>
        <w:shd w:val="clear" w:color="auto" w:fill="FFFFFF"/>
        <w:spacing w:before="100" w:beforeAutospacing="1" w:after="100" w:afterAutospacing="1"/>
        <w:rPr>
          <w:color w:val="000000" w:themeColor="text1"/>
          <w:spacing w:val="8"/>
          <w:sz w:val="24"/>
          <w:szCs w:val="24"/>
        </w:rPr>
      </w:pPr>
      <w:r w:rsidRPr="002A440B">
        <w:rPr>
          <w:color w:val="000000" w:themeColor="text1"/>
          <w:spacing w:val="8"/>
          <w:sz w:val="24"/>
          <w:szCs w:val="24"/>
        </w:rPr>
        <w:t>Conduct a reasonable effort to investigate and evaluate investments, advice, and exercise sound judgment as knowledgeable and impartial professionals would (</w:t>
      </w:r>
      <w:r w:rsidRPr="002A440B">
        <w:rPr>
          <w:i/>
          <w:iCs/>
          <w:color w:val="000000" w:themeColor="text1"/>
          <w:spacing w:val="8"/>
          <w:sz w:val="24"/>
          <w:szCs w:val="24"/>
        </w:rPr>
        <w:t>i.e.,</w:t>
      </w:r>
      <w:r w:rsidRPr="002A440B">
        <w:rPr>
          <w:color w:val="000000" w:themeColor="text1"/>
          <w:spacing w:val="8"/>
          <w:sz w:val="24"/>
          <w:szCs w:val="24"/>
        </w:rPr>
        <w:t> their recommendations must be "prudent")</w:t>
      </w:r>
    </w:p>
    <w:p w14:paraId="470D63EF" w14:textId="57FD2ED8" w:rsidR="00176C60" w:rsidRPr="002A440B" w:rsidRDefault="00176C60" w:rsidP="0005402C">
      <w:pPr>
        <w:numPr>
          <w:ilvl w:val="1"/>
          <w:numId w:val="392"/>
        </w:numPr>
        <w:shd w:val="clear" w:color="auto" w:fill="FFFFFF"/>
        <w:spacing w:before="100" w:beforeAutospacing="1" w:after="100" w:afterAutospacing="1"/>
        <w:rPr>
          <w:color w:val="000000" w:themeColor="text1"/>
          <w:spacing w:val="8"/>
          <w:sz w:val="24"/>
          <w:szCs w:val="24"/>
        </w:rPr>
      </w:pPr>
      <w:r w:rsidRPr="002A440B">
        <w:rPr>
          <w:color w:val="000000" w:themeColor="text1"/>
          <w:spacing w:val="8"/>
          <w:sz w:val="24"/>
          <w:szCs w:val="24"/>
        </w:rPr>
        <w:t>Act with undivided loyalty to Retirement Investors when making recommendations (in other words, they must never place their own interests ahead of the interests of the Retirement Investor, or subordinate the Retirement Investor's interests to their own)</w:t>
      </w:r>
    </w:p>
    <w:p w14:paraId="67BF9EF7" w14:textId="06190168" w:rsidR="00176C60" w:rsidRPr="002A440B" w:rsidRDefault="00176C60" w:rsidP="0005402C">
      <w:pPr>
        <w:numPr>
          <w:ilvl w:val="1"/>
          <w:numId w:val="392"/>
        </w:numPr>
        <w:shd w:val="clear" w:color="auto" w:fill="FFFFFF"/>
        <w:spacing w:before="100" w:beforeAutospacing="1" w:after="100" w:afterAutospacing="1"/>
        <w:rPr>
          <w:color w:val="000000" w:themeColor="text1"/>
          <w:spacing w:val="8"/>
          <w:sz w:val="24"/>
          <w:szCs w:val="24"/>
        </w:rPr>
      </w:pPr>
      <w:r w:rsidRPr="002A440B">
        <w:rPr>
          <w:color w:val="000000" w:themeColor="text1"/>
          <w:spacing w:val="8"/>
          <w:sz w:val="24"/>
          <w:szCs w:val="24"/>
        </w:rPr>
        <w:t>Charge no more than reasonable compensation and comply with federal laws regarding "best execution"</w:t>
      </w:r>
    </w:p>
    <w:p w14:paraId="3D424D16" w14:textId="2524C891" w:rsidR="00176C60" w:rsidRPr="002A440B" w:rsidRDefault="00176C60" w:rsidP="0005402C">
      <w:pPr>
        <w:numPr>
          <w:ilvl w:val="1"/>
          <w:numId w:val="392"/>
        </w:numPr>
        <w:shd w:val="clear" w:color="auto" w:fill="FFFFFF"/>
        <w:spacing w:before="100" w:beforeAutospacing="1" w:after="100" w:afterAutospacing="1"/>
        <w:rPr>
          <w:color w:val="000000" w:themeColor="text1"/>
          <w:spacing w:val="8"/>
          <w:sz w:val="24"/>
          <w:szCs w:val="24"/>
        </w:rPr>
      </w:pPr>
      <w:r w:rsidRPr="002A440B">
        <w:rPr>
          <w:color w:val="000000" w:themeColor="text1"/>
          <w:spacing w:val="8"/>
          <w:sz w:val="24"/>
          <w:szCs w:val="24"/>
        </w:rPr>
        <w:t>Avoid making misleading statements about investment transactions and other relevant matters</w:t>
      </w:r>
    </w:p>
    <w:p w14:paraId="3394194A" w14:textId="77777777" w:rsidR="00176C60" w:rsidRPr="002A440B" w:rsidRDefault="00176C60" w:rsidP="00BD5A85">
      <w:pPr>
        <w:shd w:val="clear" w:color="auto" w:fill="FFFFFF"/>
        <w:spacing w:before="15" w:after="100" w:afterAutospacing="1" w:line="240" w:lineRule="atLeast"/>
        <w:ind w:firstLine="270"/>
        <w:rPr>
          <w:color w:val="000000" w:themeColor="text1"/>
          <w:spacing w:val="8"/>
          <w:sz w:val="24"/>
          <w:szCs w:val="24"/>
        </w:rPr>
      </w:pPr>
      <w:r w:rsidRPr="002A440B">
        <w:rPr>
          <w:color w:val="000000" w:themeColor="text1"/>
          <w:spacing w:val="8"/>
          <w:sz w:val="24"/>
          <w:szCs w:val="24"/>
        </w:rPr>
        <w:t>Other requirements include:</w:t>
      </w:r>
    </w:p>
    <w:p w14:paraId="539AEC9F" w14:textId="07F45FE7" w:rsidR="00176C60" w:rsidRPr="002A440B" w:rsidRDefault="00176C60" w:rsidP="0005402C">
      <w:pPr>
        <w:numPr>
          <w:ilvl w:val="0"/>
          <w:numId w:val="393"/>
        </w:numPr>
        <w:shd w:val="clear" w:color="auto" w:fill="FFFFFF"/>
        <w:tabs>
          <w:tab w:val="clear" w:pos="720"/>
          <w:tab w:val="num" w:pos="90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When there is no recommendation, the non-recommendation must be documented including an indication of "unsolicited</w:t>
      </w:r>
      <w:r w:rsidR="00F701DF" w:rsidRPr="002A440B">
        <w:rPr>
          <w:color w:val="000000" w:themeColor="text1"/>
          <w:spacing w:val="8"/>
          <w:sz w:val="24"/>
          <w:szCs w:val="24"/>
        </w:rPr>
        <w:t>.</w:t>
      </w:r>
      <w:r w:rsidRPr="002A440B">
        <w:rPr>
          <w:color w:val="000000" w:themeColor="text1"/>
          <w:spacing w:val="8"/>
          <w:sz w:val="24"/>
          <w:szCs w:val="24"/>
        </w:rPr>
        <w:t xml:space="preserve">" </w:t>
      </w:r>
    </w:p>
    <w:p w14:paraId="79746733" w14:textId="77777777" w:rsidR="00176C60" w:rsidRPr="002A440B" w:rsidRDefault="00176C60" w:rsidP="0005402C">
      <w:pPr>
        <w:numPr>
          <w:ilvl w:val="0"/>
          <w:numId w:val="393"/>
        </w:numPr>
        <w:shd w:val="clear" w:color="auto" w:fill="FFFFFF"/>
        <w:tabs>
          <w:tab w:val="clear" w:pos="720"/>
          <w:tab w:val="num" w:pos="90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RRs who recommend that an investor roll over an IRA or qualified plan into another vehicle must justify and explain the benefits, expenses, and all conflicts of interest associated with the rollover, as well as reliable benchmarks for typical fees. See the section </w:t>
      </w:r>
      <w:r w:rsidRPr="002A440B">
        <w:rPr>
          <w:i/>
          <w:iCs/>
          <w:color w:val="000000" w:themeColor="text1"/>
          <w:spacing w:val="8"/>
          <w:sz w:val="24"/>
          <w:szCs w:val="24"/>
        </w:rPr>
        <w:t>Rollovers</w:t>
      </w:r>
      <w:r w:rsidRPr="002A440B">
        <w:rPr>
          <w:color w:val="000000" w:themeColor="text1"/>
          <w:spacing w:val="8"/>
          <w:sz w:val="24"/>
          <w:szCs w:val="24"/>
        </w:rPr>
        <w:t> later in this section.</w:t>
      </w:r>
    </w:p>
    <w:p w14:paraId="01A80EC2" w14:textId="75AB733B" w:rsidR="00176C60" w:rsidRPr="002A440B" w:rsidRDefault="00176C60" w:rsidP="0005402C">
      <w:pPr>
        <w:numPr>
          <w:ilvl w:val="0"/>
          <w:numId w:val="393"/>
        </w:numPr>
        <w:shd w:val="clear" w:color="auto" w:fill="FFFFFF"/>
        <w:tabs>
          <w:tab w:val="clear" w:pos="720"/>
          <w:tab w:val="num" w:pos="90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lastRenderedPageBreak/>
        <w:t xml:space="preserve">Policies and procedures must include </w:t>
      </w:r>
      <w:r w:rsidR="00E7710D" w:rsidRPr="002A440B">
        <w:rPr>
          <w:color w:val="000000" w:themeColor="text1"/>
          <w:spacing w:val="8"/>
          <w:sz w:val="24"/>
          <w:szCs w:val="24"/>
        </w:rPr>
        <w:t xml:space="preserve">disclosing and/or </w:t>
      </w:r>
      <w:r w:rsidRPr="002A440B">
        <w:rPr>
          <w:color w:val="000000" w:themeColor="text1"/>
          <w:spacing w:val="8"/>
          <w:sz w:val="24"/>
          <w:szCs w:val="24"/>
        </w:rPr>
        <w:t>mitigating of conflicts of interest (also covered by Regulation Best Interest</w:t>
      </w:r>
      <w:r w:rsidR="00E7710D" w:rsidRPr="002A440B">
        <w:rPr>
          <w:color w:val="000000" w:themeColor="text1"/>
          <w:spacing w:val="8"/>
          <w:sz w:val="24"/>
          <w:szCs w:val="24"/>
        </w:rPr>
        <w:t xml:space="preserve"> and the Form CRS</w:t>
      </w:r>
      <w:r w:rsidRPr="002A440B">
        <w:rPr>
          <w:color w:val="000000" w:themeColor="text1"/>
          <w:spacing w:val="8"/>
          <w:sz w:val="24"/>
          <w:szCs w:val="24"/>
        </w:rPr>
        <w:t>).</w:t>
      </w:r>
    </w:p>
    <w:p w14:paraId="274AEC70" w14:textId="1AB6BAEA" w:rsidR="00176C60" w:rsidRPr="002A440B" w:rsidRDefault="00176C60" w:rsidP="0005402C">
      <w:pPr>
        <w:numPr>
          <w:ilvl w:val="0"/>
          <w:numId w:val="393"/>
        </w:numPr>
        <w:shd w:val="clear" w:color="auto" w:fill="FFFFFF"/>
        <w:tabs>
          <w:tab w:val="clear" w:pos="720"/>
          <w:tab w:val="num" w:pos="90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 xml:space="preserve">Company </w:t>
      </w:r>
      <w:r w:rsidR="00E7710D" w:rsidRPr="002A440B">
        <w:rPr>
          <w:color w:val="000000" w:themeColor="text1"/>
          <w:spacing w:val="8"/>
          <w:sz w:val="24"/>
          <w:szCs w:val="24"/>
        </w:rPr>
        <w:t xml:space="preserve">will include </w:t>
      </w:r>
      <w:r w:rsidRPr="002A440B">
        <w:rPr>
          <w:color w:val="000000" w:themeColor="text1"/>
          <w:spacing w:val="8"/>
          <w:sz w:val="24"/>
          <w:szCs w:val="24"/>
        </w:rPr>
        <w:t>an annual retrospective compliance review.</w:t>
      </w:r>
    </w:p>
    <w:p w14:paraId="35BA6E70" w14:textId="4F3FFA7C" w:rsidR="00176C60" w:rsidRPr="0042148F" w:rsidRDefault="00BC33FC" w:rsidP="00BC33FC">
      <w:pPr>
        <w:pStyle w:val="Heading3"/>
        <w:rPr>
          <w:b w:val="0"/>
          <w:bCs/>
          <w:i/>
          <w:iCs/>
          <w:color w:val="000000" w:themeColor="text1"/>
        </w:rPr>
      </w:pPr>
      <w:r w:rsidRPr="002A440B">
        <w:rPr>
          <w:color w:val="000000" w:themeColor="text1"/>
        </w:rPr>
        <w:t>5.26.3 PTE 2020-02 Exemption</w:t>
      </w:r>
      <w:r w:rsidR="0042148F">
        <w:rPr>
          <w:color w:val="000000" w:themeColor="text1"/>
        </w:rPr>
        <w:t xml:space="preserve"> </w:t>
      </w:r>
      <w:r w:rsidR="0042148F" w:rsidRPr="0042148F">
        <w:rPr>
          <w:b w:val="0"/>
          <w:bCs/>
          <w:i/>
          <w:iCs/>
          <w:color w:val="000000" w:themeColor="text1"/>
          <w:sz w:val="20"/>
          <w:szCs w:val="20"/>
        </w:rPr>
        <w:t>(</w:t>
      </w:r>
      <w:proofErr w:type="gramStart"/>
      <w:r w:rsidR="0042148F" w:rsidRPr="0042148F">
        <w:rPr>
          <w:b w:val="0"/>
          <w:bCs/>
          <w:i/>
          <w:iCs/>
          <w:color w:val="000000" w:themeColor="text1"/>
          <w:sz w:val="20"/>
          <w:szCs w:val="20"/>
        </w:rPr>
        <w:t>eff</w:t>
      </w:r>
      <w:proofErr w:type="gramEnd"/>
      <w:r w:rsidR="0042148F" w:rsidRPr="0042148F">
        <w:rPr>
          <w:b w:val="0"/>
          <w:bCs/>
          <w:i/>
          <w:iCs/>
          <w:color w:val="000000" w:themeColor="text1"/>
          <w:sz w:val="20"/>
          <w:szCs w:val="20"/>
        </w:rPr>
        <w:t xml:space="preserve"> 02/16/21)</w:t>
      </w:r>
    </w:p>
    <w:p w14:paraId="4C653751" w14:textId="77777777" w:rsidR="00BD5A85" w:rsidRPr="002A440B" w:rsidRDefault="00BD5A85" w:rsidP="00BD5A85">
      <w:pPr>
        <w:spacing w:before="15" w:after="100" w:afterAutospacing="1" w:line="240" w:lineRule="atLeast"/>
        <w:ind w:left="270"/>
        <w:rPr>
          <w:color w:val="000000" w:themeColor="text1"/>
          <w:spacing w:val="8"/>
          <w:sz w:val="24"/>
          <w:szCs w:val="24"/>
        </w:rPr>
      </w:pPr>
      <w:r w:rsidRPr="002A440B">
        <w:rPr>
          <w:color w:val="000000" w:themeColor="text1"/>
          <w:spacing w:val="8"/>
          <w:sz w:val="24"/>
          <w:szCs w:val="24"/>
        </w:rPr>
        <w:t>Investment Professionals may receive compensation when acting as a fiduciary and relying on this exemption to continue receiving brokerage compensation. PTE 2020-02 is summarized as follows:</w:t>
      </w:r>
    </w:p>
    <w:p w14:paraId="6207F20B" w14:textId="77777777" w:rsidR="00BD5A85" w:rsidRPr="002A440B" w:rsidRDefault="00BD5A85" w:rsidP="0005402C">
      <w:pPr>
        <w:numPr>
          <w:ilvl w:val="0"/>
          <w:numId w:val="394"/>
        </w:numPr>
        <w:tabs>
          <w:tab w:val="clear" w:pos="720"/>
          <w:tab w:val="num" w:pos="81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Financial institutions and investment professionals (and affiliates and related entities) can engage in transactions for which they provide fiduciary investment advice in which they receive reasonable compensation including in a transaction that includes a rollover from an ERISA Plan to an IRA.</w:t>
      </w:r>
    </w:p>
    <w:p w14:paraId="65DD851B" w14:textId="77777777" w:rsidR="00BD5A85" w:rsidRPr="002A440B" w:rsidRDefault="00BD5A85" w:rsidP="0005402C">
      <w:pPr>
        <w:numPr>
          <w:ilvl w:val="0"/>
          <w:numId w:val="394"/>
        </w:numPr>
        <w:tabs>
          <w:tab w:val="clear" w:pos="720"/>
          <w:tab w:val="num" w:pos="81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Financial Institutions and Investment Professionals can provide fiduciary investment advice with respect to the purchase or sale of an asset in a riskless principal transaction or a Covered Principal Transaction (which is defined as (</w:t>
      </w:r>
      <w:proofErr w:type="spellStart"/>
      <w:r w:rsidRPr="002A440B">
        <w:rPr>
          <w:color w:val="000000" w:themeColor="text1"/>
          <w:spacing w:val="8"/>
          <w:sz w:val="24"/>
          <w:szCs w:val="24"/>
        </w:rPr>
        <w:t>i</w:t>
      </w:r>
      <w:proofErr w:type="spellEnd"/>
      <w:r w:rsidRPr="002A440B">
        <w:rPr>
          <w:color w:val="000000" w:themeColor="text1"/>
          <w:spacing w:val="8"/>
          <w:sz w:val="24"/>
          <w:szCs w:val="24"/>
        </w:rPr>
        <w:t>) a sale to a Plan of certain debt securities or a principal transaction covered under another exemption; or (ii) a purchase from a Plan of securities or investment property).</w:t>
      </w:r>
    </w:p>
    <w:p w14:paraId="7E485956" w14:textId="77777777" w:rsidR="00BD5A85" w:rsidRPr="002A440B" w:rsidRDefault="00BD5A85" w:rsidP="0005402C">
      <w:pPr>
        <w:numPr>
          <w:ilvl w:val="0"/>
          <w:numId w:val="394"/>
        </w:numPr>
        <w:tabs>
          <w:tab w:val="clear" w:pos="720"/>
          <w:tab w:val="num" w:pos="81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This Exemption does not apply to the following situations:</w:t>
      </w:r>
    </w:p>
    <w:p w14:paraId="38983419" w14:textId="77777777" w:rsidR="00BD5A85" w:rsidRPr="002A440B" w:rsidRDefault="00BD5A85" w:rsidP="0005402C">
      <w:pPr>
        <w:numPr>
          <w:ilvl w:val="1"/>
          <w:numId w:val="394"/>
        </w:numPr>
        <w:spacing w:before="100" w:beforeAutospacing="1" w:after="100" w:afterAutospacing="1"/>
        <w:rPr>
          <w:color w:val="000000" w:themeColor="text1"/>
          <w:spacing w:val="8"/>
          <w:sz w:val="24"/>
          <w:szCs w:val="24"/>
        </w:rPr>
      </w:pPr>
      <w:r w:rsidRPr="002A440B">
        <w:rPr>
          <w:color w:val="000000" w:themeColor="text1"/>
          <w:spacing w:val="8"/>
          <w:sz w:val="24"/>
          <w:szCs w:val="24"/>
        </w:rPr>
        <w:t>Plans for which the investment advice fiduciary, or an affiliate, is (</w:t>
      </w:r>
      <w:proofErr w:type="spellStart"/>
      <w:r w:rsidRPr="002A440B">
        <w:rPr>
          <w:color w:val="000000" w:themeColor="text1"/>
          <w:spacing w:val="8"/>
          <w:sz w:val="24"/>
          <w:szCs w:val="24"/>
        </w:rPr>
        <w:t>i</w:t>
      </w:r>
      <w:proofErr w:type="spellEnd"/>
      <w:r w:rsidRPr="002A440B">
        <w:rPr>
          <w:color w:val="000000" w:themeColor="text1"/>
          <w:spacing w:val="8"/>
          <w:sz w:val="24"/>
          <w:szCs w:val="24"/>
        </w:rPr>
        <w:t>) employer of employees covered by the Plan or a named fiduciary of the Plan; or (ii) plan administrator selected by a fiduciary that is not independent of investment advice fiduciary;</w:t>
      </w:r>
    </w:p>
    <w:p w14:paraId="421386A9" w14:textId="77777777" w:rsidR="00BD5A85" w:rsidRPr="002A440B" w:rsidRDefault="00BD5A85" w:rsidP="0005402C">
      <w:pPr>
        <w:numPr>
          <w:ilvl w:val="1"/>
          <w:numId w:val="394"/>
        </w:numPr>
        <w:spacing w:before="100" w:beforeAutospacing="1" w:after="100" w:afterAutospacing="1"/>
        <w:rPr>
          <w:color w:val="000000" w:themeColor="text1"/>
          <w:spacing w:val="8"/>
          <w:sz w:val="24"/>
          <w:szCs w:val="24"/>
        </w:rPr>
      </w:pPr>
      <w:proofErr w:type="spellStart"/>
      <w:r w:rsidRPr="002A440B">
        <w:rPr>
          <w:color w:val="000000" w:themeColor="text1"/>
          <w:spacing w:val="8"/>
          <w:sz w:val="24"/>
          <w:szCs w:val="24"/>
        </w:rPr>
        <w:t>Roboadvice</w:t>
      </w:r>
      <w:proofErr w:type="spellEnd"/>
      <w:r w:rsidRPr="002A440B">
        <w:rPr>
          <w:color w:val="000000" w:themeColor="text1"/>
          <w:spacing w:val="8"/>
          <w:sz w:val="24"/>
          <w:szCs w:val="24"/>
        </w:rPr>
        <w:t xml:space="preserve"> (investment advice generated solely by an interactive web site with computer-based models or applications and without any personal interaction); or</w:t>
      </w:r>
    </w:p>
    <w:p w14:paraId="0221EA99" w14:textId="77777777" w:rsidR="00BD5A85" w:rsidRPr="002A440B" w:rsidRDefault="00BD5A85" w:rsidP="0005402C">
      <w:pPr>
        <w:numPr>
          <w:ilvl w:val="1"/>
          <w:numId w:val="394"/>
        </w:numPr>
        <w:spacing w:before="100" w:beforeAutospacing="1" w:after="100" w:afterAutospacing="1"/>
        <w:rPr>
          <w:color w:val="000000" w:themeColor="text1"/>
          <w:spacing w:val="8"/>
          <w:sz w:val="24"/>
          <w:szCs w:val="24"/>
        </w:rPr>
      </w:pPr>
      <w:r w:rsidRPr="002A440B">
        <w:rPr>
          <w:color w:val="000000" w:themeColor="text1"/>
          <w:spacing w:val="8"/>
          <w:sz w:val="24"/>
          <w:szCs w:val="24"/>
        </w:rPr>
        <w:t>Discretionary fiduciary investment arrangements.</w:t>
      </w:r>
    </w:p>
    <w:p w14:paraId="6A31A3F4" w14:textId="77777777" w:rsidR="00BD5A85" w:rsidRPr="002A440B" w:rsidRDefault="00BD5A85" w:rsidP="0005402C">
      <w:pPr>
        <w:numPr>
          <w:ilvl w:val="0"/>
          <w:numId w:val="394"/>
        </w:numPr>
        <w:tabs>
          <w:tab w:val="clear" w:pos="720"/>
          <w:tab w:val="num" w:pos="81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Investment Professionals and Financial Institutions must comply with (</w:t>
      </w:r>
      <w:proofErr w:type="spellStart"/>
      <w:r w:rsidRPr="002A440B">
        <w:rPr>
          <w:color w:val="000000" w:themeColor="text1"/>
          <w:spacing w:val="8"/>
          <w:sz w:val="24"/>
          <w:szCs w:val="24"/>
        </w:rPr>
        <w:t>i</w:t>
      </w:r>
      <w:proofErr w:type="spellEnd"/>
      <w:r w:rsidRPr="002A440B">
        <w:rPr>
          <w:color w:val="000000" w:themeColor="text1"/>
          <w:spacing w:val="8"/>
          <w:sz w:val="24"/>
          <w:szCs w:val="24"/>
        </w:rPr>
        <w:t>) the Impartial Conduct Standards; (ii) Disclosure Requirements; (iii) Policies and Procedures Requirements; and (iv) the Retrospective Review Requirement.</w:t>
      </w:r>
    </w:p>
    <w:p w14:paraId="0D6BC693" w14:textId="77777777" w:rsidR="00BD5A85" w:rsidRPr="002A440B" w:rsidRDefault="00BD5A85" w:rsidP="0005402C">
      <w:pPr>
        <w:numPr>
          <w:ilvl w:val="0"/>
          <w:numId w:val="394"/>
        </w:numPr>
        <w:tabs>
          <w:tab w:val="clear" w:pos="720"/>
          <w:tab w:val="num" w:pos="81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A Financial Institution or Investment Professional is ineligible for the exemption for 10 years following:</w:t>
      </w:r>
    </w:p>
    <w:p w14:paraId="7AADB457" w14:textId="77777777" w:rsidR="00BD5A85" w:rsidRPr="002A440B" w:rsidRDefault="00BD5A85" w:rsidP="0005402C">
      <w:pPr>
        <w:numPr>
          <w:ilvl w:val="1"/>
          <w:numId w:val="394"/>
        </w:numPr>
        <w:spacing w:before="100" w:beforeAutospacing="1" w:after="100" w:afterAutospacing="1"/>
        <w:rPr>
          <w:color w:val="000000" w:themeColor="text1"/>
          <w:spacing w:val="8"/>
          <w:sz w:val="24"/>
          <w:szCs w:val="24"/>
        </w:rPr>
      </w:pPr>
      <w:r w:rsidRPr="002A440B">
        <w:rPr>
          <w:color w:val="000000" w:themeColor="text1"/>
          <w:spacing w:val="8"/>
          <w:sz w:val="24"/>
          <w:szCs w:val="24"/>
        </w:rPr>
        <w:t>any conviction of a crime described in ERISA section 411 arising out of providing investment advice to Retirement Investors (unless the DOL grants a petition that allows the Financial Institution to continue to use the exemption); or</w:t>
      </w:r>
    </w:p>
    <w:p w14:paraId="74EC5D9F" w14:textId="77777777" w:rsidR="00BD5A85" w:rsidRPr="002A440B" w:rsidRDefault="00BD5A85" w:rsidP="0005402C">
      <w:pPr>
        <w:numPr>
          <w:ilvl w:val="1"/>
          <w:numId w:val="394"/>
        </w:numPr>
        <w:spacing w:before="100" w:beforeAutospacing="1" w:after="100" w:afterAutospacing="1"/>
        <w:rPr>
          <w:color w:val="000000" w:themeColor="text1"/>
          <w:spacing w:val="8"/>
          <w:sz w:val="24"/>
          <w:szCs w:val="24"/>
        </w:rPr>
      </w:pPr>
      <w:r w:rsidRPr="002A440B">
        <w:rPr>
          <w:color w:val="000000" w:themeColor="text1"/>
          <w:spacing w:val="8"/>
          <w:sz w:val="24"/>
          <w:szCs w:val="24"/>
        </w:rPr>
        <w:t>receipt of ineligibility issued by the DOL for engaging in systematic pattern or practice of violating the conditions of this exemption.</w:t>
      </w:r>
    </w:p>
    <w:p w14:paraId="2AD08BE2" w14:textId="77777777" w:rsidR="00BD5A85" w:rsidRPr="002A440B" w:rsidRDefault="00BD5A85" w:rsidP="0005402C">
      <w:pPr>
        <w:numPr>
          <w:ilvl w:val="0"/>
          <w:numId w:val="394"/>
        </w:numPr>
        <w:tabs>
          <w:tab w:val="clear" w:pos="720"/>
          <w:tab w:val="num" w:pos="810"/>
        </w:tabs>
        <w:spacing w:before="100" w:beforeAutospacing="1" w:after="100" w:afterAutospacing="1"/>
        <w:ind w:left="810" w:hanging="270"/>
        <w:rPr>
          <w:color w:val="000000" w:themeColor="text1"/>
          <w:spacing w:val="8"/>
          <w:sz w:val="24"/>
          <w:szCs w:val="24"/>
        </w:rPr>
      </w:pPr>
      <w:r w:rsidRPr="002A440B">
        <w:rPr>
          <w:color w:val="000000" w:themeColor="text1"/>
          <w:spacing w:val="8"/>
          <w:sz w:val="24"/>
          <w:szCs w:val="24"/>
        </w:rPr>
        <w:t>There is a one-year period for Financial Institutions in which the exemption may be relied upon after becoming ineligible, but this does not apply to an Investment Professional.</w:t>
      </w:r>
    </w:p>
    <w:p w14:paraId="50043023" w14:textId="3BCE8093" w:rsidR="006121D8" w:rsidRPr="002A440B" w:rsidRDefault="006121D8" w:rsidP="006121D8">
      <w:pPr>
        <w:spacing w:before="100" w:beforeAutospacing="1" w:after="100" w:afterAutospacing="1"/>
        <w:ind w:left="540"/>
        <w:rPr>
          <w:color w:val="000000" w:themeColor="text1"/>
          <w:spacing w:val="8"/>
          <w:sz w:val="24"/>
          <w:szCs w:val="24"/>
        </w:rPr>
      </w:pPr>
      <w:r w:rsidRPr="002A440B">
        <w:rPr>
          <w:b/>
          <w:bCs/>
          <w:color w:val="000000" w:themeColor="text1"/>
          <w:spacing w:val="8"/>
          <w:sz w:val="24"/>
          <w:szCs w:val="24"/>
        </w:rPr>
        <w:t>Impartial Conduct Standards</w:t>
      </w:r>
      <w:r w:rsidRPr="002A440B">
        <w:rPr>
          <w:color w:val="000000" w:themeColor="text1"/>
          <w:spacing w:val="8"/>
          <w:sz w:val="24"/>
          <w:szCs w:val="24"/>
        </w:rPr>
        <w:br/>
        <w:t>Impartial Conduct Standards are consumer protection standards put in place by the DOL that are designed to ensure that investment advisers (and other financial institutions) adhere to fiduciary norms and basic standards of fair dealing. When relying upon PTE 2020-02 Exemption, Company will meet each of the following Impartial Conduct Standards:</w:t>
      </w:r>
    </w:p>
    <w:p w14:paraId="4BB790FC" w14:textId="77777777" w:rsidR="006121D8" w:rsidRPr="002A440B" w:rsidRDefault="006121D8" w:rsidP="0005402C">
      <w:pPr>
        <w:numPr>
          <w:ilvl w:val="0"/>
          <w:numId w:val="395"/>
        </w:numPr>
        <w:tabs>
          <w:tab w:val="clear" w:pos="720"/>
          <w:tab w:val="num" w:pos="1350"/>
        </w:tabs>
        <w:spacing w:before="100" w:beforeAutospacing="1" w:after="100" w:afterAutospacing="1"/>
        <w:ind w:left="1350"/>
        <w:rPr>
          <w:color w:val="000000" w:themeColor="text1"/>
          <w:spacing w:val="8"/>
          <w:sz w:val="24"/>
          <w:szCs w:val="24"/>
        </w:rPr>
      </w:pPr>
      <w:r w:rsidRPr="002A440B">
        <w:rPr>
          <w:color w:val="000000" w:themeColor="text1"/>
          <w:spacing w:val="8"/>
          <w:sz w:val="24"/>
          <w:szCs w:val="24"/>
          <w:u w:val="single"/>
        </w:rPr>
        <w:lastRenderedPageBreak/>
        <w:t>Best Interest</w:t>
      </w:r>
      <w:r w:rsidRPr="002A440B">
        <w:rPr>
          <w:color w:val="000000" w:themeColor="text1"/>
          <w:spacing w:val="8"/>
          <w:sz w:val="24"/>
          <w:szCs w:val="24"/>
        </w:rPr>
        <w:t>. Give advice that is in the "best interest" of the retirement plan clients. To meet this standard, the investment advice will:</w:t>
      </w:r>
    </w:p>
    <w:p w14:paraId="5C41E2AB" w14:textId="77777777" w:rsidR="006121D8" w:rsidRPr="002A440B" w:rsidRDefault="006121D8" w:rsidP="0005402C">
      <w:pPr>
        <w:numPr>
          <w:ilvl w:val="1"/>
          <w:numId w:val="395"/>
        </w:numPr>
        <w:tabs>
          <w:tab w:val="clear" w:pos="1440"/>
          <w:tab w:val="num" w:pos="1890"/>
        </w:tabs>
        <w:spacing w:before="100" w:beforeAutospacing="1" w:after="100" w:afterAutospacing="1"/>
        <w:ind w:left="1890" w:hanging="270"/>
        <w:rPr>
          <w:color w:val="000000" w:themeColor="text1"/>
          <w:spacing w:val="8"/>
          <w:sz w:val="24"/>
          <w:szCs w:val="24"/>
        </w:rPr>
      </w:pPr>
      <w:r w:rsidRPr="002A440B">
        <w:rPr>
          <w:color w:val="000000" w:themeColor="text1"/>
          <w:spacing w:val="8"/>
          <w:sz w:val="24"/>
          <w:szCs w:val="24"/>
        </w:rPr>
        <w:t>reflect the care, skill, prudence and diligence under the circumstances then prevailing that a prudent person acting in a like capacity and familiar with such matters would use;</w:t>
      </w:r>
    </w:p>
    <w:p w14:paraId="66A1B321" w14:textId="77777777" w:rsidR="006121D8" w:rsidRPr="002A440B" w:rsidRDefault="006121D8" w:rsidP="0005402C">
      <w:pPr>
        <w:numPr>
          <w:ilvl w:val="1"/>
          <w:numId w:val="395"/>
        </w:numPr>
        <w:tabs>
          <w:tab w:val="clear" w:pos="1440"/>
          <w:tab w:val="num" w:pos="1890"/>
        </w:tabs>
        <w:spacing w:before="100" w:beforeAutospacing="1" w:after="100" w:afterAutospacing="1"/>
        <w:ind w:left="1890" w:hanging="270"/>
        <w:rPr>
          <w:color w:val="000000" w:themeColor="text1"/>
          <w:spacing w:val="8"/>
          <w:sz w:val="24"/>
          <w:szCs w:val="24"/>
        </w:rPr>
      </w:pPr>
      <w:r w:rsidRPr="002A440B">
        <w:rPr>
          <w:color w:val="000000" w:themeColor="text1"/>
          <w:spacing w:val="8"/>
          <w:sz w:val="24"/>
          <w:szCs w:val="24"/>
        </w:rPr>
        <w:t>provide the advice based on the investment objectives, risk tolerance, financial circumstances, and needs of the retirement plan client, and</w:t>
      </w:r>
    </w:p>
    <w:p w14:paraId="6461E03D" w14:textId="77777777" w:rsidR="006121D8" w:rsidRPr="002A440B" w:rsidRDefault="006121D8" w:rsidP="0005402C">
      <w:pPr>
        <w:numPr>
          <w:ilvl w:val="1"/>
          <w:numId w:val="395"/>
        </w:numPr>
        <w:tabs>
          <w:tab w:val="clear" w:pos="1440"/>
          <w:tab w:val="num" w:pos="1890"/>
        </w:tabs>
        <w:ind w:left="1890" w:hanging="270"/>
        <w:rPr>
          <w:color w:val="000000" w:themeColor="text1"/>
          <w:spacing w:val="8"/>
          <w:sz w:val="24"/>
          <w:szCs w:val="24"/>
        </w:rPr>
      </w:pPr>
      <w:r w:rsidRPr="002A440B">
        <w:rPr>
          <w:color w:val="000000" w:themeColor="text1"/>
          <w:spacing w:val="8"/>
          <w:sz w:val="24"/>
          <w:szCs w:val="24"/>
        </w:rPr>
        <w:t>not place the financial or other interests of Company or any affiliate, related entity, or other party ahead of the interests of the retirement plan client or subordinate the retirement plan client's interests to their own.</w:t>
      </w:r>
    </w:p>
    <w:p w14:paraId="19E4698A" w14:textId="77777777" w:rsidR="006121D8" w:rsidRPr="002A440B" w:rsidRDefault="006121D8" w:rsidP="006121D8">
      <w:pPr>
        <w:ind w:left="1890"/>
        <w:rPr>
          <w:color w:val="000000" w:themeColor="text1"/>
          <w:spacing w:val="8"/>
          <w:sz w:val="10"/>
          <w:szCs w:val="10"/>
        </w:rPr>
      </w:pPr>
    </w:p>
    <w:p w14:paraId="6AB1A3C1" w14:textId="77777777" w:rsidR="006121D8" w:rsidRPr="002A440B" w:rsidRDefault="006121D8" w:rsidP="0005402C">
      <w:pPr>
        <w:numPr>
          <w:ilvl w:val="0"/>
          <w:numId w:val="395"/>
        </w:numPr>
        <w:tabs>
          <w:tab w:val="clear" w:pos="720"/>
        </w:tabs>
        <w:ind w:left="1350"/>
        <w:rPr>
          <w:color w:val="000000" w:themeColor="text1"/>
          <w:spacing w:val="8"/>
          <w:sz w:val="24"/>
          <w:szCs w:val="24"/>
        </w:rPr>
      </w:pPr>
      <w:r w:rsidRPr="002A440B">
        <w:rPr>
          <w:color w:val="000000" w:themeColor="text1"/>
          <w:spacing w:val="8"/>
          <w:sz w:val="24"/>
          <w:szCs w:val="24"/>
          <w:u w:val="single"/>
        </w:rPr>
        <w:t>Reasonable Compensation</w:t>
      </w:r>
      <w:r w:rsidRPr="002A440B">
        <w:rPr>
          <w:color w:val="000000" w:themeColor="text1"/>
          <w:spacing w:val="8"/>
          <w:sz w:val="24"/>
          <w:szCs w:val="24"/>
        </w:rPr>
        <w:t>. Compensation received from Company or its affiliates, directly or indirectly, for its services will not exceed reasonable compensation within the meaning of section 408(b)(2) of ERISA and section 4975(d)(2) of the Internal Revenue Code of 1986 (Code). When determining the reasonableness of compensation, Company will consider, among other things, the market price of service(s) provided and/or the underlying asset(s), the scope of monitoring, and the complexity of the product.</w:t>
      </w:r>
    </w:p>
    <w:tbl>
      <w:tblPr>
        <w:tblpPr w:leftFromText="180" w:rightFromText="180" w:vertAnchor="text" w:horzAnchor="page" w:tblpX="3031" w:tblpY="171"/>
        <w:tblW w:w="4357"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080"/>
      </w:tblGrid>
      <w:tr w:rsidR="002A440B" w:rsidRPr="002A440B" w14:paraId="36FB50D4" w14:textId="77777777" w:rsidTr="00FA3C6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BE40E09" w14:textId="77777777" w:rsidR="006121D8" w:rsidRPr="002A440B" w:rsidRDefault="006121D8" w:rsidP="00FA3C65">
            <w:pPr>
              <w:rPr>
                <w:color w:val="000000" w:themeColor="text1"/>
                <w:spacing w:val="8"/>
                <w:sz w:val="24"/>
                <w:szCs w:val="24"/>
              </w:rPr>
            </w:pPr>
            <w:r w:rsidRPr="002A440B">
              <w:rPr>
                <w:color w:val="000000" w:themeColor="text1"/>
                <w:spacing w:val="8"/>
                <w:sz w:val="22"/>
                <w:szCs w:val="22"/>
              </w:rPr>
              <w:t>Section 408(b)(2) of ERISA and section 4975(d)(2) of the Internal Revenue Code of 1986 require that compensation not be excessive, as measured by the market value of the particular services, rights, and benefits the investment professional and financial institution are delivering to the retirement plan client.</w:t>
            </w:r>
          </w:p>
        </w:tc>
      </w:tr>
    </w:tbl>
    <w:p w14:paraId="62589B85" w14:textId="77777777" w:rsidR="006121D8" w:rsidRPr="002A440B" w:rsidRDefault="006121D8" w:rsidP="006121D8">
      <w:pPr>
        <w:ind w:left="1350"/>
        <w:rPr>
          <w:color w:val="000000" w:themeColor="text1"/>
          <w:spacing w:val="8"/>
          <w:sz w:val="24"/>
          <w:szCs w:val="24"/>
        </w:rPr>
      </w:pPr>
    </w:p>
    <w:p w14:paraId="7C533A98" w14:textId="77777777" w:rsidR="006121D8" w:rsidRPr="002A440B" w:rsidRDefault="006121D8" w:rsidP="0005402C">
      <w:pPr>
        <w:numPr>
          <w:ilvl w:val="0"/>
          <w:numId w:val="395"/>
        </w:numPr>
        <w:tabs>
          <w:tab w:val="clear" w:pos="720"/>
        </w:tabs>
        <w:ind w:left="1350"/>
        <w:rPr>
          <w:color w:val="000000" w:themeColor="text1"/>
          <w:spacing w:val="8"/>
          <w:sz w:val="24"/>
          <w:szCs w:val="24"/>
        </w:rPr>
      </w:pPr>
      <w:r w:rsidRPr="002A440B">
        <w:rPr>
          <w:color w:val="000000" w:themeColor="text1"/>
          <w:spacing w:val="8"/>
          <w:sz w:val="24"/>
          <w:szCs w:val="24"/>
          <w:u w:val="single"/>
        </w:rPr>
        <w:t>Best Execution</w:t>
      </w:r>
      <w:r w:rsidRPr="002A440B">
        <w:rPr>
          <w:color w:val="000000" w:themeColor="text1"/>
          <w:spacing w:val="8"/>
          <w:sz w:val="24"/>
          <w:szCs w:val="24"/>
        </w:rPr>
        <w:t>. If the services to the retirement plan client includes brokerage, Company will seek to obtain the best execution of the investment transaction reasonably available under the circumstances, as required by the federal securities laws or rely on the brokerage firm’s best execution practices.</w:t>
      </w:r>
    </w:p>
    <w:p w14:paraId="1FFBCE09" w14:textId="77777777" w:rsidR="006121D8" w:rsidRPr="002A440B" w:rsidRDefault="006121D8" w:rsidP="006121D8">
      <w:pPr>
        <w:ind w:left="1350"/>
        <w:rPr>
          <w:color w:val="000000" w:themeColor="text1"/>
          <w:spacing w:val="8"/>
          <w:sz w:val="16"/>
          <w:szCs w:val="16"/>
        </w:rPr>
      </w:pPr>
    </w:p>
    <w:p w14:paraId="1A1BE9A4" w14:textId="77777777" w:rsidR="006121D8" w:rsidRPr="002A440B" w:rsidRDefault="006121D8" w:rsidP="0005402C">
      <w:pPr>
        <w:numPr>
          <w:ilvl w:val="0"/>
          <w:numId w:val="395"/>
        </w:numPr>
        <w:tabs>
          <w:tab w:val="clear" w:pos="720"/>
        </w:tabs>
        <w:ind w:left="1350"/>
        <w:rPr>
          <w:color w:val="000000" w:themeColor="text1"/>
          <w:spacing w:val="8"/>
          <w:sz w:val="24"/>
          <w:szCs w:val="24"/>
        </w:rPr>
      </w:pPr>
      <w:r w:rsidRPr="002A440B">
        <w:rPr>
          <w:color w:val="000000" w:themeColor="text1"/>
          <w:spacing w:val="8"/>
          <w:sz w:val="24"/>
          <w:szCs w:val="24"/>
          <w:u w:val="single"/>
        </w:rPr>
        <w:t>Disclosure</w:t>
      </w:r>
      <w:r w:rsidRPr="002A440B">
        <w:rPr>
          <w:color w:val="000000" w:themeColor="text1"/>
          <w:spacing w:val="8"/>
          <w:sz w:val="24"/>
          <w:szCs w:val="24"/>
        </w:rPr>
        <w:t>. Any statements made by Company to the retirement plan client about the recommended transaction and other relevant matters will not be materially misleading at the time they are made.</w:t>
      </w:r>
    </w:p>
    <w:p w14:paraId="3BDEFF29" w14:textId="77777777" w:rsidR="006121D8" w:rsidRPr="002A440B" w:rsidRDefault="006121D8" w:rsidP="006121D8">
      <w:pPr>
        <w:rPr>
          <w:b/>
          <w:bCs/>
          <w:color w:val="000000" w:themeColor="text1"/>
          <w:spacing w:val="8"/>
          <w:sz w:val="24"/>
          <w:szCs w:val="24"/>
        </w:rPr>
      </w:pPr>
    </w:p>
    <w:p w14:paraId="74EFA5C7" w14:textId="77777777" w:rsidR="006121D8" w:rsidRPr="002A440B" w:rsidRDefault="006121D8" w:rsidP="006121D8">
      <w:pPr>
        <w:ind w:left="540"/>
        <w:rPr>
          <w:color w:val="000000" w:themeColor="text1"/>
          <w:spacing w:val="8"/>
          <w:sz w:val="24"/>
          <w:szCs w:val="24"/>
        </w:rPr>
      </w:pPr>
      <w:r w:rsidRPr="002A440B">
        <w:rPr>
          <w:b/>
          <w:bCs/>
          <w:color w:val="000000" w:themeColor="text1"/>
          <w:spacing w:val="8"/>
          <w:sz w:val="24"/>
          <w:szCs w:val="24"/>
        </w:rPr>
        <w:t>PTE 2020-02 Exemption Disclosure</w:t>
      </w:r>
    </w:p>
    <w:p w14:paraId="28B7B3FD" w14:textId="77777777" w:rsidR="006121D8" w:rsidRPr="002A440B" w:rsidRDefault="006121D8" w:rsidP="006121D8">
      <w:pPr>
        <w:ind w:left="540"/>
        <w:rPr>
          <w:color w:val="000000" w:themeColor="text1"/>
          <w:spacing w:val="8"/>
          <w:sz w:val="24"/>
          <w:szCs w:val="24"/>
        </w:rPr>
      </w:pPr>
      <w:r w:rsidRPr="002A440B">
        <w:rPr>
          <w:color w:val="000000" w:themeColor="text1"/>
          <w:spacing w:val="8"/>
          <w:sz w:val="24"/>
          <w:szCs w:val="24"/>
        </w:rPr>
        <w:t>Prior to engaging in a transaction in reliance on the final exemption, Company will make the following disclosures to the retirement plan client:</w:t>
      </w:r>
    </w:p>
    <w:p w14:paraId="2A80AB95" w14:textId="77777777" w:rsidR="006121D8" w:rsidRPr="002A440B" w:rsidRDefault="006121D8" w:rsidP="0005402C">
      <w:pPr>
        <w:numPr>
          <w:ilvl w:val="0"/>
          <w:numId w:val="396"/>
        </w:numPr>
        <w:tabs>
          <w:tab w:val="clear" w:pos="720"/>
        </w:tabs>
        <w:spacing w:before="100" w:beforeAutospacing="1" w:after="100" w:afterAutospacing="1"/>
        <w:ind w:left="1350"/>
        <w:rPr>
          <w:color w:val="000000" w:themeColor="text1"/>
          <w:spacing w:val="8"/>
          <w:sz w:val="24"/>
          <w:szCs w:val="24"/>
        </w:rPr>
      </w:pPr>
      <w:r w:rsidRPr="002A440B">
        <w:rPr>
          <w:color w:val="000000" w:themeColor="text1"/>
          <w:spacing w:val="8"/>
          <w:sz w:val="24"/>
          <w:szCs w:val="24"/>
          <w:u w:val="single"/>
        </w:rPr>
        <w:t>Acknowledgement of Fiduciary Status</w:t>
      </w:r>
      <w:r w:rsidRPr="002A440B">
        <w:rPr>
          <w:color w:val="000000" w:themeColor="text1"/>
          <w:spacing w:val="8"/>
          <w:sz w:val="24"/>
          <w:szCs w:val="24"/>
        </w:rPr>
        <w:t>. Company will provide a written acknowledgment to its retirement plan clients that it and its investment professionals are fiduciaries under ERISA and the Internal Revenue Code, as applicable, with respect to any fiduciary investment advice it provides to its retirement plan clients.</w:t>
      </w:r>
    </w:p>
    <w:p w14:paraId="25432F39" w14:textId="77777777" w:rsidR="006121D8" w:rsidRPr="002A440B" w:rsidRDefault="006121D8" w:rsidP="0005402C">
      <w:pPr>
        <w:numPr>
          <w:ilvl w:val="0"/>
          <w:numId w:val="396"/>
        </w:numPr>
        <w:tabs>
          <w:tab w:val="clear" w:pos="720"/>
        </w:tabs>
        <w:spacing w:before="100" w:beforeAutospacing="1" w:after="100" w:afterAutospacing="1"/>
        <w:ind w:left="1350"/>
        <w:rPr>
          <w:color w:val="000000" w:themeColor="text1"/>
          <w:spacing w:val="8"/>
          <w:sz w:val="24"/>
          <w:szCs w:val="24"/>
        </w:rPr>
      </w:pPr>
      <w:r w:rsidRPr="002A440B">
        <w:rPr>
          <w:color w:val="000000" w:themeColor="text1"/>
          <w:spacing w:val="8"/>
          <w:sz w:val="24"/>
          <w:szCs w:val="24"/>
          <w:u w:val="single"/>
        </w:rPr>
        <w:t>Description of the Scope of Services and Any Material Conflicts of Interest</w:t>
      </w:r>
      <w:r w:rsidRPr="002A440B">
        <w:rPr>
          <w:color w:val="000000" w:themeColor="text1"/>
          <w:spacing w:val="8"/>
          <w:sz w:val="24"/>
          <w:szCs w:val="24"/>
        </w:rPr>
        <w:t>. Company will provide to its retirement plan clients a written description of the services to be provided and its investment professional's material conflicts of interest that is accurate and not misleading in all material respects.</w:t>
      </w:r>
    </w:p>
    <w:p w14:paraId="1D776B1C" w14:textId="77777777" w:rsidR="006121D8" w:rsidRPr="002A440B" w:rsidRDefault="006121D8" w:rsidP="0005402C">
      <w:pPr>
        <w:numPr>
          <w:ilvl w:val="0"/>
          <w:numId w:val="396"/>
        </w:numPr>
        <w:tabs>
          <w:tab w:val="clear" w:pos="720"/>
        </w:tabs>
        <w:spacing w:before="100" w:beforeAutospacing="1" w:after="100" w:afterAutospacing="1"/>
        <w:ind w:left="1350"/>
        <w:rPr>
          <w:color w:val="000000" w:themeColor="text1"/>
          <w:spacing w:val="8"/>
          <w:sz w:val="24"/>
          <w:szCs w:val="24"/>
        </w:rPr>
      </w:pPr>
      <w:r w:rsidRPr="002A440B">
        <w:rPr>
          <w:color w:val="000000" w:themeColor="text1"/>
          <w:spacing w:val="8"/>
          <w:sz w:val="24"/>
          <w:szCs w:val="24"/>
          <w:u w:val="single"/>
        </w:rPr>
        <w:lastRenderedPageBreak/>
        <w:t>Rollover Transactions Only</w:t>
      </w:r>
      <w:r w:rsidRPr="002A440B">
        <w:rPr>
          <w:color w:val="000000" w:themeColor="text1"/>
          <w:spacing w:val="8"/>
          <w:sz w:val="24"/>
          <w:szCs w:val="24"/>
        </w:rPr>
        <w:t>. Prior to engaging in a rollover transaction for a retirement plan client, Company will provide documentation to such client specifying the reasons for the rollover recommendation.  In addition, Company will document the specific reasons why a recommendation to roll over assets from a retirement plan to another plan or IRA, from an IRA to a plan, from an IRA to another IRA, or from one type of account to another (</w:t>
      </w:r>
      <w:r w:rsidRPr="002A440B">
        <w:rPr>
          <w:i/>
          <w:iCs/>
          <w:color w:val="000000" w:themeColor="text1"/>
          <w:spacing w:val="8"/>
          <w:sz w:val="24"/>
          <w:szCs w:val="24"/>
        </w:rPr>
        <w:t>e.g.,</w:t>
      </w:r>
      <w:r w:rsidRPr="002A440B">
        <w:rPr>
          <w:color w:val="000000" w:themeColor="text1"/>
          <w:spacing w:val="8"/>
          <w:sz w:val="24"/>
          <w:szCs w:val="24"/>
        </w:rPr>
        <w:t xml:space="preserve"> from a commission-based account to a fee-based account) would be in the best interest of the retirement plan client – </w:t>
      </w:r>
      <w:proofErr w:type="gramStart"/>
      <w:r w:rsidRPr="002A440B">
        <w:rPr>
          <w:i/>
          <w:iCs/>
          <w:color w:val="000000" w:themeColor="text1"/>
          <w:spacing w:val="8"/>
          <w:sz w:val="24"/>
          <w:szCs w:val="24"/>
        </w:rPr>
        <w:t>eff</w:t>
      </w:r>
      <w:proofErr w:type="gramEnd"/>
      <w:r w:rsidRPr="002A440B">
        <w:rPr>
          <w:i/>
          <w:iCs/>
          <w:color w:val="000000" w:themeColor="text1"/>
          <w:spacing w:val="8"/>
          <w:sz w:val="24"/>
          <w:szCs w:val="24"/>
        </w:rPr>
        <w:t xml:space="preserve"> December 2020</w:t>
      </w:r>
      <w:r w:rsidRPr="002A440B">
        <w:rPr>
          <w:color w:val="000000" w:themeColor="text1"/>
          <w:spacing w:val="8"/>
          <w:sz w:val="24"/>
          <w:szCs w:val="24"/>
        </w:rPr>
        <w:t>.</w:t>
      </w:r>
    </w:p>
    <w:p w14:paraId="0954DD01" w14:textId="77777777" w:rsidR="006121D8" w:rsidRPr="002A440B" w:rsidRDefault="006121D8" w:rsidP="006121D8">
      <w:pPr>
        <w:ind w:left="540"/>
        <w:rPr>
          <w:color w:val="000000" w:themeColor="text1"/>
          <w:spacing w:val="8"/>
          <w:sz w:val="24"/>
          <w:szCs w:val="24"/>
        </w:rPr>
      </w:pPr>
      <w:r w:rsidRPr="002A440B">
        <w:rPr>
          <w:b/>
          <w:bCs/>
          <w:color w:val="000000" w:themeColor="text1"/>
          <w:spacing w:val="8"/>
          <w:sz w:val="24"/>
          <w:szCs w:val="24"/>
        </w:rPr>
        <w:t>PTE 2020-02 Retrospective Review</w:t>
      </w:r>
    </w:p>
    <w:p w14:paraId="17AF1BF3" w14:textId="77777777" w:rsidR="006121D8" w:rsidRPr="002A440B" w:rsidRDefault="006121D8" w:rsidP="006121D8">
      <w:pPr>
        <w:ind w:left="540"/>
        <w:rPr>
          <w:color w:val="000000" w:themeColor="text1"/>
          <w:spacing w:val="8"/>
          <w:sz w:val="24"/>
          <w:szCs w:val="24"/>
        </w:rPr>
      </w:pPr>
      <w:r w:rsidRPr="002A440B">
        <w:rPr>
          <w:color w:val="000000" w:themeColor="text1"/>
          <w:spacing w:val="8"/>
          <w:sz w:val="24"/>
          <w:szCs w:val="24"/>
        </w:rPr>
        <w:t>When relying upon PTE 2020-02 Exemption, Company periodically will perform a retrospective review as follows:</w:t>
      </w:r>
    </w:p>
    <w:p w14:paraId="33CFEFAD" w14:textId="77777777" w:rsidR="006121D8" w:rsidRPr="002A440B" w:rsidRDefault="006121D8" w:rsidP="0005402C">
      <w:pPr>
        <w:numPr>
          <w:ilvl w:val="0"/>
          <w:numId w:val="397"/>
        </w:numPr>
        <w:tabs>
          <w:tab w:val="clear" w:pos="720"/>
          <w:tab w:val="num" w:pos="810"/>
        </w:tabs>
        <w:spacing w:before="100" w:beforeAutospacing="1" w:after="100" w:afterAutospacing="1"/>
        <w:ind w:left="1350"/>
        <w:rPr>
          <w:color w:val="000000" w:themeColor="text1"/>
          <w:spacing w:val="8"/>
          <w:sz w:val="24"/>
          <w:szCs w:val="24"/>
        </w:rPr>
      </w:pPr>
      <w:r w:rsidRPr="002A440B">
        <w:rPr>
          <w:color w:val="000000" w:themeColor="text1"/>
          <w:spacing w:val="8"/>
          <w:sz w:val="24"/>
          <w:szCs w:val="24"/>
          <w:u w:val="single"/>
        </w:rPr>
        <w:t>Annual Review</w:t>
      </w:r>
      <w:r w:rsidRPr="002A440B">
        <w:rPr>
          <w:color w:val="000000" w:themeColor="text1"/>
          <w:spacing w:val="8"/>
          <w:sz w:val="24"/>
          <w:szCs w:val="24"/>
        </w:rPr>
        <w:t>. Company at least annually will conduct a retrospective review reasonably designed to assist it in detecting and preventing violations of, and achieving compliance with, the Impartial Conduct Standards and other procedures governing compliance with the PTE 2020-02 exemption.</w:t>
      </w:r>
    </w:p>
    <w:p w14:paraId="4B2A94BE" w14:textId="77777777" w:rsidR="006121D8" w:rsidRPr="002A440B" w:rsidRDefault="006121D8" w:rsidP="0005402C">
      <w:pPr>
        <w:numPr>
          <w:ilvl w:val="0"/>
          <w:numId w:val="397"/>
        </w:numPr>
        <w:tabs>
          <w:tab w:val="clear" w:pos="720"/>
          <w:tab w:val="num" w:pos="810"/>
        </w:tabs>
        <w:spacing w:before="100" w:beforeAutospacing="1" w:after="100" w:afterAutospacing="1"/>
        <w:ind w:left="1350"/>
        <w:rPr>
          <w:color w:val="000000" w:themeColor="text1"/>
          <w:spacing w:val="8"/>
          <w:sz w:val="24"/>
          <w:szCs w:val="24"/>
        </w:rPr>
      </w:pPr>
      <w:r w:rsidRPr="002A440B">
        <w:rPr>
          <w:color w:val="000000" w:themeColor="text1"/>
          <w:spacing w:val="8"/>
          <w:sz w:val="24"/>
          <w:szCs w:val="24"/>
          <w:u w:val="single"/>
        </w:rPr>
        <w:t>Written Report</w:t>
      </w:r>
      <w:r w:rsidRPr="002A440B">
        <w:rPr>
          <w:color w:val="000000" w:themeColor="text1"/>
          <w:spacing w:val="8"/>
          <w:sz w:val="24"/>
          <w:szCs w:val="24"/>
        </w:rPr>
        <w:t>. The methodology and results of the retrospective review will be provided to a senior executive officer of Company.</w:t>
      </w:r>
    </w:p>
    <w:p w14:paraId="3B990F25" w14:textId="77777777" w:rsidR="006121D8" w:rsidRPr="002A440B" w:rsidRDefault="006121D8" w:rsidP="0005402C">
      <w:pPr>
        <w:numPr>
          <w:ilvl w:val="0"/>
          <w:numId w:val="397"/>
        </w:numPr>
        <w:tabs>
          <w:tab w:val="clear" w:pos="720"/>
          <w:tab w:val="num" w:pos="810"/>
        </w:tabs>
        <w:spacing w:before="100" w:beforeAutospacing="1" w:after="100" w:afterAutospacing="1"/>
        <w:ind w:left="1350"/>
        <w:rPr>
          <w:color w:val="000000" w:themeColor="text1"/>
          <w:spacing w:val="8"/>
          <w:sz w:val="24"/>
          <w:szCs w:val="24"/>
        </w:rPr>
      </w:pPr>
      <w:r w:rsidRPr="002A440B">
        <w:rPr>
          <w:color w:val="000000" w:themeColor="text1"/>
          <w:spacing w:val="8"/>
          <w:sz w:val="24"/>
          <w:szCs w:val="24"/>
          <w:u w:val="single"/>
        </w:rPr>
        <w:t>Senior Executive Officer Certification</w:t>
      </w:r>
      <w:r w:rsidRPr="002A440B">
        <w:rPr>
          <w:color w:val="000000" w:themeColor="text1"/>
          <w:spacing w:val="8"/>
          <w:sz w:val="24"/>
          <w:szCs w:val="24"/>
        </w:rPr>
        <w:t>. Company's CCO, or CEO or President, will certify annually:</w:t>
      </w:r>
    </w:p>
    <w:p w14:paraId="79E6DB46" w14:textId="77777777" w:rsidR="006121D8" w:rsidRPr="002A440B" w:rsidRDefault="006121D8" w:rsidP="0005402C">
      <w:pPr>
        <w:numPr>
          <w:ilvl w:val="1"/>
          <w:numId w:val="397"/>
        </w:numPr>
        <w:tabs>
          <w:tab w:val="clear" w:pos="1440"/>
        </w:tabs>
        <w:spacing w:before="100" w:beforeAutospacing="1" w:after="100" w:afterAutospacing="1"/>
        <w:ind w:left="1890" w:hanging="270"/>
        <w:rPr>
          <w:color w:val="000000" w:themeColor="text1"/>
          <w:spacing w:val="8"/>
          <w:sz w:val="24"/>
          <w:szCs w:val="24"/>
        </w:rPr>
      </w:pPr>
      <w:r w:rsidRPr="002A440B">
        <w:rPr>
          <w:color w:val="000000" w:themeColor="text1"/>
          <w:spacing w:val="8"/>
          <w:sz w:val="24"/>
          <w:szCs w:val="24"/>
        </w:rPr>
        <w:t>The officer has reviewed the report of the retrospective review;</w:t>
      </w:r>
    </w:p>
    <w:p w14:paraId="28770EA8" w14:textId="77777777" w:rsidR="006121D8" w:rsidRPr="002A440B" w:rsidRDefault="006121D8" w:rsidP="0005402C">
      <w:pPr>
        <w:numPr>
          <w:ilvl w:val="1"/>
          <w:numId w:val="397"/>
        </w:numPr>
        <w:tabs>
          <w:tab w:val="clear" w:pos="1440"/>
        </w:tabs>
        <w:spacing w:before="100" w:beforeAutospacing="1" w:after="100" w:afterAutospacing="1"/>
        <w:ind w:left="1890" w:hanging="270"/>
        <w:rPr>
          <w:color w:val="000000" w:themeColor="text1"/>
          <w:spacing w:val="8"/>
          <w:sz w:val="24"/>
          <w:szCs w:val="24"/>
        </w:rPr>
      </w:pPr>
      <w:r w:rsidRPr="002A440B">
        <w:rPr>
          <w:color w:val="000000" w:themeColor="text1"/>
          <w:spacing w:val="8"/>
          <w:sz w:val="24"/>
          <w:szCs w:val="24"/>
        </w:rPr>
        <w:t>Company has in place policies and procedures prudently designed to achieve compliance with the conditions of the final exemption; and</w:t>
      </w:r>
    </w:p>
    <w:p w14:paraId="7A7A112E" w14:textId="77777777" w:rsidR="006121D8" w:rsidRPr="002A440B" w:rsidRDefault="006121D8" w:rsidP="0005402C">
      <w:pPr>
        <w:numPr>
          <w:ilvl w:val="1"/>
          <w:numId w:val="397"/>
        </w:numPr>
        <w:tabs>
          <w:tab w:val="clear" w:pos="1440"/>
        </w:tabs>
        <w:spacing w:before="100" w:beforeAutospacing="1" w:after="100" w:afterAutospacing="1"/>
        <w:ind w:left="1890" w:hanging="270"/>
        <w:rPr>
          <w:color w:val="000000" w:themeColor="text1"/>
          <w:spacing w:val="8"/>
          <w:sz w:val="24"/>
          <w:szCs w:val="24"/>
        </w:rPr>
      </w:pPr>
      <w:r w:rsidRPr="002A440B">
        <w:rPr>
          <w:color w:val="000000" w:themeColor="text1"/>
          <w:spacing w:val="8"/>
          <w:sz w:val="24"/>
          <w:szCs w:val="24"/>
        </w:rPr>
        <w:t>Company has a prudent process in place to modify such policies and procedures as business, regulatory and legislative changes and events dictate, and to test the effectiveness of such policies and procedures on a periodic basis, the timing and extent of which is reasonably designed to ensure continuing compliance with the conditions of the final exemption.</w:t>
      </w:r>
    </w:p>
    <w:p w14:paraId="37F1FCDC" w14:textId="38160F0B" w:rsidR="006121D8" w:rsidRPr="002A440B" w:rsidRDefault="006121D8" w:rsidP="0005402C">
      <w:pPr>
        <w:numPr>
          <w:ilvl w:val="0"/>
          <w:numId w:val="397"/>
        </w:numPr>
        <w:tabs>
          <w:tab w:val="clear" w:pos="720"/>
        </w:tabs>
        <w:spacing w:before="15" w:beforeAutospacing="1" w:after="100" w:afterAutospacing="1" w:line="240" w:lineRule="atLeast"/>
        <w:ind w:left="1350" w:hanging="270"/>
        <w:rPr>
          <w:b/>
          <w:bCs/>
          <w:color w:val="000000" w:themeColor="text1"/>
          <w:spacing w:val="8"/>
          <w:sz w:val="24"/>
          <w:szCs w:val="24"/>
        </w:rPr>
      </w:pPr>
      <w:r w:rsidRPr="002A440B">
        <w:rPr>
          <w:color w:val="000000" w:themeColor="text1"/>
          <w:spacing w:val="8"/>
          <w:sz w:val="24"/>
          <w:szCs w:val="24"/>
          <w:u w:val="single"/>
        </w:rPr>
        <w:t>Six-Month Deadline</w:t>
      </w:r>
      <w:r w:rsidRPr="002A440B">
        <w:rPr>
          <w:color w:val="000000" w:themeColor="text1"/>
          <w:spacing w:val="8"/>
          <w:sz w:val="24"/>
          <w:szCs w:val="24"/>
        </w:rPr>
        <w:t>. The review, report and certification required by these procedures will be completed no later than six months following the end of the period covered by the review.</w:t>
      </w:r>
    </w:p>
    <w:p w14:paraId="597E542B" w14:textId="77777777" w:rsidR="006121D8" w:rsidRPr="002A440B" w:rsidRDefault="006121D8" w:rsidP="006121D8">
      <w:pPr>
        <w:ind w:left="547"/>
        <w:rPr>
          <w:color w:val="000000" w:themeColor="text1"/>
          <w:spacing w:val="8"/>
          <w:sz w:val="24"/>
          <w:szCs w:val="24"/>
        </w:rPr>
      </w:pPr>
      <w:r w:rsidRPr="002A440B">
        <w:rPr>
          <w:b/>
          <w:bCs/>
          <w:color w:val="000000" w:themeColor="text1"/>
          <w:spacing w:val="8"/>
          <w:sz w:val="24"/>
          <w:szCs w:val="24"/>
        </w:rPr>
        <w:t>PTE 2020-02 Self Correction</w:t>
      </w:r>
    </w:p>
    <w:p w14:paraId="5E6FE410" w14:textId="77777777" w:rsidR="006121D8" w:rsidRPr="002A440B" w:rsidRDefault="006121D8" w:rsidP="006121D8">
      <w:pPr>
        <w:ind w:left="547"/>
        <w:rPr>
          <w:color w:val="000000" w:themeColor="text1"/>
          <w:spacing w:val="8"/>
          <w:sz w:val="24"/>
          <w:szCs w:val="24"/>
        </w:rPr>
      </w:pPr>
      <w:r w:rsidRPr="002A440B">
        <w:rPr>
          <w:color w:val="000000" w:themeColor="text1"/>
          <w:spacing w:val="8"/>
          <w:sz w:val="24"/>
          <w:szCs w:val="24"/>
        </w:rPr>
        <w:t>When relying upon PTE 2020-02 Exemption, Company may be in the position to self-correct a violation of the Exemption, which is permissible by PTE 2020-02. To self-correct, Company must:</w:t>
      </w:r>
    </w:p>
    <w:p w14:paraId="058D2FFA" w14:textId="77777777" w:rsidR="006121D8" w:rsidRPr="002A440B" w:rsidRDefault="006121D8" w:rsidP="0005402C">
      <w:pPr>
        <w:numPr>
          <w:ilvl w:val="0"/>
          <w:numId w:val="398"/>
        </w:numPr>
        <w:tabs>
          <w:tab w:val="clear" w:pos="720"/>
        </w:tabs>
        <w:spacing w:before="120"/>
        <w:ind w:left="1350"/>
        <w:rPr>
          <w:color w:val="000000" w:themeColor="text1"/>
          <w:spacing w:val="8"/>
          <w:sz w:val="24"/>
          <w:szCs w:val="24"/>
        </w:rPr>
      </w:pPr>
      <w:r w:rsidRPr="002A440B">
        <w:rPr>
          <w:color w:val="000000" w:themeColor="text1"/>
          <w:spacing w:val="8"/>
          <w:sz w:val="24"/>
          <w:szCs w:val="24"/>
        </w:rPr>
        <w:t>determine that the violation did not result in investment loss, or it must make the retirement plan client whole for any such loss;</w:t>
      </w:r>
    </w:p>
    <w:p w14:paraId="14764E75" w14:textId="77777777" w:rsidR="006121D8" w:rsidRPr="002A440B" w:rsidRDefault="006121D8" w:rsidP="0005402C">
      <w:pPr>
        <w:numPr>
          <w:ilvl w:val="0"/>
          <w:numId w:val="398"/>
        </w:numPr>
        <w:tabs>
          <w:tab w:val="clear" w:pos="720"/>
        </w:tabs>
        <w:spacing w:before="100" w:beforeAutospacing="1" w:after="100" w:afterAutospacing="1"/>
        <w:ind w:left="1350"/>
        <w:rPr>
          <w:color w:val="000000" w:themeColor="text1"/>
          <w:spacing w:val="8"/>
          <w:sz w:val="24"/>
          <w:szCs w:val="24"/>
        </w:rPr>
      </w:pPr>
      <w:r w:rsidRPr="002A440B">
        <w:rPr>
          <w:color w:val="000000" w:themeColor="text1"/>
          <w:spacing w:val="8"/>
          <w:sz w:val="24"/>
          <w:szCs w:val="24"/>
        </w:rPr>
        <w:t>correct the violation and notify the DOL within thirty days of correction;</w:t>
      </w:r>
    </w:p>
    <w:p w14:paraId="19ACA0AB" w14:textId="77777777" w:rsidR="006121D8" w:rsidRPr="002A440B" w:rsidRDefault="006121D8" w:rsidP="0005402C">
      <w:pPr>
        <w:numPr>
          <w:ilvl w:val="0"/>
          <w:numId w:val="398"/>
        </w:numPr>
        <w:tabs>
          <w:tab w:val="clear" w:pos="720"/>
        </w:tabs>
        <w:spacing w:before="100" w:beforeAutospacing="1" w:after="100" w:afterAutospacing="1"/>
        <w:ind w:left="1350"/>
        <w:rPr>
          <w:color w:val="000000" w:themeColor="text1"/>
          <w:spacing w:val="8"/>
          <w:sz w:val="24"/>
          <w:szCs w:val="24"/>
        </w:rPr>
      </w:pPr>
      <w:r w:rsidRPr="002A440B">
        <w:rPr>
          <w:color w:val="000000" w:themeColor="text1"/>
          <w:spacing w:val="8"/>
          <w:sz w:val="24"/>
          <w:szCs w:val="24"/>
        </w:rPr>
        <w:t>complete the correction no later than ninety days after Company learned of (or reasonably should have learned of) the violation; and</w:t>
      </w:r>
    </w:p>
    <w:p w14:paraId="0E9C8283" w14:textId="77777777" w:rsidR="006121D8" w:rsidRPr="002A440B" w:rsidRDefault="006121D8" w:rsidP="0005402C">
      <w:pPr>
        <w:numPr>
          <w:ilvl w:val="0"/>
          <w:numId w:val="398"/>
        </w:numPr>
        <w:tabs>
          <w:tab w:val="clear" w:pos="720"/>
        </w:tabs>
        <w:spacing w:before="100" w:beforeAutospacing="1" w:after="100" w:afterAutospacing="1"/>
        <w:ind w:left="1350"/>
        <w:rPr>
          <w:color w:val="000000" w:themeColor="text1"/>
          <w:spacing w:val="8"/>
          <w:sz w:val="24"/>
          <w:szCs w:val="24"/>
        </w:rPr>
      </w:pPr>
      <w:r w:rsidRPr="002A440B">
        <w:rPr>
          <w:color w:val="000000" w:themeColor="text1"/>
          <w:spacing w:val="8"/>
          <w:sz w:val="24"/>
          <w:szCs w:val="24"/>
        </w:rPr>
        <w:t>notify the persons responsible for conducting the retrospective review during the applicable review cycle so the correction can be included in the report.</w:t>
      </w:r>
    </w:p>
    <w:p w14:paraId="25478C85" w14:textId="77777777" w:rsidR="006121D8" w:rsidRPr="002A440B" w:rsidRDefault="006121D8" w:rsidP="006121D8">
      <w:pPr>
        <w:ind w:left="540"/>
        <w:rPr>
          <w:color w:val="000000" w:themeColor="text1"/>
          <w:spacing w:val="8"/>
          <w:sz w:val="24"/>
          <w:szCs w:val="24"/>
        </w:rPr>
      </w:pPr>
      <w:r w:rsidRPr="002A440B">
        <w:rPr>
          <w:b/>
          <w:bCs/>
          <w:color w:val="000000" w:themeColor="text1"/>
          <w:spacing w:val="8"/>
          <w:sz w:val="24"/>
          <w:szCs w:val="24"/>
        </w:rPr>
        <w:t>PTE 2020-02 Recordkeeping</w:t>
      </w:r>
    </w:p>
    <w:p w14:paraId="44E6953F" w14:textId="77777777" w:rsidR="006121D8" w:rsidRPr="002A440B" w:rsidRDefault="006121D8" w:rsidP="006121D8">
      <w:pPr>
        <w:ind w:left="540"/>
        <w:rPr>
          <w:color w:val="000000" w:themeColor="text1"/>
          <w:spacing w:val="8"/>
          <w:sz w:val="24"/>
          <w:szCs w:val="24"/>
        </w:rPr>
      </w:pPr>
      <w:r w:rsidRPr="002A440B">
        <w:rPr>
          <w:color w:val="000000" w:themeColor="text1"/>
          <w:spacing w:val="8"/>
          <w:sz w:val="24"/>
          <w:szCs w:val="24"/>
        </w:rPr>
        <w:lastRenderedPageBreak/>
        <w:t>When relying upon PTE 2020-02 Exemption, Company will maintain for a period of six years, records demonstrating compliance with the exemption, and it must make such records available (to the extent permitted by law), to any authorized employee of the U.S. Department of Labor or U.S. Department of Treasury.</w:t>
      </w:r>
    </w:p>
    <w:p w14:paraId="6AD7B1AD" w14:textId="77777777" w:rsidR="00BD5A85" w:rsidRPr="00BD5A85" w:rsidRDefault="00BD5A85" w:rsidP="006121D8">
      <w:pPr>
        <w:ind w:left="270"/>
        <w:rPr>
          <w:color w:val="FF0000"/>
        </w:rPr>
      </w:pPr>
    </w:p>
    <w:p w14:paraId="083E174E" w14:textId="52AF9815" w:rsidR="007C6877" w:rsidRPr="00034E2D" w:rsidRDefault="003B53D1" w:rsidP="003B53D1">
      <w:pPr>
        <w:pStyle w:val="Heading3"/>
      </w:pPr>
      <w:r w:rsidRPr="00034E2D">
        <w:t>5.26.</w:t>
      </w:r>
      <w:r w:rsidR="004F6984">
        <w:t>4</w:t>
      </w:r>
      <w:r w:rsidRPr="00034E2D">
        <w:t xml:space="preserve"> General Features/Types</w:t>
      </w:r>
    </w:p>
    <w:p w14:paraId="60B91965" w14:textId="77777777" w:rsidR="006F2BF2" w:rsidRPr="00034E2D" w:rsidRDefault="006F2BF2" w:rsidP="006F2BF2">
      <w:pPr>
        <w:ind w:left="270"/>
        <w:rPr>
          <w:sz w:val="24"/>
          <w:szCs w:val="24"/>
        </w:rPr>
      </w:pPr>
      <w:r w:rsidRPr="00034E2D">
        <w:rPr>
          <w:sz w:val="24"/>
          <w:szCs w:val="24"/>
        </w:rPr>
        <w:t>The following sections provide general explanations of various types of common retirement accounts. Some of the general guidelines that apply to retirement plan sales include the following.  Specific plans should be consulted for limitations and requirements.</w:t>
      </w:r>
    </w:p>
    <w:p w14:paraId="381015CD" w14:textId="77777777" w:rsidR="006F2BF2" w:rsidRPr="00034E2D" w:rsidRDefault="006F2BF2" w:rsidP="006F2BF2">
      <w:pPr>
        <w:numPr>
          <w:ilvl w:val="0"/>
          <w:numId w:val="230"/>
        </w:numPr>
        <w:tabs>
          <w:tab w:val="clear" w:pos="720"/>
          <w:tab w:val="num" w:pos="990"/>
        </w:tabs>
        <w:ind w:left="990" w:hanging="270"/>
        <w:rPr>
          <w:sz w:val="24"/>
          <w:szCs w:val="24"/>
        </w:rPr>
      </w:pPr>
      <w:r w:rsidRPr="00034E2D">
        <w:rPr>
          <w:sz w:val="24"/>
          <w:szCs w:val="24"/>
        </w:rPr>
        <w:t>Since annuities and municipal securities, which generally are not suitable for retirement plans since plans, already provide tax benefits further suitability factors must be taken into consideration.</w:t>
      </w:r>
    </w:p>
    <w:p w14:paraId="5C2138B5" w14:textId="77777777" w:rsidR="006F2BF2" w:rsidRPr="00034E2D" w:rsidRDefault="006F2BF2" w:rsidP="006F2BF2">
      <w:pPr>
        <w:numPr>
          <w:ilvl w:val="0"/>
          <w:numId w:val="230"/>
        </w:numPr>
        <w:tabs>
          <w:tab w:val="clear" w:pos="720"/>
          <w:tab w:val="num" w:pos="990"/>
        </w:tabs>
        <w:ind w:left="990" w:hanging="270"/>
        <w:rPr>
          <w:sz w:val="24"/>
          <w:szCs w:val="24"/>
        </w:rPr>
      </w:pPr>
      <w:r w:rsidRPr="00034E2D">
        <w:rPr>
          <w:sz w:val="24"/>
          <w:szCs w:val="24"/>
        </w:rPr>
        <w:t xml:space="preserve">Consider the cost of investments recommended for retirement plans vs. the benefits. </w:t>
      </w:r>
    </w:p>
    <w:p w14:paraId="01894C6D" w14:textId="77777777" w:rsidR="006F2BF2" w:rsidRPr="00034E2D" w:rsidRDefault="006F2BF2" w:rsidP="006F2BF2">
      <w:pPr>
        <w:numPr>
          <w:ilvl w:val="0"/>
          <w:numId w:val="230"/>
        </w:numPr>
        <w:tabs>
          <w:tab w:val="clear" w:pos="720"/>
          <w:tab w:val="num" w:pos="990"/>
        </w:tabs>
        <w:ind w:left="990" w:hanging="270"/>
        <w:rPr>
          <w:sz w:val="24"/>
          <w:szCs w:val="24"/>
        </w:rPr>
      </w:pPr>
      <w:r w:rsidRPr="00034E2D">
        <w:rPr>
          <w:sz w:val="24"/>
          <w:szCs w:val="24"/>
        </w:rPr>
        <w:t xml:space="preserve">Consider the customer's risk profile and investment objectives when considering securities for recommendation for a retirement plan. </w:t>
      </w:r>
    </w:p>
    <w:p w14:paraId="0B45AED1" w14:textId="77777777" w:rsidR="006F2BF2" w:rsidRPr="00034E2D" w:rsidRDefault="006F2BF2" w:rsidP="006F2BF2">
      <w:pPr>
        <w:numPr>
          <w:ilvl w:val="0"/>
          <w:numId w:val="230"/>
        </w:numPr>
        <w:tabs>
          <w:tab w:val="clear" w:pos="720"/>
          <w:tab w:val="num" w:pos="990"/>
        </w:tabs>
        <w:ind w:left="990" w:hanging="270"/>
        <w:rPr>
          <w:sz w:val="24"/>
          <w:szCs w:val="24"/>
        </w:rPr>
      </w:pPr>
      <w:r w:rsidRPr="00034E2D">
        <w:rPr>
          <w:sz w:val="24"/>
          <w:szCs w:val="24"/>
        </w:rPr>
        <w:t xml:space="preserve">Consider surrender or exit fees or tax penalties if they apply to the potential transaction. </w:t>
      </w:r>
    </w:p>
    <w:p w14:paraId="0B504AC4" w14:textId="77777777" w:rsidR="006F2BF2" w:rsidRPr="00034E2D" w:rsidRDefault="006F2BF2" w:rsidP="006F2BF2">
      <w:pPr>
        <w:numPr>
          <w:ilvl w:val="0"/>
          <w:numId w:val="230"/>
        </w:numPr>
        <w:tabs>
          <w:tab w:val="clear" w:pos="720"/>
          <w:tab w:val="num" w:pos="990"/>
        </w:tabs>
        <w:ind w:left="990" w:hanging="270"/>
        <w:rPr>
          <w:sz w:val="24"/>
          <w:szCs w:val="24"/>
        </w:rPr>
      </w:pPr>
      <w:r w:rsidRPr="00034E2D">
        <w:rPr>
          <w:sz w:val="24"/>
          <w:szCs w:val="24"/>
        </w:rPr>
        <w:t xml:space="preserve">Understand the type of plans being discussed or recommended. </w:t>
      </w:r>
    </w:p>
    <w:p w14:paraId="18A3437B" w14:textId="6B976D84" w:rsidR="006F2BF2" w:rsidRPr="006F2BF2" w:rsidRDefault="006F2BF2" w:rsidP="00AA716E">
      <w:pPr>
        <w:numPr>
          <w:ilvl w:val="0"/>
          <w:numId w:val="230"/>
        </w:numPr>
        <w:tabs>
          <w:tab w:val="clear" w:pos="720"/>
          <w:tab w:val="num" w:pos="990"/>
        </w:tabs>
        <w:ind w:left="990" w:hanging="270"/>
        <w:jc w:val="both"/>
        <w:rPr>
          <w:b/>
          <w:sz w:val="24"/>
        </w:rPr>
      </w:pPr>
      <w:r w:rsidRPr="006F2BF2">
        <w:rPr>
          <w:sz w:val="24"/>
          <w:szCs w:val="24"/>
        </w:rPr>
        <w:t>Encourage investors to contact their tax counsel to resolve any tax-related questions.</w:t>
      </w:r>
    </w:p>
    <w:p w14:paraId="1DA6D2AC" w14:textId="77777777" w:rsidR="006F2BF2" w:rsidRDefault="006F2BF2" w:rsidP="003B53D1">
      <w:pPr>
        <w:ind w:firstLine="360"/>
        <w:rPr>
          <w:sz w:val="24"/>
          <w:szCs w:val="24"/>
        </w:rPr>
      </w:pPr>
    </w:p>
    <w:p w14:paraId="5110BE83" w14:textId="2B775FE6" w:rsidR="003B53D1" w:rsidRPr="00034E2D" w:rsidRDefault="003B53D1" w:rsidP="003B53D1">
      <w:pPr>
        <w:ind w:firstLine="360"/>
        <w:rPr>
          <w:sz w:val="24"/>
          <w:szCs w:val="24"/>
        </w:rPr>
      </w:pPr>
      <w:r w:rsidRPr="00034E2D">
        <w:rPr>
          <w:sz w:val="24"/>
          <w:szCs w:val="24"/>
        </w:rPr>
        <w:t>IRAs are established by individuals through a plan sponsor; following are key features:</w:t>
      </w:r>
    </w:p>
    <w:p w14:paraId="0A6983C1" w14:textId="77777777" w:rsidR="003B53D1" w:rsidRPr="00034E2D" w:rsidRDefault="003B53D1" w:rsidP="003E7B18">
      <w:pPr>
        <w:numPr>
          <w:ilvl w:val="0"/>
          <w:numId w:val="231"/>
        </w:numPr>
        <w:tabs>
          <w:tab w:val="clear" w:pos="720"/>
          <w:tab w:val="num" w:pos="990"/>
        </w:tabs>
        <w:ind w:left="990" w:hanging="270"/>
        <w:rPr>
          <w:sz w:val="24"/>
          <w:szCs w:val="24"/>
        </w:rPr>
      </w:pPr>
      <w:r w:rsidRPr="00034E2D">
        <w:rPr>
          <w:sz w:val="24"/>
          <w:szCs w:val="24"/>
        </w:rPr>
        <w:t xml:space="preserve">Annual contributions are limited by law </w:t>
      </w:r>
    </w:p>
    <w:p w14:paraId="0CF046A1" w14:textId="77777777" w:rsidR="003B53D1" w:rsidRPr="00034E2D" w:rsidRDefault="003B53D1" w:rsidP="003E7B18">
      <w:pPr>
        <w:numPr>
          <w:ilvl w:val="0"/>
          <w:numId w:val="231"/>
        </w:numPr>
        <w:tabs>
          <w:tab w:val="clear" w:pos="720"/>
          <w:tab w:val="num" w:pos="990"/>
        </w:tabs>
        <w:ind w:left="990" w:hanging="270"/>
        <w:rPr>
          <w:sz w:val="24"/>
          <w:szCs w:val="24"/>
        </w:rPr>
      </w:pPr>
      <w:r w:rsidRPr="00034E2D">
        <w:rPr>
          <w:sz w:val="24"/>
          <w:szCs w:val="24"/>
        </w:rPr>
        <w:t xml:space="preserve">Older investors have higher contribution limits under a "catch-up" provision </w:t>
      </w:r>
    </w:p>
    <w:p w14:paraId="78D234D9" w14:textId="77777777" w:rsidR="003B53D1" w:rsidRPr="00034E2D" w:rsidRDefault="003B53D1" w:rsidP="003E7B18">
      <w:pPr>
        <w:numPr>
          <w:ilvl w:val="0"/>
          <w:numId w:val="231"/>
        </w:numPr>
        <w:tabs>
          <w:tab w:val="clear" w:pos="720"/>
          <w:tab w:val="num" w:pos="990"/>
        </w:tabs>
        <w:ind w:left="990" w:hanging="270"/>
        <w:rPr>
          <w:sz w:val="24"/>
          <w:szCs w:val="24"/>
        </w:rPr>
      </w:pPr>
      <w:r w:rsidRPr="00034E2D">
        <w:rPr>
          <w:sz w:val="24"/>
          <w:szCs w:val="24"/>
        </w:rPr>
        <w:t xml:space="preserve">Contributions may or may not be tax deductible, depending on the IRA owner's income level </w:t>
      </w:r>
    </w:p>
    <w:p w14:paraId="33426909" w14:textId="77777777" w:rsidR="003B53D1" w:rsidRPr="00034E2D" w:rsidRDefault="003B53D1" w:rsidP="003E7B18">
      <w:pPr>
        <w:numPr>
          <w:ilvl w:val="0"/>
          <w:numId w:val="231"/>
        </w:numPr>
        <w:tabs>
          <w:tab w:val="clear" w:pos="720"/>
          <w:tab w:val="num" w:pos="990"/>
        </w:tabs>
        <w:ind w:left="990" w:hanging="270"/>
        <w:rPr>
          <w:sz w:val="24"/>
          <w:szCs w:val="24"/>
        </w:rPr>
      </w:pPr>
      <w:r w:rsidRPr="00034E2D">
        <w:rPr>
          <w:sz w:val="24"/>
          <w:szCs w:val="24"/>
        </w:rPr>
        <w:t xml:space="preserve">Contributions are from earned income (other than contributions to a non-working spouse's IRA) </w:t>
      </w:r>
    </w:p>
    <w:p w14:paraId="15C45005" w14:textId="77777777" w:rsidR="003B53D1" w:rsidRPr="00034E2D" w:rsidRDefault="003B53D1" w:rsidP="003E7B18">
      <w:pPr>
        <w:numPr>
          <w:ilvl w:val="0"/>
          <w:numId w:val="231"/>
        </w:numPr>
        <w:tabs>
          <w:tab w:val="clear" w:pos="720"/>
          <w:tab w:val="num" w:pos="990"/>
        </w:tabs>
        <w:ind w:left="990" w:hanging="270"/>
        <w:rPr>
          <w:sz w:val="24"/>
          <w:szCs w:val="24"/>
        </w:rPr>
      </w:pPr>
      <w:r w:rsidRPr="00034E2D">
        <w:rPr>
          <w:sz w:val="24"/>
          <w:szCs w:val="24"/>
        </w:rPr>
        <w:t xml:space="preserve">Certain types of investments such as precious metals are not permitted in an IRA </w:t>
      </w:r>
    </w:p>
    <w:p w14:paraId="273E89D0" w14:textId="77777777" w:rsidR="003B53D1" w:rsidRPr="00034E2D" w:rsidRDefault="003B53D1" w:rsidP="003E7B18">
      <w:pPr>
        <w:numPr>
          <w:ilvl w:val="0"/>
          <w:numId w:val="231"/>
        </w:numPr>
        <w:tabs>
          <w:tab w:val="clear" w:pos="720"/>
          <w:tab w:val="num" w:pos="990"/>
        </w:tabs>
        <w:ind w:left="990" w:hanging="270"/>
        <w:rPr>
          <w:sz w:val="24"/>
          <w:szCs w:val="24"/>
        </w:rPr>
      </w:pPr>
      <w:r w:rsidRPr="00034E2D">
        <w:rPr>
          <w:sz w:val="24"/>
          <w:szCs w:val="24"/>
        </w:rPr>
        <w:t xml:space="preserve">Early withdrawals (prior to age 59 1/2) may result in tax penalties </w:t>
      </w:r>
    </w:p>
    <w:p w14:paraId="2539BAAB" w14:textId="6BD2A4BD" w:rsidR="003B53D1" w:rsidRPr="00034E2D" w:rsidRDefault="003B53D1" w:rsidP="003E7B18">
      <w:pPr>
        <w:numPr>
          <w:ilvl w:val="0"/>
          <w:numId w:val="231"/>
        </w:numPr>
        <w:tabs>
          <w:tab w:val="clear" w:pos="720"/>
          <w:tab w:val="num" w:pos="990"/>
        </w:tabs>
        <w:ind w:left="990" w:hanging="270"/>
        <w:rPr>
          <w:sz w:val="24"/>
          <w:szCs w:val="24"/>
        </w:rPr>
      </w:pPr>
      <w:r w:rsidRPr="00034E2D">
        <w:rPr>
          <w:sz w:val="24"/>
          <w:szCs w:val="24"/>
        </w:rPr>
        <w:t>Owners of traditional IRAs are required to begin withdrawing by the year following the year the owner turns 7</w:t>
      </w:r>
      <w:r w:rsidR="00EF3F6C">
        <w:rPr>
          <w:sz w:val="24"/>
          <w:szCs w:val="24"/>
        </w:rPr>
        <w:t>2</w:t>
      </w:r>
      <w:r w:rsidR="00696CCC">
        <w:rPr>
          <w:sz w:val="24"/>
          <w:szCs w:val="24"/>
        </w:rPr>
        <w:t>.</w:t>
      </w:r>
    </w:p>
    <w:p w14:paraId="32BAFE40" w14:textId="77777777" w:rsidR="003B53D1" w:rsidRPr="00034E2D" w:rsidRDefault="003B53D1" w:rsidP="003B53D1">
      <w:pPr>
        <w:ind w:firstLine="270"/>
        <w:rPr>
          <w:sz w:val="24"/>
          <w:szCs w:val="24"/>
        </w:rPr>
      </w:pPr>
    </w:p>
    <w:p w14:paraId="4AB8A5B5" w14:textId="77777777" w:rsidR="003B53D1" w:rsidRPr="00034E2D" w:rsidRDefault="003B53D1" w:rsidP="003B53D1">
      <w:pPr>
        <w:ind w:firstLine="270"/>
        <w:rPr>
          <w:sz w:val="24"/>
          <w:szCs w:val="24"/>
        </w:rPr>
      </w:pPr>
      <w:r w:rsidRPr="00034E2D">
        <w:rPr>
          <w:sz w:val="24"/>
          <w:szCs w:val="24"/>
        </w:rPr>
        <w:t>There are multiple types of IRAs including:</w:t>
      </w:r>
    </w:p>
    <w:p w14:paraId="28B9DD08" w14:textId="77777777" w:rsidR="003B53D1" w:rsidRPr="00034E2D" w:rsidRDefault="003B53D1" w:rsidP="003E7B18">
      <w:pPr>
        <w:numPr>
          <w:ilvl w:val="0"/>
          <w:numId w:val="232"/>
        </w:numPr>
        <w:tabs>
          <w:tab w:val="clear" w:pos="720"/>
          <w:tab w:val="num" w:pos="990"/>
        </w:tabs>
        <w:ind w:left="990" w:hanging="270"/>
        <w:rPr>
          <w:sz w:val="24"/>
          <w:szCs w:val="24"/>
        </w:rPr>
      </w:pPr>
      <w:r w:rsidRPr="00034E2D">
        <w:rPr>
          <w:sz w:val="24"/>
          <w:szCs w:val="24"/>
        </w:rPr>
        <w:t>Traditional IRAs; contributions may or may not be tax deduc</w:t>
      </w:r>
      <w:r w:rsidR="009D0BC0" w:rsidRPr="00034E2D">
        <w:rPr>
          <w:sz w:val="24"/>
          <w:szCs w:val="24"/>
        </w:rPr>
        <w:t>t</w:t>
      </w:r>
      <w:r w:rsidRPr="00034E2D">
        <w:rPr>
          <w:sz w:val="24"/>
          <w:szCs w:val="24"/>
        </w:rPr>
        <w:t xml:space="preserve">ible depending on the IRA owner's income </w:t>
      </w:r>
    </w:p>
    <w:p w14:paraId="7D61524C" w14:textId="77777777" w:rsidR="003B53D1" w:rsidRPr="00034E2D" w:rsidRDefault="003B53D1" w:rsidP="003E7B18">
      <w:pPr>
        <w:numPr>
          <w:ilvl w:val="0"/>
          <w:numId w:val="232"/>
        </w:numPr>
        <w:tabs>
          <w:tab w:val="clear" w:pos="720"/>
          <w:tab w:val="num" w:pos="990"/>
        </w:tabs>
        <w:ind w:left="990" w:hanging="270"/>
        <w:rPr>
          <w:sz w:val="24"/>
          <w:szCs w:val="24"/>
        </w:rPr>
      </w:pPr>
      <w:r w:rsidRPr="00034E2D">
        <w:rPr>
          <w:sz w:val="24"/>
          <w:szCs w:val="24"/>
        </w:rPr>
        <w:t xml:space="preserve">Roth IRA: </w:t>
      </w:r>
    </w:p>
    <w:p w14:paraId="199F1803" w14:textId="77777777" w:rsidR="003B53D1" w:rsidRPr="00034E2D" w:rsidRDefault="003B53D1" w:rsidP="003E7B18">
      <w:pPr>
        <w:numPr>
          <w:ilvl w:val="1"/>
          <w:numId w:val="232"/>
        </w:numPr>
        <w:rPr>
          <w:sz w:val="24"/>
          <w:szCs w:val="24"/>
        </w:rPr>
      </w:pPr>
      <w:r w:rsidRPr="00034E2D">
        <w:rPr>
          <w:sz w:val="24"/>
          <w:szCs w:val="24"/>
        </w:rPr>
        <w:t xml:space="preserve">all contributions are in after-tax dollars </w:t>
      </w:r>
    </w:p>
    <w:p w14:paraId="0768DBDF" w14:textId="77777777" w:rsidR="003B53D1" w:rsidRPr="00034E2D" w:rsidRDefault="003B53D1" w:rsidP="003E7B18">
      <w:pPr>
        <w:numPr>
          <w:ilvl w:val="1"/>
          <w:numId w:val="232"/>
        </w:numPr>
        <w:rPr>
          <w:sz w:val="24"/>
          <w:szCs w:val="24"/>
        </w:rPr>
      </w:pPr>
      <w:r w:rsidRPr="00034E2D">
        <w:rPr>
          <w:sz w:val="24"/>
          <w:szCs w:val="24"/>
        </w:rPr>
        <w:t xml:space="preserve">withdrawals are not taxed at the time of withdrawal if the IRA owner is at least 59 1/2 years old and the Roth IRA has been open 5 years or longer </w:t>
      </w:r>
    </w:p>
    <w:p w14:paraId="5CC7B700" w14:textId="77777777" w:rsidR="003B53D1" w:rsidRPr="00034E2D" w:rsidRDefault="003B53D1" w:rsidP="003E7B18">
      <w:pPr>
        <w:numPr>
          <w:ilvl w:val="1"/>
          <w:numId w:val="232"/>
        </w:numPr>
        <w:rPr>
          <w:sz w:val="24"/>
          <w:szCs w:val="24"/>
        </w:rPr>
      </w:pPr>
      <w:r w:rsidRPr="00034E2D">
        <w:rPr>
          <w:sz w:val="24"/>
          <w:szCs w:val="24"/>
        </w:rPr>
        <w:t xml:space="preserve">some high wage earners are not eligible to open Roth IRAs </w:t>
      </w:r>
    </w:p>
    <w:p w14:paraId="74C475A8" w14:textId="565751D8" w:rsidR="003B53D1" w:rsidRPr="00034E2D" w:rsidRDefault="003B53D1" w:rsidP="003E7B18">
      <w:pPr>
        <w:numPr>
          <w:ilvl w:val="1"/>
          <w:numId w:val="232"/>
        </w:numPr>
        <w:rPr>
          <w:sz w:val="24"/>
          <w:szCs w:val="24"/>
        </w:rPr>
      </w:pPr>
      <w:r w:rsidRPr="00034E2D">
        <w:rPr>
          <w:sz w:val="24"/>
          <w:szCs w:val="24"/>
        </w:rPr>
        <w:t>no mandatory withdrawals after age 7</w:t>
      </w:r>
      <w:r w:rsidRPr="00CC601C">
        <w:rPr>
          <w:sz w:val="24"/>
          <w:szCs w:val="24"/>
        </w:rPr>
        <w:t>2</w:t>
      </w:r>
    </w:p>
    <w:p w14:paraId="2FE29522" w14:textId="77777777" w:rsidR="003B53D1" w:rsidRPr="00034E2D" w:rsidRDefault="003B53D1" w:rsidP="003E7B18">
      <w:pPr>
        <w:numPr>
          <w:ilvl w:val="0"/>
          <w:numId w:val="232"/>
        </w:numPr>
        <w:tabs>
          <w:tab w:val="clear" w:pos="720"/>
          <w:tab w:val="num" w:pos="990"/>
        </w:tabs>
        <w:ind w:left="990" w:hanging="270"/>
        <w:rPr>
          <w:sz w:val="24"/>
          <w:szCs w:val="24"/>
        </w:rPr>
      </w:pPr>
      <w:r w:rsidRPr="00034E2D">
        <w:rPr>
          <w:sz w:val="24"/>
          <w:szCs w:val="24"/>
        </w:rPr>
        <w:t xml:space="preserve">Individual retirement annuity; a traditional or Roth IRA set up with a life insurance company through the purchase of a special annuity contract </w:t>
      </w:r>
    </w:p>
    <w:p w14:paraId="228010CC" w14:textId="77777777" w:rsidR="003B53D1" w:rsidRPr="00034E2D" w:rsidRDefault="003B53D1" w:rsidP="003E7B18">
      <w:pPr>
        <w:numPr>
          <w:ilvl w:val="0"/>
          <w:numId w:val="232"/>
        </w:numPr>
        <w:tabs>
          <w:tab w:val="clear" w:pos="720"/>
          <w:tab w:val="num" w:pos="990"/>
        </w:tabs>
        <w:ind w:left="990" w:hanging="270"/>
        <w:rPr>
          <w:sz w:val="24"/>
          <w:szCs w:val="24"/>
        </w:rPr>
      </w:pPr>
      <w:r w:rsidRPr="00034E2D">
        <w:rPr>
          <w:sz w:val="24"/>
          <w:szCs w:val="24"/>
        </w:rPr>
        <w:t xml:space="preserve">Simplified Employee Pension (SEP-IRA); a traditional IRA set up by an employer for employees; limitations on contributions apply </w:t>
      </w:r>
    </w:p>
    <w:p w14:paraId="2611149D" w14:textId="77777777" w:rsidR="003B53D1" w:rsidRPr="00034E2D" w:rsidRDefault="003B53D1" w:rsidP="003E7B18">
      <w:pPr>
        <w:numPr>
          <w:ilvl w:val="0"/>
          <w:numId w:val="232"/>
        </w:numPr>
        <w:tabs>
          <w:tab w:val="clear" w:pos="720"/>
          <w:tab w:val="num" w:pos="990"/>
        </w:tabs>
        <w:ind w:left="990" w:hanging="270"/>
        <w:rPr>
          <w:sz w:val="24"/>
          <w:szCs w:val="24"/>
        </w:rPr>
      </w:pPr>
      <w:r w:rsidRPr="00034E2D">
        <w:rPr>
          <w:sz w:val="24"/>
          <w:szCs w:val="24"/>
        </w:rPr>
        <w:t xml:space="preserve">Spousal IRA; traditional or Roth IRA funded by a married taxpayer in the name of a spouse (who has limited earnings) </w:t>
      </w:r>
    </w:p>
    <w:p w14:paraId="78508ED8" w14:textId="77777777" w:rsidR="003B53D1" w:rsidRPr="00034E2D" w:rsidRDefault="003B53D1" w:rsidP="003E7B18">
      <w:pPr>
        <w:numPr>
          <w:ilvl w:val="0"/>
          <w:numId w:val="232"/>
        </w:numPr>
        <w:tabs>
          <w:tab w:val="clear" w:pos="720"/>
          <w:tab w:val="num" w:pos="990"/>
        </w:tabs>
        <w:ind w:left="990" w:hanging="270"/>
        <w:rPr>
          <w:sz w:val="24"/>
          <w:szCs w:val="24"/>
        </w:rPr>
      </w:pPr>
      <w:r w:rsidRPr="00034E2D">
        <w:rPr>
          <w:sz w:val="24"/>
          <w:szCs w:val="24"/>
        </w:rPr>
        <w:lastRenderedPageBreak/>
        <w:t>Rollover IRA: funded with money that is already in a qualified retirement plan; allows moving the money without owing any tax at the time of the rollover (assuming the requirements for a rollover are met)</w:t>
      </w:r>
    </w:p>
    <w:p w14:paraId="4584DD12" w14:textId="77777777" w:rsidR="003B53D1" w:rsidRPr="00034E2D" w:rsidRDefault="003B53D1" w:rsidP="003B53D1"/>
    <w:p w14:paraId="1521C4E6" w14:textId="4917EEA9" w:rsidR="003B53D1" w:rsidRPr="00034E2D" w:rsidRDefault="0045007A" w:rsidP="0045007A">
      <w:pPr>
        <w:pStyle w:val="Heading3"/>
      </w:pPr>
      <w:r w:rsidRPr="00034E2D">
        <w:t>5.26.</w:t>
      </w:r>
      <w:r w:rsidR="004F6984">
        <w:t>5</w:t>
      </w:r>
      <w:r w:rsidRPr="00034E2D">
        <w:t xml:space="preserve"> IRA/Rollovers</w:t>
      </w:r>
    </w:p>
    <w:p w14:paraId="4B8B585D" w14:textId="77777777" w:rsidR="0045007A" w:rsidRPr="00034E2D" w:rsidRDefault="0045007A" w:rsidP="0045007A">
      <w:pPr>
        <w:ind w:left="270"/>
        <w:rPr>
          <w:sz w:val="24"/>
          <w:szCs w:val="24"/>
        </w:rPr>
      </w:pPr>
      <w:r w:rsidRPr="00034E2D">
        <w:rPr>
          <w:sz w:val="24"/>
          <w:szCs w:val="24"/>
        </w:rPr>
        <w:t xml:space="preserve">Company and its RRs have responsibilities when recommending a rollover or transfer of assets in an employer-sponsored retirement plan to an IRA and when marketing IRAs and associated services. </w:t>
      </w:r>
      <w:r w:rsidR="009F6F04" w:rsidRPr="00034E2D">
        <w:rPr>
          <w:sz w:val="24"/>
          <w:szCs w:val="24"/>
        </w:rPr>
        <w:t xml:space="preserve"> Company RRs must discuss with participants considering a rollover with the Company as the broker/dealer the available options.  </w:t>
      </w:r>
      <w:r w:rsidRPr="00034E2D">
        <w:rPr>
          <w:sz w:val="24"/>
          <w:szCs w:val="24"/>
        </w:rPr>
        <w:t>A plan participant leaving an employer has typically four options (which may include a combination of options)</w:t>
      </w:r>
      <w:r w:rsidR="009D0BC0" w:rsidRPr="00034E2D">
        <w:rPr>
          <w:sz w:val="24"/>
          <w:szCs w:val="24"/>
        </w:rPr>
        <w:t>:</w:t>
      </w:r>
    </w:p>
    <w:p w14:paraId="3BC9B317" w14:textId="77777777" w:rsidR="0045007A" w:rsidRPr="00034E2D" w:rsidRDefault="0045007A" w:rsidP="003E7B18">
      <w:pPr>
        <w:numPr>
          <w:ilvl w:val="0"/>
          <w:numId w:val="233"/>
        </w:numPr>
        <w:tabs>
          <w:tab w:val="clear" w:pos="720"/>
          <w:tab w:val="num" w:pos="990"/>
        </w:tabs>
        <w:ind w:left="990" w:hanging="270"/>
        <w:rPr>
          <w:sz w:val="24"/>
          <w:szCs w:val="24"/>
        </w:rPr>
      </w:pPr>
      <w:r w:rsidRPr="00034E2D">
        <w:rPr>
          <w:sz w:val="24"/>
          <w:szCs w:val="24"/>
        </w:rPr>
        <w:t xml:space="preserve">Leave the money at the employer's plan, if permitted </w:t>
      </w:r>
    </w:p>
    <w:p w14:paraId="43E841E3" w14:textId="77777777" w:rsidR="0045007A" w:rsidRPr="00034E2D" w:rsidRDefault="0045007A" w:rsidP="003E7B18">
      <w:pPr>
        <w:numPr>
          <w:ilvl w:val="0"/>
          <w:numId w:val="233"/>
        </w:numPr>
        <w:tabs>
          <w:tab w:val="clear" w:pos="720"/>
          <w:tab w:val="num" w:pos="990"/>
        </w:tabs>
        <w:ind w:left="990" w:hanging="270"/>
        <w:rPr>
          <w:sz w:val="24"/>
          <w:szCs w:val="24"/>
        </w:rPr>
      </w:pPr>
      <w:r w:rsidRPr="00034E2D">
        <w:rPr>
          <w:sz w:val="24"/>
          <w:szCs w:val="24"/>
        </w:rPr>
        <w:t xml:space="preserve">Roll over assets to a new employer's plan, if available and permitted </w:t>
      </w:r>
    </w:p>
    <w:p w14:paraId="403474B6" w14:textId="77777777" w:rsidR="0045007A" w:rsidRPr="00034E2D" w:rsidRDefault="0045007A" w:rsidP="003E7B18">
      <w:pPr>
        <w:numPr>
          <w:ilvl w:val="0"/>
          <w:numId w:val="233"/>
        </w:numPr>
        <w:tabs>
          <w:tab w:val="clear" w:pos="720"/>
          <w:tab w:val="num" w:pos="990"/>
        </w:tabs>
        <w:ind w:left="990" w:hanging="270"/>
        <w:rPr>
          <w:sz w:val="24"/>
          <w:szCs w:val="24"/>
        </w:rPr>
      </w:pPr>
      <w:r w:rsidRPr="00034E2D">
        <w:rPr>
          <w:sz w:val="24"/>
          <w:szCs w:val="24"/>
        </w:rPr>
        <w:t xml:space="preserve">Roll over to an IRA </w:t>
      </w:r>
    </w:p>
    <w:p w14:paraId="376E3C64" w14:textId="77777777" w:rsidR="0045007A" w:rsidRPr="00034E2D" w:rsidRDefault="0045007A" w:rsidP="003E7B18">
      <w:pPr>
        <w:numPr>
          <w:ilvl w:val="0"/>
          <w:numId w:val="233"/>
        </w:numPr>
        <w:tabs>
          <w:tab w:val="clear" w:pos="720"/>
          <w:tab w:val="num" w:pos="990"/>
        </w:tabs>
        <w:ind w:left="990" w:hanging="270"/>
        <w:rPr>
          <w:sz w:val="24"/>
          <w:szCs w:val="24"/>
        </w:rPr>
      </w:pPr>
      <w:r w:rsidRPr="00034E2D">
        <w:rPr>
          <w:sz w:val="24"/>
          <w:szCs w:val="24"/>
        </w:rPr>
        <w:t>Cash out the account value</w:t>
      </w:r>
    </w:p>
    <w:p w14:paraId="1B0F8CBE" w14:textId="6BFD109D" w:rsidR="0045007A" w:rsidRDefault="0045007A" w:rsidP="0045007A">
      <w:pPr>
        <w:rPr>
          <w:sz w:val="24"/>
          <w:szCs w:val="24"/>
        </w:rPr>
      </w:pPr>
    </w:p>
    <w:p w14:paraId="29FABC94" w14:textId="77777777" w:rsidR="004A7AA0" w:rsidRPr="00CC601C" w:rsidRDefault="004A7AA0" w:rsidP="004A7AA0">
      <w:pPr>
        <w:ind w:left="270"/>
        <w:rPr>
          <w:spacing w:val="8"/>
          <w:sz w:val="24"/>
          <w:szCs w:val="24"/>
          <w:shd w:val="clear" w:color="auto" w:fill="FFFFFF"/>
        </w:rPr>
      </w:pPr>
      <w:r w:rsidRPr="00CC601C">
        <w:rPr>
          <w:spacing w:val="8"/>
          <w:sz w:val="24"/>
          <w:szCs w:val="24"/>
          <w:shd w:val="clear" w:color="auto" w:fill="FFFFFF"/>
        </w:rPr>
        <w:t>Recommendations to open an IRA or rollover workplace retirement plan assets into an IRA rather than keeping assets in a previous employer's workplace retirement plan (or rolling over assets to a new employer's workplace retirement plan) are subject to Regulation Best Interest which identifies many of the following considerations and adds as considerations holdings of employer stock and any special features of the existing account:</w:t>
      </w:r>
    </w:p>
    <w:p w14:paraId="575E6F28" w14:textId="1D7844F9" w:rsidR="004A7AA0" w:rsidRPr="004A7AA0" w:rsidRDefault="004A7AA0" w:rsidP="004A7AA0">
      <w:pPr>
        <w:ind w:left="270"/>
        <w:rPr>
          <w:sz w:val="14"/>
          <w:szCs w:val="14"/>
        </w:rPr>
      </w:pPr>
      <w:r>
        <w:rPr>
          <w:color w:val="FF0000"/>
          <w:spacing w:val="8"/>
          <w:sz w:val="24"/>
          <w:szCs w:val="24"/>
          <w:shd w:val="clear" w:color="auto" w:fill="FFFFFF"/>
        </w:rPr>
        <w:t xml:space="preserve">  </w:t>
      </w:r>
    </w:p>
    <w:p w14:paraId="423F52E8" w14:textId="51056772" w:rsidR="0045007A" w:rsidRPr="004A7AA0" w:rsidRDefault="0045007A" w:rsidP="0005402C">
      <w:pPr>
        <w:pStyle w:val="ListParagraph"/>
        <w:numPr>
          <w:ilvl w:val="0"/>
          <w:numId w:val="354"/>
        </w:numPr>
        <w:ind w:hanging="270"/>
        <w:rPr>
          <w:sz w:val="24"/>
          <w:szCs w:val="24"/>
        </w:rPr>
      </w:pPr>
      <w:r w:rsidRPr="004A7AA0">
        <w:rPr>
          <w:sz w:val="24"/>
          <w:szCs w:val="24"/>
        </w:rPr>
        <w:t xml:space="preserve">Investment options may be broader in an IRA, but the customer may be satisfied with options under an employer plan. </w:t>
      </w:r>
    </w:p>
    <w:p w14:paraId="125C6474" w14:textId="77777777" w:rsidR="0045007A" w:rsidRPr="00034E2D" w:rsidRDefault="0045007A" w:rsidP="003E7B18">
      <w:pPr>
        <w:numPr>
          <w:ilvl w:val="0"/>
          <w:numId w:val="234"/>
        </w:numPr>
        <w:tabs>
          <w:tab w:val="clear" w:pos="720"/>
          <w:tab w:val="num" w:pos="990"/>
        </w:tabs>
        <w:ind w:left="990" w:hanging="270"/>
        <w:rPr>
          <w:sz w:val="24"/>
          <w:szCs w:val="24"/>
        </w:rPr>
      </w:pPr>
      <w:r w:rsidRPr="00034E2D">
        <w:rPr>
          <w:sz w:val="24"/>
          <w:szCs w:val="24"/>
        </w:rPr>
        <w:t xml:space="preserve">Fees and expenses may be higher for an IRA; an employer may pay fees and expenses in its plan; IRA fees may include administrative, account set-up and custodial fees. </w:t>
      </w:r>
    </w:p>
    <w:p w14:paraId="7D866544" w14:textId="77777777" w:rsidR="0045007A" w:rsidRPr="00034E2D" w:rsidRDefault="0045007A" w:rsidP="003E7B18">
      <w:pPr>
        <w:numPr>
          <w:ilvl w:val="0"/>
          <w:numId w:val="234"/>
        </w:numPr>
        <w:tabs>
          <w:tab w:val="clear" w:pos="720"/>
          <w:tab w:val="num" w:pos="990"/>
        </w:tabs>
        <w:ind w:left="990" w:hanging="270"/>
        <w:rPr>
          <w:sz w:val="24"/>
          <w:szCs w:val="24"/>
        </w:rPr>
      </w:pPr>
      <w:r w:rsidRPr="00034E2D">
        <w:rPr>
          <w:sz w:val="24"/>
          <w:szCs w:val="24"/>
        </w:rPr>
        <w:t xml:space="preserve">Services may differ between employer plans and various IRAs; such services include planning tools, telephone help lines, workshops, educational material, </w:t>
      </w:r>
      <w:r w:rsidRPr="00034E2D">
        <w:rPr>
          <w:i/>
          <w:iCs/>
          <w:sz w:val="24"/>
          <w:szCs w:val="24"/>
        </w:rPr>
        <w:t>etc.</w:t>
      </w:r>
      <w:r w:rsidRPr="00034E2D">
        <w:rPr>
          <w:sz w:val="24"/>
          <w:szCs w:val="24"/>
        </w:rPr>
        <w:t xml:space="preserve"> </w:t>
      </w:r>
    </w:p>
    <w:p w14:paraId="27E7EB93" w14:textId="77777777" w:rsidR="0045007A" w:rsidRPr="00034E2D" w:rsidRDefault="0045007A" w:rsidP="003E7B18">
      <w:pPr>
        <w:numPr>
          <w:ilvl w:val="0"/>
          <w:numId w:val="234"/>
        </w:numPr>
        <w:tabs>
          <w:tab w:val="clear" w:pos="720"/>
          <w:tab w:val="num" w:pos="990"/>
        </w:tabs>
        <w:ind w:left="990" w:hanging="270"/>
        <w:rPr>
          <w:sz w:val="24"/>
          <w:szCs w:val="24"/>
        </w:rPr>
      </w:pPr>
      <w:r w:rsidRPr="00034E2D">
        <w:rPr>
          <w:sz w:val="24"/>
          <w:szCs w:val="24"/>
        </w:rPr>
        <w:t xml:space="preserve">Penalty-free withdrawals are available from an employer plan to an employee leaving a job between age 55 and 59 1/2, and it may be easier to borrow from the plan. Such withdrawals may be made from an IRA only after the investor reaches the age of 59 1/2. </w:t>
      </w:r>
    </w:p>
    <w:p w14:paraId="07452246" w14:textId="77777777" w:rsidR="0045007A" w:rsidRPr="00034E2D" w:rsidRDefault="0045007A" w:rsidP="003E7B18">
      <w:pPr>
        <w:numPr>
          <w:ilvl w:val="0"/>
          <w:numId w:val="234"/>
        </w:numPr>
        <w:tabs>
          <w:tab w:val="clear" w:pos="720"/>
          <w:tab w:val="num" w:pos="990"/>
        </w:tabs>
        <w:ind w:left="990" w:hanging="270"/>
        <w:rPr>
          <w:sz w:val="24"/>
          <w:szCs w:val="24"/>
        </w:rPr>
      </w:pPr>
      <w:r w:rsidRPr="00034E2D">
        <w:rPr>
          <w:sz w:val="24"/>
          <w:szCs w:val="24"/>
        </w:rPr>
        <w:t xml:space="preserve">Unlimited protection from creditors and legal judgments is available to plan assets under federal law. IRA assets are protected in bankruptcy only; state laws vary in protecting IRAs in lawsuits. </w:t>
      </w:r>
    </w:p>
    <w:p w14:paraId="02408FEE" w14:textId="4A118F2C" w:rsidR="0045007A" w:rsidRPr="00CC601C" w:rsidRDefault="0045007A" w:rsidP="003E7B18">
      <w:pPr>
        <w:numPr>
          <w:ilvl w:val="0"/>
          <w:numId w:val="234"/>
        </w:numPr>
        <w:tabs>
          <w:tab w:val="clear" w:pos="720"/>
          <w:tab w:val="num" w:pos="990"/>
        </w:tabs>
        <w:ind w:left="990" w:hanging="270"/>
        <w:rPr>
          <w:sz w:val="24"/>
          <w:szCs w:val="24"/>
        </w:rPr>
      </w:pPr>
      <w:r w:rsidRPr="00034E2D">
        <w:rPr>
          <w:sz w:val="24"/>
          <w:szCs w:val="24"/>
        </w:rPr>
        <w:t xml:space="preserve">Required minimum distributions apply to individuals reaching the age </w:t>
      </w:r>
      <w:r w:rsidRPr="00CC601C">
        <w:rPr>
          <w:sz w:val="24"/>
          <w:szCs w:val="24"/>
        </w:rPr>
        <w:t xml:space="preserve">72 for both plans and IRAs. However, if the individual continues working past 72, minimum distributions from the current employer's plans are delayed past 72. </w:t>
      </w:r>
    </w:p>
    <w:p w14:paraId="01DE4F4B" w14:textId="662DD816" w:rsidR="0045007A" w:rsidRPr="00034E2D" w:rsidRDefault="0045007A" w:rsidP="003E7B18">
      <w:pPr>
        <w:numPr>
          <w:ilvl w:val="0"/>
          <w:numId w:val="234"/>
        </w:numPr>
        <w:tabs>
          <w:tab w:val="clear" w:pos="720"/>
          <w:tab w:val="num" w:pos="990"/>
        </w:tabs>
        <w:ind w:left="990" w:hanging="270"/>
        <w:rPr>
          <w:sz w:val="24"/>
          <w:szCs w:val="24"/>
        </w:rPr>
      </w:pPr>
      <w:r w:rsidRPr="00034E2D">
        <w:rPr>
          <w:sz w:val="24"/>
          <w:szCs w:val="24"/>
        </w:rPr>
        <w:t xml:space="preserve">Appreciated employee stock in a plan will be subject to negative tax consequences of taxation at ordinary income tax rates vs. long term capital gains if rolled into an IRA. A balancing factor is if the employee is </w:t>
      </w:r>
      <w:r w:rsidR="00CC601C" w:rsidRPr="00034E2D">
        <w:rPr>
          <w:sz w:val="24"/>
          <w:szCs w:val="24"/>
        </w:rPr>
        <w:t>overly concentrated</w:t>
      </w:r>
      <w:r w:rsidRPr="00034E2D">
        <w:rPr>
          <w:sz w:val="24"/>
          <w:szCs w:val="24"/>
        </w:rPr>
        <w:t xml:space="preserve"> in the employer stock and is unable to reduce exposure in the plan.</w:t>
      </w:r>
    </w:p>
    <w:p w14:paraId="48949BB5" w14:textId="77777777" w:rsidR="00266C77" w:rsidRPr="006D5CDF" w:rsidRDefault="00266C77" w:rsidP="003E7B18">
      <w:pPr>
        <w:numPr>
          <w:ilvl w:val="0"/>
          <w:numId w:val="234"/>
        </w:numPr>
        <w:tabs>
          <w:tab w:val="clear" w:pos="720"/>
          <w:tab w:val="num" w:pos="990"/>
        </w:tabs>
        <w:ind w:left="990" w:hanging="270"/>
        <w:rPr>
          <w:sz w:val="24"/>
          <w:szCs w:val="24"/>
        </w:rPr>
      </w:pPr>
      <w:r w:rsidRPr="00034E2D">
        <w:rPr>
          <w:sz w:val="24"/>
          <w:szCs w:val="24"/>
        </w:rPr>
        <w:t xml:space="preserve">IRAs cannot be promoted as "no-fees" since the term could mislead investors who typically pay fees in some way to maintain an account. For example, the cost of a "no-fee" account may be subject to higher commissions instead of highlighted as a separate charge. This promotional strategy could attract investors into a rollover that may ultimately be </w:t>
      </w:r>
      <w:r w:rsidR="001243EC" w:rsidRPr="00034E2D">
        <w:rPr>
          <w:sz w:val="24"/>
          <w:szCs w:val="24"/>
        </w:rPr>
        <w:t>costlier</w:t>
      </w:r>
      <w:r w:rsidRPr="00034E2D">
        <w:rPr>
          <w:sz w:val="24"/>
          <w:szCs w:val="24"/>
        </w:rPr>
        <w:t xml:space="preserve"> than staying in an employer plan.</w:t>
      </w:r>
    </w:p>
    <w:p w14:paraId="082646B8" w14:textId="77777777" w:rsidR="00E359D0" w:rsidRPr="006D5CDF" w:rsidRDefault="00E359D0" w:rsidP="003E7B18">
      <w:pPr>
        <w:numPr>
          <w:ilvl w:val="0"/>
          <w:numId w:val="234"/>
        </w:numPr>
        <w:tabs>
          <w:tab w:val="clear" w:pos="720"/>
          <w:tab w:val="num" w:pos="990"/>
        </w:tabs>
        <w:ind w:left="990" w:hanging="270"/>
        <w:rPr>
          <w:sz w:val="24"/>
          <w:szCs w:val="24"/>
        </w:rPr>
      </w:pPr>
      <w:r w:rsidRPr="006D5CDF">
        <w:rPr>
          <w:sz w:val="24"/>
          <w:szCs w:val="24"/>
        </w:rPr>
        <w:t>RRs may not infer that the customer's only choice or sound option is rolling funds to an IRA through the Company.</w:t>
      </w:r>
    </w:p>
    <w:p w14:paraId="3F73B61E" w14:textId="77777777" w:rsidR="0045007A" w:rsidRPr="00034E2D" w:rsidRDefault="0045007A" w:rsidP="0045007A">
      <w:pPr>
        <w:rPr>
          <w:sz w:val="24"/>
          <w:szCs w:val="24"/>
        </w:rPr>
      </w:pPr>
    </w:p>
    <w:p w14:paraId="551E7C5B" w14:textId="2E6FF8D6" w:rsidR="0045007A" w:rsidRPr="00034E2D" w:rsidRDefault="0045007A" w:rsidP="00142987">
      <w:pPr>
        <w:ind w:left="270"/>
        <w:rPr>
          <w:sz w:val="24"/>
          <w:szCs w:val="24"/>
        </w:rPr>
      </w:pPr>
      <w:r w:rsidRPr="00034E2D">
        <w:rPr>
          <w:sz w:val="24"/>
          <w:szCs w:val="24"/>
        </w:rPr>
        <w:lastRenderedPageBreak/>
        <w:t xml:space="preserve">RRs have the obligation to consider </w:t>
      </w:r>
      <w:r w:rsidR="004437BA" w:rsidRPr="00CC601C">
        <w:rPr>
          <w:spacing w:val="8"/>
          <w:sz w:val="24"/>
          <w:szCs w:val="24"/>
          <w:shd w:val="clear" w:color="auto" w:fill="FFFFFF"/>
        </w:rPr>
        <w:t>compliance with Regulation Best Interest</w:t>
      </w:r>
      <w:r w:rsidR="004437BA" w:rsidRPr="00CC601C">
        <w:rPr>
          <w:rFonts w:ascii="Tahoma" w:hAnsi="Tahoma" w:cs="Tahoma"/>
          <w:spacing w:val="8"/>
          <w:sz w:val="24"/>
          <w:szCs w:val="24"/>
          <w:shd w:val="clear" w:color="auto" w:fill="FFFFFF"/>
        </w:rPr>
        <w:t xml:space="preserve"> </w:t>
      </w:r>
      <w:r w:rsidR="004437BA">
        <w:rPr>
          <w:sz w:val="24"/>
          <w:szCs w:val="24"/>
        </w:rPr>
        <w:t xml:space="preserve">and </w:t>
      </w:r>
      <w:r w:rsidRPr="00034E2D">
        <w:rPr>
          <w:sz w:val="24"/>
          <w:szCs w:val="24"/>
        </w:rPr>
        <w:t xml:space="preserve">the suitability of any recommended rollover considering the above factors and others that may apply to the customer and the customer's investment objectives, tax situation, and finances. </w:t>
      </w:r>
      <w:r w:rsidR="00346EB8" w:rsidRPr="00034E2D">
        <w:rPr>
          <w:sz w:val="24"/>
          <w:szCs w:val="24"/>
        </w:rPr>
        <w:t xml:space="preserve">  The use of either Company’s IRA R/O Disclosure form or custodial </w:t>
      </w:r>
      <w:r w:rsidR="00582013" w:rsidRPr="00034E2D">
        <w:rPr>
          <w:sz w:val="24"/>
          <w:szCs w:val="24"/>
        </w:rPr>
        <w:t>applicable forms may be used to document delivery of such information.</w:t>
      </w:r>
    </w:p>
    <w:p w14:paraId="0D9598A3" w14:textId="77777777" w:rsidR="0045007A" w:rsidRPr="00034E2D" w:rsidRDefault="0045007A" w:rsidP="0045007A"/>
    <w:p w14:paraId="3F0D5612" w14:textId="41841918" w:rsidR="00A03D93" w:rsidRPr="00034E2D" w:rsidRDefault="0055262D" w:rsidP="00A03D93">
      <w:pPr>
        <w:pStyle w:val="Heading3"/>
      </w:pPr>
      <w:r w:rsidRPr="00034E2D">
        <w:t>5.26.</w:t>
      </w:r>
      <w:r w:rsidR="004F6984">
        <w:t>6</w:t>
      </w:r>
      <w:r w:rsidRPr="00034E2D">
        <w:t xml:space="preserve"> </w:t>
      </w:r>
      <w:r w:rsidR="00A03D93" w:rsidRPr="00034E2D">
        <w:t>Employee Sponsored Plans</w:t>
      </w:r>
    </w:p>
    <w:p w14:paraId="7DABB47F" w14:textId="77777777" w:rsidR="00A03D93" w:rsidRPr="00034E2D" w:rsidRDefault="00A03D93" w:rsidP="00A03D93">
      <w:pPr>
        <w:ind w:left="270"/>
        <w:rPr>
          <w:sz w:val="24"/>
          <w:szCs w:val="24"/>
        </w:rPr>
      </w:pPr>
      <w:r w:rsidRPr="00034E2D">
        <w:rPr>
          <w:sz w:val="24"/>
          <w:szCs w:val="24"/>
        </w:rPr>
        <w:t xml:space="preserve">Employers may offer different types of plans including traditional pension and profit-sharing plans that are funded entirely by the employer. All eligible employees </w:t>
      </w:r>
      <w:r w:rsidR="001243EC" w:rsidRPr="00034E2D">
        <w:rPr>
          <w:sz w:val="24"/>
          <w:szCs w:val="24"/>
        </w:rPr>
        <w:t>participate,</w:t>
      </w:r>
      <w:r w:rsidRPr="00034E2D">
        <w:rPr>
          <w:sz w:val="24"/>
          <w:szCs w:val="24"/>
        </w:rPr>
        <w:t xml:space="preserve"> and employer contributions are above and beyond the employee's salary. This section describes other types of employer-sponsored plans that give eligible employees the opportunity to put a portion of current income into a tax-deferred investment account. Participation may be voluntary or mandatory, and employers may make matching contributions.</w:t>
      </w:r>
    </w:p>
    <w:p w14:paraId="3F3862AC" w14:textId="77777777" w:rsidR="00A03D93" w:rsidRPr="00034E2D" w:rsidRDefault="00A03D93" w:rsidP="00A03D93">
      <w:pPr>
        <w:ind w:left="270"/>
        <w:rPr>
          <w:sz w:val="24"/>
          <w:szCs w:val="24"/>
        </w:rPr>
      </w:pPr>
      <w:r w:rsidRPr="00034E2D">
        <w:rPr>
          <w:sz w:val="24"/>
          <w:szCs w:val="24"/>
        </w:rPr>
        <w:t>RR advice is generally limited to choosing the custodian (in which Company has a selling agreement) and the allocation of investments.</w:t>
      </w:r>
    </w:p>
    <w:p w14:paraId="712E481C" w14:textId="77777777" w:rsidR="00A03D93" w:rsidRPr="00034E2D" w:rsidRDefault="00A03D93" w:rsidP="00A03D93">
      <w:pPr>
        <w:ind w:left="270"/>
        <w:rPr>
          <w:sz w:val="24"/>
          <w:szCs w:val="24"/>
        </w:rPr>
      </w:pPr>
    </w:p>
    <w:p w14:paraId="17913C08" w14:textId="77777777" w:rsidR="00A03D93" w:rsidRPr="00034E2D" w:rsidRDefault="00A03D93" w:rsidP="007812F1">
      <w:pPr>
        <w:ind w:left="270"/>
        <w:rPr>
          <w:sz w:val="24"/>
          <w:szCs w:val="24"/>
        </w:rPr>
      </w:pPr>
      <w:r w:rsidRPr="00034E2D">
        <w:rPr>
          <w:sz w:val="24"/>
          <w:szCs w:val="24"/>
        </w:rPr>
        <w:t>The following sections provide a general explanation of these various plans.</w:t>
      </w:r>
    </w:p>
    <w:p w14:paraId="39B8BB13" w14:textId="77777777" w:rsidR="00A03D93" w:rsidRPr="00034E2D" w:rsidRDefault="00A03D93" w:rsidP="007812F1"/>
    <w:p w14:paraId="7EED9C45" w14:textId="77777777" w:rsidR="0055262D" w:rsidRPr="000A6EEE" w:rsidRDefault="000A6EEE" w:rsidP="000A6EEE">
      <w:pPr>
        <w:rPr>
          <w:b/>
          <w:sz w:val="24"/>
          <w:szCs w:val="24"/>
        </w:rPr>
      </w:pPr>
      <w:r>
        <w:t xml:space="preserve">     </w:t>
      </w:r>
      <w:r w:rsidR="0055262D" w:rsidRPr="000A6EEE">
        <w:rPr>
          <w:b/>
          <w:sz w:val="24"/>
          <w:szCs w:val="24"/>
        </w:rPr>
        <w:t>401k Plans</w:t>
      </w:r>
    </w:p>
    <w:p w14:paraId="7C90F122" w14:textId="77777777" w:rsidR="0055262D" w:rsidRPr="00034E2D" w:rsidRDefault="00E66B0D" w:rsidP="0055262D">
      <w:pPr>
        <w:ind w:left="270"/>
        <w:rPr>
          <w:sz w:val="24"/>
          <w:szCs w:val="24"/>
        </w:rPr>
      </w:pPr>
      <w:r w:rsidRPr="00034E2D">
        <w:rPr>
          <w:sz w:val="24"/>
          <w:szCs w:val="24"/>
        </w:rPr>
        <w:t>401K Plans generally include the following features:</w:t>
      </w:r>
    </w:p>
    <w:p w14:paraId="5F7F9F1C" w14:textId="77777777" w:rsidR="0055262D" w:rsidRPr="00034E2D" w:rsidRDefault="0055262D" w:rsidP="003E7B18">
      <w:pPr>
        <w:numPr>
          <w:ilvl w:val="0"/>
          <w:numId w:val="235"/>
        </w:numPr>
        <w:rPr>
          <w:sz w:val="24"/>
          <w:szCs w:val="24"/>
        </w:rPr>
      </w:pPr>
      <w:r w:rsidRPr="00034E2D">
        <w:rPr>
          <w:sz w:val="24"/>
          <w:szCs w:val="24"/>
        </w:rPr>
        <w:t xml:space="preserve">Established by corporations </w:t>
      </w:r>
    </w:p>
    <w:p w14:paraId="3E07D575" w14:textId="77777777" w:rsidR="0055262D" w:rsidRPr="00034E2D" w:rsidRDefault="0055262D" w:rsidP="003E7B18">
      <w:pPr>
        <w:numPr>
          <w:ilvl w:val="0"/>
          <w:numId w:val="235"/>
        </w:numPr>
        <w:rPr>
          <w:sz w:val="24"/>
          <w:szCs w:val="24"/>
        </w:rPr>
      </w:pPr>
      <w:r w:rsidRPr="00034E2D">
        <w:rPr>
          <w:sz w:val="24"/>
          <w:szCs w:val="24"/>
        </w:rPr>
        <w:t xml:space="preserve">Permit their employees to make contributions through payroll deductions from pre-tax income [traditional 401(k) plans]; tax is applied when withdrawals are taken </w:t>
      </w:r>
    </w:p>
    <w:p w14:paraId="4D94ACA4" w14:textId="77777777" w:rsidR="0055262D" w:rsidRPr="00034E2D" w:rsidRDefault="0055262D" w:rsidP="003E7B18">
      <w:pPr>
        <w:numPr>
          <w:ilvl w:val="0"/>
          <w:numId w:val="235"/>
        </w:numPr>
        <w:rPr>
          <w:sz w:val="24"/>
          <w:szCs w:val="24"/>
        </w:rPr>
      </w:pPr>
      <w:r w:rsidRPr="00034E2D">
        <w:rPr>
          <w:sz w:val="24"/>
          <w:szCs w:val="24"/>
        </w:rPr>
        <w:t xml:space="preserve">Roth 401(k) plans permit employees to make contributions through payroll from after-tax dollars; there is no tax on withdrawals made after age 59 1/2 and if the Roth 401(k) has been open 5 years or longer </w:t>
      </w:r>
    </w:p>
    <w:p w14:paraId="5BAFDFD3" w14:textId="77777777" w:rsidR="0055262D" w:rsidRPr="00034E2D" w:rsidRDefault="0055262D" w:rsidP="003E7B18">
      <w:pPr>
        <w:numPr>
          <w:ilvl w:val="0"/>
          <w:numId w:val="235"/>
        </w:numPr>
        <w:rPr>
          <w:sz w:val="24"/>
          <w:szCs w:val="24"/>
        </w:rPr>
      </w:pPr>
      <w:r w:rsidRPr="00034E2D">
        <w:rPr>
          <w:sz w:val="24"/>
          <w:szCs w:val="24"/>
        </w:rPr>
        <w:t xml:space="preserve">Both traditional and Roth 401(k) plans can be rolled over to an IRA (or a new employer's plan, if the plan permits) if the investor leaves the company </w:t>
      </w:r>
    </w:p>
    <w:p w14:paraId="052A901A" w14:textId="77777777" w:rsidR="0055262D" w:rsidRPr="00034E2D" w:rsidRDefault="0055262D" w:rsidP="003E7B18">
      <w:pPr>
        <w:numPr>
          <w:ilvl w:val="0"/>
          <w:numId w:val="235"/>
        </w:numPr>
        <w:rPr>
          <w:sz w:val="24"/>
          <w:szCs w:val="24"/>
        </w:rPr>
      </w:pPr>
      <w:r w:rsidRPr="00034E2D">
        <w:rPr>
          <w:sz w:val="24"/>
          <w:szCs w:val="24"/>
        </w:rPr>
        <w:t>No mandatory withdrawals for Roth 401(k) plans; mandatory scheduled withdrawals apply to traditional 401(k) plans</w:t>
      </w:r>
      <w:r w:rsidR="000A6EEE">
        <w:rPr>
          <w:sz w:val="24"/>
          <w:szCs w:val="24"/>
        </w:rPr>
        <w:t>.</w:t>
      </w:r>
    </w:p>
    <w:p w14:paraId="4CE6DEE1" w14:textId="77777777" w:rsidR="0055262D" w:rsidRPr="00034E2D" w:rsidRDefault="0055262D" w:rsidP="0055262D"/>
    <w:p w14:paraId="500148BC" w14:textId="77777777" w:rsidR="0055262D" w:rsidRPr="000A6EEE" w:rsidRDefault="00E66B0D" w:rsidP="000A6EEE">
      <w:pPr>
        <w:ind w:firstLine="270"/>
        <w:rPr>
          <w:b/>
          <w:sz w:val="24"/>
          <w:szCs w:val="24"/>
        </w:rPr>
      </w:pPr>
      <w:r w:rsidRPr="000A6EEE">
        <w:rPr>
          <w:b/>
          <w:sz w:val="24"/>
          <w:szCs w:val="24"/>
        </w:rPr>
        <w:t>403(b) Plans</w:t>
      </w:r>
    </w:p>
    <w:p w14:paraId="5C503CD2" w14:textId="77777777" w:rsidR="00D87EF3" w:rsidRPr="00034E2D" w:rsidRDefault="00D87EF3" w:rsidP="00D87EF3">
      <w:pPr>
        <w:ind w:left="270"/>
        <w:rPr>
          <w:sz w:val="24"/>
          <w:szCs w:val="24"/>
        </w:rPr>
      </w:pPr>
      <w:r w:rsidRPr="00034E2D">
        <w:rPr>
          <w:sz w:val="24"/>
          <w:szCs w:val="24"/>
        </w:rPr>
        <w:t>A 403(b) plan is a salary reduction plan offered by non-profit, tax-exempt employers such as schools and colleges, hospitals, and foundations. Individual accounts in a 403(b) plan invest in two categories of investments:</w:t>
      </w:r>
    </w:p>
    <w:p w14:paraId="0D3A2D0B" w14:textId="77777777" w:rsidR="00D87EF3" w:rsidRPr="00034E2D" w:rsidRDefault="00D87EF3" w:rsidP="003E7B18">
      <w:pPr>
        <w:numPr>
          <w:ilvl w:val="0"/>
          <w:numId w:val="236"/>
        </w:numPr>
        <w:tabs>
          <w:tab w:val="clear" w:pos="720"/>
          <w:tab w:val="num" w:pos="810"/>
        </w:tabs>
        <w:ind w:hanging="180"/>
        <w:rPr>
          <w:sz w:val="24"/>
          <w:szCs w:val="24"/>
        </w:rPr>
      </w:pPr>
      <w:r w:rsidRPr="00034E2D">
        <w:rPr>
          <w:sz w:val="24"/>
          <w:szCs w:val="24"/>
        </w:rPr>
        <w:t xml:space="preserve">An annuity contract provided through an insurance company (fixed or variable) </w:t>
      </w:r>
    </w:p>
    <w:p w14:paraId="0BDEAFEE" w14:textId="77777777" w:rsidR="00D87EF3" w:rsidRPr="00034E2D" w:rsidRDefault="00D87EF3" w:rsidP="003E7B18">
      <w:pPr>
        <w:numPr>
          <w:ilvl w:val="0"/>
          <w:numId w:val="236"/>
        </w:numPr>
        <w:tabs>
          <w:tab w:val="clear" w:pos="720"/>
          <w:tab w:val="num" w:pos="810"/>
        </w:tabs>
        <w:ind w:hanging="180"/>
        <w:rPr>
          <w:sz w:val="24"/>
          <w:szCs w:val="24"/>
        </w:rPr>
      </w:pPr>
      <w:r w:rsidRPr="00034E2D">
        <w:rPr>
          <w:sz w:val="24"/>
          <w:szCs w:val="24"/>
        </w:rPr>
        <w:t>Mutual funds</w:t>
      </w:r>
    </w:p>
    <w:p w14:paraId="790FE206" w14:textId="77777777" w:rsidR="0025521E" w:rsidRPr="00034E2D" w:rsidRDefault="0025521E" w:rsidP="00D87EF3">
      <w:pPr>
        <w:ind w:firstLine="270"/>
        <w:rPr>
          <w:sz w:val="24"/>
          <w:szCs w:val="24"/>
        </w:rPr>
      </w:pPr>
    </w:p>
    <w:p w14:paraId="715EF298" w14:textId="77777777" w:rsidR="00D87EF3" w:rsidRPr="00034E2D" w:rsidRDefault="00D87EF3" w:rsidP="00D87EF3">
      <w:pPr>
        <w:ind w:firstLine="270"/>
        <w:rPr>
          <w:sz w:val="24"/>
          <w:szCs w:val="24"/>
        </w:rPr>
      </w:pPr>
      <w:r w:rsidRPr="00034E2D">
        <w:rPr>
          <w:sz w:val="24"/>
          <w:szCs w:val="24"/>
        </w:rPr>
        <w:t>Features include:</w:t>
      </w:r>
    </w:p>
    <w:p w14:paraId="628D9924" w14:textId="77777777" w:rsidR="00D87EF3" w:rsidRPr="00034E2D" w:rsidRDefault="00D87EF3" w:rsidP="003E7B18">
      <w:pPr>
        <w:numPr>
          <w:ilvl w:val="0"/>
          <w:numId w:val="237"/>
        </w:numPr>
        <w:tabs>
          <w:tab w:val="clear" w:pos="720"/>
          <w:tab w:val="num" w:pos="810"/>
        </w:tabs>
        <w:ind w:hanging="180"/>
        <w:rPr>
          <w:sz w:val="24"/>
          <w:szCs w:val="24"/>
        </w:rPr>
      </w:pPr>
      <w:r w:rsidRPr="00034E2D">
        <w:rPr>
          <w:sz w:val="24"/>
          <w:szCs w:val="24"/>
        </w:rPr>
        <w:t xml:space="preserve">Individuals cannot establish 403(b) accounts; only employers may set up accounts </w:t>
      </w:r>
    </w:p>
    <w:p w14:paraId="6D38F7E1" w14:textId="77777777" w:rsidR="00D87EF3" w:rsidRPr="00034E2D" w:rsidRDefault="00D87EF3" w:rsidP="003E7B18">
      <w:pPr>
        <w:numPr>
          <w:ilvl w:val="0"/>
          <w:numId w:val="237"/>
        </w:numPr>
        <w:tabs>
          <w:tab w:val="clear" w:pos="720"/>
          <w:tab w:val="num" w:pos="810"/>
        </w:tabs>
        <w:ind w:hanging="180"/>
        <w:rPr>
          <w:sz w:val="24"/>
          <w:szCs w:val="24"/>
        </w:rPr>
      </w:pPr>
      <w:r w:rsidRPr="00034E2D">
        <w:rPr>
          <w:sz w:val="24"/>
          <w:szCs w:val="24"/>
        </w:rPr>
        <w:t xml:space="preserve">For non-Roth plans: </w:t>
      </w:r>
    </w:p>
    <w:p w14:paraId="3D8A71F8" w14:textId="77777777" w:rsidR="00D87EF3" w:rsidRPr="00034E2D" w:rsidRDefault="00D87EF3" w:rsidP="003E7B18">
      <w:pPr>
        <w:numPr>
          <w:ilvl w:val="1"/>
          <w:numId w:val="237"/>
        </w:numPr>
        <w:rPr>
          <w:sz w:val="24"/>
          <w:szCs w:val="24"/>
        </w:rPr>
      </w:pPr>
      <w:r w:rsidRPr="00034E2D">
        <w:rPr>
          <w:sz w:val="24"/>
          <w:szCs w:val="24"/>
        </w:rPr>
        <w:t xml:space="preserve">Employees make pre-tax contributions and employers sometimes match contributions </w:t>
      </w:r>
    </w:p>
    <w:p w14:paraId="0342FB0F" w14:textId="77777777" w:rsidR="00D87EF3" w:rsidRPr="00034E2D" w:rsidRDefault="00D87EF3" w:rsidP="003E7B18">
      <w:pPr>
        <w:numPr>
          <w:ilvl w:val="1"/>
          <w:numId w:val="237"/>
        </w:numPr>
        <w:rPr>
          <w:sz w:val="24"/>
          <w:szCs w:val="24"/>
        </w:rPr>
      </w:pPr>
      <w:r w:rsidRPr="00034E2D">
        <w:rPr>
          <w:sz w:val="24"/>
          <w:szCs w:val="24"/>
        </w:rPr>
        <w:t xml:space="preserve">Tax on contributions and earnings and gains on investments are paid when the investor begins withdrawing funds </w:t>
      </w:r>
    </w:p>
    <w:p w14:paraId="3BA61843" w14:textId="32F55367" w:rsidR="00D87EF3" w:rsidRPr="00034E2D" w:rsidRDefault="00D87EF3" w:rsidP="003E7B18">
      <w:pPr>
        <w:numPr>
          <w:ilvl w:val="1"/>
          <w:numId w:val="237"/>
        </w:numPr>
        <w:rPr>
          <w:sz w:val="24"/>
          <w:szCs w:val="24"/>
        </w:rPr>
      </w:pPr>
      <w:r w:rsidRPr="00034E2D">
        <w:rPr>
          <w:sz w:val="24"/>
          <w:szCs w:val="24"/>
        </w:rPr>
        <w:t>Mandatory withdrawals after age 7</w:t>
      </w:r>
      <w:r w:rsidRPr="00CC601C">
        <w:rPr>
          <w:sz w:val="24"/>
          <w:szCs w:val="24"/>
        </w:rPr>
        <w:t>2</w:t>
      </w:r>
    </w:p>
    <w:p w14:paraId="6DFD8374" w14:textId="77777777" w:rsidR="00D87EF3" w:rsidRPr="00034E2D" w:rsidRDefault="00D87EF3" w:rsidP="003E7B18">
      <w:pPr>
        <w:numPr>
          <w:ilvl w:val="0"/>
          <w:numId w:val="237"/>
        </w:numPr>
        <w:tabs>
          <w:tab w:val="clear" w:pos="720"/>
          <w:tab w:val="num" w:pos="810"/>
        </w:tabs>
        <w:ind w:left="810" w:hanging="270"/>
        <w:rPr>
          <w:sz w:val="24"/>
          <w:szCs w:val="24"/>
        </w:rPr>
      </w:pPr>
      <w:r w:rsidRPr="00034E2D">
        <w:rPr>
          <w:sz w:val="24"/>
          <w:szCs w:val="24"/>
        </w:rPr>
        <w:t xml:space="preserve">If the plan is a Roth contribution plan, tax is paid on contributions to the plan but withdrawals are not taxed; no mandatory withdrawals </w:t>
      </w:r>
    </w:p>
    <w:p w14:paraId="31A8E411" w14:textId="77777777" w:rsidR="00D87EF3" w:rsidRPr="00034E2D" w:rsidRDefault="00D87EF3" w:rsidP="003E7B18">
      <w:pPr>
        <w:numPr>
          <w:ilvl w:val="0"/>
          <w:numId w:val="237"/>
        </w:numPr>
        <w:tabs>
          <w:tab w:val="clear" w:pos="720"/>
          <w:tab w:val="num" w:pos="810"/>
        </w:tabs>
        <w:ind w:left="810" w:hanging="270"/>
        <w:rPr>
          <w:sz w:val="24"/>
          <w:szCs w:val="24"/>
        </w:rPr>
      </w:pPr>
      <w:r w:rsidRPr="00034E2D">
        <w:rPr>
          <w:sz w:val="24"/>
          <w:szCs w:val="24"/>
        </w:rPr>
        <w:t>Some 403(b) plans impose steep surrender charges</w:t>
      </w:r>
    </w:p>
    <w:p w14:paraId="37421B72" w14:textId="77777777" w:rsidR="00E66B0D" w:rsidRPr="00034E2D" w:rsidRDefault="00E66B0D" w:rsidP="0025521E"/>
    <w:p w14:paraId="7E23B1E3" w14:textId="77777777" w:rsidR="0025521E" w:rsidRPr="000A6EEE" w:rsidRDefault="007812F1" w:rsidP="000A6EEE">
      <w:pPr>
        <w:ind w:firstLine="270"/>
        <w:rPr>
          <w:b/>
          <w:sz w:val="24"/>
          <w:szCs w:val="24"/>
        </w:rPr>
      </w:pPr>
      <w:r w:rsidRPr="000A6EEE">
        <w:rPr>
          <w:b/>
          <w:sz w:val="24"/>
          <w:szCs w:val="24"/>
        </w:rPr>
        <w:lastRenderedPageBreak/>
        <w:t>457 Plans</w:t>
      </w:r>
    </w:p>
    <w:p w14:paraId="3A6C4AA0" w14:textId="77777777" w:rsidR="007812F1" w:rsidRPr="00034E2D" w:rsidRDefault="007812F1" w:rsidP="007812F1">
      <w:pPr>
        <w:ind w:left="270"/>
        <w:rPr>
          <w:sz w:val="24"/>
          <w:szCs w:val="24"/>
        </w:rPr>
      </w:pPr>
      <w:r w:rsidRPr="00034E2D">
        <w:rPr>
          <w:sz w:val="24"/>
          <w:szCs w:val="24"/>
        </w:rPr>
        <w:t>These plans are offered by a state or local government or a non-profit organization. A 457 plan is a deferred compensation plan similar to 401(k) or 403(b) plans.</w:t>
      </w:r>
    </w:p>
    <w:p w14:paraId="6777AB06" w14:textId="77777777" w:rsidR="007812F1" w:rsidRPr="00034E2D" w:rsidRDefault="007812F1" w:rsidP="003E7B18">
      <w:pPr>
        <w:numPr>
          <w:ilvl w:val="0"/>
          <w:numId w:val="238"/>
        </w:numPr>
        <w:tabs>
          <w:tab w:val="clear" w:pos="720"/>
          <w:tab w:val="num" w:pos="810"/>
        </w:tabs>
        <w:ind w:left="810" w:hanging="270"/>
        <w:rPr>
          <w:sz w:val="24"/>
          <w:szCs w:val="24"/>
        </w:rPr>
      </w:pPr>
      <w:r w:rsidRPr="00034E2D">
        <w:rPr>
          <w:sz w:val="24"/>
          <w:szCs w:val="24"/>
        </w:rPr>
        <w:t xml:space="preserve">Pre-tax income is contributed </w:t>
      </w:r>
    </w:p>
    <w:p w14:paraId="74E8E948" w14:textId="77777777" w:rsidR="007812F1" w:rsidRPr="00034E2D" w:rsidRDefault="007812F1" w:rsidP="003E7B18">
      <w:pPr>
        <w:numPr>
          <w:ilvl w:val="0"/>
          <w:numId w:val="238"/>
        </w:numPr>
        <w:tabs>
          <w:tab w:val="clear" w:pos="720"/>
          <w:tab w:val="num" w:pos="810"/>
        </w:tabs>
        <w:ind w:left="810" w:hanging="270"/>
        <w:rPr>
          <w:sz w:val="24"/>
          <w:szCs w:val="24"/>
        </w:rPr>
      </w:pPr>
      <w:r w:rsidRPr="00034E2D">
        <w:rPr>
          <w:sz w:val="24"/>
          <w:szCs w:val="24"/>
        </w:rPr>
        <w:t xml:space="preserve">No tax on contributions; withdrawals are subject to tax </w:t>
      </w:r>
    </w:p>
    <w:p w14:paraId="264A62C6" w14:textId="77777777" w:rsidR="007812F1" w:rsidRPr="00034E2D" w:rsidRDefault="007812F1" w:rsidP="003E7B18">
      <w:pPr>
        <w:numPr>
          <w:ilvl w:val="0"/>
          <w:numId w:val="238"/>
        </w:numPr>
        <w:tabs>
          <w:tab w:val="clear" w:pos="720"/>
          <w:tab w:val="num" w:pos="810"/>
        </w:tabs>
        <w:ind w:left="810" w:hanging="270"/>
        <w:rPr>
          <w:sz w:val="24"/>
          <w:szCs w:val="24"/>
        </w:rPr>
      </w:pPr>
      <w:r w:rsidRPr="00034E2D">
        <w:rPr>
          <w:sz w:val="24"/>
          <w:szCs w:val="24"/>
        </w:rPr>
        <w:t xml:space="preserve">Technically the portion of salary contributed to the plan is not owned by the employee; the plan sponsor owns all of the 457 plan assets which are held in trust for the employee in an account set up in the employee's name </w:t>
      </w:r>
    </w:p>
    <w:p w14:paraId="0EBC03E6" w14:textId="1C350275" w:rsidR="007812F1" w:rsidRPr="00034E2D" w:rsidRDefault="007812F1" w:rsidP="003E7B18">
      <w:pPr>
        <w:numPr>
          <w:ilvl w:val="0"/>
          <w:numId w:val="238"/>
        </w:numPr>
        <w:tabs>
          <w:tab w:val="clear" w:pos="720"/>
          <w:tab w:val="num" w:pos="810"/>
        </w:tabs>
        <w:ind w:left="810" w:hanging="270"/>
        <w:rPr>
          <w:sz w:val="24"/>
          <w:szCs w:val="24"/>
        </w:rPr>
      </w:pPr>
      <w:r w:rsidRPr="00034E2D">
        <w:rPr>
          <w:sz w:val="24"/>
          <w:szCs w:val="24"/>
        </w:rPr>
        <w:t>Mandatory withdrawals after age 7</w:t>
      </w:r>
      <w:r w:rsidRPr="00721484">
        <w:rPr>
          <w:color w:val="FF0000"/>
          <w:sz w:val="24"/>
          <w:szCs w:val="24"/>
        </w:rPr>
        <w:t>2</w:t>
      </w:r>
      <w:r w:rsidRPr="00034E2D">
        <w:rPr>
          <w:sz w:val="24"/>
          <w:szCs w:val="24"/>
        </w:rPr>
        <w:t xml:space="preserve"> </w:t>
      </w:r>
    </w:p>
    <w:p w14:paraId="5DEE4A59" w14:textId="77777777" w:rsidR="007812F1" w:rsidRPr="00034E2D" w:rsidRDefault="007812F1" w:rsidP="003E7B18">
      <w:pPr>
        <w:numPr>
          <w:ilvl w:val="0"/>
          <w:numId w:val="238"/>
        </w:numPr>
        <w:tabs>
          <w:tab w:val="clear" w:pos="720"/>
          <w:tab w:val="num" w:pos="810"/>
        </w:tabs>
        <w:ind w:left="810" w:hanging="270"/>
        <w:rPr>
          <w:sz w:val="24"/>
          <w:szCs w:val="24"/>
        </w:rPr>
      </w:pPr>
      <w:r w:rsidRPr="00034E2D">
        <w:rPr>
          <w:sz w:val="24"/>
          <w:szCs w:val="24"/>
        </w:rPr>
        <w:t xml:space="preserve">No early withdrawal tax penalties if funds are paid to the employee when leaving the job prior to reaching age 59 1/2; withdrawal is subject to normal income tax </w:t>
      </w:r>
    </w:p>
    <w:p w14:paraId="19A7103A" w14:textId="77777777" w:rsidR="007812F1" w:rsidRPr="00034E2D" w:rsidRDefault="007812F1" w:rsidP="003E7B18">
      <w:pPr>
        <w:numPr>
          <w:ilvl w:val="0"/>
          <w:numId w:val="238"/>
        </w:numPr>
        <w:tabs>
          <w:tab w:val="clear" w:pos="720"/>
          <w:tab w:val="num" w:pos="810"/>
        </w:tabs>
        <w:ind w:left="810" w:hanging="270"/>
        <w:rPr>
          <w:sz w:val="24"/>
          <w:szCs w:val="24"/>
        </w:rPr>
      </w:pPr>
      <w:r w:rsidRPr="00034E2D">
        <w:rPr>
          <w:sz w:val="24"/>
          <w:szCs w:val="24"/>
        </w:rPr>
        <w:t>May be rolled over to an IRA or a new employer's plan to retain tax-deferred status</w:t>
      </w:r>
    </w:p>
    <w:p w14:paraId="39263705" w14:textId="77777777" w:rsidR="007812F1" w:rsidRPr="00034E2D" w:rsidRDefault="007812F1" w:rsidP="007812F1">
      <w:pPr>
        <w:ind w:left="270"/>
        <w:rPr>
          <w:sz w:val="24"/>
          <w:szCs w:val="24"/>
        </w:rPr>
      </w:pPr>
    </w:p>
    <w:p w14:paraId="0A198C44" w14:textId="77777777" w:rsidR="007812F1" w:rsidRPr="000A6EEE" w:rsidRDefault="007812F1" w:rsidP="000A6EEE">
      <w:pPr>
        <w:ind w:firstLine="270"/>
        <w:rPr>
          <w:b/>
          <w:sz w:val="24"/>
          <w:szCs w:val="24"/>
        </w:rPr>
      </w:pPr>
      <w:r w:rsidRPr="000A6EEE">
        <w:rPr>
          <w:b/>
          <w:sz w:val="24"/>
          <w:szCs w:val="24"/>
        </w:rPr>
        <w:t xml:space="preserve">SIMPLE Plans (Savings Incentive Match Plans </w:t>
      </w:r>
      <w:r w:rsidR="007F48A7">
        <w:rPr>
          <w:b/>
          <w:sz w:val="24"/>
          <w:szCs w:val="24"/>
        </w:rPr>
        <w:t>f</w:t>
      </w:r>
      <w:r w:rsidRPr="000A6EEE">
        <w:rPr>
          <w:b/>
          <w:sz w:val="24"/>
          <w:szCs w:val="24"/>
        </w:rPr>
        <w:t>or Employees)</w:t>
      </w:r>
    </w:p>
    <w:p w14:paraId="1126D131" w14:textId="77777777" w:rsidR="007812F1" w:rsidRPr="00034E2D" w:rsidRDefault="007812F1" w:rsidP="007812F1">
      <w:pPr>
        <w:ind w:left="270"/>
        <w:rPr>
          <w:sz w:val="24"/>
          <w:szCs w:val="24"/>
        </w:rPr>
      </w:pPr>
      <w:r w:rsidRPr="00034E2D">
        <w:rPr>
          <w:sz w:val="24"/>
          <w:szCs w:val="24"/>
        </w:rPr>
        <w:t>These plans are:</w:t>
      </w:r>
    </w:p>
    <w:p w14:paraId="1933F907" w14:textId="77777777" w:rsidR="007812F1" w:rsidRPr="00034E2D" w:rsidRDefault="007812F1" w:rsidP="003E7B18">
      <w:pPr>
        <w:numPr>
          <w:ilvl w:val="0"/>
          <w:numId w:val="239"/>
        </w:numPr>
        <w:tabs>
          <w:tab w:val="clear" w:pos="720"/>
          <w:tab w:val="num" w:pos="810"/>
        </w:tabs>
        <w:ind w:left="810" w:hanging="270"/>
        <w:rPr>
          <w:sz w:val="24"/>
          <w:szCs w:val="24"/>
        </w:rPr>
      </w:pPr>
      <w:r w:rsidRPr="00034E2D">
        <w:rPr>
          <w:sz w:val="24"/>
          <w:szCs w:val="24"/>
        </w:rPr>
        <w:t xml:space="preserve">Offered by small companies with 100 or fewer employees who earn at least $5,000 each during the year </w:t>
      </w:r>
    </w:p>
    <w:p w14:paraId="79E54C2B" w14:textId="77777777" w:rsidR="007812F1" w:rsidRPr="00034E2D" w:rsidRDefault="007812F1" w:rsidP="003E7B18">
      <w:pPr>
        <w:numPr>
          <w:ilvl w:val="0"/>
          <w:numId w:val="239"/>
        </w:numPr>
        <w:tabs>
          <w:tab w:val="clear" w:pos="720"/>
          <w:tab w:val="num" w:pos="810"/>
        </w:tabs>
        <w:ind w:left="810" w:hanging="270"/>
        <w:rPr>
          <w:sz w:val="24"/>
          <w:szCs w:val="24"/>
        </w:rPr>
      </w:pPr>
      <w:r w:rsidRPr="00034E2D">
        <w:rPr>
          <w:sz w:val="24"/>
          <w:szCs w:val="24"/>
        </w:rPr>
        <w:t xml:space="preserve">Less complicated to set up and administer than 401(k) or 403(b) plans </w:t>
      </w:r>
    </w:p>
    <w:p w14:paraId="6CA80A86" w14:textId="77777777" w:rsidR="007812F1" w:rsidRPr="00034E2D" w:rsidRDefault="007812F1" w:rsidP="003E7B18">
      <w:pPr>
        <w:numPr>
          <w:ilvl w:val="0"/>
          <w:numId w:val="239"/>
        </w:numPr>
        <w:tabs>
          <w:tab w:val="clear" w:pos="720"/>
          <w:tab w:val="num" w:pos="810"/>
        </w:tabs>
        <w:ind w:left="810" w:hanging="270"/>
        <w:rPr>
          <w:sz w:val="24"/>
          <w:szCs w:val="24"/>
        </w:rPr>
      </w:pPr>
      <w:r w:rsidRPr="00034E2D">
        <w:rPr>
          <w:sz w:val="24"/>
          <w:szCs w:val="24"/>
        </w:rPr>
        <w:t xml:space="preserve">Two types: SIMPLE IRA and SIMPLE 401(k), both with same contribution limits and catch-up contributions for people 50 or older </w:t>
      </w:r>
    </w:p>
    <w:p w14:paraId="05A8AF18" w14:textId="77777777" w:rsidR="007812F1" w:rsidRPr="00034E2D" w:rsidRDefault="007812F1" w:rsidP="003E7B18">
      <w:pPr>
        <w:numPr>
          <w:ilvl w:val="0"/>
          <w:numId w:val="239"/>
        </w:numPr>
        <w:tabs>
          <w:tab w:val="clear" w:pos="720"/>
          <w:tab w:val="num" w:pos="810"/>
        </w:tabs>
        <w:ind w:left="810" w:hanging="270"/>
        <w:rPr>
          <w:sz w:val="24"/>
          <w:szCs w:val="24"/>
        </w:rPr>
      </w:pPr>
      <w:r w:rsidRPr="00034E2D">
        <w:rPr>
          <w:sz w:val="24"/>
          <w:szCs w:val="24"/>
        </w:rPr>
        <w:t xml:space="preserve">Employer must contribute to the plan in one of two ways, a fixed contribution or a matching contribution </w:t>
      </w:r>
    </w:p>
    <w:p w14:paraId="3351DB4D" w14:textId="77777777" w:rsidR="007812F1" w:rsidRPr="00034E2D" w:rsidRDefault="007812F1" w:rsidP="003E7B18">
      <w:pPr>
        <w:numPr>
          <w:ilvl w:val="0"/>
          <w:numId w:val="239"/>
        </w:numPr>
        <w:tabs>
          <w:tab w:val="clear" w:pos="720"/>
          <w:tab w:val="num" w:pos="810"/>
        </w:tabs>
        <w:ind w:left="810" w:hanging="270"/>
        <w:rPr>
          <w:sz w:val="24"/>
          <w:szCs w:val="24"/>
        </w:rPr>
      </w:pPr>
      <w:r w:rsidRPr="00034E2D">
        <w:rPr>
          <w:sz w:val="24"/>
          <w:szCs w:val="24"/>
        </w:rPr>
        <w:t>Account must be open for 2 years before the employee can move the money or take it out; early withdrawal is subject to significant tax penalties</w:t>
      </w:r>
    </w:p>
    <w:p w14:paraId="6656D98F" w14:textId="77777777" w:rsidR="007812F1" w:rsidRPr="00034E2D" w:rsidRDefault="007812F1" w:rsidP="007812F1">
      <w:pPr>
        <w:rPr>
          <w:sz w:val="24"/>
          <w:szCs w:val="24"/>
        </w:rPr>
      </w:pPr>
    </w:p>
    <w:p w14:paraId="2CE532D2" w14:textId="7C152E92" w:rsidR="006C1937" w:rsidRPr="000A6EEE" w:rsidRDefault="000A6EEE" w:rsidP="000A6EEE">
      <w:pPr>
        <w:pStyle w:val="Heading3"/>
      </w:pPr>
      <w:r>
        <w:t>5.26.</w:t>
      </w:r>
      <w:r w:rsidR="004F6984">
        <w:t>7</w:t>
      </w:r>
      <w:r>
        <w:t xml:space="preserve"> </w:t>
      </w:r>
      <w:r w:rsidR="006C1937" w:rsidRPr="000A6EEE">
        <w:t>Coverdell Education Savings Accounts</w:t>
      </w:r>
    </w:p>
    <w:p w14:paraId="6FDB5D08" w14:textId="77777777" w:rsidR="006C1937" w:rsidRPr="00C91BA6" w:rsidRDefault="006C1937" w:rsidP="000A6EEE">
      <w:pPr>
        <w:shd w:val="clear" w:color="auto" w:fill="FFFFFF"/>
        <w:ind w:left="270"/>
        <w:rPr>
          <w:sz w:val="24"/>
          <w:szCs w:val="24"/>
        </w:rPr>
      </w:pPr>
      <w:r w:rsidRPr="00C91BA6">
        <w:rPr>
          <w:sz w:val="24"/>
          <w:szCs w:val="24"/>
        </w:rPr>
        <w:t xml:space="preserve">A Coverdell Education Savings Account (ESA) is an account created as an incentive to help parents and students save for education expenses. An alternative is the 529 Savings Plan which is included in the </w:t>
      </w:r>
      <w:r w:rsidRPr="00C91BA6">
        <w:rPr>
          <w:i/>
          <w:iCs/>
          <w:sz w:val="24"/>
          <w:szCs w:val="24"/>
        </w:rPr>
        <w:t>MUNICIPAL TRANSACTIONS</w:t>
      </w:r>
      <w:r w:rsidRPr="00C91BA6">
        <w:rPr>
          <w:sz w:val="24"/>
          <w:szCs w:val="24"/>
        </w:rPr>
        <w:t xml:space="preserve"> chapter in the section </w:t>
      </w:r>
      <w:r w:rsidRPr="00C91BA6">
        <w:rPr>
          <w:i/>
          <w:iCs/>
          <w:sz w:val="24"/>
          <w:szCs w:val="24"/>
        </w:rPr>
        <w:t>Municipal Funds</w:t>
      </w:r>
      <w:r w:rsidRPr="00C91BA6">
        <w:rPr>
          <w:sz w:val="24"/>
          <w:szCs w:val="24"/>
        </w:rPr>
        <w:t>. For more information, refer to the IRS site for plan sponsors; and the customer's tax adviser.</w:t>
      </w:r>
    </w:p>
    <w:p w14:paraId="4D8CE554" w14:textId="77777777" w:rsidR="006C1937" w:rsidRPr="00C91BA6" w:rsidRDefault="006C1937" w:rsidP="000A6EEE">
      <w:pPr>
        <w:shd w:val="clear" w:color="auto" w:fill="FFFFFF"/>
        <w:ind w:left="270"/>
        <w:rPr>
          <w:sz w:val="24"/>
          <w:szCs w:val="24"/>
        </w:rPr>
      </w:pPr>
    </w:p>
    <w:p w14:paraId="3146B73C" w14:textId="77777777" w:rsidR="006C1937" w:rsidRPr="00C91BA6" w:rsidRDefault="006C1937" w:rsidP="000A6EEE">
      <w:pPr>
        <w:shd w:val="clear" w:color="auto" w:fill="FFFFFF"/>
        <w:ind w:left="270"/>
        <w:rPr>
          <w:sz w:val="24"/>
          <w:szCs w:val="24"/>
        </w:rPr>
      </w:pPr>
      <w:r w:rsidRPr="00C91BA6">
        <w:rPr>
          <w:sz w:val="24"/>
          <w:szCs w:val="24"/>
        </w:rPr>
        <w:t>The following summarizes some of the key features of Coverdell accounts.</w:t>
      </w:r>
    </w:p>
    <w:p w14:paraId="00F04BF9" w14:textId="77777777" w:rsidR="006C1937" w:rsidRPr="00C91BA6" w:rsidRDefault="006C1937" w:rsidP="003E7B18">
      <w:pPr>
        <w:numPr>
          <w:ilvl w:val="0"/>
          <w:numId w:val="212"/>
        </w:numPr>
        <w:shd w:val="clear" w:color="auto" w:fill="FFFFFF"/>
        <w:spacing w:before="100" w:beforeAutospacing="1" w:after="100" w:afterAutospacing="1"/>
        <w:rPr>
          <w:sz w:val="24"/>
          <w:szCs w:val="24"/>
        </w:rPr>
      </w:pPr>
      <w:r w:rsidRPr="00C91BA6">
        <w:rPr>
          <w:sz w:val="24"/>
          <w:szCs w:val="24"/>
        </w:rPr>
        <w:t xml:space="preserve">The maximum annual contribution is $2,000 subject to limits on the donor's modified adjusted gross income. </w:t>
      </w:r>
    </w:p>
    <w:p w14:paraId="1D9F3466" w14:textId="77777777" w:rsidR="006C1937" w:rsidRPr="00C91BA6" w:rsidRDefault="006C1937" w:rsidP="003E7B18">
      <w:pPr>
        <w:numPr>
          <w:ilvl w:val="0"/>
          <w:numId w:val="212"/>
        </w:numPr>
        <w:shd w:val="clear" w:color="auto" w:fill="FFFFFF"/>
        <w:spacing w:before="100" w:beforeAutospacing="1" w:after="100" w:afterAutospacing="1"/>
        <w:rPr>
          <w:sz w:val="24"/>
          <w:szCs w:val="24"/>
        </w:rPr>
      </w:pPr>
      <w:r w:rsidRPr="00C91BA6">
        <w:rPr>
          <w:sz w:val="24"/>
          <w:szCs w:val="24"/>
        </w:rPr>
        <w:t xml:space="preserve">Contributions are made from after-tax dollars; there is no tax deduction for contributions. </w:t>
      </w:r>
    </w:p>
    <w:p w14:paraId="7FA9F595" w14:textId="77777777" w:rsidR="006C1937" w:rsidRPr="00C91BA6" w:rsidRDefault="006C1937" w:rsidP="003E7B18">
      <w:pPr>
        <w:numPr>
          <w:ilvl w:val="0"/>
          <w:numId w:val="212"/>
        </w:numPr>
        <w:shd w:val="clear" w:color="auto" w:fill="FFFFFF"/>
        <w:spacing w:before="100" w:beforeAutospacing="1" w:after="100" w:afterAutospacing="1"/>
        <w:rPr>
          <w:sz w:val="24"/>
          <w:szCs w:val="24"/>
        </w:rPr>
      </w:pPr>
      <w:r w:rsidRPr="00C91BA6">
        <w:rPr>
          <w:sz w:val="24"/>
          <w:szCs w:val="24"/>
        </w:rPr>
        <w:t xml:space="preserve">ESAs are available for beneficiaries (students) who are under the age of 18 when the account is established. There are exceptions for beneficiaries with special needs. </w:t>
      </w:r>
    </w:p>
    <w:p w14:paraId="363F5A3D" w14:textId="77777777" w:rsidR="006C1937" w:rsidRPr="00C91BA6" w:rsidRDefault="006C1937" w:rsidP="003E7B18">
      <w:pPr>
        <w:numPr>
          <w:ilvl w:val="0"/>
          <w:numId w:val="212"/>
        </w:numPr>
        <w:shd w:val="clear" w:color="auto" w:fill="FFFFFF"/>
        <w:spacing w:before="100" w:beforeAutospacing="1" w:after="100" w:afterAutospacing="1"/>
        <w:rPr>
          <w:sz w:val="24"/>
          <w:szCs w:val="24"/>
        </w:rPr>
      </w:pPr>
      <w:r w:rsidRPr="00C91BA6">
        <w:rPr>
          <w:sz w:val="24"/>
          <w:szCs w:val="24"/>
        </w:rPr>
        <w:t>The funds are controlled by the account owner (</w:t>
      </w:r>
      <w:r w:rsidRPr="00C91BA6">
        <w:rPr>
          <w:i/>
          <w:iCs/>
          <w:sz w:val="24"/>
          <w:szCs w:val="24"/>
        </w:rPr>
        <w:t>e.g.,</w:t>
      </w:r>
      <w:r w:rsidRPr="00C91BA6">
        <w:rPr>
          <w:sz w:val="24"/>
          <w:szCs w:val="24"/>
        </w:rPr>
        <w:t xml:space="preserve"> the parent) at all times. </w:t>
      </w:r>
    </w:p>
    <w:p w14:paraId="3775B731" w14:textId="77777777" w:rsidR="006C1937" w:rsidRPr="00C91BA6" w:rsidRDefault="006C1937" w:rsidP="003E7B18">
      <w:pPr>
        <w:numPr>
          <w:ilvl w:val="0"/>
          <w:numId w:val="212"/>
        </w:numPr>
        <w:shd w:val="clear" w:color="auto" w:fill="FFFFFF"/>
        <w:spacing w:before="100" w:beforeAutospacing="1" w:after="100" w:afterAutospacing="1"/>
        <w:rPr>
          <w:sz w:val="24"/>
          <w:szCs w:val="24"/>
        </w:rPr>
      </w:pPr>
      <w:r w:rsidRPr="00C91BA6">
        <w:rPr>
          <w:sz w:val="24"/>
          <w:szCs w:val="24"/>
        </w:rPr>
        <w:t xml:space="preserve">Investment choices are broad but may not include life insurance contracts. </w:t>
      </w:r>
    </w:p>
    <w:p w14:paraId="3A01B542" w14:textId="77777777" w:rsidR="006C1937" w:rsidRPr="00C91BA6" w:rsidRDefault="006C1937" w:rsidP="003E7B18">
      <w:pPr>
        <w:numPr>
          <w:ilvl w:val="0"/>
          <w:numId w:val="212"/>
        </w:numPr>
        <w:shd w:val="clear" w:color="auto" w:fill="FFFFFF"/>
        <w:spacing w:before="100" w:beforeAutospacing="1" w:after="100" w:afterAutospacing="1"/>
        <w:rPr>
          <w:sz w:val="24"/>
          <w:szCs w:val="24"/>
        </w:rPr>
      </w:pPr>
      <w:r w:rsidRPr="00C91BA6">
        <w:rPr>
          <w:sz w:val="24"/>
          <w:szCs w:val="24"/>
        </w:rPr>
        <w:t>Assets may be used for elementary- and secondary-school tuition as well as for higher education.</w:t>
      </w:r>
    </w:p>
    <w:p w14:paraId="6E937260" w14:textId="77777777" w:rsidR="006C1937" w:rsidRPr="00C91BA6" w:rsidRDefault="006C1937" w:rsidP="006C1937">
      <w:pPr>
        <w:shd w:val="clear" w:color="auto" w:fill="FFFFFF"/>
        <w:spacing w:before="100" w:beforeAutospacing="1" w:after="100" w:afterAutospacing="1"/>
        <w:rPr>
          <w:sz w:val="24"/>
          <w:szCs w:val="24"/>
        </w:rPr>
      </w:pPr>
      <w:r w:rsidRPr="00C91BA6">
        <w:rPr>
          <w:sz w:val="24"/>
          <w:szCs w:val="24"/>
        </w:rPr>
        <w:t>The following compares some features of Coverdell and 529 plans.</w:t>
      </w:r>
    </w:p>
    <w:p w14:paraId="2997BF11" w14:textId="77777777" w:rsidR="006C1937" w:rsidRPr="00C91BA6" w:rsidRDefault="006C1937" w:rsidP="006C1937">
      <w:pPr>
        <w:shd w:val="clear" w:color="auto" w:fill="FFFFFF"/>
        <w:rPr>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10"/>
        <w:gridCol w:w="4676"/>
        <w:gridCol w:w="2586"/>
      </w:tblGrid>
      <w:tr w:rsidR="006C1937" w:rsidRPr="00C91BA6" w14:paraId="5DC87606" w14:textId="77777777" w:rsidTr="006C19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9C21F" w14:textId="77777777" w:rsidR="006C1937" w:rsidRPr="00C91BA6" w:rsidRDefault="006C1937" w:rsidP="006C1937">
            <w:pPr>
              <w:jc w:val="center"/>
              <w:rPr>
                <w:sz w:val="24"/>
                <w:szCs w:val="24"/>
              </w:rPr>
            </w:pPr>
            <w:r w:rsidRPr="00C91BA6">
              <w:rPr>
                <w:b/>
                <w:bCs/>
                <w:sz w:val="24"/>
                <w:szCs w:val="24"/>
              </w:rPr>
              <w:lastRenderedPageBreak/>
              <w:t>Feature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8FC05" w14:textId="77777777" w:rsidR="006C1937" w:rsidRPr="00C91BA6" w:rsidRDefault="006C1937" w:rsidP="006C1937">
            <w:pPr>
              <w:jc w:val="center"/>
              <w:rPr>
                <w:sz w:val="24"/>
                <w:szCs w:val="24"/>
              </w:rPr>
            </w:pPr>
            <w:r w:rsidRPr="00C91BA6">
              <w:rPr>
                <w:b/>
                <w:bCs/>
                <w:sz w:val="24"/>
                <w:szCs w:val="24"/>
              </w:rPr>
              <w:t>Coverdell Account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94713" w14:textId="77777777" w:rsidR="006C1937" w:rsidRPr="00C91BA6" w:rsidRDefault="006C1937" w:rsidP="006C1937">
            <w:pPr>
              <w:jc w:val="center"/>
              <w:rPr>
                <w:sz w:val="24"/>
                <w:szCs w:val="24"/>
              </w:rPr>
            </w:pPr>
            <w:r w:rsidRPr="00C91BA6">
              <w:rPr>
                <w:b/>
                <w:bCs/>
                <w:sz w:val="24"/>
                <w:szCs w:val="24"/>
              </w:rPr>
              <w:t>529 Plan</w:t>
            </w:r>
          </w:p>
        </w:tc>
      </w:tr>
      <w:tr w:rsidR="006C1937" w:rsidRPr="00C91BA6" w14:paraId="17A9818D" w14:textId="77777777" w:rsidTr="006C19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4A103" w14:textId="77777777" w:rsidR="006C1937" w:rsidRPr="00C91BA6" w:rsidRDefault="006C1937" w:rsidP="006C1937">
            <w:pPr>
              <w:rPr>
                <w:sz w:val="24"/>
                <w:szCs w:val="24"/>
              </w:rPr>
            </w:pPr>
            <w:r w:rsidRPr="00C91BA6">
              <w:rPr>
                <w:sz w:val="24"/>
                <w:szCs w:val="24"/>
              </w:rPr>
              <w:t>Contribution limits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1F251" w14:textId="77777777" w:rsidR="006C1937" w:rsidRPr="00C91BA6" w:rsidRDefault="006C1937" w:rsidP="006C1937">
            <w:pPr>
              <w:rPr>
                <w:sz w:val="24"/>
                <w:szCs w:val="24"/>
              </w:rPr>
            </w:pPr>
            <w:r w:rsidRPr="00C91BA6">
              <w:rPr>
                <w:sz w:val="24"/>
                <w:szCs w:val="24"/>
              </w:rPr>
              <w:t>$2000 annual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9DB94" w14:textId="77777777" w:rsidR="006C1937" w:rsidRPr="00C91BA6" w:rsidRDefault="006C1937" w:rsidP="006C1937">
            <w:pPr>
              <w:rPr>
                <w:sz w:val="24"/>
                <w:szCs w:val="24"/>
              </w:rPr>
            </w:pPr>
            <w:r w:rsidRPr="00C91BA6">
              <w:rPr>
                <w:sz w:val="24"/>
                <w:szCs w:val="24"/>
              </w:rPr>
              <w:t>No restrictions up to maximum lifetime contribution</w:t>
            </w:r>
          </w:p>
        </w:tc>
      </w:tr>
      <w:tr w:rsidR="006C1937" w:rsidRPr="00C91BA6" w14:paraId="0FB439A2" w14:textId="77777777" w:rsidTr="006C19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DBCE52" w14:textId="77777777" w:rsidR="006C1937" w:rsidRPr="00C91BA6" w:rsidRDefault="006C1937" w:rsidP="006C1937">
            <w:pPr>
              <w:rPr>
                <w:sz w:val="24"/>
                <w:szCs w:val="24"/>
              </w:rPr>
            </w:pPr>
            <w:r w:rsidRPr="00C91BA6">
              <w:rPr>
                <w:sz w:val="24"/>
                <w:szCs w:val="24"/>
              </w:rPr>
              <w:t>Allowable investments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7004B" w14:textId="77777777" w:rsidR="006C1937" w:rsidRPr="00C91BA6" w:rsidRDefault="006C1937" w:rsidP="006C1937">
            <w:pPr>
              <w:rPr>
                <w:sz w:val="24"/>
                <w:szCs w:val="24"/>
              </w:rPr>
            </w:pPr>
            <w:r w:rsidRPr="00C91BA6">
              <w:rPr>
                <w:sz w:val="24"/>
                <w:szCs w:val="24"/>
              </w:rPr>
              <w:t>Allows almost all types of investments including stocks, bonds, and mutual funds (parallels rules for IRAs)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33BA7" w14:textId="77777777" w:rsidR="006C1937" w:rsidRPr="00C91BA6" w:rsidRDefault="006C1937" w:rsidP="006C1937">
            <w:pPr>
              <w:rPr>
                <w:sz w:val="24"/>
                <w:szCs w:val="24"/>
              </w:rPr>
            </w:pPr>
            <w:r w:rsidRPr="00C91BA6">
              <w:rPr>
                <w:sz w:val="24"/>
                <w:szCs w:val="24"/>
              </w:rPr>
              <w:t>Limited to state-run allocation programs</w:t>
            </w:r>
          </w:p>
        </w:tc>
      </w:tr>
      <w:tr w:rsidR="006C1937" w:rsidRPr="00C91BA6" w14:paraId="5050DE15" w14:textId="77777777" w:rsidTr="006C19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3A5AA" w14:textId="77777777" w:rsidR="006C1937" w:rsidRPr="00C91BA6" w:rsidRDefault="006C1937" w:rsidP="006C1937">
            <w:pPr>
              <w:rPr>
                <w:sz w:val="24"/>
                <w:szCs w:val="24"/>
              </w:rPr>
            </w:pPr>
            <w:r w:rsidRPr="00C91BA6">
              <w:rPr>
                <w:sz w:val="24"/>
                <w:szCs w:val="24"/>
              </w:rPr>
              <w:t>Distribution of assets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72BDE" w14:textId="77777777" w:rsidR="006C1937" w:rsidRPr="00C91BA6" w:rsidRDefault="006C1937" w:rsidP="006C1937">
            <w:pPr>
              <w:rPr>
                <w:sz w:val="24"/>
                <w:szCs w:val="24"/>
              </w:rPr>
            </w:pPr>
            <w:r w:rsidRPr="00C91BA6">
              <w:rPr>
                <w:sz w:val="24"/>
                <w:szCs w:val="24"/>
              </w:rPr>
              <w:t xml:space="preserve">Must be disbursed on qualified education expenses by the beneficiary's 30th birthday or given to another family member below the age of 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ADDEE" w14:textId="77777777" w:rsidR="006C1937" w:rsidRPr="00C91BA6" w:rsidRDefault="006C1937" w:rsidP="006C1937">
            <w:pPr>
              <w:rPr>
                <w:sz w:val="24"/>
                <w:szCs w:val="24"/>
              </w:rPr>
            </w:pPr>
            <w:r w:rsidRPr="00C91BA6">
              <w:rPr>
                <w:sz w:val="24"/>
                <w:szCs w:val="24"/>
              </w:rPr>
              <w:t xml:space="preserve">No age limit </w:t>
            </w:r>
          </w:p>
        </w:tc>
      </w:tr>
      <w:tr w:rsidR="006C1937" w:rsidRPr="00C91BA6" w14:paraId="09C25838" w14:textId="77777777" w:rsidTr="006C19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4B7AD" w14:textId="77777777" w:rsidR="006C1937" w:rsidRPr="00C91BA6" w:rsidRDefault="006C1937" w:rsidP="006C193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E73ED7" w14:textId="77777777" w:rsidR="006C1937" w:rsidRPr="00C91BA6" w:rsidRDefault="006C1937" w:rsidP="006C1937">
            <w:pPr>
              <w:rPr>
                <w:sz w:val="24"/>
                <w:szCs w:val="24"/>
              </w:rPr>
            </w:pPr>
            <w:r w:rsidRPr="00C91BA6">
              <w:rPr>
                <w:sz w:val="24"/>
                <w:szCs w:val="24"/>
              </w:rPr>
              <w:t xml:space="preserve">Federal tax-free if used for qualified education expenses; some states offer tax benefits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29386" w14:textId="77777777" w:rsidR="006C1937" w:rsidRPr="00C91BA6" w:rsidRDefault="006C1937" w:rsidP="006C1937">
            <w:pPr>
              <w:rPr>
                <w:sz w:val="24"/>
                <w:szCs w:val="24"/>
              </w:rPr>
            </w:pPr>
            <w:r w:rsidRPr="00C91BA6">
              <w:rPr>
                <w:sz w:val="24"/>
                <w:szCs w:val="24"/>
              </w:rPr>
              <w:t>Same</w:t>
            </w:r>
          </w:p>
        </w:tc>
      </w:tr>
      <w:tr w:rsidR="006C1937" w:rsidRPr="00C91BA6" w14:paraId="2225CC70" w14:textId="77777777" w:rsidTr="006C19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F1C54" w14:textId="77777777" w:rsidR="006C1937" w:rsidRPr="00C91BA6" w:rsidRDefault="006C1937" w:rsidP="006C1937">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AEC75D" w14:textId="77777777" w:rsidR="006C1937" w:rsidRPr="00C91BA6" w:rsidRDefault="006C1937" w:rsidP="006C1937">
            <w:pPr>
              <w:rPr>
                <w:sz w:val="24"/>
                <w:szCs w:val="24"/>
              </w:rPr>
            </w:pPr>
            <w:r w:rsidRPr="00C91BA6">
              <w:rPr>
                <w:sz w:val="24"/>
                <w:szCs w:val="24"/>
              </w:rPr>
              <w:t>Income tax and penalties may apply for ineligible distributions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31693" w14:textId="77777777" w:rsidR="006C1937" w:rsidRPr="00C91BA6" w:rsidRDefault="006C1937" w:rsidP="006C1937">
            <w:pPr>
              <w:rPr>
                <w:sz w:val="24"/>
                <w:szCs w:val="24"/>
              </w:rPr>
            </w:pPr>
            <w:r w:rsidRPr="00C91BA6">
              <w:rPr>
                <w:sz w:val="24"/>
                <w:szCs w:val="24"/>
              </w:rPr>
              <w:t>Same</w:t>
            </w:r>
          </w:p>
        </w:tc>
      </w:tr>
      <w:tr w:rsidR="006C1937" w:rsidRPr="00C91BA6" w14:paraId="151E58B3" w14:textId="77777777" w:rsidTr="006C19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209FA9" w14:textId="77777777" w:rsidR="006C1937" w:rsidRPr="00C91BA6" w:rsidRDefault="006C1937" w:rsidP="006C1937">
            <w:pPr>
              <w:rPr>
                <w:sz w:val="24"/>
                <w:szCs w:val="24"/>
              </w:rPr>
            </w:pPr>
            <w:r w:rsidRPr="00C91BA6">
              <w:rPr>
                <w:sz w:val="24"/>
                <w:szCs w:val="24"/>
              </w:rPr>
              <w:t>Qualified 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9C7FF" w14:textId="77777777" w:rsidR="006C1937" w:rsidRPr="00C91BA6" w:rsidRDefault="006C1937" w:rsidP="006C1937">
            <w:pPr>
              <w:rPr>
                <w:sz w:val="24"/>
                <w:szCs w:val="24"/>
              </w:rPr>
            </w:pPr>
            <w:r w:rsidRPr="00C91BA6">
              <w:rPr>
                <w:sz w:val="24"/>
                <w:szCs w:val="24"/>
              </w:rPr>
              <w:t>Elementary and secondary schools; higher 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A64EB" w14:textId="77777777" w:rsidR="006C1937" w:rsidRPr="00C91BA6" w:rsidRDefault="006C1937" w:rsidP="006C1937">
            <w:pPr>
              <w:rPr>
                <w:sz w:val="24"/>
                <w:szCs w:val="24"/>
              </w:rPr>
            </w:pPr>
            <w:r w:rsidRPr="00C91BA6">
              <w:rPr>
                <w:sz w:val="24"/>
                <w:szCs w:val="24"/>
              </w:rPr>
              <w:t>Does not allow elementary and secondary education expenses</w:t>
            </w:r>
          </w:p>
        </w:tc>
      </w:tr>
      <w:tr w:rsidR="006C1937" w:rsidRPr="00C91BA6" w14:paraId="17B12B3D" w14:textId="77777777" w:rsidTr="006C19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D8FE3" w14:textId="77777777" w:rsidR="006C1937" w:rsidRPr="00C91BA6" w:rsidRDefault="006C1937" w:rsidP="006C1937">
            <w:pPr>
              <w:rPr>
                <w:sz w:val="24"/>
                <w:szCs w:val="24"/>
              </w:rPr>
            </w:pPr>
            <w:r w:rsidRPr="00C91BA6">
              <w:rPr>
                <w:sz w:val="24"/>
                <w:szCs w:val="24"/>
              </w:rPr>
              <w:t>Income limits affecting contributions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5CE87" w14:textId="77777777" w:rsidR="006C1937" w:rsidRPr="00C91BA6" w:rsidRDefault="006C1937" w:rsidP="006C1937">
            <w:pPr>
              <w:rPr>
                <w:sz w:val="24"/>
                <w:szCs w:val="24"/>
              </w:rPr>
            </w:pPr>
            <w:r w:rsidRPr="00C91BA6">
              <w:rPr>
                <w:sz w:val="24"/>
                <w:szCs w:val="24"/>
              </w:rPr>
              <w:t>Limits on modified adjusted gross income at certain levels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113CB" w14:textId="77777777" w:rsidR="006C1937" w:rsidRPr="00C91BA6" w:rsidRDefault="006C1937" w:rsidP="006C1937">
            <w:pPr>
              <w:rPr>
                <w:sz w:val="24"/>
                <w:szCs w:val="24"/>
              </w:rPr>
            </w:pPr>
            <w:r w:rsidRPr="00C91BA6">
              <w:rPr>
                <w:sz w:val="24"/>
                <w:szCs w:val="24"/>
              </w:rPr>
              <w:t>No limits</w:t>
            </w:r>
          </w:p>
        </w:tc>
      </w:tr>
      <w:tr w:rsidR="006C1937" w:rsidRPr="00C91BA6" w14:paraId="375B0185" w14:textId="77777777" w:rsidTr="006C19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D48A7F" w14:textId="77777777" w:rsidR="006C1937" w:rsidRPr="00C91BA6" w:rsidRDefault="006C1937" w:rsidP="006C1937">
            <w:pPr>
              <w:rPr>
                <w:sz w:val="24"/>
                <w:szCs w:val="24"/>
              </w:rPr>
            </w:pPr>
            <w:r w:rsidRPr="00C91BA6">
              <w:rPr>
                <w:sz w:val="24"/>
                <w:szCs w:val="24"/>
              </w:rPr>
              <w:t>Ownership of assets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1DA9E" w14:textId="77777777" w:rsidR="006C1937" w:rsidRPr="00C91BA6" w:rsidRDefault="006C1937" w:rsidP="006C1937">
            <w:pPr>
              <w:rPr>
                <w:sz w:val="24"/>
                <w:szCs w:val="24"/>
              </w:rPr>
            </w:pPr>
            <w:r w:rsidRPr="00C91BA6">
              <w:rPr>
                <w:sz w:val="24"/>
                <w:szCs w:val="24"/>
              </w:rPr>
              <w:t>Owned by person establishing the account, not the child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CA6E2" w14:textId="77777777" w:rsidR="006C1937" w:rsidRPr="00C91BA6" w:rsidRDefault="006C1937" w:rsidP="006C1937">
            <w:pPr>
              <w:rPr>
                <w:sz w:val="24"/>
                <w:szCs w:val="24"/>
              </w:rPr>
            </w:pPr>
            <w:r w:rsidRPr="00C91BA6">
              <w:rPr>
                <w:sz w:val="24"/>
                <w:szCs w:val="24"/>
              </w:rPr>
              <w:t>Same</w:t>
            </w:r>
          </w:p>
        </w:tc>
      </w:tr>
      <w:tr w:rsidR="006C1937" w:rsidRPr="00C91BA6" w14:paraId="38967CAF" w14:textId="77777777" w:rsidTr="006C193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5627DB" w14:textId="77777777" w:rsidR="006C1937" w:rsidRPr="00C91BA6" w:rsidRDefault="006C1937" w:rsidP="006C1937">
            <w:pPr>
              <w:rPr>
                <w:sz w:val="24"/>
                <w:szCs w:val="24"/>
              </w:rPr>
            </w:pPr>
            <w:r w:rsidRPr="00C91BA6">
              <w:rPr>
                <w:sz w:val="24"/>
                <w:szCs w:val="24"/>
              </w:rPr>
              <w:t>Designation of new beneficiary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3BC8C" w14:textId="77777777" w:rsidR="006C1937" w:rsidRPr="00C91BA6" w:rsidRDefault="006C1937" w:rsidP="006C1937">
            <w:pPr>
              <w:rPr>
                <w:sz w:val="24"/>
                <w:szCs w:val="24"/>
              </w:rPr>
            </w:pPr>
            <w:r w:rsidRPr="00C91BA6">
              <w:rPr>
                <w:sz w:val="24"/>
                <w:szCs w:val="24"/>
              </w:rPr>
              <w:t>Must be eligible family member of the previous beneficiary to avoid taxes or penalties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52557" w14:textId="77777777" w:rsidR="006C1937" w:rsidRPr="00C91BA6" w:rsidRDefault="006C1937" w:rsidP="006C1937">
            <w:pPr>
              <w:rPr>
                <w:sz w:val="24"/>
                <w:szCs w:val="24"/>
              </w:rPr>
            </w:pPr>
            <w:r w:rsidRPr="00C91BA6">
              <w:rPr>
                <w:sz w:val="24"/>
                <w:szCs w:val="24"/>
              </w:rPr>
              <w:t>Same</w:t>
            </w:r>
          </w:p>
        </w:tc>
      </w:tr>
    </w:tbl>
    <w:p w14:paraId="003A05A4" w14:textId="77777777" w:rsidR="006C1937" w:rsidRDefault="006C1937" w:rsidP="006C1937">
      <w:pPr>
        <w:rPr>
          <w:sz w:val="24"/>
          <w:szCs w:val="24"/>
        </w:rPr>
      </w:pPr>
      <w:r w:rsidRPr="00C91BA6">
        <w:rPr>
          <w:sz w:val="24"/>
          <w:szCs w:val="24"/>
        </w:rPr>
        <w:t> </w:t>
      </w:r>
    </w:p>
    <w:p w14:paraId="4CF723AB" w14:textId="77777777" w:rsidR="007B70FF" w:rsidRDefault="007B70FF" w:rsidP="006C1937">
      <w:pPr>
        <w:rPr>
          <w:sz w:val="24"/>
          <w:szCs w:val="24"/>
        </w:rPr>
      </w:pPr>
    </w:p>
    <w:p w14:paraId="40202EB7" w14:textId="77777777" w:rsidR="00E75A75" w:rsidRDefault="006C1937" w:rsidP="00936FEE">
      <w:pPr>
        <w:pStyle w:val="Heading2"/>
      </w:pPr>
      <w:r>
        <w:t>5.2</w:t>
      </w:r>
      <w:r w:rsidR="000A6EEE">
        <w:t>7</w:t>
      </w:r>
      <w:r>
        <w:t xml:space="preserve"> </w:t>
      </w:r>
      <w:r w:rsidR="006A291E">
        <w:t>Electronic Delivery and Signatures</w:t>
      </w:r>
    </w:p>
    <w:p w14:paraId="2DACF14E" w14:textId="77777777" w:rsidR="006A291E" w:rsidRPr="009F1432" w:rsidRDefault="006A291E" w:rsidP="00B93C85">
      <w:pPr>
        <w:rPr>
          <w:sz w:val="24"/>
        </w:rPr>
      </w:pPr>
      <w:r w:rsidRPr="009F1432">
        <w:rPr>
          <w:sz w:val="24"/>
        </w:rPr>
        <w:t>Federal securities law through the Electronic Signatures in Global and National Commerce Act of 2000 regulates the use of electronic media for transmitting documents and the recording and accepting of electronic signatures.  This section outlines requirements when the Company uses electronic methods of delivery between the Company and its customers and the use of electronic signatures.</w:t>
      </w:r>
    </w:p>
    <w:p w14:paraId="5EB21A78" w14:textId="77777777" w:rsidR="006A291E" w:rsidRPr="009F1432" w:rsidRDefault="006A291E" w:rsidP="006A291E">
      <w:pPr>
        <w:jc w:val="both"/>
        <w:rPr>
          <w:sz w:val="24"/>
        </w:rPr>
      </w:pPr>
    </w:p>
    <w:p w14:paraId="71AE6554" w14:textId="77777777" w:rsidR="006A291E" w:rsidRPr="009F1432" w:rsidRDefault="006A291E" w:rsidP="006A291E">
      <w:pPr>
        <w:pStyle w:val="Heading3"/>
      </w:pPr>
      <w:r w:rsidRPr="009F1432">
        <w:t>5.2</w:t>
      </w:r>
      <w:r w:rsidR="000A6EEE">
        <w:t>7</w:t>
      </w:r>
      <w:r w:rsidRPr="009F1432">
        <w:t>.1 Electronic Delivery to Customers</w:t>
      </w:r>
    </w:p>
    <w:p w14:paraId="4A722B65" w14:textId="77777777" w:rsidR="0068683C" w:rsidRPr="009F1432" w:rsidRDefault="0068683C" w:rsidP="00B93C85">
      <w:pPr>
        <w:ind w:left="270"/>
        <w:rPr>
          <w:sz w:val="24"/>
        </w:rPr>
      </w:pPr>
      <w:r w:rsidRPr="009F1432">
        <w:rPr>
          <w:sz w:val="24"/>
        </w:rPr>
        <w:t>If Company electronically transmits certain documents to customers (other than incidental correspondence or account documents</w:t>
      </w:r>
      <w:r w:rsidR="00FA170F" w:rsidRPr="009F1432">
        <w:rPr>
          <w:sz w:val="24"/>
        </w:rPr>
        <w:t xml:space="preserve"> to complete</w:t>
      </w:r>
      <w:r w:rsidRPr="009F1432">
        <w:rPr>
          <w:sz w:val="24"/>
        </w:rPr>
        <w:t>), the following will apply:</w:t>
      </w:r>
    </w:p>
    <w:p w14:paraId="18F7A07A" w14:textId="77777777" w:rsidR="0068683C" w:rsidRPr="009F1432" w:rsidRDefault="0068683C" w:rsidP="00B93C85">
      <w:pPr>
        <w:ind w:left="270"/>
        <w:rPr>
          <w:sz w:val="24"/>
        </w:rPr>
      </w:pPr>
    </w:p>
    <w:p w14:paraId="6ED4398A" w14:textId="77777777" w:rsidR="006A291E" w:rsidRPr="009F1432" w:rsidRDefault="0068683C" w:rsidP="00C1728B">
      <w:pPr>
        <w:numPr>
          <w:ilvl w:val="0"/>
          <w:numId w:val="129"/>
        </w:numPr>
        <w:ind w:hanging="335"/>
        <w:rPr>
          <w:sz w:val="24"/>
        </w:rPr>
      </w:pPr>
      <w:r w:rsidRPr="009F1432">
        <w:rPr>
          <w:sz w:val="24"/>
        </w:rPr>
        <w:t xml:space="preserve">The customer’s consent will be obtained.  </w:t>
      </w:r>
    </w:p>
    <w:p w14:paraId="5EB05F70" w14:textId="77777777" w:rsidR="0068683C" w:rsidRPr="009F1432" w:rsidRDefault="00F21C0D" w:rsidP="00C1728B">
      <w:pPr>
        <w:numPr>
          <w:ilvl w:val="0"/>
          <w:numId w:val="129"/>
        </w:numPr>
        <w:ind w:hanging="335"/>
        <w:rPr>
          <w:sz w:val="24"/>
        </w:rPr>
      </w:pPr>
      <w:r w:rsidRPr="009F1432">
        <w:rPr>
          <w:sz w:val="24"/>
        </w:rPr>
        <w:t xml:space="preserve"> </w:t>
      </w:r>
      <w:r w:rsidR="0068683C" w:rsidRPr="009F1432">
        <w:rPr>
          <w:sz w:val="24"/>
        </w:rPr>
        <w:t>Notice will be provided to customers that the information is available electronically.</w:t>
      </w:r>
    </w:p>
    <w:p w14:paraId="2F4A32B7" w14:textId="77777777" w:rsidR="0068683C" w:rsidRPr="009F1432" w:rsidRDefault="00FF37EE" w:rsidP="00C1728B">
      <w:pPr>
        <w:numPr>
          <w:ilvl w:val="0"/>
          <w:numId w:val="129"/>
        </w:numPr>
        <w:ind w:hanging="335"/>
        <w:rPr>
          <w:sz w:val="24"/>
        </w:rPr>
      </w:pPr>
      <w:r w:rsidRPr="009F1432">
        <w:rPr>
          <w:sz w:val="24"/>
        </w:rPr>
        <w:t>Customers who are provided electronic delivery have access to the information substantially equivalent</w:t>
      </w:r>
      <w:r w:rsidR="00272EB7" w:rsidRPr="009F1432">
        <w:rPr>
          <w:sz w:val="24"/>
        </w:rPr>
        <w:t xml:space="preserve"> to the paper form.  Customers may also have ready access to the electronic</w:t>
      </w:r>
      <w:r w:rsidR="00F21C0D" w:rsidRPr="009F1432">
        <w:rPr>
          <w:sz w:val="24"/>
        </w:rPr>
        <w:t xml:space="preserve"> documents through downloading or access online.</w:t>
      </w:r>
    </w:p>
    <w:p w14:paraId="4C8866F4" w14:textId="77777777" w:rsidR="00F21C0D" w:rsidRPr="009F1432" w:rsidRDefault="001B72D3" w:rsidP="00C1728B">
      <w:pPr>
        <w:numPr>
          <w:ilvl w:val="0"/>
          <w:numId w:val="129"/>
        </w:numPr>
        <w:ind w:hanging="335"/>
        <w:rPr>
          <w:sz w:val="24"/>
        </w:rPr>
      </w:pPr>
      <w:r w:rsidRPr="009F1432">
        <w:rPr>
          <w:sz w:val="24"/>
        </w:rPr>
        <w:lastRenderedPageBreak/>
        <w:t>Company will maintain any customer’s consent for electronic delivery.</w:t>
      </w:r>
    </w:p>
    <w:p w14:paraId="27E27BA1" w14:textId="77777777" w:rsidR="001B72D3" w:rsidRPr="009F1432" w:rsidRDefault="001B72D3" w:rsidP="00B93C85">
      <w:pPr>
        <w:rPr>
          <w:sz w:val="24"/>
        </w:rPr>
      </w:pPr>
    </w:p>
    <w:p w14:paraId="36AD92ED" w14:textId="77777777" w:rsidR="001B72D3" w:rsidRPr="009F1432" w:rsidRDefault="001B72D3" w:rsidP="00B93C85">
      <w:pPr>
        <w:pStyle w:val="Heading3"/>
        <w:jc w:val="left"/>
      </w:pPr>
      <w:r w:rsidRPr="009F1432">
        <w:t>5.2</w:t>
      </w:r>
      <w:r w:rsidR="000A6EEE">
        <w:t>7</w:t>
      </w:r>
      <w:r w:rsidRPr="009F1432">
        <w:t>.2 Electronic Signatures</w:t>
      </w:r>
    </w:p>
    <w:p w14:paraId="3BEA53DB" w14:textId="03B01938" w:rsidR="001B72D3" w:rsidRPr="00CC601C" w:rsidRDefault="00865AA6" w:rsidP="00B93C85">
      <w:pPr>
        <w:ind w:left="270"/>
        <w:rPr>
          <w:sz w:val="24"/>
          <w:szCs w:val="24"/>
        </w:rPr>
      </w:pPr>
      <w:r w:rsidRPr="009F1432">
        <w:rPr>
          <w:sz w:val="24"/>
          <w:szCs w:val="24"/>
        </w:rPr>
        <w:t xml:space="preserve">Electronic signatures may be used </w:t>
      </w:r>
      <w:r w:rsidR="00B93A18" w:rsidRPr="009F1432">
        <w:rPr>
          <w:sz w:val="24"/>
          <w:szCs w:val="24"/>
        </w:rPr>
        <w:t xml:space="preserve">by designated supervisors to indicate approval/review of new accounts, orders, and other ongoing supervisory reviews.  Electronic signatures may also be used </w:t>
      </w:r>
      <w:r w:rsidR="007B1C72" w:rsidRPr="009F1432">
        <w:rPr>
          <w:sz w:val="24"/>
          <w:szCs w:val="24"/>
        </w:rPr>
        <w:t xml:space="preserve">to capture </w:t>
      </w:r>
      <w:r w:rsidR="00B93A18" w:rsidRPr="009F1432">
        <w:rPr>
          <w:sz w:val="24"/>
          <w:szCs w:val="24"/>
        </w:rPr>
        <w:t xml:space="preserve">customer signatures if an electronic signature pad </w:t>
      </w:r>
      <w:r w:rsidR="007B1C72" w:rsidRPr="009F1432">
        <w:rPr>
          <w:sz w:val="24"/>
          <w:szCs w:val="24"/>
        </w:rPr>
        <w:t xml:space="preserve">is used that </w:t>
      </w:r>
      <w:r w:rsidR="00B93A18" w:rsidRPr="009F1432">
        <w:rPr>
          <w:sz w:val="24"/>
          <w:szCs w:val="24"/>
        </w:rPr>
        <w:t>meets SEC regulations</w:t>
      </w:r>
      <w:r w:rsidR="008A33DB">
        <w:rPr>
          <w:sz w:val="24"/>
          <w:szCs w:val="24"/>
        </w:rPr>
        <w:t xml:space="preserve"> </w:t>
      </w:r>
      <w:r w:rsidR="008A33DB" w:rsidRPr="00CC601C">
        <w:rPr>
          <w:sz w:val="24"/>
          <w:szCs w:val="24"/>
        </w:rPr>
        <w:t>or other industry accepted and secure practices (i.e. DocuSign)</w:t>
      </w:r>
      <w:r w:rsidR="00B93A18" w:rsidRPr="00CC601C">
        <w:rPr>
          <w:sz w:val="24"/>
          <w:szCs w:val="24"/>
        </w:rPr>
        <w:t>.</w:t>
      </w:r>
    </w:p>
    <w:p w14:paraId="279FD685" w14:textId="77777777" w:rsidR="00D70AAB" w:rsidRPr="009F1432" w:rsidRDefault="00D70AAB" w:rsidP="00B93C85">
      <w:pPr>
        <w:ind w:left="270"/>
        <w:rPr>
          <w:sz w:val="24"/>
          <w:szCs w:val="24"/>
        </w:rPr>
      </w:pPr>
    </w:p>
    <w:p w14:paraId="39F57D9D" w14:textId="77777777" w:rsidR="00D70AAB" w:rsidRPr="009F1432" w:rsidRDefault="00D70AAB" w:rsidP="00B93C85">
      <w:pPr>
        <w:pStyle w:val="Heading3"/>
        <w:jc w:val="left"/>
      </w:pPr>
      <w:r w:rsidRPr="009F1432">
        <w:t>5.2</w:t>
      </w:r>
      <w:r w:rsidR="000A6EEE">
        <w:t>7</w:t>
      </w:r>
      <w:r w:rsidR="006500AC">
        <w:t>.</w:t>
      </w:r>
      <w:r w:rsidRPr="009F1432">
        <w:t>3 FINRA Access</w:t>
      </w:r>
    </w:p>
    <w:p w14:paraId="19E0CCF3" w14:textId="77777777" w:rsidR="001B72D3" w:rsidRPr="009F1432" w:rsidRDefault="00D70AAB" w:rsidP="00B93C85">
      <w:pPr>
        <w:ind w:left="270"/>
        <w:rPr>
          <w:sz w:val="24"/>
        </w:rPr>
      </w:pPr>
      <w:r w:rsidRPr="009F1432">
        <w:rPr>
          <w:sz w:val="24"/>
        </w:rPr>
        <w:t>As required by FINRA, FINRA and its staff will have access to downloading and printing of documents</w:t>
      </w:r>
      <w:r w:rsidR="00592152" w:rsidRPr="009F1432">
        <w:rPr>
          <w:sz w:val="24"/>
        </w:rPr>
        <w:t>,</w:t>
      </w:r>
      <w:r w:rsidRPr="009F1432">
        <w:rPr>
          <w:sz w:val="24"/>
        </w:rPr>
        <w:t xml:space="preserve"> </w:t>
      </w:r>
      <w:r w:rsidR="00592152" w:rsidRPr="009F1432">
        <w:rPr>
          <w:sz w:val="24"/>
        </w:rPr>
        <w:t xml:space="preserve">when requested, </w:t>
      </w:r>
      <w:r w:rsidRPr="009F1432">
        <w:rPr>
          <w:sz w:val="24"/>
        </w:rPr>
        <w:t xml:space="preserve">which will have appropriate references for ready access.  </w:t>
      </w:r>
    </w:p>
    <w:p w14:paraId="602342BE" w14:textId="77777777" w:rsidR="00062A0A" w:rsidRPr="009F1432" w:rsidRDefault="00062A0A" w:rsidP="00D70AAB">
      <w:pPr>
        <w:ind w:left="270"/>
        <w:jc w:val="both"/>
        <w:rPr>
          <w:sz w:val="24"/>
        </w:rPr>
      </w:pPr>
    </w:p>
    <w:p w14:paraId="43C46344" w14:textId="77777777" w:rsidR="00D70AAB" w:rsidRPr="009F1432" w:rsidRDefault="00D70AAB" w:rsidP="001B72D3">
      <w:pPr>
        <w:jc w:val="both"/>
        <w:rPr>
          <w:sz w:val="24"/>
        </w:rPr>
      </w:pPr>
    </w:p>
    <w:p w14:paraId="60210549" w14:textId="77777777" w:rsidR="007C6877" w:rsidRPr="009F1432" w:rsidRDefault="00E75A75" w:rsidP="00936FEE">
      <w:pPr>
        <w:pStyle w:val="Heading2"/>
      </w:pPr>
      <w:bookmarkStart w:id="91" w:name="ExhibitL"/>
      <w:bookmarkStart w:id="92" w:name="CustomerComplaints"/>
      <w:r w:rsidRPr="009F1432">
        <w:t>5.2</w:t>
      </w:r>
      <w:r w:rsidR="000A6EEE">
        <w:t>8</w:t>
      </w:r>
      <w:r w:rsidRPr="009F1432">
        <w:t xml:space="preserve"> Customer Complaints</w:t>
      </w:r>
    </w:p>
    <w:bookmarkEnd w:id="91"/>
    <w:bookmarkEnd w:id="92"/>
    <w:p w14:paraId="6DD4BCB3" w14:textId="77777777" w:rsidR="0094706E" w:rsidRPr="00034E2D" w:rsidRDefault="0094706E" w:rsidP="0094706E">
      <w:r w:rsidRPr="00034E2D">
        <w:rPr>
          <w:sz w:val="24"/>
          <w:szCs w:val="24"/>
        </w:rPr>
        <w:t>"Complaint" is defined as any written statement by a customer or a person acting on behalf of a customer alleging a grievance involving the activities of a person under the broker-dealer's control in connection with the solicitation or execution of any transaction or the disposition of securities or funds of that customer.   Each office where Company regularly conducts business (handles funds or securities, solicits or accepts customer orders) will maintain a separate file of all written customer complaints.  Records of options complaints will be maintained in a separate file</w:t>
      </w:r>
      <w:r w:rsidR="00A803A8" w:rsidRPr="00034E2D">
        <w:rPr>
          <w:sz w:val="24"/>
          <w:szCs w:val="24"/>
        </w:rPr>
        <w:t>, if applicable,</w:t>
      </w:r>
      <w:r w:rsidRPr="00034E2D">
        <w:rPr>
          <w:sz w:val="24"/>
          <w:szCs w:val="24"/>
        </w:rPr>
        <w:t xml:space="preserve"> (or are separately identifiable) in Compliance and in the office that is the subject of the complaint</w:t>
      </w:r>
      <w:r w:rsidRPr="00034E2D">
        <w:t>.</w:t>
      </w:r>
    </w:p>
    <w:p w14:paraId="1558108C" w14:textId="77777777" w:rsidR="0094706E" w:rsidRDefault="0094706E" w:rsidP="000170F4">
      <w:pPr>
        <w:jc w:val="both"/>
        <w:rPr>
          <w:sz w:val="24"/>
        </w:rPr>
      </w:pPr>
    </w:p>
    <w:p w14:paraId="6E7F8587" w14:textId="77777777" w:rsidR="000170F4" w:rsidRPr="00D949D0" w:rsidRDefault="000170F4" w:rsidP="000170F4">
      <w:pPr>
        <w:jc w:val="both"/>
        <w:rPr>
          <w:sz w:val="24"/>
        </w:rPr>
      </w:pPr>
      <w:r w:rsidRPr="009F1432">
        <w:rPr>
          <w:sz w:val="24"/>
        </w:rPr>
        <w:t xml:space="preserve">With respect to customer complaints, any complaint directed to or uncovered by Morris Monroe will be entered as a matter of record and will be kept in the corporate office.  Morris Monroe </w:t>
      </w:r>
      <w:r w:rsidR="00EA05D0" w:rsidRPr="009F1432">
        <w:rPr>
          <w:sz w:val="24"/>
        </w:rPr>
        <w:t xml:space="preserve">or Compliance </w:t>
      </w:r>
      <w:r w:rsidRPr="009F1432">
        <w:rPr>
          <w:sz w:val="24"/>
        </w:rPr>
        <w:t xml:space="preserve">shall be responsible for maintaining a record of all customer complaints and the disposition of same. Morris Monroe will have the absolute right to determine the disposition of all customer complaints. </w:t>
      </w:r>
      <w:r w:rsidR="00EA05D0" w:rsidRPr="009F1432">
        <w:rPr>
          <w:sz w:val="24"/>
        </w:rPr>
        <w:t>Company will file any quarterly report of complaints with FINRA</w:t>
      </w:r>
      <w:r w:rsidR="003757BA">
        <w:rPr>
          <w:sz w:val="24"/>
        </w:rPr>
        <w:t xml:space="preserve"> </w:t>
      </w:r>
      <w:r w:rsidR="003757BA" w:rsidRPr="00D949D0">
        <w:rPr>
          <w:sz w:val="24"/>
        </w:rPr>
        <w:t>through their electronic filing system</w:t>
      </w:r>
      <w:r w:rsidR="00EA05D0" w:rsidRPr="00D949D0">
        <w:rPr>
          <w:sz w:val="24"/>
        </w:rPr>
        <w:t>.</w:t>
      </w:r>
    </w:p>
    <w:p w14:paraId="2D326E80" w14:textId="77777777" w:rsidR="009527F2" w:rsidRPr="009F1432" w:rsidRDefault="009527F2" w:rsidP="000170F4">
      <w:pPr>
        <w:jc w:val="both"/>
        <w:rPr>
          <w:sz w:val="24"/>
        </w:rPr>
      </w:pPr>
    </w:p>
    <w:p w14:paraId="02C5F20E" w14:textId="77777777" w:rsidR="000170F4" w:rsidRPr="009F1432" w:rsidRDefault="000170F4" w:rsidP="000170F4">
      <w:pPr>
        <w:jc w:val="both"/>
        <w:rPr>
          <w:sz w:val="24"/>
        </w:rPr>
      </w:pPr>
      <w:r w:rsidRPr="009F1432">
        <w:rPr>
          <w:sz w:val="24"/>
        </w:rPr>
        <w:t xml:space="preserve">Further, it shall be the responsibility of Morris Monroe </w:t>
      </w:r>
      <w:r w:rsidR="004E1925" w:rsidRPr="009F1432">
        <w:rPr>
          <w:sz w:val="24"/>
        </w:rPr>
        <w:t xml:space="preserve">or Compliance </w:t>
      </w:r>
      <w:r w:rsidRPr="009F1432">
        <w:rPr>
          <w:sz w:val="24"/>
        </w:rPr>
        <w:t xml:space="preserve">to timely report all customer complaint information and other specified events, electronically, to the FINRA/CRD in accordance with </w:t>
      </w:r>
      <w:r w:rsidR="00AF4290" w:rsidRPr="009F1432">
        <w:rPr>
          <w:sz w:val="24"/>
        </w:rPr>
        <w:t xml:space="preserve">FINRA </w:t>
      </w:r>
      <w:r w:rsidRPr="009F1432">
        <w:rPr>
          <w:sz w:val="24"/>
        </w:rPr>
        <w:t xml:space="preserve">Rule </w:t>
      </w:r>
      <w:r w:rsidR="00AF4290" w:rsidRPr="009F1432">
        <w:rPr>
          <w:sz w:val="24"/>
        </w:rPr>
        <w:t>4530</w:t>
      </w:r>
      <w:r w:rsidR="00F54D04">
        <w:rPr>
          <w:sz w:val="24"/>
        </w:rPr>
        <w:t xml:space="preserve"> </w:t>
      </w:r>
      <w:r w:rsidR="004E1925" w:rsidRPr="009F1432">
        <w:rPr>
          <w:sz w:val="24"/>
        </w:rPr>
        <w:t xml:space="preserve">in addition to any applicable Form </w:t>
      </w:r>
      <w:r w:rsidR="00EA05D0" w:rsidRPr="009F1432">
        <w:rPr>
          <w:sz w:val="24"/>
        </w:rPr>
        <w:t xml:space="preserve">BD and/or </w:t>
      </w:r>
      <w:r w:rsidR="004E1925" w:rsidRPr="009F1432">
        <w:rPr>
          <w:sz w:val="24"/>
        </w:rPr>
        <w:t>U-4 or U-5 filing/amendment</w:t>
      </w:r>
      <w:r w:rsidRPr="009F1432">
        <w:rPr>
          <w:sz w:val="24"/>
        </w:rPr>
        <w:t xml:space="preserve">.  In this regard, on behalf of the Company, </w:t>
      </w:r>
      <w:r w:rsidR="00AF4290" w:rsidRPr="009F1432">
        <w:rPr>
          <w:sz w:val="24"/>
        </w:rPr>
        <w:t>Morris Monroe</w:t>
      </w:r>
      <w:r w:rsidRPr="009F1432">
        <w:rPr>
          <w:sz w:val="24"/>
        </w:rPr>
        <w:t xml:space="preserve"> </w:t>
      </w:r>
      <w:r w:rsidR="004E1925" w:rsidRPr="009F1432">
        <w:rPr>
          <w:sz w:val="24"/>
        </w:rPr>
        <w:t xml:space="preserve">or Compliance </w:t>
      </w:r>
      <w:r w:rsidRPr="009F1432">
        <w:rPr>
          <w:sz w:val="24"/>
        </w:rPr>
        <w:t xml:space="preserve">shall promptly report within </w:t>
      </w:r>
      <w:r w:rsidR="000B0964" w:rsidRPr="009F1432">
        <w:rPr>
          <w:sz w:val="24"/>
        </w:rPr>
        <w:t>30 calendar</w:t>
      </w:r>
      <w:r w:rsidRPr="009F1432">
        <w:rPr>
          <w:sz w:val="24"/>
        </w:rPr>
        <w:t xml:space="preserve"> days of when the Company knows</w:t>
      </w:r>
      <w:r w:rsidR="00097301" w:rsidRPr="009F1432">
        <w:rPr>
          <w:sz w:val="24"/>
        </w:rPr>
        <w:t xml:space="preserve"> if ever the Company and or an A</w:t>
      </w:r>
      <w:r w:rsidRPr="009F1432">
        <w:rPr>
          <w:sz w:val="24"/>
        </w:rPr>
        <w:t xml:space="preserve">ssociated </w:t>
      </w:r>
      <w:r w:rsidR="00097301" w:rsidRPr="009F1432">
        <w:rPr>
          <w:sz w:val="24"/>
        </w:rPr>
        <w:t>P</w:t>
      </w:r>
      <w:r w:rsidRPr="009F1432">
        <w:rPr>
          <w:sz w:val="24"/>
        </w:rPr>
        <w:t xml:space="preserve">erson </w:t>
      </w:r>
      <w:r w:rsidR="00097301" w:rsidRPr="009F1432">
        <w:rPr>
          <w:sz w:val="24"/>
        </w:rPr>
        <w:t>are</w:t>
      </w:r>
      <w:r w:rsidRPr="009F1432">
        <w:rPr>
          <w:sz w:val="24"/>
        </w:rPr>
        <w:t>:</w:t>
      </w:r>
    </w:p>
    <w:p w14:paraId="7EE3B67C" w14:textId="77777777" w:rsidR="000170F4" w:rsidRPr="009F1432" w:rsidRDefault="000170F4" w:rsidP="000170F4">
      <w:pPr>
        <w:jc w:val="both"/>
        <w:rPr>
          <w:sz w:val="24"/>
        </w:rPr>
      </w:pPr>
    </w:p>
    <w:p w14:paraId="00DCA41F" w14:textId="77777777" w:rsidR="000170F4" w:rsidRPr="009F1432" w:rsidRDefault="000170F4" w:rsidP="003757BA">
      <w:pPr>
        <w:ind w:left="270" w:hanging="270"/>
        <w:rPr>
          <w:sz w:val="24"/>
        </w:rPr>
      </w:pPr>
      <w:r w:rsidRPr="009F1432">
        <w:rPr>
          <w:sz w:val="24"/>
        </w:rPr>
        <w:t>1.</w:t>
      </w:r>
      <w:r w:rsidRPr="009F1432">
        <w:rPr>
          <w:sz w:val="24"/>
        </w:rPr>
        <w:tab/>
        <w:t xml:space="preserve">Found to have violated </w:t>
      </w:r>
      <w:r w:rsidR="0032591E" w:rsidRPr="009F1432">
        <w:rPr>
          <w:sz w:val="24"/>
        </w:rPr>
        <w:t xml:space="preserve">any provision of any securities, insurance, commodities, financial or investment related </w:t>
      </w:r>
      <w:r w:rsidRPr="009F1432">
        <w:rPr>
          <w:sz w:val="24"/>
        </w:rPr>
        <w:t>law</w:t>
      </w:r>
      <w:r w:rsidR="0032591E" w:rsidRPr="009F1432">
        <w:rPr>
          <w:sz w:val="24"/>
        </w:rPr>
        <w:t xml:space="preserve">s, </w:t>
      </w:r>
      <w:r w:rsidRPr="009F1432">
        <w:rPr>
          <w:sz w:val="24"/>
        </w:rPr>
        <w:t>regulation</w:t>
      </w:r>
      <w:r w:rsidR="0032591E" w:rsidRPr="009F1432">
        <w:rPr>
          <w:sz w:val="24"/>
        </w:rPr>
        <w:t>s</w:t>
      </w:r>
      <w:r w:rsidRPr="009F1432">
        <w:rPr>
          <w:sz w:val="24"/>
        </w:rPr>
        <w:t>, any rule</w:t>
      </w:r>
      <w:r w:rsidR="0032591E" w:rsidRPr="009F1432">
        <w:rPr>
          <w:sz w:val="24"/>
        </w:rPr>
        <w:t>s</w:t>
      </w:r>
      <w:r w:rsidRPr="009F1432">
        <w:rPr>
          <w:sz w:val="24"/>
        </w:rPr>
        <w:t xml:space="preserve"> or standards of conduct of any </w:t>
      </w:r>
      <w:r w:rsidR="0032591E" w:rsidRPr="009F1432">
        <w:rPr>
          <w:sz w:val="24"/>
        </w:rPr>
        <w:t xml:space="preserve">domestic or foreign regulatory body, </w:t>
      </w:r>
      <w:r w:rsidRPr="009F1432">
        <w:rPr>
          <w:sz w:val="24"/>
        </w:rPr>
        <w:t>self-regulatory organization, or business or professional organization</w:t>
      </w:r>
      <w:r w:rsidR="0032591E" w:rsidRPr="009F1432">
        <w:rPr>
          <w:sz w:val="24"/>
        </w:rPr>
        <w:t xml:space="preserve">; </w:t>
      </w:r>
    </w:p>
    <w:p w14:paraId="2B90E10D" w14:textId="77777777" w:rsidR="0032591E" w:rsidRPr="009F1432" w:rsidRDefault="0032591E" w:rsidP="003757BA">
      <w:pPr>
        <w:ind w:left="720" w:hanging="720"/>
        <w:rPr>
          <w:sz w:val="24"/>
        </w:rPr>
      </w:pPr>
    </w:p>
    <w:p w14:paraId="70167481" w14:textId="77777777" w:rsidR="000170F4" w:rsidRPr="009F1432" w:rsidRDefault="000170F4" w:rsidP="003757BA">
      <w:pPr>
        <w:ind w:left="270" w:hanging="270"/>
        <w:rPr>
          <w:sz w:val="24"/>
        </w:rPr>
      </w:pPr>
      <w:r w:rsidRPr="009F1432">
        <w:rPr>
          <w:sz w:val="24"/>
        </w:rPr>
        <w:t>2.</w:t>
      </w:r>
      <w:r w:rsidRPr="009F1432">
        <w:rPr>
          <w:sz w:val="24"/>
        </w:rPr>
        <w:tab/>
      </w:r>
      <w:r w:rsidR="001A7509" w:rsidRPr="009F1432">
        <w:rPr>
          <w:sz w:val="24"/>
        </w:rPr>
        <w:t>Is</w:t>
      </w:r>
      <w:r w:rsidRPr="009F1432">
        <w:rPr>
          <w:sz w:val="24"/>
        </w:rPr>
        <w:t xml:space="preserve"> the subject of any written customer complaint involving allegations of theft or misappropriation of funds or securities or of </w:t>
      </w:r>
      <w:r w:rsidR="00857413" w:rsidRPr="009F1432">
        <w:rPr>
          <w:sz w:val="24"/>
        </w:rPr>
        <w:t>forgery?</w:t>
      </w:r>
    </w:p>
    <w:p w14:paraId="28807AD4" w14:textId="77777777" w:rsidR="000170F4" w:rsidRPr="009F1432" w:rsidRDefault="000170F4" w:rsidP="003757BA">
      <w:pPr>
        <w:ind w:left="720" w:hanging="720"/>
        <w:rPr>
          <w:sz w:val="24"/>
        </w:rPr>
      </w:pPr>
    </w:p>
    <w:p w14:paraId="63F4DFEB" w14:textId="28301252" w:rsidR="000170F4" w:rsidRPr="009F1432" w:rsidRDefault="001A7509" w:rsidP="003757BA">
      <w:pPr>
        <w:ind w:left="270" w:hanging="270"/>
        <w:rPr>
          <w:sz w:val="24"/>
        </w:rPr>
      </w:pPr>
      <w:r w:rsidRPr="009F1432">
        <w:rPr>
          <w:sz w:val="24"/>
        </w:rPr>
        <w:t>3.</w:t>
      </w:r>
      <w:r w:rsidRPr="009F1432">
        <w:rPr>
          <w:sz w:val="24"/>
        </w:rPr>
        <w:tab/>
        <w:t>I</w:t>
      </w:r>
      <w:r w:rsidR="000170F4" w:rsidRPr="009F1432">
        <w:rPr>
          <w:sz w:val="24"/>
        </w:rPr>
        <w:t xml:space="preserve">s named as a defendant or respondent in any proceeding brought by a </w:t>
      </w:r>
      <w:r w:rsidR="00737B67" w:rsidRPr="009F1432">
        <w:rPr>
          <w:sz w:val="24"/>
        </w:rPr>
        <w:t xml:space="preserve">domestic or foreign </w:t>
      </w:r>
      <w:r w:rsidR="000170F4" w:rsidRPr="009F1432">
        <w:rPr>
          <w:sz w:val="24"/>
        </w:rPr>
        <w:t xml:space="preserve">regulatory or self-regulatory body alleging the violation of any provision of the Securities Exchange Act of 1934, or of any other federal or state securities, insurance, or commodities </w:t>
      </w:r>
      <w:r w:rsidR="000170F4" w:rsidRPr="009F1432">
        <w:rPr>
          <w:sz w:val="24"/>
        </w:rPr>
        <w:lastRenderedPageBreak/>
        <w:t xml:space="preserve">statute, or of any rule or regulation thereunder, or of any provision of the By-laws, rules or similar governing instruments of any securities, </w:t>
      </w:r>
      <w:r w:rsidR="00CC601C" w:rsidRPr="009F1432">
        <w:rPr>
          <w:sz w:val="24"/>
        </w:rPr>
        <w:t>insurance,</w:t>
      </w:r>
      <w:r w:rsidR="000170F4" w:rsidRPr="009F1432">
        <w:rPr>
          <w:sz w:val="24"/>
        </w:rPr>
        <w:t xml:space="preserve"> or commodities regulatory or self-regulatory organization;</w:t>
      </w:r>
    </w:p>
    <w:p w14:paraId="443F3075" w14:textId="77777777" w:rsidR="000170F4" w:rsidRPr="009F1432" w:rsidRDefault="000170F4" w:rsidP="003757BA">
      <w:pPr>
        <w:ind w:left="720" w:hanging="720"/>
        <w:rPr>
          <w:sz w:val="24"/>
        </w:rPr>
      </w:pPr>
    </w:p>
    <w:p w14:paraId="4732DC88" w14:textId="77777777" w:rsidR="000170F4" w:rsidRPr="009F1432" w:rsidRDefault="000170F4" w:rsidP="003757BA">
      <w:pPr>
        <w:ind w:left="270" w:hanging="270"/>
        <w:rPr>
          <w:sz w:val="24"/>
        </w:rPr>
      </w:pPr>
      <w:r w:rsidRPr="009F1432">
        <w:rPr>
          <w:sz w:val="24"/>
        </w:rPr>
        <w:t>4.</w:t>
      </w:r>
      <w:r w:rsidRPr="009F1432">
        <w:rPr>
          <w:sz w:val="24"/>
        </w:rPr>
        <w:tab/>
      </w:r>
      <w:r w:rsidR="001A7509" w:rsidRPr="009F1432">
        <w:rPr>
          <w:sz w:val="24"/>
        </w:rPr>
        <w:t>I</w:t>
      </w:r>
      <w:r w:rsidRPr="009F1432">
        <w:rPr>
          <w:sz w:val="24"/>
        </w:rPr>
        <w:t>s denied registration or is expelled, enjoined, directed to cease and desist, suspended or otherwise disciplined by any securities, insurance or commodities industry regulatory or self-regulatory organization or is denied membership or continued membership in any such self- regulatory organization; or is barred from becoming associated with any member of any such self-regulatory organization</w:t>
      </w:r>
      <w:r w:rsidR="003757BA">
        <w:rPr>
          <w:sz w:val="24"/>
        </w:rPr>
        <w:t xml:space="preserve"> is</w:t>
      </w:r>
      <w:r w:rsidRPr="009F1432">
        <w:rPr>
          <w:sz w:val="24"/>
        </w:rPr>
        <w:t>;</w:t>
      </w:r>
    </w:p>
    <w:p w14:paraId="05433A0E" w14:textId="77777777" w:rsidR="000170F4" w:rsidRPr="009F1432" w:rsidRDefault="000170F4" w:rsidP="003757BA">
      <w:pPr>
        <w:ind w:left="720" w:hanging="720"/>
        <w:rPr>
          <w:sz w:val="24"/>
        </w:rPr>
      </w:pPr>
    </w:p>
    <w:p w14:paraId="7F16ED18" w14:textId="77777777" w:rsidR="000170F4" w:rsidRPr="009F1432" w:rsidRDefault="000170F4" w:rsidP="003757BA">
      <w:pPr>
        <w:ind w:left="270" w:hanging="270"/>
        <w:rPr>
          <w:sz w:val="24"/>
        </w:rPr>
      </w:pPr>
      <w:r w:rsidRPr="009F1432">
        <w:rPr>
          <w:sz w:val="24"/>
        </w:rPr>
        <w:t>5.</w:t>
      </w:r>
      <w:r w:rsidRPr="009F1432">
        <w:rPr>
          <w:sz w:val="24"/>
        </w:rPr>
        <w:tab/>
      </w:r>
      <w:r w:rsidR="003757BA">
        <w:rPr>
          <w:sz w:val="24"/>
        </w:rPr>
        <w:t>I</w:t>
      </w:r>
      <w:r w:rsidRPr="009F1432">
        <w:rPr>
          <w:sz w:val="24"/>
        </w:rPr>
        <w:t>ndicted, or convicted of, or pleads guilty to, or pleads no contest to, any criminal offense (other than traffic violations);</w:t>
      </w:r>
    </w:p>
    <w:p w14:paraId="2D92B2E6" w14:textId="77777777" w:rsidR="000170F4" w:rsidRPr="009F1432" w:rsidRDefault="000170F4" w:rsidP="003757BA">
      <w:pPr>
        <w:ind w:left="720" w:hanging="720"/>
        <w:rPr>
          <w:sz w:val="24"/>
        </w:rPr>
      </w:pPr>
    </w:p>
    <w:p w14:paraId="6FE5DAB9" w14:textId="4300B8D5" w:rsidR="000170F4" w:rsidRPr="009F1432" w:rsidRDefault="003757BA" w:rsidP="003757BA">
      <w:pPr>
        <w:ind w:left="270" w:hanging="270"/>
        <w:rPr>
          <w:sz w:val="24"/>
        </w:rPr>
      </w:pPr>
      <w:r>
        <w:rPr>
          <w:sz w:val="24"/>
        </w:rPr>
        <w:t>6.</w:t>
      </w:r>
      <w:r>
        <w:rPr>
          <w:sz w:val="24"/>
        </w:rPr>
        <w:tab/>
        <w:t>A</w:t>
      </w:r>
      <w:r w:rsidR="000170F4" w:rsidRPr="009F1432">
        <w:rPr>
          <w:sz w:val="24"/>
        </w:rPr>
        <w:t xml:space="preserve"> director, controlling stockholder, partner, </w:t>
      </w:r>
      <w:r w:rsidR="00CC601C" w:rsidRPr="009F1432">
        <w:rPr>
          <w:sz w:val="24"/>
        </w:rPr>
        <w:t>officer,</w:t>
      </w:r>
      <w:r w:rsidR="000170F4" w:rsidRPr="009F1432">
        <w:rPr>
          <w:sz w:val="24"/>
        </w:rPr>
        <w:t xml:space="preserve"> or sole proprietor of, or an associated person with, a broker, dealer, investment company, investment advisor, underwriter or insurance company which was suspended, expelled or had its registration denied or revoked by any agency, jurisdiction or organization or is associated in such a capacity with a bank, trust company or other financial institution which was convicted of or pleaded no contest to, any felony or misdemeanor;</w:t>
      </w:r>
    </w:p>
    <w:p w14:paraId="6004DBBF" w14:textId="77777777" w:rsidR="000170F4" w:rsidRPr="009F1432" w:rsidRDefault="000170F4" w:rsidP="003757BA">
      <w:pPr>
        <w:ind w:left="270" w:hanging="270"/>
        <w:rPr>
          <w:sz w:val="24"/>
        </w:rPr>
      </w:pPr>
    </w:p>
    <w:p w14:paraId="356F27FF" w14:textId="77777777" w:rsidR="000170F4" w:rsidRPr="009F1432" w:rsidRDefault="000170F4" w:rsidP="003757BA">
      <w:pPr>
        <w:ind w:left="270" w:hanging="270"/>
        <w:rPr>
          <w:sz w:val="24"/>
        </w:rPr>
      </w:pPr>
      <w:r w:rsidRPr="009F1432">
        <w:rPr>
          <w:sz w:val="24"/>
        </w:rPr>
        <w:t>7.</w:t>
      </w:r>
      <w:r w:rsidRPr="009F1432">
        <w:rPr>
          <w:sz w:val="24"/>
        </w:rPr>
        <w:tab/>
      </w:r>
      <w:r w:rsidR="003757BA">
        <w:rPr>
          <w:sz w:val="24"/>
        </w:rPr>
        <w:t>A</w:t>
      </w:r>
      <w:r w:rsidRPr="009F1432">
        <w:rPr>
          <w:sz w:val="24"/>
        </w:rPr>
        <w:t xml:space="preserve"> defendant or respondent in any securities or commodities-related civil litigation or arbitration which has been disposed of by judgment, award or settlement for an amount exceeding $15,000.</w:t>
      </w:r>
      <w:r w:rsidR="00844AB7">
        <w:rPr>
          <w:sz w:val="24"/>
        </w:rPr>
        <w:t xml:space="preserve"> </w:t>
      </w:r>
      <w:r w:rsidRPr="009F1432">
        <w:rPr>
          <w:sz w:val="24"/>
        </w:rPr>
        <w:t xml:space="preserve"> However, when the Company is the defendant or respondent, then the reporting to the FINRA shall be required only when such judgment, award or settlement is for an amount exceeding $25,000;</w:t>
      </w:r>
    </w:p>
    <w:p w14:paraId="045E33E9" w14:textId="77777777" w:rsidR="000170F4" w:rsidRPr="009F1432" w:rsidRDefault="000170F4" w:rsidP="003757BA">
      <w:pPr>
        <w:ind w:left="720" w:hanging="720"/>
        <w:rPr>
          <w:sz w:val="24"/>
        </w:rPr>
      </w:pPr>
    </w:p>
    <w:p w14:paraId="2CFA360E" w14:textId="77777777" w:rsidR="00B061F0" w:rsidRPr="009F1432" w:rsidRDefault="000170F4" w:rsidP="003757BA">
      <w:pPr>
        <w:ind w:left="270" w:hanging="270"/>
        <w:rPr>
          <w:sz w:val="24"/>
        </w:rPr>
      </w:pPr>
      <w:r w:rsidRPr="009F1432">
        <w:rPr>
          <w:sz w:val="24"/>
        </w:rPr>
        <w:t>8.</w:t>
      </w:r>
      <w:r w:rsidRPr="009F1432">
        <w:rPr>
          <w:sz w:val="24"/>
        </w:rPr>
        <w:tab/>
      </w:r>
      <w:r w:rsidR="003757BA">
        <w:rPr>
          <w:sz w:val="24"/>
        </w:rPr>
        <w:t>T</w:t>
      </w:r>
      <w:r w:rsidRPr="009F1432">
        <w:rPr>
          <w:sz w:val="24"/>
        </w:rPr>
        <w:t xml:space="preserve">he subject of any claim for damages by a customer, broker, or dealer which is settled for an amount exceeding $15,000. </w:t>
      </w:r>
      <w:r w:rsidR="00844AB7">
        <w:rPr>
          <w:sz w:val="24"/>
        </w:rPr>
        <w:t xml:space="preserve"> </w:t>
      </w:r>
      <w:r w:rsidRPr="009F1432">
        <w:rPr>
          <w:sz w:val="24"/>
        </w:rPr>
        <w:t>However, when the claim for damages is against the Company, then the reporting to the FINRA shall be required only when such claim is settled for an amount exceeding $25,000;</w:t>
      </w:r>
    </w:p>
    <w:p w14:paraId="15F88AB5" w14:textId="77777777" w:rsidR="000170F4" w:rsidRPr="009F1432" w:rsidRDefault="000170F4" w:rsidP="003757BA">
      <w:pPr>
        <w:ind w:left="720" w:hanging="720"/>
        <w:rPr>
          <w:sz w:val="24"/>
        </w:rPr>
      </w:pPr>
    </w:p>
    <w:p w14:paraId="7AEE1080" w14:textId="77777777" w:rsidR="000170F4" w:rsidRDefault="003757BA" w:rsidP="003757BA">
      <w:pPr>
        <w:ind w:left="270" w:hanging="270"/>
        <w:rPr>
          <w:sz w:val="24"/>
        </w:rPr>
      </w:pPr>
      <w:r>
        <w:rPr>
          <w:sz w:val="24"/>
        </w:rPr>
        <w:t>9.</w:t>
      </w:r>
      <w:r>
        <w:rPr>
          <w:sz w:val="24"/>
        </w:rPr>
        <w:tab/>
        <w:t>I</w:t>
      </w:r>
      <w:r w:rsidR="00B061F0" w:rsidRPr="009F1432">
        <w:rPr>
          <w:sz w:val="24"/>
        </w:rPr>
        <w:t>nvolved in the sale of any financial instrument, the provision of any investment advice or the financing of any such activities</w:t>
      </w:r>
      <w:r w:rsidR="00D20724" w:rsidRPr="009F1432">
        <w:rPr>
          <w:sz w:val="24"/>
        </w:rPr>
        <w:t xml:space="preserve"> with any person who</w:t>
      </w:r>
      <w:r w:rsidR="00B061F0" w:rsidRPr="009F1432">
        <w:rPr>
          <w:sz w:val="24"/>
        </w:rPr>
        <w:t xml:space="preserve"> </w:t>
      </w:r>
      <w:r w:rsidR="000170F4" w:rsidRPr="009F1432">
        <w:rPr>
          <w:sz w:val="24"/>
        </w:rPr>
        <w:t>is subject to a "statutory disqualification" as that term is defined in the Securities Exchange Act of 1934, and the member knows or should have known of the association. The report shall include the</w:t>
      </w:r>
      <w:r w:rsidR="000170F4">
        <w:rPr>
          <w:sz w:val="24"/>
        </w:rPr>
        <w:t xml:space="preserve"> name of the person subject to the statutory disqualification and details concerning the disqualification.</w:t>
      </w:r>
    </w:p>
    <w:p w14:paraId="19FBFB09" w14:textId="77777777" w:rsidR="000170F4" w:rsidRDefault="000170F4" w:rsidP="003757BA">
      <w:pPr>
        <w:ind w:left="720" w:hanging="720"/>
        <w:rPr>
          <w:sz w:val="24"/>
        </w:rPr>
      </w:pPr>
    </w:p>
    <w:p w14:paraId="72DA378C" w14:textId="77777777" w:rsidR="000170F4" w:rsidRDefault="000170F4" w:rsidP="00DD602D">
      <w:pPr>
        <w:ind w:left="360" w:hanging="360"/>
        <w:rPr>
          <w:sz w:val="24"/>
        </w:rPr>
      </w:pPr>
      <w:r>
        <w:rPr>
          <w:sz w:val="24"/>
        </w:rPr>
        <w:t>10.</w:t>
      </w:r>
      <w:r w:rsidR="00097301">
        <w:rPr>
          <w:sz w:val="24"/>
        </w:rPr>
        <w:t xml:space="preserve"> </w:t>
      </w:r>
      <w:r w:rsidR="00DD602D">
        <w:rPr>
          <w:sz w:val="24"/>
        </w:rPr>
        <w:t>T</w:t>
      </w:r>
      <w:r>
        <w:rPr>
          <w:sz w:val="24"/>
        </w:rPr>
        <w:t>he subject of any disciplinary action taken by the member against any person associated with the member involving suspension, termination, the withholding of commissions or imposition of fines in excess of $2,500, or otherwise disciplined in any manner which would have significant limitation on the individual's activities on a temporary or permanent basis.</w:t>
      </w:r>
    </w:p>
    <w:p w14:paraId="3891E74D" w14:textId="77777777" w:rsidR="000170F4" w:rsidRDefault="000170F4" w:rsidP="003757BA">
      <w:pPr>
        <w:rPr>
          <w:sz w:val="24"/>
        </w:rPr>
      </w:pPr>
    </w:p>
    <w:p w14:paraId="50634F1C" w14:textId="77777777" w:rsidR="00913D8D" w:rsidRPr="009F1432" w:rsidRDefault="00913D8D" w:rsidP="003757BA">
      <w:pPr>
        <w:rPr>
          <w:sz w:val="24"/>
        </w:rPr>
      </w:pPr>
      <w:r w:rsidRPr="009F1432">
        <w:rPr>
          <w:sz w:val="24"/>
        </w:rPr>
        <w:t>In addition, Associated Persons are required to promptly report any of the following to Compliance:</w:t>
      </w:r>
    </w:p>
    <w:p w14:paraId="0CDED2B8" w14:textId="77777777" w:rsidR="00913D8D" w:rsidRPr="009F1432" w:rsidRDefault="00913D8D" w:rsidP="003757BA">
      <w:pPr>
        <w:rPr>
          <w:sz w:val="24"/>
        </w:rPr>
      </w:pPr>
    </w:p>
    <w:p w14:paraId="5B46A5BF" w14:textId="77777777" w:rsidR="00913D8D" w:rsidRPr="009F1432" w:rsidRDefault="00913D8D" w:rsidP="00C1728B">
      <w:pPr>
        <w:numPr>
          <w:ilvl w:val="0"/>
          <w:numId w:val="135"/>
        </w:numPr>
        <w:rPr>
          <w:sz w:val="24"/>
        </w:rPr>
      </w:pPr>
      <w:r w:rsidRPr="009F1432">
        <w:rPr>
          <w:sz w:val="24"/>
        </w:rPr>
        <w:t>A temporary or permanent injunction issued by any court and involving securities, commodities, insurance, or banking matters;</w:t>
      </w:r>
    </w:p>
    <w:p w14:paraId="40518679" w14:textId="77777777" w:rsidR="00913D8D" w:rsidRPr="009F1432" w:rsidRDefault="00913D8D" w:rsidP="00C1728B">
      <w:pPr>
        <w:numPr>
          <w:ilvl w:val="0"/>
          <w:numId w:val="135"/>
        </w:numPr>
        <w:rPr>
          <w:sz w:val="24"/>
        </w:rPr>
      </w:pPr>
      <w:r w:rsidRPr="009F1432">
        <w:rPr>
          <w:sz w:val="24"/>
        </w:rPr>
        <w:t>Any customer complaint (securities or commodities) including a written complaint, civil litigation, or arbitration;</w:t>
      </w:r>
    </w:p>
    <w:p w14:paraId="12A0B3FD" w14:textId="77777777" w:rsidR="00913D8D" w:rsidRPr="009F1432" w:rsidRDefault="00913D8D" w:rsidP="00C1728B">
      <w:pPr>
        <w:numPr>
          <w:ilvl w:val="0"/>
          <w:numId w:val="135"/>
        </w:numPr>
        <w:rPr>
          <w:sz w:val="24"/>
        </w:rPr>
      </w:pPr>
      <w:r w:rsidRPr="009F1432">
        <w:rPr>
          <w:sz w:val="24"/>
        </w:rPr>
        <w:lastRenderedPageBreak/>
        <w:t>An arrest, indictment, arraignment, conviction, pleading guilty or no contest to any felony or misdemeanor (other than misdemeanor traffic offenses);</w:t>
      </w:r>
    </w:p>
    <w:p w14:paraId="3A25B732" w14:textId="77777777" w:rsidR="00913D8D" w:rsidRPr="009F1432" w:rsidRDefault="00913D8D" w:rsidP="00C1728B">
      <w:pPr>
        <w:numPr>
          <w:ilvl w:val="0"/>
          <w:numId w:val="135"/>
        </w:numPr>
        <w:rPr>
          <w:sz w:val="24"/>
        </w:rPr>
      </w:pPr>
      <w:r w:rsidRPr="009F1432">
        <w:rPr>
          <w:sz w:val="24"/>
        </w:rPr>
        <w:t>A bankruptcy</w:t>
      </w:r>
      <w:r w:rsidR="00E33051" w:rsidRPr="009F1432">
        <w:rPr>
          <w:sz w:val="24"/>
        </w:rPr>
        <w:t xml:space="preserve"> proceeding;</w:t>
      </w:r>
    </w:p>
    <w:p w14:paraId="53F1BB2D" w14:textId="77777777" w:rsidR="00913D8D" w:rsidRPr="009F1432" w:rsidRDefault="00913D8D" w:rsidP="003757BA">
      <w:pPr>
        <w:rPr>
          <w:sz w:val="24"/>
        </w:rPr>
      </w:pPr>
    </w:p>
    <w:p w14:paraId="7BA68828" w14:textId="77777777" w:rsidR="000170F4" w:rsidRPr="009F1432" w:rsidRDefault="000170F4" w:rsidP="003757BA">
      <w:pPr>
        <w:rPr>
          <w:sz w:val="24"/>
        </w:rPr>
      </w:pPr>
      <w:r w:rsidRPr="009F1432">
        <w:rPr>
          <w:sz w:val="24"/>
        </w:rPr>
        <w:t xml:space="preserve">In keeping with the requirements of </w:t>
      </w:r>
      <w:r w:rsidR="00AF4290" w:rsidRPr="009F1432">
        <w:rPr>
          <w:sz w:val="24"/>
        </w:rPr>
        <w:t xml:space="preserve">FINRA </w:t>
      </w:r>
      <w:r w:rsidRPr="009F1432">
        <w:rPr>
          <w:sz w:val="24"/>
        </w:rPr>
        <w:t xml:space="preserve">Rule </w:t>
      </w:r>
      <w:r w:rsidR="00AF4290" w:rsidRPr="009F1432">
        <w:rPr>
          <w:sz w:val="24"/>
        </w:rPr>
        <w:t>4530</w:t>
      </w:r>
      <w:r w:rsidRPr="009F1432">
        <w:rPr>
          <w:sz w:val="24"/>
        </w:rPr>
        <w:t xml:space="preserve">, each </w:t>
      </w:r>
      <w:r w:rsidR="00AF4290" w:rsidRPr="009F1432">
        <w:rPr>
          <w:sz w:val="24"/>
        </w:rPr>
        <w:t>A</w:t>
      </w:r>
      <w:r w:rsidRPr="009F1432">
        <w:rPr>
          <w:sz w:val="24"/>
        </w:rPr>
        <w:t xml:space="preserve">ssociated </w:t>
      </w:r>
      <w:r w:rsidR="00AF4290" w:rsidRPr="009F1432">
        <w:rPr>
          <w:sz w:val="24"/>
        </w:rPr>
        <w:t>P</w:t>
      </w:r>
      <w:r w:rsidRPr="009F1432">
        <w:rPr>
          <w:sz w:val="24"/>
        </w:rPr>
        <w:t xml:space="preserve">erson of the Company shall report within 48 hours to the Company the existence of any of the conditions set forth above. In turn, the Company shall report to the FINRA the existence of any of the conditions set forth above within </w:t>
      </w:r>
      <w:r w:rsidR="00E33051" w:rsidRPr="009F1432">
        <w:rPr>
          <w:sz w:val="24"/>
        </w:rPr>
        <w:t>3</w:t>
      </w:r>
      <w:r w:rsidRPr="009F1432">
        <w:rPr>
          <w:sz w:val="24"/>
        </w:rPr>
        <w:t xml:space="preserve">0 business days.  In addition, any event filing required for Form BD and or Form U4 or U-5 must be immediately compared with the events above to determine if a </w:t>
      </w:r>
      <w:proofErr w:type="gramStart"/>
      <w:r w:rsidR="00AF4290" w:rsidRPr="009F1432">
        <w:rPr>
          <w:sz w:val="24"/>
        </w:rPr>
        <w:t>4530</w:t>
      </w:r>
      <w:r w:rsidRPr="009F1432">
        <w:rPr>
          <w:sz w:val="24"/>
        </w:rPr>
        <w:t xml:space="preserve"> disclosure</w:t>
      </w:r>
      <w:proofErr w:type="gramEnd"/>
      <w:r w:rsidRPr="009F1432">
        <w:rPr>
          <w:sz w:val="24"/>
        </w:rPr>
        <w:t xml:space="preserve"> filing must also be submitted in order to avoid any missed or untimely filings.</w:t>
      </w:r>
    </w:p>
    <w:p w14:paraId="3EC26C6E" w14:textId="77777777" w:rsidR="000170F4" w:rsidRPr="009F1432" w:rsidRDefault="000170F4" w:rsidP="003757BA">
      <w:pPr>
        <w:rPr>
          <w:sz w:val="24"/>
        </w:rPr>
      </w:pPr>
    </w:p>
    <w:p w14:paraId="43C68237" w14:textId="77777777" w:rsidR="000170F4" w:rsidRDefault="000170F4" w:rsidP="003757BA">
      <w:pPr>
        <w:rPr>
          <w:sz w:val="24"/>
        </w:rPr>
      </w:pPr>
      <w:r w:rsidRPr="009F1432">
        <w:rPr>
          <w:sz w:val="24"/>
        </w:rPr>
        <w:t xml:space="preserve">The Company, through Morris Monroe </w:t>
      </w:r>
      <w:r w:rsidR="00E33051" w:rsidRPr="009F1432">
        <w:rPr>
          <w:sz w:val="24"/>
        </w:rPr>
        <w:t xml:space="preserve">or Laura Hendricks </w:t>
      </w:r>
      <w:r w:rsidRPr="009F1432">
        <w:rPr>
          <w:sz w:val="24"/>
        </w:rPr>
        <w:t>shall also report electronically to the FINRA statistical and summary information regarding customer complaints by the 15th day of the month following the calendar quarter in which the customer complaint was received by the</w:t>
      </w:r>
      <w:r>
        <w:rPr>
          <w:sz w:val="24"/>
        </w:rPr>
        <w:t xml:space="preserve"> Company.  For purposes of this section, "customer" shall include any person other than a broker or dealer with whom the Company has engaged, or has sought to engage, in securities activities, and "complaint" includes any written grievance by a customer involving the Company or a person associated with the Company.  Customer complaint records will be maintained for </w:t>
      </w:r>
      <w:r w:rsidR="007105BA" w:rsidRPr="007F48A7">
        <w:rPr>
          <w:sz w:val="24"/>
        </w:rPr>
        <w:t xml:space="preserve">four </w:t>
      </w:r>
      <w:r>
        <w:rPr>
          <w:sz w:val="24"/>
        </w:rPr>
        <w:t>years.</w:t>
      </w:r>
    </w:p>
    <w:p w14:paraId="317E520C" w14:textId="77777777" w:rsidR="00A010F2" w:rsidRDefault="00A010F2" w:rsidP="003757BA">
      <w:pPr>
        <w:rPr>
          <w:sz w:val="24"/>
        </w:rPr>
      </w:pPr>
    </w:p>
    <w:p w14:paraId="561E5692" w14:textId="77777777" w:rsidR="00A010F2" w:rsidRDefault="00A010F2" w:rsidP="003757BA">
      <w:pPr>
        <w:pStyle w:val="Heading3"/>
        <w:jc w:val="left"/>
      </w:pPr>
      <w:r>
        <w:tab/>
        <w:t>5.2</w:t>
      </w:r>
      <w:r w:rsidR="000A6EEE">
        <w:t>8</w:t>
      </w:r>
      <w:r>
        <w:t>.1   Processing Customer Complaints</w:t>
      </w:r>
    </w:p>
    <w:p w14:paraId="64EC126D" w14:textId="77777777" w:rsidR="00A010F2" w:rsidRDefault="00A010F2" w:rsidP="003757B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rPr>
          <w:sz w:val="24"/>
        </w:rPr>
      </w:pPr>
    </w:p>
    <w:p w14:paraId="4F8BD54F" w14:textId="77777777" w:rsidR="00A010F2" w:rsidRPr="00F348D4" w:rsidRDefault="00A010F2" w:rsidP="003E7B18">
      <w:pPr>
        <w:pStyle w:val="ListParagraph"/>
        <w:numPr>
          <w:ilvl w:val="0"/>
          <w:numId w:val="307"/>
        </w:numPr>
        <w:tabs>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hanging="720"/>
        <w:rPr>
          <w:sz w:val="24"/>
        </w:rPr>
      </w:pPr>
      <w:r w:rsidRPr="00F348D4">
        <w:rPr>
          <w:sz w:val="24"/>
        </w:rPr>
        <w:t>Make additional copies of customer complaint and distribute and or file as follows:</w:t>
      </w:r>
    </w:p>
    <w:p w14:paraId="42831F40" w14:textId="77777777" w:rsidR="00A010F2" w:rsidRDefault="00A010F2" w:rsidP="003757BA">
      <w:pPr>
        <w:tabs>
          <w:tab w:val="left" w:pos="720"/>
          <w:tab w:val="left" w:pos="1080"/>
          <w:tab w:val="left" w:pos="129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rPr>
          <w:sz w:val="24"/>
        </w:rPr>
      </w:pPr>
      <w:r>
        <w:rPr>
          <w:sz w:val="24"/>
        </w:rPr>
        <w:tab/>
      </w:r>
      <w:r>
        <w:rPr>
          <w:sz w:val="24"/>
        </w:rPr>
        <w:tab/>
      </w:r>
      <w:r w:rsidR="00E7383F">
        <w:rPr>
          <w:sz w:val="24"/>
        </w:rPr>
        <w:t>- One</w:t>
      </w:r>
      <w:r>
        <w:rPr>
          <w:sz w:val="24"/>
        </w:rPr>
        <w:t xml:space="preserve"> copy to registered representative, if not already received first by him</w:t>
      </w:r>
      <w:r w:rsidR="00C8141C">
        <w:rPr>
          <w:sz w:val="24"/>
        </w:rPr>
        <w:t>/her</w:t>
      </w:r>
      <w:r>
        <w:rPr>
          <w:sz w:val="24"/>
        </w:rPr>
        <w:t>;</w:t>
      </w:r>
    </w:p>
    <w:p w14:paraId="3B52B523" w14:textId="77777777" w:rsidR="00A010F2" w:rsidRDefault="00A010F2" w:rsidP="003757BA">
      <w:pPr>
        <w:tabs>
          <w:tab w:val="left" w:pos="720"/>
          <w:tab w:val="left" w:pos="1080"/>
          <w:tab w:val="left" w:pos="129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296" w:hanging="360"/>
        <w:rPr>
          <w:sz w:val="24"/>
        </w:rPr>
      </w:pPr>
      <w:r>
        <w:rPr>
          <w:sz w:val="24"/>
        </w:rPr>
        <w:tab/>
      </w:r>
      <w:r w:rsidR="00E7383F">
        <w:rPr>
          <w:sz w:val="24"/>
        </w:rPr>
        <w:t>- One</w:t>
      </w:r>
      <w:r>
        <w:rPr>
          <w:sz w:val="24"/>
        </w:rPr>
        <w:t xml:space="preserve"> copy to Morris Monroe or Laura Hendricks, to be filed in customer complaint file together with any written reply from registered representative.</w:t>
      </w:r>
    </w:p>
    <w:p w14:paraId="6EFBE637" w14:textId="77777777" w:rsidR="00A010F2" w:rsidRDefault="00E7383F" w:rsidP="003757BA">
      <w:pPr>
        <w:tabs>
          <w:tab w:val="left" w:pos="720"/>
          <w:tab w:val="left" w:pos="1080"/>
          <w:tab w:val="left" w:pos="129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350" w:hanging="270"/>
        <w:rPr>
          <w:sz w:val="24"/>
        </w:rPr>
      </w:pPr>
      <w:r>
        <w:rPr>
          <w:sz w:val="24"/>
        </w:rPr>
        <w:t xml:space="preserve">- One </w:t>
      </w:r>
      <w:r w:rsidR="00A010F2">
        <w:rPr>
          <w:sz w:val="24"/>
        </w:rPr>
        <w:t>copy to be filed in customer's account file together wi</w:t>
      </w:r>
      <w:r>
        <w:rPr>
          <w:sz w:val="24"/>
        </w:rPr>
        <w:t xml:space="preserve">th copy of </w:t>
      </w:r>
      <w:r w:rsidR="0075504D">
        <w:rPr>
          <w:sz w:val="24"/>
        </w:rPr>
        <w:t xml:space="preserve">any </w:t>
      </w:r>
      <w:r>
        <w:rPr>
          <w:sz w:val="24"/>
        </w:rPr>
        <w:t xml:space="preserve">written reply from </w:t>
      </w:r>
      <w:r w:rsidR="0075504D">
        <w:rPr>
          <w:sz w:val="24"/>
        </w:rPr>
        <w:t>registered representative or Company.</w:t>
      </w:r>
    </w:p>
    <w:p w14:paraId="50BBB867" w14:textId="77777777" w:rsidR="00A010F2" w:rsidRPr="00F348D4" w:rsidRDefault="00A010F2" w:rsidP="003E7B18">
      <w:pPr>
        <w:pStyle w:val="ListParagraph"/>
        <w:numPr>
          <w:ilvl w:val="0"/>
          <w:numId w:val="307"/>
        </w:numPr>
        <w:tabs>
          <w:tab w:val="left" w:pos="720"/>
          <w:tab w:val="left" w:pos="99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270"/>
        <w:rPr>
          <w:sz w:val="24"/>
        </w:rPr>
      </w:pPr>
      <w:r w:rsidRPr="00F348D4">
        <w:rPr>
          <w:sz w:val="24"/>
        </w:rPr>
        <w:t>Complaints need to be addressed immediately and any re</w:t>
      </w:r>
      <w:r w:rsidR="00370E5E">
        <w:rPr>
          <w:sz w:val="24"/>
        </w:rPr>
        <w:t xml:space="preserve">ply should be attached to file </w:t>
      </w:r>
      <w:r w:rsidRPr="00F348D4">
        <w:rPr>
          <w:sz w:val="24"/>
        </w:rPr>
        <w:t>copies.</w:t>
      </w:r>
    </w:p>
    <w:p w14:paraId="4C9E1AF6" w14:textId="77777777" w:rsidR="00A010F2" w:rsidRPr="00F348D4" w:rsidRDefault="00A010F2" w:rsidP="003E7B18">
      <w:pPr>
        <w:pStyle w:val="ListParagraph"/>
        <w:numPr>
          <w:ilvl w:val="0"/>
          <w:numId w:val="307"/>
        </w:numPr>
        <w:tabs>
          <w:tab w:val="left" w:pos="720"/>
          <w:tab w:val="left" w:pos="99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270"/>
        <w:rPr>
          <w:sz w:val="24"/>
        </w:rPr>
      </w:pPr>
      <w:r w:rsidRPr="00F348D4">
        <w:rPr>
          <w:sz w:val="24"/>
        </w:rPr>
        <w:t xml:space="preserve">All applicable customer complaints should be reported to FINRA </w:t>
      </w:r>
      <w:r w:rsidR="003502F7" w:rsidRPr="00F348D4">
        <w:rPr>
          <w:sz w:val="24"/>
        </w:rPr>
        <w:t xml:space="preserve">by Laura Hendricks </w:t>
      </w:r>
      <w:r w:rsidRPr="00F348D4">
        <w:rPr>
          <w:sz w:val="24"/>
        </w:rPr>
        <w:t xml:space="preserve">via internet FINRA Rule </w:t>
      </w:r>
      <w:r w:rsidR="00AF4290" w:rsidRPr="00F348D4">
        <w:rPr>
          <w:sz w:val="24"/>
        </w:rPr>
        <w:t>4530</w:t>
      </w:r>
      <w:r w:rsidRPr="00F348D4">
        <w:rPr>
          <w:sz w:val="24"/>
        </w:rPr>
        <w:t xml:space="preserve"> program </w:t>
      </w:r>
      <w:r w:rsidR="003502F7" w:rsidRPr="00F348D4">
        <w:rPr>
          <w:sz w:val="24"/>
        </w:rPr>
        <w:t>by the 15</w:t>
      </w:r>
      <w:r w:rsidR="003502F7" w:rsidRPr="00F348D4">
        <w:rPr>
          <w:sz w:val="24"/>
          <w:vertAlign w:val="superscript"/>
        </w:rPr>
        <w:t>th</w:t>
      </w:r>
      <w:r w:rsidR="003502F7" w:rsidRPr="00F348D4">
        <w:rPr>
          <w:sz w:val="24"/>
        </w:rPr>
        <w:t xml:space="preserve"> day of the month following quarter end</w:t>
      </w:r>
      <w:r w:rsidRPr="00F348D4">
        <w:rPr>
          <w:sz w:val="24"/>
        </w:rPr>
        <w:t>.</w:t>
      </w:r>
    </w:p>
    <w:p w14:paraId="687D3D82" w14:textId="77777777" w:rsidR="00D56B9B" w:rsidRPr="00F348D4" w:rsidRDefault="00D56B9B" w:rsidP="003E7B18">
      <w:pPr>
        <w:pStyle w:val="ListParagraph"/>
        <w:numPr>
          <w:ilvl w:val="0"/>
          <w:numId w:val="307"/>
        </w:numPr>
        <w:tabs>
          <w:tab w:val="left" w:pos="720"/>
          <w:tab w:val="num" w:pos="99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270"/>
        <w:rPr>
          <w:sz w:val="24"/>
        </w:rPr>
      </w:pPr>
      <w:r w:rsidRPr="00F348D4">
        <w:rPr>
          <w:sz w:val="24"/>
        </w:rPr>
        <w:t>Maintain copies of complaint and related correspondence in the branch file for complaints (and central location at home office) and retain for 4 years.</w:t>
      </w:r>
      <w:r w:rsidR="00F54D04" w:rsidRPr="00F348D4">
        <w:rPr>
          <w:sz w:val="24"/>
        </w:rPr>
        <w:t xml:space="preserve">  </w:t>
      </w:r>
    </w:p>
    <w:p w14:paraId="27ADA4E1" w14:textId="77777777" w:rsidR="00F348D4" w:rsidRPr="00857413" w:rsidRDefault="001C370E" w:rsidP="003E7B18">
      <w:pPr>
        <w:pStyle w:val="ListParagraph"/>
        <w:numPr>
          <w:ilvl w:val="0"/>
          <w:numId w:val="307"/>
        </w:numPr>
        <w:tabs>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270"/>
        <w:rPr>
          <w:sz w:val="24"/>
          <w:szCs w:val="24"/>
        </w:rPr>
      </w:pPr>
      <w:r w:rsidRPr="00857413">
        <w:rPr>
          <w:sz w:val="24"/>
        </w:rPr>
        <w:t>M</w:t>
      </w:r>
      <w:r w:rsidR="00F54D04" w:rsidRPr="00857413">
        <w:rPr>
          <w:sz w:val="24"/>
        </w:rPr>
        <w:t>aintain a c</w:t>
      </w:r>
      <w:r w:rsidR="00F54D04" w:rsidRPr="00857413">
        <w:rPr>
          <w:sz w:val="24"/>
          <w:szCs w:val="24"/>
        </w:rPr>
        <w:t xml:space="preserve">entral complaint log </w:t>
      </w:r>
      <w:r w:rsidR="00A3480A" w:rsidRPr="00857413">
        <w:rPr>
          <w:sz w:val="24"/>
          <w:szCs w:val="24"/>
        </w:rPr>
        <w:t>in</w:t>
      </w:r>
      <w:r w:rsidR="00F54D04" w:rsidRPr="00857413">
        <w:rPr>
          <w:sz w:val="24"/>
          <w:szCs w:val="24"/>
        </w:rPr>
        <w:t xml:space="preserve"> electronic format </w:t>
      </w:r>
      <w:r w:rsidRPr="00857413">
        <w:rPr>
          <w:sz w:val="24"/>
          <w:szCs w:val="24"/>
        </w:rPr>
        <w:t>which includes name, address, account number, date complaint received, Associated Persons identified in the complaint, description of the nature of complaint, and any disposition.  A</w:t>
      </w:r>
      <w:r w:rsidR="00F54D04" w:rsidRPr="00857413">
        <w:rPr>
          <w:sz w:val="24"/>
          <w:szCs w:val="24"/>
        </w:rPr>
        <w:t xml:space="preserve">nd </w:t>
      </w:r>
      <w:r w:rsidRPr="00857413">
        <w:rPr>
          <w:sz w:val="24"/>
        </w:rPr>
        <w:t xml:space="preserve">pursuant to MSRB G-8, </w:t>
      </w:r>
      <w:r w:rsidR="00F54D04" w:rsidRPr="00857413">
        <w:rPr>
          <w:sz w:val="24"/>
          <w:szCs w:val="24"/>
        </w:rPr>
        <w:t xml:space="preserve">retain </w:t>
      </w:r>
      <w:r w:rsidRPr="00857413">
        <w:rPr>
          <w:sz w:val="24"/>
          <w:szCs w:val="24"/>
        </w:rPr>
        <w:t xml:space="preserve">any applicable </w:t>
      </w:r>
      <w:r w:rsidR="00F54D04" w:rsidRPr="00857413">
        <w:rPr>
          <w:sz w:val="24"/>
          <w:szCs w:val="24"/>
        </w:rPr>
        <w:t>records for 6 years with 2 years in a readily</w:t>
      </w:r>
      <w:r w:rsidRPr="00857413">
        <w:rPr>
          <w:sz w:val="24"/>
          <w:szCs w:val="24"/>
        </w:rPr>
        <w:t xml:space="preserve"> </w:t>
      </w:r>
      <w:r w:rsidR="00F54D04" w:rsidRPr="00857413">
        <w:rPr>
          <w:sz w:val="24"/>
          <w:szCs w:val="24"/>
        </w:rPr>
        <w:t>accessible location.</w:t>
      </w:r>
    </w:p>
    <w:p w14:paraId="4B9B20DB" w14:textId="77777777" w:rsidR="00F348D4" w:rsidRPr="00857413" w:rsidRDefault="00F348D4" w:rsidP="003E7B18">
      <w:pPr>
        <w:pStyle w:val="ListParagraph"/>
        <w:numPr>
          <w:ilvl w:val="0"/>
          <w:numId w:val="307"/>
        </w:numPr>
        <w:tabs>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990" w:hanging="270"/>
        <w:rPr>
          <w:sz w:val="24"/>
          <w:szCs w:val="24"/>
        </w:rPr>
      </w:pPr>
      <w:r w:rsidRPr="00857413">
        <w:rPr>
          <w:sz w:val="24"/>
          <w:szCs w:val="24"/>
        </w:rPr>
        <w:t xml:space="preserve">Upon receipt of a Municipal related complaint, Compliance will send to the customer a copy of the investor brochure designated by the </w:t>
      </w:r>
      <w:r w:rsidR="007F48A7" w:rsidRPr="00857413">
        <w:rPr>
          <w:sz w:val="24"/>
          <w:szCs w:val="24"/>
        </w:rPr>
        <w:t>MSRB and</w:t>
      </w:r>
      <w:r w:rsidRPr="00857413">
        <w:rPr>
          <w:sz w:val="24"/>
          <w:szCs w:val="24"/>
        </w:rPr>
        <w:t xml:space="preserve"> will record the date when the investor brochure was provided.  </w:t>
      </w:r>
    </w:p>
    <w:p w14:paraId="19485896" w14:textId="77777777" w:rsidR="00A010F2" w:rsidRPr="009F1432" w:rsidRDefault="00A010F2" w:rsidP="003757BA">
      <w:pPr>
        <w:rPr>
          <w:sz w:val="24"/>
        </w:rPr>
      </w:pPr>
    </w:p>
    <w:p w14:paraId="077B42F8" w14:textId="77777777" w:rsidR="000170F4" w:rsidRPr="009F1432" w:rsidRDefault="000170F4" w:rsidP="003757BA">
      <w:pPr>
        <w:rPr>
          <w:sz w:val="24"/>
        </w:rPr>
      </w:pPr>
    </w:p>
    <w:p w14:paraId="1EC4DAB8" w14:textId="77777777" w:rsidR="00E75A75" w:rsidRPr="00C84046" w:rsidRDefault="006500AC" w:rsidP="00936FEE">
      <w:pPr>
        <w:pStyle w:val="Heading2"/>
      </w:pPr>
      <w:r>
        <w:t>5.</w:t>
      </w:r>
      <w:r w:rsidR="000A6EEE">
        <w:t>29</w:t>
      </w:r>
      <w:r w:rsidR="00C84046" w:rsidRPr="00C84046">
        <w:t xml:space="preserve"> Disclosures</w:t>
      </w:r>
    </w:p>
    <w:p w14:paraId="01078849" w14:textId="77777777" w:rsidR="00C84046" w:rsidRPr="00C84046" w:rsidRDefault="00C84046" w:rsidP="003757BA">
      <w:pPr>
        <w:rPr>
          <w:color w:val="0070C0"/>
          <w:sz w:val="24"/>
          <w:szCs w:val="24"/>
        </w:rPr>
      </w:pPr>
    </w:p>
    <w:p w14:paraId="1903F7EB" w14:textId="77777777" w:rsidR="00C84046" w:rsidRPr="006A3D3E" w:rsidRDefault="00C84046" w:rsidP="003757BA">
      <w:pPr>
        <w:pStyle w:val="Heading3"/>
        <w:jc w:val="left"/>
        <w:rPr>
          <w:i/>
          <w:sz w:val="20"/>
        </w:rPr>
      </w:pPr>
      <w:r w:rsidRPr="006A3D3E">
        <w:t>5.</w:t>
      </w:r>
      <w:r w:rsidR="000A6EEE">
        <w:t>29</w:t>
      </w:r>
      <w:r w:rsidRPr="006A3D3E">
        <w:t xml:space="preserve">.1 FINRA Rule 2262 – Control Relationship </w:t>
      </w:r>
      <w:r w:rsidRPr="00AF20A5">
        <w:rPr>
          <w:b w:val="0"/>
          <w:i/>
          <w:sz w:val="20"/>
        </w:rPr>
        <w:t>(</w:t>
      </w:r>
      <w:proofErr w:type="gramStart"/>
      <w:r w:rsidRPr="00AF20A5">
        <w:rPr>
          <w:b w:val="0"/>
          <w:i/>
          <w:sz w:val="20"/>
        </w:rPr>
        <w:t>eff</w:t>
      </w:r>
      <w:proofErr w:type="gramEnd"/>
      <w:r w:rsidRPr="00AF20A5">
        <w:rPr>
          <w:b w:val="0"/>
          <w:i/>
          <w:sz w:val="20"/>
        </w:rPr>
        <w:t xml:space="preserve"> 12/14/09)</w:t>
      </w:r>
    </w:p>
    <w:p w14:paraId="484AA9F8" w14:textId="77777777" w:rsidR="00C84046" w:rsidRPr="00B4697B" w:rsidRDefault="00C84046" w:rsidP="003757BA">
      <w:pPr>
        <w:shd w:val="clear" w:color="auto" w:fill="FFFFFF"/>
        <w:spacing w:line="270" w:lineRule="atLeast"/>
        <w:ind w:left="270"/>
        <w:rPr>
          <w:sz w:val="24"/>
          <w:szCs w:val="24"/>
        </w:rPr>
      </w:pPr>
      <w:r w:rsidRPr="00B4697B">
        <w:rPr>
          <w:sz w:val="24"/>
          <w:szCs w:val="24"/>
        </w:rPr>
        <w:t xml:space="preserve">If Company is controlled by, controlling, or under common control with, the issuer of any security, Company shall, before entering into any contract with or for a customer for the </w:t>
      </w:r>
      <w:r w:rsidRPr="00B4697B">
        <w:rPr>
          <w:sz w:val="24"/>
          <w:szCs w:val="24"/>
        </w:rPr>
        <w:lastRenderedPageBreak/>
        <w:t>purchase or sale of such security, disclose to such customer the existence of such control, and if such disclosure is not made in writing, it shall be supplemented by the giving or sending of written disclosure at or before the completion of the transaction.   In the case of any private placement, such disclosure shall be in the form of the offering memorandum given to customer.</w:t>
      </w:r>
    </w:p>
    <w:p w14:paraId="73676BE4" w14:textId="77777777" w:rsidR="003A0B4D" w:rsidRDefault="003A0B4D" w:rsidP="003757BA">
      <w:pPr>
        <w:shd w:val="clear" w:color="auto" w:fill="FFFFFF"/>
        <w:spacing w:line="270" w:lineRule="atLeast"/>
        <w:ind w:left="270"/>
        <w:rPr>
          <w:color w:val="0070C0"/>
          <w:sz w:val="24"/>
          <w:szCs w:val="24"/>
        </w:rPr>
      </w:pPr>
    </w:p>
    <w:p w14:paraId="61A2F56C" w14:textId="77777777" w:rsidR="00BB4796" w:rsidRPr="001A7509" w:rsidRDefault="00283D58" w:rsidP="003757BA">
      <w:pPr>
        <w:pStyle w:val="Heading3"/>
        <w:jc w:val="left"/>
      </w:pPr>
      <w:r w:rsidRPr="001A7509">
        <w:t>5.</w:t>
      </w:r>
      <w:r w:rsidR="000A6EEE">
        <w:t>29</w:t>
      </w:r>
      <w:r w:rsidR="0009063F">
        <w:t xml:space="preserve">.2 </w:t>
      </w:r>
      <w:r w:rsidR="00BB4796" w:rsidRPr="001A7509">
        <w:t>FINRA Rule 2264.  Margin Disclosure Statement</w:t>
      </w:r>
    </w:p>
    <w:p w14:paraId="43AE2A25" w14:textId="77777777" w:rsidR="00BB4796" w:rsidRDefault="00BB4796" w:rsidP="003757BA">
      <w:pPr>
        <w:ind w:left="270"/>
        <w:rPr>
          <w:sz w:val="24"/>
        </w:rPr>
      </w:pPr>
      <w:r>
        <w:rPr>
          <w:sz w:val="24"/>
        </w:rPr>
        <w:t>It shall be the responsibility of Morris Monroe to ensure that no margin account shall be opened for any non-institutional customer unless, prior to or at the ti</w:t>
      </w:r>
      <w:r w:rsidR="0007732C">
        <w:rPr>
          <w:sz w:val="24"/>
        </w:rPr>
        <w:t>me of opening the account, the C</w:t>
      </w:r>
      <w:r>
        <w:rPr>
          <w:sz w:val="24"/>
        </w:rPr>
        <w:t xml:space="preserve">ompany has furnished to the customer, individually, in writing or electronically,  the </w:t>
      </w:r>
      <w:r w:rsidR="00131232">
        <w:rPr>
          <w:sz w:val="24"/>
        </w:rPr>
        <w:t xml:space="preserve">clearing </w:t>
      </w:r>
      <w:r>
        <w:rPr>
          <w:sz w:val="24"/>
        </w:rPr>
        <w:t xml:space="preserve">company’s Margin Disclosure Statement.  The Margin Disclosure Statement is contained in </w:t>
      </w:r>
      <w:r w:rsidRPr="006D5CDF">
        <w:rPr>
          <w:sz w:val="24"/>
        </w:rPr>
        <w:t xml:space="preserve">the </w:t>
      </w:r>
      <w:r w:rsidR="00B84EAE" w:rsidRPr="006D5CDF">
        <w:rPr>
          <w:sz w:val="24"/>
        </w:rPr>
        <w:t>HTS</w:t>
      </w:r>
      <w:r w:rsidRPr="006D5CDF">
        <w:rPr>
          <w:sz w:val="24"/>
        </w:rPr>
        <w:t xml:space="preserve"> </w:t>
      </w:r>
      <w:r>
        <w:rPr>
          <w:sz w:val="24"/>
        </w:rPr>
        <w:t xml:space="preserve">Customer Information Brochure, which is given to all new </w:t>
      </w:r>
      <w:r w:rsidR="00B84EAE" w:rsidRPr="00AD760F">
        <w:rPr>
          <w:sz w:val="24"/>
        </w:rPr>
        <w:t>HTS</w:t>
      </w:r>
      <w:r w:rsidRPr="00AD760F">
        <w:rPr>
          <w:sz w:val="24"/>
        </w:rPr>
        <w:t xml:space="preserve"> </w:t>
      </w:r>
      <w:r>
        <w:rPr>
          <w:sz w:val="24"/>
        </w:rPr>
        <w:t>accounts.  The Company</w:t>
      </w:r>
      <w:r w:rsidR="0007732C">
        <w:rPr>
          <w:sz w:val="24"/>
        </w:rPr>
        <w:t>, through its clearing firm</w:t>
      </w:r>
      <w:r>
        <w:rPr>
          <w:sz w:val="24"/>
        </w:rPr>
        <w:t>, shall also provide the Margin Disclosure Statement on an annual basis via customer statements.  Copy of said statement will be maintained as part of Company’s records and initialed as evidence of review.</w:t>
      </w:r>
    </w:p>
    <w:p w14:paraId="0B93953A" w14:textId="77777777" w:rsidR="00990A11" w:rsidRDefault="00990A11" w:rsidP="003757BA">
      <w:pPr>
        <w:ind w:left="270"/>
        <w:rPr>
          <w:sz w:val="24"/>
        </w:rPr>
      </w:pPr>
    </w:p>
    <w:p w14:paraId="37D085FF" w14:textId="77777777" w:rsidR="00990A11" w:rsidRPr="00E42465" w:rsidRDefault="00990A11" w:rsidP="003757BA">
      <w:pPr>
        <w:pStyle w:val="Heading3"/>
        <w:jc w:val="left"/>
      </w:pPr>
      <w:bookmarkStart w:id="93" w:name="SIPC"/>
      <w:r>
        <w:t>5.</w:t>
      </w:r>
      <w:r w:rsidR="000A6EEE">
        <w:t>29</w:t>
      </w:r>
      <w:r>
        <w:t xml:space="preserve">.3 </w:t>
      </w:r>
      <w:r w:rsidRPr="00E42465">
        <w:t>FINRA Rule 2266</w:t>
      </w:r>
      <w:r w:rsidR="000434CF">
        <w:t xml:space="preserve"> </w:t>
      </w:r>
      <w:r>
        <w:t>-</w:t>
      </w:r>
      <w:r w:rsidR="000434CF">
        <w:t xml:space="preserve"> </w:t>
      </w:r>
      <w:r w:rsidRPr="00E42465">
        <w:t>SIPC Disclosure</w:t>
      </w:r>
    </w:p>
    <w:bookmarkEnd w:id="93"/>
    <w:p w14:paraId="55B15CC1" w14:textId="77777777" w:rsidR="00990A11" w:rsidRDefault="008202DC" w:rsidP="003757BA">
      <w:pPr>
        <w:ind w:left="270"/>
        <w:rPr>
          <w:sz w:val="24"/>
          <w:szCs w:val="24"/>
        </w:rPr>
      </w:pPr>
      <w:r w:rsidRPr="008202DC">
        <w:rPr>
          <w:color w:val="333333"/>
          <w:sz w:val="24"/>
          <w:szCs w:val="24"/>
          <w:shd w:val="clear" w:color="auto" w:fill="FFFFFF"/>
        </w:rPr>
        <w:t xml:space="preserve">It shall be the responsibility of Morris Monroe </w:t>
      </w:r>
      <w:r w:rsidRPr="000C2308">
        <w:rPr>
          <w:sz w:val="24"/>
          <w:szCs w:val="24"/>
          <w:shd w:val="clear" w:color="auto" w:fill="FFFFFF"/>
        </w:rPr>
        <w:t>or Compliance</w:t>
      </w:r>
      <w:r w:rsidRPr="000C2308">
        <w:rPr>
          <w:rFonts w:ascii="Arial" w:hAnsi="Arial" w:cs="Arial"/>
          <w:sz w:val="21"/>
          <w:szCs w:val="21"/>
          <w:shd w:val="clear" w:color="auto" w:fill="FFFFFF"/>
        </w:rPr>
        <w:t> </w:t>
      </w:r>
      <w:r>
        <w:rPr>
          <w:sz w:val="24"/>
          <w:szCs w:val="24"/>
        </w:rPr>
        <w:t>to ensure a</w:t>
      </w:r>
      <w:r w:rsidR="00990A11" w:rsidRPr="00A83989">
        <w:rPr>
          <w:sz w:val="24"/>
          <w:szCs w:val="24"/>
        </w:rPr>
        <w:t xml:space="preserve">ll new customers </w:t>
      </w:r>
      <w:r w:rsidR="00B60E3A">
        <w:rPr>
          <w:sz w:val="24"/>
          <w:szCs w:val="24"/>
        </w:rPr>
        <w:t xml:space="preserve">shall </w:t>
      </w:r>
      <w:r w:rsidR="00990A11" w:rsidRPr="00A83989">
        <w:rPr>
          <w:sz w:val="24"/>
          <w:szCs w:val="24"/>
        </w:rPr>
        <w:t xml:space="preserve">receive, in writing or electronically, at the time of opening an account, information about SIPC, including the SIPC brochure by contacting SIPC and providing their website at </w:t>
      </w:r>
      <w:hyperlink r:id="rId20" w:history="1">
        <w:r w:rsidR="00990A11" w:rsidRPr="00A83989">
          <w:rPr>
            <w:rStyle w:val="Hyperlink"/>
            <w:color w:val="auto"/>
            <w:sz w:val="24"/>
            <w:szCs w:val="24"/>
          </w:rPr>
          <w:t>www.sipc.org</w:t>
        </w:r>
      </w:hyperlink>
      <w:r w:rsidR="00990A11" w:rsidRPr="00A83989">
        <w:rPr>
          <w:sz w:val="24"/>
          <w:szCs w:val="24"/>
        </w:rPr>
        <w:t xml:space="preserve"> and telephone number (202) 371-8300.  Such information will be provided via the New Account Form.  In addition, the Company will provide such information in writing or electronically at least once a year</w:t>
      </w:r>
      <w:r w:rsidR="00D17007">
        <w:rPr>
          <w:sz w:val="24"/>
          <w:szCs w:val="24"/>
        </w:rPr>
        <w:t xml:space="preserve"> </w:t>
      </w:r>
      <w:r w:rsidR="00D17007" w:rsidRPr="000C2308">
        <w:rPr>
          <w:sz w:val="24"/>
          <w:szCs w:val="24"/>
        </w:rPr>
        <w:t>(through its clearing firm)</w:t>
      </w:r>
      <w:r w:rsidR="00990A11" w:rsidRPr="000C2308">
        <w:rPr>
          <w:sz w:val="24"/>
          <w:szCs w:val="24"/>
        </w:rPr>
        <w:t xml:space="preserve">.  </w:t>
      </w:r>
      <w:r w:rsidR="00990A11" w:rsidRPr="00A83989">
        <w:rPr>
          <w:sz w:val="24"/>
          <w:szCs w:val="24"/>
        </w:rPr>
        <w:t>Effective date for the rule is November 6, 2007.</w:t>
      </w:r>
    </w:p>
    <w:p w14:paraId="10403F25" w14:textId="77777777" w:rsidR="004917FA" w:rsidRDefault="004917FA" w:rsidP="003757BA">
      <w:pPr>
        <w:ind w:left="270"/>
        <w:rPr>
          <w:sz w:val="24"/>
          <w:szCs w:val="24"/>
        </w:rPr>
      </w:pPr>
    </w:p>
    <w:p w14:paraId="0BC3188E" w14:textId="77777777" w:rsidR="004917FA" w:rsidRPr="00D949D0" w:rsidRDefault="004B0934" w:rsidP="003757BA">
      <w:pPr>
        <w:pStyle w:val="fmtsstext"/>
        <w:shd w:val="clear" w:color="auto" w:fill="FFFFFF"/>
        <w:ind w:left="270"/>
        <w:rPr>
          <w:rFonts w:ascii="Times New Roman" w:hAnsi="Times New Roman" w:cs="Times New Roman"/>
          <w:sz w:val="24"/>
          <w:szCs w:val="24"/>
        </w:rPr>
      </w:pPr>
      <w:r w:rsidRPr="00C91BA6">
        <w:rPr>
          <w:rFonts w:ascii="Times New Roman" w:hAnsi="Times New Roman" w:cs="Times New Roman"/>
          <w:sz w:val="24"/>
          <w:szCs w:val="24"/>
        </w:rPr>
        <w:t>Retail Communication</w:t>
      </w:r>
      <w:r w:rsidR="004917FA" w:rsidRPr="00D949D0">
        <w:rPr>
          <w:rFonts w:ascii="Times New Roman" w:hAnsi="Times New Roman" w:cs="Times New Roman"/>
          <w:sz w:val="24"/>
          <w:szCs w:val="24"/>
        </w:rPr>
        <w:t xml:space="preserve"> must include a notation that </w:t>
      </w:r>
      <w:r w:rsidR="008308C6" w:rsidRPr="00D949D0">
        <w:rPr>
          <w:rFonts w:ascii="Times New Roman" w:hAnsi="Times New Roman" w:cs="Times New Roman"/>
          <w:sz w:val="24"/>
          <w:szCs w:val="24"/>
        </w:rPr>
        <w:t>Company</w:t>
      </w:r>
      <w:r w:rsidR="004917FA" w:rsidRPr="00D949D0">
        <w:rPr>
          <w:rFonts w:ascii="Times New Roman" w:hAnsi="Times New Roman" w:cs="Times New Roman"/>
          <w:sz w:val="24"/>
          <w:szCs w:val="24"/>
        </w:rPr>
        <w:t xml:space="preserve"> is a member of SIPC, </w:t>
      </w:r>
      <w:r w:rsidR="004917FA" w:rsidRPr="00D949D0">
        <w:rPr>
          <w:rFonts w:ascii="Times New Roman" w:hAnsi="Times New Roman" w:cs="Times New Roman"/>
          <w:i/>
          <w:iCs/>
          <w:sz w:val="24"/>
          <w:szCs w:val="24"/>
        </w:rPr>
        <w:t>e.g.,</w:t>
      </w:r>
      <w:r w:rsidR="004917FA" w:rsidRPr="00D949D0">
        <w:rPr>
          <w:rFonts w:ascii="Times New Roman" w:hAnsi="Times New Roman" w:cs="Times New Roman"/>
          <w:sz w:val="24"/>
          <w:szCs w:val="24"/>
        </w:rPr>
        <w:t xml:space="preserve"> "Member SIPC."  When SIPC is referenced in </w:t>
      </w:r>
      <w:r w:rsidR="008308C6" w:rsidRPr="00D949D0">
        <w:rPr>
          <w:rFonts w:ascii="Times New Roman" w:hAnsi="Times New Roman" w:cs="Times New Roman"/>
          <w:sz w:val="24"/>
          <w:szCs w:val="24"/>
        </w:rPr>
        <w:t>Com</w:t>
      </w:r>
      <w:r w:rsidR="004917FA" w:rsidRPr="00D949D0">
        <w:rPr>
          <w:rFonts w:ascii="Times New Roman" w:hAnsi="Times New Roman" w:cs="Times New Roman"/>
          <w:sz w:val="24"/>
          <w:szCs w:val="24"/>
        </w:rPr>
        <w:t>p</w:t>
      </w:r>
      <w:r w:rsidR="008308C6" w:rsidRPr="00D949D0">
        <w:rPr>
          <w:rFonts w:ascii="Times New Roman" w:hAnsi="Times New Roman" w:cs="Times New Roman"/>
          <w:sz w:val="24"/>
          <w:szCs w:val="24"/>
        </w:rPr>
        <w:t>any</w:t>
      </w:r>
      <w:r w:rsidR="004917FA" w:rsidRPr="00D949D0">
        <w:rPr>
          <w:rFonts w:ascii="Times New Roman" w:hAnsi="Times New Roman" w:cs="Times New Roman"/>
          <w:sz w:val="24"/>
          <w:szCs w:val="24"/>
        </w:rPr>
        <w:t>'s web site, the site will include a hyperlink to the SIPC web site.</w:t>
      </w:r>
    </w:p>
    <w:p w14:paraId="5691B635" w14:textId="77777777" w:rsidR="00990A11" w:rsidRDefault="00990A11" w:rsidP="003757BA">
      <w:pPr>
        <w:ind w:left="270"/>
        <w:rPr>
          <w:sz w:val="24"/>
        </w:rPr>
      </w:pPr>
    </w:p>
    <w:p w14:paraId="2F07F90E" w14:textId="77777777" w:rsidR="00AF4F3A" w:rsidRPr="00D549C4" w:rsidRDefault="00AF4F3A" w:rsidP="003757BA">
      <w:pPr>
        <w:pStyle w:val="Heading3"/>
        <w:jc w:val="left"/>
        <w:rPr>
          <w:i/>
          <w:sz w:val="20"/>
        </w:rPr>
      </w:pPr>
      <w:r>
        <w:t>5.</w:t>
      </w:r>
      <w:r w:rsidR="000A6EEE">
        <w:t>29</w:t>
      </w:r>
      <w:r w:rsidR="0009063F">
        <w:t>.4</w:t>
      </w:r>
      <w:r>
        <w:t xml:space="preserve"> </w:t>
      </w:r>
      <w:r w:rsidRPr="00D549C4">
        <w:t>FINRA Rule 2267</w:t>
      </w:r>
      <w:r w:rsidR="000434CF">
        <w:t xml:space="preserve"> </w:t>
      </w:r>
      <w:r w:rsidRPr="00D549C4">
        <w:t>-</w:t>
      </w:r>
      <w:r w:rsidR="000434CF">
        <w:t xml:space="preserve"> </w:t>
      </w:r>
      <w:r w:rsidRPr="00D549C4">
        <w:t xml:space="preserve">Investor Education and Protection </w:t>
      </w:r>
      <w:r w:rsidRPr="00AF20A5">
        <w:rPr>
          <w:b w:val="0"/>
          <w:i/>
          <w:sz w:val="20"/>
        </w:rPr>
        <w:t>(</w:t>
      </w:r>
      <w:proofErr w:type="gramStart"/>
      <w:r w:rsidRPr="00AF20A5">
        <w:rPr>
          <w:b w:val="0"/>
          <w:i/>
          <w:sz w:val="20"/>
        </w:rPr>
        <w:t>eff</w:t>
      </w:r>
      <w:proofErr w:type="gramEnd"/>
      <w:r w:rsidRPr="00AF20A5">
        <w:rPr>
          <w:b w:val="0"/>
          <w:i/>
          <w:sz w:val="20"/>
        </w:rPr>
        <w:t xml:space="preserve"> 8/17/09)</w:t>
      </w:r>
    </w:p>
    <w:p w14:paraId="5FEA53D8" w14:textId="77777777" w:rsidR="00AF4F3A" w:rsidRPr="000C2308" w:rsidRDefault="00AF4F3A" w:rsidP="003757BA">
      <w:pPr>
        <w:ind w:left="270"/>
        <w:rPr>
          <w:sz w:val="24"/>
          <w:szCs w:val="24"/>
        </w:rPr>
      </w:pPr>
      <w:r w:rsidRPr="00B4697B">
        <w:rPr>
          <w:sz w:val="24"/>
          <w:szCs w:val="24"/>
        </w:rPr>
        <w:t xml:space="preserve">Company will provide new customers with FINRA website information which includes a Customer Guide to FINRA and Investor Services Brochure and registration and other information on Company and brokers (which can also be accessed by calling 800-289-9999 or </w:t>
      </w:r>
      <w:hyperlink r:id="rId21" w:history="1">
        <w:r w:rsidRPr="00B4697B">
          <w:rPr>
            <w:rStyle w:val="Hyperlink"/>
            <w:color w:val="auto"/>
            <w:sz w:val="24"/>
            <w:szCs w:val="24"/>
          </w:rPr>
          <w:t>www.finra.org/brokercheck</w:t>
        </w:r>
      </w:hyperlink>
      <w:r w:rsidRPr="00B4697B">
        <w:rPr>
          <w:sz w:val="24"/>
          <w:szCs w:val="24"/>
        </w:rPr>
        <w:t>)</w:t>
      </w:r>
      <w:r w:rsidR="00672D8B">
        <w:rPr>
          <w:sz w:val="24"/>
          <w:szCs w:val="24"/>
        </w:rPr>
        <w:t xml:space="preserve"> </w:t>
      </w:r>
      <w:r w:rsidR="00672D8B" w:rsidRPr="000C2308">
        <w:rPr>
          <w:sz w:val="24"/>
          <w:szCs w:val="24"/>
        </w:rPr>
        <w:t>through Company’s New Account form and ongoing on its website</w:t>
      </w:r>
      <w:r w:rsidR="00E65FB8" w:rsidRPr="000C2308">
        <w:rPr>
          <w:sz w:val="24"/>
          <w:szCs w:val="24"/>
        </w:rPr>
        <w:t xml:space="preserve">.  The </w:t>
      </w:r>
      <w:r w:rsidRPr="000C2308">
        <w:rPr>
          <w:sz w:val="24"/>
          <w:szCs w:val="24"/>
        </w:rPr>
        <w:t xml:space="preserve">offer </w:t>
      </w:r>
      <w:r w:rsidR="00E65FB8" w:rsidRPr="000C2308">
        <w:rPr>
          <w:sz w:val="24"/>
          <w:szCs w:val="24"/>
        </w:rPr>
        <w:t xml:space="preserve">of </w:t>
      </w:r>
      <w:r w:rsidRPr="000C2308">
        <w:rPr>
          <w:sz w:val="24"/>
          <w:szCs w:val="24"/>
        </w:rPr>
        <w:t>the in</w:t>
      </w:r>
      <w:r w:rsidR="00E65FB8" w:rsidRPr="000C2308">
        <w:rPr>
          <w:sz w:val="24"/>
          <w:szCs w:val="24"/>
        </w:rPr>
        <w:t>formation to customers annually will be conducted through Company’s clearing firm</w:t>
      </w:r>
      <w:r w:rsidR="00672D8B" w:rsidRPr="000C2308">
        <w:rPr>
          <w:sz w:val="24"/>
          <w:szCs w:val="24"/>
        </w:rPr>
        <w:t xml:space="preserve"> (typically in the September customer statement)</w:t>
      </w:r>
      <w:r w:rsidR="00E65FB8" w:rsidRPr="000C2308">
        <w:rPr>
          <w:sz w:val="24"/>
          <w:szCs w:val="24"/>
        </w:rPr>
        <w:t>.</w:t>
      </w:r>
    </w:p>
    <w:p w14:paraId="3B9F636E" w14:textId="77777777" w:rsidR="00CA3A30" w:rsidRPr="000C2308" w:rsidRDefault="00CA3A30" w:rsidP="003757BA">
      <w:pPr>
        <w:ind w:left="270"/>
        <w:rPr>
          <w:sz w:val="24"/>
          <w:szCs w:val="24"/>
        </w:rPr>
      </w:pPr>
    </w:p>
    <w:p w14:paraId="6CB64441" w14:textId="77777777" w:rsidR="00CA3A30" w:rsidRPr="006A3D3E" w:rsidRDefault="00CA3A30" w:rsidP="003757BA">
      <w:pPr>
        <w:pStyle w:val="Heading3"/>
        <w:jc w:val="left"/>
        <w:rPr>
          <w:i/>
          <w:sz w:val="20"/>
        </w:rPr>
      </w:pPr>
      <w:r w:rsidRPr="006A3D3E">
        <w:t>5.</w:t>
      </w:r>
      <w:r w:rsidR="000A6EEE">
        <w:t>29</w:t>
      </w:r>
      <w:r w:rsidRPr="006A3D3E">
        <w:t>.5</w:t>
      </w:r>
      <w:r w:rsidR="0009063F">
        <w:t xml:space="preserve"> </w:t>
      </w:r>
      <w:r w:rsidRPr="006A3D3E">
        <w:t>FINRA Rule 2269</w:t>
      </w:r>
      <w:r w:rsidR="008752E3" w:rsidRPr="006A3D3E">
        <w:t xml:space="preserve"> </w:t>
      </w:r>
      <w:r w:rsidRPr="006A3D3E">
        <w:t>-</w:t>
      </w:r>
      <w:r w:rsidR="008752E3" w:rsidRPr="006A3D3E">
        <w:t xml:space="preserve"> </w:t>
      </w:r>
      <w:r w:rsidRPr="006A3D3E">
        <w:t xml:space="preserve">Participation or Interest in Primary or Secondary </w:t>
      </w:r>
      <w:r w:rsidR="00B4697B">
        <w:t>D</w:t>
      </w:r>
      <w:r w:rsidRPr="006A3D3E">
        <w:t>istribution</w:t>
      </w:r>
      <w:r w:rsidR="008752E3" w:rsidRPr="006A3D3E">
        <w:t xml:space="preserve"> </w:t>
      </w:r>
      <w:r w:rsidR="008752E3" w:rsidRPr="00AF20A5">
        <w:rPr>
          <w:b w:val="0"/>
          <w:i/>
          <w:sz w:val="20"/>
        </w:rPr>
        <w:t>(</w:t>
      </w:r>
      <w:proofErr w:type="gramStart"/>
      <w:r w:rsidR="008752E3" w:rsidRPr="00AF20A5">
        <w:rPr>
          <w:b w:val="0"/>
          <w:i/>
          <w:sz w:val="20"/>
        </w:rPr>
        <w:t>eff</w:t>
      </w:r>
      <w:proofErr w:type="gramEnd"/>
      <w:r w:rsidR="008752E3" w:rsidRPr="00AF20A5">
        <w:rPr>
          <w:b w:val="0"/>
          <w:i/>
          <w:sz w:val="20"/>
        </w:rPr>
        <w:t xml:space="preserve"> 12/14/09)</w:t>
      </w:r>
    </w:p>
    <w:p w14:paraId="276574E4" w14:textId="77777777" w:rsidR="00B218D1" w:rsidRPr="00B4697B" w:rsidRDefault="00E8783C" w:rsidP="003757BA">
      <w:pPr>
        <w:shd w:val="clear" w:color="auto" w:fill="FFFFFF"/>
        <w:spacing w:line="270" w:lineRule="atLeast"/>
        <w:ind w:left="270"/>
        <w:rPr>
          <w:sz w:val="24"/>
          <w:szCs w:val="24"/>
        </w:rPr>
      </w:pPr>
      <w:r w:rsidRPr="00B4697B">
        <w:rPr>
          <w:sz w:val="24"/>
          <w:szCs w:val="24"/>
        </w:rPr>
        <w:t>Company,</w:t>
      </w:r>
      <w:r w:rsidR="00B218D1" w:rsidRPr="00B4697B">
        <w:rPr>
          <w:sz w:val="24"/>
          <w:szCs w:val="24"/>
        </w:rPr>
        <w:t xml:space="preserve"> acting as </w:t>
      </w:r>
      <w:r w:rsidRPr="00B4697B">
        <w:rPr>
          <w:sz w:val="24"/>
          <w:szCs w:val="24"/>
        </w:rPr>
        <w:t xml:space="preserve">either </w:t>
      </w:r>
      <w:r w:rsidR="00B218D1" w:rsidRPr="00B4697B">
        <w:rPr>
          <w:sz w:val="24"/>
          <w:szCs w:val="24"/>
        </w:rPr>
        <w:t xml:space="preserve">a broker </w:t>
      </w:r>
      <w:r w:rsidRPr="00B4697B">
        <w:rPr>
          <w:sz w:val="24"/>
          <w:szCs w:val="24"/>
        </w:rPr>
        <w:t xml:space="preserve">or dealer </w:t>
      </w:r>
      <w:r w:rsidR="00B218D1" w:rsidRPr="00B4697B">
        <w:rPr>
          <w:sz w:val="24"/>
          <w:szCs w:val="24"/>
        </w:rPr>
        <w:t xml:space="preserve">for a customer or for both such customer and some other person, and who receives or has promise of receiving a fee from a customer for advising such customer with respect to securities, shall, at or before the completion of any transaction for or with such customer in any security in the primary or secondary distribution of which </w:t>
      </w:r>
      <w:r w:rsidRPr="00B4697B">
        <w:rPr>
          <w:sz w:val="24"/>
          <w:szCs w:val="24"/>
        </w:rPr>
        <w:t>Company</w:t>
      </w:r>
      <w:r w:rsidR="00B218D1" w:rsidRPr="00B4697B">
        <w:rPr>
          <w:sz w:val="24"/>
          <w:szCs w:val="24"/>
        </w:rPr>
        <w:t xml:space="preserve"> is participating or is otherwise financially interested, give such customer written notification of the existence of such participation or interest. </w:t>
      </w:r>
    </w:p>
    <w:p w14:paraId="7A420B4B" w14:textId="77777777" w:rsidR="00856E09" w:rsidRDefault="00856E09" w:rsidP="003757BA">
      <w:pPr>
        <w:shd w:val="clear" w:color="auto" w:fill="FFFFFF"/>
        <w:spacing w:line="270" w:lineRule="atLeast"/>
        <w:ind w:left="270"/>
        <w:rPr>
          <w:color w:val="FF0000"/>
          <w:sz w:val="24"/>
          <w:szCs w:val="24"/>
        </w:rPr>
      </w:pPr>
    </w:p>
    <w:p w14:paraId="52B82C7D" w14:textId="77777777" w:rsidR="00856E09" w:rsidRPr="003E1496" w:rsidRDefault="00856E09" w:rsidP="003757BA">
      <w:pPr>
        <w:pStyle w:val="Heading3"/>
        <w:jc w:val="left"/>
        <w:rPr>
          <w:b w:val="0"/>
          <w:i/>
          <w:sz w:val="20"/>
          <w:szCs w:val="20"/>
        </w:rPr>
      </w:pPr>
      <w:r>
        <w:lastRenderedPageBreak/>
        <w:t>5.</w:t>
      </w:r>
      <w:r w:rsidR="000A6EEE">
        <w:t>29</w:t>
      </w:r>
      <w:r>
        <w:t>.6 FINRA Rule 2261 – Disclosure of Financial Condition to Customers</w:t>
      </w:r>
      <w:r w:rsidR="003E1496">
        <w:t xml:space="preserve"> </w:t>
      </w:r>
      <w:r w:rsidR="003E1496">
        <w:rPr>
          <w:b w:val="0"/>
          <w:i/>
          <w:sz w:val="20"/>
          <w:szCs w:val="20"/>
        </w:rPr>
        <w:t>(</w:t>
      </w:r>
      <w:proofErr w:type="gramStart"/>
      <w:r w:rsidR="003E1496">
        <w:rPr>
          <w:b w:val="0"/>
          <w:i/>
          <w:sz w:val="20"/>
          <w:szCs w:val="20"/>
        </w:rPr>
        <w:t>eff</w:t>
      </w:r>
      <w:proofErr w:type="gramEnd"/>
      <w:r w:rsidR="003E1496">
        <w:rPr>
          <w:b w:val="0"/>
          <w:i/>
          <w:sz w:val="20"/>
          <w:szCs w:val="20"/>
        </w:rPr>
        <w:t xml:space="preserve"> 6/14/10)</w:t>
      </w:r>
    </w:p>
    <w:p w14:paraId="7E8F9524" w14:textId="77777777" w:rsidR="00922E91" w:rsidRDefault="00922E91" w:rsidP="003757BA">
      <w:pPr>
        <w:shd w:val="clear" w:color="auto" w:fill="FFFFFF"/>
        <w:spacing w:line="270" w:lineRule="atLeast"/>
        <w:ind w:left="270"/>
        <w:rPr>
          <w:sz w:val="24"/>
          <w:szCs w:val="24"/>
        </w:rPr>
      </w:pPr>
      <w:r w:rsidRPr="00AF20A5">
        <w:rPr>
          <w:sz w:val="24"/>
          <w:szCs w:val="24"/>
        </w:rPr>
        <w:t xml:space="preserve">Company shall make available to inspection by any bona fide regular customer, upon request, the information relative to Company's financial condition as disclosed in its most recent balance sheet prepared either in accordance with Company's usual practice or as required by any state or federal securities laws, or any rule or regulation thereunder. In lieu of making such balance sheet available to inspection, Company may deliver the balance sheet to the requesting customer in paper or electronic form; provided that, with respect to electronic delivery, the customer consents to receive the balance sheet in electronic form.   In addition, if Company is a party to an open transaction or who has on deposit cash or securities of another member, Company shall deliver upon written request of the other member, in paper or electronic form, a statement of its financial condition as disclosed in its most recent balance sheet prepared either in accordance with Company's usual practice or as required by any state or federal securities laws, or any rule or regulation thereunder and may deliver in electronic form without consent.  "Customer" shall mean any person who, in the regular course of Company's business, has cash or securities </w:t>
      </w:r>
      <w:r w:rsidR="00D73865">
        <w:rPr>
          <w:sz w:val="24"/>
          <w:szCs w:val="24"/>
        </w:rPr>
        <w:t>with</w:t>
      </w:r>
      <w:r w:rsidRPr="00AF20A5">
        <w:rPr>
          <w:sz w:val="24"/>
          <w:szCs w:val="24"/>
        </w:rPr>
        <w:t xml:space="preserve"> Company</w:t>
      </w:r>
      <w:r w:rsidR="00D73865">
        <w:rPr>
          <w:sz w:val="24"/>
          <w:szCs w:val="24"/>
        </w:rPr>
        <w:t xml:space="preserve"> as the broker/dealer</w:t>
      </w:r>
      <w:r w:rsidRPr="00AF20A5">
        <w:rPr>
          <w:sz w:val="24"/>
          <w:szCs w:val="24"/>
        </w:rPr>
        <w:t xml:space="preserve">. </w:t>
      </w:r>
    </w:p>
    <w:p w14:paraId="65598F32" w14:textId="77777777" w:rsidR="006B34DB" w:rsidRDefault="006B34DB" w:rsidP="003757BA">
      <w:pPr>
        <w:shd w:val="clear" w:color="auto" w:fill="FFFFFF"/>
        <w:spacing w:line="270" w:lineRule="atLeast"/>
        <w:ind w:left="270"/>
        <w:rPr>
          <w:sz w:val="24"/>
          <w:szCs w:val="24"/>
        </w:rPr>
      </w:pPr>
    </w:p>
    <w:p w14:paraId="37D75A97" w14:textId="77777777" w:rsidR="00B42305" w:rsidRDefault="00B42305" w:rsidP="00B42305">
      <w:pPr>
        <w:pStyle w:val="Heading3"/>
      </w:pPr>
      <w:r>
        <w:t>5.</w:t>
      </w:r>
      <w:r w:rsidR="000A6EEE">
        <w:t>29</w:t>
      </w:r>
      <w:r>
        <w:t xml:space="preserve">.7 ERISA </w:t>
      </w:r>
      <w:r w:rsidR="00C23AAF">
        <w:t>Plans</w:t>
      </w:r>
    </w:p>
    <w:p w14:paraId="5BBB1C22" w14:textId="77777777" w:rsidR="00B42305" w:rsidRPr="00D949D0" w:rsidRDefault="00B42305" w:rsidP="003464CF">
      <w:pPr>
        <w:pStyle w:val="fmtssstext"/>
        <w:shd w:val="clear" w:color="auto" w:fill="FFFFFF"/>
        <w:spacing w:before="0" w:after="0" w:afterAutospacing="0" w:line="240" w:lineRule="auto"/>
        <w:ind w:left="270"/>
        <w:rPr>
          <w:rFonts w:ascii="Times New Roman" w:hAnsi="Times New Roman" w:cs="Times New Roman"/>
          <w:sz w:val="24"/>
          <w:szCs w:val="24"/>
        </w:rPr>
      </w:pPr>
      <w:r w:rsidRPr="00D949D0">
        <w:rPr>
          <w:rFonts w:ascii="Times New Roman" w:hAnsi="Times New Roman" w:cs="Times New Roman"/>
          <w:sz w:val="24"/>
          <w:szCs w:val="24"/>
        </w:rPr>
        <w:t>The Employee Retirement Income Security Act of 1974 (ERISA) is a federal law that sets minimum standards for most voluntarily established pension and health plans in private industry and provides protection for individuals in these plans.</w:t>
      </w:r>
    </w:p>
    <w:p w14:paraId="343336EB" w14:textId="77777777" w:rsidR="00463FD8" w:rsidRPr="00D949D0" w:rsidRDefault="00463FD8" w:rsidP="003464CF">
      <w:pPr>
        <w:pStyle w:val="fmtssstext"/>
        <w:shd w:val="clear" w:color="auto" w:fill="FFFFFF"/>
        <w:spacing w:before="0" w:after="0" w:afterAutospacing="0" w:line="240" w:lineRule="auto"/>
        <w:ind w:left="270"/>
        <w:rPr>
          <w:rFonts w:ascii="Times New Roman" w:hAnsi="Times New Roman" w:cs="Times New Roman"/>
          <w:sz w:val="24"/>
          <w:szCs w:val="24"/>
        </w:rPr>
      </w:pPr>
    </w:p>
    <w:p w14:paraId="2BCEA4CC" w14:textId="77777777" w:rsidR="00B42305" w:rsidRPr="00D949D0" w:rsidRDefault="00B42305" w:rsidP="003464CF">
      <w:pPr>
        <w:pStyle w:val="fmtssstext"/>
        <w:shd w:val="clear" w:color="auto" w:fill="FFFFFF"/>
        <w:spacing w:before="0" w:after="0" w:afterAutospacing="0" w:line="240" w:lineRule="auto"/>
        <w:ind w:left="270"/>
        <w:rPr>
          <w:rFonts w:ascii="Times New Roman" w:hAnsi="Times New Roman" w:cs="Times New Roman"/>
          <w:sz w:val="24"/>
          <w:szCs w:val="24"/>
        </w:rPr>
      </w:pPr>
      <w:r w:rsidRPr="00D949D0">
        <w:rPr>
          <w:rFonts w:ascii="Times New Roman" w:hAnsi="Times New Roman" w:cs="Times New Roman"/>
          <w:sz w:val="24"/>
          <w:szCs w:val="24"/>
        </w:rPr>
        <w:t>A "fiduciary" is generally anyone with discretionary authority or control over the management of a plan, the administration of the plan, or the disposition of plan assets. Fiduciaries must comply with certain statutory duties which include prudence and diversification of investments and the duty to act in accordance with the governing instruments of the plan.</w:t>
      </w:r>
      <w:r w:rsidR="003464CF" w:rsidRPr="00D949D0">
        <w:rPr>
          <w:rFonts w:ascii="Times New Roman" w:hAnsi="Times New Roman" w:cs="Times New Roman"/>
          <w:sz w:val="24"/>
          <w:szCs w:val="24"/>
        </w:rPr>
        <w:t xml:space="preserve"> </w:t>
      </w:r>
      <w:r w:rsidRPr="00D949D0">
        <w:rPr>
          <w:rFonts w:ascii="Times New Roman" w:hAnsi="Times New Roman" w:cs="Times New Roman"/>
          <w:sz w:val="24"/>
          <w:szCs w:val="24"/>
        </w:rPr>
        <w:t>A person or entity providing services to an ERISA plan is considered a "</w:t>
      </w:r>
      <w:r w:rsidRPr="00D949D0">
        <w:rPr>
          <w:rFonts w:ascii="Times New Roman" w:hAnsi="Times New Roman" w:cs="Times New Roman"/>
          <w:sz w:val="24"/>
          <w:szCs w:val="24"/>
          <w:u w:val="single"/>
        </w:rPr>
        <w:t>party-in-interest</w:t>
      </w:r>
      <w:r w:rsidRPr="00D949D0">
        <w:rPr>
          <w:rFonts w:ascii="Times New Roman" w:hAnsi="Times New Roman" w:cs="Times New Roman"/>
          <w:sz w:val="24"/>
          <w:szCs w:val="24"/>
        </w:rPr>
        <w:t xml:space="preserve">" to the plan. This status generally applies to broker-dealers providing traditional brokerage services to ERISA plans. </w:t>
      </w:r>
      <w:r w:rsidR="003464CF" w:rsidRPr="00D949D0">
        <w:rPr>
          <w:rFonts w:ascii="Times New Roman" w:hAnsi="Times New Roman" w:cs="Times New Roman"/>
          <w:sz w:val="24"/>
          <w:szCs w:val="24"/>
        </w:rPr>
        <w:t>Company</w:t>
      </w:r>
      <w:r w:rsidRPr="00D949D0">
        <w:rPr>
          <w:rFonts w:ascii="Times New Roman" w:hAnsi="Times New Roman" w:cs="Times New Roman"/>
          <w:sz w:val="24"/>
          <w:szCs w:val="24"/>
        </w:rPr>
        <w:t xml:space="preserve">'s role in relation to ERISA plan accounts generally is as a party-in-interest unless </w:t>
      </w:r>
      <w:r w:rsidR="003464CF" w:rsidRPr="00D949D0">
        <w:rPr>
          <w:rFonts w:ascii="Times New Roman" w:hAnsi="Times New Roman" w:cs="Times New Roman"/>
          <w:sz w:val="24"/>
          <w:szCs w:val="24"/>
        </w:rPr>
        <w:t>Company</w:t>
      </w:r>
      <w:r w:rsidRPr="00D949D0">
        <w:rPr>
          <w:rFonts w:ascii="Times New Roman" w:hAnsi="Times New Roman" w:cs="Times New Roman"/>
          <w:sz w:val="24"/>
          <w:szCs w:val="24"/>
        </w:rPr>
        <w:t xml:space="preserve"> contracts to provide investment management services or other services where </w:t>
      </w:r>
      <w:r w:rsidR="0045737F" w:rsidRPr="00D949D0">
        <w:rPr>
          <w:rFonts w:ascii="Times New Roman" w:hAnsi="Times New Roman" w:cs="Times New Roman"/>
          <w:sz w:val="24"/>
          <w:szCs w:val="24"/>
        </w:rPr>
        <w:t>Company would</w:t>
      </w:r>
      <w:r w:rsidRPr="00D949D0">
        <w:rPr>
          <w:rFonts w:ascii="Times New Roman" w:hAnsi="Times New Roman" w:cs="Times New Roman"/>
          <w:sz w:val="24"/>
          <w:szCs w:val="24"/>
        </w:rPr>
        <w:t xml:space="preserve"> become a fiduciary to an ERISA plan.</w:t>
      </w:r>
    </w:p>
    <w:p w14:paraId="3194EE44" w14:textId="77777777" w:rsidR="003464CF" w:rsidRPr="00D949D0" w:rsidRDefault="003464CF" w:rsidP="0014414F"/>
    <w:p w14:paraId="39857D79" w14:textId="77777777" w:rsidR="00B42305" w:rsidRPr="00D949D0" w:rsidRDefault="00B42305" w:rsidP="0045737F">
      <w:pPr>
        <w:ind w:left="270"/>
        <w:rPr>
          <w:b/>
          <w:sz w:val="24"/>
          <w:szCs w:val="24"/>
        </w:rPr>
      </w:pPr>
      <w:r w:rsidRPr="00D949D0">
        <w:rPr>
          <w:b/>
          <w:sz w:val="24"/>
          <w:szCs w:val="24"/>
        </w:rPr>
        <w:t xml:space="preserve">Permissible Transactions </w:t>
      </w:r>
    </w:p>
    <w:p w14:paraId="512B4B78" w14:textId="77777777" w:rsidR="00B42305" w:rsidRPr="00D949D0" w:rsidRDefault="00B42305" w:rsidP="003464CF">
      <w:pPr>
        <w:pStyle w:val="fmtssstext"/>
        <w:shd w:val="clear" w:color="auto" w:fill="FFFFFF"/>
        <w:spacing w:before="0" w:after="0" w:afterAutospacing="0" w:line="240" w:lineRule="auto"/>
        <w:ind w:left="270"/>
        <w:rPr>
          <w:rFonts w:ascii="Times New Roman" w:hAnsi="Times New Roman" w:cs="Times New Roman"/>
          <w:sz w:val="24"/>
          <w:szCs w:val="24"/>
        </w:rPr>
      </w:pPr>
      <w:r w:rsidRPr="00D949D0">
        <w:rPr>
          <w:rFonts w:ascii="Times New Roman" w:hAnsi="Times New Roman" w:cs="Times New Roman"/>
          <w:sz w:val="24"/>
          <w:szCs w:val="24"/>
        </w:rPr>
        <w:t xml:space="preserve">Allowable transactions </w:t>
      </w:r>
      <w:r w:rsidR="0045737F" w:rsidRPr="00D949D0">
        <w:rPr>
          <w:rFonts w:ascii="Times New Roman" w:hAnsi="Times New Roman" w:cs="Times New Roman"/>
          <w:sz w:val="24"/>
          <w:szCs w:val="24"/>
        </w:rPr>
        <w:t xml:space="preserve">are subject to the "Prudent Investor Rule" and </w:t>
      </w:r>
      <w:r w:rsidRPr="00D949D0">
        <w:rPr>
          <w:rFonts w:ascii="Times New Roman" w:hAnsi="Times New Roman" w:cs="Times New Roman"/>
          <w:sz w:val="24"/>
          <w:szCs w:val="24"/>
        </w:rPr>
        <w:t>are governed by ERISA (and related Department of Labor and IRS rulings), the investment policy of the ERISA plan, and trading guidelines in a managed account program or other trading program if such a program is used.</w:t>
      </w:r>
      <w:r w:rsidR="00B679B2" w:rsidRPr="00D949D0">
        <w:rPr>
          <w:rFonts w:ascii="Times New Roman" w:hAnsi="Times New Roman" w:cs="Times New Roman"/>
          <w:sz w:val="24"/>
          <w:szCs w:val="24"/>
        </w:rPr>
        <w:t xml:space="preserve"> </w:t>
      </w:r>
      <w:r w:rsidRPr="00D949D0">
        <w:rPr>
          <w:rFonts w:ascii="Times New Roman" w:hAnsi="Times New Roman" w:cs="Times New Roman"/>
          <w:sz w:val="24"/>
          <w:szCs w:val="24"/>
        </w:rPr>
        <w:t xml:space="preserve">Some types of transactions (such as margin or certain option transactions) are associated with added risk, and it may be necessary for Compliance to review the plan to determine whether the type of transaction is permissible. </w:t>
      </w:r>
    </w:p>
    <w:p w14:paraId="04FB237F" w14:textId="77777777" w:rsidR="00B679B2" w:rsidRPr="00D949D0" w:rsidRDefault="00B679B2" w:rsidP="003464CF">
      <w:pPr>
        <w:pStyle w:val="fmtssstext"/>
        <w:shd w:val="clear" w:color="auto" w:fill="FFFFFF"/>
        <w:spacing w:before="0" w:after="0" w:afterAutospacing="0" w:line="240" w:lineRule="auto"/>
        <w:ind w:left="270"/>
        <w:rPr>
          <w:rFonts w:ascii="Times New Roman" w:hAnsi="Times New Roman" w:cs="Times New Roman"/>
          <w:sz w:val="24"/>
          <w:szCs w:val="24"/>
        </w:rPr>
      </w:pPr>
    </w:p>
    <w:p w14:paraId="318D7E01" w14:textId="77777777" w:rsidR="00B42305" w:rsidRPr="00D949D0" w:rsidRDefault="00B42305" w:rsidP="00B679B2">
      <w:pPr>
        <w:ind w:firstLine="270"/>
        <w:rPr>
          <w:b/>
          <w:sz w:val="24"/>
          <w:szCs w:val="24"/>
        </w:rPr>
      </w:pPr>
      <w:r w:rsidRPr="00D949D0">
        <w:rPr>
          <w:b/>
          <w:sz w:val="24"/>
          <w:szCs w:val="24"/>
        </w:rPr>
        <w:t xml:space="preserve">Prohibited Transactions </w:t>
      </w:r>
    </w:p>
    <w:p w14:paraId="1C27AF0D" w14:textId="77777777" w:rsidR="00B42305" w:rsidRPr="00D949D0" w:rsidRDefault="00B42305" w:rsidP="003464CF">
      <w:pPr>
        <w:pStyle w:val="fmtssstext"/>
        <w:shd w:val="clear" w:color="auto" w:fill="FFFFFF"/>
        <w:spacing w:before="0" w:after="0" w:afterAutospacing="0" w:line="240" w:lineRule="auto"/>
        <w:ind w:left="270"/>
        <w:rPr>
          <w:rFonts w:ascii="Times New Roman" w:hAnsi="Times New Roman" w:cs="Times New Roman"/>
          <w:sz w:val="24"/>
          <w:szCs w:val="24"/>
        </w:rPr>
      </w:pPr>
      <w:r w:rsidRPr="00D949D0">
        <w:rPr>
          <w:rFonts w:ascii="Times New Roman" w:hAnsi="Times New Roman" w:cs="Times New Roman"/>
          <w:sz w:val="24"/>
          <w:szCs w:val="24"/>
        </w:rPr>
        <w:t xml:space="preserve">Federal laws prohibit plan assets from being used by a fiduciary for certain transactions (known as "prohibited transactions"). Fiduciaries are prohibited from dealing in plan assets for their own benefit or for the benefit of a third party with whom the fiduciary is affiliated. The Department of Labor (and other government agencies) </w:t>
      </w:r>
      <w:r w:rsidR="004D3B8F" w:rsidRPr="00D949D0">
        <w:rPr>
          <w:rFonts w:ascii="Times New Roman" w:hAnsi="Times New Roman" w:cs="Times New Roman"/>
          <w:sz w:val="24"/>
          <w:szCs w:val="24"/>
        </w:rPr>
        <w:t>has</w:t>
      </w:r>
      <w:r w:rsidRPr="00D949D0">
        <w:rPr>
          <w:rFonts w:ascii="Times New Roman" w:hAnsi="Times New Roman" w:cs="Times New Roman"/>
          <w:sz w:val="24"/>
          <w:szCs w:val="24"/>
        </w:rPr>
        <w:t xml:space="preserve"> issued exemptions from the prohibited transaction rules which allow plans and broker-dealers to engage in some but not all types of securities transactions. </w:t>
      </w:r>
      <w:r w:rsidRPr="00D949D0">
        <w:rPr>
          <w:rFonts w:ascii="Times New Roman" w:hAnsi="Times New Roman" w:cs="Times New Roman"/>
          <w:sz w:val="24"/>
          <w:szCs w:val="24"/>
        </w:rPr>
        <w:lastRenderedPageBreak/>
        <w:t>The range of permissible transactions varies depending on whether the broker-dealer is a fiduciary to the plan.</w:t>
      </w:r>
    </w:p>
    <w:p w14:paraId="39735286" w14:textId="77777777" w:rsidR="00B42305" w:rsidRPr="00D949D0" w:rsidRDefault="00B42305" w:rsidP="003464CF">
      <w:pPr>
        <w:ind w:left="270"/>
        <w:rPr>
          <w:spacing w:val="8"/>
          <w:sz w:val="24"/>
          <w:szCs w:val="24"/>
        </w:rPr>
      </w:pPr>
      <w:r w:rsidRPr="00D949D0">
        <w:rPr>
          <w:spacing w:val="8"/>
          <w:sz w:val="24"/>
          <w:szCs w:val="24"/>
        </w:rPr>
        <w:t> </w:t>
      </w:r>
    </w:p>
    <w:p w14:paraId="1831BF7D" w14:textId="77777777" w:rsidR="00B42305" w:rsidRPr="00D949D0" w:rsidRDefault="00B42305" w:rsidP="0014414F">
      <w:pPr>
        <w:ind w:firstLine="270"/>
        <w:rPr>
          <w:b/>
          <w:sz w:val="24"/>
          <w:szCs w:val="24"/>
        </w:rPr>
      </w:pPr>
      <w:r w:rsidRPr="00D949D0">
        <w:rPr>
          <w:b/>
          <w:sz w:val="24"/>
          <w:szCs w:val="24"/>
        </w:rPr>
        <w:t xml:space="preserve">General Requirements When Dealing </w:t>
      </w:r>
      <w:r w:rsidR="00807FE7">
        <w:rPr>
          <w:b/>
          <w:sz w:val="24"/>
          <w:szCs w:val="24"/>
        </w:rPr>
        <w:t>w</w:t>
      </w:r>
      <w:r w:rsidRPr="00D949D0">
        <w:rPr>
          <w:b/>
          <w:sz w:val="24"/>
          <w:szCs w:val="24"/>
        </w:rPr>
        <w:t xml:space="preserve">ith ERISA Plans </w:t>
      </w:r>
    </w:p>
    <w:p w14:paraId="478BEBF6" w14:textId="77777777" w:rsidR="00B42305" w:rsidRPr="00D949D0" w:rsidRDefault="00B42305" w:rsidP="003464CF">
      <w:pPr>
        <w:pStyle w:val="fmtssstext"/>
        <w:shd w:val="clear" w:color="auto" w:fill="FFFFFF"/>
        <w:spacing w:before="0" w:after="0" w:afterAutospacing="0" w:line="240" w:lineRule="auto"/>
        <w:ind w:left="270"/>
        <w:rPr>
          <w:rFonts w:ascii="Times New Roman" w:hAnsi="Times New Roman" w:cs="Times New Roman"/>
          <w:sz w:val="24"/>
          <w:szCs w:val="24"/>
        </w:rPr>
      </w:pPr>
      <w:r w:rsidRPr="00D949D0">
        <w:rPr>
          <w:rFonts w:ascii="Times New Roman" w:hAnsi="Times New Roman" w:cs="Times New Roman"/>
          <w:sz w:val="24"/>
          <w:szCs w:val="24"/>
        </w:rPr>
        <w:t xml:space="preserve">Because of substantial legal liability, RRs are not permitted to become fiduciaries when dealing with ERISA accounts (unless </w:t>
      </w:r>
      <w:r w:rsidR="001513D8" w:rsidRPr="00D949D0">
        <w:rPr>
          <w:rFonts w:ascii="Times New Roman" w:hAnsi="Times New Roman" w:cs="Times New Roman"/>
          <w:sz w:val="24"/>
          <w:szCs w:val="24"/>
        </w:rPr>
        <w:t>Company</w:t>
      </w:r>
      <w:r w:rsidRPr="00D949D0">
        <w:rPr>
          <w:rFonts w:ascii="Times New Roman" w:hAnsi="Times New Roman" w:cs="Times New Roman"/>
          <w:sz w:val="24"/>
          <w:szCs w:val="24"/>
        </w:rPr>
        <w:t xml:space="preserve"> has a specific program designed to meet legal requirements in offering those services). The following summarizes requirements and limitations:</w:t>
      </w:r>
    </w:p>
    <w:p w14:paraId="5DE81621" w14:textId="77777777" w:rsidR="00603100" w:rsidRPr="00D949D0" w:rsidRDefault="00603100" w:rsidP="003464CF">
      <w:pPr>
        <w:pStyle w:val="fmtssstext"/>
        <w:shd w:val="clear" w:color="auto" w:fill="FFFFFF"/>
        <w:spacing w:before="0" w:after="0" w:afterAutospacing="0" w:line="240" w:lineRule="auto"/>
        <w:ind w:left="270"/>
        <w:rPr>
          <w:rFonts w:ascii="Times New Roman" w:hAnsi="Times New Roman" w:cs="Times New Roman"/>
          <w:sz w:val="24"/>
          <w:szCs w:val="24"/>
        </w:rPr>
      </w:pPr>
    </w:p>
    <w:p w14:paraId="2BA5E10E" w14:textId="77777777" w:rsidR="00B42305" w:rsidRPr="00D949D0" w:rsidRDefault="00B42305" w:rsidP="003E7B18">
      <w:pPr>
        <w:numPr>
          <w:ilvl w:val="0"/>
          <w:numId w:val="160"/>
        </w:numPr>
        <w:shd w:val="clear" w:color="auto" w:fill="FFFFFF"/>
        <w:ind w:hanging="180"/>
        <w:rPr>
          <w:spacing w:val="8"/>
          <w:sz w:val="24"/>
          <w:szCs w:val="24"/>
        </w:rPr>
      </w:pPr>
      <w:r w:rsidRPr="00D949D0">
        <w:rPr>
          <w:spacing w:val="8"/>
          <w:sz w:val="24"/>
          <w:szCs w:val="24"/>
        </w:rPr>
        <w:t xml:space="preserve">RRs may not accept responsibilities regarding administration of a plan (other than following instructions for contributions, distributions and investments from authorized persons acting on behalf of the plan). </w:t>
      </w:r>
    </w:p>
    <w:p w14:paraId="15B7B399" w14:textId="77777777" w:rsidR="00B42305" w:rsidRPr="00D949D0" w:rsidRDefault="00B42305" w:rsidP="003E7B18">
      <w:pPr>
        <w:numPr>
          <w:ilvl w:val="0"/>
          <w:numId w:val="160"/>
        </w:numPr>
        <w:shd w:val="clear" w:color="auto" w:fill="FFFFFF"/>
        <w:ind w:hanging="180"/>
        <w:rPr>
          <w:spacing w:val="8"/>
          <w:sz w:val="24"/>
          <w:szCs w:val="24"/>
        </w:rPr>
      </w:pPr>
      <w:r w:rsidRPr="00D949D0">
        <w:rPr>
          <w:spacing w:val="8"/>
          <w:sz w:val="24"/>
          <w:szCs w:val="24"/>
        </w:rPr>
        <w:t xml:space="preserve">RRs may not be named trustees to plans (unless specifically authorized by Compliance). </w:t>
      </w:r>
    </w:p>
    <w:p w14:paraId="4371C26F" w14:textId="77777777" w:rsidR="00B42305" w:rsidRPr="00D949D0" w:rsidRDefault="00B42305" w:rsidP="003E7B18">
      <w:pPr>
        <w:numPr>
          <w:ilvl w:val="0"/>
          <w:numId w:val="160"/>
        </w:numPr>
        <w:shd w:val="clear" w:color="auto" w:fill="FFFFFF"/>
        <w:ind w:hanging="180"/>
        <w:rPr>
          <w:spacing w:val="8"/>
          <w:sz w:val="24"/>
          <w:szCs w:val="24"/>
        </w:rPr>
      </w:pPr>
      <w:r w:rsidRPr="00D949D0">
        <w:rPr>
          <w:spacing w:val="8"/>
          <w:sz w:val="24"/>
          <w:szCs w:val="24"/>
        </w:rPr>
        <w:t xml:space="preserve">Recommendations to ERISA plans must be consistent with investment policies of the plans. </w:t>
      </w:r>
    </w:p>
    <w:p w14:paraId="7E3CEB98" w14:textId="77777777" w:rsidR="00B42305" w:rsidRPr="00D949D0" w:rsidRDefault="00B42305" w:rsidP="003E7B18">
      <w:pPr>
        <w:numPr>
          <w:ilvl w:val="0"/>
          <w:numId w:val="160"/>
        </w:numPr>
        <w:shd w:val="clear" w:color="auto" w:fill="FFFFFF"/>
        <w:ind w:hanging="180"/>
        <w:rPr>
          <w:spacing w:val="8"/>
          <w:sz w:val="24"/>
          <w:szCs w:val="24"/>
        </w:rPr>
      </w:pPr>
      <w:r w:rsidRPr="00D949D0">
        <w:rPr>
          <w:spacing w:val="8"/>
          <w:sz w:val="24"/>
          <w:szCs w:val="24"/>
        </w:rPr>
        <w:t>Trading on margin does not generally occur in ERISA accounts; Compliance approval is required prior to engaging in margin transactions in an ERISA account.</w:t>
      </w:r>
    </w:p>
    <w:p w14:paraId="02272D2B" w14:textId="77777777" w:rsidR="00141DFC" w:rsidRPr="00D949D0" w:rsidRDefault="00141DFC" w:rsidP="00463FD8">
      <w:pPr>
        <w:shd w:val="clear" w:color="auto" w:fill="FFFFFF"/>
        <w:ind w:left="270"/>
        <w:jc w:val="both"/>
        <w:rPr>
          <w:b/>
          <w:sz w:val="24"/>
          <w:szCs w:val="24"/>
        </w:rPr>
      </w:pPr>
    </w:p>
    <w:p w14:paraId="33FC8358" w14:textId="77777777" w:rsidR="00B42305" w:rsidRPr="00D949D0" w:rsidRDefault="00B42305" w:rsidP="001A587F">
      <w:pPr>
        <w:pStyle w:val="Heading4"/>
      </w:pPr>
      <w:r w:rsidRPr="00D949D0">
        <w:t xml:space="preserve">Disclosures </w:t>
      </w:r>
      <w:r w:rsidR="00141DFC" w:rsidRPr="00D949D0">
        <w:t>t</w:t>
      </w:r>
      <w:r w:rsidRPr="00D949D0">
        <w:t>o Plans</w:t>
      </w:r>
    </w:p>
    <w:p w14:paraId="79478DB3" w14:textId="77777777" w:rsidR="00B42305" w:rsidRPr="00D949D0" w:rsidRDefault="00B42305" w:rsidP="003464CF">
      <w:pPr>
        <w:shd w:val="clear" w:color="auto" w:fill="FFFFFF"/>
        <w:ind w:left="270"/>
        <w:rPr>
          <w:spacing w:val="8"/>
          <w:sz w:val="24"/>
          <w:szCs w:val="24"/>
        </w:rPr>
      </w:pPr>
      <w:r w:rsidRPr="00D949D0">
        <w:rPr>
          <w:spacing w:val="8"/>
          <w:sz w:val="24"/>
          <w:szCs w:val="24"/>
        </w:rPr>
        <w:t xml:space="preserve">Under ERISA, "covered service providers" are required to provide fee disclosures to covered plans to enable the plan fiduciary to make an informed decision about the reasonableness of fees as required under ERISA Section 404(a)(1). </w:t>
      </w:r>
      <w:r w:rsidR="0091712A" w:rsidRPr="00D949D0">
        <w:rPr>
          <w:spacing w:val="8"/>
          <w:sz w:val="24"/>
          <w:szCs w:val="24"/>
        </w:rPr>
        <w:t>Company</w:t>
      </w:r>
      <w:r w:rsidRPr="00D949D0">
        <w:rPr>
          <w:spacing w:val="8"/>
          <w:sz w:val="24"/>
          <w:szCs w:val="24"/>
        </w:rPr>
        <w:t xml:space="preserve">'s obligation to provide disclosures depends on </w:t>
      </w:r>
      <w:r w:rsidR="0091712A" w:rsidRPr="00D949D0">
        <w:rPr>
          <w:spacing w:val="8"/>
          <w:sz w:val="24"/>
          <w:szCs w:val="24"/>
        </w:rPr>
        <w:t>Company</w:t>
      </w:r>
      <w:r w:rsidRPr="00D949D0">
        <w:rPr>
          <w:spacing w:val="8"/>
          <w:sz w:val="24"/>
          <w:szCs w:val="24"/>
        </w:rPr>
        <w:t>'s role in dealing with a covered plan. This section provides a general explanation of the requirements.</w:t>
      </w:r>
    </w:p>
    <w:p w14:paraId="49140EDA" w14:textId="77777777" w:rsidR="00B42305" w:rsidRPr="00D949D0" w:rsidRDefault="00B42305" w:rsidP="003464CF">
      <w:pPr>
        <w:ind w:left="270"/>
        <w:rPr>
          <w:spacing w:val="8"/>
          <w:sz w:val="24"/>
          <w:szCs w:val="24"/>
        </w:rPr>
      </w:pPr>
      <w:r w:rsidRPr="00D949D0">
        <w:rPr>
          <w:spacing w:val="8"/>
          <w:sz w:val="24"/>
          <w:szCs w:val="24"/>
        </w:rPr>
        <w:t> </w:t>
      </w:r>
    </w:p>
    <w:p w14:paraId="218AA0BB" w14:textId="77777777" w:rsidR="00246DAD" w:rsidRPr="00D949D0" w:rsidRDefault="00B42305" w:rsidP="003464CF">
      <w:pPr>
        <w:shd w:val="clear" w:color="auto" w:fill="FFFFFF"/>
        <w:ind w:left="270"/>
        <w:rPr>
          <w:spacing w:val="8"/>
          <w:sz w:val="24"/>
          <w:szCs w:val="24"/>
        </w:rPr>
      </w:pPr>
      <w:r w:rsidRPr="00D949D0">
        <w:rPr>
          <w:b/>
          <w:bCs/>
          <w:spacing w:val="8"/>
          <w:sz w:val="24"/>
          <w:szCs w:val="24"/>
        </w:rPr>
        <w:t>Covered plan:</w:t>
      </w:r>
      <w:r w:rsidRPr="00D949D0">
        <w:rPr>
          <w:spacing w:val="8"/>
          <w:sz w:val="24"/>
          <w:szCs w:val="24"/>
        </w:rPr>
        <w:t xml:space="preserve"> An employee pension benefit plan or a pension plan under ERISA </w:t>
      </w:r>
    </w:p>
    <w:p w14:paraId="5E44F01C" w14:textId="77777777" w:rsidR="00B42305" w:rsidRPr="00D949D0" w:rsidRDefault="00B42305" w:rsidP="003464CF">
      <w:pPr>
        <w:shd w:val="clear" w:color="auto" w:fill="FFFFFF"/>
        <w:ind w:left="270"/>
        <w:rPr>
          <w:spacing w:val="8"/>
          <w:sz w:val="24"/>
          <w:szCs w:val="24"/>
        </w:rPr>
      </w:pPr>
      <w:r w:rsidRPr="00D949D0">
        <w:rPr>
          <w:spacing w:val="8"/>
          <w:sz w:val="24"/>
          <w:szCs w:val="24"/>
        </w:rPr>
        <w:t>3(2</w:t>
      </w:r>
      <w:r w:rsidR="0091712A" w:rsidRPr="00D949D0">
        <w:rPr>
          <w:spacing w:val="8"/>
          <w:sz w:val="24"/>
          <w:szCs w:val="24"/>
        </w:rPr>
        <w:t>) (</w:t>
      </w:r>
      <w:r w:rsidRPr="00D949D0">
        <w:rPr>
          <w:spacing w:val="8"/>
          <w:sz w:val="24"/>
          <w:szCs w:val="24"/>
        </w:rPr>
        <w:t>A), including:</w:t>
      </w:r>
    </w:p>
    <w:p w14:paraId="15BC5BA2" w14:textId="77777777" w:rsidR="00B42305" w:rsidRPr="00D949D0" w:rsidRDefault="00B42305" w:rsidP="003E7B18">
      <w:pPr>
        <w:numPr>
          <w:ilvl w:val="0"/>
          <w:numId w:val="161"/>
        </w:numPr>
        <w:shd w:val="clear" w:color="auto" w:fill="FFFFFF"/>
        <w:ind w:hanging="180"/>
        <w:rPr>
          <w:spacing w:val="8"/>
          <w:sz w:val="24"/>
          <w:szCs w:val="24"/>
        </w:rPr>
      </w:pPr>
      <w:r w:rsidRPr="00D949D0">
        <w:rPr>
          <w:spacing w:val="8"/>
          <w:sz w:val="24"/>
          <w:szCs w:val="24"/>
        </w:rPr>
        <w:t>Defined contribution plan</w:t>
      </w:r>
      <w:r w:rsidR="00F210E5">
        <w:rPr>
          <w:spacing w:val="8"/>
          <w:sz w:val="24"/>
          <w:szCs w:val="24"/>
        </w:rPr>
        <w:t>s</w:t>
      </w:r>
      <w:r w:rsidRPr="00D949D0">
        <w:rPr>
          <w:spacing w:val="8"/>
          <w:sz w:val="24"/>
          <w:szCs w:val="24"/>
        </w:rPr>
        <w:t xml:space="preserve"> </w:t>
      </w:r>
    </w:p>
    <w:p w14:paraId="76141A2F" w14:textId="77777777" w:rsidR="00B42305" w:rsidRPr="00D949D0" w:rsidRDefault="00B42305" w:rsidP="003E7B18">
      <w:pPr>
        <w:numPr>
          <w:ilvl w:val="0"/>
          <w:numId w:val="161"/>
        </w:numPr>
        <w:shd w:val="clear" w:color="auto" w:fill="FFFFFF"/>
        <w:ind w:hanging="180"/>
        <w:rPr>
          <w:spacing w:val="8"/>
          <w:sz w:val="24"/>
          <w:szCs w:val="24"/>
        </w:rPr>
      </w:pPr>
      <w:r w:rsidRPr="00D949D0">
        <w:rPr>
          <w:spacing w:val="8"/>
          <w:sz w:val="24"/>
          <w:szCs w:val="24"/>
        </w:rPr>
        <w:t xml:space="preserve">Defined benefit plans </w:t>
      </w:r>
    </w:p>
    <w:p w14:paraId="7C3D7016" w14:textId="77777777" w:rsidR="00B42305" w:rsidRPr="00D949D0" w:rsidRDefault="00B42305" w:rsidP="003E7B18">
      <w:pPr>
        <w:numPr>
          <w:ilvl w:val="0"/>
          <w:numId w:val="161"/>
        </w:numPr>
        <w:shd w:val="clear" w:color="auto" w:fill="FFFFFF"/>
        <w:ind w:hanging="180"/>
        <w:rPr>
          <w:spacing w:val="8"/>
          <w:sz w:val="24"/>
          <w:szCs w:val="24"/>
        </w:rPr>
      </w:pPr>
      <w:r w:rsidRPr="00D949D0">
        <w:rPr>
          <w:spacing w:val="8"/>
          <w:sz w:val="24"/>
          <w:szCs w:val="24"/>
        </w:rPr>
        <w:t>ERISA 403(b) arrangements</w:t>
      </w:r>
    </w:p>
    <w:p w14:paraId="5C01F54D" w14:textId="77777777" w:rsidR="0014414F" w:rsidRPr="00D949D0" w:rsidRDefault="0014414F" w:rsidP="0014414F">
      <w:pPr>
        <w:shd w:val="clear" w:color="auto" w:fill="FFFFFF"/>
        <w:rPr>
          <w:b/>
          <w:bCs/>
          <w:spacing w:val="8"/>
          <w:sz w:val="24"/>
          <w:szCs w:val="24"/>
        </w:rPr>
      </w:pPr>
    </w:p>
    <w:p w14:paraId="522C67CF" w14:textId="77777777" w:rsidR="00B42305" w:rsidRPr="00D949D0" w:rsidRDefault="00B42305" w:rsidP="0014414F">
      <w:pPr>
        <w:shd w:val="clear" w:color="auto" w:fill="FFFFFF"/>
        <w:ind w:left="270"/>
        <w:rPr>
          <w:spacing w:val="8"/>
          <w:sz w:val="24"/>
          <w:szCs w:val="24"/>
        </w:rPr>
      </w:pPr>
      <w:r w:rsidRPr="00D949D0">
        <w:rPr>
          <w:b/>
          <w:bCs/>
          <w:spacing w:val="8"/>
          <w:sz w:val="24"/>
          <w:szCs w:val="24"/>
        </w:rPr>
        <w:t>Covered service provider:</w:t>
      </w:r>
      <w:r w:rsidRPr="00D949D0">
        <w:rPr>
          <w:spacing w:val="8"/>
          <w:sz w:val="24"/>
          <w:szCs w:val="24"/>
        </w:rPr>
        <w:t xml:space="preserve"> A service provider that enters into a contract or arrangement with the covered plan and expects </w:t>
      </w:r>
      <w:r w:rsidRPr="00E10F6C">
        <w:rPr>
          <w:b/>
          <w:spacing w:val="8"/>
          <w:sz w:val="24"/>
          <w:szCs w:val="24"/>
        </w:rPr>
        <w:t>$1,000</w:t>
      </w:r>
      <w:r w:rsidRPr="00D949D0">
        <w:rPr>
          <w:spacing w:val="8"/>
          <w:sz w:val="24"/>
          <w:szCs w:val="24"/>
        </w:rPr>
        <w:t xml:space="preserve"> or more in direct or indirect compensation that is received in connection with providing services defined in Section 408(b)(2) including:</w:t>
      </w:r>
    </w:p>
    <w:p w14:paraId="0C974C11" w14:textId="77777777" w:rsidR="00B42305" w:rsidRPr="00D949D0" w:rsidRDefault="00B42305" w:rsidP="003E7B18">
      <w:pPr>
        <w:numPr>
          <w:ilvl w:val="0"/>
          <w:numId w:val="162"/>
        </w:numPr>
        <w:shd w:val="clear" w:color="auto" w:fill="FFFFFF"/>
        <w:ind w:hanging="180"/>
        <w:rPr>
          <w:spacing w:val="8"/>
          <w:sz w:val="24"/>
          <w:szCs w:val="24"/>
        </w:rPr>
      </w:pPr>
      <w:r w:rsidRPr="00D949D0">
        <w:rPr>
          <w:spacing w:val="8"/>
          <w:sz w:val="24"/>
          <w:szCs w:val="24"/>
        </w:rPr>
        <w:t xml:space="preserve">Services as a fiduciary or investment adviser </w:t>
      </w:r>
    </w:p>
    <w:p w14:paraId="234DCFD1" w14:textId="77777777" w:rsidR="00B42305" w:rsidRPr="00D949D0" w:rsidRDefault="00B42305" w:rsidP="003E7B18">
      <w:pPr>
        <w:numPr>
          <w:ilvl w:val="0"/>
          <w:numId w:val="162"/>
        </w:numPr>
        <w:shd w:val="clear" w:color="auto" w:fill="FFFFFF"/>
        <w:ind w:hanging="180"/>
        <w:rPr>
          <w:spacing w:val="8"/>
          <w:sz w:val="24"/>
          <w:szCs w:val="24"/>
        </w:rPr>
      </w:pPr>
      <w:r w:rsidRPr="00D949D0">
        <w:rPr>
          <w:spacing w:val="8"/>
          <w:sz w:val="24"/>
          <w:szCs w:val="24"/>
        </w:rPr>
        <w:t xml:space="preserve">Certain recordkeeping or brokerage services </w:t>
      </w:r>
    </w:p>
    <w:p w14:paraId="7B2A3BC5" w14:textId="77777777" w:rsidR="00B42305" w:rsidRPr="00D949D0" w:rsidRDefault="00B42305" w:rsidP="003E7B18">
      <w:pPr>
        <w:numPr>
          <w:ilvl w:val="0"/>
          <w:numId w:val="162"/>
        </w:numPr>
        <w:shd w:val="clear" w:color="auto" w:fill="FFFFFF"/>
        <w:ind w:hanging="180"/>
        <w:rPr>
          <w:spacing w:val="8"/>
          <w:sz w:val="24"/>
          <w:szCs w:val="24"/>
        </w:rPr>
      </w:pPr>
      <w:r w:rsidRPr="00D949D0">
        <w:rPr>
          <w:spacing w:val="8"/>
          <w:sz w:val="24"/>
          <w:szCs w:val="24"/>
        </w:rPr>
        <w:t>Other services for indirect compensation (accounting, auditing, banking, consulting, securities or other investment brokerage and other services)</w:t>
      </w:r>
    </w:p>
    <w:p w14:paraId="1E43F346" w14:textId="77777777" w:rsidR="00B42305" w:rsidRPr="00D949D0" w:rsidRDefault="00B42305" w:rsidP="000D3FEB">
      <w:pPr>
        <w:ind w:left="270"/>
        <w:rPr>
          <w:spacing w:val="8"/>
          <w:sz w:val="24"/>
          <w:szCs w:val="24"/>
        </w:rPr>
      </w:pPr>
      <w:r w:rsidRPr="00D949D0">
        <w:rPr>
          <w:spacing w:val="8"/>
          <w:sz w:val="24"/>
          <w:szCs w:val="24"/>
        </w:rPr>
        <w:t> </w:t>
      </w:r>
    </w:p>
    <w:p w14:paraId="2FD87DE7" w14:textId="77777777" w:rsidR="00B42305" w:rsidRPr="00D949D0" w:rsidRDefault="00B42305" w:rsidP="001A587F">
      <w:pPr>
        <w:pStyle w:val="Heading4"/>
      </w:pPr>
      <w:r w:rsidRPr="00D949D0">
        <w:t xml:space="preserve">Required Disclosures </w:t>
      </w:r>
    </w:p>
    <w:p w14:paraId="1F62C69C" w14:textId="77777777" w:rsidR="00B42305" w:rsidRPr="00D949D0" w:rsidRDefault="00B42305" w:rsidP="003464CF">
      <w:pPr>
        <w:pStyle w:val="Normal1"/>
        <w:shd w:val="clear" w:color="auto" w:fill="FFFFFF"/>
        <w:spacing w:before="0" w:after="0" w:afterAutospacing="0" w:line="240" w:lineRule="auto"/>
        <w:ind w:left="270"/>
        <w:rPr>
          <w:rFonts w:ascii="Times New Roman" w:hAnsi="Times New Roman" w:cs="Times New Roman"/>
          <w:sz w:val="24"/>
          <w:szCs w:val="24"/>
        </w:rPr>
      </w:pPr>
      <w:r w:rsidRPr="00D949D0">
        <w:rPr>
          <w:rFonts w:ascii="Times New Roman" w:hAnsi="Times New Roman" w:cs="Times New Roman"/>
          <w:sz w:val="24"/>
          <w:szCs w:val="24"/>
        </w:rPr>
        <w:t>Disclosures include:</w:t>
      </w:r>
    </w:p>
    <w:p w14:paraId="2B6A1149" w14:textId="77777777" w:rsidR="00B42305" w:rsidRPr="00D949D0" w:rsidRDefault="00B42305" w:rsidP="003E7B18">
      <w:pPr>
        <w:numPr>
          <w:ilvl w:val="0"/>
          <w:numId w:val="163"/>
        </w:numPr>
        <w:shd w:val="clear" w:color="auto" w:fill="FFFFFF"/>
        <w:ind w:hanging="180"/>
        <w:rPr>
          <w:spacing w:val="8"/>
          <w:sz w:val="24"/>
          <w:szCs w:val="24"/>
        </w:rPr>
      </w:pPr>
      <w:r w:rsidRPr="00D949D0">
        <w:rPr>
          <w:spacing w:val="8"/>
          <w:sz w:val="24"/>
          <w:szCs w:val="24"/>
        </w:rPr>
        <w:t>Description of services</w:t>
      </w:r>
      <w:r w:rsidR="00246DAD" w:rsidRPr="00D949D0">
        <w:rPr>
          <w:spacing w:val="8"/>
          <w:sz w:val="24"/>
          <w:szCs w:val="24"/>
        </w:rPr>
        <w:t>;</w:t>
      </w:r>
      <w:r w:rsidRPr="00D949D0">
        <w:rPr>
          <w:spacing w:val="8"/>
          <w:sz w:val="24"/>
          <w:szCs w:val="24"/>
        </w:rPr>
        <w:t xml:space="preserve"> </w:t>
      </w:r>
    </w:p>
    <w:p w14:paraId="1F25E35B" w14:textId="77777777" w:rsidR="00B42305" w:rsidRPr="00D949D0" w:rsidRDefault="00B42305" w:rsidP="003E7B18">
      <w:pPr>
        <w:numPr>
          <w:ilvl w:val="0"/>
          <w:numId w:val="163"/>
        </w:numPr>
        <w:shd w:val="clear" w:color="auto" w:fill="FFFFFF"/>
        <w:ind w:hanging="180"/>
        <w:rPr>
          <w:spacing w:val="8"/>
          <w:sz w:val="24"/>
          <w:szCs w:val="24"/>
        </w:rPr>
      </w:pPr>
      <w:r w:rsidRPr="00D949D0">
        <w:rPr>
          <w:spacing w:val="8"/>
          <w:sz w:val="24"/>
          <w:szCs w:val="24"/>
        </w:rPr>
        <w:t>If applicable, that the services are provided in the role of fiduciary</w:t>
      </w:r>
      <w:r w:rsidR="00246DAD" w:rsidRPr="00D949D0">
        <w:rPr>
          <w:spacing w:val="8"/>
          <w:sz w:val="24"/>
          <w:szCs w:val="24"/>
        </w:rPr>
        <w:t>;</w:t>
      </w:r>
      <w:r w:rsidRPr="00D949D0">
        <w:rPr>
          <w:spacing w:val="8"/>
          <w:sz w:val="24"/>
          <w:szCs w:val="24"/>
        </w:rPr>
        <w:t xml:space="preserve"> </w:t>
      </w:r>
    </w:p>
    <w:p w14:paraId="0B8FD8A1" w14:textId="77777777" w:rsidR="00B42305" w:rsidRPr="00D949D0" w:rsidRDefault="00B42305" w:rsidP="003E7B18">
      <w:pPr>
        <w:numPr>
          <w:ilvl w:val="0"/>
          <w:numId w:val="163"/>
        </w:numPr>
        <w:shd w:val="clear" w:color="auto" w:fill="FFFFFF"/>
        <w:ind w:hanging="180"/>
        <w:rPr>
          <w:spacing w:val="8"/>
          <w:sz w:val="24"/>
          <w:szCs w:val="24"/>
        </w:rPr>
      </w:pPr>
      <w:r w:rsidRPr="00D949D0">
        <w:rPr>
          <w:spacing w:val="8"/>
          <w:sz w:val="24"/>
          <w:szCs w:val="24"/>
        </w:rPr>
        <w:t xml:space="preserve">Compensation, including: </w:t>
      </w:r>
    </w:p>
    <w:p w14:paraId="28763F4E" w14:textId="77777777" w:rsidR="00B42305" w:rsidRPr="00D949D0" w:rsidRDefault="00B42305" w:rsidP="003E7B18">
      <w:pPr>
        <w:numPr>
          <w:ilvl w:val="1"/>
          <w:numId w:val="163"/>
        </w:numPr>
        <w:shd w:val="clear" w:color="auto" w:fill="FFFFFF"/>
        <w:rPr>
          <w:spacing w:val="8"/>
          <w:sz w:val="24"/>
          <w:szCs w:val="24"/>
        </w:rPr>
      </w:pPr>
      <w:r w:rsidRPr="00D949D0">
        <w:rPr>
          <w:spacing w:val="8"/>
          <w:sz w:val="24"/>
          <w:szCs w:val="24"/>
        </w:rPr>
        <w:lastRenderedPageBreak/>
        <w:t>Description of all direct compensation either in aggregate or by service to be received</w:t>
      </w:r>
      <w:r w:rsidR="0091712A" w:rsidRPr="00D949D0">
        <w:rPr>
          <w:spacing w:val="8"/>
          <w:sz w:val="24"/>
          <w:szCs w:val="24"/>
        </w:rPr>
        <w:t>;</w:t>
      </w:r>
      <w:r w:rsidRPr="00D949D0">
        <w:rPr>
          <w:spacing w:val="8"/>
          <w:sz w:val="24"/>
          <w:szCs w:val="24"/>
        </w:rPr>
        <w:t xml:space="preserve"> </w:t>
      </w:r>
    </w:p>
    <w:p w14:paraId="5B674A42" w14:textId="77777777" w:rsidR="00B42305" w:rsidRPr="00D949D0" w:rsidRDefault="00B42305" w:rsidP="003E7B18">
      <w:pPr>
        <w:numPr>
          <w:ilvl w:val="1"/>
          <w:numId w:val="163"/>
        </w:numPr>
        <w:shd w:val="clear" w:color="auto" w:fill="FFFFFF"/>
        <w:rPr>
          <w:spacing w:val="8"/>
          <w:sz w:val="24"/>
          <w:szCs w:val="24"/>
        </w:rPr>
      </w:pPr>
      <w:r w:rsidRPr="00D949D0">
        <w:rPr>
          <w:spacing w:val="8"/>
          <w:sz w:val="24"/>
          <w:szCs w:val="24"/>
        </w:rPr>
        <w:t>Indirect compensation expected to be received</w:t>
      </w:r>
      <w:r w:rsidR="0091712A" w:rsidRPr="00D949D0">
        <w:rPr>
          <w:spacing w:val="8"/>
          <w:sz w:val="24"/>
          <w:szCs w:val="24"/>
        </w:rPr>
        <w:t>;</w:t>
      </w:r>
      <w:r w:rsidRPr="00D949D0">
        <w:rPr>
          <w:spacing w:val="8"/>
          <w:sz w:val="24"/>
          <w:szCs w:val="24"/>
        </w:rPr>
        <w:t xml:space="preserve"> </w:t>
      </w:r>
    </w:p>
    <w:p w14:paraId="2498A54A" w14:textId="77777777" w:rsidR="00B42305" w:rsidRPr="00D949D0" w:rsidRDefault="00B42305" w:rsidP="003E7B18">
      <w:pPr>
        <w:numPr>
          <w:ilvl w:val="1"/>
          <w:numId w:val="163"/>
        </w:numPr>
        <w:shd w:val="clear" w:color="auto" w:fill="FFFFFF"/>
        <w:rPr>
          <w:spacing w:val="8"/>
          <w:sz w:val="24"/>
          <w:szCs w:val="24"/>
        </w:rPr>
      </w:pPr>
      <w:r w:rsidRPr="00D949D0">
        <w:rPr>
          <w:spacing w:val="8"/>
          <w:sz w:val="24"/>
          <w:szCs w:val="24"/>
        </w:rPr>
        <w:t>Description that compensation will be paid among related parties including identification of payers and recipients of compensation</w:t>
      </w:r>
      <w:r w:rsidR="0091712A" w:rsidRPr="00D949D0">
        <w:rPr>
          <w:spacing w:val="8"/>
          <w:sz w:val="24"/>
          <w:szCs w:val="24"/>
        </w:rPr>
        <w:t>; and</w:t>
      </w:r>
      <w:r w:rsidRPr="00D949D0">
        <w:rPr>
          <w:spacing w:val="8"/>
          <w:sz w:val="24"/>
          <w:szCs w:val="24"/>
        </w:rPr>
        <w:t xml:space="preserve"> </w:t>
      </w:r>
    </w:p>
    <w:p w14:paraId="0F09BD29" w14:textId="77777777" w:rsidR="00B42305" w:rsidRPr="00D949D0" w:rsidRDefault="00B42305" w:rsidP="003E7B18">
      <w:pPr>
        <w:numPr>
          <w:ilvl w:val="1"/>
          <w:numId w:val="163"/>
        </w:numPr>
        <w:shd w:val="clear" w:color="auto" w:fill="FFFFFF"/>
        <w:rPr>
          <w:spacing w:val="8"/>
          <w:sz w:val="24"/>
          <w:szCs w:val="24"/>
        </w:rPr>
      </w:pPr>
      <w:r w:rsidRPr="00D949D0">
        <w:rPr>
          <w:spacing w:val="8"/>
          <w:sz w:val="24"/>
          <w:szCs w:val="24"/>
        </w:rPr>
        <w:t>Description of any compensation to be received in connection with termination of the contract or arrangement and how any prepaid amounts will be calculated and refunded upon termination</w:t>
      </w:r>
      <w:r w:rsidR="0091712A" w:rsidRPr="00D949D0">
        <w:rPr>
          <w:spacing w:val="8"/>
          <w:sz w:val="24"/>
          <w:szCs w:val="24"/>
        </w:rPr>
        <w:t>.</w:t>
      </w:r>
      <w:r w:rsidRPr="00D949D0">
        <w:rPr>
          <w:spacing w:val="8"/>
          <w:sz w:val="24"/>
          <w:szCs w:val="24"/>
        </w:rPr>
        <w:t xml:space="preserve"> </w:t>
      </w:r>
    </w:p>
    <w:p w14:paraId="03AA86FE" w14:textId="77777777" w:rsidR="00B42305" w:rsidRPr="00D949D0" w:rsidRDefault="00B42305" w:rsidP="003E7B18">
      <w:pPr>
        <w:numPr>
          <w:ilvl w:val="0"/>
          <w:numId w:val="163"/>
        </w:numPr>
        <w:shd w:val="clear" w:color="auto" w:fill="FFFFFF"/>
        <w:ind w:hanging="180"/>
        <w:rPr>
          <w:spacing w:val="8"/>
          <w:sz w:val="24"/>
          <w:szCs w:val="24"/>
        </w:rPr>
      </w:pPr>
      <w:r w:rsidRPr="00D949D0">
        <w:rPr>
          <w:spacing w:val="8"/>
          <w:sz w:val="24"/>
          <w:szCs w:val="24"/>
        </w:rPr>
        <w:t>Recordkeeping services, if applicable, including direct and indirect compensation related to such services or, if not explicitly compensated, a reasonable and good faith estimate of the cost to the covered plan of such services</w:t>
      </w:r>
      <w:r w:rsidR="00246DAD" w:rsidRPr="00D949D0">
        <w:rPr>
          <w:spacing w:val="8"/>
          <w:sz w:val="24"/>
          <w:szCs w:val="24"/>
        </w:rPr>
        <w:t>;</w:t>
      </w:r>
      <w:r w:rsidRPr="00D949D0">
        <w:rPr>
          <w:spacing w:val="8"/>
          <w:sz w:val="24"/>
          <w:szCs w:val="24"/>
        </w:rPr>
        <w:t xml:space="preserve"> </w:t>
      </w:r>
    </w:p>
    <w:p w14:paraId="4009817C" w14:textId="77777777" w:rsidR="00B42305" w:rsidRPr="00D949D0" w:rsidRDefault="00B42305" w:rsidP="003E7B18">
      <w:pPr>
        <w:numPr>
          <w:ilvl w:val="0"/>
          <w:numId w:val="163"/>
        </w:numPr>
        <w:shd w:val="clear" w:color="auto" w:fill="FFFFFF"/>
        <w:ind w:hanging="180"/>
        <w:rPr>
          <w:spacing w:val="8"/>
          <w:sz w:val="24"/>
          <w:szCs w:val="24"/>
        </w:rPr>
      </w:pPr>
      <w:r w:rsidRPr="00D949D0">
        <w:rPr>
          <w:spacing w:val="8"/>
          <w:sz w:val="24"/>
          <w:szCs w:val="24"/>
        </w:rPr>
        <w:t>Manner of receipt of the compensation</w:t>
      </w:r>
      <w:r w:rsidR="00246DAD" w:rsidRPr="00D949D0">
        <w:rPr>
          <w:spacing w:val="8"/>
          <w:sz w:val="24"/>
          <w:szCs w:val="24"/>
        </w:rPr>
        <w:t>;</w:t>
      </w:r>
      <w:r w:rsidRPr="00D949D0">
        <w:rPr>
          <w:spacing w:val="8"/>
          <w:sz w:val="24"/>
          <w:szCs w:val="24"/>
        </w:rPr>
        <w:t xml:space="preserve"> </w:t>
      </w:r>
    </w:p>
    <w:p w14:paraId="47B94943" w14:textId="77777777" w:rsidR="00B42305" w:rsidRPr="00D949D0" w:rsidRDefault="00B42305" w:rsidP="003E7B18">
      <w:pPr>
        <w:numPr>
          <w:ilvl w:val="0"/>
          <w:numId w:val="163"/>
        </w:numPr>
        <w:shd w:val="clear" w:color="auto" w:fill="FFFFFF"/>
        <w:ind w:hanging="180"/>
        <w:rPr>
          <w:spacing w:val="8"/>
          <w:sz w:val="24"/>
          <w:szCs w:val="24"/>
        </w:rPr>
      </w:pPr>
      <w:r w:rsidRPr="00D949D0">
        <w:rPr>
          <w:spacing w:val="8"/>
          <w:sz w:val="24"/>
          <w:szCs w:val="24"/>
        </w:rPr>
        <w:t>Fiduciary services provided and related compensation</w:t>
      </w:r>
      <w:r w:rsidR="00246DAD" w:rsidRPr="00D949D0">
        <w:rPr>
          <w:spacing w:val="8"/>
          <w:sz w:val="24"/>
          <w:szCs w:val="24"/>
        </w:rPr>
        <w:t>;</w:t>
      </w:r>
      <w:r w:rsidRPr="00D949D0">
        <w:rPr>
          <w:spacing w:val="8"/>
          <w:sz w:val="24"/>
          <w:szCs w:val="24"/>
        </w:rPr>
        <w:t xml:space="preserve"> </w:t>
      </w:r>
      <w:r w:rsidR="00772765" w:rsidRPr="00D949D0">
        <w:rPr>
          <w:spacing w:val="8"/>
          <w:sz w:val="24"/>
          <w:szCs w:val="24"/>
        </w:rPr>
        <w:t xml:space="preserve"> </w:t>
      </w:r>
    </w:p>
    <w:p w14:paraId="2A3C79AA" w14:textId="77777777" w:rsidR="00B42305" w:rsidRPr="00D949D0" w:rsidRDefault="00B42305" w:rsidP="003E7B18">
      <w:pPr>
        <w:numPr>
          <w:ilvl w:val="0"/>
          <w:numId w:val="163"/>
        </w:numPr>
        <w:shd w:val="clear" w:color="auto" w:fill="FFFFFF"/>
        <w:ind w:hanging="180"/>
        <w:rPr>
          <w:spacing w:val="8"/>
          <w:sz w:val="24"/>
          <w:szCs w:val="24"/>
        </w:rPr>
      </w:pPr>
      <w:r w:rsidRPr="00D949D0">
        <w:rPr>
          <w:spacing w:val="8"/>
          <w:sz w:val="24"/>
          <w:szCs w:val="24"/>
        </w:rPr>
        <w:t>Recordkeeping and brokerage services with respect to each designated investment alternative for which recordkeeping or brokerage services are provided</w:t>
      </w:r>
      <w:r w:rsidR="00772765" w:rsidRPr="00D949D0">
        <w:rPr>
          <w:spacing w:val="8"/>
          <w:sz w:val="24"/>
          <w:szCs w:val="24"/>
        </w:rPr>
        <w:t>; and</w:t>
      </w:r>
    </w:p>
    <w:p w14:paraId="6D143EEE" w14:textId="77777777" w:rsidR="00B42305" w:rsidRPr="00D949D0" w:rsidRDefault="00772765" w:rsidP="003E7B18">
      <w:pPr>
        <w:numPr>
          <w:ilvl w:val="0"/>
          <w:numId w:val="163"/>
        </w:numPr>
        <w:shd w:val="clear" w:color="auto" w:fill="FFFFFF"/>
        <w:ind w:hanging="180"/>
        <w:rPr>
          <w:spacing w:val="8"/>
          <w:sz w:val="24"/>
          <w:szCs w:val="24"/>
        </w:rPr>
      </w:pPr>
      <w:r w:rsidRPr="00D949D0">
        <w:rPr>
          <w:spacing w:val="8"/>
          <w:sz w:val="24"/>
          <w:szCs w:val="24"/>
        </w:rPr>
        <w:t>If Company provides certain investment-related information, including performance information, to participants, it will be presented in a comparative chart format to enable participants to make an informed decision when managing their accounts.  Such disclosures will comply with both ERISA rules and other SEC and FINRA requirements related to investment companies and communications with the public.</w:t>
      </w:r>
      <w:r w:rsidR="00B42305" w:rsidRPr="00D949D0">
        <w:rPr>
          <w:spacing w:val="8"/>
          <w:sz w:val="24"/>
          <w:szCs w:val="24"/>
        </w:rPr>
        <w:t> </w:t>
      </w:r>
    </w:p>
    <w:p w14:paraId="3CBF17F0" w14:textId="77777777" w:rsidR="00B42305" w:rsidRPr="00D949D0" w:rsidRDefault="00B42305" w:rsidP="00772765">
      <w:pPr>
        <w:shd w:val="clear" w:color="auto" w:fill="FFFFFF"/>
        <w:ind w:left="270"/>
        <w:rPr>
          <w:spacing w:val="8"/>
          <w:sz w:val="24"/>
          <w:szCs w:val="24"/>
        </w:rPr>
      </w:pPr>
    </w:p>
    <w:p w14:paraId="0A062630" w14:textId="77777777" w:rsidR="00B42305" w:rsidRPr="00D949D0" w:rsidRDefault="005731EE" w:rsidP="001A587F">
      <w:pPr>
        <w:pStyle w:val="Heading4"/>
      </w:pPr>
      <w:r w:rsidRPr="00D949D0">
        <w:t>Timing o</w:t>
      </w:r>
      <w:r w:rsidR="00B42305" w:rsidRPr="00D949D0">
        <w:t xml:space="preserve">f Disclosures </w:t>
      </w:r>
    </w:p>
    <w:p w14:paraId="28F3A44E" w14:textId="77777777" w:rsidR="00B42305" w:rsidRPr="00D949D0" w:rsidRDefault="00B42305" w:rsidP="003E7B18">
      <w:pPr>
        <w:numPr>
          <w:ilvl w:val="0"/>
          <w:numId w:val="164"/>
        </w:numPr>
        <w:shd w:val="clear" w:color="auto" w:fill="FFFFFF"/>
        <w:ind w:hanging="180"/>
        <w:rPr>
          <w:spacing w:val="8"/>
          <w:sz w:val="24"/>
          <w:szCs w:val="24"/>
        </w:rPr>
      </w:pPr>
      <w:r w:rsidRPr="00D949D0">
        <w:rPr>
          <w:spacing w:val="8"/>
          <w:sz w:val="24"/>
          <w:szCs w:val="24"/>
        </w:rPr>
        <w:t xml:space="preserve">Required disclosures must be provided reasonably in advance of the date the contract or arrangement is entered into </w:t>
      </w:r>
      <w:proofErr w:type="spellStart"/>
      <w:r w:rsidRPr="00D949D0">
        <w:rPr>
          <w:spacing w:val="8"/>
          <w:sz w:val="24"/>
          <w:szCs w:val="24"/>
        </w:rPr>
        <w:t>and</w:t>
      </w:r>
      <w:proofErr w:type="spellEnd"/>
      <w:r w:rsidRPr="00D949D0">
        <w:rPr>
          <w:spacing w:val="8"/>
          <w:sz w:val="24"/>
          <w:szCs w:val="24"/>
        </w:rPr>
        <w:t xml:space="preserve"> extended or renewed. </w:t>
      </w:r>
    </w:p>
    <w:p w14:paraId="25F305E6" w14:textId="77777777" w:rsidR="00B42305" w:rsidRPr="00D949D0" w:rsidRDefault="00B42305" w:rsidP="003E7B18">
      <w:pPr>
        <w:numPr>
          <w:ilvl w:val="0"/>
          <w:numId w:val="164"/>
        </w:numPr>
        <w:shd w:val="clear" w:color="auto" w:fill="FFFFFF"/>
        <w:ind w:hanging="180"/>
        <w:rPr>
          <w:spacing w:val="8"/>
          <w:sz w:val="24"/>
          <w:szCs w:val="24"/>
        </w:rPr>
      </w:pPr>
      <w:r w:rsidRPr="00D949D0">
        <w:rPr>
          <w:spacing w:val="8"/>
          <w:sz w:val="24"/>
          <w:szCs w:val="24"/>
        </w:rPr>
        <w:t xml:space="preserve">Changes must be provided as soon as practicable but no later than 60 days from the date on which the covered service provider is informed of the change. </w:t>
      </w:r>
    </w:p>
    <w:p w14:paraId="77361FEB" w14:textId="77777777" w:rsidR="00B42305" w:rsidRPr="00D949D0" w:rsidRDefault="00B42305" w:rsidP="003E7B18">
      <w:pPr>
        <w:numPr>
          <w:ilvl w:val="0"/>
          <w:numId w:val="164"/>
        </w:numPr>
        <w:shd w:val="clear" w:color="auto" w:fill="FFFFFF"/>
        <w:ind w:hanging="180"/>
        <w:rPr>
          <w:spacing w:val="8"/>
          <w:sz w:val="24"/>
          <w:szCs w:val="24"/>
        </w:rPr>
      </w:pPr>
      <w:r w:rsidRPr="00D949D0">
        <w:rPr>
          <w:spacing w:val="8"/>
          <w:sz w:val="24"/>
          <w:szCs w:val="24"/>
        </w:rPr>
        <w:t xml:space="preserve">In the event of an error in a disclosure, the covered service provider must correct the information as soon as practicable but no later than 30 days after knowing of the error or omission. </w:t>
      </w:r>
    </w:p>
    <w:p w14:paraId="727372A1" w14:textId="77777777" w:rsidR="00B42305" w:rsidRPr="00D949D0" w:rsidRDefault="00B42305" w:rsidP="003E7B18">
      <w:pPr>
        <w:numPr>
          <w:ilvl w:val="0"/>
          <w:numId w:val="164"/>
        </w:numPr>
        <w:shd w:val="clear" w:color="auto" w:fill="FFFFFF"/>
        <w:ind w:hanging="180"/>
        <w:rPr>
          <w:spacing w:val="8"/>
          <w:sz w:val="24"/>
          <w:szCs w:val="24"/>
        </w:rPr>
      </w:pPr>
      <w:r w:rsidRPr="00D949D0">
        <w:rPr>
          <w:spacing w:val="8"/>
          <w:sz w:val="24"/>
          <w:szCs w:val="24"/>
        </w:rPr>
        <w:t>Requests for other compensation information from the fiduciary or covered plan administrator must be provided within 30 days following receipt of a written request.</w:t>
      </w:r>
    </w:p>
    <w:p w14:paraId="520178DB" w14:textId="77777777" w:rsidR="00947F22" w:rsidRDefault="00947F22" w:rsidP="00141DFC">
      <w:pPr>
        <w:shd w:val="clear" w:color="auto" w:fill="FFFFFF"/>
        <w:ind w:left="720" w:hanging="180"/>
        <w:jc w:val="both"/>
        <w:rPr>
          <w:sz w:val="24"/>
          <w:szCs w:val="24"/>
        </w:rPr>
      </w:pPr>
    </w:p>
    <w:p w14:paraId="1D8658D4" w14:textId="77777777" w:rsidR="00947F22" w:rsidRDefault="00947F22" w:rsidP="003E7B18">
      <w:pPr>
        <w:pStyle w:val="Heading3"/>
        <w:numPr>
          <w:ilvl w:val="2"/>
          <w:numId w:val="173"/>
        </w:numPr>
        <w:ind w:left="990"/>
      </w:pPr>
      <w:r>
        <w:t>Brokercheck Disclosure</w:t>
      </w:r>
    </w:p>
    <w:p w14:paraId="460A8CBD" w14:textId="77777777" w:rsidR="00947F22" w:rsidRDefault="00947F22" w:rsidP="00947F22">
      <w:pPr>
        <w:ind w:left="270"/>
        <w:rPr>
          <w:sz w:val="24"/>
          <w:szCs w:val="24"/>
        </w:rPr>
      </w:pPr>
      <w:r w:rsidRPr="00AD760F">
        <w:rPr>
          <w:sz w:val="24"/>
          <w:szCs w:val="24"/>
        </w:rPr>
        <w:t>Pursuant to FINRA Rule 2210 and effective June 6, 2016, Company webs</w:t>
      </w:r>
      <w:r w:rsidR="00807FE7">
        <w:rPr>
          <w:sz w:val="24"/>
          <w:szCs w:val="24"/>
        </w:rPr>
        <w:t>i</w:t>
      </w:r>
      <w:r w:rsidRPr="00AD760F">
        <w:rPr>
          <w:sz w:val="24"/>
          <w:szCs w:val="24"/>
        </w:rPr>
        <w:t xml:space="preserve">te must contain a hyperlink to FINRA’s Brokercheck at </w:t>
      </w:r>
      <w:hyperlink r:id="rId22" w:history="1">
        <w:r w:rsidRPr="00F41174">
          <w:rPr>
            <w:rStyle w:val="Hyperlink"/>
            <w:sz w:val="24"/>
            <w:szCs w:val="24"/>
          </w:rPr>
          <w:t>www.brokercheck.finra.org</w:t>
        </w:r>
      </w:hyperlink>
      <w:r>
        <w:rPr>
          <w:color w:val="FF0000"/>
          <w:sz w:val="24"/>
          <w:szCs w:val="24"/>
        </w:rPr>
        <w:t xml:space="preserve"> </w:t>
      </w:r>
      <w:r w:rsidRPr="00AD760F">
        <w:rPr>
          <w:sz w:val="24"/>
          <w:szCs w:val="24"/>
        </w:rPr>
        <w:t xml:space="preserve">on the home page and on any RR profile pages.  </w:t>
      </w:r>
      <w:r w:rsidR="00BB2F5D" w:rsidRPr="00AD760F">
        <w:rPr>
          <w:sz w:val="24"/>
          <w:szCs w:val="24"/>
        </w:rPr>
        <w:t>Company uses a global footer to meet that requirement that will appear on every page of its website.   Company will ensure hyperlinks are added and maintained as part of its annual review.</w:t>
      </w:r>
    </w:p>
    <w:p w14:paraId="4025DCBB" w14:textId="77777777" w:rsidR="00CD1E90" w:rsidRDefault="00CD1E90" w:rsidP="00947F22">
      <w:pPr>
        <w:ind w:left="270"/>
        <w:rPr>
          <w:sz w:val="24"/>
          <w:szCs w:val="24"/>
        </w:rPr>
      </w:pPr>
    </w:p>
    <w:p w14:paraId="0791C376" w14:textId="00F0CF7A" w:rsidR="00CD1E90" w:rsidRDefault="00CD1E90" w:rsidP="00CD1E90">
      <w:pPr>
        <w:pStyle w:val="Heading3"/>
      </w:pPr>
      <w:r>
        <w:t>5.29.9 Sweep Programs</w:t>
      </w:r>
    </w:p>
    <w:p w14:paraId="1DC612B1" w14:textId="0DE31283" w:rsidR="00F54397" w:rsidRPr="001F367B" w:rsidRDefault="00364C86" w:rsidP="008C7DD4">
      <w:pPr>
        <w:ind w:left="270"/>
        <w:rPr>
          <w:color w:val="000000" w:themeColor="text1"/>
          <w:sz w:val="24"/>
          <w:szCs w:val="24"/>
        </w:rPr>
      </w:pPr>
      <w:r w:rsidRPr="00CC601C">
        <w:rPr>
          <w:sz w:val="24"/>
          <w:szCs w:val="24"/>
        </w:rPr>
        <w:t xml:space="preserve">Through Company’s clearing </w:t>
      </w:r>
      <w:r w:rsidRPr="001F367B">
        <w:rPr>
          <w:color w:val="000000" w:themeColor="text1"/>
          <w:sz w:val="24"/>
          <w:szCs w:val="24"/>
        </w:rPr>
        <w:t>firm</w:t>
      </w:r>
      <w:r w:rsidR="002F714B" w:rsidRPr="001F367B">
        <w:rPr>
          <w:color w:val="000000" w:themeColor="text1"/>
          <w:sz w:val="24"/>
          <w:szCs w:val="24"/>
        </w:rPr>
        <w:t>’s Information Brochure</w:t>
      </w:r>
      <w:r w:rsidRPr="001F367B">
        <w:rPr>
          <w:color w:val="000000" w:themeColor="text1"/>
          <w:sz w:val="24"/>
          <w:szCs w:val="24"/>
        </w:rPr>
        <w:t xml:space="preserve">, customers will receive disclosures regarding their free credit balances </w:t>
      </w:r>
      <w:r w:rsidR="005918E2" w:rsidRPr="001F367B">
        <w:rPr>
          <w:color w:val="000000" w:themeColor="text1"/>
          <w:sz w:val="24"/>
          <w:szCs w:val="24"/>
        </w:rPr>
        <w:t xml:space="preserve">and transfers to a sweep program </w:t>
      </w:r>
      <w:r w:rsidR="00185A0C" w:rsidRPr="001F367B">
        <w:rPr>
          <w:color w:val="000000" w:themeColor="text1"/>
          <w:sz w:val="24"/>
          <w:szCs w:val="24"/>
        </w:rPr>
        <w:t>and</w:t>
      </w:r>
      <w:r w:rsidR="005918E2" w:rsidRPr="001F367B">
        <w:rPr>
          <w:color w:val="000000" w:themeColor="text1"/>
          <w:sz w:val="24"/>
          <w:szCs w:val="24"/>
        </w:rPr>
        <w:t xml:space="preserve"> will also be </w:t>
      </w:r>
      <w:r w:rsidRPr="001F367B">
        <w:rPr>
          <w:color w:val="000000" w:themeColor="text1"/>
          <w:sz w:val="24"/>
          <w:szCs w:val="24"/>
        </w:rPr>
        <w:t>includ</w:t>
      </w:r>
      <w:r w:rsidR="005918E2" w:rsidRPr="001F367B">
        <w:rPr>
          <w:color w:val="000000" w:themeColor="text1"/>
          <w:sz w:val="24"/>
          <w:szCs w:val="24"/>
        </w:rPr>
        <w:t>ed</w:t>
      </w:r>
      <w:r w:rsidRPr="001F367B">
        <w:rPr>
          <w:color w:val="000000" w:themeColor="text1"/>
          <w:sz w:val="24"/>
          <w:szCs w:val="24"/>
        </w:rPr>
        <w:t xml:space="preserve"> in their quarterly statements from the clearing firm.</w:t>
      </w:r>
      <w:r w:rsidR="008C7DD4" w:rsidRPr="001F367B">
        <w:rPr>
          <w:color w:val="000000" w:themeColor="text1"/>
          <w:sz w:val="24"/>
          <w:szCs w:val="24"/>
        </w:rPr>
        <w:t xml:space="preserve">  This includes:</w:t>
      </w:r>
    </w:p>
    <w:p w14:paraId="45D6AB1F" w14:textId="77777777" w:rsidR="008C7DD4" w:rsidRPr="001F367B" w:rsidRDefault="008C7DD4" w:rsidP="008C7DD4">
      <w:pPr>
        <w:ind w:left="270"/>
        <w:rPr>
          <w:color w:val="000000" w:themeColor="text1"/>
          <w:sz w:val="18"/>
          <w:szCs w:val="18"/>
        </w:rPr>
      </w:pPr>
    </w:p>
    <w:p w14:paraId="0EA0A4A4" w14:textId="77777777" w:rsidR="008C7DD4" w:rsidRPr="001F367B" w:rsidRDefault="008C7DD4" w:rsidP="0005402C">
      <w:pPr>
        <w:numPr>
          <w:ilvl w:val="0"/>
          <w:numId w:val="379"/>
        </w:numPr>
        <w:shd w:val="clear" w:color="auto" w:fill="FFFFFF"/>
        <w:rPr>
          <w:color w:val="000000" w:themeColor="text1"/>
          <w:spacing w:val="8"/>
          <w:sz w:val="24"/>
          <w:szCs w:val="24"/>
        </w:rPr>
      </w:pPr>
      <w:r w:rsidRPr="001F367B">
        <w:rPr>
          <w:color w:val="000000" w:themeColor="text1"/>
          <w:spacing w:val="8"/>
          <w:sz w:val="24"/>
          <w:szCs w:val="24"/>
        </w:rPr>
        <w:t>the nature of sweep arrangements and potential alternatives</w:t>
      </w:r>
    </w:p>
    <w:p w14:paraId="43D8E47F" w14:textId="38C35425" w:rsidR="008C7DD4" w:rsidRPr="001F367B" w:rsidRDefault="008C7DD4" w:rsidP="0005402C">
      <w:pPr>
        <w:numPr>
          <w:ilvl w:val="0"/>
          <w:numId w:val="379"/>
        </w:numPr>
        <w:shd w:val="clear" w:color="auto" w:fill="FFFFFF"/>
        <w:rPr>
          <w:color w:val="000000" w:themeColor="text1"/>
          <w:spacing w:val="8"/>
          <w:sz w:val="24"/>
          <w:szCs w:val="24"/>
        </w:rPr>
      </w:pPr>
      <w:r w:rsidRPr="001F367B">
        <w:rPr>
          <w:color w:val="000000" w:themeColor="text1"/>
          <w:spacing w:val="8"/>
          <w:sz w:val="24"/>
          <w:szCs w:val="24"/>
        </w:rPr>
        <w:t>the distinction between the clearing firm and banks involved in CMAs</w:t>
      </w:r>
    </w:p>
    <w:p w14:paraId="72C2A976" w14:textId="77777777" w:rsidR="008C7DD4" w:rsidRPr="001F367B" w:rsidRDefault="008C7DD4" w:rsidP="0005402C">
      <w:pPr>
        <w:numPr>
          <w:ilvl w:val="0"/>
          <w:numId w:val="379"/>
        </w:numPr>
        <w:shd w:val="clear" w:color="auto" w:fill="FFFFFF"/>
        <w:rPr>
          <w:color w:val="000000" w:themeColor="text1"/>
          <w:spacing w:val="8"/>
          <w:sz w:val="24"/>
          <w:szCs w:val="24"/>
        </w:rPr>
      </w:pPr>
      <w:r w:rsidRPr="001F367B">
        <w:rPr>
          <w:color w:val="000000" w:themeColor="text1"/>
          <w:spacing w:val="8"/>
          <w:sz w:val="24"/>
          <w:szCs w:val="24"/>
        </w:rPr>
        <w:t>limitations on FDIC insurance</w:t>
      </w:r>
    </w:p>
    <w:p w14:paraId="30EBFF17" w14:textId="77777777" w:rsidR="008C7DD4" w:rsidRPr="001F367B" w:rsidRDefault="008C7DD4" w:rsidP="0005402C">
      <w:pPr>
        <w:numPr>
          <w:ilvl w:val="0"/>
          <w:numId w:val="379"/>
        </w:numPr>
        <w:shd w:val="clear" w:color="auto" w:fill="FFFFFF"/>
        <w:rPr>
          <w:color w:val="000000" w:themeColor="text1"/>
          <w:spacing w:val="8"/>
          <w:sz w:val="24"/>
          <w:szCs w:val="24"/>
        </w:rPr>
      </w:pPr>
      <w:r w:rsidRPr="001F367B">
        <w:rPr>
          <w:color w:val="000000" w:themeColor="text1"/>
          <w:spacing w:val="8"/>
          <w:sz w:val="24"/>
          <w:szCs w:val="24"/>
        </w:rPr>
        <w:lastRenderedPageBreak/>
        <w:t>the time it would take customers to access their cash</w:t>
      </w:r>
    </w:p>
    <w:p w14:paraId="6DB57846" w14:textId="77777777" w:rsidR="008C7DD4" w:rsidRDefault="008C7DD4" w:rsidP="008C7DD4">
      <w:pPr>
        <w:ind w:left="270"/>
        <w:rPr>
          <w:sz w:val="24"/>
          <w:szCs w:val="24"/>
        </w:rPr>
      </w:pPr>
    </w:p>
    <w:p w14:paraId="08477403" w14:textId="576F8E5D" w:rsidR="00364C86" w:rsidRPr="00CC601C" w:rsidRDefault="00364C86" w:rsidP="008C7DD4">
      <w:pPr>
        <w:ind w:left="270"/>
        <w:rPr>
          <w:sz w:val="24"/>
          <w:szCs w:val="24"/>
        </w:rPr>
      </w:pPr>
      <w:r w:rsidRPr="00CC601C">
        <w:rPr>
          <w:sz w:val="24"/>
          <w:szCs w:val="24"/>
        </w:rPr>
        <w:t>In addition, Company and any of its Associated Persons may not imply that that a brokerage account is the same or similar to a “checking or savings account at a bank, nor imply that brokerage accounts are a bank deposit account insured by the FDIC.</w:t>
      </w:r>
    </w:p>
    <w:p w14:paraId="2706FA4F" w14:textId="51BD5F52" w:rsidR="0089681E" w:rsidRDefault="0089681E" w:rsidP="00947F22">
      <w:pPr>
        <w:ind w:left="270"/>
        <w:rPr>
          <w:color w:val="FF0000"/>
          <w:sz w:val="24"/>
          <w:szCs w:val="24"/>
        </w:rPr>
      </w:pPr>
    </w:p>
    <w:p w14:paraId="68FEB696" w14:textId="0EAF849E" w:rsidR="0089681E" w:rsidRDefault="0089681E" w:rsidP="00947F22">
      <w:pPr>
        <w:ind w:left="270"/>
        <w:rPr>
          <w:color w:val="FF0000"/>
          <w:sz w:val="24"/>
          <w:szCs w:val="24"/>
        </w:rPr>
      </w:pPr>
    </w:p>
    <w:p w14:paraId="7E7F58FE" w14:textId="7558ED62" w:rsidR="0089681E" w:rsidRPr="0089681E" w:rsidRDefault="0089681E" w:rsidP="00936FEE">
      <w:pPr>
        <w:pStyle w:val="Heading2"/>
      </w:pPr>
      <w:r>
        <w:t xml:space="preserve">5.30 </w:t>
      </w:r>
      <w:r w:rsidRPr="0089681E">
        <w:t xml:space="preserve">Accounts </w:t>
      </w:r>
      <w:r w:rsidR="0035539E">
        <w:t>f</w:t>
      </w:r>
      <w:r w:rsidRPr="0089681E">
        <w:t>or Minors</w:t>
      </w:r>
    </w:p>
    <w:p w14:paraId="473C347D" w14:textId="3AA95D55" w:rsidR="0035539E" w:rsidRPr="00CC601C" w:rsidRDefault="0035539E" w:rsidP="0035539E">
      <w:pPr>
        <w:rPr>
          <w:spacing w:val="8"/>
          <w:sz w:val="24"/>
          <w:szCs w:val="24"/>
        </w:rPr>
      </w:pPr>
      <w:r w:rsidRPr="00CC601C">
        <w:rPr>
          <w:spacing w:val="8"/>
          <w:sz w:val="24"/>
          <w:szCs w:val="24"/>
        </w:rPr>
        <w:t>UTMA/UGMA accounts are custodial accounts that allow for the transfer of funds, securities, and other assets to minors without the need for a formal trust. UGMA and UTMA are model laws developed and approved by the Uniform Law Commission for application by states.</w:t>
      </w:r>
    </w:p>
    <w:p w14:paraId="015B7F10" w14:textId="77777777" w:rsidR="0035539E" w:rsidRPr="00CC601C" w:rsidRDefault="0035539E" w:rsidP="0035539E">
      <w:pPr>
        <w:rPr>
          <w:spacing w:val="8"/>
          <w:sz w:val="24"/>
          <w:szCs w:val="24"/>
        </w:rPr>
      </w:pPr>
    </w:p>
    <w:p w14:paraId="6BB66863" w14:textId="7CC33357" w:rsidR="0035539E" w:rsidRPr="00CC601C" w:rsidRDefault="0035539E" w:rsidP="0035539E">
      <w:pPr>
        <w:rPr>
          <w:spacing w:val="8"/>
          <w:sz w:val="24"/>
          <w:szCs w:val="24"/>
        </w:rPr>
      </w:pPr>
      <w:r w:rsidRPr="00CC601C">
        <w:rPr>
          <w:spacing w:val="8"/>
          <w:sz w:val="24"/>
          <w:szCs w:val="24"/>
        </w:rPr>
        <w:t>There are a number of requirements and restrictions that affect minors' accounts:</w:t>
      </w:r>
    </w:p>
    <w:p w14:paraId="67959587" w14:textId="77777777" w:rsidR="0035539E" w:rsidRPr="00CC601C" w:rsidRDefault="0035539E" w:rsidP="0035539E">
      <w:pPr>
        <w:rPr>
          <w:spacing w:val="8"/>
          <w:sz w:val="12"/>
          <w:szCs w:val="12"/>
        </w:rPr>
      </w:pPr>
    </w:p>
    <w:p w14:paraId="4FCF9B05" w14:textId="70963EDF" w:rsidR="0035539E" w:rsidRPr="00CC601C" w:rsidRDefault="0035539E" w:rsidP="0005402C">
      <w:pPr>
        <w:numPr>
          <w:ilvl w:val="0"/>
          <w:numId w:val="353"/>
        </w:numPr>
        <w:rPr>
          <w:spacing w:val="8"/>
          <w:sz w:val="24"/>
          <w:szCs w:val="24"/>
        </w:rPr>
      </w:pPr>
      <w:r w:rsidRPr="00CC601C">
        <w:rPr>
          <w:spacing w:val="8"/>
          <w:sz w:val="24"/>
          <w:szCs w:val="24"/>
        </w:rPr>
        <w:t>The donor names a custodian and donates assets to the account;</w:t>
      </w:r>
    </w:p>
    <w:p w14:paraId="6A7AEECC" w14:textId="4EF6E141" w:rsidR="0035539E" w:rsidRPr="00CC601C" w:rsidRDefault="0035539E" w:rsidP="0005402C">
      <w:pPr>
        <w:numPr>
          <w:ilvl w:val="0"/>
          <w:numId w:val="353"/>
        </w:numPr>
        <w:spacing w:before="100" w:beforeAutospacing="1" w:after="100" w:afterAutospacing="1"/>
        <w:rPr>
          <w:spacing w:val="8"/>
          <w:sz w:val="24"/>
          <w:szCs w:val="24"/>
        </w:rPr>
      </w:pPr>
      <w:r w:rsidRPr="00CC601C">
        <w:rPr>
          <w:spacing w:val="8"/>
          <w:sz w:val="24"/>
          <w:szCs w:val="24"/>
        </w:rPr>
        <w:t>Only one custodian is permitted for each account;</w:t>
      </w:r>
    </w:p>
    <w:p w14:paraId="0927FC1A" w14:textId="702C5859" w:rsidR="0035539E" w:rsidRPr="00CC601C" w:rsidRDefault="0035539E" w:rsidP="0005402C">
      <w:pPr>
        <w:numPr>
          <w:ilvl w:val="0"/>
          <w:numId w:val="353"/>
        </w:numPr>
        <w:spacing w:before="100" w:beforeAutospacing="1" w:after="100" w:afterAutospacing="1"/>
        <w:rPr>
          <w:spacing w:val="8"/>
          <w:sz w:val="24"/>
          <w:szCs w:val="24"/>
        </w:rPr>
      </w:pPr>
      <w:r w:rsidRPr="00CC601C">
        <w:rPr>
          <w:spacing w:val="8"/>
          <w:sz w:val="24"/>
          <w:szCs w:val="24"/>
        </w:rPr>
        <w:t>Custodians generally may not delegate authority to another person;</w:t>
      </w:r>
    </w:p>
    <w:p w14:paraId="5DFF2BD0" w14:textId="70463116" w:rsidR="0035539E" w:rsidRPr="00CC601C" w:rsidRDefault="0035539E" w:rsidP="0005402C">
      <w:pPr>
        <w:numPr>
          <w:ilvl w:val="0"/>
          <w:numId w:val="353"/>
        </w:numPr>
        <w:spacing w:before="100" w:beforeAutospacing="1" w:after="100" w:afterAutospacing="1"/>
        <w:rPr>
          <w:spacing w:val="8"/>
          <w:sz w:val="24"/>
          <w:szCs w:val="24"/>
        </w:rPr>
      </w:pPr>
      <w:r w:rsidRPr="00CC601C">
        <w:rPr>
          <w:spacing w:val="8"/>
          <w:sz w:val="24"/>
          <w:szCs w:val="24"/>
        </w:rPr>
        <w:t>Only one minor may be named in each account;</w:t>
      </w:r>
    </w:p>
    <w:p w14:paraId="2140B783" w14:textId="4FD6026A" w:rsidR="0035539E" w:rsidRPr="00CC601C" w:rsidRDefault="0035539E" w:rsidP="0005402C">
      <w:pPr>
        <w:numPr>
          <w:ilvl w:val="0"/>
          <w:numId w:val="353"/>
        </w:numPr>
        <w:spacing w:before="100" w:beforeAutospacing="1" w:after="100" w:afterAutospacing="1"/>
        <w:rPr>
          <w:spacing w:val="8"/>
          <w:sz w:val="24"/>
          <w:szCs w:val="24"/>
        </w:rPr>
      </w:pPr>
      <w:r w:rsidRPr="00CC601C">
        <w:rPr>
          <w:spacing w:val="8"/>
          <w:sz w:val="24"/>
          <w:szCs w:val="24"/>
        </w:rPr>
        <w:t>Margin transactions are not permitted;</w:t>
      </w:r>
    </w:p>
    <w:p w14:paraId="4ACCD41D" w14:textId="60278C39" w:rsidR="0035539E" w:rsidRPr="00CC601C" w:rsidRDefault="0035539E" w:rsidP="0005402C">
      <w:pPr>
        <w:numPr>
          <w:ilvl w:val="0"/>
          <w:numId w:val="353"/>
        </w:numPr>
        <w:spacing w:before="100" w:beforeAutospacing="1" w:after="100" w:afterAutospacing="1"/>
        <w:rPr>
          <w:spacing w:val="8"/>
          <w:sz w:val="24"/>
          <w:szCs w:val="24"/>
        </w:rPr>
      </w:pPr>
      <w:r w:rsidRPr="00CC601C">
        <w:rPr>
          <w:spacing w:val="8"/>
          <w:sz w:val="24"/>
          <w:szCs w:val="24"/>
        </w:rPr>
        <w:t xml:space="preserve">Gifts to minors are irrevocable, </w:t>
      </w:r>
      <w:r w:rsidRPr="00CC601C">
        <w:rPr>
          <w:i/>
          <w:iCs/>
          <w:spacing w:val="8"/>
          <w:sz w:val="24"/>
          <w:szCs w:val="24"/>
        </w:rPr>
        <w:t>i.e.</w:t>
      </w:r>
      <w:r w:rsidRPr="00CC601C">
        <w:rPr>
          <w:spacing w:val="8"/>
          <w:sz w:val="24"/>
          <w:szCs w:val="24"/>
        </w:rPr>
        <w:t>, the custodian may not direct distribution of assets from the account except for the benefit of the minor;</w:t>
      </w:r>
    </w:p>
    <w:p w14:paraId="2EF226DE" w14:textId="683B603D" w:rsidR="0035539E" w:rsidRPr="00CC601C" w:rsidRDefault="0035539E" w:rsidP="0005402C">
      <w:pPr>
        <w:numPr>
          <w:ilvl w:val="0"/>
          <w:numId w:val="353"/>
        </w:numPr>
        <w:spacing w:before="100" w:beforeAutospacing="1" w:after="100" w:afterAutospacing="1"/>
        <w:rPr>
          <w:spacing w:val="8"/>
          <w:sz w:val="24"/>
          <w:szCs w:val="24"/>
        </w:rPr>
      </w:pPr>
      <w:r w:rsidRPr="00CC601C">
        <w:rPr>
          <w:spacing w:val="8"/>
          <w:sz w:val="24"/>
          <w:szCs w:val="24"/>
        </w:rPr>
        <w:t>The minor's social security number must be used when opening the account;</w:t>
      </w:r>
    </w:p>
    <w:p w14:paraId="1AC9CD52" w14:textId="48E7F5D3" w:rsidR="0035539E" w:rsidRPr="00CC601C" w:rsidRDefault="0035539E" w:rsidP="0005402C">
      <w:pPr>
        <w:numPr>
          <w:ilvl w:val="0"/>
          <w:numId w:val="353"/>
        </w:numPr>
        <w:spacing w:before="100" w:beforeAutospacing="1" w:after="100" w:afterAutospacing="1"/>
        <w:rPr>
          <w:spacing w:val="8"/>
          <w:sz w:val="24"/>
          <w:szCs w:val="24"/>
        </w:rPr>
      </w:pPr>
      <w:r w:rsidRPr="00CC601C">
        <w:rPr>
          <w:spacing w:val="8"/>
          <w:sz w:val="24"/>
          <w:szCs w:val="24"/>
        </w:rPr>
        <w:t>Minors may not be a party to a joint account, investment club, or partnership;</w:t>
      </w:r>
    </w:p>
    <w:p w14:paraId="4AD67EE2" w14:textId="05CE8E8D" w:rsidR="0035539E" w:rsidRPr="00CC601C" w:rsidRDefault="0035539E" w:rsidP="0005402C">
      <w:pPr>
        <w:numPr>
          <w:ilvl w:val="0"/>
          <w:numId w:val="353"/>
        </w:numPr>
        <w:spacing w:before="100" w:beforeAutospacing="1" w:after="100" w:afterAutospacing="1"/>
        <w:rPr>
          <w:spacing w:val="8"/>
          <w:sz w:val="24"/>
          <w:szCs w:val="24"/>
        </w:rPr>
      </w:pPr>
      <w:r w:rsidRPr="00CC601C">
        <w:rPr>
          <w:spacing w:val="8"/>
          <w:sz w:val="24"/>
          <w:szCs w:val="24"/>
        </w:rPr>
        <w:t>The custodianship generally terminates when the beneficiary reaches the age of majority (or other alternative age in state statutes or if the beneficiary dies);</w:t>
      </w:r>
    </w:p>
    <w:p w14:paraId="21CE7181" w14:textId="0E397ACB" w:rsidR="0035539E" w:rsidRPr="00CC601C" w:rsidRDefault="0035539E" w:rsidP="0005402C">
      <w:pPr>
        <w:numPr>
          <w:ilvl w:val="0"/>
          <w:numId w:val="353"/>
        </w:numPr>
        <w:spacing w:before="100" w:beforeAutospacing="1" w:after="100" w:afterAutospacing="1"/>
        <w:rPr>
          <w:spacing w:val="8"/>
          <w:sz w:val="24"/>
          <w:szCs w:val="24"/>
        </w:rPr>
      </w:pPr>
      <w:r w:rsidRPr="00CC601C">
        <w:rPr>
          <w:spacing w:val="8"/>
          <w:sz w:val="24"/>
          <w:szCs w:val="24"/>
        </w:rPr>
        <w:t xml:space="preserve">Some states permit extending custodianship to a higher age; the beneficiary should be notified of his or her right to compel distribution of assets upon reaching a specified age; and </w:t>
      </w:r>
    </w:p>
    <w:p w14:paraId="07E52DB2" w14:textId="3196B6AF" w:rsidR="0035539E" w:rsidRPr="00CC601C" w:rsidRDefault="0035539E" w:rsidP="003A2329">
      <w:pPr>
        <w:rPr>
          <w:spacing w:val="8"/>
          <w:sz w:val="24"/>
          <w:szCs w:val="24"/>
        </w:rPr>
      </w:pPr>
      <w:r w:rsidRPr="00CC601C">
        <w:rPr>
          <w:spacing w:val="8"/>
          <w:sz w:val="24"/>
          <w:szCs w:val="24"/>
        </w:rPr>
        <w:t xml:space="preserve">Custodian, Company, and the RR should be aware when a custodianship is terminated and assets are to be distributed which may include flagging custodianship accounts to identify termination and notifying RRs to </w:t>
      </w:r>
      <w:r w:rsidR="00C04A4C" w:rsidRPr="00CC601C">
        <w:rPr>
          <w:spacing w:val="8"/>
          <w:sz w:val="24"/>
          <w:szCs w:val="24"/>
        </w:rPr>
        <w:t>notify</w:t>
      </w:r>
      <w:r w:rsidRPr="00CC601C">
        <w:rPr>
          <w:spacing w:val="8"/>
          <w:sz w:val="24"/>
          <w:szCs w:val="24"/>
        </w:rPr>
        <w:t xml:space="preserve"> the custodian's </w:t>
      </w:r>
      <w:r w:rsidR="00C04A4C" w:rsidRPr="00CC601C">
        <w:rPr>
          <w:spacing w:val="8"/>
          <w:sz w:val="24"/>
          <w:szCs w:val="24"/>
        </w:rPr>
        <w:t>dis</w:t>
      </w:r>
      <w:r w:rsidRPr="00CC601C">
        <w:rPr>
          <w:spacing w:val="8"/>
          <w:sz w:val="24"/>
          <w:szCs w:val="24"/>
        </w:rPr>
        <w:t xml:space="preserve">continuing authority </w:t>
      </w:r>
      <w:r w:rsidR="00C04A4C" w:rsidRPr="00CC601C">
        <w:rPr>
          <w:spacing w:val="8"/>
          <w:sz w:val="24"/>
          <w:szCs w:val="24"/>
        </w:rPr>
        <w:t>(</w:t>
      </w:r>
      <w:r w:rsidRPr="00CC601C">
        <w:rPr>
          <w:spacing w:val="8"/>
          <w:sz w:val="24"/>
          <w:szCs w:val="24"/>
        </w:rPr>
        <w:t>and t</w:t>
      </w:r>
      <w:r w:rsidR="00C04A4C" w:rsidRPr="00CC601C">
        <w:rPr>
          <w:spacing w:val="8"/>
          <w:sz w:val="24"/>
          <w:szCs w:val="24"/>
        </w:rPr>
        <w:t>hat they are available to</w:t>
      </w:r>
      <w:r w:rsidRPr="00CC601C">
        <w:rPr>
          <w:spacing w:val="8"/>
          <w:sz w:val="24"/>
          <w:szCs w:val="24"/>
        </w:rPr>
        <w:t xml:space="preserve"> </w:t>
      </w:r>
      <w:r w:rsidR="00C04A4C" w:rsidRPr="00CC601C">
        <w:rPr>
          <w:spacing w:val="8"/>
          <w:sz w:val="24"/>
          <w:szCs w:val="24"/>
        </w:rPr>
        <w:t xml:space="preserve">assist with any </w:t>
      </w:r>
      <w:r w:rsidRPr="00CC601C">
        <w:rPr>
          <w:spacing w:val="8"/>
          <w:sz w:val="24"/>
          <w:szCs w:val="24"/>
        </w:rPr>
        <w:t xml:space="preserve">instructions </w:t>
      </w:r>
      <w:r w:rsidR="00C04A4C" w:rsidRPr="00CC601C">
        <w:rPr>
          <w:spacing w:val="8"/>
          <w:sz w:val="24"/>
          <w:szCs w:val="24"/>
        </w:rPr>
        <w:t>for</w:t>
      </w:r>
      <w:r w:rsidRPr="00CC601C">
        <w:rPr>
          <w:spacing w:val="8"/>
          <w:sz w:val="24"/>
          <w:szCs w:val="24"/>
        </w:rPr>
        <w:t xml:space="preserve"> distribution of the assets</w:t>
      </w:r>
      <w:r w:rsidR="00C04A4C" w:rsidRPr="00CC601C">
        <w:rPr>
          <w:spacing w:val="8"/>
          <w:sz w:val="24"/>
          <w:szCs w:val="24"/>
        </w:rPr>
        <w:t xml:space="preserve"> or opening a new, individual account for the new, majority age individual)</w:t>
      </w:r>
      <w:r w:rsidRPr="00CC601C">
        <w:rPr>
          <w:spacing w:val="8"/>
          <w:sz w:val="24"/>
          <w:szCs w:val="24"/>
        </w:rPr>
        <w:t>.</w:t>
      </w:r>
    </w:p>
    <w:p w14:paraId="7B8EFB10" w14:textId="77777777" w:rsidR="0035539E" w:rsidRPr="00CC601C" w:rsidRDefault="0035539E" w:rsidP="0035539E">
      <w:pPr>
        <w:ind w:left="720"/>
        <w:rPr>
          <w:spacing w:val="8"/>
          <w:sz w:val="24"/>
          <w:szCs w:val="24"/>
        </w:rPr>
      </w:pPr>
    </w:p>
    <w:p w14:paraId="7E16B23E" w14:textId="2549BBFC" w:rsidR="0035539E" w:rsidRPr="00CC601C" w:rsidRDefault="0035539E" w:rsidP="0035539E">
      <w:pPr>
        <w:rPr>
          <w:spacing w:val="8"/>
          <w:sz w:val="24"/>
          <w:szCs w:val="24"/>
        </w:rPr>
      </w:pPr>
      <w:r w:rsidRPr="00CC601C">
        <w:rPr>
          <w:spacing w:val="8"/>
          <w:sz w:val="24"/>
          <w:szCs w:val="24"/>
        </w:rPr>
        <w:t>The custodian manages the account assets including executing transactions and withdrawing or transferring funds for the benefit of the beneficiary (the minor).</w:t>
      </w:r>
      <w:r w:rsidR="00C04A4C" w:rsidRPr="00CC601C">
        <w:rPr>
          <w:spacing w:val="8"/>
          <w:sz w:val="24"/>
          <w:szCs w:val="24"/>
        </w:rPr>
        <w:t xml:space="preserve">  </w:t>
      </w:r>
    </w:p>
    <w:p w14:paraId="0F7E363C" w14:textId="77777777" w:rsidR="0035539E" w:rsidRPr="0035539E" w:rsidRDefault="0035539E" w:rsidP="0035539E">
      <w:pPr>
        <w:rPr>
          <w:color w:val="FF0000"/>
          <w:spacing w:val="8"/>
          <w:sz w:val="24"/>
          <w:szCs w:val="24"/>
        </w:rPr>
      </w:pPr>
    </w:p>
    <w:p w14:paraId="52C7D695" w14:textId="77777777" w:rsidR="00F54397" w:rsidRDefault="00F54397" w:rsidP="00947F22">
      <w:pPr>
        <w:ind w:left="270"/>
        <w:rPr>
          <w:sz w:val="24"/>
          <w:szCs w:val="24"/>
        </w:rPr>
      </w:pPr>
    </w:p>
    <w:p w14:paraId="577FFA81" w14:textId="3CEC58D3" w:rsidR="00F54397" w:rsidRDefault="0089681E" w:rsidP="00936FEE">
      <w:pPr>
        <w:pStyle w:val="Heading2"/>
      </w:pPr>
      <w:r>
        <w:t xml:space="preserve">5.31 </w:t>
      </w:r>
      <w:r w:rsidR="00F54397" w:rsidRPr="00F54397">
        <w:t xml:space="preserve">Death of </w:t>
      </w:r>
      <w:r w:rsidR="00572270">
        <w:t>Accountholder</w:t>
      </w:r>
    </w:p>
    <w:p w14:paraId="63BA01AD" w14:textId="3BB5EFB7" w:rsidR="001F2824" w:rsidRPr="00606AF7" w:rsidRDefault="00F54397" w:rsidP="00F54397">
      <w:pPr>
        <w:pStyle w:val="ListParagraph"/>
        <w:ind w:left="0" w:right="-225"/>
        <w:rPr>
          <w:sz w:val="24"/>
          <w:szCs w:val="24"/>
          <w:lang w:val="en"/>
        </w:rPr>
      </w:pPr>
      <w:r w:rsidRPr="00606AF7">
        <w:rPr>
          <w:sz w:val="24"/>
          <w:szCs w:val="24"/>
          <w:lang w:val="en"/>
        </w:rPr>
        <w:t xml:space="preserve">Upon notice of an individual account holder's death, Company shall ensure </w:t>
      </w:r>
      <w:r w:rsidR="000D18BE" w:rsidRPr="001F367B">
        <w:rPr>
          <w:color w:val="000000" w:themeColor="text1"/>
          <w:sz w:val="24"/>
          <w:szCs w:val="24"/>
          <w:lang w:val="en"/>
        </w:rPr>
        <w:t>only closing</w:t>
      </w:r>
      <w:r w:rsidR="002633FE" w:rsidRPr="001F367B">
        <w:rPr>
          <w:color w:val="000000" w:themeColor="text1"/>
          <w:sz w:val="24"/>
          <w:szCs w:val="24"/>
          <w:lang w:val="en"/>
        </w:rPr>
        <w:t xml:space="preserve"> or Sell</w:t>
      </w:r>
      <w:r w:rsidR="000D18BE" w:rsidRPr="001F367B">
        <w:rPr>
          <w:color w:val="000000" w:themeColor="text1"/>
          <w:sz w:val="24"/>
          <w:szCs w:val="24"/>
          <w:lang w:val="en"/>
        </w:rPr>
        <w:t xml:space="preserve"> transactions may be entered, any open</w:t>
      </w:r>
      <w:r w:rsidRPr="001F367B">
        <w:rPr>
          <w:color w:val="000000" w:themeColor="text1"/>
          <w:sz w:val="24"/>
          <w:szCs w:val="24"/>
          <w:lang w:val="en"/>
        </w:rPr>
        <w:t xml:space="preserve"> </w:t>
      </w:r>
      <w:r w:rsidRPr="00606AF7">
        <w:rPr>
          <w:sz w:val="24"/>
          <w:szCs w:val="24"/>
          <w:lang w:val="en"/>
        </w:rPr>
        <w:t xml:space="preserve">orders are cancelled and </w:t>
      </w:r>
      <w:r w:rsidR="000D18BE">
        <w:rPr>
          <w:sz w:val="24"/>
          <w:szCs w:val="24"/>
          <w:lang w:val="en"/>
        </w:rPr>
        <w:t xml:space="preserve">any </w:t>
      </w:r>
      <w:r w:rsidRPr="00606AF7">
        <w:rPr>
          <w:sz w:val="24"/>
          <w:szCs w:val="24"/>
          <w:lang w:val="en"/>
        </w:rPr>
        <w:t>further trading in the account blocked</w:t>
      </w:r>
      <w:r w:rsidR="001F2824" w:rsidRPr="00606AF7">
        <w:rPr>
          <w:sz w:val="24"/>
          <w:szCs w:val="24"/>
          <w:lang w:val="en"/>
        </w:rPr>
        <w:t xml:space="preserve"> until necessary documents are received and legal distribution has been determined.</w:t>
      </w:r>
      <w:r w:rsidRPr="00606AF7">
        <w:rPr>
          <w:sz w:val="24"/>
          <w:szCs w:val="24"/>
          <w:lang w:val="en"/>
        </w:rPr>
        <w:t xml:space="preserve"> </w:t>
      </w:r>
      <w:r w:rsidR="001F2824" w:rsidRPr="00606AF7">
        <w:rPr>
          <w:sz w:val="24"/>
          <w:szCs w:val="24"/>
          <w:lang w:val="en"/>
        </w:rPr>
        <w:t xml:space="preserve"> Joint accounts and other accounts where the deceased person </w:t>
      </w:r>
      <w:proofErr w:type="gramStart"/>
      <w:r w:rsidR="001F2824" w:rsidRPr="00606AF7">
        <w:rPr>
          <w:sz w:val="24"/>
          <w:szCs w:val="24"/>
          <w:lang w:val="en"/>
        </w:rPr>
        <w:t>is</w:t>
      </w:r>
      <w:proofErr w:type="gramEnd"/>
      <w:r w:rsidR="001F2824" w:rsidRPr="00606AF7">
        <w:rPr>
          <w:sz w:val="24"/>
          <w:szCs w:val="24"/>
          <w:lang w:val="en"/>
        </w:rPr>
        <w:t xml:space="preserve"> a joint owner with others may be subject to certain distribution requirements.</w:t>
      </w:r>
    </w:p>
    <w:p w14:paraId="71DF2961" w14:textId="77777777" w:rsidR="001F2824" w:rsidRPr="00606AF7" w:rsidRDefault="001F2824" w:rsidP="00F54397">
      <w:pPr>
        <w:pStyle w:val="ListParagraph"/>
        <w:ind w:left="0" w:right="-225"/>
        <w:rPr>
          <w:sz w:val="24"/>
          <w:szCs w:val="24"/>
          <w:lang w:val="en"/>
        </w:rPr>
      </w:pPr>
    </w:p>
    <w:p w14:paraId="19435EC9" w14:textId="77777777" w:rsidR="001F2824" w:rsidRPr="00606AF7" w:rsidRDefault="001F2824" w:rsidP="00F54397">
      <w:pPr>
        <w:pStyle w:val="ListParagraph"/>
        <w:ind w:left="0" w:right="-225"/>
        <w:rPr>
          <w:sz w:val="24"/>
          <w:szCs w:val="24"/>
          <w:lang w:val="en"/>
        </w:rPr>
      </w:pPr>
      <w:r w:rsidRPr="00606AF7">
        <w:rPr>
          <w:sz w:val="24"/>
          <w:szCs w:val="24"/>
          <w:lang w:val="en"/>
        </w:rPr>
        <w:t>When a customer dies, Associated Persons should:</w:t>
      </w:r>
    </w:p>
    <w:p w14:paraId="4897F1E7" w14:textId="77777777" w:rsidR="001F2824" w:rsidRPr="00606AF7" w:rsidRDefault="001F2824" w:rsidP="0005402C">
      <w:pPr>
        <w:pStyle w:val="ListParagraph"/>
        <w:numPr>
          <w:ilvl w:val="0"/>
          <w:numId w:val="334"/>
        </w:numPr>
        <w:ind w:right="-225"/>
        <w:rPr>
          <w:sz w:val="24"/>
          <w:szCs w:val="24"/>
          <w:lang w:val="en"/>
        </w:rPr>
      </w:pPr>
      <w:r w:rsidRPr="00606AF7">
        <w:rPr>
          <w:sz w:val="24"/>
          <w:szCs w:val="24"/>
          <w:lang w:val="en"/>
        </w:rPr>
        <w:lastRenderedPageBreak/>
        <w:t>Immediately notify home office and branch Operations;</w:t>
      </w:r>
    </w:p>
    <w:p w14:paraId="0827FD31" w14:textId="77777777" w:rsidR="001F2824" w:rsidRPr="00606AF7" w:rsidRDefault="001F2824" w:rsidP="0005402C">
      <w:pPr>
        <w:pStyle w:val="ListParagraph"/>
        <w:numPr>
          <w:ilvl w:val="0"/>
          <w:numId w:val="334"/>
        </w:numPr>
        <w:ind w:right="-225"/>
        <w:rPr>
          <w:sz w:val="24"/>
          <w:szCs w:val="24"/>
          <w:lang w:val="en"/>
        </w:rPr>
      </w:pPr>
      <w:r w:rsidRPr="00606AF7">
        <w:rPr>
          <w:sz w:val="24"/>
          <w:szCs w:val="24"/>
          <w:lang w:val="en"/>
        </w:rPr>
        <w:t>Not accept any orders or distribute funds or securities; and</w:t>
      </w:r>
    </w:p>
    <w:p w14:paraId="01290537" w14:textId="77777777" w:rsidR="001F2824" w:rsidRPr="00606AF7" w:rsidRDefault="001F2824" w:rsidP="0005402C">
      <w:pPr>
        <w:pStyle w:val="ListParagraph"/>
        <w:numPr>
          <w:ilvl w:val="0"/>
          <w:numId w:val="334"/>
        </w:numPr>
        <w:ind w:right="-225"/>
        <w:rPr>
          <w:sz w:val="24"/>
          <w:szCs w:val="24"/>
          <w:lang w:val="en"/>
        </w:rPr>
      </w:pPr>
      <w:r w:rsidRPr="00606AF7">
        <w:rPr>
          <w:sz w:val="24"/>
          <w:szCs w:val="24"/>
          <w:lang w:val="en"/>
        </w:rPr>
        <w:t>Cancel any open orders.</w:t>
      </w:r>
    </w:p>
    <w:p w14:paraId="1DB9BC3D" w14:textId="77777777" w:rsidR="001F2824" w:rsidRPr="00606AF7" w:rsidRDefault="001F2824" w:rsidP="001F2824">
      <w:pPr>
        <w:ind w:left="360" w:right="-225"/>
        <w:rPr>
          <w:sz w:val="24"/>
          <w:szCs w:val="24"/>
          <w:lang w:val="en"/>
        </w:rPr>
      </w:pPr>
    </w:p>
    <w:p w14:paraId="79773EE8" w14:textId="77777777" w:rsidR="00F54397" w:rsidRPr="00606AF7" w:rsidRDefault="00F54397" w:rsidP="00F54397">
      <w:pPr>
        <w:pStyle w:val="ListParagraph"/>
        <w:ind w:left="0" w:right="-225"/>
        <w:rPr>
          <w:lang w:val="en"/>
        </w:rPr>
      </w:pPr>
      <w:r w:rsidRPr="00606AF7">
        <w:rPr>
          <w:sz w:val="24"/>
          <w:szCs w:val="24"/>
          <w:lang w:val="en"/>
        </w:rPr>
        <w:t>Typically, the account should be denoted as in the name of a "DECEASED" and further activity suspended until Company is in receipt of a death certificate or other legal notification. These steps are taken so as to ensure the preservation of assets for any estate and to limit Company's exposure in any estate litigation. Thereafter, the name of the account is generally changed from that of the deceased into one reflecting the "ESTATE OF . . ." such alteration may require the production of various court orders or letters testamentary, as the circumstances may dictate.</w:t>
      </w:r>
    </w:p>
    <w:p w14:paraId="6EB55250" w14:textId="77777777" w:rsidR="00F54397" w:rsidRPr="00606AF7" w:rsidRDefault="00F54397" w:rsidP="00F54397">
      <w:pPr>
        <w:pStyle w:val="ListParagraph"/>
        <w:ind w:left="0" w:right="-225"/>
        <w:rPr>
          <w:lang w:val="en"/>
        </w:rPr>
      </w:pPr>
    </w:p>
    <w:p w14:paraId="3D23AB3E" w14:textId="77777777" w:rsidR="00F54397" w:rsidRPr="00606AF7" w:rsidRDefault="00F54397" w:rsidP="00F54397">
      <w:pPr>
        <w:pStyle w:val="ListParagraph"/>
        <w:ind w:left="0" w:right="-225"/>
        <w:rPr>
          <w:sz w:val="24"/>
          <w:szCs w:val="24"/>
          <w:lang w:val="en"/>
        </w:rPr>
      </w:pPr>
      <w:r w:rsidRPr="00606AF7">
        <w:rPr>
          <w:sz w:val="24"/>
          <w:szCs w:val="24"/>
          <w:lang w:val="en"/>
        </w:rPr>
        <w:t xml:space="preserve">In the absence of legal documentation and authorization from </w:t>
      </w:r>
      <w:r w:rsidR="001B37DD" w:rsidRPr="00606AF7">
        <w:rPr>
          <w:sz w:val="24"/>
          <w:szCs w:val="24"/>
          <w:lang w:val="en"/>
        </w:rPr>
        <w:t>Company</w:t>
      </w:r>
      <w:r w:rsidRPr="00606AF7">
        <w:rPr>
          <w:sz w:val="24"/>
          <w:szCs w:val="24"/>
          <w:lang w:val="en"/>
        </w:rPr>
        <w:t xml:space="preserve">, </w:t>
      </w:r>
      <w:r w:rsidR="001B37DD" w:rsidRPr="00606AF7">
        <w:rPr>
          <w:sz w:val="24"/>
          <w:szCs w:val="24"/>
          <w:lang w:val="en"/>
        </w:rPr>
        <w:t>Associated</w:t>
      </w:r>
      <w:r w:rsidRPr="00606AF7">
        <w:rPr>
          <w:sz w:val="24"/>
          <w:szCs w:val="24"/>
          <w:lang w:val="en"/>
        </w:rPr>
        <w:t xml:space="preserve"> </w:t>
      </w:r>
      <w:r w:rsidR="001B37DD" w:rsidRPr="00606AF7">
        <w:rPr>
          <w:sz w:val="24"/>
          <w:szCs w:val="24"/>
          <w:lang w:val="en"/>
        </w:rPr>
        <w:t>P</w:t>
      </w:r>
      <w:r w:rsidRPr="00606AF7">
        <w:rPr>
          <w:sz w:val="24"/>
          <w:szCs w:val="24"/>
          <w:lang w:val="en"/>
        </w:rPr>
        <w:t>ersons should not merely follow the instructions of a surviving spouse, sibling or any other individual claiming the right to control the deceased's assets. As is often the case, the assets of a deceased may be subject to a will contest or, in the absence of a valid will, the estate may require judicial intervention. Based upon years of dealing with the deceased, a</w:t>
      </w:r>
      <w:r w:rsidR="001B37DD" w:rsidRPr="00606AF7">
        <w:rPr>
          <w:sz w:val="24"/>
          <w:szCs w:val="24"/>
          <w:lang w:val="en"/>
        </w:rPr>
        <w:t xml:space="preserve">n Associated Person </w:t>
      </w:r>
      <w:r w:rsidRPr="00606AF7">
        <w:rPr>
          <w:sz w:val="24"/>
          <w:szCs w:val="24"/>
          <w:lang w:val="en"/>
        </w:rPr>
        <w:t xml:space="preserve">may </w:t>
      </w:r>
      <w:r w:rsidR="001B37DD" w:rsidRPr="00606AF7">
        <w:rPr>
          <w:sz w:val="24"/>
          <w:szCs w:val="24"/>
          <w:lang w:val="en"/>
        </w:rPr>
        <w:t>wrongly beli</w:t>
      </w:r>
      <w:r w:rsidRPr="00606AF7">
        <w:rPr>
          <w:sz w:val="24"/>
          <w:szCs w:val="24"/>
          <w:lang w:val="en"/>
        </w:rPr>
        <w:t>eve there is only a single surviving child or spouse who will inherit the account; however, assumptions may be ill-informed.</w:t>
      </w:r>
    </w:p>
    <w:p w14:paraId="1C6D3DD2" w14:textId="77777777" w:rsidR="0007080C" w:rsidRPr="00606AF7" w:rsidRDefault="0007080C" w:rsidP="00F54397">
      <w:pPr>
        <w:pStyle w:val="ListParagraph"/>
        <w:ind w:left="0" w:right="-225"/>
        <w:rPr>
          <w:sz w:val="24"/>
          <w:szCs w:val="24"/>
          <w:lang w:val="en"/>
        </w:rPr>
      </w:pPr>
    </w:p>
    <w:p w14:paraId="25E96207" w14:textId="4B1C40D7" w:rsidR="0007080C" w:rsidRPr="00606AF7" w:rsidRDefault="0007080C" w:rsidP="00F54397">
      <w:pPr>
        <w:pStyle w:val="ListParagraph"/>
        <w:ind w:left="0" w:right="-225"/>
        <w:rPr>
          <w:sz w:val="24"/>
          <w:szCs w:val="24"/>
          <w:lang w:val="en"/>
        </w:rPr>
      </w:pPr>
      <w:r w:rsidRPr="00606AF7">
        <w:rPr>
          <w:sz w:val="24"/>
          <w:szCs w:val="24"/>
          <w:lang w:val="en"/>
        </w:rPr>
        <w:t>Trades are reviewed by Operations and Compliance regularly</w:t>
      </w:r>
      <w:r w:rsidR="00B14E5B" w:rsidRPr="00606AF7">
        <w:rPr>
          <w:sz w:val="24"/>
          <w:szCs w:val="24"/>
          <w:lang w:val="en"/>
        </w:rPr>
        <w:t xml:space="preserve">.  Correspondence is randomly reviewed by Compliance.  </w:t>
      </w:r>
      <w:r w:rsidR="006C1B0B" w:rsidRPr="00606AF7">
        <w:rPr>
          <w:sz w:val="24"/>
          <w:szCs w:val="24"/>
          <w:lang w:val="en"/>
        </w:rPr>
        <w:t>And</w:t>
      </w:r>
      <w:r w:rsidR="00B14E5B" w:rsidRPr="00606AF7">
        <w:rPr>
          <w:sz w:val="24"/>
          <w:szCs w:val="24"/>
          <w:lang w:val="en"/>
        </w:rPr>
        <w:t xml:space="preserve"> r</w:t>
      </w:r>
      <w:r w:rsidRPr="00606AF7">
        <w:rPr>
          <w:sz w:val="24"/>
          <w:szCs w:val="24"/>
          <w:lang w:val="en"/>
        </w:rPr>
        <w:t>ecords for any closed accounts are maintained by Company for a period of six years subsequent to termination.</w:t>
      </w:r>
    </w:p>
    <w:p w14:paraId="05627DFD" w14:textId="77777777" w:rsidR="00BB61FA" w:rsidRPr="00606AF7" w:rsidRDefault="00BB61FA" w:rsidP="00F54397">
      <w:pPr>
        <w:pStyle w:val="ListParagraph"/>
        <w:ind w:left="0" w:right="-225"/>
        <w:rPr>
          <w:sz w:val="24"/>
          <w:szCs w:val="24"/>
          <w:lang w:val="en"/>
        </w:rPr>
      </w:pPr>
    </w:p>
    <w:p w14:paraId="2E88056A" w14:textId="77777777" w:rsidR="00F95828" w:rsidRPr="00606AF7" w:rsidRDefault="00F95828" w:rsidP="00F54397">
      <w:pPr>
        <w:pStyle w:val="ListParagraph"/>
        <w:ind w:left="0" w:right="-225"/>
        <w:rPr>
          <w:sz w:val="24"/>
          <w:szCs w:val="24"/>
          <w:lang w:val="en"/>
        </w:rPr>
      </w:pPr>
    </w:p>
    <w:p w14:paraId="33447752" w14:textId="40D74E44" w:rsidR="00BB61FA" w:rsidRPr="00606AF7" w:rsidRDefault="00F95828" w:rsidP="00936FEE">
      <w:pPr>
        <w:pStyle w:val="Heading2"/>
        <w:rPr>
          <w:lang w:val="en"/>
        </w:rPr>
      </w:pPr>
      <w:r w:rsidRPr="00606AF7">
        <w:rPr>
          <w:lang w:val="en"/>
        </w:rPr>
        <w:t>5.3</w:t>
      </w:r>
      <w:r w:rsidR="00C52E4D">
        <w:rPr>
          <w:lang w:val="en"/>
        </w:rPr>
        <w:t>2</w:t>
      </w:r>
      <w:r w:rsidRPr="00606AF7">
        <w:rPr>
          <w:lang w:val="en"/>
        </w:rPr>
        <w:t xml:space="preserve"> Closed Accounts</w:t>
      </w:r>
    </w:p>
    <w:p w14:paraId="64A24706" w14:textId="77777777" w:rsidR="00C1728B" w:rsidRPr="00606AF7" w:rsidRDefault="00C1728B" w:rsidP="00C172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sidRPr="00606AF7">
        <w:rPr>
          <w:sz w:val="24"/>
        </w:rPr>
        <w:t>For Closed Accounts:</w:t>
      </w:r>
    </w:p>
    <w:p w14:paraId="408BA0E6" w14:textId="77777777" w:rsidR="00464C0B" w:rsidRPr="00606AF7" w:rsidRDefault="00464C0B" w:rsidP="00C172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47A86ABA" w14:textId="47133B28" w:rsidR="00C1728B" w:rsidRPr="00606AF7" w:rsidRDefault="00C1728B" w:rsidP="0005402C">
      <w:pPr>
        <w:pStyle w:val="ListParagraph"/>
        <w:numPr>
          <w:ilvl w:val="0"/>
          <w:numId w:val="33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sidRPr="00606AF7">
        <w:rPr>
          <w:sz w:val="24"/>
        </w:rPr>
        <w:t xml:space="preserve">Enter Notes in </w:t>
      </w:r>
      <w:r w:rsidR="00C52E4D" w:rsidRPr="00CC601C">
        <w:rPr>
          <w:sz w:val="24"/>
        </w:rPr>
        <w:t>the CRM</w:t>
      </w:r>
      <w:r w:rsidRPr="00CC601C">
        <w:rPr>
          <w:sz w:val="24"/>
        </w:rPr>
        <w:t xml:space="preserve"> </w:t>
      </w:r>
      <w:r w:rsidRPr="00606AF7">
        <w:rPr>
          <w:sz w:val="24"/>
        </w:rPr>
        <w:t xml:space="preserve">if applicable;  </w:t>
      </w:r>
    </w:p>
    <w:p w14:paraId="23132CE0" w14:textId="77777777" w:rsidR="00C1728B" w:rsidRPr="00606AF7" w:rsidRDefault="00C1728B" w:rsidP="0005402C">
      <w:pPr>
        <w:pStyle w:val="ListParagraph"/>
        <w:numPr>
          <w:ilvl w:val="0"/>
          <w:numId w:val="33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pPr>
      <w:r w:rsidRPr="00606AF7">
        <w:rPr>
          <w:sz w:val="24"/>
        </w:rPr>
        <w:t xml:space="preserve">Enter information in WinOps (Deleted, Closed Date, Reason in Custom Tab); </w:t>
      </w:r>
    </w:p>
    <w:p w14:paraId="31AD55E8" w14:textId="77777777" w:rsidR="005F39B7" w:rsidRPr="00606AF7" w:rsidRDefault="005F39B7" w:rsidP="0005402C">
      <w:pPr>
        <w:pStyle w:val="ListParagraph"/>
        <w:numPr>
          <w:ilvl w:val="0"/>
          <w:numId w:val="33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pPr>
      <w:r w:rsidRPr="00606AF7">
        <w:rPr>
          <w:sz w:val="24"/>
        </w:rPr>
        <w:t>May also note in Excel file of closed accounts to pull and move to Closed files.</w:t>
      </w:r>
    </w:p>
    <w:p w14:paraId="7CCF677A" w14:textId="28E0681B" w:rsidR="00B218D1" w:rsidRPr="00606AF7" w:rsidRDefault="005F39B7" w:rsidP="0005402C">
      <w:pPr>
        <w:pStyle w:val="ListParagraph"/>
        <w:numPr>
          <w:ilvl w:val="0"/>
          <w:numId w:val="33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right="-225"/>
        <w:jc w:val="both"/>
      </w:pPr>
      <w:r w:rsidRPr="006C1B0B">
        <w:rPr>
          <w:sz w:val="24"/>
        </w:rPr>
        <w:t>When file is pulled, move</w:t>
      </w:r>
      <w:r w:rsidR="00C1728B" w:rsidRPr="006C1B0B">
        <w:rPr>
          <w:sz w:val="24"/>
        </w:rPr>
        <w:t xml:space="preserve"> to Closed files (maintain for 6 years after closing)</w:t>
      </w:r>
      <w:r w:rsidR="0021046A" w:rsidRPr="006C1B0B">
        <w:rPr>
          <w:sz w:val="24"/>
        </w:rPr>
        <w:t xml:space="preserve"> at which time the file may be purged securely (to shred).</w:t>
      </w:r>
      <w:r w:rsidR="006B34DB" w:rsidRPr="00606AF7">
        <w:br w:type="page"/>
      </w:r>
    </w:p>
    <w:p w14:paraId="3BC1B2B3" w14:textId="77777777" w:rsidR="006E5F40" w:rsidRPr="00606AF7" w:rsidRDefault="006E5F40" w:rsidP="006E5F40">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94" w:name="RegSP"/>
    </w:p>
    <w:p w14:paraId="10F14EC7" w14:textId="77777777" w:rsidR="00DF2201" w:rsidRDefault="006E5F40" w:rsidP="00660CEE">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95" w:name="_Toc535916169"/>
      <w:bookmarkStart w:id="96" w:name="_Toc227820419"/>
      <w:bookmarkStart w:id="97" w:name="_Toc227821701"/>
      <w:bookmarkStart w:id="98" w:name="_Toc227821820"/>
      <w:r>
        <w:t>6.</w:t>
      </w:r>
      <w:r w:rsidR="00FE3A30">
        <w:t xml:space="preserve">   </w:t>
      </w:r>
      <w:r w:rsidRPr="00DF2201">
        <w:rPr>
          <w:caps/>
        </w:rPr>
        <w:t>REGULATION</w:t>
      </w:r>
      <w:r>
        <w:t xml:space="preserve"> S-P </w:t>
      </w:r>
      <w:r w:rsidR="00112023">
        <w:t>PROTECTION OF CUSTOMER INFORMATION</w:t>
      </w:r>
      <w:r w:rsidR="00DF2201">
        <w:t>;</w:t>
      </w:r>
      <w:bookmarkEnd w:id="95"/>
    </w:p>
    <w:p w14:paraId="1467E24A" w14:textId="77777777" w:rsidR="00DF2201" w:rsidRDefault="00112023" w:rsidP="00DF2201">
      <w:pPr>
        <w:pStyle w:val="Heading1"/>
        <w:pBdr>
          <w:top w:val="double" w:sz="12" w:space="1" w:color="000099"/>
          <w:left w:val="double" w:sz="12" w:space="4" w:color="000099"/>
          <w:bottom w:val="double" w:sz="12" w:space="1" w:color="000099"/>
          <w:right w:val="double" w:sz="12" w:space="4" w:color="000099"/>
        </w:pBdr>
        <w:shd w:val="pct10" w:color="0000FF" w:fill="auto"/>
        <w:jc w:val="center"/>
        <w:rPr>
          <w:caps/>
        </w:rPr>
      </w:pPr>
      <w:r>
        <w:t xml:space="preserve"> </w:t>
      </w:r>
      <w:r w:rsidR="001A7961">
        <w:t xml:space="preserve"> </w:t>
      </w:r>
      <w:bookmarkStart w:id="99" w:name="_Toc535916170"/>
      <w:r w:rsidR="00A51A68">
        <w:t xml:space="preserve">S-AM </w:t>
      </w:r>
      <w:r w:rsidR="00DF2201">
        <w:t>–</w:t>
      </w:r>
      <w:r w:rsidR="00DF2201" w:rsidRPr="00DF2201">
        <w:rPr>
          <w:caps/>
        </w:rPr>
        <w:t>Affiliate Marketing; and</w:t>
      </w:r>
      <w:bookmarkEnd w:id="99"/>
      <w:r w:rsidR="00DF2201" w:rsidRPr="00DF2201">
        <w:rPr>
          <w:caps/>
        </w:rPr>
        <w:t xml:space="preserve"> </w:t>
      </w:r>
    </w:p>
    <w:p w14:paraId="7060FAFC" w14:textId="77777777" w:rsidR="00DF2201" w:rsidRDefault="00DF2201" w:rsidP="00DF2201">
      <w:pPr>
        <w:pStyle w:val="Heading1"/>
        <w:pBdr>
          <w:top w:val="double" w:sz="12" w:space="1" w:color="000099"/>
          <w:left w:val="double" w:sz="12" w:space="4" w:color="000099"/>
          <w:bottom w:val="double" w:sz="12" w:space="1" w:color="000099"/>
          <w:right w:val="double" w:sz="12" w:space="4" w:color="000099"/>
        </w:pBdr>
        <w:shd w:val="pct10" w:color="0000FF" w:fill="auto"/>
        <w:jc w:val="center"/>
        <w:rPr>
          <w:caps/>
        </w:rPr>
      </w:pPr>
      <w:bookmarkStart w:id="100" w:name="_Toc535916171"/>
      <w:r w:rsidRPr="00DF2201">
        <w:rPr>
          <w:caps/>
        </w:rPr>
        <w:t>S-ID – Identity Theft Red Flag Rules</w:t>
      </w:r>
      <w:bookmarkEnd w:id="100"/>
    </w:p>
    <w:bookmarkEnd w:id="94"/>
    <w:bookmarkEnd w:id="96"/>
    <w:bookmarkEnd w:id="97"/>
    <w:bookmarkEnd w:id="98"/>
    <w:p w14:paraId="53898809" w14:textId="77777777" w:rsidR="00660CEE" w:rsidRDefault="00660CEE" w:rsidP="00660CEE"/>
    <w:p w14:paraId="5E34B016" w14:textId="77777777" w:rsidR="00E66294" w:rsidRPr="00E66294" w:rsidRDefault="00E66294" w:rsidP="00E66294">
      <w:pPr>
        <w:pStyle w:val="BodyText"/>
        <w:spacing w:before="0" w:after="0"/>
        <w:rPr>
          <w:color w:val="FF0000"/>
          <w:szCs w:val="24"/>
        </w:rPr>
      </w:pPr>
    </w:p>
    <w:p w14:paraId="26542EA2" w14:textId="77777777" w:rsidR="00E66294" w:rsidRPr="008519B7" w:rsidRDefault="00E66294" w:rsidP="00936FEE">
      <w:pPr>
        <w:pStyle w:val="Heading2"/>
      </w:pPr>
      <w:r w:rsidRPr="008519B7">
        <w:t>6.</w:t>
      </w:r>
      <w:r w:rsidR="00DF6E72">
        <w:t>1</w:t>
      </w:r>
      <w:r w:rsidRPr="008519B7">
        <w:t xml:space="preserve"> </w:t>
      </w:r>
      <w:r w:rsidR="004F68B4">
        <w:t xml:space="preserve"> </w:t>
      </w:r>
      <w:r w:rsidR="00660CEE">
        <w:t xml:space="preserve"> </w:t>
      </w:r>
      <w:r w:rsidRPr="008519B7">
        <w:t>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54"/>
        <w:gridCol w:w="7418"/>
      </w:tblGrid>
      <w:tr w:rsidR="00E66294" w:rsidRPr="00727573" w14:paraId="051AC3E1"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068DD33F" w14:textId="77777777" w:rsidR="00E66294" w:rsidRPr="00727573" w:rsidRDefault="00E66294" w:rsidP="00E66294">
            <w:pPr>
              <w:jc w:val="center"/>
              <w:rPr>
                <w:b/>
                <w:bCs/>
                <w:spacing w:val="8"/>
                <w:sz w:val="24"/>
                <w:szCs w:val="24"/>
              </w:rPr>
            </w:pPr>
            <w:r w:rsidRPr="00727573">
              <w:rPr>
                <w:b/>
                <w:bCs/>
                <w:spacing w:val="8"/>
                <w:sz w:val="24"/>
                <w:szCs w:val="24"/>
              </w:rPr>
              <w:t>Responsibility</w:t>
            </w:r>
          </w:p>
        </w:tc>
        <w:tc>
          <w:tcPr>
            <w:tcW w:w="4000" w:type="pct"/>
            <w:tcBorders>
              <w:top w:val="outset" w:sz="6" w:space="0" w:color="auto"/>
              <w:left w:val="outset" w:sz="6" w:space="0" w:color="auto"/>
              <w:bottom w:val="outset" w:sz="6" w:space="0" w:color="auto"/>
              <w:right w:val="outset" w:sz="6" w:space="0" w:color="auto"/>
            </w:tcBorders>
            <w:vAlign w:val="center"/>
          </w:tcPr>
          <w:p w14:paraId="09EDDBED" w14:textId="77777777" w:rsidR="00E66294" w:rsidRPr="00727573" w:rsidRDefault="00E66294" w:rsidP="00C1728B">
            <w:pPr>
              <w:numPr>
                <w:ilvl w:val="0"/>
                <w:numId w:val="72"/>
              </w:numPr>
              <w:rPr>
                <w:spacing w:val="8"/>
                <w:sz w:val="24"/>
                <w:szCs w:val="24"/>
              </w:rPr>
            </w:pPr>
            <w:r w:rsidRPr="00727573">
              <w:rPr>
                <w:spacing w:val="8"/>
                <w:sz w:val="24"/>
                <w:szCs w:val="24"/>
              </w:rPr>
              <w:t>Designated Supervisor</w:t>
            </w:r>
          </w:p>
        </w:tc>
      </w:tr>
      <w:tr w:rsidR="00E66294" w:rsidRPr="00727573" w14:paraId="4BC8C05A"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6ED94BBA" w14:textId="77777777" w:rsidR="00E66294" w:rsidRPr="00727573" w:rsidRDefault="00E66294" w:rsidP="00E66294">
            <w:pPr>
              <w:jc w:val="center"/>
              <w:rPr>
                <w:b/>
                <w:bCs/>
                <w:spacing w:val="8"/>
                <w:sz w:val="24"/>
                <w:szCs w:val="24"/>
              </w:rPr>
            </w:pPr>
            <w:r w:rsidRPr="00727573">
              <w:rPr>
                <w:b/>
                <w:bCs/>
                <w:spacing w:val="8"/>
                <w:sz w:val="24"/>
                <w:szCs w:val="24"/>
              </w:rPr>
              <w:t>Statutes</w:t>
            </w:r>
          </w:p>
        </w:tc>
        <w:tc>
          <w:tcPr>
            <w:tcW w:w="4000" w:type="pct"/>
            <w:tcBorders>
              <w:top w:val="outset" w:sz="6" w:space="0" w:color="auto"/>
              <w:left w:val="outset" w:sz="6" w:space="0" w:color="auto"/>
              <w:bottom w:val="outset" w:sz="6" w:space="0" w:color="auto"/>
              <w:right w:val="outset" w:sz="6" w:space="0" w:color="auto"/>
            </w:tcBorders>
            <w:vAlign w:val="center"/>
          </w:tcPr>
          <w:p w14:paraId="213B193B" w14:textId="77777777" w:rsidR="00E66294" w:rsidRPr="00727573" w:rsidRDefault="00E66294" w:rsidP="00C1728B">
            <w:pPr>
              <w:numPr>
                <w:ilvl w:val="0"/>
                <w:numId w:val="73"/>
              </w:numPr>
              <w:rPr>
                <w:spacing w:val="8"/>
                <w:sz w:val="24"/>
                <w:szCs w:val="24"/>
              </w:rPr>
            </w:pPr>
            <w:r w:rsidRPr="00727573">
              <w:rPr>
                <w:sz w:val="24"/>
                <w:szCs w:val="24"/>
              </w:rPr>
              <w:t>SEC Regulation S-P</w:t>
            </w:r>
          </w:p>
          <w:p w14:paraId="7343AD3E" w14:textId="77777777" w:rsidR="0090668A" w:rsidRPr="00727573" w:rsidRDefault="0090668A" w:rsidP="00C1728B">
            <w:pPr>
              <w:numPr>
                <w:ilvl w:val="0"/>
                <w:numId w:val="73"/>
              </w:numPr>
              <w:rPr>
                <w:spacing w:val="8"/>
                <w:sz w:val="24"/>
                <w:szCs w:val="24"/>
              </w:rPr>
            </w:pPr>
            <w:r w:rsidRPr="00727573">
              <w:rPr>
                <w:sz w:val="24"/>
                <w:szCs w:val="24"/>
              </w:rPr>
              <w:t>SEC Regulation S-AM</w:t>
            </w:r>
            <w:r w:rsidR="00A51A68" w:rsidRPr="00727573">
              <w:rPr>
                <w:sz w:val="24"/>
                <w:szCs w:val="24"/>
              </w:rPr>
              <w:t xml:space="preserve"> - Affiliates</w:t>
            </w:r>
          </w:p>
          <w:p w14:paraId="065A284D" w14:textId="77777777" w:rsidR="00FF3711" w:rsidRPr="00727573" w:rsidRDefault="00DF6E72" w:rsidP="00C1728B">
            <w:pPr>
              <w:numPr>
                <w:ilvl w:val="0"/>
                <w:numId w:val="56"/>
              </w:numPr>
              <w:rPr>
                <w:sz w:val="24"/>
                <w:szCs w:val="24"/>
              </w:rPr>
            </w:pPr>
            <w:r w:rsidRPr="00C91BA6">
              <w:rPr>
                <w:sz w:val="24"/>
                <w:szCs w:val="24"/>
              </w:rPr>
              <w:t>SEC Regulation ID</w:t>
            </w:r>
            <w:r w:rsidR="00FF3711" w:rsidRPr="00C91BA6">
              <w:rPr>
                <w:sz w:val="24"/>
                <w:szCs w:val="24"/>
              </w:rPr>
              <w:t xml:space="preserve"> –</w:t>
            </w:r>
            <w:r w:rsidR="00FF3711" w:rsidRPr="00727573">
              <w:rPr>
                <w:sz w:val="24"/>
                <w:szCs w:val="24"/>
              </w:rPr>
              <w:t xml:space="preserve"> Identity Theft/Red Flags</w:t>
            </w:r>
          </w:p>
        </w:tc>
      </w:tr>
      <w:tr w:rsidR="00E66294" w:rsidRPr="00727573" w14:paraId="414DC570"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6F88273E" w14:textId="77777777" w:rsidR="00E66294" w:rsidRPr="00727573" w:rsidRDefault="00E66294" w:rsidP="00E66294">
            <w:pPr>
              <w:jc w:val="center"/>
              <w:rPr>
                <w:b/>
                <w:bCs/>
                <w:spacing w:val="8"/>
                <w:sz w:val="24"/>
                <w:szCs w:val="24"/>
              </w:rPr>
            </w:pPr>
            <w:r w:rsidRPr="00727573">
              <w:rPr>
                <w:b/>
                <w:bCs/>
                <w:spacing w:val="8"/>
                <w:sz w:val="24"/>
                <w:szCs w:val="24"/>
              </w:rPr>
              <w:t>Frequency</w:t>
            </w:r>
          </w:p>
        </w:tc>
        <w:tc>
          <w:tcPr>
            <w:tcW w:w="4000" w:type="pct"/>
            <w:tcBorders>
              <w:top w:val="outset" w:sz="6" w:space="0" w:color="auto"/>
              <w:left w:val="outset" w:sz="6" w:space="0" w:color="auto"/>
              <w:bottom w:val="outset" w:sz="6" w:space="0" w:color="auto"/>
              <w:right w:val="outset" w:sz="6" w:space="0" w:color="auto"/>
            </w:tcBorders>
            <w:vAlign w:val="center"/>
          </w:tcPr>
          <w:p w14:paraId="55565A9A" w14:textId="77777777" w:rsidR="00E66294" w:rsidRPr="00727573" w:rsidRDefault="00E66294" w:rsidP="00C1728B">
            <w:pPr>
              <w:numPr>
                <w:ilvl w:val="0"/>
                <w:numId w:val="73"/>
              </w:numPr>
              <w:rPr>
                <w:spacing w:val="8"/>
                <w:sz w:val="24"/>
                <w:szCs w:val="24"/>
              </w:rPr>
            </w:pPr>
            <w:r w:rsidRPr="00727573">
              <w:rPr>
                <w:spacing w:val="8"/>
                <w:sz w:val="24"/>
                <w:szCs w:val="24"/>
              </w:rPr>
              <w:t>When accounts are opened - provide copy of Privacy Policy</w:t>
            </w:r>
          </w:p>
          <w:p w14:paraId="6CDEA121" w14:textId="77777777" w:rsidR="00E66294" w:rsidRPr="00727573" w:rsidRDefault="00E66294" w:rsidP="00C1728B">
            <w:pPr>
              <w:numPr>
                <w:ilvl w:val="0"/>
                <w:numId w:val="73"/>
              </w:numPr>
              <w:rPr>
                <w:spacing w:val="8"/>
                <w:sz w:val="24"/>
                <w:szCs w:val="24"/>
              </w:rPr>
            </w:pPr>
            <w:r w:rsidRPr="00727573">
              <w:rPr>
                <w:spacing w:val="8"/>
                <w:sz w:val="24"/>
                <w:szCs w:val="24"/>
              </w:rPr>
              <w:t xml:space="preserve"> </w:t>
            </w:r>
            <w:r w:rsidR="00B07334" w:rsidRPr="00AD760F">
              <w:rPr>
                <w:spacing w:val="8"/>
                <w:sz w:val="24"/>
                <w:szCs w:val="24"/>
              </w:rPr>
              <w:t>As required</w:t>
            </w:r>
            <w:r w:rsidRPr="00AD760F">
              <w:rPr>
                <w:spacing w:val="8"/>
                <w:sz w:val="24"/>
                <w:szCs w:val="24"/>
              </w:rPr>
              <w:t xml:space="preserve"> - send notice of </w:t>
            </w:r>
            <w:r w:rsidR="00B07334" w:rsidRPr="00AD760F">
              <w:rPr>
                <w:spacing w:val="8"/>
                <w:sz w:val="24"/>
                <w:szCs w:val="24"/>
              </w:rPr>
              <w:t xml:space="preserve">any revised </w:t>
            </w:r>
            <w:r w:rsidRPr="00727573">
              <w:rPr>
                <w:spacing w:val="8"/>
                <w:sz w:val="24"/>
                <w:szCs w:val="24"/>
              </w:rPr>
              <w:t xml:space="preserve">Privacy Policy to all customers </w:t>
            </w:r>
          </w:p>
          <w:p w14:paraId="33D8715D" w14:textId="77777777" w:rsidR="00E66294" w:rsidRPr="00727573" w:rsidRDefault="00E66294" w:rsidP="00C1728B">
            <w:pPr>
              <w:numPr>
                <w:ilvl w:val="0"/>
                <w:numId w:val="73"/>
              </w:numPr>
              <w:rPr>
                <w:spacing w:val="8"/>
                <w:sz w:val="24"/>
                <w:szCs w:val="24"/>
              </w:rPr>
            </w:pPr>
            <w:r w:rsidRPr="00727573">
              <w:rPr>
                <w:spacing w:val="8"/>
                <w:sz w:val="24"/>
                <w:szCs w:val="24"/>
              </w:rPr>
              <w:t xml:space="preserve">As determined by the designated supervisor: training for employees </w:t>
            </w:r>
          </w:p>
          <w:p w14:paraId="1181D8BA" w14:textId="77777777" w:rsidR="00E66294" w:rsidRPr="00727573" w:rsidRDefault="00E66294" w:rsidP="00C1728B">
            <w:pPr>
              <w:numPr>
                <w:ilvl w:val="0"/>
                <w:numId w:val="73"/>
              </w:numPr>
              <w:rPr>
                <w:spacing w:val="8"/>
                <w:sz w:val="24"/>
                <w:szCs w:val="24"/>
              </w:rPr>
            </w:pPr>
            <w:r w:rsidRPr="00727573">
              <w:rPr>
                <w:spacing w:val="8"/>
                <w:sz w:val="24"/>
                <w:szCs w:val="24"/>
              </w:rPr>
              <w:t xml:space="preserve">As necessary - establish procedures for protecting customer information and ensuring information is only shared when it is allowed </w:t>
            </w:r>
          </w:p>
          <w:p w14:paraId="3D64062D" w14:textId="77777777" w:rsidR="00E66294" w:rsidRPr="00727573" w:rsidRDefault="00E66294" w:rsidP="00C1728B">
            <w:pPr>
              <w:numPr>
                <w:ilvl w:val="0"/>
                <w:numId w:val="73"/>
              </w:numPr>
              <w:rPr>
                <w:spacing w:val="8"/>
                <w:sz w:val="24"/>
                <w:szCs w:val="24"/>
              </w:rPr>
            </w:pPr>
            <w:r w:rsidRPr="00727573">
              <w:rPr>
                <w:spacing w:val="8"/>
                <w:sz w:val="24"/>
                <w:szCs w:val="24"/>
              </w:rPr>
              <w:t>As necessary - when new technologies are adopted</w:t>
            </w:r>
          </w:p>
        </w:tc>
      </w:tr>
      <w:tr w:rsidR="00E66294" w:rsidRPr="00727573" w14:paraId="7A3E6B84"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5F9C3267" w14:textId="77777777" w:rsidR="00E66294" w:rsidRPr="00727573" w:rsidRDefault="00E66294" w:rsidP="00E66294">
            <w:pPr>
              <w:jc w:val="center"/>
              <w:rPr>
                <w:b/>
                <w:bCs/>
                <w:spacing w:val="8"/>
                <w:sz w:val="24"/>
                <w:szCs w:val="24"/>
              </w:rPr>
            </w:pPr>
            <w:r w:rsidRPr="00727573">
              <w:rPr>
                <w:b/>
                <w:bCs/>
                <w:spacing w:val="8"/>
                <w:sz w:val="24"/>
                <w:szCs w:val="24"/>
              </w:rPr>
              <w:t>Action</w:t>
            </w:r>
            <w:r w:rsidR="008519B7" w:rsidRPr="00727573">
              <w:rPr>
                <w:b/>
                <w:bCs/>
                <w:spacing w:val="8"/>
                <w:sz w:val="24"/>
                <w:szCs w:val="24"/>
              </w:rPr>
              <w:t>s</w:t>
            </w:r>
          </w:p>
        </w:tc>
        <w:tc>
          <w:tcPr>
            <w:tcW w:w="4000" w:type="pct"/>
            <w:tcBorders>
              <w:top w:val="outset" w:sz="6" w:space="0" w:color="auto"/>
              <w:left w:val="outset" w:sz="6" w:space="0" w:color="auto"/>
              <w:bottom w:val="outset" w:sz="6" w:space="0" w:color="auto"/>
              <w:right w:val="outset" w:sz="6" w:space="0" w:color="auto"/>
            </w:tcBorders>
            <w:vAlign w:val="center"/>
          </w:tcPr>
          <w:p w14:paraId="064675A9" w14:textId="77777777" w:rsidR="00B07334" w:rsidRPr="00AD760F" w:rsidRDefault="00E66294" w:rsidP="00C1728B">
            <w:pPr>
              <w:numPr>
                <w:ilvl w:val="0"/>
                <w:numId w:val="74"/>
              </w:numPr>
              <w:rPr>
                <w:spacing w:val="8"/>
                <w:sz w:val="24"/>
                <w:szCs w:val="24"/>
              </w:rPr>
            </w:pPr>
            <w:r w:rsidRPr="00727573">
              <w:rPr>
                <w:spacing w:val="8"/>
                <w:sz w:val="24"/>
                <w:szCs w:val="24"/>
              </w:rPr>
              <w:t>Send annual notice to customers</w:t>
            </w:r>
            <w:r w:rsidR="00B07334">
              <w:rPr>
                <w:spacing w:val="8"/>
                <w:sz w:val="24"/>
                <w:szCs w:val="24"/>
              </w:rPr>
              <w:t xml:space="preserve"> </w:t>
            </w:r>
            <w:r w:rsidR="00B07334" w:rsidRPr="00AD760F">
              <w:rPr>
                <w:spacing w:val="8"/>
                <w:sz w:val="24"/>
                <w:szCs w:val="24"/>
              </w:rPr>
              <w:t xml:space="preserve">unless Company meets certain conditions.  </w:t>
            </w:r>
          </w:p>
          <w:p w14:paraId="581C7882" w14:textId="77777777" w:rsidR="00E66294" w:rsidRPr="00AD760F" w:rsidRDefault="00B07334" w:rsidP="00C1728B">
            <w:pPr>
              <w:numPr>
                <w:ilvl w:val="0"/>
                <w:numId w:val="74"/>
              </w:numPr>
              <w:rPr>
                <w:spacing w:val="8"/>
                <w:sz w:val="24"/>
                <w:szCs w:val="24"/>
              </w:rPr>
            </w:pPr>
            <w:r w:rsidRPr="00AD760F">
              <w:rPr>
                <w:spacing w:val="8"/>
                <w:sz w:val="24"/>
                <w:szCs w:val="24"/>
              </w:rPr>
              <w:t xml:space="preserve">Send revised policy to customers. </w:t>
            </w:r>
            <w:r w:rsidR="00E66294" w:rsidRPr="00AD760F">
              <w:rPr>
                <w:spacing w:val="8"/>
                <w:sz w:val="24"/>
                <w:szCs w:val="24"/>
              </w:rPr>
              <w:t xml:space="preserve"> </w:t>
            </w:r>
          </w:p>
          <w:p w14:paraId="57480232" w14:textId="77777777" w:rsidR="00E66294" w:rsidRPr="00727573" w:rsidRDefault="00E66294" w:rsidP="00C1728B">
            <w:pPr>
              <w:numPr>
                <w:ilvl w:val="0"/>
                <w:numId w:val="74"/>
              </w:numPr>
              <w:rPr>
                <w:spacing w:val="8"/>
                <w:sz w:val="24"/>
                <w:szCs w:val="24"/>
              </w:rPr>
            </w:pPr>
            <w:r w:rsidRPr="00727573">
              <w:rPr>
                <w:spacing w:val="8"/>
                <w:sz w:val="24"/>
                <w:szCs w:val="24"/>
              </w:rPr>
              <w:t xml:space="preserve">Test internal computer systems periodically </w:t>
            </w:r>
          </w:p>
          <w:p w14:paraId="00891262" w14:textId="77777777" w:rsidR="00E66294" w:rsidRPr="00727573" w:rsidRDefault="00E66294" w:rsidP="00C1728B">
            <w:pPr>
              <w:numPr>
                <w:ilvl w:val="0"/>
                <w:numId w:val="74"/>
              </w:numPr>
              <w:rPr>
                <w:spacing w:val="8"/>
                <w:sz w:val="24"/>
                <w:szCs w:val="24"/>
              </w:rPr>
            </w:pPr>
            <w:r w:rsidRPr="00727573">
              <w:rPr>
                <w:spacing w:val="8"/>
                <w:sz w:val="24"/>
                <w:szCs w:val="24"/>
              </w:rPr>
              <w:t xml:space="preserve">Ensure agreements with third parties receiving customer information reflect the </w:t>
            </w:r>
            <w:r w:rsidR="00807FE7" w:rsidRPr="00727573">
              <w:rPr>
                <w:spacing w:val="8"/>
                <w:sz w:val="24"/>
                <w:szCs w:val="24"/>
              </w:rPr>
              <w:t>third-party</w:t>
            </w:r>
            <w:r w:rsidRPr="00727573">
              <w:rPr>
                <w:spacing w:val="8"/>
                <w:sz w:val="24"/>
                <w:szCs w:val="24"/>
              </w:rPr>
              <w:t xml:space="preserve"> firm's privacy policies and include a confidentiality agreement </w:t>
            </w:r>
          </w:p>
          <w:p w14:paraId="2592E164" w14:textId="77777777" w:rsidR="00E66294" w:rsidRPr="00727573" w:rsidRDefault="00E66294" w:rsidP="00C1728B">
            <w:pPr>
              <w:numPr>
                <w:ilvl w:val="0"/>
                <w:numId w:val="74"/>
              </w:numPr>
              <w:rPr>
                <w:spacing w:val="8"/>
                <w:sz w:val="24"/>
                <w:szCs w:val="24"/>
              </w:rPr>
            </w:pPr>
            <w:r w:rsidRPr="00727573">
              <w:rPr>
                <w:spacing w:val="8"/>
                <w:sz w:val="24"/>
                <w:szCs w:val="24"/>
              </w:rPr>
              <w:t xml:space="preserve">Include maintaining confidentiality of customer information in employee training </w:t>
            </w:r>
          </w:p>
          <w:p w14:paraId="0EDD7E1E" w14:textId="77777777" w:rsidR="0090668A" w:rsidRPr="00727573" w:rsidRDefault="0090668A" w:rsidP="00C1728B">
            <w:pPr>
              <w:numPr>
                <w:ilvl w:val="0"/>
                <w:numId w:val="74"/>
              </w:numPr>
              <w:rPr>
                <w:spacing w:val="8"/>
                <w:sz w:val="24"/>
                <w:szCs w:val="24"/>
              </w:rPr>
            </w:pPr>
            <w:r w:rsidRPr="00727573">
              <w:rPr>
                <w:sz w:val="24"/>
                <w:szCs w:val="24"/>
              </w:rPr>
              <w:t>If “eligibility information” will be received from affiliates, determine that Regulation S-AM requirements are satisfied</w:t>
            </w:r>
          </w:p>
          <w:p w14:paraId="623BFA22" w14:textId="77777777" w:rsidR="00E66294" w:rsidRPr="00727573" w:rsidRDefault="00E66294" w:rsidP="00C1728B">
            <w:pPr>
              <w:numPr>
                <w:ilvl w:val="0"/>
                <w:numId w:val="74"/>
              </w:numPr>
              <w:rPr>
                <w:spacing w:val="8"/>
                <w:sz w:val="24"/>
                <w:szCs w:val="24"/>
              </w:rPr>
            </w:pPr>
            <w:r w:rsidRPr="00727573">
              <w:rPr>
                <w:spacing w:val="8"/>
                <w:sz w:val="24"/>
                <w:szCs w:val="24"/>
              </w:rPr>
              <w:t xml:space="preserve">When new technologies involving customer information are adopted: </w:t>
            </w:r>
          </w:p>
          <w:p w14:paraId="31F7D982" w14:textId="77777777" w:rsidR="00E66294" w:rsidRPr="00727573" w:rsidRDefault="00E66294" w:rsidP="00C1728B">
            <w:pPr>
              <w:numPr>
                <w:ilvl w:val="1"/>
                <w:numId w:val="74"/>
              </w:numPr>
              <w:rPr>
                <w:spacing w:val="8"/>
                <w:sz w:val="24"/>
                <w:szCs w:val="24"/>
              </w:rPr>
            </w:pPr>
            <w:r w:rsidRPr="00727573">
              <w:rPr>
                <w:spacing w:val="8"/>
                <w:sz w:val="24"/>
                <w:szCs w:val="24"/>
              </w:rPr>
              <w:t xml:space="preserve">Contact information officer to: </w:t>
            </w:r>
          </w:p>
          <w:p w14:paraId="0C6028A5" w14:textId="77777777" w:rsidR="00E66294" w:rsidRPr="00727573" w:rsidRDefault="00E66294" w:rsidP="00C1728B">
            <w:pPr>
              <w:numPr>
                <w:ilvl w:val="2"/>
                <w:numId w:val="74"/>
              </w:numPr>
              <w:rPr>
                <w:spacing w:val="8"/>
                <w:sz w:val="24"/>
                <w:szCs w:val="24"/>
              </w:rPr>
            </w:pPr>
            <w:r w:rsidRPr="00727573">
              <w:rPr>
                <w:spacing w:val="8"/>
                <w:sz w:val="24"/>
                <w:szCs w:val="24"/>
              </w:rPr>
              <w:t xml:space="preserve">Determine whether appropriate technological precautions have been taken to protect customer information </w:t>
            </w:r>
          </w:p>
          <w:p w14:paraId="6004024E" w14:textId="77777777" w:rsidR="00E66294" w:rsidRPr="00727573" w:rsidRDefault="00E66294" w:rsidP="00C1728B">
            <w:pPr>
              <w:numPr>
                <w:ilvl w:val="2"/>
                <w:numId w:val="74"/>
              </w:numPr>
              <w:rPr>
                <w:spacing w:val="8"/>
                <w:sz w:val="24"/>
                <w:szCs w:val="24"/>
              </w:rPr>
            </w:pPr>
            <w:r w:rsidRPr="00727573">
              <w:rPr>
                <w:spacing w:val="8"/>
                <w:sz w:val="24"/>
                <w:szCs w:val="24"/>
              </w:rPr>
              <w:t>Determine whether existing testing/audits will include the new technology and, if not, adjust testing program</w:t>
            </w:r>
          </w:p>
          <w:p w14:paraId="14D9454D" w14:textId="77777777" w:rsidR="00E66294" w:rsidRPr="00727573" w:rsidRDefault="00E66294" w:rsidP="00C1728B">
            <w:pPr>
              <w:numPr>
                <w:ilvl w:val="1"/>
                <w:numId w:val="74"/>
              </w:numPr>
              <w:rPr>
                <w:spacing w:val="8"/>
                <w:sz w:val="24"/>
                <w:szCs w:val="24"/>
              </w:rPr>
            </w:pPr>
            <w:r w:rsidRPr="00727573">
              <w:rPr>
                <w:spacing w:val="8"/>
                <w:sz w:val="24"/>
                <w:szCs w:val="24"/>
              </w:rPr>
              <w:t xml:space="preserve">Review existing policies and procedures to determine if changes/additions are required </w:t>
            </w:r>
          </w:p>
          <w:p w14:paraId="6E446214" w14:textId="77777777" w:rsidR="00E66294" w:rsidRDefault="00E66294" w:rsidP="00C1728B">
            <w:pPr>
              <w:numPr>
                <w:ilvl w:val="1"/>
                <w:numId w:val="74"/>
              </w:numPr>
              <w:rPr>
                <w:spacing w:val="8"/>
                <w:sz w:val="24"/>
                <w:szCs w:val="24"/>
              </w:rPr>
            </w:pPr>
            <w:r w:rsidRPr="00727573">
              <w:rPr>
                <w:spacing w:val="8"/>
                <w:sz w:val="24"/>
                <w:szCs w:val="24"/>
              </w:rPr>
              <w:t>Determine whether added training of employees is necessary and implement, if required</w:t>
            </w:r>
          </w:p>
          <w:p w14:paraId="50738191" w14:textId="77777777" w:rsidR="00C77926" w:rsidRPr="00C77926" w:rsidRDefault="00C77926" w:rsidP="00C1728B">
            <w:pPr>
              <w:numPr>
                <w:ilvl w:val="0"/>
                <w:numId w:val="94"/>
              </w:numPr>
              <w:rPr>
                <w:color w:val="FF0000"/>
                <w:spacing w:val="8"/>
                <w:sz w:val="24"/>
                <w:szCs w:val="24"/>
              </w:rPr>
            </w:pPr>
            <w:r w:rsidRPr="000D4010">
              <w:rPr>
                <w:spacing w:val="8"/>
                <w:sz w:val="24"/>
                <w:szCs w:val="24"/>
              </w:rPr>
              <w:t xml:space="preserve">Issue passwords to authorized personnel.  For terminated personnel, disable passwords for those no longer requiring </w:t>
            </w:r>
            <w:r w:rsidRPr="000D4010">
              <w:rPr>
                <w:spacing w:val="8"/>
                <w:sz w:val="24"/>
                <w:szCs w:val="24"/>
              </w:rPr>
              <w:lastRenderedPageBreak/>
              <w:t xml:space="preserve">access.  Obtain office key(s).  Change passwords to applicable sites known by all staff (i.e. Company website pw protected area).  </w:t>
            </w:r>
          </w:p>
        </w:tc>
      </w:tr>
      <w:tr w:rsidR="00E66294" w:rsidRPr="00727573" w14:paraId="2963FFD6"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14:paraId="47AFB0F9" w14:textId="77777777" w:rsidR="00E66294" w:rsidRPr="00727573" w:rsidRDefault="00E66294" w:rsidP="00E66294">
            <w:pPr>
              <w:jc w:val="center"/>
              <w:rPr>
                <w:b/>
                <w:bCs/>
                <w:spacing w:val="8"/>
                <w:sz w:val="24"/>
                <w:szCs w:val="24"/>
              </w:rPr>
            </w:pPr>
            <w:r w:rsidRPr="00727573">
              <w:rPr>
                <w:b/>
                <w:bCs/>
                <w:spacing w:val="8"/>
                <w:sz w:val="24"/>
                <w:szCs w:val="24"/>
              </w:rPr>
              <w:lastRenderedPageBreak/>
              <w:t>Records</w:t>
            </w:r>
          </w:p>
        </w:tc>
        <w:tc>
          <w:tcPr>
            <w:tcW w:w="4000" w:type="pct"/>
            <w:tcBorders>
              <w:top w:val="outset" w:sz="6" w:space="0" w:color="auto"/>
              <w:left w:val="outset" w:sz="6" w:space="0" w:color="auto"/>
              <w:bottom w:val="outset" w:sz="6" w:space="0" w:color="auto"/>
              <w:right w:val="outset" w:sz="6" w:space="0" w:color="auto"/>
            </w:tcBorders>
            <w:vAlign w:val="center"/>
          </w:tcPr>
          <w:p w14:paraId="3A250A69" w14:textId="77777777" w:rsidR="00E66294" w:rsidRPr="00727573" w:rsidRDefault="00E66294" w:rsidP="00C1728B">
            <w:pPr>
              <w:numPr>
                <w:ilvl w:val="0"/>
                <w:numId w:val="75"/>
              </w:numPr>
              <w:rPr>
                <w:spacing w:val="8"/>
                <w:sz w:val="24"/>
                <w:szCs w:val="24"/>
              </w:rPr>
            </w:pPr>
            <w:r w:rsidRPr="00727573">
              <w:rPr>
                <w:spacing w:val="8"/>
                <w:sz w:val="24"/>
                <w:szCs w:val="24"/>
              </w:rPr>
              <w:t xml:space="preserve">Current Privacy Policy </w:t>
            </w:r>
          </w:p>
          <w:p w14:paraId="3A0D42B3" w14:textId="77777777" w:rsidR="00E66294" w:rsidRPr="00727573" w:rsidRDefault="00E66294" w:rsidP="00C1728B">
            <w:pPr>
              <w:numPr>
                <w:ilvl w:val="0"/>
                <w:numId w:val="75"/>
              </w:numPr>
              <w:rPr>
                <w:spacing w:val="8"/>
                <w:sz w:val="24"/>
                <w:szCs w:val="24"/>
              </w:rPr>
            </w:pPr>
            <w:r w:rsidRPr="00727573">
              <w:rPr>
                <w:spacing w:val="8"/>
                <w:sz w:val="24"/>
                <w:szCs w:val="24"/>
              </w:rPr>
              <w:t xml:space="preserve">Record of providing </w:t>
            </w:r>
            <w:r w:rsidR="00F57A11" w:rsidRPr="00AD760F">
              <w:rPr>
                <w:spacing w:val="8"/>
                <w:sz w:val="24"/>
                <w:szCs w:val="24"/>
              </w:rPr>
              <w:t xml:space="preserve">any annual or revised </w:t>
            </w:r>
            <w:r w:rsidRPr="00727573">
              <w:rPr>
                <w:spacing w:val="8"/>
                <w:sz w:val="24"/>
                <w:szCs w:val="24"/>
              </w:rPr>
              <w:t xml:space="preserve">notice to all customers </w:t>
            </w:r>
            <w:r w:rsidR="00F57A11" w:rsidRPr="00AD760F">
              <w:rPr>
                <w:spacing w:val="8"/>
                <w:sz w:val="24"/>
                <w:szCs w:val="24"/>
              </w:rPr>
              <w:t>if applicable</w:t>
            </w:r>
          </w:p>
          <w:p w14:paraId="29C49DBA" w14:textId="77777777" w:rsidR="00E66294" w:rsidRPr="00727573" w:rsidRDefault="00E66294" w:rsidP="00C1728B">
            <w:pPr>
              <w:numPr>
                <w:ilvl w:val="0"/>
                <w:numId w:val="75"/>
              </w:numPr>
              <w:rPr>
                <w:spacing w:val="8"/>
                <w:sz w:val="24"/>
                <w:szCs w:val="24"/>
              </w:rPr>
            </w:pPr>
            <w:r w:rsidRPr="00727573">
              <w:rPr>
                <w:spacing w:val="8"/>
                <w:sz w:val="24"/>
                <w:szCs w:val="24"/>
              </w:rPr>
              <w:t xml:space="preserve">Copies of signed agreements with third parties receiving customer information </w:t>
            </w:r>
          </w:p>
          <w:p w14:paraId="76E3B418" w14:textId="77777777" w:rsidR="0090668A" w:rsidRPr="00727573" w:rsidRDefault="0090668A" w:rsidP="00C1728B">
            <w:pPr>
              <w:numPr>
                <w:ilvl w:val="0"/>
                <w:numId w:val="75"/>
              </w:numPr>
              <w:rPr>
                <w:spacing w:val="8"/>
                <w:sz w:val="24"/>
                <w:szCs w:val="24"/>
              </w:rPr>
            </w:pPr>
            <w:r w:rsidRPr="00727573">
              <w:rPr>
                <w:spacing w:val="8"/>
                <w:sz w:val="24"/>
                <w:szCs w:val="24"/>
              </w:rPr>
              <w:t>Requirements for Regulation S-AM are satisfied if affiliate information is used for marketing</w:t>
            </w:r>
          </w:p>
          <w:p w14:paraId="18810085" w14:textId="77777777" w:rsidR="00E66294" w:rsidRPr="00727573" w:rsidRDefault="00E66294" w:rsidP="00C1728B">
            <w:pPr>
              <w:numPr>
                <w:ilvl w:val="0"/>
                <w:numId w:val="75"/>
              </w:numPr>
              <w:rPr>
                <w:spacing w:val="8"/>
                <w:sz w:val="24"/>
                <w:szCs w:val="24"/>
              </w:rPr>
            </w:pPr>
            <w:r w:rsidRPr="00727573">
              <w:rPr>
                <w:spacing w:val="8"/>
                <w:sz w:val="24"/>
                <w:szCs w:val="24"/>
              </w:rPr>
              <w:t xml:space="preserve">Records of periodic privacy audits or other reviews conducted of computer systems that retains customer information </w:t>
            </w:r>
          </w:p>
          <w:p w14:paraId="27FDB546" w14:textId="77777777" w:rsidR="00E66294" w:rsidRPr="00727573" w:rsidRDefault="00E66294" w:rsidP="00C1728B">
            <w:pPr>
              <w:numPr>
                <w:ilvl w:val="0"/>
                <w:numId w:val="75"/>
              </w:numPr>
              <w:rPr>
                <w:spacing w:val="8"/>
                <w:sz w:val="24"/>
                <w:szCs w:val="24"/>
              </w:rPr>
            </w:pPr>
            <w:r w:rsidRPr="00727573">
              <w:rPr>
                <w:spacing w:val="8"/>
                <w:sz w:val="24"/>
                <w:szCs w:val="24"/>
              </w:rPr>
              <w:t xml:space="preserve">Records of reviews of outsourced services involving the privacy of customer information </w:t>
            </w:r>
          </w:p>
          <w:p w14:paraId="4B2018CB" w14:textId="77777777" w:rsidR="00E66294" w:rsidRPr="00727573" w:rsidRDefault="00E66294" w:rsidP="00C1728B">
            <w:pPr>
              <w:numPr>
                <w:ilvl w:val="0"/>
                <w:numId w:val="75"/>
              </w:numPr>
              <w:rPr>
                <w:spacing w:val="8"/>
                <w:sz w:val="24"/>
                <w:szCs w:val="24"/>
              </w:rPr>
            </w:pPr>
            <w:r w:rsidRPr="00727573">
              <w:rPr>
                <w:spacing w:val="8"/>
                <w:sz w:val="24"/>
                <w:szCs w:val="24"/>
              </w:rPr>
              <w:t>Records of review of new technology involving customer information</w:t>
            </w:r>
          </w:p>
        </w:tc>
      </w:tr>
    </w:tbl>
    <w:p w14:paraId="7C5A7148" w14:textId="77777777" w:rsidR="00E66294" w:rsidRDefault="00E66294" w:rsidP="00E66294">
      <w:pPr>
        <w:pStyle w:val="BodyText"/>
        <w:spacing w:before="0" w:after="0"/>
      </w:pPr>
    </w:p>
    <w:p w14:paraId="34B8CE5E" w14:textId="77777777" w:rsidR="00DF6E72" w:rsidRDefault="00DF6E72" w:rsidP="00E66294">
      <w:pPr>
        <w:pStyle w:val="BodyText"/>
        <w:spacing w:before="0" w:after="0"/>
      </w:pPr>
    </w:p>
    <w:p w14:paraId="30D1C5B0" w14:textId="77777777" w:rsidR="00DF6E72" w:rsidRPr="00DF6E72" w:rsidRDefault="00DF6E72" w:rsidP="00936FEE">
      <w:pPr>
        <w:pStyle w:val="Heading2"/>
      </w:pPr>
      <w:r w:rsidRPr="008519B7">
        <w:t>6.</w:t>
      </w:r>
      <w:r>
        <w:t>2</w:t>
      </w:r>
      <w:r w:rsidRPr="008519B7">
        <w:t xml:space="preserve">  </w:t>
      </w:r>
      <w:r>
        <w:t xml:space="preserve"> Regulation S-P:  Protection of Customer Information</w:t>
      </w:r>
    </w:p>
    <w:p w14:paraId="7A99CD19" w14:textId="77777777" w:rsidR="00DF6E72" w:rsidRPr="00727573" w:rsidRDefault="00DF6E72" w:rsidP="00DF6E72">
      <w:pPr>
        <w:pStyle w:val="Normal1"/>
        <w:shd w:val="clear" w:color="auto" w:fill="FFFFFF"/>
        <w:spacing w:before="0" w:after="0" w:afterAutospacing="0" w:line="240" w:lineRule="auto"/>
        <w:jc w:val="both"/>
        <w:rPr>
          <w:rFonts w:ascii="Times New Roman" w:hAnsi="Times New Roman" w:cs="Times New Roman"/>
          <w:sz w:val="24"/>
          <w:szCs w:val="24"/>
        </w:rPr>
      </w:pPr>
      <w:r w:rsidRPr="00727573">
        <w:rPr>
          <w:rFonts w:ascii="Times New Roman" w:hAnsi="Times New Roman" w:cs="Times New Roman"/>
          <w:sz w:val="24"/>
          <w:szCs w:val="24"/>
        </w:rPr>
        <w:t xml:space="preserve">Client information in the possession of a financial institution is governed by federal law and, in some cases state law. </w:t>
      </w:r>
      <w:r>
        <w:rPr>
          <w:rFonts w:ascii="Times New Roman" w:hAnsi="Times New Roman" w:cs="Times New Roman"/>
          <w:sz w:val="24"/>
          <w:szCs w:val="24"/>
        </w:rPr>
        <w:t xml:space="preserve">Company holds the protection of customer information as a </w:t>
      </w:r>
      <w:r w:rsidRPr="00727573">
        <w:rPr>
          <w:rFonts w:ascii="Times New Roman" w:hAnsi="Times New Roman" w:cs="Times New Roman"/>
          <w:sz w:val="24"/>
          <w:szCs w:val="24"/>
        </w:rPr>
        <w:t>The Gramm-Leach-Bliley Act (GLB) and Regulation S-P require financial institutions to provide a notice to each customer that describe its policies and practices regarding the disclosure to third parties of nonpublic personal information. In general, the privacy notice must describe a firm's policies and practices with respect to disclosing nonpublic personal information about a client to both affiliated and nonaffiliated third parties and provide a client a reasonable opportunity to opt out of the sharing of nonpublic personal information about the client with nonaffiliated third parties. As part of its privacy notice, the privacy rule requires broker/dealers to include specific items of information, such as the categories of nonpubli</w:t>
      </w:r>
      <w:r w:rsidR="00671A99">
        <w:rPr>
          <w:rFonts w:ascii="Times New Roman" w:hAnsi="Times New Roman" w:cs="Times New Roman"/>
          <w:sz w:val="24"/>
          <w:szCs w:val="24"/>
        </w:rPr>
        <w:t xml:space="preserve">c personal information that </w:t>
      </w:r>
      <w:r w:rsidRPr="00727573">
        <w:rPr>
          <w:rFonts w:ascii="Times New Roman" w:hAnsi="Times New Roman" w:cs="Times New Roman"/>
          <w:sz w:val="24"/>
          <w:szCs w:val="24"/>
        </w:rPr>
        <w:t>firm</w:t>
      </w:r>
      <w:r w:rsidR="00671A99">
        <w:rPr>
          <w:rFonts w:ascii="Times New Roman" w:hAnsi="Times New Roman" w:cs="Times New Roman"/>
          <w:sz w:val="24"/>
          <w:szCs w:val="24"/>
        </w:rPr>
        <w:t>s</w:t>
      </w:r>
      <w:r w:rsidRPr="00727573">
        <w:rPr>
          <w:rFonts w:ascii="Times New Roman" w:hAnsi="Times New Roman" w:cs="Times New Roman"/>
          <w:sz w:val="24"/>
          <w:szCs w:val="24"/>
        </w:rPr>
        <w:t xml:space="preserve"> collect and the categories of third parties to which the</w:t>
      </w:r>
      <w:r w:rsidR="00671A99">
        <w:rPr>
          <w:rFonts w:ascii="Times New Roman" w:hAnsi="Times New Roman" w:cs="Times New Roman"/>
          <w:sz w:val="24"/>
          <w:szCs w:val="24"/>
        </w:rPr>
        <w:t>y</w:t>
      </w:r>
      <w:r w:rsidRPr="00727573">
        <w:rPr>
          <w:rFonts w:ascii="Times New Roman" w:hAnsi="Times New Roman" w:cs="Times New Roman"/>
          <w:sz w:val="24"/>
          <w:szCs w:val="24"/>
        </w:rPr>
        <w:t xml:space="preserve"> may disclose the information.</w:t>
      </w:r>
    </w:p>
    <w:p w14:paraId="795E21F4" w14:textId="77777777" w:rsidR="00DF6E72" w:rsidRDefault="00DF6E72" w:rsidP="00DF6E72">
      <w:pPr>
        <w:pStyle w:val="BodyText"/>
        <w:spacing w:before="0" w:after="0"/>
      </w:pPr>
    </w:p>
    <w:p w14:paraId="2B4980CF" w14:textId="77777777" w:rsidR="00DF6E72" w:rsidRDefault="00DF6E72" w:rsidP="00DF6E72">
      <w:pPr>
        <w:pStyle w:val="BodyText"/>
        <w:spacing w:before="0" w:after="0"/>
      </w:pPr>
      <w:r>
        <w:t xml:space="preserve">In addition, Morris Monroe </w:t>
      </w:r>
      <w:r w:rsidRPr="003F37CC">
        <w:t>is the designated Information Security Officer</w:t>
      </w:r>
      <w:r>
        <w:t xml:space="preserve"> and will be responsible for the implementation of Regulation S-P.  Regulation S-P is built around an “opt-out” policy which means that as long as certain notices are given to consumers and customers, then the Company is permitted to share their clients’ financial information with its affiliated and non-affiliated third parties unless the consumers and customers opt out of the information sharing arrangement.   Responsibility for ongoing supervision of privacy procedures will be maintained by the applicable principals of each office.</w:t>
      </w:r>
    </w:p>
    <w:p w14:paraId="3DDF3FB8" w14:textId="77777777" w:rsidR="00E66294" w:rsidRDefault="00E66294" w:rsidP="00E66294">
      <w:pPr>
        <w:pStyle w:val="BodyText"/>
        <w:spacing w:before="0" w:after="0"/>
        <w:rPr>
          <w:b/>
        </w:rPr>
      </w:pPr>
    </w:p>
    <w:p w14:paraId="389C4A5D" w14:textId="77777777" w:rsidR="00E66294" w:rsidRPr="008519B7" w:rsidRDefault="00E66294" w:rsidP="00DF6E72">
      <w:pPr>
        <w:pStyle w:val="Heading3"/>
      </w:pPr>
      <w:r w:rsidRPr="008519B7">
        <w:t>6.</w:t>
      </w:r>
      <w:r w:rsidR="00DF6E72">
        <w:t>2.1</w:t>
      </w:r>
      <w:r w:rsidR="004F68B4">
        <w:t xml:space="preserve"> </w:t>
      </w:r>
      <w:r w:rsidRPr="008519B7">
        <w:t>Definitions</w:t>
      </w:r>
    </w:p>
    <w:p w14:paraId="5EDDA76D" w14:textId="77777777" w:rsidR="006E5F40" w:rsidRDefault="006E5F40" w:rsidP="00DF6E72">
      <w:pPr>
        <w:pStyle w:val="BodyText"/>
        <w:ind w:left="270"/>
      </w:pPr>
      <w:r>
        <w:rPr>
          <w:b/>
        </w:rPr>
        <w:t xml:space="preserve">Consumer: </w:t>
      </w:r>
      <w:r>
        <w:t xml:space="preserve"> An </w:t>
      </w:r>
      <w:r w:rsidRPr="008F03F2">
        <w:rPr>
          <w:u w:val="single"/>
        </w:rPr>
        <w:t>individual</w:t>
      </w:r>
      <w:r>
        <w:t xml:space="preserve"> who obtains or has obtained a financial product or service from a financial institution. </w:t>
      </w:r>
    </w:p>
    <w:p w14:paraId="786CF209" w14:textId="77777777" w:rsidR="006E5F40" w:rsidRDefault="006E5F40" w:rsidP="00DF6E72">
      <w:pPr>
        <w:pStyle w:val="BodyText"/>
        <w:ind w:left="270"/>
      </w:pPr>
      <w:r>
        <w:rPr>
          <w:b/>
        </w:rPr>
        <w:t>Customer:</w:t>
      </w:r>
      <w:r>
        <w:t xml:space="preserve"> A consumer who has developed a continuing relationship with a financial institution to provide products or services.</w:t>
      </w:r>
    </w:p>
    <w:p w14:paraId="068E43A0" w14:textId="77777777" w:rsidR="008F03F2" w:rsidRPr="009F1432" w:rsidRDefault="008F03F2" w:rsidP="00DF6E72">
      <w:pPr>
        <w:pStyle w:val="BodyText"/>
        <w:spacing w:before="0" w:after="0"/>
        <w:ind w:left="270"/>
      </w:pPr>
      <w:r w:rsidRPr="009F1432">
        <w:rPr>
          <w:b/>
        </w:rPr>
        <w:lastRenderedPageBreak/>
        <w:t>Non-Public Information</w:t>
      </w:r>
      <w:r w:rsidRPr="009F1432">
        <w:t>:  Information obtained that is not deemed to be “public information,” which is defined as information that may be obtained from three sources: federal, state or local government records; widely distributed media, or disclosures to the general public that are required to be made by federal, state, or local law.</w:t>
      </w:r>
    </w:p>
    <w:p w14:paraId="1AC50A73" w14:textId="77777777" w:rsidR="00DF6E72" w:rsidRDefault="00DF6E72" w:rsidP="00DF6E72"/>
    <w:p w14:paraId="142E8F88" w14:textId="77777777" w:rsidR="00AC16CC" w:rsidRDefault="00E66294" w:rsidP="00DF6E72">
      <w:pPr>
        <w:pStyle w:val="Heading3"/>
      </w:pPr>
      <w:r w:rsidRPr="008519B7">
        <w:t>6.</w:t>
      </w:r>
      <w:r w:rsidR="00DF6E72">
        <w:t>2.2</w:t>
      </w:r>
      <w:r w:rsidRPr="008519B7">
        <w:t xml:space="preserve"> </w:t>
      </w:r>
      <w:r w:rsidR="00AC16CC">
        <w:t>Customer Notification</w:t>
      </w:r>
    </w:p>
    <w:p w14:paraId="59451F42" w14:textId="77777777" w:rsidR="00AC16CC" w:rsidRPr="006D5CDF" w:rsidRDefault="00AC16CC" w:rsidP="00AC16CC">
      <w:pPr>
        <w:ind w:left="270"/>
        <w:rPr>
          <w:sz w:val="24"/>
          <w:szCs w:val="24"/>
        </w:rPr>
      </w:pPr>
      <w:r w:rsidRPr="006D5CDF">
        <w:rPr>
          <w:sz w:val="24"/>
          <w:szCs w:val="24"/>
        </w:rPr>
        <w:t>Company will provide notice to customers about its Privacy Policy. The notice is provided as follows:</w:t>
      </w:r>
    </w:p>
    <w:p w14:paraId="4BCD126C" w14:textId="77777777" w:rsidR="00AC16CC" w:rsidRPr="006D5CDF" w:rsidRDefault="00AC16CC" w:rsidP="003E7B18">
      <w:pPr>
        <w:numPr>
          <w:ilvl w:val="0"/>
          <w:numId w:val="274"/>
        </w:numPr>
        <w:tabs>
          <w:tab w:val="clear" w:pos="720"/>
          <w:tab w:val="num" w:pos="900"/>
        </w:tabs>
        <w:ind w:left="900" w:hanging="270"/>
        <w:rPr>
          <w:sz w:val="24"/>
          <w:szCs w:val="24"/>
        </w:rPr>
      </w:pPr>
      <w:r w:rsidRPr="006D5CDF">
        <w:rPr>
          <w:sz w:val="24"/>
          <w:szCs w:val="24"/>
        </w:rPr>
        <w:t>At the time an account is opened (included in Company’s New Account Form).</w:t>
      </w:r>
    </w:p>
    <w:p w14:paraId="1548A535" w14:textId="77777777" w:rsidR="00AC16CC" w:rsidRPr="00AD760F" w:rsidRDefault="00AC16CC" w:rsidP="003E7B18">
      <w:pPr>
        <w:numPr>
          <w:ilvl w:val="0"/>
          <w:numId w:val="274"/>
        </w:numPr>
        <w:tabs>
          <w:tab w:val="clear" w:pos="720"/>
          <w:tab w:val="num" w:pos="900"/>
        </w:tabs>
        <w:ind w:left="900" w:hanging="270"/>
        <w:rPr>
          <w:sz w:val="24"/>
          <w:szCs w:val="24"/>
        </w:rPr>
      </w:pPr>
      <w:r w:rsidRPr="006D5CDF">
        <w:rPr>
          <w:sz w:val="24"/>
          <w:szCs w:val="24"/>
        </w:rPr>
        <w:t>On Company's website.</w:t>
      </w:r>
    </w:p>
    <w:p w14:paraId="1EF6B248" w14:textId="77777777" w:rsidR="00FD1A63" w:rsidRPr="00AD760F" w:rsidRDefault="00FD1A63" w:rsidP="003E7B18">
      <w:pPr>
        <w:numPr>
          <w:ilvl w:val="0"/>
          <w:numId w:val="274"/>
        </w:numPr>
        <w:tabs>
          <w:tab w:val="clear" w:pos="720"/>
          <w:tab w:val="num" w:pos="990"/>
        </w:tabs>
        <w:spacing w:before="100" w:beforeAutospacing="1" w:after="100" w:afterAutospacing="1"/>
        <w:ind w:left="990"/>
        <w:rPr>
          <w:sz w:val="24"/>
          <w:szCs w:val="24"/>
        </w:rPr>
      </w:pPr>
      <w:r w:rsidRPr="00AD760F">
        <w:rPr>
          <w:sz w:val="24"/>
          <w:szCs w:val="24"/>
        </w:rPr>
        <w:t>Annually, unless Company meets the following two conditions:</w:t>
      </w:r>
    </w:p>
    <w:p w14:paraId="79222754" w14:textId="77777777" w:rsidR="00FD1A63" w:rsidRPr="00AD760F" w:rsidRDefault="00FD1A63" w:rsidP="003E7B18">
      <w:pPr>
        <w:numPr>
          <w:ilvl w:val="1"/>
          <w:numId w:val="274"/>
        </w:numPr>
        <w:tabs>
          <w:tab w:val="num" w:pos="1350"/>
        </w:tabs>
        <w:spacing w:before="100" w:beforeAutospacing="1" w:after="100" w:afterAutospacing="1"/>
        <w:ind w:left="1350" w:hanging="270"/>
        <w:rPr>
          <w:sz w:val="24"/>
          <w:szCs w:val="24"/>
        </w:rPr>
      </w:pPr>
      <w:r w:rsidRPr="00AD760F">
        <w:rPr>
          <w:sz w:val="24"/>
          <w:szCs w:val="24"/>
        </w:rPr>
        <w:t>Company does not disclose nonpublic information to third parties (</w:t>
      </w:r>
      <w:r w:rsidRPr="00AD760F">
        <w:rPr>
          <w:i/>
          <w:iCs/>
          <w:sz w:val="24"/>
          <w:szCs w:val="24"/>
        </w:rPr>
        <w:t>e.g.,</w:t>
      </w:r>
      <w:r w:rsidRPr="00AD760F">
        <w:rPr>
          <w:sz w:val="24"/>
          <w:szCs w:val="24"/>
        </w:rPr>
        <w:t xml:space="preserve"> sharing in connection with marketing activities vs. sharing solely to service customer accounts), other than disclosure permitted under </w:t>
      </w:r>
      <w:r w:rsidR="00AE68B2" w:rsidRPr="00AD760F">
        <w:rPr>
          <w:sz w:val="24"/>
          <w:szCs w:val="24"/>
        </w:rPr>
        <w:t>exemptions available under the Gramm-Leach-Bliley Act</w:t>
      </w:r>
      <w:r w:rsidRPr="00AD760F">
        <w:rPr>
          <w:sz w:val="24"/>
          <w:szCs w:val="24"/>
        </w:rPr>
        <w:t>; and</w:t>
      </w:r>
    </w:p>
    <w:p w14:paraId="2E4BC40B" w14:textId="77777777" w:rsidR="00FD1A63" w:rsidRPr="00AD760F" w:rsidRDefault="00FD1A63" w:rsidP="003E7B18">
      <w:pPr>
        <w:numPr>
          <w:ilvl w:val="1"/>
          <w:numId w:val="274"/>
        </w:numPr>
        <w:tabs>
          <w:tab w:val="num" w:pos="1350"/>
        </w:tabs>
        <w:ind w:left="1350" w:hanging="270"/>
        <w:rPr>
          <w:sz w:val="24"/>
          <w:szCs w:val="24"/>
        </w:rPr>
      </w:pPr>
      <w:r w:rsidRPr="00AD760F">
        <w:rPr>
          <w:sz w:val="24"/>
          <w:szCs w:val="24"/>
        </w:rPr>
        <w:t>There has been no change in policies regarding disclosing nonpublic personal information from the last notice sent to customers.</w:t>
      </w:r>
    </w:p>
    <w:p w14:paraId="2BAC9DA8" w14:textId="77777777" w:rsidR="00E1297E" w:rsidRPr="00AD760F" w:rsidRDefault="00E1297E" w:rsidP="00E1297E">
      <w:pPr>
        <w:ind w:left="1350"/>
        <w:rPr>
          <w:sz w:val="24"/>
          <w:szCs w:val="24"/>
        </w:rPr>
      </w:pPr>
    </w:p>
    <w:p w14:paraId="182910B2" w14:textId="77777777" w:rsidR="00E66294" w:rsidRPr="00AC16CC" w:rsidRDefault="00E66294" w:rsidP="00E1297E"/>
    <w:p w14:paraId="7A724E42" w14:textId="77777777" w:rsidR="00E66294" w:rsidRPr="008519B7" w:rsidRDefault="00E66294" w:rsidP="00E1297E">
      <w:pPr>
        <w:pStyle w:val="Heading3"/>
      </w:pPr>
      <w:r w:rsidRPr="008519B7">
        <w:t>6.</w:t>
      </w:r>
      <w:r w:rsidR="00DF6E72">
        <w:t>2.3</w:t>
      </w:r>
      <w:r w:rsidR="004F68B4">
        <w:t xml:space="preserve"> </w:t>
      </w:r>
      <w:r w:rsidR="006E5F40" w:rsidRPr="008519B7">
        <w:t xml:space="preserve">Privacy Notices </w:t>
      </w:r>
    </w:p>
    <w:p w14:paraId="0E3132C4" w14:textId="77777777" w:rsidR="000D663C" w:rsidRDefault="006E5F40" w:rsidP="00DF6E72">
      <w:pPr>
        <w:pStyle w:val="BodyText"/>
        <w:spacing w:before="0" w:after="0"/>
        <w:ind w:left="270"/>
      </w:pPr>
      <w:r>
        <w:t xml:space="preserve">The Company will disclose details on information sharing arrangements. Specifically, the rule requires the Company to disclose: </w:t>
      </w:r>
    </w:p>
    <w:p w14:paraId="10753530" w14:textId="77777777" w:rsidR="000D663C" w:rsidRDefault="000D663C" w:rsidP="003E7B18">
      <w:pPr>
        <w:pStyle w:val="BodyText"/>
        <w:numPr>
          <w:ilvl w:val="0"/>
          <w:numId w:val="186"/>
        </w:numPr>
        <w:spacing w:before="0" w:after="0"/>
        <w:ind w:left="900" w:hanging="270"/>
      </w:pPr>
      <w:r>
        <w:t>T</w:t>
      </w:r>
      <w:r w:rsidR="006E5F40">
        <w:t xml:space="preserve">he categories of nonpublic personal information that it may collect; </w:t>
      </w:r>
    </w:p>
    <w:p w14:paraId="7B863DD0" w14:textId="77777777" w:rsidR="000D663C" w:rsidRDefault="000D663C" w:rsidP="003E7B18">
      <w:pPr>
        <w:pStyle w:val="BodyText"/>
        <w:numPr>
          <w:ilvl w:val="0"/>
          <w:numId w:val="186"/>
        </w:numPr>
        <w:spacing w:before="0" w:after="0"/>
        <w:ind w:left="900" w:hanging="270"/>
      </w:pPr>
      <w:r>
        <w:t>T</w:t>
      </w:r>
      <w:r w:rsidR="006E5F40">
        <w:t xml:space="preserve">he categories of nonpublic personal information it may disclose; </w:t>
      </w:r>
    </w:p>
    <w:p w14:paraId="67FE4A6C" w14:textId="77777777" w:rsidR="000D663C" w:rsidRDefault="000D663C" w:rsidP="003E7B18">
      <w:pPr>
        <w:pStyle w:val="BodyText"/>
        <w:numPr>
          <w:ilvl w:val="0"/>
          <w:numId w:val="186"/>
        </w:numPr>
        <w:spacing w:before="0" w:after="0"/>
        <w:ind w:left="900" w:hanging="270"/>
      </w:pPr>
      <w:r>
        <w:t>T</w:t>
      </w:r>
      <w:r w:rsidR="006E5F40">
        <w:t>he categories of affiliates and nonaffiliated third parties to whom it discloses nonpublic personal information other than service providers and third parties that aid in fulfilling the service requested by a consumer;</w:t>
      </w:r>
    </w:p>
    <w:p w14:paraId="217A06CD" w14:textId="77777777" w:rsidR="000D663C" w:rsidRDefault="000D663C" w:rsidP="003E7B18">
      <w:pPr>
        <w:pStyle w:val="BodyText"/>
        <w:numPr>
          <w:ilvl w:val="0"/>
          <w:numId w:val="186"/>
        </w:numPr>
        <w:spacing w:before="0" w:after="0"/>
        <w:ind w:left="900" w:hanging="270"/>
      </w:pPr>
      <w:r>
        <w:t>T</w:t>
      </w:r>
      <w:r w:rsidR="006E5F40">
        <w:t xml:space="preserve">he company’s policies with respect to sharing information about former customers; </w:t>
      </w:r>
    </w:p>
    <w:p w14:paraId="616399B9" w14:textId="77777777" w:rsidR="000D663C" w:rsidRDefault="000D663C" w:rsidP="003E7B18">
      <w:pPr>
        <w:pStyle w:val="BodyText"/>
        <w:numPr>
          <w:ilvl w:val="0"/>
          <w:numId w:val="186"/>
        </w:numPr>
        <w:spacing w:before="0" w:after="0"/>
        <w:ind w:left="900" w:hanging="270"/>
      </w:pPr>
      <w:r>
        <w:t>T</w:t>
      </w:r>
      <w:r w:rsidR="006E5F40">
        <w:t>he categories of information that are disclosed under agreements with third party service providers and joint marketers and the categories of third parties providing the services;</w:t>
      </w:r>
    </w:p>
    <w:p w14:paraId="450D3156" w14:textId="77777777" w:rsidR="006E5F40" w:rsidRDefault="000D663C" w:rsidP="003E7B18">
      <w:pPr>
        <w:pStyle w:val="BodyText"/>
        <w:numPr>
          <w:ilvl w:val="0"/>
          <w:numId w:val="186"/>
        </w:numPr>
        <w:spacing w:before="0" w:after="0"/>
        <w:ind w:left="900" w:hanging="270"/>
      </w:pPr>
      <w:r>
        <w:t>A</w:t>
      </w:r>
      <w:r w:rsidR="006E5F40">
        <w:t xml:space="preserve"> consumer’s right to opt out of the disclosure of nonpublic personal information to nonaffiliated third parties; and the Company’s policies and practices with respect to protecting the confidentiality, security, and integrity of nonpublic personal information. Essentially, consumers and customers must be given notice when information is going to be shared and then be given the opportunity to opt out of that sharing arrangement.</w:t>
      </w:r>
    </w:p>
    <w:p w14:paraId="262A95FF" w14:textId="77777777" w:rsidR="006E5F40" w:rsidRDefault="006E5F40" w:rsidP="00DF6E72">
      <w:pPr>
        <w:pStyle w:val="BodyText"/>
        <w:ind w:left="270"/>
      </w:pPr>
      <w:r>
        <w:t xml:space="preserve">In certain circumstances, Regulation S-P permits the Company to use “short- form” initial notices for consumers with whom the Company does not have a customer relationship. The short-form notice must be accompanied by an opt-out notice and information on where the consumer may obtain additional information on </w:t>
      </w:r>
      <w:r w:rsidR="00671A99">
        <w:t>Company</w:t>
      </w:r>
      <w:r>
        <w:t xml:space="preserve">’s privacy policies. </w:t>
      </w:r>
    </w:p>
    <w:p w14:paraId="4AC924BD" w14:textId="77777777" w:rsidR="006E5F40" w:rsidRDefault="006E5F40" w:rsidP="00DF6E72">
      <w:pPr>
        <w:pStyle w:val="BodyText"/>
        <w:ind w:left="270"/>
      </w:pPr>
      <w:r>
        <w:t xml:space="preserve">Under Regulation S-P, any information given by consumers or customers to the Company to obtain a product or service will generally be considered to be nonpublic financial information. In addition, any list, description, or other grouping of consumers and customers that is derived from this information also may be considered nonpublic information. </w:t>
      </w:r>
    </w:p>
    <w:p w14:paraId="21933CFB" w14:textId="77777777" w:rsidR="006E5F40" w:rsidRDefault="006E5F40" w:rsidP="00DF6E72">
      <w:pPr>
        <w:pStyle w:val="BodyText"/>
        <w:spacing w:before="0" w:after="0"/>
        <w:ind w:left="270"/>
      </w:pPr>
      <w:r>
        <w:t xml:space="preserve">The Company may consider the information received to be publicly available (and therefore not subject to the restrictions of Regulation S-P) if the Company reasonably believes that the information is lawfully available from three sources: (1) federal, state, or local government </w:t>
      </w:r>
      <w:r>
        <w:lastRenderedPageBreak/>
        <w:t>records; (2) widely distributed media; or (3) disclosures to the general public that are required to be made by federal, state, or local law.</w:t>
      </w:r>
    </w:p>
    <w:p w14:paraId="28972640" w14:textId="77777777" w:rsidR="00DF6E72" w:rsidRDefault="00DF6E72" w:rsidP="00DF6E72">
      <w:pPr>
        <w:pStyle w:val="BodyText"/>
        <w:spacing w:before="0" w:after="0"/>
        <w:ind w:left="270"/>
      </w:pPr>
    </w:p>
    <w:p w14:paraId="49A34083" w14:textId="77777777" w:rsidR="006E5F40" w:rsidRPr="008519B7" w:rsidRDefault="00E66294" w:rsidP="00DF6E72">
      <w:pPr>
        <w:pStyle w:val="Heading3"/>
      </w:pPr>
      <w:r w:rsidRPr="008519B7">
        <w:t>6.</w:t>
      </w:r>
      <w:r w:rsidR="00DF6E72">
        <w:t>2.4</w:t>
      </w:r>
      <w:r w:rsidRPr="008519B7">
        <w:t xml:space="preserve"> </w:t>
      </w:r>
      <w:r w:rsidR="006E5F40" w:rsidRPr="008519B7">
        <w:t>Information Sharing Arrangements</w:t>
      </w:r>
    </w:p>
    <w:p w14:paraId="16EEC493" w14:textId="77777777" w:rsidR="006E5F40" w:rsidRDefault="006E5F40" w:rsidP="00DF6E72">
      <w:pPr>
        <w:pStyle w:val="BodyText"/>
        <w:spacing w:before="0" w:after="0"/>
        <w:ind w:left="270"/>
      </w:pPr>
      <w:r>
        <w:t xml:space="preserve">The Company may make Information Sharing Arrangements with its affiliates and with nonaffiliated third parties. </w:t>
      </w:r>
    </w:p>
    <w:p w14:paraId="60F7ECDA" w14:textId="77777777" w:rsidR="006E5F40" w:rsidRDefault="006E5F40" w:rsidP="00DF6E72">
      <w:pPr>
        <w:pStyle w:val="BodyText"/>
        <w:ind w:left="270"/>
      </w:pPr>
      <w:r>
        <w:rPr>
          <w:b/>
        </w:rPr>
        <w:t>Affiliates</w:t>
      </w:r>
      <w:r w:rsidR="00AF20A5" w:rsidRPr="00AF20A5">
        <w:t>:</w:t>
      </w:r>
      <w:r>
        <w:t xml:space="preserve"> The Company may share consumers’ and customers’ information with its affiliates as long as that fact is disclosed in the privacy notices. Consumers and customers may not opt out of that information sharing arrangement.</w:t>
      </w:r>
    </w:p>
    <w:p w14:paraId="224662E7" w14:textId="77777777" w:rsidR="006E5F40" w:rsidRDefault="006E5F40" w:rsidP="00DF6E72">
      <w:pPr>
        <w:pStyle w:val="BodyText"/>
        <w:spacing w:before="0" w:after="0"/>
        <w:ind w:left="270"/>
      </w:pPr>
      <w:r>
        <w:rPr>
          <w:b/>
        </w:rPr>
        <w:t>Nonaffiliated Third Parties</w:t>
      </w:r>
      <w:r w:rsidR="00AF20A5">
        <w:t>:</w:t>
      </w:r>
      <w:r>
        <w:rPr>
          <w:b/>
        </w:rPr>
        <w:t xml:space="preserve">   </w:t>
      </w:r>
      <w:r>
        <w:t>If, the Company has an information sharing agreement with nonaffiliated third parties, then that fact must be disclosed, and consumers and customers may generally opt out of having their information shared under that agreement. The Grah</w:t>
      </w:r>
      <w:r w:rsidR="00AD1B5D">
        <w:t>a</w:t>
      </w:r>
      <w:r>
        <w:t>m Leach Bill does provide a series of exceptions that permit the Company to share information with nonaff</w:t>
      </w:r>
      <w:r w:rsidR="00AF20A5">
        <w:t>il</w:t>
      </w:r>
      <w:r>
        <w:t>iated third parties and in which consumers and customers may not opt out of those sharing arrangements. These exceptions include, but are not limited to, arrangements with joint marketers and service providers. While consumers and customers may not opt out of these information sharing arrangements, these arrangements must be disclosed in the privacy statements.</w:t>
      </w:r>
    </w:p>
    <w:p w14:paraId="014D0D7D" w14:textId="77777777" w:rsidR="008519B7" w:rsidRDefault="008519B7" w:rsidP="00D40C15">
      <w:pPr>
        <w:pStyle w:val="BodyText"/>
        <w:spacing w:before="0" w:after="0"/>
        <w:rPr>
          <w:b/>
        </w:rPr>
      </w:pPr>
    </w:p>
    <w:p w14:paraId="040B3886" w14:textId="77777777" w:rsidR="006E5F40" w:rsidRPr="008519B7" w:rsidRDefault="00E66294" w:rsidP="00DF6E72">
      <w:pPr>
        <w:pStyle w:val="Heading3"/>
      </w:pPr>
      <w:r w:rsidRPr="008519B7">
        <w:t>6.</w:t>
      </w:r>
      <w:r w:rsidR="00DF6E72">
        <w:t>2.5</w:t>
      </w:r>
      <w:r w:rsidR="004F68B4">
        <w:t xml:space="preserve"> </w:t>
      </w:r>
      <w:r w:rsidR="008519B7" w:rsidRPr="008519B7">
        <w:t>Introducing and Clearing Brokers</w:t>
      </w:r>
      <w:r w:rsidR="006E5F40" w:rsidRPr="008519B7">
        <w:t xml:space="preserve"> </w:t>
      </w:r>
    </w:p>
    <w:p w14:paraId="3D84246E" w14:textId="77777777" w:rsidR="006E5F40" w:rsidRDefault="006E5F40" w:rsidP="00DF6E72">
      <w:pPr>
        <w:pStyle w:val="BodyText"/>
        <w:spacing w:before="0" w:after="0"/>
        <w:ind w:left="270"/>
      </w:pPr>
      <w:r>
        <w:t xml:space="preserve">With regard to the information sharing arrangements between introducing brokers and clearing brokers, the regulation considers introducing brokers and clearing brokers as each having an individual relationship with consumers and customers.  Regulation S-P recognizes that either the introducing broker or the clearing broker could share nonpublic consumer or customer financial information with third parties outside of the introducing/clearing relationship. The regulation will, however, permit the introducing brokers and clearing brokers to send one joint privacy notice to consumers and customers as long as the introducing and clearing brokers’ privacy policies and notices are accurate for each institution. </w:t>
      </w:r>
    </w:p>
    <w:p w14:paraId="11765455" w14:textId="77777777" w:rsidR="00DF6E72" w:rsidRDefault="00DF6E72" w:rsidP="00DF6E72"/>
    <w:p w14:paraId="038DF63B" w14:textId="77777777" w:rsidR="006E5F40" w:rsidRPr="008519B7" w:rsidRDefault="00E66294" w:rsidP="00DF6E72">
      <w:pPr>
        <w:pStyle w:val="Heading3"/>
      </w:pPr>
      <w:r w:rsidRPr="008519B7">
        <w:t>6.</w:t>
      </w:r>
      <w:r w:rsidR="00DF6E72">
        <w:t>2.6</w:t>
      </w:r>
      <w:r w:rsidR="004F68B4">
        <w:t xml:space="preserve"> </w:t>
      </w:r>
      <w:r w:rsidR="007B166E">
        <w:t xml:space="preserve">Annual </w:t>
      </w:r>
      <w:r w:rsidR="006E5F40" w:rsidRPr="008519B7">
        <w:t xml:space="preserve">Delivery of Privacy Notices </w:t>
      </w:r>
    </w:p>
    <w:p w14:paraId="782BF57F" w14:textId="77777777" w:rsidR="006E5F40" w:rsidRDefault="007B166E" w:rsidP="00DF6E72">
      <w:pPr>
        <w:pStyle w:val="BodyText"/>
        <w:spacing w:before="0" w:after="0"/>
        <w:ind w:left="270"/>
      </w:pPr>
      <w:r>
        <w:t>C</w:t>
      </w:r>
      <w:r w:rsidR="00640E44">
        <w:t>ompany</w:t>
      </w:r>
      <w:r w:rsidR="002A1D44" w:rsidRPr="000C2308">
        <w:t>, if applicable</w:t>
      </w:r>
      <w:r w:rsidR="007E0603" w:rsidRPr="000C2308">
        <w:t xml:space="preserve"> </w:t>
      </w:r>
      <w:r w:rsidR="002A1D44" w:rsidRPr="000C2308">
        <w:t>(does not meet the exemptions in Section 6.2.2 above),</w:t>
      </w:r>
      <w:r w:rsidR="007E0603" w:rsidRPr="000C2308">
        <w:t xml:space="preserve"> </w:t>
      </w:r>
      <w:r w:rsidR="00645151" w:rsidRPr="006D5CDF">
        <w:t>may</w:t>
      </w:r>
      <w:r w:rsidR="006E5F40" w:rsidRPr="006D5CDF">
        <w:t xml:space="preserve"> deliver the annual privacy notice via correspondence to accounts</w:t>
      </w:r>
      <w:r w:rsidR="00BE5C85">
        <w:t xml:space="preserve"> </w:t>
      </w:r>
      <w:r w:rsidR="00BE5C85" w:rsidRPr="00AD760F">
        <w:t>if applicable (See Section 6.2.2)</w:t>
      </w:r>
      <w:r w:rsidR="00645151" w:rsidRPr="00AD760F">
        <w:t xml:space="preserve">.  </w:t>
      </w:r>
      <w:r w:rsidR="00645151" w:rsidRPr="006D5CDF">
        <w:t xml:space="preserve">If so, such notice will </w:t>
      </w:r>
      <w:r w:rsidR="00C3145D" w:rsidRPr="006D5CDF">
        <w:t xml:space="preserve">typically </w:t>
      </w:r>
      <w:r w:rsidR="00645151">
        <w:t xml:space="preserve">be provided in </w:t>
      </w:r>
      <w:r w:rsidR="006E5F40">
        <w:t>the month of April.  A copy of said correspondence and Privacy Notice will be initialed by the Principal and maintained as part of the Company’s records.</w:t>
      </w:r>
    </w:p>
    <w:p w14:paraId="4975EE97" w14:textId="77777777" w:rsidR="00E66294" w:rsidRDefault="00E66294" w:rsidP="00DF6E72">
      <w:pPr>
        <w:pStyle w:val="BodyText"/>
        <w:spacing w:before="0" w:after="0"/>
        <w:ind w:left="270"/>
        <w:rPr>
          <w:b/>
          <w:bCs/>
        </w:rPr>
      </w:pPr>
    </w:p>
    <w:p w14:paraId="4C4EEE99" w14:textId="77777777" w:rsidR="006E5F40" w:rsidRPr="00E60F67" w:rsidRDefault="00E66294" w:rsidP="005E24C3">
      <w:pPr>
        <w:pStyle w:val="Heading3"/>
      </w:pPr>
      <w:r w:rsidRPr="00E60F67">
        <w:t>6.</w:t>
      </w:r>
      <w:r w:rsidR="00DF6E72">
        <w:t>2.7</w:t>
      </w:r>
      <w:r w:rsidR="004F68B4">
        <w:t xml:space="preserve"> </w:t>
      </w:r>
      <w:r w:rsidR="00131103">
        <w:t xml:space="preserve">Protection of Systems and Customer Data </w:t>
      </w:r>
    </w:p>
    <w:p w14:paraId="0B2431F6" w14:textId="77777777" w:rsidR="005E24C3" w:rsidRPr="000D4010" w:rsidRDefault="005E24C3" w:rsidP="005E24C3">
      <w:pPr>
        <w:shd w:val="clear" w:color="auto" w:fill="FFFFFF"/>
        <w:ind w:left="270"/>
        <w:rPr>
          <w:sz w:val="24"/>
          <w:szCs w:val="24"/>
        </w:rPr>
      </w:pPr>
      <w:r w:rsidRPr="000D4010">
        <w:rPr>
          <w:sz w:val="24"/>
          <w:szCs w:val="24"/>
        </w:rPr>
        <w:t>The Information Security Officer</w:t>
      </w:r>
      <w:r w:rsidRPr="000D4010">
        <w:t xml:space="preserve"> </w:t>
      </w:r>
      <w:r w:rsidRPr="000D4010">
        <w:rPr>
          <w:sz w:val="24"/>
          <w:szCs w:val="24"/>
        </w:rPr>
        <w:t>is responsible for establishing procedures regarding Company's computers and data maintained on computers, including the following:</w:t>
      </w:r>
    </w:p>
    <w:p w14:paraId="069D5DB2" w14:textId="77777777" w:rsidR="005E24C3" w:rsidRPr="000D4010" w:rsidRDefault="005E24C3" w:rsidP="003E7B18">
      <w:pPr>
        <w:numPr>
          <w:ilvl w:val="0"/>
          <w:numId w:val="229"/>
        </w:numPr>
        <w:shd w:val="clear" w:color="auto" w:fill="FFFFFF"/>
        <w:rPr>
          <w:sz w:val="24"/>
          <w:szCs w:val="24"/>
        </w:rPr>
      </w:pPr>
      <w:r w:rsidRPr="000D4010">
        <w:rPr>
          <w:sz w:val="24"/>
          <w:szCs w:val="24"/>
        </w:rPr>
        <w:t xml:space="preserve">Limiting access to centralized physical data processing and computer sites to authorized personnel only </w:t>
      </w:r>
    </w:p>
    <w:p w14:paraId="5E203966" w14:textId="77777777" w:rsidR="005E24C3" w:rsidRPr="000D4010" w:rsidRDefault="005E24C3" w:rsidP="003E7B18">
      <w:pPr>
        <w:numPr>
          <w:ilvl w:val="0"/>
          <w:numId w:val="229"/>
        </w:numPr>
        <w:shd w:val="clear" w:color="auto" w:fill="FFFFFF"/>
        <w:rPr>
          <w:sz w:val="24"/>
          <w:szCs w:val="24"/>
        </w:rPr>
      </w:pPr>
      <w:r w:rsidRPr="000D4010">
        <w:rPr>
          <w:sz w:val="24"/>
          <w:szCs w:val="24"/>
        </w:rPr>
        <w:t xml:space="preserve">Limiting data access to authorized personnel only </w:t>
      </w:r>
    </w:p>
    <w:p w14:paraId="1546DFB0" w14:textId="77777777" w:rsidR="005E24C3" w:rsidRPr="000D4010" w:rsidRDefault="005E24C3" w:rsidP="003E7B18">
      <w:pPr>
        <w:numPr>
          <w:ilvl w:val="0"/>
          <w:numId w:val="229"/>
        </w:numPr>
        <w:shd w:val="clear" w:color="auto" w:fill="FFFFFF"/>
        <w:rPr>
          <w:sz w:val="24"/>
          <w:szCs w:val="24"/>
        </w:rPr>
      </w:pPr>
      <w:r w:rsidRPr="000D4010">
        <w:rPr>
          <w:sz w:val="24"/>
          <w:szCs w:val="24"/>
        </w:rPr>
        <w:t xml:space="preserve">Back-up of data files </w:t>
      </w:r>
    </w:p>
    <w:p w14:paraId="5B003069" w14:textId="77777777" w:rsidR="005E24C3" w:rsidRPr="000D4010" w:rsidRDefault="005E24C3" w:rsidP="003E7B18">
      <w:pPr>
        <w:numPr>
          <w:ilvl w:val="0"/>
          <w:numId w:val="229"/>
        </w:numPr>
        <w:shd w:val="clear" w:color="auto" w:fill="FFFFFF"/>
        <w:rPr>
          <w:sz w:val="24"/>
          <w:szCs w:val="24"/>
        </w:rPr>
      </w:pPr>
      <w:r w:rsidRPr="000D4010">
        <w:rPr>
          <w:sz w:val="24"/>
          <w:szCs w:val="24"/>
        </w:rPr>
        <w:t>Disaster recovery plans</w:t>
      </w:r>
    </w:p>
    <w:p w14:paraId="314E254E" w14:textId="77777777" w:rsidR="005E24C3" w:rsidRDefault="005E24C3" w:rsidP="005E24C3">
      <w:pPr>
        <w:pStyle w:val="BodyText"/>
        <w:tabs>
          <w:tab w:val="num" w:pos="270"/>
        </w:tabs>
        <w:spacing w:before="0" w:after="0"/>
        <w:ind w:left="270"/>
      </w:pPr>
    </w:p>
    <w:p w14:paraId="1DF9F02A" w14:textId="77777777" w:rsidR="003F2B36" w:rsidRPr="009F1432" w:rsidRDefault="006E5F40" w:rsidP="005E24C3">
      <w:pPr>
        <w:pStyle w:val="BodyText"/>
        <w:tabs>
          <w:tab w:val="num" w:pos="270"/>
        </w:tabs>
        <w:spacing w:before="0" w:after="0"/>
        <w:ind w:left="274"/>
        <w:rPr>
          <w:bCs/>
        </w:rPr>
      </w:pPr>
      <w:r>
        <w:t xml:space="preserve">Associated Persons and employees are required to treat nonpublic personal information in a confidential manner.  </w:t>
      </w:r>
      <w:r w:rsidR="003F2B36" w:rsidRPr="009F1432">
        <w:rPr>
          <w:bCs/>
        </w:rPr>
        <w:t>Questions about providing customer information should be referred to Compliance.</w:t>
      </w:r>
    </w:p>
    <w:p w14:paraId="187F3208" w14:textId="77777777" w:rsidR="003F2B36" w:rsidRDefault="003F2B36" w:rsidP="005E24C3">
      <w:pPr>
        <w:pStyle w:val="BodyText"/>
        <w:spacing w:before="0" w:after="0"/>
        <w:ind w:left="274"/>
      </w:pPr>
    </w:p>
    <w:p w14:paraId="62AF2E47" w14:textId="77777777" w:rsidR="005E1216" w:rsidRDefault="006E5F40" w:rsidP="00DF6E72">
      <w:pPr>
        <w:pStyle w:val="BodyText"/>
        <w:spacing w:before="0" w:after="0"/>
        <w:ind w:left="270"/>
      </w:pPr>
      <w:r>
        <w:t>Access to nonpublic personal information must be limited by physical, electronic and procedural safeguards.  Responsibilities and procedures include but are not limited to the following:</w:t>
      </w:r>
    </w:p>
    <w:p w14:paraId="758F3DAB" w14:textId="77777777" w:rsidR="005E1216" w:rsidRDefault="005E1216" w:rsidP="005E1216">
      <w:pPr>
        <w:pStyle w:val="BodyText"/>
        <w:spacing w:before="0" w:after="0"/>
      </w:pPr>
    </w:p>
    <w:p w14:paraId="133DCE32" w14:textId="77777777" w:rsidR="006E5F40" w:rsidRDefault="00EB263E" w:rsidP="00C1728B">
      <w:pPr>
        <w:pStyle w:val="BodyText"/>
        <w:numPr>
          <w:ilvl w:val="1"/>
          <w:numId w:val="70"/>
        </w:numPr>
        <w:spacing w:before="0" w:after="0"/>
        <w:ind w:left="630" w:hanging="270"/>
      </w:pPr>
      <w:r>
        <w:t>S</w:t>
      </w:r>
      <w:r w:rsidR="006E5F40">
        <w:t>hould not leave completed applications and related information where others can read or copy them.</w:t>
      </w:r>
    </w:p>
    <w:p w14:paraId="451C1E6B" w14:textId="77777777" w:rsidR="003442F5" w:rsidRDefault="003442F5" w:rsidP="00EB263E">
      <w:pPr>
        <w:pStyle w:val="BodyText"/>
        <w:spacing w:before="0" w:after="0"/>
        <w:ind w:left="630" w:hanging="270"/>
      </w:pPr>
    </w:p>
    <w:p w14:paraId="62C7C8EF" w14:textId="77777777" w:rsidR="006E5F40" w:rsidRDefault="006E5F40" w:rsidP="00C1728B">
      <w:pPr>
        <w:pStyle w:val="BodyText"/>
        <w:numPr>
          <w:ilvl w:val="1"/>
          <w:numId w:val="70"/>
        </w:numPr>
        <w:spacing w:before="0" w:after="0"/>
        <w:ind w:left="630" w:hanging="270"/>
      </w:pPr>
      <w:r>
        <w:t xml:space="preserve">When not in the office or </w:t>
      </w:r>
      <w:r w:rsidR="00484CE1">
        <w:t>n</w:t>
      </w:r>
      <w:r>
        <w:t>ot using materials containing nonpublic personal information, such mate</w:t>
      </w:r>
      <w:r w:rsidR="00DF01E3">
        <w:t xml:space="preserve">rial must be kept in files </w:t>
      </w:r>
      <w:r w:rsidR="00DF01E3" w:rsidRPr="00727573">
        <w:t>and not accessible on desk</w:t>
      </w:r>
      <w:r w:rsidR="00EB263E">
        <w:t>s</w:t>
      </w:r>
      <w:r w:rsidR="00DF01E3" w:rsidRPr="00727573">
        <w:t xml:space="preserve"> (“clean desk” policy).</w:t>
      </w:r>
    </w:p>
    <w:p w14:paraId="25745F67" w14:textId="77777777" w:rsidR="003442F5" w:rsidRPr="00727573" w:rsidRDefault="003442F5" w:rsidP="00EB263E">
      <w:pPr>
        <w:pStyle w:val="BodyText"/>
        <w:spacing w:before="0" w:after="0"/>
        <w:ind w:left="630" w:hanging="270"/>
      </w:pPr>
    </w:p>
    <w:p w14:paraId="7C7CBF71" w14:textId="77777777" w:rsidR="003442F5" w:rsidRPr="00AF20A5" w:rsidRDefault="00D506D7" w:rsidP="00C1728B">
      <w:pPr>
        <w:pStyle w:val="BodyText"/>
        <w:numPr>
          <w:ilvl w:val="1"/>
          <w:numId w:val="70"/>
        </w:numPr>
        <w:spacing w:before="0" w:after="0"/>
        <w:ind w:left="630" w:hanging="270"/>
      </w:pPr>
      <w:r w:rsidRPr="00727573">
        <w:t xml:space="preserve">Company computers </w:t>
      </w:r>
      <w:r w:rsidR="002973E6">
        <w:t xml:space="preserve">and systems </w:t>
      </w:r>
      <w:r w:rsidRPr="00727573">
        <w:t>shall only be accessed through secured logins and password that shall be issued upon employment</w:t>
      </w:r>
      <w:r w:rsidR="00243AEB">
        <w:t xml:space="preserve"> </w:t>
      </w:r>
      <w:r w:rsidR="00243AEB" w:rsidRPr="006D5CDF">
        <w:t>to ensure only authorized users gain access</w:t>
      </w:r>
      <w:r w:rsidRPr="006D5CDF">
        <w:t xml:space="preserve">. </w:t>
      </w:r>
      <w:r w:rsidR="00484CE1" w:rsidRPr="006D5CDF">
        <w:t xml:space="preserve"> </w:t>
      </w:r>
      <w:r w:rsidR="00484CE1" w:rsidRPr="00AF20A5">
        <w:t>Firewalls and other security systems are utilized to protect internal systems and data from unauthorized intrusions.</w:t>
      </w:r>
      <w:r w:rsidRPr="00AF20A5">
        <w:t xml:space="preserve">  </w:t>
      </w:r>
    </w:p>
    <w:p w14:paraId="58C947C3" w14:textId="77777777" w:rsidR="003442F5" w:rsidRPr="00AF20A5" w:rsidRDefault="003442F5" w:rsidP="00EB263E">
      <w:pPr>
        <w:pStyle w:val="BodyText"/>
        <w:spacing w:before="0" w:after="0"/>
        <w:ind w:left="630" w:hanging="270"/>
      </w:pPr>
    </w:p>
    <w:p w14:paraId="3CD2EB77" w14:textId="77777777" w:rsidR="003442F5" w:rsidRPr="00AF20A5" w:rsidRDefault="003442F5" w:rsidP="00C1728B">
      <w:pPr>
        <w:pStyle w:val="BodyText"/>
        <w:numPr>
          <w:ilvl w:val="1"/>
          <w:numId w:val="70"/>
        </w:numPr>
        <w:spacing w:before="0" w:after="0"/>
        <w:ind w:left="630" w:hanging="270"/>
      </w:pPr>
      <w:r w:rsidRPr="00AF20A5">
        <w:t>Computers or other data-retaining equipment that retain customer information to be disposed of will be subject to clearing of hard drives and other repositories of data prior to disposal.  If a computer will be reassigned to someone who is not authorized to view data stored on that computer, the hard drive will be cleared prior to reassignment.  Flash drives and other portable data devices that will no longer be used or will be reassigned will be destroyed or cleared of all data prior to disposal or re-use.</w:t>
      </w:r>
    </w:p>
    <w:p w14:paraId="02A01617" w14:textId="77777777" w:rsidR="00D506D7" w:rsidRDefault="00D506D7" w:rsidP="00EB263E">
      <w:pPr>
        <w:pStyle w:val="BodyText"/>
        <w:spacing w:before="0" w:after="0"/>
        <w:ind w:left="630" w:hanging="270"/>
      </w:pPr>
    </w:p>
    <w:p w14:paraId="527C2C5F" w14:textId="77777777" w:rsidR="006E5F40" w:rsidRDefault="006E5F40" w:rsidP="00C1728B">
      <w:pPr>
        <w:pStyle w:val="BodyText"/>
        <w:numPr>
          <w:ilvl w:val="1"/>
          <w:numId w:val="70"/>
        </w:numPr>
        <w:spacing w:before="0" w:after="0"/>
        <w:ind w:left="630" w:hanging="270"/>
      </w:pPr>
      <w:r>
        <w:t>Nonpublic personal information may only be used for business purposes with respect to the Company’s financial services relationships with the individual, such as new account forms, applications, or transactions requested by the individual.</w:t>
      </w:r>
    </w:p>
    <w:p w14:paraId="00BF2550" w14:textId="77777777" w:rsidR="003442F5" w:rsidRDefault="003442F5" w:rsidP="00EB263E">
      <w:pPr>
        <w:pStyle w:val="BodyText"/>
        <w:spacing w:before="0" w:after="0"/>
        <w:ind w:left="630" w:hanging="270"/>
      </w:pPr>
    </w:p>
    <w:p w14:paraId="40072EA7" w14:textId="77777777" w:rsidR="006E5F40" w:rsidRDefault="006E5F40" w:rsidP="00C1728B">
      <w:pPr>
        <w:pStyle w:val="BodyText"/>
        <w:numPr>
          <w:ilvl w:val="1"/>
          <w:numId w:val="70"/>
        </w:numPr>
        <w:spacing w:before="0" w:after="0"/>
        <w:ind w:left="630" w:hanging="270"/>
      </w:pPr>
      <w:r>
        <w:t>Only employees with a business “need to know” should be given access to nonpublic personal information.  Customer file area is to be locked and secure after business hours.</w:t>
      </w:r>
    </w:p>
    <w:p w14:paraId="6E95862C" w14:textId="77777777" w:rsidR="003442F5" w:rsidRDefault="003442F5" w:rsidP="00EB263E">
      <w:pPr>
        <w:pStyle w:val="BodyText"/>
        <w:spacing w:before="0" w:after="0"/>
        <w:ind w:left="630" w:hanging="270"/>
      </w:pPr>
    </w:p>
    <w:p w14:paraId="7949328D" w14:textId="77777777" w:rsidR="006E5F40" w:rsidRDefault="006E5F40" w:rsidP="00C1728B">
      <w:pPr>
        <w:pStyle w:val="BodyText"/>
        <w:numPr>
          <w:ilvl w:val="1"/>
          <w:numId w:val="70"/>
        </w:numPr>
        <w:spacing w:before="0" w:after="0"/>
        <w:ind w:left="630" w:hanging="270"/>
      </w:pPr>
      <w:r>
        <w:t>Nonpublic personal information about our customers may not be accessed out of curiosity, for anyone’s personal use or where there is no business relationship with the customer or have any business need to know the information.</w:t>
      </w:r>
    </w:p>
    <w:p w14:paraId="08255312" w14:textId="77777777" w:rsidR="003442F5" w:rsidRDefault="003442F5" w:rsidP="00EB263E">
      <w:pPr>
        <w:pStyle w:val="BodyText"/>
        <w:spacing w:before="0" w:after="0"/>
        <w:ind w:left="630" w:hanging="270"/>
      </w:pPr>
    </w:p>
    <w:p w14:paraId="1AF09928" w14:textId="77777777" w:rsidR="006E5F40" w:rsidRDefault="006E5F40" w:rsidP="00C1728B">
      <w:pPr>
        <w:pStyle w:val="BodyText"/>
        <w:numPr>
          <w:ilvl w:val="1"/>
          <w:numId w:val="70"/>
        </w:numPr>
        <w:spacing w:before="0" w:after="0"/>
        <w:ind w:left="630" w:hanging="270"/>
      </w:pPr>
      <w:r>
        <w:t>Such information may be used to market additional products or services offered through the Company.</w:t>
      </w:r>
    </w:p>
    <w:p w14:paraId="1B304F2D" w14:textId="77777777" w:rsidR="003442F5" w:rsidRDefault="003442F5" w:rsidP="00EB263E">
      <w:pPr>
        <w:pStyle w:val="BodyText"/>
        <w:spacing w:before="0" w:after="0"/>
        <w:ind w:left="630" w:hanging="270"/>
      </w:pPr>
    </w:p>
    <w:p w14:paraId="275A3B4E" w14:textId="77777777" w:rsidR="00A12AB0" w:rsidRPr="009F1432" w:rsidRDefault="006E5F40" w:rsidP="00C1728B">
      <w:pPr>
        <w:pStyle w:val="BodyText"/>
        <w:numPr>
          <w:ilvl w:val="1"/>
          <w:numId w:val="70"/>
        </w:numPr>
        <w:spacing w:before="0" w:after="0"/>
        <w:ind w:left="630" w:hanging="270"/>
      </w:pPr>
      <w:r>
        <w:t xml:space="preserve">Generally such information should not be disclosed to anyone other than the customer, employees of the Company or other financial institutions in connection with the processing of products or services offered by the Company.  </w:t>
      </w:r>
      <w:r w:rsidR="00A12AB0" w:rsidRPr="009F1432">
        <w:t>Associated Persons are prohibited from sharing or releasing non-public personal information other than to authorized parties.  This includes a prohibition against:</w:t>
      </w:r>
    </w:p>
    <w:p w14:paraId="4BA1DD87" w14:textId="77777777" w:rsidR="00A12AB0" w:rsidRPr="009F1432" w:rsidRDefault="00A12AB0" w:rsidP="00A12AB0">
      <w:pPr>
        <w:pStyle w:val="ListParagraph"/>
      </w:pPr>
    </w:p>
    <w:p w14:paraId="1BBC54BE" w14:textId="77777777" w:rsidR="00A12AB0" w:rsidRPr="009F1432" w:rsidRDefault="00A12AB0" w:rsidP="003E7B18">
      <w:pPr>
        <w:pStyle w:val="BodyText"/>
        <w:numPr>
          <w:ilvl w:val="0"/>
          <w:numId w:val="153"/>
        </w:numPr>
        <w:spacing w:before="0" w:after="0"/>
      </w:pPr>
      <w:r w:rsidRPr="009F1432">
        <w:t>Sending internal reports or o</w:t>
      </w:r>
      <w:r w:rsidR="00341E41">
        <w:t>ther information about Company c</w:t>
      </w:r>
      <w:r w:rsidRPr="009F1432">
        <w:t>ustomers to a non-affiliated third party (unless authorized);</w:t>
      </w:r>
    </w:p>
    <w:p w14:paraId="230BC88E" w14:textId="77777777" w:rsidR="00A12AB0" w:rsidRPr="009F1432" w:rsidRDefault="00A12AB0" w:rsidP="003E7B18">
      <w:pPr>
        <w:pStyle w:val="BodyText"/>
        <w:numPr>
          <w:ilvl w:val="0"/>
          <w:numId w:val="153"/>
        </w:numPr>
        <w:spacing w:before="0" w:after="0"/>
      </w:pPr>
      <w:r w:rsidRPr="009F1432">
        <w:t xml:space="preserve">Sending internal or other documents that include customer non-public information to </w:t>
      </w:r>
      <w:r w:rsidR="00031366" w:rsidRPr="000D4010">
        <w:t>Associated Person’s</w:t>
      </w:r>
      <w:r w:rsidRPr="000D4010">
        <w:t xml:space="preserve"> </w:t>
      </w:r>
      <w:r w:rsidRPr="009F1432">
        <w:t>personal email addresses.</w:t>
      </w:r>
    </w:p>
    <w:p w14:paraId="1619A6A9" w14:textId="77777777" w:rsidR="00A12AB0" w:rsidRDefault="00A12AB0" w:rsidP="00A12AB0">
      <w:pPr>
        <w:pStyle w:val="BodyText"/>
        <w:spacing w:before="0" w:after="0"/>
        <w:ind w:left="1080"/>
        <w:rPr>
          <w:color w:val="FF0000"/>
        </w:rPr>
      </w:pPr>
    </w:p>
    <w:p w14:paraId="711B6846" w14:textId="77777777" w:rsidR="006E5F40" w:rsidRDefault="006E5F40" w:rsidP="00031366">
      <w:pPr>
        <w:pStyle w:val="BodyText"/>
        <w:spacing w:before="0" w:after="0"/>
        <w:ind w:left="630"/>
      </w:pPr>
      <w:r>
        <w:lastRenderedPageBreak/>
        <w:t>Some exceptions may be in the case of a minor, a customer’s incapacity or death to provide information to a guardian or trustee, or as permitted or required by law such as compliance with a subpoena or inquiry from a government agency or regulator.</w:t>
      </w:r>
    </w:p>
    <w:p w14:paraId="437C3F30" w14:textId="77777777" w:rsidR="006E5F40" w:rsidRDefault="006E5F40" w:rsidP="003442F5">
      <w:pPr>
        <w:pStyle w:val="BodyText"/>
        <w:tabs>
          <w:tab w:val="num" w:pos="720"/>
        </w:tabs>
        <w:spacing w:before="0" w:after="0"/>
        <w:ind w:left="720" w:hanging="360"/>
      </w:pPr>
    </w:p>
    <w:p w14:paraId="1090F4B9" w14:textId="77777777" w:rsidR="006E5F40" w:rsidRDefault="006E5F40" w:rsidP="00C1728B">
      <w:pPr>
        <w:numPr>
          <w:ilvl w:val="1"/>
          <w:numId w:val="70"/>
        </w:numPr>
        <w:ind w:left="630" w:hanging="270"/>
        <w:jc w:val="both"/>
        <w:rPr>
          <w:sz w:val="24"/>
        </w:rPr>
      </w:pPr>
      <w:r>
        <w:rPr>
          <w:sz w:val="24"/>
        </w:rPr>
        <w:t>The Company shall require all nonaffiliated organizations that come into contact with non-public confidential information (lawyers, accountants, printers, etc.) to conform to its privacy standards and will contractually obligate them to keep the provided information confidential and used as requested.</w:t>
      </w:r>
    </w:p>
    <w:p w14:paraId="24092058" w14:textId="77777777" w:rsidR="006E5F40" w:rsidRDefault="006E5F40" w:rsidP="00341E41">
      <w:pPr>
        <w:ind w:left="630" w:hanging="270"/>
        <w:jc w:val="both"/>
        <w:rPr>
          <w:sz w:val="24"/>
        </w:rPr>
      </w:pPr>
    </w:p>
    <w:p w14:paraId="0D2AA038" w14:textId="77777777" w:rsidR="006E5F40" w:rsidRDefault="006E5F40" w:rsidP="00C1728B">
      <w:pPr>
        <w:numPr>
          <w:ilvl w:val="1"/>
          <w:numId w:val="70"/>
        </w:numPr>
        <w:ind w:left="630" w:hanging="270"/>
        <w:jc w:val="both"/>
        <w:rPr>
          <w:sz w:val="24"/>
        </w:rPr>
      </w:pPr>
      <w:r>
        <w:rPr>
          <w:sz w:val="24"/>
        </w:rPr>
        <w:t>When documents containing non-public financial information are to be disposed, they shall be destroyed by shredding or some other secure manner, which can prevent readable copies from being used.</w:t>
      </w:r>
    </w:p>
    <w:p w14:paraId="37514C6D" w14:textId="77777777" w:rsidR="006E5F40" w:rsidRDefault="006E5F40" w:rsidP="00341E41">
      <w:pPr>
        <w:tabs>
          <w:tab w:val="num" w:pos="360"/>
        </w:tabs>
        <w:ind w:left="630" w:hanging="270"/>
        <w:jc w:val="both"/>
        <w:rPr>
          <w:color w:val="FF0000"/>
          <w:sz w:val="24"/>
        </w:rPr>
      </w:pPr>
    </w:p>
    <w:p w14:paraId="44EDC165" w14:textId="77777777" w:rsidR="00002718" w:rsidRPr="00002718" w:rsidRDefault="006E5F40" w:rsidP="00C1728B">
      <w:pPr>
        <w:pStyle w:val="BodyText"/>
        <w:numPr>
          <w:ilvl w:val="1"/>
          <w:numId w:val="70"/>
        </w:numPr>
        <w:spacing w:before="0" w:after="0"/>
        <w:ind w:left="630" w:hanging="270"/>
      </w:pPr>
      <w:r>
        <w:t>Requests for personal information will only be handled by Operations personnel who will verify requesters’ identification (by calling the Requester’s company to verify the nature of the request) PRIOR to divulging any information.  In some instances, a written inquiry may be requested if concerned about the nature of the request and further due diligence performed to assess the legitimacy of the request. In addition, the applicable principal must be informed of the request through an email as a matter of record and to keep him/her apprised.</w:t>
      </w:r>
    </w:p>
    <w:p w14:paraId="70212AB0" w14:textId="77777777" w:rsidR="00002718" w:rsidRDefault="00002718" w:rsidP="00002718">
      <w:pPr>
        <w:pStyle w:val="ListParagraph"/>
      </w:pPr>
    </w:p>
    <w:p w14:paraId="436F8A76" w14:textId="77777777" w:rsidR="00B9430C" w:rsidRPr="00002718" w:rsidRDefault="00002718" w:rsidP="00C1728B">
      <w:pPr>
        <w:pStyle w:val="BodyText"/>
        <w:numPr>
          <w:ilvl w:val="1"/>
          <w:numId w:val="135"/>
        </w:numPr>
        <w:spacing w:before="0" w:after="0"/>
        <w:ind w:left="634" w:hanging="270"/>
        <w:rPr>
          <w:szCs w:val="24"/>
        </w:rPr>
      </w:pPr>
      <w:r>
        <w:t xml:space="preserve">Due to advances in technology, the Company authorizes the use of laptops and remote connections to the server through </w:t>
      </w:r>
      <w:r w:rsidR="000B3713">
        <w:t xml:space="preserve">a </w:t>
      </w:r>
      <w:r w:rsidR="006E5F40">
        <w:t>Remote Desktop</w:t>
      </w:r>
      <w:r w:rsidR="000B3713">
        <w:t xml:space="preserve"> </w:t>
      </w:r>
      <w:r w:rsidR="000B3713" w:rsidRPr="00CD0138">
        <w:t>Connection</w:t>
      </w:r>
      <w:r w:rsidR="006E5F40" w:rsidRPr="00CD0138">
        <w:t>.</w:t>
      </w:r>
      <w:r w:rsidR="006E5F40">
        <w:t xml:space="preserve">  However, due to the increased concern for the protection of customer information, the servers accessed by the Company and its related persons ha</w:t>
      </w:r>
      <w:r w:rsidR="00AF20A5">
        <w:t>ve</w:t>
      </w:r>
      <w:r w:rsidR="006E5F40">
        <w:t xml:space="preserve"> encryption and</w:t>
      </w:r>
      <w:r w:rsidR="008329D2">
        <w:t>/or</w:t>
      </w:r>
      <w:r w:rsidR="006E5F40">
        <w:t xml:space="preserve"> firewall protections to help prevent the unauthorized access to customer information through the </w:t>
      </w:r>
      <w:r w:rsidR="00320166">
        <w:t>open-air</w:t>
      </w:r>
      <w:r w:rsidR="006E5F40">
        <w:t xml:space="preserve"> waves.  In addition, laptops used by related persons </w:t>
      </w:r>
      <w:r w:rsidR="00DF01E3">
        <w:t xml:space="preserve">must </w:t>
      </w:r>
      <w:r w:rsidR="006E5F40">
        <w:t>have built in firewalls and o</w:t>
      </w:r>
      <w:r w:rsidR="00DF01E3">
        <w:t xml:space="preserve">ther protection devices as well </w:t>
      </w:r>
      <w:r w:rsidR="00DF01E3" w:rsidRPr="00727573">
        <w:t xml:space="preserve">as updated antivirus software. </w:t>
      </w:r>
      <w:r w:rsidR="00485242" w:rsidRPr="00727573">
        <w:t xml:space="preserve">  </w:t>
      </w:r>
      <w:r w:rsidR="00485242" w:rsidRPr="00C91BA6">
        <w:t xml:space="preserve">Laptops and personal computers will be </w:t>
      </w:r>
      <w:r w:rsidR="00C91BA6" w:rsidRPr="00C91BA6">
        <w:t xml:space="preserve">randomly </w:t>
      </w:r>
      <w:r w:rsidR="00485242" w:rsidRPr="00C91BA6">
        <w:t xml:space="preserve">reviewed by IT </w:t>
      </w:r>
      <w:r w:rsidR="00CD5D9F" w:rsidRPr="00C91BA6">
        <w:t xml:space="preserve">or Compliance </w:t>
      </w:r>
      <w:r w:rsidR="00485242" w:rsidRPr="00C91BA6">
        <w:t>at least annually with a log of review.</w:t>
      </w:r>
    </w:p>
    <w:p w14:paraId="291FB9B2" w14:textId="77777777" w:rsidR="00B9430C" w:rsidRPr="00B9430C" w:rsidRDefault="00B9430C" w:rsidP="00B9430C">
      <w:pPr>
        <w:pStyle w:val="BodyText"/>
        <w:spacing w:before="0" w:after="0"/>
        <w:ind w:left="634"/>
        <w:rPr>
          <w:szCs w:val="24"/>
        </w:rPr>
      </w:pPr>
    </w:p>
    <w:p w14:paraId="41239990" w14:textId="77777777" w:rsidR="00012D88" w:rsidRPr="00B9430C" w:rsidRDefault="002C67BD" w:rsidP="00C1728B">
      <w:pPr>
        <w:pStyle w:val="BodyText"/>
        <w:numPr>
          <w:ilvl w:val="1"/>
          <w:numId w:val="135"/>
        </w:numPr>
        <w:spacing w:before="0" w:after="0"/>
        <w:ind w:left="634" w:hanging="270"/>
        <w:rPr>
          <w:szCs w:val="24"/>
        </w:rPr>
      </w:pPr>
      <w:r w:rsidRPr="00B9430C">
        <w:rPr>
          <w:szCs w:val="24"/>
        </w:rPr>
        <w:t xml:space="preserve">Employees who use laptops or other mobile devices for </w:t>
      </w:r>
      <w:r w:rsidR="00BE0FC1" w:rsidRPr="00B9430C">
        <w:rPr>
          <w:szCs w:val="24"/>
        </w:rPr>
        <w:t>Company</w:t>
      </w:r>
      <w:r w:rsidRPr="00B9430C">
        <w:rPr>
          <w:szCs w:val="24"/>
        </w:rPr>
        <w:t xml:space="preserve"> business are responsible for the security of the device and the information contained on it. </w:t>
      </w:r>
      <w:proofErr w:type="gramStart"/>
      <w:r w:rsidRPr="00B9430C">
        <w:rPr>
          <w:szCs w:val="24"/>
        </w:rPr>
        <w:t>Serious</w:t>
      </w:r>
      <w:proofErr w:type="gramEnd"/>
      <w:r w:rsidRPr="00B9430C">
        <w:rPr>
          <w:szCs w:val="24"/>
        </w:rPr>
        <w:t xml:space="preserve"> security breaches can occur if a device containing or capable of accessing confidential information is lost or stolen.</w:t>
      </w:r>
      <w:r w:rsidR="00BE0FC1" w:rsidRPr="00B9430C">
        <w:rPr>
          <w:szCs w:val="24"/>
        </w:rPr>
        <w:t xml:space="preserve">  </w:t>
      </w:r>
      <w:r w:rsidR="00012D88" w:rsidRPr="00B9430C">
        <w:rPr>
          <w:szCs w:val="24"/>
        </w:rPr>
        <w:t xml:space="preserve">Laptops and PCs must be set to time-out at least every </w:t>
      </w:r>
      <w:r w:rsidR="00D506D7" w:rsidRPr="00B9430C">
        <w:rPr>
          <w:szCs w:val="24"/>
        </w:rPr>
        <w:t>3</w:t>
      </w:r>
      <w:r w:rsidR="00012D88" w:rsidRPr="00B9430C">
        <w:rPr>
          <w:szCs w:val="24"/>
        </w:rPr>
        <w:t>0 minutes when not in use, requiring a password for re-entry</w:t>
      </w:r>
      <w:r w:rsidR="00012D88" w:rsidRPr="000D4010">
        <w:t>.</w:t>
      </w:r>
      <w:r w:rsidR="00BE0FC1" w:rsidRPr="000D4010">
        <w:t xml:space="preserve">  </w:t>
      </w:r>
      <w:r w:rsidR="00BE0FC1" w:rsidRPr="00B9430C">
        <w:rPr>
          <w:szCs w:val="24"/>
        </w:rPr>
        <w:t xml:space="preserve">All confidential data must be accessed only on the </w:t>
      </w:r>
      <w:r w:rsidR="003C17D9" w:rsidRPr="00B9430C">
        <w:rPr>
          <w:szCs w:val="24"/>
        </w:rPr>
        <w:t>Company</w:t>
      </w:r>
      <w:r w:rsidR="00BE0FC1" w:rsidRPr="00B9430C">
        <w:rPr>
          <w:szCs w:val="24"/>
        </w:rPr>
        <w:t>'s servers and may not be stored on laptops.</w:t>
      </w:r>
      <w:r w:rsidR="00D009A1" w:rsidRPr="00B9430C">
        <w:rPr>
          <w:szCs w:val="24"/>
        </w:rPr>
        <w:t xml:space="preserve">  </w:t>
      </w:r>
      <w:r w:rsidR="007C0148" w:rsidRPr="00B9430C">
        <w:rPr>
          <w:szCs w:val="24"/>
        </w:rPr>
        <w:t xml:space="preserve">Associated Persons must report to the </w:t>
      </w:r>
      <w:r w:rsidR="00D009A1" w:rsidRPr="00B9430C">
        <w:rPr>
          <w:szCs w:val="24"/>
        </w:rPr>
        <w:t xml:space="preserve">Company </w:t>
      </w:r>
      <w:r w:rsidR="007C0148" w:rsidRPr="00B9430C">
        <w:rPr>
          <w:szCs w:val="24"/>
        </w:rPr>
        <w:t xml:space="preserve">any lost laptop or Company issued </w:t>
      </w:r>
      <w:r w:rsidR="00D009A1" w:rsidRPr="00B9430C">
        <w:rPr>
          <w:szCs w:val="24"/>
        </w:rPr>
        <w:t xml:space="preserve">mobile device </w:t>
      </w:r>
      <w:r w:rsidR="007C0148" w:rsidRPr="00B9430C">
        <w:rPr>
          <w:szCs w:val="24"/>
        </w:rPr>
        <w:t>or any known intrusion of such device</w:t>
      </w:r>
      <w:r w:rsidR="00D009A1" w:rsidRPr="00B9430C">
        <w:rPr>
          <w:szCs w:val="24"/>
        </w:rPr>
        <w:t>.</w:t>
      </w:r>
      <w:r w:rsidR="003C10F3" w:rsidRPr="00B9430C">
        <w:rPr>
          <w:szCs w:val="24"/>
        </w:rPr>
        <w:t xml:space="preserve">  Company shall maintain a record of any such </w:t>
      </w:r>
      <w:r w:rsidR="007C0148" w:rsidRPr="00B9430C">
        <w:rPr>
          <w:szCs w:val="24"/>
        </w:rPr>
        <w:t>notices</w:t>
      </w:r>
      <w:r w:rsidR="003C10F3" w:rsidRPr="00B9430C">
        <w:rPr>
          <w:szCs w:val="24"/>
        </w:rPr>
        <w:t xml:space="preserve"> and any actions taken.</w:t>
      </w:r>
    </w:p>
    <w:p w14:paraId="0DC6F020" w14:textId="77777777" w:rsidR="003442F5" w:rsidRPr="00727573" w:rsidRDefault="003442F5" w:rsidP="00341E41">
      <w:pPr>
        <w:pStyle w:val="BodyText"/>
        <w:spacing w:before="0" w:after="0"/>
        <w:ind w:left="630" w:hanging="270"/>
      </w:pPr>
    </w:p>
    <w:p w14:paraId="23F6A1B1" w14:textId="77777777" w:rsidR="0071679B" w:rsidRPr="009F1432" w:rsidRDefault="0071679B" w:rsidP="00C1728B">
      <w:pPr>
        <w:pStyle w:val="BodyText"/>
        <w:numPr>
          <w:ilvl w:val="1"/>
          <w:numId w:val="70"/>
        </w:numPr>
        <w:spacing w:before="0" w:after="0"/>
        <w:ind w:left="630" w:hanging="270"/>
      </w:pPr>
      <w:r w:rsidRPr="009F1432">
        <w:t xml:space="preserve">Company shall deactivate any terminated </w:t>
      </w:r>
      <w:r w:rsidR="00320166" w:rsidRPr="009F1432">
        <w:t>employees’</w:t>
      </w:r>
      <w:r w:rsidRPr="009F1432">
        <w:t xml:space="preserve"> logins/passwords, electronic building cards, </w:t>
      </w:r>
      <w:r w:rsidR="009D1FDC" w:rsidRPr="009F1432">
        <w:t>etc.</w:t>
      </w:r>
      <w:r w:rsidRPr="009F1432">
        <w:t xml:space="preserve"> to prevent gaining access to customer information upon leaving the Company.</w:t>
      </w:r>
    </w:p>
    <w:p w14:paraId="47A5C144" w14:textId="77777777" w:rsidR="002A3CCC" w:rsidRPr="009F1432" w:rsidRDefault="002A3CCC" w:rsidP="00341E41">
      <w:pPr>
        <w:pStyle w:val="ListParagraph"/>
        <w:ind w:left="630" w:hanging="270"/>
      </w:pPr>
    </w:p>
    <w:p w14:paraId="3CF42FDC" w14:textId="77777777" w:rsidR="002A3CCC" w:rsidRPr="009F1432" w:rsidRDefault="002A3CCC" w:rsidP="00C1728B">
      <w:pPr>
        <w:pStyle w:val="BodyText"/>
        <w:numPr>
          <w:ilvl w:val="1"/>
          <w:numId w:val="70"/>
        </w:numPr>
        <w:spacing w:before="0" w:after="0"/>
        <w:ind w:left="630" w:hanging="270"/>
      </w:pPr>
      <w:r w:rsidRPr="009F1432">
        <w:t xml:space="preserve">Computers or other data-retaining equipment that will be disposed of will be subject to clearing of hard drives and other repositories of data prior to disposal.  If a computer will be re-assigned to someone who is not authorized to view data stored on that computer, the hard drive will be cleared prior to reassignment.  </w:t>
      </w:r>
      <w:r w:rsidR="0075729D" w:rsidRPr="009F1432">
        <w:t>Flash drives and other portable data devices that will no longer be used or will be reassigned will be destroyed or cleared of all data prior to disposal.</w:t>
      </w:r>
    </w:p>
    <w:p w14:paraId="7EDCE2CF" w14:textId="77777777" w:rsidR="00176229" w:rsidRPr="009F1432" w:rsidRDefault="00176229" w:rsidP="00341E41">
      <w:pPr>
        <w:pStyle w:val="BodyText"/>
        <w:spacing w:before="0" w:after="0"/>
        <w:ind w:left="630" w:hanging="270"/>
      </w:pPr>
    </w:p>
    <w:p w14:paraId="7AF621DF" w14:textId="77777777" w:rsidR="00176229" w:rsidRPr="009F1432" w:rsidRDefault="00176229" w:rsidP="00C1728B">
      <w:pPr>
        <w:pStyle w:val="BodyText"/>
        <w:numPr>
          <w:ilvl w:val="1"/>
          <w:numId w:val="70"/>
        </w:numPr>
        <w:spacing w:before="0" w:after="0"/>
        <w:ind w:left="630" w:hanging="270"/>
      </w:pPr>
      <w:r w:rsidRPr="009F1432">
        <w:lastRenderedPageBreak/>
        <w:t>Training of personnel will be conducted annually at the compliance meeting or sooner if necessary.</w:t>
      </w:r>
    </w:p>
    <w:p w14:paraId="4F7E5FD2" w14:textId="77777777" w:rsidR="006E5F40" w:rsidRPr="009F1432" w:rsidRDefault="006E5F40" w:rsidP="005E1216">
      <w:pPr>
        <w:pStyle w:val="BodyText"/>
        <w:tabs>
          <w:tab w:val="num" w:pos="720"/>
        </w:tabs>
        <w:spacing w:before="0" w:after="0"/>
        <w:ind w:left="720" w:hanging="360"/>
        <w:rPr>
          <w:b/>
          <w:bCs/>
        </w:rPr>
      </w:pPr>
    </w:p>
    <w:p w14:paraId="3E2EE636" w14:textId="77777777" w:rsidR="006E5F40" w:rsidRPr="00E60F67" w:rsidRDefault="00947DC7" w:rsidP="00DF6E72">
      <w:pPr>
        <w:pStyle w:val="Heading3"/>
      </w:pPr>
      <w:r w:rsidRPr="00E60F67">
        <w:t>6.</w:t>
      </w:r>
      <w:r w:rsidR="00DF6E72">
        <w:t>2.8</w:t>
      </w:r>
      <w:r w:rsidRPr="00E60F67">
        <w:t xml:space="preserve"> Information</w:t>
      </w:r>
      <w:r w:rsidR="006E5F40" w:rsidRPr="00E60F67">
        <w:t xml:space="preserve"> Breaches</w:t>
      </w:r>
    </w:p>
    <w:p w14:paraId="2842872D" w14:textId="77777777" w:rsidR="006E5F40" w:rsidRDefault="006E5F40" w:rsidP="00DF6E72">
      <w:pPr>
        <w:pStyle w:val="BodyText"/>
        <w:tabs>
          <w:tab w:val="num" w:pos="0"/>
        </w:tabs>
        <w:spacing w:before="0" w:after="0"/>
        <w:ind w:firstLine="270"/>
      </w:pPr>
      <w:r>
        <w:t>In the event personal information is at risk, the Company will take the following precautions:</w:t>
      </w:r>
    </w:p>
    <w:p w14:paraId="1B488FDC" w14:textId="77777777" w:rsidR="006E5F40" w:rsidRDefault="009D1FDC" w:rsidP="00C1728B">
      <w:pPr>
        <w:pStyle w:val="BodyText"/>
        <w:numPr>
          <w:ilvl w:val="0"/>
          <w:numId w:val="34"/>
        </w:numPr>
      </w:pPr>
      <w:r>
        <w:t>Informing potentially a</w:t>
      </w:r>
      <w:r w:rsidR="006E5F40">
        <w:t xml:space="preserve">ffected person(s) of the breach by any and all measures available (i.e. phone, email, letter, </w:t>
      </w:r>
      <w:r>
        <w:t>etc</w:t>
      </w:r>
      <w:r w:rsidR="00320166">
        <w:t>.</w:t>
      </w:r>
      <w:r w:rsidR="006E5F40">
        <w:t>) and doing so as soon as possible;</w:t>
      </w:r>
    </w:p>
    <w:p w14:paraId="49C39B7A" w14:textId="77777777" w:rsidR="006E5F40" w:rsidRDefault="006E5F40" w:rsidP="00C1728B">
      <w:pPr>
        <w:pStyle w:val="BodyText"/>
        <w:numPr>
          <w:ilvl w:val="0"/>
          <w:numId w:val="34"/>
        </w:numPr>
      </w:pPr>
      <w:r>
        <w:t xml:space="preserve">Monitoring any </w:t>
      </w:r>
      <w:r w:rsidR="002245AD">
        <w:t>a</w:t>
      </w:r>
      <w:r>
        <w:t>ffected accounts for suspicious activity with possibility of freezing said account(s) with person(s)’ authorization and knowledge;</w:t>
      </w:r>
    </w:p>
    <w:p w14:paraId="703065C5" w14:textId="77777777" w:rsidR="006E5F40" w:rsidRDefault="006E5F40" w:rsidP="00C1728B">
      <w:pPr>
        <w:pStyle w:val="BodyText"/>
        <w:numPr>
          <w:ilvl w:val="0"/>
          <w:numId w:val="34"/>
        </w:numPr>
      </w:pPr>
      <w:r>
        <w:t xml:space="preserve">Contact </w:t>
      </w:r>
      <w:r w:rsidR="002245AD">
        <w:t>a</w:t>
      </w:r>
      <w:r>
        <w:t>ffected person(s) for future transactions;</w:t>
      </w:r>
    </w:p>
    <w:p w14:paraId="0BBD173A" w14:textId="77777777" w:rsidR="006E5F40" w:rsidRDefault="006E5F40" w:rsidP="00C1728B">
      <w:pPr>
        <w:pStyle w:val="BodyText"/>
        <w:numPr>
          <w:ilvl w:val="0"/>
          <w:numId w:val="34"/>
        </w:numPr>
      </w:pPr>
      <w:r>
        <w:t xml:space="preserve">Consult with </w:t>
      </w:r>
      <w:r w:rsidR="002245AD">
        <w:t>a</w:t>
      </w:r>
      <w:r>
        <w:t>ffected person(s) regarding possible changes to account number and/or passwords.</w:t>
      </w:r>
    </w:p>
    <w:p w14:paraId="7030CBD5" w14:textId="77777777" w:rsidR="006E5F40" w:rsidRDefault="006E5F40" w:rsidP="00DF6E72">
      <w:pPr>
        <w:tabs>
          <w:tab w:val="num" w:pos="360"/>
        </w:tabs>
        <w:ind w:left="270"/>
        <w:jc w:val="both"/>
        <w:rPr>
          <w:sz w:val="24"/>
        </w:rPr>
      </w:pPr>
      <w:r>
        <w:rPr>
          <w:sz w:val="24"/>
        </w:rPr>
        <w:t>In addition, should the Company suspect that an incident of identity theft has occurred or if it is notified by a customer that they suspect an identity theft, the designated principal or his design</w:t>
      </w:r>
      <w:r w:rsidR="00545F2C">
        <w:rPr>
          <w:sz w:val="24"/>
        </w:rPr>
        <w:t>ee shall contact the Company’s Legal department and C</w:t>
      </w:r>
      <w:r>
        <w:rPr>
          <w:sz w:val="24"/>
        </w:rPr>
        <w:t>ompliance department.  These departments shall commence an investigation and determine if an identity theft may have occurred. If the investigation determines that one may have occurred, Compliance and Legal shall notify the appropriate law enforcement agencies. (This includes the local Sheriff, the FBI, and Secret Service</w:t>
      </w:r>
      <w:r w:rsidR="00E8333D">
        <w:rPr>
          <w:sz w:val="24"/>
        </w:rPr>
        <w:t>, if applicable</w:t>
      </w:r>
      <w:r>
        <w:rPr>
          <w:sz w:val="24"/>
        </w:rPr>
        <w:t xml:space="preserve">.  The FTC serves as a clearinghouse for complaints against credit reporting agencies and credit grantors, referrals, and resources for assistance for victims of identity theft. They should be notified if the suspected victim requests this type of assistance. Refer to “Title 18 USC 1028” and to “Identity Theft and Assumption Deterrence Act of 1998”.) </w:t>
      </w:r>
    </w:p>
    <w:p w14:paraId="1B089A53" w14:textId="77777777" w:rsidR="006E5F40" w:rsidRDefault="006E5F40" w:rsidP="006E5F40">
      <w:pPr>
        <w:tabs>
          <w:tab w:val="num" w:pos="360"/>
        </w:tabs>
        <w:jc w:val="both"/>
        <w:rPr>
          <w:sz w:val="24"/>
        </w:rPr>
      </w:pPr>
    </w:p>
    <w:p w14:paraId="34152404" w14:textId="1F7FE269" w:rsidR="001D0B7F" w:rsidRDefault="001D0B7F" w:rsidP="001D0B7F">
      <w:pPr>
        <w:pStyle w:val="Heading3"/>
      </w:pPr>
      <w:r>
        <w:t>6.2.9 C</w:t>
      </w:r>
      <w:r w:rsidR="001E3A83">
        <w:t>YBERSECURITY</w:t>
      </w:r>
      <w:r>
        <w:t xml:space="preserve"> Governance</w:t>
      </w:r>
    </w:p>
    <w:p w14:paraId="610F9CEC" w14:textId="324EECD9" w:rsidR="00C846EE" w:rsidRPr="001F367B" w:rsidRDefault="00C846EE" w:rsidP="00C846EE">
      <w:pPr>
        <w:spacing w:before="15" w:after="100" w:afterAutospacing="1" w:line="240" w:lineRule="atLeast"/>
        <w:ind w:left="270"/>
        <w:rPr>
          <w:color w:val="000000" w:themeColor="text1"/>
          <w:spacing w:val="8"/>
          <w:sz w:val="24"/>
          <w:szCs w:val="24"/>
        </w:rPr>
      </w:pPr>
      <w:r w:rsidRPr="001F367B">
        <w:rPr>
          <w:color w:val="000000" w:themeColor="text1"/>
          <w:spacing w:val="8"/>
          <w:sz w:val="24"/>
          <w:szCs w:val="24"/>
        </w:rPr>
        <w:t>Cybersecurity is generally defined as maintaining the security of cyber systems. Cybercrimes are broadly defined as any illegal activity that involves a computer, another digital device, or a computer network. Cybercrime includes common cybersecurity threats like social engineering, software, vulnerability exploits, and network attacks. The US financial system makes institutions attractive targets to criminals, including terrorists and state actors targeting websites, systems, and employees to steal customer and commercial credentials and proprietary information.</w:t>
      </w:r>
    </w:p>
    <w:p w14:paraId="0418D37A" w14:textId="46181E79" w:rsidR="00C846EE" w:rsidRPr="001F367B" w:rsidRDefault="00C846EE" w:rsidP="00C846EE">
      <w:pPr>
        <w:spacing w:before="15" w:after="100" w:afterAutospacing="1" w:line="240" w:lineRule="atLeast"/>
        <w:ind w:left="270"/>
        <w:rPr>
          <w:color w:val="000000" w:themeColor="text1"/>
          <w:sz w:val="24"/>
        </w:rPr>
      </w:pPr>
      <w:r w:rsidRPr="001F367B">
        <w:rPr>
          <w:color w:val="000000" w:themeColor="text1"/>
          <w:spacing w:val="8"/>
          <w:sz w:val="24"/>
          <w:szCs w:val="24"/>
        </w:rPr>
        <w:t>Associated Persons should immediately report to Compliance any perceived cybersecurity threat. This Section addresses details of Company's efforts to ensure the integrity of its systems.</w:t>
      </w:r>
    </w:p>
    <w:p w14:paraId="2A137A55" w14:textId="495CB1AB" w:rsidR="001D0B7F" w:rsidRPr="000D4010" w:rsidRDefault="001D0B7F" w:rsidP="00790DE3">
      <w:pPr>
        <w:tabs>
          <w:tab w:val="num" w:pos="270"/>
        </w:tabs>
        <w:ind w:left="270"/>
        <w:rPr>
          <w:sz w:val="24"/>
        </w:rPr>
      </w:pPr>
      <w:r w:rsidRPr="000D4010">
        <w:rPr>
          <w:sz w:val="24"/>
        </w:rPr>
        <w:t xml:space="preserve">Company has conducted an assessment of its information security systems and practices and has adopted these procedures to identify risks, mitigation, and escalation procedures. </w:t>
      </w:r>
      <w:r w:rsidR="00790DE3" w:rsidRPr="000D4010">
        <w:rPr>
          <w:sz w:val="24"/>
        </w:rPr>
        <w:t xml:space="preserve"> </w:t>
      </w:r>
      <w:r w:rsidR="00EC5C0D" w:rsidRPr="000D4010">
        <w:rPr>
          <w:sz w:val="24"/>
          <w:szCs w:val="24"/>
        </w:rPr>
        <w:t xml:space="preserve">These Cybersecurity Procedures supplement the Business Continuity Plan, Identity Theft Prevention Program and Privacy Procedures.  </w:t>
      </w:r>
      <w:r w:rsidR="00790DE3" w:rsidRPr="000D4010">
        <w:rPr>
          <w:sz w:val="24"/>
        </w:rPr>
        <w:t>Morris Monroe is the Chief Information Security Officer and has the overall responsibility of ensuring the protection of Company’s systems and information.</w:t>
      </w:r>
      <w:r w:rsidR="00EC5C0D" w:rsidRPr="000D4010">
        <w:rPr>
          <w:sz w:val="24"/>
        </w:rPr>
        <w:t xml:space="preserve">  </w:t>
      </w:r>
    </w:p>
    <w:p w14:paraId="4848D04B" w14:textId="77777777" w:rsidR="00202DBA" w:rsidRPr="000D4010" w:rsidRDefault="00202DBA" w:rsidP="00790DE3">
      <w:pPr>
        <w:tabs>
          <w:tab w:val="num" w:pos="270"/>
        </w:tabs>
        <w:ind w:left="270"/>
        <w:rPr>
          <w:sz w:val="24"/>
        </w:rPr>
      </w:pPr>
    </w:p>
    <w:p w14:paraId="2C6B96AD" w14:textId="06ED239A" w:rsidR="00202DBA" w:rsidRDefault="00DC6C9F" w:rsidP="00544379">
      <w:pPr>
        <w:tabs>
          <w:tab w:val="num" w:pos="270"/>
        </w:tabs>
        <w:ind w:left="270"/>
        <w:rPr>
          <w:sz w:val="24"/>
          <w:szCs w:val="24"/>
        </w:rPr>
      </w:pPr>
      <w:r w:rsidRPr="000D4010">
        <w:rPr>
          <w:sz w:val="24"/>
          <w:szCs w:val="24"/>
        </w:rPr>
        <w:t>Cyber-attacks</w:t>
      </w:r>
      <w:r w:rsidR="00202DBA" w:rsidRPr="000D4010">
        <w:rPr>
          <w:sz w:val="24"/>
          <w:szCs w:val="24"/>
        </w:rPr>
        <w:t xml:space="preserve"> include gaining unauthorized access to digital systems for purposes of misappropriating assets or sensitive information, corrupting data or causing operational disruption. </w:t>
      </w:r>
      <w:r w:rsidRPr="000D4010">
        <w:rPr>
          <w:sz w:val="24"/>
          <w:szCs w:val="24"/>
        </w:rPr>
        <w:t>Cyber-attacks</w:t>
      </w:r>
      <w:r w:rsidR="00202DBA" w:rsidRPr="000D4010">
        <w:rPr>
          <w:sz w:val="24"/>
          <w:szCs w:val="24"/>
        </w:rPr>
        <w:t xml:space="preserve"> may also be carried out in a manner that does not require gaining unauthorized access, such as by causing denial-of-service attacks on websites. </w:t>
      </w:r>
      <w:r w:rsidR="00CA6193" w:rsidRPr="000D4010">
        <w:rPr>
          <w:sz w:val="24"/>
          <w:szCs w:val="24"/>
        </w:rPr>
        <w:t xml:space="preserve">Third parties </w:t>
      </w:r>
      <w:r w:rsidR="00CA6193" w:rsidRPr="000D4010">
        <w:rPr>
          <w:sz w:val="24"/>
          <w:szCs w:val="24"/>
        </w:rPr>
        <w:lastRenderedPageBreak/>
        <w:t xml:space="preserve">or insiders using techniques that range from highly sophisticated efforts to electronically circumvent network security or overwhelm websites to more traditional intelligence </w:t>
      </w:r>
      <w:r w:rsidR="00320166" w:rsidRPr="000D4010">
        <w:rPr>
          <w:sz w:val="24"/>
          <w:szCs w:val="24"/>
        </w:rPr>
        <w:t>gathering,</w:t>
      </w:r>
      <w:r w:rsidR="00CA6193" w:rsidRPr="000D4010">
        <w:rPr>
          <w:sz w:val="24"/>
          <w:szCs w:val="24"/>
        </w:rPr>
        <w:t xml:space="preserve"> and social engineering aimed at obtaining information necessary to gain access may carry out </w:t>
      </w:r>
      <w:r w:rsidRPr="000D4010">
        <w:rPr>
          <w:sz w:val="24"/>
          <w:szCs w:val="24"/>
        </w:rPr>
        <w:t>cyber-attacks</w:t>
      </w:r>
      <w:r w:rsidR="00CA6193" w:rsidRPr="000D4010">
        <w:t xml:space="preserve">.  </w:t>
      </w:r>
      <w:r w:rsidR="00202DBA" w:rsidRPr="000D4010">
        <w:rPr>
          <w:sz w:val="24"/>
          <w:szCs w:val="24"/>
        </w:rPr>
        <w:t>At risk is the personal information of clients as well as the business operations of the Company.</w:t>
      </w:r>
      <w:r w:rsidR="00CA6193" w:rsidRPr="000D4010">
        <w:rPr>
          <w:sz w:val="24"/>
          <w:szCs w:val="24"/>
        </w:rPr>
        <w:t xml:space="preserve">  </w:t>
      </w:r>
    </w:p>
    <w:p w14:paraId="527B6C36" w14:textId="63F34655" w:rsidR="00435C7D" w:rsidRDefault="00435C7D" w:rsidP="00544379">
      <w:pPr>
        <w:tabs>
          <w:tab w:val="num" w:pos="270"/>
        </w:tabs>
        <w:ind w:left="270"/>
        <w:rPr>
          <w:sz w:val="24"/>
          <w:szCs w:val="24"/>
        </w:rPr>
      </w:pPr>
    </w:p>
    <w:p w14:paraId="0CBFEAE3" w14:textId="3EC30831" w:rsidR="00435C7D" w:rsidRPr="001F367B" w:rsidRDefault="00435C7D" w:rsidP="00544379">
      <w:pPr>
        <w:tabs>
          <w:tab w:val="num" w:pos="270"/>
        </w:tabs>
        <w:ind w:left="270"/>
        <w:rPr>
          <w:color w:val="000000" w:themeColor="text1"/>
          <w:spacing w:val="8"/>
          <w:sz w:val="24"/>
          <w:szCs w:val="24"/>
        </w:rPr>
      </w:pPr>
      <w:r w:rsidRPr="001F367B">
        <w:rPr>
          <w:b/>
          <w:bCs/>
          <w:color w:val="000000" w:themeColor="text1"/>
          <w:sz w:val="24"/>
          <w:szCs w:val="24"/>
          <w:shd w:val="clear" w:color="auto" w:fill="FFFFFF"/>
        </w:rPr>
        <w:t>Cloud-Based E-mail Account Takeovers (ATOs)</w:t>
      </w:r>
    </w:p>
    <w:p w14:paraId="06DE083E" w14:textId="3081D267" w:rsidR="00435C7D" w:rsidRPr="001F367B" w:rsidRDefault="00435C7D" w:rsidP="00544379">
      <w:pPr>
        <w:tabs>
          <w:tab w:val="num" w:pos="270"/>
        </w:tabs>
        <w:ind w:left="270"/>
        <w:rPr>
          <w:color w:val="000000" w:themeColor="text1"/>
          <w:spacing w:val="8"/>
          <w:sz w:val="24"/>
          <w:szCs w:val="24"/>
        </w:rPr>
      </w:pPr>
      <w:r w:rsidRPr="001F367B">
        <w:rPr>
          <w:color w:val="000000" w:themeColor="text1"/>
          <w:spacing w:val="8"/>
          <w:sz w:val="24"/>
          <w:szCs w:val="24"/>
        </w:rPr>
        <w:t xml:space="preserve">Attackers may use compromised e-mail accounts to take over e-mail to defraud firms by requesting fraudulent wire requests or stealing confidential firm information or non-public personally identifiable information. This includes attacks taking over administrative privileges which may result in a broader attack. </w:t>
      </w:r>
    </w:p>
    <w:p w14:paraId="7F7183F8" w14:textId="40E0B708" w:rsidR="00435C7D" w:rsidRDefault="00435C7D" w:rsidP="00544379">
      <w:pPr>
        <w:tabs>
          <w:tab w:val="num" w:pos="270"/>
        </w:tabs>
        <w:ind w:left="270"/>
        <w:rPr>
          <w:color w:val="FF0000"/>
          <w:spacing w:val="8"/>
          <w:sz w:val="24"/>
          <w:szCs w:val="24"/>
        </w:rPr>
      </w:pPr>
    </w:p>
    <w:p w14:paraId="71E36517" w14:textId="77777777" w:rsidR="00544379" w:rsidRPr="000D4010" w:rsidRDefault="00544379" w:rsidP="001A587F">
      <w:pPr>
        <w:pStyle w:val="Heading4"/>
      </w:pPr>
      <w:r w:rsidRPr="000D4010">
        <w:t>6.</w:t>
      </w:r>
      <w:r w:rsidR="00FD00D7" w:rsidRPr="000D4010">
        <w:t>2</w:t>
      </w:r>
      <w:r w:rsidRPr="000D4010">
        <w:t>.</w:t>
      </w:r>
      <w:r w:rsidR="00FD00D7" w:rsidRPr="000D4010">
        <w:t>9</w:t>
      </w:r>
      <w:r w:rsidRPr="000D4010">
        <w:t>.1 Cyber Risk Assessment</w:t>
      </w:r>
    </w:p>
    <w:p w14:paraId="3BAA12A0" w14:textId="77777777" w:rsidR="00544379" w:rsidRPr="000D4010" w:rsidRDefault="00544379" w:rsidP="00210046">
      <w:pPr>
        <w:ind w:left="720"/>
        <w:rPr>
          <w:sz w:val="24"/>
          <w:szCs w:val="24"/>
        </w:rPr>
      </w:pPr>
      <w:r w:rsidRPr="000D4010">
        <w:rPr>
          <w:sz w:val="24"/>
          <w:szCs w:val="24"/>
        </w:rPr>
        <w:t>Company shall assess cybersecurity risks and vulnerabilities to its Assets and Systems and the potential business consequences associated with such risks to determine the best approach to mitigate or address occurrences. It periodically shall:</w:t>
      </w:r>
    </w:p>
    <w:p w14:paraId="069953ED" w14:textId="77777777" w:rsidR="00544379" w:rsidRPr="000D4010" w:rsidRDefault="00544379" w:rsidP="00544379">
      <w:pPr>
        <w:ind w:left="720"/>
        <w:rPr>
          <w:sz w:val="24"/>
          <w:szCs w:val="24"/>
        </w:rPr>
      </w:pPr>
    </w:p>
    <w:p w14:paraId="43356FBB" w14:textId="77777777" w:rsidR="00544379" w:rsidRPr="000D4010" w:rsidRDefault="00544379" w:rsidP="003E7B18">
      <w:pPr>
        <w:numPr>
          <w:ilvl w:val="0"/>
          <w:numId w:val="249"/>
        </w:numPr>
        <w:tabs>
          <w:tab w:val="clear" w:pos="720"/>
          <w:tab w:val="left" w:pos="1440"/>
        </w:tabs>
        <w:ind w:left="1440"/>
        <w:rPr>
          <w:sz w:val="24"/>
          <w:szCs w:val="24"/>
        </w:rPr>
      </w:pPr>
      <w:r w:rsidRPr="000D4010">
        <w:rPr>
          <w:sz w:val="24"/>
          <w:szCs w:val="24"/>
        </w:rPr>
        <w:t>Consider the probability of cyber incidents occurring and the quantitative and qualitative magnitude of those risks, including the potential costs and other consequences resulting from misappropriation of Assets or sensitive information, corruption of data or operational disruption;</w:t>
      </w:r>
    </w:p>
    <w:p w14:paraId="740C4175" w14:textId="77777777" w:rsidR="00544379" w:rsidRPr="000D4010" w:rsidRDefault="00544379" w:rsidP="003E7B18">
      <w:pPr>
        <w:numPr>
          <w:ilvl w:val="0"/>
          <w:numId w:val="249"/>
        </w:numPr>
        <w:tabs>
          <w:tab w:val="clear" w:pos="720"/>
          <w:tab w:val="left" w:pos="1440"/>
        </w:tabs>
        <w:ind w:left="1440"/>
        <w:rPr>
          <w:sz w:val="24"/>
          <w:szCs w:val="24"/>
        </w:rPr>
      </w:pPr>
      <w:r w:rsidRPr="000D4010">
        <w:rPr>
          <w:sz w:val="24"/>
          <w:szCs w:val="24"/>
        </w:rPr>
        <w:t>Evaluate the adequacy of preventative actions taken to reduce cybersecurity risks in the context of its operations and risks to that security, including threatened attacks;</w:t>
      </w:r>
    </w:p>
    <w:p w14:paraId="15380E42" w14:textId="77777777" w:rsidR="00544379" w:rsidRPr="000D4010" w:rsidRDefault="00544379" w:rsidP="003E7B18">
      <w:pPr>
        <w:numPr>
          <w:ilvl w:val="0"/>
          <w:numId w:val="249"/>
        </w:numPr>
        <w:tabs>
          <w:tab w:val="clear" w:pos="720"/>
          <w:tab w:val="left" w:pos="1440"/>
        </w:tabs>
        <w:ind w:left="1440"/>
        <w:rPr>
          <w:sz w:val="24"/>
          <w:szCs w:val="24"/>
        </w:rPr>
      </w:pPr>
      <w:r w:rsidRPr="000D4010">
        <w:rPr>
          <w:sz w:val="24"/>
          <w:szCs w:val="24"/>
        </w:rPr>
        <w:t>Analyze the operational environment in order to discern the likelihood of a cybersecurity event and the impact that the event could have on the Assets and Systems;</w:t>
      </w:r>
    </w:p>
    <w:p w14:paraId="2287AB0F" w14:textId="77777777" w:rsidR="00544379" w:rsidRPr="000D4010" w:rsidRDefault="00544379" w:rsidP="003E7B18">
      <w:pPr>
        <w:numPr>
          <w:ilvl w:val="0"/>
          <w:numId w:val="249"/>
        </w:numPr>
        <w:tabs>
          <w:tab w:val="clear" w:pos="720"/>
          <w:tab w:val="left" w:pos="1440"/>
        </w:tabs>
        <w:ind w:left="1440"/>
        <w:rPr>
          <w:sz w:val="24"/>
          <w:szCs w:val="24"/>
        </w:rPr>
      </w:pPr>
      <w:r w:rsidRPr="000D4010">
        <w:rPr>
          <w:sz w:val="24"/>
          <w:szCs w:val="24"/>
        </w:rPr>
        <w:t>When performing risk analysis, incorporate emerging risks and threats to facilitate a robust understanding of the likelihood and impact of cybersecurity events;</w:t>
      </w:r>
    </w:p>
    <w:p w14:paraId="49BA10F3" w14:textId="77777777" w:rsidR="00544379" w:rsidRPr="000D4010" w:rsidRDefault="00544379" w:rsidP="003E7B18">
      <w:pPr>
        <w:numPr>
          <w:ilvl w:val="0"/>
          <w:numId w:val="249"/>
        </w:numPr>
        <w:tabs>
          <w:tab w:val="clear" w:pos="720"/>
          <w:tab w:val="left" w:pos="1440"/>
        </w:tabs>
        <w:ind w:left="1440"/>
        <w:rPr>
          <w:sz w:val="24"/>
          <w:szCs w:val="24"/>
        </w:rPr>
      </w:pPr>
      <w:r w:rsidRPr="000D4010">
        <w:rPr>
          <w:sz w:val="24"/>
          <w:szCs w:val="24"/>
        </w:rPr>
        <w:t>Identify and establish priorities, constraints, risk tolerances and assumptions used to support operational risk decisions; and</w:t>
      </w:r>
    </w:p>
    <w:p w14:paraId="02292474" w14:textId="77777777" w:rsidR="00544379" w:rsidRPr="000D4010" w:rsidRDefault="00544379" w:rsidP="003E7B18">
      <w:pPr>
        <w:numPr>
          <w:ilvl w:val="0"/>
          <w:numId w:val="249"/>
        </w:numPr>
        <w:tabs>
          <w:tab w:val="clear" w:pos="720"/>
          <w:tab w:val="left" w:pos="1440"/>
        </w:tabs>
        <w:ind w:left="1440"/>
        <w:rPr>
          <w:sz w:val="24"/>
          <w:szCs w:val="24"/>
        </w:rPr>
      </w:pPr>
      <w:r w:rsidRPr="000D4010">
        <w:rPr>
          <w:sz w:val="24"/>
          <w:szCs w:val="24"/>
        </w:rPr>
        <w:t>Record who conducts the assessments, the date of the assessments, the findings from the assessments and the remediation, if any, performed because of the results of such assessments.</w:t>
      </w:r>
    </w:p>
    <w:p w14:paraId="7F683860" w14:textId="77777777" w:rsidR="00544379" w:rsidRPr="000D4010" w:rsidRDefault="00544379" w:rsidP="00790DE3">
      <w:pPr>
        <w:tabs>
          <w:tab w:val="num" w:pos="270"/>
        </w:tabs>
        <w:ind w:left="270"/>
        <w:rPr>
          <w:sz w:val="24"/>
          <w:szCs w:val="24"/>
        </w:rPr>
      </w:pPr>
    </w:p>
    <w:p w14:paraId="5C47AA98" w14:textId="77777777" w:rsidR="00CF156E" w:rsidRPr="000D4010" w:rsidRDefault="00C87740" w:rsidP="001A587F">
      <w:pPr>
        <w:pStyle w:val="Heading4"/>
        <w:numPr>
          <w:ilvl w:val="3"/>
          <w:numId w:val="257"/>
        </w:numPr>
      </w:pPr>
      <w:r w:rsidRPr="000D4010">
        <w:t>Inventory</w:t>
      </w:r>
      <w:r w:rsidR="00544379" w:rsidRPr="000D4010">
        <w:t xml:space="preserve"> Assessment</w:t>
      </w:r>
    </w:p>
    <w:p w14:paraId="44687364" w14:textId="5F44B86E" w:rsidR="00CF156E" w:rsidRPr="000D4010" w:rsidRDefault="00CF156E" w:rsidP="00210046">
      <w:pPr>
        <w:pStyle w:val="Normal2"/>
        <w:spacing w:before="0" w:beforeAutospacing="0" w:after="0" w:afterAutospacing="0"/>
        <w:ind w:left="720"/>
      </w:pPr>
      <w:r w:rsidRPr="000D4010">
        <w:t xml:space="preserve">Company will periodically </w:t>
      </w:r>
      <w:r w:rsidR="00AD5440" w:rsidRPr="000D4010">
        <w:t>identify and</w:t>
      </w:r>
      <w:r w:rsidRPr="000D4010">
        <w:t xml:space="preserve"> take inventory and catalog the assets and systems that enable it to achieve business purposes ("Assets and Systems")</w:t>
      </w:r>
      <w:r w:rsidR="005B34C4">
        <w:t xml:space="preserve"> </w:t>
      </w:r>
      <w:r w:rsidR="005B34C4" w:rsidRPr="00CC601C">
        <w:t>and maintain a more detailed inventory (not contained in this document).  Below is an Inventory Summary</w:t>
      </w:r>
      <w:r w:rsidRPr="00CC601C">
        <w:t xml:space="preserve">, whether physical or virtual that may be vulnerable to cybersecurity threats, </w:t>
      </w:r>
      <w:r w:rsidRPr="000D4010">
        <w:t>including:</w:t>
      </w:r>
    </w:p>
    <w:p w14:paraId="761FABED" w14:textId="77777777" w:rsidR="00CF156E" w:rsidRPr="000D4010" w:rsidRDefault="00CF156E" w:rsidP="003E7B18">
      <w:pPr>
        <w:numPr>
          <w:ilvl w:val="0"/>
          <w:numId w:val="248"/>
        </w:numPr>
        <w:tabs>
          <w:tab w:val="clear" w:pos="720"/>
          <w:tab w:val="num" w:pos="1260"/>
        </w:tabs>
        <w:ind w:left="1260"/>
        <w:rPr>
          <w:sz w:val="24"/>
          <w:szCs w:val="24"/>
        </w:rPr>
      </w:pPr>
      <w:r w:rsidRPr="000D4010">
        <w:rPr>
          <w:sz w:val="24"/>
          <w:szCs w:val="24"/>
        </w:rPr>
        <w:t>Types of data and other information transmitted and stored in its Assets and Systems;</w:t>
      </w:r>
    </w:p>
    <w:p w14:paraId="381392D1" w14:textId="77777777" w:rsidR="00CF156E" w:rsidRPr="000D4010" w:rsidRDefault="00CF156E" w:rsidP="003E7B18">
      <w:pPr>
        <w:numPr>
          <w:ilvl w:val="0"/>
          <w:numId w:val="248"/>
        </w:numPr>
        <w:tabs>
          <w:tab w:val="clear" w:pos="720"/>
          <w:tab w:val="num" w:pos="1260"/>
        </w:tabs>
        <w:ind w:left="1260"/>
        <w:rPr>
          <w:sz w:val="24"/>
          <w:szCs w:val="24"/>
        </w:rPr>
      </w:pPr>
      <w:r w:rsidRPr="000D4010">
        <w:rPr>
          <w:sz w:val="24"/>
          <w:szCs w:val="24"/>
        </w:rPr>
        <w:t>Connections to Company's network from external sources and Personnel who use and have high-level access to Assets and Systems;</w:t>
      </w:r>
    </w:p>
    <w:p w14:paraId="61F42F2B" w14:textId="77777777" w:rsidR="00CF156E" w:rsidRPr="000D4010" w:rsidRDefault="00CF156E" w:rsidP="003E7B18">
      <w:pPr>
        <w:numPr>
          <w:ilvl w:val="0"/>
          <w:numId w:val="248"/>
        </w:numPr>
        <w:tabs>
          <w:tab w:val="clear" w:pos="720"/>
          <w:tab w:val="num" w:pos="1260"/>
        </w:tabs>
        <w:ind w:left="1260"/>
        <w:rPr>
          <w:sz w:val="24"/>
          <w:szCs w:val="24"/>
        </w:rPr>
      </w:pPr>
      <w:r w:rsidRPr="000D4010">
        <w:rPr>
          <w:sz w:val="24"/>
          <w:szCs w:val="24"/>
        </w:rPr>
        <w:t>Devices, software platforms, facilities, communication mediums and applications that make up the Assets and Systems; and</w:t>
      </w:r>
    </w:p>
    <w:p w14:paraId="6FC27D41" w14:textId="77777777" w:rsidR="001F72CB" w:rsidRPr="00DF4662" w:rsidRDefault="00CF156E" w:rsidP="003E7B18">
      <w:pPr>
        <w:numPr>
          <w:ilvl w:val="0"/>
          <w:numId w:val="248"/>
        </w:numPr>
        <w:tabs>
          <w:tab w:val="clear" w:pos="720"/>
          <w:tab w:val="num" w:pos="1260"/>
        </w:tabs>
        <w:ind w:left="1260"/>
        <w:rPr>
          <w:b/>
          <w:sz w:val="24"/>
          <w:szCs w:val="24"/>
        </w:rPr>
      </w:pPr>
      <w:r w:rsidRPr="00DF4662">
        <w:rPr>
          <w:sz w:val="24"/>
          <w:szCs w:val="24"/>
        </w:rPr>
        <w:lastRenderedPageBreak/>
        <w:t>Assets and systems of key service providers.</w:t>
      </w:r>
    </w:p>
    <w:p w14:paraId="134C1164" w14:textId="77777777" w:rsidR="001F72CB" w:rsidRDefault="001F72CB" w:rsidP="00CF156E">
      <w:pPr>
        <w:rPr>
          <w:b/>
          <w:sz w:val="24"/>
          <w:szCs w:val="24"/>
        </w:rPr>
      </w:pPr>
    </w:p>
    <w:p w14:paraId="6843D6A8" w14:textId="002BD553" w:rsidR="00C87740" w:rsidRPr="009A29D0" w:rsidRDefault="00CF156E" w:rsidP="00CF156E">
      <w:pPr>
        <w:rPr>
          <w:iCs/>
        </w:rPr>
      </w:pPr>
      <w:r w:rsidRPr="000D4010">
        <w:rPr>
          <w:b/>
          <w:sz w:val="24"/>
          <w:szCs w:val="24"/>
        </w:rPr>
        <w:t xml:space="preserve">Assets &amp; Systems Inventory </w:t>
      </w:r>
      <w:r w:rsidR="00892183" w:rsidRPr="000D4010">
        <w:rPr>
          <w:i/>
        </w:rPr>
        <w:t>(prioritized according to sensitivity and value)</w:t>
      </w:r>
      <w:r w:rsidR="009A29D0">
        <w:rPr>
          <w:i/>
        </w:rPr>
        <w:t xml:space="preserve"> </w:t>
      </w:r>
    </w:p>
    <w:tbl>
      <w:tblPr>
        <w:tblW w:w="105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2670"/>
        <w:gridCol w:w="2656"/>
        <w:gridCol w:w="2985"/>
      </w:tblGrid>
      <w:tr w:rsidR="00C87740" w:rsidRPr="000D4010" w14:paraId="3E451595" w14:textId="77777777" w:rsidTr="00216F83">
        <w:tc>
          <w:tcPr>
            <w:tcW w:w="10530" w:type="dxa"/>
            <w:gridSpan w:val="4"/>
            <w:shd w:val="clear" w:color="auto" w:fill="8DB3E2"/>
          </w:tcPr>
          <w:p w14:paraId="0D8EE71E" w14:textId="77777777" w:rsidR="00C87740" w:rsidRPr="000D4010" w:rsidRDefault="0082249D" w:rsidP="00216F83">
            <w:pPr>
              <w:tabs>
                <w:tab w:val="num" w:pos="270"/>
              </w:tabs>
              <w:jc w:val="center"/>
              <w:rPr>
                <w:b/>
                <w:sz w:val="24"/>
              </w:rPr>
            </w:pPr>
            <w:r>
              <w:rPr>
                <w:b/>
                <w:sz w:val="24"/>
              </w:rPr>
              <w:t>Hardware/</w:t>
            </w:r>
            <w:r w:rsidR="00C87740" w:rsidRPr="000D4010">
              <w:rPr>
                <w:b/>
                <w:sz w:val="24"/>
              </w:rPr>
              <w:t>Physical Devices</w:t>
            </w:r>
          </w:p>
        </w:tc>
      </w:tr>
      <w:tr w:rsidR="00216F83" w:rsidRPr="000D4010" w14:paraId="20E5E281" w14:textId="77777777" w:rsidTr="00216F83">
        <w:tc>
          <w:tcPr>
            <w:tcW w:w="2219" w:type="dxa"/>
            <w:shd w:val="clear" w:color="auto" w:fill="C6D9F1"/>
          </w:tcPr>
          <w:p w14:paraId="7B59CAFE" w14:textId="77777777" w:rsidR="00C87740" w:rsidRPr="000D4010" w:rsidRDefault="00C87740" w:rsidP="00216F83">
            <w:pPr>
              <w:tabs>
                <w:tab w:val="num" w:pos="270"/>
              </w:tabs>
              <w:jc w:val="both"/>
              <w:rPr>
                <w:b/>
                <w:sz w:val="24"/>
              </w:rPr>
            </w:pPr>
            <w:r w:rsidRPr="000D4010">
              <w:rPr>
                <w:b/>
                <w:sz w:val="24"/>
              </w:rPr>
              <w:t>Device</w:t>
            </w:r>
          </w:p>
        </w:tc>
        <w:tc>
          <w:tcPr>
            <w:tcW w:w="2670" w:type="dxa"/>
            <w:shd w:val="clear" w:color="auto" w:fill="C6D9F1"/>
          </w:tcPr>
          <w:p w14:paraId="3ECD789F" w14:textId="77777777" w:rsidR="00C87740" w:rsidRPr="000D4010" w:rsidRDefault="00C87740" w:rsidP="00216F83">
            <w:pPr>
              <w:tabs>
                <w:tab w:val="num" w:pos="270"/>
              </w:tabs>
              <w:jc w:val="both"/>
              <w:rPr>
                <w:b/>
                <w:sz w:val="24"/>
              </w:rPr>
            </w:pPr>
            <w:r w:rsidRPr="000D4010">
              <w:rPr>
                <w:b/>
                <w:sz w:val="24"/>
              </w:rPr>
              <w:t>Description</w:t>
            </w:r>
          </w:p>
        </w:tc>
        <w:tc>
          <w:tcPr>
            <w:tcW w:w="2656" w:type="dxa"/>
            <w:shd w:val="clear" w:color="auto" w:fill="C6D9F1"/>
          </w:tcPr>
          <w:p w14:paraId="6B993976" w14:textId="77777777" w:rsidR="00C87740" w:rsidRPr="000D4010" w:rsidRDefault="00C87740" w:rsidP="00216F83">
            <w:pPr>
              <w:tabs>
                <w:tab w:val="num" w:pos="270"/>
              </w:tabs>
              <w:jc w:val="both"/>
              <w:rPr>
                <w:b/>
                <w:sz w:val="24"/>
              </w:rPr>
            </w:pPr>
            <w:r w:rsidRPr="000D4010">
              <w:rPr>
                <w:b/>
                <w:sz w:val="24"/>
              </w:rPr>
              <w:t>Risks</w:t>
            </w:r>
          </w:p>
        </w:tc>
        <w:tc>
          <w:tcPr>
            <w:tcW w:w="2985" w:type="dxa"/>
            <w:shd w:val="clear" w:color="auto" w:fill="C6D9F1"/>
          </w:tcPr>
          <w:p w14:paraId="703E4B91" w14:textId="77777777" w:rsidR="00C87740" w:rsidRPr="000D4010" w:rsidRDefault="00C87740" w:rsidP="00216F83">
            <w:pPr>
              <w:tabs>
                <w:tab w:val="num" w:pos="270"/>
              </w:tabs>
              <w:jc w:val="both"/>
              <w:rPr>
                <w:b/>
                <w:sz w:val="24"/>
              </w:rPr>
            </w:pPr>
            <w:r w:rsidRPr="000D4010">
              <w:rPr>
                <w:b/>
                <w:sz w:val="24"/>
              </w:rPr>
              <w:t>Mitigation</w:t>
            </w:r>
          </w:p>
        </w:tc>
      </w:tr>
      <w:tr w:rsidR="00C87740" w:rsidRPr="000D4010" w14:paraId="5B9072A5" w14:textId="77777777" w:rsidTr="00216F83">
        <w:tc>
          <w:tcPr>
            <w:tcW w:w="2219" w:type="dxa"/>
            <w:shd w:val="clear" w:color="auto" w:fill="auto"/>
          </w:tcPr>
          <w:p w14:paraId="2E2F26D6" w14:textId="77777777" w:rsidR="009D2DF9" w:rsidRPr="00AD760F" w:rsidRDefault="009D2DF9" w:rsidP="00216F83">
            <w:pPr>
              <w:tabs>
                <w:tab w:val="num" w:pos="270"/>
              </w:tabs>
              <w:rPr>
                <w:sz w:val="24"/>
              </w:rPr>
            </w:pPr>
            <w:r w:rsidRPr="00AD760F">
              <w:rPr>
                <w:sz w:val="24"/>
              </w:rPr>
              <w:t>Mobile Devices:</w:t>
            </w:r>
          </w:p>
          <w:p w14:paraId="61F1AD84" w14:textId="77777777" w:rsidR="00C87740" w:rsidRPr="00AD760F" w:rsidRDefault="009D2DF9" w:rsidP="00216F83">
            <w:pPr>
              <w:tabs>
                <w:tab w:val="num" w:pos="270"/>
              </w:tabs>
              <w:rPr>
                <w:sz w:val="24"/>
              </w:rPr>
            </w:pPr>
            <w:r w:rsidRPr="00AD760F">
              <w:rPr>
                <w:sz w:val="24"/>
              </w:rPr>
              <w:t xml:space="preserve">1. </w:t>
            </w:r>
            <w:r w:rsidR="009D5757" w:rsidRPr="00AD760F">
              <w:rPr>
                <w:sz w:val="24"/>
                <w:u w:val="single"/>
              </w:rPr>
              <w:t>Laptops</w:t>
            </w:r>
            <w:r w:rsidR="0082249D" w:rsidRPr="00AD760F">
              <w:rPr>
                <w:sz w:val="24"/>
              </w:rPr>
              <w:t>:</w:t>
            </w:r>
          </w:p>
          <w:p w14:paraId="0F9A8FA0" w14:textId="0A3B0EC5" w:rsidR="005F4791" w:rsidRPr="00AD760F" w:rsidRDefault="00C52F2D" w:rsidP="00C52F2D">
            <w:pPr>
              <w:tabs>
                <w:tab w:val="num" w:pos="270"/>
              </w:tabs>
              <w:ind w:left="225"/>
              <w:rPr>
                <w:sz w:val="24"/>
              </w:rPr>
            </w:pPr>
            <w:r>
              <w:rPr>
                <w:sz w:val="24"/>
              </w:rPr>
              <w:t>Company or Avior issued</w:t>
            </w:r>
          </w:p>
          <w:p w14:paraId="3784AB77" w14:textId="77777777" w:rsidR="009D2DF9" w:rsidRPr="00AD760F" w:rsidRDefault="009D2DF9" w:rsidP="00216F83">
            <w:pPr>
              <w:tabs>
                <w:tab w:val="num" w:pos="270"/>
              </w:tabs>
              <w:rPr>
                <w:sz w:val="24"/>
                <w:u w:val="single"/>
              </w:rPr>
            </w:pPr>
          </w:p>
          <w:p w14:paraId="77B2D2DD" w14:textId="77777777" w:rsidR="009D2DF9" w:rsidRPr="00AD760F" w:rsidRDefault="009D2DF9" w:rsidP="00216F83">
            <w:pPr>
              <w:tabs>
                <w:tab w:val="num" w:pos="270"/>
              </w:tabs>
              <w:rPr>
                <w:sz w:val="24"/>
                <w:u w:val="single"/>
              </w:rPr>
            </w:pPr>
          </w:p>
          <w:p w14:paraId="225051F0" w14:textId="77777777" w:rsidR="0082249D" w:rsidRPr="00AD760F" w:rsidRDefault="007B2005" w:rsidP="00216F83">
            <w:pPr>
              <w:tabs>
                <w:tab w:val="num" w:pos="270"/>
              </w:tabs>
              <w:rPr>
                <w:i/>
              </w:rPr>
            </w:pPr>
            <w:r w:rsidRPr="00AD760F">
              <w:rPr>
                <w:sz w:val="24"/>
              </w:rPr>
              <w:t xml:space="preserve">2. </w:t>
            </w:r>
            <w:r w:rsidR="0082249D" w:rsidRPr="00AD760F">
              <w:rPr>
                <w:sz w:val="24"/>
                <w:u w:val="single"/>
              </w:rPr>
              <w:t>Cell Phones</w:t>
            </w:r>
            <w:r w:rsidR="0082249D" w:rsidRPr="00AD760F">
              <w:rPr>
                <w:sz w:val="24"/>
              </w:rPr>
              <w:t xml:space="preserve"> </w:t>
            </w:r>
            <w:r w:rsidR="0082249D" w:rsidRPr="00AD760F">
              <w:rPr>
                <w:i/>
              </w:rPr>
              <w:t>(used to access co email)</w:t>
            </w:r>
          </w:p>
          <w:p w14:paraId="7E641C28" w14:textId="77777777" w:rsidR="007B2005" w:rsidRPr="00AD760F" w:rsidRDefault="007B2005" w:rsidP="00216F83">
            <w:pPr>
              <w:tabs>
                <w:tab w:val="num" w:pos="270"/>
              </w:tabs>
            </w:pPr>
          </w:p>
          <w:p w14:paraId="61991EAB" w14:textId="77777777" w:rsidR="0082249D" w:rsidRPr="00AD760F" w:rsidRDefault="007B2005" w:rsidP="007B2005">
            <w:pPr>
              <w:tabs>
                <w:tab w:val="num" w:pos="270"/>
              </w:tabs>
              <w:rPr>
                <w:sz w:val="24"/>
              </w:rPr>
            </w:pPr>
            <w:r w:rsidRPr="00AD760F">
              <w:rPr>
                <w:sz w:val="24"/>
              </w:rPr>
              <w:t>3. iPad</w:t>
            </w:r>
          </w:p>
        </w:tc>
        <w:tc>
          <w:tcPr>
            <w:tcW w:w="2670" w:type="dxa"/>
            <w:shd w:val="clear" w:color="auto" w:fill="auto"/>
          </w:tcPr>
          <w:p w14:paraId="4A3A74F1" w14:textId="77777777" w:rsidR="009D2DF9" w:rsidRPr="00AD760F" w:rsidRDefault="009D2DF9" w:rsidP="0082249D">
            <w:pPr>
              <w:tabs>
                <w:tab w:val="num" w:pos="270"/>
              </w:tabs>
              <w:rPr>
                <w:sz w:val="24"/>
              </w:rPr>
            </w:pPr>
          </w:p>
          <w:p w14:paraId="3FA50DD4" w14:textId="23F711FF" w:rsidR="0082249D" w:rsidRPr="00AD760F" w:rsidRDefault="005F4791" w:rsidP="0082249D">
            <w:pPr>
              <w:tabs>
                <w:tab w:val="num" w:pos="270"/>
              </w:tabs>
              <w:rPr>
                <w:sz w:val="24"/>
              </w:rPr>
            </w:pPr>
            <w:r w:rsidRPr="00AD760F">
              <w:rPr>
                <w:sz w:val="24"/>
              </w:rPr>
              <w:t>Dell</w:t>
            </w:r>
            <w:r w:rsidR="00C52F2D">
              <w:rPr>
                <w:sz w:val="24"/>
              </w:rPr>
              <w:t xml:space="preserve"> </w:t>
            </w:r>
            <w:r w:rsidR="00C52F2D" w:rsidRPr="00C52F2D">
              <w:rPr>
                <w:color w:val="FF0000"/>
                <w:sz w:val="24"/>
              </w:rPr>
              <w:t>business product</w:t>
            </w:r>
          </w:p>
          <w:p w14:paraId="1F83042F" w14:textId="16B25F01" w:rsidR="005936DE" w:rsidRDefault="005936DE" w:rsidP="0082249D">
            <w:pPr>
              <w:tabs>
                <w:tab w:val="num" w:pos="270"/>
              </w:tabs>
              <w:rPr>
                <w:sz w:val="24"/>
              </w:rPr>
            </w:pPr>
          </w:p>
          <w:p w14:paraId="53F36F1F" w14:textId="3CFAD639" w:rsidR="00C52F2D" w:rsidRDefault="00C52F2D" w:rsidP="0082249D">
            <w:pPr>
              <w:tabs>
                <w:tab w:val="num" w:pos="270"/>
              </w:tabs>
              <w:rPr>
                <w:sz w:val="24"/>
              </w:rPr>
            </w:pPr>
          </w:p>
          <w:p w14:paraId="7DF91A00" w14:textId="77777777" w:rsidR="00C52F2D" w:rsidRPr="00AD760F" w:rsidRDefault="00C52F2D" w:rsidP="0082249D">
            <w:pPr>
              <w:tabs>
                <w:tab w:val="num" w:pos="270"/>
              </w:tabs>
              <w:rPr>
                <w:sz w:val="24"/>
              </w:rPr>
            </w:pPr>
          </w:p>
          <w:p w14:paraId="00442FDB" w14:textId="77777777" w:rsidR="009D2DF9" w:rsidRPr="00AD760F" w:rsidRDefault="009D2DF9" w:rsidP="0082249D">
            <w:pPr>
              <w:tabs>
                <w:tab w:val="num" w:pos="270"/>
              </w:tabs>
              <w:rPr>
                <w:sz w:val="24"/>
              </w:rPr>
            </w:pPr>
          </w:p>
          <w:p w14:paraId="52ECA18D" w14:textId="77777777" w:rsidR="009D2DF9" w:rsidRPr="00AD760F" w:rsidRDefault="009D2DF9" w:rsidP="0082249D">
            <w:pPr>
              <w:tabs>
                <w:tab w:val="num" w:pos="270"/>
              </w:tabs>
              <w:rPr>
                <w:sz w:val="24"/>
              </w:rPr>
            </w:pPr>
            <w:r w:rsidRPr="00AD760F">
              <w:rPr>
                <w:sz w:val="24"/>
              </w:rPr>
              <w:t>All personal phones with added email acct</w:t>
            </w:r>
          </w:p>
          <w:p w14:paraId="5AFE7284" w14:textId="77777777" w:rsidR="007B2005" w:rsidRPr="00AD760F" w:rsidRDefault="007B2005" w:rsidP="0082249D">
            <w:pPr>
              <w:tabs>
                <w:tab w:val="num" w:pos="270"/>
              </w:tabs>
              <w:rPr>
                <w:sz w:val="16"/>
                <w:szCs w:val="16"/>
              </w:rPr>
            </w:pPr>
          </w:p>
          <w:p w14:paraId="6E7C2770" w14:textId="305FCE29" w:rsidR="007B2005" w:rsidRPr="00AD760F" w:rsidRDefault="007B2005" w:rsidP="0082249D">
            <w:pPr>
              <w:tabs>
                <w:tab w:val="num" w:pos="270"/>
              </w:tabs>
              <w:rPr>
                <w:sz w:val="24"/>
              </w:rPr>
            </w:pPr>
            <w:r w:rsidRPr="00AD760F">
              <w:rPr>
                <w:sz w:val="24"/>
              </w:rPr>
              <w:t>MLM</w:t>
            </w:r>
          </w:p>
          <w:p w14:paraId="2C01ECB3" w14:textId="77777777" w:rsidR="009D2DF9" w:rsidRPr="00AD760F" w:rsidRDefault="009D2DF9" w:rsidP="0082249D">
            <w:pPr>
              <w:tabs>
                <w:tab w:val="num" w:pos="270"/>
              </w:tabs>
              <w:rPr>
                <w:sz w:val="24"/>
              </w:rPr>
            </w:pPr>
          </w:p>
        </w:tc>
        <w:tc>
          <w:tcPr>
            <w:tcW w:w="2656" w:type="dxa"/>
            <w:shd w:val="clear" w:color="auto" w:fill="auto"/>
          </w:tcPr>
          <w:p w14:paraId="60E24FFD" w14:textId="77777777" w:rsidR="00C87740" w:rsidRPr="000D4010" w:rsidRDefault="00CF156E" w:rsidP="000D010E">
            <w:pPr>
              <w:tabs>
                <w:tab w:val="num" w:pos="270"/>
              </w:tabs>
              <w:rPr>
                <w:sz w:val="24"/>
              </w:rPr>
            </w:pPr>
            <w:r w:rsidRPr="000D4010">
              <w:rPr>
                <w:sz w:val="24"/>
              </w:rPr>
              <w:t>Stolen</w:t>
            </w:r>
            <w:r w:rsidR="009D2DF9">
              <w:rPr>
                <w:sz w:val="24"/>
              </w:rPr>
              <w:t xml:space="preserve">, </w:t>
            </w:r>
            <w:r w:rsidR="000D010E" w:rsidRPr="00AD760F">
              <w:rPr>
                <w:sz w:val="24"/>
              </w:rPr>
              <w:t>unauthorized access</w:t>
            </w:r>
          </w:p>
        </w:tc>
        <w:tc>
          <w:tcPr>
            <w:tcW w:w="2985" w:type="dxa"/>
            <w:shd w:val="clear" w:color="auto" w:fill="auto"/>
          </w:tcPr>
          <w:p w14:paraId="65238941" w14:textId="77777777" w:rsidR="007B2005" w:rsidRDefault="0080452A" w:rsidP="00C1728B">
            <w:pPr>
              <w:pStyle w:val="ListParagraph"/>
              <w:numPr>
                <w:ilvl w:val="2"/>
                <w:numId w:val="94"/>
              </w:numPr>
              <w:tabs>
                <w:tab w:val="num" w:pos="270"/>
              </w:tabs>
              <w:ind w:left="244" w:hanging="242"/>
              <w:rPr>
                <w:sz w:val="24"/>
              </w:rPr>
            </w:pPr>
            <w:r w:rsidRPr="009D2DF9">
              <w:rPr>
                <w:sz w:val="24"/>
              </w:rPr>
              <w:t xml:space="preserve">Firewalls, </w:t>
            </w:r>
            <w:r w:rsidR="00865E31" w:rsidRPr="009D2DF9">
              <w:rPr>
                <w:sz w:val="24"/>
              </w:rPr>
              <w:t xml:space="preserve">spam prevention, </w:t>
            </w:r>
          </w:p>
          <w:p w14:paraId="1F55757B" w14:textId="77777777" w:rsidR="00C87740" w:rsidRPr="00AD760F" w:rsidRDefault="007B2005" w:rsidP="00C1728B">
            <w:pPr>
              <w:pStyle w:val="ListParagraph"/>
              <w:numPr>
                <w:ilvl w:val="2"/>
                <w:numId w:val="94"/>
              </w:numPr>
              <w:tabs>
                <w:tab w:val="num" w:pos="270"/>
              </w:tabs>
              <w:ind w:left="244" w:hanging="242"/>
              <w:rPr>
                <w:sz w:val="24"/>
              </w:rPr>
            </w:pPr>
            <w:r>
              <w:rPr>
                <w:sz w:val="24"/>
              </w:rPr>
              <w:t>N</w:t>
            </w:r>
            <w:r w:rsidR="00CF156E" w:rsidRPr="009D2DF9">
              <w:rPr>
                <w:sz w:val="24"/>
              </w:rPr>
              <w:t>o Company data is stored on laptops.</w:t>
            </w:r>
          </w:p>
          <w:p w14:paraId="2C88B49E" w14:textId="162A8A4D" w:rsidR="007B2005" w:rsidRPr="00AD760F" w:rsidRDefault="007B2005" w:rsidP="00C1728B">
            <w:pPr>
              <w:pStyle w:val="ListParagraph"/>
              <w:numPr>
                <w:ilvl w:val="2"/>
                <w:numId w:val="94"/>
              </w:numPr>
              <w:tabs>
                <w:tab w:val="num" w:pos="270"/>
              </w:tabs>
              <w:ind w:left="244" w:hanging="242"/>
              <w:rPr>
                <w:sz w:val="24"/>
              </w:rPr>
            </w:pPr>
            <w:r w:rsidRPr="00AD760F">
              <w:rPr>
                <w:sz w:val="24"/>
              </w:rPr>
              <w:t>St</w:t>
            </w:r>
            <w:r w:rsidR="00320166">
              <w:rPr>
                <w:sz w:val="24"/>
              </w:rPr>
              <w:t>r</w:t>
            </w:r>
            <w:r w:rsidRPr="00AD760F">
              <w:rPr>
                <w:sz w:val="24"/>
              </w:rPr>
              <w:t xml:space="preserve">ong password protected, </w:t>
            </w:r>
          </w:p>
          <w:p w14:paraId="1385EF70" w14:textId="77777777" w:rsidR="009D2DF9" w:rsidRDefault="009D2DF9" w:rsidP="00216F83">
            <w:pPr>
              <w:tabs>
                <w:tab w:val="num" w:pos="270"/>
              </w:tabs>
              <w:rPr>
                <w:sz w:val="24"/>
              </w:rPr>
            </w:pPr>
          </w:p>
          <w:p w14:paraId="143F4D98" w14:textId="77777777" w:rsidR="009D2DF9" w:rsidRPr="000D4010" w:rsidRDefault="009D2DF9" w:rsidP="007B2005">
            <w:pPr>
              <w:tabs>
                <w:tab w:val="num" w:pos="270"/>
              </w:tabs>
              <w:rPr>
                <w:sz w:val="24"/>
              </w:rPr>
            </w:pPr>
            <w:r w:rsidRPr="00AD760F">
              <w:rPr>
                <w:sz w:val="24"/>
              </w:rPr>
              <w:t xml:space="preserve">Passcodes on </w:t>
            </w:r>
            <w:r w:rsidR="007B2005" w:rsidRPr="00AD760F">
              <w:rPr>
                <w:sz w:val="24"/>
              </w:rPr>
              <w:t>mobile devices, passwords on email acct.</w:t>
            </w:r>
          </w:p>
        </w:tc>
      </w:tr>
      <w:tr w:rsidR="00C87740" w:rsidRPr="000D4010" w14:paraId="191A2B4E" w14:textId="77777777" w:rsidTr="00216F83">
        <w:tc>
          <w:tcPr>
            <w:tcW w:w="2219" w:type="dxa"/>
            <w:shd w:val="clear" w:color="auto" w:fill="auto"/>
          </w:tcPr>
          <w:p w14:paraId="4F8B0725" w14:textId="77777777" w:rsidR="0082249D" w:rsidRPr="00AD760F" w:rsidRDefault="00CF156E" w:rsidP="0082249D">
            <w:pPr>
              <w:tabs>
                <w:tab w:val="num" w:pos="270"/>
              </w:tabs>
              <w:rPr>
                <w:i/>
              </w:rPr>
            </w:pPr>
            <w:r w:rsidRPr="000D4010">
              <w:rPr>
                <w:sz w:val="24"/>
              </w:rPr>
              <w:t>PCs</w:t>
            </w:r>
            <w:r w:rsidR="0082249D">
              <w:rPr>
                <w:sz w:val="24"/>
              </w:rPr>
              <w:t xml:space="preserve"> - </w:t>
            </w:r>
            <w:r w:rsidR="0082249D" w:rsidRPr="00AD760F">
              <w:rPr>
                <w:i/>
              </w:rPr>
              <w:t>Personal computers office workstations</w:t>
            </w:r>
          </w:p>
          <w:p w14:paraId="239E032A" w14:textId="77777777" w:rsidR="00267404" w:rsidRDefault="00267404" w:rsidP="00216F83">
            <w:pPr>
              <w:tabs>
                <w:tab w:val="num" w:pos="270"/>
              </w:tabs>
              <w:rPr>
                <w:sz w:val="24"/>
              </w:rPr>
            </w:pPr>
          </w:p>
          <w:p w14:paraId="7FEC2B3C" w14:textId="43BC0990" w:rsidR="00C87740" w:rsidRPr="000D4010" w:rsidRDefault="00C87740" w:rsidP="00216F83">
            <w:pPr>
              <w:tabs>
                <w:tab w:val="num" w:pos="270"/>
              </w:tabs>
              <w:rPr>
                <w:sz w:val="24"/>
              </w:rPr>
            </w:pPr>
          </w:p>
        </w:tc>
        <w:tc>
          <w:tcPr>
            <w:tcW w:w="2670" w:type="dxa"/>
            <w:shd w:val="clear" w:color="auto" w:fill="auto"/>
          </w:tcPr>
          <w:p w14:paraId="33495256" w14:textId="344B31A3" w:rsidR="0082249D" w:rsidRPr="000D4010" w:rsidRDefault="00C52F2D" w:rsidP="0082249D">
            <w:pPr>
              <w:tabs>
                <w:tab w:val="num" w:pos="270"/>
              </w:tabs>
              <w:rPr>
                <w:sz w:val="24"/>
              </w:rPr>
            </w:pPr>
            <w:r>
              <w:rPr>
                <w:sz w:val="24"/>
              </w:rPr>
              <w:t xml:space="preserve">Home office employees </w:t>
            </w:r>
            <w:r w:rsidRPr="00C52F2D">
              <w:rPr>
                <w:color w:val="FF0000"/>
                <w:sz w:val="24"/>
              </w:rPr>
              <w:t>(will be changing out to laptops when necessary)</w:t>
            </w:r>
          </w:p>
        </w:tc>
        <w:tc>
          <w:tcPr>
            <w:tcW w:w="2656" w:type="dxa"/>
            <w:shd w:val="clear" w:color="auto" w:fill="auto"/>
          </w:tcPr>
          <w:p w14:paraId="1EE88DFA" w14:textId="77777777" w:rsidR="00C87740" w:rsidRPr="000D4010" w:rsidRDefault="0080452A" w:rsidP="00216F83">
            <w:pPr>
              <w:tabs>
                <w:tab w:val="num" w:pos="270"/>
              </w:tabs>
              <w:rPr>
                <w:sz w:val="24"/>
              </w:rPr>
            </w:pPr>
            <w:r w:rsidRPr="000D4010">
              <w:rPr>
                <w:sz w:val="24"/>
              </w:rPr>
              <w:t>Stolen, unauthorized access</w:t>
            </w:r>
          </w:p>
        </w:tc>
        <w:tc>
          <w:tcPr>
            <w:tcW w:w="2985" w:type="dxa"/>
            <w:shd w:val="clear" w:color="auto" w:fill="auto"/>
          </w:tcPr>
          <w:p w14:paraId="5A9B7667" w14:textId="77777777" w:rsidR="00C87740" w:rsidRPr="000D4010" w:rsidRDefault="00643618" w:rsidP="00216F83">
            <w:pPr>
              <w:tabs>
                <w:tab w:val="num" w:pos="270"/>
              </w:tabs>
              <w:rPr>
                <w:sz w:val="24"/>
              </w:rPr>
            </w:pPr>
            <w:r w:rsidRPr="000D4010">
              <w:rPr>
                <w:sz w:val="24"/>
              </w:rPr>
              <w:t xml:space="preserve">Firewalls, spam prevention, </w:t>
            </w:r>
            <w:r w:rsidR="00865E31" w:rsidRPr="000D4010">
              <w:rPr>
                <w:sz w:val="24"/>
              </w:rPr>
              <w:t xml:space="preserve">manages passwords and access permissions, </w:t>
            </w:r>
            <w:r w:rsidRPr="000D4010">
              <w:rPr>
                <w:sz w:val="24"/>
              </w:rPr>
              <w:t xml:space="preserve">strong passwords </w:t>
            </w:r>
            <w:r w:rsidR="00865E31" w:rsidRPr="000D4010">
              <w:rPr>
                <w:sz w:val="24"/>
              </w:rPr>
              <w:t xml:space="preserve">utilized </w:t>
            </w:r>
            <w:r w:rsidRPr="000D4010">
              <w:rPr>
                <w:sz w:val="24"/>
              </w:rPr>
              <w:t>and changed regularly</w:t>
            </w:r>
          </w:p>
        </w:tc>
      </w:tr>
      <w:tr w:rsidR="00C87740" w:rsidRPr="000D4010" w14:paraId="10279E05" w14:textId="77777777" w:rsidTr="00216F83">
        <w:tc>
          <w:tcPr>
            <w:tcW w:w="2219" w:type="dxa"/>
            <w:shd w:val="clear" w:color="auto" w:fill="auto"/>
          </w:tcPr>
          <w:p w14:paraId="1BFC19AB" w14:textId="2B5D08E5" w:rsidR="00C87740" w:rsidRPr="00BE4A77" w:rsidRDefault="00CF156E" w:rsidP="00216F83">
            <w:pPr>
              <w:tabs>
                <w:tab w:val="num" w:pos="270"/>
              </w:tabs>
              <w:rPr>
                <w:sz w:val="24"/>
              </w:rPr>
            </w:pPr>
            <w:r w:rsidRPr="00BE4A77">
              <w:rPr>
                <w:sz w:val="24"/>
              </w:rPr>
              <w:t>Server</w:t>
            </w:r>
            <w:r w:rsidR="00C04FA1">
              <w:rPr>
                <w:sz w:val="24"/>
              </w:rPr>
              <w:t>s</w:t>
            </w:r>
            <w:r w:rsidR="0082249D" w:rsidRPr="00BE4A77">
              <w:rPr>
                <w:sz w:val="24"/>
              </w:rPr>
              <w:t xml:space="preserve"> </w:t>
            </w:r>
          </w:p>
          <w:p w14:paraId="2E88CB73" w14:textId="3BF2D2AD" w:rsidR="00C04FA1" w:rsidRDefault="00C04FA1" w:rsidP="00216F83">
            <w:pPr>
              <w:tabs>
                <w:tab w:val="num" w:pos="270"/>
              </w:tabs>
              <w:rPr>
                <w:sz w:val="24"/>
              </w:rPr>
            </w:pPr>
            <w:r>
              <w:rPr>
                <w:sz w:val="24"/>
              </w:rPr>
              <w:t>Cisco</w:t>
            </w:r>
            <w:r w:rsidR="0016248B">
              <w:rPr>
                <w:sz w:val="24"/>
              </w:rPr>
              <w:t>,</w:t>
            </w:r>
            <w:r>
              <w:rPr>
                <w:sz w:val="24"/>
              </w:rPr>
              <w:t xml:space="preserve"> Firewall</w:t>
            </w:r>
          </w:p>
          <w:p w14:paraId="67DA7AD6" w14:textId="77777777" w:rsidR="0082249D" w:rsidRDefault="0082249D" w:rsidP="00216F83">
            <w:pPr>
              <w:tabs>
                <w:tab w:val="num" w:pos="270"/>
              </w:tabs>
              <w:rPr>
                <w:sz w:val="24"/>
              </w:rPr>
            </w:pPr>
          </w:p>
          <w:p w14:paraId="43A75782" w14:textId="77777777" w:rsidR="0082249D" w:rsidRPr="000D4010" w:rsidRDefault="0082249D" w:rsidP="00216F83">
            <w:pPr>
              <w:tabs>
                <w:tab w:val="num" w:pos="270"/>
              </w:tabs>
              <w:rPr>
                <w:sz w:val="24"/>
              </w:rPr>
            </w:pPr>
          </w:p>
        </w:tc>
        <w:tc>
          <w:tcPr>
            <w:tcW w:w="2670" w:type="dxa"/>
            <w:shd w:val="clear" w:color="auto" w:fill="auto"/>
          </w:tcPr>
          <w:p w14:paraId="05D4E20F" w14:textId="77777777" w:rsidR="00C87740" w:rsidRPr="000D4010" w:rsidRDefault="00A448D8" w:rsidP="00216F83">
            <w:pPr>
              <w:tabs>
                <w:tab w:val="num" w:pos="270"/>
              </w:tabs>
              <w:rPr>
                <w:sz w:val="24"/>
              </w:rPr>
            </w:pPr>
            <w:r w:rsidRPr="000D4010">
              <w:rPr>
                <w:sz w:val="24"/>
              </w:rPr>
              <w:t>Network information</w:t>
            </w:r>
          </w:p>
        </w:tc>
        <w:tc>
          <w:tcPr>
            <w:tcW w:w="2656" w:type="dxa"/>
            <w:shd w:val="clear" w:color="auto" w:fill="auto"/>
          </w:tcPr>
          <w:p w14:paraId="52F10608" w14:textId="77777777" w:rsidR="00C87740" w:rsidRPr="000D4010" w:rsidRDefault="00A448D8" w:rsidP="00216F83">
            <w:pPr>
              <w:tabs>
                <w:tab w:val="num" w:pos="270"/>
              </w:tabs>
              <w:rPr>
                <w:sz w:val="24"/>
              </w:rPr>
            </w:pPr>
            <w:r w:rsidRPr="000D4010">
              <w:rPr>
                <w:sz w:val="24"/>
              </w:rPr>
              <w:t>Stolen, unauthorized access</w:t>
            </w:r>
          </w:p>
        </w:tc>
        <w:tc>
          <w:tcPr>
            <w:tcW w:w="2985" w:type="dxa"/>
            <w:shd w:val="clear" w:color="auto" w:fill="auto"/>
          </w:tcPr>
          <w:p w14:paraId="03813DAC" w14:textId="77777777" w:rsidR="00C87740" w:rsidRPr="000D4010" w:rsidRDefault="00E8333D" w:rsidP="0082249D">
            <w:pPr>
              <w:tabs>
                <w:tab w:val="num" w:pos="270"/>
              </w:tabs>
              <w:rPr>
                <w:sz w:val="24"/>
              </w:rPr>
            </w:pPr>
            <w:r w:rsidRPr="000D4010">
              <w:rPr>
                <w:sz w:val="24"/>
              </w:rPr>
              <w:t>Building</w:t>
            </w:r>
            <w:r w:rsidR="00D10893" w:rsidRPr="000D4010">
              <w:rPr>
                <w:sz w:val="24"/>
              </w:rPr>
              <w:t xml:space="preserve"> </w:t>
            </w:r>
            <w:r w:rsidR="0082249D">
              <w:rPr>
                <w:sz w:val="24"/>
              </w:rPr>
              <w:t xml:space="preserve">alarm </w:t>
            </w:r>
            <w:r w:rsidR="00D10893" w:rsidRPr="000D4010">
              <w:rPr>
                <w:sz w:val="24"/>
              </w:rPr>
              <w:t>s</w:t>
            </w:r>
            <w:r w:rsidR="0082249D">
              <w:rPr>
                <w:sz w:val="24"/>
              </w:rPr>
              <w:t>ystem</w:t>
            </w:r>
            <w:r w:rsidR="00D10893" w:rsidRPr="000D4010">
              <w:rPr>
                <w:sz w:val="24"/>
              </w:rPr>
              <w:t>, cameras, bolted to wall, f</w:t>
            </w:r>
            <w:r w:rsidR="003D5045" w:rsidRPr="000D4010">
              <w:rPr>
                <w:sz w:val="24"/>
              </w:rPr>
              <w:t xml:space="preserve">irewalls, </w:t>
            </w:r>
            <w:r w:rsidR="00B65B79" w:rsidRPr="000D4010">
              <w:rPr>
                <w:sz w:val="24"/>
                <w:szCs w:val="24"/>
              </w:rPr>
              <w:t xml:space="preserve">network intrusion detection system, </w:t>
            </w:r>
            <w:r w:rsidR="00320166" w:rsidRPr="000D4010">
              <w:rPr>
                <w:sz w:val="24"/>
                <w:szCs w:val="24"/>
              </w:rPr>
              <w:t>backs</w:t>
            </w:r>
            <w:r w:rsidR="00B65B79" w:rsidRPr="000D4010">
              <w:rPr>
                <w:sz w:val="24"/>
                <w:szCs w:val="24"/>
              </w:rPr>
              <w:t xml:space="preserve"> up all critical client and </w:t>
            </w:r>
            <w:r w:rsidR="005B6985" w:rsidRPr="000D4010">
              <w:rPr>
                <w:sz w:val="24"/>
                <w:szCs w:val="24"/>
              </w:rPr>
              <w:t>f</w:t>
            </w:r>
            <w:r w:rsidR="00B65B79" w:rsidRPr="000D4010">
              <w:rPr>
                <w:sz w:val="24"/>
                <w:szCs w:val="24"/>
              </w:rPr>
              <w:t>irm data every 15 minutes</w:t>
            </w:r>
            <w:r w:rsidR="008B2F66" w:rsidRPr="000D4010">
              <w:rPr>
                <w:sz w:val="24"/>
                <w:szCs w:val="24"/>
              </w:rPr>
              <w:t xml:space="preserve">, </w:t>
            </w:r>
            <w:r w:rsidR="00B65B79" w:rsidRPr="000D4010">
              <w:rPr>
                <w:sz w:val="24"/>
                <w:szCs w:val="24"/>
              </w:rPr>
              <w:t>scanned every week to detect potential intrusions</w:t>
            </w:r>
            <w:r w:rsidR="00586CBD" w:rsidRPr="000D4010">
              <w:rPr>
                <w:sz w:val="24"/>
                <w:szCs w:val="24"/>
              </w:rPr>
              <w:t xml:space="preserve"> risks</w:t>
            </w:r>
            <w:r w:rsidR="00B65B79" w:rsidRPr="000D4010">
              <w:rPr>
                <w:sz w:val="24"/>
                <w:szCs w:val="24"/>
              </w:rPr>
              <w:t>.</w:t>
            </w:r>
          </w:p>
        </w:tc>
      </w:tr>
      <w:tr w:rsidR="008F40B4" w:rsidRPr="000D4010" w14:paraId="3DA5D13D" w14:textId="77777777" w:rsidTr="00216F83">
        <w:tc>
          <w:tcPr>
            <w:tcW w:w="10530" w:type="dxa"/>
            <w:gridSpan w:val="4"/>
            <w:shd w:val="clear" w:color="auto" w:fill="8DB3E2"/>
          </w:tcPr>
          <w:p w14:paraId="5AE5D193" w14:textId="77777777" w:rsidR="008F40B4" w:rsidRPr="000D4010" w:rsidRDefault="008F40B4" w:rsidP="00216F83">
            <w:pPr>
              <w:tabs>
                <w:tab w:val="num" w:pos="270"/>
              </w:tabs>
              <w:jc w:val="center"/>
              <w:rPr>
                <w:b/>
                <w:sz w:val="24"/>
              </w:rPr>
            </w:pPr>
            <w:r w:rsidRPr="000D4010">
              <w:rPr>
                <w:b/>
                <w:sz w:val="24"/>
              </w:rPr>
              <w:t>Software &amp; Applications</w:t>
            </w:r>
          </w:p>
        </w:tc>
      </w:tr>
      <w:tr w:rsidR="00216F83" w:rsidRPr="000D4010" w14:paraId="6F6FE0BC" w14:textId="77777777" w:rsidTr="00216F83">
        <w:tc>
          <w:tcPr>
            <w:tcW w:w="2219" w:type="dxa"/>
            <w:shd w:val="clear" w:color="auto" w:fill="C6D9F1"/>
          </w:tcPr>
          <w:p w14:paraId="1D58ED06" w14:textId="77777777" w:rsidR="008F40B4" w:rsidRPr="000D4010" w:rsidRDefault="00484136" w:rsidP="00216F83">
            <w:pPr>
              <w:tabs>
                <w:tab w:val="num" w:pos="270"/>
              </w:tabs>
              <w:jc w:val="both"/>
              <w:rPr>
                <w:b/>
                <w:sz w:val="24"/>
              </w:rPr>
            </w:pPr>
            <w:r w:rsidRPr="000D4010">
              <w:rPr>
                <w:b/>
                <w:sz w:val="24"/>
              </w:rPr>
              <w:t>Program</w:t>
            </w:r>
          </w:p>
        </w:tc>
        <w:tc>
          <w:tcPr>
            <w:tcW w:w="2670" w:type="dxa"/>
            <w:shd w:val="clear" w:color="auto" w:fill="C6D9F1"/>
          </w:tcPr>
          <w:p w14:paraId="7789CD2D" w14:textId="77777777" w:rsidR="008F40B4" w:rsidRPr="000D4010" w:rsidRDefault="00484136" w:rsidP="00216F83">
            <w:pPr>
              <w:tabs>
                <w:tab w:val="num" w:pos="270"/>
              </w:tabs>
              <w:jc w:val="both"/>
              <w:rPr>
                <w:b/>
                <w:sz w:val="24"/>
              </w:rPr>
            </w:pPr>
            <w:r w:rsidRPr="000D4010">
              <w:rPr>
                <w:b/>
                <w:sz w:val="24"/>
              </w:rPr>
              <w:t>Description</w:t>
            </w:r>
          </w:p>
        </w:tc>
        <w:tc>
          <w:tcPr>
            <w:tcW w:w="2656" w:type="dxa"/>
            <w:shd w:val="clear" w:color="auto" w:fill="C6D9F1"/>
          </w:tcPr>
          <w:p w14:paraId="7C913AEB" w14:textId="77777777" w:rsidR="008F40B4" w:rsidRPr="000D4010" w:rsidRDefault="00484136" w:rsidP="00216F83">
            <w:pPr>
              <w:tabs>
                <w:tab w:val="num" w:pos="270"/>
              </w:tabs>
              <w:jc w:val="both"/>
              <w:rPr>
                <w:b/>
                <w:sz w:val="24"/>
              </w:rPr>
            </w:pPr>
            <w:r w:rsidRPr="000D4010">
              <w:rPr>
                <w:b/>
                <w:sz w:val="24"/>
              </w:rPr>
              <w:t>Risks</w:t>
            </w:r>
          </w:p>
        </w:tc>
        <w:tc>
          <w:tcPr>
            <w:tcW w:w="2985" w:type="dxa"/>
            <w:shd w:val="clear" w:color="auto" w:fill="C6D9F1"/>
          </w:tcPr>
          <w:p w14:paraId="6A8E4813" w14:textId="77777777" w:rsidR="008F40B4" w:rsidRPr="000D4010" w:rsidRDefault="00484136" w:rsidP="00216F83">
            <w:pPr>
              <w:tabs>
                <w:tab w:val="num" w:pos="270"/>
              </w:tabs>
              <w:jc w:val="both"/>
              <w:rPr>
                <w:b/>
                <w:sz w:val="24"/>
              </w:rPr>
            </w:pPr>
            <w:r w:rsidRPr="000D4010">
              <w:rPr>
                <w:b/>
                <w:sz w:val="24"/>
              </w:rPr>
              <w:t>Mitigation</w:t>
            </w:r>
          </w:p>
        </w:tc>
      </w:tr>
      <w:tr w:rsidR="008F40B4" w:rsidRPr="000D4010" w14:paraId="3E3E87D3" w14:textId="77777777" w:rsidTr="00DD3254">
        <w:trPr>
          <w:trHeight w:val="449"/>
        </w:trPr>
        <w:tc>
          <w:tcPr>
            <w:tcW w:w="2219" w:type="dxa"/>
            <w:shd w:val="clear" w:color="auto" w:fill="auto"/>
          </w:tcPr>
          <w:p w14:paraId="1103180F" w14:textId="77777777" w:rsidR="00581386" w:rsidRDefault="0038530E" w:rsidP="00216F83">
            <w:pPr>
              <w:tabs>
                <w:tab w:val="num" w:pos="270"/>
              </w:tabs>
              <w:rPr>
                <w:sz w:val="24"/>
              </w:rPr>
            </w:pPr>
            <w:r>
              <w:rPr>
                <w:sz w:val="24"/>
              </w:rPr>
              <w:t>Gorilla</w:t>
            </w:r>
            <w:r w:rsidR="00581386">
              <w:rPr>
                <w:sz w:val="24"/>
              </w:rPr>
              <w:t xml:space="preserve"> </w:t>
            </w:r>
          </w:p>
          <w:p w14:paraId="320D725A" w14:textId="7AF5C4D6" w:rsidR="008F40B4" w:rsidRPr="00581386" w:rsidRDefault="00581386" w:rsidP="00216F83">
            <w:pPr>
              <w:tabs>
                <w:tab w:val="num" w:pos="270"/>
              </w:tabs>
              <w:rPr>
                <w:i/>
                <w:iCs/>
                <w:sz w:val="24"/>
              </w:rPr>
            </w:pPr>
            <w:r>
              <w:rPr>
                <w:i/>
                <w:iCs/>
                <w:sz w:val="24"/>
              </w:rPr>
              <w:t xml:space="preserve">(will maintain in addition to </w:t>
            </w:r>
            <w:r w:rsidR="00A723E3" w:rsidRPr="00A723E3">
              <w:rPr>
                <w:i/>
                <w:iCs/>
                <w:color w:val="FF0000"/>
                <w:sz w:val="24"/>
              </w:rPr>
              <w:t>other CRM</w:t>
            </w:r>
            <w:r>
              <w:rPr>
                <w:i/>
                <w:iCs/>
                <w:sz w:val="24"/>
              </w:rPr>
              <w:t>)</w:t>
            </w:r>
          </w:p>
        </w:tc>
        <w:tc>
          <w:tcPr>
            <w:tcW w:w="2670" w:type="dxa"/>
            <w:shd w:val="clear" w:color="auto" w:fill="auto"/>
          </w:tcPr>
          <w:p w14:paraId="48E8A975" w14:textId="77777777" w:rsidR="008F40B4" w:rsidRPr="00CC601C" w:rsidRDefault="008D6B5D" w:rsidP="00216F83">
            <w:pPr>
              <w:tabs>
                <w:tab w:val="num" w:pos="270"/>
              </w:tabs>
              <w:rPr>
                <w:sz w:val="24"/>
              </w:rPr>
            </w:pPr>
            <w:r w:rsidRPr="00CC601C">
              <w:rPr>
                <w:sz w:val="24"/>
              </w:rPr>
              <w:t>CRM system</w:t>
            </w:r>
          </w:p>
        </w:tc>
        <w:tc>
          <w:tcPr>
            <w:tcW w:w="2656" w:type="dxa"/>
            <w:shd w:val="clear" w:color="auto" w:fill="auto"/>
          </w:tcPr>
          <w:p w14:paraId="20B9C147" w14:textId="0DCFFD11" w:rsidR="008F40B4" w:rsidRPr="00CC601C" w:rsidRDefault="008D6B5D" w:rsidP="00216F83">
            <w:pPr>
              <w:tabs>
                <w:tab w:val="num" w:pos="270"/>
              </w:tabs>
              <w:rPr>
                <w:sz w:val="24"/>
              </w:rPr>
            </w:pPr>
            <w:r w:rsidRPr="00CC601C">
              <w:rPr>
                <w:sz w:val="24"/>
              </w:rPr>
              <w:t>SS, dob</w:t>
            </w:r>
          </w:p>
        </w:tc>
        <w:tc>
          <w:tcPr>
            <w:tcW w:w="2985" w:type="dxa"/>
            <w:shd w:val="clear" w:color="auto" w:fill="auto"/>
          </w:tcPr>
          <w:p w14:paraId="1138771F" w14:textId="7F2C2C65" w:rsidR="008F40B4" w:rsidRPr="00CC601C" w:rsidRDefault="00D00AD7" w:rsidP="00571A75">
            <w:pPr>
              <w:tabs>
                <w:tab w:val="num" w:pos="270"/>
              </w:tabs>
              <w:rPr>
                <w:sz w:val="24"/>
              </w:rPr>
            </w:pPr>
            <w:r w:rsidRPr="00CC601C">
              <w:rPr>
                <w:sz w:val="24"/>
              </w:rPr>
              <w:t>Company firewalls</w:t>
            </w:r>
          </w:p>
        </w:tc>
      </w:tr>
      <w:tr w:rsidR="008F40B4" w:rsidRPr="000D4010" w14:paraId="3E48CCA3" w14:textId="77777777" w:rsidTr="00216F83">
        <w:tc>
          <w:tcPr>
            <w:tcW w:w="2219" w:type="dxa"/>
            <w:shd w:val="clear" w:color="auto" w:fill="auto"/>
          </w:tcPr>
          <w:p w14:paraId="7FED7FE4" w14:textId="77777777" w:rsidR="008F40B4" w:rsidRPr="000D4010" w:rsidRDefault="00F026E9" w:rsidP="00216F83">
            <w:pPr>
              <w:tabs>
                <w:tab w:val="num" w:pos="270"/>
              </w:tabs>
              <w:rPr>
                <w:sz w:val="24"/>
              </w:rPr>
            </w:pPr>
            <w:r w:rsidRPr="000D4010">
              <w:rPr>
                <w:sz w:val="24"/>
              </w:rPr>
              <w:t>External Access to Network</w:t>
            </w:r>
          </w:p>
        </w:tc>
        <w:tc>
          <w:tcPr>
            <w:tcW w:w="2670" w:type="dxa"/>
            <w:shd w:val="clear" w:color="auto" w:fill="auto"/>
          </w:tcPr>
          <w:p w14:paraId="4DB19B29" w14:textId="77777777" w:rsidR="008F40B4" w:rsidRPr="00CC601C" w:rsidRDefault="00C04FA1" w:rsidP="00216F83">
            <w:pPr>
              <w:tabs>
                <w:tab w:val="num" w:pos="270"/>
              </w:tabs>
              <w:rPr>
                <w:sz w:val="24"/>
              </w:rPr>
            </w:pPr>
            <w:r w:rsidRPr="00CC601C">
              <w:rPr>
                <w:sz w:val="24"/>
              </w:rPr>
              <w:t>VPN to Firewall</w:t>
            </w:r>
            <w:r w:rsidR="007F3B06" w:rsidRPr="00CC601C">
              <w:rPr>
                <w:sz w:val="24"/>
              </w:rPr>
              <w:t xml:space="preserve"> </w:t>
            </w:r>
          </w:p>
          <w:p w14:paraId="555050A7" w14:textId="493D27B5" w:rsidR="007F3B06" w:rsidRPr="00CC601C" w:rsidRDefault="007F3B06" w:rsidP="00216F83">
            <w:pPr>
              <w:tabs>
                <w:tab w:val="num" w:pos="270"/>
              </w:tabs>
              <w:rPr>
                <w:i/>
                <w:iCs/>
                <w:szCs w:val="16"/>
              </w:rPr>
            </w:pPr>
          </w:p>
        </w:tc>
        <w:tc>
          <w:tcPr>
            <w:tcW w:w="2656" w:type="dxa"/>
            <w:shd w:val="clear" w:color="auto" w:fill="auto"/>
          </w:tcPr>
          <w:p w14:paraId="0532F635" w14:textId="01C47DE7" w:rsidR="008F40B4" w:rsidRPr="00CC601C" w:rsidRDefault="007F3B06" w:rsidP="00216F83">
            <w:pPr>
              <w:tabs>
                <w:tab w:val="num" w:pos="270"/>
              </w:tabs>
              <w:rPr>
                <w:sz w:val="24"/>
              </w:rPr>
            </w:pPr>
            <w:r w:rsidRPr="00CC601C">
              <w:rPr>
                <w:sz w:val="24"/>
              </w:rPr>
              <w:t>Laptop stolen, unauthorized access</w:t>
            </w:r>
          </w:p>
        </w:tc>
        <w:tc>
          <w:tcPr>
            <w:tcW w:w="2985" w:type="dxa"/>
            <w:shd w:val="clear" w:color="auto" w:fill="auto"/>
          </w:tcPr>
          <w:p w14:paraId="44EEB123" w14:textId="0838A997" w:rsidR="007F3B06" w:rsidRPr="00CC601C" w:rsidRDefault="007F3B06" w:rsidP="00216F83">
            <w:pPr>
              <w:tabs>
                <w:tab w:val="num" w:pos="270"/>
              </w:tabs>
              <w:rPr>
                <w:sz w:val="24"/>
              </w:rPr>
            </w:pPr>
            <w:r w:rsidRPr="00CC601C">
              <w:rPr>
                <w:sz w:val="24"/>
              </w:rPr>
              <w:t>Set up by IT with safety protocols and pw.</w:t>
            </w:r>
          </w:p>
          <w:p w14:paraId="0F1BF313" w14:textId="0B3D2CDC" w:rsidR="008F40B4" w:rsidRPr="00CC601C" w:rsidRDefault="00F026E9" w:rsidP="00216F83">
            <w:pPr>
              <w:tabs>
                <w:tab w:val="num" w:pos="270"/>
              </w:tabs>
              <w:rPr>
                <w:sz w:val="24"/>
              </w:rPr>
            </w:pPr>
            <w:r w:rsidRPr="00CC601C">
              <w:rPr>
                <w:sz w:val="24"/>
              </w:rPr>
              <w:t xml:space="preserve">Firewalls, </w:t>
            </w:r>
            <w:r w:rsidR="00EF7B74" w:rsidRPr="00CC601C">
              <w:rPr>
                <w:sz w:val="24"/>
              </w:rPr>
              <w:t xml:space="preserve">limited access, </w:t>
            </w:r>
            <w:r w:rsidRPr="00CC601C">
              <w:rPr>
                <w:sz w:val="24"/>
              </w:rPr>
              <w:t>strong passwords and changed regularly</w:t>
            </w:r>
          </w:p>
        </w:tc>
      </w:tr>
      <w:tr w:rsidR="00814817" w:rsidRPr="000D4010" w14:paraId="5AFD5C39" w14:textId="77777777" w:rsidTr="00216F83">
        <w:tc>
          <w:tcPr>
            <w:tcW w:w="2219" w:type="dxa"/>
            <w:shd w:val="clear" w:color="auto" w:fill="auto"/>
          </w:tcPr>
          <w:p w14:paraId="09DF4D8E" w14:textId="77777777" w:rsidR="00814817" w:rsidRPr="000D4010" w:rsidRDefault="00814817" w:rsidP="00216F83">
            <w:pPr>
              <w:tabs>
                <w:tab w:val="num" w:pos="270"/>
              </w:tabs>
              <w:rPr>
                <w:sz w:val="24"/>
              </w:rPr>
            </w:pPr>
            <w:r w:rsidRPr="000D4010">
              <w:rPr>
                <w:sz w:val="24"/>
              </w:rPr>
              <w:t>Email</w:t>
            </w:r>
          </w:p>
        </w:tc>
        <w:tc>
          <w:tcPr>
            <w:tcW w:w="2670" w:type="dxa"/>
            <w:shd w:val="clear" w:color="auto" w:fill="auto"/>
          </w:tcPr>
          <w:p w14:paraId="56AEE6E0" w14:textId="77777777" w:rsidR="00814817" w:rsidRPr="00CC601C" w:rsidRDefault="00814817" w:rsidP="00216F83">
            <w:pPr>
              <w:tabs>
                <w:tab w:val="num" w:pos="270"/>
              </w:tabs>
              <w:rPr>
                <w:sz w:val="24"/>
              </w:rPr>
            </w:pPr>
            <w:r w:rsidRPr="00CC601C">
              <w:rPr>
                <w:sz w:val="24"/>
              </w:rPr>
              <w:t>Electronic communication</w:t>
            </w:r>
          </w:p>
        </w:tc>
        <w:tc>
          <w:tcPr>
            <w:tcW w:w="2656" w:type="dxa"/>
            <w:shd w:val="clear" w:color="auto" w:fill="auto"/>
          </w:tcPr>
          <w:p w14:paraId="0EDBF240" w14:textId="77777777" w:rsidR="00814817" w:rsidRPr="00CC601C" w:rsidRDefault="00814817" w:rsidP="00216F83">
            <w:pPr>
              <w:tabs>
                <w:tab w:val="num" w:pos="270"/>
              </w:tabs>
              <w:rPr>
                <w:sz w:val="24"/>
              </w:rPr>
            </w:pPr>
            <w:r w:rsidRPr="00CC601C">
              <w:rPr>
                <w:sz w:val="24"/>
              </w:rPr>
              <w:t>Unauthorized access, sensitive information accessed</w:t>
            </w:r>
          </w:p>
        </w:tc>
        <w:tc>
          <w:tcPr>
            <w:tcW w:w="2985" w:type="dxa"/>
            <w:shd w:val="clear" w:color="auto" w:fill="auto"/>
          </w:tcPr>
          <w:p w14:paraId="26E930AE" w14:textId="77777777" w:rsidR="00814817" w:rsidRPr="00CC601C" w:rsidRDefault="00814817" w:rsidP="00216F83">
            <w:pPr>
              <w:tabs>
                <w:tab w:val="num" w:pos="270"/>
              </w:tabs>
              <w:rPr>
                <w:sz w:val="24"/>
              </w:rPr>
            </w:pPr>
            <w:r w:rsidRPr="00CC601C">
              <w:rPr>
                <w:sz w:val="24"/>
              </w:rPr>
              <w:t>Firewalls &amp; spam protection (updated), encrypted messaging utilized when transmitting sensitive information.</w:t>
            </w:r>
          </w:p>
        </w:tc>
      </w:tr>
      <w:tr w:rsidR="00544379" w:rsidRPr="000D4010" w14:paraId="54086CE4" w14:textId="77777777" w:rsidTr="00216F83">
        <w:tc>
          <w:tcPr>
            <w:tcW w:w="2219" w:type="dxa"/>
            <w:shd w:val="clear" w:color="auto" w:fill="auto"/>
          </w:tcPr>
          <w:p w14:paraId="44C7EED1" w14:textId="77777777" w:rsidR="00544379" w:rsidRPr="000D4010" w:rsidRDefault="00544379" w:rsidP="00216F83">
            <w:pPr>
              <w:tabs>
                <w:tab w:val="num" w:pos="270"/>
              </w:tabs>
              <w:rPr>
                <w:sz w:val="24"/>
              </w:rPr>
            </w:pPr>
            <w:r w:rsidRPr="000D4010">
              <w:rPr>
                <w:sz w:val="24"/>
              </w:rPr>
              <w:t>Third Party Vendor Software</w:t>
            </w:r>
          </w:p>
        </w:tc>
        <w:tc>
          <w:tcPr>
            <w:tcW w:w="2670" w:type="dxa"/>
            <w:shd w:val="clear" w:color="auto" w:fill="auto"/>
          </w:tcPr>
          <w:p w14:paraId="3741C2A0" w14:textId="5A480098" w:rsidR="00123588" w:rsidRPr="00CC601C" w:rsidRDefault="00502D09" w:rsidP="0016248B">
            <w:pPr>
              <w:tabs>
                <w:tab w:val="num" w:pos="270"/>
              </w:tabs>
              <w:rPr>
                <w:sz w:val="24"/>
              </w:rPr>
            </w:pPr>
            <w:r w:rsidRPr="00CC601C">
              <w:rPr>
                <w:sz w:val="24"/>
              </w:rPr>
              <w:t>WSC-</w:t>
            </w:r>
            <w:r w:rsidR="000B3713" w:rsidRPr="00CC601C">
              <w:rPr>
                <w:sz w:val="24"/>
              </w:rPr>
              <w:t>HTS</w:t>
            </w:r>
            <w:r w:rsidR="00210046" w:rsidRPr="00CC601C">
              <w:rPr>
                <w:sz w:val="24"/>
              </w:rPr>
              <w:t>, WinOps</w:t>
            </w:r>
            <w:r w:rsidRPr="00CC601C">
              <w:rPr>
                <w:sz w:val="24"/>
              </w:rPr>
              <w:t xml:space="preserve">, </w:t>
            </w:r>
            <w:r w:rsidR="00A723E3">
              <w:rPr>
                <w:sz w:val="24"/>
              </w:rPr>
              <w:t>RIA</w:t>
            </w:r>
            <w:r w:rsidRPr="00CC601C">
              <w:rPr>
                <w:sz w:val="24"/>
              </w:rPr>
              <w:t xml:space="preserve">-Schwab Advisor </w:t>
            </w:r>
            <w:r w:rsidRPr="00CC601C">
              <w:rPr>
                <w:sz w:val="24"/>
              </w:rPr>
              <w:lastRenderedPageBreak/>
              <w:t xml:space="preserve">website, </w:t>
            </w:r>
            <w:r w:rsidR="0016248B">
              <w:rPr>
                <w:sz w:val="24"/>
              </w:rPr>
              <w:t xml:space="preserve"> </w:t>
            </w:r>
            <w:r w:rsidR="002C44F5" w:rsidRPr="002C44F5">
              <w:rPr>
                <w:color w:val="FF0000"/>
                <w:sz w:val="24"/>
              </w:rPr>
              <w:t>CRM</w:t>
            </w:r>
            <w:r w:rsidR="005D5D60">
              <w:rPr>
                <w:color w:val="FF0000"/>
                <w:sz w:val="24"/>
              </w:rPr>
              <w:t>, Black Diamond</w:t>
            </w:r>
          </w:p>
        </w:tc>
        <w:tc>
          <w:tcPr>
            <w:tcW w:w="2656" w:type="dxa"/>
            <w:shd w:val="clear" w:color="auto" w:fill="auto"/>
          </w:tcPr>
          <w:p w14:paraId="70D44040" w14:textId="77777777" w:rsidR="00544379" w:rsidRPr="00CC601C" w:rsidRDefault="00544379" w:rsidP="00216F83">
            <w:pPr>
              <w:tabs>
                <w:tab w:val="num" w:pos="270"/>
              </w:tabs>
              <w:rPr>
                <w:sz w:val="24"/>
              </w:rPr>
            </w:pPr>
            <w:r w:rsidRPr="00CC601C">
              <w:rPr>
                <w:sz w:val="24"/>
              </w:rPr>
              <w:lastRenderedPageBreak/>
              <w:t>Unauthorized access</w:t>
            </w:r>
          </w:p>
        </w:tc>
        <w:tc>
          <w:tcPr>
            <w:tcW w:w="2985" w:type="dxa"/>
            <w:shd w:val="clear" w:color="auto" w:fill="auto"/>
          </w:tcPr>
          <w:p w14:paraId="19B1C612" w14:textId="07E895F7" w:rsidR="007A3C3B" w:rsidRPr="00CC601C" w:rsidRDefault="00544379" w:rsidP="00502D09">
            <w:pPr>
              <w:tabs>
                <w:tab w:val="num" w:pos="270"/>
              </w:tabs>
              <w:rPr>
                <w:sz w:val="24"/>
              </w:rPr>
            </w:pPr>
            <w:r w:rsidRPr="00CC601C">
              <w:rPr>
                <w:sz w:val="24"/>
              </w:rPr>
              <w:t xml:space="preserve">No customer data on Company servers, both Company and Vendor </w:t>
            </w:r>
            <w:r w:rsidRPr="00CC601C">
              <w:rPr>
                <w:sz w:val="24"/>
              </w:rPr>
              <w:lastRenderedPageBreak/>
              <w:t>firewalls and data backup, Vendor management of access permissions and passwords (changed regularly</w:t>
            </w:r>
            <w:r w:rsidR="00502D09" w:rsidRPr="00CC601C">
              <w:rPr>
                <w:sz w:val="24"/>
              </w:rPr>
              <w:t xml:space="preserve"> and Schwab has additional auth</w:t>
            </w:r>
            <w:r w:rsidR="00320166" w:rsidRPr="00CC601C">
              <w:rPr>
                <w:sz w:val="24"/>
              </w:rPr>
              <w:t>enti</w:t>
            </w:r>
            <w:r w:rsidR="00502D09" w:rsidRPr="00CC601C">
              <w:rPr>
                <w:sz w:val="24"/>
              </w:rPr>
              <w:t>cation levels)</w:t>
            </w:r>
            <w:r w:rsidRPr="00CC601C">
              <w:rPr>
                <w:sz w:val="24"/>
              </w:rPr>
              <w:t>.</w:t>
            </w:r>
            <w:r w:rsidR="005D5D60">
              <w:rPr>
                <w:sz w:val="24"/>
              </w:rPr>
              <w:t xml:space="preserve"> </w:t>
            </w:r>
          </w:p>
        </w:tc>
      </w:tr>
      <w:tr w:rsidR="005B2F24" w:rsidRPr="000D4010" w14:paraId="1ABAF9D2" w14:textId="77777777" w:rsidTr="00216F83">
        <w:tc>
          <w:tcPr>
            <w:tcW w:w="2219" w:type="dxa"/>
            <w:shd w:val="clear" w:color="auto" w:fill="auto"/>
          </w:tcPr>
          <w:p w14:paraId="23D172A9" w14:textId="770E1184" w:rsidR="005B2F24" w:rsidRPr="00CC601C" w:rsidRDefault="005D5D60" w:rsidP="007A3C3B">
            <w:pPr>
              <w:tabs>
                <w:tab w:val="num" w:pos="270"/>
              </w:tabs>
              <w:rPr>
                <w:sz w:val="24"/>
              </w:rPr>
            </w:pPr>
            <w:r w:rsidRPr="005D5D60">
              <w:rPr>
                <w:color w:val="FF0000"/>
                <w:sz w:val="24"/>
              </w:rPr>
              <w:lastRenderedPageBreak/>
              <w:t>CRM</w:t>
            </w:r>
          </w:p>
        </w:tc>
        <w:tc>
          <w:tcPr>
            <w:tcW w:w="2670" w:type="dxa"/>
            <w:shd w:val="clear" w:color="auto" w:fill="auto"/>
          </w:tcPr>
          <w:p w14:paraId="35287D62" w14:textId="38D61254" w:rsidR="005B2F24" w:rsidRPr="00CC601C" w:rsidRDefault="005D5D60" w:rsidP="007A3C3B">
            <w:pPr>
              <w:tabs>
                <w:tab w:val="num" w:pos="270"/>
              </w:tabs>
              <w:rPr>
                <w:sz w:val="24"/>
              </w:rPr>
            </w:pPr>
            <w:r w:rsidRPr="005D5D60">
              <w:rPr>
                <w:color w:val="FF0000"/>
                <w:sz w:val="24"/>
              </w:rPr>
              <w:t>For client information and communication</w:t>
            </w:r>
          </w:p>
        </w:tc>
        <w:tc>
          <w:tcPr>
            <w:tcW w:w="2656" w:type="dxa"/>
            <w:shd w:val="clear" w:color="auto" w:fill="auto"/>
          </w:tcPr>
          <w:p w14:paraId="6D5EF715" w14:textId="22915232" w:rsidR="005B2F24" w:rsidRPr="00CC601C" w:rsidRDefault="005B2F24" w:rsidP="007A3C3B">
            <w:pPr>
              <w:tabs>
                <w:tab w:val="num" w:pos="270"/>
              </w:tabs>
              <w:rPr>
                <w:sz w:val="24"/>
              </w:rPr>
            </w:pPr>
            <w:r w:rsidRPr="00CC601C">
              <w:rPr>
                <w:sz w:val="24"/>
              </w:rPr>
              <w:t>Cloud-based</w:t>
            </w:r>
          </w:p>
        </w:tc>
        <w:tc>
          <w:tcPr>
            <w:tcW w:w="2985" w:type="dxa"/>
            <w:shd w:val="clear" w:color="auto" w:fill="auto"/>
          </w:tcPr>
          <w:p w14:paraId="6F39E2B4" w14:textId="1DEC7D01" w:rsidR="005B2F24" w:rsidRPr="00CC601C" w:rsidRDefault="005B2F24" w:rsidP="00502D09">
            <w:pPr>
              <w:tabs>
                <w:tab w:val="num" w:pos="270"/>
              </w:tabs>
              <w:rPr>
                <w:sz w:val="24"/>
              </w:rPr>
            </w:pPr>
            <w:r w:rsidRPr="00CC601C">
              <w:rPr>
                <w:sz w:val="24"/>
              </w:rPr>
              <w:t>No customer data on Company’s server.  Vendor  has protections, SOC and SOC2 reporting</w:t>
            </w:r>
            <w:r w:rsidR="005D5D60">
              <w:rPr>
                <w:sz w:val="24"/>
              </w:rPr>
              <w:t>.</w:t>
            </w:r>
          </w:p>
        </w:tc>
      </w:tr>
    </w:tbl>
    <w:p w14:paraId="2CA3708C" w14:textId="595F04C5" w:rsidR="009A29D0" w:rsidRPr="009A29D0" w:rsidRDefault="009A29D0" w:rsidP="009A29D0">
      <w:pPr>
        <w:ind w:hanging="540"/>
        <w:rPr>
          <w:i/>
        </w:rPr>
      </w:pPr>
      <w:r w:rsidRPr="009A29D0">
        <w:rPr>
          <w:i/>
        </w:rPr>
        <w:t>Additional, more detailed information maintained in an excel spreadsheet.</w:t>
      </w:r>
    </w:p>
    <w:p w14:paraId="1808FFD2" w14:textId="77777777" w:rsidR="00011EA7" w:rsidRPr="000D4010" w:rsidRDefault="00011EA7" w:rsidP="00011EA7">
      <w:pPr>
        <w:shd w:val="clear" w:color="auto" w:fill="FFFFFF"/>
        <w:rPr>
          <w:sz w:val="24"/>
          <w:szCs w:val="24"/>
        </w:rPr>
      </w:pPr>
    </w:p>
    <w:p w14:paraId="2C4AE877" w14:textId="77777777" w:rsidR="002D4265" w:rsidRPr="000D4010" w:rsidRDefault="00563FE1" w:rsidP="001A587F">
      <w:pPr>
        <w:pStyle w:val="Heading4"/>
      </w:pPr>
      <w:r w:rsidRPr="000D4010">
        <w:t>6.2.</w:t>
      </w:r>
      <w:r w:rsidR="00FD00D7" w:rsidRPr="000D4010">
        <w:t>9.3</w:t>
      </w:r>
      <w:r w:rsidRPr="000D4010">
        <w:t xml:space="preserve"> </w:t>
      </w:r>
      <w:r w:rsidR="002E2468" w:rsidRPr="000D4010">
        <w:t>Cybers</w:t>
      </w:r>
      <w:r w:rsidR="002D4265" w:rsidRPr="000D4010">
        <w:t xml:space="preserve">ecurity </w:t>
      </w:r>
      <w:r w:rsidR="00207D2F" w:rsidRPr="000D4010">
        <w:t>Guidelines</w:t>
      </w:r>
    </w:p>
    <w:p w14:paraId="50C4FA84" w14:textId="77777777" w:rsidR="000151F4" w:rsidRPr="000D4010" w:rsidRDefault="000151F4" w:rsidP="00881EA3">
      <w:pPr>
        <w:tabs>
          <w:tab w:val="num" w:pos="360"/>
        </w:tabs>
        <w:ind w:left="360"/>
        <w:rPr>
          <w:sz w:val="24"/>
        </w:rPr>
      </w:pPr>
      <w:r w:rsidRPr="000D4010">
        <w:rPr>
          <w:sz w:val="24"/>
        </w:rPr>
        <w:t>Pursuant to the National Institute of Standards and Technology (NIST) risk management and processes</w:t>
      </w:r>
      <w:r w:rsidR="00CB34AC" w:rsidRPr="000D4010">
        <w:rPr>
          <w:sz w:val="24"/>
        </w:rPr>
        <w:t xml:space="preserve"> and the SEC’s Office of Compliance Inspections and Examinations (OCIE) Exam Initiative</w:t>
      </w:r>
      <w:r w:rsidRPr="000D4010">
        <w:rPr>
          <w:sz w:val="24"/>
        </w:rPr>
        <w:t>, Company has adopted the following Information Security Policy in an effort to identify, mitigate, and escalate information threats or breaches.</w:t>
      </w:r>
    </w:p>
    <w:p w14:paraId="2FCB7943" w14:textId="77777777" w:rsidR="00B1646D" w:rsidRPr="000D4010" w:rsidRDefault="00B1646D" w:rsidP="00881EA3">
      <w:pPr>
        <w:tabs>
          <w:tab w:val="num" w:pos="360"/>
        </w:tabs>
        <w:ind w:left="360"/>
        <w:rPr>
          <w:sz w:val="24"/>
        </w:rPr>
      </w:pPr>
    </w:p>
    <w:p w14:paraId="2BF7DAFB" w14:textId="77777777" w:rsidR="00B1646D" w:rsidRPr="000D4010" w:rsidRDefault="00B1646D" w:rsidP="00810A8C">
      <w:pPr>
        <w:tabs>
          <w:tab w:val="num" w:pos="360"/>
        </w:tabs>
        <w:ind w:left="360"/>
        <w:rPr>
          <w:sz w:val="24"/>
          <w:szCs w:val="24"/>
        </w:rPr>
      </w:pPr>
      <w:r w:rsidRPr="000D4010">
        <w:rPr>
          <w:sz w:val="24"/>
          <w:szCs w:val="24"/>
        </w:rPr>
        <w:t>When replacing a computer or other equipment that holds data on a hard drive</w:t>
      </w:r>
      <w:r w:rsidR="001F46C1" w:rsidRPr="000D4010">
        <w:rPr>
          <w:sz w:val="24"/>
          <w:szCs w:val="24"/>
        </w:rPr>
        <w:t xml:space="preserve">, Company </w:t>
      </w:r>
      <w:r w:rsidRPr="000D4010">
        <w:rPr>
          <w:sz w:val="24"/>
          <w:szCs w:val="24"/>
        </w:rPr>
        <w:t>will make sure that such data is completely erased. In some cases, the only way to absolutely guarantee that information on a hard drive is irretrievable may be to destroy the hard drive (which may not be practicable).</w:t>
      </w:r>
    </w:p>
    <w:p w14:paraId="5E988847" w14:textId="77777777" w:rsidR="004A6191" w:rsidRPr="000D4010" w:rsidRDefault="004A6191" w:rsidP="00810A8C">
      <w:pPr>
        <w:tabs>
          <w:tab w:val="num" w:pos="360"/>
        </w:tabs>
        <w:ind w:left="360"/>
        <w:rPr>
          <w:sz w:val="24"/>
          <w:szCs w:val="24"/>
        </w:rPr>
      </w:pPr>
    </w:p>
    <w:p w14:paraId="1CB0F55F" w14:textId="77777777" w:rsidR="004A6191" w:rsidRPr="000D4010" w:rsidRDefault="004A6191" w:rsidP="00810A8C">
      <w:pPr>
        <w:tabs>
          <w:tab w:val="num" w:pos="360"/>
        </w:tabs>
        <w:ind w:left="360"/>
        <w:rPr>
          <w:sz w:val="24"/>
          <w:szCs w:val="24"/>
        </w:rPr>
      </w:pPr>
      <w:r w:rsidRPr="00FD24E5">
        <w:rPr>
          <w:b/>
          <w:sz w:val="24"/>
          <w:szCs w:val="24"/>
        </w:rPr>
        <w:t>Guidelines</w:t>
      </w:r>
      <w:r w:rsidRPr="000D4010">
        <w:rPr>
          <w:sz w:val="24"/>
          <w:szCs w:val="24"/>
        </w:rPr>
        <w:t>:</w:t>
      </w:r>
    </w:p>
    <w:p w14:paraId="4BC1EE5D" w14:textId="77777777" w:rsidR="00FE1AD0" w:rsidRPr="0047284D" w:rsidRDefault="00FE1AD0" w:rsidP="00810A8C">
      <w:pPr>
        <w:tabs>
          <w:tab w:val="num" w:pos="360"/>
        </w:tabs>
        <w:ind w:left="360"/>
        <w:rPr>
          <w:sz w:val="14"/>
          <w:szCs w:val="14"/>
        </w:rPr>
      </w:pPr>
    </w:p>
    <w:p w14:paraId="69E2501B" w14:textId="77777777" w:rsidR="00B1646D" w:rsidRPr="000D4010" w:rsidRDefault="00B1646D" w:rsidP="003E7B18">
      <w:pPr>
        <w:numPr>
          <w:ilvl w:val="0"/>
          <w:numId w:val="250"/>
        </w:numPr>
        <w:rPr>
          <w:sz w:val="24"/>
          <w:szCs w:val="24"/>
        </w:rPr>
      </w:pPr>
      <w:r w:rsidRPr="000D4010">
        <w:rPr>
          <w:sz w:val="24"/>
          <w:szCs w:val="24"/>
        </w:rPr>
        <w:t xml:space="preserve">Map the organizational communication and data flows within and outside </w:t>
      </w:r>
      <w:r w:rsidR="00610D4F" w:rsidRPr="000D4010">
        <w:rPr>
          <w:sz w:val="24"/>
          <w:szCs w:val="24"/>
        </w:rPr>
        <w:t>the Company</w:t>
      </w:r>
      <w:r w:rsidRPr="000D4010">
        <w:rPr>
          <w:sz w:val="24"/>
          <w:szCs w:val="24"/>
        </w:rPr>
        <w:t>;</w:t>
      </w:r>
    </w:p>
    <w:p w14:paraId="2A281259" w14:textId="77777777" w:rsidR="00B1646D" w:rsidRPr="00476D1B" w:rsidRDefault="00593815" w:rsidP="003E7B18">
      <w:pPr>
        <w:numPr>
          <w:ilvl w:val="0"/>
          <w:numId w:val="250"/>
        </w:numPr>
        <w:rPr>
          <w:sz w:val="24"/>
          <w:szCs w:val="24"/>
        </w:rPr>
      </w:pPr>
      <w:r w:rsidRPr="00476D1B">
        <w:rPr>
          <w:sz w:val="24"/>
          <w:szCs w:val="24"/>
        </w:rPr>
        <w:t>List</w:t>
      </w:r>
      <w:r w:rsidR="00B1646D" w:rsidRPr="00476D1B">
        <w:rPr>
          <w:sz w:val="24"/>
          <w:szCs w:val="24"/>
        </w:rPr>
        <w:t xml:space="preserve"> </w:t>
      </w:r>
      <w:r w:rsidRPr="00476D1B">
        <w:rPr>
          <w:sz w:val="24"/>
          <w:szCs w:val="24"/>
        </w:rPr>
        <w:t xml:space="preserve">critical </w:t>
      </w:r>
      <w:r w:rsidR="00B1646D" w:rsidRPr="00476D1B">
        <w:rPr>
          <w:sz w:val="24"/>
          <w:szCs w:val="24"/>
        </w:rPr>
        <w:t xml:space="preserve">Assets and Systems </w:t>
      </w:r>
      <w:r w:rsidRPr="00476D1B">
        <w:rPr>
          <w:sz w:val="24"/>
          <w:szCs w:val="24"/>
        </w:rPr>
        <w:t xml:space="preserve">and those that </w:t>
      </w:r>
      <w:r w:rsidR="00B1646D" w:rsidRPr="00476D1B">
        <w:rPr>
          <w:sz w:val="24"/>
          <w:szCs w:val="24"/>
        </w:rPr>
        <w:t xml:space="preserve">would have a debilitating impact on </w:t>
      </w:r>
      <w:r w:rsidR="00610D4F" w:rsidRPr="00476D1B">
        <w:rPr>
          <w:sz w:val="24"/>
          <w:szCs w:val="24"/>
        </w:rPr>
        <w:t>the Company (as noted in above Inventory)</w:t>
      </w:r>
      <w:r w:rsidR="00B1646D" w:rsidRPr="00476D1B">
        <w:rPr>
          <w:sz w:val="24"/>
          <w:szCs w:val="24"/>
        </w:rPr>
        <w:t xml:space="preserve">; </w:t>
      </w:r>
    </w:p>
    <w:p w14:paraId="5E54A171" w14:textId="77777777" w:rsidR="00B1646D" w:rsidRPr="00476D1B" w:rsidRDefault="00B1646D" w:rsidP="003E7B18">
      <w:pPr>
        <w:numPr>
          <w:ilvl w:val="0"/>
          <w:numId w:val="250"/>
        </w:numPr>
        <w:rPr>
          <w:sz w:val="24"/>
          <w:szCs w:val="24"/>
        </w:rPr>
      </w:pPr>
      <w:r w:rsidRPr="00476D1B">
        <w:rPr>
          <w:sz w:val="24"/>
          <w:szCs w:val="24"/>
        </w:rPr>
        <w:t>Limit access to Assets and Systems to authorized users, processes and devices, and to authorized activities and transactions</w:t>
      </w:r>
      <w:r w:rsidR="00323091" w:rsidRPr="00476D1B">
        <w:rPr>
          <w:sz w:val="24"/>
          <w:szCs w:val="24"/>
        </w:rPr>
        <w:t xml:space="preserve">.  </w:t>
      </w:r>
      <w:proofErr w:type="gramStart"/>
      <w:r w:rsidR="00323091" w:rsidRPr="00476D1B">
        <w:rPr>
          <w:sz w:val="24"/>
          <w:szCs w:val="24"/>
        </w:rPr>
        <w:t>And,</w:t>
      </w:r>
      <w:proofErr w:type="gramEnd"/>
      <w:r w:rsidR="00323091" w:rsidRPr="00476D1B">
        <w:rPr>
          <w:sz w:val="24"/>
          <w:szCs w:val="24"/>
        </w:rPr>
        <w:t xml:space="preserve"> employees may not access data, files, or systems where they are not authorized to have access</w:t>
      </w:r>
      <w:r w:rsidRPr="00476D1B">
        <w:rPr>
          <w:sz w:val="24"/>
          <w:szCs w:val="24"/>
        </w:rPr>
        <w:t>;</w:t>
      </w:r>
    </w:p>
    <w:p w14:paraId="6FC26655" w14:textId="77777777" w:rsidR="00B517FE" w:rsidRPr="00B517FE" w:rsidRDefault="00B1646D" w:rsidP="003E7B18">
      <w:pPr>
        <w:numPr>
          <w:ilvl w:val="0"/>
          <w:numId w:val="250"/>
        </w:numPr>
        <w:rPr>
          <w:sz w:val="24"/>
          <w:szCs w:val="24"/>
        </w:rPr>
      </w:pPr>
      <w:r w:rsidRPr="000D4010">
        <w:rPr>
          <w:sz w:val="24"/>
          <w:szCs w:val="24"/>
        </w:rPr>
        <w:t>Manage identities and credentials for authorized devices and users;</w:t>
      </w:r>
    </w:p>
    <w:p w14:paraId="0FDCB581" w14:textId="77777777" w:rsidR="00B1646D" w:rsidRPr="000D4010" w:rsidRDefault="00B1646D" w:rsidP="003E7B18">
      <w:pPr>
        <w:numPr>
          <w:ilvl w:val="0"/>
          <w:numId w:val="250"/>
        </w:numPr>
        <w:rPr>
          <w:sz w:val="24"/>
          <w:szCs w:val="24"/>
        </w:rPr>
      </w:pPr>
      <w:r w:rsidRPr="000D4010">
        <w:rPr>
          <w:sz w:val="24"/>
          <w:szCs w:val="24"/>
        </w:rPr>
        <w:t>Protect network integrity by incorporating network segregation where appropriate;</w:t>
      </w:r>
    </w:p>
    <w:p w14:paraId="212BDBA0" w14:textId="77777777" w:rsidR="00B1646D" w:rsidRPr="000D4010" w:rsidRDefault="00B1646D" w:rsidP="003E7B18">
      <w:pPr>
        <w:numPr>
          <w:ilvl w:val="0"/>
          <w:numId w:val="250"/>
        </w:numPr>
        <w:rPr>
          <w:sz w:val="24"/>
          <w:szCs w:val="24"/>
        </w:rPr>
      </w:pPr>
      <w:r w:rsidRPr="000D4010">
        <w:rPr>
          <w:sz w:val="24"/>
          <w:szCs w:val="24"/>
        </w:rPr>
        <w:t xml:space="preserve">As frequently as necessary, update </w:t>
      </w:r>
      <w:r w:rsidR="00610D4F" w:rsidRPr="000D4010">
        <w:rPr>
          <w:sz w:val="24"/>
          <w:szCs w:val="24"/>
        </w:rPr>
        <w:t>Company</w:t>
      </w:r>
      <w:r w:rsidRPr="000D4010">
        <w:rPr>
          <w:sz w:val="24"/>
          <w:szCs w:val="24"/>
        </w:rPr>
        <w:t>'s anti-virus software and firewalls and consider whether such software and firewalls should be upgraded or replaced;</w:t>
      </w:r>
    </w:p>
    <w:p w14:paraId="2A9540B9" w14:textId="77777777" w:rsidR="00EA66BD" w:rsidRPr="006D5CDF" w:rsidRDefault="00B1646D" w:rsidP="003E7B18">
      <w:pPr>
        <w:numPr>
          <w:ilvl w:val="0"/>
          <w:numId w:val="250"/>
        </w:numPr>
        <w:rPr>
          <w:sz w:val="24"/>
          <w:szCs w:val="24"/>
        </w:rPr>
      </w:pPr>
      <w:r w:rsidRPr="005076D8">
        <w:rPr>
          <w:sz w:val="24"/>
          <w:szCs w:val="24"/>
        </w:rPr>
        <w:t xml:space="preserve">Back up all critical client and </w:t>
      </w:r>
      <w:r w:rsidR="002B0D3C" w:rsidRPr="005076D8">
        <w:rPr>
          <w:sz w:val="24"/>
          <w:szCs w:val="24"/>
        </w:rPr>
        <w:t>firm</w:t>
      </w:r>
      <w:r w:rsidRPr="005076D8">
        <w:rPr>
          <w:sz w:val="24"/>
          <w:szCs w:val="24"/>
        </w:rPr>
        <w:t xml:space="preserve"> data as frequently as necessary in a manner where such data is not linked to current systems (</w:t>
      </w:r>
      <w:r w:rsidRPr="005076D8">
        <w:rPr>
          <w:i/>
          <w:iCs/>
          <w:sz w:val="24"/>
          <w:szCs w:val="24"/>
        </w:rPr>
        <w:t>i.e.,</w:t>
      </w:r>
      <w:r w:rsidR="005076D8" w:rsidRPr="005076D8">
        <w:rPr>
          <w:sz w:val="24"/>
          <w:szCs w:val="24"/>
        </w:rPr>
        <w:t xml:space="preserve"> physically separate system).  </w:t>
      </w:r>
      <w:r w:rsidR="00EA66BD" w:rsidRPr="006D5CDF">
        <w:rPr>
          <w:sz w:val="24"/>
          <w:szCs w:val="24"/>
        </w:rPr>
        <w:t>Test back up data – test the ability to restore data that has been backed up.  At least on a monthly basis, choose a file to test Company’s data backup system and the integrity of a tested restore.</w:t>
      </w:r>
    </w:p>
    <w:p w14:paraId="3AE0CA81" w14:textId="77777777" w:rsidR="00B1646D" w:rsidRPr="000D4010" w:rsidRDefault="00B1646D" w:rsidP="003E7B18">
      <w:pPr>
        <w:numPr>
          <w:ilvl w:val="0"/>
          <w:numId w:val="250"/>
        </w:numPr>
        <w:rPr>
          <w:sz w:val="24"/>
          <w:szCs w:val="24"/>
        </w:rPr>
      </w:pPr>
      <w:r w:rsidRPr="006D5CDF">
        <w:rPr>
          <w:sz w:val="24"/>
          <w:szCs w:val="24"/>
        </w:rPr>
        <w:t xml:space="preserve">Manage technical security solutions to ensure the security and resilience of Assets and </w:t>
      </w:r>
      <w:r w:rsidRPr="000D4010">
        <w:rPr>
          <w:sz w:val="24"/>
          <w:szCs w:val="24"/>
        </w:rPr>
        <w:t>Systems, consistent with related policies, procedures and agreements;</w:t>
      </w:r>
    </w:p>
    <w:p w14:paraId="5CC593C6" w14:textId="77777777" w:rsidR="00B1646D" w:rsidRPr="000D4010" w:rsidRDefault="00B1646D" w:rsidP="003E7B18">
      <w:pPr>
        <w:numPr>
          <w:ilvl w:val="0"/>
          <w:numId w:val="250"/>
        </w:numPr>
        <w:rPr>
          <w:sz w:val="24"/>
          <w:szCs w:val="24"/>
        </w:rPr>
      </w:pPr>
      <w:r w:rsidRPr="000D4010">
        <w:rPr>
          <w:sz w:val="24"/>
          <w:szCs w:val="24"/>
        </w:rPr>
        <w:t xml:space="preserve">Periodically cross check known cybersecurity threats to </w:t>
      </w:r>
      <w:r w:rsidR="002B0D3C" w:rsidRPr="000D4010">
        <w:rPr>
          <w:sz w:val="24"/>
          <w:szCs w:val="24"/>
        </w:rPr>
        <w:t>Company</w:t>
      </w:r>
      <w:r w:rsidRPr="000D4010">
        <w:rPr>
          <w:sz w:val="24"/>
          <w:szCs w:val="24"/>
        </w:rPr>
        <w:t>'s countermeasures to such threats;</w:t>
      </w:r>
    </w:p>
    <w:p w14:paraId="22C2F5C3" w14:textId="77777777" w:rsidR="00B1646D" w:rsidRPr="000D4010" w:rsidRDefault="00B1646D" w:rsidP="003E7B18">
      <w:pPr>
        <w:numPr>
          <w:ilvl w:val="0"/>
          <w:numId w:val="250"/>
        </w:numPr>
        <w:rPr>
          <w:sz w:val="24"/>
          <w:szCs w:val="24"/>
        </w:rPr>
      </w:pPr>
      <w:r w:rsidRPr="000D4010">
        <w:rPr>
          <w:sz w:val="24"/>
          <w:szCs w:val="24"/>
        </w:rPr>
        <w:t xml:space="preserve">Implement as soon as reasonably possible defensive measures and other safeguards against any cybersecurity threats newly discovered or not otherwise protected </w:t>
      </w:r>
      <w:r w:rsidR="002B0D3C" w:rsidRPr="000D4010">
        <w:rPr>
          <w:sz w:val="24"/>
          <w:szCs w:val="24"/>
        </w:rPr>
        <w:t>Company</w:t>
      </w:r>
      <w:r w:rsidRPr="000D4010">
        <w:rPr>
          <w:sz w:val="24"/>
          <w:szCs w:val="24"/>
        </w:rPr>
        <w:t>'s cybersecurity procedures;</w:t>
      </w:r>
    </w:p>
    <w:p w14:paraId="2C5B03B8" w14:textId="77777777" w:rsidR="00B1646D" w:rsidRPr="000D4010" w:rsidRDefault="00B1646D" w:rsidP="003E7B18">
      <w:pPr>
        <w:numPr>
          <w:ilvl w:val="0"/>
          <w:numId w:val="250"/>
        </w:numPr>
        <w:rPr>
          <w:sz w:val="24"/>
          <w:szCs w:val="24"/>
        </w:rPr>
      </w:pPr>
      <w:r w:rsidRPr="000D4010">
        <w:rPr>
          <w:sz w:val="24"/>
          <w:szCs w:val="24"/>
        </w:rPr>
        <w:lastRenderedPageBreak/>
        <w:t>Maintain protection against Distributed Denial of Service (DDoS) attacks f</w:t>
      </w:r>
      <w:r w:rsidR="00BE221C" w:rsidRPr="000D4010">
        <w:rPr>
          <w:sz w:val="24"/>
          <w:szCs w:val="24"/>
        </w:rPr>
        <w:t>or</w:t>
      </w:r>
      <w:r w:rsidRPr="000D4010">
        <w:rPr>
          <w:sz w:val="24"/>
          <w:szCs w:val="24"/>
        </w:rPr>
        <w:t xml:space="preserve"> critical Internet-facing IP addresses</w:t>
      </w:r>
      <w:r w:rsidR="004A6191" w:rsidRPr="000D4010">
        <w:rPr>
          <w:sz w:val="24"/>
          <w:szCs w:val="24"/>
        </w:rPr>
        <w:t>, if applicable</w:t>
      </w:r>
      <w:r w:rsidRPr="000D4010">
        <w:rPr>
          <w:sz w:val="24"/>
          <w:szCs w:val="24"/>
        </w:rPr>
        <w:t>;</w:t>
      </w:r>
    </w:p>
    <w:p w14:paraId="3AAA876E" w14:textId="77777777" w:rsidR="00B1646D" w:rsidRPr="00476D1B" w:rsidRDefault="00B1646D" w:rsidP="003E7B18">
      <w:pPr>
        <w:numPr>
          <w:ilvl w:val="0"/>
          <w:numId w:val="250"/>
        </w:numPr>
        <w:rPr>
          <w:sz w:val="24"/>
          <w:szCs w:val="24"/>
        </w:rPr>
      </w:pPr>
      <w:r w:rsidRPr="000D4010">
        <w:rPr>
          <w:sz w:val="24"/>
          <w:szCs w:val="24"/>
        </w:rPr>
        <w:t xml:space="preserve">Maintain </w:t>
      </w:r>
      <w:r w:rsidR="00543C90" w:rsidRPr="000D4010">
        <w:rPr>
          <w:sz w:val="24"/>
          <w:szCs w:val="24"/>
        </w:rPr>
        <w:t xml:space="preserve">updates </w:t>
      </w:r>
      <w:r w:rsidR="002E0DD4" w:rsidRPr="00476D1B">
        <w:rPr>
          <w:sz w:val="24"/>
          <w:szCs w:val="24"/>
        </w:rPr>
        <w:t>regularl</w:t>
      </w:r>
      <w:r w:rsidR="00D10893" w:rsidRPr="00476D1B">
        <w:rPr>
          <w:sz w:val="24"/>
          <w:szCs w:val="24"/>
        </w:rPr>
        <w:t>y</w:t>
      </w:r>
      <w:r w:rsidRPr="00476D1B">
        <w:rPr>
          <w:sz w:val="24"/>
          <w:szCs w:val="24"/>
        </w:rPr>
        <w:t xml:space="preserve">. </w:t>
      </w:r>
      <w:r w:rsidR="002E0DD4" w:rsidRPr="00476D1B">
        <w:rPr>
          <w:sz w:val="24"/>
          <w:szCs w:val="24"/>
        </w:rPr>
        <w:t xml:space="preserve"> </w:t>
      </w:r>
      <w:r w:rsidR="00D10893" w:rsidRPr="00476D1B">
        <w:rPr>
          <w:sz w:val="24"/>
          <w:szCs w:val="24"/>
        </w:rPr>
        <w:t xml:space="preserve">In the interim, </w:t>
      </w:r>
      <w:r w:rsidR="00DA223C" w:rsidRPr="00476D1B">
        <w:rPr>
          <w:sz w:val="24"/>
          <w:szCs w:val="24"/>
        </w:rPr>
        <w:t>Company</w:t>
      </w:r>
      <w:r w:rsidRPr="00476D1B">
        <w:rPr>
          <w:sz w:val="24"/>
          <w:szCs w:val="24"/>
        </w:rPr>
        <w:t xml:space="preserve"> will implement </w:t>
      </w:r>
      <w:r w:rsidR="00D10893" w:rsidRPr="00476D1B">
        <w:rPr>
          <w:sz w:val="24"/>
          <w:szCs w:val="24"/>
        </w:rPr>
        <w:t xml:space="preserve">patches when </w:t>
      </w:r>
      <w:r w:rsidRPr="00476D1B">
        <w:rPr>
          <w:sz w:val="24"/>
          <w:szCs w:val="24"/>
        </w:rPr>
        <w:t>incoming threats a</w:t>
      </w:r>
      <w:r w:rsidR="00D10893" w:rsidRPr="00476D1B">
        <w:rPr>
          <w:sz w:val="24"/>
          <w:szCs w:val="24"/>
        </w:rPr>
        <w:t>re detected</w:t>
      </w:r>
      <w:r w:rsidR="00DA223C" w:rsidRPr="00476D1B">
        <w:rPr>
          <w:sz w:val="24"/>
          <w:szCs w:val="24"/>
        </w:rPr>
        <w:t>;</w:t>
      </w:r>
    </w:p>
    <w:p w14:paraId="3B1A5BC8" w14:textId="77777777" w:rsidR="00095B77" w:rsidRPr="00476D1B" w:rsidRDefault="00095B77" w:rsidP="003E7B18">
      <w:pPr>
        <w:numPr>
          <w:ilvl w:val="0"/>
          <w:numId w:val="250"/>
        </w:numPr>
        <w:rPr>
          <w:sz w:val="32"/>
          <w:szCs w:val="24"/>
        </w:rPr>
      </w:pPr>
      <w:r w:rsidRPr="00476D1B">
        <w:rPr>
          <w:sz w:val="24"/>
        </w:rPr>
        <w:t>Employees must protect passwords assigned to them and not share them with anyone not authorized to receive the information</w:t>
      </w:r>
      <w:r w:rsidR="00FD24E5" w:rsidRPr="00476D1B">
        <w:rPr>
          <w:sz w:val="24"/>
        </w:rPr>
        <w:t>;</w:t>
      </w:r>
    </w:p>
    <w:p w14:paraId="7D3FD2CE" w14:textId="77777777" w:rsidR="00095B77" w:rsidRPr="00476D1B" w:rsidRDefault="00323091" w:rsidP="003E7B18">
      <w:pPr>
        <w:numPr>
          <w:ilvl w:val="0"/>
          <w:numId w:val="250"/>
        </w:numPr>
        <w:rPr>
          <w:sz w:val="24"/>
          <w:szCs w:val="24"/>
        </w:rPr>
      </w:pPr>
      <w:r w:rsidRPr="00476D1B">
        <w:rPr>
          <w:sz w:val="24"/>
        </w:rPr>
        <w:t>Devices must have a PIN or locking mechanism to prevent others from accessing data</w:t>
      </w:r>
      <w:r w:rsidR="002E0DD4" w:rsidRPr="00476D1B">
        <w:rPr>
          <w:sz w:val="24"/>
        </w:rPr>
        <w:t xml:space="preserve"> and </w:t>
      </w:r>
      <w:r w:rsidR="002E0DD4" w:rsidRPr="00476D1B">
        <w:rPr>
          <w:sz w:val="24"/>
          <w:szCs w:val="24"/>
        </w:rPr>
        <w:t>physically secured at all times to prevent the risk of theft or loss</w:t>
      </w:r>
      <w:r w:rsidRPr="00476D1B">
        <w:rPr>
          <w:sz w:val="24"/>
          <w:szCs w:val="24"/>
        </w:rPr>
        <w:t>.</w:t>
      </w:r>
      <w:r w:rsidR="002E0DD4" w:rsidRPr="00476D1B">
        <w:rPr>
          <w:sz w:val="24"/>
          <w:szCs w:val="24"/>
        </w:rPr>
        <w:t xml:space="preserve">  The designated supervisor and Compliance must be notified immediately if devices with customer information are lost or stolen.</w:t>
      </w:r>
    </w:p>
    <w:p w14:paraId="14873029" w14:textId="77777777" w:rsidR="002E0DD4" w:rsidRPr="00476D1B" w:rsidRDefault="002E0DD4" w:rsidP="003E7B18">
      <w:pPr>
        <w:numPr>
          <w:ilvl w:val="0"/>
          <w:numId w:val="250"/>
        </w:numPr>
        <w:rPr>
          <w:sz w:val="24"/>
          <w:szCs w:val="24"/>
        </w:rPr>
      </w:pPr>
      <w:r w:rsidRPr="00476D1B">
        <w:rPr>
          <w:sz w:val="24"/>
        </w:rPr>
        <w:t xml:space="preserve">All access to Company systems or transmission of data must be conducted through secure systems and networks. </w:t>
      </w:r>
    </w:p>
    <w:p w14:paraId="214F4A2C" w14:textId="77777777" w:rsidR="00B1646D" w:rsidRPr="00476D1B" w:rsidRDefault="002E0DD4" w:rsidP="003E7B18">
      <w:pPr>
        <w:numPr>
          <w:ilvl w:val="0"/>
          <w:numId w:val="250"/>
        </w:numPr>
        <w:rPr>
          <w:sz w:val="32"/>
          <w:szCs w:val="24"/>
        </w:rPr>
      </w:pPr>
      <w:r w:rsidRPr="00476D1B">
        <w:rPr>
          <w:sz w:val="24"/>
        </w:rPr>
        <w:t>Do not open e-mails and particularly attachments from unknown sources and sources that appear to be genuine but ask for confidential information (potential phishing).</w:t>
      </w:r>
    </w:p>
    <w:p w14:paraId="79DD3314" w14:textId="77777777" w:rsidR="006A3FA5" w:rsidRPr="00476D1B" w:rsidRDefault="006A3FA5" w:rsidP="003E7B18">
      <w:pPr>
        <w:numPr>
          <w:ilvl w:val="0"/>
          <w:numId w:val="250"/>
        </w:numPr>
        <w:rPr>
          <w:sz w:val="32"/>
          <w:szCs w:val="24"/>
        </w:rPr>
      </w:pPr>
      <w:r w:rsidRPr="00476D1B">
        <w:rPr>
          <w:sz w:val="24"/>
        </w:rPr>
        <w:t>Branch office(s)</w:t>
      </w:r>
      <w:r w:rsidR="005B19D7" w:rsidRPr="00476D1B">
        <w:rPr>
          <w:sz w:val="24"/>
        </w:rPr>
        <w:t xml:space="preserve"> and the home office share the same IT service to ensure similar systems and controls</w:t>
      </w:r>
      <w:r w:rsidR="00E15914" w:rsidRPr="00476D1B">
        <w:rPr>
          <w:sz w:val="24"/>
        </w:rPr>
        <w:t xml:space="preserve"> and </w:t>
      </w:r>
      <w:r w:rsidR="00CF48D3" w:rsidRPr="00476D1B">
        <w:rPr>
          <w:sz w:val="24"/>
        </w:rPr>
        <w:t xml:space="preserve">are subject to </w:t>
      </w:r>
      <w:r w:rsidR="005B19D7" w:rsidRPr="00476D1B">
        <w:rPr>
          <w:sz w:val="24"/>
        </w:rPr>
        <w:t>branch</w:t>
      </w:r>
      <w:r w:rsidR="00CF48D3" w:rsidRPr="00476D1B">
        <w:rPr>
          <w:sz w:val="24"/>
        </w:rPr>
        <w:t xml:space="preserve"> reviews</w:t>
      </w:r>
      <w:r w:rsidR="005B19D7" w:rsidRPr="00476D1B">
        <w:rPr>
          <w:sz w:val="24"/>
        </w:rPr>
        <w:t>.</w:t>
      </w:r>
      <w:r w:rsidR="00CF48D3" w:rsidRPr="00476D1B">
        <w:rPr>
          <w:sz w:val="24"/>
        </w:rPr>
        <w:t xml:space="preserve">  Branch offices must notify Morris Monroe or Compliance of any violations</w:t>
      </w:r>
      <w:r w:rsidR="00593815" w:rsidRPr="00476D1B">
        <w:rPr>
          <w:sz w:val="24"/>
        </w:rPr>
        <w:t xml:space="preserve"> or</w:t>
      </w:r>
      <w:r w:rsidR="00CF48D3" w:rsidRPr="00476D1B">
        <w:rPr>
          <w:sz w:val="24"/>
        </w:rPr>
        <w:t xml:space="preserve"> loss </w:t>
      </w:r>
      <w:r w:rsidR="00644963" w:rsidRPr="00476D1B">
        <w:rPr>
          <w:sz w:val="24"/>
        </w:rPr>
        <w:t>or stolen</w:t>
      </w:r>
      <w:r w:rsidR="00CF48D3" w:rsidRPr="00476D1B">
        <w:rPr>
          <w:sz w:val="24"/>
        </w:rPr>
        <w:t xml:space="preserve"> data</w:t>
      </w:r>
      <w:r w:rsidR="00644963" w:rsidRPr="00476D1B">
        <w:rPr>
          <w:sz w:val="24"/>
        </w:rPr>
        <w:t xml:space="preserve"> or assets</w:t>
      </w:r>
      <w:r w:rsidR="00CF48D3" w:rsidRPr="00476D1B">
        <w:rPr>
          <w:sz w:val="24"/>
        </w:rPr>
        <w:t>.</w:t>
      </w:r>
    </w:p>
    <w:p w14:paraId="35FD6FD7" w14:textId="77777777" w:rsidR="00644963" w:rsidRPr="00476D1B" w:rsidRDefault="00644963" w:rsidP="003E7B18">
      <w:pPr>
        <w:numPr>
          <w:ilvl w:val="0"/>
          <w:numId w:val="250"/>
        </w:numPr>
        <w:rPr>
          <w:sz w:val="32"/>
          <w:szCs w:val="24"/>
        </w:rPr>
      </w:pPr>
      <w:r w:rsidRPr="00476D1B">
        <w:rPr>
          <w:sz w:val="24"/>
        </w:rPr>
        <w:t>Ensure secure asset disposal, such as destroying hard drives no longer in use.</w:t>
      </w:r>
    </w:p>
    <w:p w14:paraId="56B86265" w14:textId="77777777" w:rsidR="00CF48D3" w:rsidRPr="00476D1B" w:rsidRDefault="00CF48D3" w:rsidP="003E7B18">
      <w:pPr>
        <w:numPr>
          <w:ilvl w:val="0"/>
          <w:numId w:val="250"/>
        </w:numPr>
        <w:rPr>
          <w:sz w:val="32"/>
          <w:szCs w:val="24"/>
        </w:rPr>
      </w:pPr>
      <w:r w:rsidRPr="00476D1B">
        <w:rPr>
          <w:sz w:val="24"/>
        </w:rPr>
        <w:t>All employees and Associated Persons are required to attest annually to their knowledge of and compliance with Company’s cybersecurity policies.</w:t>
      </w:r>
    </w:p>
    <w:p w14:paraId="7AA3ADFB" w14:textId="77777777" w:rsidR="002E0DD4" w:rsidRPr="00476D1B" w:rsidRDefault="002E0DD4" w:rsidP="002E0DD4">
      <w:pPr>
        <w:ind w:left="720"/>
      </w:pPr>
    </w:p>
    <w:p w14:paraId="74566899" w14:textId="77777777" w:rsidR="002E0DD4" w:rsidRDefault="002E0DD4" w:rsidP="002E0DD4">
      <w:pPr>
        <w:ind w:left="360"/>
        <w:rPr>
          <w:b/>
          <w:sz w:val="24"/>
          <w:szCs w:val="24"/>
        </w:rPr>
      </w:pPr>
    </w:p>
    <w:p w14:paraId="31F79D82" w14:textId="77777777" w:rsidR="00B1646D" w:rsidRPr="000D4010" w:rsidRDefault="00B1646D" w:rsidP="002E0DD4">
      <w:pPr>
        <w:ind w:left="360"/>
        <w:rPr>
          <w:b/>
          <w:sz w:val="24"/>
          <w:szCs w:val="24"/>
        </w:rPr>
      </w:pPr>
      <w:r w:rsidRPr="000D4010">
        <w:rPr>
          <w:b/>
          <w:sz w:val="24"/>
          <w:szCs w:val="24"/>
        </w:rPr>
        <w:t xml:space="preserve">Monitoring and Detection </w:t>
      </w:r>
    </w:p>
    <w:p w14:paraId="03625BAC" w14:textId="77777777" w:rsidR="00B1646D" w:rsidRPr="000D4010" w:rsidRDefault="00810A8C" w:rsidP="002E0DD4">
      <w:pPr>
        <w:pStyle w:val="Normal2"/>
        <w:spacing w:before="0" w:beforeAutospacing="0" w:after="0" w:afterAutospacing="0"/>
        <w:ind w:left="360"/>
      </w:pPr>
      <w:r w:rsidRPr="000D4010">
        <w:t>Company</w:t>
      </w:r>
      <w:r w:rsidR="00B1646D" w:rsidRPr="000D4010">
        <w:t xml:space="preserve"> </w:t>
      </w:r>
      <w:r w:rsidRPr="000D4010">
        <w:t>will monitor Assets and Systems at discrete intervals to identify cybersecurity events and verify the effectiveness of protective measures. This will include</w:t>
      </w:r>
      <w:r w:rsidR="00B1646D" w:rsidRPr="000D4010">
        <w:t>:</w:t>
      </w:r>
    </w:p>
    <w:p w14:paraId="6F6387FC" w14:textId="77777777" w:rsidR="00B1646D" w:rsidRPr="000D4010" w:rsidRDefault="00810A8C" w:rsidP="00810A8C">
      <w:pPr>
        <w:pStyle w:val="Normal2"/>
        <w:spacing w:before="0" w:beforeAutospacing="0" w:after="0" w:afterAutospacing="0"/>
      </w:pPr>
      <w:r w:rsidRPr="000D4010">
        <w:t xml:space="preserve"> </w:t>
      </w:r>
    </w:p>
    <w:p w14:paraId="72F95881" w14:textId="77777777" w:rsidR="00C830BF" w:rsidRDefault="00B1646D" w:rsidP="003E7B18">
      <w:pPr>
        <w:numPr>
          <w:ilvl w:val="0"/>
          <w:numId w:val="251"/>
        </w:numPr>
        <w:rPr>
          <w:sz w:val="24"/>
          <w:szCs w:val="24"/>
        </w:rPr>
      </w:pPr>
      <w:r w:rsidRPr="000D4010">
        <w:rPr>
          <w:sz w:val="24"/>
          <w:szCs w:val="24"/>
        </w:rPr>
        <w:t>The network in an attempt to detect potential cybersecurity events;</w:t>
      </w:r>
      <w:r w:rsidR="00166997">
        <w:rPr>
          <w:sz w:val="24"/>
          <w:szCs w:val="24"/>
        </w:rPr>
        <w:t xml:space="preserve"> </w:t>
      </w:r>
    </w:p>
    <w:p w14:paraId="5864B8B8" w14:textId="3850E1C7" w:rsidR="00B1646D" w:rsidRPr="00CC601C" w:rsidRDefault="00C830BF" w:rsidP="00C830BF">
      <w:pPr>
        <w:ind w:left="720"/>
        <w:rPr>
          <w:sz w:val="24"/>
          <w:szCs w:val="24"/>
        </w:rPr>
      </w:pPr>
      <w:r w:rsidRPr="00CC601C">
        <w:rPr>
          <w:i/>
          <w:iCs/>
          <w:sz w:val="24"/>
          <w:szCs w:val="24"/>
        </w:rPr>
        <w:t>[</w:t>
      </w:r>
      <w:r w:rsidR="00166997" w:rsidRPr="00CC601C">
        <w:rPr>
          <w:i/>
          <w:iCs/>
          <w:sz w:val="24"/>
          <w:szCs w:val="24"/>
        </w:rPr>
        <w:t xml:space="preserve">Company maintains threat prevention programs on Server and manages such activity.  Alerts are provided in the event they occur).  </w:t>
      </w:r>
      <w:r w:rsidR="005477B1" w:rsidRPr="00CC601C">
        <w:rPr>
          <w:i/>
          <w:iCs/>
          <w:sz w:val="24"/>
          <w:szCs w:val="24"/>
        </w:rPr>
        <w:t xml:space="preserve">Cisco </w:t>
      </w:r>
      <w:r w:rsidR="00166997" w:rsidRPr="00CC601C">
        <w:rPr>
          <w:i/>
          <w:iCs/>
          <w:sz w:val="24"/>
          <w:szCs w:val="24"/>
        </w:rPr>
        <w:t xml:space="preserve">Meraki </w:t>
      </w:r>
      <w:r w:rsidR="005477B1" w:rsidRPr="00CC601C">
        <w:rPr>
          <w:i/>
          <w:iCs/>
          <w:sz w:val="24"/>
          <w:szCs w:val="24"/>
        </w:rPr>
        <w:t>(unified management of devices)</w:t>
      </w:r>
      <w:r w:rsidR="00166997" w:rsidRPr="00CC601C">
        <w:rPr>
          <w:i/>
          <w:iCs/>
          <w:sz w:val="24"/>
          <w:szCs w:val="24"/>
        </w:rPr>
        <w:t xml:space="preserve"> portal also monitored by IT and Compliance).  Alert emails will be maintained as evidence of review and a monthly review will be maintained as a separate testing document</w:t>
      </w:r>
      <w:r w:rsidR="00C453BC" w:rsidRPr="00CC601C">
        <w:rPr>
          <w:i/>
          <w:iCs/>
          <w:sz w:val="24"/>
          <w:szCs w:val="24"/>
        </w:rPr>
        <w:t xml:space="preserve"> – Meraki/Organization/Summary</w:t>
      </w:r>
      <w:r w:rsidR="00E210EE" w:rsidRPr="00CC601C">
        <w:rPr>
          <w:i/>
          <w:iCs/>
          <w:sz w:val="24"/>
          <w:szCs w:val="24"/>
        </w:rPr>
        <w:t xml:space="preserve"> </w:t>
      </w:r>
      <w:proofErr w:type="spellStart"/>
      <w:r w:rsidR="00C453BC" w:rsidRPr="00CC601C">
        <w:rPr>
          <w:i/>
          <w:iCs/>
          <w:sz w:val="24"/>
          <w:szCs w:val="24"/>
        </w:rPr>
        <w:t>Rpt</w:t>
      </w:r>
      <w:proofErr w:type="spellEnd"/>
      <w:r w:rsidRPr="00CC601C">
        <w:rPr>
          <w:i/>
          <w:iCs/>
          <w:sz w:val="24"/>
          <w:szCs w:val="24"/>
        </w:rPr>
        <w:t>]</w:t>
      </w:r>
      <w:r w:rsidR="00166997" w:rsidRPr="00CC601C">
        <w:rPr>
          <w:i/>
          <w:iCs/>
          <w:sz w:val="24"/>
          <w:szCs w:val="24"/>
        </w:rPr>
        <w:t>.</w:t>
      </w:r>
    </w:p>
    <w:p w14:paraId="21CF241A" w14:textId="77777777" w:rsidR="00C830BF" w:rsidRPr="00CC601C" w:rsidRDefault="00B1646D" w:rsidP="003E7B18">
      <w:pPr>
        <w:numPr>
          <w:ilvl w:val="0"/>
          <w:numId w:val="251"/>
        </w:numPr>
        <w:rPr>
          <w:sz w:val="24"/>
          <w:szCs w:val="24"/>
        </w:rPr>
      </w:pPr>
      <w:r w:rsidRPr="00CC601C">
        <w:rPr>
          <w:sz w:val="24"/>
          <w:szCs w:val="24"/>
        </w:rPr>
        <w:t>The physical environment to detect potential cybersecurity events;</w:t>
      </w:r>
      <w:r w:rsidR="00C830BF" w:rsidRPr="00CC601C">
        <w:rPr>
          <w:sz w:val="24"/>
          <w:szCs w:val="24"/>
        </w:rPr>
        <w:t xml:space="preserve"> </w:t>
      </w:r>
    </w:p>
    <w:p w14:paraId="2B0F5385" w14:textId="0E95BF0E" w:rsidR="00B1646D" w:rsidRPr="00CC601C" w:rsidRDefault="00C830BF" w:rsidP="00C830BF">
      <w:pPr>
        <w:ind w:left="720"/>
        <w:rPr>
          <w:sz w:val="24"/>
          <w:szCs w:val="24"/>
        </w:rPr>
      </w:pPr>
      <w:r w:rsidRPr="00CC601C">
        <w:rPr>
          <w:i/>
          <w:iCs/>
          <w:sz w:val="24"/>
          <w:szCs w:val="24"/>
        </w:rPr>
        <w:t>[Same as well as Event Log maintained on Server]</w:t>
      </w:r>
    </w:p>
    <w:p w14:paraId="0603E5A5" w14:textId="5B26A93F" w:rsidR="00B1646D" w:rsidRPr="00CC601C" w:rsidRDefault="00B1646D" w:rsidP="003E7B18">
      <w:pPr>
        <w:numPr>
          <w:ilvl w:val="0"/>
          <w:numId w:val="251"/>
        </w:numPr>
        <w:rPr>
          <w:sz w:val="24"/>
          <w:szCs w:val="24"/>
        </w:rPr>
      </w:pPr>
      <w:r w:rsidRPr="00CC601C">
        <w:rPr>
          <w:sz w:val="24"/>
          <w:szCs w:val="24"/>
        </w:rPr>
        <w:t>The personnel activity to detect potential cybersecurity events;</w:t>
      </w:r>
      <w:r w:rsidR="00A81695" w:rsidRPr="00CC601C">
        <w:rPr>
          <w:sz w:val="24"/>
          <w:szCs w:val="24"/>
        </w:rPr>
        <w:t xml:space="preserve"> </w:t>
      </w:r>
      <w:r w:rsidR="00A81695" w:rsidRPr="00CC601C">
        <w:rPr>
          <w:i/>
          <w:iCs/>
          <w:sz w:val="24"/>
          <w:szCs w:val="24"/>
        </w:rPr>
        <w:t>[Same]</w:t>
      </w:r>
    </w:p>
    <w:p w14:paraId="5E8D93A0" w14:textId="2CF84396" w:rsidR="00B1646D" w:rsidRPr="00CC601C" w:rsidRDefault="00B1646D" w:rsidP="003E7B18">
      <w:pPr>
        <w:numPr>
          <w:ilvl w:val="0"/>
          <w:numId w:val="251"/>
        </w:numPr>
        <w:rPr>
          <w:sz w:val="24"/>
          <w:szCs w:val="24"/>
        </w:rPr>
      </w:pPr>
      <w:r w:rsidRPr="00CC601C">
        <w:rPr>
          <w:sz w:val="24"/>
          <w:szCs w:val="24"/>
        </w:rPr>
        <w:t>For signs of malicious code</w:t>
      </w:r>
      <w:r w:rsidR="00A81695" w:rsidRPr="00CC601C">
        <w:rPr>
          <w:sz w:val="24"/>
          <w:szCs w:val="24"/>
        </w:rPr>
        <w:t xml:space="preserve"> </w:t>
      </w:r>
      <w:r w:rsidR="00A81695" w:rsidRPr="00CC601C">
        <w:rPr>
          <w:i/>
          <w:iCs/>
          <w:sz w:val="24"/>
          <w:szCs w:val="24"/>
        </w:rPr>
        <w:t>[Same]</w:t>
      </w:r>
      <w:r w:rsidRPr="00CC601C">
        <w:rPr>
          <w:sz w:val="24"/>
          <w:szCs w:val="24"/>
        </w:rPr>
        <w:t>;</w:t>
      </w:r>
    </w:p>
    <w:p w14:paraId="7865532A" w14:textId="5C2DC782" w:rsidR="00B1646D" w:rsidRPr="00CC601C" w:rsidRDefault="00B1646D" w:rsidP="003E7B18">
      <w:pPr>
        <w:numPr>
          <w:ilvl w:val="0"/>
          <w:numId w:val="251"/>
        </w:numPr>
        <w:rPr>
          <w:sz w:val="24"/>
          <w:szCs w:val="24"/>
        </w:rPr>
      </w:pPr>
      <w:r w:rsidRPr="00CC601C">
        <w:rPr>
          <w:sz w:val="24"/>
          <w:szCs w:val="24"/>
        </w:rPr>
        <w:t>For evidence of unauthorized mobile code;</w:t>
      </w:r>
    </w:p>
    <w:p w14:paraId="0DF8CE92" w14:textId="259E66BE" w:rsidR="00BA79FC" w:rsidRPr="00CC601C" w:rsidRDefault="00B1646D" w:rsidP="003E7B18">
      <w:pPr>
        <w:numPr>
          <w:ilvl w:val="0"/>
          <w:numId w:val="251"/>
        </w:numPr>
        <w:rPr>
          <w:sz w:val="24"/>
          <w:szCs w:val="24"/>
        </w:rPr>
      </w:pPr>
      <w:r w:rsidRPr="00CC601C">
        <w:rPr>
          <w:sz w:val="24"/>
          <w:szCs w:val="24"/>
        </w:rPr>
        <w:t>For unauthorized personnel, connections, devices, and software</w:t>
      </w:r>
      <w:r w:rsidR="00A81695" w:rsidRPr="00CC601C">
        <w:rPr>
          <w:sz w:val="24"/>
          <w:szCs w:val="24"/>
        </w:rPr>
        <w:t xml:space="preserve"> </w:t>
      </w:r>
      <w:r w:rsidR="00A81695" w:rsidRPr="00CC601C">
        <w:rPr>
          <w:i/>
          <w:iCs/>
          <w:sz w:val="24"/>
          <w:szCs w:val="24"/>
        </w:rPr>
        <w:t>[Event Log]</w:t>
      </w:r>
      <w:r w:rsidR="0047284D" w:rsidRPr="00CC601C">
        <w:rPr>
          <w:sz w:val="24"/>
          <w:szCs w:val="24"/>
        </w:rPr>
        <w:t>;</w:t>
      </w:r>
    </w:p>
    <w:p w14:paraId="1D196BCB" w14:textId="77777777" w:rsidR="00B1646D" w:rsidRPr="000D4010" w:rsidRDefault="00B1646D" w:rsidP="003E7B18">
      <w:pPr>
        <w:numPr>
          <w:ilvl w:val="0"/>
          <w:numId w:val="251"/>
        </w:numPr>
        <w:rPr>
          <w:sz w:val="24"/>
          <w:szCs w:val="24"/>
        </w:rPr>
      </w:pPr>
      <w:r w:rsidRPr="000D4010">
        <w:rPr>
          <w:sz w:val="24"/>
          <w:szCs w:val="24"/>
        </w:rPr>
        <w:t xml:space="preserve">Limit the universe of information that is susceptible to a data breach by reviewing and reassessing record/data and destroying unneeded data if permitted by books and records requirements of applicable statutes and regulations, including Rule 204-2 under the Advisers Act, and </w:t>
      </w:r>
      <w:r w:rsidR="001F46C1" w:rsidRPr="000D4010">
        <w:rPr>
          <w:sz w:val="24"/>
          <w:szCs w:val="24"/>
        </w:rPr>
        <w:t>Company</w:t>
      </w:r>
      <w:r w:rsidRPr="000D4010">
        <w:rPr>
          <w:sz w:val="24"/>
          <w:szCs w:val="24"/>
        </w:rPr>
        <w:t>'s Books and Records Procedures; and</w:t>
      </w:r>
    </w:p>
    <w:p w14:paraId="7348F96C" w14:textId="50555ED8" w:rsidR="00B1646D" w:rsidRPr="00CC601C" w:rsidRDefault="00B1646D" w:rsidP="003E7B18">
      <w:pPr>
        <w:numPr>
          <w:ilvl w:val="0"/>
          <w:numId w:val="251"/>
        </w:numPr>
        <w:rPr>
          <w:sz w:val="24"/>
          <w:szCs w:val="24"/>
        </w:rPr>
      </w:pPr>
      <w:r w:rsidRPr="000D4010">
        <w:rPr>
          <w:sz w:val="24"/>
          <w:szCs w:val="24"/>
        </w:rPr>
        <w:t>When replacing a computer or other equipment that holds data on a hard drive, such data is completely erased.</w:t>
      </w:r>
      <w:r w:rsidR="00BA79FC" w:rsidRPr="000D4010">
        <w:rPr>
          <w:sz w:val="24"/>
          <w:szCs w:val="24"/>
        </w:rPr>
        <w:t xml:space="preserve"> </w:t>
      </w:r>
      <w:r w:rsidRPr="000D4010">
        <w:rPr>
          <w:sz w:val="24"/>
          <w:szCs w:val="24"/>
        </w:rPr>
        <w:t xml:space="preserve"> In some cases, the only way to absolutely guarantee that information on a hard drive is irretrievable may be to destroy the hard drive (which may not be practicable).</w:t>
      </w:r>
      <w:r w:rsidR="0070404F">
        <w:rPr>
          <w:sz w:val="24"/>
          <w:szCs w:val="24"/>
        </w:rPr>
        <w:t xml:space="preserve"> </w:t>
      </w:r>
      <w:r w:rsidR="0070404F" w:rsidRPr="00CC601C">
        <w:rPr>
          <w:i/>
          <w:iCs/>
          <w:sz w:val="24"/>
          <w:szCs w:val="24"/>
        </w:rPr>
        <w:t>[Compliance maintains certificates of destruction]</w:t>
      </w:r>
    </w:p>
    <w:p w14:paraId="5195AAA8" w14:textId="6E87CD93" w:rsidR="002172E5" w:rsidRPr="000D4010" w:rsidRDefault="002172E5" w:rsidP="003E7B18">
      <w:pPr>
        <w:numPr>
          <w:ilvl w:val="0"/>
          <w:numId w:val="251"/>
        </w:numPr>
        <w:shd w:val="clear" w:color="auto" w:fill="FFFFFF"/>
        <w:rPr>
          <w:sz w:val="24"/>
          <w:szCs w:val="24"/>
        </w:rPr>
      </w:pPr>
      <w:r w:rsidRPr="000D4010">
        <w:rPr>
          <w:sz w:val="24"/>
          <w:szCs w:val="24"/>
        </w:rPr>
        <w:t>Data breaches resulting from the loss or theft of personal communications devices containing or having access to confidential client data, such as information in corporate email;</w:t>
      </w:r>
    </w:p>
    <w:p w14:paraId="75C0C3C6" w14:textId="77777777" w:rsidR="002172E5" w:rsidRPr="000D4010" w:rsidRDefault="002172E5" w:rsidP="003E7B18">
      <w:pPr>
        <w:numPr>
          <w:ilvl w:val="0"/>
          <w:numId w:val="251"/>
        </w:numPr>
        <w:shd w:val="clear" w:color="auto" w:fill="FFFFFF"/>
        <w:rPr>
          <w:sz w:val="24"/>
          <w:szCs w:val="24"/>
        </w:rPr>
      </w:pPr>
      <w:r w:rsidRPr="000D4010">
        <w:rPr>
          <w:sz w:val="24"/>
          <w:szCs w:val="24"/>
        </w:rPr>
        <w:lastRenderedPageBreak/>
        <w:t>Interception of wireless network communications to and from a mobile device across unsecured wireless access points (</w:t>
      </w:r>
      <w:r w:rsidRPr="000D4010">
        <w:rPr>
          <w:i/>
          <w:iCs/>
          <w:sz w:val="24"/>
          <w:szCs w:val="24"/>
        </w:rPr>
        <w:t>e.g.,</w:t>
      </w:r>
      <w:r w:rsidRPr="000D4010">
        <w:rPr>
          <w:sz w:val="24"/>
          <w:szCs w:val="24"/>
        </w:rPr>
        <w:t xml:space="preserve"> public Wi-Fi hotspots located in many airports);</w:t>
      </w:r>
    </w:p>
    <w:p w14:paraId="7F236D79" w14:textId="77777777" w:rsidR="002172E5" w:rsidRPr="000D4010" w:rsidRDefault="002172E5" w:rsidP="003E7B18">
      <w:pPr>
        <w:numPr>
          <w:ilvl w:val="0"/>
          <w:numId w:val="251"/>
        </w:numPr>
        <w:shd w:val="clear" w:color="auto" w:fill="FFFFFF"/>
        <w:rPr>
          <w:sz w:val="24"/>
          <w:szCs w:val="24"/>
        </w:rPr>
      </w:pPr>
      <w:r w:rsidRPr="000D4010">
        <w:rPr>
          <w:sz w:val="24"/>
          <w:szCs w:val="24"/>
        </w:rPr>
        <w:t>Data leakage concerns involving corporate data accessible via an app on such a device (</w:t>
      </w:r>
      <w:r w:rsidRPr="000D4010">
        <w:rPr>
          <w:i/>
          <w:iCs/>
          <w:sz w:val="24"/>
          <w:szCs w:val="24"/>
        </w:rPr>
        <w:t>e.g.,</w:t>
      </w:r>
      <w:r w:rsidRPr="000D4010">
        <w:rPr>
          <w:sz w:val="24"/>
          <w:szCs w:val="24"/>
        </w:rPr>
        <w:t xml:space="preserve"> Dropbox), and the difficulties in controlling the flow of proprietary information and intellectual property outside the Company;</w:t>
      </w:r>
    </w:p>
    <w:p w14:paraId="0D2BC68D" w14:textId="77777777" w:rsidR="002172E5" w:rsidRPr="000D4010" w:rsidRDefault="002172E5" w:rsidP="003E7B18">
      <w:pPr>
        <w:numPr>
          <w:ilvl w:val="0"/>
          <w:numId w:val="251"/>
        </w:numPr>
        <w:shd w:val="clear" w:color="auto" w:fill="FFFFFF"/>
        <w:rPr>
          <w:sz w:val="24"/>
          <w:szCs w:val="24"/>
        </w:rPr>
      </w:pPr>
      <w:r w:rsidRPr="000D4010">
        <w:rPr>
          <w:sz w:val="24"/>
          <w:szCs w:val="24"/>
        </w:rPr>
        <w:t>Surveillance obstacles in monitoring compliance on personal devices; and</w:t>
      </w:r>
    </w:p>
    <w:p w14:paraId="636CD1FB" w14:textId="7C99DEE2" w:rsidR="002172E5" w:rsidRDefault="002172E5" w:rsidP="003E7B18">
      <w:pPr>
        <w:numPr>
          <w:ilvl w:val="0"/>
          <w:numId w:val="251"/>
        </w:numPr>
        <w:rPr>
          <w:sz w:val="24"/>
          <w:szCs w:val="24"/>
        </w:rPr>
      </w:pPr>
      <w:r w:rsidRPr="000D4010">
        <w:rPr>
          <w:sz w:val="24"/>
          <w:szCs w:val="24"/>
        </w:rPr>
        <w:t xml:space="preserve">Rogue software, apps, spyware, mobile adware (also known as </w:t>
      </w:r>
      <w:r w:rsidR="00B517FE" w:rsidRPr="000D4010">
        <w:rPr>
          <w:sz w:val="24"/>
          <w:szCs w:val="24"/>
        </w:rPr>
        <w:t>ma</w:t>
      </w:r>
      <w:r w:rsidR="00B517FE">
        <w:rPr>
          <w:sz w:val="24"/>
          <w:szCs w:val="24"/>
        </w:rPr>
        <w:t>l</w:t>
      </w:r>
      <w:r w:rsidR="00B517FE" w:rsidRPr="000D4010">
        <w:rPr>
          <w:sz w:val="24"/>
          <w:szCs w:val="24"/>
        </w:rPr>
        <w:t>ware</w:t>
      </w:r>
      <w:r w:rsidRPr="000D4010">
        <w:rPr>
          <w:sz w:val="24"/>
          <w:szCs w:val="24"/>
        </w:rPr>
        <w:t>), viruses and worms that can infect devices. These threats can compromise not only a device itself, but also can spread Company's corporate network and infect other machines. For example, a brand of cell phone running one particular operating system version (</w:t>
      </w:r>
      <w:r w:rsidRPr="000D4010">
        <w:rPr>
          <w:i/>
          <w:iCs/>
          <w:sz w:val="24"/>
          <w:szCs w:val="24"/>
        </w:rPr>
        <w:t>e.g.,</w:t>
      </w:r>
      <w:r w:rsidRPr="000D4010">
        <w:rPr>
          <w:sz w:val="24"/>
          <w:szCs w:val="24"/>
        </w:rPr>
        <w:t xml:space="preserve"> iOS 6.1.1) could be vulnerable to exposing access to contacts, calendars, and other information, and to a vulnerability permitting the passcode to be circumvented</w:t>
      </w:r>
      <w:r w:rsidR="00D614B5">
        <w:rPr>
          <w:sz w:val="24"/>
          <w:szCs w:val="24"/>
        </w:rPr>
        <w:t>.</w:t>
      </w:r>
    </w:p>
    <w:p w14:paraId="7CF136E0" w14:textId="77777777" w:rsidR="00D614B5" w:rsidRPr="00CC601C" w:rsidRDefault="00D614B5" w:rsidP="00D614B5">
      <w:pPr>
        <w:pStyle w:val="ListParagraph"/>
        <w:rPr>
          <w:sz w:val="24"/>
          <w:szCs w:val="24"/>
        </w:rPr>
      </w:pPr>
      <w:r w:rsidRPr="00CC601C">
        <w:rPr>
          <w:i/>
          <w:iCs/>
          <w:sz w:val="24"/>
          <w:szCs w:val="24"/>
        </w:rPr>
        <w:t>[Same as well as Event Log maintained on Server]</w:t>
      </w:r>
    </w:p>
    <w:p w14:paraId="60C08451" w14:textId="77777777" w:rsidR="00B1646D" w:rsidRPr="00CC601C" w:rsidRDefault="00B1646D" w:rsidP="00810A8C">
      <w:pPr>
        <w:rPr>
          <w:sz w:val="24"/>
          <w:szCs w:val="24"/>
        </w:rPr>
      </w:pPr>
    </w:p>
    <w:p w14:paraId="54A0F41C" w14:textId="77777777" w:rsidR="00B1646D" w:rsidRPr="000D4010" w:rsidRDefault="002172E5" w:rsidP="00BA79FC">
      <w:pPr>
        <w:ind w:firstLine="360"/>
        <w:rPr>
          <w:b/>
          <w:sz w:val="24"/>
          <w:szCs w:val="24"/>
        </w:rPr>
      </w:pPr>
      <w:r w:rsidRPr="000D4010">
        <w:rPr>
          <w:b/>
          <w:sz w:val="24"/>
          <w:szCs w:val="24"/>
        </w:rPr>
        <w:t xml:space="preserve">Escalation and </w:t>
      </w:r>
      <w:r w:rsidR="00B1646D" w:rsidRPr="000D4010">
        <w:rPr>
          <w:b/>
          <w:sz w:val="24"/>
          <w:szCs w:val="24"/>
        </w:rPr>
        <w:t xml:space="preserve">Responding to a Cybersecurity Attack </w:t>
      </w:r>
    </w:p>
    <w:p w14:paraId="3DC1CA76" w14:textId="77777777" w:rsidR="00B1646D" w:rsidRPr="000D4010" w:rsidRDefault="00BA79FC" w:rsidP="00BA79FC">
      <w:pPr>
        <w:pStyle w:val="Normal2"/>
        <w:spacing w:before="0" w:beforeAutospacing="0" w:after="0" w:afterAutospacing="0"/>
        <w:ind w:left="360"/>
      </w:pPr>
      <w:r w:rsidRPr="000D4010">
        <w:t>Company</w:t>
      </w:r>
      <w:r w:rsidR="00B1646D" w:rsidRPr="000D4010">
        <w:t xml:space="preserve"> will take immediate action regarding a detected cyberse</w:t>
      </w:r>
      <w:r w:rsidR="00D377E8" w:rsidRPr="000D4010">
        <w:t>curity event that, at a minimum</w:t>
      </w:r>
      <w:r w:rsidR="00B1646D" w:rsidRPr="000D4010">
        <w:t xml:space="preserve"> include</w:t>
      </w:r>
      <w:r w:rsidR="00D377E8" w:rsidRPr="000D4010">
        <w:t>s</w:t>
      </w:r>
      <w:r w:rsidR="00B1646D" w:rsidRPr="000D4010">
        <w:t>:</w:t>
      </w:r>
    </w:p>
    <w:p w14:paraId="4E80E71C" w14:textId="77777777" w:rsidR="007500FE" w:rsidRPr="000D4010" w:rsidRDefault="00D377E8" w:rsidP="003E7B18">
      <w:pPr>
        <w:numPr>
          <w:ilvl w:val="0"/>
          <w:numId w:val="252"/>
        </w:numPr>
        <w:rPr>
          <w:sz w:val="24"/>
          <w:szCs w:val="24"/>
        </w:rPr>
      </w:pPr>
      <w:r w:rsidRPr="000D4010">
        <w:rPr>
          <w:sz w:val="24"/>
          <w:szCs w:val="24"/>
        </w:rPr>
        <w:t>Reporting a</w:t>
      </w:r>
      <w:r w:rsidR="007500FE" w:rsidRPr="000D4010">
        <w:rPr>
          <w:sz w:val="24"/>
          <w:szCs w:val="24"/>
        </w:rPr>
        <w:t xml:space="preserve">ny potential or known incident to Compliance.  Such information may involve sharing with internally and externally individuals consistent with established criteria in an effort to achieve broader cybersecurity situational awareness; </w:t>
      </w:r>
    </w:p>
    <w:p w14:paraId="422EF9A2" w14:textId="77777777" w:rsidR="007500FE" w:rsidRPr="000D4010" w:rsidRDefault="007500FE" w:rsidP="003E7B18">
      <w:pPr>
        <w:numPr>
          <w:ilvl w:val="0"/>
          <w:numId w:val="252"/>
        </w:numPr>
        <w:rPr>
          <w:sz w:val="24"/>
          <w:szCs w:val="24"/>
        </w:rPr>
      </w:pPr>
      <w:r w:rsidRPr="000D4010">
        <w:rPr>
          <w:sz w:val="24"/>
          <w:szCs w:val="24"/>
        </w:rPr>
        <w:t>Compliance and IT</w:t>
      </w:r>
      <w:r w:rsidR="00B1646D" w:rsidRPr="000D4010">
        <w:rPr>
          <w:sz w:val="24"/>
          <w:szCs w:val="24"/>
        </w:rPr>
        <w:t xml:space="preserve"> can begin to deal with a data breach as soon as it is </w:t>
      </w:r>
      <w:r w:rsidRPr="000D4010">
        <w:rPr>
          <w:sz w:val="24"/>
          <w:szCs w:val="24"/>
        </w:rPr>
        <w:t>discovered</w:t>
      </w:r>
      <w:r w:rsidR="002172E5" w:rsidRPr="000D4010">
        <w:rPr>
          <w:sz w:val="24"/>
          <w:szCs w:val="24"/>
        </w:rPr>
        <w:t xml:space="preserve">, prepare an Incident Report </w:t>
      </w:r>
      <w:r w:rsidR="009713CF" w:rsidRPr="000D4010">
        <w:rPr>
          <w:sz w:val="24"/>
          <w:szCs w:val="24"/>
        </w:rPr>
        <w:t>(as noted below)</w:t>
      </w:r>
      <w:r w:rsidRPr="000D4010">
        <w:rPr>
          <w:sz w:val="24"/>
          <w:szCs w:val="24"/>
        </w:rPr>
        <w:t xml:space="preserve">; </w:t>
      </w:r>
    </w:p>
    <w:p w14:paraId="1F2B9B3D" w14:textId="77777777" w:rsidR="00B1646D" w:rsidRPr="000D4010" w:rsidRDefault="007500FE" w:rsidP="003E7B18">
      <w:pPr>
        <w:numPr>
          <w:ilvl w:val="0"/>
          <w:numId w:val="252"/>
        </w:numPr>
        <w:rPr>
          <w:sz w:val="24"/>
          <w:szCs w:val="24"/>
        </w:rPr>
      </w:pPr>
      <w:r w:rsidRPr="000D4010">
        <w:rPr>
          <w:sz w:val="24"/>
          <w:szCs w:val="24"/>
        </w:rPr>
        <w:t>Act</w:t>
      </w:r>
      <w:r w:rsidR="00B1646D" w:rsidRPr="000D4010">
        <w:rPr>
          <w:sz w:val="24"/>
          <w:szCs w:val="24"/>
        </w:rPr>
        <w:t>ivating pre-existing measures, including a vulnerability management plan and patches, designed to contain the impact of a potential cybersecurity event;</w:t>
      </w:r>
    </w:p>
    <w:p w14:paraId="66EF2F67" w14:textId="14B2DD91" w:rsidR="00B1646D" w:rsidRPr="000D4010" w:rsidRDefault="00B1646D" w:rsidP="003E7B18">
      <w:pPr>
        <w:numPr>
          <w:ilvl w:val="0"/>
          <w:numId w:val="252"/>
        </w:numPr>
        <w:rPr>
          <w:sz w:val="24"/>
          <w:szCs w:val="24"/>
        </w:rPr>
      </w:pPr>
      <w:r w:rsidRPr="000D4010">
        <w:rPr>
          <w:sz w:val="24"/>
          <w:szCs w:val="24"/>
        </w:rPr>
        <w:t>Performing forensics and analysis as soon as possible to understand the nature of the cybersecurity event</w:t>
      </w:r>
      <w:r w:rsidR="00E2627C">
        <w:rPr>
          <w:sz w:val="24"/>
          <w:szCs w:val="24"/>
        </w:rPr>
        <w:t xml:space="preserve">, </w:t>
      </w:r>
      <w:r w:rsidR="00E2627C" w:rsidRPr="00E2627C">
        <w:rPr>
          <w:color w:val="FF0000"/>
          <w:sz w:val="24"/>
          <w:szCs w:val="24"/>
        </w:rPr>
        <w:t>any data loss, and potentially impacted customers</w:t>
      </w:r>
      <w:r w:rsidRPr="000D4010">
        <w:rPr>
          <w:sz w:val="24"/>
          <w:szCs w:val="24"/>
        </w:rPr>
        <w:t>; and</w:t>
      </w:r>
    </w:p>
    <w:p w14:paraId="00FA5DC2" w14:textId="77777777" w:rsidR="007500FE" w:rsidRPr="000D4010" w:rsidRDefault="00B1646D" w:rsidP="003E7B18">
      <w:pPr>
        <w:numPr>
          <w:ilvl w:val="0"/>
          <w:numId w:val="252"/>
        </w:numPr>
        <w:rPr>
          <w:sz w:val="24"/>
          <w:szCs w:val="24"/>
        </w:rPr>
      </w:pPr>
      <w:r w:rsidRPr="000D4010">
        <w:rPr>
          <w:sz w:val="24"/>
          <w:szCs w:val="24"/>
        </w:rPr>
        <w:t>Performing activities to prevent expansion of an event, mitigate its effec</w:t>
      </w:r>
      <w:r w:rsidR="007500FE" w:rsidRPr="000D4010">
        <w:rPr>
          <w:sz w:val="24"/>
          <w:szCs w:val="24"/>
        </w:rPr>
        <w:t xml:space="preserve">ts, and eradicate the incident.  This may include shutting down systems, account(s), logins, etc. </w:t>
      </w:r>
    </w:p>
    <w:p w14:paraId="1FEB9F10" w14:textId="77777777" w:rsidR="00B1646D" w:rsidRPr="000D4010" w:rsidRDefault="00B1646D" w:rsidP="003E7B18">
      <w:pPr>
        <w:numPr>
          <w:ilvl w:val="0"/>
          <w:numId w:val="252"/>
        </w:numPr>
        <w:rPr>
          <w:sz w:val="24"/>
          <w:szCs w:val="24"/>
        </w:rPr>
      </w:pPr>
      <w:r w:rsidRPr="000D4010">
        <w:rPr>
          <w:sz w:val="24"/>
          <w:szCs w:val="24"/>
        </w:rPr>
        <w:t>Coordinat</w:t>
      </w:r>
      <w:r w:rsidR="00D377E8" w:rsidRPr="000D4010">
        <w:rPr>
          <w:sz w:val="24"/>
          <w:szCs w:val="24"/>
        </w:rPr>
        <w:t>ing</w:t>
      </w:r>
      <w:r w:rsidRPr="000D4010">
        <w:rPr>
          <w:sz w:val="24"/>
          <w:szCs w:val="24"/>
        </w:rPr>
        <w:t xml:space="preserve"> restoration activities with internal and external parties, such as coordinating centers, Internet service providers, owners of attacking systems, victims, other CSIRTs, and vendors; and</w:t>
      </w:r>
    </w:p>
    <w:p w14:paraId="2D41FC83" w14:textId="650C8244" w:rsidR="00B1646D" w:rsidRDefault="00B1646D" w:rsidP="003E7B18">
      <w:pPr>
        <w:numPr>
          <w:ilvl w:val="0"/>
          <w:numId w:val="252"/>
        </w:numPr>
        <w:rPr>
          <w:sz w:val="24"/>
          <w:szCs w:val="24"/>
        </w:rPr>
      </w:pPr>
      <w:r w:rsidRPr="000D4010">
        <w:rPr>
          <w:sz w:val="24"/>
          <w:szCs w:val="24"/>
        </w:rPr>
        <w:t>Remotely wipe a lost or stolen device, through either a selective wipe of strictly corporate data or a full wipe of the entire device, restoring it to factory default settings.</w:t>
      </w:r>
    </w:p>
    <w:p w14:paraId="29B0FBD2" w14:textId="6F195D64" w:rsidR="00BE22A4" w:rsidRPr="00502688" w:rsidRDefault="00BE22A4" w:rsidP="003E7B18">
      <w:pPr>
        <w:numPr>
          <w:ilvl w:val="0"/>
          <w:numId w:val="252"/>
        </w:numPr>
        <w:rPr>
          <w:color w:val="000000" w:themeColor="text1"/>
          <w:spacing w:val="8"/>
          <w:sz w:val="24"/>
          <w:szCs w:val="24"/>
        </w:rPr>
      </w:pPr>
      <w:r w:rsidRPr="001F367B">
        <w:rPr>
          <w:color w:val="000000" w:themeColor="text1"/>
          <w:spacing w:val="8"/>
          <w:sz w:val="24"/>
          <w:szCs w:val="24"/>
          <w:shd w:val="clear" w:color="auto" w:fill="FFFFFF"/>
        </w:rPr>
        <w:t>Reporting fraud, where appropriate, to authorities including FINRA, the SEC, the FBI, the Internet Crime Complaint Center, and local state securities regulators</w:t>
      </w:r>
      <w:r w:rsidR="00E2627C">
        <w:rPr>
          <w:color w:val="000000" w:themeColor="text1"/>
          <w:spacing w:val="8"/>
          <w:sz w:val="24"/>
          <w:szCs w:val="24"/>
          <w:shd w:val="clear" w:color="auto" w:fill="FFFFFF"/>
        </w:rPr>
        <w:t xml:space="preserve">, </w:t>
      </w:r>
      <w:r w:rsidR="00E2627C" w:rsidRPr="00E2627C">
        <w:rPr>
          <w:color w:val="FF0000"/>
          <w:spacing w:val="8"/>
          <w:sz w:val="24"/>
          <w:szCs w:val="24"/>
          <w:shd w:val="clear" w:color="auto" w:fill="FFFFFF"/>
        </w:rPr>
        <w:t>including filing a SAR</w:t>
      </w:r>
      <w:r w:rsidRPr="001F367B">
        <w:rPr>
          <w:color w:val="000000" w:themeColor="text1"/>
          <w:spacing w:val="8"/>
          <w:sz w:val="24"/>
          <w:szCs w:val="24"/>
          <w:shd w:val="clear" w:color="auto" w:fill="FFFFFF"/>
        </w:rPr>
        <w:t>.</w:t>
      </w:r>
    </w:p>
    <w:p w14:paraId="3B20C5AE" w14:textId="734C83E4" w:rsidR="00502688" w:rsidRDefault="00502688" w:rsidP="00502688">
      <w:pPr>
        <w:ind w:left="720"/>
        <w:rPr>
          <w:color w:val="000000" w:themeColor="text1"/>
          <w:spacing w:val="8"/>
          <w:sz w:val="24"/>
          <w:szCs w:val="24"/>
        </w:rPr>
      </w:pPr>
    </w:p>
    <w:p w14:paraId="596CC04E" w14:textId="3C1A618E" w:rsidR="00502688" w:rsidRDefault="00502688" w:rsidP="00502688">
      <w:pPr>
        <w:ind w:left="720"/>
        <w:rPr>
          <w:color w:val="000000" w:themeColor="text1"/>
          <w:spacing w:val="8"/>
          <w:sz w:val="24"/>
          <w:szCs w:val="24"/>
        </w:rPr>
      </w:pPr>
    </w:p>
    <w:p w14:paraId="5B1D49AB" w14:textId="0DA01119" w:rsidR="00502688" w:rsidRDefault="00502688" w:rsidP="00502688">
      <w:pPr>
        <w:ind w:left="720"/>
        <w:rPr>
          <w:color w:val="000000" w:themeColor="text1"/>
          <w:spacing w:val="8"/>
          <w:sz w:val="24"/>
          <w:szCs w:val="24"/>
        </w:rPr>
      </w:pPr>
    </w:p>
    <w:p w14:paraId="50BC95BE" w14:textId="6DC9738F" w:rsidR="00502688" w:rsidRDefault="00502688" w:rsidP="00502688">
      <w:pPr>
        <w:ind w:left="720"/>
        <w:rPr>
          <w:color w:val="000000" w:themeColor="text1"/>
          <w:spacing w:val="8"/>
          <w:sz w:val="24"/>
          <w:szCs w:val="24"/>
        </w:rPr>
      </w:pPr>
    </w:p>
    <w:p w14:paraId="64633779" w14:textId="4D5406FB" w:rsidR="00502688" w:rsidRDefault="00502688" w:rsidP="00502688">
      <w:pPr>
        <w:ind w:left="720"/>
        <w:rPr>
          <w:color w:val="000000" w:themeColor="text1"/>
          <w:spacing w:val="8"/>
          <w:sz w:val="24"/>
          <w:szCs w:val="24"/>
        </w:rPr>
      </w:pPr>
    </w:p>
    <w:p w14:paraId="2B9CA5D9" w14:textId="77777777" w:rsidR="00502688" w:rsidRPr="001F367B" w:rsidRDefault="00502688" w:rsidP="00502688">
      <w:pPr>
        <w:ind w:left="720"/>
        <w:rPr>
          <w:color w:val="000000" w:themeColor="text1"/>
          <w:spacing w:val="8"/>
          <w:sz w:val="24"/>
          <w:szCs w:val="24"/>
        </w:rPr>
      </w:pPr>
    </w:p>
    <w:tbl>
      <w:tblPr>
        <w:tblStyle w:val="TableGrid"/>
        <w:tblW w:w="0" w:type="auto"/>
        <w:tblInd w:w="720" w:type="dxa"/>
        <w:tblLook w:val="04A0" w:firstRow="1" w:lastRow="0" w:firstColumn="1" w:lastColumn="0" w:noHBand="0" w:noVBand="1"/>
      </w:tblPr>
      <w:tblGrid>
        <w:gridCol w:w="8558"/>
      </w:tblGrid>
      <w:tr w:rsidR="00BE22A4" w14:paraId="0F10C414" w14:textId="77777777" w:rsidTr="00BE22A4">
        <w:tc>
          <w:tcPr>
            <w:tcW w:w="9278" w:type="dxa"/>
          </w:tcPr>
          <w:p w14:paraId="55B40E93" w14:textId="142B4498" w:rsidR="00BE22A4" w:rsidRPr="001F367B" w:rsidRDefault="00BE22A4" w:rsidP="0005402C">
            <w:pPr>
              <w:pStyle w:val="ListParagraph"/>
              <w:numPr>
                <w:ilvl w:val="0"/>
                <w:numId w:val="382"/>
              </w:numPr>
              <w:ind w:left="150" w:hanging="180"/>
              <w:rPr>
                <w:color w:val="000000" w:themeColor="text1"/>
                <w:spacing w:val="8"/>
                <w:sz w:val="24"/>
                <w:szCs w:val="24"/>
              </w:rPr>
            </w:pPr>
            <w:r w:rsidRPr="001F367B">
              <w:rPr>
                <w:color w:val="000000" w:themeColor="text1"/>
              </w:rPr>
              <w:t xml:space="preserve">FINRA‘s </w:t>
            </w:r>
            <w:hyperlink r:id="rId23" w:history="1">
              <w:r w:rsidRPr="001F367B">
                <w:rPr>
                  <w:rStyle w:val="Hyperlink"/>
                </w:rPr>
                <w:t>Regulatory Tip For</w:t>
              </w:r>
              <w:r w:rsidR="001F367B" w:rsidRPr="001F367B">
                <w:rPr>
                  <w:rStyle w:val="Hyperlink"/>
                </w:rPr>
                <w:t>m</w:t>
              </w:r>
            </w:hyperlink>
            <w:r w:rsidRPr="001F367B">
              <w:rPr>
                <w:color w:val="000000" w:themeColor="text1"/>
              </w:rPr>
              <w:t xml:space="preserve"> found on FINRA.org; </w:t>
            </w:r>
          </w:p>
          <w:p w14:paraId="447776A1" w14:textId="77777777" w:rsidR="00BE22A4" w:rsidRPr="001F367B" w:rsidRDefault="00BE22A4" w:rsidP="0005402C">
            <w:pPr>
              <w:pStyle w:val="ListParagraph"/>
              <w:numPr>
                <w:ilvl w:val="0"/>
                <w:numId w:val="382"/>
              </w:numPr>
              <w:ind w:left="150" w:hanging="180"/>
              <w:rPr>
                <w:color w:val="000000" w:themeColor="text1"/>
                <w:spacing w:val="8"/>
                <w:sz w:val="24"/>
                <w:szCs w:val="24"/>
              </w:rPr>
            </w:pPr>
            <w:r w:rsidRPr="001F367B">
              <w:rPr>
                <w:color w:val="000000" w:themeColor="text1"/>
              </w:rPr>
              <w:t xml:space="preserve">U.S. Securities and Exchange Commission’s tips, complaints and referral system (TCRs) or by phone at (202) 551-4790; </w:t>
            </w:r>
          </w:p>
          <w:p w14:paraId="3E7664C3" w14:textId="77777777" w:rsidR="00BE22A4" w:rsidRPr="001F367B" w:rsidRDefault="00BE22A4" w:rsidP="0005402C">
            <w:pPr>
              <w:pStyle w:val="ListParagraph"/>
              <w:numPr>
                <w:ilvl w:val="0"/>
                <w:numId w:val="382"/>
              </w:numPr>
              <w:ind w:left="150" w:hanging="180"/>
              <w:rPr>
                <w:color w:val="000000" w:themeColor="text1"/>
                <w:spacing w:val="8"/>
                <w:sz w:val="24"/>
                <w:szCs w:val="24"/>
              </w:rPr>
            </w:pPr>
            <w:r w:rsidRPr="001F367B">
              <w:rPr>
                <w:color w:val="000000" w:themeColor="text1"/>
              </w:rPr>
              <w:t xml:space="preserve">the Federal Bureau of Investigation’s (FBI) tip line at 800-CALLFBI (225-5324) or a local FBI office; </w:t>
            </w:r>
          </w:p>
          <w:p w14:paraId="1EDEBFAD" w14:textId="77777777" w:rsidR="00BE22A4" w:rsidRPr="001F367B" w:rsidRDefault="00BE22A4" w:rsidP="0005402C">
            <w:pPr>
              <w:pStyle w:val="ListParagraph"/>
              <w:numPr>
                <w:ilvl w:val="0"/>
                <w:numId w:val="382"/>
              </w:numPr>
              <w:ind w:left="150" w:hanging="180"/>
              <w:rPr>
                <w:color w:val="000000" w:themeColor="text1"/>
                <w:spacing w:val="8"/>
                <w:sz w:val="24"/>
                <w:szCs w:val="24"/>
              </w:rPr>
            </w:pPr>
            <w:r w:rsidRPr="001F367B">
              <w:rPr>
                <w:color w:val="000000" w:themeColor="text1"/>
              </w:rPr>
              <w:t xml:space="preserve">the Internet Crime Compliant Center (IC3) for cyber-crimes (particularly if a firm is trying to recall a wire transfer to a destination outside the United States); and </w:t>
            </w:r>
          </w:p>
          <w:p w14:paraId="2EC3228A" w14:textId="5AF25CCB" w:rsidR="00BE22A4" w:rsidRPr="00BE22A4" w:rsidRDefault="00BE22A4" w:rsidP="0005402C">
            <w:pPr>
              <w:pStyle w:val="ListParagraph"/>
              <w:numPr>
                <w:ilvl w:val="0"/>
                <w:numId w:val="382"/>
              </w:numPr>
              <w:ind w:left="150" w:hanging="180"/>
              <w:rPr>
                <w:color w:val="FF0000"/>
                <w:spacing w:val="8"/>
                <w:sz w:val="24"/>
                <w:szCs w:val="24"/>
              </w:rPr>
            </w:pPr>
            <w:r w:rsidRPr="001F367B">
              <w:rPr>
                <w:color w:val="000000" w:themeColor="text1"/>
              </w:rPr>
              <w:t>local state securities regulators.</w:t>
            </w:r>
          </w:p>
        </w:tc>
      </w:tr>
    </w:tbl>
    <w:p w14:paraId="11612CF7" w14:textId="3393476E" w:rsidR="00BE22A4" w:rsidRDefault="00BE22A4" w:rsidP="00BE22A4">
      <w:pPr>
        <w:ind w:left="720"/>
        <w:rPr>
          <w:color w:val="FF0000"/>
          <w:spacing w:val="8"/>
          <w:sz w:val="12"/>
          <w:szCs w:val="12"/>
        </w:rPr>
      </w:pPr>
    </w:p>
    <w:p w14:paraId="34281962" w14:textId="77777777" w:rsidR="00502688" w:rsidRPr="00BE22A4" w:rsidRDefault="00502688" w:rsidP="00BE22A4">
      <w:pPr>
        <w:ind w:left="720"/>
        <w:rPr>
          <w:color w:val="FF0000"/>
          <w:spacing w:val="8"/>
          <w:sz w:val="12"/>
          <w:szCs w:val="12"/>
        </w:rPr>
      </w:pPr>
    </w:p>
    <w:p w14:paraId="334B93C6" w14:textId="7A40F982" w:rsidR="00435C7D" w:rsidRPr="001F367B" w:rsidRDefault="00435C7D" w:rsidP="003E7B18">
      <w:pPr>
        <w:numPr>
          <w:ilvl w:val="0"/>
          <w:numId w:val="252"/>
        </w:numPr>
        <w:rPr>
          <w:color w:val="000000" w:themeColor="text1"/>
          <w:spacing w:val="8"/>
          <w:sz w:val="24"/>
          <w:szCs w:val="24"/>
        </w:rPr>
      </w:pPr>
      <w:r w:rsidRPr="001F367B">
        <w:rPr>
          <w:color w:val="000000" w:themeColor="text1"/>
          <w:spacing w:val="8"/>
          <w:sz w:val="24"/>
          <w:szCs w:val="24"/>
        </w:rPr>
        <w:t>Regarding a</w:t>
      </w:r>
      <w:r w:rsidR="008133D3" w:rsidRPr="001F367B">
        <w:rPr>
          <w:color w:val="000000" w:themeColor="text1"/>
          <w:spacing w:val="8"/>
          <w:sz w:val="24"/>
          <w:szCs w:val="24"/>
        </w:rPr>
        <w:t xml:space="preserve"> Company</w:t>
      </w:r>
      <w:r w:rsidRPr="001F367B">
        <w:rPr>
          <w:color w:val="000000" w:themeColor="text1"/>
          <w:spacing w:val="8"/>
          <w:sz w:val="24"/>
          <w:szCs w:val="24"/>
        </w:rPr>
        <w:t xml:space="preserve"> compromised email account:</w:t>
      </w:r>
    </w:p>
    <w:p w14:paraId="647DDD1C" w14:textId="46E4FC79" w:rsidR="00435C7D" w:rsidRPr="001F367B" w:rsidRDefault="00435C7D" w:rsidP="0005402C">
      <w:pPr>
        <w:pStyle w:val="ListParagraph"/>
        <w:numPr>
          <w:ilvl w:val="0"/>
          <w:numId w:val="381"/>
        </w:numPr>
        <w:rPr>
          <w:color w:val="000000" w:themeColor="text1"/>
          <w:spacing w:val="8"/>
          <w:sz w:val="24"/>
          <w:szCs w:val="24"/>
        </w:rPr>
      </w:pPr>
      <w:r w:rsidRPr="001F367B">
        <w:rPr>
          <w:color w:val="000000" w:themeColor="text1"/>
          <w:spacing w:val="8"/>
          <w:sz w:val="24"/>
          <w:szCs w:val="24"/>
        </w:rPr>
        <w:t>Immediately shutting down any Company e-mail account by disabling access or resetting the compromised e-mail account with a sufficiently complex password prior to reinstating the account</w:t>
      </w:r>
      <w:r w:rsidR="008133D3" w:rsidRPr="001F367B">
        <w:rPr>
          <w:color w:val="000000" w:themeColor="text1"/>
          <w:spacing w:val="8"/>
          <w:sz w:val="24"/>
          <w:szCs w:val="24"/>
        </w:rPr>
        <w:t>;</w:t>
      </w:r>
      <w:r w:rsidRPr="001F367B">
        <w:rPr>
          <w:color w:val="000000" w:themeColor="text1"/>
          <w:spacing w:val="8"/>
          <w:sz w:val="24"/>
          <w:szCs w:val="24"/>
        </w:rPr>
        <w:t xml:space="preserve"> </w:t>
      </w:r>
    </w:p>
    <w:p w14:paraId="4B987801" w14:textId="59B67942" w:rsidR="00435C7D" w:rsidRPr="001F367B" w:rsidRDefault="00435C7D" w:rsidP="0005402C">
      <w:pPr>
        <w:pStyle w:val="ListParagraph"/>
        <w:numPr>
          <w:ilvl w:val="0"/>
          <w:numId w:val="381"/>
        </w:numPr>
        <w:spacing w:before="100" w:beforeAutospacing="1" w:after="100" w:afterAutospacing="1"/>
        <w:rPr>
          <w:color w:val="000000" w:themeColor="text1"/>
          <w:spacing w:val="8"/>
          <w:sz w:val="24"/>
          <w:szCs w:val="24"/>
        </w:rPr>
      </w:pPr>
      <w:r w:rsidRPr="001F367B">
        <w:rPr>
          <w:color w:val="000000" w:themeColor="text1"/>
          <w:spacing w:val="8"/>
          <w:sz w:val="24"/>
          <w:szCs w:val="24"/>
        </w:rPr>
        <w:t>Evaluating whether appropriate forensic expertise was available within the Company or whether a third-party service provider should be hired</w:t>
      </w:r>
      <w:r w:rsidR="008133D3" w:rsidRPr="001F367B">
        <w:rPr>
          <w:color w:val="000000" w:themeColor="text1"/>
          <w:spacing w:val="8"/>
          <w:sz w:val="24"/>
          <w:szCs w:val="24"/>
        </w:rPr>
        <w:t>;</w:t>
      </w:r>
    </w:p>
    <w:p w14:paraId="3340895E" w14:textId="4856C7DF" w:rsidR="00435C7D" w:rsidRPr="001F367B" w:rsidRDefault="008133D3" w:rsidP="0005402C">
      <w:pPr>
        <w:pStyle w:val="ListParagraph"/>
        <w:numPr>
          <w:ilvl w:val="0"/>
          <w:numId w:val="381"/>
        </w:numPr>
        <w:spacing w:before="100" w:beforeAutospacing="1" w:after="100" w:afterAutospacing="1"/>
        <w:rPr>
          <w:color w:val="000000" w:themeColor="text1"/>
          <w:spacing w:val="8"/>
          <w:sz w:val="24"/>
          <w:szCs w:val="24"/>
        </w:rPr>
      </w:pPr>
      <w:r w:rsidRPr="001F367B">
        <w:rPr>
          <w:color w:val="000000" w:themeColor="text1"/>
          <w:spacing w:val="8"/>
          <w:sz w:val="24"/>
          <w:szCs w:val="24"/>
        </w:rPr>
        <w:t>Consider m</w:t>
      </w:r>
      <w:r w:rsidR="00435C7D" w:rsidRPr="001F367B">
        <w:rPr>
          <w:color w:val="000000" w:themeColor="text1"/>
          <w:spacing w:val="8"/>
          <w:sz w:val="24"/>
          <w:szCs w:val="24"/>
        </w:rPr>
        <w:t xml:space="preserve">aking a copy </w:t>
      </w:r>
      <w:r w:rsidRPr="001F367B">
        <w:rPr>
          <w:color w:val="000000" w:themeColor="text1"/>
          <w:spacing w:val="8"/>
          <w:sz w:val="24"/>
          <w:szCs w:val="24"/>
        </w:rPr>
        <w:t xml:space="preserve">(or add to a folder in the archive) </w:t>
      </w:r>
      <w:r w:rsidR="00435C7D" w:rsidRPr="001F367B">
        <w:rPr>
          <w:color w:val="000000" w:themeColor="text1"/>
          <w:spacing w:val="8"/>
          <w:sz w:val="24"/>
          <w:szCs w:val="24"/>
        </w:rPr>
        <w:t>of any affected e-mail account, including all e-mails across all folders (such as those hosted by the record retention provider) to capture all information potentially accessed by the attacker at the time of any compromise</w:t>
      </w:r>
      <w:r w:rsidRPr="001F367B">
        <w:rPr>
          <w:color w:val="000000" w:themeColor="text1"/>
          <w:spacing w:val="8"/>
          <w:sz w:val="24"/>
          <w:szCs w:val="24"/>
        </w:rPr>
        <w:t>;</w:t>
      </w:r>
    </w:p>
    <w:p w14:paraId="4DE2AE2B" w14:textId="443E8942" w:rsidR="00435C7D" w:rsidRPr="001F367B" w:rsidRDefault="00435C7D" w:rsidP="0005402C">
      <w:pPr>
        <w:pStyle w:val="ListParagraph"/>
        <w:numPr>
          <w:ilvl w:val="0"/>
          <w:numId w:val="381"/>
        </w:numPr>
        <w:spacing w:before="100" w:beforeAutospacing="1" w:after="100" w:afterAutospacing="1"/>
        <w:rPr>
          <w:color w:val="000000" w:themeColor="text1"/>
          <w:spacing w:val="8"/>
          <w:sz w:val="24"/>
          <w:szCs w:val="24"/>
        </w:rPr>
      </w:pPr>
      <w:r w:rsidRPr="001F367B">
        <w:rPr>
          <w:color w:val="000000" w:themeColor="text1"/>
          <w:spacing w:val="8"/>
          <w:sz w:val="24"/>
          <w:szCs w:val="24"/>
        </w:rPr>
        <w:t>Reviewing all of the e-mail content in the compromised account, including attachments, to determine whether the attacker had access to sensitive or confidential information, such as personally identifiable information (PII)</w:t>
      </w:r>
      <w:r w:rsidR="008133D3" w:rsidRPr="001F367B">
        <w:rPr>
          <w:color w:val="000000" w:themeColor="text1"/>
          <w:spacing w:val="8"/>
          <w:sz w:val="24"/>
          <w:szCs w:val="24"/>
        </w:rPr>
        <w:t>;</w:t>
      </w:r>
    </w:p>
    <w:p w14:paraId="0C408B5B" w14:textId="2E247B40" w:rsidR="00435C7D" w:rsidRPr="001F367B" w:rsidRDefault="00435C7D" w:rsidP="0005402C">
      <w:pPr>
        <w:pStyle w:val="ListParagraph"/>
        <w:numPr>
          <w:ilvl w:val="0"/>
          <w:numId w:val="381"/>
        </w:numPr>
        <w:spacing w:before="100" w:beforeAutospacing="1" w:after="100" w:afterAutospacing="1"/>
        <w:rPr>
          <w:color w:val="000000" w:themeColor="text1"/>
          <w:spacing w:val="8"/>
          <w:sz w:val="24"/>
          <w:szCs w:val="24"/>
        </w:rPr>
      </w:pPr>
      <w:r w:rsidRPr="001F367B">
        <w:rPr>
          <w:color w:val="000000" w:themeColor="text1"/>
          <w:spacing w:val="8"/>
          <w:sz w:val="24"/>
          <w:szCs w:val="24"/>
        </w:rPr>
        <w:t>Determining whether any customer information was breached and notification required under federal or state law</w:t>
      </w:r>
      <w:r w:rsidR="008133D3" w:rsidRPr="001F367B">
        <w:rPr>
          <w:color w:val="000000" w:themeColor="text1"/>
          <w:spacing w:val="8"/>
          <w:sz w:val="24"/>
          <w:szCs w:val="24"/>
        </w:rPr>
        <w:t>;</w:t>
      </w:r>
    </w:p>
    <w:p w14:paraId="232ECC78" w14:textId="48990AA9" w:rsidR="00435C7D" w:rsidRPr="001F367B" w:rsidRDefault="00435C7D" w:rsidP="0005402C">
      <w:pPr>
        <w:pStyle w:val="ListParagraph"/>
        <w:numPr>
          <w:ilvl w:val="0"/>
          <w:numId w:val="381"/>
        </w:numPr>
        <w:spacing w:before="100" w:beforeAutospacing="1" w:after="100" w:afterAutospacing="1"/>
        <w:rPr>
          <w:color w:val="000000" w:themeColor="text1"/>
          <w:spacing w:val="8"/>
          <w:sz w:val="24"/>
          <w:szCs w:val="24"/>
        </w:rPr>
      </w:pPr>
      <w:r w:rsidRPr="001F367B">
        <w:rPr>
          <w:color w:val="000000" w:themeColor="text1"/>
          <w:spacing w:val="8"/>
          <w:sz w:val="24"/>
          <w:szCs w:val="24"/>
        </w:rPr>
        <w:t>Confirming that any malware or viruses were deleted and unnecessary user accounts were closed</w:t>
      </w:r>
      <w:r w:rsidR="008133D3" w:rsidRPr="001F367B">
        <w:rPr>
          <w:color w:val="000000" w:themeColor="text1"/>
          <w:spacing w:val="8"/>
          <w:sz w:val="24"/>
          <w:szCs w:val="24"/>
        </w:rPr>
        <w:t>;</w:t>
      </w:r>
    </w:p>
    <w:p w14:paraId="5566EA17" w14:textId="4380A801" w:rsidR="00435C7D" w:rsidRPr="001F367B" w:rsidRDefault="00435C7D" w:rsidP="0005402C">
      <w:pPr>
        <w:pStyle w:val="ListParagraph"/>
        <w:numPr>
          <w:ilvl w:val="0"/>
          <w:numId w:val="381"/>
        </w:numPr>
        <w:spacing w:before="100" w:beforeAutospacing="1" w:after="100" w:afterAutospacing="1"/>
        <w:rPr>
          <w:color w:val="000000" w:themeColor="text1"/>
          <w:spacing w:val="8"/>
          <w:sz w:val="24"/>
          <w:szCs w:val="24"/>
        </w:rPr>
      </w:pPr>
      <w:r w:rsidRPr="001F367B">
        <w:rPr>
          <w:color w:val="000000" w:themeColor="text1"/>
          <w:spacing w:val="8"/>
          <w:sz w:val="24"/>
          <w:szCs w:val="24"/>
        </w:rPr>
        <w:t>Reviewing the overall cybersecurity environment to address any other potential impacts of the attack</w:t>
      </w:r>
      <w:r w:rsidR="008133D3" w:rsidRPr="001F367B">
        <w:rPr>
          <w:color w:val="000000" w:themeColor="text1"/>
          <w:spacing w:val="8"/>
          <w:sz w:val="24"/>
          <w:szCs w:val="24"/>
        </w:rPr>
        <w:t xml:space="preserve">;  </w:t>
      </w:r>
    </w:p>
    <w:p w14:paraId="682F4DAB" w14:textId="20038BEF" w:rsidR="00435C7D" w:rsidRPr="001F367B" w:rsidRDefault="00435C7D" w:rsidP="0005402C">
      <w:pPr>
        <w:pStyle w:val="ListParagraph"/>
        <w:numPr>
          <w:ilvl w:val="0"/>
          <w:numId w:val="381"/>
        </w:numPr>
        <w:spacing w:before="100" w:beforeAutospacing="1" w:after="100" w:afterAutospacing="1"/>
        <w:rPr>
          <w:color w:val="000000" w:themeColor="text1"/>
          <w:spacing w:val="8"/>
          <w:sz w:val="24"/>
          <w:szCs w:val="24"/>
        </w:rPr>
      </w:pPr>
      <w:r w:rsidRPr="001F367B">
        <w:rPr>
          <w:color w:val="000000" w:themeColor="text1"/>
          <w:spacing w:val="8"/>
          <w:sz w:val="24"/>
          <w:szCs w:val="24"/>
        </w:rPr>
        <w:t>Implementing </w:t>
      </w:r>
      <w:r w:rsidRPr="001F367B">
        <w:rPr>
          <w:color w:val="000000" w:themeColor="text1"/>
          <w:spacing w:val="8"/>
          <w:sz w:val="24"/>
          <w:szCs w:val="24"/>
          <w:u w:val="single"/>
        </w:rPr>
        <w:t>multi</w:t>
      </w:r>
      <w:r w:rsidRPr="001F367B">
        <w:rPr>
          <w:color w:val="000000" w:themeColor="text1"/>
          <w:spacing w:val="8"/>
          <w:sz w:val="24"/>
          <w:szCs w:val="24"/>
        </w:rPr>
        <w:t>-factor authentication </w:t>
      </w:r>
      <w:r w:rsidR="008133D3" w:rsidRPr="001F367B">
        <w:rPr>
          <w:color w:val="000000" w:themeColor="text1"/>
          <w:spacing w:val="8"/>
          <w:sz w:val="24"/>
          <w:szCs w:val="24"/>
        </w:rPr>
        <w:t>c</w:t>
      </w:r>
      <w:r w:rsidRPr="001F367B">
        <w:rPr>
          <w:color w:val="000000" w:themeColor="text1"/>
          <w:spacing w:val="8"/>
          <w:sz w:val="24"/>
          <w:szCs w:val="24"/>
        </w:rPr>
        <w:t>ontrols, if not already in use</w:t>
      </w:r>
      <w:r w:rsidR="008133D3" w:rsidRPr="001F367B">
        <w:rPr>
          <w:color w:val="000000" w:themeColor="text1"/>
          <w:spacing w:val="8"/>
          <w:sz w:val="24"/>
          <w:szCs w:val="24"/>
        </w:rPr>
        <w:t>; and</w:t>
      </w:r>
    </w:p>
    <w:p w14:paraId="2BEE4A17" w14:textId="431C1FD9" w:rsidR="00435C7D" w:rsidRPr="001F367B" w:rsidRDefault="00435C7D" w:rsidP="0005402C">
      <w:pPr>
        <w:pStyle w:val="ListParagraph"/>
        <w:numPr>
          <w:ilvl w:val="0"/>
          <w:numId w:val="381"/>
        </w:numPr>
        <w:spacing w:before="100" w:beforeAutospacing="1" w:after="100" w:afterAutospacing="1"/>
        <w:rPr>
          <w:color w:val="000000" w:themeColor="text1"/>
          <w:spacing w:val="8"/>
          <w:sz w:val="24"/>
          <w:szCs w:val="24"/>
        </w:rPr>
      </w:pPr>
      <w:r w:rsidRPr="001F367B">
        <w:rPr>
          <w:color w:val="000000" w:themeColor="text1"/>
          <w:spacing w:val="8"/>
          <w:sz w:val="24"/>
          <w:szCs w:val="24"/>
        </w:rPr>
        <w:t>Notifying appropriate law enforcement agencies (e.g., the local Federal Bureau of Investigation field office) and the FINRA Regulatory Coordinator of the attack</w:t>
      </w:r>
      <w:r w:rsidR="008133D3" w:rsidRPr="001F367B">
        <w:rPr>
          <w:color w:val="000000" w:themeColor="text1"/>
          <w:spacing w:val="8"/>
          <w:sz w:val="24"/>
          <w:szCs w:val="24"/>
        </w:rPr>
        <w:t>.</w:t>
      </w:r>
    </w:p>
    <w:p w14:paraId="07623E1D" w14:textId="77777777" w:rsidR="00790C03" w:rsidRPr="000D4010" w:rsidRDefault="009713CF" w:rsidP="00435C7D">
      <w:pPr>
        <w:autoSpaceDE w:val="0"/>
        <w:autoSpaceDN w:val="0"/>
        <w:adjustRightInd w:val="0"/>
        <w:ind w:firstLine="360"/>
        <w:rPr>
          <w:sz w:val="24"/>
          <w:szCs w:val="24"/>
        </w:rPr>
      </w:pPr>
      <w:r w:rsidRPr="000D4010">
        <w:rPr>
          <w:b/>
          <w:sz w:val="24"/>
          <w:szCs w:val="24"/>
        </w:rPr>
        <w:t>Incident Reports</w:t>
      </w:r>
      <w:r w:rsidRPr="000D4010">
        <w:rPr>
          <w:sz w:val="24"/>
          <w:szCs w:val="24"/>
        </w:rPr>
        <w:t xml:space="preserve">  </w:t>
      </w:r>
    </w:p>
    <w:p w14:paraId="5EF58E7D" w14:textId="0B546746" w:rsidR="009713CF" w:rsidRPr="000D4010" w:rsidRDefault="00790C03" w:rsidP="009713CF">
      <w:pPr>
        <w:autoSpaceDE w:val="0"/>
        <w:autoSpaceDN w:val="0"/>
        <w:adjustRightInd w:val="0"/>
        <w:ind w:left="360"/>
        <w:rPr>
          <w:sz w:val="24"/>
          <w:szCs w:val="24"/>
        </w:rPr>
      </w:pPr>
      <w:r w:rsidRPr="00CC601C">
        <w:rPr>
          <w:sz w:val="24"/>
          <w:szCs w:val="24"/>
        </w:rPr>
        <w:t xml:space="preserve">Company shall </w:t>
      </w:r>
      <w:r w:rsidR="002552BB" w:rsidRPr="00CC601C">
        <w:rPr>
          <w:sz w:val="24"/>
          <w:szCs w:val="24"/>
        </w:rPr>
        <w:t>maintain a</w:t>
      </w:r>
      <w:r w:rsidR="009713CF" w:rsidRPr="00CC601C">
        <w:rPr>
          <w:sz w:val="24"/>
          <w:szCs w:val="24"/>
        </w:rPr>
        <w:t xml:space="preserve"> </w:t>
      </w:r>
      <w:r w:rsidR="002552BB" w:rsidRPr="00CC601C">
        <w:rPr>
          <w:sz w:val="24"/>
          <w:szCs w:val="24"/>
        </w:rPr>
        <w:t xml:space="preserve">log </w:t>
      </w:r>
      <w:r w:rsidR="002552BB">
        <w:rPr>
          <w:sz w:val="24"/>
          <w:szCs w:val="24"/>
        </w:rPr>
        <w:t>with a b</w:t>
      </w:r>
      <w:r w:rsidR="009713CF" w:rsidRPr="000D4010">
        <w:rPr>
          <w:sz w:val="24"/>
          <w:szCs w:val="24"/>
        </w:rPr>
        <w:t xml:space="preserve">rief summary for each category listed below, identifying the number of such incidents (approximations are acceptable when precise numbers are not readily available) and describing their significance and any effects on the </w:t>
      </w:r>
      <w:r w:rsidRPr="000D4010">
        <w:rPr>
          <w:sz w:val="24"/>
          <w:szCs w:val="24"/>
        </w:rPr>
        <w:t>Company</w:t>
      </w:r>
      <w:r w:rsidR="009713CF" w:rsidRPr="000D4010">
        <w:rPr>
          <w:sz w:val="24"/>
          <w:szCs w:val="24"/>
        </w:rPr>
        <w:t xml:space="preserve">, its customers, and its vendors or affiliates. If the response to any one item includes more than 10 incidents, note the number of </w:t>
      </w:r>
      <w:r w:rsidR="00CC601C" w:rsidRPr="000D4010">
        <w:rPr>
          <w:sz w:val="24"/>
          <w:szCs w:val="24"/>
        </w:rPr>
        <w:t>incidents,</w:t>
      </w:r>
      <w:r w:rsidR="009713CF" w:rsidRPr="000D4010">
        <w:rPr>
          <w:sz w:val="24"/>
          <w:szCs w:val="24"/>
        </w:rPr>
        <w:t xml:space="preserve"> and describe incidents that resulted in losses of more than $5,000, the unauthorized access to customer information, or the unavailability of a service for more than 10 minutes. The record or description should, at a minimum, include: the extent to which losses were incurred, customer information accessed, and services impacted; the date of the incident; the date the incident was discovered and the remediation for such incident. (Include incidents that occur </w:t>
      </w:r>
      <w:r w:rsidR="009713CF" w:rsidRPr="000D4010">
        <w:rPr>
          <w:sz w:val="23"/>
          <w:szCs w:val="23"/>
        </w:rPr>
        <w:t>even if such an incident resulted from an accident or negligence, rather than deliberate wrongdoing.)</w:t>
      </w:r>
    </w:p>
    <w:p w14:paraId="0D6834D8" w14:textId="77777777" w:rsidR="009713CF" w:rsidRPr="000D4010" w:rsidRDefault="009713CF" w:rsidP="009713CF">
      <w:pPr>
        <w:autoSpaceDE w:val="0"/>
        <w:autoSpaceDN w:val="0"/>
        <w:adjustRightInd w:val="0"/>
        <w:ind w:left="360"/>
        <w:rPr>
          <w:sz w:val="24"/>
          <w:szCs w:val="24"/>
        </w:rPr>
      </w:pPr>
    </w:p>
    <w:p w14:paraId="71BFF75E" w14:textId="3388E94B" w:rsidR="009713CF" w:rsidRPr="000D4010" w:rsidRDefault="009713CF" w:rsidP="003E7B18">
      <w:pPr>
        <w:numPr>
          <w:ilvl w:val="0"/>
          <w:numId w:val="247"/>
        </w:numPr>
        <w:autoSpaceDE w:val="0"/>
        <w:autoSpaceDN w:val="0"/>
        <w:adjustRightInd w:val="0"/>
        <w:ind w:left="990" w:hanging="270"/>
        <w:rPr>
          <w:sz w:val="24"/>
          <w:szCs w:val="24"/>
        </w:rPr>
      </w:pPr>
      <w:r w:rsidRPr="000D4010">
        <w:rPr>
          <w:sz w:val="24"/>
          <w:szCs w:val="24"/>
        </w:rPr>
        <w:t xml:space="preserve">Malware was detected on one or more Firm devices. Please identify or describe the malware. </w:t>
      </w:r>
    </w:p>
    <w:p w14:paraId="6C81B420" w14:textId="77777777" w:rsidR="009713CF" w:rsidRPr="000D4010" w:rsidRDefault="009713CF" w:rsidP="00D9125F">
      <w:pPr>
        <w:autoSpaceDE w:val="0"/>
        <w:autoSpaceDN w:val="0"/>
        <w:adjustRightInd w:val="0"/>
        <w:rPr>
          <w:sz w:val="24"/>
          <w:szCs w:val="24"/>
        </w:rPr>
      </w:pPr>
    </w:p>
    <w:p w14:paraId="46E82DE1" w14:textId="77777777" w:rsidR="009713CF" w:rsidRPr="000D4010" w:rsidRDefault="009713CF" w:rsidP="009713CF">
      <w:pPr>
        <w:autoSpaceDE w:val="0"/>
        <w:autoSpaceDN w:val="0"/>
        <w:adjustRightInd w:val="0"/>
        <w:ind w:left="990" w:hanging="270"/>
        <w:rPr>
          <w:sz w:val="24"/>
          <w:szCs w:val="24"/>
        </w:rPr>
      </w:pPr>
      <w:r w:rsidRPr="000D4010">
        <w:rPr>
          <w:sz w:val="24"/>
          <w:szCs w:val="24"/>
        </w:rPr>
        <w:t xml:space="preserve">•   The availability of a critical </w:t>
      </w:r>
      <w:r w:rsidR="00790C03" w:rsidRPr="000D4010">
        <w:rPr>
          <w:sz w:val="24"/>
          <w:szCs w:val="24"/>
        </w:rPr>
        <w:t>Company</w:t>
      </w:r>
      <w:r w:rsidRPr="000D4010">
        <w:rPr>
          <w:sz w:val="24"/>
          <w:szCs w:val="24"/>
        </w:rPr>
        <w:t xml:space="preserve"> web or network resource was impaired by a software o</w:t>
      </w:r>
      <w:r w:rsidR="00790C03" w:rsidRPr="000D4010">
        <w:rPr>
          <w:sz w:val="24"/>
          <w:szCs w:val="24"/>
        </w:rPr>
        <w:t>r hardware malfunction. I</w:t>
      </w:r>
      <w:r w:rsidRPr="000D4010">
        <w:rPr>
          <w:sz w:val="24"/>
          <w:szCs w:val="24"/>
        </w:rPr>
        <w:t xml:space="preserve">dentify the service affected, the nature and length of the impairment, and the cause. </w:t>
      </w:r>
    </w:p>
    <w:p w14:paraId="5434ED20" w14:textId="77777777" w:rsidR="009713CF" w:rsidRPr="000D4010" w:rsidRDefault="009713CF" w:rsidP="009713CF">
      <w:pPr>
        <w:autoSpaceDE w:val="0"/>
        <w:autoSpaceDN w:val="0"/>
        <w:adjustRightInd w:val="0"/>
        <w:ind w:left="990" w:hanging="270"/>
        <w:rPr>
          <w:sz w:val="24"/>
          <w:szCs w:val="24"/>
        </w:rPr>
      </w:pPr>
    </w:p>
    <w:p w14:paraId="0D79BD0B" w14:textId="77777777" w:rsidR="009713CF" w:rsidRPr="000D4010" w:rsidRDefault="009713CF" w:rsidP="00790C03">
      <w:pPr>
        <w:autoSpaceDE w:val="0"/>
        <w:autoSpaceDN w:val="0"/>
        <w:adjustRightInd w:val="0"/>
        <w:ind w:left="990" w:hanging="270"/>
        <w:rPr>
          <w:sz w:val="24"/>
          <w:szCs w:val="24"/>
        </w:rPr>
      </w:pPr>
      <w:r w:rsidRPr="000D4010">
        <w:rPr>
          <w:sz w:val="24"/>
          <w:szCs w:val="24"/>
        </w:rPr>
        <w:t xml:space="preserve">•   </w:t>
      </w:r>
      <w:r w:rsidR="00790C03" w:rsidRPr="000D4010">
        <w:rPr>
          <w:sz w:val="24"/>
          <w:szCs w:val="24"/>
        </w:rPr>
        <w:t>Company’s</w:t>
      </w:r>
      <w:r w:rsidRPr="000D4010">
        <w:rPr>
          <w:sz w:val="24"/>
          <w:szCs w:val="24"/>
        </w:rPr>
        <w:t xml:space="preserve"> network was breached by an unauthorized user. </w:t>
      </w:r>
      <w:r w:rsidR="00790C03" w:rsidRPr="000D4010">
        <w:rPr>
          <w:sz w:val="24"/>
          <w:szCs w:val="24"/>
        </w:rPr>
        <w:t>D</w:t>
      </w:r>
      <w:r w:rsidRPr="000D4010">
        <w:rPr>
          <w:sz w:val="24"/>
          <w:szCs w:val="24"/>
        </w:rPr>
        <w:t xml:space="preserve">escribe the nature, duration, and consequences of the breach, how the </w:t>
      </w:r>
      <w:r w:rsidR="00790C03" w:rsidRPr="000D4010">
        <w:rPr>
          <w:sz w:val="24"/>
          <w:szCs w:val="24"/>
        </w:rPr>
        <w:t>Company</w:t>
      </w:r>
      <w:r w:rsidRPr="000D4010">
        <w:rPr>
          <w:sz w:val="24"/>
          <w:szCs w:val="24"/>
        </w:rPr>
        <w:t xml:space="preserve"> learned of</w:t>
      </w:r>
      <w:r w:rsidR="00790C03" w:rsidRPr="000D4010">
        <w:rPr>
          <w:sz w:val="24"/>
          <w:szCs w:val="24"/>
        </w:rPr>
        <w:t xml:space="preserve"> it, and how it was remediated.</w:t>
      </w:r>
    </w:p>
    <w:p w14:paraId="12560F5D" w14:textId="77777777" w:rsidR="009713CF" w:rsidRPr="000D4010" w:rsidRDefault="009713CF" w:rsidP="009713CF">
      <w:pPr>
        <w:autoSpaceDE w:val="0"/>
        <w:autoSpaceDN w:val="0"/>
        <w:adjustRightInd w:val="0"/>
        <w:ind w:left="990" w:hanging="270"/>
        <w:rPr>
          <w:sz w:val="23"/>
          <w:szCs w:val="23"/>
        </w:rPr>
      </w:pPr>
    </w:p>
    <w:p w14:paraId="0A981763" w14:textId="77777777" w:rsidR="009713CF" w:rsidRPr="000D4010" w:rsidRDefault="009713CF" w:rsidP="009713CF">
      <w:pPr>
        <w:autoSpaceDE w:val="0"/>
        <w:autoSpaceDN w:val="0"/>
        <w:adjustRightInd w:val="0"/>
        <w:ind w:left="990" w:hanging="270"/>
        <w:rPr>
          <w:sz w:val="23"/>
          <w:szCs w:val="23"/>
        </w:rPr>
      </w:pPr>
      <w:r w:rsidRPr="000D4010">
        <w:rPr>
          <w:sz w:val="23"/>
          <w:szCs w:val="23"/>
        </w:rPr>
        <w:lastRenderedPageBreak/>
        <w:t xml:space="preserve">•   </w:t>
      </w:r>
      <w:r w:rsidR="001F4006" w:rsidRPr="000D4010">
        <w:rPr>
          <w:sz w:val="23"/>
          <w:szCs w:val="23"/>
        </w:rPr>
        <w:t>Company</w:t>
      </w:r>
      <w:r w:rsidRPr="000D4010">
        <w:rPr>
          <w:sz w:val="23"/>
          <w:szCs w:val="23"/>
        </w:rPr>
        <w:t xml:space="preserve"> received fraudulent emails, purportedly from customers, seeking to direct transfers of customer funds or securities. </w:t>
      </w:r>
    </w:p>
    <w:p w14:paraId="07C5F813" w14:textId="77777777" w:rsidR="009713CF" w:rsidRPr="000D4010" w:rsidRDefault="009713CF" w:rsidP="009713CF">
      <w:pPr>
        <w:autoSpaceDE w:val="0"/>
        <w:autoSpaceDN w:val="0"/>
        <w:adjustRightInd w:val="0"/>
        <w:ind w:left="990" w:hanging="270"/>
        <w:rPr>
          <w:sz w:val="23"/>
          <w:szCs w:val="23"/>
        </w:rPr>
      </w:pPr>
    </w:p>
    <w:p w14:paraId="50CAB2D7" w14:textId="77777777" w:rsidR="009713CF" w:rsidRPr="000D4010" w:rsidRDefault="009713CF" w:rsidP="009713CF">
      <w:pPr>
        <w:autoSpaceDE w:val="0"/>
        <w:autoSpaceDN w:val="0"/>
        <w:adjustRightInd w:val="0"/>
        <w:ind w:left="990" w:hanging="270"/>
        <w:rPr>
          <w:sz w:val="23"/>
          <w:szCs w:val="23"/>
        </w:rPr>
      </w:pPr>
      <w:r w:rsidRPr="000D4010">
        <w:rPr>
          <w:sz w:val="23"/>
          <w:szCs w:val="23"/>
        </w:rPr>
        <w:t xml:space="preserve">•   </w:t>
      </w:r>
      <w:r w:rsidR="001F4006" w:rsidRPr="000D4010">
        <w:rPr>
          <w:sz w:val="23"/>
          <w:szCs w:val="23"/>
        </w:rPr>
        <w:t>Company</w:t>
      </w:r>
      <w:r w:rsidRPr="000D4010">
        <w:rPr>
          <w:sz w:val="23"/>
          <w:szCs w:val="23"/>
        </w:rPr>
        <w:t xml:space="preserve"> was the subject of an extortion attempt by an individual or group threatening to impair access to or damage </w:t>
      </w:r>
      <w:r w:rsidR="001F4006" w:rsidRPr="000D4010">
        <w:rPr>
          <w:sz w:val="23"/>
          <w:szCs w:val="23"/>
        </w:rPr>
        <w:t xml:space="preserve">Company’s </w:t>
      </w:r>
      <w:r w:rsidRPr="000D4010">
        <w:rPr>
          <w:sz w:val="23"/>
          <w:szCs w:val="23"/>
        </w:rPr>
        <w:t xml:space="preserve">data, devices, network, or web services. </w:t>
      </w:r>
    </w:p>
    <w:p w14:paraId="0B3BB5F4" w14:textId="77777777" w:rsidR="009713CF" w:rsidRPr="000D4010" w:rsidRDefault="009713CF" w:rsidP="009713CF">
      <w:pPr>
        <w:autoSpaceDE w:val="0"/>
        <w:autoSpaceDN w:val="0"/>
        <w:adjustRightInd w:val="0"/>
        <w:ind w:left="990" w:hanging="270"/>
        <w:rPr>
          <w:sz w:val="23"/>
          <w:szCs w:val="23"/>
        </w:rPr>
      </w:pPr>
    </w:p>
    <w:p w14:paraId="0CC00EEF" w14:textId="77777777" w:rsidR="009713CF" w:rsidRPr="000D4010" w:rsidRDefault="009713CF" w:rsidP="009713CF">
      <w:pPr>
        <w:autoSpaceDE w:val="0"/>
        <w:autoSpaceDN w:val="0"/>
        <w:adjustRightInd w:val="0"/>
        <w:ind w:left="990" w:hanging="270"/>
        <w:rPr>
          <w:sz w:val="23"/>
          <w:szCs w:val="23"/>
        </w:rPr>
      </w:pPr>
      <w:r w:rsidRPr="000D4010">
        <w:rPr>
          <w:sz w:val="23"/>
          <w:szCs w:val="23"/>
        </w:rPr>
        <w:t>•   An employee o</w:t>
      </w:r>
      <w:r w:rsidR="001F4006" w:rsidRPr="000D4010">
        <w:rPr>
          <w:sz w:val="23"/>
          <w:szCs w:val="23"/>
        </w:rPr>
        <w:t>r other authorized user of the Company’</w:t>
      </w:r>
      <w:r w:rsidRPr="000D4010">
        <w:rPr>
          <w:sz w:val="23"/>
          <w:szCs w:val="23"/>
        </w:rPr>
        <w:t xml:space="preserve">s network engaged in misconduct resulting in the misappropriation of funds, securities, sensitive customer or </w:t>
      </w:r>
      <w:r w:rsidR="001F4006" w:rsidRPr="000D4010">
        <w:rPr>
          <w:sz w:val="23"/>
          <w:szCs w:val="23"/>
        </w:rPr>
        <w:t>Company</w:t>
      </w:r>
      <w:r w:rsidRPr="000D4010">
        <w:rPr>
          <w:sz w:val="23"/>
          <w:szCs w:val="23"/>
        </w:rPr>
        <w:t xml:space="preserve"> information, or damage to the network or data. </w:t>
      </w:r>
    </w:p>
    <w:p w14:paraId="3F09B0A1" w14:textId="77777777" w:rsidR="009713CF" w:rsidRPr="000D4010" w:rsidRDefault="009713CF" w:rsidP="009713CF">
      <w:pPr>
        <w:ind w:left="990" w:hanging="270"/>
        <w:rPr>
          <w:sz w:val="24"/>
          <w:szCs w:val="24"/>
        </w:rPr>
      </w:pPr>
    </w:p>
    <w:p w14:paraId="71C9E71A" w14:textId="77777777" w:rsidR="009713CF" w:rsidRPr="000D4010" w:rsidRDefault="009713CF" w:rsidP="003E7B18">
      <w:pPr>
        <w:numPr>
          <w:ilvl w:val="0"/>
          <w:numId w:val="247"/>
        </w:numPr>
        <w:autoSpaceDE w:val="0"/>
        <w:autoSpaceDN w:val="0"/>
        <w:adjustRightInd w:val="0"/>
        <w:ind w:left="990" w:hanging="270"/>
        <w:rPr>
          <w:sz w:val="23"/>
          <w:szCs w:val="23"/>
        </w:rPr>
      </w:pPr>
      <w:r w:rsidRPr="000D4010">
        <w:rPr>
          <w:sz w:val="23"/>
          <w:szCs w:val="23"/>
        </w:rPr>
        <w:t xml:space="preserve">  </w:t>
      </w:r>
      <w:r w:rsidR="001F4006" w:rsidRPr="000D4010">
        <w:rPr>
          <w:sz w:val="23"/>
          <w:szCs w:val="23"/>
        </w:rPr>
        <w:t>I</w:t>
      </w:r>
      <w:r w:rsidRPr="000D4010">
        <w:rPr>
          <w:sz w:val="23"/>
          <w:szCs w:val="23"/>
        </w:rPr>
        <w:t xml:space="preserve">ndicate whether any incident was reported to the following: </w:t>
      </w:r>
    </w:p>
    <w:p w14:paraId="69B3CFBF" w14:textId="77777777" w:rsidR="009713CF" w:rsidRPr="000D4010" w:rsidRDefault="009713CF" w:rsidP="003E7B18">
      <w:pPr>
        <w:numPr>
          <w:ilvl w:val="1"/>
          <w:numId w:val="256"/>
        </w:numPr>
        <w:autoSpaceDE w:val="0"/>
        <w:autoSpaceDN w:val="0"/>
        <w:adjustRightInd w:val="0"/>
        <w:rPr>
          <w:sz w:val="23"/>
          <w:szCs w:val="23"/>
        </w:rPr>
      </w:pPr>
      <w:r w:rsidRPr="000D4010">
        <w:rPr>
          <w:sz w:val="23"/>
          <w:szCs w:val="23"/>
        </w:rPr>
        <w:t xml:space="preserve">Law enforcement (please identify the entity) </w:t>
      </w:r>
    </w:p>
    <w:p w14:paraId="3235C39B" w14:textId="77777777" w:rsidR="009713CF" w:rsidRPr="000D4010" w:rsidRDefault="009713CF" w:rsidP="003E7B18">
      <w:pPr>
        <w:numPr>
          <w:ilvl w:val="1"/>
          <w:numId w:val="256"/>
        </w:numPr>
        <w:autoSpaceDE w:val="0"/>
        <w:autoSpaceDN w:val="0"/>
        <w:adjustRightInd w:val="0"/>
        <w:rPr>
          <w:sz w:val="23"/>
          <w:szCs w:val="23"/>
        </w:rPr>
      </w:pPr>
      <w:r w:rsidRPr="000D4010">
        <w:rPr>
          <w:sz w:val="23"/>
          <w:szCs w:val="23"/>
        </w:rPr>
        <w:t xml:space="preserve">FinCEN (through the filing of a Suspicious Activity Report) </w:t>
      </w:r>
    </w:p>
    <w:p w14:paraId="539DD664" w14:textId="77777777" w:rsidR="009713CF" w:rsidRPr="000D4010" w:rsidRDefault="009713CF" w:rsidP="003E7B18">
      <w:pPr>
        <w:numPr>
          <w:ilvl w:val="1"/>
          <w:numId w:val="256"/>
        </w:numPr>
        <w:autoSpaceDE w:val="0"/>
        <w:autoSpaceDN w:val="0"/>
        <w:adjustRightInd w:val="0"/>
        <w:rPr>
          <w:sz w:val="23"/>
          <w:szCs w:val="23"/>
        </w:rPr>
      </w:pPr>
      <w:r w:rsidRPr="000D4010">
        <w:rPr>
          <w:sz w:val="23"/>
          <w:szCs w:val="23"/>
        </w:rPr>
        <w:t xml:space="preserve">FINRA </w:t>
      </w:r>
    </w:p>
    <w:p w14:paraId="6936A64C" w14:textId="77777777" w:rsidR="009713CF" w:rsidRPr="000D4010" w:rsidRDefault="009713CF" w:rsidP="003E7B18">
      <w:pPr>
        <w:numPr>
          <w:ilvl w:val="1"/>
          <w:numId w:val="256"/>
        </w:numPr>
        <w:autoSpaceDE w:val="0"/>
        <w:autoSpaceDN w:val="0"/>
        <w:adjustRightInd w:val="0"/>
        <w:rPr>
          <w:sz w:val="23"/>
          <w:szCs w:val="23"/>
        </w:rPr>
      </w:pPr>
      <w:r w:rsidRPr="000D4010">
        <w:rPr>
          <w:sz w:val="23"/>
          <w:szCs w:val="23"/>
        </w:rPr>
        <w:t xml:space="preserve">A state or federal regulatory agency (identity the agency and explain the manner of reporting) </w:t>
      </w:r>
    </w:p>
    <w:p w14:paraId="7096A7FE" w14:textId="77777777" w:rsidR="009713CF" w:rsidRPr="000D4010" w:rsidRDefault="009713CF" w:rsidP="003E7B18">
      <w:pPr>
        <w:numPr>
          <w:ilvl w:val="1"/>
          <w:numId w:val="247"/>
        </w:numPr>
        <w:autoSpaceDE w:val="0"/>
        <w:autoSpaceDN w:val="0"/>
        <w:adjustRightInd w:val="0"/>
        <w:rPr>
          <w:sz w:val="23"/>
          <w:szCs w:val="23"/>
        </w:rPr>
      </w:pPr>
      <w:r w:rsidRPr="000D4010">
        <w:rPr>
          <w:sz w:val="23"/>
          <w:szCs w:val="23"/>
        </w:rPr>
        <w:t xml:space="preserve">An industry or public-private organization facilitating the exchange of information about cybersecurity incidents and risks </w:t>
      </w:r>
    </w:p>
    <w:p w14:paraId="5EB7BB2D" w14:textId="77777777" w:rsidR="009713CF" w:rsidRPr="000D4010" w:rsidRDefault="009713CF" w:rsidP="00AA3921">
      <w:pPr>
        <w:ind w:firstLine="360"/>
        <w:rPr>
          <w:b/>
          <w:sz w:val="24"/>
          <w:szCs w:val="24"/>
        </w:rPr>
      </w:pPr>
    </w:p>
    <w:p w14:paraId="49948996" w14:textId="77777777" w:rsidR="00B1646D" w:rsidRPr="000D4010" w:rsidRDefault="00B1646D" w:rsidP="00AA3921">
      <w:pPr>
        <w:ind w:firstLine="360"/>
        <w:rPr>
          <w:b/>
          <w:sz w:val="24"/>
          <w:szCs w:val="24"/>
        </w:rPr>
      </w:pPr>
      <w:r w:rsidRPr="000D4010">
        <w:rPr>
          <w:b/>
          <w:sz w:val="24"/>
          <w:szCs w:val="24"/>
        </w:rPr>
        <w:t xml:space="preserve">Third Party Vendors </w:t>
      </w:r>
    </w:p>
    <w:p w14:paraId="626F09F8" w14:textId="77777777" w:rsidR="00B1646D" w:rsidRPr="000D4010" w:rsidRDefault="00B1646D" w:rsidP="00AA3921">
      <w:pPr>
        <w:pStyle w:val="Normal2"/>
        <w:spacing w:before="0" w:beforeAutospacing="0" w:after="0" w:afterAutospacing="0"/>
        <w:ind w:left="360"/>
      </w:pPr>
      <w:r w:rsidRPr="000D4010">
        <w:t xml:space="preserve">With respect to third party vendors, </w:t>
      </w:r>
      <w:r w:rsidR="0033723D" w:rsidRPr="000D4010">
        <w:t>Company</w:t>
      </w:r>
      <w:r w:rsidRPr="000D4010">
        <w:t xml:space="preserve"> will:</w:t>
      </w:r>
    </w:p>
    <w:p w14:paraId="58DE5E10" w14:textId="77777777" w:rsidR="00B1646D" w:rsidRPr="000D4010" w:rsidRDefault="00B1646D" w:rsidP="003E7B18">
      <w:pPr>
        <w:numPr>
          <w:ilvl w:val="0"/>
          <w:numId w:val="253"/>
        </w:numPr>
        <w:rPr>
          <w:sz w:val="24"/>
          <w:szCs w:val="24"/>
        </w:rPr>
      </w:pPr>
      <w:r w:rsidRPr="000D4010">
        <w:rPr>
          <w:sz w:val="24"/>
          <w:szCs w:val="24"/>
        </w:rPr>
        <w:t>Ascertain its dependencies on third-party vendors;</w:t>
      </w:r>
    </w:p>
    <w:p w14:paraId="65CB6606" w14:textId="0F8E4495" w:rsidR="00B1646D" w:rsidRPr="000D4010" w:rsidRDefault="00B1646D" w:rsidP="003E7B18">
      <w:pPr>
        <w:numPr>
          <w:ilvl w:val="0"/>
          <w:numId w:val="253"/>
        </w:numPr>
        <w:rPr>
          <w:sz w:val="24"/>
          <w:szCs w:val="24"/>
        </w:rPr>
      </w:pPr>
      <w:r w:rsidRPr="000D4010">
        <w:rPr>
          <w:sz w:val="24"/>
          <w:szCs w:val="24"/>
        </w:rPr>
        <w:t xml:space="preserve">When entering agreements and renewing existing agreements with vendors, review and reassess service contracts with vendors to ensure that privacy and computer security issues are adequately addressed </w:t>
      </w:r>
      <w:r w:rsidR="00CA5605" w:rsidRPr="000D4010">
        <w:rPr>
          <w:sz w:val="24"/>
          <w:szCs w:val="24"/>
        </w:rPr>
        <w:t>and</w:t>
      </w:r>
      <w:r w:rsidRPr="000D4010">
        <w:rPr>
          <w:sz w:val="24"/>
          <w:szCs w:val="24"/>
        </w:rPr>
        <w:t xml:space="preserve"> based on this assessment, consider whether an amendment to a vendor contract may be necessary;</w:t>
      </w:r>
    </w:p>
    <w:p w14:paraId="4715E8B1" w14:textId="77777777" w:rsidR="00B1646D" w:rsidRPr="000D4010" w:rsidRDefault="00B1646D" w:rsidP="003E7B18">
      <w:pPr>
        <w:numPr>
          <w:ilvl w:val="0"/>
          <w:numId w:val="253"/>
        </w:numPr>
        <w:rPr>
          <w:sz w:val="24"/>
          <w:szCs w:val="24"/>
        </w:rPr>
      </w:pPr>
      <w:r w:rsidRPr="000D4010">
        <w:rPr>
          <w:sz w:val="24"/>
          <w:szCs w:val="24"/>
        </w:rPr>
        <w:t>Request and review the cybersecurity policies and procedures of each applicable vendor to ascertain their adequacy;</w:t>
      </w:r>
    </w:p>
    <w:p w14:paraId="2E8CB973" w14:textId="77777777" w:rsidR="00B1646D" w:rsidRPr="000D4010" w:rsidRDefault="00B1646D" w:rsidP="003E7B18">
      <w:pPr>
        <w:numPr>
          <w:ilvl w:val="0"/>
          <w:numId w:val="253"/>
        </w:numPr>
        <w:rPr>
          <w:sz w:val="24"/>
          <w:szCs w:val="24"/>
        </w:rPr>
      </w:pPr>
      <w:r w:rsidRPr="000D4010">
        <w:rPr>
          <w:sz w:val="24"/>
          <w:szCs w:val="24"/>
        </w:rPr>
        <w:t xml:space="preserve">Coordinate with vendors so that </w:t>
      </w:r>
      <w:r w:rsidR="00E37587" w:rsidRPr="000D4010">
        <w:rPr>
          <w:sz w:val="24"/>
          <w:szCs w:val="24"/>
        </w:rPr>
        <w:t>Company</w:t>
      </w:r>
      <w:r w:rsidRPr="000D4010">
        <w:rPr>
          <w:sz w:val="24"/>
          <w:szCs w:val="24"/>
        </w:rPr>
        <w:t xml:space="preserve"> can receive information from them that enables collaboration and risk-based management decisions within </w:t>
      </w:r>
      <w:r w:rsidR="00E37587" w:rsidRPr="000D4010">
        <w:rPr>
          <w:sz w:val="24"/>
          <w:szCs w:val="24"/>
        </w:rPr>
        <w:t>the Company</w:t>
      </w:r>
      <w:r w:rsidRPr="000D4010">
        <w:rPr>
          <w:sz w:val="24"/>
          <w:szCs w:val="24"/>
        </w:rPr>
        <w:t xml:space="preserve"> in response to events;</w:t>
      </w:r>
    </w:p>
    <w:p w14:paraId="67B340E0" w14:textId="77777777" w:rsidR="00B1646D" w:rsidRPr="000D4010" w:rsidRDefault="00B1646D" w:rsidP="003E7B18">
      <w:pPr>
        <w:numPr>
          <w:ilvl w:val="0"/>
          <w:numId w:val="253"/>
        </w:numPr>
        <w:rPr>
          <w:sz w:val="24"/>
          <w:szCs w:val="24"/>
        </w:rPr>
      </w:pPr>
      <w:r w:rsidRPr="000D4010">
        <w:rPr>
          <w:sz w:val="24"/>
          <w:szCs w:val="24"/>
        </w:rPr>
        <w:t>Routinely and actively share information with vendors to ensure that accurate, current information is being distributed and consumed to improve cybersecurity before a cybersecurity event occurs;</w:t>
      </w:r>
    </w:p>
    <w:p w14:paraId="62CCB1E1" w14:textId="77777777" w:rsidR="00B1646D" w:rsidRPr="000D4010" w:rsidRDefault="00B1646D" w:rsidP="003E7B18">
      <w:pPr>
        <w:numPr>
          <w:ilvl w:val="0"/>
          <w:numId w:val="253"/>
        </w:numPr>
        <w:rPr>
          <w:sz w:val="24"/>
          <w:szCs w:val="24"/>
        </w:rPr>
      </w:pPr>
      <w:r w:rsidRPr="000D4010">
        <w:rPr>
          <w:sz w:val="24"/>
          <w:szCs w:val="24"/>
        </w:rPr>
        <w:t xml:space="preserve">If appropriate, periodically obtain certifications from vendors regarding the occurrence of any known cybersecurity attacks and whether </w:t>
      </w:r>
      <w:r w:rsidR="00E37587" w:rsidRPr="000D4010">
        <w:rPr>
          <w:sz w:val="24"/>
          <w:szCs w:val="24"/>
        </w:rPr>
        <w:t>the Company</w:t>
      </w:r>
      <w:r w:rsidRPr="000D4010">
        <w:rPr>
          <w:sz w:val="24"/>
          <w:szCs w:val="24"/>
        </w:rPr>
        <w:t xml:space="preserve"> was notified of such attacks;</w:t>
      </w:r>
    </w:p>
    <w:p w14:paraId="61D10324" w14:textId="77777777" w:rsidR="00B1646D" w:rsidRPr="000D4010" w:rsidRDefault="00B1646D" w:rsidP="003E7B18">
      <w:pPr>
        <w:numPr>
          <w:ilvl w:val="0"/>
          <w:numId w:val="253"/>
        </w:numPr>
        <w:rPr>
          <w:sz w:val="24"/>
          <w:szCs w:val="24"/>
        </w:rPr>
      </w:pPr>
      <w:r w:rsidRPr="000D4010">
        <w:rPr>
          <w:sz w:val="24"/>
          <w:szCs w:val="24"/>
        </w:rPr>
        <w:t>Periodically review its policies with insurance companies to verify that such policies cover losses and expenses attributable to cybersecurity incidents; and</w:t>
      </w:r>
    </w:p>
    <w:p w14:paraId="2A726654" w14:textId="77777777" w:rsidR="00B1646D" w:rsidRPr="000D4010" w:rsidRDefault="00B1646D" w:rsidP="003E7B18">
      <w:pPr>
        <w:numPr>
          <w:ilvl w:val="0"/>
          <w:numId w:val="253"/>
        </w:numPr>
        <w:rPr>
          <w:sz w:val="24"/>
          <w:szCs w:val="24"/>
        </w:rPr>
      </w:pPr>
      <w:r w:rsidRPr="000D4010">
        <w:rPr>
          <w:sz w:val="24"/>
          <w:szCs w:val="24"/>
        </w:rPr>
        <w:t>Ensure that applicable third-party vendors (</w:t>
      </w:r>
      <w:r w:rsidRPr="000D4010">
        <w:rPr>
          <w:i/>
          <w:iCs/>
          <w:sz w:val="24"/>
          <w:szCs w:val="24"/>
        </w:rPr>
        <w:t>e.g.,</w:t>
      </w:r>
      <w:r w:rsidRPr="000D4010">
        <w:rPr>
          <w:sz w:val="24"/>
          <w:szCs w:val="24"/>
        </w:rPr>
        <w:t xml:space="preserve"> suppliers, customers, partners) will understand roles and responsibilities.</w:t>
      </w:r>
    </w:p>
    <w:p w14:paraId="01CC6DBA" w14:textId="34EACB59" w:rsidR="00B1646D" w:rsidRDefault="00B1646D" w:rsidP="00810A8C">
      <w:pPr>
        <w:rPr>
          <w:sz w:val="24"/>
          <w:szCs w:val="24"/>
        </w:rPr>
      </w:pPr>
    </w:p>
    <w:p w14:paraId="1A9A1772" w14:textId="77777777" w:rsidR="00B1646D" w:rsidRPr="000D4010" w:rsidRDefault="00B1646D" w:rsidP="002172E5">
      <w:pPr>
        <w:ind w:firstLine="360"/>
        <w:rPr>
          <w:b/>
          <w:sz w:val="24"/>
          <w:szCs w:val="24"/>
        </w:rPr>
      </w:pPr>
      <w:r w:rsidRPr="000D4010">
        <w:rPr>
          <w:b/>
          <w:sz w:val="24"/>
          <w:szCs w:val="24"/>
        </w:rPr>
        <w:t xml:space="preserve">Mobile Devices and the Cloud </w:t>
      </w:r>
    </w:p>
    <w:p w14:paraId="24821D9A" w14:textId="77777777" w:rsidR="00B1646D" w:rsidRPr="000D4010" w:rsidRDefault="00DC15F9" w:rsidP="00DC15F9">
      <w:pPr>
        <w:pStyle w:val="Normal2"/>
        <w:spacing w:before="0" w:beforeAutospacing="0" w:after="0" w:afterAutospacing="0"/>
        <w:ind w:left="360"/>
      </w:pPr>
      <w:r w:rsidRPr="000D4010">
        <w:t>Company</w:t>
      </w:r>
      <w:r w:rsidR="00B1646D" w:rsidRPr="000D4010">
        <w:t xml:space="preserve"> </w:t>
      </w:r>
      <w:r w:rsidRPr="000D4010">
        <w:t>allows the us</w:t>
      </w:r>
      <w:r w:rsidR="00B1646D" w:rsidRPr="000D4010">
        <w:t>e of mobile devices</w:t>
      </w:r>
      <w:r w:rsidRPr="000D4010">
        <w:t xml:space="preserve"> for such processes like internet and email</w:t>
      </w:r>
      <w:r w:rsidR="00B1646D" w:rsidRPr="000D4010">
        <w:t xml:space="preserve">. In addition, </w:t>
      </w:r>
      <w:r w:rsidRPr="000D4010">
        <w:t xml:space="preserve">Company policies and training instill the prohibition of using such devices in unsecured, public Wi-Fi areas.  </w:t>
      </w:r>
    </w:p>
    <w:p w14:paraId="2EB6555E" w14:textId="77777777" w:rsidR="00B1646D" w:rsidRPr="000D4010" w:rsidRDefault="00B1646D" w:rsidP="006A1175">
      <w:pPr>
        <w:rPr>
          <w:sz w:val="24"/>
          <w:szCs w:val="24"/>
        </w:rPr>
      </w:pPr>
    </w:p>
    <w:p w14:paraId="23F5C85F" w14:textId="77777777" w:rsidR="00B1646D" w:rsidRPr="000D4010" w:rsidRDefault="00B1646D" w:rsidP="002172E5">
      <w:pPr>
        <w:ind w:firstLine="360"/>
        <w:rPr>
          <w:b/>
          <w:sz w:val="24"/>
          <w:szCs w:val="24"/>
        </w:rPr>
      </w:pPr>
      <w:r w:rsidRPr="000D4010">
        <w:rPr>
          <w:b/>
          <w:sz w:val="24"/>
          <w:szCs w:val="24"/>
        </w:rPr>
        <w:t xml:space="preserve">Employees </w:t>
      </w:r>
    </w:p>
    <w:p w14:paraId="2714BA75" w14:textId="68C3A701" w:rsidR="00B1646D" w:rsidRDefault="00C7196C" w:rsidP="00DC6C9F">
      <w:pPr>
        <w:pStyle w:val="Normal2"/>
        <w:spacing w:before="0" w:beforeAutospacing="0" w:after="0" w:afterAutospacing="0"/>
        <w:ind w:left="360"/>
      </w:pPr>
      <w:r w:rsidRPr="000D4010">
        <w:t>Company</w:t>
      </w:r>
      <w:r w:rsidR="00B1646D" w:rsidRPr="000D4010">
        <w:t xml:space="preserve"> understands that its cybersecurity program will only be effective to the extent that its employees</w:t>
      </w:r>
      <w:r w:rsidRPr="000D4010">
        <w:t xml:space="preserve"> are </w:t>
      </w:r>
      <w:r w:rsidR="006158C2" w:rsidRPr="000D4010">
        <w:t>trained,</w:t>
      </w:r>
      <w:r w:rsidRPr="000D4010">
        <w:t xml:space="preserve"> and their</w:t>
      </w:r>
      <w:r w:rsidR="00B1646D" w:rsidRPr="000D4010">
        <w:t xml:space="preserve"> activities do not contribute to a cybersecurity attack. </w:t>
      </w:r>
      <w:r w:rsidR="00B1646D" w:rsidRPr="000D4010">
        <w:lastRenderedPageBreak/>
        <w:t xml:space="preserve">With respect to employees, </w:t>
      </w:r>
      <w:r w:rsidR="00DC6C9F" w:rsidRPr="000D4010">
        <w:t>Company r</w:t>
      </w:r>
      <w:r w:rsidR="00B1646D" w:rsidRPr="000D4010">
        <w:t>equires employees to practice computer security best practices (</w:t>
      </w:r>
      <w:r w:rsidR="00B1646D" w:rsidRPr="000D4010">
        <w:rPr>
          <w:i/>
          <w:iCs/>
        </w:rPr>
        <w:t>e.g.,</w:t>
      </w:r>
      <w:r w:rsidR="00B1646D" w:rsidRPr="000D4010">
        <w:t xml:space="preserve"> use passwords with a mix of uppercase and lowercase letters, numbers, and symbols);</w:t>
      </w:r>
    </w:p>
    <w:p w14:paraId="6141DB17" w14:textId="77777777" w:rsidR="00BE4A77" w:rsidRDefault="00BE4A77" w:rsidP="00DC6C9F">
      <w:pPr>
        <w:pStyle w:val="Normal2"/>
        <w:spacing w:before="0" w:beforeAutospacing="0" w:after="0" w:afterAutospacing="0"/>
        <w:ind w:left="360"/>
      </w:pPr>
    </w:p>
    <w:p w14:paraId="367EF139" w14:textId="77777777" w:rsidR="00BE4A77" w:rsidRPr="00DD3254" w:rsidRDefault="00BE4A77" w:rsidP="00BE4A77">
      <w:pPr>
        <w:pStyle w:val="Normal2"/>
        <w:spacing w:before="0" w:beforeAutospacing="0" w:after="0" w:afterAutospacing="0"/>
        <w:ind w:left="360"/>
        <w:rPr>
          <w:b/>
        </w:rPr>
      </w:pPr>
      <w:r w:rsidRPr="00DD3254">
        <w:rPr>
          <w:b/>
        </w:rPr>
        <w:t>Branch Offices</w:t>
      </w:r>
    </w:p>
    <w:p w14:paraId="3EF8F8D1" w14:textId="77777777" w:rsidR="00BE4A77" w:rsidRPr="00DD3254" w:rsidRDefault="00BE4A77" w:rsidP="000E6EB7">
      <w:pPr>
        <w:ind w:left="360"/>
        <w:rPr>
          <w:sz w:val="24"/>
          <w:szCs w:val="24"/>
        </w:rPr>
      </w:pPr>
      <w:r w:rsidRPr="00DD3254">
        <w:rPr>
          <w:sz w:val="24"/>
          <w:szCs w:val="24"/>
        </w:rPr>
        <w:t xml:space="preserve">Branch offices are required to comply with Company's requirements to protect customer and Company information.  Branch office cybersecurity practices will be subject to branch reviews. Computers and other devices that access or maintain confidential customer </w:t>
      </w:r>
      <w:r w:rsidR="000E6EB7" w:rsidRPr="00DD3254">
        <w:rPr>
          <w:sz w:val="24"/>
          <w:szCs w:val="24"/>
        </w:rPr>
        <w:t>i</w:t>
      </w:r>
      <w:r w:rsidRPr="00DD3254">
        <w:rPr>
          <w:sz w:val="24"/>
          <w:szCs w:val="24"/>
        </w:rPr>
        <w:t>nformation must:</w:t>
      </w:r>
    </w:p>
    <w:p w14:paraId="706E2CFC" w14:textId="77777777" w:rsidR="00BE4A77" w:rsidRPr="00DD3254" w:rsidRDefault="00BE4A77" w:rsidP="003E7B18">
      <w:pPr>
        <w:numPr>
          <w:ilvl w:val="0"/>
          <w:numId w:val="302"/>
        </w:numPr>
        <w:spacing w:before="100" w:beforeAutospacing="1" w:after="100" w:afterAutospacing="1"/>
        <w:ind w:hanging="90"/>
        <w:rPr>
          <w:sz w:val="24"/>
          <w:szCs w:val="24"/>
        </w:rPr>
      </w:pPr>
      <w:r w:rsidRPr="00DD3254">
        <w:rPr>
          <w:sz w:val="24"/>
          <w:szCs w:val="24"/>
        </w:rPr>
        <w:t xml:space="preserve">be password-protected </w:t>
      </w:r>
    </w:p>
    <w:p w14:paraId="4DC0AF31" w14:textId="77777777" w:rsidR="00BE4A77" w:rsidRPr="00DD3254" w:rsidRDefault="00BE4A77" w:rsidP="003E7B18">
      <w:pPr>
        <w:numPr>
          <w:ilvl w:val="0"/>
          <w:numId w:val="302"/>
        </w:numPr>
        <w:spacing w:before="100" w:beforeAutospacing="1" w:after="100" w:afterAutospacing="1"/>
        <w:ind w:hanging="90"/>
        <w:rPr>
          <w:sz w:val="24"/>
          <w:szCs w:val="24"/>
        </w:rPr>
      </w:pPr>
      <w:r w:rsidRPr="00DD3254">
        <w:rPr>
          <w:sz w:val="24"/>
          <w:szCs w:val="24"/>
        </w:rPr>
        <w:t>be secured to prevent stealing</w:t>
      </w:r>
    </w:p>
    <w:p w14:paraId="740DB726" w14:textId="77777777" w:rsidR="00BE4A77" w:rsidRPr="00DD3254" w:rsidRDefault="00BE4A77" w:rsidP="003E7B18">
      <w:pPr>
        <w:numPr>
          <w:ilvl w:val="0"/>
          <w:numId w:val="302"/>
        </w:numPr>
        <w:spacing w:before="100" w:beforeAutospacing="1" w:after="100" w:afterAutospacing="1"/>
        <w:ind w:hanging="90"/>
        <w:rPr>
          <w:sz w:val="24"/>
          <w:szCs w:val="24"/>
        </w:rPr>
      </w:pPr>
      <w:r w:rsidRPr="00DD3254">
        <w:rPr>
          <w:sz w:val="24"/>
          <w:szCs w:val="24"/>
        </w:rPr>
        <w:t>use only authorized devices, software and cloud services</w:t>
      </w:r>
    </w:p>
    <w:p w14:paraId="4D383087" w14:textId="77777777" w:rsidR="00BE4A77" w:rsidRPr="00DD3254" w:rsidRDefault="00BE4A77" w:rsidP="003E7B18">
      <w:pPr>
        <w:numPr>
          <w:ilvl w:val="0"/>
          <w:numId w:val="302"/>
        </w:numPr>
        <w:spacing w:before="100" w:beforeAutospacing="1" w:after="100" w:afterAutospacing="1"/>
        <w:ind w:hanging="90"/>
        <w:rPr>
          <w:sz w:val="24"/>
          <w:szCs w:val="24"/>
        </w:rPr>
      </w:pPr>
      <w:r w:rsidRPr="00DD3254">
        <w:rPr>
          <w:sz w:val="24"/>
          <w:szCs w:val="24"/>
        </w:rPr>
        <w:t>have current required firewall, virus, malware, and other protection software</w:t>
      </w:r>
    </w:p>
    <w:p w14:paraId="7FAA9177" w14:textId="77777777" w:rsidR="00BE4A77" w:rsidRPr="00DD3254" w:rsidRDefault="00BE4A77" w:rsidP="000E6EB7">
      <w:pPr>
        <w:spacing w:before="100" w:beforeAutospacing="1" w:after="100" w:afterAutospacing="1"/>
        <w:ind w:left="360"/>
        <w:rPr>
          <w:sz w:val="24"/>
          <w:szCs w:val="24"/>
        </w:rPr>
      </w:pPr>
      <w:r w:rsidRPr="00DD3254">
        <w:rPr>
          <w:sz w:val="24"/>
          <w:szCs w:val="24"/>
        </w:rPr>
        <w:t>Breaches or loss of computers or other devices containing confidential information must be reported immediately to Compliance.</w:t>
      </w:r>
    </w:p>
    <w:p w14:paraId="4D9B8E0C" w14:textId="77777777" w:rsidR="00B1646D" w:rsidRPr="000D4010" w:rsidRDefault="00B1646D" w:rsidP="002172E5">
      <w:pPr>
        <w:ind w:firstLine="360"/>
      </w:pPr>
      <w:r w:rsidRPr="000D4010">
        <w:rPr>
          <w:b/>
          <w:sz w:val="24"/>
          <w:szCs w:val="24"/>
        </w:rPr>
        <w:t xml:space="preserve">Disclosure </w:t>
      </w:r>
    </w:p>
    <w:p w14:paraId="63A53A19" w14:textId="77777777" w:rsidR="00B1646D" w:rsidRPr="000D4010" w:rsidRDefault="00B1646D" w:rsidP="008935AF">
      <w:pPr>
        <w:pStyle w:val="Normal2"/>
        <w:spacing w:before="0" w:beforeAutospacing="0" w:after="0" w:afterAutospacing="0"/>
        <w:ind w:left="360"/>
      </w:pPr>
      <w:r w:rsidRPr="000D4010">
        <w:t xml:space="preserve">Where appropriate, a description of </w:t>
      </w:r>
      <w:r w:rsidR="008935AF" w:rsidRPr="000D4010">
        <w:t>Company</w:t>
      </w:r>
      <w:r w:rsidRPr="000D4010">
        <w:t xml:space="preserve">'s cybersecurity procedures </w:t>
      </w:r>
      <w:r w:rsidR="008935AF" w:rsidRPr="000D4010">
        <w:t>may</w:t>
      </w:r>
      <w:r w:rsidRPr="000D4010">
        <w:t xml:space="preserve"> be disclosed in </w:t>
      </w:r>
      <w:r w:rsidR="008935AF" w:rsidRPr="000D4010">
        <w:t>Company’s</w:t>
      </w:r>
      <w:r w:rsidRPr="000D4010">
        <w:t xml:space="preserve"> brochure, </w:t>
      </w:r>
      <w:r w:rsidR="008935AF" w:rsidRPr="000D4010">
        <w:t>we</w:t>
      </w:r>
      <w:r w:rsidRPr="000D4010">
        <w:t>b site and other materials and, if applicable, the risks of cybersecurity attacks shall be included in such disclosure.</w:t>
      </w:r>
      <w:r w:rsidR="008935AF" w:rsidRPr="000D4010">
        <w:t xml:space="preserve">  Morris Monroe and Compliance shall make such determination.</w:t>
      </w:r>
    </w:p>
    <w:p w14:paraId="54B2C5D2" w14:textId="77777777" w:rsidR="00B1646D" w:rsidRPr="000D4010" w:rsidRDefault="00B1646D" w:rsidP="006A1175">
      <w:pPr>
        <w:rPr>
          <w:sz w:val="24"/>
          <w:szCs w:val="24"/>
        </w:rPr>
      </w:pPr>
    </w:p>
    <w:p w14:paraId="695BE2FA" w14:textId="77777777" w:rsidR="00B1646D" w:rsidRPr="000D4010" w:rsidRDefault="00B1646D" w:rsidP="002172E5">
      <w:pPr>
        <w:ind w:firstLine="360"/>
        <w:rPr>
          <w:b/>
          <w:sz w:val="24"/>
          <w:szCs w:val="24"/>
        </w:rPr>
      </w:pPr>
      <w:r w:rsidRPr="000D4010">
        <w:rPr>
          <w:b/>
          <w:sz w:val="24"/>
          <w:szCs w:val="24"/>
        </w:rPr>
        <w:t xml:space="preserve">Client Notification </w:t>
      </w:r>
    </w:p>
    <w:p w14:paraId="051F7AEC" w14:textId="77777777" w:rsidR="00B1646D" w:rsidRPr="000D4010" w:rsidRDefault="00B1646D" w:rsidP="002172E5">
      <w:pPr>
        <w:pStyle w:val="Normal2"/>
        <w:spacing w:before="0" w:beforeAutospacing="0" w:after="0" w:afterAutospacing="0"/>
        <w:ind w:left="360"/>
      </w:pPr>
      <w:r w:rsidRPr="000D4010">
        <w:t xml:space="preserve">As soon as reasonably possible after a material cybersecurity breach occurs, </w:t>
      </w:r>
      <w:r w:rsidR="00F80772" w:rsidRPr="000D4010">
        <w:t>Company</w:t>
      </w:r>
      <w:r w:rsidRPr="000D4010">
        <w:t xml:space="preserve"> shall notify clients impacted by such breach in accordance with </w:t>
      </w:r>
      <w:r w:rsidR="00F80772" w:rsidRPr="000D4010">
        <w:t>Company</w:t>
      </w:r>
      <w:r w:rsidRPr="000D4010">
        <w:t>'s Identity Theft Prevention Program.</w:t>
      </w:r>
    </w:p>
    <w:p w14:paraId="23BB6B01" w14:textId="77777777" w:rsidR="002172E5" w:rsidRPr="000D4010" w:rsidRDefault="002172E5" w:rsidP="002172E5">
      <w:pPr>
        <w:ind w:firstLine="360"/>
        <w:rPr>
          <w:b/>
          <w:sz w:val="24"/>
          <w:szCs w:val="24"/>
        </w:rPr>
      </w:pPr>
    </w:p>
    <w:p w14:paraId="6804D2D6" w14:textId="77777777" w:rsidR="002172E5" w:rsidRPr="000D4010" w:rsidRDefault="002172E5" w:rsidP="002172E5">
      <w:pPr>
        <w:ind w:firstLine="360"/>
        <w:rPr>
          <w:b/>
          <w:sz w:val="24"/>
          <w:szCs w:val="24"/>
        </w:rPr>
      </w:pPr>
      <w:r w:rsidRPr="000D4010">
        <w:rPr>
          <w:b/>
          <w:sz w:val="24"/>
          <w:szCs w:val="24"/>
        </w:rPr>
        <w:t xml:space="preserve">Testing </w:t>
      </w:r>
    </w:p>
    <w:p w14:paraId="1C1954E7" w14:textId="77777777" w:rsidR="002172E5" w:rsidRPr="000D4010" w:rsidRDefault="002172E5" w:rsidP="002172E5">
      <w:pPr>
        <w:pStyle w:val="Normal2"/>
        <w:spacing w:before="0" w:beforeAutospacing="0" w:after="0" w:afterAutospacing="0"/>
        <w:ind w:left="360"/>
      </w:pPr>
      <w:r w:rsidRPr="000D4010">
        <w:t>Company maintains an environment for testing (at a minimum with the annual review).   It shall record the date of such testing, the type of test performed, the results of the test and changes or other actions taken in response to the testing results. Company shall test:</w:t>
      </w:r>
    </w:p>
    <w:p w14:paraId="12DAF0BF" w14:textId="77777777" w:rsidR="002172E5" w:rsidRPr="000D4010" w:rsidRDefault="002172E5" w:rsidP="003E7B18">
      <w:pPr>
        <w:numPr>
          <w:ilvl w:val="0"/>
          <w:numId w:val="254"/>
        </w:numPr>
        <w:rPr>
          <w:sz w:val="24"/>
          <w:szCs w:val="24"/>
        </w:rPr>
      </w:pPr>
      <w:r w:rsidRPr="000D4010">
        <w:rPr>
          <w:sz w:val="24"/>
          <w:szCs w:val="24"/>
        </w:rPr>
        <w:t>Functionality of its backup system;</w:t>
      </w:r>
    </w:p>
    <w:p w14:paraId="74528628" w14:textId="77777777" w:rsidR="002172E5" w:rsidRPr="000D4010" w:rsidRDefault="002172E5" w:rsidP="003E7B18">
      <w:pPr>
        <w:numPr>
          <w:ilvl w:val="0"/>
          <w:numId w:val="254"/>
        </w:numPr>
        <w:rPr>
          <w:sz w:val="24"/>
          <w:szCs w:val="24"/>
        </w:rPr>
      </w:pPr>
      <w:r w:rsidRPr="000D4010">
        <w:rPr>
          <w:sz w:val="24"/>
          <w:szCs w:val="24"/>
        </w:rPr>
        <w:t>Response and recovery plans;</w:t>
      </w:r>
    </w:p>
    <w:p w14:paraId="1CF1A445" w14:textId="77777777" w:rsidR="002172E5" w:rsidRPr="000D4010" w:rsidRDefault="002172E5" w:rsidP="003E7B18">
      <w:pPr>
        <w:numPr>
          <w:ilvl w:val="0"/>
          <w:numId w:val="254"/>
        </w:numPr>
        <w:rPr>
          <w:sz w:val="24"/>
          <w:szCs w:val="24"/>
        </w:rPr>
      </w:pPr>
      <w:r w:rsidRPr="000D4010">
        <w:rPr>
          <w:sz w:val="24"/>
          <w:szCs w:val="24"/>
        </w:rPr>
        <w:t>The reliability of event detection processes; and</w:t>
      </w:r>
    </w:p>
    <w:p w14:paraId="7D37A8BB" w14:textId="77777777" w:rsidR="002172E5" w:rsidRPr="000D4010" w:rsidRDefault="002172E5" w:rsidP="003E7B18">
      <w:pPr>
        <w:numPr>
          <w:ilvl w:val="0"/>
          <w:numId w:val="254"/>
        </w:numPr>
        <w:rPr>
          <w:sz w:val="24"/>
          <w:szCs w:val="24"/>
        </w:rPr>
      </w:pPr>
      <w:r w:rsidRPr="000D4010">
        <w:rPr>
          <w:sz w:val="24"/>
          <w:szCs w:val="24"/>
        </w:rPr>
        <w:t>Detection processes.</w:t>
      </w:r>
    </w:p>
    <w:p w14:paraId="5B50FA94" w14:textId="77777777" w:rsidR="002172E5" w:rsidRPr="000D4010" w:rsidRDefault="002172E5" w:rsidP="002172E5">
      <w:pPr>
        <w:pStyle w:val="Normal2"/>
        <w:spacing w:before="0" w:beforeAutospacing="0" w:after="0" w:afterAutospacing="0"/>
      </w:pPr>
    </w:p>
    <w:p w14:paraId="4CA9E84A" w14:textId="77777777" w:rsidR="002172E5" w:rsidRPr="000D4010" w:rsidRDefault="002172E5" w:rsidP="002172E5">
      <w:pPr>
        <w:pStyle w:val="Normal2"/>
        <w:spacing w:before="0" w:beforeAutospacing="0" w:after="0" w:afterAutospacing="0"/>
        <w:ind w:left="360"/>
      </w:pPr>
      <w:r w:rsidRPr="000D4010">
        <w:t>Where possible, Company shall use the analysis of its tests to improve cybersecurity defensive measures.</w:t>
      </w:r>
    </w:p>
    <w:p w14:paraId="2D4147A2" w14:textId="77777777" w:rsidR="00B1646D" w:rsidRPr="000D4010" w:rsidRDefault="00B1646D" w:rsidP="006A1175">
      <w:pPr>
        <w:tabs>
          <w:tab w:val="num" w:pos="360"/>
        </w:tabs>
        <w:ind w:left="360"/>
        <w:rPr>
          <w:sz w:val="24"/>
          <w:szCs w:val="24"/>
        </w:rPr>
      </w:pPr>
    </w:p>
    <w:p w14:paraId="3C65E925" w14:textId="77777777" w:rsidR="00DB2679" w:rsidRPr="000D4010" w:rsidRDefault="00563FE1" w:rsidP="001A587F">
      <w:pPr>
        <w:pStyle w:val="Heading4"/>
      </w:pPr>
      <w:r w:rsidRPr="000D4010">
        <w:t>6.2.</w:t>
      </w:r>
      <w:r w:rsidR="00FD00D7" w:rsidRPr="000D4010">
        <w:t>9.4</w:t>
      </w:r>
      <w:r w:rsidRPr="000D4010">
        <w:t xml:space="preserve"> </w:t>
      </w:r>
      <w:r w:rsidR="00DB2679" w:rsidRPr="000D4010">
        <w:t>Training</w:t>
      </w:r>
    </w:p>
    <w:p w14:paraId="2CADFB5F" w14:textId="77777777" w:rsidR="009B5C8B" w:rsidRPr="000D4010" w:rsidRDefault="009B5C8B" w:rsidP="009B5C8B">
      <w:pPr>
        <w:pStyle w:val="Normal2"/>
        <w:spacing w:before="0" w:beforeAutospacing="0" w:after="0" w:afterAutospacing="0"/>
        <w:ind w:left="360"/>
      </w:pPr>
      <w:r w:rsidRPr="000D4010">
        <w:t>Company trains its personnel on cybersecurity risks and responsibilities. At a minimum:</w:t>
      </w:r>
    </w:p>
    <w:p w14:paraId="29913791" w14:textId="77777777" w:rsidR="009B5C8B" w:rsidRPr="000D4010" w:rsidRDefault="006A1175" w:rsidP="003E7B18">
      <w:pPr>
        <w:numPr>
          <w:ilvl w:val="0"/>
          <w:numId w:val="255"/>
        </w:numPr>
        <w:rPr>
          <w:sz w:val="24"/>
          <w:szCs w:val="24"/>
        </w:rPr>
      </w:pPr>
      <w:r w:rsidRPr="000D4010">
        <w:rPr>
          <w:sz w:val="24"/>
          <w:szCs w:val="24"/>
        </w:rPr>
        <w:t>P</w:t>
      </w:r>
      <w:r w:rsidR="009B5C8B" w:rsidRPr="000D4010">
        <w:rPr>
          <w:sz w:val="24"/>
          <w:szCs w:val="24"/>
        </w:rPr>
        <w:t>rovides awareness education and conducts training to make employees aware of the various computer threats so they can be recognized when they occur;</w:t>
      </w:r>
    </w:p>
    <w:p w14:paraId="430D772A" w14:textId="77777777" w:rsidR="009B5C8B" w:rsidRPr="000D4010" w:rsidRDefault="009B5C8B" w:rsidP="003E7B18">
      <w:pPr>
        <w:numPr>
          <w:ilvl w:val="0"/>
          <w:numId w:val="255"/>
        </w:numPr>
        <w:rPr>
          <w:sz w:val="24"/>
          <w:szCs w:val="24"/>
        </w:rPr>
      </w:pPr>
      <w:r w:rsidRPr="000D4010">
        <w:rPr>
          <w:sz w:val="24"/>
          <w:szCs w:val="24"/>
        </w:rPr>
        <w:t xml:space="preserve">All users of Assets and Systems will be informed and trained, including their information security-related duties and responsibilities; </w:t>
      </w:r>
    </w:p>
    <w:p w14:paraId="76A156A7" w14:textId="77777777" w:rsidR="009B5C8B" w:rsidRPr="000D4010" w:rsidRDefault="009B5C8B" w:rsidP="003E7B18">
      <w:pPr>
        <w:numPr>
          <w:ilvl w:val="0"/>
          <w:numId w:val="255"/>
        </w:numPr>
        <w:rPr>
          <w:sz w:val="24"/>
          <w:szCs w:val="24"/>
        </w:rPr>
      </w:pPr>
      <w:r w:rsidRPr="000D4010">
        <w:rPr>
          <w:sz w:val="24"/>
          <w:szCs w:val="24"/>
        </w:rPr>
        <w:lastRenderedPageBreak/>
        <w:t>Privileged users (</w:t>
      </w:r>
      <w:r w:rsidRPr="000D4010">
        <w:rPr>
          <w:i/>
          <w:iCs/>
          <w:sz w:val="24"/>
          <w:szCs w:val="24"/>
        </w:rPr>
        <w:t>i.e.,</w:t>
      </w:r>
      <w:r w:rsidRPr="000D4010">
        <w:rPr>
          <w:sz w:val="24"/>
          <w:szCs w:val="24"/>
        </w:rPr>
        <w:t xml:space="preserve"> users with higher clearance and greater access to Assets and Systems) will understand their roles and responsibilities; and</w:t>
      </w:r>
    </w:p>
    <w:p w14:paraId="2686410D" w14:textId="77777777" w:rsidR="009B5C8B" w:rsidRPr="000D4010" w:rsidRDefault="002B4C17" w:rsidP="003E7B18">
      <w:pPr>
        <w:numPr>
          <w:ilvl w:val="0"/>
          <w:numId w:val="255"/>
        </w:numPr>
        <w:rPr>
          <w:sz w:val="24"/>
          <w:szCs w:val="24"/>
        </w:rPr>
      </w:pPr>
      <w:r w:rsidRPr="000D4010">
        <w:rPr>
          <w:sz w:val="24"/>
          <w:szCs w:val="24"/>
        </w:rPr>
        <w:t>Where a</w:t>
      </w:r>
      <w:r w:rsidR="009B5C8B" w:rsidRPr="000D4010">
        <w:rPr>
          <w:sz w:val="24"/>
          <w:szCs w:val="24"/>
        </w:rPr>
        <w:t>ppropriate</w:t>
      </w:r>
      <w:r w:rsidRPr="000D4010">
        <w:rPr>
          <w:sz w:val="24"/>
          <w:szCs w:val="24"/>
        </w:rPr>
        <w:t>,</w:t>
      </w:r>
      <w:r w:rsidR="009B5C8B" w:rsidRPr="000D4010">
        <w:rPr>
          <w:sz w:val="24"/>
          <w:szCs w:val="24"/>
        </w:rPr>
        <w:t xml:space="preserve"> personnel shall periodically attend external seminars and other events about cybersecurity threats, including such events sponsored by vendors.</w:t>
      </w:r>
    </w:p>
    <w:p w14:paraId="077A5748" w14:textId="77777777" w:rsidR="00DB2679" w:rsidRPr="00DB2679" w:rsidRDefault="00DB2679" w:rsidP="00DB2679">
      <w:pPr>
        <w:ind w:left="360"/>
        <w:rPr>
          <w:color w:val="FF0000"/>
          <w:sz w:val="24"/>
          <w:szCs w:val="24"/>
        </w:rPr>
      </w:pPr>
    </w:p>
    <w:p w14:paraId="7B732A89" w14:textId="77777777" w:rsidR="00DB2679" w:rsidRPr="00DB2679" w:rsidRDefault="00DB2679" w:rsidP="00DB2679">
      <w:pPr>
        <w:ind w:left="360"/>
        <w:rPr>
          <w:color w:val="FF0000"/>
          <w:sz w:val="24"/>
          <w:szCs w:val="24"/>
        </w:rPr>
      </w:pPr>
    </w:p>
    <w:p w14:paraId="0C33D19E" w14:textId="77777777" w:rsidR="00A51A68" w:rsidRPr="00A0487D" w:rsidRDefault="00947DC7" w:rsidP="00936FEE">
      <w:pPr>
        <w:pStyle w:val="Heading2"/>
        <w:rPr>
          <w:i/>
        </w:rPr>
      </w:pPr>
      <w:r w:rsidRPr="006A3D3E">
        <w:t>6.</w:t>
      </w:r>
      <w:r w:rsidR="00DF6E72">
        <w:t>3</w:t>
      </w:r>
      <w:r w:rsidRPr="006A3D3E">
        <w:t xml:space="preserve"> Regulation</w:t>
      </w:r>
      <w:r w:rsidR="00A51A68" w:rsidRPr="006A3D3E">
        <w:t xml:space="preserve"> S-AM - Limitations on Affiliate Marketing</w:t>
      </w:r>
      <w:r w:rsidR="00A0487D">
        <w:t xml:space="preserve"> </w:t>
      </w:r>
      <w:r w:rsidR="00A0487D" w:rsidRPr="00AF20A5">
        <w:rPr>
          <w:i/>
          <w:sz w:val="20"/>
          <w:szCs w:val="20"/>
        </w:rPr>
        <w:t>(</w:t>
      </w:r>
      <w:proofErr w:type="gramStart"/>
      <w:r w:rsidR="00A0487D" w:rsidRPr="00AF20A5">
        <w:rPr>
          <w:i/>
          <w:sz w:val="20"/>
          <w:szCs w:val="20"/>
        </w:rPr>
        <w:t>eff</w:t>
      </w:r>
      <w:proofErr w:type="gramEnd"/>
      <w:r w:rsidR="00A0487D" w:rsidRPr="00AF20A5">
        <w:rPr>
          <w:i/>
          <w:sz w:val="20"/>
          <w:szCs w:val="20"/>
        </w:rPr>
        <w:t xml:space="preserve"> </w:t>
      </w:r>
      <w:r w:rsidR="00D506D7" w:rsidRPr="00AF20A5">
        <w:rPr>
          <w:i/>
          <w:sz w:val="20"/>
          <w:szCs w:val="20"/>
        </w:rPr>
        <w:t>6</w:t>
      </w:r>
      <w:r w:rsidR="00A0487D" w:rsidRPr="00AF20A5">
        <w:rPr>
          <w:i/>
          <w:sz w:val="20"/>
          <w:szCs w:val="20"/>
        </w:rPr>
        <w:t>/0</w:t>
      </w:r>
      <w:r w:rsidR="00D506D7" w:rsidRPr="00AF20A5">
        <w:rPr>
          <w:i/>
          <w:sz w:val="20"/>
          <w:szCs w:val="20"/>
        </w:rPr>
        <w:t>1</w:t>
      </w:r>
      <w:r w:rsidR="00A0487D" w:rsidRPr="00AF20A5">
        <w:rPr>
          <w:i/>
          <w:sz w:val="20"/>
          <w:szCs w:val="20"/>
        </w:rPr>
        <w:t>/</w:t>
      </w:r>
      <w:r w:rsidR="00D506D7" w:rsidRPr="00AF20A5">
        <w:rPr>
          <w:i/>
          <w:sz w:val="20"/>
          <w:szCs w:val="20"/>
        </w:rPr>
        <w:t>1</w:t>
      </w:r>
      <w:r w:rsidR="00A0487D" w:rsidRPr="00AF20A5">
        <w:rPr>
          <w:i/>
          <w:sz w:val="20"/>
          <w:szCs w:val="20"/>
        </w:rPr>
        <w:t>0)</w:t>
      </w:r>
    </w:p>
    <w:p w14:paraId="3AFD5A03" w14:textId="77777777" w:rsidR="00A23453" w:rsidRPr="00727573" w:rsidRDefault="00706E15" w:rsidP="00444272">
      <w:pPr>
        <w:jc w:val="both"/>
        <w:rPr>
          <w:spacing w:val="8"/>
          <w:sz w:val="24"/>
          <w:szCs w:val="24"/>
        </w:rPr>
      </w:pPr>
      <w:r w:rsidRPr="00727573">
        <w:rPr>
          <w:spacing w:val="8"/>
          <w:sz w:val="24"/>
          <w:szCs w:val="24"/>
        </w:rPr>
        <w:t xml:space="preserve">Regulation S-AM limits use of certain information received from Company's affiliates to solicit a consumer for marketing purposes. </w:t>
      </w:r>
    </w:p>
    <w:p w14:paraId="24730719" w14:textId="77777777" w:rsidR="00A23453" w:rsidRPr="00727573" w:rsidRDefault="00A23453" w:rsidP="00444272">
      <w:pPr>
        <w:jc w:val="both"/>
        <w:rPr>
          <w:spacing w:val="8"/>
          <w:sz w:val="24"/>
          <w:szCs w:val="24"/>
        </w:rPr>
      </w:pPr>
    </w:p>
    <w:p w14:paraId="6BE41409" w14:textId="77777777" w:rsidR="00A23453" w:rsidRPr="00727573" w:rsidRDefault="00947DC7" w:rsidP="00BE2A56">
      <w:pPr>
        <w:pStyle w:val="Heading3"/>
      </w:pPr>
      <w:r w:rsidRPr="00727573">
        <w:t>6.</w:t>
      </w:r>
      <w:r w:rsidR="00DF6E72">
        <w:t>3</w:t>
      </w:r>
      <w:r w:rsidRPr="00727573">
        <w:t>.1 Definitions</w:t>
      </w:r>
    </w:p>
    <w:p w14:paraId="27E181D3" w14:textId="77777777" w:rsidR="00DB2B2B" w:rsidRDefault="00DB2B2B" w:rsidP="00A23453">
      <w:pPr>
        <w:ind w:left="270"/>
        <w:jc w:val="both"/>
        <w:rPr>
          <w:i/>
          <w:spacing w:val="8"/>
          <w:sz w:val="24"/>
          <w:szCs w:val="24"/>
        </w:rPr>
      </w:pPr>
    </w:p>
    <w:p w14:paraId="113E4C81" w14:textId="77777777" w:rsidR="00A23453" w:rsidRDefault="00A23453" w:rsidP="00A23453">
      <w:pPr>
        <w:ind w:left="270"/>
        <w:jc w:val="both"/>
        <w:rPr>
          <w:spacing w:val="8"/>
          <w:sz w:val="24"/>
          <w:szCs w:val="24"/>
        </w:rPr>
      </w:pPr>
      <w:r w:rsidRPr="00727573">
        <w:rPr>
          <w:i/>
          <w:spacing w:val="8"/>
          <w:sz w:val="24"/>
          <w:szCs w:val="24"/>
        </w:rPr>
        <w:t xml:space="preserve">“Eligibility Information” </w:t>
      </w:r>
      <w:r w:rsidRPr="00727573">
        <w:rPr>
          <w:spacing w:val="8"/>
          <w:sz w:val="24"/>
          <w:szCs w:val="24"/>
        </w:rPr>
        <w:t>means any communication of bearing on a consumer’s credit worthiness, credit standing, credit capacity, character, general reputation, personal characteristics, or mode of living that is used or expected to be used or collected in whole or in part for the purpose of serving as a factor in establishing the consumer’s eligibility for credit or insurance to be used primarily for personal, family, or household purposes or employment purposes.</w:t>
      </w:r>
    </w:p>
    <w:p w14:paraId="1E09A3F7" w14:textId="77777777" w:rsidR="00DB2B2B" w:rsidRPr="00727573" w:rsidRDefault="00DB2B2B" w:rsidP="00A23453">
      <w:pPr>
        <w:ind w:left="270"/>
        <w:jc w:val="both"/>
        <w:rPr>
          <w:spacing w:val="8"/>
          <w:sz w:val="24"/>
          <w:szCs w:val="24"/>
        </w:rPr>
      </w:pPr>
    </w:p>
    <w:p w14:paraId="72E40FEC" w14:textId="77777777" w:rsidR="00A23453" w:rsidRPr="00727573" w:rsidRDefault="00A23453" w:rsidP="00A23453">
      <w:pPr>
        <w:ind w:left="270"/>
        <w:jc w:val="both"/>
        <w:rPr>
          <w:spacing w:val="8"/>
          <w:sz w:val="24"/>
          <w:szCs w:val="24"/>
        </w:rPr>
      </w:pPr>
      <w:r w:rsidRPr="00727573">
        <w:rPr>
          <w:i/>
          <w:spacing w:val="8"/>
          <w:sz w:val="24"/>
          <w:szCs w:val="24"/>
        </w:rPr>
        <w:t xml:space="preserve">“Marketing Solicitation” </w:t>
      </w:r>
      <w:r w:rsidRPr="00727573">
        <w:rPr>
          <w:spacing w:val="8"/>
          <w:sz w:val="24"/>
          <w:szCs w:val="24"/>
        </w:rPr>
        <w:t>means the marketing of a product or service initiated by the Company to a particular consumer that is (</w:t>
      </w:r>
      <w:proofErr w:type="spellStart"/>
      <w:r w:rsidRPr="00727573">
        <w:rPr>
          <w:spacing w:val="8"/>
          <w:sz w:val="24"/>
          <w:szCs w:val="24"/>
        </w:rPr>
        <w:t>i</w:t>
      </w:r>
      <w:proofErr w:type="spellEnd"/>
      <w:r w:rsidRPr="00727573">
        <w:rPr>
          <w:spacing w:val="8"/>
          <w:sz w:val="24"/>
          <w:szCs w:val="24"/>
        </w:rPr>
        <w:t>) based on eligibility information communicated to the Company by its affiliate; and (ii) intended to encourage the consumer to purchase or obtain such product or service.</w:t>
      </w:r>
    </w:p>
    <w:p w14:paraId="3243BEBB" w14:textId="77777777" w:rsidR="00A23453" w:rsidRPr="00727573" w:rsidRDefault="00A23453" w:rsidP="00A23453">
      <w:pPr>
        <w:jc w:val="both"/>
        <w:rPr>
          <w:spacing w:val="8"/>
          <w:sz w:val="24"/>
          <w:szCs w:val="24"/>
        </w:rPr>
      </w:pPr>
    </w:p>
    <w:p w14:paraId="6BF8D848" w14:textId="77777777" w:rsidR="00A23453" w:rsidRPr="00727573" w:rsidRDefault="00A23453" w:rsidP="0010432C">
      <w:pPr>
        <w:tabs>
          <w:tab w:val="left" w:pos="0"/>
        </w:tabs>
        <w:jc w:val="both"/>
        <w:rPr>
          <w:spacing w:val="8"/>
          <w:sz w:val="24"/>
          <w:szCs w:val="24"/>
        </w:rPr>
      </w:pPr>
      <w:r w:rsidRPr="00727573">
        <w:rPr>
          <w:spacing w:val="8"/>
          <w:sz w:val="24"/>
          <w:szCs w:val="24"/>
        </w:rPr>
        <w:t>Consumers may block the use of certain financial information by affiliates of the person the consumer does business with. Company does not currently use any affiliate customer “eligibility information” for marketing purposes. However, in the event this changes in the future, Company may use such eligibility information with the affiliate if:</w:t>
      </w:r>
    </w:p>
    <w:p w14:paraId="448E45E1" w14:textId="77777777" w:rsidR="00A23453" w:rsidRPr="00727573" w:rsidRDefault="00A23453" w:rsidP="00A23453">
      <w:pPr>
        <w:jc w:val="both"/>
        <w:rPr>
          <w:spacing w:val="8"/>
          <w:sz w:val="24"/>
          <w:szCs w:val="24"/>
        </w:rPr>
      </w:pPr>
    </w:p>
    <w:p w14:paraId="211BAF2B" w14:textId="77777777" w:rsidR="00A23453" w:rsidRPr="00727573" w:rsidRDefault="00A23453" w:rsidP="00C1728B">
      <w:pPr>
        <w:numPr>
          <w:ilvl w:val="0"/>
          <w:numId w:val="102"/>
        </w:numPr>
        <w:shd w:val="clear" w:color="auto" w:fill="FFFFFF"/>
        <w:ind w:hanging="450"/>
        <w:jc w:val="both"/>
        <w:rPr>
          <w:spacing w:val="8"/>
          <w:sz w:val="24"/>
          <w:szCs w:val="24"/>
        </w:rPr>
      </w:pPr>
      <w:r w:rsidRPr="00727573">
        <w:rPr>
          <w:spacing w:val="8"/>
          <w:sz w:val="24"/>
          <w:szCs w:val="24"/>
        </w:rPr>
        <w:t xml:space="preserve">the potential market use of the information has been clearly, conspicuously, and concisely disclosed to the consumer; </w:t>
      </w:r>
    </w:p>
    <w:p w14:paraId="3E1BC3B6" w14:textId="77777777" w:rsidR="00A23453" w:rsidRPr="00727573" w:rsidRDefault="00A23453" w:rsidP="00C1728B">
      <w:pPr>
        <w:numPr>
          <w:ilvl w:val="0"/>
          <w:numId w:val="102"/>
        </w:numPr>
        <w:shd w:val="clear" w:color="auto" w:fill="FFFFFF"/>
        <w:ind w:left="270" w:firstLine="0"/>
        <w:jc w:val="both"/>
        <w:rPr>
          <w:spacing w:val="8"/>
          <w:sz w:val="24"/>
          <w:szCs w:val="24"/>
        </w:rPr>
      </w:pPr>
      <w:r w:rsidRPr="00727573">
        <w:rPr>
          <w:spacing w:val="8"/>
          <w:sz w:val="24"/>
          <w:szCs w:val="24"/>
        </w:rPr>
        <w:t xml:space="preserve">the consumer has been provided with reasonable opportunity to opt out; and </w:t>
      </w:r>
    </w:p>
    <w:p w14:paraId="4A2FF4B5" w14:textId="77777777" w:rsidR="00A23453" w:rsidRPr="00727573" w:rsidRDefault="00A23453" w:rsidP="00C1728B">
      <w:pPr>
        <w:numPr>
          <w:ilvl w:val="0"/>
          <w:numId w:val="102"/>
        </w:numPr>
        <w:shd w:val="clear" w:color="auto" w:fill="FFFFFF"/>
        <w:ind w:left="270" w:firstLine="0"/>
        <w:jc w:val="both"/>
        <w:rPr>
          <w:spacing w:val="8"/>
          <w:sz w:val="24"/>
          <w:szCs w:val="24"/>
        </w:rPr>
      </w:pPr>
      <w:r w:rsidRPr="00727573">
        <w:rPr>
          <w:spacing w:val="8"/>
          <w:sz w:val="24"/>
          <w:szCs w:val="24"/>
        </w:rPr>
        <w:t>the consumer has not opted out.</w:t>
      </w:r>
    </w:p>
    <w:p w14:paraId="2CCBAA8F" w14:textId="77777777" w:rsidR="00A23453" w:rsidRPr="00727573" w:rsidRDefault="00A23453" w:rsidP="00A23453">
      <w:pPr>
        <w:shd w:val="clear" w:color="auto" w:fill="FFFFFF"/>
        <w:ind w:left="270"/>
        <w:jc w:val="both"/>
        <w:rPr>
          <w:spacing w:val="8"/>
          <w:sz w:val="24"/>
          <w:szCs w:val="24"/>
        </w:rPr>
      </w:pPr>
    </w:p>
    <w:p w14:paraId="1C5AEB85" w14:textId="77777777" w:rsidR="00A23453" w:rsidRPr="00727573" w:rsidRDefault="00A23453" w:rsidP="0010432C">
      <w:pPr>
        <w:shd w:val="clear" w:color="auto" w:fill="FFFFFF"/>
        <w:jc w:val="both"/>
      </w:pPr>
      <w:r w:rsidRPr="00727573">
        <w:rPr>
          <w:spacing w:val="8"/>
          <w:sz w:val="24"/>
          <w:szCs w:val="24"/>
        </w:rPr>
        <w:t>Company will only use information from affiliates if the above requirements are satisfied. Opt-out notices under Regulation S-AM may be included with Regulation S-P opt-out notices.</w:t>
      </w:r>
    </w:p>
    <w:p w14:paraId="670A104D" w14:textId="77777777" w:rsidR="00A23453" w:rsidRDefault="00A23453" w:rsidP="00444272">
      <w:pPr>
        <w:jc w:val="both"/>
        <w:rPr>
          <w:color w:val="FF0000"/>
          <w:spacing w:val="8"/>
          <w:sz w:val="24"/>
          <w:szCs w:val="24"/>
        </w:rPr>
      </w:pPr>
    </w:p>
    <w:p w14:paraId="082042A7" w14:textId="77777777" w:rsidR="006E5F40" w:rsidRPr="00E60F67" w:rsidRDefault="00947DC7" w:rsidP="00936FEE">
      <w:pPr>
        <w:pStyle w:val="Heading2"/>
      </w:pPr>
      <w:r>
        <w:t>6.</w:t>
      </w:r>
      <w:r w:rsidR="0088628A">
        <w:t>4</w:t>
      </w:r>
      <w:r>
        <w:t xml:space="preserve"> Identity</w:t>
      </w:r>
      <w:r w:rsidR="006E5F40" w:rsidRPr="00E60F67">
        <w:t xml:space="preserve"> Theft Prevention Program (“Program”)</w:t>
      </w:r>
    </w:p>
    <w:p w14:paraId="58A9AAA0" w14:textId="77777777" w:rsidR="006E5F40" w:rsidRDefault="006E5F40" w:rsidP="0088628A">
      <w:pPr>
        <w:tabs>
          <w:tab w:val="num" w:pos="360"/>
        </w:tabs>
        <w:jc w:val="both"/>
        <w:rPr>
          <w:sz w:val="24"/>
          <w:szCs w:val="24"/>
        </w:rPr>
      </w:pPr>
      <w:r w:rsidRPr="00E66294">
        <w:rPr>
          <w:sz w:val="24"/>
        </w:rPr>
        <w:t xml:space="preserve">Company has determined that it is a “Financial Institution” </w:t>
      </w:r>
      <w:r w:rsidR="00BD3C84">
        <w:rPr>
          <w:sz w:val="24"/>
        </w:rPr>
        <w:t xml:space="preserve">and has adopted the following procedures </w:t>
      </w:r>
      <w:r w:rsidR="00BD3C84" w:rsidRPr="00E66294">
        <w:rPr>
          <w:sz w:val="24"/>
        </w:rPr>
        <w:t xml:space="preserve">in order to </w:t>
      </w:r>
      <w:r w:rsidR="00BD3C84" w:rsidRPr="00E66294">
        <w:rPr>
          <w:sz w:val="24"/>
          <w:szCs w:val="24"/>
        </w:rPr>
        <w:t>detect, prevent and mitigate identity theft among the Company’s clients and “Covered Accounts.”</w:t>
      </w:r>
      <w:r w:rsidRPr="00E66294">
        <w:rPr>
          <w:sz w:val="24"/>
        </w:rPr>
        <w:t xml:space="preserve"> </w:t>
      </w:r>
      <w:r w:rsidR="00BD3C84">
        <w:rPr>
          <w:sz w:val="24"/>
        </w:rPr>
        <w:t xml:space="preserve"> </w:t>
      </w:r>
      <w:r w:rsidRPr="00E66294">
        <w:rPr>
          <w:sz w:val="24"/>
          <w:szCs w:val="24"/>
        </w:rPr>
        <w:t xml:space="preserve">Morris Monroe, as the designated Information Security Officer, will be responsible for the development, implementation, review </w:t>
      </w:r>
      <w:r w:rsidR="00D528E2">
        <w:rPr>
          <w:sz w:val="24"/>
          <w:szCs w:val="24"/>
        </w:rPr>
        <w:t>and approval of the Program and staff training.</w:t>
      </w:r>
      <w:r w:rsidR="003F0533">
        <w:rPr>
          <w:sz w:val="24"/>
          <w:szCs w:val="24"/>
        </w:rPr>
        <w:t xml:space="preserve"> In addition, Company has adopted other procedures under Regulation S-P and Anti-Money Laundering that in conjunction with th</w:t>
      </w:r>
      <w:r w:rsidR="00DA56BC">
        <w:rPr>
          <w:sz w:val="24"/>
          <w:szCs w:val="24"/>
        </w:rPr>
        <w:t>e</w:t>
      </w:r>
      <w:r w:rsidR="003F0533">
        <w:rPr>
          <w:sz w:val="24"/>
          <w:szCs w:val="24"/>
        </w:rPr>
        <w:t xml:space="preserve"> Program will help prevent and mitigate identity theft.</w:t>
      </w:r>
    </w:p>
    <w:p w14:paraId="0003B18B" w14:textId="77777777" w:rsidR="00897C40" w:rsidRDefault="00897C40" w:rsidP="0088628A">
      <w:pPr>
        <w:tabs>
          <w:tab w:val="num" w:pos="360"/>
        </w:tabs>
        <w:jc w:val="both"/>
        <w:rPr>
          <w:sz w:val="24"/>
          <w:szCs w:val="24"/>
        </w:rPr>
      </w:pPr>
    </w:p>
    <w:p w14:paraId="28BEC6D0" w14:textId="77777777" w:rsidR="00897C40" w:rsidRDefault="00897C40" w:rsidP="0088628A">
      <w:pPr>
        <w:tabs>
          <w:tab w:val="num" w:pos="360"/>
        </w:tabs>
        <w:jc w:val="both"/>
        <w:rPr>
          <w:sz w:val="24"/>
        </w:rPr>
      </w:pPr>
      <w:r>
        <w:rPr>
          <w:sz w:val="24"/>
        </w:rPr>
        <w:t>The four elements of the Program are:</w:t>
      </w:r>
    </w:p>
    <w:p w14:paraId="39DDDE93" w14:textId="77777777" w:rsidR="00897C40" w:rsidRDefault="00897C40" w:rsidP="00897C40"/>
    <w:p w14:paraId="0FB079DF" w14:textId="77777777" w:rsidR="00897C40" w:rsidRPr="00897C40" w:rsidRDefault="00897C40" w:rsidP="003E7B18">
      <w:pPr>
        <w:numPr>
          <w:ilvl w:val="0"/>
          <w:numId w:val="157"/>
        </w:numPr>
        <w:jc w:val="both"/>
        <w:rPr>
          <w:sz w:val="24"/>
          <w:szCs w:val="24"/>
        </w:rPr>
      </w:pPr>
      <w:r>
        <w:rPr>
          <w:sz w:val="24"/>
          <w:szCs w:val="24"/>
          <w:u w:val="single"/>
        </w:rPr>
        <w:t>I</w:t>
      </w:r>
      <w:r w:rsidRPr="00897C40">
        <w:rPr>
          <w:sz w:val="24"/>
          <w:szCs w:val="24"/>
          <w:u w:val="single"/>
        </w:rPr>
        <w:t>dentify</w:t>
      </w:r>
      <w:r w:rsidRPr="00897C40">
        <w:rPr>
          <w:sz w:val="24"/>
          <w:szCs w:val="24"/>
        </w:rPr>
        <w:t xml:space="preserve"> relevant red flags for the covered </w:t>
      </w:r>
      <w:r w:rsidR="003D74B9" w:rsidRPr="00897C40">
        <w:rPr>
          <w:sz w:val="24"/>
          <w:szCs w:val="24"/>
        </w:rPr>
        <w:t xml:space="preserve">accounts that </w:t>
      </w:r>
      <w:r w:rsidR="003D74B9">
        <w:rPr>
          <w:sz w:val="24"/>
          <w:szCs w:val="24"/>
        </w:rPr>
        <w:t>Company</w:t>
      </w:r>
      <w:r w:rsidR="003D74B9" w:rsidRPr="00897C40">
        <w:rPr>
          <w:sz w:val="24"/>
          <w:szCs w:val="24"/>
        </w:rPr>
        <w:t xml:space="preserve"> offers or maintain</w:t>
      </w:r>
      <w:r w:rsidRPr="00897C40">
        <w:rPr>
          <w:sz w:val="24"/>
          <w:szCs w:val="24"/>
        </w:rPr>
        <w:t xml:space="preserve">, and incorporate those red flags into its </w:t>
      </w:r>
      <w:r>
        <w:rPr>
          <w:sz w:val="24"/>
          <w:szCs w:val="24"/>
        </w:rPr>
        <w:t>Program</w:t>
      </w:r>
      <w:r w:rsidRPr="00897C40">
        <w:rPr>
          <w:sz w:val="24"/>
          <w:szCs w:val="24"/>
        </w:rPr>
        <w:t>;</w:t>
      </w:r>
    </w:p>
    <w:p w14:paraId="00400E52" w14:textId="77777777" w:rsidR="00897C40" w:rsidRPr="00897C40" w:rsidRDefault="00897C40" w:rsidP="003E7B18">
      <w:pPr>
        <w:numPr>
          <w:ilvl w:val="0"/>
          <w:numId w:val="157"/>
        </w:numPr>
        <w:jc w:val="both"/>
        <w:rPr>
          <w:sz w:val="24"/>
          <w:szCs w:val="24"/>
        </w:rPr>
      </w:pPr>
      <w:r>
        <w:rPr>
          <w:sz w:val="24"/>
          <w:szCs w:val="24"/>
          <w:u w:val="single"/>
        </w:rPr>
        <w:t>D</w:t>
      </w:r>
      <w:r w:rsidRPr="00897C40">
        <w:rPr>
          <w:sz w:val="24"/>
          <w:szCs w:val="24"/>
          <w:u w:val="single"/>
        </w:rPr>
        <w:t>etect</w:t>
      </w:r>
      <w:r w:rsidRPr="00897C40">
        <w:rPr>
          <w:sz w:val="24"/>
          <w:szCs w:val="24"/>
        </w:rPr>
        <w:t xml:space="preserve"> red flags that have been incorporated into </w:t>
      </w:r>
      <w:r>
        <w:rPr>
          <w:sz w:val="24"/>
          <w:szCs w:val="24"/>
        </w:rPr>
        <w:t>Company’s</w:t>
      </w:r>
      <w:r w:rsidRPr="00897C40">
        <w:rPr>
          <w:sz w:val="24"/>
          <w:szCs w:val="24"/>
        </w:rPr>
        <w:t xml:space="preserve"> </w:t>
      </w:r>
      <w:r>
        <w:rPr>
          <w:sz w:val="24"/>
          <w:szCs w:val="24"/>
        </w:rPr>
        <w:t>Program</w:t>
      </w:r>
      <w:r w:rsidRPr="00897C40">
        <w:rPr>
          <w:sz w:val="24"/>
          <w:szCs w:val="24"/>
        </w:rPr>
        <w:t>;</w:t>
      </w:r>
    </w:p>
    <w:p w14:paraId="34721D02" w14:textId="77777777" w:rsidR="00897C40" w:rsidRPr="00897C40" w:rsidRDefault="00897C40" w:rsidP="003E7B18">
      <w:pPr>
        <w:pStyle w:val="BodyText3"/>
        <w:numPr>
          <w:ilvl w:val="0"/>
          <w:numId w:val="157"/>
        </w:numPr>
        <w:pBdr>
          <w:top w:val="none" w:sz="0" w:space="0" w:color="auto"/>
          <w:left w:val="none" w:sz="0" w:space="0" w:color="auto"/>
          <w:bottom w:val="none" w:sz="0" w:space="0" w:color="auto"/>
          <w:right w:val="none" w:sz="0" w:space="0" w:color="auto"/>
        </w:pBdr>
        <w:shd w:val="clear" w:color="auto" w:fill="auto"/>
        <w:jc w:val="both"/>
        <w:rPr>
          <w:szCs w:val="24"/>
        </w:rPr>
      </w:pPr>
      <w:r w:rsidRPr="00897C40">
        <w:rPr>
          <w:szCs w:val="24"/>
          <w:u w:val="single"/>
        </w:rPr>
        <w:t>Respond</w:t>
      </w:r>
      <w:r w:rsidRPr="00897C40">
        <w:rPr>
          <w:szCs w:val="24"/>
        </w:rPr>
        <w:t xml:space="preserve"> appropriately to any red flags that are detected to prevent and mitigate identity theft; and</w:t>
      </w:r>
    </w:p>
    <w:p w14:paraId="18CF9891" w14:textId="77777777" w:rsidR="00897C40" w:rsidRPr="00897C40" w:rsidRDefault="00897C40" w:rsidP="003E7B18">
      <w:pPr>
        <w:numPr>
          <w:ilvl w:val="0"/>
          <w:numId w:val="157"/>
        </w:numPr>
        <w:jc w:val="both"/>
        <w:rPr>
          <w:sz w:val="24"/>
          <w:szCs w:val="24"/>
        </w:rPr>
      </w:pPr>
      <w:r>
        <w:rPr>
          <w:sz w:val="24"/>
          <w:szCs w:val="24"/>
          <w:u w:val="single"/>
        </w:rPr>
        <w:t>U</w:t>
      </w:r>
      <w:r w:rsidRPr="00897C40">
        <w:rPr>
          <w:sz w:val="24"/>
          <w:szCs w:val="24"/>
          <w:u w:val="single"/>
        </w:rPr>
        <w:t>pdate</w:t>
      </w:r>
      <w:r w:rsidRPr="00897C40">
        <w:rPr>
          <w:sz w:val="24"/>
          <w:szCs w:val="24"/>
        </w:rPr>
        <w:t xml:space="preserve"> the </w:t>
      </w:r>
      <w:r>
        <w:rPr>
          <w:sz w:val="24"/>
          <w:szCs w:val="24"/>
        </w:rPr>
        <w:t>Program</w:t>
      </w:r>
      <w:r w:rsidRPr="00897C40">
        <w:rPr>
          <w:sz w:val="24"/>
          <w:szCs w:val="24"/>
        </w:rPr>
        <w:t xml:space="preserve"> and its red flags periodically to reflect changes in identity theft risks to customers and the </w:t>
      </w:r>
      <w:r>
        <w:rPr>
          <w:sz w:val="24"/>
          <w:szCs w:val="24"/>
        </w:rPr>
        <w:t>Company</w:t>
      </w:r>
      <w:r w:rsidRPr="00897C40">
        <w:rPr>
          <w:sz w:val="24"/>
          <w:szCs w:val="24"/>
        </w:rPr>
        <w:t>.</w:t>
      </w:r>
    </w:p>
    <w:p w14:paraId="6F1CB56F" w14:textId="77777777" w:rsidR="00897C40" w:rsidRPr="00897C40" w:rsidRDefault="00897C40" w:rsidP="00897C40">
      <w:pPr>
        <w:tabs>
          <w:tab w:val="num" w:pos="360"/>
        </w:tabs>
        <w:jc w:val="both"/>
        <w:rPr>
          <w:sz w:val="24"/>
          <w:szCs w:val="24"/>
        </w:rPr>
      </w:pPr>
    </w:p>
    <w:p w14:paraId="3B695D75" w14:textId="77777777" w:rsidR="006E5F40" w:rsidRPr="00E66294" w:rsidRDefault="006E5F40" w:rsidP="006E5F40">
      <w:pPr>
        <w:tabs>
          <w:tab w:val="num" w:pos="360"/>
        </w:tabs>
        <w:jc w:val="both"/>
        <w:rPr>
          <w:sz w:val="24"/>
        </w:rPr>
      </w:pPr>
    </w:p>
    <w:p w14:paraId="54332E57" w14:textId="77777777" w:rsidR="006E5F40" w:rsidRPr="002D12DF" w:rsidRDefault="00947DC7" w:rsidP="00BE2A56">
      <w:pPr>
        <w:pStyle w:val="Heading3"/>
      </w:pPr>
      <w:r w:rsidRPr="002D12DF">
        <w:t>6.</w:t>
      </w:r>
      <w:r w:rsidR="0088628A">
        <w:t>4</w:t>
      </w:r>
      <w:r w:rsidRPr="002D12DF">
        <w:t>.</w:t>
      </w:r>
      <w:r w:rsidR="0088628A">
        <w:t>1</w:t>
      </w:r>
      <w:r w:rsidRPr="002D12DF">
        <w:t xml:space="preserve"> Definitions</w:t>
      </w:r>
    </w:p>
    <w:p w14:paraId="4A859B78" w14:textId="77777777" w:rsidR="006E5F40" w:rsidRPr="00E66294" w:rsidRDefault="006E5F40" w:rsidP="003335B8">
      <w:pPr>
        <w:tabs>
          <w:tab w:val="num" w:pos="360"/>
        </w:tabs>
        <w:ind w:left="270"/>
        <w:jc w:val="both"/>
        <w:rPr>
          <w:b/>
          <w:sz w:val="24"/>
        </w:rPr>
      </w:pPr>
    </w:p>
    <w:p w14:paraId="02AA1899" w14:textId="77777777" w:rsidR="006E5F40" w:rsidRPr="00E66294" w:rsidRDefault="006E5F40" w:rsidP="003335B8">
      <w:pPr>
        <w:tabs>
          <w:tab w:val="num" w:pos="360"/>
        </w:tabs>
        <w:ind w:left="270"/>
        <w:jc w:val="both"/>
        <w:rPr>
          <w:sz w:val="24"/>
        </w:rPr>
      </w:pPr>
      <w:r w:rsidRPr="00897C40">
        <w:rPr>
          <w:b/>
          <w:i/>
          <w:sz w:val="24"/>
        </w:rPr>
        <w:t>Financial Institution</w:t>
      </w:r>
      <w:r w:rsidRPr="00E66294">
        <w:rPr>
          <w:sz w:val="24"/>
        </w:rPr>
        <w:t>:  A depository institution or any other person that directly, or indirectly, holds a transaction account belonging to a customer</w:t>
      </w:r>
    </w:p>
    <w:p w14:paraId="527E5C6E" w14:textId="77777777" w:rsidR="006E5F40" w:rsidRPr="00E66294" w:rsidRDefault="006E5F40" w:rsidP="003335B8">
      <w:pPr>
        <w:tabs>
          <w:tab w:val="num" w:pos="360"/>
        </w:tabs>
        <w:ind w:left="270"/>
        <w:jc w:val="both"/>
        <w:rPr>
          <w:sz w:val="24"/>
        </w:rPr>
      </w:pPr>
    </w:p>
    <w:p w14:paraId="54ACC04E" w14:textId="77777777" w:rsidR="006E5F40" w:rsidRPr="00E66294" w:rsidRDefault="006E5F40" w:rsidP="003335B8">
      <w:pPr>
        <w:tabs>
          <w:tab w:val="num" w:pos="360"/>
        </w:tabs>
        <w:ind w:left="270"/>
        <w:jc w:val="both"/>
        <w:rPr>
          <w:sz w:val="24"/>
        </w:rPr>
      </w:pPr>
      <w:r w:rsidRPr="00897C40">
        <w:rPr>
          <w:b/>
          <w:i/>
          <w:sz w:val="24"/>
        </w:rPr>
        <w:t>Transaction Account</w:t>
      </w:r>
      <w:r w:rsidRPr="00E66294">
        <w:rPr>
          <w:sz w:val="24"/>
        </w:rPr>
        <w:t>:  An account that permits the account holder to make withdrawals for payment or transfer to third parties of securities or funds vial telephone transfers, check, debit card or other similar items.</w:t>
      </w:r>
    </w:p>
    <w:p w14:paraId="025A40BD" w14:textId="77777777" w:rsidR="006E5F40" w:rsidRPr="00E66294" w:rsidRDefault="006E5F40" w:rsidP="003335B8">
      <w:pPr>
        <w:tabs>
          <w:tab w:val="num" w:pos="360"/>
        </w:tabs>
        <w:ind w:left="270"/>
        <w:jc w:val="both"/>
        <w:rPr>
          <w:sz w:val="24"/>
        </w:rPr>
      </w:pPr>
    </w:p>
    <w:p w14:paraId="5B724250" w14:textId="77777777" w:rsidR="006E5F40" w:rsidRPr="00E66294" w:rsidRDefault="006E5F40" w:rsidP="003335B8">
      <w:pPr>
        <w:tabs>
          <w:tab w:val="num" w:pos="360"/>
        </w:tabs>
        <w:ind w:left="270"/>
        <w:jc w:val="both"/>
        <w:rPr>
          <w:sz w:val="24"/>
        </w:rPr>
      </w:pPr>
      <w:r w:rsidRPr="00897C40">
        <w:rPr>
          <w:b/>
          <w:i/>
          <w:sz w:val="24"/>
        </w:rPr>
        <w:t>Consumer</w:t>
      </w:r>
      <w:r w:rsidRPr="00E66294">
        <w:rPr>
          <w:sz w:val="24"/>
        </w:rPr>
        <w:t>:  Refers only to Individuals.</w:t>
      </w:r>
    </w:p>
    <w:p w14:paraId="4966E4FC" w14:textId="77777777" w:rsidR="006E5F40" w:rsidRPr="00E66294" w:rsidRDefault="006E5F40" w:rsidP="003335B8">
      <w:pPr>
        <w:tabs>
          <w:tab w:val="num" w:pos="360"/>
        </w:tabs>
        <w:ind w:left="270"/>
        <w:jc w:val="both"/>
        <w:rPr>
          <w:sz w:val="24"/>
        </w:rPr>
      </w:pPr>
    </w:p>
    <w:p w14:paraId="0B6B73F0" w14:textId="1C6AD5F0" w:rsidR="006E5F40" w:rsidRPr="00E66294" w:rsidRDefault="006E5F40" w:rsidP="003335B8">
      <w:pPr>
        <w:tabs>
          <w:tab w:val="num" w:pos="360"/>
        </w:tabs>
        <w:ind w:left="270"/>
        <w:jc w:val="both"/>
        <w:rPr>
          <w:sz w:val="24"/>
        </w:rPr>
      </w:pPr>
      <w:r w:rsidRPr="00897C40">
        <w:rPr>
          <w:b/>
          <w:i/>
          <w:sz w:val="24"/>
        </w:rPr>
        <w:t>Creditor</w:t>
      </w:r>
      <w:r w:rsidRPr="00E66294">
        <w:rPr>
          <w:sz w:val="24"/>
        </w:rPr>
        <w:t xml:space="preserve">:  Any person who regularly extends, renews, or continues credit or regularly arranges for the extension, </w:t>
      </w:r>
      <w:r w:rsidR="00CB3B73" w:rsidRPr="00E66294">
        <w:rPr>
          <w:sz w:val="24"/>
        </w:rPr>
        <w:t>renewal,</w:t>
      </w:r>
      <w:r w:rsidRPr="00E66294">
        <w:rPr>
          <w:sz w:val="24"/>
        </w:rPr>
        <w:t xml:space="preserve"> or continuation of credit.</w:t>
      </w:r>
    </w:p>
    <w:p w14:paraId="344B703E" w14:textId="77777777" w:rsidR="006E5F40" w:rsidRPr="00E66294" w:rsidRDefault="006E5F40" w:rsidP="003335B8">
      <w:pPr>
        <w:tabs>
          <w:tab w:val="num" w:pos="360"/>
        </w:tabs>
        <w:ind w:left="270"/>
        <w:jc w:val="both"/>
        <w:rPr>
          <w:sz w:val="24"/>
        </w:rPr>
      </w:pPr>
    </w:p>
    <w:p w14:paraId="4D1DBAE3" w14:textId="77777777" w:rsidR="009B383D" w:rsidRDefault="006E5F40" w:rsidP="003335B8">
      <w:pPr>
        <w:tabs>
          <w:tab w:val="num" w:pos="360"/>
        </w:tabs>
        <w:ind w:left="270"/>
        <w:jc w:val="both"/>
        <w:rPr>
          <w:sz w:val="24"/>
        </w:rPr>
      </w:pPr>
      <w:r w:rsidRPr="00897C40">
        <w:rPr>
          <w:b/>
          <w:i/>
          <w:sz w:val="24"/>
        </w:rPr>
        <w:t>Covered Account</w:t>
      </w:r>
      <w:r w:rsidRPr="00E66294">
        <w:rPr>
          <w:sz w:val="24"/>
        </w:rPr>
        <w:t>:  Refers to</w:t>
      </w:r>
      <w:r w:rsidR="009B383D">
        <w:rPr>
          <w:sz w:val="24"/>
        </w:rPr>
        <w:t>:</w:t>
      </w:r>
      <w:r w:rsidRPr="00E66294">
        <w:rPr>
          <w:sz w:val="24"/>
        </w:rPr>
        <w:t xml:space="preserve"> </w:t>
      </w:r>
    </w:p>
    <w:p w14:paraId="0897716E" w14:textId="77777777" w:rsidR="009B383D" w:rsidRDefault="006E5F40" w:rsidP="003335B8">
      <w:pPr>
        <w:tabs>
          <w:tab w:val="num" w:pos="360"/>
        </w:tabs>
        <w:ind w:left="270"/>
        <w:jc w:val="both"/>
        <w:rPr>
          <w:sz w:val="24"/>
        </w:rPr>
      </w:pPr>
      <w:r w:rsidRPr="00E66294">
        <w:rPr>
          <w:sz w:val="24"/>
        </w:rPr>
        <w:t xml:space="preserve">1) an account offered or maintained primarily for personal, family or household purposes that is designed to permit multiple payments or transactions; or </w:t>
      </w:r>
    </w:p>
    <w:p w14:paraId="34E75012" w14:textId="77777777" w:rsidR="006E5F40" w:rsidRPr="00E66294" w:rsidRDefault="006E5F40" w:rsidP="003335B8">
      <w:pPr>
        <w:tabs>
          <w:tab w:val="num" w:pos="360"/>
        </w:tabs>
        <w:ind w:left="270"/>
        <w:jc w:val="both"/>
        <w:rPr>
          <w:sz w:val="24"/>
        </w:rPr>
      </w:pPr>
      <w:r w:rsidRPr="00E66294">
        <w:rPr>
          <w:sz w:val="24"/>
        </w:rPr>
        <w:t xml:space="preserve">2) any other account </w:t>
      </w:r>
      <w:r w:rsidR="00DA19F3">
        <w:rPr>
          <w:sz w:val="24"/>
        </w:rPr>
        <w:t>6</w:t>
      </w:r>
      <w:r w:rsidRPr="00E66294">
        <w:rPr>
          <w:sz w:val="24"/>
        </w:rPr>
        <w:t>for which there is a foreseeable risk to customers or safety and soundness of the member firm from identity theft, including financial, operational, compliance, reputation or litigation risks.</w:t>
      </w:r>
    </w:p>
    <w:p w14:paraId="28F7847A" w14:textId="77777777" w:rsidR="006E5F40" w:rsidRPr="00E66294" w:rsidRDefault="006E5F40" w:rsidP="003335B8">
      <w:pPr>
        <w:tabs>
          <w:tab w:val="num" w:pos="360"/>
        </w:tabs>
        <w:ind w:left="270"/>
        <w:jc w:val="both"/>
        <w:rPr>
          <w:sz w:val="24"/>
        </w:rPr>
      </w:pPr>
    </w:p>
    <w:p w14:paraId="3AA2102A" w14:textId="77777777" w:rsidR="006E5F40" w:rsidRPr="00E66294" w:rsidRDefault="006E5F40" w:rsidP="003335B8">
      <w:pPr>
        <w:tabs>
          <w:tab w:val="num" w:pos="360"/>
        </w:tabs>
        <w:ind w:left="270"/>
        <w:jc w:val="both"/>
        <w:rPr>
          <w:sz w:val="24"/>
          <w:szCs w:val="24"/>
        </w:rPr>
      </w:pPr>
      <w:r w:rsidRPr="00E66294">
        <w:rPr>
          <w:sz w:val="24"/>
          <w:szCs w:val="24"/>
        </w:rPr>
        <w:t>The following Program procedures have been adopted:</w:t>
      </w:r>
    </w:p>
    <w:p w14:paraId="7652FEE9" w14:textId="77777777" w:rsidR="006E5F40" w:rsidRPr="00E66294" w:rsidRDefault="006E5F40" w:rsidP="006E5F40">
      <w:pPr>
        <w:tabs>
          <w:tab w:val="num" w:pos="360"/>
        </w:tabs>
        <w:jc w:val="both"/>
        <w:rPr>
          <w:sz w:val="24"/>
          <w:szCs w:val="24"/>
        </w:rPr>
      </w:pPr>
    </w:p>
    <w:p w14:paraId="690A20CF" w14:textId="77777777" w:rsidR="003335B8" w:rsidRDefault="00947DC7" w:rsidP="000A2020">
      <w:pPr>
        <w:pStyle w:val="Heading3"/>
      </w:pPr>
      <w:r w:rsidRPr="003335B8">
        <w:t>6.</w:t>
      </w:r>
      <w:r w:rsidR="00DF6E72">
        <w:t>4</w:t>
      </w:r>
      <w:r w:rsidR="0088628A">
        <w:t>.2</w:t>
      </w:r>
      <w:r>
        <w:t xml:space="preserve"> Method</w:t>
      </w:r>
      <w:r w:rsidR="006E5F40" w:rsidRPr="00E66294">
        <w:t xml:space="preserve"> of Opening Accounts  </w:t>
      </w:r>
    </w:p>
    <w:p w14:paraId="4499A241" w14:textId="77777777" w:rsidR="006E5F40" w:rsidRPr="00E66294" w:rsidRDefault="000A2020" w:rsidP="003335B8">
      <w:pPr>
        <w:tabs>
          <w:tab w:val="num" w:pos="0"/>
          <w:tab w:val="num" w:pos="270"/>
        </w:tabs>
        <w:ind w:left="270"/>
        <w:jc w:val="both"/>
        <w:rPr>
          <w:sz w:val="24"/>
          <w:szCs w:val="24"/>
        </w:rPr>
      </w:pPr>
      <w:r>
        <w:rPr>
          <w:sz w:val="24"/>
          <w:szCs w:val="24"/>
        </w:rPr>
        <w:t xml:space="preserve">Pursuant </w:t>
      </w:r>
      <w:r w:rsidR="00876C76">
        <w:rPr>
          <w:sz w:val="24"/>
          <w:szCs w:val="24"/>
        </w:rPr>
        <w:t xml:space="preserve">to </w:t>
      </w:r>
      <w:r>
        <w:rPr>
          <w:sz w:val="24"/>
          <w:szCs w:val="24"/>
        </w:rPr>
        <w:t xml:space="preserve">the </w:t>
      </w:r>
      <w:r w:rsidR="006E5F40" w:rsidRPr="00E66294">
        <w:rPr>
          <w:sz w:val="24"/>
          <w:szCs w:val="24"/>
        </w:rPr>
        <w:t xml:space="preserve">Anti-Money Laundering and Customer Identification Program (CIP) procedures of the WSP, information obtained from customers at the account opening process include name, address, social security number, date of birth, and driver’s license in order to verify identity.  In addition, pursuant to SEC Rule 17a-3, a letter is sent to the customer verifying investment objectives and account registration information to verify as well.  In the event the Company cannot establish a reasonable belief that it knows the true identity of a customer, </w:t>
      </w:r>
      <w:r w:rsidR="003D74B9">
        <w:rPr>
          <w:sz w:val="24"/>
          <w:szCs w:val="24"/>
        </w:rPr>
        <w:t>it</w:t>
      </w:r>
      <w:r w:rsidR="006E5F40" w:rsidRPr="00E66294">
        <w:rPr>
          <w:sz w:val="24"/>
          <w:szCs w:val="24"/>
        </w:rPr>
        <w:t xml:space="preserve"> will follow </w:t>
      </w:r>
      <w:r w:rsidR="003D74B9">
        <w:rPr>
          <w:sz w:val="24"/>
          <w:szCs w:val="24"/>
        </w:rPr>
        <w:t>the</w:t>
      </w:r>
      <w:r w:rsidR="006E5F40" w:rsidRPr="00E66294">
        <w:rPr>
          <w:sz w:val="24"/>
          <w:szCs w:val="24"/>
        </w:rPr>
        <w:t xml:space="preserve"> CIP obligations, which may involve declining </w:t>
      </w:r>
      <w:r w:rsidR="00BE43F0">
        <w:rPr>
          <w:sz w:val="24"/>
          <w:szCs w:val="24"/>
        </w:rPr>
        <w:t xml:space="preserve">or closing </w:t>
      </w:r>
      <w:r w:rsidR="006E5F40" w:rsidRPr="00E66294">
        <w:rPr>
          <w:sz w:val="24"/>
          <w:szCs w:val="24"/>
        </w:rPr>
        <w:t xml:space="preserve">an account.  A full description of the account </w:t>
      </w:r>
      <w:r w:rsidR="00320166" w:rsidRPr="00E66294">
        <w:rPr>
          <w:sz w:val="24"/>
          <w:szCs w:val="24"/>
        </w:rPr>
        <w:t>opening,</w:t>
      </w:r>
      <w:r w:rsidR="006E5F40" w:rsidRPr="00E66294">
        <w:rPr>
          <w:sz w:val="24"/>
          <w:szCs w:val="24"/>
        </w:rPr>
        <w:t xml:space="preserve"> </w:t>
      </w:r>
      <w:r w:rsidR="00BE43F0">
        <w:rPr>
          <w:sz w:val="24"/>
          <w:szCs w:val="24"/>
        </w:rPr>
        <w:t xml:space="preserve">and CIP </w:t>
      </w:r>
      <w:r w:rsidR="006E5F40" w:rsidRPr="00E66294">
        <w:rPr>
          <w:sz w:val="24"/>
          <w:szCs w:val="24"/>
        </w:rPr>
        <w:t xml:space="preserve">procedures may be found in Section </w:t>
      </w:r>
      <w:r w:rsidR="00BE43F0">
        <w:rPr>
          <w:sz w:val="24"/>
          <w:szCs w:val="24"/>
        </w:rPr>
        <w:t>7</w:t>
      </w:r>
      <w:r w:rsidR="006E5F40" w:rsidRPr="00E66294">
        <w:rPr>
          <w:sz w:val="24"/>
          <w:szCs w:val="24"/>
        </w:rPr>
        <w:t xml:space="preserve">.  </w:t>
      </w:r>
    </w:p>
    <w:p w14:paraId="54F27785" w14:textId="77777777" w:rsidR="006E5F40" w:rsidRPr="00E66294" w:rsidRDefault="006E5F40" w:rsidP="003335B8">
      <w:pPr>
        <w:tabs>
          <w:tab w:val="num" w:pos="270"/>
        </w:tabs>
        <w:ind w:left="270"/>
        <w:jc w:val="both"/>
        <w:rPr>
          <w:sz w:val="24"/>
          <w:szCs w:val="24"/>
        </w:rPr>
      </w:pPr>
    </w:p>
    <w:p w14:paraId="74E01656" w14:textId="77777777" w:rsidR="006E5F40" w:rsidRPr="00E66294" w:rsidRDefault="006E5F40" w:rsidP="003335B8">
      <w:pPr>
        <w:tabs>
          <w:tab w:val="num" w:pos="270"/>
        </w:tabs>
        <w:ind w:left="270"/>
        <w:jc w:val="both"/>
        <w:rPr>
          <w:sz w:val="24"/>
          <w:szCs w:val="24"/>
        </w:rPr>
      </w:pPr>
      <w:r w:rsidRPr="00E66294">
        <w:rPr>
          <w:sz w:val="24"/>
          <w:szCs w:val="24"/>
        </w:rPr>
        <w:t xml:space="preserve">Further, accounts are opened either directly with an issuer via direct application or electronically, via </w:t>
      </w:r>
      <w:r w:rsidRPr="00DD3254">
        <w:rPr>
          <w:sz w:val="24"/>
          <w:szCs w:val="24"/>
        </w:rPr>
        <w:t xml:space="preserve">the </w:t>
      </w:r>
      <w:r w:rsidR="00D4257C" w:rsidRPr="00DD3254">
        <w:rPr>
          <w:sz w:val="24"/>
          <w:szCs w:val="24"/>
        </w:rPr>
        <w:t>Hilltop</w:t>
      </w:r>
      <w:r w:rsidRPr="00DD3254">
        <w:rPr>
          <w:sz w:val="24"/>
          <w:szCs w:val="24"/>
        </w:rPr>
        <w:t xml:space="preserve"> </w:t>
      </w:r>
      <w:r w:rsidRPr="00E66294">
        <w:rPr>
          <w:sz w:val="24"/>
          <w:szCs w:val="24"/>
        </w:rPr>
        <w:t>Securities proprietary software program.  No Company accounts are opened directly by clients online.</w:t>
      </w:r>
    </w:p>
    <w:p w14:paraId="53C5C618" w14:textId="77777777" w:rsidR="006E5F40" w:rsidRPr="00E66294" w:rsidRDefault="006E5F40" w:rsidP="006E5F40">
      <w:pPr>
        <w:tabs>
          <w:tab w:val="num" w:pos="360"/>
        </w:tabs>
        <w:jc w:val="both"/>
        <w:rPr>
          <w:b/>
          <w:sz w:val="24"/>
          <w:szCs w:val="24"/>
        </w:rPr>
      </w:pPr>
    </w:p>
    <w:p w14:paraId="654D7370" w14:textId="77777777" w:rsidR="003335B8" w:rsidRDefault="00947DC7" w:rsidP="000A2020">
      <w:pPr>
        <w:pStyle w:val="Heading3"/>
      </w:pPr>
      <w:r w:rsidRPr="003335B8">
        <w:lastRenderedPageBreak/>
        <w:t>6.</w:t>
      </w:r>
      <w:r w:rsidR="0088628A">
        <w:t>4</w:t>
      </w:r>
      <w:r w:rsidR="00DF6E72">
        <w:t>.</w:t>
      </w:r>
      <w:r w:rsidR="0088628A">
        <w:t>3</w:t>
      </w:r>
      <w:r>
        <w:t xml:space="preserve"> </w:t>
      </w:r>
      <w:r w:rsidRPr="00E66294">
        <w:t>Methods</w:t>
      </w:r>
      <w:r w:rsidR="006E5F40" w:rsidRPr="00E66294">
        <w:t xml:space="preserve"> for Accessing Accounts  </w:t>
      </w:r>
    </w:p>
    <w:p w14:paraId="67527F07" w14:textId="77777777" w:rsidR="006E5F40" w:rsidRPr="00E66294" w:rsidRDefault="006E5F40" w:rsidP="003335B8">
      <w:pPr>
        <w:tabs>
          <w:tab w:val="num" w:pos="270"/>
        </w:tabs>
        <w:ind w:left="270"/>
        <w:jc w:val="both"/>
        <w:rPr>
          <w:sz w:val="24"/>
          <w:szCs w:val="24"/>
        </w:rPr>
      </w:pPr>
      <w:r w:rsidRPr="00E66294">
        <w:rPr>
          <w:sz w:val="24"/>
          <w:szCs w:val="24"/>
        </w:rPr>
        <w:t xml:space="preserve">Clearing firm accounts are accessed via </w:t>
      </w:r>
      <w:r w:rsidR="00303455">
        <w:rPr>
          <w:sz w:val="24"/>
          <w:szCs w:val="24"/>
        </w:rPr>
        <w:t xml:space="preserve">a </w:t>
      </w:r>
      <w:r w:rsidRPr="00E66294">
        <w:rPr>
          <w:sz w:val="24"/>
          <w:szCs w:val="24"/>
        </w:rPr>
        <w:t xml:space="preserve">secured </w:t>
      </w:r>
      <w:r w:rsidR="00320166" w:rsidRPr="00E66294">
        <w:rPr>
          <w:sz w:val="24"/>
          <w:szCs w:val="24"/>
        </w:rPr>
        <w:t>internet-based</w:t>
      </w:r>
      <w:r w:rsidRPr="00E66294">
        <w:rPr>
          <w:sz w:val="24"/>
          <w:szCs w:val="24"/>
        </w:rPr>
        <w:t xml:space="preserve"> software program that requires a password protected user identification.  Passwords automatically expire and must be updated every four weeks, must contain alpha-numerical characters, and are case sensitive.  Direct Application accounts can be accessed through various websites, each with their own user identification and password policies.  Company policies require that user identification and passwords for all programs and entry to the network be kept confidential, unpublished, and contain alpha-numerical characters that are case sensitive.</w:t>
      </w:r>
    </w:p>
    <w:p w14:paraId="62E02C99" w14:textId="77777777" w:rsidR="006E5F40" w:rsidRPr="00E66294" w:rsidRDefault="006E5F40" w:rsidP="006E5F40">
      <w:pPr>
        <w:tabs>
          <w:tab w:val="num" w:pos="360"/>
        </w:tabs>
        <w:ind w:left="270" w:hanging="270"/>
        <w:jc w:val="both"/>
        <w:rPr>
          <w:b/>
          <w:sz w:val="24"/>
          <w:szCs w:val="24"/>
        </w:rPr>
      </w:pPr>
    </w:p>
    <w:p w14:paraId="4D1BC97D" w14:textId="77777777" w:rsidR="003335B8" w:rsidRDefault="00947DC7" w:rsidP="0088628A">
      <w:pPr>
        <w:pStyle w:val="Heading3"/>
      </w:pPr>
      <w:r>
        <w:t>6.</w:t>
      </w:r>
      <w:r w:rsidR="0088628A">
        <w:t>4</w:t>
      </w:r>
      <w:r w:rsidR="009C13FC">
        <w:t>.</w:t>
      </w:r>
      <w:r w:rsidR="0088628A">
        <w:t>4</w:t>
      </w:r>
      <w:r>
        <w:t xml:space="preserve"> Previous</w:t>
      </w:r>
      <w:r w:rsidR="006E5F40" w:rsidRPr="00E66294">
        <w:t xml:space="preserve"> Experience with Identity Theft  </w:t>
      </w:r>
    </w:p>
    <w:p w14:paraId="3E0DAD6E" w14:textId="77777777" w:rsidR="006E5F40" w:rsidRPr="00E66294" w:rsidRDefault="003335B8" w:rsidP="00881408">
      <w:pPr>
        <w:tabs>
          <w:tab w:val="num" w:pos="270"/>
        </w:tabs>
        <w:ind w:left="270" w:hanging="360"/>
        <w:jc w:val="both"/>
        <w:rPr>
          <w:sz w:val="24"/>
          <w:szCs w:val="24"/>
        </w:rPr>
      </w:pPr>
      <w:r>
        <w:rPr>
          <w:sz w:val="24"/>
          <w:szCs w:val="24"/>
        </w:rPr>
        <w:t xml:space="preserve">     </w:t>
      </w:r>
      <w:r w:rsidR="000A2020">
        <w:rPr>
          <w:sz w:val="24"/>
          <w:szCs w:val="24"/>
        </w:rPr>
        <w:t xml:space="preserve"> </w:t>
      </w:r>
      <w:r w:rsidR="00AE5FFA">
        <w:rPr>
          <w:sz w:val="24"/>
          <w:szCs w:val="24"/>
        </w:rPr>
        <w:t xml:space="preserve">When reviewing and updating the procedures, Company will </w:t>
      </w:r>
      <w:r w:rsidR="00876C76">
        <w:rPr>
          <w:sz w:val="24"/>
          <w:szCs w:val="24"/>
        </w:rPr>
        <w:t xml:space="preserve">review </w:t>
      </w:r>
      <w:r w:rsidR="006E5F40" w:rsidRPr="00E66294">
        <w:rPr>
          <w:sz w:val="24"/>
          <w:szCs w:val="24"/>
        </w:rPr>
        <w:t xml:space="preserve">any identity theft incidences or </w:t>
      </w:r>
      <w:r w:rsidR="00876C76">
        <w:rPr>
          <w:sz w:val="24"/>
          <w:szCs w:val="24"/>
        </w:rPr>
        <w:t xml:space="preserve">when it has </w:t>
      </w:r>
      <w:r w:rsidR="006E5F40" w:rsidRPr="00E66294">
        <w:rPr>
          <w:sz w:val="24"/>
          <w:szCs w:val="24"/>
        </w:rPr>
        <w:t xml:space="preserve">been notified by a customer that they have been the victim of identity theft </w:t>
      </w:r>
      <w:r w:rsidR="00AE5FFA">
        <w:rPr>
          <w:sz w:val="24"/>
          <w:szCs w:val="24"/>
        </w:rPr>
        <w:t xml:space="preserve">and ascertain what steps or procedures may need </w:t>
      </w:r>
      <w:r w:rsidR="00876C76">
        <w:rPr>
          <w:sz w:val="24"/>
          <w:szCs w:val="24"/>
        </w:rPr>
        <w:t>to</w:t>
      </w:r>
      <w:r w:rsidR="00AE5FFA">
        <w:rPr>
          <w:sz w:val="24"/>
          <w:szCs w:val="24"/>
        </w:rPr>
        <w:t xml:space="preserve"> be amended to</w:t>
      </w:r>
      <w:r w:rsidR="00876C76">
        <w:rPr>
          <w:sz w:val="24"/>
          <w:szCs w:val="24"/>
        </w:rPr>
        <w:t xml:space="preserve"> make the</w:t>
      </w:r>
      <w:r w:rsidR="006E5F40" w:rsidRPr="00E66294">
        <w:rPr>
          <w:sz w:val="24"/>
          <w:szCs w:val="24"/>
        </w:rPr>
        <w:t xml:space="preserve"> Program</w:t>
      </w:r>
      <w:r w:rsidR="00876C76">
        <w:rPr>
          <w:sz w:val="24"/>
          <w:szCs w:val="24"/>
        </w:rPr>
        <w:t xml:space="preserve"> more effective</w:t>
      </w:r>
      <w:r w:rsidR="006E5F40" w:rsidRPr="00E66294">
        <w:rPr>
          <w:sz w:val="24"/>
          <w:szCs w:val="24"/>
        </w:rPr>
        <w:t>.</w:t>
      </w:r>
    </w:p>
    <w:p w14:paraId="2DC339D1" w14:textId="77777777" w:rsidR="006E5F40" w:rsidRPr="00E66294" w:rsidRDefault="006E5F40" w:rsidP="006E5F40">
      <w:pPr>
        <w:tabs>
          <w:tab w:val="num" w:pos="360"/>
        </w:tabs>
        <w:ind w:left="270" w:hanging="270"/>
        <w:jc w:val="both"/>
        <w:rPr>
          <w:b/>
          <w:sz w:val="24"/>
          <w:szCs w:val="24"/>
        </w:rPr>
      </w:pPr>
    </w:p>
    <w:p w14:paraId="358DCD22" w14:textId="77777777" w:rsidR="003335B8" w:rsidRDefault="00947DC7" w:rsidP="000A2020">
      <w:pPr>
        <w:pStyle w:val="Heading3"/>
      </w:pPr>
      <w:r>
        <w:t>6.</w:t>
      </w:r>
      <w:r w:rsidR="0088628A">
        <w:t>4.5</w:t>
      </w:r>
      <w:r>
        <w:t xml:space="preserve"> Service</w:t>
      </w:r>
      <w:r w:rsidR="006E5F40" w:rsidRPr="00E66294">
        <w:t xml:space="preserve"> Providers  </w:t>
      </w:r>
    </w:p>
    <w:p w14:paraId="1C0372C3" w14:textId="77777777" w:rsidR="006E5F40" w:rsidRDefault="006E5F40" w:rsidP="003335B8">
      <w:pPr>
        <w:ind w:left="274" w:hanging="4"/>
        <w:jc w:val="both"/>
        <w:rPr>
          <w:sz w:val="24"/>
          <w:szCs w:val="24"/>
        </w:rPr>
      </w:pPr>
      <w:r w:rsidRPr="00E66294">
        <w:rPr>
          <w:sz w:val="24"/>
          <w:szCs w:val="24"/>
        </w:rPr>
        <w:t>Due diligence will be performed on any service provider that will have access to customer personal information.  Pursuant to Regulation S-P procedures as well, service providers will be bound contractually, where applicable, and obligated to maintain appropriate safeguards that comply with federal regulations to protect the confidentiality, security and integrity of Covered Account information as well as agree to comply with the provisions of our Program or with their own procedures that are similar in purpose.</w:t>
      </w:r>
    </w:p>
    <w:p w14:paraId="4B565B69" w14:textId="77777777" w:rsidR="003335B8" w:rsidRPr="00E66294" w:rsidRDefault="003335B8" w:rsidP="003335B8">
      <w:pPr>
        <w:ind w:left="274" w:hanging="4"/>
        <w:jc w:val="both"/>
        <w:rPr>
          <w:sz w:val="24"/>
          <w:szCs w:val="24"/>
        </w:rPr>
      </w:pPr>
    </w:p>
    <w:p w14:paraId="4AFDAA4E" w14:textId="77777777" w:rsidR="003335B8" w:rsidRDefault="00947DC7" w:rsidP="000A2020">
      <w:pPr>
        <w:pStyle w:val="Heading3"/>
      </w:pPr>
      <w:r w:rsidRPr="003335B8">
        <w:t>6.</w:t>
      </w:r>
      <w:r w:rsidR="0088628A">
        <w:t>4.6</w:t>
      </w:r>
      <w:r>
        <w:t xml:space="preserve"> Address</w:t>
      </w:r>
      <w:r w:rsidR="006E5F40" w:rsidRPr="00E66294">
        <w:t xml:space="preserve"> Change Notifications  </w:t>
      </w:r>
    </w:p>
    <w:p w14:paraId="716C311B" w14:textId="77A5E1C1" w:rsidR="00A345B8" w:rsidRPr="00487A5A" w:rsidRDefault="006E5F40" w:rsidP="00A345B8">
      <w:pPr>
        <w:tabs>
          <w:tab w:val="left" w:pos="270"/>
          <w:tab w:val="left" w:pos="720"/>
          <w:tab w:val="left" w:pos="99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ind w:left="274"/>
        <w:jc w:val="both"/>
        <w:rPr>
          <w:color w:val="FF0000"/>
          <w:sz w:val="24"/>
        </w:rPr>
      </w:pPr>
      <w:r w:rsidRPr="00E66294">
        <w:rPr>
          <w:sz w:val="24"/>
          <w:szCs w:val="24"/>
        </w:rPr>
        <w:t xml:space="preserve">Pursuant to AML rules, address changes are verified by forwarding a letter of verification to the old address first with the new information listed and before any system change is </w:t>
      </w:r>
      <w:r w:rsidR="00F54ECA" w:rsidRPr="00E66294">
        <w:rPr>
          <w:sz w:val="24"/>
          <w:szCs w:val="24"/>
        </w:rPr>
        <w:t>affected</w:t>
      </w:r>
      <w:r w:rsidRPr="00E66294">
        <w:rPr>
          <w:sz w:val="24"/>
          <w:szCs w:val="24"/>
        </w:rPr>
        <w:t xml:space="preserve">.   The notice advises the customer of the request and inquires if the information is correct and in fact requested by the customer.  </w:t>
      </w:r>
      <w:r w:rsidR="00516420">
        <w:rPr>
          <w:sz w:val="24"/>
          <w:szCs w:val="24"/>
        </w:rPr>
        <w:t>Either a</w:t>
      </w:r>
      <w:r w:rsidRPr="00E66294">
        <w:rPr>
          <w:sz w:val="24"/>
          <w:szCs w:val="24"/>
        </w:rPr>
        <w:t xml:space="preserve"> copy of said letters are maintained in a central location </w:t>
      </w:r>
      <w:r w:rsidR="00516420" w:rsidRPr="00A46B46">
        <w:rPr>
          <w:sz w:val="24"/>
          <w:szCs w:val="24"/>
        </w:rPr>
        <w:t>or noted with a date sent in WinOps</w:t>
      </w:r>
      <w:r w:rsidRPr="00A46B46">
        <w:rPr>
          <w:sz w:val="24"/>
          <w:szCs w:val="24"/>
        </w:rPr>
        <w:t>.</w:t>
      </w:r>
      <w:r w:rsidR="00516420" w:rsidRPr="00A46B46">
        <w:rPr>
          <w:sz w:val="24"/>
          <w:szCs w:val="24"/>
        </w:rPr>
        <w:t xml:space="preserve">  In addition, Company may rely on custodian sending such letter </w:t>
      </w:r>
      <w:r w:rsidR="00D468F2" w:rsidRPr="00A46B46">
        <w:rPr>
          <w:sz w:val="24"/>
          <w:szCs w:val="24"/>
        </w:rPr>
        <w:t xml:space="preserve">and will </w:t>
      </w:r>
      <w:r w:rsidR="00516420" w:rsidRPr="00A46B46">
        <w:rPr>
          <w:sz w:val="24"/>
          <w:szCs w:val="24"/>
        </w:rPr>
        <w:t xml:space="preserve">either </w:t>
      </w:r>
      <w:r w:rsidR="00D468F2" w:rsidRPr="00A46B46">
        <w:rPr>
          <w:sz w:val="24"/>
          <w:szCs w:val="24"/>
        </w:rPr>
        <w:t xml:space="preserve">be </w:t>
      </w:r>
      <w:r w:rsidR="00516420" w:rsidRPr="00A46B46">
        <w:rPr>
          <w:sz w:val="24"/>
          <w:szCs w:val="24"/>
        </w:rPr>
        <w:t>recorded in custodian database or in WinOps.</w:t>
      </w:r>
      <w:r w:rsidRPr="00A46B46">
        <w:rPr>
          <w:sz w:val="24"/>
          <w:szCs w:val="24"/>
        </w:rPr>
        <w:t xml:space="preserve"> </w:t>
      </w:r>
      <w:r w:rsidR="00A345B8" w:rsidRPr="00487A5A">
        <w:rPr>
          <w:color w:val="FF0000"/>
          <w:sz w:val="24"/>
        </w:rPr>
        <w:t>Alternatively, if custodian requires their proprietary form to be completed and the form is sent to the contact information o</w:t>
      </w:r>
      <w:r w:rsidR="00A345B8">
        <w:rPr>
          <w:color w:val="FF0000"/>
          <w:sz w:val="24"/>
        </w:rPr>
        <w:t>n</w:t>
      </w:r>
      <w:r w:rsidR="00A345B8" w:rsidRPr="00487A5A">
        <w:rPr>
          <w:color w:val="FF0000"/>
          <w:sz w:val="24"/>
        </w:rPr>
        <w:t xml:space="preserve"> record</w:t>
      </w:r>
      <w:r w:rsidR="00A345B8">
        <w:rPr>
          <w:color w:val="FF0000"/>
          <w:sz w:val="24"/>
        </w:rPr>
        <w:t>, customer signature(s) match previous documents, and the date is noted on the form, no verification</w:t>
      </w:r>
      <w:r w:rsidR="00EF0152">
        <w:rPr>
          <w:color w:val="FF0000"/>
          <w:sz w:val="24"/>
        </w:rPr>
        <w:t xml:space="preserve"> by Company</w:t>
      </w:r>
      <w:r w:rsidR="00A345B8">
        <w:rPr>
          <w:color w:val="FF0000"/>
          <w:sz w:val="24"/>
        </w:rPr>
        <w:t xml:space="preserve"> needs to be sent.  </w:t>
      </w:r>
    </w:p>
    <w:p w14:paraId="007B400A" w14:textId="5EA4BFD5" w:rsidR="006E5F40" w:rsidRPr="00A46B46" w:rsidRDefault="006E5F40" w:rsidP="00A345B8">
      <w:pPr>
        <w:tabs>
          <w:tab w:val="num" w:pos="360"/>
        </w:tabs>
        <w:ind w:left="274" w:hanging="270"/>
        <w:jc w:val="both"/>
        <w:rPr>
          <w:sz w:val="24"/>
          <w:szCs w:val="24"/>
        </w:rPr>
      </w:pPr>
    </w:p>
    <w:p w14:paraId="135480F9" w14:textId="77777777" w:rsidR="00E60F67" w:rsidRPr="00A46B46" w:rsidRDefault="00E60F67" w:rsidP="003335B8">
      <w:pPr>
        <w:tabs>
          <w:tab w:val="num" w:pos="360"/>
        </w:tabs>
        <w:ind w:left="360" w:hanging="90"/>
        <w:jc w:val="both"/>
        <w:rPr>
          <w:b/>
          <w:sz w:val="24"/>
          <w:szCs w:val="24"/>
        </w:rPr>
      </w:pPr>
    </w:p>
    <w:p w14:paraId="2BE492EC" w14:textId="77777777" w:rsidR="006E5F40" w:rsidRPr="00A46B46" w:rsidRDefault="00947DC7" w:rsidP="0088628A">
      <w:pPr>
        <w:pStyle w:val="Heading3"/>
      </w:pPr>
      <w:r w:rsidRPr="00A46B46">
        <w:t>6.</w:t>
      </w:r>
      <w:r w:rsidR="0088628A" w:rsidRPr="00A46B46">
        <w:t>4.7</w:t>
      </w:r>
      <w:r w:rsidRPr="00A46B46">
        <w:t xml:space="preserve"> </w:t>
      </w:r>
      <w:r w:rsidR="009C13FC" w:rsidRPr="00A46B46">
        <w:t xml:space="preserve">Regulation S-ID – Identity Theft </w:t>
      </w:r>
      <w:r w:rsidRPr="00A46B46">
        <w:t>Red</w:t>
      </w:r>
      <w:r w:rsidR="006E5F40" w:rsidRPr="00A46B46">
        <w:t xml:space="preserve"> Flags</w:t>
      </w:r>
      <w:r w:rsidR="00AE4B79" w:rsidRPr="00A46B46">
        <w:t xml:space="preserve"> </w:t>
      </w:r>
      <w:r w:rsidR="00AE4B79" w:rsidRPr="00A46B46">
        <w:rPr>
          <w:i/>
          <w:sz w:val="20"/>
        </w:rPr>
        <w:t>(</w:t>
      </w:r>
      <w:proofErr w:type="gramStart"/>
      <w:r w:rsidR="00AE4B79" w:rsidRPr="00A46B46">
        <w:rPr>
          <w:i/>
          <w:sz w:val="20"/>
        </w:rPr>
        <w:t>eff</w:t>
      </w:r>
      <w:proofErr w:type="gramEnd"/>
      <w:r w:rsidR="00AE4B79" w:rsidRPr="00A46B46">
        <w:rPr>
          <w:i/>
          <w:sz w:val="20"/>
        </w:rPr>
        <w:t xml:space="preserve"> </w:t>
      </w:r>
      <w:r w:rsidR="009C13FC" w:rsidRPr="00A46B46">
        <w:rPr>
          <w:i/>
          <w:sz w:val="20"/>
        </w:rPr>
        <w:t>11/20</w:t>
      </w:r>
      <w:r w:rsidR="00AE4B79" w:rsidRPr="00A46B46">
        <w:rPr>
          <w:i/>
          <w:sz w:val="20"/>
        </w:rPr>
        <w:t>/1</w:t>
      </w:r>
      <w:r w:rsidR="009C13FC" w:rsidRPr="00A46B46">
        <w:rPr>
          <w:i/>
          <w:sz w:val="20"/>
        </w:rPr>
        <w:t>3</w:t>
      </w:r>
      <w:r w:rsidR="00AE4B79" w:rsidRPr="00A46B46">
        <w:rPr>
          <w:i/>
          <w:sz w:val="20"/>
        </w:rPr>
        <w:t>)</w:t>
      </w:r>
    </w:p>
    <w:p w14:paraId="7AE52B21" w14:textId="77777777" w:rsidR="0008075C" w:rsidRPr="00A46B46" w:rsidRDefault="0088628A" w:rsidP="003F0533">
      <w:pPr>
        <w:ind w:left="270"/>
        <w:rPr>
          <w:sz w:val="24"/>
          <w:szCs w:val="24"/>
        </w:rPr>
      </w:pPr>
      <w:r w:rsidRPr="00A46B46">
        <w:rPr>
          <w:sz w:val="24"/>
          <w:szCs w:val="24"/>
        </w:rPr>
        <w:t>The SEC has adopted Regulation S-ID, the Identity Theft Red Flag Rules, required under the Dodd Frank Act and the</w:t>
      </w:r>
      <w:r w:rsidR="00EB30DC" w:rsidRPr="00A46B46">
        <w:rPr>
          <w:sz w:val="24"/>
          <w:szCs w:val="24"/>
        </w:rPr>
        <w:t>refore the</w:t>
      </w:r>
      <w:r w:rsidRPr="00A46B46">
        <w:rPr>
          <w:sz w:val="24"/>
          <w:szCs w:val="24"/>
        </w:rPr>
        <w:t xml:space="preserve"> Company has adopted the following procedures.</w:t>
      </w:r>
    </w:p>
    <w:p w14:paraId="44B48CCF" w14:textId="77777777" w:rsidR="000161D9" w:rsidRPr="00A46B46" w:rsidRDefault="0088628A" w:rsidP="000161D9">
      <w:r w:rsidRPr="00A46B46">
        <w:t xml:space="preserve"> </w:t>
      </w:r>
    </w:p>
    <w:p w14:paraId="5D8AAE26" w14:textId="77777777" w:rsidR="0008075C" w:rsidRPr="0088628A" w:rsidRDefault="0008075C" w:rsidP="001A587F">
      <w:pPr>
        <w:pStyle w:val="Heading4"/>
      </w:pPr>
      <w:r w:rsidRPr="0088628A">
        <w:t>6.</w:t>
      </w:r>
      <w:r w:rsidR="0088628A" w:rsidRPr="0088628A">
        <w:t>4</w:t>
      </w:r>
      <w:r w:rsidRPr="0088628A">
        <w:t>.</w:t>
      </w:r>
      <w:r w:rsidR="0088628A" w:rsidRPr="0088628A">
        <w:t>7.</w:t>
      </w:r>
      <w:r w:rsidRPr="0088628A">
        <w:t>1 Detection</w:t>
      </w:r>
    </w:p>
    <w:p w14:paraId="2C47D68D" w14:textId="77777777" w:rsidR="0008075C" w:rsidRPr="009D5667" w:rsidRDefault="0008075C" w:rsidP="000161D9">
      <w:pPr>
        <w:ind w:left="540"/>
      </w:pPr>
      <w:r>
        <w:rPr>
          <w:sz w:val="24"/>
          <w:szCs w:val="24"/>
        </w:rPr>
        <w:t>Pursuant to the Program assessment, Company has identified the following red flags, which may not be all inclusive and may be more relevant when combined with other factors.  Detecting red flags is based upon the processes Company opens and handles accounts and customer information</w:t>
      </w:r>
      <w:r w:rsidRPr="00085F94">
        <w:rPr>
          <w:i/>
        </w:rPr>
        <w:t>.</w:t>
      </w:r>
    </w:p>
    <w:p w14:paraId="5AFEA488" w14:textId="77777777" w:rsidR="0008075C" w:rsidRPr="00C75B4B" w:rsidRDefault="0008075C" w:rsidP="0008075C">
      <w:pPr>
        <w:ind w:left="360"/>
        <w:rPr>
          <w:sz w:val="24"/>
          <w:szCs w:val="24"/>
        </w:rPr>
      </w:pPr>
    </w:p>
    <w:p w14:paraId="75FACFEB" w14:textId="77777777" w:rsidR="006E5F40" w:rsidRPr="00E66294" w:rsidRDefault="006E5F40" w:rsidP="006E5F40">
      <w:pPr>
        <w:ind w:left="1080"/>
        <w:rPr>
          <w:i/>
          <w:iCs/>
          <w:sz w:val="24"/>
        </w:rPr>
      </w:pPr>
      <w:r w:rsidRPr="00E66294">
        <w:rPr>
          <w:b/>
          <w:bCs/>
          <w:i/>
          <w:iCs/>
          <w:sz w:val="24"/>
        </w:rPr>
        <w:t>Indicators at the Account Opening Stage</w:t>
      </w:r>
      <w:r w:rsidRPr="00E66294">
        <w:rPr>
          <w:i/>
          <w:iCs/>
          <w:sz w:val="24"/>
        </w:rPr>
        <w:t>:</w:t>
      </w:r>
    </w:p>
    <w:p w14:paraId="32075465" w14:textId="77777777" w:rsidR="006E5F40" w:rsidRPr="00727573" w:rsidRDefault="006E5F40" w:rsidP="00216F83">
      <w:pPr>
        <w:numPr>
          <w:ilvl w:val="0"/>
          <w:numId w:val="9"/>
        </w:numPr>
        <w:tabs>
          <w:tab w:val="clear" w:pos="1080"/>
          <w:tab w:val="num" w:pos="1440"/>
        </w:tabs>
        <w:ind w:left="1440"/>
        <w:jc w:val="both"/>
        <w:rPr>
          <w:sz w:val="24"/>
        </w:rPr>
      </w:pPr>
      <w:r w:rsidRPr="00E66294">
        <w:rPr>
          <w:sz w:val="24"/>
        </w:rPr>
        <w:t>A customer exhibits an unusual concern regarding the Company’s compliance and requirements with respect to his/her identity, or furnishes unusual</w:t>
      </w:r>
      <w:r w:rsidR="00867FBC">
        <w:rPr>
          <w:sz w:val="24"/>
        </w:rPr>
        <w:t xml:space="preserve">, </w:t>
      </w:r>
      <w:r w:rsidRPr="00E66294">
        <w:rPr>
          <w:sz w:val="24"/>
        </w:rPr>
        <w:t>suspect</w:t>
      </w:r>
      <w:r w:rsidR="00867FBC">
        <w:rPr>
          <w:sz w:val="24"/>
        </w:rPr>
        <w:t>, or appear to be altered</w:t>
      </w:r>
      <w:r w:rsidRPr="00E66294">
        <w:rPr>
          <w:sz w:val="24"/>
        </w:rPr>
        <w:t xml:space="preserve"> identification or business documents; </w:t>
      </w:r>
    </w:p>
    <w:p w14:paraId="5E3D816E" w14:textId="77777777" w:rsidR="00BC5CB1" w:rsidRPr="00727573" w:rsidRDefault="00BC5CB1" w:rsidP="00216F83">
      <w:pPr>
        <w:numPr>
          <w:ilvl w:val="0"/>
          <w:numId w:val="9"/>
        </w:numPr>
        <w:tabs>
          <w:tab w:val="clear" w:pos="1080"/>
          <w:tab w:val="num" w:pos="1440"/>
        </w:tabs>
        <w:ind w:left="1440"/>
        <w:jc w:val="both"/>
        <w:rPr>
          <w:sz w:val="24"/>
          <w:szCs w:val="24"/>
        </w:rPr>
      </w:pPr>
      <w:r w:rsidRPr="00727573">
        <w:rPr>
          <w:sz w:val="24"/>
        </w:rPr>
        <w:lastRenderedPageBreak/>
        <w:t xml:space="preserve">Inconsistencies in information </w:t>
      </w:r>
      <w:r w:rsidRPr="00727573">
        <w:rPr>
          <w:sz w:val="24"/>
          <w:szCs w:val="24"/>
        </w:rPr>
        <w:t xml:space="preserve">such as </w:t>
      </w:r>
      <w:r w:rsidR="008868C4" w:rsidRPr="00727573">
        <w:rPr>
          <w:sz w:val="24"/>
          <w:szCs w:val="24"/>
        </w:rPr>
        <w:t xml:space="preserve">SS#, </w:t>
      </w:r>
      <w:r w:rsidRPr="00727573">
        <w:rPr>
          <w:sz w:val="24"/>
          <w:szCs w:val="24"/>
        </w:rPr>
        <w:t>date of birth or suggests fraud, such as an address that is fictitious</w:t>
      </w:r>
      <w:r w:rsidR="008868C4" w:rsidRPr="00727573">
        <w:rPr>
          <w:sz w:val="24"/>
          <w:szCs w:val="24"/>
        </w:rPr>
        <w:t xml:space="preserve"> or used by other multiple accounts</w:t>
      </w:r>
      <w:r w:rsidRPr="00727573">
        <w:rPr>
          <w:sz w:val="24"/>
          <w:szCs w:val="24"/>
        </w:rPr>
        <w:t>, a mail drop, a prison; or a phone number is invalid, or is for a pager or answering service</w:t>
      </w:r>
      <w:r w:rsidR="00B60823" w:rsidRPr="00727573">
        <w:rPr>
          <w:sz w:val="24"/>
          <w:szCs w:val="24"/>
        </w:rPr>
        <w:t>, omits or is reluctant to provide information</w:t>
      </w:r>
      <w:r w:rsidRPr="00727573">
        <w:rPr>
          <w:sz w:val="24"/>
          <w:szCs w:val="24"/>
        </w:rPr>
        <w:t>.</w:t>
      </w:r>
    </w:p>
    <w:p w14:paraId="789B3186" w14:textId="77777777" w:rsidR="00BC5CB1" w:rsidRPr="00E66294" w:rsidRDefault="00BC5CB1" w:rsidP="00216F83">
      <w:pPr>
        <w:numPr>
          <w:ilvl w:val="0"/>
          <w:numId w:val="9"/>
        </w:numPr>
        <w:tabs>
          <w:tab w:val="clear" w:pos="1080"/>
          <w:tab w:val="num" w:pos="1440"/>
        </w:tabs>
        <w:ind w:left="1440"/>
        <w:jc w:val="both"/>
        <w:rPr>
          <w:sz w:val="24"/>
        </w:rPr>
      </w:pPr>
      <w:r>
        <w:rPr>
          <w:sz w:val="24"/>
        </w:rPr>
        <w:t>New information for an existing customer does not match prior information or signatures on file.</w:t>
      </w:r>
    </w:p>
    <w:p w14:paraId="74C7D657" w14:textId="77777777" w:rsidR="006E5F40" w:rsidRPr="00E66294" w:rsidRDefault="006E5F40" w:rsidP="00216F83">
      <w:pPr>
        <w:numPr>
          <w:ilvl w:val="0"/>
          <w:numId w:val="9"/>
        </w:numPr>
        <w:tabs>
          <w:tab w:val="clear" w:pos="1080"/>
          <w:tab w:val="num" w:pos="1440"/>
        </w:tabs>
        <w:ind w:left="1440"/>
        <w:jc w:val="both"/>
        <w:rPr>
          <w:sz w:val="24"/>
        </w:rPr>
      </w:pPr>
      <w:r w:rsidRPr="00E66294">
        <w:rPr>
          <w:sz w:val="24"/>
        </w:rPr>
        <w:t xml:space="preserve">A customer appears to be acting as the agent for another entity but declines, evades or is reluctant, without legitimate commercial reasons, to provide any information in response to questions about the entity; </w:t>
      </w:r>
    </w:p>
    <w:p w14:paraId="3176C0C4" w14:textId="77777777" w:rsidR="006E5F40" w:rsidRPr="00E66294" w:rsidRDefault="006E5F40" w:rsidP="00216F83">
      <w:pPr>
        <w:numPr>
          <w:ilvl w:val="0"/>
          <w:numId w:val="9"/>
        </w:numPr>
        <w:tabs>
          <w:tab w:val="clear" w:pos="1080"/>
          <w:tab w:val="num" w:pos="1440"/>
        </w:tabs>
        <w:ind w:left="1440"/>
        <w:jc w:val="both"/>
        <w:rPr>
          <w:sz w:val="24"/>
        </w:rPr>
      </w:pPr>
      <w:r w:rsidRPr="00E66294">
        <w:rPr>
          <w:sz w:val="24"/>
        </w:rPr>
        <w:t>A customer has difficulty describing the nature of his or her business or lacks general knowledge of his or her identity; and</w:t>
      </w:r>
    </w:p>
    <w:p w14:paraId="33CDEE1B" w14:textId="77777777" w:rsidR="006E5F40" w:rsidRPr="00E66294" w:rsidRDefault="006E5F40" w:rsidP="00216F83">
      <w:pPr>
        <w:numPr>
          <w:ilvl w:val="0"/>
          <w:numId w:val="9"/>
        </w:numPr>
        <w:tabs>
          <w:tab w:val="clear" w:pos="1080"/>
          <w:tab w:val="num" w:pos="1440"/>
        </w:tabs>
        <w:ind w:left="1440"/>
        <w:jc w:val="both"/>
        <w:rPr>
          <w:sz w:val="24"/>
        </w:rPr>
      </w:pPr>
      <w:r w:rsidRPr="00E66294">
        <w:rPr>
          <w:sz w:val="24"/>
        </w:rPr>
        <w:t xml:space="preserve">A customer only wants to provide a post office box for their address without providing a verifiable physical address. </w:t>
      </w:r>
    </w:p>
    <w:p w14:paraId="7E343F8C" w14:textId="77777777" w:rsidR="006E5F40" w:rsidRDefault="006E5F40" w:rsidP="006E5F40">
      <w:pPr>
        <w:ind w:left="1080"/>
        <w:jc w:val="both"/>
        <w:rPr>
          <w:b/>
          <w:bCs/>
          <w:i/>
          <w:iCs/>
          <w:sz w:val="24"/>
        </w:rPr>
      </w:pPr>
    </w:p>
    <w:p w14:paraId="3576D17A" w14:textId="77777777" w:rsidR="009B383D" w:rsidRPr="00E66294" w:rsidRDefault="009B383D" w:rsidP="006E5F40">
      <w:pPr>
        <w:ind w:left="1080"/>
        <w:jc w:val="both"/>
        <w:rPr>
          <w:b/>
          <w:bCs/>
          <w:i/>
          <w:iCs/>
          <w:sz w:val="24"/>
        </w:rPr>
      </w:pPr>
    </w:p>
    <w:p w14:paraId="2A4EF34A" w14:textId="77777777" w:rsidR="006E5F40" w:rsidRPr="00E66294" w:rsidRDefault="006E5F40" w:rsidP="006E5F40">
      <w:pPr>
        <w:ind w:left="1080"/>
        <w:jc w:val="both"/>
        <w:rPr>
          <w:i/>
          <w:iCs/>
          <w:sz w:val="24"/>
        </w:rPr>
      </w:pPr>
      <w:r w:rsidRPr="00E66294">
        <w:rPr>
          <w:b/>
          <w:bCs/>
          <w:i/>
          <w:iCs/>
          <w:sz w:val="24"/>
        </w:rPr>
        <w:t>Indicators Related to Account Activity</w:t>
      </w:r>
      <w:r w:rsidRPr="00E66294">
        <w:rPr>
          <w:i/>
          <w:iCs/>
          <w:sz w:val="24"/>
        </w:rPr>
        <w:t>:</w:t>
      </w:r>
    </w:p>
    <w:p w14:paraId="31D819AD" w14:textId="77777777" w:rsidR="00BC3D4F" w:rsidRDefault="006E5F40" w:rsidP="00C1728B">
      <w:pPr>
        <w:numPr>
          <w:ilvl w:val="0"/>
          <w:numId w:val="36"/>
        </w:numPr>
        <w:tabs>
          <w:tab w:val="clear" w:pos="1800"/>
          <w:tab w:val="num" w:pos="1440"/>
        </w:tabs>
        <w:ind w:left="1440"/>
        <w:jc w:val="both"/>
        <w:rPr>
          <w:sz w:val="24"/>
        </w:rPr>
      </w:pPr>
      <w:r w:rsidRPr="00E66294">
        <w:rPr>
          <w:sz w:val="24"/>
        </w:rPr>
        <w:t>A customer engages in multiple transfers of funds or wire transfers that have no apparent personal or business purpose;</w:t>
      </w:r>
    </w:p>
    <w:p w14:paraId="4A5DD9BD" w14:textId="77777777" w:rsidR="006E5F40" w:rsidRPr="00727573" w:rsidRDefault="00BC3D4F" w:rsidP="00C1728B">
      <w:pPr>
        <w:numPr>
          <w:ilvl w:val="0"/>
          <w:numId w:val="36"/>
        </w:numPr>
        <w:tabs>
          <w:tab w:val="clear" w:pos="1800"/>
          <w:tab w:val="num" w:pos="1440"/>
        </w:tabs>
        <w:ind w:left="1440"/>
        <w:jc w:val="both"/>
        <w:rPr>
          <w:sz w:val="24"/>
        </w:rPr>
      </w:pPr>
      <w:r w:rsidRPr="00727573">
        <w:rPr>
          <w:sz w:val="24"/>
        </w:rPr>
        <w:t xml:space="preserve">Unauthorized transactions; </w:t>
      </w:r>
      <w:r w:rsidR="006E5F40" w:rsidRPr="00727573">
        <w:rPr>
          <w:sz w:val="24"/>
        </w:rPr>
        <w:t xml:space="preserve"> </w:t>
      </w:r>
    </w:p>
    <w:p w14:paraId="0D7703FA" w14:textId="77777777" w:rsidR="00BC3D4F" w:rsidRPr="00727573" w:rsidRDefault="00BC3D4F" w:rsidP="00C1728B">
      <w:pPr>
        <w:numPr>
          <w:ilvl w:val="0"/>
          <w:numId w:val="36"/>
        </w:numPr>
        <w:tabs>
          <w:tab w:val="clear" w:pos="1800"/>
          <w:tab w:val="num" w:pos="1440"/>
        </w:tabs>
        <w:ind w:left="1440"/>
        <w:jc w:val="both"/>
        <w:rPr>
          <w:sz w:val="24"/>
        </w:rPr>
      </w:pPr>
      <w:r w:rsidRPr="00727573">
        <w:rPr>
          <w:sz w:val="24"/>
        </w:rPr>
        <w:t xml:space="preserve">Customer notice of identity theft, a fraudulent account has been opened, unauthorized access to their personal information due to a data breach or lost wallet, laptop, etc. for potential identity theft; </w:t>
      </w:r>
    </w:p>
    <w:p w14:paraId="29E038E8" w14:textId="77777777" w:rsidR="006E5F40" w:rsidRPr="00E66294" w:rsidRDefault="006E5F40" w:rsidP="00C1728B">
      <w:pPr>
        <w:numPr>
          <w:ilvl w:val="0"/>
          <w:numId w:val="36"/>
        </w:numPr>
        <w:tabs>
          <w:tab w:val="clear" w:pos="1800"/>
          <w:tab w:val="num" w:pos="1440"/>
        </w:tabs>
        <w:ind w:left="1440"/>
        <w:jc w:val="both"/>
        <w:rPr>
          <w:sz w:val="24"/>
        </w:rPr>
      </w:pPr>
      <w:r w:rsidRPr="00E66294">
        <w:rPr>
          <w:sz w:val="24"/>
        </w:rPr>
        <w:t>A customer’s account has unexplained or sudden extensive wire activity, where previously there had been little or no wire activity without any apparent personal or business purpose;</w:t>
      </w:r>
    </w:p>
    <w:p w14:paraId="19F3E0C5" w14:textId="77777777" w:rsidR="006E5F40" w:rsidRPr="00E66294" w:rsidRDefault="006E5F40" w:rsidP="00C1728B">
      <w:pPr>
        <w:numPr>
          <w:ilvl w:val="0"/>
          <w:numId w:val="36"/>
        </w:numPr>
        <w:tabs>
          <w:tab w:val="clear" w:pos="1800"/>
          <w:tab w:val="num" w:pos="1440"/>
        </w:tabs>
        <w:ind w:left="1440"/>
        <w:jc w:val="both"/>
        <w:rPr>
          <w:sz w:val="24"/>
        </w:rPr>
      </w:pPr>
      <w:r w:rsidRPr="00E66294">
        <w:rPr>
          <w:sz w:val="24"/>
        </w:rPr>
        <w:t>A customer has a large number of wire transfers to unrelated third parties;</w:t>
      </w:r>
    </w:p>
    <w:p w14:paraId="3C0299CB" w14:textId="77777777" w:rsidR="006E5F40" w:rsidRPr="00E66294" w:rsidRDefault="006E5F40" w:rsidP="00C1728B">
      <w:pPr>
        <w:numPr>
          <w:ilvl w:val="0"/>
          <w:numId w:val="36"/>
        </w:numPr>
        <w:tabs>
          <w:tab w:val="clear" w:pos="1800"/>
          <w:tab w:val="num" w:pos="1440"/>
        </w:tabs>
        <w:ind w:left="1440"/>
        <w:jc w:val="both"/>
        <w:rPr>
          <w:sz w:val="24"/>
        </w:rPr>
      </w:pPr>
      <w:r w:rsidRPr="00E66294">
        <w:rPr>
          <w:sz w:val="24"/>
        </w:rPr>
        <w:t>For no apparent reason, a customer has multiple accounts under a single name or multiple names, with a large number of inter-account or third-party transfers;</w:t>
      </w:r>
    </w:p>
    <w:p w14:paraId="4AD2CB60" w14:textId="77777777" w:rsidR="006E5F40" w:rsidRPr="00E66294" w:rsidRDefault="006E5F40" w:rsidP="00C1728B">
      <w:pPr>
        <w:numPr>
          <w:ilvl w:val="0"/>
          <w:numId w:val="36"/>
        </w:numPr>
        <w:tabs>
          <w:tab w:val="clear" w:pos="1800"/>
          <w:tab w:val="num" w:pos="1440"/>
        </w:tabs>
        <w:ind w:left="1440"/>
        <w:jc w:val="both"/>
        <w:rPr>
          <w:sz w:val="24"/>
        </w:rPr>
      </w:pPr>
      <w:r w:rsidRPr="00E66294">
        <w:rPr>
          <w:sz w:val="24"/>
        </w:rPr>
        <w:t>A customer engages in excessive journal entries between unrelated accounts without any apparent business purpose or relationship;</w:t>
      </w:r>
    </w:p>
    <w:p w14:paraId="13D0F86C" w14:textId="77777777" w:rsidR="006E5F40" w:rsidRDefault="006E5F40" w:rsidP="00C1728B">
      <w:pPr>
        <w:numPr>
          <w:ilvl w:val="0"/>
          <w:numId w:val="36"/>
        </w:numPr>
        <w:tabs>
          <w:tab w:val="clear" w:pos="1800"/>
          <w:tab w:val="num" w:pos="1440"/>
        </w:tabs>
        <w:ind w:left="1440"/>
        <w:jc w:val="both"/>
        <w:rPr>
          <w:sz w:val="24"/>
        </w:rPr>
      </w:pPr>
      <w:r w:rsidRPr="00E66294">
        <w:rPr>
          <w:sz w:val="24"/>
        </w:rPr>
        <w:t xml:space="preserve">A customer requests that a transaction be processed in such a manner so as to avoid </w:t>
      </w:r>
      <w:r w:rsidR="00640E44">
        <w:rPr>
          <w:sz w:val="24"/>
        </w:rPr>
        <w:t>Company</w:t>
      </w:r>
      <w:r w:rsidRPr="00E66294">
        <w:rPr>
          <w:sz w:val="24"/>
        </w:rPr>
        <w:t>’s normal documentation requirements;</w:t>
      </w:r>
    </w:p>
    <w:p w14:paraId="52D6F2D8" w14:textId="77777777" w:rsidR="00B60823" w:rsidRPr="00727573" w:rsidRDefault="00B60823" w:rsidP="00C1728B">
      <w:pPr>
        <w:numPr>
          <w:ilvl w:val="0"/>
          <w:numId w:val="36"/>
        </w:numPr>
        <w:tabs>
          <w:tab w:val="clear" w:pos="1800"/>
          <w:tab w:val="num" w:pos="1440"/>
        </w:tabs>
        <w:ind w:left="1440"/>
        <w:jc w:val="both"/>
        <w:rPr>
          <w:sz w:val="24"/>
          <w:szCs w:val="24"/>
        </w:rPr>
      </w:pPr>
      <w:r w:rsidRPr="00727573">
        <w:rPr>
          <w:sz w:val="24"/>
          <w:szCs w:val="24"/>
        </w:rPr>
        <w:t>Subsequent to a change of address request for an account, Company is asked to add additional access means (such as debit cards or checks) or a</w:t>
      </w:r>
      <w:r w:rsidR="00BC3D4F" w:rsidRPr="00727573">
        <w:rPr>
          <w:sz w:val="24"/>
          <w:szCs w:val="24"/>
        </w:rPr>
        <w:t xml:space="preserve">uthorized users for the account; </w:t>
      </w:r>
    </w:p>
    <w:p w14:paraId="1B2F175F" w14:textId="77777777" w:rsidR="00BC3D4F" w:rsidRPr="00727573" w:rsidRDefault="00BC3D4F" w:rsidP="00C1728B">
      <w:pPr>
        <w:numPr>
          <w:ilvl w:val="0"/>
          <w:numId w:val="36"/>
        </w:numPr>
        <w:tabs>
          <w:tab w:val="clear" w:pos="1800"/>
          <w:tab w:val="num" w:pos="1440"/>
        </w:tabs>
        <w:ind w:left="1440"/>
        <w:jc w:val="both"/>
        <w:rPr>
          <w:sz w:val="24"/>
          <w:szCs w:val="24"/>
        </w:rPr>
      </w:pPr>
      <w:r w:rsidRPr="00727573">
        <w:rPr>
          <w:sz w:val="24"/>
          <w:szCs w:val="24"/>
        </w:rPr>
        <w:t>Mail from Company or clearing firm sent to a customer is returned repeatedly as undeliverable even though the account remains active or Company learns that a customer is not getting his or her paper account statements/confirms or other official documents.</w:t>
      </w:r>
    </w:p>
    <w:p w14:paraId="78A05540" w14:textId="77777777" w:rsidR="006E5F40" w:rsidRPr="00E66294" w:rsidRDefault="006E5F40" w:rsidP="00C1728B">
      <w:pPr>
        <w:numPr>
          <w:ilvl w:val="0"/>
          <w:numId w:val="36"/>
        </w:numPr>
        <w:tabs>
          <w:tab w:val="clear" w:pos="1800"/>
          <w:tab w:val="num" w:pos="1440"/>
        </w:tabs>
        <w:ind w:left="1440"/>
        <w:jc w:val="both"/>
        <w:rPr>
          <w:sz w:val="24"/>
        </w:rPr>
      </w:pPr>
      <w:r w:rsidRPr="00E66294">
        <w:rPr>
          <w:sz w:val="24"/>
        </w:rPr>
        <w:t xml:space="preserve">A customer exhibits a total lack of concern regarding risks, commissions, or other transactions costs; </w:t>
      </w:r>
    </w:p>
    <w:p w14:paraId="39F36BDD" w14:textId="77777777" w:rsidR="006E5F40" w:rsidRPr="00E66294" w:rsidRDefault="006E5F40" w:rsidP="00C1728B">
      <w:pPr>
        <w:numPr>
          <w:ilvl w:val="0"/>
          <w:numId w:val="36"/>
        </w:numPr>
        <w:tabs>
          <w:tab w:val="clear" w:pos="1800"/>
          <w:tab w:val="num" w:pos="1440"/>
        </w:tabs>
        <w:ind w:left="1440"/>
        <w:jc w:val="both"/>
        <w:rPr>
          <w:sz w:val="24"/>
        </w:rPr>
      </w:pPr>
      <w:r w:rsidRPr="00E66294">
        <w:rPr>
          <w:sz w:val="24"/>
        </w:rPr>
        <w:t>The Company receives a negative response to a customer’s address change verification request. and</w:t>
      </w:r>
    </w:p>
    <w:p w14:paraId="4A7DE19D" w14:textId="77777777" w:rsidR="006E5F40" w:rsidRPr="00E66294" w:rsidRDefault="006E5F40" w:rsidP="00C1728B">
      <w:pPr>
        <w:numPr>
          <w:ilvl w:val="0"/>
          <w:numId w:val="36"/>
        </w:numPr>
        <w:tabs>
          <w:tab w:val="clear" w:pos="1800"/>
          <w:tab w:val="num" w:pos="1440"/>
        </w:tabs>
        <w:ind w:left="1440"/>
        <w:rPr>
          <w:sz w:val="24"/>
        </w:rPr>
      </w:pPr>
      <w:r w:rsidRPr="00E66294">
        <w:rPr>
          <w:sz w:val="24"/>
        </w:rPr>
        <w:t>Notice of an actual or suspected identity theft provided by a customer, law enforcement, Vendor or any individual or entity.</w:t>
      </w:r>
    </w:p>
    <w:p w14:paraId="5A452631" w14:textId="77777777" w:rsidR="006E5F40" w:rsidRPr="00E66294" w:rsidRDefault="006E5F40" w:rsidP="006E5F40">
      <w:pPr>
        <w:tabs>
          <w:tab w:val="num" w:pos="360"/>
        </w:tabs>
        <w:ind w:left="360" w:hanging="360"/>
        <w:jc w:val="both"/>
        <w:rPr>
          <w:sz w:val="24"/>
          <w:szCs w:val="24"/>
        </w:rPr>
      </w:pPr>
    </w:p>
    <w:p w14:paraId="29D6FDB1" w14:textId="77777777" w:rsidR="006E5F40" w:rsidRDefault="00BC1145" w:rsidP="0008075C">
      <w:pPr>
        <w:tabs>
          <w:tab w:val="num" w:pos="270"/>
        </w:tabs>
        <w:ind w:left="270"/>
        <w:jc w:val="both"/>
        <w:rPr>
          <w:sz w:val="24"/>
          <w:szCs w:val="24"/>
        </w:rPr>
      </w:pPr>
      <w:r>
        <w:rPr>
          <w:sz w:val="24"/>
          <w:szCs w:val="24"/>
        </w:rPr>
        <w:t xml:space="preserve">Both red flag detection and the escalation procedures below will assist the Company in the prevention and mitigation of identity theft.  </w:t>
      </w:r>
    </w:p>
    <w:p w14:paraId="37CF4B9D" w14:textId="77777777" w:rsidR="00BC1145" w:rsidRPr="00BC1145" w:rsidRDefault="00BC1145" w:rsidP="0008075C">
      <w:pPr>
        <w:tabs>
          <w:tab w:val="num" w:pos="270"/>
        </w:tabs>
        <w:ind w:left="270"/>
        <w:jc w:val="both"/>
        <w:rPr>
          <w:sz w:val="24"/>
          <w:szCs w:val="24"/>
        </w:rPr>
      </w:pPr>
    </w:p>
    <w:p w14:paraId="2694977C" w14:textId="77777777" w:rsidR="00BC1145" w:rsidRPr="00DC2914" w:rsidRDefault="0008075C" w:rsidP="001A587F">
      <w:pPr>
        <w:pStyle w:val="Heading4"/>
      </w:pPr>
      <w:r w:rsidRPr="00DC2914">
        <w:t>6.</w:t>
      </w:r>
      <w:r w:rsidR="00EB30DC">
        <w:t>4</w:t>
      </w:r>
      <w:r w:rsidRPr="00DC2914">
        <w:t>.7.2 Prevention</w:t>
      </w:r>
      <w:r w:rsidR="00537147">
        <w:t xml:space="preserve">, </w:t>
      </w:r>
      <w:r w:rsidRPr="00DC2914">
        <w:t>Mitigatio</w:t>
      </w:r>
      <w:r w:rsidR="00537147">
        <w:t>n, Escalatio</w:t>
      </w:r>
      <w:r w:rsidRPr="00DC2914">
        <w:t>n</w:t>
      </w:r>
    </w:p>
    <w:p w14:paraId="2D843488" w14:textId="77777777" w:rsidR="0008075C" w:rsidRPr="00DC2914" w:rsidRDefault="0008075C" w:rsidP="000161D9">
      <w:pPr>
        <w:tabs>
          <w:tab w:val="left" w:pos="8280"/>
        </w:tabs>
        <w:ind w:left="540"/>
        <w:jc w:val="both"/>
        <w:rPr>
          <w:sz w:val="24"/>
          <w:szCs w:val="24"/>
        </w:rPr>
      </w:pPr>
      <w:r w:rsidRPr="00DC2914">
        <w:rPr>
          <w:sz w:val="24"/>
          <w:szCs w:val="24"/>
        </w:rPr>
        <w:t xml:space="preserve">When Company has been notified of a Red Flag or detection procedures show evidence of a Red Flag, Company will take the steps outlined below, as appropriate to the type and seriousness of the threat: </w:t>
      </w:r>
    </w:p>
    <w:p w14:paraId="43E01FFF" w14:textId="77777777" w:rsidR="0008075C" w:rsidRPr="0008075C" w:rsidRDefault="0008075C" w:rsidP="0008075C">
      <w:pPr>
        <w:tabs>
          <w:tab w:val="left" w:pos="8280"/>
        </w:tabs>
        <w:ind w:left="360"/>
        <w:jc w:val="both"/>
        <w:rPr>
          <w:color w:val="0070C0"/>
          <w:sz w:val="24"/>
          <w:szCs w:val="24"/>
        </w:rPr>
      </w:pPr>
    </w:p>
    <w:p w14:paraId="08384445" w14:textId="77777777" w:rsidR="006E5F40" w:rsidRPr="00E66294" w:rsidRDefault="009B383D" w:rsidP="00C1728B">
      <w:pPr>
        <w:numPr>
          <w:ilvl w:val="0"/>
          <w:numId w:val="44"/>
        </w:numPr>
        <w:tabs>
          <w:tab w:val="clear" w:pos="6480"/>
          <w:tab w:val="num" w:pos="720"/>
        </w:tabs>
        <w:ind w:left="720" w:firstLine="270"/>
        <w:jc w:val="both"/>
        <w:rPr>
          <w:sz w:val="24"/>
          <w:szCs w:val="24"/>
        </w:rPr>
      </w:pPr>
      <w:r>
        <w:rPr>
          <w:sz w:val="24"/>
          <w:szCs w:val="24"/>
        </w:rPr>
        <w:t xml:space="preserve">   </w:t>
      </w:r>
      <w:r w:rsidR="006E5F40" w:rsidRPr="00E66294">
        <w:rPr>
          <w:sz w:val="24"/>
          <w:szCs w:val="24"/>
        </w:rPr>
        <w:t>Notify the Compliance Department immediately and designated supervisor.</w:t>
      </w:r>
    </w:p>
    <w:p w14:paraId="719FBB3E" w14:textId="77777777" w:rsidR="006E5F40" w:rsidRPr="00E66294" w:rsidRDefault="006E5F40" w:rsidP="003335B8">
      <w:pPr>
        <w:ind w:firstLine="270"/>
        <w:jc w:val="both"/>
        <w:rPr>
          <w:sz w:val="24"/>
          <w:szCs w:val="24"/>
        </w:rPr>
      </w:pPr>
    </w:p>
    <w:p w14:paraId="17DF31DC" w14:textId="77777777" w:rsidR="006E5F40" w:rsidRPr="00A46B46" w:rsidRDefault="006E5F40" w:rsidP="00C1728B">
      <w:pPr>
        <w:numPr>
          <w:ilvl w:val="0"/>
          <w:numId w:val="44"/>
        </w:numPr>
        <w:tabs>
          <w:tab w:val="clear" w:pos="6480"/>
          <w:tab w:val="num" w:pos="1350"/>
        </w:tabs>
        <w:ind w:left="1350"/>
        <w:rPr>
          <w:sz w:val="24"/>
          <w:szCs w:val="24"/>
        </w:rPr>
      </w:pPr>
      <w:r w:rsidRPr="00E66294">
        <w:rPr>
          <w:sz w:val="24"/>
          <w:szCs w:val="24"/>
        </w:rPr>
        <w:t>Monitor, limit, or temporarily suspend</w:t>
      </w:r>
      <w:r w:rsidR="000A65CE">
        <w:rPr>
          <w:sz w:val="24"/>
          <w:szCs w:val="24"/>
        </w:rPr>
        <w:t>,</w:t>
      </w:r>
      <w:r w:rsidRPr="00E66294">
        <w:rPr>
          <w:sz w:val="24"/>
          <w:szCs w:val="24"/>
        </w:rPr>
        <w:t xml:space="preserve"> freeze activity in the account(s) </w:t>
      </w:r>
      <w:r w:rsidR="000A65CE">
        <w:rPr>
          <w:sz w:val="24"/>
          <w:szCs w:val="24"/>
        </w:rPr>
        <w:t>until the situation is reso</w:t>
      </w:r>
      <w:r w:rsidR="00F765B9">
        <w:rPr>
          <w:sz w:val="24"/>
          <w:szCs w:val="24"/>
        </w:rPr>
        <w:t xml:space="preserve">lved, or do not open an account </w:t>
      </w:r>
      <w:r w:rsidR="00F765B9" w:rsidRPr="00A46B46">
        <w:rPr>
          <w:sz w:val="24"/>
          <w:szCs w:val="24"/>
        </w:rPr>
        <w:t xml:space="preserve">(if </w:t>
      </w:r>
      <w:r w:rsidR="009D5667" w:rsidRPr="006D5CDF">
        <w:rPr>
          <w:sz w:val="24"/>
          <w:szCs w:val="24"/>
        </w:rPr>
        <w:t>HTS</w:t>
      </w:r>
      <w:r w:rsidR="00F765B9" w:rsidRPr="006D5CDF">
        <w:rPr>
          <w:sz w:val="24"/>
          <w:szCs w:val="24"/>
        </w:rPr>
        <w:t>,</w:t>
      </w:r>
      <w:r w:rsidR="00F765B9" w:rsidRPr="00A46B46">
        <w:rPr>
          <w:sz w:val="24"/>
          <w:szCs w:val="24"/>
        </w:rPr>
        <w:t xml:space="preserve"> email </w:t>
      </w:r>
      <w:hyperlink r:id="rId24" w:history="1">
        <w:r w:rsidR="009D5667" w:rsidRPr="006870E7">
          <w:rPr>
            <w:rStyle w:val="Hyperlink"/>
            <w:sz w:val="24"/>
            <w:szCs w:val="24"/>
          </w:rPr>
          <w:t>newaccounts@hilltopsecurities.com</w:t>
        </w:r>
      </w:hyperlink>
      <w:r w:rsidR="00F765B9" w:rsidRPr="00A46B46">
        <w:rPr>
          <w:sz w:val="24"/>
          <w:szCs w:val="24"/>
        </w:rPr>
        <w:t xml:space="preserve"> with instructions and if applicable, their Unauthorized Access Form.</w:t>
      </w:r>
    </w:p>
    <w:p w14:paraId="688893F8" w14:textId="77777777" w:rsidR="00F765B9" w:rsidRPr="00A46B46" w:rsidRDefault="00F765B9" w:rsidP="00F765B9">
      <w:pPr>
        <w:pStyle w:val="ListParagraph"/>
        <w:rPr>
          <w:sz w:val="24"/>
          <w:szCs w:val="24"/>
        </w:rPr>
      </w:pPr>
    </w:p>
    <w:p w14:paraId="5AA18322" w14:textId="77777777" w:rsidR="00F765B9" w:rsidRPr="00A46B46" w:rsidRDefault="00F765B9" w:rsidP="00C1728B">
      <w:pPr>
        <w:numPr>
          <w:ilvl w:val="0"/>
          <w:numId w:val="44"/>
        </w:numPr>
        <w:tabs>
          <w:tab w:val="clear" w:pos="6480"/>
          <w:tab w:val="num" w:pos="1350"/>
        </w:tabs>
        <w:ind w:left="1350"/>
        <w:jc w:val="both"/>
        <w:rPr>
          <w:sz w:val="24"/>
          <w:szCs w:val="24"/>
        </w:rPr>
      </w:pPr>
      <w:r w:rsidRPr="00A46B46">
        <w:rPr>
          <w:sz w:val="24"/>
          <w:szCs w:val="24"/>
        </w:rPr>
        <w:t>Complete the following</w:t>
      </w:r>
      <w:r w:rsidR="00423579">
        <w:rPr>
          <w:sz w:val="24"/>
          <w:szCs w:val="24"/>
        </w:rPr>
        <w:t xml:space="preserve"> </w:t>
      </w:r>
      <w:r w:rsidR="00423579" w:rsidRPr="00423579">
        <w:rPr>
          <w:i/>
        </w:rPr>
        <w:t>(found in Everyone/ID Theft folder)</w:t>
      </w:r>
      <w:r w:rsidRPr="00A46B46">
        <w:rPr>
          <w:sz w:val="24"/>
          <w:szCs w:val="24"/>
        </w:rPr>
        <w:t>:</w:t>
      </w:r>
    </w:p>
    <w:p w14:paraId="01309ABA" w14:textId="77777777" w:rsidR="00F765B9" w:rsidRPr="00A46B46" w:rsidRDefault="00F765B9" w:rsidP="00F765B9">
      <w:pPr>
        <w:pStyle w:val="ListParagraph"/>
        <w:rPr>
          <w:sz w:val="8"/>
          <w:szCs w:val="8"/>
        </w:rPr>
      </w:pPr>
    </w:p>
    <w:p w14:paraId="40AC9036" w14:textId="77777777" w:rsidR="00F765B9" w:rsidRPr="00A46B46" w:rsidRDefault="00F765B9" w:rsidP="00F765B9">
      <w:pPr>
        <w:ind w:left="1350"/>
        <w:jc w:val="both"/>
        <w:rPr>
          <w:sz w:val="24"/>
          <w:szCs w:val="24"/>
        </w:rPr>
      </w:pPr>
      <w:r w:rsidRPr="00A46B46">
        <w:rPr>
          <w:sz w:val="24"/>
          <w:szCs w:val="24"/>
        </w:rPr>
        <w:t xml:space="preserve">1.  ID Theft Log, </w:t>
      </w:r>
    </w:p>
    <w:p w14:paraId="37253BC4" w14:textId="77777777" w:rsidR="00F765B9" w:rsidRPr="00A46B46" w:rsidRDefault="00F765B9" w:rsidP="00F765B9">
      <w:pPr>
        <w:ind w:left="1350"/>
        <w:jc w:val="both"/>
        <w:rPr>
          <w:sz w:val="24"/>
          <w:szCs w:val="24"/>
        </w:rPr>
      </w:pPr>
      <w:r w:rsidRPr="00A46B46">
        <w:rPr>
          <w:sz w:val="24"/>
          <w:szCs w:val="24"/>
        </w:rPr>
        <w:t xml:space="preserve">2.  ID Theft Incident Form, and </w:t>
      </w:r>
    </w:p>
    <w:p w14:paraId="2A728C78" w14:textId="77777777" w:rsidR="00F765B9" w:rsidRDefault="00F765B9" w:rsidP="00F765B9">
      <w:pPr>
        <w:ind w:left="1350"/>
        <w:jc w:val="both"/>
        <w:rPr>
          <w:sz w:val="24"/>
          <w:szCs w:val="24"/>
        </w:rPr>
      </w:pPr>
      <w:r w:rsidRPr="00A46B46">
        <w:rPr>
          <w:sz w:val="24"/>
          <w:szCs w:val="24"/>
        </w:rPr>
        <w:t xml:space="preserve">3.  If applicable, </w:t>
      </w:r>
      <w:r w:rsidR="009D5667" w:rsidRPr="006D5CDF">
        <w:rPr>
          <w:sz w:val="24"/>
          <w:szCs w:val="24"/>
        </w:rPr>
        <w:t>HTS</w:t>
      </w:r>
      <w:r w:rsidRPr="00A46B46">
        <w:rPr>
          <w:sz w:val="24"/>
          <w:szCs w:val="24"/>
        </w:rPr>
        <w:t xml:space="preserve"> Unauthorized Access Form.</w:t>
      </w:r>
    </w:p>
    <w:p w14:paraId="0783AF43" w14:textId="77777777" w:rsidR="00423579" w:rsidRPr="00151877" w:rsidRDefault="00423579" w:rsidP="00423579">
      <w:pPr>
        <w:ind w:left="1620" w:hanging="270"/>
        <w:jc w:val="both"/>
        <w:rPr>
          <w:sz w:val="24"/>
          <w:szCs w:val="24"/>
        </w:rPr>
      </w:pPr>
      <w:r>
        <w:rPr>
          <w:sz w:val="24"/>
          <w:szCs w:val="24"/>
        </w:rPr>
        <w:t xml:space="preserve">4. </w:t>
      </w:r>
      <w:r w:rsidRPr="00151877">
        <w:rPr>
          <w:sz w:val="24"/>
          <w:szCs w:val="24"/>
        </w:rPr>
        <w:t xml:space="preserve">Save all documents and information related to an incident in a new folder (within the ID Theft folder) regarding a particular incident.  </w:t>
      </w:r>
    </w:p>
    <w:p w14:paraId="61E764BF" w14:textId="77777777" w:rsidR="000A65CE" w:rsidRDefault="000A65CE" w:rsidP="000A65CE">
      <w:pPr>
        <w:pStyle w:val="ListParagraph"/>
        <w:rPr>
          <w:sz w:val="24"/>
          <w:szCs w:val="24"/>
        </w:rPr>
      </w:pPr>
    </w:p>
    <w:p w14:paraId="0510D133" w14:textId="77777777" w:rsidR="00FB0F57" w:rsidRPr="00FB0F57" w:rsidRDefault="00FB0F57" w:rsidP="00C1728B">
      <w:pPr>
        <w:numPr>
          <w:ilvl w:val="0"/>
          <w:numId w:val="44"/>
        </w:numPr>
        <w:tabs>
          <w:tab w:val="clear" w:pos="6480"/>
          <w:tab w:val="num" w:pos="1350"/>
        </w:tabs>
        <w:ind w:left="1350"/>
        <w:rPr>
          <w:sz w:val="24"/>
          <w:szCs w:val="24"/>
        </w:rPr>
      </w:pPr>
      <w:r w:rsidRPr="00E66294">
        <w:rPr>
          <w:sz w:val="24"/>
          <w:szCs w:val="24"/>
        </w:rPr>
        <w:t xml:space="preserve">Contact the customer and, if appropriate, change the password and/or account number. For information that </w:t>
      </w:r>
      <w:r w:rsidR="00640E44">
        <w:rPr>
          <w:sz w:val="24"/>
          <w:szCs w:val="24"/>
        </w:rPr>
        <w:t>the Company</w:t>
      </w:r>
      <w:r w:rsidRPr="00E66294">
        <w:rPr>
          <w:sz w:val="24"/>
          <w:szCs w:val="24"/>
        </w:rPr>
        <w:t xml:space="preserve"> can use to help a customer that has been the victim of identity theft direct them to </w:t>
      </w:r>
      <w:bookmarkStart w:id="101" w:name="OLE_LINK11"/>
      <w:bookmarkStart w:id="102" w:name="OLE_LINK12"/>
      <w:r w:rsidR="003800DB">
        <w:rPr>
          <w:color w:val="FF0000"/>
          <w:sz w:val="24"/>
          <w:szCs w:val="24"/>
        </w:rPr>
        <w:fldChar w:fldCharType="begin"/>
      </w:r>
      <w:r>
        <w:rPr>
          <w:color w:val="FF0000"/>
          <w:sz w:val="24"/>
          <w:szCs w:val="24"/>
        </w:rPr>
        <w:instrText xml:space="preserve"> HYPERLINK "</w:instrText>
      </w:r>
      <w:r w:rsidRPr="00A46B46">
        <w:rPr>
          <w:color w:val="FF0000"/>
          <w:sz w:val="24"/>
          <w:szCs w:val="24"/>
        </w:rPr>
        <w:instrText>http://www.finra.org/Investors/ProtectYourself/AvoidInvestmentFraud/ProtectYourIdentity/</w:instrText>
      </w:r>
      <w:r>
        <w:rPr>
          <w:color w:val="FF0000"/>
          <w:sz w:val="24"/>
          <w:szCs w:val="24"/>
        </w:rPr>
        <w:instrText xml:space="preserve">" </w:instrText>
      </w:r>
      <w:r w:rsidR="003800DB">
        <w:rPr>
          <w:color w:val="FF0000"/>
          <w:sz w:val="24"/>
          <w:szCs w:val="24"/>
        </w:rPr>
      </w:r>
      <w:r w:rsidR="003800DB">
        <w:rPr>
          <w:color w:val="FF0000"/>
          <w:sz w:val="24"/>
          <w:szCs w:val="24"/>
        </w:rPr>
        <w:fldChar w:fldCharType="separate"/>
      </w:r>
      <w:r w:rsidRPr="003E7B07">
        <w:rPr>
          <w:rStyle w:val="Hyperlink"/>
          <w:sz w:val="24"/>
          <w:szCs w:val="24"/>
        </w:rPr>
        <w:t>http://www.finra.org/Investors/ProtectYourself/AvoidInvestmentFraud/ProtectYourIdentit</w:t>
      </w:r>
      <w:bookmarkEnd w:id="101"/>
      <w:bookmarkEnd w:id="102"/>
      <w:r w:rsidRPr="003E7B07">
        <w:rPr>
          <w:rStyle w:val="Hyperlink"/>
          <w:sz w:val="24"/>
          <w:szCs w:val="24"/>
        </w:rPr>
        <w:t>y/</w:t>
      </w:r>
      <w:r w:rsidR="003800DB">
        <w:rPr>
          <w:color w:val="FF0000"/>
          <w:sz w:val="24"/>
          <w:szCs w:val="24"/>
        </w:rPr>
        <w:fldChar w:fldCharType="end"/>
      </w:r>
      <w:r>
        <w:rPr>
          <w:color w:val="FF0000"/>
          <w:sz w:val="24"/>
          <w:szCs w:val="24"/>
        </w:rPr>
        <w:t xml:space="preserve"> </w:t>
      </w:r>
      <w:r>
        <w:rPr>
          <w:sz w:val="24"/>
          <w:szCs w:val="24"/>
        </w:rPr>
        <w:t xml:space="preserve">for further and helpful information </w:t>
      </w:r>
      <w:r w:rsidRPr="00727573">
        <w:rPr>
          <w:sz w:val="24"/>
          <w:szCs w:val="24"/>
        </w:rPr>
        <w:t>or by calling the FTC Identity Theft Hotline at 1-877-ID-THEFT (438-4338), TTY 1-866-653-4261</w:t>
      </w:r>
      <w:r w:rsidRPr="00727573">
        <w:t xml:space="preserve">, </w:t>
      </w:r>
      <w:r w:rsidRPr="00727573">
        <w:rPr>
          <w:sz w:val="24"/>
          <w:szCs w:val="24"/>
        </w:rPr>
        <w:t>or writing to Identity Theft Clearinghouse, FTC, 6000 Pennsylvania Avenue, NW, Washington, DC 20580, or their</w:t>
      </w:r>
      <w:r w:rsidRPr="00727573">
        <w:t xml:space="preserve"> </w:t>
      </w:r>
      <w:r w:rsidRPr="00727573">
        <w:rPr>
          <w:sz w:val="24"/>
          <w:szCs w:val="24"/>
        </w:rPr>
        <w:t xml:space="preserve">website at </w:t>
      </w:r>
      <w:hyperlink r:id="rId25" w:history="1">
        <w:r w:rsidRPr="00727573">
          <w:rPr>
            <w:rStyle w:val="Hyperlink"/>
            <w:color w:val="auto"/>
            <w:sz w:val="24"/>
            <w:szCs w:val="24"/>
          </w:rPr>
          <w:t>http://www.ftc.gov/bcp/edu/microsites/idtheft/</w:t>
        </w:r>
      </w:hyperlink>
      <w:r w:rsidRPr="00FB0F57">
        <w:rPr>
          <w:sz w:val="24"/>
          <w:szCs w:val="24"/>
        </w:rPr>
        <w:t xml:space="preserve"> </w:t>
      </w:r>
      <w:r w:rsidRPr="00727573">
        <w:rPr>
          <w:sz w:val="24"/>
          <w:szCs w:val="24"/>
        </w:rPr>
        <w:t xml:space="preserve">and their online Complaint Form at </w:t>
      </w:r>
      <w:hyperlink r:id="rId26" w:history="1">
        <w:r w:rsidRPr="00727573">
          <w:rPr>
            <w:rStyle w:val="Hyperlink"/>
            <w:color w:val="auto"/>
            <w:sz w:val="24"/>
            <w:szCs w:val="24"/>
          </w:rPr>
          <w:t>https://www.ftccomplaintassistant.gov/</w:t>
        </w:r>
      </w:hyperlink>
      <w:r w:rsidR="00EF71D0">
        <w:t>.</w:t>
      </w:r>
    </w:p>
    <w:p w14:paraId="713654E3" w14:textId="77777777" w:rsidR="00FB0F57" w:rsidRPr="00FB0F57" w:rsidRDefault="00FB0F57" w:rsidP="00FB0F57">
      <w:pPr>
        <w:ind w:left="1350"/>
        <w:jc w:val="both"/>
        <w:rPr>
          <w:sz w:val="24"/>
          <w:szCs w:val="24"/>
        </w:rPr>
      </w:pPr>
    </w:p>
    <w:p w14:paraId="4C636D9E" w14:textId="77777777" w:rsidR="000A65CE" w:rsidRPr="00727573" w:rsidRDefault="000A65CE" w:rsidP="00C1728B">
      <w:pPr>
        <w:numPr>
          <w:ilvl w:val="0"/>
          <w:numId w:val="44"/>
        </w:numPr>
        <w:tabs>
          <w:tab w:val="clear" w:pos="6480"/>
          <w:tab w:val="num" w:pos="1350"/>
        </w:tabs>
        <w:ind w:left="1350"/>
        <w:jc w:val="both"/>
        <w:rPr>
          <w:sz w:val="24"/>
          <w:szCs w:val="24"/>
        </w:rPr>
      </w:pPr>
      <w:r w:rsidRPr="00727573">
        <w:rPr>
          <w:sz w:val="24"/>
          <w:szCs w:val="24"/>
        </w:rPr>
        <w:t>Conduct additional verification such as contacting the customer, compare customer information with a credit reporting agency or obtaining copies of Form 1040 or financial statements.</w:t>
      </w:r>
    </w:p>
    <w:p w14:paraId="1D7128A2" w14:textId="77777777" w:rsidR="006E5F40" w:rsidRPr="00E66294" w:rsidRDefault="006E5F40" w:rsidP="003335B8">
      <w:pPr>
        <w:ind w:left="360" w:firstLine="270"/>
        <w:jc w:val="both"/>
        <w:rPr>
          <w:sz w:val="24"/>
          <w:szCs w:val="24"/>
        </w:rPr>
      </w:pPr>
    </w:p>
    <w:p w14:paraId="1930875A" w14:textId="77777777" w:rsidR="00FB0F57" w:rsidRDefault="006E5F40" w:rsidP="00C1728B">
      <w:pPr>
        <w:numPr>
          <w:ilvl w:val="0"/>
          <w:numId w:val="44"/>
        </w:numPr>
        <w:tabs>
          <w:tab w:val="clear" w:pos="6480"/>
          <w:tab w:val="num" w:pos="1350"/>
        </w:tabs>
        <w:ind w:left="1350"/>
        <w:jc w:val="both"/>
        <w:rPr>
          <w:sz w:val="24"/>
          <w:szCs w:val="24"/>
        </w:rPr>
      </w:pPr>
      <w:r w:rsidRPr="00E66294">
        <w:rPr>
          <w:sz w:val="24"/>
          <w:szCs w:val="24"/>
        </w:rPr>
        <w:t xml:space="preserve">Alert applicable Associated Persons or </w:t>
      </w:r>
      <w:r w:rsidR="00042B5F" w:rsidRPr="00E66294">
        <w:rPr>
          <w:sz w:val="24"/>
          <w:szCs w:val="24"/>
        </w:rPr>
        <w:t>BackOffice</w:t>
      </w:r>
      <w:r w:rsidRPr="00E66294">
        <w:rPr>
          <w:sz w:val="24"/>
          <w:szCs w:val="24"/>
        </w:rPr>
        <w:t xml:space="preserve"> personnel to be mindful of unusual activity in other customer accounts.  </w:t>
      </w:r>
    </w:p>
    <w:p w14:paraId="75C53985" w14:textId="77777777" w:rsidR="006E5F40" w:rsidRPr="00FB0F57" w:rsidRDefault="00661144" w:rsidP="00FB0F57">
      <w:pPr>
        <w:ind w:left="1350"/>
        <w:jc w:val="both"/>
        <w:rPr>
          <w:sz w:val="24"/>
          <w:szCs w:val="24"/>
        </w:rPr>
      </w:pPr>
      <w:r w:rsidRPr="00FB0F57">
        <w:rPr>
          <w:sz w:val="24"/>
          <w:szCs w:val="24"/>
        </w:rPr>
        <w:t xml:space="preserve"> </w:t>
      </w:r>
    </w:p>
    <w:p w14:paraId="2A3C9B81" w14:textId="77777777" w:rsidR="00FB0F57" w:rsidRPr="00A42913" w:rsidRDefault="006E5F40" w:rsidP="00C1728B">
      <w:pPr>
        <w:numPr>
          <w:ilvl w:val="0"/>
          <w:numId w:val="44"/>
        </w:numPr>
        <w:tabs>
          <w:tab w:val="clear" w:pos="6480"/>
          <w:tab w:val="num" w:pos="1350"/>
        </w:tabs>
        <w:spacing w:after="240" w:line="270" w:lineRule="atLeast"/>
        <w:ind w:left="1350"/>
        <w:rPr>
          <w:sz w:val="24"/>
          <w:szCs w:val="24"/>
        </w:rPr>
      </w:pPr>
      <w:r w:rsidRPr="00A42913">
        <w:rPr>
          <w:sz w:val="24"/>
          <w:szCs w:val="24"/>
        </w:rPr>
        <w:t>Notify custodian of the situation.</w:t>
      </w:r>
    </w:p>
    <w:p w14:paraId="722664D3" w14:textId="77777777" w:rsidR="006E5F40" w:rsidRPr="00E66294" w:rsidRDefault="006E5F40" w:rsidP="00C1728B">
      <w:pPr>
        <w:numPr>
          <w:ilvl w:val="0"/>
          <w:numId w:val="44"/>
        </w:numPr>
        <w:tabs>
          <w:tab w:val="clear" w:pos="6480"/>
          <w:tab w:val="num" w:pos="1350"/>
        </w:tabs>
        <w:spacing w:after="240" w:line="270" w:lineRule="atLeast"/>
        <w:ind w:left="1350"/>
        <w:rPr>
          <w:sz w:val="24"/>
          <w:szCs w:val="24"/>
        </w:rPr>
      </w:pPr>
      <w:r w:rsidRPr="00E66294">
        <w:rPr>
          <w:sz w:val="24"/>
          <w:szCs w:val="24"/>
        </w:rPr>
        <w:t>Identify, if possible, the root cause of the account intrusion (i.e. which system was compromised, was the individual account hacked, was the customer the victim of identity theft) and determine whether the intrusion is isolated to one account. </w:t>
      </w:r>
    </w:p>
    <w:p w14:paraId="45F6DF00" w14:textId="77777777" w:rsidR="006E5F40" w:rsidRPr="006D5CDF" w:rsidRDefault="0097339C" w:rsidP="00C1728B">
      <w:pPr>
        <w:numPr>
          <w:ilvl w:val="0"/>
          <w:numId w:val="44"/>
        </w:numPr>
        <w:tabs>
          <w:tab w:val="clear" w:pos="6480"/>
          <w:tab w:val="num" w:pos="1350"/>
        </w:tabs>
        <w:spacing w:after="240" w:line="270" w:lineRule="atLeast"/>
        <w:ind w:left="1350"/>
        <w:rPr>
          <w:sz w:val="24"/>
          <w:szCs w:val="24"/>
        </w:rPr>
      </w:pPr>
      <w:r w:rsidRPr="00E66294">
        <w:rPr>
          <w:sz w:val="24"/>
          <w:szCs w:val="24"/>
        </w:rPr>
        <w:t>In the event of a</w:t>
      </w:r>
      <w:r w:rsidR="00EF71D0">
        <w:rPr>
          <w:sz w:val="24"/>
          <w:szCs w:val="24"/>
        </w:rPr>
        <w:t xml:space="preserve"> firm</w:t>
      </w:r>
      <w:r w:rsidRPr="00E66294">
        <w:rPr>
          <w:sz w:val="24"/>
          <w:szCs w:val="24"/>
        </w:rPr>
        <w:t xml:space="preserve"> account intrusion</w:t>
      </w:r>
      <w:r>
        <w:rPr>
          <w:sz w:val="24"/>
          <w:szCs w:val="24"/>
        </w:rPr>
        <w:t xml:space="preserve"> of theft</w:t>
      </w:r>
      <w:r w:rsidRPr="00E66294">
        <w:rPr>
          <w:sz w:val="24"/>
          <w:szCs w:val="24"/>
        </w:rPr>
        <w:t xml:space="preserve">, </w:t>
      </w:r>
      <w:r>
        <w:rPr>
          <w:sz w:val="24"/>
          <w:szCs w:val="24"/>
        </w:rPr>
        <w:t>c</w:t>
      </w:r>
      <w:r w:rsidR="006E5F40" w:rsidRPr="00E66294">
        <w:rPr>
          <w:sz w:val="24"/>
          <w:szCs w:val="24"/>
        </w:rPr>
        <w:t xml:space="preserve">ontact the </w:t>
      </w:r>
      <w:hyperlink r:id="rId27" w:history="1">
        <w:r w:rsidR="006E5F40" w:rsidRPr="00E66294">
          <w:rPr>
            <w:sz w:val="24"/>
            <w:szCs w:val="24"/>
          </w:rPr>
          <w:t>SEC</w:t>
        </w:r>
      </w:hyperlink>
      <w:r w:rsidR="006E5F40" w:rsidRPr="00E66294">
        <w:rPr>
          <w:sz w:val="24"/>
          <w:szCs w:val="24"/>
        </w:rPr>
        <w:t xml:space="preserve"> at </w:t>
      </w:r>
      <w:bookmarkStart w:id="103" w:name="sechq"/>
      <w:r w:rsidR="006E5F40" w:rsidRPr="00E66294">
        <w:rPr>
          <w:b/>
          <w:sz w:val="24"/>
          <w:szCs w:val="24"/>
        </w:rPr>
        <w:t>(202) 942-8088</w:t>
      </w:r>
      <w:bookmarkEnd w:id="103"/>
      <w:r w:rsidR="006E5F40" w:rsidRPr="00E66294">
        <w:rPr>
          <w:rFonts w:ascii="Verdana" w:hAnsi="Verdana"/>
          <w:sz w:val="18"/>
          <w:szCs w:val="18"/>
        </w:rPr>
        <w:t xml:space="preserve"> </w:t>
      </w:r>
      <w:r w:rsidR="006E5F40" w:rsidRPr="00E66294">
        <w:rPr>
          <w:sz w:val="24"/>
          <w:szCs w:val="24"/>
        </w:rPr>
        <w:t>(</w:t>
      </w:r>
      <w:hyperlink r:id="rId28" w:history="1">
        <w:r w:rsidR="006E5F40" w:rsidRPr="003335B8">
          <w:rPr>
            <w:rStyle w:val="Hyperlink"/>
            <w:sz w:val="24"/>
            <w:szCs w:val="24"/>
          </w:rPr>
          <w:t>http://www.sec.gov/contact/addresses.htm</w:t>
        </w:r>
      </w:hyperlink>
      <w:r w:rsidR="006E5F40" w:rsidRPr="00E66294">
        <w:rPr>
          <w:sz w:val="24"/>
          <w:szCs w:val="24"/>
        </w:rPr>
        <w:t>)</w:t>
      </w:r>
      <w:r w:rsidR="006E5F40" w:rsidRPr="00E66294">
        <w:rPr>
          <w:rFonts w:ascii="Verdana" w:hAnsi="Verdana"/>
          <w:sz w:val="18"/>
          <w:szCs w:val="18"/>
        </w:rPr>
        <w:t xml:space="preserve"> </w:t>
      </w:r>
      <w:r w:rsidR="006E5F40" w:rsidRPr="00E66294">
        <w:rPr>
          <w:sz w:val="24"/>
          <w:szCs w:val="24"/>
        </w:rPr>
        <w:t xml:space="preserve">– FW Regional office </w:t>
      </w:r>
      <w:r w:rsidR="006E5F40" w:rsidRPr="00E66294">
        <w:rPr>
          <w:b/>
          <w:sz w:val="24"/>
          <w:szCs w:val="24"/>
        </w:rPr>
        <w:t>(</w:t>
      </w:r>
      <w:bookmarkStart w:id="104" w:name="fwro"/>
      <w:r w:rsidR="006E5F40" w:rsidRPr="00E66294">
        <w:rPr>
          <w:b/>
          <w:sz w:val="24"/>
          <w:szCs w:val="24"/>
        </w:rPr>
        <w:t>817) 978-3821</w:t>
      </w:r>
      <w:bookmarkEnd w:id="104"/>
      <w:r w:rsidR="006E5F40" w:rsidRPr="00E66294">
        <w:rPr>
          <w:b/>
          <w:sz w:val="24"/>
          <w:szCs w:val="24"/>
        </w:rPr>
        <w:t xml:space="preserve"> </w:t>
      </w:r>
      <w:r w:rsidR="006E5F40" w:rsidRPr="00E66294">
        <w:rPr>
          <w:sz w:val="24"/>
          <w:szCs w:val="24"/>
        </w:rPr>
        <w:t xml:space="preserve">and our </w:t>
      </w:r>
      <w:hyperlink r:id="rId29" w:history="1">
        <w:r w:rsidR="006E5F40" w:rsidRPr="00E66294">
          <w:rPr>
            <w:sz w:val="24"/>
            <w:szCs w:val="24"/>
          </w:rPr>
          <w:t>FINRA Coordinator</w:t>
        </w:r>
      </w:hyperlink>
      <w:r w:rsidR="006E5F40" w:rsidRPr="00E66294">
        <w:rPr>
          <w:sz w:val="24"/>
          <w:szCs w:val="24"/>
        </w:rPr>
        <w:t xml:space="preserve">, </w:t>
      </w:r>
      <w:r w:rsidR="00C91875" w:rsidRPr="006D5CDF">
        <w:rPr>
          <w:sz w:val="24"/>
          <w:szCs w:val="24"/>
        </w:rPr>
        <w:t>Donald DeBlanc</w:t>
      </w:r>
      <w:r w:rsidR="006E5F40" w:rsidRPr="006D5CDF">
        <w:rPr>
          <w:sz w:val="24"/>
          <w:szCs w:val="24"/>
        </w:rPr>
        <w:t xml:space="preserve"> at </w:t>
      </w:r>
      <w:r w:rsidR="00C91875" w:rsidRPr="006D5CDF">
        <w:rPr>
          <w:b/>
          <w:sz w:val="24"/>
          <w:szCs w:val="24"/>
        </w:rPr>
        <w:t>504-412-2409</w:t>
      </w:r>
      <w:r w:rsidR="006E5F40" w:rsidRPr="006D5CDF">
        <w:rPr>
          <w:sz w:val="24"/>
          <w:szCs w:val="24"/>
        </w:rPr>
        <w:t xml:space="preserve">  </w:t>
      </w:r>
      <w:r w:rsidRPr="006D5CDF">
        <w:rPr>
          <w:sz w:val="24"/>
          <w:szCs w:val="24"/>
        </w:rPr>
        <w:t xml:space="preserve">and </w:t>
      </w:r>
      <w:r w:rsidR="006E5F40" w:rsidRPr="006D5CDF">
        <w:rPr>
          <w:sz w:val="24"/>
          <w:szCs w:val="24"/>
        </w:rPr>
        <w:t>have the following information readily available if possible:</w:t>
      </w:r>
    </w:p>
    <w:p w14:paraId="2AD5CFA7" w14:textId="77777777" w:rsidR="006E5F40" w:rsidRPr="006D5CDF" w:rsidRDefault="006E5F40" w:rsidP="003335B8">
      <w:pPr>
        <w:spacing w:line="270" w:lineRule="atLeast"/>
        <w:ind w:left="1800" w:hanging="360"/>
        <w:rPr>
          <w:sz w:val="24"/>
          <w:szCs w:val="24"/>
        </w:rPr>
      </w:pPr>
      <w:r w:rsidRPr="006D5CDF">
        <w:rPr>
          <w:sz w:val="24"/>
          <w:szCs w:val="24"/>
        </w:rPr>
        <w:lastRenderedPageBreak/>
        <w:t xml:space="preserve">-   Company information and </w:t>
      </w:r>
      <w:r w:rsidR="00C91875" w:rsidRPr="006D5CDF">
        <w:rPr>
          <w:sz w:val="24"/>
          <w:szCs w:val="24"/>
        </w:rPr>
        <w:t>HTS</w:t>
      </w:r>
      <w:r w:rsidRPr="006D5CDF">
        <w:rPr>
          <w:sz w:val="24"/>
          <w:szCs w:val="24"/>
        </w:rPr>
        <w:t xml:space="preserve"> information, if involved </w:t>
      </w:r>
    </w:p>
    <w:p w14:paraId="678C0C89" w14:textId="77777777" w:rsidR="006E5F40" w:rsidRPr="00E66294" w:rsidRDefault="006E5F40" w:rsidP="003335B8">
      <w:pPr>
        <w:spacing w:line="270" w:lineRule="atLeast"/>
        <w:ind w:left="1800" w:hanging="360"/>
        <w:rPr>
          <w:sz w:val="24"/>
          <w:szCs w:val="24"/>
        </w:rPr>
      </w:pPr>
      <w:r w:rsidRPr="00E66294">
        <w:rPr>
          <w:sz w:val="24"/>
          <w:szCs w:val="24"/>
        </w:rPr>
        <w:t xml:space="preserve">-   Company name and CRD number </w:t>
      </w:r>
    </w:p>
    <w:p w14:paraId="02C9DFEE" w14:textId="77777777" w:rsidR="006E5F40" w:rsidRPr="00E66294" w:rsidRDefault="006E5F40" w:rsidP="003335B8">
      <w:pPr>
        <w:spacing w:line="270" w:lineRule="atLeast"/>
        <w:ind w:left="1800" w:hanging="360"/>
        <w:rPr>
          <w:sz w:val="24"/>
          <w:szCs w:val="24"/>
        </w:rPr>
      </w:pPr>
      <w:r w:rsidRPr="00E66294">
        <w:rPr>
          <w:sz w:val="24"/>
          <w:szCs w:val="24"/>
        </w:rPr>
        <w:t xml:space="preserve">-   Company contact name and telephone number </w:t>
      </w:r>
    </w:p>
    <w:p w14:paraId="15A0601E" w14:textId="77777777" w:rsidR="006E5F40" w:rsidRPr="00E66294" w:rsidRDefault="006E5F40" w:rsidP="003335B8">
      <w:pPr>
        <w:spacing w:line="270" w:lineRule="atLeast"/>
        <w:ind w:left="1800" w:hanging="360"/>
        <w:rPr>
          <w:sz w:val="24"/>
          <w:szCs w:val="24"/>
        </w:rPr>
      </w:pPr>
      <w:r w:rsidRPr="00E66294">
        <w:rPr>
          <w:sz w:val="24"/>
          <w:szCs w:val="24"/>
        </w:rPr>
        <w:t xml:space="preserve">-   Date(s) and time(s) of activity </w:t>
      </w:r>
    </w:p>
    <w:p w14:paraId="44940A49" w14:textId="77777777" w:rsidR="006E5F40" w:rsidRPr="00E66294" w:rsidRDefault="006E5F40" w:rsidP="003335B8">
      <w:pPr>
        <w:spacing w:line="270" w:lineRule="atLeast"/>
        <w:ind w:left="1800" w:hanging="360"/>
        <w:rPr>
          <w:sz w:val="24"/>
          <w:szCs w:val="24"/>
        </w:rPr>
      </w:pPr>
      <w:r w:rsidRPr="00E66294">
        <w:rPr>
          <w:sz w:val="24"/>
          <w:szCs w:val="24"/>
        </w:rPr>
        <w:t xml:space="preserve">-   IP addresses used to access the account </w:t>
      </w:r>
    </w:p>
    <w:p w14:paraId="7E5B6383" w14:textId="77777777" w:rsidR="006E5F40" w:rsidRPr="00E66294" w:rsidRDefault="006E5F40" w:rsidP="002E5FDD">
      <w:pPr>
        <w:spacing w:line="270" w:lineRule="atLeast"/>
        <w:ind w:left="1800" w:hanging="360"/>
        <w:rPr>
          <w:sz w:val="24"/>
          <w:szCs w:val="24"/>
        </w:rPr>
      </w:pPr>
      <w:r w:rsidRPr="00E66294">
        <w:rPr>
          <w:sz w:val="24"/>
          <w:szCs w:val="24"/>
        </w:rPr>
        <w:t xml:space="preserve">-   Security or securities involved (name and symbol) </w:t>
      </w:r>
    </w:p>
    <w:p w14:paraId="1305A65B" w14:textId="77777777" w:rsidR="006E5F40" w:rsidRPr="00E66294" w:rsidRDefault="006E5F40" w:rsidP="003335B8">
      <w:pPr>
        <w:spacing w:line="270" w:lineRule="atLeast"/>
        <w:ind w:left="1800" w:hanging="360"/>
        <w:rPr>
          <w:sz w:val="24"/>
          <w:szCs w:val="24"/>
        </w:rPr>
      </w:pPr>
      <w:r w:rsidRPr="00E66294">
        <w:rPr>
          <w:sz w:val="24"/>
          <w:szCs w:val="24"/>
        </w:rPr>
        <w:t xml:space="preserve">-   Details of the trades or unexecuted orders </w:t>
      </w:r>
    </w:p>
    <w:p w14:paraId="5ACBBE02" w14:textId="77777777" w:rsidR="006E5F40" w:rsidRPr="00E66294" w:rsidRDefault="006E5F40" w:rsidP="003335B8">
      <w:pPr>
        <w:spacing w:line="270" w:lineRule="atLeast"/>
        <w:ind w:left="1800" w:hanging="360"/>
        <w:rPr>
          <w:sz w:val="24"/>
          <w:szCs w:val="24"/>
        </w:rPr>
      </w:pPr>
      <w:r w:rsidRPr="00E66294">
        <w:rPr>
          <w:sz w:val="24"/>
          <w:szCs w:val="24"/>
        </w:rPr>
        <w:t xml:space="preserve">-   Details concerning any wire transfer activity </w:t>
      </w:r>
    </w:p>
    <w:p w14:paraId="55454178" w14:textId="77777777" w:rsidR="006E5F40" w:rsidRPr="00E66294" w:rsidRDefault="006E5F40" w:rsidP="003335B8">
      <w:pPr>
        <w:spacing w:line="270" w:lineRule="atLeast"/>
        <w:ind w:left="1800" w:hanging="360"/>
        <w:rPr>
          <w:sz w:val="24"/>
          <w:szCs w:val="24"/>
        </w:rPr>
      </w:pPr>
      <w:r w:rsidRPr="00E66294">
        <w:rPr>
          <w:sz w:val="24"/>
          <w:szCs w:val="24"/>
        </w:rPr>
        <w:t xml:space="preserve">-   Customer account affected by the activity, including name and account number </w:t>
      </w:r>
    </w:p>
    <w:p w14:paraId="5CED8444" w14:textId="77777777" w:rsidR="006E5F40" w:rsidRPr="00E66294" w:rsidRDefault="006E5F40" w:rsidP="003335B8">
      <w:pPr>
        <w:spacing w:after="240" w:line="270" w:lineRule="atLeast"/>
        <w:ind w:left="1800" w:hanging="360"/>
        <w:rPr>
          <w:sz w:val="24"/>
          <w:szCs w:val="24"/>
        </w:rPr>
      </w:pPr>
      <w:r w:rsidRPr="00E66294">
        <w:rPr>
          <w:sz w:val="24"/>
          <w:szCs w:val="24"/>
        </w:rPr>
        <w:t>-   Whether the customer has been or will be reimbursed and by whom</w:t>
      </w:r>
    </w:p>
    <w:p w14:paraId="1EF7FF38" w14:textId="77777777" w:rsidR="006E5F40" w:rsidRPr="00E66294" w:rsidRDefault="006E5F40" w:rsidP="00C1728B">
      <w:pPr>
        <w:numPr>
          <w:ilvl w:val="0"/>
          <w:numId w:val="44"/>
        </w:numPr>
        <w:tabs>
          <w:tab w:val="clear" w:pos="6480"/>
          <w:tab w:val="num" w:pos="1260"/>
        </w:tabs>
        <w:spacing w:after="240" w:line="270" w:lineRule="atLeast"/>
        <w:ind w:left="1260" w:hanging="270"/>
        <w:rPr>
          <w:sz w:val="24"/>
          <w:szCs w:val="24"/>
        </w:rPr>
      </w:pPr>
      <w:r w:rsidRPr="00E66294">
        <w:rPr>
          <w:sz w:val="24"/>
          <w:szCs w:val="24"/>
        </w:rPr>
        <w:t xml:space="preserve">If appropriate, contact law enforcement agencies, such as the </w:t>
      </w:r>
      <w:hyperlink r:id="rId30" w:history="1">
        <w:r w:rsidRPr="00E66294">
          <w:rPr>
            <w:sz w:val="24"/>
            <w:szCs w:val="24"/>
          </w:rPr>
          <w:t>FBI</w:t>
        </w:r>
      </w:hyperlink>
      <w:r w:rsidRPr="00E66294">
        <w:rPr>
          <w:sz w:val="24"/>
          <w:szCs w:val="24"/>
        </w:rPr>
        <w:t xml:space="preserve"> at </w:t>
      </w:r>
      <w:hyperlink r:id="rId31" w:history="1">
        <w:r w:rsidRPr="00E66294">
          <w:rPr>
            <w:rStyle w:val="Hyperlink"/>
            <w:sz w:val="24"/>
            <w:szCs w:val="24"/>
          </w:rPr>
          <w:t>www.ic3.gov</w:t>
        </w:r>
      </w:hyperlink>
      <w:r w:rsidRPr="00E66294">
        <w:rPr>
          <w:sz w:val="24"/>
          <w:szCs w:val="24"/>
        </w:rPr>
        <w:t xml:space="preserve"> (Internet Crime Complaints) or, if the U.S. mail is involved, the </w:t>
      </w:r>
      <w:hyperlink r:id="rId32" w:history="1">
        <w:r w:rsidRPr="00E66294">
          <w:rPr>
            <w:sz w:val="24"/>
            <w:szCs w:val="24"/>
          </w:rPr>
          <w:t>United States Postal Inspector</w:t>
        </w:r>
      </w:hyperlink>
      <w:r w:rsidRPr="00E66294">
        <w:rPr>
          <w:sz w:val="24"/>
          <w:szCs w:val="24"/>
        </w:rPr>
        <w:t xml:space="preserve"> at </w:t>
      </w:r>
      <w:r w:rsidRPr="00E66294">
        <w:rPr>
          <w:b/>
          <w:sz w:val="24"/>
          <w:szCs w:val="24"/>
        </w:rPr>
        <w:t>(877) 876-3455</w:t>
      </w:r>
      <w:r w:rsidRPr="00E66294">
        <w:rPr>
          <w:sz w:val="24"/>
          <w:szCs w:val="24"/>
        </w:rPr>
        <w:t xml:space="preserve"> or </w:t>
      </w:r>
      <w:hyperlink r:id="rId33" w:history="1">
        <w:r w:rsidRPr="00E66294">
          <w:rPr>
            <w:rStyle w:val="Hyperlink"/>
            <w:sz w:val="24"/>
            <w:szCs w:val="24"/>
          </w:rPr>
          <w:t>http://postalinspectors.uspis.gov/contactus/phoneus.aspx</w:t>
        </w:r>
      </w:hyperlink>
      <w:r w:rsidRPr="00E66294">
        <w:rPr>
          <w:sz w:val="24"/>
          <w:szCs w:val="24"/>
        </w:rPr>
        <w:t>. </w:t>
      </w:r>
    </w:p>
    <w:p w14:paraId="2B06CB01" w14:textId="77777777" w:rsidR="006E5F40" w:rsidRPr="00E66294" w:rsidRDefault="006E5F40" w:rsidP="00C1728B">
      <w:pPr>
        <w:numPr>
          <w:ilvl w:val="0"/>
          <w:numId w:val="44"/>
        </w:numPr>
        <w:tabs>
          <w:tab w:val="clear" w:pos="6480"/>
          <w:tab w:val="num" w:pos="1260"/>
        </w:tabs>
        <w:spacing w:after="240" w:line="270" w:lineRule="atLeast"/>
        <w:ind w:left="720" w:firstLine="270"/>
        <w:rPr>
          <w:sz w:val="24"/>
          <w:szCs w:val="24"/>
        </w:rPr>
      </w:pPr>
      <w:r w:rsidRPr="00E66294">
        <w:rPr>
          <w:sz w:val="24"/>
          <w:szCs w:val="24"/>
        </w:rPr>
        <w:t xml:space="preserve">Contact the TX State Securities Board at </w:t>
      </w:r>
      <w:r w:rsidRPr="00E66294">
        <w:rPr>
          <w:b/>
          <w:sz w:val="24"/>
          <w:szCs w:val="24"/>
        </w:rPr>
        <w:t>(512) 305-8300</w:t>
      </w:r>
      <w:r w:rsidRPr="00E66294">
        <w:rPr>
          <w:sz w:val="24"/>
          <w:szCs w:val="24"/>
        </w:rPr>
        <w:t>.</w:t>
      </w:r>
    </w:p>
    <w:p w14:paraId="3EA6C007" w14:textId="77777777" w:rsidR="00E66294" w:rsidRDefault="006E5F40" w:rsidP="00C1728B">
      <w:pPr>
        <w:numPr>
          <w:ilvl w:val="0"/>
          <w:numId w:val="44"/>
        </w:numPr>
        <w:tabs>
          <w:tab w:val="clear" w:pos="6480"/>
          <w:tab w:val="num" w:pos="1260"/>
        </w:tabs>
        <w:spacing w:after="240" w:line="270" w:lineRule="atLeast"/>
        <w:ind w:left="1260" w:hanging="270"/>
        <w:rPr>
          <w:b/>
          <w:sz w:val="24"/>
          <w:szCs w:val="24"/>
        </w:rPr>
      </w:pPr>
      <w:r w:rsidRPr="00E66294">
        <w:rPr>
          <w:sz w:val="24"/>
          <w:szCs w:val="24"/>
        </w:rPr>
        <w:t xml:space="preserve">Determine whether any unauthorized person has gained access to an account holder’s personally identifiable information and, if so, whether the Company must provide a specific type of notification to the customer or others under </w:t>
      </w:r>
      <w:hyperlink r:id="rId34" w:history="1">
        <w:r w:rsidRPr="00E66294">
          <w:rPr>
            <w:sz w:val="24"/>
            <w:szCs w:val="24"/>
          </w:rPr>
          <w:t>state law</w:t>
        </w:r>
      </w:hyperlink>
      <w:r w:rsidRPr="00E66294">
        <w:rPr>
          <w:sz w:val="24"/>
          <w:szCs w:val="24"/>
        </w:rPr>
        <w:t xml:space="preserve"> regarding the loss of the customer’s information.  Some states require notice to the Attorney General or other state law enforcement agencies if a customer’s “</w:t>
      </w:r>
      <w:hyperlink r:id="rId35" w:history="1">
        <w:r w:rsidRPr="00E66294">
          <w:rPr>
            <w:sz w:val="24"/>
            <w:szCs w:val="24"/>
          </w:rPr>
          <w:t>personally identifiable financial information</w:t>
        </w:r>
      </w:hyperlink>
      <w:r w:rsidRPr="00E66294">
        <w:rPr>
          <w:sz w:val="24"/>
          <w:szCs w:val="24"/>
        </w:rPr>
        <w:t xml:space="preserve">” has been compromised (TX Attorney General – Consumer Protection Hotline </w:t>
      </w:r>
      <w:r w:rsidRPr="00E66294">
        <w:rPr>
          <w:b/>
          <w:sz w:val="24"/>
          <w:szCs w:val="24"/>
        </w:rPr>
        <w:t xml:space="preserve">(800) 621-0508.  </w:t>
      </w:r>
    </w:p>
    <w:p w14:paraId="1E219E24" w14:textId="77777777" w:rsidR="006E5F40" w:rsidRPr="00E66294" w:rsidRDefault="006E5F40" w:rsidP="004B69C0">
      <w:pPr>
        <w:spacing w:after="240" w:line="270" w:lineRule="atLeast"/>
        <w:ind w:left="720" w:firstLine="540"/>
        <w:rPr>
          <w:b/>
          <w:sz w:val="24"/>
          <w:szCs w:val="24"/>
        </w:rPr>
      </w:pPr>
      <w:r w:rsidRPr="00E66294">
        <w:rPr>
          <w:sz w:val="24"/>
          <w:szCs w:val="24"/>
        </w:rPr>
        <w:t>Additional information</w:t>
      </w:r>
      <w:r w:rsidR="00042B5F">
        <w:rPr>
          <w:sz w:val="24"/>
          <w:szCs w:val="24"/>
        </w:rPr>
        <w:t xml:space="preserve">: </w:t>
      </w:r>
      <w:hyperlink r:id="rId36" w:history="1">
        <w:r w:rsidRPr="003335B8">
          <w:rPr>
            <w:rStyle w:val="Hyperlink"/>
            <w:sz w:val="24"/>
            <w:szCs w:val="24"/>
          </w:rPr>
          <w:t>http://www.ncsl.org/programs/lis/cip/priv/breach.htm</w:t>
        </w:r>
      </w:hyperlink>
      <w:r w:rsidRPr="00E66294">
        <w:rPr>
          <w:sz w:val="24"/>
          <w:szCs w:val="24"/>
        </w:rPr>
        <w:t>.</w:t>
      </w:r>
    </w:p>
    <w:p w14:paraId="0ABC9D81" w14:textId="77777777" w:rsidR="006E5F40" w:rsidRDefault="006E5F40" w:rsidP="00C1728B">
      <w:pPr>
        <w:numPr>
          <w:ilvl w:val="0"/>
          <w:numId w:val="44"/>
        </w:numPr>
        <w:tabs>
          <w:tab w:val="clear" w:pos="6480"/>
          <w:tab w:val="num" w:pos="1260"/>
        </w:tabs>
        <w:spacing w:line="270" w:lineRule="atLeast"/>
        <w:ind w:left="1260" w:hanging="270"/>
        <w:rPr>
          <w:sz w:val="24"/>
          <w:szCs w:val="24"/>
        </w:rPr>
      </w:pPr>
      <w:r w:rsidRPr="00E66294">
        <w:rPr>
          <w:sz w:val="24"/>
          <w:szCs w:val="24"/>
        </w:rPr>
        <w:t xml:space="preserve">Determine whether the Company should file a Suspicious Activity Report (SAR) under the federal anti-money laundering provisions. </w:t>
      </w:r>
    </w:p>
    <w:p w14:paraId="00F309DA" w14:textId="77777777" w:rsidR="00FC2B30" w:rsidRDefault="00FC2B30" w:rsidP="004B69C0">
      <w:pPr>
        <w:spacing w:line="270" w:lineRule="atLeast"/>
        <w:rPr>
          <w:sz w:val="24"/>
          <w:szCs w:val="24"/>
        </w:rPr>
      </w:pPr>
    </w:p>
    <w:p w14:paraId="06CD9537" w14:textId="77777777" w:rsidR="006E5F40" w:rsidRDefault="00FC2B30" w:rsidP="001A587F">
      <w:pPr>
        <w:pStyle w:val="Heading4"/>
      </w:pPr>
      <w:r w:rsidRPr="00FC2B30">
        <w:t>6.</w:t>
      </w:r>
      <w:r w:rsidR="00417070">
        <w:t>4</w:t>
      </w:r>
      <w:r w:rsidRPr="00FC2B30">
        <w:t>.7.3 Red Flags Grid</w:t>
      </w:r>
    </w:p>
    <w:p w14:paraId="17E2081F" w14:textId="77777777" w:rsidR="001C0258" w:rsidRPr="00476D1B" w:rsidRDefault="00FC2B30" w:rsidP="00FC34D6">
      <w:pPr>
        <w:ind w:left="540"/>
        <w:rPr>
          <w:sz w:val="24"/>
          <w:szCs w:val="24"/>
        </w:rPr>
      </w:pPr>
      <w:r w:rsidRPr="00DC2914">
        <w:rPr>
          <w:sz w:val="24"/>
          <w:szCs w:val="24"/>
        </w:rPr>
        <w:t>In addition to the information provided above, Company has added the Identification and Detection Grid below.  The grid provides a helpful guide and examples of red flags as an additional tool for Company to use.</w:t>
      </w:r>
      <w:r w:rsidR="005B3DE9">
        <w:rPr>
          <w:sz w:val="24"/>
          <w:szCs w:val="24"/>
        </w:rPr>
        <w:t xml:space="preserve">  </w:t>
      </w:r>
      <w:r w:rsidR="005B3DE9" w:rsidRPr="00476D1B">
        <w:rPr>
          <w:sz w:val="24"/>
          <w:szCs w:val="24"/>
        </w:rPr>
        <w:t xml:space="preserve">In addition, </w:t>
      </w:r>
      <w:r w:rsidR="005B3DE9" w:rsidRPr="00476D1B">
        <w:rPr>
          <w:b/>
          <w:sz w:val="24"/>
          <w:szCs w:val="24"/>
        </w:rPr>
        <w:t>FINRA Regulatory</w:t>
      </w:r>
      <w:r w:rsidR="005B3DE9" w:rsidRPr="00476D1B">
        <w:rPr>
          <w:sz w:val="24"/>
          <w:szCs w:val="24"/>
        </w:rPr>
        <w:t xml:space="preserve"> </w:t>
      </w:r>
      <w:r w:rsidR="005B3DE9" w:rsidRPr="00476D1B">
        <w:rPr>
          <w:b/>
          <w:sz w:val="24"/>
          <w:szCs w:val="24"/>
        </w:rPr>
        <w:t xml:space="preserve">Notice 19-18 </w:t>
      </w:r>
      <w:r w:rsidR="005B3DE9" w:rsidRPr="00476D1B">
        <w:rPr>
          <w:sz w:val="24"/>
          <w:szCs w:val="24"/>
        </w:rPr>
        <w:t>provides a comprehensive list of potential red flags.</w:t>
      </w:r>
    </w:p>
    <w:p w14:paraId="555E4186" w14:textId="77777777" w:rsidR="00FC2B30" w:rsidRPr="00476D1B" w:rsidRDefault="00FC2B30" w:rsidP="00FC2B30">
      <w:pPr>
        <w:ind w:left="360"/>
        <w:rPr>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9"/>
        <w:gridCol w:w="5423"/>
      </w:tblGrid>
      <w:tr w:rsidR="00FC2B30" w:rsidRPr="00DC2914" w14:paraId="3E01E15B" w14:textId="77777777" w:rsidTr="00261C97">
        <w:tc>
          <w:tcPr>
            <w:tcW w:w="4409" w:type="dxa"/>
          </w:tcPr>
          <w:p w14:paraId="1C0492FA" w14:textId="77777777" w:rsidR="00FC2B30" w:rsidRPr="00DC2914" w:rsidRDefault="00FC2B30" w:rsidP="00261C97">
            <w:pPr>
              <w:jc w:val="center"/>
              <w:rPr>
                <w:b/>
              </w:rPr>
            </w:pPr>
            <w:r w:rsidRPr="00DC2914">
              <w:rPr>
                <w:b/>
              </w:rPr>
              <w:t>Red Flag</w:t>
            </w:r>
          </w:p>
        </w:tc>
        <w:tc>
          <w:tcPr>
            <w:tcW w:w="5423" w:type="dxa"/>
          </w:tcPr>
          <w:p w14:paraId="76874228" w14:textId="77777777" w:rsidR="00FC2B30" w:rsidRPr="00DC2914" w:rsidRDefault="00FC2B30" w:rsidP="00261C97">
            <w:pPr>
              <w:jc w:val="center"/>
              <w:rPr>
                <w:b/>
              </w:rPr>
            </w:pPr>
            <w:r w:rsidRPr="00DC2914">
              <w:rPr>
                <w:b/>
              </w:rPr>
              <w:t>Detecting the Red Flag</w:t>
            </w:r>
          </w:p>
        </w:tc>
      </w:tr>
      <w:tr w:rsidR="00FC2B30" w:rsidRPr="00DC2914" w14:paraId="54797677" w14:textId="77777777" w:rsidTr="00FC2B30">
        <w:tc>
          <w:tcPr>
            <w:tcW w:w="9832" w:type="dxa"/>
            <w:gridSpan w:val="2"/>
            <w:shd w:val="clear" w:color="auto" w:fill="A6A6A6"/>
          </w:tcPr>
          <w:p w14:paraId="692F3E64" w14:textId="77777777" w:rsidR="00FC2B30" w:rsidRPr="00DC2914" w:rsidRDefault="00FC2B30" w:rsidP="00261C97">
            <w:pPr>
              <w:jc w:val="center"/>
              <w:rPr>
                <w:b/>
              </w:rPr>
            </w:pPr>
            <w:r w:rsidRPr="00DC2914">
              <w:rPr>
                <w:b/>
              </w:rPr>
              <w:t>Category: Suspicious Documents</w:t>
            </w:r>
          </w:p>
        </w:tc>
      </w:tr>
      <w:tr w:rsidR="00FC2B30" w:rsidRPr="00DC2914" w14:paraId="4DA0979C" w14:textId="77777777" w:rsidTr="00261C97">
        <w:tc>
          <w:tcPr>
            <w:tcW w:w="4409" w:type="dxa"/>
          </w:tcPr>
          <w:p w14:paraId="52C2A1E6" w14:textId="77777777" w:rsidR="00FC2B30" w:rsidRPr="00DC2914" w:rsidRDefault="00FC2B30" w:rsidP="004C3A66">
            <w:r w:rsidRPr="00DC2914">
              <w:t>Identification presented looks altered or forged.</w:t>
            </w:r>
          </w:p>
        </w:tc>
        <w:tc>
          <w:tcPr>
            <w:tcW w:w="5423" w:type="dxa"/>
          </w:tcPr>
          <w:p w14:paraId="0FC9D943" w14:textId="77777777" w:rsidR="00FC2B30" w:rsidRPr="00DC2914" w:rsidRDefault="00AC2982" w:rsidP="00C11911">
            <w:r w:rsidRPr="00DC2914">
              <w:t>Staff who deals</w:t>
            </w:r>
            <w:r w:rsidR="00FC2B30" w:rsidRPr="00DC2914">
              <w:t xml:space="preserve"> with customers and their supervisors will scrutinize identification presented in person to make sure it is not altered or forged</w:t>
            </w:r>
            <w:r w:rsidR="00C11911">
              <w:t xml:space="preserve"> (</w:t>
            </w:r>
            <w:r w:rsidR="00C11911" w:rsidRPr="00151877">
              <w:t xml:space="preserve">additionally reviewed electronically by Compliance Dept.)..  </w:t>
            </w:r>
          </w:p>
        </w:tc>
      </w:tr>
      <w:tr w:rsidR="00FC2B30" w:rsidRPr="00DC2914" w14:paraId="6E5A6EA8" w14:textId="77777777" w:rsidTr="00261C97">
        <w:tc>
          <w:tcPr>
            <w:tcW w:w="4409" w:type="dxa"/>
          </w:tcPr>
          <w:p w14:paraId="24E52553" w14:textId="77777777" w:rsidR="00FC2B30" w:rsidRPr="00DC2914" w:rsidRDefault="00FC2B30" w:rsidP="00261C97">
            <w:r w:rsidRPr="00DC2914">
              <w:t>The identification presenter does not look like the identification’s photograph or physical description.</w:t>
            </w:r>
          </w:p>
        </w:tc>
        <w:tc>
          <w:tcPr>
            <w:tcW w:w="5423" w:type="dxa"/>
          </w:tcPr>
          <w:p w14:paraId="05D598FA" w14:textId="77777777" w:rsidR="00FC2B30" w:rsidRPr="00DC2914" w:rsidRDefault="00F24C70" w:rsidP="00B12E96">
            <w:r w:rsidRPr="00DC2914">
              <w:t>S</w:t>
            </w:r>
            <w:r w:rsidR="00FC2B30" w:rsidRPr="00DC2914">
              <w:t xml:space="preserve">taff who deal with customers and their supervisors will ensure that the photograph and the physical description on the identification match the person </w:t>
            </w:r>
            <w:r w:rsidR="00AC2982" w:rsidRPr="00DC2914">
              <w:t>presenting.</w:t>
            </w:r>
          </w:p>
        </w:tc>
      </w:tr>
      <w:tr w:rsidR="00FC2B30" w:rsidRPr="00DC2914" w14:paraId="591C5C85" w14:textId="77777777" w:rsidTr="00261C97">
        <w:tc>
          <w:tcPr>
            <w:tcW w:w="4409" w:type="dxa"/>
          </w:tcPr>
          <w:p w14:paraId="1E5419F2" w14:textId="77777777" w:rsidR="00FC2B30" w:rsidRPr="00DC2914" w:rsidRDefault="00FC2B30" w:rsidP="00261C97">
            <w:r w:rsidRPr="00DC2914">
              <w:t xml:space="preserve">Information on the identification differs from what the identification presenter is saying. </w:t>
            </w:r>
          </w:p>
        </w:tc>
        <w:tc>
          <w:tcPr>
            <w:tcW w:w="5423" w:type="dxa"/>
          </w:tcPr>
          <w:p w14:paraId="1B741695" w14:textId="77777777" w:rsidR="00FC2B30" w:rsidRDefault="00AC2982" w:rsidP="00B12E96">
            <w:r w:rsidRPr="00DC2914">
              <w:t>Staff who deals</w:t>
            </w:r>
            <w:r w:rsidR="00FC2B30" w:rsidRPr="00DC2914">
              <w:t xml:space="preserve"> with customers and their supervisors will ensure that the identification and the statements of the person presenting it are consistent.  </w:t>
            </w:r>
          </w:p>
          <w:p w14:paraId="4F931869" w14:textId="77777777" w:rsidR="00FA1A64" w:rsidRPr="00DC2914" w:rsidRDefault="00FA1A64" w:rsidP="00B12E96"/>
        </w:tc>
      </w:tr>
      <w:tr w:rsidR="00FC2B30" w:rsidRPr="00DC2914" w14:paraId="473068DC" w14:textId="77777777" w:rsidTr="00261C97">
        <w:tc>
          <w:tcPr>
            <w:tcW w:w="4409" w:type="dxa"/>
          </w:tcPr>
          <w:p w14:paraId="30163521" w14:textId="77777777" w:rsidR="00FC2B30" w:rsidRPr="00DC2914" w:rsidRDefault="00FC2B30" w:rsidP="00640E44">
            <w:r w:rsidRPr="00DC2914">
              <w:lastRenderedPageBreak/>
              <w:t xml:space="preserve">Information on the identification does not match other information </w:t>
            </w:r>
            <w:r w:rsidR="00640E44">
              <w:t>Company</w:t>
            </w:r>
            <w:r w:rsidRPr="00DC2914">
              <w:t xml:space="preserve"> has on file for the presenter, like the original account application, signature card or a recent check.</w:t>
            </w:r>
          </w:p>
        </w:tc>
        <w:tc>
          <w:tcPr>
            <w:tcW w:w="5423" w:type="dxa"/>
          </w:tcPr>
          <w:p w14:paraId="5F011285" w14:textId="77777777" w:rsidR="00FC2B30" w:rsidRPr="00DC2914" w:rsidRDefault="00F24C70" w:rsidP="00624D21">
            <w:r w:rsidRPr="00DC2914">
              <w:t>S</w:t>
            </w:r>
            <w:r w:rsidR="00FC2B30" w:rsidRPr="00DC2914">
              <w:t>taff who deal with customers and their supervisors will ensure that the identification presented and other information on file from the account, such as</w:t>
            </w:r>
            <w:r w:rsidR="00B12E96" w:rsidRPr="00DC2914">
              <w:t xml:space="preserve"> those listed.</w:t>
            </w:r>
            <w:r w:rsidR="00FC2B30" w:rsidRPr="00DC2914">
              <w:t xml:space="preserve"> </w:t>
            </w:r>
          </w:p>
        </w:tc>
      </w:tr>
      <w:tr w:rsidR="00FC2B30" w:rsidRPr="00DC2914" w14:paraId="789903D1" w14:textId="77777777" w:rsidTr="00261C97">
        <w:tc>
          <w:tcPr>
            <w:tcW w:w="4409" w:type="dxa"/>
          </w:tcPr>
          <w:p w14:paraId="27339305" w14:textId="77777777" w:rsidR="00FC2B30" w:rsidRPr="00DC2914" w:rsidRDefault="00FC2B30" w:rsidP="00261C97">
            <w:r w:rsidRPr="00DC2914">
              <w:t xml:space="preserve">The application looks like it has been altered, forged or torn up and reassembled. </w:t>
            </w:r>
          </w:p>
        </w:tc>
        <w:tc>
          <w:tcPr>
            <w:tcW w:w="5423" w:type="dxa"/>
          </w:tcPr>
          <w:p w14:paraId="009BEB28" w14:textId="77777777" w:rsidR="00B12E96" w:rsidRPr="00DC2914" w:rsidRDefault="00AC2982" w:rsidP="007B1F88">
            <w:r w:rsidRPr="00DC2914">
              <w:t>Staff who deals</w:t>
            </w:r>
            <w:r w:rsidR="00FC2B30" w:rsidRPr="00DC2914">
              <w:t xml:space="preserve"> with customers and their supervisors will scrutinize each application to make sure it is not altered, forged, or torn up and reassembled.  </w:t>
            </w:r>
          </w:p>
        </w:tc>
      </w:tr>
      <w:tr w:rsidR="00FC2B30" w:rsidRPr="00DC2914" w14:paraId="71A6A039" w14:textId="77777777" w:rsidTr="00FC2B30">
        <w:tc>
          <w:tcPr>
            <w:tcW w:w="9832" w:type="dxa"/>
            <w:gridSpan w:val="2"/>
            <w:shd w:val="clear" w:color="auto" w:fill="A6A6A6"/>
          </w:tcPr>
          <w:p w14:paraId="2134622A" w14:textId="77777777" w:rsidR="00FC2B30" w:rsidRPr="00DC2914" w:rsidRDefault="00FC2B30" w:rsidP="00261C97">
            <w:pPr>
              <w:jc w:val="center"/>
              <w:rPr>
                <w:b/>
              </w:rPr>
            </w:pPr>
            <w:r w:rsidRPr="00DC2914">
              <w:rPr>
                <w:b/>
              </w:rPr>
              <w:t>Category: Suspicious Personal Identifying Information</w:t>
            </w:r>
          </w:p>
        </w:tc>
      </w:tr>
      <w:tr w:rsidR="00FC2B30" w:rsidRPr="00DC2914" w14:paraId="328A2B4B" w14:textId="77777777" w:rsidTr="00261C97">
        <w:tc>
          <w:tcPr>
            <w:tcW w:w="4409" w:type="dxa"/>
          </w:tcPr>
          <w:p w14:paraId="205DA90A" w14:textId="77777777" w:rsidR="00FC2B30" w:rsidRPr="00DC2914" w:rsidRDefault="00FC2B30" w:rsidP="00261C97">
            <w:r w:rsidRPr="00DC2914">
              <w:t>Inconsistencies exist between the information presented and other things we know about the presenter or can find out by checking readily available external sources, such as an address that does not match a consumer credit report, or the Social Security Number (SSN) has not been issued or is listed on the Social Security Administration's (SSA’s) Death Master File.</w:t>
            </w:r>
          </w:p>
        </w:tc>
        <w:tc>
          <w:tcPr>
            <w:tcW w:w="5423" w:type="dxa"/>
          </w:tcPr>
          <w:p w14:paraId="442AA1B3" w14:textId="77777777" w:rsidR="00FC2B30" w:rsidRPr="00DC2914" w:rsidRDefault="007D4EE8" w:rsidP="00B12E96">
            <w:r>
              <w:t xml:space="preserve">When suspect, </w:t>
            </w:r>
            <w:r w:rsidR="00802AA4" w:rsidRPr="00476D1B">
              <w:t xml:space="preserve">custodians/Company </w:t>
            </w:r>
            <w:r w:rsidR="00802AA4">
              <w:t>staff</w:t>
            </w:r>
            <w:r>
              <w:t xml:space="preserve"> may</w:t>
            </w:r>
            <w:r w:rsidR="00FC2B30" w:rsidRPr="00DC2914">
              <w:t xml:space="preserve"> check personal identifying information presented to us to ensure that the SSN given has been issued but is not listed on the SSA’s Master Death File.  If we receive a consumer credit report, they will check to see if the addresses on the application and the consumer report match.  </w:t>
            </w:r>
          </w:p>
        </w:tc>
      </w:tr>
      <w:tr w:rsidR="00FC2B30" w:rsidRPr="00DC2914" w14:paraId="6C3970C9" w14:textId="77777777" w:rsidTr="00261C97">
        <w:tc>
          <w:tcPr>
            <w:tcW w:w="4409" w:type="dxa"/>
          </w:tcPr>
          <w:p w14:paraId="79AB98DC" w14:textId="77777777" w:rsidR="00FC2B30" w:rsidRPr="00DC2914" w:rsidRDefault="00FC2B30" w:rsidP="00261C97">
            <w:r w:rsidRPr="00DC2914">
              <w:t xml:space="preserve">Inconsistencies exist in the information that the customer gives us, such as a date of birth that does not fall within the number range on the SSA’s issuance tables.  </w:t>
            </w:r>
          </w:p>
        </w:tc>
        <w:tc>
          <w:tcPr>
            <w:tcW w:w="5423" w:type="dxa"/>
          </w:tcPr>
          <w:p w14:paraId="47142E1A" w14:textId="77777777" w:rsidR="00FC2B30" w:rsidRPr="00DC2914" w:rsidRDefault="00F24C70" w:rsidP="00B12E96">
            <w:r w:rsidRPr="00DC2914">
              <w:t>S</w:t>
            </w:r>
            <w:r w:rsidR="00FC2B30" w:rsidRPr="00DC2914">
              <w:t xml:space="preserve">taff will check personal identifying information presented to us to make sure that it is internally consistent by comparing the date of birth to see that it falls within the number range on the SSA’s issuance tables </w:t>
            </w:r>
          </w:p>
        </w:tc>
      </w:tr>
      <w:tr w:rsidR="00FC2B30" w:rsidRPr="00DC2914" w14:paraId="283B81AE" w14:textId="77777777" w:rsidTr="00261C97">
        <w:tc>
          <w:tcPr>
            <w:tcW w:w="4409" w:type="dxa"/>
          </w:tcPr>
          <w:p w14:paraId="72A8CAF3" w14:textId="77777777" w:rsidR="00FC2B30" w:rsidRPr="00DC2914" w:rsidRDefault="00FC2B30" w:rsidP="00261C97">
            <w:r w:rsidRPr="00DC2914">
              <w:t xml:space="preserve">Personal identifying information presented has been used on an account our firm knows was fraudulent. </w:t>
            </w:r>
          </w:p>
        </w:tc>
        <w:tc>
          <w:tcPr>
            <w:tcW w:w="5423" w:type="dxa"/>
          </w:tcPr>
          <w:p w14:paraId="507EB6E6" w14:textId="77777777" w:rsidR="00FC2B30" w:rsidRPr="00DC2914" w:rsidRDefault="00F24C70" w:rsidP="00F24C70">
            <w:r w:rsidRPr="00DC2914">
              <w:t>S</w:t>
            </w:r>
            <w:r w:rsidR="00FC2B30" w:rsidRPr="00DC2914">
              <w:t xml:space="preserve">taff will compare the information presented with addresses and phone numbers on accounts or applications we found or were reported were fraudulent.  </w:t>
            </w:r>
          </w:p>
        </w:tc>
      </w:tr>
      <w:tr w:rsidR="00FC2B30" w:rsidRPr="00DC2914" w14:paraId="3F58C20C" w14:textId="77777777" w:rsidTr="00261C97">
        <w:tc>
          <w:tcPr>
            <w:tcW w:w="4409" w:type="dxa"/>
          </w:tcPr>
          <w:p w14:paraId="0DEAA7D0" w14:textId="77777777" w:rsidR="00FC2B30" w:rsidRPr="00DC2914" w:rsidRDefault="00FC2B30" w:rsidP="00261C97">
            <w:r w:rsidRPr="00DC2914">
              <w:t xml:space="preserve">Personal identifying information presented suggests fraud, such as an address that is fictitious, a mail drop, or a prison; or a phone number is </w:t>
            </w:r>
            <w:r w:rsidR="00320166" w:rsidRPr="00DC2914">
              <w:t>invalid or</w:t>
            </w:r>
            <w:r w:rsidRPr="00DC2914">
              <w:t xml:space="preserve"> is for a pager or answering service.</w:t>
            </w:r>
          </w:p>
        </w:tc>
        <w:tc>
          <w:tcPr>
            <w:tcW w:w="5423" w:type="dxa"/>
          </w:tcPr>
          <w:p w14:paraId="7E34817E" w14:textId="77777777" w:rsidR="00FC2B30" w:rsidRPr="00DC2914" w:rsidRDefault="00F24C70" w:rsidP="007D4EE8">
            <w:r w:rsidRPr="00DC2914">
              <w:t>S</w:t>
            </w:r>
            <w:r w:rsidR="00FC2B30" w:rsidRPr="00DC2914">
              <w:t xml:space="preserve">taff </w:t>
            </w:r>
            <w:r w:rsidR="007D4EE8">
              <w:t>may</w:t>
            </w:r>
            <w:r w:rsidR="00FC2B30" w:rsidRPr="00DC2914">
              <w:t xml:space="preserve"> validate information presented when opening an account by looking up addresses on the Internet to ensure they are real and not for a mail drop or a </w:t>
            </w:r>
            <w:r w:rsidR="00320166" w:rsidRPr="00DC2914">
              <w:t>prison and</w:t>
            </w:r>
            <w:r w:rsidR="00FC2B30" w:rsidRPr="00DC2914">
              <w:t xml:space="preserve"> will call the phone numbers given to ensure they are valid and not for pagers or answering services.  </w:t>
            </w:r>
          </w:p>
        </w:tc>
      </w:tr>
      <w:tr w:rsidR="00FC2B30" w:rsidRPr="00DC2914" w14:paraId="0F631ECD" w14:textId="77777777" w:rsidTr="00261C97">
        <w:tc>
          <w:tcPr>
            <w:tcW w:w="4409" w:type="dxa"/>
          </w:tcPr>
          <w:p w14:paraId="4B192930" w14:textId="77777777" w:rsidR="00FC2B30" w:rsidRPr="00DC2914" w:rsidRDefault="00FC2B30" w:rsidP="00261C97">
            <w:r w:rsidRPr="00DC2914">
              <w:t>The SSN presented was used by someone else opening an account or other customers.</w:t>
            </w:r>
          </w:p>
        </w:tc>
        <w:tc>
          <w:tcPr>
            <w:tcW w:w="5423" w:type="dxa"/>
          </w:tcPr>
          <w:p w14:paraId="1F4E06AF" w14:textId="77777777" w:rsidR="00FC2B30" w:rsidRPr="00DC2914" w:rsidRDefault="00F24C70" w:rsidP="00261C97">
            <w:r w:rsidRPr="00DC2914">
              <w:t>S</w:t>
            </w:r>
            <w:r w:rsidR="00FC2B30" w:rsidRPr="00DC2914">
              <w:t xml:space="preserve">taff will compare the SSNs presented to see if they were given by others opening accounts or other customers.  </w:t>
            </w:r>
          </w:p>
        </w:tc>
      </w:tr>
      <w:tr w:rsidR="00FC2B30" w:rsidRPr="00DC2914" w14:paraId="1CDD94FF" w14:textId="77777777" w:rsidTr="00261C97">
        <w:tc>
          <w:tcPr>
            <w:tcW w:w="4409" w:type="dxa"/>
          </w:tcPr>
          <w:p w14:paraId="68A14CED" w14:textId="77777777" w:rsidR="00FC2B30" w:rsidRPr="00DC2914" w:rsidRDefault="00FC2B30" w:rsidP="00261C97">
            <w:r w:rsidRPr="00DC2914">
              <w:t>The address or telephone number presented has been used by many other people opening accounts or other customers.</w:t>
            </w:r>
          </w:p>
        </w:tc>
        <w:tc>
          <w:tcPr>
            <w:tcW w:w="5423" w:type="dxa"/>
          </w:tcPr>
          <w:p w14:paraId="0F11119E" w14:textId="77777777" w:rsidR="00FC2B30" w:rsidRPr="00DC2914" w:rsidRDefault="00F24C70" w:rsidP="00261C97">
            <w:r w:rsidRPr="00DC2914">
              <w:t>S</w:t>
            </w:r>
            <w:r w:rsidR="00FC2B30" w:rsidRPr="00DC2914">
              <w:t xml:space="preserve">taff will compare address and telephone number information to see if they were used by other applicants and customers.  </w:t>
            </w:r>
          </w:p>
        </w:tc>
      </w:tr>
      <w:tr w:rsidR="00FC2B30" w:rsidRPr="00DC2914" w14:paraId="2649C43D" w14:textId="77777777" w:rsidTr="00261C97">
        <w:tc>
          <w:tcPr>
            <w:tcW w:w="4409" w:type="dxa"/>
          </w:tcPr>
          <w:p w14:paraId="7BA9AFC2" w14:textId="77777777" w:rsidR="00FC2B30" w:rsidRPr="00DC2914" w:rsidRDefault="00FC2B30" w:rsidP="00261C97">
            <w:r w:rsidRPr="00DC2914">
              <w:t>A person who omits required information on an application or other form does not provide it when told it is incomplete.</w:t>
            </w:r>
          </w:p>
        </w:tc>
        <w:tc>
          <w:tcPr>
            <w:tcW w:w="5423" w:type="dxa"/>
          </w:tcPr>
          <w:p w14:paraId="37C89D5D" w14:textId="77777777" w:rsidR="00FC2B30" w:rsidRPr="00DC2914" w:rsidRDefault="00F24C70" w:rsidP="00261C97">
            <w:r w:rsidRPr="00DC2914">
              <w:t>S</w:t>
            </w:r>
            <w:r w:rsidR="00FC2B30" w:rsidRPr="00DC2914">
              <w:t xml:space="preserve">taff will track when applicants or customers have not responded to requests for required information and will follow up with the applicants or customers to determine why they have not responded.  </w:t>
            </w:r>
          </w:p>
        </w:tc>
      </w:tr>
      <w:tr w:rsidR="00FC2B30" w:rsidRPr="00DC2914" w14:paraId="62CF31DE" w14:textId="77777777" w:rsidTr="00261C97">
        <w:tc>
          <w:tcPr>
            <w:tcW w:w="4409" w:type="dxa"/>
          </w:tcPr>
          <w:p w14:paraId="76FA2EA0" w14:textId="77777777" w:rsidR="00FC2B30" w:rsidRPr="00DC2914" w:rsidRDefault="00FC2B30" w:rsidP="00261C97">
            <w:r w:rsidRPr="00DC2914">
              <w:t xml:space="preserve"> Inconsistencies exist between what is presented and what our firm has on file.</w:t>
            </w:r>
          </w:p>
        </w:tc>
        <w:tc>
          <w:tcPr>
            <w:tcW w:w="5423" w:type="dxa"/>
          </w:tcPr>
          <w:p w14:paraId="76DBA17D" w14:textId="77777777" w:rsidR="00FC2B30" w:rsidRPr="00DC2914" w:rsidRDefault="00F24C70" w:rsidP="00261C97">
            <w:r w:rsidRPr="00DC2914">
              <w:t>S</w:t>
            </w:r>
            <w:r w:rsidR="00FC2B30" w:rsidRPr="00DC2914">
              <w:t xml:space="preserve">taff will verify key items from the data presented with information we have on file.  </w:t>
            </w:r>
          </w:p>
        </w:tc>
      </w:tr>
      <w:tr w:rsidR="00FC2B30" w:rsidRPr="00DC2914" w14:paraId="640FD466" w14:textId="77777777" w:rsidTr="00261C97">
        <w:tc>
          <w:tcPr>
            <w:tcW w:w="4409" w:type="dxa"/>
          </w:tcPr>
          <w:p w14:paraId="41B8FC6C" w14:textId="23DD85D9" w:rsidR="00FC2B30" w:rsidRPr="00DC2914" w:rsidRDefault="00FC2B30" w:rsidP="00261C97">
            <w:r w:rsidRPr="00DC2914">
              <w:t xml:space="preserve">A person making an account application or seeking access cannot provide authenticating information beyond what would be found in a wallet or consumer credit </w:t>
            </w:r>
            <w:r w:rsidR="00CA5605" w:rsidRPr="00DC2914">
              <w:t>report or</w:t>
            </w:r>
            <w:r w:rsidRPr="00DC2914">
              <w:t xml:space="preserve"> cannot answer a challenge question. </w:t>
            </w:r>
          </w:p>
        </w:tc>
        <w:tc>
          <w:tcPr>
            <w:tcW w:w="5423" w:type="dxa"/>
          </w:tcPr>
          <w:p w14:paraId="70B88EDA" w14:textId="77777777" w:rsidR="00FC2B30" w:rsidRPr="00DC2914" w:rsidRDefault="00F24C70" w:rsidP="00261C97">
            <w:r w:rsidRPr="00DC2914">
              <w:t>S</w:t>
            </w:r>
            <w:r w:rsidR="00FC2B30" w:rsidRPr="00DC2914">
              <w:t xml:space="preserve">taff will authenticate identities for existing customers by asking challenge questions that have been prearranged with the customer and for applicants or customers by asking questions that require information beyond what is readily available from a wallet or a consumer credit report.  </w:t>
            </w:r>
            <w:r w:rsidR="002B714B" w:rsidRPr="00DC2914">
              <w:t xml:space="preserve">Such </w:t>
            </w:r>
            <w:r w:rsidR="00C64985" w:rsidRPr="00DC2914">
              <w:t xml:space="preserve">items </w:t>
            </w:r>
            <w:r w:rsidR="002B714B" w:rsidRPr="00DC2914">
              <w:t xml:space="preserve"> may include</w:t>
            </w:r>
          </w:p>
          <w:p w14:paraId="734D364E" w14:textId="77777777" w:rsidR="002B714B" w:rsidRPr="00DC2914" w:rsidRDefault="002B714B" w:rsidP="00261C97">
            <w:r w:rsidRPr="00DC2914">
              <w:t xml:space="preserve">1. </w:t>
            </w:r>
            <w:r w:rsidR="00C64985" w:rsidRPr="00DC2914">
              <w:t xml:space="preserve"> Their listed emergency contact person;</w:t>
            </w:r>
          </w:p>
          <w:p w14:paraId="74294AF0" w14:textId="77777777" w:rsidR="00C64985" w:rsidRPr="00DC2914" w:rsidRDefault="00C64985" w:rsidP="00261C97">
            <w:r w:rsidRPr="00DC2914">
              <w:t>2.  Where their account is held;</w:t>
            </w:r>
          </w:p>
          <w:p w14:paraId="6F2CDC16" w14:textId="77777777" w:rsidR="00C64985" w:rsidRPr="00DC2914" w:rsidRDefault="00C64985" w:rsidP="00C64985">
            <w:r w:rsidRPr="00DC2914">
              <w:t>3.  Any Company communication they could site recently received</w:t>
            </w:r>
            <w:r w:rsidR="007B6DF9" w:rsidRPr="00DC2914">
              <w:t>;</w:t>
            </w:r>
          </w:p>
          <w:p w14:paraId="27041E6C" w14:textId="77777777" w:rsidR="007B6DF9" w:rsidRPr="00DC2914" w:rsidRDefault="007B6DF9" w:rsidP="00C64985">
            <w:r w:rsidRPr="00DC2914">
              <w:t>4.  Any other questions that may be unique to that person(s).</w:t>
            </w:r>
          </w:p>
        </w:tc>
      </w:tr>
      <w:tr w:rsidR="00FC2B30" w:rsidRPr="00DC2914" w14:paraId="0E1A08B8" w14:textId="77777777" w:rsidTr="00FC2B30">
        <w:tc>
          <w:tcPr>
            <w:tcW w:w="9832" w:type="dxa"/>
            <w:gridSpan w:val="2"/>
            <w:shd w:val="clear" w:color="auto" w:fill="A6A6A6"/>
          </w:tcPr>
          <w:p w14:paraId="4E542B9D" w14:textId="77777777" w:rsidR="00FC2B30" w:rsidRPr="00DC2914" w:rsidRDefault="00FC2B30" w:rsidP="00261C97">
            <w:pPr>
              <w:jc w:val="center"/>
              <w:rPr>
                <w:b/>
              </w:rPr>
            </w:pPr>
            <w:r w:rsidRPr="00DC2914">
              <w:rPr>
                <w:b/>
              </w:rPr>
              <w:t xml:space="preserve">Category: Suspicious Account Activity </w:t>
            </w:r>
          </w:p>
        </w:tc>
      </w:tr>
      <w:tr w:rsidR="00FC2B30" w:rsidRPr="00DC2914" w14:paraId="576332E7" w14:textId="77777777" w:rsidTr="00261C97">
        <w:tc>
          <w:tcPr>
            <w:tcW w:w="4409" w:type="dxa"/>
          </w:tcPr>
          <w:p w14:paraId="17CD36CA" w14:textId="77777777" w:rsidR="00FC2B30" w:rsidRPr="00DC2914" w:rsidRDefault="00FC2B30" w:rsidP="00261C97">
            <w:r w:rsidRPr="00DC2914">
              <w:t xml:space="preserve">Soon after our firm gets a change of address request for an account, we are asked to add additional access means (such as debit cards or checks) or authorized users for the account. </w:t>
            </w:r>
          </w:p>
        </w:tc>
        <w:tc>
          <w:tcPr>
            <w:tcW w:w="5423" w:type="dxa"/>
          </w:tcPr>
          <w:p w14:paraId="36BBA2D9" w14:textId="77777777" w:rsidR="00FC2B30" w:rsidRPr="00DC2914" w:rsidRDefault="00F24C70" w:rsidP="00C64985">
            <w:r w:rsidRPr="00DC2914">
              <w:t>V</w:t>
            </w:r>
            <w:r w:rsidR="00FC2B30" w:rsidRPr="00DC2914">
              <w:t>erify change of address requests by sending a notice of the change to</w:t>
            </w:r>
            <w:r w:rsidR="00C64985" w:rsidRPr="00DC2914">
              <w:t xml:space="preserve"> the</w:t>
            </w:r>
            <w:r w:rsidR="00FC2B30" w:rsidRPr="00DC2914">
              <w:t xml:space="preserve"> old addresses so the customer will learn of any unauthorized changes and can notify us.  </w:t>
            </w:r>
            <w:r w:rsidR="00C64985" w:rsidRPr="00DC2914">
              <w:t>A phone call may also be necessary if suspect.</w:t>
            </w:r>
          </w:p>
        </w:tc>
      </w:tr>
      <w:tr w:rsidR="00FC2B30" w:rsidRPr="00DC2914" w14:paraId="57339758" w14:textId="77777777" w:rsidTr="00261C97">
        <w:tc>
          <w:tcPr>
            <w:tcW w:w="4409" w:type="dxa"/>
          </w:tcPr>
          <w:p w14:paraId="13A49A1E" w14:textId="77777777" w:rsidR="00FC2B30" w:rsidRPr="00DC2914" w:rsidRDefault="00FC2B30" w:rsidP="00E5556A">
            <w:r w:rsidRPr="00DC2914">
              <w:t>A new account exhibits fraud patterns, such as where a first payment is not made or</w:t>
            </w:r>
            <w:r w:rsidR="00E5556A" w:rsidRPr="00DC2914">
              <w:t xml:space="preserve"> only the first payment is made </w:t>
            </w:r>
            <w:r w:rsidRPr="00DC2914">
              <w:t xml:space="preserve">for cash advances and securities easily converted into cash. </w:t>
            </w:r>
          </w:p>
        </w:tc>
        <w:tc>
          <w:tcPr>
            <w:tcW w:w="5423" w:type="dxa"/>
          </w:tcPr>
          <w:p w14:paraId="2CB92E57" w14:textId="77777777" w:rsidR="00FC2B30" w:rsidRPr="00DC2914" w:rsidRDefault="00F24C70" w:rsidP="00F24C70">
            <w:r w:rsidRPr="00DC2914">
              <w:t>Re</w:t>
            </w:r>
            <w:r w:rsidR="00FC2B30" w:rsidRPr="00DC2914">
              <w:t xml:space="preserve">view new account activity to ensure that </w:t>
            </w:r>
            <w:r w:rsidR="00E5556A" w:rsidRPr="00DC2914">
              <w:t xml:space="preserve">any applicable </w:t>
            </w:r>
            <w:r w:rsidR="00FC2B30" w:rsidRPr="00DC2914">
              <w:t xml:space="preserve">first and subsequent payments are made, and that credit is primarily used for other than cash advances and securities easily converted into cash.  </w:t>
            </w:r>
          </w:p>
        </w:tc>
      </w:tr>
      <w:tr w:rsidR="00FC2B30" w:rsidRPr="00DC2914" w14:paraId="4EAD8539" w14:textId="77777777" w:rsidTr="00261C97">
        <w:tc>
          <w:tcPr>
            <w:tcW w:w="4409" w:type="dxa"/>
          </w:tcPr>
          <w:p w14:paraId="7141FFB4" w14:textId="77777777" w:rsidR="00FC2B30" w:rsidRPr="00DC2914" w:rsidRDefault="00FC2B30" w:rsidP="00261C97">
            <w:r w:rsidRPr="00DC2914">
              <w:lastRenderedPageBreak/>
              <w:t xml:space="preserve">An account develops new patterns of activity, such as nonpayment inconsistent with prior history, a material </w:t>
            </w:r>
            <w:proofErr w:type="gramStart"/>
            <w:r w:rsidRPr="00DC2914">
              <w:t>increase</w:t>
            </w:r>
            <w:proofErr w:type="gramEnd"/>
            <w:r w:rsidRPr="00DC2914">
              <w:t xml:space="preserve"> in credit use, or a material change in spending or electronic fund transfers. </w:t>
            </w:r>
          </w:p>
        </w:tc>
        <w:tc>
          <w:tcPr>
            <w:tcW w:w="5423" w:type="dxa"/>
          </w:tcPr>
          <w:p w14:paraId="0BFB9C72" w14:textId="77777777" w:rsidR="00FC2B30" w:rsidRPr="00DC2914" w:rsidRDefault="00C91875" w:rsidP="007D4EE8">
            <w:r w:rsidRPr="006D5CDF">
              <w:t>HTS</w:t>
            </w:r>
            <w:r w:rsidR="007D4EE8" w:rsidRPr="00151877">
              <w:t xml:space="preserve"> Cash Movement report (AML Trend Report) is viewed </w:t>
            </w:r>
            <w:r w:rsidR="00FC2B30" w:rsidRPr="00151877">
              <w:t xml:space="preserve">for </w:t>
            </w:r>
            <w:r w:rsidR="00FC2B30" w:rsidRPr="00DC2914">
              <w:t>suspicious new patterns of activity such as nonpayment, a large increase in credit use, or a big change in spending or electronic fund transfers</w:t>
            </w:r>
            <w:r w:rsidR="00E5556A" w:rsidRPr="00DC2914">
              <w:t xml:space="preserve"> that Company is not already aware of.</w:t>
            </w:r>
          </w:p>
        </w:tc>
      </w:tr>
      <w:tr w:rsidR="00FC2B30" w:rsidRPr="00DC2914" w14:paraId="39CAF055" w14:textId="77777777" w:rsidTr="00261C97">
        <w:tc>
          <w:tcPr>
            <w:tcW w:w="4409" w:type="dxa"/>
          </w:tcPr>
          <w:p w14:paraId="71DCC44E" w14:textId="77777777" w:rsidR="00FC2B30" w:rsidRPr="00DC2914" w:rsidRDefault="00FC2B30" w:rsidP="00261C97">
            <w:r w:rsidRPr="00DC2914">
              <w:t xml:space="preserve">An account that is inactive for a long time is suddenly used again.  </w:t>
            </w:r>
          </w:p>
        </w:tc>
        <w:tc>
          <w:tcPr>
            <w:tcW w:w="5423" w:type="dxa"/>
          </w:tcPr>
          <w:p w14:paraId="3D63D40E" w14:textId="77777777" w:rsidR="00FC2B30" w:rsidRPr="00DC2914" w:rsidRDefault="00F24C70" w:rsidP="00E5556A">
            <w:r w:rsidRPr="00DC2914">
              <w:t>R</w:t>
            </w:r>
            <w:r w:rsidR="00FC2B30" w:rsidRPr="00DC2914">
              <w:t>eview our accounts on at least a monthly basis to see if long inactive accounts become very active</w:t>
            </w:r>
            <w:r w:rsidR="00E5556A" w:rsidRPr="00DC2914">
              <w:t xml:space="preserve"> by reviewing the blotters.</w:t>
            </w:r>
          </w:p>
        </w:tc>
      </w:tr>
      <w:tr w:rsidR="00FC2B30" w:rsidRPr="00DC2914" w14:paraId="0728A464" w14:textId="77777777" w:rsidTr="00261C97">
        <w:tc>
          <w:tcPr>
            <w:tcW w:w="4409" w:type="dxa"/>
          </w:tcPr>
          <w:p w14:paraId="3972BF27" w14:textId="77777777" w:rsidR="00FC2B30" w:rsidRPr="00DC2914" w:rsidRDefault="00FC2B30" w:rsidP="00261C97">
            <w:r w:rsidRPr="00DC2914">
              <w:t xml:space="preserve">Mail our firm sends to a customer is returned repeatedly as undeliverable even though the account remains active.  </w:t>
            </w:r>
          </w:p>
        </w:tc>
        <w:tc>
          <w:tcPr>
            <w:tcW w:w="5423" w:type="dxa"/>
          </w:tcPr>
          <w:p w14:paraId="021BFF95" w14:textId="77777777" w:rsidR="00FC2B30" w:rsidRPr="00DC2914" w:rsidRDefault="00F24C70" w:rsidP="00E5556A">
            <w:r w:rsidRPr="00DC2914">
              <w:t>N</w:t>
            </w:r>
            <w:r w:rsidR="00FC2B30" w:rsidRPr="00DC2914">
              <w:t>ote any returned mail for an account and immediately check the account’s activity</w:t>
            </w:r>
            <w:r w:rsidR="00E5556A" w:rsidRPr="00DC2914">
              <w:t xml:space="preserve"> and attempt to contact customer for address verification.</w:t>
            </w:r>
          </w:p>
        </w:tc>
      </w:tr>
      <w:tr w:rsidR="00FC2B30" w:rsidRPr="00DC2914" w14:paraId="12B6C416" w14:textId="77777777" w:rsidTr="00261C97">
        <w:tc>
          <w:tcPr>
            <w:tcW w:w="4409" w:type="dxa"/>
          </w:tcPr>
          <w:p w14:paraId="3D3738B8" w14:textId="77777777" w:rsidR="00FC2B30" w:rsidRPr="00DC2914" w:rsidRDefault="000B07B0" w:rsidP="00261C97">
            <w:r>
              <w:t>Company</w:t>
            </w:r>
            <w:r w:rsidR="00FC2B30" w:rsidRPr="00DC2914">
              <w:t xml:space="preserve"> learn</w:t>
            </w:r>
            <w:r>
              <w:t>s</w:t>
            </w:r>
            <w:r w:rsidR="00FC2B30" w:rsidRPr="00DC2914">
              <w:t xml:space="preserve"> that a customer is not getting his or her paper account statements.</w:t>
            </w:r>
          </w:p>
        </w:tc>
        <w:tc>
          <w:tcPr>
            <w:tcW w:w="5423" w:type="dxa"/>
          </w:tcPr>
          <w:p w14:paraId="0A87B1A5" w14:textId="77777777" w:rsidR="00FC2B30" w:rsidRPr="00DC2914" w:rsidRDefault="00F24C70" w:rsidP="00C91875">
            <w:r w:rsidRPr="00DC2914">
              <w:t>I</w:t>
            </w:r>
            <w:r w:rsidR="006639CF" w:rsidRPr="00DC2914">
              <w:t xml:space="preserve">nvestigate and assist custody firm to determine a good address.  For </w:t>
            </w:r>
            <w:r w:rsidR="00C91875" w:rsidRPr="006D5CDF">
              <w:t>HTS</w:t>
            </w:r>
            <w:r w:rsidR="006639CF" w:rsidRPr="006D5CDF">
              <w:t xml:space="preserve"> </w:t>
            </w:r>
            <w:r w:rsidR="006639CF" w:rsidRPr="00DC2914">
              <w:t>accounts, they are moved to Inactive and to the Escheatment Report (to be turned over to the state treasurer</w:t>
            </w:r>
            <w:r w:rsidR="00221E86">
              <w:t>)</w:t>
            </w:r>
            <w:r w:rsidR="006639CF" w:rsidRPr="00DC2914">
              <w:t>.</w:t>
            </w:r>
          </w:p>
        </w:tc>
      </w:tr>
      <w:tr w:rsidR="00FC2B30" w:rsidRPr="00DC2914" w14:paraId="4E7013A7" w14:textId="77777777" w:rsidTr="00261C97">
        <w:tc>
          <w:tcPr>
            <w:tcW w:w="4409" w:type="dxa"/>
          </w:tcPr>
          <w:p w14:paraId="088D3BDD" w14:textId="77777777" w:rsidR="00FC2B30" w:rsidRPr="00DC2914" w:rsidRDefault="000B07B0" w:rsidP="00261C97">
            <w:r>
              <w:t>Company is</w:t>
            </w:r>
            <w:r w:rsidR="00FC2B30" w:rsidRPr="00DC2914">
              <w:t xml:space="preserve"> notified that there are unauthorized charges or transactions to the account.</w:t>
            </w:r>
          </w:p>
          <w:p w14:paraId="2D3E45C8" w14:textId="77777777" w:rsidR="00143DF7" w:rsidRPr="00DC2914" w:rsidRDefault="00143DF7" w:rsidP="00261C97"/>
        </w:tc>
        <w:tc>
          <w:tcPr>
            <w:tcW w:w="5423" w:type="dxa"/>
          </w:tcPr>
          <w:p w14:paraId="4907E1D9" w14:textId="77777777" w:rsidR="00FC2B30" w:rsidRPr="00DC2914" w:rsidRDefault="00F24C70" w:rsidP="00F24C70">
            <w:r w:rsidRPr="00DC2914">
              <w:t>V</w:t>
            </w:r>
            <w:r w:rsidR="00FC2B30" w:rsidRPr="00DC2914">
              <w:t xml:space="preserve">erify if the notification is legitimate and involves a </w:t>
            </w:r>
            <w:r w:rsidRPr="00DC2914">
              <w:t>Company</w:t>
            </w:r>
            <w:r w:rsidR="00FC2B30" w:rsidRPr="00DC2914">
              <w:t xml:space="preserve"> account, and then investigate the report.  </w:t>
            </w:r>
          </w:p>
        </w:tc>
      </w:tr>
      <w:tr w:rsidR="00FC2B30" w:rsidRPr="00DC2914" w14:paraId="1A2E009F" w14:textId="77777777" w:rsidTr="00FC2B30">
        <w:tc>
          <w:tcPr>
            <w:tcW w:w="9832" w:type="dxa"/>
            <w:gridSpan w:val="2"/>
            <w:shd w:val="clear" w:color="auto" w:fill="A6A6A6"/>
          </w:tcPr>
          <w:p w14:paraId="3CAED4FF" w14:textId="77777777" w:rsidR="00FC2B30" w:rsidRPr="00DC2914" w:rsidRDefault="00FC2B30" w:rsidP="00261C97">
            <w:pPr>
              <w:jc w:val="center"/>
              <w:rPr>
                <w:b/>
              </w:rPr>
            </w:pPr>
            <w:r w:rsidRPr="00DC2914">
              <w:rPr>
                <w:b/>
              </w:rPr>
              <w:t xml:space="preserve">Category: Notice </w:t>
            </w:r>
            <w:r w:rsidR="00320166">
              <w:rPr>
                <w:b/>
              </w:rPr>
              <w:t>f</w:t>
            </w:r>
            <w:r w:rsidRPr="00DC2914">
              <w:rPr>
                <w:b/>
              </w:rPr>
              <w:t>rom Other Sources</w:t>
            </w:r>
          </w:p>
        </w:tc>
      </w:tr>
      <w:tr w:rsidR="00FC2B30" w:rsidRPr="00DC2914" w14:paraId="07A1EC41" w14:textId="77777777" w:rsidTr="00261C97">
        <w:tc>
          <w:tcPr>
            <w:tcW w:w="4409" w:type="dxa"/>
          </w:tcPr>
          <w:p w14:paraId="71DAA043" w14:textId="77777777" w:rsidR="00FC2B30" w:rsidRPr="00DC2914" w:rsidRDefault="000B07B0" w:rsidP="00261C97">
            <w:r>
              <w:t>Company is</w:t>
            </w:r>
            <w:r w:rsidR="00FC2B30" w:rsidRPr="00DC2914">
              <w:t xml:space="preserve"> told that an account has been opened or used fraudulently by a customer, an identity theft victim, or law enforcement.  </w:t>
            </w:r>
          </w:p>
        </w:tc>
        <w:tc>
          <w:tcPr>
            <w:tcW w:w="5423" w:type="dxa"/>
          </w:tcPr>
          <w:p w14:paraId="6B4315A3" w14:textId="77777777" w:rsidR="00FC2B30" w:rsidRPr="00DC2914" w:rsidRDefault="00F24C70" w:rsidP="00E24124">
            <w:r w:rsidRPr="00DC2914">
              <w:t>V</w:t>
            </w:r>
            <w:r w:rsidR="00FC2B30" w:rsidRPr="00DC2914">
              <w:t xml:space="preserve">erify that the notification is legitimate and involves a </w:t>
            </w:r>
            <w:r w:rsidR="00250685" w:rsidRPr="00DC2914">
              <w:t xml:space="preserve">Company </w:t>
            </w:r>
            <w:r w:rsidR="00FC2B30" w:rsidRPr="00DC2914">
              <w:t>account, and then investigate the report</w:t>
            </w:r>
            <w:r w:rsidR="00250685" w:rsidRPr="00DC2914">
              <w:t xml:space="preserve"> and follow the escalation procedures.</w:t>
            </w:r>
          </w:p>
        </w:tc>
      </w:tr>
      <w:tr w:rsidR="00FC2B30" w:rsidRPr="00DC2914" w14:paraId="0C23A91F" w14:textId="77777777" w:rsidTr="00261C97">
        <w:tc>
          <w:tcPr>
            <w:tcW w:w="4409" w:type="dxa"/>
          </w:tcPr>
          <w:p w14:paraId="69F12B97" w14:textId="77777777" w:rsidR="00FC2B30" w:rsidRPr="00DC2914" w:rsidRDefault="000B07B0" w:rsidP="00261C97">
            <w:r>
              <w:t>Company</w:t>
            </w:r>
            <w:r w:rsidR="00FC2B30" w:rsidRPr="00DC2914">
              <w:t xml:space="preserve"> learn</w:t>
            </w:r>
            <w:r>
              <w:t>s</w:t>
            </w:r>
            <w:r w:rsidR="00FC2B30" w:rsidRPr="00DC2914">
              <w:t xml:space="preserve"> that unauthorized access to the customer’s personal information took place or became likely due to data loss (e.g., loss of wallet, birth certificate, or laptop), leakage, or breach.</w:t>
            </w:r>
          </w:p>
        </w:tc>
        <w:tc>
          <w:tcPr>
            <w:tcW w:w="5423" w:type="dxa"/>
          </w:tcPr>
          <w:p w14:paraId="64221F9D" w14:textId="77777777" w:rsidR="00FC2B30" w:rsidRPr="00DC2914" w:rsidRDefault="00F24C70" w:rsidP="00E24124">
            <w:pPr>
              <w:rPr>
                <w:i/>
              </w:rPr>
            </w:pPr>
            <w:r w:rsidRPr="00DC2914">
              <w:t>C</w:t>
            </w:r>
            <w:r w:rsidR="00FC2B30" w:rsidRPr="00DC2914">
              <w:t>ontact the customer to learn the details of the unauthorized access to determine if other steps are warranted</w:t>
            </w:r>
            <w:r w:rsidR="00E24124" w:rsidRPr="00DC2914">
              <w:t xml:space="preserve"> and any other escalation procedures that m</w:t>
            </w:r>
            <w:r w:rsidR="00234DDC" w:rsidRPr="00DC2914">
              <w:t>a</w:t>
            </w:r>
            <w:r w:rsidR="00E24124" w:rsidRPr="00DC2914">
              <w:t>y be applicable.</w:t>
            </w:r>
          </w:p>
        </w:tc>
      </w:tr>
    </w:tbl>
    <w:p w14:paraId="4F1BD0FE" w14:textId="77777777" w:rsidR="00FC2B30" w:rsidRPr="00FC2B30" w:rsidRDefault="00FC2B30" w:rsidP="00FC2B30">
      <w:pPr>
        <w:ind w:left="360"/>
        <w:rPr>
          <w:color w:val="FF0000"/>
          <w:sz w:val="24"/>
          <w:szCs w:val="24"/>
        </w:rPr>
      </w:pPr>
    </w:p>
    <w:p w14:paraId="792D8C18" w14:textId="77777777" w:rsidR="00FC2B30" w:rsidRPr="00FC2B30" w:rsidRDefault="00FC2B30" w:rsidP="00FC2B30"/>
    <w:p w14:paraId="63645D2B" w14:textId="77777777" w:rsidR="00926C07" w:rsidRDefault="00042B5F" w:rsidP="00936FEE">
      <w:pPr>
        <w:pStyle w:val="Heading2"/>
      </w:pPr>
      <w:r>
        <w:t>6.</w:t>
      </w:r>
      <w:r w:rsidR="008E1D96">
        <w:t>5</w:t>
      </w:r>
      <w:r>
        <w:t xml:space="preserve"> Training</w:t>
      </w:r>
      <w:r w:rsidR="006E5F40" w:rsidRPr="00E66294">
        <w:t xml:space="preserve">  </w:t>
      </w:r>
    </w:p>
    <w:p w14:paraId="1C571C8E" w14:textId="77777777" w:rsidR="006E5F40" w:rsidRPr="003335B8" w:rsidRDefault="006E5F40" w:rsidP="008E1D96">
      <w:pPr>
        <w:tabs>
          <w:tab w:val="num" w:pos="360"/>
        </w:tabs>
        <w:rPr>
          <w:sz w:val="24"/>
          <w:szCs w:val="24"/>
        </w:rPr>
      </w:pPr>
      <w:r w:rsidRPr="00E66294">
        <w:rPr>
          <w:sz w:val="24"/>
          <w:szCs w:val="24"/>
        </w:rPr>
        <w:t xml:space="preserve">At a minimum, annual training will be conducted for all Associated Persons and related staff members in order to familiarize Company personnel on the </w:t>
      </w:r>
      <w:r w:rsidR="008E1D96">
        <w:rPr>
          <w:sz w:val="24"/>
          <w:szCs w:val="24"/>
        </w:rPr>
        <w:t xml:space="preserve">Privacy </w:t>
      </w:r>
      <w:r w:rsidRPr="00E66294">
        <w:rPr>
          <w:sz w:val="24"/>
          <w:szCs w:val="24"/>
        </w:rPr>
        <w:t xml:space="preserve">procedures and Red Flags </w:t>
      </w:r>
      <w:r w:rsidR="008E1D96">
        <w:rPr>
          <w:sz w:val="24"/>
          <w:szCs w:val="24"/>
        </w:rPr>
        <w:t>Rules,</w:t>
      </w:r>
      <w:r w:rsidRPr="00E66294">
        <w:rPr>
          <w:sz w:val="24"/>
          <w:szCs w:val="24"/>
        </w:rPr>
        <w:t xml:space="preserve"> ho</w:t>
      </w:r>
      <w:r w:rsidR="008E1D96">
        <w:rPr>
          <w:sz w:val="24"/>
          <w:szCs w:val="24"/>
        </w:rPr>
        <w:t>w to effectively implement the p</w:t>
      </w:r>
      <w:r w:rsidRPr="00E66294">
        <w:rPr>
          <w:sz w:val="24"/>
          <w:szCs w:val="24"/>
        </w:rPr>
        <w:t>rogram</w:t>
      </w:r>
      <w:r w:rsidR="008E1D96">
        <w:rPr>
          <w:sz w:val="24"/>
          <w:szCs w:val="24"/>
        </w:rPr>
        <w:t>s</w:t>
      </w:r>
      <w:r w:rsidRPr="00E66294">
        <w:rPr>
          <w:sz w:val="24"/>
          <w:szCs w:val="24"/>
        </w:rPr>
        <w:t>, and provide an opportunity to answer questions.  Any training will be documented along with an attendance log and maintained</w:t>
      </w:r>
      <w:r>
        <w:rPr>
          <w:color w:val="FF0000"/>
          <w:sz w:val="24"/>
          <w:szCs w:val="24"/>
        </w:rPr>
        <w:t xml:space="preserve"> </w:t>
      </w:r>
      <w:r w:rsidRPr="003335B8">
        <w:rPr>
          <w:sz w:val="24"/>
          <w:szCs w:val="24"/>
        </w:rPr>
        <w:t>as part of the Company’s books and records for a period of three years unless mandated otherwise by the Act.</w:t>
      </w:r>
    </w:p>
    <w:p w14:paraId="54EF3692" w14:textId="77777777" w:rsidR="006E5F40" w:rsidRPr="003335B8" w:rsidRDefault="006E5F40" w:rsidP="008E1D96">
      <w:pPr>
        <w:tabs>
          <w:tab w:val="num" w:pos="360"/>
        </w:tabs>
        <w:rPr>
          <w:sz w:val="24"/>
        </w:rPr>
      </w:pPr>
    </w:p>
    <w:p w14:paraId="780D67B6" w14:textId="77777777" w:rsidR="00E60F67" w:rsidRDefault="00926C07" w:rsidP="00936FEE">
      <w:pPr>
        <w:pStyle w:val="Heading2"/>
      </w:pPr>
      <w:r>
        <w:t>6.</w:t>
      </w:r>
      <w:r w:rsidR="008E1D96">
        <w:t>6</w:t>
      </w:r>
      <w:r>
        <w:t xml:space="preserve"> </w:t>
      </w:r>
      <w:r w:rsidR="006E5F40" w:rsidRPr="003335B8">
        <w:t xml:space="preserve">Review of Procedures  </w:t>
      </w:r>
    </w:p>
    <w:p w14:paraId="3550A7CE" w14:textId="77777777" w:rsidR="006E5F40" w:rsidRPr="003335B8" w:rsidRDefault="00926C07" w:rsidP="008E1D96">
      <w:pPr>
        <w:rPr>
          <w:sz w:val="24"/>
        </w:rPr>
      </w:pPr>
      <w:r>
        <w:rPr>
          <w:sz w:val="24"/>
        </w:rPr>
        <w:t>A</w:t>
      </w:r>
      <w:r w:rsidR="006E5F40" w:rsidRPr="003335B8">
        <w:rPr>
          <w:sz w:val="24"/>
        </w:rPr>
        <w:t xml:space="preserve"> review of th</w:t>
      </w:r>
      <w:r w:rsidR="008E1D96">
        <w:rPr>
          <w:sz w:val="24"/>
        </w:rPr>
        <w:t>ese</w:t>
      </w:r>
      <w:r w:rsidR="006E5F40" w:rsidRPr="003335B8">
        <w:rPr>
          <w:sz w:val="24"/>
        </w:rPr>
        <w:t xml:space="preserve"> program</w:t>
      </w:r>
      <w:r w:rsidR="008E1D96">
        <w:rPr>
          <w:sz w:val="24"/>
        </w:rPr>
        <w:t>s</w:t>
      </w:r>
      <w:r w:rsidR="006E5F40" w:rsidRPr="003335B8">
        <w:rPr>
          <w:sz w:val="24"/>
        </w:rPr>
        <w:t xml:space="preserve"> will be conducted at least annually or sooner if determined necessary.  Any changes in risk to customers and/or the</w:t>
      </w:r>
      <w:r w:rsidR="008E1D96">
        <w:rPr>
          <w:sz w:val="24"/>
        </w:rPr>
        <w:t xml:space="preserve"> soundness of the Company from breaches of customer information </w:t>
      </w:r>
      <w:r w:rsidR="006E5F40" w:rsidRPr="003335B8">
        <w:rPr>
          <w:sz w:val="24"/>
        </w:rPr>
        <w:t xml:space="preserve">will be determined and recorded as an amendment.  Criteria for consideration will include any incidences of </w:t>
      </w:r>
      <w:r w:rsidR="008E1D96">
        <w:rPr>
          <w:sz w:val="24"/>
        </w:rPr>
        <w:t xml:space="preserve">breaches, </w:t>
      </w:r>
      <w:r w:rsidR="006E5F40" w:rsidRPr="003335B8">
        <w:rPr>
          <w:sz w:val="24"/>
        </w:rPr>
        <w:t>identity theft, changes in regulatory rules and regulations, changes in Company’s methods to detect, prevent, or mitigate identity theft, or changes in types of Covered Accounts.</w:t>
      </w:r>
    </w:p>
    <w:p w14:paraId="724258E2" w14:textId="77777777" w:rsidR="00B21A4F" w:rsidRDefault="00B21A4F" w:rsidP="008E1D96">
      <w:pPr>
        <w:pStyle w:val="BodyText"/>
        <w:spacing w:before="0" w:after="0"/>
      </w:pPr>
    </w:p>
    <w:p w14:paraId="7258EC8D" w14:textId="77777777" w:rsidR="003D216B" w:rsidRDefault="006E5F40" w:rsidP="003D216B">
      <w:pPr>
        <w:pStyle w:val="BodyTextIndent"/>
        <w:tabs>
          <w:tab w:val="clear" w:pos="1800"/>
          <w:tab w:val="left" w:pos="0"/>
        </w:tabs>
        <w:ind w:left="0" w:firstLine="0"/>
      </w:pPr>
      <w:r>
        <w:br w:type="page"/>
      </w:r>
    </w:p>
    <w:p w14:paraId="5877CDB0" w14:textId="77777777" w:rsidR="003D216B" w:rsidRDefault="003D216B" w:rsidP="003D216B">
      <w:pPr>
        <w:pStyle w:val="Heading1"/>
        <w:pBdr>
          <w:top w:val="double" w:sz="12" w:space="1" w:color="000099"/>
          <w:left w:val="double" w:sz="12" w:space="4" w:color="000099"/>
          <w:bottom w:val="double" w:sz="12" w:space="1" w:color="000099"/>
          <w:right w:val="double" w:sz="12" w:space="4" w:color="000099"/>
        </w:pBdr>
        <w:shd w:val="pct10" w:color="0000FF" w:fill="auto"/>
        <w:jc w:val="center"/>
      </w:pPr>
    </w:p>
    <w:p w14:paraId="071ACB82" w14:textId="77777777" w:rsidR="003D216B" w:rsidRDefault="003D216B" w:rsidP="003D216B">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105" w:name="AML"/>
      <w:bookmarkStart w:id="106" w:name="_Toc227820420"/>
      <w:bookmarkStart w:id="107" w:name="_Toc227821702"/>
      <w:bookmarkStart w:id="108" w:name="_Toc227821821"/>
      <w:bookmarkStart w:id="109" w:name="_Toc535916172"/>
      <w:bookmarkEnd w:id="105"/>
      <w:r>
        <w:t>7.</w:t>
      </w:r>
      <w:r w:rsidR="00FE3A30">
        <w:t xml:space="preserve">   </w:t>
      </w:r>
      <w:r>
        <w:t>ANTI-MONEY</w:t>
      </w:r>
      <w:r w:rsidRPr="003609A0">
        <w:t xml:space="preserve"> </w:t>
      </w:r>
      <w:r>
        <w:t>LAUNDERING</w:t>
      </w:r>
      <w:bookmarkEnd w:id="106"/>
      <w:bookmarkEnd w:id="107"/>
      <w:bookmarkEnd w:id="108"/>
      <w:bookmarkEnd w:id="109"/>
    </w:p>
    <w:p w14:paraId="29FDE34A" w14:textId="77777777" w:rsidR="003D216B" w:rsidRDefault="003D216B" w:rsidP="003D216B">
      <w:pPr>
        <w:pStyle w:val="Heading1"/>
        <w:pBdr>
          <w:top w:val="double" w:sz="12" w:space="1" w:color="000099"/>
          <w:left w:val="double" w:sz="12" w:space="4" w:color="000099"/>
          <w:bottom w:val="double" w:sz="12" w:space="1" w:color="000099"/>
          <w:right w:val="double" w:sz="12" w:space="4" w:color="000099"/>
        </w:pBdr>
        <w:shd w:val="pct10" w:color="0000FF" w:fill="auto"/>
        <w:jc w:val="center"/>
      </w:pPr>
      <w:r>
        <w:t xml:space="preserve"> </w:t>
      </w:r>
    </w:p>
    <w:p w14:paraId="0C05560B" w14:textId="77777777" w:rsidR="003D216B" w:rsidRDefault="003D216B" w:rsidP="003D216B">
      <w:pPr>
        <w:rPr>
          <w:b/>
          <w:sz w:val="24"/>
        </w:rPr>
      </w:pPr>
    </w:p>
    <w:p w14:paraId="43C29466" w14:textId="77777777" w:rsidR="003D216B" w:rsidRDefault="003D216B" w:rsidP="003D216B">
      <w:pPr>
        <w:rPr>
          <w:b/>
          <w:sz w:val="24"/>
        </w:rPr>
      </w:pPr>
    </w:p>
    <w:p w14:paraId="1AC3F3EF" w14:textId="77777777" w:rsidR="003D216B" w:rsidRPr="00E60F67" w:rsidRDefault="003D216B" w:rsidP="00936FEE">
      <w:pPr>
        <w:pStyle w:val="Heading2"/>
      </w:pPr>
      <w:r w:rsidRPr="00E60F67">
        <w:t>7.1   Introduction</w:t>
      </w:r>
    </w:p>
    <w:p w14:paraId="6A71DA5C" w14:textId="77777777" w:rsidR="003D216B" w:rsidRPr="00C220B0" w:rsidRDefault="001D2CB6" w:rsidP="003D216B">
      <w:pPr>
        <w:rPr>
          <w:b/>
          <w:sz w:val="24"/>
          <w:szCs w:val="24"/>
        </w:rPr>
      </w:pPr>
      <w:r w:rsidRPr="001D2CB6">
        <w:rPr>
          <w:color w:val="000000"/>
          <w:sz w:val="24"/>
          <w:szCs w:val="24"/>
        </w:rPr>
        <w:t xml:space="preserve">This chapter explains </w:t>
      </w:r>
      <w:r w:rsidR="008F65A6">
        <w:rPr>
          <w:color w:val="000000"/>
          <w:sz w:val="24"/>
          <w:szCs w:val="24"/>
        </w:rPr>
        <w:t>Company’s</w:t>
      </w:r>
      <w:r w:rsidRPr="001D2CB6">
        <w:rPr>
          <w:color w:val="000000"/>
          <w:sz w:val="24"/>
          <w:szCs w:val="24"/>
        </w:rPr>
        <w:t xml:space="preserve"> Anti-Money Laundering (AML) Program</w:t>
      </w:r>
      <w:r w:rsidR="008F65A6">
        <w:rPr>
          <w:color w:val="000000"/>
          <w:sz w:val="24"/>
          <w:szCs w:val="24"/>
        </w:rPr>
        <w:t xml:space="preserve"> with a</w:t>
      </w:r>
      <w:r w:rsidRPr="001D2CB6">
        <w:rPr>
          <w:color w:val="000000"/>
          <w:sz w:val="24"/>
          <w:szCs w:val="24"/>
        </w:rPr>
        <w:t>n explanation of money laundering and guidance for all employees to detect money laundering</w:t>
      </w:r>
      <w:r w:rsidR="008F65A6">
        <w:rPr>
          <w:color w:val="000000"/>
          <w:sz w:val="24"/>
          <w:szCs w:val="24"/>
        </w:rPr>
        <w:t xml:space="preserve">.  </w:t>
      </w:r>
      <w:r w:rsidR="008F65A6" w:rsidRPr="00C220B0">
        <w:rPr>
          <w:sz w:val="24"/>
          <w:szCs w:val="24"/>
        </w:rPr>
        <w:t>These policies and procedures will be updated when new rules are adopted or amended.</w:t>
      </w:r>
    </w:p>
    <w:p w14:paraId="2CD2E0A7" w14:textId="77777777" w:rsidR="003D216B" w:rsidRDefault="003D216B" w:rsidP="003D216B">
      <w:pPr>
        <w:jc w:val="both"/>
        <w:rPr>
          <w:sz w:val="24"/>
          <w:szCs w:val="24"/>
        </w:rPr>
      </w:pPr>
    </w:p>
    <w:p w14:paraId="3101295B" w14:textId="77777777" w:rsidR="001D2CB6" w:rsidRPr="001D2CB6" w:rsidRDefault="001D2CB6" w:rsidP="003D216B">
      <w:pPr>
        <w:jc w:val="both"/>
        <w:rPr>
          <w:sz w:val="24"/>
          <w:szCs w:val="24"/>
        </w:rPr>
      </w:pPr>
    </w:p>
    <w:p w14:paraId="149C54DD" w14:textId="77777777" w:rsidR="003D216B" w:rsidRPr="00E60F67" w:rsidRDefault="003D216B" w:rsidP="00936FEE">
      <w:pPr>
        <w:pStyle w:val="Heading2"/>
      </w:pPr>
      <w:r w:rsidRPr="00E60F67">
        <w:t>7.2   Compliance Chart</w:t>
      </w:r>
    </w:p>
    <w:tbl>
      <w:tblPr>
        <w:tblW w:w="5554" w:type="pct"/>
        <w:tblCellSpacing w:w="0" w:type="dxa"/>
        <w:tblInd w:w="-75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25"/>
        <w:gridCol w:w="8274"/>
      </w:tblGrid>
      <w:tr w:rsidR="003D216B" w:rsidRPr="00727573" w14:paraId="246A51D0" w14:textId="77777777">
        <w:trPr>
          <w:tblCellSpacing w:w="0" w:type="dxa"/>
        </w:trPr>
        <w:tc>
          <w:tcPr>
            <w:tcW w:w="983" w:type="pct"/>
            <w:tcBorders>
              <w:top w:val="outset" w:sz="6" w:space="0" w:color="auto"/>
              <w:left w:val="outset" w:sz="6" w:space="0" w:color="auto"/>
              <w:bottom w:val="outset" w:sz="6" w:space="0" w:color="auto"/>
              <w:right w:val="outset" w:sz="6" w:space="0" w:color="auto"/>
            </w:tcBorders>
            <w:vAlign w:val="center"/>
          </w:tcPr>
          <w:p w14:paraId="4C705CBB" w14:textId="77777777" w:rsidR="003D216B" w:rsidRPr="00727573" w:rsidRDefault="003D216B" w:rsidP="003D216B">
            <w:pPr>
              <w:jc w:val="center"/>
              <w:rPr>
                <w:b/>
                <w:bCs/>
                <w:spacing w:val="8"/>
                <w:sz w:val="24"/>
                <w:szCs w:val="24"/>
              </w:rPr>
            </w:pPr>
            <w:r w:rsidRPr="00727573">
              <w:rPr>
                <w:b/>
                <w:bCs/>
                <w:spacing w:val="8"/>
                <w:sz w:val="24"/>
                <w:szCs w:val="24"/>
              </w:rPr>
              <w:t>Responsibility</w:t>
            </w:r>
          </w:p>
        </w:tc>
        <w:tc>
          <w:tcPr>
            <w:tcW w:w="4017" w:type="pct"/>
            <w:tcBorders>
              <w:top w:val="outset" w:sz="6" w:space="0" w:color="auto"/>
              <w:left w:val="outset" w:sz="6" w:space="0" w:color="auto"/>
              <w:bottom w:val="outset" w:sz="6" w:space="0" w:color="auto"/>
              <w:right w:val="outset" w:sz="6" w:space="0" w:color="auto"/>
            </w:tcBorders>
            <w:vAlign w:val="center"/>
          </w:tcPr>
          <w:p w14:paraId="0DA23F7D" w14:textId="77777777" w:rsidR="003D216B" w:rsidRPr="00727573" w:rsidRDefault="00B310FD" w:rsidP="00C1728B">
            <w:pPr>
              <w:numPr>
                <w:ilvl w:val="0"/>
                <w:numId w:val="76"/>
              </w:numPr>
              <w:rPr>
                <w:spacing w:val="8"/>
                <w:sz w:val="24"/>
                <w:szCs w:val="24"/>
              </w:rPr>
            </w:pPr>
            <w:r w:rsidRPr="00727573">
              <w:rPr>
                <w:spacing w:val="8"/>
                <w:sz w:val="24"/>
                <w:szCs w:val="24"/>
              </w:rPr>
              <w:t xml:space="preserve">Morris Monroe - </w:t>
            </w:r>
            <w:r w:rsidR="003D216B" w:rsidRPr="00727573">
              <w:rPr>
                <w:spacing w:val="8"/>
                <w:sz w:val="24"/>
                <w:szCs w:val="24"/>
              </w:rPr>
              <w:t>AML Compliance Officer</w:t>
            </w:r>
            <w:r w:rsidR="00A52EDF">
              <w:rPr>
                <w:spacing w:val="8"/>
                <w:sz w:val="24"/>
                <w:szCs w:val="24"/>
              </w:rPr>
              <w:t xml:space="preserve">, </w:t>
            </w:r>
            <w:r w:rsidR="00254BAC" w:rsidRPr="002C26F2">
              <w:rPr>
                <w:spacing w:val="8"/>
                <w:sz w:val="24"/>
                <w:szCs w:val="24"/>
              </w:rPr>
              <w:t>Branch Office</w:t>
            </w:r>
            <w:r w:rsidR="00A52EDF" w:rsidRPr="002C26F2">
              <w:rPr>
                <w:spacing w:val="8"/>
                <w:sz w:val="24"/>
                <w:szCs w:val="24"/>
              </w:rPr>
              <w:t xml:space="preserve"> Principals, Compliance </w:t>
            </w:r>
            <w:r w:rsidR="00254BAC" w:rsidRPr="002C26F2">
              <w:rPr>
                <w:spacing w:val="8"/>
                <w:sz w:val="24"/>
                <w:szCs w:val="24"/>
              </w:rPr>
              <w:t>Department</w:t>
            </w:r>
          </w:p>
        </w:tc>
      </w:tr>
      <w:tr w:rsidR="001D2CB6" w:rsidRPr="00727573" w14:paraId="275E451B" w14:textId="77777777">
        <w:trPr>
          <w:tblCellSpacing w:w="0" w:type="dxa"/>
        </w:trPr>
        <w:tc>
          <w:tcPr>
            <w:tcW w:w="983" w:type="pct"/>
            <w:tcBorders>
              <w:top w:val="outset" w:sz="6" w:space="0" w:color="auto"/>
              <w:left w:val="outset" w:sz="6" w:space="0" w:color="auto"/>
              <w:bottom w:val="outset" w:sz="6" w:space="0" w:color="auto"/>
              <w:right w:val="outset" w:sz="6" w:space="0" w:color="auto"/>
            </w:tcBorders>
            <w:vAlign w:val="center"/>
          </w:tcPr>
          <w:p w14:paraId="1DD16345" w14:textId="77777777" w:rsidR="001D2CB6" w:rsidRPr="00727573" w:rsidRDefault="001D2CB6" w:rsidP="003D216B">
            <w:pPr>
              <w:jc w:val="center"/>
              <w:rPr>
                <w:b/>
                <w:bCs/>
                <w:spacing w:val="8"/>
                <w:sz w:val="24"/>
                <w:szCs w:val="24"/>
              </w:rPr>
            </w:pPr>
            <w:r w:rsidRPr="00727573">
              <w:rPr>
                <w:b/>
                <w:bCs/>
                <w:spacing w:val="8"/>
                <w:sz w:val="24"/>
                <w:szCs w:val="24"/>
              </w:rPr>
              <w:t>Statutes</w:t>
            </w:r>
          </w:p>
        </w:tc>
        <w:tc>
          <w:tcPr>
            <w:tcW w:w="4017" w:type="pct"/>
            <w:tcBorders>
              <w:top w:val="outset" w:sz="6" w:space="0" w:color="auto"/>
              <w:left w:val="outset" w:sz="6" w:space="0" w:color="auto"/>
              <w:bottom w:val="outset" w:sz="6" w:space="0" w:color="auto"/>
              <w:right w:val="outset" w:sz="6" w:space="0" w:color="auto"/>
            </w:tcBorders>
            <w:vAlign w:val="center"/>
          </w:tcPr>
          <w:p w14:paraId="04DA0538" w14:textId="77777777" w:rsidR="00B310FD" w:rsidRPr="00727573" w:rsidRDefault="00B310FD" w:rsidP="00C1728B">
            <w:pPr>
              <w:numPr>
                <w:ilvl w:val="0"/>
                <w:numId w:val="77"/>
              </w:numPr>
              <w:rPr>
                <w:spacing w:val="8"/>
                <w:sz w:val="24"/>
                <w:szCs w:val="24"/>
              </w:rPr>
            </w:pPr>
            <w:r w:rsidRPr="00727573">
              <w:rPr>
                <w:spacing w:val="8"/>
                <w:sz w:val="24"/>
                <w:szCs w:val="24"/>
              </w:rPr>
              <w:t>US Patriot Act</w:t>
            </w:r>
          </w:p>
          <w:p w14:paraId="3B06DCD5" w14:textId="77777777" w:rsidR="00B0292A" w:rsidRPr="00727573" w:rsidRDefault="00B0292A" w:rsidP="00C1728B">
            <w:pPr>
              <w:numPr>
                <w:ilvl w:val="0"/>
                <w:numId w:val="77"/>
              </w:numPr>
              <w:rPr>
                <w:spacing w:val="8"/>
                <w:sz w:val="24"/>
                <w:szCs w:val="24"/>
              </w:rPr>
            </w:pPr>
            <w:r w:rsidRPr="00727573">
              <w:rPr>
                <w:spacing w:val="8"/>
                <w:sz w:val="24"/>
                <w:szCs w:val="24"/>
              </w:rPr>
              <w:t>SEC Rule 17a-8</w:t>
            </w:r>
          </w:p>
          <w:p w14:paraId="1152A6A8" w14:textId="77777777" w:rsidR="006D05EC" w:rsidRPr="00727573" w:rsidRDefault="006D05EC" w:rsidP="00C1728B">
            <w:pPr>
              <w:numPr>
                <w:ilvl w:val="0"/>
                <w:numId w:val="77"/>
              </w:numPr>
              <w:rPr>
                <w:spacing w:val="8"/>
                <w:sz w:val="24"/>
                <w:szCs w:val="24"/>
              </w:rPr>
            </w:pPr>
            <w:r w:rsidRPr="00727573">
              <w:rPr>
                <w:spacing w:val="8"/>
                <w:sz w:val="24"/>
                <w:szCs w:val="24"/>
              </w:rPr>
              <w:t>Bank Secrecy Act</w:t>
            </w:r>
          </w:p>
          <w:p w14:paraId="2AD03541" w14:textId="77777777" w:rsidR="00B310FD" w:rsidRPr="00EE021C" w:rsidRDefault="00B310FD" w:rsidP="00C1728B">
            <w:pPr>
              <w:numPr>
                <w:ilvl w:val="0"/>
                <w:numId w:val="77"/>
              </w:numPr>
              <w:rPr>
                <w:spacing w:val="8"/>
                <w:sz w:val="24"/>
                <w:szCs w:val="24"/>
              </w:rPr>
            </w:pPr>
            <w:r w:rsidRPr="00727573">
              <w:rPr>
                <w:sz w:val="24"/>
                <w:szCs w:val="24"/>
              </w:rPr>
              <w:t xml:space="preserve">FINRA Rules </w:t>
            </w:r>
            <w:r w:rsidR="00D66F80" w:rsidRPr="00727573">
              <w:rPr>
                <w:sz w:val="24"/>
                <w:szCs w:val="24"/>
              </w:rPr>
              <w:t xml:space="preserve">3310 (old </w:t>
            </w:r>
            <w:r w:rsidRPr="00727573">
              <w:rPr>
                <w:sz w:val="24"/>
                <w:szCs w:val="24"/>
              </w:rPr>
              <w:t>1160 and 3011(d) - AML Compliance Officer</w:t>
            </w:r>
            <w:r w:rsidR="00D66F80" w:rsidRPr="00727573">
              <w:rPr>
                <w:sz w:val="24"/>
                <w:szCs w:val="24"/>
              </w:rPr>
              <w:t>, 3</w:t>
            </w:r>
            <w:r w:rsidRPr="00727573">
              <w:rPr>
                <w:sz w:val="24"/>
                <w:szCs w:val="24"/>
              </w:rPr>
              <w:t>011(c) – Testing</w:t>
            </w:r>
          </w:p>
          <w:p w14:paraId="1097B743" w14:textId="77777777" w:rsidR="00EE021C" w:rsidRPr="00727573" w:rsidRDefault="00EE021C" w:rsidP="00C1728B">
            <w:pPr>
              <w:numPr>
                <w:ilvl w:val="0"/>
                <w:numId w:val="77"/>
              </w:numPr>
              <w:rPr>
                <w:spacing w:val="8"/>
                <w:sz w:val="24"/>
                <w:szCs w:val="24"/>
              </w:rPr>
            </w:pPr>
            <w:r w:rsidRPr="003B437B">
              <w:rPr>
                <w:sz w:val="24"/>
                <w:szCs w:val="24"/>
              </w:rPr>
              <w:t xml:space="preserve">FinCEN Customer Due Diligence Rule for Financial Institutions </w:t>
            </w:r>
            <w:r w:rsidRPr="003B437B">
              <w:t>(</w:t>
            </w:r>
            <w:proofErr w:type="gramStart"/>
            <w:r w:rsidRPr="003B437B">
              <w:t>eff</w:t>
            </w:r>
            <w:proofErr w:type="gramEnd"/>
            <w:r w:rsidRPr="003B437B">
              <w:t xml:space="preserve"> 05/11/18)</w:t>
            </w:r>
          </w:p>
        </w:tc>
      </w:tr>
      <w:tr w:rsidR="003D216B" w:rsidRPr="00727573" w14:paraId="6F09DFEE" w14:textId="77777777">
        <w:trPr>
          <w:tblCellSpacing w:w="0" w:type="dxa"/>
        </w:trPr>
        <w:tc>
          <w:tcPr>
            <w:tcW w:w="983" w:type="pct"/>
            <w:tcBorders>
              <w:top w:val="outset" w:sz="6" w:space="0" w:color="auto"/>
              <w:left w:val="outset" w:sz="6" w:space="0" w:color="auto"/>
              <w:bottom w:val="outset" w:sz="6" w:space="0" w:color="auto"/>
              <w:right w:val="outset" w:sz="6" w:space="0" w:color="auto"/>
            </w:tcBorders>
            <w:vAlign w:val="center"/>
          </w:tcPr>
          <w:p w14:paraId="668DE663" w14:textId="77777777" w:rsidR="003D216B" w:rsidRPr="00727573" w:rsidRDefault="003D216B" w:rsidP="003D216B">
            <w:pPr>
              <w:jc w:val="center"/>
              <w:rPr>
                <w:b/>
                <w:bCs/>
                <w:spacing w:val="8"/>
                <w:sz w:val="24"/>
                <w:szCs w:val="24"/>
              </w:rPr>
            </w:pPr>
            <w:r w:rsidRPr="00727573">
              <w:rPr>
                <w:b/>
                <w:bCs/>
                <w:spacing w:val="8"/>
                <w:sz w:val="24"/>
                <w:szCs w:val="24"/>
              </w:rPr>
              <w:t>Frequency</w:t>
            </w:r>
          </w:p>
        </w:tc>
        <w:tc>
          <w:tcPr>
            <w:tcW w:w="4017" w:type="pct"/>
            <w:tcBorders>
              <w:top w:val="outset" w:sz="6" w:space="0" w:color="auto"/>
              <w:left w:val="outset" w:sz="6" w:space="0" w:color="auto"/>
              <w:bottom w:val="outset" w:sz="6" w:space="0" w:color="auto"/>
              <w:right w:val="outset" w:sz="6" w:space="0" w:color="auto"/>
            </w:tcBorders>
            <w:vAlign w:val="center"/>
          </w:tcPr>
          <w:p w14:paraId="6CCC4C0A" w14:textId="77777777" w:rsidR="002115F5" w:rsidRPr="00727573" w:rsidRDefault="002115F5" w:rsidP="00C1728B">
            <w:pPr>
              <w:numPr>
                <w:ilvl w:val="0"/>
                <w:numId w:val="77"/>
              </w:numPr>
              <w:rPr>
                <w:spacing w:val="8"/>
                <w:sz w:val="24"/>
                <w:szCs w:val="24"/>
              </w:rPr>
            </w:pPr>
            <w:r w:rsidRPr="00727573">
              <w:rPr>
                <w:spacing w:val="8"/>
                <w:sz w:val="24"/>
                <w:szCs w:val="24"/>
              </w:rPr>
              <w:t>As required</w:t>
            </w:r>
          </w:p>
          <w:p w14:paraId="748E00EF" w14:textId="77777777" w:rsidR="00294125" w:rsidRPr="00727573" w:rsidRDefault="00294125" w:rsidP="00C1728B">
            <w:pPr>
              <w:numPr>
                <w:ilvl w:val="0"/>
                <w:numId w:val="77"/>
              </w:numPr>
              <w:rPr>
                <w:spacing w:val="8"/>
                <w:sz w:val="24"/>
                <w:szCs w:val="24"/>
              </w:rPr>
            </w:pPr>
            <w:r w:rsidRPr="00727573">
              <w:rPr>
                <w:spacing w:val="8"/>
                <w:sz w:val="24"/>
                <w:szCs w:val="24"/>
              </w:rPr>
              <w:t>When new accounts are opened</w:t>
            </w:r>
          </w:p>
          <w:p w14:paraId="06C6C0D9" w14:textId="77777777" w:rsidR="00294125" w:rsidRPr="00727573" w:rsidRDefault="00294125" w:rsidP="00C1728B">
            <w:pPr>
              <w:numPr>
                <w:ilvl w:val="0"/>
                <w:numId w:val="77"/>
              </w:numPr>
              <w:rPr>
                <w:spacing w:val="8"/>
                <w:sz w:val="24"/>
                <w:szCs w:val="24"/>
              </w:rPr>
            </w:pPr>
            <w:r w:rsidRPr="00727573">
              <w:rPr>
                <w:spacing w:val="8"/>
                <w:sz w:val="24"/>
                <w:szCs w:val="24"/>
              </w:rPr>
              <w:t>When addresses change</w:t>
            </w:r>
          </w:p>
          <w:p w14:paraId="11E0E73A" w14:textId="77777777" w:rsidR="003D216B" w:rsidRPr="00727573" w:rsidRDefault="003D216B" w:rsidP="00C1728B">
            <w:pPr>
              <w:numPr>
                <w:ilvl w:val="0"/>
                <w:numId w:val="77"/>
              </w:numPr>
              <w:rPr>
                <w:spacing w:val="8"/>
                <w:sz w:val="24"/>
                <w:szCs w:val="24"/>
              </w:rPr>
            </w:pPr>
            <w:r w:rsidRPr="00727573">
              <w:rPr>
                <w:spacing w:val="8"/>
                <w:sz w:val="24"/>
                <w:szCs w:val="24"/>
              </w:rPr>
              <w:t>Annual - schedule, conduct, and follow up testing (unless firm qualifies for testing every two years)</w:t>
            </w:r>
          </w:p>
          <w:p w14:paraId="7C135DDB" w14:textId="77777777" w:rsidR="008330AA" w:rsidRPr="00727573" w:rsidRDefault="008330AA" w:rsidP="00C1728B">
            <w:pPr>
              <w:numPr>
                <w:ilvl w:val="0"/>
                <w:numId w:val="77"/>
              </w:numPr>
              <w:rPr>
                <w:spacing w:val="8"/>
                <w:sz w:val="24"/>
                <w:szCs w:val="24"/>
              </w:rPr>
            </w:pPr>
            <w:r w:rsidRPr="00727573">
              <w:rPr>
                <w:spacing w:val="8"/>
                <w:sz w:val="24"/>
                <w:szCs w:val="24"/>
              </w:rPr>
              <w:t>Annual AML Contact info with FINRA</w:t>
            </w:r>
          </w:p>
          <w:p w14:paraId="0E0486D5" w14:textId="77777777" w:rsidR="008330AA" w:rsidRPr="00727573" w:rsidRDefault="008330AA" w:rsidP="00C1728B">
            <w:pPr>
              <w:numPr>
                <w:ilvl w:val="0"/>
                <w:numId w:val="77"/>
              </w:numPr>
              <w:rPr>
                <w:spacing w:val="8"/>
                <w:sz w:val="24"/>
                <w:szCs w:val="24"/>
              </w:rPr>
            </w:pPr>
            <w:r w:rsidRPr="00727573">
              <w:rPr>
                <w:spacing w:val="8"/>
                <w:sz w:val="24"/>
                <w:szCs w:val="24"/>
              </w:rPr>
              <w:t>Ongoing – monitor activity</w:t>
            </w:r>
          </w:p>
          <w:p w14:paraId="5EB55EFC" w14:textId="77777777" w:rsidR="008330AA" w:rsidRPr="00727573" w:rsidRDefault="008330AA" w:rsidP="00C1728B">
            <w:pPr>
              <w:numPr>
                <w:ilvl w:val="0"/>
                <w:numId w:val="77"/>
              </w:numPr>
              <w:rPr>
                <w:spacing w:val="8"/>
                <w:sz w:val="24"/>
                <w:szCs w:val="24"/>
              </w:rPr>
            </w:pPr>
            <w:r w:rsidRPr="00727573">
              <w:rPr>
                <w:spacing w:val="8"/>
                <w:sz w:val="24"/>
                <w:szCs w:val="24"/>
              </w:rPr>
              <w:t>Ongoing – review new regulations</w:t>
            </w:r>
          </w:p>
        </w:tc>
      </w:tr>
      <w:tr w:rsidR="003D216B" w:rsidRPr="00727573" w14:paraId="3BA81AE6" w14:textId="77777777">
        <w:trPr>
          <w:tblCellSpacing w:w="0" w:type="dxa"/>
        </w:trPr>
        <w:tc>
          <w:tcPr>
            <w:tcW w:w="983" w:type="pct"/>
            <w:tcBorders>
              <w:top w:val="outset" w:sz="6" w:space="0" w:color="auto"/>
              <w:left w:val="outset" w:sz="6" w:space="0" w:color="auto"/>
              <w:bottom w:val="outset" w:sz="6" w:space="0" w:color="auto"/>
              <w:right w:val="outset" w:sz="6" w:space="0" w:color="auto"/>
            </w:tcBorders>
            <w:vAlign w:val="center"/>
          </w:tcPr>
          <w:p w14:paraId="68E0AD5D" w14:textId="77777777" w:rsidR="003D216B" w:rsidRPr="00727573" w:rsidRDefault="003D216B" w:rsidP="003D216B">
            <w:pPr>
              <w:jc w:val="center"/>
              <w:rPr>
                <w:b/>
                <w:bCs/>
                <w:spacing w:val="8"/>
                <w:sz w:val="24"/>
                <w:szCs w:val="24"/>
              </w:rPr>
            </w:pPr>
            <w:r w:rsidRPr="00727573">
              <w:rPr>
                <w:b/>
                <w:bCs/>
                <w:spacing w:val="8"/>
                <w:sz w:val="24"/>
                <w:szCs w:val="24"/>
              </w:rPr>
              <w:t>Action</w:t>
            </w:r>
            <w:r w:rsidR="002D12DF" w:rsidRPr="00727573">
              <w:rPr>
                <w:b/>
                <w:bCs/>
                <w:spacing w:val="8"/>
                <w:sz w:val="24"/>
                <w:szCs w:val="24"/>
              </w:rPr>
              <w:t>s</w:t>
            </w:r>
          </w:p>
        </w:tc>
        <w:tc>
          <w:tcPr>
            <w:tcW w:w="4017" w:type="pct"/>
            <w:tcBorders>
              <w:top w:val="outset" w:sz="6" w:space="0" w:color="auto"/>
              <w:left w:val="outset" w:sz="6" w:space="0" w:color="auto"/>
              <w:bottom w:val="outset" w:sz="6" w:space="0" w:color="auto"/>
              <w:right w:val="outset" w:sz="6" w:space="0" w:color="auto"/>
            </w:tcBorders>
            <w:vAlign w:val="center"/>
          </w:tcPr>
          <w:p w14:paraId="0E67A506" w14:textId="77777777" w:rsidR="008330AA" w:rsidRPr="00727573" w:rsidRDefault="008330AA" w:rsidP="00C1728B">
            <w:pPr>
              <w:numPr>
                <w:ilvl w:val="0"/>
                <w:numId w:val="80"/>
              </w:numPr>
              <w:rPr>
                <w:spacing w:val="8"/>
                <w:sz w:val="24"/>
                <w:szCs w:val="24"/>
              </w:rPr>
            </w:pPr>
            <w:r w:rsidRPr="00727573">
              <w:rPr>
                <w:spacing w:val="8"/>
                <w:sz w:val="24"/>
                <w:szCs w:val="24"/>
              </w:rPr>
              <w:t xml:space="preserve">Develop and maintain anti-money laundering program </w:t>
            </w:r>
          </w:p>
          <w:p w14:paraId="3932A1A9" w14:textId="77777777" w:rsidR="008330AA" w:rsidRPr="003B437B" w:rsidRDefault="008330AA" w:rsidP="00C1728B">
            <w:pPr>
              <w:numPr>
                <w:ilvl w:val="0"/>
                <w:numId w:val="80"/>
              </w:numPr>
              <w:rPr>
                <w:spacing w:val="8"/>
                <w:sz w:val="24"/>
                <w:szCs w:val="24"/>
              </w:rPr>
            </w:pPr>
            <w:r w:rsidRPr="00727573">
              <w:rPr>
                <w:spacing w:val="8"/>
                <w:sz w:val="24"/>
                <w:szCs w:val="24"/>
              </w:rPr>
              <w:t xml:space="preserve">Obtain senior management approval for the program and any changes to the program </w:t>
            </w:r>
          </w:p>
          <w:p w14:paraId="667098FF" w14:textId="77777777" w:rsidR="00AD0440" w:rsidRPr="003B437B" w:rsidRDefault="00AD0440" w:rsidP="003E7B18">
            <w:pPr>
              <w:numPr>
                <w:ilvl w:val="0"/>
                <w:numId w:val="320"/>
              </w:numPr>
              <w:rPr>
                <w:sz w:val="24"/>
                <w:szCs w:val="24"/>
              </w:rPr>
            </w:pPr>
            <w:r w:rsidRPr="003B437B">
              <w:rPr>
                <w:sz w:val="24"/>
                <w:szCs w:val="24"/>
              </w:rPr>
              <w:t>Customer identification (ID) verification information is included with the new account application</w:t>
            </w:r>
            <w:r w:rsidR="00957FB8" w:rsidRPr="003B437B">
              <w:rPr>
                <w:sz w:val="24"/>
                <w:szCs w:val="24"/>
              </w:rPr>
              <w:t xml:space="preserve"> forms</w:t>
            </w:r>
          </w:p>
          <w:p w14:paraId="08AA6F38" w14:textId="77777777" w:rsidR="00AD0440" w:rsidRPr="003B437B" w:rsidRDefault="00AD0440" w:rsidP="003E7B18">
            <w:pPr>
              <w:numPr>
                <w:ilvl w:val="0"/>
                <w:numId w:val="320"/>
              </w:numPr>
              <w:rPr>
                <w:sz w:val="24"/>
                <w:szCs w:val="24"/>
              </w:rPr>
            </w:pPr>
            <w:r w:rsidRPr="003B437B">
              <w:rPr>
                <w:sz w:val="24"/>
                <w:szCs w:val="24"/>
              </w:rPr>
              <w:t xml:space="preserve">For legal entities: </w:t>
            </w:r>
          </w:p>
          <w:p w14:paraId="0D795F22" w14:textId="77777777" w:rsidR="00AD0440" w:rsidRPr="003B437B" w:rsidRDefault="00AD0440" w:rsidP="00C1728B">
            <w:pPr>
              <w:numPr>
                <w:ilvl w:val="1"/>
                <w:numId w:val="80"/>
              </w:numPr>
              <w:rPr>
                <w:spacing w:val="8"/>
                <w:sz w:val="24"/>
                <w:szCs w:val="24"/>
              </w:rPr>
            </w:pPr>
            <w:r w:rsidRPr="003B437B">
              <w:rPr>
                <w:sz w:val="24"/>
                <w:szCs w:val="24"/>
              </w:rPr>
              <w:t xml:space="preserve">Obtain beneficial ownership certifications </w:t>
            </w:r>
          </w:p>
          <w:p w14:paraId="04436024" w14:textId="77777777" w:rsidR="00AD0440" w:rsidRPr="003B437B" w:rsidRDefault="00AD0440" w:rsidP="00C1728B">
            <w:pPr>
              <w:numPr>
                <w:ilvl w:val="1"/>
                <w:numId w:val="80"/>
              </w:numPr>
              <w:rPr>
                <w:spacing w:val="8"/>
                <w:sz w:val="24"/>
                <w:szCs w:val="24"/>
              </w:rPr>
            </w:pPr>
            <w:r w:rsidRPr="003B437B">
              <w:rPr>
                <w:sz w:val="24"/>
                <w:szCs w:val="24"/>
              </w:rPr>
              <w:t>Determine whether a threshold lower than 25% ownership is warranted depending on the customer's risk for potential enhanced monitoring or to collect additional information including expected account activity</w:t>
            </w:r>
          </w:p>
          <w:p w14:paraId="27CBEED1" w14:textId="77777777" w:rsidR="008330AA" w:rsidRPr="00727573" w:rsidRDefault="008330AA" w:rsidP="00C1728B">
            <w:pPr>
              <w:numPr>
                <w:ilvl w:val="0"/>
                <w:numId w:val="80"/>
              </w:numPr>
              <w:rPr>
                <w:spacing w:val="8"/>
                <w:sz w:val="24"/>
                <w:szCs w:val="24"/>
              </w:rPr>
            </w:pPr>
            <w:r w:rsidRPr="00727573">
              <w:rPr>
                <w:spacing w:val="8"/>
                <w:sz w:val="24"/>
                <w:szCs w:val="24"/>
              </w:rPr>
              <w:t xml:space="preserve">Monitor (or designate monitoring) the activity of Company, Associated Persons, and customers to reasonably detect and prevent money laundering activities </w:t>
            </w:r>
          </w:p>
          <w:p w14:paraId="55958212" w14:textId="77777777" w:rsidR="008330AA" w:rsidRPr="00727573" w:rsidRDefault="008330AA" w:rsidP="00C1728B">
            <w:pPr>
              <w:numPr>
                <w:ilvl w:val="0"/>
                <w:numId w:val="80"/>
              </w:numPr>
              <w:rPr>
                <w:spacing w:val="8"/>
                <w:sz w:val="24"/>
                <w:szCs w:val="24"/>
              </w:rPr>
            </w:pPr>
            <w:r w:rsidRPr="00727573">
              <w:rPr>
                <w:spacing w:val="8"/>
                <w:sz w:val="24"/>
                <w:szCs w:val="24"/>
              </w:rPr>
              <w:t xml:space="preserve">Develop AML education program for employees and schedule training </w:t>
            </w:r>
          </w:p>
          <w:p w14:paraId="63ABC494" w14:textId="77777777" w:rsidR="0039018C" w:rsidRPr="002C26F2" w:rsidRDefault="008330AA" w:rsidP="00C1728B">
            <w:pPr>
              <w:numPr>
                <w:ilvl w:val="0"/>
                <w:numId w:val="80"/>
              </w:numPr>
              <w:rPr>
                <w:spacing w:val="8"/>
                <w:sz w:val="24"/>
                <w:szCs w:val="24"/>
              </w:rPr>
            </w:pPr>
            <w:r w:rsidRPr="00727573">
              <w:rPr>
                <w:spacing w:val="8"/>
                <w:sz w:val="24"/>
                <w:szCs w:val="24"/>
              </w:rPr>
              <w:t>File required reports</w:t>
            </w:r>
          </w:p>
          <w:p w14:paraId="4FA14C03" w14:textId="77777777" w:rsidR="0039018C" w:rsidRPr="002C26F2" w:rsidRDefault="0039018C" w:rsidP="00C1728B">
            <w:pPr>
              <w:numPr>
                <w:ilvl w:val="0"/>
                <w:numId w:val="80"/>
              </w:numPr>
              <w:spacing w:before="100" w:beforeAutospacing="1" w:after="100" w:afterAutospacing="1"/>
              <w:rPr>
                <w:sz w:val="24"/>
                <w:szCs w:val="24"/>
              </w:rPr>
            </w:pPr>
            <w:r w:rsidRPr="002C26F2">
              <w:rPr>
                <w:sz w:val="24"/>
                <w:szCs w:val="24"/>
              </w:rPr>
              <w:t>Maintain the confidentiality of SAR reviews and filings:</w:t>
            </w:r>
          </w:p>
          <w:p w14:paraId="79EDFEA8" w14:textId="77777777" w:rsidR="0039018C" w:rsidRPr="002C26F2" w:rsidRDefault="0039018C" w:rsidP="00C1728B">
            <w:pPr>
              <w:numPr>
                <w:ilvl w:val="1"/>
                <w:numId w:val="80"/>
              </w:numPr>
              <w:spacing w:before="100" w:beforeAutospacing="1" w:after="100" w:afterAutospacing="1"/>
              <w:rPr>
                <w:sz w:val="24"/>
                <w:szCs w:val="24"/>
              </w:rPr>
            </w:pPr>
            <w:r w:rsidRPr="002C26F2">
              <w:rPr>
                <w:sz w:val="24"/>
                <w:szCs w:val="24"/>
              </w:rPr>
              <w:lastRenderedPageBreak/>
              <w:t>Limit the sharing of information to those authorized and need to know</w:t>
            </w:r>
          </w:p>
          <w:p w14:paraId="3A4F5EA1" w14:textId="77777777" w:rsidR="0039018C" w:rsidRPr="002C26F2" w:rsidRDefault="0039018C" w:rsidP="00C1728B">
            <w:pPr>
              <w:numPr>
                <w:ilvl w:val="1"/>
                <w:numId w:val="80"/>
              </w:numPr>
              <w:spacing w:before="100" w:beforeAutospacing="1" w:after="100" w:afterAutospacing="1"/>
              <w:rPr>
                <w:sz w:val="24"/>
                <w:szCs w:val="24"/>
              </w:rPr>
            </w:pPr>
            <w:r w:rsidRPr="002C26F2">
              <w:rPr>
                <w:sz w:val="24"/>
                <w:szCs w:val="24"/>
              </w:rPr>
              <w:t>Electronic files should be password-protected and use a file name that does not identify files as SARs-related</w:t>
            </w:r>
          </w:p>
          <w:p w14:paraId="11EE1A09" w14:textId="77777777" w:rsidR="0039018C" w:rsidRPr="002C26F2" w:rsidRDefault="0039018C" w:rsidP="00C1728B">
            <w:pPr>
              <w:numPr>
                <w:ilvl w:val="1"/>
                <w:numId w:val="80"/>
              </w:numPr>
              <w:spacing w:before="100" w:beforeAutospacing="1" w:after="100" w:afterAutospacing="1"/>
              <w:rPr>
                <w:sz w:val="24"/>
                <w:szCs w:val="24"/>
              </w:rPr>
            </w:pPr>
            <w:r w:rsidRPr="002C26F2">
              <w:rPr>
                <w:sz w:val="24"/>
                <w:szCs w:val="24"/>
              </w:rPr>
              <w:t>Destroy copies of SARs when retention periods have pas</w:t>
            </w:r>
            <w:r w:rsidR="00692D0B">
              <w:rPr>
                <w:sz w:val="24"/>
                <w:szCs w:val="24"/>
              </w:rPr>
              <w:t>s</w:t>
            </w:r>
            <w:r w:rsidR="007D17F4" w:rsidRPr="002C26F2">
              <w:rPr>
                <w:sz w:val="24"/>
                <w:szCs w:val="24"/>
              </w:rPr>
              <w:t>ed</w:t>
            </w:r>
          </w:p>
          <w:p w14:paraId="7669930C" w14:textId="77777777" w:rsidR="0039018C" w:rsidRPr="002C26F2" w:rsidRDefault="0039018C" w:rsidP="00C1728B">
            <w:pPr>
              <w:numPr>
                <w:ilvl w:val="1"/>
                <w:numId w:val="80"/>
              </w:numPr>
              <w:spacing w:before="100" w:beforeAutospacing="1" w:after="100" w:afterAutospacing="1"/>
              <w:rPr>
                <w:sz w:val="24"/>
                <w:szCs w:val="24"/>
              </w:rPr>
            </w:pPr>
            <w:r w:rsidRPr="002C26F2">
              <w:rPr>
                <w:sz w:val="24"/>
                <w:szCs w:val="24"/>
              </w:rPr>
              <w:t>Confer with counsel or other outside expert regarding confidentiality quest</w:t>
            </w:r>
            <w:r w:rsidR="00692D0B">
              <w:rPr>
                <w:sz w:val="24"/>
                <w:szCs w:val="24"/>
              </w:rPr>
              <w:t>i</w:t>
            </w:r>
            <w:r w:rsidRPr="002C26F2">
              <w:rPr>
                <w:sz w:val="24"/>
                <w:szCs w:val="24"/>
              </w:rPr>
              <w:t>ons.</w:t>
            </w:r>
          </w:p>
          <w:p w14:paraId="4B3B3403" w14:textId="77777777" w:rsidR="008330AA" w:rsidRPr="00727573" w:rsidRDefault="008330AA" w:rsidP="00C1728B">
            <w:pPr>
              <w:numPr>
                <w:ilvl w:val="0"/>
                <w:numId w:val="80"/>
              </w:numPr>
              <w:rPr>
                <w:spacing w:val="8"/>
                <w:sz w:val="24"/>
                <w:szCs w:val="24"/>
              </w:rPr>
            </w:pPr>
            <w:r w:rsidRPr="00727573">
              <w:rPr>
                <w:spacing w:val="8"/>
                <w:sz w:val="24"/>
                <w:szCs w:val="24"/>
              </w:rPr>
              <w:t xml:space="preserve">Retain required records </w:t>
            </w:r>
          </w:p>
          <w:p w14:paraId="39472C49" w14:textId="77777777" w:rsidR="008330AA" w:rsidRPr="00727573" w:rsidRDefault="008330AA" w:rsidP="00C1728B">
            <w:pPr>
              <w:numPr>
                <w:ilvl w:val="0"/>
                <w:numId w:val="80"/>
              </w:numPr>
              <w:rPr>
                <w:spacing w:val="8"/>
                <w:sz w:val="24"/>
                <w:szCs w:val="24"/>
              </w:rPr>
            </w:pPr>
            <w:r w:rsidRPr="00727573">
              <w:rPr>
                <w:spacing w:val="8"/>
                <w:sz w:val="24"/>
                <w:szCs w:val="24"/>
              </w:rPr>
              <w:t>Provide contact information to FINRA and update contact information if necessary</w:t>
            </w:r>
          </w:p>
          <w:p w14:paraId="7A7AB426" w14:textId="77777777" w:rsidR="00890445" w:rsidRPr="00727573" w:rsidRDefault="00890445" w:rsidP="00C1728B">
            <w:pPr>
              <w:numPr>
                <w:ilvl w:val="0"/>
                <w:numId w:val="80"/>
              </w:numPr>
              <w:rPr>
                <w:spacing w:val="8"/>
                <w:sz w:val="24"/>
                <w:szCs w:val="24"/>
              </w:rPr>
            </w:pPr>
            <w:r w:rsidRPr="00727573">
              <w:rPr>
                <w:spacing w:val="8"/>
                <w:sz w:val="24"/>
                <w:szCs w:val="24"/>
              </w:rPr>
              <w:t xml:space="preserve">Notify supervisor and RR, as appropriate, when an account or security is blocked </w:t>
            </w:r>
          </w:p>
          <w:p w14:paraId="505E0885" w14:textId="77777777" w:rsidR="00890445" w:rsidRPr="00727573" w:rsidRDefault="00890445" w:rsidP="00C1728B">
            <w:pPr>
              <w:numPr>
                <w:ilvl w:val="0"/>
                <w:numId w:val="80"/>
              </w:numPr>
              <w:rPr>
                <w:spacing w:val="8"/>
                <w:sz w:val="24"/>
                <w:szCs w:val="24"/>
              </w:rPr>
            </w:pPr>
            <w:r w:rsidRPr="00727573">
              <w:rPr>
                <w:spacing w:val="8"/>
                <w:sz w:val="24"/>
                <w:szCs w:val="24"/>
              </w:rPr>
              <w:t xml:space="preserve">Notify OFAC by FAX within 10 days of blocking an account (clearing firm or other third party engaged by Woodlands Securities Corp will make filings where appropriate) </w:t>
            </w:r>
          </w:p>
          <w:p w14:paraId="4279B3C1" w14:textId="77777777" w:rsidR="005A0604" w:rsidRPr="003B437B" w:rsidRDefault="00890445" w:rsidP="00C1728B">
            <w:pPr>
              <w:numPr>
                <w:ilvl w:val="0"/>
                <w:numId w:val="80"/>
              </w:numPr>
              <w:rPr>
                <w:sz w:val="24"/>
                <w:szCs w:val="24"/>
              </w:rPr>
            </w:pPr>
            <w:r w:rsidRPr="005A0604">
              <w:rPr>
                <w:spacing w:val="8"/>
                <w:sz w:val="24"/>
                <w:szCs w:val="24"/>
              </w:rPr>
              <w:t>Identify risk factors and determine whether heightened scrutiny is warranted</w:t>
            </w:r>
            <w:r w:rsidR="005A0604" w:rsidRPr="005A0604">
              <w:rPr>
                <w:spacing w:val="8"/>
                <w:sz w:val="24"/>
                <w:szCs w:val="24"/>
              </w:rPr>
              <w:t xml:space="preserve"> </w:t>
            </w:r>
          </w:p>
          <w:p w14:paraId="51F1B9FF" w14:textId="77777777" w:rsidR="005A0604" w:rsidRPr="003B437B" w:rsidRDefault="005A0604" w:rsidP="00C1728B">
            <w:pPr>
              <w:numPr>
                <w:ilvl w:val="0"/>
                <w:numId w:val="80"/>
              </w:numPr>
              <w:rPr>
                <w:sz w:val="24"/>
                <w:szCs w:val="24"/>
              </w:rPr>
            </w:pPr>
            <w:r w:rsidRPr="003B437B">
              <w:rPr>
                <w:spacing w:val="8"/>
                <w:sz w:val="24"/>
                <w:szCs w:val="24"/>
              </w:rPr>
              <w:t>Review FinCEN advisories  and i</w:t>
            </w:r>
            <w:r w:rsidRPr="003B437B">
              <w:rPr>
                <w:sz w:val="24"/>
                <w:szCs w:val="24"/>
              </w:rPr>
              <w:t>nclude FinCEN red flags in suspicious activity identification</w:t>
            </w:r>
          </w:p>
          <w:p w14:paraId="41793F08" w14:textId="77777777" w:rsidR="003D216B" w:rsidRPr="00727573" w:rsidRDefault="003D216B" w:rsidP="00C1728B">
            <w:pPr>
              <w:numPr>
                <w:ilvl w:val="0"/>
                <w:numId w:val="80"/>
              </w:numPr>
              <w:rPr>
                <w:spacing w:val="8"/>
                <w:sz w:val="24"/>
                <w:szCs w:val="24"/>
              </w:rPr>
            </w:pPr>
            <w:r w:rsidRPr="00727573">
              <w:rPr>
                <w:spacing w:val="8"/>
                <w:sz w:val="24"/>
                <w:szCs w:val="24"/>
              </w:rPr>
              <w:t xml:space="preserve">Identify person(s) to conduct testing </w:t>
            </w:r>
          </w:p>
          <w:p w14:paraId="6373F61D" w14:textId="77777777" w:rsidR="003D216B" w:rsidRPr="00727573" w:rsidRDefault="003D216B" w:rsidP="00C1728B">
            <w:pPr>
              <w:numPr>
                <w:ilvl w:val="0"/>
                <w:numId w:val="80"/>
              </w:numPr>
              <w:rPr>
                <w:spacing w:val="8"/>
                <w:sz w:val="24"/>
                <w:szCs w:val="24"/>
              </w:rPr>
            </w:pPr>
            <w:r w:rsidRPr="00727573">
              <w:rPr>
                <w:spacing w:val="8"/>
                <w:sz w:val="24"/>
                <w:szCs w:val="24"/>
              </w:rPr>
              <w:t xml:space="preserve">Conduct testing </w:t>
            </w:r>
          </w:p>
          <w:p w14:paraId="72B59910" w14:textId="77777777" w:rsidR="003D216B" w:rsidRPr="00727573" w:rsidRDefault="003D216B" w:rsidP="00C1728B">
            <w:pPr>
              <w:numPr>
                <w:ilvl w:val="0"/>
                <w:numId w:val="80"/>
              </w:numPr>
              <w:rPr>
                <w:spacing w:val="8"/>
                <w:sz w:val="24"/>
                <w:szCs w:val="24"/>
              </w:rPr>
            </w:pPr>
            <w:r w:rsidRPr="00727573">
              <w:rPr>
                <w:spacing w:val="8"/>
                <w:sz w:val="24"/>
                <w:szCs w:val="24"/>
              </w:rPr>
              <w:t xml:space="preserve">Report results to CEO in annual compliance report </w:t>
            </w:r>
          </w:p>
          <w:p w14:paraId="3BBDF58C" w14:textId="77777777" w:rsidR="003D216B" w:rsidRPr="00727573" w:rsidRDefault="003D216B" w:rsidP="00C1728B">
            <w:pPr>
              <w:numPr>
                <w:ilvl w:val="0"/>
                <w:numId w:val="80"/>
              </w:numPr>
              <w:rPr>
                <w:spacing w:val="8"/>
                <w:sz w:val="24"/>
                <w:szCs w:val="24"/>
              </w:rPr>
            </w:pPr>
            <w:r w:rsidRPr="00727573">
              <w:rPr>
                <w:spacing w:val="8"/>
                <w:sz w:val="24"/>
                <w:szCs w:val="24"/>
              </w:rPr>
              <w:t xml:space="preserve">Revise policies and procedures as necessary </w:t>
            </w:r>
          </w:p>
          <w:p w14:paraId="0181C3B8" w14:textId="77777777" w:rsidR="003D216B" w:rsidRPr="00727573" w:rsidRDefault="003D216B" w:rsidP="00C1728B">
            <w:pPr>
              <w:numPr>
                <w:ilvl w:val="0"/>
                <w:numId w:val="80"/>
              </w:numPr>
              <w:rPr>
                <w:spacing w:val="8"/>
                <w:sz w:val="24"/>
                <w:szCs w:val="24"/>
              </w:rPr>
            </w:pPr>
            <w:r w:rsidRPr="00727573">
              <w:rPr>
                <w:spacing w:val="8"/>
                <w:sz w:val="24"/>
                <w:szCs w:val="24"/>
              </w:rPr>
              <w:t>Conduct follow-up to determine corrective action has been taken</w:t>
            </w:r>
          </w:p>
          <w:p w14:paraId="6A3E24BC" w14:textId="77777777" w:rsidR="00736215" w:rsidRPr="00727573" w:rsidRDefault="00736215" w:rsidP="00C1728B">
            <w:pPr>
              <w:numPr>
                <w:ilvl w:val="0"/>
                <w:numId w:val="80"/>
              </w:numPr>
              <w:rPr>
                <w:spacing w:val="8"/>
                <w:sz w:val="24"/>
                <w:szCs w:val="24"/>
              </w:rPr>
            </w:pPr>
            <w:r w:rsidRPr="00727573">
              <w:rPr>
                <w:spacing w:val="8"/>
                <w:sz w:val="24"/>
                <w:szCs w:val="24"/>
              </w:rPr>
              <w:t>Establish and maintain the Identity Theft Program</w:t>
            </w:r>
          </w:p>
          <w:p w14:paraId="0965C4FF" w14:textId="77777777" w:rsidR="00736215" w:rsidRDefault="00736215" w:rsidP="00C1728B">
            <w:pPr>
              <w:numPr>
                <w:ilvl w:val="0"/>
                <w:numId w:val="80"/>
              </w:numPr>
              <w:rPr>
                <w:spacing w:val="8"/>
                <w:sz w:val="24"/>
                <w:szCs w:val="24"/>
              </w:rPr>
            </w:pPr>
            <w:r w:rsidRPr="00727573">
              <w:rPr>
                <w:spacing w:val="8"/>
                <w:sz w:val="24"/>
                <w:szCs w:val="24"/>
              </w:rPr>
              <w:t>When red flags are identified, take corrective action</w:t>
            </w:r>
          </w:p>
          <w:p w14:paraId="3343C7F3" w14:textId="77777777" w:rsidR="00F206B3" w:rsidRPr="001F367B" w:rsidRDefault="00F206B3" w:rsidP="00C1728B">
            <w:pPr>
              <w:numPr>
                <w:ilvl w:val="0"/>
                <w:numId w:val="80"/>
              </w:numPr>
              <w:rPr>
                <w:color w:val="000000" w:themeColor="text1"/>
                <w:spacing w:val="8"/>
                <w:sz w:val="24"/>
                <w:szCs w:val="24"/>
              </w:rPr>
            </w:pPr>
            <w:r w:rsidRPr="001F367B">
              <w:rPr>
                <w:color w:val="000000" w:themeColor="text1"/>
                <w:spacing w:val="8"/>
                <w:sz w:val="24"/>
                <w:szCs w:val="24"/>
              </w:rPr>
              <w:t>New products/ business lines consideration for AML</w:t>
            </w:r>
          </w:p>
          <w:p w14:paraId="6D1437A8" w14:textId="3B4D86E7" w:rsidR="00F206B3" w:rsidRPr="00727573" w:rsidRDefault="00F206B3" w:rsidP="00C1728B">
            <w:pPr>
              <w:numPr>
                <w:ilvl w:val="0"/>
                <w:numId w:val="80"/>
              </w:numPr>
              <w:rPr>
                <w:spacing w:val="8"/>
                <w:sz w:val="24"/>
                <w:szCs w:val="24"/>
              </w:rPr>
            </w:pPr>
            <w:r w:rsidRPr="001F367B">
              <w:rPr>
                <w:color w:val="000000" w:themeColor="text1"/>
                <w:spacing w:val="8"/>
                <w:sz w:val="24"/>
                <w:szCs w:val="24"/>
              </w:rPr>
              <w:t>Review activity in micro-cap, penny stocks</w:t>
            </w:r>
            <w:r w:rsidR="004613CE" w:rsidRPr="001F367B">
              <w:rPr>
                <w:color w:val="000000" w:themeColor="text1"/>
                <w:spacing w:val="8"/>
                <w:sz w:val="24"/>
                <w:szCs w:val="24"/>
              </w:rPr>
              <w:t xml:space="preserve"> activity</w:t>
            </w:r>
            <w:r w:rsidRPr="001F367B">
              <w:rPr>
                <w:color w:val="000000" w:themeColor="text1"/>
                <w:spacing w:val="8"/>
                <w:sz w:val="24"/>
                <w:szCs w:val="24"/>
              </w:rPr>
              <w:t xml:space="preserve"> (risk is </w:t>
            </w:r>
            <w:r w:rsidR="004613CE" w:rsidRPr="001F367B">
              <w:rPr>
                <w:color w:val="000000" w:themeColor="text1"/>
                <w:spacing w:val="8"/>
                <w:sz w:val="24"/>
                <w:szCs w:val="24"/>
              </w:rPr>
              <w:t>typically</w:t>
            </w:r>
            <w:r w:rsidRPr="001F367B">
              <w:rPr>
                <w:color w:val="000000" w:themeColor="text1"/>
                <w:spacing w:val="8"/>
                <w:sz w:val="24"/>
                <w:szCs w:val="24"/>
              </w:rPr>
              <w:t xml:space="preserve"> in omnibus accounts </w:t>
            </w:r>
            <w:r w:rsidR="004613CE" w:rsidRPr="001F367B">
              <w:rPr>
                <w:color w:val="000000" w:themeColor="text1"/>
                <w:spacing w:val="8"/>
                <w:sz w:val="24"/>
                <w:szCs w:val="24"/>
              </w:rPr>
              <w:t>and/</w:t>
            </w:r>
            <w:r w:rsidRPr="001F367B">
              <w:rPr>
                <w:color w:val="000000" w:themeColor="text1"/>
                <w:spacing w:val="8"/>
                <w:sz w:val="24"/>
                <w:szCs w:val="24"/>
              </w:rPr>
              <w:t xml:space="preserve">or foreign nationals which is </w:t>
            </w:r>
            <w:r w:rsidR="004613CE" w:rsidRPr="001F367B">
              <w:rPr>
                <w:color w:val="000000" w:themeColor="text1"/>
                <w:spacing w:val="8"/>
                <w:sz w:val="24"/>
                <w:szCs w:val="24"/>
              </w:rPr>
              <w:t xml:space="preserve">currently </w:t>
            </w:r>
            <w:r w:rsidRPr="001F367B">
              <w:rPr>
                <w:color w:val="000000" w:themeColor="text1"/>
                <w:spacing w:val="8"/>
                <w:sz w:val="24"/>
                <w:szCs w:val="24"/>
              </w:rPr>
              <w:t xml:space="preserve">N/A for Company) but </w:t>
            </w:r>
            <w:r w:rsidR="004613CE" w:rsidRPr="001F367B">
              <w:rPr>
                <w:color w:val="000000" w:themeColor="text1"/>
                <w:spacing w:val="8"/>
                <w:sz w:val="24"/>
                <w:szCs w:val="24"/>
              </w:rPr>
              <w:t xml:space="preserve">will </w:t>
            </w:r>
            <w:r w:rsidRPr="001F367B">
              <w:rPr>
                <w:color w:val="000000" w:themeColor="text1"/>
                <w:spacing w:val="8"/>
                <w:sz w:val="24"/>
                <w:szCs w:val="24"/>
              </w:rPr>
              <w:t>review for red flags</w:t>
            </w:r>
          </w:p>
        </w:tc>
      </w:tr>
      <w:tr w:rsidR="003D216B" w:rsidRPr="00727573" w14:paraId="61D53BEF" w14:textId="77777777">
        <w:trPr>
          <w:tblCellSpacing w:w="0" w:type="dxa"/>
        </w:trPr>
        <w:tc>
          <w:tcPr>
            <w:tcW w:w="983" w:type="pct"/>
            <w:tcBorders>
              <w:top w:val="outset" w:sz="6" w:space="0" w:color="auto"/>
              <w:left w:val="outset" w:sz="6" w:space="0" w:color="auto"/>
              <w:bottom w:val="outset" w:sz="6" w:space="0" w:color="auto"/>
              <w:right w:val="outset" w:sz="6" w:space="0" w:color="auto"/>
            </w:tcBorders>
            <w:vAlign w:val="center"/>
          </w:tcPr>
          <w:p w14:paraId="3B1CAE90" w14:textId="77777777" w:rsidR="003D216B" w:rsidRPr="00727573" w:rsidRDefault="003D216B" w:rsidP="003D216B">
            <w:pPr>
              <w:jc w:val="center"/>
              <w:rPr>
                <w:b/>
                <w:bCs/>
                <w:spacing w:val="8"/>
                <w:sz w:val="24"/>
                <w:szCs w:val="24"/>
              </w:rPr>
            </w:pPr>
            <w:r w:rsidRPr="00727573">
              <w:rPr>
                <w:b/>
                <w:bCs/>
                <w:spacing w:val="8"/>
                <w:sz w:val="24"/>
                <w:szCs w:val="24"/>
              </w:rPr>
              <w:lastRenderedPageBreak/>
              <w:t>Record</w:t>
            </w:r>
            <w:r w:rsidR="0050417F" w:rsidRPr="00727573">
              <w:rPr>
                <w:b/>
                <w:bCs/>
                <w:spacing w:val="8"/>
                <w:sz w:val="24"/>
                <w:szCs w:val="24"/>
              </w:rPr>
              <w:t>s</w:t>
            </w:r>
          </w:p>
        </w:tc>
        <w:tc>
          <w:tcPr>
            <w:tcW w:w="4017" w:type="pct"/>
            <w:tcBorders>
              <w:top w:val="outset" w:sz="6" w:space="0" w:color="auto"/>
              <w:left w:val="outset" w:sz="6" w:space="0" w:color="auto"/>
              <w:bottom w:val="outset" w:sz="6" w:space="0" w:color="auto"/>
              <w:right w:val="outset" w:sz="6" w:space="0" w:color="auto"/>
            </w:tcBorders>
            <w:vAlign w:val="center"/>
          </w:tcPr>
          <w:p w14:paraId="5661AF51" w14:textId="77777777" w:rsidR="003D216B" w:rsidRPr="00727573" w:rsidRDefault="003D216B" w:rsidP="00C1728B">
            <w:pPr>
              <w:numPr>
                <w:ilvl w:val="0"/>
                <w:numId w:val="79"/>
              </w:numPr>
              <w:rPr>
                <w:spacing w:val="8"/>
                <w:sz w:val="24"/>
                <w:szCs w:val="24"/>
              </w:rPr>
            </w:pPr>
            <w:r w:rsidRPr="00727573">
              <w:rPr>
                <w:spacing w:val="8"/>
                <w:sz w:val="24"/>
                <w:szCs w:val="24"/>
              </w:rPr>
              <w:t>Independent testing results including who conducted and dates of review</w:t>
            </w:r>
            <w:r w:rsidR="008330AA" w:rsidRPr="00727573">
              <w:rPr>
                <w:spacing w:val="8"/>
                <w:sz w:val="24"/>
                <w:szCs w:val="24"/>
              </w:rPr>
              <w:t>, results, and actions taken</w:t>
            </w:r>
            <w:r w:rsidRPr="00727573">
              <w:rPr>
                <w:spacing w:val="8"/>
                <w:sz w:val="24"/>
                <w:szCs w:val="24"/>
              </w:rPr>
              <w:t xml:space="preserve"> </w:t>
            </w:r>
          </w:p>
          <w:p w14:paraId="7C8F8A91" w14:textId="77777777" w:rsidR="003D216B" w:rsidRPr="00727573" w:rsidRDefault="003D216B" w:rsidP="00C1728B">
            <w:pPr>
              <w:numPr>
                <w:ilvl w:val="0"/>
                <w:numId w:val="79"/>
              </w:numPr>
              <w:rPr>
                <w:spacing w:val="8"/>
                <w:sz w:val="24"/>
                <w:szCs w:val="24"/>
              </w:rPr>
            </w:pPr>
            <w:r w:rsidRPr="00727573">
              <w:rPr>
                <w:spacing w:val="8"/>
                <w:sz w:val="24"/>
                <w:szCs w:val="24"/>
              </w:rPr>
              <w:t>Report</w:t>
            </w:r>
            <w:r w:rsidR="001D2CB6" w:rsidRPr="00727573">
              <w:rPr>
                <w:spacing w:val="8"/>
                <w:sz w:val="24"/>
                <w:szCs w:val="24"/>
              </w:rPr>
              <w:t>s</w:t>
            </w:r>
            <w:r w:rsidRPr="00727573">
              <w:rPr>
                <w:spacing w:val="8"/>
                <w:sz w:val="24"/>
                <w:szCs w:val="24"/>
              </w:rPr>
              <w:t xml:space="preserve"> to CEO </w:t>
            </w:r>
          </w:p>
          <w:p w14:paraId="29C3DC35" w14:textId="77777777" w:rsidR="003D216B" w:rsidRPr="00727573" w:rsidRDefault="003D216B" w:rsidP="00C1728B">
            <w:pPr>
              <w:numPr>
                <w:ilvl w:val="0"/>
                <w:numId w:val="79"/>
              </w:numPr>
              <w:rPr>
                <w:spacing w:val="8"/>
                <w:sz w:val="24"/>
                <w:szCs w:val="24"/>
              </w:rPr>
            </w:pPr>
            <w:r w:rsidRPr="00727573">
              <w:rPr>
                <w:spacing w:val="8"/>
                <w:sz w:val="24"/>
                <w:szCs w:val="24"/>
              </w:rPr>
              <w:t xml:space="preserve">Record of changes to policies and procedures </w:t>
            </w:r>
          </w:p>
          <w:p w14:paraId="59E396B9" w14:textId="77777777" w:rsidR="003D216B" w:rsidRPr="00727573" w:rsidRDefault="003D216B" w:rsidP="00C1728B">
            <w:pPr>
              <w:numPr>
                <w:ilvl w:val="0"/>
                <w:numId w:val="79"/>
              </w:numPr>
              <w:rPr>
                <w:spacing w:val="8"/>
                <w:sz w:val="24"/>
                <w:szCs w:val="24"/>
              </w:rPr>
            </w:pPr>
            <w:r w:rsidRPr="00727573">
              <w:rPr>
                <w:spacing w:val="8"/>
                <w:sz w:val="24"/>
                <w:szCs w:val="24"/>
              </w:rPr>
              <w:t>Record of follow-up actions</w:t>
            </w:r>
          </w:p>
          <w:p w14:paraId="0B1A1D43" w14:textId="77777777" w:rsidR="00294125" w:rsidRPr="003B437B" w:rsidRDefault="00294125" w:rsidP="00C1728B">
            <w:pPr>
              <w:numPr>
                <w:ilvl w:val="0"/>
                <w:numId w:val="79"/>
              </w:numPr>
              <w:rPr>
                <w:spacing w:val="8"/>
                <w:sz w:val="24"/>
                <w:szCs w:val="24"/>
              </w:rPr>
            </w:pPr>
            <w:r w:rsidRPr="00727573">
              <w:rPr>
                <w:spacing w:val="8"/>
                <w:sz w:val="24"/>
                <w:szCs w:val="24"/>
              </w:rPr>
              <w:t xml:space="preserve">New Account </w:t>
            </w:r>
            <w:r w:rsidRPr="003B437B">
              <w:rPr>
                <w:spacing w:val="8"/>
                <w:sz w:val="24"/>
                <w:szCs w:val="24"/>
              </w:rPr>
              <w:t>Form</w:t>
            </w:r>
            <w:r w:rsidR="00AD0440" w:rsidRPr="003B437B">
              <w:rPr>
                <w:spacing w:val="8"/>
                <w:sz w:val="24"/>
                <w:szCs w:val="24"/>
              </w:rPr>
              <w:t xml:space="preserve"> and account identity information</w:t>
            </w:r>
          </w:p>
          <w:p w14:paraId="03E155F5" w14:textId="77777777" w:rsidR="00294125" w:rsidRPr="00727573" w:rsidRDefault="00294125" w:rsidP="00C1728B">
            <w:pPr>
              <w:numPr>
                <w:ilvl w:val="0"/>
                <w:numId w:val="79"/>
              </w:numPr>
              <w:rPr>
                <w:spacing w:val="8"/>
                <w:sz w:val="24"/>
                <w:szCs w:val="24"/>
              </w:rPr>
            </w:pPr>
            <w:r w:rsidRPr="00727573">
              <w:rPr>
                <w:spacing w:val="8"/>
                <w:sz w:val="24"/>
                <w:szCs w:val="24"/>
              </w:rPr>
              <w:t>Computer Reports</w:t>
            </w:r>
          </w:p>
          <w:p w14:paraId="76AB3779" w14:textId="77777777" w:rsidR="00294125" w:rsidRPr="00727573" w:rsidRDefault="00294125" w:rsidP="00C1728B">
            <w:pPr>
              <w:numPr>
                <w:ilvl w:val="0"/>
                <w:numId w:val="79"/>
              </w:numPr>
              <w:rPr>
                <w:spacing w:val="8"/>
                <w:sz w:val="24"/>
                <w:szCs w:val="24"/>
              </w:rPr>
            </w:pPr>
            <w:r w:rsidRPr="00727573">
              <w:rPr>
                <w:spacing w:val="8"/>
                <w:sz w:val="24"/>
                <w:szCs w:val="24"/>
              </w:rPr>
              <w:t>OFAC Search Results</w:t>
            </w:r>
          </w:p>
          <w:p w14:paraId="217C01E3" w14:textId="77777777" w:rsidR="00294125" w:rsidRPr="00727573" w:rsidRDefault="00294125" w:rsidP="00C1728B">
            <w:pPr>
              <w:numPr>
                <w:ilvl w:val="0"/>
                <w:numId w:val="79"/>
              </w:numPr>
              <w:rPr>
                <w:spacing w:val="8"/>
                <w:sz w:val="24"/>
                <w:szCs w:val="24"/>
              </w:rPr>
            </w:pPr>
            <w:r w:rsidRPr="00727573">
              <w:rPr>
                <w:spacing w:val="8"/>
                <w:sz w:val="24"/>
                <w:szCs w:val="24"/>
              </w:rPr>
              <w:t>FinCEN reviews</w:t>
            </w:r>
          </w:p>
          <w:p w14:paraId="2D612EB8" w14:textId="77777777" w:rsidR="008330AA" w:rsidRPr="00727573" w:rsidRDefault="008330AA" w:rsidP="00C1728B">
            <w:pPr>
              <w:numPr>
                <w:ilvl w:val="0"/>
                <w:numId w:val="79"/>
              </w:numPr>
              <w:rPr>
                <w:spacing w:val="8"/>
                <w:sz w:val="24"/>
                <w:szCs w:val="24"/>
              </w:rPr>
            </w:pPr>
            <w:r w:rsidRPr="00727573">
              <w:rPr>
                <w:spacing w:val="8"/>
                <w:sz w:val="24"/>
                <w:szCs w:val="24"/>
              </w:rPr>
              <w:t>Training records</w:t>
            </w:r>
          </w:p>
          <w:p w14:paraId="044A06BD" w14:textId="77777777" w:rsidR="008330AA" w:rsidRPr="00727573" w:rsidRDefault="00B4194F" w:rsidP="00C1728B">
            <w:pPr>
              <w:numPr>
                <w:ilvl w:val="0"/>
                <w:numId w:val="79"/>
              </w:numPr>
              <w:rPr>
                <w:spacing w:val="8"/>
                <w:sz w:val="24"/>
                <w:szCs w:val="24"/>
              </w:rPr>
            </w:pPr>
            <w:r w:rsidRPr="00727573">
              <w:rPr>
                <w:spacing w:val="8"/>
                <w:sz w:val="24"/>
                <w:szCs w:val="24"/>
              </w:rPr>
              <w:t>Copies of r</w:t>
            </w:r>
            <w:r w:rsidR="008330AA" w:rsidRPr="00727573">
              <w:rPr>
                <w:spacing w:val="8"/>
                <w:sz w:val="24"/>
                <w:szCs w:val="24"/>
              </w:rPr>
              <w:t>eports filed</w:t>
            </w:r>
          </w:p>
          <w:p w14:paraId="26F1357D" w14:textId="77777777" w:rsidR="00B4194F" w:rsidRPr="00727573" w:rsidRDefault="00B4194F" w:rsidP="00C1728B">
            <w:pPr>
              <w:numPr>
                <w:ilvl w:val="0"/>
                <w:numId w:val="81"/>
              </w:numPr>
              <w:rPr>
                <w:spacing w:val="8"/>
                <w:sz w:val="24"/>
                <w:szCs w:val="24"/>
              </w:rPr>
            </w:pPr>
            <w:r w:rsidRPr="00727573">
              <w:rPr>
                <w:spacing w:val="8"/>
                <w:sz w:val="24"/>
                <w:szCs w:val="24"/>
              </w:rPr>
              <w:t>Accounts identified for heightened scrutiny and actions taken</w:t>
            </w:r>
          </w:p>
          <w:p w14:paraId="0E9DB210" w14:textId="77777777" w:rsidR="00B4194F" w:rsidRPr="00727573" w:rsidRDefault="00736215" w:rsidP="00C1728B">
            <w:pPr>
              <w:numPr>
                <w:ilvl w:val="0"/>
                <w:numId w:val="79"/>
              </w:numPr>
              <w:rPr>
                <w:spacing w:val="8"/>
                <w:sz w:val="24"/>
                <w:szCs w:val="24"/>
              </w:rPr>
            </w:pPr>
            <w:r w:rsidRPr="00727573">
              <w:rPr>
                <w:spacing w:val="8"/>
                <w:sz w:val="24"/>
                <w:szCs w:val="24"/>
              </w:rPr>
              <w:t>Notes and other documented reviews are retained in a suspicious activity file</w:t>
            </w:r>
          </w:p>
          <w:p w14:paraId="52C4C563" w14:textId="0788AC79" w:rsidR="00736215" w:rsidRPr="00727573" w:rsidRDefault="00736215" w:rsidP="00C1728B">
            <w:pPr>
              <w:numPr>
                <w:ilvl w:val="0"/>
                <w:numId w:val="79"/>
              </w:numPr>
              <w:rPr>
                <w:spacing w:val="8"/>
                <w:sz w:val="24"/>
                <w:szCs w:val="24"/>
              </w:rPr>
            </w:pPr>
            <w:r w:rsidRPr="00727573">
              <w:rPr>
                <w:spacing w:val="8"/>
                <w:sz w:val="24"/>
                <w:szCs w:val="24"/>
              </w:rPr>
              <w:t xml:space="preserve">Red Flags </w:t>
            </w:r>
            <w:r w:rsidR="00CC601C" w:rsidRPr="00727573">
              <w:rPr>
                <w:spacing w:val="8"/>
                <w:sz w:val="24"/>
                <w:szCs w:val="24"/>
              </w:rPr>
              <w:t>identified;</w:t>
            </w:r>
            <w:r w:rsidRPr="00727573">
              <w:rPr>
                <w:spacing w:val="8"/>
                <w:sz w:val="24"/>
                <w:szCs w:val="24"/>
              </w:rPr>
              <w:t xml:space="preserve"> actions taken</w:t>
            </w:r>
          </w:p>
        </w:tc>
      </w:tr>
    </w:tbl>
    <w:p w14:paraId="4C6918EA" w14:textId="77777777" w:rsidR="003D216B" w:rsidRPr="003D216B" w:rsidRDefault="003D216B" w:rsidP="003D216B">
      <w:pPr>
        <w:jc w:val="both"/>
        <w:rPr>
          <w:b/>
          <w:color w:val="FF0000"/>
          <w:sz w:val="24"/>
          <w:szCs w:val="24"/>
        </w:rPr>
      </w:pPr>
    </w:p>
    <w:p w14:paraId="76EDA1B8" w14:textId="77777777" w:rsidR="003D216B" w:rsidRDefault="003D216B" w:rsidP="003D216B">
      <w:pPr>
        <w:jc w:val="both"/>
        <w:rPr>
          <w:b/>
          <w:color w:val="FF0000"/>
          <w:sz w:val="24"/>
          <w:szCs w:val="24"/>
        </w:rPr>
      </w:pPr>
    </w:p>
    <w:p w14:paraId="15621272" w14:textId="77777777" w:rsidR="003D216B" w:rsidRPr="00E60F67" w:rsidRDefault="003D216B" w:rsidP="00936FEE">
      <w:pPr>
        <w:pStyle w:val="Heading2"/>
      </w:pPr>
      <w:r w:rsidRPr="00E60F67">
        <w:lastRenderedPageBreak/>
        <w:t xml:space="preserve">7.3  </w:t>
      </w:r>
      <w:r w:rsidR="000C016B">
        <w:t xml:space="preserve"> </w:t>
      </w:r>
      <w:r w:rsidRPr="00E60F67">
        <w:t>AML Compliance Officer</w:t>
      </w:r>
    </w:p>
    <w:p w14:paraId="6E6A69F7" w14:textId="77777777" w:rsidR="003D216B" w:rsidRDefault="003D216B" w:rsidP="003D216B">
      <w:pPr>
        <w:jc w:val="both"/>
        <w:rPr>
          <w:sz w:val="24"/>
        </w:rPr>
      </w:pPr>
      <w:r>
        <w:rPr>
          <w:sz w:val="24"/>
        </w:rPr>
        <w:t xml:space="preserve">Morris Monroe is the designated Money Laundering Compliance Officer fully responsible for the Company’s AML Program.  His duties will include monitoring the Company’s AML compliance, overseeing communication and training of employees, ensuring applicable recordkeeping, and ensure Suspicious Activity Reports (SARs) are filed, and the </w:t>
      </w:r>
      <w:r w:rsidR="00CE75B0">
        <w:rPr>
          <w:sz w:val="24"/>
        </w:rPr>
        <w:t>Company</w:t>
      </w:r>
      <w:r>
        <w:rPr>
          <w:sz w:val="24"/>
        </w:rPr>
        <w:t xml:space="preserve"> is in compliance with the USA Patriot Act.  These procedures have been approved by the Senior Management of the </w:t>
      </w:r>
      <w:r w:rsidR="00252639">
        <w:rPr>
          <w:sz w:val="24"/>
        </w:rPr>
        <w:t>Co</w:t>
      </w:r>
      <w:r>
        <w:rPr>
          <w:sz w:val="24"/>
        </w:rPr>
        <w:t>m</w:t>
      </w:r>
      <w:r w:rsidR="00252639">
        <w:rPr>
          <w:sz w:val="24"/>
        </w:rPr>
        <w:t>pany</w:t>
      </w:r>
      <w:r>
        <w:rPr>
          <w:sz w:val="24"/>
        </w:rPr>
        <w:t>, Morris Monroe.  Morris Monroe and the two employees in the Home Office Back Office/Customer Service Department are responsible for the implementation and monitoring of the day-to-day operations in the Home Office</w:t>
      </w:r>
      <w:r w:rsidR="00332D7E">
        <w:rPr>
          <w:sz w:val="24"/>
        </w:rPr>
        <w:t xml:space="preserve"> </w:t>
      </w:r>
      <w:r w:rsidR="00332D7E" w:rsidRPr="002C26F2">
        <w:rPr>
          <w:sz w:val="24"/>
        </w:rPr>
        <w:t>and</w:t>
      </w:r>
      <w:r w:rsidR="00332D7E">
        <w:rPr>
          <w:sz w:val="24"/>
        </w:rPr>
        <w:t xml:space="preserve"> the designated Principals in the branch offices</w:t>
      </w:r>
      <w:r w:rsidR="00254BAC">
        <w:rPr>
          <w:sz w:val="24"/>
        </w:rPr>
        <w:t xml:space="preserve">.  </w:t>
      </w:r>
      <w:r w:rsidR="00254BAC" w:rsidRPr="002C26F2">
        <w:rPr>
          <w:sz w:val="24"/>
        </w:rPr>
        <w:t>In addition, t</w:t>
      </w:r>
      <w:r w:rsidRPr="002C26F2">
        <w:rPr>
          <w:sz w:val="24"/>
        </w:rPr>
        <w:t>he designated princi</w:t>
      </w:r>
      <w:r w:rsidR="00945714" w:rsidRPr="002C26F2">
        <w:rPr>
          <w:sz w:val="24"/>
        </w:rPr>
        <w:t>pal</w:t>
      </w:r>
      <w:r w:rsidR="00254BAC" w:rsidRPr="002C26F2">
        <w:rPr>
          <w:sz w:val="24"/>
        </w:rPr>
        <w:t>s</w:t>
      </w:r>
      <w:r w:rsidR="00945714" w:rsidRPr="002C26F2">
        <w:rPr>
          <w:sz w:val="24"/>
        </w:rPr>
        <w:t xml:space="preserve"> in the branch offices</w:t>
      </w:r>
      <w:r w:rsidR="00254BAC" w:rsidRPr="002C26F2">
        <w:rPr>
          <w:sz w:val="24"/>
        </w:rPr>
        <w:t xml:space="preserve"> and Laura Hendricks also have the </w:t>
      </w:r>
      <w:r w:rsidR="00254BAC" w:rsidRPr="002C26F2">
        <w:rPr>
          <w:bCs/>
          <w:sz w:val="24"/>
          <w:szCs w:val="24"/>
        </w:rPr>
        <w:t>training, qualification and duties with respect to AML compliance (e.g. account review, customer identity review)</w:t>
      </w:r>
      <w:r w:rsidR="00254BAC" w:rsidRPr="002C26F2">
        <w:rPr>
          <w:b/>
          <w:bCs/>
          <w:sz w:val="22"/>
          <w:szCs w:val="22"/>
        </w:rPr>
        <w:t xml:space="preserve"> </w:t>
      </w:r>
      <w:r w:rsidR="00254BAC" w:rsidRPr="002C26F2">
        <w:rPr>
          <w:sz w:val="24"/>
        </w:rPr>
        <w:t xml:space="preserve">responsibility as also stated in Section 3 (Supervisory Personnel) along with their contact information. </w:t>
      </w:r>
      <w:r w:rsidR="00945714" w:rsidRPr="002C26F2">
        <w:rPr>
          <w:sz w:val="24"/>
        </w:rPr>
        <w:t xml:space="preserve">  </w:t>
      </w:r>
      <w:r w:rsidR="00945714">
        <w:rPr>
          <w:sz w:val="24"/>
        </w:rPr>
        <w:t>C</w:t>
      </w:r>
      <w:r>
        <w:rPr>
          <w:sz w:val="24"/>
        </w:rPr>
        <w:t xml:space="preserve">ompany will review and update if necessary its AML contacts on a quarterly basis, within 17 business days following each calendar quarter, through the </w:t>
      </w:r>
      <w:r w:rsidRPr="0035367E">
        <w:rPr>
          <w:sz w:val="24"/>
        </w:rPr>
        <w:t xml:space="preserve">FINRA </w:t>
      </w:r>
      <w:r>
        <w:rPr>
          <w:sz w:val="24"/>
        </w:rPr>
        <w:t>Contact System.</w:t>
      </w:r>
    </w:p>
    <w:p w14:paraId="03701EAC" w14:textId="77777777" w:rsidR="003D216B" w:rsidRPr="003D216B" w:rsidRDefault="003D216B" w:rsidP="003D216B">
      <w:pPr>
        <w:jc w:val="both"/>
        <w:rPr>
          <w:b/>
          <w:sz w:val="24"/>
          <w:szCs w:val="24"/>
        </w:rPr>
      </w:pPr>
    </w:p>
    <w:p w14:paraId="7F555C5C" w14:textId="77777777" w:rsidR="00F231DA" w:rsidRDefault="00F231DA" w:rsidP="003D216B">
      <w:pPr>
        <w:jc w:val="both"/>
        <w:rPr>
          <w:sz w:val="24"/>
        </w:rPr>
      </w:pPr>
    </w:p>
    <w:p w14:paraId="08C53840" w14:textId="77777777" w:rsidR="00D66F80" w:rsidRDefault="00F231DA" w:rsidP="00936FEE">
      <w:pPr>
        <w:pStyle w:val="Heading2"/>
      </w:pPr>
      <w:r w:rsidRPr="00E60F67">
        <w:t>7.4</w:t>
      </w:r>
      <w:r w:rsidR="00D66F80">
        <w:t xml:space="preserve">   FINRA Rule 3310.  AML Compliance Program</w:t>
      </w:r>
      <w:r w:rsidRPr="00E60F67">
        <w:t xml:space="preserve"> </w:t>
      </w:r>
    </w:p>
    <w:p w14:paraId="110BA86C" w14:textId="77777777" w:rsidR="00D66F80" w:rsidRPr="00D66F80" w:rsidRDefault="00D66F80" w:rsidP="00D66F80">
      <w:pPr>
        <w:shd w:val="clear" w:color="auto" w:fill="FFFFFF"/>
        <w:spacing w:line="270" w:lineRule="atLeast"/>
        <w:jc w:val="both"/>
        <w:rPr>
          <w:color w:val="000000"/>
          <w:sz w:val="24"/>
          <w:szCs w:val="24"/>
        </w:rPr>
      </w:pPr>
      <w:r w:rsidRPr="00D66F80">
        <w:rPr>
          <w:color w:val="000000"/>
          <w:sz w:val="24"/>
          <w:szCs w:val="24"/>
        </w:rPr>
        <w:t xml:space="preserve">Company shall develop and implement a written </w:t>
      </w:r>
      <w:r w:rsidR="00CE75B0">
        <w:rPr>
          <w:color w:val="000000"/>
          <w:sz w:val="24"/>
          <w:szCs w:val="24"/>
        </w:rPr>
        <w:t>AML</w:t>
      </w:r>
      <w:r w:rsidRPr="00D66F80">
        <w:rPr>
          <w:color w:val="000000"/>
          <w:sz w:val="24"/>
          <w:szCs w:val="24"/>
        </w:rPr>
        <w:t xml:space="preserve"> reasonably designed to achieve and monitor its compliance with the requirements of the Bank Secrecy Act (31 U.S.C. 5311, </w:t>
      </w:r>
      <w:r w:rsidRPr="00D66F80">
        <w:rPr>
          <w:rStyle w:val="Emphasis"/>
          <w:color w:val="000000"/>
          <w:sz w:val="24"/>
          <w:szCs w:val="24"/>
        </w:rPr>
        <w:t>et seq</w:t>
      </w:r>
      <w:r w:rsidRPr="00D66F80">
        <w:rPr>
          <w:color w:val="000000"/>
          <w:sz w:val="24"/>
          <w:szCs w:val="24"/>
        </w:rPr>
        <w:t xml:space="preserve">.), and the implementing regulations promulgated thereunder by the Department of the Treasury.  Company’s </w:t>
      </w:r>
      <w:r w:rsidR="00CE75B0">
        <w:rPr>
          <w:color w:val="000000"/>
          <w:sz w:val="24"/>
          <w:szCs w:val="24"/>
        </w:rPr>
        <w:t>AML</w:t>
      </w:r>
      <w:r w:rsidRPr="00D66F80">
        <w:rPr>
          <w:color w:val="000000"/>
          <w:sz w:val="24"/>
          <w:szCs w:val="24"/>
        </w:rPr>
        <w:t xml:space="preserve"> program shall be approved, in </w:t>
      </w:r>
      <w:r w:rsidR="00AD1B5D" w:rsidRPr="00D66F80">
        <w:rPr>
          <w:color w:val="000000"/>
          <w:sz w:val="24"/>
          <w:szCs w:val="24"/>
        </w:rPr>
        <w:t>writing by</w:t>
      </w:r>
      <w:r w:rsidRPr="00D66F80">
        <w:rPr>
          <w:color w:val="000000"/>
          <w:sz w:val="24"/>
          <w:szCs w:val="24"/>
        </w:rPr>
        <w:t xml:space="preserve"> Morris Monroe or Laura Hendricks. </w:t>
      </w:r>
    </w:p>
    <w:p w14:paraId="0749016B" w14:textId="77777777" w:rsidR="00D66F80" w:rsidRPr="00D66F80" w:rsidRDefault="00D66F80" w:rsidP="00D66F80">
      <w:pPr>
        <w:shd w:val="clear" w:color="auto" w:fill="FFFFFF"/>
        <w:spacing w:line="270" w:lineRule="atLeast"/>
        <w:jc w:val="both"/>
        <w:rPr>
          <w:color w:val="000000"/>
          <w:sz w:val="24"/>
          <w:szCs w:val="24"/>
        </w:rPr>
      </w:pPr>
    </w:p>
    <w:p w14:paraId="16C8129B" w14:textId="77777777" w:rsidR="00D66F80" w:rsidRPr="00D66F80" w:rsidRDefault="00D66F80" w:rsidP="00D66F80">
      <w:pPr>
        <w:shd w:val="clear" w:color="auto" w:fill="FFFFFF"/>
        <w:jc w:val="both"/>
        <w:rPr>
          <w:color w:val="000000"/>
          <w:sz w:val="24"/>
          <w:szCs w:val="24"/>
        </w:rPr>
      </w:pPr>
      <w:r w:rsidRPr="00D66F80">
        <w:rPr>
          <w:color w:val="000000"/>
          <w:sz w:val="24"/>
          <w:szCs w:val="24"/>
        </w:rPr>
        <w:t xml:space="preserve">The </w:t>
      </w:r>
      <w:r w:rsidR="00CE75B0">
        <w:rPr>
          <w:color w:val="000000"/>
          <w:sz w:val="24"/>
          <w:szCs w:val="24"/>
        </w:rPr>
        <w:t>AML</w:t>
      </w:r>
      <w:r w:rsidRPr="00D66F80">
        <w:rPr>
          <w:color w:val="000000"/>
          <w:sz w:val="24"/>
          <w:szCs w:val="24"/>
        </w:rPr>
        <w:t xml:space="preserve"> programs required by this Rule shall, at a minimum, </w:t>
      </w:r>
    </w:p>
    <w:p w14:paraId="147E88A5" w14:textId="77777777" w:rsidR="00D66F80" w:rsidRPr="00D66F80" w:rsidRDefault="00D66F80" w:rsidP="00D66F80">
      <w:pPr>
        <w:shd w:val="clear" w:color="auto" w:fill="FFFFFF"/>
        <w:jc w:val="both"/>
        <w:rPr>
          <w:color w:val="000000"/>
          <w:sz w:val="24"/>
          <w:szCs w:val="24"/>
        </w:rPr>
      </w:pPr>
    </w:p>
    <w:p w14:paraId="554CEE98" w14:textId="77777777" w:rsidR="00D66F80" w:rsidRDefault="00D66F80" w:rsidP="00D66F80">
      <w:pPr>
        <w:shd w:val="clear" w:color="auto" w:fill="FFFFFF"/>
        <w:jc w:val="both"/>
        <w:rPr>
          <w:color w:val="000000"/>
          <w:sz w:val="24"/>
          <w:szCs w:val="24"/>
        </w:rPr>
      </w:pPr>
      <w:r w:rsidRPr="00D66F80">
        <w:rPr>
          <w:color w:val="000000"/>
          <w:sz w:val="24"/>
          <w:szCs w:val="24"/>
        </w:rPr>
        <w:t>(a) Establish and implement policies and procedures that can be reasonably expected to detect and cause the reporting of transactions required under 31 U.S.C. 5318(g) and the implementing regulations thereunder;</w:t>
      </w:r>
    </w:p>
    <w:p w14:paraId="036A1018" w14:textId="77777777" w:rsidR="00D66F80" w:rsidRPr="00D66F80" w:rsidRDefault="00D66F80" w:rsidP="00D66F80">
      <w:pPr>
        <w:shd w:val="clear" w:color="auto" w:fill="FFFFFF"/>
        <w:jc w:val="both"/>
        <w:rPr>
          <w:color w:val="000000"/>
          <w:sz w:val="24"/>
          <w:szCs w:val="24"/>
        </w:rPr>
      </w:pPr>
    </w:p>
    <w:p w14:paraId="16F81827" w14:textId="77777777" w:rsidR="00D66F80" w:rsidRDefault="00D66F80" w:rsidP="00D66F80">
      <w:pPr>
        <w:shd w:val="clear" w:color="auto" w:fill="FFFFFF"/>
        <w:jc w:val="both"/>
        <w:rPr>
          <w:color w:val="000000"/>
          <w:sz w:val="24"/>
          <w:szCs w:val="24"/>
        </w:rPr>
      </w:pPr>
      <w:r w:rsidRPr="00D66F80">
        <w:rPr>
          <w:color w:val="000000"/>
          <w:sz w:val="24"/>
          <w:szCs w:val="24"/>
        </w:rPr>
        <w:t>(b) Establish and implement policies, procedures, and internal controls reasonably designed to achieve compliance with the Bank Secrecy Act and the implementing regulations thereunder;</w:t>
      </w:r>
    </w:p>
    <w:p w14:paraId="46C342D2" w14:textId="77777777" w:rsidR="00D66F80" w:rsidRPr="00D66F80" w:rsidRDefault="00D66F80" w:rsidP="00D66F80">
      <w:pPr>
        <w:shd w:val="clear" w:color="auto" w:fill="FFFFFF"/>
        <w:jc w:val="both"/>
        <w:rPr>
          <w:color w:val="000000"/>
          <w:sz w:val="24"/>
          <w:szCs w:val="24"/>
        </w:rPr>
      </w:pPr>
    </w:p>
    <w:p w14:paraId="4BE74409" w14:textId="77777777" w:rsidR="00D66F80" w:rsidRDefault="00D66F80" w:rsidP="00D66F80">
      <w:pPr>
        <w:shd w:val="clear" w:color="auto" w:fill="FFFFFF"/>
        <w:jc w:val="both"/>
        <w:rPr>
          <w:color w:val="000000"/>
          <w:sz w:val="24"/>
          <w:szCs w:val="24"/>
        </w:rPr>
      </w:pPr>
      <w:r w:rsidRPr="00D66F80">
        <w:rPr>
          <w:color w:val="000000"/>
          <w:sz w:val="24"/>
          <w:szCs w:val="24"/>
        </w:rPr>
        <w:t xml:space="preserve">(c) Provide for annual (on a calendar-year basis) independent testing for compliance to be conducted by </w:t>
      </w:r>
      <w:r>
        <w:rPr>
          <w:color w:val="000000"/>
          <w:sz w:val="24"/>
          <w:szCs w:val="24"/>
        </w:rPr>
        <w:t>Company</w:t>
      </w:r>
      <w:r w:rsidRPr="00D66F80">
        <w:rPr>
          <w:color w:val="000000"/>
          <w:sz w:val="24"/>
          <w:szCs w:val="24"/>
        </w:rPr>
        <w:t xml:space="preserve"> personnel or by a qualified outside party, unless the member does not execute transactions for customers or otherwise hold customer accounts or act as an introducing broker with respect to customer accounts (e.g., engages solely in proprietary trading or conducts business only with other broker-dealers), in which case such "independent testing" is required every two years (on a calendar-year basis);</w:t>
      </w:r>
    </w:p>
    <w:p w14:paraId="0229EDA2" w14:textId="77777777" w:rsidR="00D66F80" w:rsidRPr="00D66F80" w:rsidRDefault="00D66F80" w:rsidP="00D66F80">
      <w:pPr>
        <w:shd w:val="clear" w:color="auto" w:fill="FFFFFF"/>
        <w:jc w:val="both"/>
        <w:rPr>
          <w:color w:val="000000"/>
          <w:sz w:val="24"/>
          <w:szCs w:val="24"/>
        </w:rPr>
      </w:pPr>
    </w:p>
    <w:p w14:paraId="1D8E0398" w14:textId="77777777" w:rsidR="00D66F80" w:rsidRDefault="00D66F80" w:rsidP="00D66F80">
      <w:pPr>
        <w:shd w:val="clear" w:color="auto" w:fill="FFFFFF"/>
        <w:jc w:val="both"/>
        <w:rPr>
          <w:color w:val="000000"/>
          <w:sz w:val="24"/>
          <w:szCs w:val="24"/>
        </w:rPr>
      </w:pPr>
      <w:r w:rsidRPr="00D66F80">
        <w:rPr>
          <w:color w:val="000000"/>
          <w:sz w:val="24"/>
          <w:szCs w:val="24"/>
        </w:rPr>
        <w:t xml:space="preserve">(d) Designate and identify to </w:t>
      </w:r>
      <w:r w:rsidRPr="00D66F80">
        <w:rPr>
          <w:rStyle w:val="us"/>
          <w:color w:val="000000"/>
          <w:sz w:val="24"/>
          <w:szCs w:val="24"/>
        </w:rPr>
        <w:t>FINRA</w:t>
      </w:r>
      <w:r w:rsidRPr="00D66F80">
        <w:rPr>
          <w:color w:val="000000"/>
          <w:sz w:val="24"/>
          <w:szCs w:val="24"/>
        </w:rPr>
        <w:t xml:space="preserve"> (by name, title, mailing address, e-mail address, telephone number, and facsimile number) an individual or individuals responsible for implementing and monitoring the day-to-day operations and internal controls of the program (such individual or individuals must be an associated person of the member) and provide prompt notification to </w:t>
      </w:r>
      <w:r w:rsidRPr="00D66F80">
        <w:rPr>
          <w:rStyle w:val="us"/>
          <w:color w:val="000000"/>
          <w:sz w:val="24"/>
          <w:szCs w:val="24"/>
        </w:rPr>
        <w:t>FINRA</w:t>
      </w:r>
      <w:r w:rsidRPr="00D66F80">
        <w:rPr>
          <w:color w:val="000000"/>
          <w:sz w:val="24"/>
          <w:szCs w:val="24"/>
        </w:rPr>
        <w:t xml:space="preserve"> regarding any change in such designation(s); and</w:t>
      </w:r>
    </w:p>
    <w:p w14:paraId="6C2CAA59" w14:textId="77777777" w:rsidR="00D66F80" w:rsidRPr="00D66F80" w:rsidRDefault="00D66F80" w:rsidP="00D66F80">
      <w:pPr>
        <w:shd w:val="clear" w:color="auto" w:fill="FFFFFF"/>
        <w:jc w:val="both"/>
        <w:rPr>
          <w:color w:val="000000"/>
          <w:sz w:val="24"/>
          <w:szCs w:val="24"/>
        </w:rPr>
      </w:pPr>
    </w:p>
    <w:p w14:paraId="088FF7CB" w14:textId="77777777" w:rsidR="00D66F80" w:rsidRPr="00D66F80" w:rsidRDefault="00D66F80" w:rsidP="00D66F80">
      <w:pPr>
        <w:shd w:val="clear" w:color="auto" w:fill="FFFFFF"/>
        <w:jc w:val="both"/>
        <w:rPr>
          <w:color w:val="000000"/>
          <w:sz w:val="24"/>
          <w:szCs w:val="24"/>
        </w:rPr>
      </w:pPr>
      <w:r w:rsidRPr="00D66F80">
        <w:rPr>
          <w:color w:val="000000"/>
          <w:sz w:val="24"/>
          <w:szCs w:val="24"/>
        </w:rPr>
        <w:t>(e) Provide ongoing training for appropriate personnel.</w:t>
      </w:r>
    </w:p>
    <w:p w14:paraId="1621EA1C" w14:textId="77777777" w:rsidR="00D66F80" w:rsidRPr="00D66F80" w:rsidRDefault="00D66F80" w:rsidP="00D66F80"/>
    <w:p w14:paraId="2E1EF2F7" w14:textId="77777777" w:rsidR="00D66F80" w:rsidRDefault="00D66F80" w:rsidP="00D66F80"/>
    <w:p w14:paraId="745BA972" w14:textId="77777777" w:rsidR="00F231DA" w:rsidRPr="00E60F67" w:rsidRDefault="00D66F80" w:rsidP="00936FEE">
      <w:pPr>
        <w:pStyle w:val="Heading2"/>
      </w:pPr>
      <w:r>
        <w:lastRenderedPageBreak/>
        <w:t xml:space="preserve">7.5   </w:t>
      </w:r>
      <w:r w:rsidR="00F231DA" w:rsidRPr="00E60F67">
        <w:t>Policies and Regulations</w:t>
      </w:r>
    </w:p>
    <w:p w14:paraId="7B8071B2" w14:textId="1464C044" w:rsidR="003D216B" w:rsidRDefault="003D216B" w:rsidP="003D216B">
      <w:pPr>
        <w:jc w:val="both"/>
        <w:rPr>
          <w:sz w:val="24"/>
        </w:rPr>
      </w:pPr>
      <w:r>
        <w:rPr>
          <w:sz w:val="24"/>
        </w:rPr>
        <w:t>It is the Company’s policy to prohibit and actively prevent money laundering and any activity that facilitates money laundering or the funding of terrorist or criminal activities.  Money Laundering is the process where an individual conceals (or attempts to conceal) the existence, illegal source, or illegal application of income</w:t>
      </w:r>
      <w:r w:rsidR="004C20EF">
        <w:rPr>
          <w:sz w:val="24"/>
        </w:rPr>
        <w:t xml:space="preserve"> </w:t>
      </w:r>
      <w:r w:rsidR="004C20EF" w:rsidRPr="00CC601C">
        <w:rPr>
          <w:sz w:val="24"/>
        </w:rPr>
        <w:t>(including digital assets</w:t>
      </w:r>
      <w:r w:rsidR="00CC601C" w:rsidRPr="00CC601C">
        <w:rPr>
          <w:sz w:val="24"/>
        </w:rPr>
        <w:t>) or</w:t>
      </w:r>
      <w:r>
        <w:rPr>
          <w:sz w:val="24"/>
        </w:rPr>
        <w:t xml:space="preserve"> disguises the income to appear legitimate and it is the Company’s policy to detect, deter, and prevent any such violations.  Money Laundering may involve; </w:t>
      </w:r>
    </w:p>
    <w:p w14:paraId="0996C077" w14:textId="77777777" w:rsidR="003D216B" w:rsidRDefault="003D216B" w:rsidP="003D216B">
      <w:pPr>
        <w:rPr>
          <w:sz w:val="24"/>
        </w:rPr>
      </w:pPr>
    </w:p>
    <w:p w14:paraId="77624003" w14:textId="77777777" w:rsidR="003D216B" w:rsidRDefault="00CE75B0" w:rsidP="00216F83">
      <w:pPr>
        <w:numPr>
          <w:ilvl w:val="0"/>
          <w:numId w:val="4"/>
        </w:numPr>
        <w:tabs>
          <w:tab w:val="clear" w:pos="1440"/>
          <w:tab w:val="num" w:pos="1170"/>
        </w:tabs>
        <w:ind w:left="1170" w:hanging="450"/>
        <w:rPr>
          <w:sz w:val="24"/>
        </w:rPr>
      </w:pPr>
      <w:r>
        <w:rPr>
          <w:sz w:val="24"/>
        </w:rPr>
        <w:t>E</w:t>
      </w:r>
      <w:r w:rsidR="003D216B">
        <w:rPr>
          <w:sz w:val="24"/>
        </w:rPr>
        <w:t>vading or falsifying reports required by the U.S. or state governments;</w:t>
      </w:r>
    </w:p>
    <w:p w14:paraId="0F3EA86E" w14:textId="77777777" w:rsidR="003D216B" w:rsidRDefault="00CE75B0" w:rsidP="00216F83">
      <w:pPr>
        <w:numPr>
          <w:ilvl w:val="0"/>
          <w:numId w:val="4"/>
        </w:numPr>
        <w:tabs>
          <w:tab w:val="clear" w:pos="1440"/>
          <w:tab w:val="num" w:pos="1170"/>
        </w:tabs>
        <w:ind w:left="1170" w:hanging="450"/>
        <w:rPr>
          <w:sz w:val="24"/>
        </w:rPr>
      </w:pPr>
      <w:r>
        <w:rPr>
          <w:sz w:val="24"/>
        </w:rPr>
        <w:t>P</w:t>
      </w:r>
      <w:r w:rsidR="003D216B">
        <w:rPr>
          <w:sz w:val="24"/>
        </w:rPr>
        <w:t>articipating in transactions that you know involves criminally derived proceeds that exceed $10,000;</w:t>
      </w:r>
    </w:p>
    <w:p w14:paraId="71D048D1" w14:textId="7E3DE12E" w:rsidR="003D216B" w:rsidRPr="00CC601C" w:rsidRDefault="00CE75B0" w:rsidP="00216F83">
      <w:pPr>
        <w:numPr>
          <w:ilvl w:val="0"/>
          <w:numId w:val="4"/>
        </w:numPr>
        <w:tabs>
          <w:tab w:val="clear" w:pos="1440"/>
          <w:tab w:val="num" w:pos="1170"/>
        </w:tabs>
        <w:ind w:left="1170" w:hanging="450"/>
        <w:rPr>
          <w:sz w:val="24"/>
        </w:rPr>
      </w:pPr>
      <w:r>
        <w:rPr>
          <w:sz w:val="24"/>
        </w:rPr>
        <w:t>T</w:t>
      </w:r>
      <w:r w:rsidR="003D216B">
        <w:rPr>
          <w:sz w:val="24"/>
        </w:rPr>
        <w:t>ransporting or helping to transport money</w:t>
      </w:r>
      <w:r w:rsidR="004C20EF">
        <w:rPr>
          <w:sz w:val="24"/>
        </w:rPr>
        <w:t xml:space="preserve">, </w:t>
      </w:r>
      <w:r w:rsidR="004C20EF" w:rsidRPr="00CC601C">
        <w:rPr>
          <w:sz w:val="24"/>
        </w:rPr>
        <w:t>digital assets,</w:t>
      </w:r>
      <w:r w:rsidR="003D216B" w:rsidRPr="00CC601C">
        <w:rPr>
          <w:sz w:val="24"/>
        </w:rPr>
        <w:t xml:space="preserve"> or property that you </w:t>
      </w:r>
      <w:r w:rsidR="003D216B" w:rsidRPr="00CC601C">
        <w:rPr>
          <w:b/>
          <w:sz w:val="24"/>
          <w:u w:val="single"/>
        </w:rPr>
        <w:t>believe</w:t>
      </w:r>
      <w:r w:rsidR="003D216B" w:rsidRPr="00CC601C">
        <w:rPr>
          <w:sz w:val="24"/>
          <w:u w:val="single"/>
        </w:rPr>
        <w:t xml:space="preserve"> </w:t>
      </w:r>
      <w:r w:rsidR="003D216B" w:rsidRPr="00CC601C">
        <w:rPr>
          <w:sz w:val="24"/>
        </w:rPr>
        <w:t>is criminally derived with intent to hide its source or ownership or the payment of taxes; or</w:t>
      </w:r>
    </w:p>
    <w:p w14:paraId="5E86775B" w14:textId="77777777" w:rsidR="003D216B" w:rsidRPr="00CC601C" w:rsidRDefault="00CE75B0" w:rsidP="00216F83">
      <w:pPr>
        <w:numPr>
          <w:ilvl w:val="0"/>
          <w:numId w:val="4"/>
        </w:numPr>
        <w:tabs>
          <w:tab w:val="clear" w:pos="1440"/>
          <w:tab w:val="num" w:pos="1170"/>
        </w:tabs>
        <w:ind w:left="1170" w:hanging="450"/>
        <w:rPr>
          <w:sz w:val="24"/>
        </w:rPr>
      </w:pPr>
      <w:r w:rsidRPr="00CC601C">
        <w:rPr>
          <w:sz w:val="24"/>
        </w:rPr>
        <w:t>Engaging</w:t>
      </w:r>
      <w:r w:rsidR="003D216B" w:rsidRPr="00CC601C">
        <w:rPr>
          <w:sz w:val="24"/>
        </w:rPr>
        <w:t xml:space="preserve"> in a financial transaction involving criminally derived property while intending to promote illegal activity.</w:t>
      </w:r>
    </w:p>
    <w:p w14:paraId="1F32E704" w14:textId="7B0A0688" w:rsidR="002054D8" w:rsidRPr="00CC601C" w:rsidRDefault="002054D8" w:rsidP="004C6866">
      <w:pPr>
        <w:numPr>
          <w:ilvl w:val="0"/>
          <w:numId w:val="4"/>
        </w:numPr>
        <w:tabs>
          <w:tab w:val="clear" w:pos="1440"/>
          <w:tab w:val="num" w:pos="1170"/>
        </w:tabs>
        <w:ind w:left="1166" w:hanging="446"/>
        <w:rPr>
          <w:sz w:val="24"/>
          <w:szCs w:val="24"/>
        </w:rPr>
      </w:pPr>
      <w:r w:rsidRPr="00CC601C">
        <w:rPr>
          <w:b/>
          <w:spacing w:val="8"/>
          <w:sz w:val="24"/>
          <w:szCs w:val="24"/>
        </w:rPr>
        <w:t>Digital Assets</w:t>
      </w:r>
      <w:r w:rsidRPr="00CC601C">
        <w:rPr>
          <w:spacing w:val="8"/>
          <w:sz w:val="24"/>
          <w:szCs w:val="24"/>
        </w:rPr>
        <w:t xml:space="preserve"> include Instruments that may qualify under applicable U.S. laws as securities, commodities, or security- or commodity-based instruments such as futures contracts or swaps. There is no uniform legal definition, and digital assets have different labels such as cryptocurrencies, digital tokens, digital currencies, virtual assets, and initial coin offerings.</w:t>
      </w:r>
    </w:p>
    <w:p w14:paraId="679DBA98" w14:textId="77777777" w:rsidR="003D216B" w:rsidRPr="00CC601C" w:rsidRDefault="003D216B" w:rsidP="00CE75B0">
      <w:pPr>
        <w:tabs>
          <w:tab w:val="num" w:pos="1170"/>
        </w:tabs>
        <w:ind w:left="1170" w:hanging="450"/>
        <w:rPr>
          <w:sz w:val="24"/>
        </w:rPr>
      </w:pPr>
    </w:p>
    <w:p w14:paraId="290C3F93" w14:textId="77777777" w:rsidR="003D216B" w:rsidRDefault="003D216B" w:rsidP="003D216B">
      <w:pPr>
        <w:jc w:val="both"/>
        <w:rPr>
          <w:sz w:val="24"/>
        </w:rPr>
      </w:pPr>
      <w:r>
        <w:rPr>
          <w:sz w:val="24"/>
        </w:rPr>
        <w:t xml:space="preserve">If the Company or any of its employees are found </w:t>
      </w:r>
      <w:r>
        <w:rPr>
          <w:b/>
          <w:sz w:val="24"/>
          <w:u w:val="single"/>
        </w:rPr>
        <w:t>to have knowingly been involved, to recklessly disregard or willfully blind</w:t>
      </w:r>
      <w:r>
        <w:rPr>
          <w:sz w:val="24"/>
        </w:rPr>
        <w:t xml:space="preserve"> in any of the activities they may be found guilty of money </w:t>
      </w:r>
      <w:r w:rsidR="00C5447A">
        <w:rPr>
          <w:sz w:val="24"/>
        </w:rPr>
        <w:t xml:space="preserve">laundering.  Morris </w:t>
      </w:r>
      <w:r>
        <w:rPr>
          <w:sz w:val="24"/>
        </w:rPr>
        <w:t xml:space="preserve">Monroe will be responsible to investigate any potential cases of money laundering.  </w:t>
      </w:r>
    </w:p>
    <w:p w14:paraId="55EFA286" w14:textId="77777777" w:rsidR="003D216B" w:rsidRDefault="003D216B" w:rsidP="003D216B">
      <w:pPr>
        <w:ind w:firstLine="720"/>
        <w:rPr>
          <w:sz w:val="24"/>
        </w:rPr>
      </w:pPr>
    </w:p>
    <w:p w14:paraId="653ACA64" w14:textId="77777777" w:rsidR="003D216B" w:rsidRDefault="003D216B" w:rsidP="00FB3112">
      <w:pPr>
        <w:ind w:left="720"/>
        <w:jc w:val="both"/>
        <w:rPr>
          <w:sz w:val="24"/>
        </w:rPr>
      </w:pPr>
      <w:r>
        <w:rPr>
          <w:b/>
          <w:sz w:val="24"/>
        </w:rPr>
        <w:t xml:space="preserve">Criminal Activity </w:t>
      </w:r>
      <w:r>
        <w:rPr>
          <w:sz w:val="24"/>
        </w:rPr>
        <w:t xml:space="preserve">includes terrorism, drug trafficking, white-collar crime, </w:t>
      </w:r>
      <w:r w:rsidR="00AD1B5D">
        <w:rPr>
          <w:sz w:val="24"/>
        </w:rPr>
        <w:t>e</w:t>
      </w:r>
      <w:r>
        <w:rPr>
          <w:sz w:val="24"/>
        </w:rPr>
        <w:t>mbezzlement,</w:t>
      </w:r>
      <w:r w:rsidR="00AD1B5D">
        <w:rPr>
          <w:sz w:val="24"/>
        </w:rPr>
        <w:t xml:space="preserve"> </w:t>
      </w:r>
      <w:r>
        <w:rPr>
          <w:sz w:val="24"/>
        </w:rPr>
        <w:t xml:space="preserve">bribery market manipulation or insider trading.  </w:t>
      </w:r>
    </w:p>
    <w:p w14:paraId="1B7344C2" w14:textId="77777777" w:rsidR="003D216B" w:rsidRDefault="003D216B" w:rsidP="00FB3112">
      <w:pPr>
        <w:ind w:firstLine="720"/>
        <w:rPr>
          <w:sz w:val="24"/>
        </w:rPr>
      </w:pPr>
    </w:p>
    <w:p w14:paraId="30218591" w14:textId="77777777" w:rsidR="003D216B" w:rsidRDefault="003D216B" w:rsidP="00FB3112">
      <w:pPr>
        <w:pStyle w:val="BodyText"/>
        <w:spacing w:before="0" w:after="0"/>
        <w:ind w:firstLine="720"/>
      </w:pPr>
      <w:r>
        <w:rPr>
          <w:b/>
        </w:rPr>
        <w:t>Legislation</w:t>
      </w:r>
      <w:r>
        <w:tab/>
        <w:t xml:space="preserve">Morris Monroe will </w:t>
      </w:r>
      <w:proofErr w:type="gramStart"/>
      <w:r>
        <w:t>insure</w:t>
      </w:r>
      <w:proofErr w:type="gramEnd"/>
      <w:r>
        <w:t xml:space="preserve"> compliance with all of the following rules:</w:t>
      </w:r>
    </w:p>
    <w:p w14:paraId="110DE345" w14:textId="77777777" w:rsidR="00F231DA" w:rsidRDefault="00F231DA" w:rsidP="00FB3112">
      <w:pPr>
        <w:pStyle w:val="BodyText2"/>
        <w:widowControl/>
        <w:rPr>
          <w:b/>
          <w:bCs/>
        </w:rPr>
      </w:pPr>
    </w:p>
    <w:p w14:paraId="5CD48E81" w14:textId="77777777" w:rsidR="003D216B" w:rsidRDefault="00FB3112" w:rsidP="001A7509">
      <w:pPr>
        <w:pStyle w:val="Heading3"/>
      </w:pPr>
      <w:r>
        <w:t>7.5.1 The</w:t>
      </w:r>
      <w:r w:rsidR="003D216B">
        <w:t xml:space="preserve"> Money Laundering Abatement Act</w:t>
      </w:r>
    </w:p>
    <w:p w14:paraId="616BCCCB" w14:textId="77777777" w:rsidR="003D216B" w:rsidRDefault="003D216B" w:rsidP="00F231DA">
      <w:pPr>
        <w:pStyle w:val="BodyText2"/>
        <w:widowControl/>
        <w:ind w:left="270"/>
        <w:rPr>
          <w:b/>
          <w:bCs/>
        </w:rPr>
      </w:pPr>
    </w:p>
    <w:p w14:paraId="7F9C7117" w14:textId="77777777" w:rsidR="003D216B" w:rsidRDefault="003D216B" w:rsidP="00F231DA">
      <w:pPr>
        <w:pStyle w:val="BodyText2"/>
        <w:widowControl/>
        <w:ind w:left="270"/>
        <w:jc w:val="both"/>
      </w:pPr>
      <w:r>
        <w:rPr>
          <w:b/>
          <w:bCs/>
        </w:rPr>
        <w:t xml:space="preserve">Section 312:   </w:t>
      </w:r>
      <w:r>
        <w:t xml:space="preserve"> Requires special due diligence for all private banking and “correspondent” bank accounts (accounts established to receive deposits from, make payments on behalf of, or handle other financial transactions for a foreign bank) involving foreign persons, even if opened before Congress passed the Patriot Act.  The Company has no correspondent bank accounts.</w:t>
      </w:r>
    </w:p>
    <w:p w14:paraId="2FAB8E65" w14:textId="77777777" w:rsidR="003D216B" w:rsidRDefault="003D216B" w:rsidP="00F231DA">
      <w:pPr>
        <w:pStyle w:val="BodyText2"/>
        <w:widowControl/>
        <w:ind w:left="270"/>
        <w:jc w:val="both"/>
      </w:pPr>
    </w:p>
    <w:p w14:paraId="63828916" w14:textId="77777777" w:rsidR="003D216B" w:rsidRDefault="003D216B" w:rsidP="00F231DA">
      <w:pPr>
        <w:pStyle w:val="BodyText2"/>
        <w:widowControl/>
        <w:ind w:left="270"/>
        <w:jc w:val="both"/>
      </w:pPr>
      <w:r>
        <w:rPr>
          <w:b/>
          <w:bCs/>
        </w:rPr>
        <w:t xml:space="preserve">Section 313:  </w:t>
      </w:r>
      <w:r>
        <w:t xml:space="preserve"> Prohibits certain financial institutions, including broker/dealers, from maintaining a “correspondent account” for, or on behalf of, a foreign “shell” bank (a foreign bank with no physical presence in any country).   The Company has no correspondent accounts for or on behalf of any shell bank.</w:t>
      </w:r>
    </w:p>
    <w:p w14:paraId="21D20D60" w14:textId="77777777" w:rsidR="003D216B" w:rsidRDefault="003D216B" w:rsidP="00F231DA">
      <w:pPr>
        <w:pStyle w:val="BodyText2"/>
        <w:widowControl/>
        <w:ind w:left="270"/>
        <w:jc w:val="both"/>
      </w:pPr>
    </w:p>
    <w:p w14:paraId="1257E36F" w14:textId="77777777" w:rsidR="003D216B" w:rsidRDefault="003D216B" w:rsidP="00F231DA">
      <w:pPr>
        <w:pStyle w:val="BodyText2"/>
        <w:widowControl/>
        <w:ind w:left="270"/>
        <w:jc w:val="both"/>
      </w:pPr>
      <w:r>
        <w:rPr>
          <w:b/>
          <w:bCs/>
        </w:rPr>
        <w:t xml:space="preserve">Section 314:   </w:t>
      </w:r>
      <w:r>
        <w:t xml:space="preserve">Addressed increased cooperation among financial institutions, regulatory authorities, and law enforcement authorities.  Registration to share information can be filed online at </w:t>
      </w:r>
      <w:hyperlink r:id="rId37" w:history="1">
        <w:r>
          <w:rPr>
            <w:rStyle w:val="Hyperlink"/>
          </w:rPr>
          <w:t>www.treas.gov/fincen</w:t>
        </w:r>
      </w:hyperlink>
      <w:r>
        <w:t xml:space="preserve">  regarding terrorist financing and money laundering activities to be shared with other financial institutions or associations of financial institutions.  </w:t>
      </w:r>
    </w:p>
    <w:p w14:paraId="50BCDEB5" w14:textId="77777777" w:rsidR="003D216B" w:rsidRDefault="003D216B" w:rsidP="00F231DA">
      <w:pPr>
        <w:pStyle w:val="BodyText2"/>
        <w:widowControl/>
        <w:ind w:left="270"/>
        <w:jc w:val="both"/>
      </w:pPr>
    </w:p>
    <w:p w14:paraId="78B8A73C" w14:textId="77777777" w:rsidR="003D216B" w:rsidRDefault="003D216B" w:rsidP="00F231DA">
      <w:pPr>
        <w:pStyle w:val="BodyText2"/>
        <w:widowControl/>
        <w:ind w:left="270"/>
        <w:jc w:val="both"/>
      </w:pPr>
      <w:r>
        <w:rPr>
          <w:b/>
          <w:bCs/>
        </w:rPr>
        <w:lastRenderedPageBreak/>
        <w:t xml:space="preserve">Section 319:   </w:t>
      </w:r>
      <w:r>
        <w:t xml:space="preserve">A financial institution is required to produce account information relating to foreign bank accounts </w:t>
      </w:r>
      <w:r>
        <w:rPr>
          <w:b/>
          <w:bCs/>
        </w:rPr>
        <w:t>within seven days</w:t>
      </w:r>
      <w:r>
        <w:t xml:space="preserve"> in response to requests from federal law enforcement.  </w:t>
      </w:r>
    </w:p>
    <w:p w14:paraId="5EF48EB3" w14:textId="77777777" w:rsidR="003D216B" w:rsidRDefault="003D216B" w:rsidP="00F231DA">
      <w:pPr>
        <w:pStyle w:val="BodyText2"/>
        <w:widowControl/>
        <w:ind w:left="270"/>
        <w:jc w:val="both"/>
      </w:pPr>
    </w:p>
    <w:p w14:paraId="67134410" w14:textId="77777777" w:rsidR="003D216B" w:rsidRDefault="003D216B" w:rsidP="00F231DA">
      <w:pPr>
        <w:pStyle w:val="BodyText2"/>
        <w:widowControl/>
        <w:ind w:left="270"/>
        <w:jc w:val="both"/>
      </w:pPr>
      <w:r>
        <w:rPr>
          <w:b/>
          <w:bCs/>
        </w:rPr>
        <w:t xml:space="preserve">Section 326   </w:t>
      </w:r>
      <w:r>
        <w:t>Requires minimum standards for customer identification in the account opening process and maintenance of records identifying the customer (Customer Identification Program (CIP). See further information below).  The Company must fully implement their CIP procedures by October 1, 2003.</w:t>
      </w:r>
    </w:p>
    <w:p w14:paraId="69270E40" w14:textId="77777777" w:rsidR="003D216B" w:rsidRDefault="003D216B" w:rsidP="00F231DA">
      <w:pPr>
        <w:pStyle w:val="BodyText2"/>
        <w:widowControl/>
        <w:ind w:left="270"/>
        <w:jc w:val="both"/>
      </w:pPr>
    </w:p>
    <w:p w14:paraId="1A5A916F" w14:textId="77777777" w:rsidR="003D216B" w:rsidRDefault="003D216B" w:rsidP="00F231DA">
      <w:pPr>
        <w:pStyle w:val="BodyText2"/>
        <w:widowControl/>
        <w:ind w:left="270"/>
        <w:jc w:val="both"/>
      </w:pPr>
      <w:r>
        <w:rPr>
          <w:b/>
          <w:bCs/>
        </w:rPr>
        <w:t xml:space="preserve">Section 352:   </w:t>
      </w:r>
      <w:r>
        <w:t xml:space="preserve">Requires all financial institutions to develop and implement AML compliance programs on or before April 24, 2002.  </w:t>
      </w:r>
      <w:r>
        <w:rPr>
          <w:b/>
          <w:bCs/>
        </w:rPr>
        <w:t xml:space="preserve"> </w:t>
      </w:r>
    </w:p>
    <w:p w14:paraId="1F89FD2F" w14:textId="77777777" w:rsidR="003D216B" w:rsidRDefault="003D216B" w:rsidP="00F231DA">
      <w:pPr>
        <w:pStyle w:val="BodyText2"/>
        <w:widowControl/>
        <w:ind w:left="270"/>
        <w:jc w:val="both"/>
      </w:pPr>
    </w:p>
    <w:p w14:paraId="0BC2ADD9" w14:textId="77777777" w:rsidR="003D216B" w:rsidRDefault="003D216B" w:rsidP="00F231DA">
      <w:pPr>
        <w:pStyle w:val="BodyText2"/>
        <w:widowControl/>
        <w:ind w:left="270"/>
        <w:jc w:val="both"/>
      </w:pPr>
      <w:r>
        <w:rPr>
          <w:b/>
          <w:bCs/>
        </w:rPr>
        <w:t xml:space="preserve">Section 356:   </w:t>
      </w:r>
      <w:r>
        <w:t>Requires financial institutions to file Suspicious Activity Reports (SARs) to become effective 180 days after the date on which the final broker/dealer SAR regulations are published in the Federal Register.</w:t>
      </w:r>
    </w:p>
    <w:p w14:paraId="46941308" w14:textId="77777777" w:rsidR="003D216B" w:rsidRDefault="003D216B" w:rsidP="00F231DA">
      <w:pPr>
        <w:pStyle w:val="BodyText2"/>
        <w:widowControl/>
        <w:ind w:left="270"/>
        <w:jc w:val="both"/>
      </w:pPr>
    </w:p>
    <w:p w14:paraId="39AAF266" w14:textId="77777777" w:rsidR="003D216B" w:rsidRPr="00F231DA" w:rsidRDefault="00FB3112" w:rsidP="001A7509">
      <w:pPr>
        <w:pStyle w:val="Heading3"/>
      </w:pPr>
      <w:bookmarkStart w:id="110" w:name="BankSecyAct"/>
      <w:bookmarkEnd w:id="110"/>
      <w:r>
        <w:t>7.5.2 The</w:t>
      </w:r>
      <w:r w:rsidR="003D216B" w:rsidRPr="00F231DA">
        <w:t xml:space="preserve"> Bank Secrecy Act of 1970 and SEC Rule 17a-8</w:t>
      </w:r>
    </w:p>
    <w:p w14:paraId="6E21FA62" w14:textId="77777777" w:rsidR="003D216B" w:rsidRDefault="003D216B" w:rsidP="00646C31">
      <w:pPr>
        <w:pStyle w:val="BodyText"/>
        <w:spacing w:before="0" w:after="0"/>
        <w:ind w:left="270"/>
      </w:pPr>
      <w:r>
        <w:rPr>
          <w:b/>
        </w:rPr>
        <w:t>SEC Rule 17a-8</w:t>
      </w:r>
      <w:r>
        <w:t xml:space="preserve"> requires the </w:t>
      </w:r>
      <w:r w:rsidR="00252639">
        <w:t>Company</w:t>
      </w:r>
      <w:r>
        <w:t xml:space="preserve"> to establish procedures to prevent the concealment of money that results from illegal activities or tax avoidance schemes.</w:t>
      </w:r>
    </w:p>
    <w:p w14:paraId="288F7ECF" w14:textId="77777777" w:rsidR="00646C31" w:rsidRDefault="00646C31" w:rsidP="00646C31">
      <w:pPr>
        <w:pStyle w:val="BodyText"/>
        <w:spacing w:before="0" w:after="0"/>
        <w:ind w:left="270"/>
      </w:pPr>
    </w:p>
    <w:p w14:paraId="240092C2" w14:textId="77777777" w:rsidR="003D216B" w:rsidRDefault="003D216B" w:rsidP="00F231DA">
      <w:pPr>
        <w:ind w:left="270"/>
        <w:jc w:val="both"/>
        <w:rPr>
          <w:sz w:val="24"/>
        </w:rPr>
      </w:pPr>
      <w:r>
        <w:rPr>
          <w:b/>
          <w:sz w:val="24"/>
        </w:rPr>
        <w:t>The Bank Secrecy Act of 1970</w:t>
      </w:r>
      <w:r>
        <w:rPr>
          <w:sz w:val="24"/>
        </w:rPr>
        <w:t xml:space="preserve"> requires financial institutions to report to the IRS all cash transactions that reach the threshold of $10,000 or more by filing a Currency Transaction Report, Department of Treasury Form 4789 within 15 days after the receipt of funds.  With respect to each new account established by the Company, by persons residing or doing business in the United States, or a citizen of the United States, the Company shall within 30 days from the date such account is opened, secure and maintain a record of the taxpayer's identification number of the person on whose behalf the account is established; or in the case of an account of one or more individuals, the Company shall secure and maintain a record of the social security number of an individual having a financial interest in the subject account.</w:t>
      </w:r>
    </w:p>
    <w:p w14:paraId="450AE1DC" w14:textId="77777777" w:rsidR="003D216B" w:rsidRDefault="003D216B" w:rsidP="00F231DA">
      <w:pPr>
        <w:ind w:left="270"/>
        <w:jc w:val="both"/>
        <w:rPr>
          <w:sz w:val="24"/>
        </w:rPr>
      </w:pPr>
    </w:p>
    <w:p w14:paraId="4D879667" w14:textId="77777777" w:rsidR="003D216B" w:rsidRDefault="003D216B" w:rsidP="00F231DA">
      <w:pPr>
        <w:ind w:left="270"/>
        <w:jc w:val="both"/>
        <w:rPr>
          <w:sz w:val="24"/>
        </w:rPr>
      </w:pPr>
      <w:r>
        <w:rPr>
          <w:sz w:val="24"/>
        </w:rPr>
        <w:t>In the event that the Company has been unable to secure the identification required within the 30</w:t>
      </w:r>
      <w:r w:rsidR="00F7767F">
        <w:rPr>
          <w:sz w:val="24"/>
        </w:rPr>
        <w:t>-</w:t>
      </w:r>
      <w:r>
        <w:rPr>
          <w:sz w:val="24"/>
        </w:rPr>
        <w:t>day period specified, it will nevertheless not be deemed to be in violation of the Bank Secrecy Act or SEC Rule 17a-8, if:</w:t>
      </w:r>
    </w:p>
    <w:p w14:paraId="65A1D352" w14:textId="77777777" w:rsidR="003D216B" w:rsidRDefault="003D216B" w:rsidP="003D216B">
      <w:pPr>
        <w:jc w:val="both"/>
        <w:rPr>
          <w:sz w:val="24"/>
        </w:rPr>
      </w:pPr>
    </w:p>
    <w:p w14:paraId="0C34CBD5" w14:textId="77777777" w:rsidR="003D216B" w:rsidRDefault="003D216B" w:rsidP="005F56E1">
      <w:pPr>
        <w:ind w:left="1170" w:right="720" w:hanging="450"/>
        <w:jc w:val="both"/>
        <w:rPr>
          <w:sz w:val="24"/>
        </w:rPr>
      </w:pPr>
      <w:r>
        <w:rPr>
          <w:sz w:val="24"/>
        </w:rPr>
        <w:t>(1)</w:t>
      </w:r>
      <w:r>
        <w:rPr>
          <w:sz w:val="24"/>
        </w:rPr>
        <w:tab/>
      </w:r>
      <w:r w:rsidR="00FB3112">
        <w:rPr>
          <w:sz w:val="24"/>
        </w:rPr>
        <w:t>The</w:t>
      </w:r>
      <w:r>
        <w:rPr>
          <w:sz w:val="24"/>
        </w:rPr>
        <w:t xml:space="preserve"> Company has made a reasonable effort to secure such identification; and</w:t>
      </w:r>
    </w:p>
    <w:p w14:paraId="607C5217" w14:textId="77777777" w:rsidR="003D216B" w:rsidRDefault="003D216B" w:rsidP="00C32EC5">
      <w:pPr>
        <w:ind w:left="1440" w:right="720" w:hanging="720"/>
        <w:jc w:val="both"/>
        <w:rPr>
          <w:sz w:val="24"/>
        </w:rPr>
      </w:pPr>
    </w:p>
    <w:p w14:paraId="1C662089" w14:textId="77777777" w:rsidR="003D216B" w:rsidRDefault="003D216B" w:rsidP="00FB3112">
      <w:pPr>
        <w:ind w:left="1170" w:right="720" w:hanging="450"/>
        <w:rPr>
          <w:sz w:val="24"/>
        </w:rPr>
      </w:pPr>
      <w:r>
        <w:rPr>
          <w:sz w:val="24"/>
        </w:rPr>
        <w:t>(2)</w:t>
      </w:r>
      <w:r>
        <w:rPr>
          <w:sz w:val="24"/>
        </w:rPr>
        <w:tab/>
      </w:r>
      <w:r w:rsidR="00FB3112">
        <w:rPr>
          <w:sz w:val="24"/>
        </w:rPr>
        <w:t>The</w:t>
      </w:r>
      <w:r>
        <w:rPr>
          <w:sz w:val="24"/>
        </w:rPr>
        <w:t xml:space="preserve"> Company maintains a list containing the names, addresses, and account numbers of those persons from whom it has been unable to secure such identification, and makes the names, addresses, and account numbers of those persons available to the proper authorities as may be requested.</w:t>
      </w:r>
    </w:p>
    <w:p w14:paraId="14FAFBFE" w14:textId="3E95EDB2" w:rsidR="003D216B" w:rsidRDefault="003D216B" w:rsidP="00FB3112">
      <w:pPr>
        <w:pStyle w:val="BodyText"/>
        <w:ind w:left="270"/>
        <w:jc w:val="left"/>
      </w:pPr>
      <w:r>
        <w:t xml:space="preserve">The Company's personnel must </w:t>
      </w:r>
      <w:r w:rsidR="00CC601C">
        <w:t>ensure</w:t>
      </w:r>
      <w:r>
        <w:t xml:space="preserve"> that a W-9 is obtained for each account established on behalf of a customer. If a W-9 is not obtained, the appropriate backup withholding will be applied and a list of all outstanding W- 9's shall be maintained by the Company as a part of its books and records.</w:t>
      </w:r>
    </w:p>
    <w:p w14:paraId="7BA1F90A" w14:textId="77777777" w:rsidR="003D216B" w:rsidRDefault="003D216B" w:rsidP="00FB3112">
      <w:pPr>
        <w:ind w:left="270"/>
        <w:rPr>
          <w:sz w:val="24"/>
        </w:rPr>
      </w:pPr>
      <w:r>
        <w:rPr>
          <w:sz w:val="24"/>
        </w:rPr>
        <w:t>Where a person is a nonresident alien, the Company shall also record the person's passport number or description of some other government document used to verify the individual's identity.</w:t>
      </w:r>
    </w:p>
    <w:p w14:paraId="0FDBF690" w14:textId="77777777" w:rsidR="003D216B" w:rsidRDefault="003D216B" w:rsidP="00FB3112">
      <w:pPr>
        <w:ind w:left="270"/>
        <w:rPr>
          <w:sz w:val="24"/>
        </w:rPr>
      </w:pPr>
    </w:p>
    <w:p w14:paraId="048EA498" w14:textId="77777777" w:rsidR="003D216B" w:rsidRDefault="003D216B" w:rsidP="00FB3112">
      <w:pPr>
        <w:ind w:left="274"/>
        <w:rPr>
          <w:sz w:val="24"/>
        </w:rPr>
      </w:pPr>
      <w:r>
        <w:rPr>
          <w:sz w:val="24"/>
        </w:rPr>
        <w:lastRenderedPageBreak/>
        <w:t>The 30</w:t>
      </w:r>
      <w:r w:rsidR="00F7767F">
        <w:rPr>
          <w:sz w:val="24"/>
        </w:rPr>
        <w:t>-</w:t>
      </w:r>
      <w:r>
        <w:rPr>
          <w:sz w:val="24"/>
        </w:rPr>
        <w:t>day period provided for in the Bank Secrecy Act shall be extended where the person establishing the account has applied for a taxpayer identification or social security number on Form S-4 or S-5, until such time as the person maintaining the account has had a reasonable opportunity to secure such number and furnish it to the Company.</w:t>
      </w:r>
    </w:p>
    <w:p w14:paraId="6F4D0A1F" w14:textId="77777777" w:rsidR="003D216B" w:rsidRDefault="003D216B" w:rsidP="00FB3112">
      <w:pPr>
        <w:ind w:left="274"/>
        <w:jc w:val="both"/>
        <w:rPr>
          <w:sz w:val="24"/>
        </w:rPr>
      </w:pPr>
    </w:p>
    <w:p w14:paraId="798A3C39" w14:textId="77777777" w:rsidR="003D216B" w:rsidRDefault="003D216B" w:rsidP="00FB3112">
      <w:pPr>
        <w:ind w:left="274"/>
        <w:jc w:val="both"/>
        <w:rPr>
          <w:sz w:val="24"/>
        </w:rPr>
      </w:pPr>
      <w:r>
        <w:rPr>
          <w:sz w:val="24"/>
        </w:rPr>
        <w:t>A taxpayer identification number for a deposit or share account required under the above paragraph need not be secured in the following instances:</w:t>
      </w:r>
    </w:p>
    <w:p w14:paraId="47354560" w14:textId="77777777" w:rsidR="003D216B" w:rsidRDefault="003D216B" w:rsidP="003D216B">
      <w:pPr>
        <w:jc w:val="both"/>
        <w:rPr>
          <w:sz w:val="24"/>
        </w:rPr>
      </w:pPr>
    </w:p>
    <w:p w14:paraId="61B358A7" w14:textId="77777777" w:rsidR="003D216B" w:rsidRDefault="003D216B" w:rsidP="00FB3112">
      <w:pPr>
        <w:ind w:left="1170" w:right="720" w:hanging="450"/>
        <w:rPr>
          <w:sz w:val="24"/>
        </w:rPr>
      </w:pPr>
      <w:r>
        <w:rPr>
          <w:sz w:val="24"/>
        </w:rPr>
        <w:t>(1)</w:t>
      </w:r>
      <w:r>
        <w:rPr>
          <w:sz w:val="24"/>
        </w:rPr>
        <w:tab/>
        <w:t>Accounts for public funds opened by agencies and instrumentalities of Federal, State, local or foreign governments;</w:t>
      </w:r>
    </w:p>
    <w:p w14:paraId="385CE446" w14:textId="77777777" w:rsidR="003D216B" w:rsidRDefault="003D216B" w:rsidP="003D216B">
      <w:pPr>
        <w:ind w:left="1440" w:hanging="720"/>
        <w:jc w:val="both"/>
        <w:rPr>
          <w:sz w:val="24"/>
        </w:rPr>
      </w:pPr>
    </w:p>
    <w:p w14:paraId="5EAE1098" w14:textId="77777777" w:rsidR="003D216B" w:rsidRDefault="003D216B" w:rsidP="005F56E1">
      <w:pPr>
        <w:ind w:left="1170" w:hanging="450"/>
        <w:jc w:val="both"/>
        <w:rPr>
          <w:sz w:val="24"/>
        </w:rPr>
      </w:pPr>
      <w:r>
        <w:rPr>
          <w:sz w:val="24"/>
        </w:rPr>
        <w:t>(2)</w:t>
      </w:r>
      <w:r>
        <w:rPr>
          <w:sz w:val="24"/>
        </w:rPr>
        <w:tab/>
      </w:r>
      <w:r w:rsidR="00B712EE">
        <w:rPr>
          <w:sz w:val="24"/>
        </w:rPr>
        <w:t>Accounts</w:t>
      </w:r>
      <w:r>
        <w:rPr>
          <w:sz w:val="24"/>
        </w:rPr>
        <w:t xml:space="preserve"> for aliens who are:</w:t>
      </w:r>
    </w:p>
    <w:p w14:paraId="56BF75C7" w14:textId="77777777" w:rsidR="003D216B" w:rsidRDefault="003D216B" w:rsidP="003D216B">
      <w:pPr>
        <w:ind w:left="1440" w:hanging="720"/>
        <w:jc w:val="both"/>
        <w:rPr>
          <w:sz w:val="24"/>
        </w:rPr>
      </w:pPr>
    </w:p>
    <w:p w14:paraId="0A1635FA" w14:textId="77777777" w:rsidR="003D216B" w:rsidRDefault="00F8444D" w:rsidP="00F8444D">
      <w:pPr>
        <w:ind w:left="1890" w:right="1080" w:hanging="450"/>
        <w:rPr>
          <w:sz w:val="24"/>
        </w:rPr>
      </w:pPr>
      <w:r>
        <w:rPr>
          <w:sz w:val="24"/>
        </w:rPr>
        <w:t xml:space="preserve">(a)  </w:t>
      </w:r>
      <w:r w:rsidR="00B712EE">
        <w:rPr>
          <w:sz w:val="24"/>
        </w:rPr>
        <w:t>Ambassadors</w:t>
      </w:r>
      <w:r w:rsidR="003D216B">
        <w:rPr>
          <w:sz w:val="24"/>
        </w:rPr>
        <w:t>, ministers, career diplomatic or consular office, or</w:t>
      </w:r>
    </w:p>
    <w:p w14:paraId="112173C4" w14:textId="77777777" w:rsidR="003D216B" w:rsidRDefault="003D216B" w:rsidP="003D216B">
      <w:pPr>
        <w:ind w:left="2160" w:right="1440" w:hanging="720"/>
        <w:rPr>
          <w:sz w:val="24"/>
        </w:rPr>
      </w:pPr>
    </w:p>
    <w:p w14:paraId="4B62E5AB" w14:textId="77777777" w:rsidR="003D216B" w:rsidRDefault="00B712EE" w:rsidP="00216F83">
      <w:pPr>
        <w:numPr>
          <w:ilvl w:val="0"/>
          <w:numId w:val="6"/>
        </w:numPr>
        <w:tabs>
          <w:tab w:val="clear" w:pos="2160"/>
          <w:tab w:val="num" w:pos="1800"/>
          <w:tab w:val="left" w:pos="9360"/>
        </w:tabs>
        <w:ind w:left="1800" w:hanging="360"/>
        <w:jc w:val="both"/>
        <w:rPr>
          <w:sz w:val="24"/>
        </w:rPr>
      </w:pPr>
      <w:r>
        <w:rPr>
          <w:sz w:val="24"/>
        </w:rPr>
        <w:t>Naval</w:t>
      </w:r>
      <w:r w:rsidR="003D216B">
        <w:rPr>
          <w:sz w:val="24"/>
        </w:rPr>
        <w:t xml:space="preserve">, military or other </w:t>
      </w:r>
      <w:r w:rsidR="00F7767F">
        <w:rPr>
          <w:sz w:val="24"/>
        </w:rPr>
        <w:t>attachés</w:t>
      </w:r>
      <w:r w:rsidR="003D216B">
        <w:rPr>
          <w:sz w:val="24"/>
        </w:rPr>
        <w:t xml:space="preserve"> of foreign embassies, and legations, and or the members of their immediate families.</w:t>
      </w:r>
    </w:p>
    <w:p w14:paraId="2C11A531" w14:textId="77777777" w:rsidR="003D216B" w:rsidRDefault="003D216B" w:rsidP="003D216B">
      <w:pPr>
        <w:ind w:left="1440" w:right="1440"/>
        <w:rPr>
          <w:sz w:val="24"/>
        </w:rPr>
      </w:pPr>
    </w:p>
    <w:p w14:paraId="3BFB1AFF" w14:textId="77777777" w:rsidR="003D216B" w:rsidRDefault="00B712EE" w:rsidP="00E26FDD">
      <w:pPr>
        <w:ind w:left="1170" w:hanging="450"/>
        <w:rPr>
          <w:sz w:val="24"/>
        </w:rPr>
      </w:pPr>
      <w:r>
        <w:rPr>
          <w:sz w:val="24"/>
        </w:rPr>
        <w:t>(3)</w:t>
      </w:r>
      <w:r>
        <w:rPr>
          <w:sz w:val="24"/>
        </w:rPr>
        <w:tab/>
        <w:t>A</w:t>
      </w:r>
      <w:r w:rsidR="003D216B">
        <w:rPr>
          <w:sz w:val="24"/>
        </w:rPr>
        <w:t>ccounts for aliens who are accredited representatives to international</w:t>
      </w:r>
      <w:r w:rsidR="00634512">
        <w:rPr>
          <w:sz w:val="24"/>
        </w:rPr>
        <w:t xml:space="preserve"> </w:t>
      </w:r>
      <w:r w:rsidR="003D216B">
        <w:rPr>
          <w:sz w:val="24"/>
        </w:rPr>
        <w:t>organizations which are entitled to enjoy privileges, exemption, and immunities as an international organization under the International Organizations Immunities Act of December 29, 1945 (22 USC Sec. 288), and for the members of their immediate families.</w:t>
      </w:r>
    </w:p>
    <w:p w14:paraId="2B478C71" w14:textId="77777777" w:rsidR="003D216B" w:rsidRDefault="003D216B" w:rsidP="00E26FDD">
      <w:pPr>
        <w:ind w:left="720" w:hanging="720"/>
        <w:rPr>
          <w:sz w:val="24"/>
        </w:rPr>
      </w:pPr>
    </w:p>
    <w:p w14:paraId="72E3A2CA" w14:textId="77777777" w:rsidR="003D216B" w:rsidRDefault="003D216B" w:rsidP="00E26FDD">
      <w:pPr>
        <w:ind w:left="270"/>
        <w:rPr>
          <w:sz w:val="24"/>
        </w:rPr>
      </w:pPr>
      <w:r>
        <w:rPr>
          <w:sz w:val="24"/>
        </w:rPr>
        <w:t>Every broker or dealer in securities will, in addition, retain as required, either the original or a microfilm or other copy or reproduction of each of the following:</w:t>
      </w:r>
    </w:p>
    <w:p w14:paraId="21E91420" w14:textId="77777777" w:rsidR="003D216B" w:rsidRDefault="003D216B" w:rsidP="00E26FDD">
      <w:pPr>
        <w:rPr>
          <w:sz w:val="24"/>
        </w:rPr>
      </w:pPr>
    </w:p>
    <w:p w14:paraId="05B5C31B" w14:textId="77777777" w:rsidR="003D216B" w:rsidRDefault="003D216B" w:rsidP="00F479AB">
      <w:pPr>
        <w:ind w:left="1170" w:hanging="450"/>
        <w:rPr>
          <w:sz w:val="24"/>
        </w:rPr>
      </w:pPr>
      <w:r>
        <w:rPr>
          <w:sz w:val="24"/>
        </w:rPr>
        <w:t>(1)</w:t>
      </w:r>
      <w:r>
        <w:rPr>
          <w:sz w:val="24"/>
        </w:rPr>
        <w:tab/>
        <w:t>Each document granting signature or trading authority over each customer's account;</w:t>
      </w:r>
    </w:p>
    <w:p w14:paraId="290A8E1E" w14:textId="77777777" w:rsidR="003D216B" w:rsidRDefault="003D216B" w:rsidP="00F479AB">
      <w:pPr>
        <w:ind w:left="1170" w:right="720" w:hanging="450"/>
        <w:rPr>
          <w:sz w:val="24"/>
        </w:rPr>
      </w:pPr>
    </w:p>
    <w:p w14:paraId="14FAEE4A" w14:textId="77777777" w:rsidR="003D216B" w:rsidRDefault="003D216B" w:rsidP="00F479AB">
      <w:pPr>
        <w:ind w:left="1170" w:hanging="450"/>
        <w:rPr>
          <w:sz w:val="24"/>
        </w:rPr>
      </w:pPr>
      <w:r>
        <w:rPr>
          <w:sz w:val="24"/>
        </w:rPr>
        <w:t>(2)</w:t>
      </w:r>
      <w:r>
        <w:rPr>
          <w:sz w:val="24"/>
        </w:rPr>
        <w:tab/>
        <w:t>Each record described in section 240.17a-3(a)(1), (2), (3), (5), (6), (7), (8), and (9) of Title 17, Code of Federal Regulations;</w:t>
      </w:r>
    </w:p>
    <w:p w14:paraId="79945B1B" w14:textId="77777777" w:rsidR="003D216B" w:rsidRDefault="003D216B" w:rsidP="00E26FDD">
      <w:pPr>
        <w:ind w:left="1440" w:right="720" w:hanging="720"/>
        <w:rPr>
          <w:sz w:val="24"/>
        </w:rPr>
      </w:pPr>
    </w:p>
    <w:p w14:paraId="4B780CED" w14:textId="77777777" w:rsidR="003D216B" w:rsidRDefault="003D216B" w:rsidP="00E26FDD">
      <w:pPr>
        <w:ind w:left="1170" w:hanging="450"/>
        <w:rPr>
          <w:sz w:val="24"/>
        </w:rPr>
      </w:pPr>
      <w:r>
        <w:rPr>
          <w:sz w:val="24"/>
        </w:rPr>
        <w:t>(3)</w:t>
      </w:r>
      <w:r>
        <w:rPr>
          <w:sz w:val="24"/>
        </w:rPr>
        <w:tab/>
        <w:t>A record of each remittance or transfer of funds, or of currency, checks or monetary instruments, investment securities, or credit, of more than $3,000 to a person, account, or place, outside of the United States.</w:t>
      </w:r>
    </w:p>
    <w:p w14:paraId="5794AC26" w14:textId="77777777" w:rsidR="003D216B" w:rsidRDefault="003D216B" w:rsidP="00E26FDD">
      <w:pPr>
        <w:ind w:left="1170" w:hanging="450"/>
        <w:rPr>
          <w:sz w:val="24"/>
        </w:rPr>
      </w:pPr>
    </w:p>
    <w:p w14:paraId="7D9D15A7" w14:textId="77777777" w:rsidR="003D216B" w:rsidRDefault="001D0B3B" w:rsidP="00E26FDD">
      <w:pPr>
        <w:ind w:left="1170" w:hanging="450"/>
        <w:rPr>
          <w:sz w:val="24"/>
        </w:rPr>
      </w:pPr>
      <w:r>
        <w:rPr>
          <w:sz w:val="24"/>
        </w:rPr>
        <w:t>(4)</w:t>
      </w:r>
      <w:r>
        <w:rPr>
          <w:sz w:val="24"/>
        </w:rPr>
        <w:tab/>
        <w:t>A</w:t>
      </w:r>
      <w:r w:rsidR="003D216B">
        <w:rPr>
          <w:sz w:val="24"/>
        </w:rPr>
        <w:t xml:space="preserve"> record of each receipt of currency, other monetary instruments, checks or investment securities and of each transfer of funds or credit, of more than $3,000 received on any one occasion directly and not through a domestic financial institution, from any person, account or place outside the United States.</w:t>
      </w:r>
    </w:p>
    <w:p w14:paraId="0E549E6F" w14:textId="77777777" w:rsidR="00606901" w:rsidRDefault="00606901" w:rsidP="00E26FDD">
      <w:pPr>
        <w:ind w:left="1170" w:hanging="450"/>
        <w:rPr>
          <w:sz w:val="24"/>
        </w:rPr>
      </w:pPr>
    </w:p>
    <w:p w14:paraId="5F4EB80D" w14:textId="77777777" w:rsidR="00606901" w:rsidRPr="00A46B46" w:rsidRDefault="00606901" w:rsidP="00606901">
      <w:pPr>
        <w:ind w:left="270"/>
        <w:rPr>
          <w:b/>
          <w:sz w:val="24"/>
          <w:szCs w:val="24"/>
        </w:rPr>
      </w:pPr>
      <w:r w:rsidRPr="00A46B46">
        <w:rPr>
          <w:b/>
          <w:sz w:val="24"/>
          <w:szCs w:val="24"/>
        </w:rPr>
        <w:t>BSA Filings</w:t>
      </w:r>
    </w:p>
    <w:p w14:paraId="69F7BF9C" w14:textId="77777777" w:rsidR="00606901" w:rsidRPr="00A46B46" w:rsidRDefault="00606901" w:rsidP="00606901">
      <w:pPr>
        <w:ind w:left="270"/>
      </w:pPr>
      <w:r w:rsidRPr="00A46B46">
        <w:rPr>
          <w:sz w:val="24"/>
          <w:szCs w:val="24"/>
        </w:rPr>
        <w:t xml:space="preserve">FinCEN has an e-filing system for electronic filing of BSA forms, most of which must be filed electronically. FinCEN also provides Adobe forms which must be filed in paper form. </w:t>
      </w:r>
      <w:r w:rsidRPr="00A46B46">
        <w:t xml:space="preserve">[BSA E-Filing System: </w:t>
      </w:r>
      <w:hyperlink r:id="rId38" w:history="1">
        <w:r w:rsidR="005B19F2" w:rsidRPr="00A46B46">
          <w:rPr>
            <w:rStyle w:val="Hyperlink"/>
            <w:color w:val="auto"/>
          </w:rPr>
          <w:t>http://bsaefiling.fincen.treas.gov/main.html</w:t>
        </w:r>
      </w:hyperlink>
      <w:r w:rsidRPr="00A46B46">
        <w:t xml:space="preserve">; FinCEN web site for Adobe forms: </w:t>
      </w:r>
      <w:hyperlink r:id="rId39" w:history="1">
        <w:r w:rsidRPr="00A46B46">
          <w:rPr>
            <w:rStyle w:val="Hyperlink"/>
            <w:color w:val="auto"/>
          </w:rPr>
          <w:t>http://www.fincen.gov/forms/bsa_forms/</w:t>
        </w:r>
      </w:hyperlink>
      <w:r w:rsidRPr="00A46B46">
        <w:t>]</w:t>
      </w:r>
    </w:p>
    <w:p w14:paraId="607EAB4C" w14:textId="77777777" w:rsidR="00606901" w:rsidRPr="00A46B46" w:rsidRDefault="00606901" w:rsidP="00606901">
      <w:pPr>
        <w:ind w:left="270"/>
        <w:rPr>
          <w:sz w:val="24"/>
        </w:rPr>
      </w:pPr>
    </w:p>
    <w:p w14:paraId="767E6476" w14:textId="77777777" w:rsidR="00606901" w:rsidRPr="00A46B46" w:rsidRDefault="00606901" w:rsidP="00606901">
      <w:pPr>
        <w:shd w:val="clear" w:color="auto" w:fill="FFFFFF"/>
        <w:ind w:left="270"/>
        <w:rPr>
          <w:sz w:val="24"/>
          <w:szCs w:val="24"/>
        </w:rPr>
      </w:pPr>
      <w:r w:rsidRPr="00A46B46">
        <w:rPr>
          <w:sz w:val="24"/>
          <w:szCs w:val="24"/>
        </w:rPr>
        <w:lastRenderedPageBreak/>
        <w:t>The BSA E-Filing System web site provides a list of forms supported for electronic filing, and include the following (refer to the web site for the most current list of forms):</w:t>
      </w:r>
    </w:p>
    <w:p w14:paraId="69E10B9C" w14:textId="77777777" w:rsidR="00606901" w:rsidRPr="006D5CDF" w:rsidRDefault="00606901" w:rsidP="003E7B18">
      <w:pPr>
        <w:numPr>
          <w:ilvl w:val="0"/>
          <w:numId w:val="216"/>
        </w:numPr>
        <w:shd w:val="clear" w:color="auto" w:fill="FFFFFF"/>
        <w:rPr>
          <w:sz w:val="24"/>
          <w:szCs w:val="24"/>
        </w:rPr>
      </w:pPr>
      <w:r w:rsidRPr="00A46B46">
        <w:rPr>
          <w:sz w:val="24"/>
          <w:szCs w:val="24"/>
        </w:rPr>
        <w:t>Currency Tr</w:t>
      </w:r>
      <w:r w:rsidR="00F315D1">
        <w:rPr>
          <w:sz w:val="24"/>
          <w:szCs w:val="24"/>
        </w:rPr>
        <w:t xml:space="preserve">ansaction Report (FinCEN Form </w:t>
      </w:r>
      <w:r w:rsidR="00F315D1" w:rsidRPr="006D5CDF">
        <w:rPr>
          <w:sz w:val="24"/>
          <w:szCs w:val="24"/>
        </w:rPr>
        <w:t>112</w:t>
      </w:r>
      <w:r w:rsidRPr="006D5CDF">
        <w:rPr>
          <w:sz w:val="24"/>
          <w:szCs w:val="24"/>
        </w:rPr>
        <w:t xml:space="preserve">) </w:t>
      </w:r>
      <w:r w:rsidR="006C79CF" w:rsidRPr="006D5CDF">
        <w:rPr>
          <w:sz w:val="24"/>
          <w:szCs w:val="24"/>
        </w:rPr>
        <w:t>for deposits exceeding $10,000</w:t>
      </w:r>
    </w:p>
    <w:p w14:paraId="79874C8A" w14:textId="77777777" w:rsidR="00606901" w:rsidRPr="006D5CDF" w:rsidRDefault="00606901" w:rsidP="003E7B18">
      <w:pPr>
        <w:numPr>
          <w:ilvl w:val="0"/>
          <w:numId w:val="216"/>
        </w:numPr>
        <w:shd w:val="clear" w:color="auto" w:fill="FFFFFF"/>
        <w:rPr>
          <w:sz w:val="24"/>
          <w:szCs w:val="24"/>
        </w:rPr>
      </w:pPr>
      <w:r w:rsidRPr="006D5CDF">
        <w:rPr>
          <w:sz w:val="24"/>
          <w:szCs w:val="24"/>
        </w:rPr>
        <w:t xml:space="preserve">Designation of Exempt Person (FinCEN Form 110) </w:t>
      </w:r>
    </w:p>
    <w:p w14:paraId="56904769" w14:textId="77777777" w:rsidR="00606901" w:rsidRPr="006D5CDF" w:rsidRDefault="00606901" w:rsidP="003E7B18">
      <w:pPr>
        <w:numPr>
          <w:ilvl w:val="0"/>
          <w:numId w:val="216"/>
        </w:numPr>
        <w:shd w:val="clear" w:color="auto" w:fill="FFFFFF"/>
        <w:rPr>
          <w:sz w:val="24"/>
          <w:szCs w:val="24"/>
        </w:rPr>
      </w:pPr>
      <w:r w:rsidRPr="006D5CDF">
        <w:rPr>
          <w:sz w:val="24"/>
          <w:szCs w:val="24"/>
        </w:rPr>
        <w:t>Suspicious Activity Report by the Securities and Futures Industries (FinCEN Form 1</w:t>
      </w:r>
      <w:r w:rsidR="00B66173" w:rsidRPr="006D5CDF">
        <w:rPr>
          <w:sz w:val="24"/>
          <w:szCs w:val="24"/>
        </w:rPr>
        <w:t>1</w:t>
      </w:r>
      <w:r w:rsidRPr="006D5CDF">
        <w:rPr>
          <w:sz w:val="24"/>
          <w:szCs w:val="24"/>
        </w:rPr>
        <w:t xml:space="preserve">1) </w:t>
      </w:r>
    </w:p>
    <w:p w14:paraId="78107BF4" w14:textId="77777777" w:rsidR="00606901" w:rsidRPr="006D5CDF" w:rsidRDefault="00606901" w:rsidP="003E7B18">
      <w:pPr>
        <w:numPr>
          <w:ilvl w:val="0"/>
          <w:numId w:val="216"/>
        </w:numPr>
        <w:shd w:val="clear" w:color="auto" w:fill="FFFFFF"/>
        <w:rPr>
          <w:sz w:val="24"/>
          <w:szCs w:val="24"/>
        </w:rPr>
      </w:pPr>
      <w:r w:rsidRPr="006D5CDF">
        <w:rPr>
          <w:sz w:val="24"/>
          <w:szCs w:val="24"/>
        </w:rPr>
        <w:t>Report of Foreign Bank and Financial Accounts (Form 1</w:t>
      </w:r>
      <w:r w:rsidR="00B66173" w:rsidRPr="006D5CDF">
        <w:rPr>
          <w:sz w:val="24"/>
          <w:szCs w:val="24"/>
        </w:rPr>
        <w:t>14</w:t>
      </w:r>
      <w:r w:rsidRPr="006D5CDF">
        <w:rPr>
          <w:sz w:val="24"/>
          <w:szCs w:val="24"/>
        </w:rPr>
        <w:t>)</w:t>
      </w:r>
    </w:p>
    <w:p w14:paraId="2B7046AA" w14:textId="77777777" w:rsidR="003D216B" w:rsidRPr="00A46B46" w:rsidRDefault="003D216B" w:rsidP="00E26FDD">
      <w:pPr>
        <w:pStyle w:val="MRS2"/>
        <w:jc w:val="left"/>
      </w:pPr>
    </w:p>
    <w:p w14:paraId="0D53A786" w14:textId="77777777" w:rsidR="006368F8" w:rsidRPr="00606901" w:rsidRDefault="006368F8" w:rsidP="00E26FDD">
      <w:pPr>
        <w:pStyle w:val="MRS2"/>
        <w:jc w:val="left"/>
      </w:pPr>
    </w:p>
    <w:p w14:paraId="5D4E8942" w14:textId="77777777" w:rsidR="003D216B" w:rsidRPr="00F231DA" w:rsidRDefault="001D0B3B" w:rsidP="00E26FDD">
      <w:pPr>
        <w:pStyle w:val="Heading3"/>
        <w:jc w:val="left"/>
      </w:pPr>
      <w:r>
        <w:t>7.5.3 The</w:t>
      </w:r>
      <w:r w:rsidR="003D216B" w:rsidRPr="00F231DA">
        <w:t xml:space="preserve"> Joint and Travel Rules</w:t>
      </w:r>
    </w:p>
    <w:p w14:paraId="28F4910E" w14:textId="77777777" w:rsidR="003D216B" w:rsidRDefault="003D216B" w:rsidP="00E26FDD">
      <w:pPr>
        <w:ind w:left="270"/>
        <w:rPr>
          <w:sz w:val="24"/>
        </w:rPr>
      </w:pPr>
    </w:p>
    <w:p w14:paraId="496D8507" w14:textId="77777777" w:rsidR="00693D2A" w:rsidRPr="00693D2A" w:rsidRDefault="00693D2A" w:rsidP="00E26FDD">
      <w:pPr>
        <w:ind w:left="270"/>
        <w:rPr>
          <w:b/>
          <w:sz w:val="24"/>
        </w:rPr>
      </w:pPr>
      <w:r>
        <w:rPr>
          <w:b/>
          <w:sz w:val="24"/>
        </w:rPr>
        <w:t>Requirements</w:t>
      </w:r>
    </w:p>
    <w:p w14:paraId="09952733" w14:textId="77777777" w:rsidR="003D216B" w:rsidRDefault="003D216B" w:rsidP="00E26FDD">
      <w:pPr>
        <w:ind w:left="270"/>
        <w:rPr>
          <w:sz w:val="24"/>
        </w:rPr>
      </w:pPr>
      <w:r>
        <w:rPr>
          <w:sz w:val="24"/>
        </w:rPr>
        <w:t>The amendments to the Bank Secrecy Act (BSA) require the Company through its clearing firm</w:t>
      </w:r>
      <w:r w:rsidR="000A3D7C">
        <w:rPr>
          <w:sz w:val="24"/>
        </w:rPr>
        <w:t>,</w:t>
      </w:r>
      <w:r>
        <w:rPr>
          <w:sz w:val="24"/>
        </w:rPr>
        <w:t xml:space="preserve"> to obtain and keep certain information concerning the transmittor and the recipients of funds of $3,000 or more.  Additionally this information must be included on the actual transmittal.  All transmittals are handled by </w:t>
      </w:r>
      <w:r w:rsidR="00D4257C" w:rsidRPr="00440D97">
        <w:rPr>
          <w:sz w:val="24"/>
        </w:rPr>
        <w:t>Hilltop</w:t>
      </w:r>
      <w:r>
        <w:rPr>
          <w:sz w:val="24"/>
        </w:rPr>
        <w:t xml:space="preserve"> Securities, Inc. on behalf of Company. </w:t>
      </w:r>
    </w:p>
    <w:p w14:paraId="3A0D9835" w14:textId="77777777" w:rsidR="003D216B" w:rsidRDefault="003D216B" w:rsidP="00E26FDD">
      <w:pPr>
        <w:ind w:left="270"/>
        <w:rPr>
          <w:b/>
          <w:sz w:val="24"/>
        </w:rPr>
      </w:pPr>
    </w:p>
    <w:p w14:paraId="36950A70" w14:textId="77777777" w:rsidR="003D216B" w:rsidRDefault="003D216B" w:rsidP="00E26FDD">
      <w:pPr>
        <w:ind w:left="270"/>
        <w:rPr>
          <w:sz w:val="24"/>
        </w:rPr>
      </w:pPr>
      <w:r>
        <w:rPr>
          <w:sz w:val="24"/>
        </w:rPr>
        <w:t>The Joint rule requires that all transmittor’s (established customer) financial institutions must include the following information in the transmittal:</w:t>
      </w:r>
    </w:p>
    <w:p w14:paraId="0EBE34B8" w14:textId="77777777" w:rsidR="003D216B" w:rsidRDefault="003D216B" w:rsidP="00E26FDD">
      <w:pPr>
        <w:rPr>
          <w:sz w:val="24"/>
        </w:rPr>
      </w:pPr>
    </w:p>
    <w:p w14:paraId="31F93C01" w14:textId="77777777" w:rsidR="003D216B" w:rsidRDefault="003D216B" w:rsidP="003D216B">
      <w:pPr>
        <w:rPr>
          <w:sz w:val="24"/>
        </w:rPr>
      </w:pPr>
      <w:r>
        <w:rPr>
          <w:sz w:val="24"/>
        </w:rPr>
        <w:tab/>
        <w:t>The name of the transmittor;</w:t>
      </w:r>
    </w:p>
    <w:p w14:paraId="417FBEF1" w14:textId="77777777" w:rsidR="003D216B" w:rsidRDefault="003D216B" w:rsidP="003D216B">
      <w:pPr>
        <w:rPr>
          <w:sz w:val="24"/>
        </w:rPr>
      </w:pPr>
      <w:r>
        <w:rPr>
          <w:sz w:val="24"/>
        </w:rPr>
        <w:tab/>
        <w:t>The account number of the transmittor;</w:t>
      </w:r>
    </w:p>
    <w:p w14:paraId="5CCCEF74" w14:textId="77777777" w:rsidR="003D216B" w:rsidRDefault="003D216B" w:rsidP="003D216B">
      <w:pPr>
        <w:rPr>
          <w:sz w:val="24"/>
        </w:rPr>
      </w:pPr>
      <w:r>
        <w:rPr>
          <w:sz w:val="24"/>
        </w:rPr>
        <w:tab/>
        <w:t>The address of the transmittor;</w:t>
      </w:r>
    </w:p>
    <w:p w14:paraId="3D0B0F0E" w14:textId="77777777" w:rsidR="003D216B" w:rsidRDefault="003D216B" w:rsidP="003D216B">
      <w:pPr>
        <w:rPr>
          <w:sz w:val="24"/>
        </w:rPr>
      </w:pPr>
      <w:r>
        <w:rPr>
          <w:sz w:val="24"/>
        </w:rPr>
        <w:tab/>
        <w:t>The identity of the transmittor’s financial institution;</w:t>
      </w:r>
    </w:p>
    <w:p w14:paraId="6C4D64B9" w14:textId="77777777" w:rsidR="003D216B" w:rsidRDefault="003D216B" w:rsidP="00E26FDD">
      <w:pPr>
        <w:ind w:left="270"/>
        <w:rPr>
          <w:sz w:val="24"/>
        </w:rPr>
      </w:pPr>
      <w:r>
        <w:rPr>
          <w:sz w:val="24"/>
        </w:rPr>
        <w:t>The amount of the transmittal order;</w:t>
      </w:r>
    </w:p>
    <w:p w14:paraId="701E08D6" w14:textId="77777777" w:rsidR="003D216B" w:rsidRDefault="003D216B" w:rsidP="00E26FDD">
      <w:pPr>
        <w:ind w:left="270"/>
        <w:rPr>
          <w:sz w:val="24"/>
        </w:rPr>
      </w:pPr>
      <w:r>
        <w:rPr>
          <w:sz w:val="24"/>
        </w:rPr>
        <w:t>The execution date of the transmittal order;</w:t>
      </w:r>
    </w:p>
    <w:p w14:paraId="4B45EEDB" w14:textId="77777777" w:rsidR="003D216B" w:rsidRDefault="003D216B" w:rsidP="00E26FDD">
      <w:pPr>
        <w:ind w:left="270"/>
        <w:rPr>
          <w:sz w:val="24"/>
        </w:rPr>
      </w:pPr>
      <w:r>
        <w:rPr>
          <w:sz w:val="24"/>
        </w:rPr>
        <w:t>The identity of the recipient’s financial institution;</w:t>
      </w:r>
    </w:p>
    <w:p w14:paraId="54E91DCD" w14:textId="77777777" w:rsidR="003D216B" w:rsidRDefault="003D216B" w:rsidP="00E26FDD">
      <w:pPr>
        <w:ind w:left="270"/>
        <w:rPr>
          <w:sz w:val="24"/>
        </w:rPr>
      </w:pPr>
      <w:r>
        <w:rPr>
          <w:sz w:val="24"/>
        </w:rPr>
        <w:t>And, if received:</w:t>
      </w:r>
    </w:p>
    <w:p w14:paraId="0E291DF0" w14:textId="77777777" w:rsidR="003D216B" w:rsidRDefault="003D216B" w:rsidP="00E26FDD">
      <w:pPr>
        <w:ind w:left="630" w:hanging="90"/>
        <w:rPr>
          <w:sz w:val="24"/>
        </w:rPr>
      </w:pPr>
      <w:r>
        <w:rPr>
          <w:sz w:val="24"/>
        </w:rPr>
        <w:t>The name of the recipient;</w:t>
      </w:r>
    </w:p>
    <w:p w14:paraId="5A6E3935" w14:textId="77777777" w:rsidR="003D216B" w:rsidRDefault="003D216B" w:rsidP="00E26FDD">
      <w:pPr>
        <w:ind w:left="630" w:hanging="90"/>
        <w:rPr>
          <w:sz w:val="24"/>
        </w:rPr>
      </w:pPr>
      <w:r>
        <w:rPr>
          <w:sz w:val="24"/>
        </w:rPr>
        <w:t>The address of the recipient;</w:t>
      </w:r>
    </w:p>
    <w:p w14:paraId="519588DC" w14:textId="77777777" w:rsidR="003D216B" w:rsidRDefault="003D216B" w:rsidP="00E26FDD">
      <w:pPr>
        <w:ind w:left="630" w:hanging="90"/>
        <w:rPr>
          <w:sz w:val="24"/>
        </w:rPr>
      </w:pPr>
      <w:r>
        <w:rPr>
          <w:sz w:val="24"/>
        </w:rPr>
        <w:t>The account number of the recipient;</w:t>
      </w:r>
    </w:p>
    <w:p w14:paraId="70B03B42" w14:textId="77777777" w:rsidR="003D216B" w:rsidRDefault="006D023A" w:rsidP="006D023A">
      <w:pPr>
        <w:rPr>
          <w:sz w:val="24"/>
        </w:rPr>
      </w:pPr>
      <w:r>
        <w:rPr>
          <w:sz w:val="24"/>
        </w:rPr>
        <w:t xml:space="preserve">         </w:t>
      </w:r>
      <w:r w:rsidR="003D216B">
        <w:rPr>
          <w:sz w:val="24"/>
        </w:rPr>
        <w:t>Any other specific identifier of the recipient.</w:t>
      </w:r>
    </w:p>
    <w:p w14:paraId="33DE3CED" w14:textId="77777777" w:rsidR="003D216B" w:rsidRDefault="003D216B" w:rsidP="003D216B">
      <w:pPr>
        <w:pStyle w:val="BodyText2"/>
        <w:widowControl/>
      </w:pPr>
    </w:p>
    <w:p w14:paraId="6FD423F1" w14:textId="77777777" w:rsidR="003D216B" w:rsidRDefault="003D216B" w:rsidP="00E26FDD">
      <w:pPr>
        <w:pStyle w:val="BodyText2"/>
        <w:widowControl/>
        <w:ind w:left="270"/>
      </w:pPr>
      <w:r>
        <w:t xml:space="preserve">The Travel rule requires that intermediary financial institutions to pass on all information received from the transmittor’s financial institution or an intermediary financial institution.  </w:t>
      </w:r>
    </w:p>
    <w:p w14:paraId="3873B835" w14:textId="77777777" w:rsidR="003D216B" w:rsidRDefault="003D216B" w:rsidP="00E26FDD">
      <w:pPr>
        <w:pStyle w:val="BodyText"/>
        <w:spacing w:before="0" w:after="0"/>
        <w:ind w:left="270"/>
        <w:jc w:val="left"/>
      </w:pPr>
      <w:r>
        <w:t xml:space="preserve">All transmittal orders from a transmittor who </w:t>
      </w:r>
      <w:proofErr w:type="gramStart"/>
      <w:r>
        <w:t>is a non-customer</w:t>
      </w:r>
      <w:proofErr w:type="gramEnd"/>
      <w:r>
        <w:t xml:space="preserve"> must obtain the same information listed above and the following information:</w:t>
      </w:r>
    </w:p>
    <w:p w14:paraId="4A6E9335" w14:textId="77777777" w:rsidR="003D216B" w:rsidRDefault="003D216B" w:rsidP="00E26FDD">
      <w:pPr>
        <w:rPr>
          <w:sz w:val="24"/>
        </w:rPr>
      </w:pPr>
    </w:p>
    <w:p w14:paraId="0F123CD0" w14:textId="77777777" w:rsidR="003D216B" w:rsidRDefault="003D216B" w:rsidP="003E7B18">
      <w:pPr>
        <w:pStyle w:val="BodyTextIndent2"/>
        <w:numPr>
          <w:ilvl w:val="0"/>
          <w:numId w:val="187"/>
        </w:numPr>
        <w:spacing w:after="0"/>
        <w:jc w:val="left"/>
      </w:pPr>
      <w:r>
        <w:t>If the transmittal is made in person, the identity of the person placing the order must be identified.  The Company must obtain and retain a record of the name and address, type of information reviewed (e.g., driver’s license), as well as the taxpayer identification number or, if none, alien identification number or passport number and country of issuance, or if none, the file must be so noted.  If the person placing the order is not the transmittor, the Company must obtain and retain a record of the name and address, type of information reviewed (e.g., driver’s license), as well as the taxpayer identification number or, if none alien identification number or passport number and country of issuance, or if none the file must be so noted.</w:t>
      </w:r>
    </w:p>
    <w:p w14:paraId="49B3A1E6" w14:textId="77777777" w:rsidR="003D216B" w:rsidRDefault="003D216B" w:rsidP="00E26FDD"/>
    <w:p w14:paraId="0B56C016" w14:textId="77777777" w:rsidR="003D216B" w:rsidRDefault="003D216B" w:rsidP="003E7B18">
      <w:pPr>
        <w:pStyle w:val="BodyTextIndent2"/>
        <w:numPr>
          <w:ilvl w:val="0"/>
          <w:numId w:val="187"/>
        </w:numPr>
        <w:spacing w:after="0"/>
        <w:jc w:val="left"/>
      </w:pPr>
      <w:r>
        <w:t>If the transmittal is not made in person</w:t>
      </w:r>
      <w:r w:rsidR="00E26FDD">
        <w:t>,</w:t>
      </w:r>
      <w:r>
        <w:t xml:space="preserve"> the identity of the person placing the order must be identified.  The Company must obtain and retain a record of the name and </w:t>
      </w:r>
      <w:r>
        <w:lastRenderedPageBreak/>
        <w:t>address, type of information reviewed (e.g., driver’s license), as well as the taxpayer identification number or, if none alien identification number or passport number and country of issuance, or if none the file must be so noted.  If the person placing the order is not the transmittor, the Company must obtain and retain a record of the name and address, type of information reviewed (e.g., driver’s license), as well as the taxpayer identification number or, if none alien identification number or passport number and country of issuance, or if none the file must be so noted.</w:t>
      </w:r>
    </w:p>
    <w:p w14:paraId="1A13C311" w14:textId="77777777" w:rsidR="003D216B" w:rsidRDefault="003D216B" w:rsidP="00E26FDD">
      <w:pPr>
        <w:rPr>
          <w:sz w:val="24"/>
        </w:rPr>
      </w:pPr>
    </w:p>
    <w:p w14:paraId="032F2A10" w14:textId="77777777" w:rsidR="003D216B" w:rsidRDefault="003D216B" w:rsidP="00E26FDD">
      <w:pPr>
        <w:ind w:left="270"/>
        <w:rPr>
          <w:sz w:val="24"/>
        </w:rPr>
      </w:pPr>
      <w:r>
        <w:rPr>
          <w:sz w:val="24"/>
        </w:rPr>
        <w:t>All transmittal orders from a recipient who is a non-customer must obtain the same information listed above and the following information:</w:t>
      </w:r>
    </w:p>
    <w:p w14:paraId="436D54D8" w14:textId="77777777" w:rsidR="003D216B" w:rsidRDefault="003D216B" w:rsidP="00E26FDD">
      <w:pPr>
        <w:rPr>
          <w:sz w:val="24"/>
        </w:rPr>
      </w:pPr>
    </w:p>
    <w:p w14:paraId="545CC2AE" w14:textId="77777777" w:rsidR="003D216B" w:rsidRDefault="003D216B" w:rsidP="003E7B18">
      <w:pPr>
        <w:pStyle w:val="BodyTextIndent2"/>
        <w:numPr>
          <w:ilvl w:val="0"/>
          <w:numId w:val="188"/>
        </w:numPr>
        <w:spacing w:after="0"/>
        <w:jc w:val="left"/>
      </w:pPr>
      <w:r>
        <w:t>If the proceeds are delivered in person, the identity of the person placing the order must be identified.  The Company must obtain and retain a record of the name and address, type of information reviewed (e.g., driver’s license), as well as the taxpayer identification number or, if none alien identification number or passport number and country of issuance, or if none the file must be so noted.  If the person placing the order is not the recipient, the Company must obtain and retain a record of the name and address, type of information reviewed (e.g., driver’s license), as well as the taxpayer identification number or, if none alien identification number or passport number and country of issuance, or if none the file must be so noted.</w:t>
      </w:r>
    </w:p>
    <w:p w14:paraId="05A56063" w14:textId="77777777" w:rsidR="003D216B" w:rsidRDefault="003D216B" w:rsidP="00E26FDD"/>
    <w:p w14:paraId="346F5AE8" w14:textId="77777777" w:rsidR="003D216B" w:rsidRDefault="003D216B" w:rsidP="003E7B18">
      <w:pPr>
        <w:pStyle w:val="BodyTextIndent2"/>
        <w:numPr>
          <w:ilvl w:val="0"/>
          <w:numId w:val="188"/>
        </w:numPr>
        <w:spacing w:after="0"/>
        <w:jc w:val="left"/>
      </w:pPr>
      <w:r>
        <w:t>If the proceeds are not delivered in person, the Company must retain a copy of the check or other instrument used to effect payment, or the information contained thereon, as well as the name and address of the person to which it was sent.</w:t>
      </w:r>
    </w:p>
    <w:p w14:paraId="2EFF3ED0" w14:textId="77777777" w:rsidR="00660CEE" w:rsidRDefault="00660CEE" w:rsidP="00E26FDD">
      <w:pPr>
        <w:pStyle w:val="BodyTextIndent2"/>
        <w:spacing w:after="0"/>
        <w:jc w:val="left"/>
      </w:pPr>
    </w:p>
    <w:p w14:paraId="111984D0" w14:textId="77777777" w:rsidR="00693D2A" w:rsidRPr="00693D2A" w:rsidRDefault="00693D2A" w:rsidP="00E26FDD">
      <w:pPr>
        <w:pStyle w:val="BodyTextIndent"/>
        <w:tabs>
          <w:tab w:val="clear" w:pos="1800"/>
          <w:tab w:val="clear" w:pos="7200"/>
          <w:tab w:val="left" w:pos="0"/>
        </w:tabs>
        <w:ind w:left="270" w:firstLine="0"/>
        <w:jc w:val="left"/>
        <w:rPr>
          <w:b/>
        </w:rPr>
      </w:pPr>
      <w:r>
        <w:rPr>
          <w:b/>
        </w:rPr>
        <w:t>Exceptions</w:t>
      </w:r>
    </w:p>
    <w:p w14:paraId="1B08CB79" w14:textId="77777777" w:rsidR="003D216B" w:rsidRDefault="003D216B" w:rsidP="00E26FDD">
      <w:pPr>
        <w:pStyle w:val="BodyTextIndent"/>
        <w:tabs>
          <w:tab w:val="clear" w:pos="1800"/>
          <w:tab w:val="clear" w:pos="7200"/>
          <w:tab w:val="left" w:pos="0"/>
        </w:tabs>
        <w:ind w:left="270" w:firstLine="0"/>
        <w:jc w:val="left"/>
      </w:pPr>
      <w:r>
        <w:t xml:space="preserve">If the transmittor and the beneficial recipient are the same person, and the transmittor’s financial institution and the </w:t>
      </w:r>
      <w:r w:rsidR="00F54ECA">
        <w:t>recipients</w:t>
      </w:r>
      <w:r>
        <w:t xml:space="preserve"> are the same domestic bank or domestic securities broker.</w:t>
      </w:r>
    </w:p>
    <w:p w14:paraId="3B72A55E" w14:textId="77777777" w:rsidR="003D216B" w:rsidRDefault="003D216B" w:rsidP="00E26FDD">
      <w:pPr>
        <w:ind w:left="270"/>
      </w:pPr>
      <w:r>
        <w:tab/>
      </w:r>
    </w:p>
    <w:p w14:paraId="383EDAC5" w14:textId="77777777" w:rsidR="003D216B" w:rsidRDefault="003D216B" w:rsidP="00E26FDD">
      <w:pPr>
        <w:ind w:left="270"/>
        <w:rPr>
          <w:sz w:val="24"/>
        </w:rPr>
      </w:pPr>
      <w:r>
        <w:rPr>
          <w:sz w:val="24"/>
        </w:rPr>
        <w:t>If both the transmittor and beneficial recipient are any of the following, then the transmittal is not subject to the rules:</w:t>
      </w:r>
    </w:p>
    <w:p w14:paraId="5E5B8651" w14:textId="77777777" w:rsidR="003D216B" w:rsidRDefault="003D216B" w:rsidP="00E26FDD">
      <w:pPr>
        <w:ind w:left="720" w:hanging="720"/>
        <w:rPr>
          <w:sz w:val="24"/>
        </w:rPr>
      </w:pPr>
      <w:r>
        <w:rPr>
          <w:sz w:val="24"/>
        </w:rPr>
        <w:tab/>
      </w:r>
    </w:p>
    <w:p w14:paraId="783CA797" w14:textId="77777777" w:rsidR="00E26FDD" w:rsidRDefault="00C14C65" w:rsidP="003E7B18">
      <w:pPr>
        <w:numPr>
          <w:ilvl w:val="0"/>
          <w:numId w:val="189"/>
        </w:numPr>
        <w:ind w:left="720" w:hanging="289"/>
        <w:rPr>
          <w:sz w:val="24"/>
        </w:rPr>
      </w:pPr>
      <w:r>
        <w:rPr>
          <w:sz w:val="24"/>
        </w:rPr>
        <w:t xml:space="preserve"> </w:t>
      </w:r>
      <w:r w:rsidR="003D216B" w:rsidRPr="00E26FDD">
        <w:rPr>
          <w:sz w:val="24"/>
        </w:rPr>
        <w:t>Domestic bank;</w:t>
      </w:r>
      <w:r w:rsidR="00E26FDD" w:rsidRPr="00E26FDD">
        <w:rPr>
          <w:sz w:val="24"/>
        </w:rPr>
        <w:t xml:space="preserve">  </w:t>
      </w:r>
    </w:p>
    <w:p w14:paraId="49F647B6" w14:textId="77777777" w:rsidR="00E26FDD" w:rsidRDefault="00E26FDD" w:rsidP="003E7B18">
      <w:pPr>
        <w:numPr>
          <w:ilvl w:val="0"/>
          <w:numId w:val="189"/>
        </w:numPr>
        <w:ind w:left="720" w:hanging="289"/>
        <w:rPr>
          <w:sz w:val="24"/>
        </w:rPr>
      </w:pPr>
      <w:r>
        <w:rPr>
          <w:sz w:val="24"/>
        </w:rPr>
        <w:t xml:space="preserve"> </w:t>
      </w:r>
      <w:r w:rsidR="003D216B" w:rsidRPr="00E26FDD">
        <w:rPr>
          <w:sz w:val="24"/>
        </w:rPr>
        <w:t>Wholly owned domestic subsidiary of a domestic bank;</w:t>
      </w:r>
      <w:r w:rsidRPr="00E26FDD">
        <w:rPr>
          <w:sz w:val="24"/>
        </w:rPr>
        <w:t xml:space="preserve"> </w:t>
      </w:r>
    </w:p>
    <w:p w14:paraId="0829F4B3" w14:textId="77777777" w:rsidR="00E26FDD" w:rsidRDefault="00E26FDD" w:rsidP="003E7B18">
      <w:pPr>
        <w:numPr>
          <w:ilvl w:val="0"/>
          <w:numId w:val="189"/>
        </w:numPr>
        <w:ind w:left="720" w:hanging="289"/>
        <w:rPr>
          <w:sz w:val="24"/>
        </w:rPr>
      </w:pPr>
      <w:r w:rsidRPr="00E26FDD">
        <w:rPr>
          <w:sz w:val="24"/>
        </w:rPr>
        <w:t xml:space="preserve"> </w:t>
      </w:r>
      <w:r w:rsidR="003D216B" w:rsidRPr="00E26FDD">
        <w:rPr>
          <w:sz w:val="24"/>
        </w:rPr>
        <w:t>Domestic broker or dealer in securities;</w:t>
      </w:r>
      <w:r w:rsidRPr="00E26FDD">
        <w:rPr>
          <w:sz w:val="24"/>
        </w:rPr>
        <w:t xml:space="preserve">  </w:t>
      </w:r>
    </w:p>
    <w:p w14:paraId="4C9D39DD" w14:textId="77777777" w:rsidR="00E26FDD" w:rsidRDefault="00E26FDD" w:rsidP="003E7B18">
      <w:pPr>
        <w:numPr>
          <w:ilvl w:val="0"/>
          <w:numId w:val="189"/>
        </w:numPr>
        <w:ind w:left="720" w:hanging="289"/>
        <w:rPr>
          <w:sz w:val="24"/>
        </w:rPr>
      </w:pPr>
      <w:r w:rsidRPr="00E26FDD">
        <w:rPr>
          <w:sz w:val="24"/>
        </w:rPr>
        <w:t xml:space="preserve"> </w:t>
      </w:r>
      <w:r w:rsidR="003D216B" w:rsidRPr="00E26FDD">
        <w:rPr>
          <w:sz w:val="24"/>
        </w:rPr>
        <w:t>Wholly owned domestic subsidiary of a domestic broker or dealer in securities</w:t>
      </w:r>
      <w:r w:rsidRPr="00E26FDD">
        <w:rPr>
          <w:sz w:val="24"/>
        </w:rPr>
        <w:t xml:space="preserve"> </w:t>
      </w:r>
    </w:p>
    <w:p w14:paraId="46C1AE06" w14:textId="77777777" w:rsidR="00E26FDD" w:rsidRDefault="00E26FDD" w:rsidP="003E7B18">
      <w:pPr>
        <w:numPr>
          <w:ilvl w:val="0"/>
          <w:numId w:val="189"/>
        </w:numPr>
        <w:ind w:left="720" w:hanging="289"/>
        <w:rPr>
          <w:sz w:val="24"/>
        </w:rPr>
      </w:pPr>
      <w:r w:rsidRPr="00E26FDD">
        <w:rPr>
          <w:sz w:val="24"/>
        </w:rPr>
        <w:t xml:space="preserve"> </w:t>
      </w:r>
      <w:r w:rsidR="003D216B" w:rsidRPr="00E26FDD">
        <w:rPr>
          <w:sz w:val="24"/>
        </w:rPr>
        <w:t>United States;</w:t>
      </w:r>
      <w:r w:rsidRPr="00E26FDD">
        <w:rPr>
          <w:sz w:val="24"/>
        </w:rPr>
        <w:t xml:space="preserve"> </w:t>
      </w:r>
      <w:r w:rsidR="003D216B" w:rsidRPr="00E26FDD">
        <w:rPr>
          <w:sz w:val="24"/>
        </w:rPr>
        <w:t>Federal Agency or instrumentality;</w:t>
      </w:r>
    </w:p>
    <w:p w14:paraId="0F3DF4C0" w14:textId="77777777" w:rsidR="00E26FDD" w:rsidRDefault="00E26FDD" w:rsidP="003E7B18">
      <w:pPr>
        <w:numPr>
          <w:ilvl w:val="0"/>
          <w:numId w:val="189"/>
        </w:numPr>
        <w:ind w:left="720" w:hanging="289"/>
        <w:rPr>
          <w:sz w:val="24"/>
        </w:rPr>
      </w:pPr>
      <w:r w:rsidRPr="00E26FDD">
        <w:rPr>
          <w:sz w:val="24"/>
        </w:rPr>
        <w:t xml:space="preserve"> </w:t>
      </w:r>
      <w:r w:rsidR="003D216B" w:rsidRPr="00E26FDD">
        <w:rPr>
          <w:sz w:val="24"/>
        </w:rPr>
        <w:t>State or Local Government;</w:t>
      </w:r>
      <w:r w:rsidRPr="00E26FDD">
        <w:rPr>
          <w:sz w:val="24"/>
        </w:rPr>
        <w:t xml:space="preserve"> </w:t>
      </w:r>
    </w:p>
    <w:p w14:paraId="56E311B0" w14:textId="77777777" w:rsidR="003D216B" w:rsidRPr="00E26FDD" w:rsidRDefault="00E26FDD" w:rsidP="003E7B18">
      <w:pPr>
        <w:numPr>
          <w:ilvl w:val="0"/>
          <w:numId w:val="189"/>
        </w:numPr>
        <w:ind w:left="720" w:hanging="289"/>
        <w:rPr>
          <w:sz w:val="24"/>
        </w:rPr>
      </w:pPr>
      <w:r>
        <w:rPr>
          <w:sz w:val="24"/>
        </w:rPr>
        <w:t xml:space="preserve"> </w:t>
      </w:r>
      <w:r w:rsidR="003D216B" w:rsidRPr="00E26FDD">
        <w:rPr>
          <w:sz w:val="24"/>
        </w:rPr>
        <w:t>State or local agency or instrumentality.</w:t>
      </w:r>
    </w:p>
    <w:p w14:paraId="602A5FA8" w14:textId="77777777" w:rsidR="003D216B" w:rsidRDefault="003D216B" w:rsidP="00FB4385">
      <w:pPr>
        <w:ind w:left="1440" w:right="720" w:hanging="720"/>
        <w:rPr>
          <w:sz w:val="24"/>
        </w:rPr>
      </w:pPr>
    </w:p>
    <w:p w14:paraId="54A49E40" w14:textId="77777777" w:rsidR="003D216B" w:rsidRDefault="003D216B" w:rsidP="00FB4385">
      <w:pPr>
        <w:ind w:left="270"/>
        <w:rPr>
          <w:sz w:val="24"/>
        </w:rPr>
      </w:pPr>
      <w:r>
        <w:rPr>
          <w:sz w:val="24"/>
        </w:rPr>
        <w:t xml:space="preserve">It shall be the responsibility of Morris Monroe </w:t>
      </w:r>
      <w:r w:rsidR="000A3D7C" w:rsidRPr="009F1432">
        <w:rPr>
          <w:sz w:val="24"/>
        </w:rPr>
        <w:t xml:space="preserve">or Compliance </w:t>
      </w:r>
      <w:r w:rsidRPr="009F1432">
        <w:rPr>
          <w:sz w:val="24"/>
        </w:rPr>
        <w:t>to review</w:t>
      </w:r>
      <w:r>
        <w:rPr>
          <w:sz w:val="24"/>
        </w:rPr>
        <w:t xml:space="preserve"> the Company's books and records for compliance with the requirements of the Bank Secrecy Act.</w:t>
      </w:r>
    </w:p>
    <w:p w14:paraId="4A57DE82" w14:textId="77777777" w:rsidR="00F231DA" w:rsidRDefault="00F231DA" w:rsidP="00E26FDD">
      <w:pPr>
        <w:rPr>
          <w:b/>
          <w:sz w:val="24"/>
        </w:rPr>
      </w:pPr>
    </w:p>
    <w:p w14:paraId="27FFF23A" w14:textId="77777777" w:rsidR="00F231DA" w:rsidRDefault="00046914" w:rsidP="00E26FDD">
      <w:pPr>
        <w:pStyle w:val="Heading3"/>
        <w:jc w:val="left"/>
      </w:pPr>
      <w:r>
        <w:t>7.5.4 The</w:t>
      </w:r>
      <w:r w:rsidR="003D216B">
        <w:t xml:space="preserve"> Money Laundering Control Act of 1986 </w:t>
      </w:r>
    </w:p>
    <w:p w14:paraId="20FC5C1C" w14:textId="77777777" w:rsidR="003D216B" w:rsidRDefault="00F231DA" w:rsidP="00E26FDD">
      <w:pPr>
        <w:ind w:left="270"/>
        <w:rPr>
          <w:sz w:val="24"/>
        </w:rPr>
      </w:pPr>
      <w:r>
        <w:rPr>
          <w:sz w:val="24"/>
        </w:rPr>
        <w:t xml:space="preserve">This act </w:t>
      </w:r>
      <w:r w:rsidR="003D216B">
        <w:rPr>
          <w:sz w:val="24"/>
        </w:rPr>
        <w:t>created the crime of money laundering and made it illegal to structure transactions.  Structuring transactions is the depositing of cash just below the $10,000 threshold or making deposits of less than $10,000 at multiple financial institutions.  The following offenses are included in this act:</w:t>
      </w:r>
    </w:p>
    <w:p w14:paraId="0C666B20" w14:textId="77777777" w:rsidR="003D216B" w:rsidRDefault="003D216B" w:rsidP="00216F83">
      <w:pPr>
        <w:pStyle w:val="BodyText"/>
        <w:numPr>
          <w:ilvl w:val="0"/>
          <w:numId w:val="5"/>
        </w:numPr>
        <w:ind w:left="270" w:firstLine="0"/>
        <w:jc w:val="left"/>
      </w:pPr>
      <w:r>
        <w:lastRenderedPageBreak/>
        <w:t xml:space="preserve">Knowingly helping laundering money from criminal activity; </w:t>
      </w:r>
    </w:p>
    <w:p w14:paraId="50287301" w14:textId="77777777" w:rsidR="003D216B" w:rsidRDefault="003D216B" w:rsidP="00216F83">
      <w:pPr>
        <w:pStyle w:val="BodyText"/>
        <w:numPr>
          <w:ilvl w:val="0"/>
          <w:numId w:val="5"/>
        </w:numPr>
        <w:ind w:hanging="450"/>
        <w:jc w:val="left"/>
      </w:pPr>
      <w:r>
        <w:t>Knowingly engaging in a transaction of more than $10,000 that involves property from criminal activity;</w:t>
      </w:r>
    </w:p>
    <w:p w14:paraId="3AD0D909" w14:textId="77777777" w:rsidR="003D216B" w:rsidRDefault="003D216B" w:rsidP="00216F83">
      <w:pPr>
        <w:pStyle w:val="BodyText"/>
        <w:numPr>
          <w:ilvl w:val="0"/>
          <w:numId w:val="5"/>
        </w:numPr>
        <w:ind w:left="270" w:firstLine="0"/>
        <w:jc w:val="left"/>
      </w:pPr>
      <w:r>
        <w:t>Structuring transactions to avoid the Bank Secrecy Act.</w:t>
      </w:r>
    </w:p>
    <w:p w14:paraId="792308C8" w14:textId="77777777" w:rsidR="003D216B" w:rsidRDefault="003D216B" w:rsidP="00E26FDD">
      <w:pPr>
        <w:ind w:firstLine="720"/>
        <w:rPr>
          <w:sz w:val="24"/>
        </w:rPr>
      </w:pPr>
    </w:p>
    <w:p w14:paraId="5014CAAE" w14:textId="77777777" w:rsidR="00F231DA" w:rsidRDefault="00046914" w:rsidP="00E26FDD">
      <w:pPr>
        <w:pStyle w:val="Heading3"/>
        <w:jc w:val="left"/>
      </w:pPr>
      <w:r>
        <w:t>7.5.5 The</w:t>
      </w:r>
      <w:r w:rsidR="003D216B">
        <w:t xml:space="preserve"> </w:t>
      </w:r>
      <w:proofErr w:type="spellStart"/>
      <w:r w:rsidR="003D216B">
        <w:t>Annuzio</w:t>
      </w:r>
      <w:proofErr w:type="spellEnd"/>
      <w:r w:rsidR="003D216B">
        <w:t xml:space="preserve">-Wiley Anti-Money Laundering Act </w:t>
      </w:r>
    </w:p>
    <w:p w14:paraId="48B04FF3" w14:textId="77777777" w:rsidR="003D216B" w:rsidRDefault="00046914" w:rsidP="00E26FDD">
      <w:pPr>
        <w:ind w:left="270"/>
        <w:rPr>
          <w:sz w:val="24"/>
        </w:rPr>
      </w:pPr>
      <w:r>
        <w:rPr>
          <w:sz w:val="24"/>
        </w:rPr>
        <w:t>This act r</w:t>
      </w:r>
      <w:r w:rsidR="003D216B">
        <w:rPr>
          <w:sz w:val="24"/>
        </w:rPr>
        <w:t>equires banks and certain other financial institutions to report suspicious activity even if the $10,000 threshold is not met.</w:t>
      </w:r>
    </w:p>
    <w:p w14:paraId="2EF7F5D8" w14:textId="77777777" w:rsidR="003D216B" w:rsidRDefault="003D216B" w:rsidP="00E26FDD">
      <w:pPr>
        <w:ind w:firstLine="720"/>
        <w:rPr>
          <w:sz w:val="24"/>
        </w:rPr>
      </w:pPr>
    </w:p>
    <w:p w14:paraId="799F2DC4" w14:textId="77777777" w:rsidR="003D216B" w:rsidRDefault="003D216B" w:rsidP="00E26FDD">
      <w:pPr>
        <w:rPr>
          <w:sz w:val="24"/>
        </w:rPr>
      </w:pPr>
      <w:r>
        <w:rPr>
          <w:sz w:val="24"/>
        </w:rPr>
        <w:t xml:space="preserve">      Suspicious Activity Reports must be filed by the broker dealer if:</w:t>
      </w:r>
    </w:p>
    <w:p w14:paraId="6AABB149" w14:textId="77777777" w:rsidR="003D216B" w:rsidRDefault="003D216B" w:rsidP="00E26FDD">
      <w:pPr>
        <w:ind w:firstLine="720"/>
        <w:rPr>
          <w:sz w:val="24"/>
        </w:rPr>
      </w:pPr>
    </w:p>
    <w:p w14:paraId="57BD2BBD" w14:textId="77777777" w:rsidR="003D216B" w:rsidRDefault="003D216B" w:rsidP="00C1728B">
      <w:pPr>
        <w:numPr>
          <w:ilvl w:val="0"/>
          <w:numId w:val="45"/>
        </w:numPr>
        <w:ind w:left="630" w:hanging="270"/>
        <w:rPr>
          <w:sz w:val="24"/>
        </w:rPr>
      </w:pPr>
      <w:r>
        <w:rPr>
          <w:sz w:val="24"/>
        </w:rPr>
        <w:t xml:space="preserve">Criminal acts (or attempts to commit criminal acts) against the Company or involving transactions through the Company, by an officer, director, employee, agent, or other party affiliated with the Company (termed “insiders” under this rule), if the </w:t>
      </w:r>
      <w:r w:rsidR="00252639">
        <w:rPr>
          <w:sz w:val="24"/>
        </w:rPr>
        <w:t>Co</w:t>
      </w:r>
      <w:r>
        <w:rPr>
          <w:sz w:val="24"/>
        </w:rPr>
        <w:t>m</w:t>
      </w:r>
      <w:r w:rsidR="00252639">
        <w:rPr>
          <w:sz w:val="24"/>
        </w:rPr>
        <w:t>pany</w:t>
      </w:r>
      <w:r>
        <w:rPr>
          <w:sz w:val="24"/>
        </w:rPr>
        <w:t xml:space="preserve"> has a substantial basis for identifying the guilty individual or individuals.</w:t>
      </w:r>
    </w:p>
    <w:p w14:paraId="0F43D2EC" w14:textId="77777777" w:rsidR="003D216B" w:rsidRDefault="003D216B" w:rsidP="00C1728B">
      <w:pPr>
        <w:numPr>
          <w:ilvl w:val="0"/>
          <w:numId w:val="45"/>
        </w:numPr>
        <w:ind w:left="630" w:hanging="270"/>
        <w:rPr>
          <w:sz w:val="24"/>
        </w:rPr>
      </w:pPr>
      <w:r>
        <w:rPr>
          <w:sz w:val="24"/>
        </w:rPr>
        <w:t>Criminal acts (or attempts to commit criminal acts) against the Company, or involving transactions through the Company, in an aggregate amount of $5,000 or more in funds or other assets, if there is a substantial basis for identifying the guilty individual(s).</w:t>
      </w:r>
    </w:p>
    <w:p w14:paraId="37FF525F" w14:textId="77777777" w:rsidR="003D216B" w:rsidRDefault="003D216B" w:rsidP="00C1728B">
      <w:pPr>
        <w:numPr>
          <w:ilvl w:val="0"/>
          <w:numId w:val="45"/>
        </w:numPr>
        <w:ind w:left="630" w:hanging="270"/>
        <w:jc w:val="both"/>
        <w:rPr>
          <w:sz w:val="24"/>
        </w:rPr>
      </w:pPr>
      <w:r>
        <w:rPr>
          <w:sz w:val="24"/>
        </w:rPr>
        <w:t xml:space="preserve">Criminal acts (or attempts to commit criminal acts) against the Company, or involving transactions through the Company, in an aggregate amount of $25,000 or more in funds or other assets, whether or not the </w:t>
      </w:r>
      <w:r w:rsidR="00252639">
        <w:rPr>
          <w:sz w:val="24"/>
        </w:rPr>
        <w:t>company</w:t>
      </w:r>
      <w:r>
        <w:rPr>
          <w:sz w:val="24"/>
        </w:rPr>
        <w:t xml:space="preserve"> can identify a suspect.</w:t>
      </w:r>
    </w:p>
    <w:p w14:paraId="5907C78C" w14:textId="77777777" w:rsidR="003D216B" w:rsidRDefault="003D216B" w:rsidP="00C1728B">
      <w:pPr>
        <w:numPr>
          <w:ilvl w:val="0"/>
          <w:numId w:val="45"/>
        </w:numPr>
        <w:ind w:left="630" w:hanging="270"/>
        <w:jc w:val="both"/>
        <w:rPr>
          <w:sz w:val="24"/>
        </w:rPr>
      </w:pPr>
      <w:r>
        <w:rPr>
          <w:sz w:val="24"/>
        </w:rPr>
        <w:t>Transactions (or attempts to engage in transactions) aggregating $5000 or more that the Company suspects are conducted for the purpose of money laundering, violating Bank Secrecy Act regulations, or violating any transaction reporting requirements under federal law.</w:t>
      </w:r>
    </w:p>
    <w:p w14:paraId="1A7F392D" w14:textId="77777777" w:rsidR="003D216B" w:rsidRDefault="003D216B" w:rsidP="00C1728B">
      <w:pPr>
        <w:numPr>
          <w:ilvl w:val="0"/>
          <w:numId w:val="45"/>
        </w:numPr>
        <w:ind w:left="630" w:hanging="270"/>
        <w:jc w:val="both"/>
        <w:rPr>
          <w:sz w:val="24"/>
        </w:rPr>
      </w:pPr>
      <w:r>
        <w:rPr>
          <w:sz w:val="24"/>
        </w:rPr>
        <w:t>Transactions (or attempts to engage in transactions) aggregating $5000 or more that the Company suspects involve funds or other assets derived from criminal activity.</w:t>
      </w:r>
    </w:p>
    <w:p w14:paraId="1DC13BBB" w14:textId="77777777" w:rsidR="003D216B" w:rsidRDefault="003D216B" w:rsidP="00C1728B">
      <w:pPr>
        <w:numPr>
          <w:ilvl w:val="0"/>
          <w:numId w:val="45"/>
        </w:numPr>
        <w:tabs>
          <w:tab w:val="left" w:pos="630"/>
        </w:tabs>
        <w:ind w:left="630" w:hanging="270"/>
        <w:jc w:val="both"/>
        <w:rPr>
          <w:sz w:val="24"/>
        </w:rPr>
      </w:pPr>
      <w:r>
        <w:rPr>
          <w:sz w:val="24"/>
        </w:rPr>
        <w:t>Transactions (or attempted transactions) having no business or apparent lawful purpose, or that would not normally be expected for the particular customer involved, and the Company knows of no reasonable explanation for it after examining all the facts and circumstances.</w:t>
      </w:r>
    </w:p>
    <w:p w14:paraId="191D3A3F" w14:textId="77777777" w:rsidR="003D216B" w:rsidRDefault="003D216B" w:rsidP="003D216B">
      <w:pPr>
        <w:ind w:left="720"/>
        <w:rPr>
          <w:sz w:val="24"/>
        </w:rPr>
      </w:pPr>
    </w:p>
    <w:p w14:paraId="1150370A" w14:textId="77777777" w:rsidR="003D216B" w:rsidRPr="00F70F84" w:rsidRDefault="003D216B" w:rsidP="00C220B0">
      <w:pPr>
        <w:pStyle w:val="BodyTextIndent"/>
        <w:tabs>
          <w:tab w:val="clear" w:pos="1800"/>
          <w:tab w:val="left" w:pos="270"/>
        </w:tabs>
        <w:ind w:left="270" w:hanging="2070"/>
        <w:jc w:val="left"/>
        <w:rPr>
          <w:color w:val="FF0000"/>
        </w:rPr>
      </w:pPr>
      <w:r>
        <w:tab/>
        <w:t xml:space="preserve">The Treasury Department has the ability to impose sanctions against foreign governments, and their agents that sponsor terrorism and narcotics trafficking.  This may include the freezing of assets, limitations on services, restrictions on trading and limitations on investment banking in these foreign countries. Embargoed countries that are currently under sanctions are: </w:t>
      </w:r>
      <w:r w:rsidR="00B712EE" w:rsidRPr="00EE28C7">
        <w:t>Balkans</w:t>
      </w:r>
      <w:r w:rsidR="00D905DA">
        <w:t xml:space="preserve"> </w:t>
      </w:r>
      <w:r w:rsidR="00D905DA" w:rsidRPr="00D949D0">
        <w:t xml:space="preserve">Related (includes Bosnia, Herzegovina, and Macedonia), </w:t>
      </w:r>
      <w:r w:rsidR="00B712EE" w:rsidRPr="00D949D0">
        <w:t>Belarus</w:t>
      </w:r>
      <w:r w:rsidR="00F70F84" w:rsidRPr="00D949D0">
        <w:t xml:space="preserve">, </w:t>
      </w:r>
      <w:r w:rsidR="00D905DA" w:rsidRPr="00D949D0">
        <w:t>Myanmar (</w:t>
      </w:r>
      <w:r w:rsidR="00F70F84" w:rsidRPr="00D949D0">
        <w:t>Burma</w:t>
      </w:r>
      <w:r w:rsidR="00D905DA" w:rsidRPr="00D949D0">
        <w:t>)</w:t>
      </w:r>
      <w:r w:rsidR="00F70F84" w:rsidRPr="00D949D0">
        <w:t xml:space="preserve">, </w:t>
      </w:r>
      <w:r w:rsidR="00E92FCD" w:rsidRPr="006D5CDF">
        <w:t xml:space="preserve">Central African Republic, </w:t>
      </w:r>
      <w:r w:rsidRPr="006D5CDF">
        <w:t>Cuba, Democratic Republic of Congo</w:t>
      </w:r>
      <w:r w:rsidR="00D905DA" w:rsidRPr="006D5CDF">
        <w:t xml:space="preserve"> (Zaire)</w:t>
      </w:r>
      <w:r w:rsidRPr="006D5CDF">
        <w:t xml:space="preserve">, Iran, Iraq, Liberia, </w:t>
      </w:r>
      <w:r w:rsidR="00D905DA" w:rsidRPr="006D5CDF">
        <w:t xml:space="preserve">Libya, </w:t>
      </w:r>
      <w:r w:rsidR="00F70F84" w:rsidRPr="006D5CDF">
        <w:t xml:space="preserve">Lebanon, </w:t>
      </w:r>
      <w:r w:rsidR="00D7476D">
        <w:t>North</w:t>
      </w:r>
      <w:r w:rsidR="00450AA8" w:rsidRPr="00450AA8">
        <w:rPr>
          <w:color w:val="FF0000"/>
        </w:rPr>
        <w:t xml:space="preserve"> </w:t>
      </w:r>
      <w:r w:rsidRPr="006D5CDF">
        <w:t xml:space="preserve">Korea, </w:t>
      </w:r>
      <w:r w:rsidR="00441700" w:rsidRPr="006D5CDF">
        <w:t>Somalia</w:t>
      </w:r>
      <w:r w:rsidR="00F70F84" w:rsidRPr="006D5CDF">
        <w:t xml:space="preserve">, </w:t>
      </w:r>
      <w:r w:rsidRPr="006D5CDF">
        <w:t xml:space="preserve">Sudan Darfur, </w:t>
      </w:r>
      <w:r w:rsidR="00D7476D" w:rsidRPr="002C26F2">
        <w:t>South Sudan</w:t>
      </w:r>
      <w:r w:rsidR="00D7476D">
        <w:rPr>
          <w:color w:val="FF0000"/>
        </w:rPr>
        <w:t>,</w:t>
      </w:r>
      <w:r w:rsidR="00D7476D">
        <w:t xml:space="preserve"> </w:t>
      </w:r>
      <w:r w:rsidRPr="006D5CDF">
        <w:t xml:space="preserve">Syria, </w:t>
      </w:r>
      <w:r w:rsidR="00E92FCD" w:rsidRPr="006D5CDF">
        <w:t xml:space="preserve">Ukraine-/Russia, Venezuela, </w:t>
      </w:r>
      <w:r w:rsidR="00D508E1" w:rsidRPr="00A46B46">
        <w:t>Yemen</w:t>
      </w:r>
      <w:r w:rsidR="00D508E1">
        <w:t xml:space="preserve">, </w:t>
      </w:r>
      <w:r w:rsidRPr="00EE28C7">
        <w:t>and Zimbabwe</w:t>
      </w:r>
      <w:r w:rsidR="00F70F84">
        <w:t xml:space="preserve"> </w:t>
      </w:r>
      <w:r w:rsidR="001B0CD9">
        <w:t>(</w:t>
      </w:r>
      <w:r w:rsidR="00F70F84" w:rsidRPr="00C220B0">
        <w:t>which can be found at</w:t>
      </w:r>
      <w:r w:rsidR="00F70F84" w:rsidRPr="00F70F84">
        <w:rPr>
          <w:color w:val="FF0000"/>
        </w:rPr>
        <w:t xml:space="preserve"> </w:t>
      </w:r>
      <w:hyperlink r:id="rId40" w:history="1">
        <w:r w:rsidR="00F70F84" w:rsidRPr="00C220B0">
          <w:rPr>
            <w:rStyle w:val="Hyperlink"/>
          </w:rPr>
          <w:t>http://www.treasury.gov/resource-center/sanctions/Programs/Pages/Programs.aspx</w:t>
        </w:r>
      </w:hyperlink>
      <w:r w:rsidR="001B0CD9">
        <w:t>)</w:t>
      </w:r>
      <w:r w:rsidR="00F70F84" w:rsidRPr="00C220B0">
        <w:rPr>
          <w:color w:val="0000FF"/>
        </w:rPr>
        <w:t>.</w:t>
      </w:r>
      <w:r w:rsidRPr="00F70F84">
        <w:rPr>
          <w:color w:val="FF0000"/>
        </w:rPr>
        <w:t xml:space="preserve">  </w:t>
      </w:r>
    </w:p>
    <w:p w14:paraId="4D5C3E4B" w14:textId="77777777" w:rsidR="003D216B" w:rsidRDefault="003D216B" w:rsidP="00F231DA">
      <w:pPr>
        <w:pStyle w:val="BodyTextIndent"/>
        <w:tabs>
          <w:tab w:val="clear" w:pos="1800"/>
          <w:tab w:val="left" w:pos="270"/>
        </w:tabs>
        <w:ind w:left="270" w:hanging="2070"/>
      </w:pPr>
    </w:p>
    <w:p w14:paraId="66CE9DE8" w14:textId="77777777" w:rsidR="003D216B" w:rsidRDefault="003D216B" w:rsidP="00F231DA">
      <w:pPr>
        <w:pStyle w:val="BodyText2"/>
        <w:widowControl/>
        <w:tabs>
          <w:tab w:val="left" w:pos="270"/>
        </w:tabs>
        <w:ind w:left="270"/>
        <w:jc w:val="both"/>
      </w:pPr>
      <w:r>
        <w:t xml:space="preserve">Morris Monroe, or his designee, will examine any reports from the clearing broker indicating activity in each of the above categories. </w:t>
      </w:r>
      <w:r w:rsidR="00661318">
        <w:t xml:space="preserve"> </w:t>
      </w:r>
    </w:p>
    <w:p w14:paraId="1F8CC53E" w14:textId="77777777" w:rsidR="00281787" w:rsidRDefault="00281787" w:rsidP="00F231DA">
      <w:pPr>
        <w:pStyle w:val="BodyText2"/>
        <w:widowControl/>
        <w:tabs>
          <w:tab w:val="left" w:pos="270"/>
        </w:tabs>
        <w:ind w:left="270"/>
        <w:jc w:val="both"/>
      </w:pPr>
    </w:p>
    <w:p w14:paraId="7677ADF1" w14:textId="77777777" w:rsidR="00281787" w:rsidRDefault="00281787" w:rsidP="00281787">
      <w:pPr>
        <w:pStyle w:val="Heading3"/>
      </w:pPr>
      <w:r>
        <w:t>7.5.6 Foreign Financial Account Reporting Requirements and Recordkeeping (FBAR)</w:t>
      </w:r>
    </w:p>
    <w:p w14:paraId="6858EF42" w14:textId="77777777" w:rsidR="00281787" w:rsidRPr="009F1432" w:rsidRDefault="00281787" w:rsidP="00046914">
      <w:pPr>
        <w:ind w:left="270"/>
        <w:jc w:val="both"/>
        <w:rPr>
          <w:sz w:val="24"/>
          <w:szCs w:val="24"/>
        </w:rPr>
      </w:pPr>
      <w:r w:rsidRPr="009F1432">
        <w:rPr>
          <w:sz w:val="24"/>
          <w:szCs w:val="24"/>
        </w:rPr>
        <w:t xml:space="preserve">Certain "United States persons" that maintain accounts (including any account where the person has a financial interest in, or signature or other authority over) in foreign jurisdictions </w:t>
      </w:r>
      <w:r w:rsidRPr="009F1432">
        <w:rPr>
          <w:sz w:val="24"/>
          <w:szCs w:val="24"/>
        </w:rPr>
        <w:lastRenderedPageBreak/>
        <w:t xml:space="preserve">and with aggregate balances exceeding $10,000 are required to file a Report of Foreign Bank and Financial Accounts (FBAR) Department of Treasury Form </w:t>
      </w:r>
      <w:r w:rsidRPr="006D5CDF">
        <w:rPr>
          <w:sz w:val="24"/>
          <w:szCs w:val="24"/>
        </w:rPr>
        <w:t>1</w:t>
      </w:r>
      <w:r w:rsidR="003D3396" w:rsidRPr="006D5CDF">
        <w:rPr>
          <w:sz w:val="24"/>
          <w:szCs w:val="24"/>
        </w:rPr>
        <w:t>14</w:t>
      </w:r>
      <w:r w:rsidRPr="006D5CDF">
        <w:rPr>
          <w:sz w:val="24"/>
          <w:szCs w:val="24"/>
        </w:rPr>
        <w:t xml:space="preserve"> w</w:t>
      </w:r>
      <w:r w:rsidRPr="009F1432">
        <w:rPr>
          <w:sz w:val="24"/>
          <w:szCs w:val="24"/>
        </w:rPr>
        <w:t>ith FinCEN on or before June 30</w:t>
      </w:r>
      <w:r w:rsidRPr="009F1432">
        <w:rPr>
          <w:sz w:val="24"/>
          <w:szCs w:val="24"/>
          <w:vertAlign w:val="superscript"/>
        </w:rPr>
        <w:t>th</w:t>
      </w:r>
      <w:r w:rsidRPr="009F1432">
        <w:rPr>
          <w:sz w:val="24"/>
          <w:szCs w:val="24"/>
        </w:rPr>
        <w:t xml:space="preserve"> of each calendar year for accounts maintained during the previous calendar year.  Morris Monroe or Compliance is responsible for filing any annual report that may become required for the Company.</w:t>
      </w:r>
    </w:p>
    <w:p w14:paraId="36DFA8CB" w14:textId="77777777" w:rsidR="00281787" w:rsidRPr="009F1432" w:rsidRDefault="00281787" w:rsidP="00281787">
      <w:pPr>
        <w:ind w:left="270"/>
        <w:rPr>
          <w:sz w:val="24"/>
          <w:szCs w:val="24"/>
        </w:rPr>
      </w:pPr>
    </w:p>
    <w:p w14:paraId="3D5B4A37" w14:textId="77777777" w:rsidR="00281787" w:rsidRPr="009F1432" w:rsidRDefault="00281787" w:rsidP="00281787">
      <w:pPr>
        <w:pStyle w:val="Normal1"/>
        <w:spacing w:before="0" w:after="0" w:afterAutospacing="0" w:line="240" w:lineRule="auto"/>
        <w:ind w:left="270"/>
        <w:rPr>
          <w:rFonts w:ascii="Times New Roman" w:hAnsi="Times New Roman" w:cs="Times New Roman"/>
          <w:sz w:val="24"/>
          <w:szCs w:val="24"/>
        </w:rPr>
      </w:pPr>
      <w:r w:rsidRPr="009F1432">
        <w:rPr>
          <w:rFonts w:ascii="Times New Roman" w:hAnsi="Times New Roman" w:cs="Times New Roman"/>
          <w:sz w:val="24"/>
          <w:szCs w:val="24"/>
        </w:rPr>
        <w:t>The filing requirement applies to:</w:t>
      </w:r>
    </w:p>
    <w:p w14:paraId="723AEAFB" w14:textId="77777777" w:rsidR="00281787" w:rsidRPr="009F1432" w:rsidRDefault="00281787" w:rsidP="00281787">
      <w:pPr>
        <w:pStyle w:val="Normal1"/>
        <w:spacing w:before="0" w:after="0" w:afterAutospacing="0" w:line="240" w:lineRule="auto"/>
        <w:ind w:left="270"/>
        <w:rPr>
          <w:rFonts w:ascii="Times New Roman" w:hAnsi="Times New Roman" w:cs="Times New Roman"/>
          <w:sz w:val="24"/>
          <w:szCs w:val="24"/>
        </w:rPr>
      </w:pPr>
    </w:p>
    <w:p w14:paraId="59559891" w14:textId="77777777" w:rsidR="00281787" w:rsidRPr="009F1432" w:rsidRDefault="00281787" w:rsidP="003E7B18">
      <w:pPr>
        <w:widowControl w:val="0"/>
        <w:numPr>
          <w:ilvl w:val="0"/>
          <w:numId w:val="139"/>
        </w:numPr>
        <w:autoSpaceDE w:val="0"/>
        <w:autoSpaceDN w:val="0"/>
        <w:rPr>
          <w:sz w:val="24"/>
          <w:szCs w:val="24"/>
        </w:rPr>
      </w:pPr>
      <w:r w:rsidRPr="009F1432">
        <w:rPr>
          <w:sz w:val="24"/>
          <w:szCs w:val="24"/>
        </w:rPr>
        <w:t>Non-resident aliens and foreign entities "in and doing business" in the U.S.</w:t>
      </w:r>
    </w:p>
    <w:p w14:paraId="43CAD668" w14:textId="77777777" w:rsidR="00281787" w:rsidRPr="009F1432" w:rsidRDefault="00281787" w:rsidP="003E7B18">
      <w:pPr>
        <w:widowControl w:val="0"/>
        <w:numPr>
          <w:ilvl w:val="0"/>
          <w:numId w:val="139"/>
        </w:numPr>
        <w:autoSpaceDE w:val="0"/>
        <w:autoSpaceDN w:val="0"/>
        <w:rPr>
          <w:sz w:val="24"/>
          <w:szCs w:val="24"/>
        </w:rPr>
      </w:pPr>
      <w:r w:rsidRPr="009F1432">
        <w:rPr>
          <w:sz w:val="24"/>
          <w:szCs w:val="24"/>
        </w:rPr>
        <w:t>All forms of U.S. business entities, trusts, estates with foreign accounts.</w:t>
      </w:r>
    </w:p>
    <w:p w14:paraId="5790248E" w14:textId="77777777" w:rsidR="00281787" w:rsidRPr="009F1432" w:rsidRDefault="00281787" w:rsidP="003E7B18">
      <w:pPr>
        <w:widowControl w:val="0"/>
        <w:numPr>
          <w:ilvl w:val="0"/>
          <w:numId w:val="139"/>
        </w:numPr>
        <w:autoSpaceDE w:val="0"/>
        <w:autoSpaceDN w:val="0"/>
        <w:rPr>
          <w:sz w:val="24"/>
          <w:szCs w:val="24"/>
        </w:rPr>
      </w:pPr>
      <w:r w:rsidRPr="009F1432">
        <w:rPr>
          <w:sz w:val="24"/>
          <w:szCs w:val="24"/>
        </w:rPr>
        <w:t>U.S. citizens and residents with signature or other authority over a foreign account.</w:t>
      </w:r>
    </w:p>
    <w:p w14:paraId="4FD72E15" w14:textId="77777777" w:rsidR="00281787" w:rsidRPr="009F1432" w:rsidRDefault="00281787" w:rsidP="003E7B18">
      <w:pPr>
        <w:widowControl w:val="0"/>
        <w:numPr>
          <w:ilvl w:val="0"/>
          <w:numId w:val="139"/>
        </w:numPr>
        <w:autoSpaceDE w:val="0"/>
        <w:autoSpaceDN w:val="0"/>
        <w:rPr>
          <w:sz w:val="24"/>
          <w:szCs w:val="24"/>
        </w:rPr>
      </w:pPr>
      <w:r w:rsidRPr="009F1432">
        <w:rPr>
          <w:sz w:val="24"/>
          <w:szCs w:val="24"/>
        </w:rPr>
        <w:t>Trust beneficiaries with a greater than 50% beneficial interest in a trust with a foreign account.</w:t>
      </w:r>
    </w:p>
    <w:p w14:paraId="0D0FB4F2" w14:textId="77777777" w:rsidR="00281787" w:rsidRPr="009F1432" w:rsidRDefault="00281787" w:rsidP="003E7B18">
      <w:pPr>
        <w:widowControl w:val="0"/>
        <w:numPr>
          <w:ilvl w:val="0"/>
          <w:numId w:val="139"/>
        </w:numPr>
        <w:autoSpaceDE w:val="0"/>
        <w:autoSpaceDN w:val="0"/>
        <w:rPr>
          <w:sz w:val="24"/>
          <w:szCs w:val="24"/>
        </w:rPr>
      </w:pPr>
      <w:r w:rsidRPr="009F1432">
        <w:rPr>
          <w:sz w:val="24"/>
          <w:szCs w:val="24"/>
        </w:rPr>
        <w:t>U.S. citizens and resident stockholders with greater than 50% of the value or vote of the shares of a corporation with foreign accounts.</w:t>
      </w:r>
    </w:p>
    <w:p w14:paraId="2E9D6F2C" w14:textId="77777777" w:rsidR="00281787" w:rsidRPr="009F1432" w:rsidRDefault="00281787" w:rsidP="003E7B18">
      <w:pPr>
        <w:widowControl w:val="0"/>
        <w:numPr>
          <w:ilvl w:val="0"/>
          <w:numId w:val="139"/>
        </w:numPr>
        <w:autoSpaceDE w:val="0"/>
        <w:autoSpaceDN w:val="0"/>
        <w:rPr>
          <w:sz w:val="24"/>
          <w:szCs w:val="24"/>
        </w:rPr>
      </w:pPr>
      <w:r w:rsidRPr="009F1432">
        <w:rPr>
          <w:sz w:val="24"/>
          <w:szCs w:val="24"/>
        </w:rPr>
        <w:t>Entities that are disregarded for tax purposes, such as limited liability companies.</w:t>
      </w:r>
    </w:p>
    <w:p w14:paraId="68BEBADB" w14:textId="77777777" w:rsidR="00281787" w:rsidRPr="009F1432" w:rsidRDefault="00281787" w:rsidP="00281787">
      <w:pPr>
        <w:pStyle w:val="Normal1"/>
        <w:spacing w:before="0" w:after="0" w:afterAutospacing="0" w:line="240" w:lineRule="auto"/>
        <w:ind w:left="270"/>
        <w:rPr>
          <w:rFonts w:ascii="Times New Roman" w:hAnsi="Times New Roman" w:cs="Times New Roman"/>
          <w:sz w:val="24"/>
          <w:szCs w:val="24"/>
        </w:rPr>
      </w:pPr>
    </w:p>
    <w:p w14:paraId="78135585" w14:textId="77777777" w:rsidR="00281787" w:rsidRPr="009F1432" w:rsidRDefault="00281787" w:rsidP="00281787">
      <w:pPr>
        <w:pStyle w:val="Normal1"/>
        <w:spacing w:before="0" w:after="0" w:afterAutospacing="0" w:line="240" w:lineRule="auto"/>
        <w:ind w:left="270"/>
        <w:rPr>
          <w:rFonts w:ascii="Times New Roman" w:hAnsi="Times New Roman" w:cs="Times New Roman"/>
          <w:sz w:val="24"/>
          <w:szCs w:val="24"/>
        </w:rPr>
      </w:pPr>
      <w:r w:rsidRPr="009F1432">
        <w:rPr>
          <w:rFonts w:ascii="Times New Roman" w:hAnsi="Times New Roman" w:cs="Times New Roman"/>
          <w:sz w:val="24"/>
          <w:szCs w:val="24"/>
        </w:rPr>
        <w:t>The filing requirement does not apply to certain entities or situations. The regulation should be consulted for specific exemptions or conditions of exemptions.</w:t>
      </w:r>
    </w:p>
    <w:p w14:paraId="18C4DA16" w14:textId="77777777" w:rsidR="00281787" w:rsidRPr="009F1432" w:rsidRDefault="00281787" w:rsidP="00281787">
      <w:pPr>
        <w:pStyle w:val="Normal1"/>
        <w:spacing w:before="0" w:after="0" w:afterAutospacing="0" w:line="240" w:lineRule="auto"/>
        <w:ind w:left="270"/>
        <w:rPr>
          <w:rFonts w:ascii="Times New Roman" w:hAnsi="Times New Roman" w:cs="Times New Roman"/>
          <w:sz w:val="24"/>
          <w:szCs w:val="24"/>
        </w:rPr>
      </w:pPr>
    </w:p>
    <w:p w14:paraId="52EF40C1" w14:textId="77777777" w:rsidR="00281787" w:rsidRPr="009F1432" w:rsidRDefault="00281787" w:rsidP="003E7B18">
      <w:pPr>
        <w:widowControl w:val="0"/>
        <w:numPr>
          <w:ilvl w:val="0"/>
          <w:numId w:val="140"/>
        </w:numPr>
        <w:autoSpaceDE w:val="0"/>
        <w:autoSpaceDN w:val="0"/>
        <w:rPr>
          <w:sz w:val="24"/>
          <w:szCs w:val="24"/>
        </w:rPr>
      </w:pPr>
      <w:r w:rsidRPr="009F1432">
        <w:rPr>
          <w:sz w:val="24"/>
          <w:szCs w:val="24"/>
        </w:rPr>
        <w:t>If the account is maintained in the United States, it is not considered a foreign account even if it holds foreign assets.</w:t>
      </w:r>
    </w:p>
    <w:p w14:paraId="3F93FFE2" w14:textId="77777777" w:rsidR="00281787" w:rsidRPr="009F1432" w:rsidRDefault="00281787" w:rsidP="003E7B18">
      <w:pPr>
        <w:widowControl w:val="0"/>
        <w:numPr>
          <w:ilvl w:val="0"/>
          <w:numId w:val="140"/>
        </w:numPr>
        <w:autoSpaceDE w:val="0"/>
        <w:autoSpaceDN w:val="0"/>
        <w:rPr>
          <w:sz w:val="24"/>
          <w:szCs w:val="24"/>
        </w:rPr>
      </w:pPr>
      <w:r w:rsidRPr="009F1432">
        <w:rPr>
          <w:sz w:val="24"/>
          <w:szCs w:val="24"/>
        </w:rPr>
        <w:t>An omnibus account held by a custody bank that holds assets both in the U.S. and outside the U.S. is not considered a foreign account unless the customer has direct access to its foreign holdings maintained at the foreign institution.</w:t>
      </w:r>
    </w:p>
    <w:p w14:paraId="2BCC5DCA" w14:textId="77777777" w:rsidR="00281787" w:rsidRPr="009F1432" w:rsidRDefault="00281787" w:rsidP="003E7B18">
      <w:pPr>
        <w:widowControl w:val="0"/>
        <w:numPr>
          <w:ilvl w:val="0"/>
          <w:numId w:val="140"/>
        </w:numPr>
        <w:autoSpaceDE w:val="0"/>
        <w:autoSpaceDN w:val="0"/>
        <w:rPr>
          <w:sz w:val="24"/>
          <w:szCs w:val="24"/>
        </w:rPr>
      </w:pPr>
      <w:r w:rsidRPr="009F1432">
        <w:rPr>
          <w:sz w:val="24"/>
          <w:szCs w:val="24"/>
        </w:rPr>
        <w:t>Certain entities are excluded including: foreign hedge funds, venture capital funds, or private equity funds; tax-exempt investors that own offshore "blocker corporations;" government pension funds; pension plan participants and IRA owners (provided the trustee files a FBAR); investment advisers and employees of such advisers that provide advice to SEC-registered entities; remainder interests in trusts and beneficiaries of discretionary trusts; employees of a U.S. or foreign entity that issued a class of foreign equity (including ADRs) registered with the SEC.</w:t>
      </w:r>
    </w:p>
    <w:p w14:paraId="5A36DC4F" w14:textId="77777777" w:rsidR="003D216B" w:rsidRPr="009F1432" w:rsidRDefault="003D216B" w:rsidP="003D216B">
      <w:pPr>
        <w:pStyle w:val="BodyText2"/>
        <w:widowControl/>
      </w:pPr>
    </w:p>
    <w:p w14:paraId="05AE98F2" w14:textId="77777777" w:rsidR="00AE08FE" w:rsidRPr="009F1432" w:rsidRDefault="00AE08FE" w:rsidP="00046914">
      <w:pPr>
        <w:ind w:left="270"/>
        <w:jc w:val="both"/>
        <w:rPr>
          <w:sz w:val="24"/>
        </w:rPr>
      </w:pPr>
      <w:r w:rsidRPr="009F1432">
        <w:rPr>
          <w:sz w:val="24"/>
        </w:rPr>
        <w:t xml:space="preserve">There are also exemptions for officers or employees with signature or other authority over certain foreign financial accounts but no financial interest in the reportable account.  The regulation will </w:t>
      </w:r>
      <w:r w:rsidR="00430CB1" w:rsidRPr="009F1432">
        <w:rPr>
          <w:sz w:val="24"/>
        </w:rPr>
        <w:t xml:space="preserve">be </w:t>
      </w:r>
      <w:r w:rsidRPr="009F1432">
        <w:rPr>
          <w:sz w:val="24"/>
        </w:rPr>
        <w:t>consulted for details regarding who is not required to notify FinCEN regarding signature or other</w:t>
      </w:r>
      <w:r w:rsidR="00430CB1" w:rsidRPr="009F1432">
        <w:rPr>
          <w:sz w:val="24"/>
        </w:rPr>
        <w:t xml:space="preserve"> authority over such an account if applicable.</w:t>
      </w:r>
    </w:p>
    <w:p w14:paraId="162E3204" w14:textId="77777777" w:rsidR="00AE08FE" w:rsidRPr="009F1432" w:rsidRDefault="00AE08FE" w:rsidP="00AE08FE">
      <w:pPr>
        <w:ind w:left="270"/>
        <w:rPr>
          <w:sz w:val="24"/>
        </w:rPr>
      </w:pPr>
    </w:p>
    <w:p w14:paraId="05417C7A" w14:textId="77777777" w:rsidR="003D216B" w:rsidRPr="009F1432" w:rsidRDefault="00AE08FE" w:rsidP="00AE08FE">
      <w:pPr>
        <w:ind w:left="270"/>
        <w:rPr>
          <w:sz w:val="24"/>
        </w:rPr>
      </w:pPr>
      <w:r w:rsidRPr="009F1432">
        <w:rPr>
          <w:sz w:val="24"/>
        </w:rPr>
        <w:t xml:space="preserve"> </w:t>
      </w:r>
    </w:p>
    <w:p w14:paraId="3C511090" w14:textId="77777777" w:rsidR="003D216B" w:rsidRPr="00E60F67" w:rsidRDefault="00F231DA" w:rsidP="00936FEE">
      <w:pPr>
        <w:pStyle w:val="Heading2"/>
      </w:pPr>
      <w:r w:rsidRPr="00E60F67">
        <w:t>7</w:t>
      </w:r>
      <w:r w:rsidR="00D66F80">
        <w:t>.6</w:t>
      </w:r>
      <w:r w:rsidRPr="00E60F67">
        <w:t xml:space="preserve">  </w:t>
      </w:r>
      <w:r w:rsidR="007E45A0">
        <w:t xml:space="preserve"> </w:t>
      </w:r>
      <w:r w:rsidR="003D216B" w:rsidRPr="00E60F67">
        <w:t>Money Laundering Procedures and Prevention</w:t>
      </w:r>
    </w:p>
    <w:p w14:paraId="0CF53FA7" w14:textId="77777777" w:rsidR="003D216B" w:rsidRDefault="003D216B" w:rsidP="00F231DA">
      <w:pPr>
        <w:jc w:val="both"/>
        <w:rPr>
          <w:sz w:val="24"/>
        </w:rPr>
      </w:pPr>
      <w:r>
        <w:rPr>
          <w:sz w:val="24"/>
        </w:rPr>
        <w:t>All registered representatives and supervisory personnel should be aware of the techniques for detecting money laundering and adhering to these guidelines.</w:t>
      </w:r>
    </w:p>
    <w:p w14:paraId="3797AD41" w14:textId="77777777" w:rsidR="003D216B" w:rsidRDefault="003D216B" w:rsidP="003D216B">
      <w:pPr>
        <w:ind w:firstLine="720"/>
        <w:rPr>
          <w:sz w:val="24"/>
        </w:rPr>
      </w:pPr>
    </w:p>
    <w:p w14:paraId="50DE6A4F" w14:textId="692E9C27" w:rsidR="00D15609" w:rsidRPr="00440D97" w:rsidRDefault="003D216B" w:rsidP="00C1728B">
      <w:pPr>
        <w:numPr>
          <w:ilvl w:val="0"/>
          <w:numId w:val="82"/>
        </w:numPr>
        <w:rPr>
          <w:sz w:val="24"/>
        </w:rPr>
      </w:pPr>
      <w:r>
        <w:rPr>
          <w:sz w:val="24"/>
        </w:rPr>
        <w:t xml:space="preserve">The Company will not accept any accounts for foreign banks offshore accounts.  In addition, the Company will not open any private banking or foreign official accounts.  </w:t>
      </w:r>
      <w:r w:rsidR="00362B77" w:rsidRPr="00440D97">
        <w:rPr>
          <w:sz w:val="24"/>
        </w:rPr>
        <w:t xml:space="preserve">Company generally does not accept alien </w:t>
      </w:r>
      <w:r w:rsidR="00D24297" w:rsidRPr="00440D97">
        <w:rPr>
          <w:sz w:val="24"/>
        </w:rPr>
        <w:t>accounts;</w:t>
      </w:r>
      <w:r w:rsidR="00362B77" w:rsidRPr="00440D97">
        <w:rPr>
          <w:sz w:val="24"/>
        </w:rPr>
        <w:t xml:space="preserve"> however, Morris Monroe wil</w:t>
      </w:r>
      <w:r w:rsidR="0011088D" w:rsidRPr="00440D97">
        <w:rPr>
          <w:sz w:val="24"/>
        </w:rPr>
        <w:t>l</w:t>
      </w:r>
      <w:r w:rsidR="00362B77" w:rsidRPr="00440D97">
        <w:rPr>
          <w:sz w:val="24"/>
        </w:rPr>
        <w:t xml:space="preserve"> review on a </w:t>
      </w:r>
      <w:r w:rsidR="00CC601C" w:rsidRPr="00440D97">
        <w:rPr>
          <w:sz w:val="24"/>
        </w:rPr>
        <w:t>case-by-case</w:t>
      </w:r>
      <w:r w:rsidR="00362B77" w:rsidRPr="00440D97">
        <w:rPr>
          <w:sz w:val="24"/>
        </w:rPr>
        <w:t xml:space="preserve"> basis to determine if Company will accept such accounts and Company will indicate in WinOps </w:t>
      </w:r>
      <w:r w:rsidR="005F56E1" w:rsidRPr="00C35790">
        <w:rPr>
          <w:sz w:val="24"/>
        </w:rPr>
        <w:t xml:space="preserve">or the New Account Form </w:t>
      </w:r>
      <w:r w:rsidR="00362B77" w:rsidRPr="00C35790">
        <w:rPr>
          <w:sz w:val="24"/>
        </w:rPr>
        <w:t xml:space="preserve">his initialed </w:t>
      </w:r>
      <w:r w:rsidR="005F56E1" w:rsidRPr="00C35790">
        <w:rPr>
          <w:sz w:val="24"/>
        </w:rPr>
        <w:t xml:space="preserve">(or signature) </w:t>
      </w:r>
      <w:r w:rsidR="00362B77" w:rsidRPr="00C35790">
        <w:rPr>
          <w:sz w:val="24"/>
        </w:rPr>
        <w:lastRenderedPageBreak/>
        <w:t xml:space="preserve">review </w:t>
      </w:r>
      <w:r w:rsidR="00362B77" w:rsidRPr="00440D97">
        <w:rPr>
          <w:sz w:val="24"/>
        </w:rPr>
        <w:t>and date if applicable.</w:t>
      </w:r>
      <w:r w:rsidR="00D15609" w:rsidRPr="00440D97">
        <w:rPr>
          <w:sz w:val="24"/>
        </w:rPr>
        <w:t xml:space="preserve">  Such Accounts will also be marked in WinOps with an AML Risk Level of Medium or High (depending on nature of account and activity type – i.e. brokerage account vs direct mutua</w:t>
      </w:r>
      <w:r w:rsidR="00D24297">
        <w:rPr>
          <w:sz w:val="24"/>
        </w:rPr>
        <w:t>l</w:t>
      </w:r>
      <w:r w:rsidR="00D15609" w:rsidRPr="00440D97">
        <w:rPr>
          <w:sz w:val="24"/>
        </w:rPr>
        <w:t xml:space="preserve"> fund account, etc</w:t>
      </w:r>
      <w:r w:rsidR="003B437B">
        <w:rPr>
          <w:sz w:val="24"/>
        </w:rPr>
        <w:t>.</w:t>
      </w:r>
      <w:r w:rsidR="00D15609" w:rsidRPr="00440D97">
        <w:rPr>
          <w:sz w:val="24"/>
        </w:rPr>
        <w:t>).</w:t>
      </w:r>
      <w:r w:rsidR="00362B77" w:rsidRPr="00440D97">
        <w:rPr>
          <w:sz w:val="24"/>
        </w:rPr>
        <w:t xml:space="preserve">  </w:t>
      </w:r>
    </w:p>
    <w:p w14:paraId="7FA12E6A" w14:textId="77777777" w:rsidR="00D15609" w:rsidRPr="00D15609" w:rsidRDefault="00D15609" w:rsidP="00D15609">
      <w:pPr>
        <w:ind w:left="720"/>
        <w:rPr>
          <w:sz w:val="24"/>
        </w:rPr>
      </w:pPr>
    </w:p>
    <w:p w14:paraId="657E90EA" w14:textId="77777777" w:rsidR="00F231DA" w:rsidRDefault="003D216B" w:rsidP="00C1728B">
      <w:pPr>
        <w:numPr>
          <w:ilvl w:val="0"/>
          <w:numId w:val="82"/>
        </w:numPr>
        <w:rPr>
          <w:sz w:val="24"/>
        </w:rPr>
      </w:pPr>
      <w:r>
        <w:rPr>
          <w:sz w:val="24"/>
        </w:rPr>
        <w:t xml:space="preserve">The Company will not accept any checks drawn on a foreign bank.  Only domestic bank checks will be accepted.  Any wire to/from a foreign destination must be pre-approved by Morris Monroe only.  The Company does not accept cash. No accounts are opened online.  The Company does not accept anonymous or numbered accounts.  Upon finding or suspecting such accounts, Company employees will notify Morris Monroe who will terminate any verified such account.  Caution will be exercised regarding liquidation of such accounts and take reasonable steps to ensure that no new positions are established in these accounts during the termination period. </w:t>
      </w:r>
    </w:p>
    <w:p w14:paraId="438A5D50" w14:textId="77777777" w:rsidR="008B0412" w:rsidRDefault="008B0412" w:rsidP="008B0412">
      <w:pPr>
        <w:ind w:left="720"/>
        <w:jc w:val="both"/>
        <w:rPr>
          <w:sz w:val="24"/>
        </w:rPr>
      </w:pPr>
    </w:p>
    <w:p w14:paraId="2E2AAD04" w14:textId="77777777" w:rsidR="003D216B" w:rsidRPr="00DF3AF4" w:rsidRDefault="003D216B" w:rsidP="00C1728B">
      <w:pPr>
        <w:numPr>
          <w:ilvl w:val="0"/>
          <w:numId w:val="82"/>
        </w:numPr>
        <w:rPr>
          <w:color w:val="FF0000"/>
          <w:sz w:val="24"/>
        </w:rPr>
      </w:pPr>
      <w:r w:rsidRPr="00A46B46">
        <w:rPr>
          <w:sz w:val="24"/>
        </w:rPr>
        <w:t>The Company strictly prohibits any accounts and transacti</w:t>
      </w:r>
      <w:r w:rsidR="00F231DA" w:rsidRPr="00A46B46">
        <w:rPr>
          <w:sz w:val="24"/>
        </w:rPr>
        <w:t>ons for persons or entities and</w:t>
      </w:r>
      <w:r w:rsidR="00A01BEC" w:rsidRPr="00A46B46">
        <w:rPr>
          <w:sz w:val="24"/>
        </w:rPr>
        <w:t xml:space="preserve"> </w:t>
      </w:r>
      <w:r w:rsidRPr="00A46B46">
        <w:rPr>
          <w:sz w:val="24"/>
        </w:rPr>
        <w:t xml:space="preserve">securities pursuant to Executive Order #13224 through the Office of Foreign Assets Control.  A direct link to the OFAC website for a list of such persons, entities or securities is provided through the </w:t>
      </w:r>
      <w:r w:rsidR="00295518">
        <w:rPr>
          <w:sz w:val="24"/>
        </w:rPr>
        <w:t xml:space="preserve">WSC or </w:t>
      </w:r>
      <w:r w:rsidRPr="00A46B46">
        <w:rPr>
          <w:sz w:val="24"/>
        </w:rPr>
        <w:t>FINRA websites and Win</w:t>
      </w:r>
      <w:r w:rsidR="0064576F" w:rsidRPr="00A46B46">
        <w:rPr>
          <w:sz w:val="24"/>
        </w:rPr>
        <w:t>O</w:t>
      </w:r>
      <w:r w:rsidRPr="00A46B46">
        <w:rPr>
          <w:sz w:val="24"/>
        </w:rPr>
        <w:t>ps software program to check the list prior to opening accounts or conducting</w:t>
      </w:r>
      <w:r>
        <w:rPr>
          <w:sz w:val="24"/>
        </w:rPr>
        <w:t xml:space="preserve"> transactions</w:t>
      </w:r>
      <w:r w:rsidR="00DF3AF4">
        <w:rPr>
          <w:sz w:val="24"/>
        </w:rPr>
        <w:t xml:space="preserve"> </w:t>
      </w:r>
      <w:r w:rsidR="00DF3AF4" w:rsidRPr="00A46B46">
        <w:rPr>
          <w:sz w:val="24"/>
        </w:rPr>
        <w:t>(website</w:t>
      </w:r>
      <w:r w:rsidR="00DF3AF4" w:rsidRPr="00DF3AF4">
        <w:rPr>
          <w:color w:val="FF0000"/>
          <w:sz w:val="24"/>
        </w:rPr>
        <w:t xml:space="preserve"> </w:t>
      </w:r>
      <w:hyperlink r:id="rId41" w:history="1">
        <w:r w:rsidR="00A46B46" w:rsidRPr="003E7B07">
          <w:rPr>
            <w:rStyle w:val="Hyperlink"/>
            <w:sz w:val="24"/>
          </w:rPr>
          <w:t>http://apps.finra.org/rulesregulation/ofac/1/Default.aspx</w:t>
        </w:r>
      </w:hyperlink>
      <w:r w:rsidR="00A46B46">
        <w:rPr>
          <w:sz w:val="24"/>
        </w:rPr>
        <w:t>)</w:t>
      </w:r>
      <w:r w:rsidRPr="00A46B46">
        <w:rPr>
          <w:sz w:val="24"/>
        </w:rPr>
        <w:t>.</w:t>
      </w:r>
    </w:p>
    <w:p w14:paraId="363C3BF5" w14:textId="77777777" w:rsidR="003D216B" w:rsidRDefault="003D216B" w:rsidP="003D216B">
      <w:pPr>
        <w:rPr>
          <w:sz w:val="24"/>
        </w:rPr>
      </w:pPr>
    </w:p>
    <w:p w14:paraId="3FD5071C" w14:textId="77777777" w:rsidR="003D216B" w:rsidRDefault="00A32F62" w:rsidP="00850378">
      <w:pPr>
        <w:pStyle w:val="Heading3"/>
        <w:jc w:val="left"/>
      </w:pPr>
      <w:r>
        <w:t>7.</w:t>
      </w:r>
      <w:r w:rsidR="00C52626">
        <w:t>6</w:t>
      </w:r>
      <w:r>
        <w:t xml:space="preserve">.1   </w:t>
      </w:r>
      <w:r w:rsidR="00850378">
        <w:t xml:space="preserve">Customer Identification Program (CIP) </w:t>
      </w:r>
      <w:r w:rsidR="00FC659E">
        <w:t>and Customer Due Diligence (CDD)</w:t>
      </w:r>
    </w:p>
    <w:p w14:paraId="6A7EA698" w14:textId="77777777" w:rsidR="006A686C" w:rsidRPr="003B437B" w:rsidRDefault="006A686C" w:rsidP="006A686C">
      <w:pPr>
        <w:ind w:left="270"/>
        <w:rPr>
          <w:sz w:val="24"/>
          <w:szCs w:val="24"/>
        </w:rPr>
      </w:pPr>
      <w:r w:rsidRPr="003B437B">
        <w:rPr>
          <w:sz w:val="24"/>
          <w:szCs w:val="24"/>
        </w:rPr>
        <w:t>When opening new accounts, the customer's identity must be verified, as required by federal law. Customer identification (ID) information must be completed on the new account application. This includes, under FinCEN's requirements:</w:t>
      </w:r>
    </w:p>
    <w:p w14:paraId="17CA04DD" w14:textId="77777777" w:rsidR="006A686C" w:rsidRPr="003B437B" w:rsidRDefault="006A686C" w:rsidP="003E7B18">
      <w:pPr>
        <w:numPr>
          <w:ilvl w:val="0"/>
          <w:numId w:val="319"/>
        </w:numPr>
        <w:rPr>
          <w:sz w:val="24"/>
          <w:szCs w:val="24"/>
        </w:rPr>
      </w:pPr>
      <w:r w:rsidRPr="003B437B">
        <w:rPr>
          <w:sz w:val="24"/>
          <w:szCs w:val="24"/>
        </w:rPr>
        <w:t>customer identification and verification</w:t>
      </w:r>
      <w:r w:rsidR="009F144B" w:rsidRPr="003B437B">
        <w:rPr>
          <w:sz w:val="24"/>
          <w:szCs w:val="24"/>
        </w:rPr>
        <w:t xml:space="preserve"> (</w:t>
      </w:r>
      <w:r w:rsidR="001439C4" w:rsidRPr="003B437B">
        <w:rPr>
          <w:sz w:val="24"/>
          <w:szCs w:val="24"/>
        </w:rPr>
        <w:t>S</w:t>
      </w:r>
      <w:r w:rsidR="009F144B" w:rsidRPr="003B437B">
        <w:rPr>
          <w:sz w:val="24"/>
          <w:szCs w:val="24"/>
        </w:rPr>
        <w:t xml:space="preserve">tate issued ID, </w:t>
      </w:r>
      <w:r w:rsidR="001439C4" w:rsidRPr="003B437B">
        <w:rPr>
          <w:sz w:val="24"/>
          <w:szCs w:val="24"/>
        </w:rPr>
        <w:t>D</w:t>
      </w:r>
      <w:r w:rsidR="009F144B" w:rsidRPr="003B437B">
        <w:rPr>
          <w:sz w:val="24"/>
          <w:szCs w:val="24"/>
        </w:rPr>
        <w:t xml:space="preserve">river’s </w:t>
      </w:r>
      <w:r w:rsidR="001439C4" w:rsidRPr="003B437B">
        <w:rPr>
          <w:sz w:val="24"/>
          <w:szCs w:val="24"/>
        </w:rPr>
        <w:t>L</w:t>
      </w:r>
      <w:r w:rsidR="009F144B" w:rsidRPr="003B437B">
        <w:rPr>
          <w:sz w:val="24"/>
          <w:szCs w:val="24"/>
        </w:rPr>
        <w:t xml:space="preserve">icense, </w:t>
      </w:r>
      <w:r w:rsidR="001439C4" w:rsidRPr="003B437B">
        <w:rPr>
          <w:sz w:val="24"/>
          <w:szCs w:val="24"/>
        </w:rPr>
        <w:t>P</w:t>
      </w:r>
      <w:r w:rsidR="009F144B" w:rsidRPr="003B437B">
        <w:rPr>
          <w:sz w:val="24"/>
          <w:szCs w:val="24"/>
        </w:rPr>
        <w:t>assport)</w:t>
      </w:r>
      <w:r w:rsidRPr="003B437B">
        <w:rPr>
          <w:sz w:val="24"/>
          <w:szCs w:val="24"/>
        </w:rPr>
        <w:t>;</w:t>
      </w:r>
    </w:p>
    <w:p w14:paraId="3C295E7D" w14:textId="77777777" w:rsidR="006A686C" w:rsidRPr="003B437B" w:rsidRDefault="006A686C" w:rsidP="003E7B18">
      <w:pPr>
        <w:numPr>
          <w:ilvl w:val="0"/>
          <w:numId w:val="319"/>
        </w:numPr>
        <w:rPr>
          <w:sz w:val="24"/>
          <w:szCs w:val="24"/>
        </w:rPr>
      </w:pPr>
      <w:r w:rsidRPr="003B437B">
        <w:rPr>
          <w:sz w:val="24"/>
          <w:szCs w:val="24"/>
        </w:rPr>
        <w:t>beneficial ownership identification and certification;</w:t>
      </w:r>
    </w:p>
    <w:p w14:paraId="1A1AB0D6" w14:textId="77777777" w:rsidR="006A686C" w:rsidRPr="003B437B" w:rsidRDefault="006A686C" w:rsidP="003E7B18">
      <w:pPr>
        <w:numPr>
          <w:ilvl w:val="0"/>
          <w:numId w:val="319"/>
        </w:numPr>
        <w:rPr>
          <w:sz w:val="24"/>
          <w:szCs w:val="24"/>
        </w:rPr>
      </w:pPr>
      <w:r w:rsidRPr="003B437B">
        <w:rPr>
          <w:sz w:val="24"/>
          <w:szCs w:val="24"/>
        </w:rPr>
        <w:t>understanding the nature and purpose of customer relationships; and</w:t>
      </w:r>
    </w:p>
    <w:p w14:paraId="0CFEC9E7" w14:textId="77777777" w:rsidR="006A686C" w:rsidRPr="003B437B" w:rsidRDefault="006A686C" w:rsidP="003E7B18">
      <w:pPr>
        <w:numPr>
          <w:ilvl w:val="0"/>
          <w:numId w:val="319"/>
        </w:numPr>
        <w:rPr>
          <w:sz w:val="24"/>
          <w:szCs w:val="24"/>
        </w:rPr>
      </w:pPr>
      <w:r w:rsidRPr="003B437B">
        <w:rPr>
          <w:sz w:val="24"/>
          <w:szCs w:val="24"/>
        </w:rPr>
        <w:t>ongoing monitoring for reporting suspicious transactions and, on a risk basis maintaining and updating customer information.</w:t>
      </w:r>
    </w:p>
    <w:p w14:paraId="25945353" w14:textId="77777777" w:rsidR="006A686C" w:rsidRPr="003B437B" w:rsidRDefault="006A686C" w:rsidP="00A32F62">
      <w:pPr>
        <w:autoSpaceDE w:val="0"/>
        <w:autoSpaceDN w:val="0"/>
        <w:adjustRightInd w:val="0"/>
        <w:ind w:left="270"/>
        <w:jc w:val="both"/>
        <w:rPr>
          <w:sz w:val="24"/>
        </w:rPr>
      </w:pPr>
    </w:p>
    <w:p w14:paraId="464D57AA" w14:textId="77777777" w:rsidR="00370A5F" w:rsidRPr="003B437B" w:rsidRDefault="00370A5F" w:rsidP="00370A5F">
      <w:pPr>
        <w:ind w:firstLine="270"/>
        <w:rPr>
          <w:b/>
          <w:sz w:val="24"/>
          <w:szCs w:val="24"/>
        </w:rPr>
      </w:pPr>
      <w:r w:rsidRPr="003B437B">
        <w:rPr>
          <w:b/>
          <w:sz w:val="24"/>
          <w:szCs w:val="24"/>
        </w:rPr>
        <w:t xml:space="preserve">Definitions </w:t>
      </w:r>
    </w:p>
    <w:p w14:paraId="2028FDA9" w14:textId="77777777" w:rsidR="00370A5F" w:rsidRPr="003B437B" w:rsidRDefault="00370A5F" w:rsidP="00370A5F">
      <w:pPr>
        <w:pStyle w:val="Normal32"/>
        <w:spacing w:before="0" w:beforeAutospacing="0" w:after="0" w:afterAutospacing="0"/>
        <w:ind w:left="270"/>
      </w:pPr>
      <w:r w:rsidRPr="003B437B">
        <w:t>The regulations should be consulted for more complete definitions.</w:t>
      </w:r>
    </w:p>
    <w:p w14:paraId="5F97FB42" w14:textId="77777777" w:rsidR="00370A5F" w:rsidRPr="003B437B" w:rsidRDefault="00370A5F" w:rsidP="00370A5F">
      <w:pPr>
        <w:pStyle w:val="Normal32"/>
        <w:spacing w:before="0" w:beforeAutospacing="0" w:after="0" w:afterAutospacing="0"/>
        <w:ind w:left="270"/>
        <w:rPr>
          <w:b/>
          <w:bCs/>
        </w:rPr>
      </w:pPr>
    </w:p>
    <w:p w14:paraId="648EFC06" w14:textId="77777777" w:rsidR="00370A5F" w:rsidRPr="003B437B" w:rsidRDefault="00370A5F" w:rsidP="003E7B18">
      <w:pPr>
        <w:pStyle w:val="Normal32"/>
        <w:numPr>
          <w:ilvl w:val="0"/>
          <w:numId w:val="322"/>
        </w:numPr>
        <w:spacing w:before="0" w:beforeAutospacing="0" w:after="0" w:afterAutospacing="0"/>
        <w:rPr>
          <w:b/>
          <w:bCs/>
        </w:rPr>
      </w:pPr>
      <w:r w:rsidRPr="003B437B">
        <w:rPr>
          <w:b/>
          <w:bCs/>
        </w:rPr>
        <w:t>Legal entity customer</w:t>
      </w:r>
      <w:r w:rsidRPr="003B437B">
        <w:t>: corporation; limited liability company; another entity created by a public filing with a Secretary of State or equivalent; general partnership; limited partnership; business trust created through a state filing; or any similar entity formed under federal law. Does not include sole proprietorships, unincorporated associations, and natural persons opening their own account. Other exclusions are a federal- or state-regulated financial institution; political departments and agencies of the U.S. or a State; various different types of entities registered with the CFTC or SEC; and other entities included in the regulation.</w:t>
      </w:r>
    </w:p>
    <w:p w14:paraId="5C676558" w14:textId="77777777" w:rsidR="00370A5F" w:rsidRPr="003B437B" w:rsidRDefault="00370A5F" w:rsidP="00370A5F">
      <w:pPr>
        <w:pStyle w:val="Normal32"/>
        <w:spacing w:before="0" w:beforeAutospacing="0" w:after="0" w:afterAutospacing="0"/>
        <w:ind w:left="270"/>
        <w:rPr>
          <w:b/>
          <w:bCs/>
        </w:rPr>
      </w:pPr>
    </w:p>
    <w:p w14:paraId="05A7C1C8" w14:textId="77777777" w:rsidR="00370A5F" w:rsidRPr="003B437B" w:rsidRDefault="00370A5F" w:rsidP="003E7B18">
      <w:pPr>
        <w:pStyle w:val="Normal32"/>
        <w:numPr>
          <w:ilvl w:val="0"/>
          <w:numId w:val="322"/>
        </w:numPr>
        <w:spacing w:before="0" w:beforeAutospacing="0" w:after="0" w:afterAutospacing="0"/>
      </w:pPr>
      <w:r w:rsidRPr="003B437B">
        <w:rPr>
          <w:b/>
          <w:bCs/>
        </w:rPr>
        <w:t>Beneficial owner</w:t>
      </w:r>
      <w:r w:rsidRPr="003B437B">
        <w:t xml:space="preserve">: </w:t>
      </w:r>
      <w:r w:rsidR="00F24A24" w:rsidRPr="003B437B">
        <w:t>each</w:t>
      </w:r>
      <w:r w:rsidRPr="003B437B">
        <w:t xml:space="preserve"> individual</w:t>
      </w:r>
      <w:r w:rsidR="00F24A24" w:rsidRPr="003B437B">
        <w:t>, if any,</w:t>
      </w:r>
      <w:r w:rsidRPr="003B437B">
        <w:t xml:space="preserve"> who directly or indirectly owns 25% or more of the equity </w:t>
      </w:r>
      <w:r w:rsidR="00F24A24" w:rsidRPr="003B437B">
        <w:t xml:space="preserve">interests </w:t>
      </w:r>
      <w:r w:rsidRPr="003B437B">
        <w:t>of a legal entity customer</w:t>
      </w:r>
      <w:r w:rsidR="00F24A24" w:rsidRPr="003B437B">
        <w:t xml:space="preserve"> (i.e. the ownership prong)</w:t>
      </w:r>
      <w:r w:rsidRPr="003B437B">
        <w:t xml:space="preserve">; </w:t>
      </w:r>
      <w:r w:rsidR="00F24A24" w:rsidRPr="003B437B">
        <w:t xml:space="preserve">and </w:t>
      </w:r>
      <w:r w:rsidRPr="003B437B">
        <w:t xml:space="preserve">a single individual </w:t>
      </w:r>
      <w:r w:rsidR="00F24A24" w:rsidRPr="003B437B">
        <w:t xml:space="preserve">with significant responsibility to </w:t>
      </w:r>
      <w:r w:rsidRPr="003B437B">
        <w:t>control, manage, or direct a legal entity (</w:t>
      </w:r>
      <w:r w:rsidRPr="003B437B">
        <w:rPr>
          <w:i/>
          <w:iCs/>
        </w:rPr>
        <w:t>e.g.,</w:t>
      </w:r>
      <w:r w:rsidRPr="003B437B">
        <w:t xml:space="preserve"> CEO, CFO</w:t>
      </w:r>
      <w:r w:rsidR="00F24A24" w:rsidRPr="003B437B">
        <w:t>, Managing Member, General Partner, Officer, etc.</w:t>
      </w:r>
      <w:r w:rsidRPr="003B437B">
        <w:t>), or any</w:t>
      </w:r>
      <w:r w:rsidR="00F24A24" w:rsidRPr="003B437B">
        <w:t xml:space="preserve"> </w:t>
      </w:r>
      <w:r w:rsidRPr="003B437B">
        <w:t>o</w:t>
      </w:r>
      <w:r w:rsidR="00F24A24" w:rsidRPr="003B437B">
        <w:t>ther individual</w:t>
      </w:r>
      <w:r w:rsidRPr="003B437B">
        <w:t xml:space="preserve"> who regularly performs </w:t>
      </w:r>
      <w:r w:rsidR="00F24A24" w:rsidRPr="003B437B">
        <w:t>similar</w:t>
      </w:r>
      <w:r w:rsidRPr="003B437B">
        <w:t xml:space="preserve"> functions</w:t>
      </w:r>
      <w:r w:rsidR="00F24A24" w:rsidRPr="003B437B">
        <w:t xml:space="preserve"> (i.e. the control prong)</w:t>
      </w:r>
      <w:r w:rsidRPr="003B437B">
        <w:t xml:space="preserve">. </w:t>
      </w:r>
    </w:p>
    <w:p w14:paraId="0FC1BCD9" w14:textId="77777777" w:rsidR="00F24A24" w:rsidRPr="003B437B" w:rsidRDefault="00F24A24" w:rsidP="00370A5F">
      <w:pPr>
        <w:pStyle w:val="Normal32"/>
        <w:spacing w:before="0" w:beforeAutospacing="0" w:after="0" w:afterAutospacing="0"/>
        <w:ind w:left="270"/>
      </w:pPr>
    </w:p>
    <w:p w14:paraId="1676843C" w14:textId="77777777" w:rsidR="00F24A24" w:rsidRPr="003B437B" w:rsidRDefault="00F24A24" w:rsidP="003E7B18">
      <w:pPr>
        <w:pStyle w:val="Normal32"/>
        <w:numPr>
          <w:ilvl w:val="0"/>
          <w:numId w:val="322"/>
        </w:numPr>
        <w:spacing w:before="0" w:beforeAutospacing="0" w:after="0" w:afterAutospacing="0"/>
      </w:pPr>
      <w:r w:rsidRPr="003B437B">
        <w:rPr>
          <w:rStyle w:val="Strong"/>
        </w:rPr>
        <w:lastRenderedPageBreak/>
        <w:t>Ownership and control prongs</w:t>
      </w:r>
      <w:r w:rsidRPr="003B437B">
        <w:t xml:space="preserve">: The CDD rule </w:t>
      </w:r>
      <w:proofErr w:type="gramStart"/>
      <w:r w:rsidRPr="003B437B">
        <w:t>utilizes</w:t>
      </w:r>
      <w:proofErr w:type="gramEnd"/>
      <w:r w:rsidRPr="003B437B">
        <w:t xml:space="preserve"> a two-pronged approach to defining a beneficial owner - an ownership prong and a control prong. Under the ownership prong, a beneficial owner is defined as each individual, if any, who, directly or indirectly, owns 25 percent or more of the equity interests of a legal entity customer. However, the rule recognizes that there may be instances when no single individual owns 25 percent or more of the equity interest of the legal entity; in such instances, the </w:t>
      </w:r>
      <w:r w:rsidR="001F172E" w:rsidRPr="003B437B">
        <w:t>Company</w:t>
      </w:r>
      <w:r w:rsidRPr="003B437B">
        <w:t xml:space="preserve"> is still required to collect the required information for one individual who controls, manages or directs the legal entity customer. Under the control prong, a beneficial owner is defined as a single individual with significant responsibility to control, manage or direct a legal entity customer, including an executive officer or senior manager (</w:t>
      </w:r>
      <w:r w:rsidRPr="003B437B">
        <w:rPr>
          <w:rStyle w:val="Emphasis"/>
        </w:rPr>
        <w:t>e.g.,</w:t>
      </w:r>
      <w:r w:rsidRPr="003B437B">
        <w:t xml:space="preserve"> a chief executive officer, chief financial officer, chief operating officer, managing member, general partner, president, vice president or treasurer) or any other individual who regularly performs similar functions. The ownership and control prongs, although related, are independent requirements. Thus, satisfaction of, or exclusion from, regulatory obligations under one prong does not mean the </w:t>
      </w:r>
      <w:r w:rsidR="001F172E" w:rsidRPr="003B437B">
        <w:t>Co</w:t>
      </w:r>
      <w:r w:rsidRPr="003B437B">
        <w:t>m</w:t>
      </w:r>
      <w:r w:rsidR="001F172E" w:rsidRPr="003B437B">
        <w:t>pany</w:t>
      </w:r>
      <w:r w:rsidRPr="003B437B">
        <w:t>'s obligations under the other prong are also satisfied or excluded.</w:t>
      </w:r>
    </w:p>
    <w:p w14:paraId="5BBBBC80" w14:textId="77777777" w:rsidR="00370A5F" w:rsidRPr="003B437B" w:rsidRDefault="00370A5F" w:rsidP="00A32F62">
      <w:pPr>
        <w:autoSpaceDE w:val="0"/>
        <w:autoSpaceDN w:val="0"/>
        <w:adjustRightInd w:val="0"/>
        <w:ind w:left="270"/>
        <w:jc w:val="both"/>
        <w:rPr>
          <w:sz w:val="24"/>
        </w:rPr>
      </w:pPr>
    </w:p>
    <w:p w14:paraId="4C3B5803" w14:textId="77777777" w:rsidR="007F5A49" w:rsidRPr="003B437B" w:rsidRDefault="007F5A49" w:rsidP="00A32F62">
      <w:pPr>
        <w:autoSpaceDE w:val="0"/>
        <w:autoSpaceDN w:val="0"/>
        <w:adjustRightInd w:val="0"/>
        <w:ind w:left="270"/>
        <w:jc w:val="both"/>
        <w:rPr>
          <w:sz w:val="24"/>
        </w:rPr>
      </w:pPr>
    </w:p>
    <w:p w14:paraId="1BAC38F1" w14:textId="77777777" w:rsidR="007F5A49" w:rsidRPr="003B437B" w:rsidRDefault="007F5A49" w:rsidP="00A32F62">
      <w:pPr>
        <w:autoSpaceDE w:val="0"/>
        <w:autoSpaceDN w:val="0"/>
        <w:adjustRightInd w:val="0"/>
        <w:ind w:left="270"/>
        <w:jc w:val="both"/>
        <w:rPr>
          <w:b/>
          <w:sz w:val="24"/>
        </w:rPr>
      </w:pPr>
      <w:r w:rsidRPr="003B437B">
        <w:rPr>
          <w:b/>
          <w:sz w:val="24"/>
        </w:rPr>
        <w:t>Know Your Customer (KYC)</w:t>
      </w:r>
    </w:p>
    <w:p w14:paraId="391144D3" w14:textId="77777777" w:rsidR="003D216B" w:rsidRDefault="003D216B" w:rsidP="00A32F62">
      <w:pPr>
        <w:autoSpaceDE w:val="0"/>
        <w:autoSpaceDN w:val="0"/>
        <w:adjustRightInd w:val="0"/>
        <w:ind w:left="270"/>
        <w:jc w:val="both"/>
        <w:rPr>
          <w:sz w:val="24"/>
        </w:rPr>
      </w:pPr>
      <w:r>
        <w:rPr>
          <w:sz w:val="24"/>
        </w:rPr>
        <w:t>Learn the customer</w:t>
      </w:r>
      <w:r w:rsidR="00A01BEC">
        <w:rPr>
          <w:sz w:val="24"/>
        </w:rPr>
        <w:t>’</w:t>
      </w:r>
      <w:r>
        <w:rPr>
          <w:sz w:val="24"/>
        </w:rPr>
        <w:t>s true identity</w:t>
      </w:r>
      <w:r>
        <w:rPr>
          <w:b/>
          <w:sz w:val="24"/>
        </w:rPr>
        <w:t>.  Know your customer!</w:t>
      </w:r>
      <w:r>
        <w:rPr>
          <w:sz w:val="24"/>
        </w:rPr>
        <w:t xml:space="preserve">  At a minimum, the Company will reasonably (1) verify the identity of any person seeking to open an account, to the extent reasonable and practicable; (2) maintain records of the information used to verify the person’s identity; and (3) determine whether the person appears on any lists of known or suspected terrorists or terrorist organizations provided to brokers or dealers by any government agency.  </w:t>
      </w:r>
    </w:p>
    <w:p w14:paraId="668A333C" w14:textId="77777777" w:rsidR="003D216B" w:rsidRDefault="003D216B" w:rsidP="00A32F62">
      <w:pPr>
        <w:ind w:left="270"/>
        <w:jc w:val="both"/>
        <w:rPr>
          <w:sz w:val="24"/>
        </w:rPr>
      </w:pPr>
    </w:p>
    <w:p w14:paraId="5EDC63CE" w14:textId="77777777" w:rsidR="003D216B" w:rsidRDefault="003D216B" w:rsidP="00A32F62">
      <w:pPr>
        <w:pStyle w:val="BodyText2"/>
        <w:widowControl/>
        <w:ind w:left="270"/>
        <w:jc w:val="both"/>
      </w:pPr>
      <w:r>
        <w:t>Where possible, obtain photo identification of customer such as driver’s license or passport.  Attempt to meet face-to-face with the customer.  Check and make sure they are not on the sanctioned list.  In addition, undertake reasonable efforts to obtain the following information at the commencement of the business relationship:</w:t>
      </w:r>
    </w:p>
    <w:p w14:paraId="47EDBBF7" w14:textId="77777777" w:rsidR="003D216B" w:rsidRDefault="003D216B" w:rsidP="003D216B">
      <w:pPr>
        <w:rPr>
          <w:sz w:val="24"/>
        </w:rPr>
      </w:pPr>
    </w:p>
    <w:p w14:paraId="0650BC50" w14:textId="77777777" w:rsidR="003D216B" w:rsidRDefault="003D216B" w:rsidP="00216F83">
      <w:pPr>
        <w:numPr>
          <w:ilvl w:val="0"/>
          <w:numId w:val="8"/>
        </w:numPr>
        <w:rPr>
          <w:sz w:val="24"/>
        </w:rPr>
      </w:pPr>
      <w:r>
        <w:rPr>
          <w:sz w:val="24"/>
        </w:rPr>
        <w:t>Name and address of customer.  Obtain a physical address if a post office box is given for the mailing address.</w:t>
      </w:r>
    </w:p>
    <w:p w14:paraId="62550AC6" w14:textId="77777777" w:rsidR="003D216B" w:rsidRDefault="003D216B" w:rsidP="00216F83">
      <w:pPr>
        <w:numPr>
          <w:ilvl w:val="0"/>
          <w:numId w:val="8"/>
        </w:numPr>
        <w:rPr>
          <w:sz w:val="24"/>
        </w:rPr>
      </w:pPr>
      <w:r>
        <w:rPr>
          <w:sz w:val="24"/>
        </w:rPr>
        <w:t>Date of Birth</w:t>
      </w:r>
    </w:p>
    <w:p w14:paraId="738B333B" w14:textId="77777777" w:rsidR="003D216B" w:rsidRDefault="003D216B" w:rsidP="00216F83">
      <w:pPr>
        <w:numPr>
          <w:ilvl w:val="0"/>
          <w:numId w:val="8"/>
        </w:numPr>
        <w:rPr>
          <w:sz w:val="24"/>
        </w:rPr>
      </w:pPr>
      <w:r>
        <w:rPr>
          <w:sz w:val="24"/>
        </w:rPr>
        <w:t>Social Security number or Tax Identification Number</w:t>
      </w:r>
    </w:p>
    <w:p w14:paraId="3E394E74" w14:textId="77777777" w:rsidR="003D216B" w:rsidRDefault="003D216B" w:rsidP="00216F83">
      <w:pPr>
        <w:numPr>
          <w:ilvl w:val="0"/>
          <w:numId w:val="8"/>
        </w:numPr>
        <w:rPr>
          <w:sz w:val="24"/>
        </w:rPr>
      </w:pPr>
      <w:r>
        <w:rPr>
          <w:sz w:val="24"/>
        </w:rPr>
        <w:t>Investment Objectives</w:t>
      </w:r>
    </w:p>
    <w:p w14:paraId="378380E6" w14:textId="77777777" w:rsidR="003D216B" w:rsidRDefault="003D216B" w:rsidP="00216F83">
      <w:pPr>
        <w:numPr>
          <w:ilvl w:val="0"/>
          <w:numId w:val="8"/>
        </w:numPr>
        <w:rPr>
          <w:sz w:val="24"/>
        </w:rPr>
      </w:pPr>
      <w:r>
        <w:rPr>
          <w:sz w:val="24"/>
        </w:rPr>
        <w:t>Investment Experience</w:t>
      </w:r>
    </w:p>
    <w:p w14:paraId="4AF4B957" w14:textId="77777777" w:rsidR="003D216B" w:rsidRPr="003B437B" w:rsidRDefault="003D216B" w:rsidP="00216F83">
      <w:pPr>
        <w:numPr>
          <w:ilvl w:val="0"/>
          <w:numId w:val="8"/>
        </w:numPr>
        <w:rPr>
          <w:sz w:val="24"/>
        </w:rPr>
      </w:pPr>
      <w:r>
        <w:rPr>
          <w:sz w:val="24"/>
        </w:rPr>
        <w:t>Net Worth and Annual Income</w:t>
      </w:r>
      <w:r w:rsidR="007F5A49">
        <w:rPr>
          <w:sz w:val="24"/>
        </w:rPr>
        <w:t xml:space="preserve"> </w:t>
      </w:r>
      <w:r w:rsidR="007F5A49" w:rsidRPr="003B437B">
        <w:rPr>
          <w:sz w:val="24"/>
        </w:rPr>
        <w:t>(excluding primary residence)</w:t>
      </w:r>
    </w:p>
    <w:p w14:paraId="29772AE1" w14:textId="77777777" w:rsidR="003D216B" w:rsidRPr="003B437B" w:rsidRDefault="003D216B" w:rsidP="00216F83">
      <w:pPr>
        <w:numPr>
          <w:ilvl w:val="0"/>
          <w:numId w:val="8"/>
        </w:numPr>
        <w:rPr>
          <w:sz w:val="24"/>
        </w:rPr>
      </w:pPr>
      <w:r>
        <w:rPr>
          <w:sz w:val="24"/>
        </w:rPr>
        <w:t>Occupation and Employment date, including Employer’s address (this is usually customer’s source of income)</w:t>
      </w:r>
      <w:r w:rsidR="00420FDD">
        <w:rPr>
          <w:sz w:val="24"/>
        </w:rPr>
        <w:t xml:space="preserve"> </w:t>
      </w:r>
      <w:r w:rsidR="00420FDD" w:rsidRPr="003B437B">
        <w:rPr>
          <w:sz w:val="24"/>
        </w:rPr>
        <w:t>and including whether the person is associated with a broker dealer</w:t>
      </w:r>
    </w:p>
    <w:p w14:paraId="5BB4BF45" w14:textId="77777777" w:rsidR="003D216B" w:rsidRDefault="003D216B" w:rsidP="00420FDD">
      <w:pPr>
        <w:numPr>
          <w:ilvl w:val="0"/>
          <w:numId w:val="8"/>
        </w:numPr>
        <w:ind w:left="1555"/>
        <w:rPr>
          <w:sz w:val="24"/>
        </w:rPr>
      </w:pPr>
      <w:r>
        <w:rPr>
          <w:sz w:val="24"/>
        </w:rPr>
        <w:t xml:space="preserve">For non-natural person entities, obtain further documentation as to who has authority to transact business for the account (i.e. Partnership Agreements, Trust Documents, Articles of Incorporation and Corporate Resolutions, etc.) and authorized transactions.  For Institutional accounts, further due diligence should be conducted due to the sophisticated level of experience or investment objectives and transaction volume often associated with institutional accounts verses traditional retail business.  Factors to consider would be  (1) has the institution developed anti-money laundering procedures;  (2) does the Company have any past experience with the institution or authorized persons;  (3) is the </w:t>
      </w:r>
      <w:r>
        <w:rPr>
          <w:sz w:val="24"/>
        </w:rPr>
        <w:lastRenderedPageBreak/>
        <w:t xml:space="preserve">institution a registered financial institution based in a major regulated financial center or is a registered financial institution located in a Financial Action Task Force (FATF) jurisdiction;  (4) does the institution have a reputable history in the investment business;  (5) make sure the institution is not from a jurisdiction characterized as an offshore banking or secrecy haven or is not under the jurisdiction or control of a foreign country.  </w:t>
      </w:r>
    </w:p>
    <w:p w14:paraId="401AA97C" w14:textId="77777777" w:rsidR="00E702DA" w:rsidRDefault="00E702DA" w:rsidP="00420FDD">
      <w:pPr>
        <w:ind w:left="1555"/>
        <w:rPr>
          <w:sz w:val="24"/>
        </w:rPr>
      </w:pPr>
    </w:p>
    <w:p w14:paraId="59E4D7B5" w14:textId="77777777" w:rsidR="005E32E4" w:rsidRPr="003B437B" w:rsidRDefault="005E32E4" w:rsidP="00265D4B">
      <w:pPr>
        <w:ind w:left="1526"/>
        <w:rPr>
          <w:sz w:val="24"/>
          <w:szCs w:val="24"/>
        </w:rPr>
      </w:pPr>
      <w:r w:rsidRPr="003B437B">
        <w:rPr>
          <w:b/>
          <w:sz w:val="24"/>
        </w:rPr>
        <w:t>Legal Entities</w:t>
      </w:r>
      <w:r w:rsidR="00C623D2" w:rsidRPr="003B437B">
        <w:rPr>
          <w:sz w:val="24"/>
        </w:rPr>
        <w:t xml:space="preserve"> – </w:t>
      </w:r>
      <w:r w:rsidR="009C1465" w:rsidRPr="003B437B">
        <w:rPr>
          <w:sz w:val="24"/>
        </w:rPr>
        <w:t>(as defined above</w:t>
      </w:r>
      <w:r w:rsidR="00B74077" w:rsidRPr="003B437B">
        <w:rPr>
          <w:sz w:val="24"/>
        </w:rPr>
        <w:t xml:space="preserve"> and effective May 11, 2018</w:t>
      </w:r>
      <w:r w:rsidR="009C1465" w:rsidRPr="003B437B">
        <w:rPr>
          <w:sz w:val="24"/>
          <w:szCs w:val="24"/>
        </w:rPr>
        <w:t xml:space="preserve">) </w:t>
      </w:r>
      <w:r w:rsidRPr="003B437B">
        <w:rPr>
          <w:sz w:val="24"/>
          <w:szCs w:val="24"/>
        </w:rPr>
        <w:t>information must be obtained and verified regarding beneficial owners. Obligations when opening accounts that include underlying owners or beneficiaries include the following:</w:t>
      </w:r>
    </w:p>
    <w:p w14:paraId="3B34168B" w14:textId="77777777" w:rsidR="00265D4B" w:rsidRPr="003B437B" w:rsidRDefault="005E32E4" w:rsidP="003E7B18">
      <w:pPr>
        <w:pStyle w:val="ListParagraph"/>
        <w:numPr>
          <w:ilvl w:val="0"/>
          <w:numId w:val="321"/>
        </w:numPr>
        <w:tabs>
          <w:tab w:val="clear" w:pos="720"/>
          <w:tab w:val="num" w:pos="2160"/>
        </w:tabs>
        <w:ind w:left="1980" w:hanging="270"/>
        <w:rPr>
          <w:sz w:val="24"/>
          <w:szCs w:val="24"/>
        </w:rPr>
      </w:pPr>
      <w:r w:rsidRPr="003B437B">
        <w:rPr>
          <w:sz w:val="24"/>
          <w:szCs w:val="24"/>
        </w:rPr>
        <w:t>Determine whether the customer is acting as an agent for or on behalf of another, and if so, obtaining information regarding the capacity in which and on whose behalf the customer is acting.</w:t>
      </w:r>
    </w:p>
    <w:p w14:paraId="58519987" w14:textId="77777777" w:rsidR="00DF053E" w:rsidRPr="003B437B" w:rsidRDefault="005E32E4" w:rsidP="00C1728B">
      <w:pPr>
        <w:pStyle w:val="ListParagraph"/>
        <w:numPr>
          <w:ilvl w:val="1"/>
          <w:numId w:val="135"/>
        </w:numPr>
        <w:tabs>
          <w:tab w:val="num" w:pos="2160"/>
        </w:tabs>
        <w:ind w:left="1980" w:hanging="270"/>
        <w:rPr>
          <w:sz w:val="24"/>
          <w:szCs w:val="24"/>
        </w:rPr>
      </w:pPr>
      <w:r w:rsidRPr="003B437B">
        <w:rPr>
          <w:sz w:val="24"/>
          <w:szCs w:val="24"/>
        </w:rPr>
        <w:t>Where the customer is a legal entity that is not publicly traded in the United States, such as an unincorporated association, a private investment company (PIC), trust or foundation, obtain information about the structure or ownership of the entity so as to allow the Firm to determine whether the account poses heightened risk.</w:t>
      </w:r>
    </w:p>
    <w:p w14:paraId="4D7BB160" w14:textId="77777777" w:rsidR="00D93167" w:rsidRPr="003B437B" w:rsidRDefault="005E32E4" w:rsidP="00C1728B">
      <w:pPr>
        <w:pStyle w:val="ListParagraph"/>
        <w:numPr>
          <w:ilvl w:val="1"/>
          <w:numId w:val="135"/>
        </w:numPr>
        <w:tabs>
          <w:tab w:val="num" w:pos="2160"/>
        </w:tabs>
        <w:spacing w:before="100" w:beforeAutospacing="1" w:after="100" w:afterAutospacing="1"/>
        <w:ind w:left="1980" w:hanging="270"/>
        <w:rPr>
          <w:sz w:val="24"/>
          <w:szCs w:val="24"/>
        </w:rPr>
      </w:pPr>
      <w:r w:rsidRPr="003B437B">
        <w:rPr>
          <w:sz w:val="24"/>
          <w:szCs w:val="24"/>
        </w:rPr>
        <w:t>Where the customer is a trustee, obtain information about the trust structure to allow Company to establish a reasonable understanding of the trust structure and to determine the provider of funds and any persons or entities that have control over the funds or have the power to remove the trustees</w:t>
      </w:r>
      <w:r w:rsidR="00D93167" w:rsidRPr="003B437B">
        <w:rPr>
          <w:sz w:val="24"/>
          <w:szCs w:val="24"/>
        </w:rPr>
        <w:t>.</w:t>
      </w:r>
    </w:p>
    <w:p w14:paraId="1D5087D8" w14:textId="77777777" w:rsidR="00D93167" w:rsidRPr="003B437B" w:rsidRDefault="00D93167" w:rsidP="00C1728B">
      <w:pPr>
        <w:pStyle w:val="ListParagraph"/>
        <w:numPr>
          <w:ilvl w:val="1"/>
          <w:numId w:val="135"/>
        </w:numPr>
        <w:spacing w:before="100" w:beforeAutospacing="1" w:after="100" w:afterAutospacing="1"/>
        <w:ind w:left="1980" w:hanging="270"/>
        <w:rPr>
          <w:sz w:val="24"/>
          <w:szCs w:val="24"/>
        </w:rPr>
      </w:pPr>
      <w:r w:rsidRPr="003B437B">
        <w:rPr>
          <w:sz w:val="24"/>
          <w:szCs w:val="24"/>
        </w:rPr>
        <w:t>Obtain the identities of individuals who satisfy the definition as beneficial owners, either directly or indirectly through multiple corporate structures (complex ownership structures).</w:t>
      </w:r>
    </w:p>
    <w:p w14:paraId="35782663" w14:textId="77777777" w:rsidR="00D93167" w:rsidRPr="003B437B" w:rsidRDefault="00D93167" w:rsidP="00C1728B">
      <w:pPr>
        <w:pStyle w:val="ListParagraph"/>
        <w:numPr>
          <w:ilvl w:val="1"/>
          <w:numId w:val="135"/>
        </w:numPr>
        <w:spacing w:before="100" w:beforeAutospacing="1" w:after="100" w:afterAutospacing="1"/>
        <w:ind w:left="1980" w:hanging="270"/>
        <w:rPr>
          <w:sz w:val="24"/>
          <w:szCs w:val="24"/>
        </w:rPr>
      </w:pPr>
      <w:r w:rsidRPr="003B437B">
        <w:rPr>
          <w:sz w:val="24"/>
          <w:szCs w:val="24"/>
        </w:rPr>
        <w:t>Obtain from the legal entity customer's representative a completed certification form identifying beneficial owners; updating information may require re-certification [</w:t>
      </w:r>
      <w:hyperlink r:id="rId42" w:tgtFrame="_blank" w:history="1">
        <w:r w:rsidRPr="003B437B">
          <w:rPr>
            <w:rStyle w:val="Hyperlink"/>
            <w:color w:val="auto"/>
            <w:sz w:val="24"/>
            <w:szCs w:val="24"/>
          </w:rPr>
          <w:t>https://www.fincen.gov/resources/filing-information</w:t>
        </w:r>
      </w:hyperlink>
      <w:r w:rsidRPr="003B437B">
        <w:rPr>
          <w:sz w:val="24"/>
          <w:szCs w:val="24"/>
        </w:rPr>
        <w:t>]</w:t>
      </w:r>
    </w:p>
    <w:p w14:paraId="5D65714A" w14:textId="77777777" w:rsidR="00D93167" w:rsidRPr="003B437B" w:rsidRDefault="00D93167" w:rsidP="00C1728B">
      <w:pPr>
        <w:pStyle w:val="ListParagraph"/>
        <w:numPr>
          <w:ilvl w:val="1"/>
          <w:numId w:val="135"/>
        </w:numPr>
        <w:ind w:left="1980" w:hanging="270"/>
        <w:rPr>
          <w:sz w:val="24"/>
          <w:szCs w:val="24"/>
        </w:rPr>
      </w:pPr>
      <w:r w:rsidRPr="003B437B">
        <w:rPr>
          <w:sz w:val="24"/>
          <w:szCs w:val="24"/>
        </w:rPr>
        <w:t xml:space="preserve">Determine the nature and purpose of the customer relationship to determine risk profiles and identify the need for additional monitoring. </w:t>
      </w:r>
    </w:p>
    <w:p w14:paraId="17B80F1C" w14:textId="77777777" w:rsidR="00D24297" w:rsidRPr="003B437B" w:rsidRDefault="00D24297" w:rsidP="00D24297">
      <w:pPr>
        <w:rPr>
          <w:sz w:val="24"/>
          <w:szCs w:val="24"/>
        </w:rPr>
      </w:pPr>
    </w:p>
    <w:p w14:paraId="0B2855E1" w14:textId="77777777" w:rsidR="00D24297" w:rsidRPr="003B437B" w:rsidRDefault="00D24297" w:rsidP="00D24297">
      <w:pPr>
        <w:ind w:left="1620"/>
        <w:rPr>
          <w:sz w:val="24"/>
          <w:szCs w:val="24"/>
        </w:rPr>
      </w:pPr>
      <w:r w:rsidRPr="003B437B">
        <w:rPr>
          <w:sz w:val="24"/>
          <w:szCs w:val="24"/>
        </w:rPr>
        <w:t>Identifying information will be maintained for a period of five years after the legal entity's account is closed. Verification records must be maintained for a period of five years after the record is made. Company will also retain any non-documentary methods and results of measures undertaken for verification and the resolution of substantive discrepancies discovered in identifying and verifying the identification information for five years after the record is made.</w:t>
      </w:r>
    </w:p>
    <w:p w14:paraId="25734EC3" w14:textId="77777777" w:rsidR="00263B45" w:rsidRPr="003B437B" w:rsidRDefault="00263B45" w:rsidP="00263B45">
      <w:pPr>
        <w:rPr>
          <w:sz w:val="24"/>
          <w:szCs w:val="24"/>
        </w:rPr>
      </w:pPr>
    </w:p>
    <w:p w14:paraId="53A16741" w14:textId="77777777" w:rsidR="00263B45" w:rsidRPr="003B437B" w:rsidRDefault="00263B45" w:rsidP="003E7B18">
      <w:pPr>
        <w:pStyle w:val="ListParagraph"/>
        <w:numPr>
          <w:ilvl w:val="0"/>
          <w:numId w:val="323"/>
        </w:numPr>
        <w:ind w:left="1620"/>
        <w:rPr>
          <w:b/>
          <w:sz w:val="24"/>
          <w:szCs w:val="24"/>
        </w:rPr>
      </w:pPr>
      <w:r w:rsidRPr="003B437B">
        <w:rPr>
          <w:b/>
          <w:sz w:val="24"/>
          <w:szCs w:val="24"/>
        </w:rPr>
        <w:t xml:space="preserve">Reliance </w:t>
      </w:r>
      <w:r w:rsidR="00D24297" w:rsidRPr="003B437B">
        <w:rPr>
          <w:b/>
          <w:sz w:val="24"/>
          <w:szCs w:val="24"/>
        </w:rPr>
        <w:t>on</w:t>
      </w:r>
      <w:r w:rsidRPr="003B437B">
        <w:rPr>
          <w:b/>
          <w:sz w:val="24"/>
          <w:szCs w:val="24"/>
        </w:rPr>
        <w:t xml:space="preserve"> Customer Representations</w:t>
      </w:r>
    </w:p>
    <w:p w14:paraId="72030F56" w14:textId="77777777" w:rsidR="00263B45" w:rsidRPr="003B437B" w:rsidRDefault="00263B45" w:rsidP="00263B45">
      <w:pPr>
        <w:shd w:val="clear" w:color="auto" w:fill="FFFFFF"/>
        <w:ind w:left="1620"/>
        <w:rPr>
          <w:sz w:val="24"/>
          <w:szCs w:val="24"/>
        </w:rPr>
      </w:pPr>
      <w:r w:rsidRPr="003B437B">
        <w:rPr>
          <w:sz w:val="24"/>
          <w:szCs w:val="24"/>
        </w:rPr>
        <w:t xml:space="preserve">Company may reasonably rely on information provided by customers if it </w:t>
      </w:r>
      <w:proofErr w:type="gramStart"/>
      <w:r w:rsidRPr="003B437B">
        <w:rPr>
          <w:sz w:val="24"/>
          <w:szCs w:val="24"/>
        </w:rPr>
        <w:t>has</w:t>
      </w:r>
      <w:proofErr w:type="gramEnd"/>
      <w:r w:rsidRPr="003B437B">
        <w:rPr>
          <w:sz w:val="24"/>
          <w:szCs w:val="24"/>
        </w:rPr>
        <w:t xml:space="preserve"> no knowledge of facts that would call into question the reliability of the information.</w:t>
      </w:r>
    </w:p>
    <w:p w14:paraId="7A705791" w14:textId="77777777" w:rsidR="00263B45" w:rsidRPr="003B437B" w:rsidRDefault="00263B45" w:rsidP="003E7B18">
      <w:pPr>
        <w:numPr>
          <w:ilvl w:val="0"/>
          <w:numId w:val="324"/>
        </w:numPr>
        <w:shd w:val="clear" w:color="auto" w:fill="FFFFFF"/>
        <w:tabs>
          <w:tab w:val="clear" w:pos="720"/>
          <w:tab w:val="num" w:pos="1980"/>
        </w:tabs>
        <w:ind w:left="1980" w:hanging="270"/>
        <w:rPr>
          <w:sz w:val="24"/>
          <w:szCs w:val="24"/>
        </w:rPr>
      </w:pPr>
      <w:r w:rsidRPr="003B437B">
        <w:rPr>
          <w:sz w:val="24"/>
          <w:szCs w:val="24"/>
        </w:rPr>
        <w:t>There is no requirement to independently investigate a legal entity customer's ownership structure.</w:t>
      </w:r>
    </w:p>
    <w:p w14:paraId="42DC434C" w14:textId="77777777" w:rsidR="00263B45" w:rsidRPr="003B437B" w:rsidRDefault="00493259" w:rsidP="003E7B18">
      <w:pPr>
        <w:numPr>
          <w:ilvl w:val="0"/>
          <w:numId w:val="324"/>
        </w:numPr>
        <w:shd w:val="clear" w:color="auto" w:fill="FFFFFF"/>
        <w:tabs>
          <w:tab w:val="clear" w:pos="720"/>
          <w:tab w:val="num" w:pos="1980"/>
        </w:tabs>
        <w:ind w:left="1980" w:hanging="270"/>
        <w:rPr>
          <w:sz w:val="24"/>
          <w:szCs w:val="24"/>
        </w:rPr>
      </w:pPr>
      <w:r w:rsidRPr="003B437B">
        <w:rPr>
          <w:sz w:val="24"/>
          <w:szCs w:val="24"/>
        </w:rPr>
        <w:t>Company</w:t>
      </w:r>
      <w:r w:rsidR="00263B45" w:rsidRPr="003B437B">
        <w:rPr>
          <w:sz w:val="24"/>
          <w:szCs w:val="24"/>
        </w:rPr>
        <w:t xml:space="preserve"> may rely on information provided by the customer to determine if the legal entity is excluded from the definition of legal entity customer.</w:t>
      </w:r>
    </w:p>
    <w:p w14:paraId="170E8A90" w14:textId="77777777" w:rsidR="00D93167" w:rsidRPr="003B437B" w:rsidRDefault="00D93167" w:rsidP="00263B45">
      <w:pPr>
        <w:ind w:left="1980"/>
        <w:rPr>
          <w:sz w:val="24"/>
          <w:szCs w:val="24"/>
        </w:rPr>
      </w:pPr>
    </w:p>
    <w:p w14:paraId="23E66286" w14:textId="77777777" w:rsidR="00E702DA" w:rsidRPr="003B437B" w:rsidRDefault="00E702DA" w:rsidP="00C1728B">
      <w:pPr>
        <w:pStyle w:val="ListParagraph"/>
        <w:numPr>
          <w:ilvl w:val="0"/>
          <w:numId w:val="135"/>
        </w:numPr>
        <w:tabs>
          <w:tab w:val="num" w:pos="1620"/>
        </w:tabs>
        <w:ind w:left="1620"/>
        <w:rPr>
          <w:b/>
          <w:sz w:val="24"/>
          <w:szCs w:val="24"/>
        </w:rPr>
      </w:pPr>
      <w:r w:rsidRPr="003B437B">
        <w:rPr>
          <w:b/>
          <w:sz w:val="24"/>
          <w:szCs w:val="24"/>
        </w:rPr>
        <w:lastRenderedPageBreak/>
        <w:t xml:space="preserve">Enhanced Due Diligence (EDD) </w:t>
      </w:r>
    </w:p>
    <w:p w14:paraId="585E6899" w14:textId="77777777" w:rsidR="00E702DA" w:rsidRPr="003B437B" w:rsidRDefault="00E702DA" w:rsidP="00D93167">
      <w:pPr>
        <w:pStyle w:val="Normal32"/>
        <w:spacing w:before="0" w:beforeAutospacing="0" w:after="0" w:afterAutospacing="0"/>
        <w:ind w:left="1620"/>
      </w:pPr>
      <w:r w:rsidRPr="003B437B">
        <w:t>Some types of accounts, because of the potential risk for hiding the identity of underlying beneficial owners or money laundering activities, are subject to enhanced due diligence. The AML Compliance Officer will determine which accounts are subject to EDD and what reviews are necessary. Certain trusts, corporate entities, shell entities, and private investment companies are examples of customers that may pose heightened risk.</w:t>
      </w:r>
    </w:p>
    <w:p w14:paraId="38DF9F15" w14:textId="77777777" w:rsidR="00E702DA" w:rsidRPr="003B437B" w:rsidRDefault="00E702DA" w:rsidP="00E702DA">
      <w:pPr>
        <w:pStyle w:val="Normal32"/>
        <w:spacing w:before="0" w:beforeAutospacing="0" w:after="0" w:afterAutospacing="0"/>
        <w:ind w:left="1620"/>
      </w:pPr>
    </w:p>
    <w:p w14:paraId="75E6B8E0" w14:textId="77777777" w:rsidR="00E702DA" w:rsidRPr="003B437B" w:rsidRDefault="00E702DA" w:rsidP="00E702DA">
      <w:pPr>
        <w:pStyle w:val="Normal32"/>
        <w:spacing w:before="0" w:beforeAutospacing="0" w:after="0" w:afterAutospacing="0"/>
        <w:ind w:left="1620"/>
      </w:pPr>
      <w:r w:rsidRPr="003B437B">
        <w:t>EDD may include steps, in accordance with the level of risk presented, to identify and verify beneficial owners, to reasonably understand the sources and uses of funds in the account, and to reasonably understand the relationship between the customer and the beneficial owner. EDD information may be used for monitoring purposes and to determine whether there are discrepancies between information obtained regarding the account's intended purpose and expected account activity and the actual sources of funds and uses of the account.</w:t>
      </w:r>
    </w:p>
    <w:p w14:paraId="2F4F57D2" w14:textId="77777777" w:rsidR="00E702DA" w:rsidRPr="00E702DA" w:rsidRDefault="00E702DA" w:rsidP="00E702DA">
      <w:pPr>
        <w:pStyle w:val="Normal32"/>
        <w:spacing w:before="0" w:beforeAutospacing="0" w:after="0" w:afterAutospacing="0"/>
        <w:rPr>
          <w:color w:val="FF0000"/>
        </w:rPr>
      </w:pPr>
    </w:p>
    <w:p w14:paraId="11E8E33E" w14:textId="77777777" w:rsidR="003D216B" w:rsidRDefault="003D216B" w:rsidP="00216F83">
      <w:pPr>
        <w:numPr>
          <w:ilvl w:val="0"/>
          <w:numId w:val="8"/>
        </w:numPr>
        <w:rPr>
          <w:sz w:val="24"/>
        </w:rPr>
      </w:pPr>
      <w:r w:rsidRPr="009723CE">
        <w:rPr>
          <w:b/>
          <w:sz w:val="24"/>
        </w:rPr>
        <w:t>Using Government Provided Lists of Terrorists and Other Criminals</w:t>
      </w:r>
      <w:r>
        <w:rPr>
          <w:sz w:val="24"/>
        </w:rPr>
        <w:t xml:space="preserve">:  before </w:t>
      </w:r>
      <w:r w:rsidR="00F54B2E">
        <w:rPr>
          <w:sz w:val="24"/>
        </w:rPr>
        <w:t xml:space="preserve">or within 30 days of </w:t>
      </w:r>
      <w:r>
        <w:rPr>
          <w:sz w:val="24"/>
        </w:rPr>
        <w:t>opening an account, the Company will check to ensure that the customer does not appear on the OFAC Specially Designated Nationals and Blocked Persons list and that the customer is not from or engaging in transactions with people or entities from embargoed countries and regions listed on the OFAC website</w:t>
      </w:r>
      <w:r w:rsidR="00492256">
        <w:rPr>
          <w:sz w:val="24"/>
        </w:rPr>
        <w:t xml:space="preserve"> (</w:t>
      </w:r>
      <w:hyperlink r:id="rId43" w:history="1">
        <w:r w:rsidR="00492256" w:rsidRPr="00D26861">
          <w:rPr>
            <w:rStyle w:val="Hyperlink"/>
            <w:sz w:val="24"/>
          </w:rPr>
          <w:t>http://apps.finra.org/rulesregulation/ofac/1/Default.aspx</w:t>
        </w:r>
      </w:hyperlink>
      <w:r w:rsidR="00492256">
        <w:rPr>
          <w:sz w:val="24"/>
        </w:rPr>
        <w:t>)</w:t>
      </w:r>
      <w:r>
        <w:rPr>
          <w:sz w:val="24"/>
        </w:rPr>
        <w:t>.  Any review will be documented and made a part of the Company’s records.  Anyone appearing on the SDN list or is from or engaging in transactions with a person or entity located in an embargoed country or region, we will reject the transaction and or block the customer’s assets and file a blocked assets and/or rejected transaction form with OFAC.</w:t>
      </w:r>
    </w:p>
    <w:p w14:paraId="2E626DBC" w14:textId="77777777" w:rsidR="00AC62C3" w:rsidRDefault="00AC62C3" w:rsidP="00AC62C3">
      <w:pPr>
        <w:ind w:left="1560"/>
        <w:rPr>
          <w:sz w:val="24"/>
        </w:rPr>
      </w:pPr>
    </w:p>
    <w:p w14:paraId="11187F38" w14:textId="77777777" w:rsidR="00AC62C3" w:rsidRPr="003B437B" w:rsidRDefault="00AC62C3" w:rsidP="001A43FA">
      <w:pPr>
        <w:numPr>
          <w:ilvl w:val="0"/>
          <w:numId w:val="8"/>
        </w:numPr>
        <w:rPr>
          <w:sz w:val="24"/>
        </w:rPr>
      </w:pPr>
      <w:r w:rsidRPr="003B437B">
        <w:rPr>
          <w:b/>
          <w:sz w:val="24"/>
        </w:rPr>
        <w:t>Reliance on other Financial Institutions</w:t>
      </w:r>
    </w:p>
    <w:p w14:paraId="73D54A7A" w14:textId="77777777" w:rsidR="001A43FA" w:rsidRPr="003B437B" w:rsidRDefault="001A43FA" w:rsidP="001A43FA">
      <w:pPr>
        <w:ind w:left="1530"/>
        <w:rPr>
          <w:sz w:val="24"/>
          <w:szCs w:val="24"/>
        </w:rPr>
      </w:pPr>
      <w:r w:rsidRPr="003B437B">
        <w:rPr>
          <w:sz w:val="24"/>
          <w:szCs w:val="24"/>
        </w:rPr>
        <w:t>Company may rely for CIP purposes on another financial institution (including an affiliate) that opens a customer account provided that:</w:t>
      </w:r>
    </w:p>
    <w:p w14:paraId="589720EE" w14:textId="77777777" w:rsidR="001A43FA" w:rsidRPr="003B437B" w:rsidRDefault="001A43FA" w:rsidP="00C1728B">
      <w:pPr>
        <w:pStyle w:val="ListParagraph"/>
        <w:numPr>
          <w:ilvl w:val="1"/>
          <w:numId w:val="135"/>
        </w:numPr>
        <w:ind w:left="2070" w:hanging="270"/>
        <w:rPr>
          <w:sz w:val="24"/>
          <w:szCs w:val="24"/>
        </w:rPr>
      </w:pPr>
      <w:r w:rsidRPr="003B437B">
        <w:rPr>
          <w:sz w:val="24"/>
          <w:szCs w:val="24"/>
        </w:rPr>
        <w:t>reliance is reasonable under the circumstances;</w:t>
      </w:r>
    </w:p>
    <w:p w14:paraId="38D738FB" w14:textId="77777777" w:rsidR="001A43FA" w:rsidRPr="003B437B" w:rsidRDefault="001A43FA" w:rsidP="00C1728B">
      <w:pPr>
        <w:pStyle w:val="ListParagraph"/>
        <w:numPr>
          <w:ilvl w:val="1"/>
          <w:numId w:val="135"/>
        </w:numPr>
        <w:ind w:left="2070" w:hanging="270"/>
        <w:rPr>
          <w:sz w:val="24"/>
          <w:szCs w:val="24"/>
        </w:rPr>
      </w:pPr>
      <w:r w:rsidRPr="003B437B">
        <w:rPr>
          <w:sz w:val="24"/>
          <w:szCs w:val="24"/>
        </w:rPr>
        <w:t>the other financial institution is subject to anti-money laundering requirements [U.S.C. 5318(h)] and is regulated by a Federal regulator; and</w:t>
      </w:r>
    </w:p>
    <w:p w14:paraId="33B1CBF4" w14:textId="77777777" w:rsidR="00AC62C3" w:rsidRPr="003B437B" w:rsidRDefault="001A43FA" w:rsidP="00C1728B">
      <w:pPr>
        <w:pStyle w:val="ListParagraph"/>
        <w:numPr>
          <w:ilvl w:val="1"/>
          <w:numId w:val="135"/>
        </w:numPr>
        <w:ind w:left="2070" w:hanging="270"/>
        <w:rPr>
          <w:sz w:val="24"/>
        </w:rPr>
      </w:pPr>
      <w:r w:rsidRPr="003B437B">
        <w:rPr>
          <w:sz w:val="24"/>
          <w:szCs w:val="24"/>
        </w:rPr>
        <w:t>the other financial institution enters into a contract requiring it to annually certify that it has implemented its AML program and it will perform (or its agent) specified requirements of Woodlands Securities Corp's CIP.</w:t>
      </w:r>
    </w:p>
    <w:p w14:paraId="46EA1027" w14:textId="77777777" w:rsidR="003D216B" w:rsidRDefault="003D216B" w:rsidP="001A43FA">
      <w:pPr>
        <w:ind w:left="1980" w:hanging="180"/>
        <w:rPr>
          <w:sz w:val="24"/>
        </w:rPr>
      </w:pPr>
    </w:p>
    <w:p w14:paraId="1C7A9112" w14:textId="77777777" w:rsidR="003D216B" w:rsidRDefault="00A32F62" w:rsidP="001A7509">
      <w:pPr>
        <w:pStyle w:val="Heading3"/>
      </w:pPr>
      <w:r>
        <w:t>7.</w:t>
      </w:r>
      <w:r w:rsidR="00C52626">
        <w:t>6</w:t>
      </w:r>
      <w:r>
        <w:t xml:space="preserve">.2  </w:t>
      </w:r>
      <w:r w:rsidR="00936FD9">
        <w:t xml:space="preserve"> </w:t>
      </w:r>
      <w:r w:rsidR="003D216B">
        <w:t xml:space="preserve">Non-Documentary Means  </w:t>
      </w:r>
    </w:p>
    <w:p w14:paraId="251C1E68" w14:textId="77777777" w:rsidR="003D216B" w:rsidRDefault="003D216B" w:rsidP="00A32F62">
      <w:pPr>
        <w:ind w:left="270"/>
        <w:jc w:val="both"/>
        <w:rPr>
          <w:sz w:val="24"/>
        </w:rPr>
      </w:pPr>
      <w:r>
        <w:rPr>
          <w:sz w:val="24"/>
        </w:rPr>
        <w:t>The Company will only use non-documentary verification methods, if necessary, when it is unable to verify information from documentary methods or is presented with unfamiliar documents.  The Company does not open accounts online and seldom opens accounts via mail or telephone.   Therefore, this method will only be used when the Company deems it necessary in the above instances.  In those cases, the Company will contact the customer after the account has been opened and may use an outside database such as Equifax to review and compare information provided by the customer.</w:t>
      </w:r>
    </w:p>
    <w:p w14:paraId="42C73E78" w14:textId="77777777" w:rsidR="003D216B" w:rsidRDefault="003D216B" w:rsidP="00A32F62">
      <w:pPr>
        <w:ind w:left="270"/>
        <w:jc w:val="both"/>
        <w:rPr>
          <w:sz w:val="24"/>
        </w:rPr>
      </w:pPr>
    </w:p>
    <w:p w14:paraId="70B44E65" w14:textId="77777777" w:rsidR="003D216B" w:rsidRDefault="003D216B" w:rsidP="00A32F62">
      <w:pPr>
        <w:ind w:left="270"/>
        <w:jc w:val="both"/>
        <w:rPr>
          <w:sz w:val="24"/>
        </w:rPr>
      </w:pPr>
      <w:r>
        <w:rPr>
          <w:sz w:val="24"/>
        </w:rPr>
        <w:lastRenderedPageBreak/>
        <w:t xml:space="preserve">Based on the risk, and to the extent reasonable and practicable, </w:t>
      </w:r>
      <w:r w:rsidR="00492256">
        <w:rPr>
          <w:sz w:val="24"/>
        </w:rPr>
        <w:t>Company</w:t>
      </w:r>
      <w:r>
        <w:rPr>
          <w:sz w:val="24"/>
        </w:rPr>
        <w:t xml:space="preserve"> will ensure that </w:t>
      </w:r>
      <w:r w:rsidR="00492256">
        <w:rPr>
          <w:sz w:val="24"/>
        </w:rPr>
        <w:t>it</w:t>
      </w:r>
      <w:r>
        <w:rPr>
          <w:sz w:val="24"/>
        </w:rPr>
        <w:t xml:space="preserve"> ha</w:t>
      </w:r>
      <w:r w:rsidR="00492256">
        <w:rPr>
          <w:sz w:val="24"/>
        </w:rPr>
        <w:t>s</w:t>
      </w:r>
      <w:r>
        <w:rPr>
          <w:sz w:val="24"/>
        </w:rPr>
        <w:t xml:space="preserve"> a reasonable belief that </w:t>
      </w:r>
      <w:r w:rsidR="00492256">
        <w:rPr>
          <w:sz w:val="24"/>
        </w:rPr>
        <w:t>it</w:t>
      </w:r>
      <w:r>
        <w:rPr>
          <w:sz w:val="24"/>
        </w:rPr>
        <w:t xml:space="preserve"> know</w:t>
      </w:r>
      <w:r w:rsidR="00492256">
        <w:rPr>
          <w:sz w:val="24"/>
        </w:rPr>
        <w:t>s</w:t>
      </w:r>
      <w:r>
        <w:rPr>
          <w:sz w:val="24"/>
        </w:rPr>
        <w:t xml:space="preserve"> the true identity of </w:t>
      </w:r>
      <w:r w:rsidR="00492256">
        <w:rPr>
          <w:sz w:val="24"/>
        </w:rPr>
        <w:t>its</w:t>
      </w:r>
      <w:r>
        <w:rPr>
          <w:sz w:val="24"/>
        </w:rPr>
        <w:t xml:space="preserve"> customers by using risk-based procedures to verify and document the accuracy of the information </w:t>
      </w:r>
      <w:r w:rsidR="00492256">
        <w:rPr>
          <w:sz w:val="24"/>
        </w:rPr>
        <w:t>obtained from</w:t>
      </w:r>
      <w:r>
        <w:rPr>
          <w:sz w:val="24"/>
        </w:rPr>
        <w:t xml:space="preserve"> customers.  In verifying customer identity, </w:t>
      </w:r>
      <w:r w:rsidR="00492256">
        <w:rPr>
          <w:sz w:val="24"/>
        </w:rPr>
        <w:t>Company</w:t>
      </w:r>
      <w:r>
        <w:rPr>
          <w:sz w:val="24"/>
        </w:rPr>
        <w:t xml:space="preserve"> will analyze any logical inconsistencies in the information obtain</w:t>
      </w:r>
      <w:r w:rsidR="00492256">
        <w:rPr>
          <w:sz w:val="24"/>
        </w:rPr>
        <w:t>ed</w:t>
      </w:r>
      <w:r>
        <w:rPr>
          <w:sz w:val="24"/>
        </w:rPr>
        <w:t xml:space="preserve">.  </w:t>
      </w:r>
    </w:p>
    <w:p w14:paraId="50305980" w14:textId="77777777" w:rsidR="003D216B" w:rsidRDefault="003D216B" w:rsidP="00A32F62">
      <w:pPr>
        <w:ind w:left="270"/>
        <w:jc w:val="both"/>
        <w:rPr>
          <w:sz w:val="24"/>
        </w:rPr>
      </w:pPr>
    </w:p>
    <w:p w14:paraId="69E6510C" w14:textId="77777777" w:rsidR="003D216B" w:rsidRDefault="003D216B" w:rsidP="00A32F62">
      <w:pPr>
        <w:ind w:left="270"/>
        <w:jc w:val="both"/>
        <w:rPr>
          <w:sz w:val="24"/>
        </w:rPr>
      </w:pPr>
      <w:r>
        <w:rPr>
          <w:sz w:val="24"/>
        </w:rPr>
        <w:t xml:space="preserve">Customer identity will be verified through documentary evidence, non-documentary evidence, or both.  Documents will be used to verify customer identity when appropriate documents are available.  In light of the increased instances of identity fraud, </w:t>
      </w:r>
      <w:r w:rsidR="00D65FE3">
        <w:rPr>
          <w:sz w:val="24"/>
        </w:rPr>
        <w:t>Company</w:t>
      </w:r>
      <w:r>
        <w:rPr>
          <w:sz w:val="24"/>
        </w:rPr>
        <w:t xml:space="preserve"> will supplement the use of documentary evidence by using the non-documentary means described below whenever possible.  </w:t>
      </w:r>
      <w:r w:rsidR="00D65FE3">
        <w:rPr>
          <w:sz w:val="24"/>
        </w:rPr>
        <w:t>Company</w:t>
      </w:r>
      <w:r>
        <w:rPr>
          <w:sz w:val="24"/>
        </w:rPr>
        <w:t xml:space="preserve"> may also use such non-documentary means, after using documentary evidence, if still uncertain about whether the true identity of the customer</w:t>
      </w:r>
      <w:r w:rsidR="00D65FE3">
        <w:rPr>
          <w:sz w:val="24"/>
        </w:rPr>
        <w:t xml:space="preserve"> is known</w:t>
      </w:r>
      <w:r>
        <w:rPr>
          <w:sz w:val="24"/>
        </w:rPr>
        <w:t xml:space="preserve">. </w:t>
      </w:r>
    </w:p>
    <w:p w14:paraId="43C0397D" w14:textId="77777777" w:rsidR="003D216B" w:rsidRDefault="003D216B" w:rsidP="00A32F62">
      <w:pPr>
        <w:ind w:left="270"/>
        <w:rPr>
          <w:sz w:val="24"/>
        </w:rPr>
      </w:pPr>
    </w:p>
    <w:p w14:paraId="406A3B1D" w14:textId="77777777" w:rsidR="003D216B" w:rsidRDefault="003D216B" w:rsidP="00A32F62">
      <w:pPr>
        <w:ind w:left="270"/>
        <w:rPr>
          <w:sz w:val="24"/>
        </w:rPr>
      </w:pPr>
      <w:r>
        <w:rPr>
          <w:sz w:val="24"/>
        </w:rPr>
        <w:t xml:space="preserve">Appropriate documents for verifying the identity of natural persons include the following: </w:t>
      </w:r>
    </w:p>
    <w:p w14:paraId="466AA50C" w14:textId="77777777" w:rsidR="003D216B" w:rsidRDefault="003D216B" w:rsidP="003D216B">
      <w:pPr>
        <w:ind w:left="720"/>
        <w:rPr>
          <w:i/>
          <w:iCs/>
          <w:sz w:val="24"/>
        </w:rPr>
      </w:pPr>
    </w:p>
    <w:p w14:paraId="044A8B37" w14:textId="4B610BDE" w:rsidR="003D216B" w:rsidRDefault="003D216B" w:rsidP="00216F83">
      <w:pPr>
        <w:numPr>
          <w:ilvl w:val="0"/>
          <w:numId w:val="15"/>
        </w:numPr>
        <w:tabs>
          <w:tab w:val="clear" w:pos="720"/>
          <w:tab w:val="num" w:pos="990"/>
        </w:tabs>
        <w:ind w:left="990" w:hanging="270"/>
        <w:jc w:val="both"/>
        <w:rPr>
          <w:sz w:val="24"/>
        </w:rPr>
      </w:pPr>
      <w:r>
        <w:rPr>
          <w:sz w:val="24"/>
        </w:rPr>
        <w:t xml:space="preserve">An unexpired driver’s license, passport, or other government identification showing nationality, residence, and photograph or other biometric safeguard, or, for non-U.S. persons, an unexpired alien registration card or other government issued identification showing nationality, </w:t>
      </w:r>
      <w:r w:rsidR="00CC601C">
        <w:rPr>
          <w:sz w:val="24"/>
        </w:rPr>
        <w:t>residence,</w:t>
      </w:r>
      <w:r>
        <w:rPr>
          <w:sz w:val="24"/>
        </w:rPr>
        <w:t xml:space="preserve"> and photograph or </w:t>
      </w:r>
      <w:proofErr w:type="gramStart"/>
      <w:r>
        <w:rPr>
          <w:sz w:val="24"/>
        </w:rPr>
        <w:t>other</w:t>
      </w:r>
      <w:proofErr w:type="gramEnd"/>
      <w:r>
        <w:rPr>
          <w:sz w:val="24"/>
        </w:rPr>
        <w:t xml:space="preserve"> biometric safeguard.  </w:t>
      </w:r>
    </w:p>
    <w:p w14:paraId="3ACB65E4" w14:textId="77777777" w:rsidR="003D216B" w:rsidRDefault="003D216B" w:rsidP="003D216B">
      <w:pPr>
        <w:pStyle w:val="Header"/>
        <w:tabs>
          <w:tab w:val="clear" w:pos="4320"/>
          <w:tab w:val="clear" w:pos="8640"/>
        </w:tabs>
        <w:ind w:left="720"/>
        <w:rPr>
          <w:sz w:val="24"/>
        </w:rPr>
      </w:pPr>
    </w:p>
    <w:p w14:paraId="2810BC6A" w14:textId="77777777" w:rsidR="003D216B" w:rsidRDefault="003D216B" w:rsidP="0064576F">
      <w:pPr>
        <w:ind w:left="720" w:hanging="450"/>
        <w:rPr>
          <w:sz w:val="24"/>
        </w:rPr>
      </w:pPr>
      <w:r>
        <w:rPr>
          <w:sz w:val="24"/>
        </w:rPr>
        <w:t>The following documents are appropriate for verifying the identity of businesses:</w:t>
      </w:r>
    </w:p>
    <w:p w14:paraId="2518E728" w14:textId="77777777" w:rsidR="003D216B" w:rsidRDefault="003D216B" w:rsidP="003D216B">
      <w:pPr>
        <w:ind w:left="720"/>
        <w:rPr>
          <w:sz w:val="24"/>
        </w:rPr>
      </w:pPr>
    </w:p>
    <w:p w14:paraId="4768A94C" w14:textId="77777777" w:rsidR="003D216B" w:rsidRDefault="003D216B" w:rsidP="00216F83">
      <w:pPr>
        <w:numPr>
          <w:ilvl w:val="0"/>
          <w:numId w:val="15"/>
        </w:numPr>
        <w:tabs>
          <w:tab w:val="clear" w:pos="720"/>
        </w:tabs>
        <w:ind w:left="990" w:hanging="270"/>
        <w:rPr>
          <w:sz w:val="24"/>
        </w:rPr>
      </w:pPr>
      <w:r>
        <w:rPr>
          <w:sz w:val="24"/>
        </w:rPr>
        <w:t xml:space="preserve">A certificate of incorporation, a government-issued business license, any partnership agreements, any corporate resolutions, or similar documents.  </w:t>
      </w:r>
    </w:p>
    <w:p w14:paraId="15339231" w14:textId="77777777" w:rsidR="003D216B" w:rsidRDefault="003D216B" w:rsidP="0064576F">
      <w:pPr>
        <w:ind w:left="990" w:hanging="270"/>
        <w:rPr>
          <w:sz w:val="24"/>
        </w:rPr>
      </w:pPr>
    </w:p>
    <w:p w14:paraId="767C2383" w14:textId="77777777" w:rsidR="003D216B" w:rsidRDefault="003D216B" w:rsidP="00BF0DE1">
      <w:pPr>
        <w:tabs>
          <w:tab w:val="left" w:pos="270"/>
        </w:tabs>
        <w:ind w:left="270"/>
        <w:jc w:val="both"/>
        <w:rPr>
          <w:sz w:val="24"/>
        </w:rPr>
      </w:pPr>
      <w:r>
        <w:rPr>
          <w:sz w:val="24"/>
        </w:rPr>
        <w:t>Verification of customer identity through the use of non-documentary evidence is mandatory in the following situations: (1) when the customer is unable to present an unexpired identification card with a photograph or other biometric safeguard; (2) when the documents the customer presents for identification verification are unfamiliar to the Company; (3) when the customer and Company do not have face-to-face contact; and (4) when there are other circumstances that increase the risk that the Company will be unable to verify the true identity of the customer through documentary means.  Under these circumstances, the following non-documentary methods will be used to verify identity:</w:t>
      </w:r>
    </w:p>
    <w:p w14:paraId="136B3DE5" w14:textId="77777777" w:rsidR="003D216B" w:rsidRDefault="003D216B" w:rsidP="0064576F">
      <w:pPr>
        <w:ind w:left="990" w:hanging="270"/>
        <w:rPr>
          <w:sz w:val="24"/>
        </w:rPr>
      </w:pPr>
    </w:p>
    <w:p w14:paraId="143243D9" w14:textId="77777777" w:rsidR="003D216B" w:rsidRDefault="003D216B" w:rsidP="00A01EA9">
      <w:pPr>
        <w:numPr>
          <w:ilvl w:val="0"/>
          <w:numId w:val="15"/>
        </w:numPr>
        <w:tabs>
          <w:tab w:val="clear" w:pos="720"/>
        </w:tabs>
        <w:ind w:left="990" w:hanging="270"/>
        <w:jc w:val="both"/>
        <w:rPr>
          <w:i/>
          <w:iCs/>
          <w:sz w:val="24"/>
        </w:rPr>
      </w:pPr>
      <w:r>
        <w:rPr>
          <w:sz w:val="24"/>
        </w:rPr>
        <w:t xml:space="preserve">Contact the customer after the account has been opened (although </w:t>
      </w:r>
      <w:r w:rsidR="00D461F5">
        <w:rPr>
          <w:sz w:val="24"/>
        </w:rPr>
        <w:t>Company</w:t>
      </w:r>
      <w:r>
        <w:rPr>
          <w:sz w:val="24"/>
        </w:rPr>
        <w:t xml:space="preserve"> cannot rely solely on customer contact as a means for verification);</w:t>
      </w:r>
    </w:p>
    <w:p w14:paraId="6761A483" w14:textId="77777777" w:rsidR="003D216B" w:rsidRDefault="003D216B" w:rsidP="00A01EA9">
      <w:pPr>
        <w:numPr>
          <w:ilvl w:val="0"/>
          <w:numId w:val="15"/>
        </w:numPr>
        <w:ind w:left="990" w:hanging="270"/>
        <w:jc w:val="both"/>
        <w:rPr>
          <w:i/>
          <w:iCs/>
          <w:sz w:val="24"/>
        </w:rPr>
      </w:pPr>
      <w:r>
        <w:rPr>
          <w:sz w:val="24"/>
        </w:rPr>
        <w:t>Financial statements, if applicable, or 1</w:t>
      </w:r>
      <w:r>
        <w:rPr>
          <w:sz w:val="24"/>
          <w:vertAlign w:val="superscript"/>
        </w:rPr>
        <w:t>st</w:t>
      </w:r>
      <w:r>
        <w:rPr>
          <w:sz w:val="24"/>
        </w:rPr>
        <w:t xml:space="preserve"> page of Form 1040 from the customer;</w:t>
      </w:r>
    </w:p>
    <w:p w14:paraId="27F116C6" w14:textId="77777777" w:rsidR="003D216B" w:rsidRDefault="003D216B" w:rsidP="00A01EA9">
      <w:pPr>
        <w:numPr>
          <w:ilvl w:val="0"/>
          <w:numId w:val="15"/>
        </w:numPr>
        <w:ind w:left="990" w:hanging="270"/>
        <w:jc w:val="both"/>
        <w:rPr>
          <w:sz w:val="24"/>
        </w:rPr>
      </w:pPr>
      <w:r>
        <w:rPr>
          <w:sz w:val="24"/>
        </w:rPr>
        <w:t xml:space="preserve">Compare information obtained from the customer against databases, such as Equifax, </w:t>
      </w:r>
      <w:r w:rsidR="00046914">
        <w:rPr>
          <w:sz w:val="24"/>
        </w:rPr>
        <w:t>Experian</w:t>
      </w:r>
      <w:r>
        <w:rPr>
          <w:sz w:val="24"/>
        </w:rPr>
        <w:t>, Lexis/</w:t>
      </w:r>
      <w:r w:rsidR="00046914">
        <w:rPr>
          <w:sz w:val="24"/>
        </w:rPr>
        <w:t>Nexus</w:t>
      </w:r>
      <w:r>
        <w:rPr>
          <w:sz w:val="24"/>
        </w:rPr>
        <w:t>, or other in-house or custom databases;</w:t>
      </w:r>
    </w:p>
    <w:p w14:paraId="670373F5" w14:textId="77777777" w:rsidR="003D216B" w:rsidRDefault="003D216B" w:rsidP="00A01EA9">
      <w:pPr>
        <w:numPr>
          <w:ilvl w:val="0"/>
          <w:numId w:val="15"/>
        </w:numPr>
        <w:ind w:left="990" w:hanging="270"/>
        <w:jc w:val="both"/>
        <w:rPr>
          <w:sz w:val="24"/>
        </w:rPr>
      </w:pPr>
      <w:r>
        <w:rPr>
          <w:sz w:val="24"/>
        </w:rPr>
        <w:t xml:space="preserve">Compare information obtained from customer with information available from a trusted third-party source (such as a credit report); </w:t>
      </w:r>
    </w:p>
    <w:p w14:paraId="0A846988" w14:textId="77777777" w:rsidR="003D216B" w:rsidRDefault="003D216B" w:rsidP="00A01EA9">
      <w:pPr>
        <w:numPr>
          <w:ilvl w:val="0"/>
          <w:numId w:val="15"/>
        </w:numPr>
        <w:ind w:left="990" w:hanging="270"/>
        <w:jc w:val="both"/>
        <w:rPr>
          <w:sz w:val="24"/>
        </w:rPr>
      </w:pPr>
      <w:r>
        <w:rPr>
          <w:sz w:val="24"/>
        </w:rPr>
        <w:t>Check references with other financial institutions; and</w:t>
      </w:r>
    </w:p>
    <w:p w14:paraId="14D12C9F" w14:textId="77777777" w:rsidR="003D216B" w:rsidRDefault="003D216B" w:rsidP="00A01EA9">
      <w:pPr>
        <w:numPr>
          <w:ilvl w:val="0"/>
          <w:numId w:val="15"/>
        </w:numPr>
        <w:ind w:left="990" w:hanging="270"/>
        <w:jc w:val="both"/>
        <w:rPr>
          <w:sz w:val="24"/>
        </w:rPr>
      </w:pPr>
      <w:r>
        <w:rPr>
          <w:sz w:val="24"/>
        </w:rPr>
        <w:t>Any other non-documentary means deemed appropriate.</w:t>
      </w:r>
    </w:p>
    <w:p w14:paraId="37A99BAA" w14:textId="77777777" w:rsidR="003D216B" w:rsidRDefault="003D216B" w:rsidP="00A01EA9">
      <w:pPr>
        <w:ind w:left="990" w:hanging="270"/>
        <w:rPr>
          <w:sz w:val="24"/>
        </w:rPr>
      </w:pPr>
    </w:p>
    <w:p w14:paraId="00C5A2AD" w14:textId="77777777" w:rsidR="008E0FC2" w:rsidRDefault="008E0FC2" w:rsidP="008E0FC2">
      <w:pPr>
        <w:ind w:left="270"/>
        <w:jc w:val="both"/>
        <w:rPr>
          <w:i/>
          <w:iCs/>
          <w:sz w:val="24"/>
        </w:rPr>
      </w:pPr>
      <w:r>
        <w:rPr>
          <w:sz w:val="24"/>
        </w:rPr>
        <w:t xml:space="preserve">Company personnel will verify the information at the time new accounts are opened, if possible, but in most situations no later than 30 days after opening.  However, Company recognizes that there may be situations where even a five-day delay will be too long.  Depending on the nature of the account and requested transactions, Company may refuse to complete a transaction before it has verified the information, or in some instances when more </w:t>
      </w:r>
      <w:r>
        <w:rPr>
          <w:sz w:val="24"/>
        </w:rPr>
        <w:lastRenderedPageBreak/>
        <w:t>time is needed, it may restrict the types of transactions or dollar amount of transactions pending verification or determine whether to close the account at that time. Company will document verification, including all identifying information provided by a customer, the methods used and results of verification, and the resolution of any discrepancy in the identifying information.  Company will maintain those records for five years after the account has been closed or the customer's trading authority over the account has ended.</w:t>
      </w:r>
      <w:r>
        <w:rPr>
          <w:i/>
          <w:iCs/>
          <w:sz w:val="24"/>
        </w:rPr>
        <w:t xml:space="preserve">  </w:t>
      </w:r>
    </w:p>
    <w:p w14:paraId="38FE7920" w14:textId="77777777" w:rsidR="008E0FC2" w:rsidRDefault="008E0FC2" w:rsidP="008E0FC2">
      <w:pPr>
        <w:ind w:left="270"/>
        <w:jc w:val="both"/>
        <w:rPr>
          <w:i/>
          <w:iCs/>
          <w:sz w:val="24"/>
        </w:rPr>
      </w:pPr>
    </w:p>
    <w:p w14:paraId="157995E6" w14:textId="77777777" w:rsidR="008E0FC2" w:rsidRDefault="008E0FC2" w:rsidP="008E0FC2">
      <w:pPr>
        <w:ind w:left="270"/>
        <w:jc w:val="both"/>
        <w:rPr>
          <w:i/>
          <w:iCs/>
          <w:sz w:val="24"/>
        </w:rPr>
      </w:pPr>
      <w:r>
        <w:rPr>
          <w:sz w:val="24"/>
        </w:rPr>
        <w:t>As required under the BSA, Company will record a current passport number or other valid government identification number for transfers or transmittals of $3,000 or more by or for non-resident alien accounts, if ever applicable.</w:t>
      </w:r>
      <w:r>
        <w:rPr>
          <w:i/>
          <w:iCs/>
          <w:sz w:val="24"/>
        </w:rPr>
        <w:t xml:space="preserve"> </w:t>
      </w:r>
    </w:p>
    <w:p w14:paraId="74784C41" w14:textId="77777777" w:rsidR="003D216B" w:rsidRDefault="003D216B" w:rsidP="00A32F62">
      <w:pPr>
        <w:ind w:left="270"/>
        <w:rPr>
          <w:i/>
          <w:iCs/>
          <w:sz w:val="24"/>
        </w:rPr>
      </w:pPr>
    </w:p>
    <w:p w14:paraId="46124031" w14:textId="77777777" w:rsidR="003D216B" w:rsidRDefault="00E60F67" w:rsidP="001A7509">
      <w:pPr>
        <w:pStyle w:val="Heading3"/>
      </w:pPr>
      <w:r>
        <w:t>7.</w:t>
      </w:r>
      <w:r w:rsidR="00C52626">
        <w:t>6</w:t>
      </w:r>
      <w:r>
        <w:t xml:space="preserve">.3   </w:t>
      </w:r>
      <w:r w:rsidR="003D216B">
        <w:t xml:space="preserve">Using Government Provided Lists of Terrorists and Other Criminals </w:t>
      </w:r>
    </w:p>
    <w:p w14:paraId="453564E7" w14:textId="77777777" w:rsidR="003D216B" w:rsidRPr="00472765" w:rsidRDefault="003D216B" w:rsidP="00A32F62">
      <w:pPr>
        <w:ind w:left="270"/>
        <w:jc w:val="both"/>
        <w:rPr>
          <w:sz w:val="24"/>
        </w:rPr>
      </w:pPr>
      <w:r>
        <w:rPr>
          <w:sz w:val="24"/>
        </w:rPr>
        <w:t xml:space="preserve">Before opening an account, and periodically, </w:t>
      </w:r>
      <w:r w:rsidR="00AC12C3">
        <w:rPr>
          <w:sz w:val="24"/>
        </w:rPr>
        <w:t>Company</w:t>
      </w:r>
      <w:r>
        <w:rPr>
          <w:sz w:val="24"/>
        </w:rPr>
        <w:t xml:space="preserve"> will check to ensure that a customer does not appear on a list provided to us by the government, like Treasury’s OFAC “Specially Designated Nationals and Blocked Persons” List (SDN List) (</w:t>
      </w:r>
      <w:r>
        <w:rPr>
          <w:sz w:val="24"/>
          <w:u w:val="single"/>
        </w:rPr>
        <w:t>See</w:t>
      </w:r>
      <w:r>
        <w:rPr>
          <w:sz w:val="24"/>
        </w:rPr>
        <w:t xml:space="preserve"> the OFAC Web Site at </w:t>
      </w:r>
      <w:hyperlink r:id="rId44" w:history="1">
        <w:r>
          <w:rPr>
            <w:rStyle w:val="Hyperlink"/>
            <w:i/>
            <w:iCs/>
            <w:sz w:val="24"/>
          </w:rPr>
          <w:t>www.treas.gov/ofac</w:t>
        </w:r>
      </w:hyperlink>
      <w:r>
        <w:rPr>
          <w:sz w:val="24"/>
        </w:rPr>
        <w:t xml:space="preserve">, which is also available through an automated search tool on </w:t>
      </w:r>
      <w:hyperlink r:id="rId45" w:history="1">
        <w:r w:rsidRPr="00A3741D">
          <w:rPr>
            <w:rStyle w:val="Hyperlink"/>
            <w:i/>
            <w:sz w:val="24"/>
          </w:rPr>
          <w:t>http://apps.finra.org/rulesregulation/ofac/1/Default.aspx</w:t>
        </w:r>
      </w:hyperlink>
      <w:r>
        <w:rPr>
          <w:sz w:val="24"/>
        </w:rPr>
        <w:t xml:space="preserve">), and is not from, or engaging in transactions with people or entities from, embargoed countries and regions listed on the OFAC Web Site.  Because the OFAC Web Site is updated frequently, we will consult the list on a regular basis and subscribe to be sent updates when they occur.  </w:t>
      </w:r>
      <w:r w:rsidR="00AC12C3">
        <w:rPr>
          <w:sz w:val="24"/>
        </w:rPr>
        <w:t>Company</w:t>
      </w:r>
      <w:r>
        <w:rPr>
          <w:sz w:val="24"/>
        </w:rPr>
        <w:t xml:space="preserve"> may access these lists through various software programs to ensure speed and accuracy.  In addition, the Company will conduct searches against its database when emails are received from FinCEN and respond if any applicable accounts exist.  After conducting the search, </w:t>
      </w:r>
      <w:r w:rsidR="00D461F5" w:rsidRPr="00472765">
        <w:rPr>
          <w:sz w:val="24"/>
        </w:rPr>
        <w:t xml:space="preserve">a copy of the FinCEN review will be maintained in a WORD document report as evidence </w:t>
      </w:r>
      <w:r w:rsidRPr="00472765">
        <w:rPr>
          <w:sz w:val="24"/>
        </w:rPr>
        <w:t>of the search.</w:t>
      </w:r>
    </w:p>
    <w:p w14:paraId="2C6CC83D" w14:textId="77777777" w:rsidR="003D216B" w:rsidRDefault="003D216B" w:rsidP="00A32F62">
      <w:pPr>
        <w:ind w:left="270"/>
        <w:rPr>
          <w:sz w:val="24"/>
        </w:rPr>
      </w:pPr>
    </w:p>
    <w:p w14:paraId="644A893A" w14:textId="77777777" w:rsidR="003D216B" w:rsidRDefault="003D216B" w:rsidP="00A32F62">
      <w:pPr>
        <w:ind w:left="270"/>
        <w:jc w:val="both"/>
        <w:rPr>
          <w:sz w:val="24"/>
        </w:rPr>
      </w:pPr>
      <w:r>
        <w:rPr>
          <w:sz w:val="24"/>
        </w:rPr>
        <w:t xml:space="preserve">In the event that </w:t>
      </w:r>
      <w:r w:rsidR="00AC12C3">
        <w:rPr>
          <w:sz w:val="24"/>
        </w:rPr>
        <w:t>Company</w:t>
      </w:r>
      <w:r>
        <w:rPr>
          <w:sz w:val="24"/>
        </w:rPr>
        <w:t xml:space="preserve"> determine</w:t>
      </w:r>
      <w:r w:rsidR="00AC12C3">
        <w:rPr>
          <w:sz w:val="24"/>
        </w:rPr>
        <w:t>s</w:t>
      </w:r>
      <w:r>
        <w:rPr>
          <w:sz w:val="24"/>
        </w:rPr>
        <w:t xml:space="preserve"> a customer, or someone with or for whom the customer is transacting, is on the SDN List or is from or engaging in transactions with a person or entity located in an embargoed country or region, </w:t>
      </w:r>
      <w:r w:rsidR="00AC12C3">
        <w:rPr>
          <w:sz w:val="24"/>
        </w:rPr>
        <w:t>Company</w:t>
      </w:r>
      <w:r>
        <w:rPr>
          <w:sz w:val="24"/>
        </w:rPr>
        <w:t xml:space="preserve"> will reject the transaction and/or block the customer's assets and file a blocked assets and/or rejected transaction form with OFAC. </w:t>
      </w:r>
      <w:r w:rsidR="00AC12C3">
        <w:rPr>
          <w:sz w:val="24"/>
        </w:rPr>
        <w:t>Company</w:t>
      </w:r>
      <w:r>
        <w:rPr>
          <w:sz w:val="24"/>
        </w:rPr>
        <w:t xml:space="preserve"> will also call the </w:t>
      </w:r>
      <w:r>
        <w:rPr>
          <w:bCs/>
          <w:sz w:val="24"/>
        </w:rPr>
        <w:t>OFAC Hotline at 1-800-540-6322.</w:t>
      </w:r>
    </w:p>
    <w:p w14:paraId="1A7F5156" w14:textId="77777777" w:rsidR="003D216B" w:rsidRDefault="003D216B" w:rsidP="003D216B">
      <w:pPr>
        <w:ind w:left="720"/>
        <w:rPr>
          <w:sz w:val="24"/>
        </w:rPr>
      </w:pPr>
    </w:p>
    <w:p w14:paraId="21600CDD" w14:textId="77777777" w:rsidR="003D216B" w:rsidRDefault="00A32F62" w:rsidP="001A7509">
      <w:pPr>
        <w:pStyle w:val="Heading3"/>
      </w:pPr>
      <w:r>
        <w:t>7.</w:t>
      </w:r>
      <w:r w:rsidR="00C52626">
        <w:t>6</w:t>
      </w:r>
      <w:r>
        <w:t>.</w:t>
      </w:r>
      <w:r w:rsidR="00E60F67">
        <w:t xml:space="preserve">4 </w:t>
      </w:r>
      <w:r>
        <w:t xml:space="preserve">  </w:t>
      </w:r>
      <w:r w:rsidR="003D216B">
        <w:t>Supervisory Procedure</w:t>
      </w:r>
    </w:p>
    <w:p w14:paraId="7CDA2BBC" w14:textId="77777777" w:rsidR="003D216B" w:rsidRDefault="00AC12C3" w:rsidP="00A32F62">
      <w:pPr>
        <w:ind w:left="270"/>
        <w:jc w:val="both"/>
        <w:rPr>
          <w:sz w:val="24"/>
        </w:rPr>
      </w:pPr>
      <w:r>
        <w:rPr>
          <w:sz w:val="24"/>
        </w:rPr>
        <w:t>The</w:t>
      </w:r>
      <w:r w:rsidR="003D216B">
        <w:rPr>
          <w:sz w:val="24"/>
        </w:rPr>
        <w:t xml:space="preserve"> new account opening procedure collects and uses information on the account holder’s wealth, net worth, anticipated transaction activity, and sources of income to detect and deter possible money laundering and terrorist financing.  The sales supervisor’s review will be documented and reviewed.  </w:t>
      </w:r>
    </w:p>
    <w:p w14:paraId="58CCC701" w14:textId="77777777" w:rsidR="003D216B" w:rsidRDefault="003D216B" w:rsidP="00A32F62">
      <w:pPr>
        <w:ind w:left="270"/>
        <w:rPr>
          <w:sz w:val="24"/>
        </w:rPr>
      </w:pPr>
    </w:p>
    <w:p w14:paraId="42FB4702" w14:textId="77777777" w:rsidR="003D216B" w:rsidRDefault="00A32F62" w:rsidP="001A7509">
      <w:pPr>
        <w:pStyle w:val="Heading3"/>
      </w:pPr>
      <w:r>
        <w:t>7.</w:t>
      </w:r>
      <w:r w:rsidR="00C52626">
        <w:t>6</w:t>
      </w:r>
      <w:r>
        <w:t>.</w:t>
      </w:r>
      <w:r w:rsidR="00E60F67">
        <w:t xml:space="preserve">5 </w:t>
      </w:r>
      <w:r>
        <w:t xml:space="preserve">  </w:t>
      </w:r>
      <w:r w:rsidR="00952820">
        <w:t>Monitoring</w:t>
      </w:r>
      <w:r w:rsidR="003D216B">
        <w:t xml:space="preserve">  </w:t>
      </w:r>
    </w:p>
    <w:p w14:paraId="3CDFE2CE" w14:textId="77777777" w:rsidR="003D216B" w:rsidRDefault="003D216B" w:rsidP="00A32F62">
      <w:pPr>
        <w:pStyle w:val="BodyText2"/>
        <w:widowControl/>
        <w:ind w:left="270"/>
        <w:jc w:val="both"/>
      </w:pPr>
      <w:r>
        <w:t xml:space="preserve">If a customer is unwilling to provide identification documents or other information to open a new account, exhibits unusual concern about secrecy, insists on using a post office box without providing a physical address, indicates that he/she can be reached by a cell phone or pager only, or appears to provide intentionally misleading information, the Company can refuse to open a new account and, after considering the risks involved, consider closing any existing account.  In either case, notify Morris Monroe </w:t>
      </w:r>
      <w:r w:rsidR="00F57391">
        <w:t xml:space="preserve">or Compliance </w:t>
      </w:r>
      <w:r>
        <w:t>immediately.  He will then determine whether we should report the situation to FinCEN.</w:t>
      </w:r>
      <w:r w:rsidR="00F57391">
        <w:t xml:space="preserve">  In addition:</w:t>
      </w:r>
    </w:p>
    <w:p w14:paraId="740CD2D2" w14:textId="77777777" w:rsidR="003D216B" w:rsidRDefault="003D216B" w:rsidP="00A32F62">
      <w:pPr>
        <w:ind w:left="270"/>
        <w:jc w:val="both"/>
        <w:rPr>
          <w:sz w:val="24"/>
        </w:rPr>
      </w:pPr>
    </w:p>
    <w:p w14:paraId="2B00C843" w14:textId="77777777" w:rsidR="003D216B" w:rsidRDefault="003D216B" w:rsidP="00216F83">
      <w:pPr>
        <w:numPr>
          <w:ilvl w:val="0"/>
          <w:numId w:val="7"/>
        </w:numPr>
        <w:tabs>
          <w:tab w:val="clear" w:pos="1080"/>
          <w:tab w:val="num" w:pos="360"/>
        </w:tabs>
        <w:ind w:left="450" w:firstLine="0"/>
        <w:jc w:val="both"/>
        <w:rPr>
          <w:sz w:val="24"/>
        </w:rPr>
      </w:pPr>
      <w:r>
        <w:rPr>
          <w:sz w:val="24"/>
        </w:rPr>
        <w:t xml:space="preserve">Inquire about the source of funds being deposited to the account.  Are the funds from savings, current income, or inheritance?  </w:t>
      </w:r>
      <w:r w:rsidR="00F817A7">
        <w:rPr>
          <w:sz w:val="24"/>
        </w:rPr>
        <w:t>T</w:t>
      </w:r>
      <w:r>
        <w:rPr>
          <w:sz w:val="24"/>
        </w:rPr>
        <w:t xml:space="preserve">ransfer instructions, proof of employment or proof </w:t>
      </w:r>
      <w:r>
        <w:rPr>
          <w:sz w:val="24"/>
        </w:rPr>
        <w:lastRenderedPageBreak/>
        <w:t>of inheritance</w:t>
      </w:r>
      <w:r w:rsidR="00F817A7">
        <w:rPr>
          <w:sz w:val="24"/>
        </w:rPr>
        <w:t xml:space="preserve"> may be required</w:t>
      </w:r>
      <w:r>
        <w:rPr>
          <w:sz w:val="24"/>
        </w:rPr>
        <w:t>.  If the account is for a commercial account, financial statements, minutes and names of officers and a description of the business</w:t>
      </w:r>
      <w:r w:rsidR="00F817A7">
        <w:rPr>
          <w:sz w:val="24"/>
        </w:rPr>
        <w:t xml:space="preserve"> may be obtained</w:t>
      </w:r>
      <w:r>
        <w:rPr>
          <w:sz w:val="24"/>
        </w:rPr>
        <w:t xml:space="preserve">.  </w:t>
      </w:r>
    </w:p>
    <w:p w14:paraId="580F837C" w14:textId="77777777" w:rsidR="003D216B" w:rsidRDefault="003D216B" w:rsidP="002D12DF">
      <w:pPr>
        <w:tabs>
          <w:tab w:val="num" w:pos="360"/>
        </w:tabs>
        <w:ind w:left="450"/>
        <w:jc w:val="both"/>
        <w:rPr>
          <w:sz w:val="24"/>
        </w:rPr>
      </w:pPr>
    </w:p>
    <w:p w14:paraId="66342162" w14:textId="77777777" w:rsidR="003D216B" w:rsidRDefault="003D216B" w:rsidP="00216F83">
      <w:pPr>
        <w:numPr>
          <w:ilvl w:val="0"/>
          <w:numId w:val="7"/>
        </w:numPr>
        <w:tabs>
          <w:tab w:val="clear" w:pos="1080"/>
          <w:tab w:val="num" w:pos="360"/>
        </w:tabs>
        <w:ind w:left="450" w:firstLine="0"/>
        <w:jc w:val="both"/>
        <w:rPr>
          <w:sz w:val="24"/>
        </w:rPr>
      </w:pPr>
      <w:r>
        <w:rPr>
          <w:sz w:val="24"/>
        </w:rPr>
        <w:t xml:space="preserve">Obtain the customer’s investment objectives, risk tolerance and </w:t>
      </w:r>
      <w:r w:rsidR="00F817A7">
        <w:rPr>
          <w:sz w:val="24"/>
        </w:rPr>
        <w:t xml:space="preserve">inquire about the </w:t>
      </w:r>
      <w:r>
        <w:rPr>
          <w:sz w:val="24"/>
        </w:rPr>
        <w:t>frequency of deposits and withdrawals.  If the customer shows no regard for costs, risk or commissions</w:t>
      </w:r>
      <w:r w:rsidR="00F817A7">
        <w:rPr>
          <w:sz w:val="24"/>
        </w:rPr>
        <w:t>,</w:t>
      </w:r>
      <w:r>
        <w:rPr>
          <w:sz w:val="24"/>
        </w:rPr>
        <w:t xml:space="preserve"> this could indicate money laundering.  </w:t>
      </w:r>
    </w:p>
    <w:p w14:paraId="78F197AC" w14:textId="77777777" w:rsidR="003D216B" w:rsidRDefault="003D216B" w:rsidP="002D12DF">
      <w:pPr>
        <w:tabs>
          <w:tab w:val="num" w:pos="360"/>
        </w:tabs>
        <w:ind w:left="450"/>
        <w:jc w:val="both"/>
        <w:rPr>
          <w:sz w:val="24"/>
        </w:rPr>
      </w:pPr>
    </w:p>
    <w:p w14:paraId="675490FA" w14:textId="77777777" w:rsidR="003D216B" w:rsidRDefault="003D216B" w:rsidP="00216F83">
      <w:pPr>
        <w:numPr>
          <w:ilvl w:val="0"/>
          <w:numId w:val="7"/>
        </w:numPr>
        <w:tabs>
          <w:tab w:val="clear" w:pos="1080"/>
          <w:tab w:val="num" w:pos="360"/>
        </w:tabs>
        <w:ind w:left="450" w:firstLine="0"/>
        <w:jc w:val="both"/>
        <w:rPr>
          <w:sz w:val="24"/>
        </w:rPr>
      </w:pPr>
      <w:r>
        <w:rPr>
          <w:b/>
          <w:bCs/>
          <w:sz w:val="24"/>
        </w:rPr>
        <w:t>Transferred Accounts</w:t>
      </w:r>
      <w:r>
        <w:rPr>
          <w:sz w:val="24"/>
        </w:rPr>
        <w:t xml:space="preserve"> – </w:t>
      </w:r>
      <w:r w:rsidR="006F417C">
        <w:rPr>
          <w:sz w:val="24"/>
        </w:rPr>
        <w:t xml:space="preserve">Company </w:t>
      </w:r>
      <w:r>
        <w:rPr>
          <w:sz w:val="24"/>
        </w:rPr>
        <w:t>will still consider the scenarios above in deciding if the risks of a particular transferred account require obtaining and verifying information from the transferred customer.</w:t>
      </w:r>
    </w:p>
    <w:p w14:paraId="324AAB73" w14:textId="77777777" w:rsidR="003D216B" w:rsidRDefault="003D216B" w:rsidP="002D12DF">
      <w:pPr>
        <w:tabs>
          <w:tab w:val="num" w:pos="360"/>
        </w:tabs>
        <w:ind w:left="450"/>
        <w:jc w:val="both"/>
        <w:rPr>
          <w:sz w:val="24"/>
        </w:rPr>
      </w:pPr>
    </w:p>
    <w:p w14:paraId="0B8D552E" w14:textId="6A2F142E" w:rsidR="00105064" w:rsidRPr="00105064" w:rsidRDefault="003D216B" w:rsidP="00105064">
      <w:pPr>
        <w:numPr>
          <w:ilvl w:val="0"/>
          <w:numId w:val="7"/>
        </w:numPr>
        <w:tabs>
          <w:tab w:val="clear" w:pos="1080"/>
          <w:tab w:val="num" w:pos="360"/>
        </w:tabs>
        <w:ind w:left="450" w:firstLine="0"/>
        <w:jc w:val="both"/>
        <w:rPr>
          <w:sz w:val="24"/>
        </w:rPr>
      </w:pPr>
      <w:r w:rsidRPr="00665CAA">
        <w:rPr>
          <w:b/>
          <w:bCs/>
          <w:sz w:val="24"/>
        </w:rPr>
        <w:t xml:space="preserve">Monitoring Accounts - </w:t>
      </w:r>
      <w:r w:rsidRPr="00665CAA">
        <w:rPr>
          <w:sz w:val="24"/>
        </w:rPr>
        <w:t>Review customer accounts for abnormal activity on a daily basis.  Deposits in excess of stated income; wires that come in and are immediately wired out; improper remarks made by the customer; accounts with cash and no activity; accounts that are opened, funded and closed quickly; accounts with multiple wires to different locations; multiple signatories on the account; or a change in the pattern of activity may indicate money laundering.  Transactions should be viewed in the context of other account activity and a determination of whether the transaction is actually suspicious will necessarily depend on the customer and the particular transaction, compared with the customer’s normal business activity.  Unusual or questionable transactions may include transactions that appear to lack a reasonable economic basis or recognizable strategy based upon what the Company and Associated Person know about the particular customer.   Following are examples of potential indicators of suspicious activity, which if unexplained may indicate money laundering activity</w:t>
      </w:r>
      <w:r w:rsidR="00105064">
        <w:rPr>
          <w:sz w:val="24"/>
        </w:rPr>
        <w:t>.</w:t>
      </w:r>
    </w:p>
    <w:p w14:paraId="1DBC06D3" w14:textId="77777777" w:rsidR="003D216B" w:rsidRDefault="003D216B" w:rsidP="003D216B">
      <w:pPr>
        <w:ind w:left="1080"/>
        <w:rPr>
          <w:b/>
          <w:bCs/>
          <w:i/>
          <w:iCs/>
          <w:sz w:val="24"/>
        </w:rPr>
      </w:pPr>
    </w:p>
    <w:p w14:paraId="515E842C" w14:textId="77777777" w:rsidR="003D216B" w:rsidRDefault="003D216B" w:rsidP="001A587F">
      <w:pPr>
        <w:pStyle w:val="Heading4"/>
      </w:pPr>
      <w:r w:rsidRPr="00446A8B">
        <w:t>Indicators at the Account Opening Stage</w:t>
      </w:r>
      <w:r>
        <w:t>:</w:t>
      </w:r>
    </w:p>
    <w:p w14:paraId="32017CAD" w14:textId="77777777" w:rsidR="003D216B" w:rsidRDefault="003D216B" w:rsidP="00216F83">
      <w:pPr>
        <w:numPr>
          <w:ilvl w:val="0"/>
          <w:numId w:val="9"/>
        </w:numPr>
        <w:ind w:firstLine="0"/>
        <w:jc w:val="both"/>
        <w:rPr>
          <w:sz w:val="24"/>
        </w:rPr>
      </w:pPr>
      <w:r>
        <w:rPr>
          <w:sz w:val="24"/>
        </w:rPr>
        <w:t xml:space="preserve">A customer exhibits an unusual concern regarding the Company’s compliance with government reporting requirements, particularly with respect to his/her identity, type of business and assets, or is reluctant or refuses to reveal any information regarding business activities, or furnishes unusual or suspect identification or business documents; </w:t>
      </w:r>
    </w:p>
    <w:p w14:paraId="7E18D9E0" w14:textId="77777777" w:rsidR="003D216B" w:rsidRDefault="003D216B" w:rsidP="00216F83">
      <w:pPr>
        <w:numPr>
          <w:ilvl w:val="0"/>
          <w:numId w:val="9"/>
        </w:numPr>
        <w:ind w:firstLine="0"/>
        <w:jc w:val="both"/>
        <w:rPr>
          <w:sz w:val="24"/>
        </w:rPr>
      </w:pPr>
      <w:r>
        <w:rPr>
          <w:sz w:val="24"/>
        </w:rPr>
        <w:t>A customer wishes to engage in transactions that lack business sense, apparent investment strategy, or are inconsistent with the customer’s states business strategy;</w:t>
      </w:r>
    </w:p>
    <w:p w14:paraId="1A6B6F32" w14:textId="77777777" w:rsidR="003D216B" w:rsidRDefault="003D216B" w:rsidP="00216F83">
      <w:pPr>
        <w:numPr>
          <w:ilvl w:val="0"/>
          <w:numId w:val="9"/>
        </w:numPr>
        <w:ind w:firstLine="0"/>
        <w:jc w:val="both"/>
        <w:rPr>
          <w:sz w:val="24"/>
        </w:rPr>
      </w:pPr>
      <w:r>
        <w:rPr>
          <w:sz w:val="24"/>
        </w:rPr>
        <w:t>A customer (or a person publicly associated with the customer) has a questionable background or is the subject of news reports indicating possible criminal, civil, or regulatory violations;</w:t>
      </w:r>
    </w:p>
    <w:p w14:paraId="26959EB7" w14:textId="77777777" w:rsidR="003D216B" w:rsidRDefault="003D216B" w:rsidP="00216F83">
      <w:pPr>
        <w:numPr>
          <w:ilvl w:val="0"/>
          <w:numId w:val="9"/>
        </w:numPr>
        <w:ind w:firstLine="0"/>
        <w:jc w:val="both"/>
        <w:rPr>
          <w:sz w:val="24"/>
        </w:rPr>
      </w:pPr>
      <w:r>
        <w:rPr>
          <w:sz w:val="24"/>
        </w:rPr>
        <w:t>A customer appears to be acting as the agent for another entity but declines, evades or is reluctant, without legitimate commercial reasons, to provide any information in response to questions about the entity; and</w:t>
      </w:r>
    </w:p>
    <w:p w14:paraId="54F6AC3E" w14:textId="77777777" w:rsidR="003D216B" w:rsidRDefault="003D216B" w:rsidP="00216F83">
      <w:pPr>
        <w:numPr>
          <w:ilvl w:val="0"/>
          <w:numId w:val="9"/>
        </w:numPr>
        <w:ind w:firstLine="0"/>
        <w:jc w:val="both"/>
        <w:rPr>
          <w:sz w:val="24"/>
        </w:rPr>
      </w:pPr>
      <w:r>
        <w:rPr>
          <w:sz w:val="24"/>
        </w:rPr>
        <w:t>A customer has difficulty describing the nature of his or her business or lacks general knowledge of his or her identity.</w:t>
      </w:r>
    </w:p>
    <w:p w14:paraId="163AB798" w14:textId="77777777" w:rsidR="003D216B" w:rsidRDefault="003D216B" w:rsidP="003D216B">
      <w:pPr>
        <w:ind w:left="1080"/>
        <w:rPr>
          <w:b/>
          <w:bCs/>
          <w:i/>
          <w:iCs/>
          <w:sz w:val="24"/>
        </w:rPr>
      </w:pPr>
    </w:p>
    <w:p w14:paraId="65A1F95D" w14:textId="77777777" w:rsidR="003D216B" w:rsidRDefault="003D216B" w:rsidP="001A587F">
      <w:pPr>
        <w:pStyle w:val="Heading4"/>
      </w:pPr>
      <w:r w:rsidRPr="00446A8B">
        <w:t>Indicators Related to Account Activity</w:t>
      </w:r>
      <w:r>
        <w:t>:</w:t>
      </w:r>
    </w:p>
    <w:p w14:paraId="11E85901" w14:textId="77777777" w:rsidR="003D216B" w:rsidRDefault="003D216B" w:rsidP="00C1728B">
      <w:pPr>
        <w:numPr>
          <w:ilvl w:val="0"/>
          <w:numId w:val="36"/>
        </w:numPr>
        <w:tabs>
          <w:tab w:val="clear" w:pos="1800"/>
          <w:tab w:val="num" w:pos="1440"/>
        </w:tabs>
        <w:ind w:left="1170" w:hanging="90"/>
        <w:jc w:val="both"/>
        <w:rPr>
          <w:sz w:val="24"/>
        </w:rPr>
      </w:pPr>
      <w:r>
        <w:rPr>
          <w:sz w:val="24"/>
        </w:rPr>
        <w:t>A customer attempts to make frequent or large deposits of currency, insists on dealing only in cash equivalents or asks for exemptions to the Company’s policies relating to the deposit of cash and cash equivalents;</w:t>
      </w:r>
    </w:p>
    <w:p w14:paraId="19AB2447" w14:textId="77777777" w:rsidR="003D216B" w:rsidRDefault="003D216B" w:rsidP="00C1728B">
      <w:pPr>
        <w:numPr>
          <w:ilvl w:val="0"/>
          <w:numId w:val="36"/>
        </w:numPr>
        <w:tabs>
          <w:tab w:val="clear" w:pos="1800"/>
          <w:tab w:val="num" w:pos="1440"/>
        </w:tabs>
        <w:ind w:left="1170" w:hanging="90"/>
        <w:jc w:val="both"/>
        <w:rPr>
          <w:sz w:val="24"/>
        </w:rPr>
      </w:pPr>
      <w:r>
        <w:rPr>
          <w:sz w:val="24"/>
        </w:rPr>
        <w:lastRenderedPageBreak/>
        <w:t>A customer engages in transactions involving cash over $10,000 or cash equivalents or other monetary instruments that appear to be structured to avoid government reporting requirements, especially if the monetary instruments are in an amount just below reporting or recording thresholds and/or are sequentially numbered;</w:t>
      </w:r>
    </w:p>
    <w:p w14:paraId="559B7203" w14:textId="77777777" w:rsidR="003D216B" w:rsidRDefault="003D216B" w:rsidP="00C1728B">
      <w:pPr>
        <w:numPr>
          <w:ilvl w:val="0"/>
          <w:numId w:val="36"/>
        </w:numPr>
        <w:tabs>
          <w:tab w:val="clear" w:pos="1800"/>
          <w:tab w:val="num" w:pos="1440"/>
        </w:tabs>
        <w:ind w:left="1170" w:hanging="90"/>
        <w:jc w:val="both"/>
        <w:rPr>
          <w:sz w:val="24"/>
        </w:rPr>
      </w:pPr>
      <w:r>
        <w:rPr>
          <w:sz w:val="24"/>
        </w:rPr>
        <w:t>A customer engages in multiple transfers of funds or wire transfers to and from countries that are considered bank secrecy “tax havens” that have no apparent business purpose or are to or from countries listed as non-cooperative by FATF (Financial Action Task Force) and FinCEN, or are otherwise considered by the Company to be high-risk;</w:t>
      </w:r>
    </w:p>
    <w:p w14:paraId="4771BC19" w14:textId="77777777" w:rsidR="003D216B" w:rsidRDefault="003D216B" w:rsidP="00C1728B">
      <w:pPr>
        <w:numPr>
          <w:ilvl w:val="0"/>
          <w:numId w:val="36"/>
        </w:numPr>
        <w:tabs>
          <w:tab w:val="clear" w:pos="1800"/>
          <w:tab w:val="num" w:pos="1440"/>
        </w:tabs>
        <w:ind w:left="1170" w:hanging="90"/>
        <w:jc w:val="both"/>
        <w:rPr>
          <w:sz w:val="24"/>
        </w:rPr>
      </w:pPr>
      <w:r>
        <w:rPr>
          <w:sz w:val="24"/>
        </w:rPr>
        <w:t>A customer’s account has unexplained or sudden extensive wire activity, where previously there had been little or no wire activity without any apparent business purpose;</w:t>
      </w:r>
    </w:p>
    <w:p w14:paraId="7149F135" w14:textId="77777777" w:rsidR="003D216B" w:rsidRDefault="003D216B" w:rsidP="00C1728B">
      <w:pPr>
        <w:numPr>
          <w:ilvl w:val="0"/>
          <w:numId w:val="36"/>
        </w:numPr>
        <w:tabs>
          <w:tab w:val="clear" w:pos="1800"/>
          <w:tab w:val="num" w:pos="1440"/>
        </w:tabs>
        <w:ind w:left="1170" w:hanging="90"/>
        <w:jc w:val="both"/>
        <w:rPr>
          <w:sz w:val="24"/>
        </w:rPr>
      </w:pPr>
      <w:r>
        <w:rPr>
          <w:sz w:val="24"/>
        </w:rPr>
        <w:t>A customer has a large number of wire transfers to unrelated third parties;</w:t>
      </w:r>
    </w:p>
    <w:p w14:paraId="3CB76E33" w14:textId="77777777" w:rsidR="003D216B" w:rsidRDefault="003D216B" w:rsidP="00C1728B">
      <w:pPr>
        <w:numPr>
          <w:ilvl w:val="0"/>
          <w:numId w:val="36"/>
        </w:numPr>
        <w:tabs>
          <w:tab w:val="clear" w:pos="1800"/>
          <w:tab w:val="num" w:pos="1440"/>
        </w:tabs>
        <w:ind w:left="1170" w:hanging="90"/>
        <w:jc w:val="both"/>
        <w:rPr>
          <w:sz w:val="24"/>
        </w:rPr>
      </w:pPr>
      <w:r>
        <w:rPr>
          <w:sz w:val="24"/>
        </w:rPr>
        <w:t>A customer makes a funds deposit followed by an immediate request that the money be wired out or transferred to a third party, or to another firm without any apparent business purpose;</w:t>
      </w:r>
    </w:p>
    <w:p w14:paraId="640B5C63" w14:textId="77777777" w:rsidR="003D216B" w:rsidRDefault="003D216B" w:rsidP="00C1728B">
      <w:pPr>
        <w:numPr>
          <w:ilvl w:val="0"/>
          <w:numId w:val="36"/>
        </w:numPr>
        <w:tabs>
          <w:tab w:val="clear" w:pos="1800"/>
          <w:tab w:val="num" w:pos="1440"/>
        </w:tabs>
        <w:ind w:left="1170" w:hanging="90"/>
        <w:jc w:val="both"/>
        <w:rPr>
          <w:sz w:val="24"/>
        </w:rPr>
      </w:pPr>
      <w:r>
        <w:rPr>
          <w:sz w:val="24"/>
        </w:rPr>
        <w:t>A customer makes a funds deposit, for the purpose of purchasing a long-term investment, followed shortly thereafter by a request to liquidate the position and a transfer of the proceeds out of the account;</w:t>
      </w:r>
    </w:p>
    <w:p w14:paraId="22E43535" w14:textId="77777777" w:rsidR="003D216B" w:rsidRDefault="003D216B" w:rsidP="00C1728B">
      <w:pPr>
        <w:numPr>
          <w:ilvl w:val="0"/>
          <w:numId w:val="36"/>
        </w:numPr>
        <w:tabs>
          <w:tab w:val="clear" w:pos="1800"/>
          <w:tab w:val="num" w:pos="1440"/>
        </w:tabs>
        <w:ind w:left="1170" w:hanging="90"/>
        <w:rPr>
          <w:sz w:val="24"/>
        </w:rPr>
      </w:pPr>
      <w:r>
        <w:rPr>
          <w:sz w:val="24"/>
        </w:rPr>
        <w:t>For no apparent reason, a customer has multiple accounts under a single name or multiple names, with a large number of inter-account or third-party transfers;</w:t>
      </w:r>
    </w:p>
    <w:p w14:paraId="27D9F3AB" w14:textId="77777777" w:rsidR="003D216B" w:rsidRDefault="003D216B" w:rsidP="00C1728B">
      <w:pPr>
        <w:numPr>
          <w:ilvl w:val="0"/>
          <w:numId w:val="36"/>
        </w:numPr>
        <w:tabs>
          <w:tab w:val="clear" w:pos="1800"/>
          <w:tab w:val="num" w:pos="1440"/>
        </w:tabs>
        <w:ind w:left="1170" w:hanging="90"/>
        <w:jc w:val="both"/>
        <w:rPr>
          <w:sz w:val="24"/>
        </w:rPr>
      </w:pPr>
      <w:r>
        <w:rPr>
          <w:sz w:val="24"/>
        </w:rPr>
        <w:t>A customer engages in excessive journal entries between unrelated accounts without any apparent business purpose;</w:t>
      </w:r>
    </w:p>
    <w:p w14:paraId="6F65B08C" w14:textId="77777777" w:rsidR="003D216B" w:rsidRDefault="003D216B" w:rsidP="00C1728B">
      <w:pPr>
        <w:numPr>
          <w:ilvl w:val="0"/>
          <w:numId w:val="36"/>
        </w:numPr>
        <w:tabs>
          <w:tab w:val="clear" w:pos="1800"/>
          <w:tab w:val="num" w:pos="1440"/>
        </w:tabs>
        <w:ind w:left="1170" w:hanging="90"/>
        <w:jc w:val="both"/>
        <w:rPr>
          <w:sz w:val="24"/>
        </w:rPr>
      </w:pPr>
      <w:r>
        <w:rPr>
          <w:sz w:val="24"/>
        </w:rPr>
        <w:t xml:space="preserve">A customer requests that a transaction be processed in such a manner so as to avoid </w:t>
      </w:r>
      <w:r w:rsidR="00252639">
        <w:rPr>
          <w:sz w:val="24"/>
        </w:rPr>
        <w:t>the Company</w:t>
      </w:r>
      <w:r>
        <w:rPr>
          <w:sz w:val="24"/>
        </w:rPr>
        <w:t>’s normal documentation requirements;</w:t>
      </w:r>
    </w:p>
    <w:p w14:paraId="2B32EB5D" w14:textId="77777777" w:rsidR="003D216B" w:rsidRPr="00C220B0" w:rsidRDefault="003D216B" w:rsidP="00C1728B">
      <w:pPr>
        <w:numPr>
          <w:ilvl w:val="0"/>
          <w:numId w:val="36"/>
        </w:numPr>
        <w:tabs>
          <w:tab w:val="clear" w:pos="1800"/>
          <w:tab w:val="num" w:pos="1440"/>
        </w:tabs>
        <w:ind w:left="1170" w:hanging="90"/>
        <w:jc w:val="both"/>
        <w:rPr>
          <w:sz w:val="24"/>
        </w:rPr>
      </w:pPr>
      <w:r>
        <w:rPr>
          <w:sz w:val="24"/>
        </w:rPr>
        <w:t>A customer engages in transactions involving certain types of securities, such as penny stocks, Regulation “S” stocks and bearer bonds, which, although legitimate, have been utilized in connection with fraudulent schemes and money laundering activity</w:t>
      </w:r>
      <w:r w:rsidR="00952820">
        <w:rPr>
          <w:sz w:val="24"/>
        </w:rPr>
        <w:t xml:space="preserve"> </w:t>
      </w:r>
      <w:r w:rsidR="00952820" w:rsidRPr="00C220B0">
        <w:rPr>
          <w:sz w:val="24"/>
        </w:rPr>
        <w:t>(i.e. a customer deposits penny stock, liquidates, and wires funds.  A request to liquidate shares of penny stock may also represent engaging in an unregistered distribution of penny stocks and may also be a red flag)</w:t>
      </w:r>
      <w:r w:rsidRPr="00C220B0">
        <w:rPr>
          <w:sz w:val="24"/>
        </w:rPr>
        <w:t>;</w:t>
      </w:r>
    </w:p>
    <w:p w14:paraId="5B7C160A" w14:textId="77777777" w:rsidR="003D216B" w:rsidRDefault="003D216B" w:rsidP="00C1728B">
      <w:pPr>
        <w:numPr>
          <w:ilvl w:val="0"/>
          <w:numId w:val="36"/>
        </w:numPr>
        <w:tabs>
          <w:tab w:val="clear" w:pos="1800"/>
          <w:tab w:val="num" w:pos="1440"/>
        </w:tabs>
        <w:ind w:left="1440"/>
        <w:jc w:val="both"/>
        <w:rPr>
          <w:sz w:val="24"/>
        </w:rPr>
      </w:pPr>
      <w:r>
        <w:rPr>
          <w:sz w:val="24"/>
        </w:rPr>
        <w:t xml:space="preserve">A customer deposits bearer bonds followed by immediate request for the disbursement of funds; </w:t>
      </w:r>
    </w:p>
    <w:p w14:paraId="426673DF" w14:textId="77777777" w:rsidR="003D216B" w:rsidRDefault="003D216B" w:rsidP="00C1728B">
      <w:pPr>
        <w:numPr>
          <w:ilvl w:val="0"/>
          <w:numId w:val="36"/>
        </w:numPr>
        <w:tabs>
          <w:tab w:val="clear" w:pos="1800"/>
          <w:tab w:val="num" w:pos="1440"/>
        </w:tabs>
        <w:ind w:left="1440"/>
        <w:jc w:val="both"/>
        <w:rPr>
          <w:sz w:val="24"/>
        </w:rPr>
      </w:pPr>
      <w:r>
        <w:rPr>
          <w:sz w:val="24"/>
        </w:rPr>
        <w:t>A customer engages in excessive annuity transactions which result in cancellations during the free look period; and</w:t>
      </w:r>
    </w:p>
    <w:p w14:paraId="6F77FD9D" w14:textId="77777777" w:rsidR="003D216B" w:rsidRDefault="003D216B" w:rsidP="00C1728B">
      <w:pPr>
        <w:numPr>
          <w:ilvl w:val="0"/>
          <w:numId w:val="36"/>
        </w:numPr>
        <w:tabs>
          <w:tab w:val="clear" w:pos="1800"/>
          <w:tab w:val="num" w:pos="1440"/>
        </w:tabs>
        <w:ind w:left="1440"/>
        <w:jc w:val="both"/>
        <w:rPr>
          <w:sz w:val="24"/>
        </w:rPr>
      </w:pPr>
      <w:r>
        <w:rPr>
          <w:sz w:val="24"/>
        </w:rPr>
        <w:t>A customer exhibits a total lack of concern regarding risks, commissions, or other transactions costs.</w:t>
      </w:r>
    </w:p>
    <w:p w14:paraId="69495470" w14:textId="77777777" w:rsidR="003D216B" w:rsidRPr="002A2943" w:rsidRDefault="003D216B" w:rsidP="00C1728B">
      <w:pPr>
        <w:numPr>
          <w:ilvl w:val="0"/>
          <w:numId w:val="36"/>
        </w:numPr>
        <w:tabs>
          <w:tab w:val="clear" w:pos="1800"/>
          <w:tab w:val="num" w:pos="1440"/>
        </w:tabs>
        <w:ind w:left="1170" w:hanging="90"/>
        <w:rPr>
          <w:sz w:val="24"/>
        </w:rPr>
      </w:pPr>
      <w:r w:rsidRPr="001E23AB">
        <w:rPr>
          <w:sz w:val="24"/>
        </w:rPr>
        <w:t>A customer opens an LLC account and the affiliated name(s) are unk</w:t>
      </w:r>
      <w:r>
        <w:rPr>
          <w:sz w:val="24"/>
        </w:rPr>
        <w:t>n</w:t>
      </w:r>
      <w:r w:rsidRPr="001E23AB">
        <w:rPr>
          <w:sz w:val="24"/>
        </w:rPr>
        <w:t>own</w:t>
      </w:r>
      <w:r>
        <w:rPr>
          <w:color w:val="FF0000"/>
          <w:sz w:val="24"/>
        </w:rPr>
        <w:t>.</w:t>
      </w:r>
    </w:p>
    <w:p w14:paraId="3D3935D0" w14:textId="77777777" w:rsidR="002A2943" w:rsidRPr="006D5CDF" w:rsidRDefault="002A2943" w:rsidP="00C1728B">
      <w:pPr>
        <w:numPr>
          <w:ilvl w:val="0"/>
          <w:numId w:val="36"/>
        </w:numPr>
        <w:tabs>
          <w:tab w:val="clear" w:pos="1800"/>
          <w:tab w:val="num" w:pos="1440"/>
        </w:tabs>
        <w:ind w:left="1440"/>
        <w:rPr>
          <w:sz w:val="24"/>
          <w:szCs w:val="24"/>
        </w:rPr>
      </w:pPr>
      <w:r w:rsidRPr="006D5CDF">
        <w:rPr>
          <w:sz w:val="24"/>
          <w:szCs w:val="24"/>
        </w:rPr>
        <w:t>DVP/RVP accounts that use brokers to liquidate large volumes of low-priced securities may be a red flag for AML concerns. Such accounts should be the subject of reasonable inquiry to determine the source of the securities and to identify potential money laundering and registration issues.  Company is responsible for AML inquiries unless there is a formal undertaking by the customer's prime broker.</w:t>
      </w:r>
    </w:p>
    <w:p w14:paraId="56D24055" w14:textId="77777777" w:rsidR="002A2943" w:rsidRPr="006D5CDF" w:rsidRDefault="002A2943" w:rsidP="002A2943">
      <w:pPr>
        <w:ind w:left="1170"/>
        <w:rPr>
          <w:sz w:val="24"/>
        </w:rPr>
      </w:pPr>
    </w:p>
    <w:p w14:paraId="5AFAD990" w14:textId="77777777" w:rsidR="003D216B" w:rsidRPr="006D5CDF" w:rsidRDefault="00A32F62" w:rsidP="001A7509">
      <w:pPr>
        <w:pStyle w:val="Heading3"/>
      </w:pPr>
      <w:r w:rsidRPr="006D5CDF">
        <w:lastRenderedPageBreak/>
        <w:t>7.</w:t>
      </w:r>
      <w:r w:rsidR="00C52626" w:rsidRPr="006D5CDF">
        <w:t>6</w:t>
      </w:r>
      <w:r w:rsidRPr="006D5CDF">
        <w:t>.</w:t>
      </w:r>
      <w:r w:rsidR="00E60F67" w:rsidRPr="006D5CDF">
        <w:t xml:space="preserve">6 </w:t>
      </w:r>
      <w:r w:rsidRPr="006D5CDF">
        <w:t xml:space="preserve">  </w:t>
      </w:r>
      <w:r w:rsidR="003D216B" w:rsidRPr="006D5CDF">
        <w:t>Additional Monitoring of Accounts</w:t>
      </w:r>
    </w:p>
    <w:p w14:paraId="64795D99" w14:textId="4AA01DF7" w:rsidR="003D216B" w:rsidRDefault="00514D18" w:rsidP="00A32F62">
      <w:pPr>
        <w:ind w:left="270"/>
        <w:jc w:val="both"/>
        <w:rPr>
          <w:sz w:val="24"/>
        </w:rPr>
      </w:pPr>
      <w:r w:rsidRPr="006D5CDF">
        <w:rPr>
          <w:sz w:val="24"/>
        </w:rPr>
        <w:t>Company</w:t>
      </w:r>
      <w:r w:rsidR="003D216B" w:rsidRPr="006D5CDF">
        <w:rPr>
          <w:sz w:val="24"/>
        </w:rPr>
        <w:t xml:space="preserve"> will monitor accounts through the </w:t>
      </w:r>
      <w:r w:rsidR="00B21263" w:rsidRPr="006D5CDF">
        <w:rPr>
          <w:sz w:val="24"/>
        </w:rPr>
        <w:t>HTS</w:t>
      </w:r>
      <w:r w:rsidR="003D216B" w:rsidRPr="006D5CDF">
        <w:rPr>
          <w:sz w:val="24"/>
        </w:rPr>
        <w:t xml:space="preserve"> system and </w:t>
      </w:r>
      <w:r w:rsidR="003D216B">
        <w:rPr>
          <w:sz w:val="24"/>
        </w:rPr>
        <w:t>applicable reports for unusual size, volume, pattern or type of transactions.  New Account forms, Daily blotters, Money Reports, and Compliance Reports will be reviewed daily by the back office for detection of any of the above activity.  The AML Reports are reviewed by Laura Hendricks or her Compliance Department designee and for certain reports, they will be copied to a WORD file as evidence of review and maintained for Company records. Any questionable activity will be reported to Morris Monroe or Laura Hendricks immediately.</w:t>
      </w:r>
    </w:p>
    <w:p w14:paraId="1F08B331" w14:textId="77777777" w:rsidR="003D216B" w:rsidRDefault="003D216B" w:rsidP="003D216B">
      <w:pPr>
        <w:rPr>
          <w:sz w:val="24"/>
        </w:rPr>
      </w:pPr>
    </w:p>
    <w:p w14:paraId="2BCF14E7" w14:textId="77777777" w:rsidR="003D216B" w:rsidRDefault="000942AE" w:rsidP="003D216B">
      <w:pPr>
        <w:ind w:firstLine="360"/>
        <w:rPr>
          <w:sz w:val="24"/>
        </w:rPr>
      </w:pPr>
      <w:r w:rsidRPr="006D5CDF">
        <w:rPr>
          <w:sz w:val="24"/>
          <w:u w:val="single"/>
        </w:rPr>
        <w:t>HTS</w:t>
      </w:r>
      <w:r w:rsidR="003D216B" w:rsidRPr="006D5CDF">
        <w:rPr>
          <w:sz w:val="24"/>
          <w:u w:val="single"/>
        </w:rPr>
        <w:t xml:space="preserve"> </w:t>
      </w:r>
      <w:r w:rsidR="003D216B">
        <w:rPr>
          <w:sz w:val="24"/>
          <w:u w:val="single"/>
        </w:rPr>
        <w:t>– AML available Report</w:t>
      </w:r>
      <w:r w:rsidR="003D216B" w:rsidRPr="00AD28CB">
        <w:rPr>
          <w:sz w:val="24"/>
          <w:u w:val="single"/>
        </w:rPr>
        <w:t>s</w:t>
      </w:r>
      <w:r w:rsidR="003D216B">
        <w:rPr>
          <w:sz w:val="24"/>
        </w:rPr>
        <w:t>:</w:t>
      </w:r>
    </w:p>
    <w:p w14:paraId="42619AF0" w14:textId="77777777" w:rsidR="003D216B" w:rsidRDefault="003D216B" w:rsidP="00C1728B">
      <w:pPr>
        <w:numPr>
          <w:ilvl w:val="0"/>
          <w:numId w:val="39"/>
        </w:numPr>
        <w:jc w:val="both"/>
        <w:rPr>
          <w:sz w:val="24"/>
        </w:rPr>
      </w:pPr>
      <w:r>
        <w:rPr>
          <w:b/>
          <w:sz w:val="24"/>
        </w:rPr>
        <w:t>AML – Cash Movements</w:t>
      </w:r>
      <w:r>
        <w:rPr>
          <w:sz w:val="24"/>
        </w:rPr>
        <w:t>:  Money in and out of accts (including checks and wires) reviewed at least bi-weekly by LMH but typically sooner.  Reports are saved to a WORD file as evidence of review.</w:t>
      </w:r>
    </w:p>
    <w:p w14:paraId="3581CBCB" w14:textId="02F18786" w:rsidR="003D216B" w:rsidRDefault="003D216B" w:rsidP="00C1728B">
      <w:pPr>
        <w:numPr>
          <w:ilvl w:val="0"/>
          <w:numId w:val="39"/>
        </w:numPr>
        <w:jc w:val="both"/>
        <w:rPr>
          <w:sz w:val="24"/>
        </w:rPr>
      </w:pPr>
      <w:r>
        <w:rPr>
          <w:b/>
          <w:sz w:val="24"/>
        </w:rPr>
        <w:t>AML High Risk Jurisdiction</w:t>
      </w:r>
      <w:r>
        <w:rPr>
          <w:sz w:val="24"/>
        </w:rPr>
        <w:t xml:space="preserve">: any accounts in </w:t>
      </w:r>
      <w:r w:rsidR="00AD28CB">
        <w:rPr>
          <w:sz w:val="24"/>
        </w:rPr>
        <w:t>high-risk</w:t>
      </w:r>
      <w:r>
        <w:rPr>
          <w:sz w:val="24"/>
        </w:rPr>
        <w:t xml:space="preserve"> jurisdictions – report is reviewed </w:t>
      </w:r>
      <w:r w:rsidR="009A2D16">
        <w:rPr>
          <w:sz w:val="24"/>
        </w:rPr>
        <w:t>monthly</w:t>
      </w:r>
      <w:r>
        <w:rPr>
          <w:sz w:val="24"/>
        </w:rPr>
        <w:t xml:space="preserve"> by LMH and by GS daily.  Any applicable accounts would be reviewed, disclosed to Morris Monroe, restricted and/or frozen or closed if applicable.  Any reviews and actions would be recorded and documented in Win</w:t>
      </w:r>
      <w:r w:rsidR="00B71D19">
        <w:rPr>
          <w:sz w:val="24"/>
        </w:rPr>
        <w:t>O</w:t>
      </w:r>
      <w:r>
        <w:rPr>
          <w:sz w:val="24"/>
        </w:rPr>
        <w:t>ps as well as attached to the AML audit report.</w:t>
      </w:r>
    </w:p>
    <w:p w14:paraId="4F740615" w14:textId="611D1D85" w:rsidR="003D216B" w:rsidRDefault="003D216B" w:rsidP="00C1728B">
      <w:pPr>
        <w:numPr>
          <w:ilvl w:val="0"/>
          <w:numId w:val="39"/>
        </w:numPr>
        <w:jc w:val="both"/>
        <w:rPr>
          <w:sz w:val="24"/>
          <w:szCs w:val="24"/>
        </w:rPr>
      </w:pPr>
      <w:r>
        <w:rPr>
          <w:b/>
          <w:sz w:val="24"/>
        </w:rPr>
        <w:t>AML – No Physical Address</w:t>
      </w:r>
      <w:r>
        <w:rPr>
          <w:sz w:val="24"/>
        </w:rPr>
        <w:t xml:space="preserve">:  any accounts listed with only a P.O. Box for mailing address – report is checked daily by </w:t>
      </w:r>
      <w:r w:rsidR="007D17F1">
        <w:rPr>
          <w:sz w:val="24"/>
        </w:rPr>
        <w:t>Operations</w:t>
      </w:r>
      <w:r>
        <w:rPr>
          <w:sz w:val="24"/>
        </w:rPr>
        <w:t xml:space="preserve"> for applicable accounts.  Any applicable reports are printed with follow up noted and maintained in central location notebook.  E</w:t>
      </w:r>
      <w:r>
        <w:rPr>
          <w:bCs/>
          <w:sz w:val="24"/>
          <w:szCs w:val="24"/>
        </w:rPr>
        <w:t xml:space="preserve">ach account is reviewed for active status, reviewing the customer file for a physical address, checking with the RR to obtain and then the account is updated with a physical address in </w:t>
      </w:r>
      <w:r w:rsidR="000942AE" w:rsidRPr="006D5CDF">
        <w:rPr>
          <w:bCs/>
          <w:sz w:val="24"/>
          <w:szCs w:val="24"/>
        </w:rPr>
        <w:t>HTS</w:t>
      </w:r>
      <w:r>
        <w:rPr>
          <w:bCs/>
          <w:sz w:val="24"/>
          <w:szCs w:val="24"/>
        </w:rPr>
        <w:t>.  If we do not have one, a letter is generated and sent to the customer to obtain the physical address which is followed up with a verification letter if applicable.</w:t>
      </w:r>
    </w:p>
    <w:p w14:paraId="311A3D94" w14:textId="345D7E81" w:rsidR="003D216B" w:rsidRPr="00EE28C7" w:rsidRDefault="003D216B" w:rsidP="00C1728B">
      <w:pPr>
        <w:pStyle w:val="Subtitle"/>
        <w:numPr>
          <w:ilvl w:val="0"/>
          <w:numId w:val="39"/>
        </w:numPr>
        <w:jc w:val="both"/>
        <w:rPr>
          <w:b w:val="0"/>
          <w:bCs w:val="0"/>
          <w:sz w:val="24"/>
        </w:rPr>
      </w:pPr>
      <w:r>
        <w:rPr>
          <w:bCs w:val="0"/>
          <w:sz w:val="24"/>
        </w:rPr>
        <w:t>TEFRA Status</w:t>
      </w:r>
      <w:r>
        <w:rPr>
          <w:b w:val="0"/>
          <w:bCs w:val="0"/>
          <w:sz w:val="24"/>
        </w:rPr>
        <w:t xml:space="preserve">:  report shows accounts missing the W-9 or tax ID – all the accounts that show up are ordinarily deleted from the list within a few days when the forms are submitted to </w:t>
      </w:r>
      <w:r w:rsidR="006245AC" w:rsidRPr="00440D97">
        <w:rPr>
          <w:b w:val="0"/>
          <w:bCs w:val="0"/>
          <w:sz w:val="24"/>
        </w:rPr>
        <w:t>HT</w:t>
      </w:r>
      <w:r>
        <w:rPr>
          <w:b w:val="0"/>
          <w:bCs w:val="0"/>
          <w:sz w:val="24"/>
        </w:rPr>
        <w:t>S subsequent</w:t>
      </w:r>
      <w:r>
        <w:rPr>
          <w:bCs w:val="0"/>
          <w:sz w:val="24"/>
        </w:rPr>
        <w:t xml:space="preserve"> </w:t>
      </w:r>
      <w:r>
        <w:rPr>
          <w:b w:val="0"/>
          <w:bCs w:val="0"/>
          <w:sz w:val="24"/>
        </w:rPr>
        <w:t>to opening the account.  This report is monitored daily for any accounts that may continue to stay on the list for proper follow-up and or record retention</w:t>
      </w:r>
      <w:r w:rsidR="00D25529">
        <w:rPr>
          <w:b w:val="0"/>
          <w:bCs w:val="0"/>
          <w:sz w:val="24"/>
        </w:rPr>
        <w:t>.</w:t>
      </w:r>
    </w:p>
    <w:p w14:paraId="56B92A76" w14:textId="01CAE426" w:rsidR="003D216B" w:rsidRDefault="003D216B" w:rsidP="00C1728B">
      <w:pPr>
        <w:pStyle w:val="Subtitle"/>
        <w:numPr>
          <w:ilvl w:val="0"/>
          <w:numId w:val="39"/>
        </w:numPr>
        <w:jc w:val="both"/>
        <w:rPr>
          <w:b w:val="0"/>
          <w:bCs w:val="0"/>
          <w:sz w:val="24"/>
        </w:rPr>
      </w:pPr>
      <w:r w:rsidRPr="00EE28C7">
        <w:rPr>
          <w:bCs w:val="0"/>
          <w:sz w:val="24"/>
        </w:rPr>
        <w:t>AML Trend Report</w:t>
      </w:r>
      <w:r w:rsidRPr="00EE28C7">
        <w:rPr>
          <w:b w:val="0"/>
          <w:bCs w:val="0"/>
          <w:sz w:val="24"/>
        </w:rPr>
        <w:t xml:space="preserve">:  helps to detect certain structuring </w:t>
      </w:r>
      <w:r w:rsidR="004A2FDA" w:rsidRPr="00EE28C7">
        <w:rPr>
          <w:b w:val="0"/>
          <w:bCs w:val="0"/>
          <w:sz w:val="24"/>
        </w:rPr>
        <w:t>scenarios</w:t>
      </w:r>
      <w:r w:rsidRPr="00EE28C7">
        <w:rPr>
          <w:b w:val="0"/>
          <w:bCs w:val="0"/>
          <w:sz w:val="24"/>
        </w:rPr>
        <w:t xml:space="preserve"> which may involve multiple receipts and disbursements over a period of time. The report provides cash activity over three months and links activity to any related accounts.</w:t>
      </w:r>
    </w:p>
    <w:p w14:paraId="189EC696" w14:textId="77777777" w:rsidR="00E23C1F" w:rsidRPr="00151877" w:rsidRDefault="00E23C1F" w:rsidP="00C1728B">
      <w:pPr>
        <w:pStyle w:val="Subtitle"/>
        <w:numPr>
          <w:ilvl w:val="0"/>
          <w:numId w:val="39"/>
        </w:numPr>
        <w:jc w:val="both"/>
        <w:rPr>
          <w:b w:val="0"/>
          <w:bCs w:val="0"/>
          <w:sz w:val="24"/>
        </w:rPr>
      </w:pPr>
      <w:r w:rsidRPr="00151877">
        <w:rPr>
          <w:bCs w:val="0"/>
          <w:sz w:val="24"/>
        </w:rPr>
        <w:t>Red Flags Rule Report</w:t>
      </w:r>
      <w:r w:rsidRPr="00151877">
        <w:rPr>
          <w:b w:val="0"/>
          <w:bCs w:val="0"/>
          <w:sz w:val="24"/>
        </w:rPr>
        <w:t xml:space="preserve">:  </w:t>
      </w:r>
      <w:r w:rsidR="003A6B15" w:rsidRPr="00151877">
        <w:rPr>
          <w:b w:val="0"/>
          <w:bCs w:val="0"/>
          <w:sz w:val="24"/>
        </w:rPr>
        <w:t>Reports items such as:</w:t>
      </w:r>
    </w:p>
    <w:p w14:paraId="1E353A8B" w14:textId="77777777" w:rsidR="003A6B15" w:rsidRPr="00151877" w:rsidRDefault="003A6B15" w:rsidP="003E7B18">
      <w:pPr>
        <w:pStyle w:val="Subtitle"/>
        <w:numPr>
          <w:ilvl w:val="0"/>
          <w:numId w:val="273"/>
        </w:numPr>
        <w:jc w:val="both"/>
        <w:rPr>
          <w:bCs w:val="0"/>
          <w:sz w:val="24"/>
        </w:rPr>
      </w:pPr>
      <w:r w:rsidRPr="00151877">
        <w:rPr>
          <w:b w:val="0"/>
          <w:sz w:val="24"/>
        </w:rPr>
        <w:t xml:space="preserve">Accounts Opened with an Address matching existing Account; </w:t>
      </w:r>
    </w:p>
    <w:p w14:paraId="7B1395FF" w14:textId="77777777" w:rsidR="003A6B15" w:rsidRPr="00151877" w:rsidRDefault="003A6B15" w:rsidP="003E7B18">
      <w:pPr>
        <w:pStyle w:val="Subtitle"/>
        <w:numPr>
          <w:ilvl w:val="0"/>
          <w:numId w:val="273"/>
        </w:numPr>
        <w:jc w:val="both"/>
        <w:rPr>
          <w:bCs w:val="0"/>
          <w:sz w:val="24"/>
        </w:rPr>
      </w:pPr>
      <w:r w:rsidRPr="00151877">
        <w:rPr>
          <w:b w:val="0"/>
          <w:sz w:val="24"/>
        </w:rPr>
        <w:t>Accounts Opened with a Phone Number matching existing Account</w:t>
      </w:r>
      <w:r w:rsidRPr="00151877">
        <w:rPr>
          <w:bCs w:val="0"/>
          <w:sz w:val="24"/>
        </w:rPr>
        <w:t xml:space="preserve">; </w:t>
      </w:r>
      <w:r w:rsidR="00730E86" w:rsidRPr="00151877">
        <w:rPr>
          <w:b w:val="0"/>
          <w:bCs w:val="0"/>
          <w:sz w:val="24"/>
        </w:rPr>
        <w:t>and</w:t>
      </w:r>
    </w:p>
    <w:p w14:paraId="396E5DFC" w14:textId="77777777" w:rsidR="003A6B15" w:rsidRPr="00151877" w:rsidRDefault="00730E86" w:rsidP="003E7B18">
      <w:pPr>
        <w:pStyle w:val="Subtitle"/>
        <w:numPr>
          <w:ilvl w:val="0"/>
          <w:numId w:val="273"/>
        </w:numPr>
        <w:jc w:val="both"/>
        <w:rPr>
          <w:b w:val="0"/>
          <w:bCs w:val="0"/>
          <w:sz w:val="24"/>
        </w:rPr>
      </w:pPr>
      <w:r w:rsidRPr="00151877">
        <w:rPr>
          <w:b w:val="0"/>
          <w:sz w:val="24"/>
        </w:rPr>
        <w:t xml:space="preserve">Accounts Opened with a Taxpayer ID matching existing Account .                               </w:t>
      </w:r>
      <w:r w:rsidR="003A6B15" w:rsidRPr="00151877">
        <w:rPr>
          <w:b w:val="0"/>
          <w:bCs w:val="0"/>
          <w:sz w:val="24"/>
        </w:rPr>
        <w:t xml:space="preserve">                                                                </w:t>
      </w:r>
    </w:p>
    <w:p w14:paraId="5A185A3F" w14:textId="77777777" w:rsidR="00E23C1F" w:rsidRPr="00151877" w:rsidRDefault="00E23C1F" w:rsidP="00C1728B">
      <w:pPr>
        <w:pStyle w:val="Subtitle"/>
        <w:numPr>
          <w:ilvl w:val="0"/>
          <w:numId w:val="39"/>
        </w:numPr>
        <w:jc w:val="both"/>
        <w:rPr>
          <w:b w:val="0"/>
          <w:bCs w:val="0"/>
          <w:sz w:val="24"/>
        </w:rPr>
      </w:pPr>
      <w:r w:rsidRPr="00151877">
        <w:rPr>
          <w:bCs w:val="0"/>
          <w:sz w:val="24"/>
        </w:rPr>
        <w:t>AML Missing Elements</w:t>
      </w:r>
      <w:r w:rsidRPr="00151877">
        <w:rPr>
          <w:b w:val="0"/>
          <w:bCs w:val="0"/>
          <w:sz w:val="24"/>
        </w:rPr>
        <w:t>:  Reports other missing items (other than Physical Address – i.e. missing name, tax id, dob).</w:t>
      </w:r>
    </w:p>
    <w:p w14:paraId="734B0A96" w14:textId="77777777" w:rsidR="003D216B" w:rsidRDefault="003D216B" w:rsidP="003D216B">
      <w:pPr>
        <w:jc w:val="both"/>
        <w:rPr>
          <w:sz w:val="24"/>
          <w:szCs w:val="24"/>
        </w:rPr>
      </w:pPr>
    </w:p>
    <w:p w14:paraId="20E20552" w14:textId="77777777" w:rsidR="003D216B" w:rsidRDefault="003D216B" w:rsidP="00A32F62">
      <w:pPr>
        <w:ind w:left="270"/>
        <w:jc w:val="both"/>
        <w:rPr>
          <w:sz w:val="24"/>
        </w:rPr>
      </w:pPr>
      <w:r>
        <w:rPr>
          <w:sz w:val="24"/>
        </w:rPr>
        <w:t xml:space="preserve">If the Company detects any red flag, </w:t>
      </w:r>
      <w:r w:rsidR="00FC71A3">
        <w:rPr>
          <w:sz w:val="24"/>
        </w:rPr>
        <w:t>it</w:t>
      </w:r>
      <w:r>
        <w:rPr>
          <w:sz w:val="24"/>
        </w:rPr>
        <w:t xml:space="preserve"> will investigate further under the direction of the AML Compliance Officer. This may include gathering additional information internally or from third party sources, contacting the government, freezing the account, and filing a SAR.</w:t>
      </w:r>
    </w:p>
    <w:p w14:paraId="19F2D2C3" w14:textId="77777777" w:rsidR="003D216B" w:rsidRDefault="003D216B" w:rsidP="00A32F62">
      <w:pPr>
        <w:ind w:left="270"/>
        <w:rPr>
          <w:sz w:val="24"/>
        </w:rPr>
      </w:pPr>
    </w:p>
    <w:p w14:paraId="138C509E" w14:textId="77777777" w:rsidR="003D216B" w:rsidRDefault="003D216B" w:rsidP="00A32F62">
      <w:pPr>
        <w:ind w:left="270"/>
        <w:jc w:val="both"/>
        <w:rPr>
          <w:sz w:val="24"/>
        </w:rPr>
      </w:pPr>
      <w:r>
        <w:rPr>
          <w:sz w:val="24"/>
        </w:rPr>
        <w:t xml:space="preserve">If a registered representative is uncomfortable with a transaction, he/she should report it to Morris Monroe.  Any account designated as suspicious will be frozen by contacting </w:t>
      </w:r>
      <w:r w:rsidR="006245AC" w:rsidRPr="00BE01FA">
        <w:rPr>
          <w:sz w:val="24"/>
        </w:rPr>
        <w:t>HTS</w:t>
      </w:r>
      <w:r w:rsidRPr="00BE01FA">
        <w:rPr>
          <w:sz w:val="24"/>
        </w:rPr>
        <w:t xml:space="preserve"> </w:t>
      </w:r>
      <w:r>
        <w:rPr>
          <w:sz w:val="24"/>
        </w:rPr>
        <w:t xml:space="preserve"> Cashiering Department via email at </w:t>
      </w:r>
      <w:hyperlink r:id="rId46" w:history="1">
        <w:r w:rsidR="00FF1BD2" w:rsidRPr="002F501D">
          <w:rPr>
            <w:rStyle w:val="Hyperlink"/>
            <w:sz w:val="24"/>
          </w:rPr>
          <w:t>credit@hilltopsecurities.com</w:t>
        </w:r>
      </w:hyperlink>
      <w:r>
        <w:rPr>
          <w:sz w:val="24"/>
        </w:rPr>
        <w:t xml:space="preserve"> </w:t>
      </w:r>
      <w:r w:rsidRPr="006245AC">
        <w:rPr>
          <w:sz w:val="24"/>
        </w:rPr>
        <w:t xml:space="preserve">to </w:t>
      </w:r>
      <w:r>
        <w:rPr>
          <w:sz w:val="24"/>
        </w:rPr>
        <w:t>freeze the account.  This will be followed by a telephone call to (214) 651-1800 to confirm instructions and completion.   Further transactions are prohibited pending investigation and further notice.</w:t>
      </w:r>
    </w:p>
    <w:p w14:paraId="08FD85B5" w14:textId="77777777" w:rsidR="003D216B" w:rsidRDefault="003D216B" w:rsidP="003D216B">
      <w:pPr>
        <w:jc w:val="both"/>
        <w:rPr>
          <w:b/>
          <w:bCs/>
          <w:sz w:val="24"/>
        </w:rPr>
      </w:pPr>
    </w:p>
    <w:p w14:paraId="00FF2F19" w14:textId="77777777" w:rsidR="003D216B" w:rsidRDefault="00A32F62" w:rsidP="001A7509">
      <w:pPr>
        <w:pStyle w:val="Heading3"/>
      </w:pPr>
      <w:r>
        <w:t>7.</w:t>
      </w:r>
      <w:r w:rsidR="00C52626">
        <w:t>6</w:t>
      </w:r>
      <w:r>
        <w:t>.</w:t>
      </w:r>
      <w:r w:rsidR="00E60F67">
        <w:t>7</w:t>
      </w:r>
      <w:r>
        <w:t xml:space="preserve">  </w:t>
      </w:r>
      <w:r w:rsidR="00936FD9">
        <w:t xml:space="preserve"> </w:t>
      </w:r>
      <w:r w:rsidR="003D216B">
        <w:t>Customer Notice</w:t>
      </w:r>
    </w:p>
    <w:p w14:paraId="58BE8A5A" w14:textId="77777777" w:rsidR="003D216B" w:rsidRDefault="003D216B" w:rsidP="00A32F62">
      <w:pPr>
        <w:ind w:left="270"/>
        <w:jc w:val="both"/>
        <w:rPr>
          <w:sz w:val="24"/>
        </w:rPr>
      </w:pPr>
      <w:r>
        <w:rPr>
          <w:sz w:val="24"/>
        </w:rPr>
        <w:t>The Company will provide notice to customers that it is requesting information from them to verify their identities as required by Federal Law.  The Company will post a sign in the lobby of all branches as well as provide either oral or written notice at the time of the account opening process.</w:t>
      </w:r>
    </w:p>
    <w:p w14:paraId="20CE8859" w14:textId="77777777" w:rsidR="003D216B" w:rsidRDefault="003D216B" w:rsidP="003D216B">
      <w:pPr>
        <w:jc w:val="both"/>
        <w:rPr>
          <w:sz w:val="24"/>
        </w:rPr>
      </w:pPr>
    </w:p>
    <w:p w14:paraId="2E51819E" w14:textId="77777777" w:rsidR="003D216B" w:rsidRDefault="00A32F62" w:rsidP="001A7509">
      <w:pPr>
        <w:pStyle w:val="Heading3"/>
      </w:pPr>
      <w:r>
        <w:t>7.</w:t>
      </w:r>
      <w:r w:rsidR="00C52626">
        <w:t>6</w:t>
      </w:r>
      <w:r>
        <w:t>.</w:t>
      </w:r>
      <w:r w:rsidR="00E60F67">
        <w:t>8</w:t>
      </w:r>
      <w:r>
        <w:t xml:space="preserve">  </w:t>
      </w:r>
      <w:r w:rsidR="00936FD9">
        <w:t xml:space="preserve"> </w:t>
      </w:r>
      <w:r w:rsidR="003D216B">
        <w:t>Foreign Correspondent Accounts and Foreign Shell Banks</w:t>
      </w:r>
    </w:p>
    <w:p w14:paraId="07E66896" w14:textId="77777777" w:rsidR="003D216B" w:rsidRDefault="003D216B" w:rsidP="00A32F62">
      <w:pPr>
        <w:ind w:left="270"/>
        <w:jc w:val="both"/>
        <w:rPr>
          <w:i/>
          <w:iCs/>
          <w:sz w:val="24"/>
        </w:rPr>
      </w:pPr>
      <w:r>
        <w:rPr>
          <w:sz w:val="24"/>
        </w:rPr>
        <w:t>The Company does not open or maintain accounts for foreign financial institutions.  However, in the event a foreign account is detected, it will be reported to Morris Monroe immediately, who will terminate any verified correspondent account in the United States for an unregulated foreign shell bank and determine if a SAR should be filed.  We will also terminate any correspondent account that we have determined is not maintained by an unregulated foreign shell bank but is being used to provide services to such a shell bank.  We will exercise caution regarding liquidating positions in such accounts and take reasonable steps to ensure that no new positions are established in these accounts during the termination period.  We will terminate any correspondent account for which we have not obtained the information described in Appendix A of the proposed regulations regarding shell banks within the time periods specified in those regulations (</w:t>
      </w:r>
      <w:r>
        <w:rPr>
          <w:i/>
          <w:iCs/>
          <w:sz w:val="24"/>
          <w:u w:val="single"/>
        </w:rPr>
        <w:t>Rules</w:t>
      </w:r>
      <w:r>
        <w:rPr>
          <w:i/>
          <w:iCs/>
          <w:sz w:val="24"/>
        </w:rPr>
        <w:t xml:space="preserve">: </w:t>
      </w:r>
      <w:r w:rsidRPr="001E23AB">
        <w:rPr>
          <w:i/>
          <w:iCs/>
          <w:sz w:val="24"/>
        </w:rPr>
        <w:t xml:space="preserve">FINRA </w:t>
      </w:r>
      <w:r>
        <w:rPr>
          <w:i/>
          <w:iCs/>
          <w:sz w:val="24"/>
        </w:rPr>
        <w:t>Rule 3</w:t>
      </w:r>
      <w:r w:rsidR="003A0341">
        <w:rPr>
          <w:i/>
          <w:iCs/>
          <w:sz w:val="24"/>
        </w:rPr>
        <w:t>31</w:t>
      </w:r>
      <w:r>
        <w:rPr>
          <w:i/>
          <w:iCs/>
          <w:sz w:val="24"/>
        </w:rPr>
        <w:t>0; Section 313 of the PATRIOT Act; 31 C.F.R. §§104.10 et seq. (proposed regulations).</w:t>
      </w:r>
    </w:p>
    <w:p w14:paraId="2D470255" w14:textId="77777777" w:rsidR="003D216B" w:rsidRDefault="003D216B" w:rsidP="00A32F62">
      <w:pPr>
        <w:pStyle w:val="BodyText2"/>
        <w:widowControl/>
        <w:ind w:left="270"/>
        <w:jc w:val="both"/>
        <w:rPr>
          <w:b/>
          <w:bCs/>
        </w:rPr>
      </w:pPr>
    </w:p>
    <w:p w14:paraId="1831476E" w14:textId="77777777" w:rsidR="003D216B" w:rsidRDefault="00A32F62" w:rsidP="001A7509">
      <w:pPr>
        <w:pStyle w:val="Heading3"/>
      </w:pPr>
      <w:r>
        <w:t>7.</w:t>
      </w:r>
      <w:r w:rsidR="00C52626">
        <w:t>6</w:t>
      </w:r>
      <w:r>
        <w:t>.</w:t>
      </w:r>
      <w:r w:rsidR="00E60F67">
        <w:t>9</w:t>
      </w:r>
      <w:r>
        <w:t xml:space="preserve">  </w:t>
      </w:r>
      <w:r w:rsidR="00936FD9">
        <w:t xml:space="preserve"> </w:t>
      </w:r>
      <w:r w:rsidR="003D216B">
        <w:t>Private Banking Accounts/Foreign Officials</w:t>
      </w:r>
    </w:p>
    <w:p w14:paraId="358E048E" w14:textId="77777777" w:rsidR="003D216B" w:rsidRDefault="003D216B" w:rsidP="00A32F62">
      <w:pPr>
        <w:pStyle w:val="BodyText2"/>
        <w:widowControl/>
        <w:ind w:left="270"/>
        <w:jc w:val="both"/>
      </w:pPr>
      <w:r>
        <w:t xml:space="preserve">A "private banking" account is an account that requires a minimum deposit of $1,000,000, is established for one or more individuals, and is assigned to or administered or managed by, in whole or in part, an officer, employee, or agent of a financial institution acting as a liaison between the financial institution and the direct or beneficial owner of the account.  </w:t>
      </w:r>
    </w:p>
    <w:p w14:paraId="24517AE7" w14:textId="77777777" w:rsidR="003D216B" w:rsidRDefault="003D216B" w:rsidP="00A32F62">
      <w:pPr>
        <w:ind w:left="270"/>
        <w:jc w:val="both"/>
        <w:rPr>
          <w:sz w:val="24"/>
        </w:rPr>
      </w:pPr>
    </w:p>
    <w:p w14:paraId="64E4B60D" w14:textId="77777777" w:rsidR="003D216B" w:rsidRDefault="003D216B" w:rsidP="00A32F62">
      <w:pPr>
        <w:pStyle w:val="BodyText2"/>
        <w:widowControl/>
        <w:ind w:left="270"/>
        <w:jc w:val="both"/>
      </w:pPr>
      <w:r>
        <w:t>The Company does not open or maintain private banking accounts or foreign official accounts.  However, we will review our accounts to determine whether we offer any "private banking" accounts and we will conduct due diligence on such accounts.   This due diligence will include, at least, (1) ascertaining the identity of all nominal holders and holders of any beneficial ownership interest in the account (including information on those holders' lines of business and sources of wealth); (2) ascertaining the source of funds deposited into the account; (3) ascertaining whether any such holder may be a senior foreign political figure; and (4) reporting, in accordance with applicable law and regulation, any known or suspected violation of law conducted through or involving the account.   Any private banking or foreign official account detected will be reported to Morris Monroe who will determine to not open the account, suspend the transaction activity, file a SAR, or close the account.</w:t>
      </w:r>
    </w:p>
    <w:p w14:paraId="3528EB29" w14:textId="77777777" w:rsidR="00165481" w:rsidRDefault="00165481" w:rsidP="00A32F62">
      <w:pPr>
        <w:pStyle w:val="BodyText2"/>
        <w:widowControl/>
        <w:ind w:left="270"/>
        <w:jc w:val="both"/>
      </w:pPr>
    </w:p>
    <w:p w14:paraId="7DD266F2" w14:textId="77777777" w:rsidR="00165481" w:rsidRDefault="00165481" w:rsidP="00165481">
      <w:pPr>
        <w:pStyle w:val="Heading3"/>
      </w:pPr>
      <w:r>
        <w:t>7.6.10 Investment Advisor Accounts</w:t>
      </w:r>
    </w:p>
    <w:p w14:paraId="0BC45711" w14:textId="6B040BA7" w:rsidR="00165481" w:rsidRPr="009F1432" w:rsidRDefault="00165481" w:rsidP="00165481">
      <w:pPr>
        <w:ind w:left="270"/>
        <w:rPr>
          <w:sz w:val="24"/>
          <w:szCs w:val="24"/>
        </w:rPr>
      </w:pPr>
      <w:r w:rsidRPr="009F1432">
        <w:rPr>
          <w:sz w:val="24"/>
          <w:szCs w:val="24"/>
        </w:rPr>
        <w:t xml:space="preserve">Company may rely on </w:t>
      </w:r>
      <w:r w:rsidR="0016248B" w:rsidRPr="0016248B">
        <w:rPr>
          <w:color w:val="FF0000"/>
          <w:sz w:val="24"/>
          <w:szCs w:val="24"/>
        </w:rPr>
        <w:t>RIA</w:t>
      </w:r>
      <w:r w:rsidRPr="009F1432">
        <w:rPr>
          <w:sz w:val="24"/>
          <w:szCs w:val="24"/>
        </w:rPr>
        <w:t xml:space="preserve">, an SEC registered investment advisor to satisfy CIP requirements for </w:t>
      </w:r>
      <w:r w:rsidR="0016248B" w:rsidRPr="0016248B">
        <w:rPr>
          <w:color w:val="FF0000"/>
          <w:sz w:val="24"/>
          <w:szCs w:val="24"/>
        </w:rPr>
        <w:t>RIA</w:t>
      </w:r>
      <w:r w:rsidRPr="009F1432">
        <w:rPr>
          <w:sz w:val="24"/>
          <w:szCs w:val="24"/>
        </w:rPr>
        <w:t xml:space="preserve"> accounts through Company as the broker/dealer.  Both companies have similar CIP procedures, share employees</w:t>
      </w:r>
      <w:r w:rsidR="00DA6725">
        <w:rPr>
          <w:sz w:val="24"/>
          <w:szCs w:val="24"/>
        </w:rPr>
        <w:t>,</w:t>
      </w:r>
      <w:r w:rsidRPr="009F1432">
        <w:rPr>
          <w:sz w:val="24"/>
          <w:szCs w:val="24"/>
        </w:rPr>
        <w:t xml:space="preserve"> and access to documentation.  Any suspicious activity would be shared between companies.    </w:t>
      </w:r>
    </w:p>
    <w:p w14:paraId="064CD21D" w14:textId="77777777" w:rsidR="00B235A8" w:rsidRPr="009F1432" w:rsidRDefault="00B235A8" w:rsidP="00A32F62">
      <w:pPr>
        <w:pStyle w:val="BodyText2"/>
        <w:widowControl/>
        <w:ind w:left="270"/>
        <w:jc w:val="both"/>
      </w:pPr>
    </w:p>
    <w:p w14:paraId="4C255915" w14:textId="77777777" w:rsidR="00B235A8" w:rsidRDefault="00B235A8" w:rsidP="00B933F5">
      <w:pPr>
        <w:pStyle w:val="Heading3"/>
        <w:ind w:left="274"/>
      </w:pPr>
      <w:r>
        <w:t>7.6.1</w:t>
      </w:r>
      <w:r w:rsidR="0033264C">
        <w:t>1</w:t>
      </w:r>
      <w:r>
        <w:t xml:space="preserve"> Risk Factors</w:t>
      </w:r>
    </w:p>
    <w:p w14:paraId="4FD75D75" w14:textId="77777777" w:rsidR="00B933F5" w:rsidRPr="00472765" w:rsidRDefault="00B933F5" w:rsidP="00B933F5">
      <w:pPr>
        <w:ind w:left="274"/>
        <w:rPr>
          <w:sz w:val="24"/>
          <w:szCs w:val="24"/>
        </w:rPr>
      </w:pPr>
      <w:r w:rsidRPr="00472765">
        <w:rPr>
          <w:sz w:val="24"/>
          <w:szCs w:val="24"/>
        </w:rPr>
        <w:t xml:space="preserve">The following </w:t>
      </w:r>
      <w:r w:rsidR="00492F27">
        <w:rPr>
          <w:sz w:val="24"/>
          <w:szCs w:val="24"/>
        </w:rPr>
        <w:t>provide further</w:t>
      </w:r>
      <w:r w:rsidRPr="00472765">
        <w:rPr>
          <w:sz w:val="24"/>
          <w:szCs w:val="24"/>
        </w:rPr>
        <w:t xml:space="preserve"> examples of risk indicators (red flags) that may suggest potential money laundering.</w:t>
      </w:r>
    </w:p>
    <w:p w14:paraId="142941C0" w14:textId="77777777" w:rsidR="00B933F5" w:rsidRPr="00472765" w:rsidRDefault="00B933F5" w:rsidP="00B933F5">
      <w:pPr>
        <w:rPr>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272"/>
      </w:tblGrid>
      <w:tr w:rsidR="00B933F5" w:rsidRPr="00472765" w14:paraId="6A0D3A46" w14:textId="77777777" w:rsidTr="00492F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0DCC19FA" w14:textId="77777777" w:rsidR="00B933F5" w:rsidRPr="00472765" w:rsidRDefault="00B933F5" w:rsidP="00B933F5">
            <w:pPr>
              <w:rPr>
                <w:sz w:val="24"/>
                <w:szCs w:val="24"/>
              </w:rPr>
            </w:pPr>
            <w:r w:rsidRPr="00472765">
              <w:rPr>
                <w:b/>
                <w:bCs/>
                <w:i/>
                <w:iCs/>
                <w:sz w:val="24"/>
                <w:szCs w:val="24"/>
              </w:rPr>
              <w:lastRenderedPageBreak/>
              <w:t>Customer accounts (opening, other activities related to establishing accounts)</w:t>
            </w:r>
          </w:p>
        </w:tc>
      </w:tr>
      <w:tr w:rsidR="00B933F5" w:rsidRPr="00472765" w14:paraId="3B3CA4DF"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180F3" w14:textId="77777777" w:rsidR="00B933F5" w:rsidRPr="00472765" w:rsidRDefault="00B933F5" w:rsidP="0033264C">
            <w:pPr>
              <w:rPr>
                <w:sz w:val="24"/>
                <w:szCs w:val="24"/>
              </w:rPr>
            </w:pPr>
            <w:r w:rsidRPr="00472765">
              <w:rPr>
                <w:sz w:val="24"/>
                <w:szCs w:val="24"/>
              </w:rPr>
              <w:t xml:space="preserve">The customer exhibits unusual concern regarding </w:t>
            </w:r>
            <w:r w:rsidR="0033264C">
              <w:rPr>
                <w:sz w:val="24"/>
                <w:szCs w:val="24"/>
              </w:rPr>
              <w:t>Company</w:t>
            </w:r>
            <w:r w:rsidRPr="00472765">
              <w:rPr>
                <w:sz w:val="24"/>
                <w:szCs w:val="24"/>
              </w:rPr>
              <w:t xml:space="preserve">'s compliance with government reporting requirements and </w:t>
            </w:r>
            <w:r w:rsidR="0033264C">
              <w:rPr>
                <w:sz w:val="24"/>
                <w:szCs w:val="24"/>
              </w:rPr>
              <w:t>the Company’s</w:t>
            </w:r>
            <w:r w:rsidRPr="00472765">
              <w:rPr>
                <w:sz w:val="24"/>
                <w:szCs w:val="24"/>
              </w:rPr>
              <w:t xml:space="preserve"> AML policies, particularly with respect to his or her identity, type of business and assets, or is reluctant or refuses to reveal any information concerning business </w:t>
            </w:r>
            <w:r w:rsidR="00B71D19" w:rsidRPr="00472765">
              <w:rPr>
                <w:sz w:val="24"/>
                <w:szCs w:val="24"/>
              </w:rPr>
              <w:t>activities or</w:t>
            </w:r>
            <w:r w:rsidRPr="00472765">
              <w:rPr>
                <w:sz w:val="24"/>
                <w:szCs w:val="24"/>
              </w:rPr>
              <w:t xml:space="preserve"> furnishes unusual or suspect identification or business documents.</w:t>
            </w:r>
          </w:p>
        </w:tc>
      </w:tr>
      <w:tr w:rsidR="00B933F5" w:rsidRPr="00472765" w14:paraId="7D043205"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DDA80" w14:textId="77777777" w:rsidR="00B933F5" w:rsidRPr="00472765" w:rsidRDefault="00B933F5" w:rsidP="00B933F5">
            <w:pPr>
              <w:rPr>
                <w:sz w:val="24"/>
                <w:szCs w:val="24"/>
              </w:rPr>
            </w:pPr>
            <w:r w:rsidRPr="00472765">
              <w:rPr>
                <w:sz w:val="24"/>
                <w:szCs w:val="24"/>
              </w:rPr>
              <w:t>The customer is reluctant to provide complete information about nature and purpose of business, prior banking relationships, anticipated account activity, officers and directors or business location.</w:t>
            </w:r>
          </w:p>
        </w:tc>
      </w:tr>
      <w:tr w:rsidR="00B933F5" w:rsidRPr="00472765" w14:paraId="0699AC66"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FDBA2" w14:textId="77777777" w:rsidR="00B933F5" w:rsidRPr="00472765" w:rsidRDefault="00B933F5" w:rsidP="00B933F5">
            <w:pPr>
              <w:rPr>
                <w:sz w:val="24"/>
                <w:szCs w:val="24"/>
              </w:rPr>
            </w:pPr>
            <w:r w:rsidRPr="00472765">
              <w:rPr>
                <w:sz w:val="24"/>
                <w:szCs w:val="24"/>
              </w:rPr>
              <w:t>The customer's background is questionable or differs from expectations based on business activities.</w:t>
            </w:r>
          </w:p>
        </w:tc>
      </w:tr>
      <w:tr w:rsidR="00B933F5" w:rsidRPr="00472765" w14:paraId="1129F8A9" w14:textId="77777777" w:rsidTr="00B933F5">
        <w:trPr>
          <w:trHeight w:val="2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770AA" w14:textId="77777777" w:rsidR="00B933F5" w:rsidRPr="00472765" w:rsidRDefault="00B933F5" w:rsidP="00B933F5">
            <w:pPr>
              <w:rPr>
                <w:sz w:val="24"/>
                <w:szCs w:val="24"/>
              </w:rPr>
            </w:pPr>
            <w:r w:rsidRPr="00472765">
              <w:rPr>
                <w:sz w:val="24"/>
                <w:szCs w:val="24"/>
              </w:rPr>
              <w:t>The information provided by the customer that identifies a legitimate source for funds is false, misleading, or substantially incorrect or refuses to provide information.</w:t>
            </w:r>
          </w:p>
        </w:tc>
      </w:tr>
      <w:tr w:rsidR="00B933F5" w:rsidRPr="00472765" w14:paraId="1C77F0F8"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52923" w14:textId="77777777" w:rsidR="00B933F5" w:rsidRPr="00472765" w:rsidRDefault="00B933F5" w:rsidP="00B933F5">
            <w:pPr>
              <w:rPr>
                <w:sz w:val="24"/>
                <w:szCs w:val="24"/>
              </w:rPr>
            </w:pPr>
            <w:r w:rsidRPr="00472765">
              <w:rPr>
                <w:sz w:val="24"/>
                <w:szCs w:val="24"/>
              </w:rPr>
              <w:t>The customer (or a person publicly associated with the customer) has a questionable background or is the subject of news reports indicating possible criminal, civil, or regulatory violations.</w:t>
            </w:r>
          </w:p>
        </w:tc>
      </w:tr>
      <w:tr w:rsidR="00B933F5" w:rsidRPr="00472765" w14:paraId="5AF8F9BC"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6417FC" w14:textId="77777777" w:rsidR="00B933F5" w:rsidRPr="00472765" w:rsidRDefault="00B933F5" w:rsidP="00B933F5">
            <w:pPr>
              <w:rPr>
                <w:sz w:val="24"/>
                <w:szCs w:val="24"/>
              </w:rPr>
            </w:pPr>
            <w:r w:rsidRPr="00472765">
              <w:rPr>
                <w:sz w:val="24"/>
                <w:szCs w:val="24"/>
              </w:rPr>
              <w:t>The customer appears to be acting as an agent for an undisclosed principal, but declines or is reluctant, without legitimate commercial reasons, to provide information or is otherwise evasive regarding that person or entity.</w:t>
            </w:r>
          </w:p>
        </w:tc>
      </w:tr>
      <w:tr w:rsidR="00B933F5" w:rsidRPr="00472765" w14:paraId="14811BA4"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17D50" w14:textId="77777777" w:rsidR="00B933F5" w:rsidRPr="00472765" w:rsidRDefault="00B933F5" w:rsidP="00B933F5">
            <w:pPr>
              <w:rPr>
                <w:sz w:val="24"/>
                <w:szCs w:val="24"/>
              </w:rPr>
            </w:pPr>
            <w:r w:rsidRPr="00472765">
              <w:rPr>
                <w:sz w:val="24"/>
                <w:szCs w:val="24"/>
              </w:rPr>
              <w:t>The customer has difficulty describing the nature of his or her business or lacks general knowledge of his or her industry.</w:t>
            </w:r>
          </w:p>
        </w:tc>
      </w:tr>
      <w:tr w:rsidR="00B933F5" w:rsidRPr="00472765" w14:paraId="0EB6112B"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E112F" w14:textId="77777777" w:rsidR="00B933F5" w:rsidRPr="00472765" w:rsidRDefault="00B933F5" w:rsidP="00B933F5">
            <w:pPr>
              <w:rPr>
                <w:sz w:val="24"/>
                <w:szCs w:val="24"/>
              </w:rPr>
            </w:pPr>
            <w:r w:rsidRPr="00472765">
              <w:rPr>
                <w:sz w:val="24"/>
                <w:szCs w:val="24"/>
              </w:rPr>
              <w:t>The customer is from, or has accounts in, a country identified as a non-cooperative country or territory by the Financial Action Task Force (FATF).</w:t>
            </w:r>
          </w:p>
        </w:tc>
      </w:tr>
      <w:tr w:rsidR="00B933F5" w:rsidRPr="00472765" w14:paraId="6ED83CB1"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D50F8" w14:textId="77777777" w:rsidR="00B933F5" w:rsidRPr="00472765" w:rsidRDefault="00B933F5" w:rsidP="00436C98">
            <w:pPr>
              <w:rPr>
                <w:sz w:val="24"/>
                <w:szCs w:val="24"/>
              </w:rPr>
            </w:pPr>
            <w:r w:rsidRPr="00472765">
              <w:rPr>
                <w:sz w:val="24"/>
                <w:szCs w:val="24"/>
              </w:rPr>
              <w:t xml:space="preserve">The customer has no discernible reason for using </w:t>
            </w:r>
            <w:r w:rsidR="00436C98">
              <w:rPr>
                <w:sz w:val="24"/>
                <w:szCs w:val="24"/>
              </w:rPr>
              <w:t>the Company</w:t>
            </w:r>
            <w:r w:rsidRPr="00472765">
              <w:rPr>
                <w:sz w:val="24"/>
                <w:szCs w:val="24"/>
              </w:rPr>
              <w:t>'s service.</w:t>
            </w:r>
          </w:p>
        </w:tc>
      </w:tr>
      <w:tr w:rsidR="00B933F5" w:rsidRPr="00472765" w14:paraId="44288AFE" w14:textId="77777777" w:rsidTr="00492F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89D4337" w14:textId="77777777" w:rsidR="00B933F5" w:rsidRPr="00472765" w:rsidRDefault="00B933F5" w:rsidP="00B933F5">
            <w:pPr>
              <w:rPr>
                <w:sz w:val="24"/>
                <w:szCs w:val="24"/>
              </w:rPr>
            </w:pPr>
            <w:r w:rsidRPr="00472765">
              <w:rPr>
                <w:b/>
                <w:bCs/>
                <w:i/>
                <w:iCs/>
                <w:sz w:val="24"/>
                <w:szCs w:val="24"/>
              </w:rPr>
              <w:t>Customer account transactions</w:t>
            </w:r>
          </w:p>
        </w:tc>
      </w:tr>
      <w:tr w:rsidR="00B933F5" w:rsidRPr="00472765" w14:paraId="73810084"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90F68" w14:textId="77777777" w:rsidR="00B933F5" w:rsidRPr="00472765" w:rsidRDefault="00B933F5" w:rsidP="00B933F5">
            <w:pPr>
              <w:rPr>
                <w:sz w:val="24"/>
                <w:szCs w:val="24"/>
              </w:rPr>
            </w:pPr>
            <w:r w:rsidRPr="00472765">
              <w:rPr>
                <w:sz w:val="24"/>
                <w:szCs w:val="24"/>
              </w:rPr>
              <w:t>The customer exhibits a lack of concern regarding risks, commissions, or other transaction costs.</w:t>
            </w:r>
          </w:p>
        </w:tc>
      </w:tr>
      <w:tr w:rsidR="00B933F5" w:rsidRPr="00472765" w14:paraId="3CB5E92A"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FDABD5" w14:textId="77777777" w:rsidR="00B933F5" w:rsidRPr="00472765" w:rsidRDefault="00B933F5" w:rsidP="00B933F5">
            <w:pPr>
              <w:rPr>
                <w:sz w:val="24"/>
                <w:szCs w:val="24"/>
              </w:rPr>
            </w:pPr>
            <w:r w:rsidRPr="00472765">
              <w:rPr>
                <w:sz w:val="24"/>
                <w:szCs w:val="24"/>
              </w:rPr>
              <w:t>The customer wishes to engage in transactions that lack business sense or apparent investment strategy or that are inconsistent with the customer's stated business strategy.</w:t>
            </w:r>
          </w:p>
        </w:tc>
      </w:tr>
      <w:tr w:rsidR="00B933F5" w:rsidRPr="00472765" w14:paraId="161161A1"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EC17B" w14:textId="77777777" w:rsidR="00B933F5" w:rsidRPr="00472765" w:rsidRDefault="00B933F5" w:rsidP="00B933F5">
            <w:pPr>
              <w:rPr>
                <w:sz w:val="24"/>
                <w:szCs w:val="24"/>
              </w:rPr>
            </w:pPr>
            <w:r w:rsidRPr="00472765">
              <w:rPr>
                <w:sz w:val="24"/>
                <w:szCs w:val="24"/>
              </w:rPr>
              <w:t>The customer engages in suspicious activity involving the practice of depositing penny stocks, liquidates them, and wires proceeds. A request to liquidate shares may also represent engaging in an unregistered distribution of penny stocks which may also be a red flag. [FINRA Regulatory Notice 09-05]</w:t>
            </w:r>
          </w:p>
        </w:tc>
      </w:tr>
      <w:tr w:rsidR="00B933F5" w:rsidRPr="00472765" w14:paraId="781DAEC4"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B1E14" w14:textId="77777777" w:rsidR="00B933F5" w:rsidRPr="00472765" w:rsidRDefault="00B933F5" w:rsidP="00B933F5">
            <w:pPr>
              <w:rPr>
                <w:sz w:val="24"/>
                <w:szCs w:val="24"/>
              </w:rPr>
            </w:pPr>
            <w:r w:rsidRPr="00472765">
              <w:rPr>
                <w:sz w:val="24"/>
                <w:szCs w:val="24"/>
              </w:rPr>
              <w:t xml:space="preserve">The customer attempts to make frequent or large deposits of currency, insists on dealing only in cash equivalents, or asks for exemptions from </w:t>
            </w:r>
            <w:r w:rsidR="00436C98">
              <w:rPr>
                <w:sz w:val="24"/>
                <w:szCs w:val="24"/>
              </w:rPr>
              <w:t>the Company</w:t>
            </w:r>
            <w:r w:rsidR="00436C98" w:rsidRPr="00472765">
              <w:rPr>
                <w:sz w:val="24"/>
                <w:szCs w:val="24"/>
              </w:rPr>
              <w:t xml:space="preserve">'s </w:t>
            </w:r>
            <w:r w:rsidRPr="00472765">
              <w:rPr>
                <w:sz w:val="24"/>
                <w:szCs w:val="24"/>
              </w:rPr>
              <w:t>policies relating to the deposit of cash and cash equivalents.</w:t>
            </w:r>
          </w:p>
        </w:tc>
      </w:tr>
      <w:tr w:rsidR="00B933F5" w:rsidRPr="00472765" w14:paraId="4F755BE8"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69CAD" w14:textId="77777777" w:rsidR="00B933F5" w:rsidRPr="00472765" w:rsidRDefault="00B933F5" w:rsidP="00B933F5">
            <w:pPr>
              <w:rPr>
                <w:sz w:val="24"/>
                <w:szCs w:val="24"/>
              </w:rPr>
            </w:pPr>
            <w:r w:rsidRPr="00472765">
              <w:rPr>
                <w:sz w:val="24"/>
                <w:szCs w:val="24"/>
              </w:rPr>
              <w:t>The customer engages in transactions involving cash or cash equivalents or other monetary instruments that appear to be structured to avoid the $10,000 government reporting requirements, especially if the cash or monetary instruments are in an amount just below reporting or recording thresholds.</w:t>
            </w:r>
          </w:p>
        </w:tc>
      </w:tr>
      <w:tr w:rsidR="00B933F5" w:rsidRPr="00472765" w14:paraId="7C69CA4C"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3C2EC" w14:textId="77777777" w:rsidR="00B933F5" w:rsidRPr="00472765" w:rsidRDefault="00B933F5" w:rsidP="00B933F5">
            <w:pPr>
              <w:rPr>
                <w:sz w:val="24"/>
                <w:szCs w:val="24"/>
              </w:rPr>
            </w:pPr>
            <w:r w:rsidRPr="00472765">
              <w:rPr>
                <w:sz w:val="24"/>
                <w:szCs w:val="24"/>
              </w:rPr>
              <w:lastRenderedPageBreak/>
              <w:t>For no apparent business purpose or other reason, the customer has multiple accounts under a single name or multiple names (including family members or corporate entities); there may be a large number of inter-account or third-party transfers.</w:t>
            </w:r>
          </w:p>
        </w:tc>
      </w:tr>
      <w:tr w:rsidR="00B933F5" w:rsidRPr="00472765" w14:paraId="0F5C0037"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2BB67" w14:textId="77777777" w:rsidR="00B933F5" w:rsidRPr="00472765" w:rsidRDefault="00B933F5" w:rsidP="00B933F5">
            <w:pPr>
              <w:rPr>
                <w:sz w:val="24"/>
                <w:szCs w:val="24"/>
              </w:rPr>
            </w:pPr>
            <w:r w:rsidRPr="00472765">
              <w:rPr>
                <w:sz w:val="24"/>
                <w:szCs w:val="24"/>
              </w:rPr>
              <w:t xml:space="preserve">The customer's account shows numerous </w:t>
            </w:r>
            <w:r w:rsidR="00B71D19" w:rsidRPr="00472765">
              <w:rPr>
                <w:sz w:val="24"/>
                <w:szCs w:val="24"/>
              </w:rPr>
              <w:t>currencies</w:t>
            </w:r>
            <w:r w:rsidRPr="00472765">
              <w:rPr>
                <w:sz w:val="24"/>
                <w:szCs w:val="24"/>
              </w:rPr>
              <w:t xml:space="preserve"> or </w:t>
            </w:r>
            <w:r w:rsidR="00B71D19" w:rsidRPr="00472765">
              <w:rPr>
                <w:sz w:val="24"/>
                <w:szCs w:val="24"/>
              </w:rPr>
              <w:t>cashier’s</w:t>
            </w:r>
            <w:r w:rsidRPr="00472765">
              <w:rPr>
                <w:sz w:val="24"/>
                <w:szCs w:val="24"/>
              </w:rPr>
              <w:t xml:space="preserve"> check transactions aggregating to significant sums.</w:t>
            </w:r>
          </w:p>
        </w:tc>
      </w:tr>
      <w:tr w:rsidR="00B933F5" w:rsidRPr="00472765" w14:paraId="084617FC"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80EE62" w14:textId="77777777" w:rsidR="00B933F5" w:rsidRPr="00472765" w:rsidRDefault="00B933F5" w:rsidP="00B933F5">
            <w:pPr>
              <w:rPr>
                <w:sz w:val="24"/>
                <w:szCs w:val="24"/>
              </w:rPr>
            </w:pPr>
            <w:r w:rsidRPr="00472765">
              <w:rPr>
                <w:sz w:val="24"/>
                <w:szCs w:val="24"/>
              </w:rPr>
              <w:t xml:space="preserve">The customer requests that a transaction be processed in such a manner to avoid </w:t>
            </w:r>
            <w:r w:rsidR="00A4008A">
              <w:rPr>
                <w:sz w:val="24"/>
                <w:szCs w:val="24"/>
              </w:rPr>
              <w:t>the Company</w:t>
            </w:r>
            <w:r w:rsidR="00A4008A" w:rsidRPr="00472765">
              <w:rPr>
                <w:sz w:val="24"/>
                <w:szCs w:val="24"/>
              </w:rPr>
              <w:t xml:space="preserve">'s </w:t>
            </w:r>
            <w:r w:rsidRPr="00472765">
              <w:rPr>
                <w:sz w:val="24"/>
                <w:szCs w:val="24"/>
              </w:rPr>
              <w:t>normal documentation requirements.</w:t>
            </w:r>
          </w:p>
        </w:tc>
      </w:tr>
      <w:tr w:rsidR="00B933F5" w:rsidRPr="00472765" w14:paraId="5FC570B9"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2C969" w14:textId="77777777" w:rsidR="00B933F5" w:rsidRPr="00472765" w:rsidRDefault="00B933F5" w:rsidP="00B933F5">
            <w:pPr>
              <w:rPr>
                <w:sz w:val="24"/>
                <w:szCs w:val="24"/>
              </w:rPr>
            </w:pPr>
            <w:r w:rsidRPr="00472765">
              <w:rPr>
                <w:sz w:val="24"/>
                <w:szCs w:val="24"/>
              </w:rPr>
              <w:t>The customer's account shows an unexplained high level of account activity with very low levels of securities transactions.</w:t>
            </w:r>
          </w:p>
        </w:tc>
      </w:tr>
      <w:tr w:rsidR="00B933F5" w:rsidRPr="00472765" w14:paraId="0649FE67"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25029" w14:textId="77777777" w:rsidR="00B933F5" w:rsidRPr="00472765" w:rsidRDefault="00B933F5" w:rsidP="00B933F5">
            <w:pPr>
              <w:rPr>
                <w:sz w:val="24"/>
                <w:szCs w:val="24"/>
              </w:rPr>
            </w:pPr>
            <w:r w:rsidRPr="00472765">
              <w:rPr>
                <w:sz w:val="24"/>
                <w:szCs w:val="24"/>
              </w:rPr>
              <w:t>Transactions patterns show a sudden change inconsistent with normal activities.</w:t>
            </w:r>
          </w:p>
        </w:tc>
      </w:tr>
      <w:tr w:rsidR="00B933F5" w:rsidRPr="00472765" w14:paraId="3528BE52"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B17029" w14:textId="77777777" w:rsidR="00B933F5" w:rsidRPr="00472765" w:rsidRDefault="00B933F5" w:rsidP="00B933F5">
            <w:pPr>
              <w:rPr>
                <w:sz w:val="24"/>
                <w:szCs w:val="24"/>
              </w:rPr>
            </w:pPr>
            <w:r w:rsidRPr="00472765">
              <w:rPr>
                <w:sz w:val="24"/>
                <w:szCs w:val="24"/>
              </w:rPr>
              <w:t xml:space="preserve">The customer engages in prearranged or other non-competitive trading, including wash or cross trades of illiquid securities. </w:t>
            </w:r>
          </w:p>
        </w:tc>
      </w:tr>
      <w:tr w:rsidR="00B933F5" w:rsidRPr="00472765" w14:paraId="3F4093BE"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A1911" w14:textId="77777777" w:rsidR="00B933F5" w:rsidRPr="00472765" w:rsidRDefault="00B933F5" w:rsidP="00B933F5">
            <w:pPr>
              <w:rPr>
                <w:sz w:val="24"/>
                <w:szCs w:val="24"/>
              </w:rPr>
            </w:pPr>
            <w:r w:rsidRPr="00472765">
              <w:rPr>
                <w:sz w:val="24"/>
                <w:szCs w:val="24"/>
              </w:rPr>
              <w:t>Two or more accounts trade an illiquid stock suddenly and simultaneously.</w:t>
            </w:r>
          </w:p>
        </w:tc>
      </w:tr>
      <w:tr w:rsidR="00B933F5" w:rsidRPr="00472765" w14:paraId="1D0A76CE"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0AF86" w14:textId="77777777" w:rsidR="00B933F5" w:rsidRPr="00472765" w:rsidRDefault="00B933F5" w:rsidP="00B933F5">
            <w:pPr>
              <w:rPr>
                <w:sz w:val="24"/>
                <w:szCs w:val="24"/>
              </w:rPr>
            </w:pPr>
            <w:r w:rsidRPr="00472765">
              <w:rPr>
                <w:sz w:val="24"/>
                <w:szCs w:val="24"/>
              </w:rPr>
              <w:t>The customer has opened multiple accounts with the same beneficial owners or controlling parties for no apparent business reason.</w:t>
            </w:r>
          </w:p>
        </w:tc>
      </w:tr>
      <w:tr w:rsidR="00B933F5" w:rsidRPr="00472765" w14:paraId="069948F0"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C8F7C" w14:textId="77777777" w:rsidR="00B933F5" w:rsidRPr="00472765" w:rsidRDefault="00B933F5" w:rsidP="00B933F5">
            <w:pPr>
              <w:rPr>
                <w:sz w:val="24"/>
                <w:szCs w:val="24"/>
              </w:rPr>
            </w:pPr>
            <w:r w:rsidRPr="00472765">
              <w:rPr>
                <w:sz w:val="24"/>
                <w:szCs w:val="24"/>
              </w:rPr>
              <w:t>Customer transactions include a pattern of receiving stock in physical form or the incoming transfer of shares, selling the position and wiring out proceeds.</w:t>
            </w:r>
          </w:p>
        </w:tc>
      </w:tr>
      <w:tr w:rsidR="00B933F5" w:rsidRPr="00472765" w14:paraId="474C4183"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8FDE34" w14:textId="77777777" w:rsidR="00B933F5" w:rsidRPr="00472765" w:rsidRDefault="00B933F5" w:rsidP="00B933F5">
            <w:pPr>
              <w:rPr>
                <w:sz w:val="24"/>
                <w:szCs w:val="24"/>
              </w:rPr>
            </w:pPr>
            <w:r w:rsidRPr="00472765">
              <w:rPr>
                <w:sz w:val="24"/>
                <w:szCs w:val="24"/>
              </w:rPr>
              <w:t>Customer's trading patterns suggest that he or she may have inside information.</w:t>
            </w:r>
          </w:p>
        </w:tc>
      </w:tr>
      <w:tr w:rsidR="00B933F5" w:rsidRPr="00472765" w14:paraId="10976826"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A2983" w14:textId="77777777" w:rsidR="00B933F5" w:rsidRPr="00472765" w:rsidRDefault="00B933F5" w:rsidP="00B933F5">
            <w:pPr>
              <w:rPr>
                <w:sz w:val="24"/>
                <w:szCs w:val="24"/>
              </w:rPr>
            </w:pPr>
            <w:r w:rsidRPr="00472765">
              <w:rPr>
                <w:sz w:val="24"/>
                <w:szCs w:val="24"/>
              </w:rPr>
              <w:t>The customer, for no apparent reason or in conjunction with other "red flags," engages in transactions involving certain types of securities, such as penny stocks, Regulation "S" (Reg S) stocks, and bearer bonds, which although legitimate, have been used in connection with fraudulent schemes and money laundering activity. (Such transactions may warrant further due diligence to ensure the legitimacy of the customer's activity.)</w:t>
            </w:r>
          </w:p>
        </w:tc>
      </w:tr>
      <w:tr w:rsidR="00B933F5" w:rsidRPr="00472765" w14:paraId="154713FB"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834051" w14:textId="77777777" w:rsidR="00B933F5" w:rsidRPr="00472765" w:rsidRDefault="00B933F5" w:rsidP="00B933F5">
            <w:pPr>
              <w:rPr>
                <w:sz w:val="24"/>
                <w:szCs w:val="24"/>
              </w:rPr>
            </w:pPr>
            <w:r w:rsidRPr="00472765">
              <w:rPr>
                <w:sz w:val="24"/>
                <w:szCs w:val="24"/>
              </w:rPr>
              <w:t>Large numbers of securities transactions across a number of jurisdictions.</w:t>
            </w:r>
          </w:p>
        </w:tc>
      </w:tr>
      <w:tr w:rsidR="00B933F5" w:rsidRPr="00472765" w14:paraId="532CF182"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652A2" w14:textId="77777777" w:rsidR="00B933F5" w:rsidRPr="00472765" w:rsidRDefault="00B933F5" w:rsidP="00B933F5">
            <w:pPr>
              <w:rPr>
                <w:sz w:val="24"/>
                <w:szCs w:val="24"/>
              </w:rPr>
            </w:pPr>
            <w:r w:rsidRPr="00472765">
              <w:rPr>
                <w:sz w:val="24"/>
                <w:szCs w:val="24"/>
              </w:rPr>
              <w:t>Buying and selling securities with no purpose or in unusual circumstances (e.g., churning at customer's request).</w:t>
            </w:r>
          </w:p>
        </w:tc>
      </w:tr>
      <w:tr w:rsidR="00B933F5" w:rsidRPr="00472765" w14:paraId="0F7422E6" w14:textId="77777777" w:rsidTr="00492F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E39EE33" w14:textId="77777777" w:rsidR="00B933F5" w:rsidRPr="00472765" w:rsidRDefault="00B933F5" w:rsidP="00B933F5">
            <w:pPr>
              <w:rPr>
                <w:sz w:val="24"/>
                <w:szCs w:val="24"/>
              </w:rPr>
            </w:pPr>
            <w:r w:rsidRPr="00472765">
              <w:rPr>
                <w:b/>
                <w:bCs/>
                <w:i/>
                <w:iCs/>
                <w:sz w:val="24"/>
                <w:szCs w:val="24"/>
              </w:rPr>
              <w:t>Penny Stock Company Related Transactions</w:t>
            </w:r>
          </w:p>
        </w:tc>
      </w:tr>
      <w:tr w:rsidR="00B933F5" w:rsidRPr="00472765" w14:paraId="3C39AEC8"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B9B82" w14:textId="77777777" w:rsidR="00B933F5" w:rsidRPr="00472765" w:rsidRDefault="00B933F5" w:rsidP="00B933F5">
            <w:pPr>
              <w:rPr>
                <w:sz w:val="24"/>
                <w:szCs w:val="24"/>
              </w:rPr>
            </w:pPr>
            <w:r w:rsidRPr="00472765">
              <w:rPr>
                <w:sz w:val="24"/>
                <w:szCs w:val="24"/>
              </w:rPr>
              <w:t>Company has no business, no revenues and no product.</w:t>
            </w:r>
          </w:p>
        </w:tc>
      </w:tr>
      <w:tr w:rsidR="00B933F5" w:rsidRPr="00472765" w14:paraId="0440D155"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F2FF82" w14:textId="77777777" w:rsidR="00B933F5" w:rsidRPr="00472765" w:rsidRDefault="00B933F5" w:rsidP="00B933F5">
            <w:pPr>
              <w:rPr>
                <w:sz w:val="24"/>
                <w:szCs w:val="24"/>
              </w:rPr>
            </w:pPr>
            <w:r w:rsidRPr="00472765">
              <w:rPr>
                <w:sz w:val="24"/>
                <w:szCs w:val="24"/>
              </w:rPr>
              <w:t>Company has experienced frequent or continuous changes in its business structure.</w:t>
            </w:r>
          </w:p>
        </w:tc>
      </w:tr>
      <w:tr w:rsidR="00B933F5" w:rsidRPr="00472765" w14:paraId="597705BF"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AB58B6" w14:textId="77777777" w:rsidR="00B933F5" w:rsidRPr="00472765" w:rsidRDefault="00B933F5" w:rsidP="00B933F5">
            <w:pPr>
              <w:rPr>
                <w:sz w:val="24"/>
                <w:szCs w:val="24"/>
              </w:rPr>
            </w:pPr>
            <w:r w:rsidRPr="00472765">
              <w:rPr>
                <w:sz w:val="24"/>
                <w:szCs w:val="24"/>
              </w:rPr>
              <w:t>Officers or insiders of the issuer are associated with multiple penny stock issuers.</w:t>
            </w:r>
          </w:p>
        </w:tc>
      </w:tr>
      <w:tr w:rsidR="00B933F5" w:rsidRPr="00472765" w14:paraId="7CFAB9CD"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4631A" w14:textId="77777777" w:rsidR="00B933F5" w:rsidRPr="00472765" w:rsidRDefault="00B933F5" w:rsidP="00B933F5">
            <w:pPr>
              <w:rPr>
                <w:sz w:val="24"/>
                <w:szCs w:val="24"/>
              </w:rPr>
            </w:pPr>
            <w:r w:rsidRPr="00472765">
              <w:rPr>
                <w:sz w:val="24"/>
                <w:szCs w:val="24"/>
              </w:rPr>
              <w:t>Company undergoes frequent material changes in business strategy or its line of business.</w:t>
            </w:r>
          </w:p>
        </w:tc>
      </w:tr>
      <w:tr w:rsidR="00B933F5" w:rsidRPr="00472765" w14:paraId="3BA60220"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6FA1D" w14:textId="77777777" w:rsidR="00B933F5" w:rsidRPr="00472765" w:rsidRDefault="00B933F5" w:rsidP="00B933F5">
            <w:pPr>
              <w:rPr>
                <w:sz w:val="24"/>
                <w:szCs w:val="24"/>
              </w:rPr>
            </w:pPr>
            <w:r w:rsidRPr="00472765">
              <w:rPr>
                <w:sz w:val="24"/>
                <w:szCs w:val="24"/>
              </w:rPr>
              <w:t>Officers or insiders of the issuer have a history of securities violations.</w:t>
            </w:r>
          </w:p>
        </w:tc>
      </w:tr>
      <w:tr w:rsidR="00B933F5" w:rsidRPr="00472765" w14:paraId="73C87387"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C6C6D" w14:textId="77777777" w:rsidR="00B933F5" w:rsidRPr="00472765" w:rsidRDefault="00B933F5" w:rsidP="00B933F5">
            <w:pPr>
              <w:rPr>
                <w:sz w:val="24"/>
                <w:szCs w:val="24"/>
              </w:rPr>
            </w:pPr>
            <w:r w:rsidRPr="00472765">
              <w:rPr>
                <w:sz w:val="24"/>
                <w:szCs w:val="24"/>
              </w:rPr>
              <w:t>Company has not made disclosures in SEC or other regulatory filings.</w:t>
            </w:r>
          </w:p>
        </w:tc>
      </w:tr>
      <w:tr w:rsidR="00B933F5" w:rsidRPr="00472765" w14:paraId="13C74428"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4EB64" w14:textId="77777777" w:rsidR="00B933F5" w:rsidRPr="00472765" w:rsidRDefault="00B933F5" w:rsidP="00B933F5">
            <w:pPr>
              <w:rPr>
                <w:sz w:val="24"/>
                <w:szCs w:val="24"/>
              </w:rPr>
            </w:pPr>
            <w:r w:rsidRPr="00472765">
              <w:rPr>
                <w:sz w:val="24"/>
                <w:szCs w:val="24"/>
              </w:rPr>
              <w:t>Company has been the subject of a prior trading suspension.</w:t>
            </w:r>
          </w:p>
        </w:tc>
      </w:tr>
      <w:tr w:rsidR="00B933F5" w:rsidRPr="00472765" w14:paraId="1898A4A4" w14:textId="77777777" w:rsidTr="00492F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E8E6A80" w14:textId="77777777" w:rsidR="00B933F5" w:rsidRPr="00472765" w:rsidRDefault="00B933F5" w:rsidP="00B933F5">
            <w:pPr>
              <w:rPr>
                <w:sz w:val="24"/>
                <w:szCs w:val="24"/>
              </w:rPr>
            </w:pPr>
            <w:r w:rsidRPr="00472765">
              <w:rPr>
                <w:b/>
                <w:bCs/>
                <w:i/>
                <w:iCs/>
                <w:sz w:val="24"/>
                <w:szCs w:val="24"/>
              </w:rPr>
              <w:t>Customer avoidance of reporting and recordkeeping</w:t>
            </w:r>
          </w:p>
        </w:tc>
      </w:tr>
      <w:tr w:rsidR="00B933F5" w:rsidRPr="00472765" w14:paraId="602F95CE"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F0EFE3" w14:textId="77777777" w:rsidR="00B933F5" w:rsidRPr="00472765" w:rsidRDefault="00B933F5" w:rsidP="00B933F5">
            <w:pPr>
              <w:rPr>
                <w:sz w:val="24"/>
                <w:szCs w:val="24"/>
              </w:rPr>
            </w:pPr>
            <w:r w:rsidRPr="00472765">
              <w:rPr>
                <w:sz w:val="24"/>
                <w:szCs w:val="24"/>
              </w:rPr>
              <w:t>Reluctant to provide information needed to file reports or fails to proceed with transaction.</w:t>
            </w:r>
          </w:p>
        </w:tc>
      </w:tr>
      <w:tr w:rsidR="00B933F5" w:rsidRPr="00472765" w14:paraId="496D8B3E"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2DE79" w14:textId="77777777" w:rsidR="00B933F5" w:rsidRPr="00472765" w:rsidRDefault="00B933F5" w:rsidP="00B933F5">
            <w:pPr>
              <w:rPr>
                <w:sz w:val="24"/>
                <w:szCs w:val="24"/>
              </w:rPr>
            </w:pPr>
            <w:r w:rsidRPr="00472765">
              <w:rPr>
                <w:sz w:val="24"/>
                <w:szCs w:val="24"/>
              </w:rPr>
              <w:t>Tries to persuade an employee not to file required reports or not to maintain required records.</w:t>
            </w:r>
          </w:p>
        </w:tc>
      </w:tr>
      <w:tr w:rsidR="00B933F5" w:rsidRPr="00472765" w14:paraId="77C5B0F4"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3A7B6" w14:textId="77777777" w:rsidR="00B933F5" w:rsidRPr="00472765" w:rsidRDefault="00B933F5" w:rsidP="00B933F5">
            <w:pPr>
              <w:rPr>
                <w:sz w:val="24"/>
                <w:szCs w:val="24"/>
              </w:rPr>
            </w:pPr>
            <w:r w:rsidRPr="00472765">
              <w:rPr>
                <w:sz w:val="24"/>
                <w:szCs w:val="24"/>
              </w:rPr>
              <w:lastRenderedPageBreak/>
              <w:t>"Structures" deposits, withdrawals or purchase of monetary instruments below a certain amount to avoid reporting or recordkeeping requirements.</w:t>
            </w:r>
          </w:p>
        </w:tc>
      </w:tr>
      <w:tr w:rsidR="00B933F5" w:rsidRPr="00472765" w14:paraId="23514041" w14:textId="77777777" w:rsidTr="00492F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622778D" w14:textId="77777777" w:rsidR="00B933F5" w:rsidRPr="00472765" w:rsidRDefault="00B933F5" w:rsidP="00B933F5">
            <w:pPr>
              <w:rPr>
                <w:sz w:val="24"/>
                <w:szCs w:val="24"/>
              </w:rPr>
            </w:pPr>
            <w:r w:rsidRPr="00472765">
              <w:rPr>
                <w:b/>
                <w:bCs/>
                <w:i/>
                <w:iCs/>
                <w:sz w:val="24"/>
                <w:szCs w:val="24"/>
              </w:rPr>
              <w:t>Transactions involving insurance products</w:t>
            </w:r>
          </w:p>
        </w:tc>
      </w:tr>
      <w:tr w:rsidR="00B933F5" w:rsidRPr="00472765" w14:paraId="40DCF070"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1AC3F8" w14:textId="77777777" w:rsidR="00B933F5" w:rsidRPr="00472765" w:rsidRDefault="00B933F5" w:rsidP="00B933F5">
            <w:pPr>
              <w:rPr>
                <w:sz w:val="24"/>
                <w:szCs w:val="24"/>
              </w:rPr>
            </w:pPr>
            <w:r w:rsidRPr="00472765">
              <w:rPr>
                <w:sz w:val="24"/>
                <w:szCs w:val="24"/>
              </w:rPr>
              <w:t>Cancels an insurance contract and directs funds to a third party.</w:t>
            </w:r>
          </w:p>
        </w:tc>
      </w:tr>
      <w:tr w:rsidR="00B933F5" w:rsidRPr="00472765" w14:paraId="75265BE3"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0CF87" w14:textId="77777777" w:rsidR="00B933F5" w:rsidRPr="00472765" w:rsidRDefault="00B933F5" w:rsidP="00B933F5">
            <w:pPr>
              <w:rPr>
                <w:sz w:val="24"/>
                <w:szCs w:val="24"/>
              </w:rPr>
            </w:pPr>
            <w:r w:rsidRPr="00472765">
              <w:rPr>
                <w:sz w:val="24"/>
                <w:szCs w:val="24"/>
              </w:rPr>
              <w:t>Structures withdrawals of funds following deposits of insurance annuity checks signaling an effort to avoid BSA reporting requirements.</w:t>
            </w:r>
          </w:p>
        </w:tc>
      </w:tr>
      <w:tr w:rsidR="00B933F5" w:rsidRPr="00472765" w14:paraId="230907F2"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FF864" w14:textId="77777777" w:rsidR="00B933F5" w:rsidRPr="00472765" w:rsidRDefault="00B933F5" w:rsidP="00B933F5">
            <w:pPr>
              <w:rPr>
                <w:sz w:val="24"/>
                <w:szCs w:val="24"/>
              </w:rPr>
            </w:pPr>
            <w:r w:rsidRPr="00472765">
              <w:rPr>
                <w:sz w:val="24"/>
                <w:szCs w:val="24"/>
              </w:rPr>
              <w:t>Rapidly withdraws funds shortly after a deposit of a large insurance check when the purpose of the fund withdrawal cannot be determined.</w:t>
            </w:r>
          </w:p>
        </w:tc>
      </w:tr>
      <w:tr w:rsidR="00B933F5" w:rsidRPr="00472765" w14:paraId="27609607"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28CCE" w14:textId="77777777" w:rsidR="00B933F5" w:rsidRPr="00472765" w:rsidRDefault="00B933F5" w:rsidP="00B933F5">
            <w:pPr>
              <w:rPr>
                <w:sz w:val="24"/>
                <w:szCs w:val="24"/>
              </w:rPr>
            </w:pPr>
            <w:r w:rsidRPr="00472765">
              <w:rPr>
                <w:sz w:val="24"/>
                <w:szCs w:val="24"/>
              </w:rPr>
              <w:t>Cancels annuity products within the free look period which, although could be legitimate, may signal a method of laundering funds if accompanied with other suspicious indicia.</w:t>
            </w:r>
          </w:p>
        </w:tc>
      </w:tr>
      <w:tr w:rsidR="00B933F5" w:rsidRPr="00472765" w14:paraId="1D7373BD"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684031" w14:textId="77777777" w:rsidR="00B933F5" w:rsidRPr="00472765" w:rsidRDefault="00B933F5" w:rsidP="00B933F5">
            <w:pPr>
              <w:rPr>
                <w:sz w:val="24"/>
                <w:szCs w:val="24"/>
              </w:rPr>
            </w:pPr>
            <w:r w:rsidRPr="00472765">
              <w:rPr>
                <w:sz w:val="24"/>
                <w:szCs w:val="24"/>
              </w:rPr>
              <w:t>Opens and closes accounts with one insurance company then reopens a new account shortly thereafter with the same insurance company, each time with new ownership information.</w:t>
            </w:r>
          </w:p>
        </w:tc>
      </w:tr>
      <w:tr w:rsidR="00B933F5" w:rsidRPr="00472765" w14:paraId="3D6E6F94"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BEEA0" w14:textId="77777777" w:rsidR="00B933F5" w:rsidRPr="00472765" w:rsidRDefault="00B933F5" w:rsidP="00B933F5">
            <w:pPr>
              <w:rPr>
                <w:sz w:val="24"/>
                <w:szCs w:val="24"/>
              </w:rPr>
            </w:pPr>
            <w:r w:rsidRPr="00472765">
              <w:rPr>
                <w:sz w:val="24"/>
                <w:szCs w:val="24"/>
              </w:rPr>
              <w:t>Purchases an insurance product with no concern for investment objective or performance.</w:t>
            </w:r>
          </w:p>
        </w:tc>
      </w:tr>
      <w:tr w:rsidR="00B933F5" w:rsidRPr="00472765" w14:paraId="3E677FCB"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B598E" w14:textId="77777777" w:rsidR="00B933F5" w:rsidRPr="00472765" w:rsidRDefault="00B933F5" w:rsidP="00B933F5">
            <w:pPr>
              <w:rPr>
                <w:sz w:val="24"/>
                <w:szCs w:val="24"/>
              </w:rPr>
            </w:pPr>
            <w:r w:rsidRPr="00472765">
              <w:rPr>
                <w:sz w:val="24"/>
                <w:szCs w:val="24"/>
              </w:rPr>
              <w:t>Purchases an insurance product with unknown or unverifiable sources of funds, such as cash, official checks or sequentially numbered money orders.</w:t>
            </w:r>
          </w:p>
        </w:tc>
      </w:tr>
      <w:tr w:rsidR="00B933F5" w:rsidRPr="00472765" w14:paraId="0C33B5CB" w14:textId="77777777" w:rsidTr="00492F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39E551B" w14:textId="77777777" w:rsidR="00B933F5" w:rsidRPr="00472765" w:rsidRDefault="00B933F5" w:rsidP="00B933F5">
            <w:pPr>
              <w:rPr>
                <w:sz w:val="24"/>
                <w:szCs w:val="24"/>
              </w:rPr>
            </w:pPr>
            <w:r w:rsidRPr="00472765">
              <w:rPr>
                <w:b/>
                <w:bCs/>
                <w:i/>
                <w:iCs/>
                <w:sz w:val="24"/>
                <w:szCs w:val="24"/>
              </w:rPr>
              <w:t>Customer wire and other transfers or deposits</w:t>
            </w:r>
          </w:p>
        </w:tc>
      </w:tr>
      <w:tr w:rsidR="00B933F5" w:rsidRPr="00472765" w14:paraId="2C1B01D0"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D1DD13" w14:textId="77777777" w:rsidR="00B933F5" w:rsidRPr="00472765" w:rsidRDefault="00B933F5" w:rsidP="00B933F5">
            <w:pPr>
              <w:rPr>
                <w:sz w:val="24"/>
                <w:szCs w:val="24"/>
              </w:rPr>
            </w:pPr>
            <w:r w:rsidRPr="00472765">
              <w:rPr>
                <w:sz w:val="24"/>
                <w:szCs w:val="24"/>
              </w:rPr>
              <w:t>The customer's account has unexplained or sudden extensive wire activity, especially in accounts that had little or no previous activity.</w:t>
            </w:r>
          </w:p>
        </w:tc>
      </w:tr>
      <w:tr w:rsidR="00B933F5" w:rsidRPr="00472765" w14:paraId="4FE8FC32"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14F39" w14:textId="77777777" w:rsidR="00B933F5" w:rsidRPr="00472765" w:rsidRDefault="00B933F5" w:rsidP="00B933F5">
            <w:pPr>
              <w:rPr>
                <w:sz w:val="24"/>
                <w:szCs w:val="24"/>
              </w:rPr>
            </w:pPr>
            <w:r w:rsidRPr="00472765">
              <w:rPr>
                <w:sz w:val="24"/>
                <w:szCs w:val="24"/>
              </w:rPr>
              <w:t>The customer's account has a large number of wire transfers to unrelated third parties inconsistent with the customer's legitimate business purpose.</w:t>
            </w:r>
          </w:p>
        </w:tc>
      </w:tr>
      <w:tr w:rsidR="00B933F5" w:rsidRPr="00472765" w14:paraId="3D496BB4"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FF6BC" w14:textId="77777777" w:rsidR="00B933F5" w:rsidRPr="00472765" w:rsidRDefault="00B933F5" w:rsidP="00B933F5">
            <w:pPr>
              <w:rPr>
                <w:sz w:val="24"/>
                <w:szCs w:val="24"/>
              </w:rPr>
            </w:pPr>
            <w:r w:rsidRPr="00472765">
              <w:rPr>
                <w:sz w:val="24"/>
                <w:szCs w:val="24"/>
              </w:rPr>
              <w:t>The customer's account has wire transfers that have no apparent business purpose to or from a country identified as a money laundering risk or a bank secrecy haven.</w:t>
            </w:r>
          </w:p>
        </w:tc>
      </w:tr>
      <w:tr w:rsidR="00B933F5" w:rsidRPr="00472765" w14:paraId="0A46CA51"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B5B753" w14:textId="77777777" w:rsidR="00B933F5" w:rsidRPr="00472765" w:rsidRDefault="00B933F5" w:rsidP="00B933F5">
            <w:pPr>
              <w:rPr>
                <w:sz w:val="24"/>
                <w:szCs w:val="24"/>
              </w:rPr>
            </w:pPr>
            <w:r w:rsidRPr="00472765">
              <w:rPr>
                <w:sz w:val="24"/>
                <w:szCs w:val="24"/>
              </w:rPr>
              <w:t>The customer's account indicates large or frequent wire transfers, immediately withdrawn by check or debit card without any apparent business purpose.</w:t>
            </w:r>
          </w:p>
        </w:tc>
      </w:tr>
      <w:tr w:rsidR="00B933F5" w:rsidRPr="00472765" w14:paraId="2BDE1C8B"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C2CC3" w14:textId="77777777" w:rsidR="00B933F5" w:rsidRPr="00472765" w:rsidRDefault="00B933F5" w:rsidP="00B933F5">
            <w:pPr>
              <w:rPr>
                <w:sz w:val="24"/>
                <w:szCs w:val="24"/>
              </w:rPr>
            </w:pPr>
            <w:r w:rsidRPr="00472765">
              <w:rPr>
                <w:sz w:val="24"/>
                <w:szCs w:val="24"/>
              </w:rPr>
              <w:t>The customer makes a funds deposit followed by an immediate request that the money be wired out or transferred to a third party, or to another firm, without any apparent business purpose.</w:t>
            </w:r>
          </w:p>
        </w:tc>
      </w:tr>
      <w:tr w:rsidR="00B933F5" w:rsidRPr="00472765" w14:paraId="42B90F44"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9C2F6" w14:textId="77777777" w:rsidR="00B933F5" w:rsidRPr="00472765" w:rsidRDefault="00B933F5" w:rsidP="00B933F5">
            <w:pPr>
              <w:rPr>
                <w:sz w:val="24"/>
                <w:szCs w:val="24"/>
              </w:rPr>
            </w:pPr>
            <w:r w:rsidRPr="00472765">
              <w:rPr>
                <w:sz w:val="24"/>
                <w:szCs w:val="24"/>
              </w:rPr>
              <w:t>The customer makes a funds deposit for the purpose of purchasing a long-term investment followed shortly thereafter by a request to liquidate the position and transfer of the proceeds out of the account.</w:t>
            </w:r>
          </w:p>
        </w:tc>
      </w:tr>
      <w:tr w:rsidR="00B933F5" w:rsidRPr="00472765" w14:paraId="0F820706"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8B6A83" w14:textId="77777777" w:rsidR="00B933F5" w:rsidRPr="00472765" w:rsidRDefault="00B933F5" w:rsidP="00B933F5">
            <w:pPr>
              <w:rPr>
                <w:sz w:val="24"/>
                <w:szCs w:val="24"/>
              </w:rPr>
            </w:pPr>
            <w:r w:rsidRPr="00472765">
              <w:rPr>
                <w:sz w:val="24"/>
                <w:szCs w:val="24"/>
              </w:rPr>
              <w:t>The customer engages in excessive journal entries between unrelated accounts without any apparent business purpose.</w:t>
            </w:r>
          </w:p>
        </w:tc>
      </w:tr>
      <w:tr w:rsidR="00B933F5" w:rsidRPr="00472765" w14:paraId="5945B03F"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542615" w14:textId="77777777" w:rsidR="00B933F5" w:rsidRPr="00472765" w:rsidRDefault="00B933F5" w:rsidP="00B933F5">
            <w:pPr>
              <w:rPr>
                <w:sz w:val="24"/>
                <w:szCs w:val="24"/>
              </w:rPr>
            </w:pPr>
            <w:r w:rsidRPr="00472765">
              <w:rPr>
                <w:sz w:val="24"/>
                <w:szCs w:val="24"/>
              </w:rPr>
              <w:t>The customer's account has inflows of funds or other assets well beyond the known income or resources of the customer.</w:t>
            </w:r>
          </w:p>
        </w:tc>
      </w:tr>
      <w:tr w:rsidR="00B933F5" w:rsidRPr="00472765" w14:paraId="1B9726BD"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8738B3" w14:textId="77777777" w:rsidR="00B933F5" w:rsidRPr="00472765" w:rsidRDefault="00B933F5" w:rsidP="00B933F5">
            <w:pPr>
              <w:rPr>
                <w:sz w:val="24"/>
                <w:szCs w:val="24"/>
              </w:rPr>
            </w:pPr>
            <w:r w:rsidRPr="00472765">
              <w:rPr>
                <w:sz w:val="24"/>
                <w:szCs w:val="24"/>
              </w:rPr>
              <w:t>Many small, incoming wire transfers or deposits made using checks and money orders almost immediately withdrawn or wired out in manner inconsistent with customer's business or history. May indicate a Ponzi scheme.</w:t>
            </w:r>
          </w:p>
        </w:tc>
      </w:tr>
      <w:tr w:rsidR="00B933F5" w:rsidRPr="00472765" w14:paraId="29F43BC3"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5CFDE" w14:textId="77777777" w:rsidR="00B933F5" w:rsidRPr="00472765" w:rsidRDefault="00B933F5" w:rsidP="00B933F5">
            <w:pPr>
              <w:rPr>
                <w:sz w:val="24"/>
                <w:szCs w:val="24"/>
              </w:rPr>
            </w:pPr>
            <w:r w:rsidRPr="00472765">
              <w:rPr>
                <w:sz w:val="24"/>
                <w:szCs w:val="24"/>
              </w:rPr>
              <w:t>Physical certificate is titled differently than the account.</w:t>
            </w:r>
          </w:p>
        </w:tc>
      </w:tr>
      <w:tr w:rsidR="00B933F5" w:rsidRPr="00472765" w14:paraId="7850DCB9"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55F97" w14:textId="77777777" w:rsidR="00B933F5" w:rsidRPr="00472765" w:rsidRDefault="00B933F5" w:rsidP="00B933F5">
            <w:pPr>
              <w:rPr>
                <w:sz w:val="24"/>
                <w:szCs w:val="24"/>
              </w:rPr>
            </w:pPr>
            <w:r w:rsidRPr="00472765">
              <w:rPr>
                <w:sz w:val="24"/>
                <w:szCs w:val="24"/>
              </w:rPr>
              <w:t xml:space="preserve">Physical certificate does not bear a restrictive </w:t>
            </w:r>
            <w:r w:rsidR="00B71D19" w:rsidRPr="00472765">
              <w:rPr>
                <w:sz w:val="24"/>
                <w:szCs w:val="24"/>
              </w:rPr>
              <w:t>legend but</w:t>
            </w:r>
            <w:r w:rsidRPr="00472765">
              <w:rPr>
                <w:sz w:val="24"/>
                <w:szCs w:val="24"/>
              </w:rPr>
              <w:t xml:space="preserve"> based on history of the stock and/or volume of shares trading, it should have such a legend.</w:t>
            </w:r>
          </w:p>
        </w:tc>
      </w:tr>
      <w:tr w:rsidR="00B933F5" w:rsidRPr="00472765" w14:paraId="518027E4"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0A03D" w14:textId="77777777" w:rsidR="00B933F5" w:rsidRPr="00472765" w:rsidRDefault="00B933F5" w:rsidP="00B933F5">
            <w:pPr>
              <w:rPr>
                <w:sz w:val="24"/>
                <w:szCs w:val="24"/>
              </w:rPr>
            </w:pPr>
            <w:r w:rsidRPr="00472765">
              <w:rPr>
                <w:sz w:val="24"/>
                <w:szCs w:val="24"/>
              </w:rPr>
              <w:lastRenderedPageBreak/>
              <w:t>Customer's explanation of how he or she acquired the certificate does not make sense or changes.</w:t>
            </w:r>
          </w:p>
        </w:tc>
      </w:tr>
      <w:tr w:rsidR="00B933F5" w:rsidRPr="00472765" w14:paraId="27E0B471" w14:textId="77777777" w:rsidTr="00B933F5">
        <w:trPr>
          <w:trHeight w:val="6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7269A" w14:textId="77777777" w:rsidR="00B933F5" w:rsidRPr="00472765" w:rsidRDefault="00B933F5" w:rsidP="00B933F5">
            <w:pPr>
              <w:rPr>
                <w:sz w:val="24"/>
                <w:szCs w:val="24"/>
              </w:rPr>
            </w:pPr>
            <w:r w:rsidRPr="00472765">
              <w:rPr>
                <w:sz w:val="24"/>
                <w:szCs w:val="24"/>
              </w:rPr>
              <w:t>Customer deposits the certificate with a request to journal the shares to multiple accounts, or to sell or otherwise transfer ownership of the shares.</w:t>
            </w:r>
          </w:p>
        </w:tc>
      </w:tr>
      <w:tr w:rsidR="00B933F5" w:rsidRPr="00472765" w14:paraId="60EDD967" w14:textId="77777777" w:rsidTr="00492F2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2772C5D" w14:textId="77777777" w:rsidR="00B933F5" w:rsidRPr="00472765" w:rsidRDefault="00B933F5" w:rsidP="00B933F5">
            <w:pPr>
              <w:rPr>
                <w:sz w:val="24"/>
                <w:szCs w:val="24"/>
              </w:rPr>
            </w:pPr>
            <w:r w:rsidRPr="00472765">
              <w:rPr>
                <w:b/>
                <w:bCs/>
                <w:i/>
                <w:iCs/>
                <w:sz w:val="24"/>
                <w:szCs w:val="24"/>
              </w:rPr>
              <w:t>Other indicators</w:t>
            </w:r>
          </w:p>
        </w:tc>
      </w:tr>
      <w:tr w:rsidR="00B933F5" w:rsidRPr="00472765" w14:paraId="466BEA81"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A3ABB" w14:textId="77777777" w:rsidR="00B933F5" w:rsidRPr="00472765" w:rsidRDefault="00B933F5" w:rsidP="00B933F5">
            <w:pPr>
              <w:rPr>
                <w:sz w:val="24"/>
                <w:szCs w:val="24"/>
              </w:rPr>
            </w:pPr>
            <w:r w:rsidRPr="00472765">
              <w:rPr>
                <w:sz w:val="24"/>
                <w:szCs w:val="24"/>
              </w:rPr>
              <w:t>Law enforcement subpoenas.</w:t>
            </w:r>
          </w:p>
        </w:tc>
      </w:tr>
      <w:tr w:rsidR="00B933F5" w:rsidRPr="00472765" w14:paraId="4A206FF1"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03726" w14:textId="77777777" w:rsidR="00B933F5" w:rsidRPr="00472765" w:rsidRDefault="00B933F5" w:rsidP="00B933F5">
            <w:pPr>
              <w:rPr>
                <w:sz w:val="24"/>
                <w:szCs w:val="24"/>
              </w:rPr>
            </w:pPr>
            <w:r w:rsidRPr="00472765">
              <w:rPr>
                <w:sz w:val="24"/>
                <w:szCs w:val="24"/>
              </w:rPr>
              <w:t>Payment by third-party check or money transfer without an apparent connection to the customer.</w:t>
            </w:r>
          </w:p>
        </w:tc>
      </w:tr>
      <w:tr w:rsidR="00B933F5" w:rsidRPr="00472765" w14:paraId="3589C08E"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340CC" w14:textId="77777777" w:rsidR="00B933F5" w:rsidRPr="00472765" w:rsidRDefault="00B933F5" w:rsidP="00B933F5">
            <w:pPr>
              <w:rPr>
                <w:sz w:val="24"/>
                <w:szCs w:val="24"/>
              </w:rPr>
            </w:pPr>
            <w:r w:rsidRPr="00472765">
              <w:rPr>
                <w:sz w:val="24"/>
                <w:szCs w:val="24"/>
              </w:rPr>
              <w:t>Payments to third-party without apparent connection to customer.</w:t>
            </w:r>
          </w:p>
        </w:tc>
      </w:tr>
      <w:tr w:rsidR="00B933F5" w:rsidRPr="00472765" w14:paraId="01CFB59A" w14:textId="77777777" w:rsidTr="00B933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CD764" w14:textId="77777777" w:rsidR="00B933F5" w:rsidRPr="00472765" w:rsidRDefault="00B933F5" w:rsidP="00B933F5">
            <w:pPr>
              <w:rPr>
                <w:sz w:val="24"/>
                <w:szCs w:val="24"/>
              </w:rPr>
            </w:pPr>
            <w:r w:rsidRPr="00472765">
              <w:rPr>
                <w:sz w:val="24"/>
                <w:szCs w:val="24"/>
              </w:rPr>
              <w:t>No concern regarding the cost of transactions or fees (</w:t>
            </w:r>
            <w:r w:rsidRPr="00472765">
              <w:rPr>
                <w:i/>
                <w:iCs/>
                <w:sz w:val="24"/>
                <w:szCs w:val="24"/>
              </w:rPr>
              <w:t>i.e.,</w:t>
            </w:r>
            <w:r w:rsidRPr="00472765">
              <w:rPr>
                <w:sz w:val="24"/>
                <w:szCs w:val="24"/>
              </w:rPr>
              <w:t xml:space="preserve"> surrender fees, higher than necessary commissions,</w:t>
            </w:r>
            <w:r w:rsidRPr="00472765">
              <w:rPr>
                <w:i/>
                <w:iCs/>
                <w:sz w:val="24"/>
                <w:szCs w:val="24"/>
              </w:rPr>
              <w:t xml:space="preserve"> etc.</w:t>
            </w:r>
            <w:r w:rsidRPr="00472765">
              <w:rPr>
                <w:sz w:val="24"/>
                <w:szCs w:val="24"/>
              </w:rPr>
              <w:t>).</w:t>
            </w:r>
          </w:p>
        </w:tc>
      </w:tr>
    </w:tbl>
    <w:p w14:paraId="1876971C" w14:textId="77777777" w:rsidR="00B933F5" w:rsidRPr="00472765" w:rsidRDefault="00B933F5" w:rsidP="00B933F5">
      <w:pPr>
        <w:rPr>
          <w:sz w:val="24"/>
          <w:szCs w:val="24"/>
        </w:rPr>
      </w:pPr>
      <w:r w:rsidRPr="00472765">
        <w:rPr>
          <w:sz w:val="24"/>
          <w:szCs w:val="24"/>
        </w:rPr>
        <w:t> </w:t>
      </w:r>
    </w:p>
    <w:p w14:paraId="188FDB0F" w14:textId="77777777" w:rsidR="00B235A8" w:rsidRPr="00727573" w:rsidRDefault="00B235A8" w:rsidP="00B235A8">
      <w:pPr>
        <w:ind w:left="270"/>
        <w:rPr>
          <w:sz w:val="24"/>
          <w:szCs w:val="24"/>
        </w:rPr>
      </w:pPr>
      <w:r w:rsidRPr="00727573">
        <w:rPr>
          <w:sz w:val="24"/>
          <w:szCs w:val="24"/>
        </w:rPr>
        <w:t xml:space="preserve">Following are risk factors identified by </w:t>
      </w:r>
      <w:r w:rsidRPr="00B933F5">
        <w:rPr>
          <w:b/>
          <w:sz w:val="24"/>
          <w:szCs w:val="24"/>
        </w:rPr>
        <w:t>OFAC</w:t>
      </w:r>
      <w:r w:rsidRPr="00727573">
        <w:rPr>
          <w:sz w:val="24"/>
          <w:szCs w:val="24"/>
        </w:rPr>
        <w:t xml:space="preserve"> that may warrant a heightened level of scrutiny</w:t>
      </w:r>
      <w:r w:rsidR="00214144" w:rsidRPr="00727573">
        <w:rPr>
          <w:sz w:val="24"/>
          <w:szCs w:val="24"/>
        </w:rPr>
        <w:t xml:space="preserve"> for the type</w:t>
      </w:r>
      <w:r w:rsidR="00292164" w:rsidRPr="00727573">
        <w:rPr>
          <w:sz w:val="24"/>
          <w:szCs w:val="24"/>
        </w:rPr>
        <w:t xml:space="preserve"> </w:t>
      </w:r>
      <w:r w:rsidR="00F56F61" w:rsidRPr="00727573">
        <w:rPr>
          <w:sz w:val="24"/>
          <w:szCs w:val="24"/>
        </w:rPr>
        <w:t>of accounts</w:t>
      </w:r>
      <w:r w:rsidR="00214144" w:rsidRPr="00727573">
        <w:rPr>
          <w:sz w:val="24"/>
          <w:szCs w:val="24"/>
        </w:rPr>
        <w:t xml:space="preserve"> accepted </w:t>
      </w:r>
      <w:r w:rsidR="005B1753" w:rsidRPr="00727573">
        <w:rPr>
          <w:sz w:val="24"/>
          <w:szCs w:val="24"/>
        </w:rPr>
        <w:t>by Company</w:t>
      </w:r>
      <w:r w:rsidR="00214144" w:rsidRPr="00727573">
        <w:rPr>
          <w:sz w:val="24"/>
          <w:szCs w:val="24"/>
        </w:rPr>
        <w:t>:</w:t>
      </w:r>
    </w:p>
    <w:p w14:paraId="61D39D62" w14:textId="77777777" w:rsidR="00B235A8" w:rsidRPr="00727573" w:rsidRDefault="00B235A8" w:rsidP="00B235A8">
      <w:pPr>
        <w:ind w:left="270"/>
        <w:rPr>
          <w:sz w:val="24"/>
          <w:szCs w:val="24"/>
        </w:rPr>
      </w:pPr>
    </w:p>
    <w:p w14:paraId="0E49B360" w14:textId="77777777" w:rsidR="00B235A8" w:rsidRPr="00727573" w:rsidRDefault="00B235A8" w:rsidP="00B235A8">
      <w:pPr>
        <w:ind w:left="270"/>
        <w:rPr>
          <w:sz w:val="24"/>
          <w:szCs w:val="24"/>
        </w:rPr>
      </w:pPr>
      <w:r w:rsidRPr="00727573">
        <w:rPr>
          <w:sz w:val="24"/>
          <w:szCs w:val="24"/>
        </w:rPr>
        <w:t>a)  High number of international transactions</w:t>
      </w:r>
      <w:r w:rsidR="00214144" w:rsidRPr="00727573">
        <w:rPr>
          <w:sz w:val="24"/>
          <w:szCs w:val="24"/>
        </w:rPr>
        <w:t xml:space="preserve"> or wires</w:t>
      </w:r>
      <w:r w:rsidRPr="00727573">
        <w:rPr>
          <w:sz w:val="24"/>
          <w:szCs w:val="24"/>
        </w:rPr>
        <w:t>, cross-border transactions</w:t>
      </w:r>
      <w:r w:rsidR="00214144" w:rsidRPr="00727573">
        <w:rPr>
          <w:sz w:val="24"/>
          <w:szCs w:val="24"/>
        </w:rPr>
        <w:t xml:space="preserve"> or wires</w:t>
      </w:r>
      <w:r w:rsidRPr="00727573">
        <w:rPr>
          <w:sz w:val="24"/>
          <w:szCs w:val="24"/>
        </w:rPr>
        <w:t>, or investments in a foreign exchange;</w:t>
      </w:r>
    </w:p>
    <w:p w14:paraId="3C7321EC" w14:textId="77777777" w:rsidR="00214144" w:rsidRPr="00727573" w:rsidRDefault="00214144" w:rsidP="00FC71A3">
      <w:pPr>
        <w:ind w:left="270"/>
        <w:rPr>
          <w:sz w:val="24"/>
          <w:szCs w:val="24"/>
        </w:rPr>
      </w:pPr>
      <w:r w:rsidRPr="00727573">
        <w:rPr>
          <w:sz w:val="24"/>
          <w:szCs w:val="24"/>
        </w:rPr>
        <w:t xml:space="preserve">b) </w:t>
      </w:r>
      <w:r w:rsidR="000A74E8" w:rsidRPr="00727573">
        <w:rPr>
          <w:sz w:val="24"/>
          <w:szCs w:val="24"/>
        </w:rPr>
        <w:t xml:space="preserve">Foreign Securities: Practical exposure increases when investing in a foreign investment fund or </w:t>
      </w:r>
      <w:r w:rsidR="00F56F61" w:rsidRPr="00727573">
        <w:rPr>
          <w:sz w:val="24"/>
          <w:szCs w:val="24"/>
        </w:rPr>
        <w:t>exchange due</w:t>
      </w:r>
      <w:r w:rsidR="00B410FA" w:rsidRPr="00727573">
        <w:rPr>
          <w:sz w:val="24"/>
          <w:szCs w:val="24"/>
        </w:rPr>
        <w:t xml:space="preserve"> to the risk that the securities may be issued by a sanctioned country or party or otherwise in violation of OFAC sanctions.  This may include </w:t>
      </w:r>
      <w:proofErr w:type="spellStart"/>
      <w:r w:rsidR="00B410FA" w:rsidRPr="00727573">
        <w:rPr>
          <w:sz w:val="24"/>
          <w:szCs w:val="24"/>
        </w:rPr>
        <w:t>i</w:t>
      </w:r>
      <w:proofErr w:type="spellEnd"/>
      <w:r w:rsidR="00B410FA" w:rsidRPr="00727573">
        <w:rPr>
          <w:sz w:val="24"/>
          <w:szCs w:val="24"/>
        </w:rPr>
        <w:t>) cross-border settlements involving the interaction of different settlement systems and laws in d</w:t>
      </w:r>
      <w:r w:rsidR="002F2523" w:rsidRPr="00727573">
        <w:rPr>
          <w:sz w:val="24"/>
          <w:szCs w:val="24"/>
        </w:rPr>
        <w:t>i</w:t>
      </w:r>
      <w:r w:rsidR="00B410FA" w:rsidRPr="00727573">
        <w:rPr>
          <w:sz w:val="24"/>
          <w:szCs w:val="24"/>
        </w:rPr>
        <w:t>fferent countries, ii) foreign securities that may be more prone to misidentification in the course of a trade such as similar names between two foreign issuers, iii) foreign companies that issue shares in bearer form;</w:t>
      </w:r>
    </w:p>
    <w:p w14:paraId="27E92F7B" w14:textId="77777777" w:rsidR="00B410FA" w:rsidRPr="00727573" w:rsidRDefault="00B410FA" w:rsidP="00FC71A3">
      <w:pPr>
        <w:ind w:left="270"/>
        <w:rPr>
          <w:sz w:val="24"/>
          <w:szCs w:val="24"/>
        </w:rPr>
      </w:pPr>
      <w:r w:rsidRPr="00727573">
        <w:rPr>
          <w:sz w:val="24"/>
          <w:szCs w:val="24"/>
        </w:rPr>
        <w:t xml:space="preserve">c) Very high net worth institutional accounts, hedge funds, funds of hedge funds and other alternative investment funds (private equity, venture capital funds) may have </w:t>
      </w:r>
      <w:proofErr w:type="spellStart"/>
      <w:r w:rsidRPr="00727573">
        <w:rPr>
          <w:sz w:val="24"/>
          <w:szCs w:val="24"/>
        </w:rPr>
        <w:t>i</w:t>
      </w:r>
      <w:proofErr w:type="spellEnd"/>
      <w:r w:rsidRPr="00727573">
        <w:rPr>
          <w:sz w:val="24"/>
          <w:szCs w:val="24"/>
        </w:rPr>
        <w:t xml:space="preserve">) </w:t>
      </w:r>
      <w:r w:rsidR="00FC71A3">
        <w:rPr>
          <w:sz w:val="24"/>
          <w:szCs w:val="24"/>
        </w:rPr>
        <w:t xml:space="preserve">a </w:t>
      </w:r>
      <w:r w:rsidRPr="00727573">
        <w:rPr>
          <w:sz w:val="24"/>
          <w:szCs w:val="24"/>
        </w:rPr>
        <w:t>lack of transparency regarding securities/investments and beneficial owners, ii) a US hedge fund with an offshore related fund where beneficial owners are offshore investors, and iii) subscription funds that originate from or are routed through an account maintained at an offshore bank or organized or chartered in an inadequately supervised and poorly regulated jurisd</w:t>
      </w:r>
      <w:r w:rsidR="00A41B74" w:rsidRPr="00727573">
        <w:rPr>
          <w:sz w:val="24"/>
          <w:szCs w:val="24"/>
        </w:rPr>
        <w:t>iction, or a foreign shell bank.</w:t>
      </w:r>
    </w:p>
    <w:p w14:paraId="37CF45DF" w14:textId="77777777" w:rsidR="00A41B74" w:rsidRPr="00727573" w:rsidRDefault="00A41B74" w:rsidP="00FC71A3">
      <w:pPr>
        <w:ind w:left="270"/>
        <w:rPr>
          <w:sz w:val="24"/>
          <w:szCs w:val="24"/>
        </w:rPr>
      </w:pPr>
    </w:p>
    <w:p w14:paraId="25B83ABB" w14:textId="77777777" w:rsidR="00A41B74" w:rsidRPr="00727573" w:rsidRDefault="00DC5791" w:rsidP="00214144">
      <w:pPr>
        <w:ind w:left="270"/>
        <w:rPr>
          <w:sz w:val="24"/>
          <w:szCs w:val="24"/>
        </w:rPr>
      </w:pPr>
      <w:r w:rsidRPr="00727573">
        <w:rPr>
          <w:sz w:val="24"/>
          <w:szCs w:val="24"/>
        </w:rPr>
        <w:t>A</w:t>
      </w:r>
      <w:r w:rsidR="00A41B74" w:rsidRPr="00727573">
        <w:rPr>
          <w:sz w:val="24"/>
          <w:szCs w:val="24"/>
        </w:rPr>
        <w:t>ddition</w:t>
      </w:r>
      <w:r w:rsidRPr="00727573">
        <w:rPr>
          <w:sz w:val="24"/>
          <w:szCs w:val="24"/>
        </w:rPr>
        <w:t>al risk fact</w:t>
      </w:r>
      <w:r w:rsidR="00A41B74" w:rsidRPr="00727573">
        <w:rPr>
          <w:sz w:val="24"/>
          <w:szCs w:val="24"/>
        </w:rPr>
        <w:t>ors that may constitute a heightened level of scrutiny</w:t>
      </w:r>
      <w:r w:rsidRPr="00727573">
        <w:rPr>
          <w:sz w:val="24"/>
          <w:szCs w:val="24"/>
        </w:rPr>
        <w:t xml:space="preserve"> include</w:t>
      </w:r>
      <w:r w:rsidR="00A41B74" w:rsidRPr="00727573">
        <w:rPr>
          <w:sz w:val="24"/>
          <w:szCs w:val="24"/>
        </w:rPr>
        <w:t>:</w:t>
      </w:r>
    </w:p>
    <w:p w14:paraId="27B1CCAF" w14:textId="77777777" w:rsidR="00A41B74" w:rsidRPr="00727573" w:rsidRDefault="00A41B74" w:rsidP="00214144">
      <w:pPr>
        <w:ind w:left="270"/>
        <w:rPr>
          <w:sz w:val="24"/>
          <w:szCs w:val="24"/>
        </w:rPr>
      </w:pPr>
    </w:p>
    <w:p w14:paraId="6B062A9E" w14:textId="77777777" w:rsidR="00A41B74" w:rsidRPr="00727573" w:rsidRDefault="00A41B74" w:rsidP="00214144">
      <w:pPr>
        <w:ind w:left="270"/>
        <w:rPr>
          <w:sz w:val="24"/>
          <w:szCs w:val="24"/>
        </w:rPr>
      </w:pPr>
      <w:r w:rsidRPr="00727573">
        <w:rPr>
          <w:sz w:val="24"/>
          <w:szCs w:val="24"/>
        </w:rPr>
        <w:t>a)  Limited Liability Companies whose direct or indirect owners may be difficult to identify;</w:t>
      </w:r>
    </w:p>
    <w:p w14:paraId="669DCF74" w14:textId="77777777" w:rsidR="00A41B74" w:rsidRPr="00727573" w:rsidRDefault="00A41B74" w:rsidP="00214144">
      <w:pPr>
        <w:ind w:left="270"/>
        <w:rPr>
          <w:sz w:val="24"/>
          <w:szCs w:val="24"/>
        </w:rPr>
      </w:pPr>
      <w:r w:rsidRPr="00727573">
        <w:rPr>
          <w:sz w:val="24"/>
          <w:szCs w:val="24"/>
        </w:rPr>
        <w:t>b)  Customers, who after reasonable attempts, do not provide required identifying documents;</w:t>
      </w:r>
    </w:p>
    <w:p w14:paraId="4F2C903F" w14:textId="77777777" w:rsidR="00A41B74" w:rsidRPr="00727573" w:rsidRDefault="00A41B74" w:rsidP="00214144">
      <w:pPr>
        <w:ind w:left="270"/>
        <w:rPr>
          <w:sz w:val="24"/>
          <w:szCs w:val="24"/>
        </w:rPr>
      </w:pPr>
      <w:r w:rsidRPr="00727573">
        <w:rPr>
          <w:sz w:val="24"/>
          <w:szCs w:val="24"/>
        </w:rPr>
        <w:t>c)  Uncommon or unusual account acti</w:t>
      </w:r>
      <w:r w:rsidR="00254AF2" w:rsidRPr="00727573">
        <w:rPr>
          <w:sz w:val="24"/>
          <w:szCs w:val="24"/>
        </w:rPr>
        <w:t>v</w:t>
      </w:r>
      <w:r w:rsidRPr="00727573">
        <w:rPr>
          <w:sz w:val="24"/>
          <w:szCs w:val="24"/>
        </w:rPr>
        <w:t>ity</w:t>
      </w:r>
    </w:p>
    <w:p w14:paraId="7BA6AB6E" w14:textId="77777777" w:rsidR="00A41B74" w:rsidRPr="00727573" w:rsidRDefault="00A41B74" w:rsidP="00214144">
      <w:pPr>
        <w:ind w:left="270"/>
        <w:rPr>
          <w:sz w:val="24"/>
          <w:szCs w:val="24"/>
        </w:rPr>
      </w:pPr>
    </w:p>
    <w:p w14:paraId="440BA667" w14:textId="77777777" w:rsidR="000C016B" w:rsidRPr="00727573" w:rsidRDefault="00A41B74" w:rsidP="00214144">
      <w:pPr>
        <w:ind w:left="270"/>
        <w:rPr>
          <w:sz w:val="24"/>
          <w:szCs w:val="24"/>
        </w:rPr>
      </w:pPr>
      <w:r w:rsidRPr="00727573">
        <w:rPr>
          <w:sz w:val="24"/>
          <w:szCs w:val="24"/>
        </w:rPr>
        <w:t>Customer Accounts will be assigned a risk level of High, Medium, or Low based on any of the above risk factors.</w:t>
      </w:r>
    </w:p>
    <w:p w14:paraId="0DFB989C" w14:textId="77777777" w:rsidR="000C016B" w:rsidRPr="00727573" w:rsidRDefault="00A41B74" w:rsidP="00214144">
      <w:pPr>
        <w:ind w:left="270"/>
        <w:rPr>
          <w:sz w:val="24"/>
          <w:szCs w:val="24"/>
        </w:rPr>
      </w:pPr>
      <w:r w:rsidRPr="00727573">
        <w:rPr>
          <w:sz w:val="24"/>
          <w:szCs w:val="24"/>
        </w:rPr>
        <w:t xml:space="preserve">  </w:t>
      </w:r>
    </w:p>
    <w:p w14:paraId="081A4E53" w14:textId="77777777" w:rsidR="000C016B" w:rsidRPr="00727573" w:rsidRDefault="000C016B" w:rsidP="000D07C1">
      <w:pPr>
        <w:ind w:left="270"/>
        <w:rPr>
          <w:sz w:val="24"/>
          <w:szCs w:val="24"/>
        </w:rPr>
      </w:pPr>
      <w:r w:rsidRPr="00313853">
        <w:rPr>
          <w:b/>
          <w:sz w:val="24"/>
          <w:szCs w:val="24"/>
          <w:u w:val="single"/>
        </w:rPr>
        <w:t>High</w:t>
      </w:r>
      <w:r w:rsidRPr="00727573">
        <w:rPr>
          <w:sz w:val="24"/>
          <w:szCs w:val="24"/>
        </w:rPr>
        <w:t>: Accounts will be coded as a “High” based on some of the following criteria:</w:t>
      </w:r>
    </w:p>
    <w:p w14:paraId="743B7BB9" w14:textId="77777777" w:rsidR="000D07C1" w:rsidRPr="00727573" w:rsidRDefault="000D07C1" w:rsidP="00C1728B">
      <w:pPr>
        <w:numPr>
          <w:ilvl w:val="1"/>
          <w:numId w:val="70"/>
        </w:numPr>
        <w:rPr>
          <w:sz w:val="24"/>
          <w:szCs w:val="24"/>
        </w:rPr>
      </w:pPr>
      <w:r w:rsidRPr="00727573">
        <w:rPr>
          <w:sz w:val="24"/>
          <w:szCs w:val="24"/>
        </w:rPr>
        <w:t xml:space="preserve">A determined </w:t>
      </w:r>
      <w:r w:rsidR="000C016B" w:rsidRPr="00727573">
        <w:rPr>
          <w:sz w:val="24"/>
          <w:szCs w:val="24"/>
        </w:rPr>
        <w:t xml:space="preserve">risk level depending </w:t>
      </w:r>
      <w:r w:rsidRPr="00727573">
        <w:rPr>
          <w:sz w:val="24"/>
          <w:szCs w:val="24"/>
        </w:rPr>
        <w:t xml:space="preserve">based on </w:t>
      </w:r>
      <w:r w:rsidR="000C016B" w:rsidRPr="00727573">
        <w:rPr>
          <w:sz w:val="24"/>
          <w:szCs w:val="24"/>
        </w:rPr>
        <w:t xml:space="preserve">suspicion and </w:t>
      </w:r>
      <w:r w:rsidR="00725C01" w:rsidRPr="00727573">
        <w:rPr>
          <w:sz w:val="24"/>
          <w:szCs w:val="24"/>
        </w:rPr>
        <w:t xml:space="preserve">multiple </w:t>
      </w:r>
      <w:r w:rsidR="000C016B" w:rsidRPr="00727573">
        <w:rPr>
          <w:sz w:val="24"/>
          <w:szCs w:val="24"/>
        </w:rPr>
        <w:t>red flags at the account opening stage</w:t>
      </w:r>
      <w:r w:rsidRPr="00727573">
        <w:rPr>
          <w:sz w:val="24"/>
          <w:szCs w:val="24"/>
        </w:rPr>
        <w:t>;</w:t>
      </w:r>
    </w:p>
    <w:p w14:paraId="2906638A" w14:textId="77777777" w:rsidR="000D07C1" w:rsidRPr="00727573" w:rsidRDefault="00725C01" w:rsidP="00C1728B">
      <w:pPr>
        <w:numPr>
          <w:ilvl w:val="1"/>
          <w:numId w:val="70"/>
        </w:numPr>
        <w:rPr>
          <w:sz w:val="24"/>
          <w:szCs w:val="24"/>
        </w:rPr>
      </w:pPr>
      <w:r w:rsidRPr="00727573">
        <w:rPr>
          <w:sz w:val="24"/>
          <w:szCs w:val="24"/>
        </w:rPr>
        <w:t>Multiple r</w:t>
      </w:r>
      <w:r w:rsidR="000C016B" w:rsidRPr="00727573">
        <w:rPr>
          <w:sz w:val="24"/>
          <w:szCs w:val="24"/>
        </w:rPr>
        <w:t>ed flags as noted in Section 7.6.6</w:t>
      </w:r>
      <w:r w:rsidR="000D07C1" w:rsidRPr="00727573">
        <w:rPr>
          <w:sz w:val="24"/>
          <w:szCs w:val="24"/>
        </w:rPr>
        <w:t xml:space="preserve"> for account activity;</w:t>
      </w:r>
      <w:r w:rsidR="000C016B" w:rsidRPr="00727573">
        <w:rPr>
          <w:sz w:val="24"/>
          <w:szCs w:val="24"/>
        </w:rPr>
        <w:t xml:space="preserve"> and </w:t>
      </w:r>
    </w:p>
    <w:p w14:paraId="75257E5F" w14:textId="77777777" w:rsidR="000C016B" w:rsidRPr="00727573" w:rsidRDefault="000D07C1" w:rsidP="00C1728B">
      <w:pPr>
        <w:numPr>
          <w:ilvl w:val="1"/>
          <w:numId w:val="70"/>
        </w:numPr>
        <w:rPr>
          <w:sz w:val="24"/>
          <w:szCs w:val="24"/>
        </w:rPr>
      </w:pPr>
      <w:r w:rsidRPr="00727573">
        <w:rPr>
          <w:sz w:val="24"/>
          <w:szCs w:val="24"/>
        </w:rPr>
        <w:lastRenderedPageBreak/>
        <w:t>I</w:t>
      </w:r>
      <w:r w:rsidR="000C016B" w:rsidRPr="00727573">
        <w:rPr>
          <w:sz w:val="24"/>
          <w:szCs w:val="24"/>
        </w:rPr>
        <w:t>f the account meets some of the above listed Risk</w:t>
      </w:r>
      <w:r w:rsidR="00FC71A3">
        <w:rPr>
          <w:sz w:val="24"/>
          <w:szCs w:val="24"/>
        </w:rPr>
        <w:t xml:space="preserve"> </w:t>
      </w:r>
      <w:r w:rsidR="00725C01" w:rsidRPr="00727573">
        <w:rPr>
          <w:sz w:val="24"/>
          <w:szCs w:val="24"/>
        </w:rPr>
        <w:t>Level factors of this Section 7.6.10.</w:t>
      </w:r>
    </w:p>
    <w:p w14:paraId="3A6DE92A" w14:textId="77777777" w:rsidR="00725C01" w:rsidRPr="00727573" w:rsidRDefault="00725C01" w:rsidP="00725C01">
      <w:pPr>
        <w:rPr>
          <w:sz w:val="24"/>
          <w:szCs w:val="24"/>
        </w:rPr>
      </w:pPr>
    </w:p>
    <w:p w14:paraId="2596C467" w14:textId="77777777" w:rsidR="00725C01" w:rsidRPr="00727573" w:rsidRDefault="00725C01" w:rsidP="00725C01">
      <w:pPr>
        <w:ind w:left="270"/>
        <w:rPr>
          <w:sz w:val="24"/>
          <w:szCs w:val="24"/>
        </w:rPr>
      </w:pPr>
      <w:r w:rsidRPr="00313853">
        <w:rPr>
          <w:b/>
          <w:sz w:val="24"/>
          <w:szCs w:val="24"/>
          <w:u w:val="single"/>
        </w:rPr>
        <w:t>Medium</w:t>
      </w:r>
      <w:r w:rsidRPr="00727573">
        <w:rPr>
          <w:sz w:val="24"/>
          <w:szCs w:val="24"/>
        </w:rPr>
        <w:t>:  Accounts will be coded as “Medium” if less suspicious activity occurs as noted in the High category but still may raise one or more red flag</w:t>
      </w:r>
      <w:r w:rsidR="00313853">
        <w:rPr>
          <w:sz w:val="24"/>
          <w:szCs w:val="24"/>
        </w:rPr>
        <w:t>s</w:t>
      </w:r>
      <w:r w:rsidRPr="00727573">
        <w:rPr>
          <w:sz w:val="24"/>
          <w:szCs w:val="24"/>
        </w:rPr>
        <w:t xml:space="preserve"> at the account opening or account activity stages or the above Risk Level categories (i.e. account type, coupled with red flag(s)).</w:t>
      </w:r>
    </w:p>
    <w:p w14:paraId="23F97C96" w14:textId="77777777" w:rsidR="00725C01" w:rsidRPr="00727573" w:rsidRDefault="00725C01" w:rsidP="00725C01">
      <w:pPr>
        <w:ind w:left="270"/>
        <w:rPr>
          <w:sz w:val="24"/>
          <w:szCs w:val="24"/>
        </w:rPr>
      </w:pPr>
    </w:p>
    <w:p w14:paraId="352D3FD0" w14:textId="77777777" w:rsidR="000C016B" w:rsidRPr="00727573" w:rsidRDefault="00725C01" w:rsidP="00214144">
      <w:pPr>
        <w:ind w:left="270"/>
        <w:rPr>
          <w:sz w:val="24"/>
          <w:szCs w:val="24"/>
        </w:rPr>
      </w:pPr>
      <w:r w:rsidRPr="00313853">
        <w:rPr>
          <w:b/>
          <w:sz w:val="24"/>
          <w:szCs w:val="24"/>
          <w:u w:val="single"/>
        </w:rPr>
        <w:t>Low</w:t>
      </w:r>
      <w:r w:rsidRPr="00727573">
        <w:rPr>
          <w:sz w:val="24"/>
          <w:szCs w:val="24"/>
        </w:rPr>
        <w:t xml:space="preserve">:  Accounts will be coded as Low as long as there are no red flags at the account opening or account monitoring stage. </w:t>
      </w:r>
    </w:p>
    <w:p w14:paraId="23F5E6AE" w14:textId="77777777" w:rsidR="000C016B" w:rsidRPr="00727573" w:rsidRDefault="000C016B" w:rsidP="00214144">
      <w:pPr>
        <w:ind w:left="270"/>
        <w:rPr>
          <w:sz w:val="24"/>
          <w:szCs w:val="24"/>
        </w:rPr>
      </w:pPr>
    </w:p>
    <w:p w14:paraId="2B9F6C11" w14:textId="77777777" w:rsidR="00A41B74" w:rsidRPr="00727573" w:rsidRDefault="00725C01" w:rsidP="00214144">
      <w:pPr>
        <w:ind w:left="270"/>
        <w:rPr>
          <w:sz w:val="24"/>
          <w:szCs w:val="24"/>
        </w:rPr>
      </w:pPr>
      <w:r w:rsidRPr="00727573">
        <w:rPr>
          <w:sz w:val="24"/>
          <w:szCs w:val="24"/>
        </w:rPr>
        <w:t xml:space="preserve">Accounts are monitored at both the account opening and account activity stages as noted above in Sections 7.6.1 through 7.6.6.  </w:t>
      </w:r>
      <w:r w:rsidR="00A41B74" w:rsidRPr="00727573">
        <w:rPr>
          <w:sz w:val="24"/>
          <w:szCs w:val="24"/>
        </w:rPr>
        <w:t xml:space="preserve">Accordingly, any heightened scrutiny of such accounts </w:t>
      </w:r>
      <w:r w:rsidRPr="00727573">
        <w:rPr>
          <w:sz w:val="24"/>
          <w:szCs w:val="24"/>
        </w:rPr>
        <w:t xml:space="preserve">will be brought to the attention of the AML Compliance Officer and </w:t>
      </w:r>
      <w:r w:rsidR="00A9576C" w:rsidRPr="00727573">
        <w:rPr>
          <w:sz w:val="24"/>
          <w:szCs w:val="24"/>
        </w:rPr>
        <w:t xml:space="preserve">any investigations or reviews </w:t>
      </w:r>
      <w:r w:rsidR="00A41B74" w:rsidRPr="00727573">
        <w:rPr>
          <w:sz w:val="24"/>
          <w:szCs w:val="24"/>
        </w:rPr>
        <w:t xml:space="preserve">will be documented and maintained </w:t>
      </w:r>
      <w:r w:rsidR="00A9576C" w:rsidRPr="00727573">
        <w:rPr>
          <w:sz w:val="24"/>
          <w:szCs w:val="24"/>
        </w:rPr>
        <w:t>in WinOps unless the documentation is of such a confidential nature than it will be stored in a separate, secured file in the AML Compliance Officer’s office.</w:t>
      </w:r>
    </w:p>
    <w:p w14:paraId="1E018D43" w14:textId="77777777" w:rsidR="00322085" w:rsidRPr="00727573" w:rsidRDefault="00322085" w:rsidP="00214144">
      <w:pPr>
        <w:ind w:left="270"/>
        <w:rPr>
          <w:sz w:val="24"/>
          <w:szCs w:val="24"/>
        </w:rPr>
      </w:pPr>
    </w:p>
    <w:p w14:paraId="3C9508F3" w14:textId="77777777" w:rsidR="00322085" w:rsidRPr="00727573" w:rsidRDefault="00322085" w:rsidP="00214144">
      <w:pPr>
        <w:ind w:left="270"/>
        <w:rPr>
          <w:sz w:val="24"/>
          <w:szCs w:val="24"/>
        </w:rPr>
      </w:pPr>
      <w:r w:rsidRPr="00727573">
        <w:rPr>
          <w:sz w:val="24"/>
          <w:szCs w:val="24"/>
        </w:rPr>
        <w:t>Heightened scrutiny may include:</w:t>
      </w:r>
    </w:p>
    <w:p w14:paraId="3C85224D" w14:textId="77777777" w:rsidR="00322085" w:rsidRPr="00727573" w:rsidRDefault="00322085" w:rsidP="00214144">
      <w:pPr>
        <w:ind w:left="270"/>
        <w:rPr>
          <w:sz w:val="24"/>
          <w:szCs w:val="24"/>
        </w:rPr>
      </w:pPr>
      <w:r w:rsidRPr="00727573">
        <w:rPr>
          <w:sz w:val="24"/>
          <w:szCs w:val="24"/>
        </w:rPr>
        <w:t xml:space="preserve">1.  </w:t>
      </w:r>
      <w:r w:rsidR="00A9576C" w:rsidRPr="00727573">
        <w:rPr>
          <w:sz w:val="24"/>
          <w:szCs w:val="24"/>
        </w:rPr>
        <w:t>Transaction</w:t>
      </w:r>
      <w:r w:rsidRPr="00727573">
        <w:rPr>
          <w:sz w:val="24"/>
          <w:szCs w:val="24"/>
        </w:rPr>
        <w:t xml:space="preserve"> activity logs</w:t>
      </w:r>
      <w:r w:rsidR="0050096B" w:rsidRPr="00727573">
        <w:rPr>
          <w:sz w:val="24"/>
          <w:szCs w:val="24"/>
        </w:rPr>
        <w:t>;</w:t>
      </w:r>
    </w:p>
    <w:p w14:paraId="5A81BD83" w14:textId="77777777" w:rsidR="00322085" w:rsidRPr="00727573" w:rsidRDefault="00322085" w:rsidP="00214144">
      <w:pPr>
        <w:ind w:left="270"/>
        <w:rPr>
          <w:sz w:val="24"/>
          <w:szCs w:val="24"/>
        </w:rPr>
      </w:pPr>
      <w:r w:rsidRPr="00727573">
        <w:rPr>
          <w:sz w:val="24"/>
          <w:szCs w:val="24"/>
        </w:rPr>
        <w:t xml:space="preserve">2.  </w:t>
      </w:r>
      <w:r w:rsidR="00A9576C" w:rsidRPr="00727573">
        <w:rPr>
          <w:sz w:val="24"/>
          <w:szCs w:val="24"/>
        </w:rPr>
        <w:t>Cash</w:t>
      </w:r>
      <w:r w:rsidRPr="00727573">
        <w:rPr>
          <w:sz w:val="24"/>
          <w:szCs w:val="24"/>
        </w:rPr>
        <w:t xml:space="preserve"> movement activity</w:t>
      </w:r>
      <w:r w:rsidR="0050096B" w:rsidRPr="00727573">
        <w:rPr>
          <w:sz w:val="24"/>
          <w:szCs w:val="24"/>
        </w:rPr>
        <w:t xml:space="preserve"> reviews;</w:t>
      </w:r>
    </w:p>
    <w:p w14:paraId="3E5026C1" w14:textId="77777777" w:rsidR="0050096B" w:rsidRPr="00727573" w:rsidRDefault="00322085" w:rsidP="00214144">
      <w:pPr>
        <w:ind w:left="270"/>
        <w:rPr>
          <w:sz w:val="24"/>
          <w:szCs w:val="24"/>
        </w:rPr>
      </w:pPr>
      <w:r w:rsidRPr="00727573">
        <w:rPr>
          <w:sz w:val="24"/>
          <w:szCs w:val="24"/>
        </w:rPr>
        <w:t xml:space="preserve">3.  </w:t>
      </w:r>
      <w:r w:rsidR="00A9576C" w:rsidRPr="00727573">
        <w:rPr>
          <w:sz w:val="24"/>
          <w:szCs w:val="24"/>
        </w:rPr>
        <w:t>Suspend</w:t>
      </w:r>
      <w:r w:rsidR="0050096B" w:rsidRPr="00727573">
        <w:rPr>
          <w:sz w:val="24"/>
          <w:szCs w:val="24"/>
        </w:rPr>
        <w:t xml:space="preserve"> or hold accounts until pending review or ultimately closing account;</w:t>
      </w:r>
    </w:p>
    <w:p w14:paraId="23EB7DA0" w14:textId="77777777" w:rsidR="00834962" w:rsidRDefault="0050096B" w:rsidP="00834962">
      <w:pPr>
        <w:ind w:left="270"/>
        <w:rPr>
          <w:sz w:val="24"/>
          <w:szCs w:val="24"/>
        </w:rPr>
      </w:pPr>
      <w:r w:rsidRPr="00727573">
        <w:rPr>
          <w:sz w:val="24"/>
          <w:szCs w:val="24"/>
        </w:rPr>
        <w:t xml:space="preserve">4. </w:t>
      </w:r>
      <w:r w:rsidR="00D72F6C">
        <w:rPr>
          <w:sz w:val="24"/>
          <w:szCs w:val="24"/>
        </w:rPr>
        <w:t xml:space="preserve"> </w:t>
      </w:r>
      <w:r w:rsidRPr="00727573">
        <w:rPr>
          <w:sz w:val="24"/>
          <w:szCs w:val="24"/>
        </w:rPr>
        <w:t>Filing a SAR</w:t>
      </w:r>
    </w:p>
    <w:p w14:paraId="1C3F2FDB" w14:textId="77777777" w:rsidR="00514D18" w:rsidRDefault="00514D18" w:rsidP="00834962">
      <w:pPr>
        <w:ind w:left="270"/>
        <w:rPr>
          <w:sz w:val="24"/>
          <w:szCs w:val="24"/>
        </w:rPr>
      </w:pPr>
    </w:p>
    <w:p w14:paraId="3F1B9809" w14:textId="77777777" w:rsidR="00514D18" w:rsidRDefault="00514D18" w:rsidP="00514D18">
      <w:pPr>
        <w:pStyle w:val="Heading3"/>
      </w:pPr>
      <w:r>
        <w:t>7.6.1</w:t>
      </w:r>
      <w:r w:rsidR="00A4008A">
        <w:t>2</w:t>
      </w:r>
      <w:r>
        <w:t xml:space="preserve"> Reports of AML Non-Compliance and Other Potential Crimes</w:t>
      </w:r>
    </w:p>
    <w:p w14:paraId="20A462F2" w14:textId="77777777" w:rsidR="00514D18" w:rsidRDefault="005E4780" w:rsidP="00E63D03">
      <w:pPr>
        <w:ind w:left="270"/>
        <w:jc w:val="both"/>
        <w:rPr>
          <w:sz w:val="24"/>
          <w:szCs w:val="24"/>
        </w:rPr>
      </w:pPr>
      <w:r w:rsidRPr="004D2E21">
        <w:rPr>
          <w:sz w:val="24"/>
          <w:szCs w:val="24"/>
        </w:rPr>
        <w:t xml:space="preserve">All violations or suspected violations or crimes must be reported to the AML Compliance Officer.  This includes suspicion that the Company is being used as a conduit for criminal activity such as money laundering or structuring transactions to evade the Bank Secrecy Act reporting requirements.  Since a clear definition of a crime is sometimes unclear, it an individual believes some improper or illegal activity is </w:t>
      </w:r>
      <w:r w:rsidR="00046914" w:rsidRPr="004D2E21">
        <w:rPr>
          <w:sz w:val="24"/>
          <w:szCs w:val="24"/>
        </w:rPr>
        <w:t>occurring</w:t>
      </w:r>
      <w:r w:rsidRPr="004D2E21">
        <w:rPr>
          <w:sz w:val="24"/>
          <w:szCs w:val="24"/>
        </w:rPr>
        <w:t xml:space="preserve"> is obligated to report it.  If the potential violation implicates the AML Officer, it should be reported to a senior officer of the Company.  All reports are confidential and reporting individuals will not suffer any retaliation for making such reports.  </w:t>
      </w:r>
    </w:p>
    <w:p w14:paraId="5D7490F0" w14:textId="77777777" w:rsidR="00617E28" w:rsidRDefault="00617E28" w:rsidP="00E63D03">
      <w:pPr>
        <w:ind w:left="270"/>
        <w:jc w:val="both"/>
        <w:rPr>
          <w:sz w:val="24"/>
          <w:szCs w:val="24"/>
        </w:rPr>
      </w:pPr>
    </w:p>
    <w:p w14:paraId="5BE93BC6" w14:textId="77777777" w:rsidR="00617E28" w:rsidRDefault="00617E28" w:rsidP="00617E28">
      <w:pPr>
        <w:pStyle w:val="Heading3"/>
        <w:shd w:val="clear" w:color="auto" w:fill="FFFFFF"/>
        <w:spacing w:line="200" w:lineRule="atLeast"/>
      </w:pPr>
      <w:r>
        <w:t>7.6.1</w:t>
      </w:r>
      <w:r w:rsidR="00A4008A">
        <w:t>3</w:t>
      </w:r>
      <w:r>
        <w:t xml:space="preserve"> Foreign Currency Transactions </w:t>
      </w:r>
    </w:p>
    <w:p w14:paraId="1DA70D0C" w14:textId="77777777" w:rsidR="00617E28" w:rsidRPr="00472765" w:rsidRDefault="00617E28" w:rsidP="004A0FDE">
      <w:pPr>
        <w:pStyle w:val="Normal1"/>
        <w:shd w:val="clear" w:color="auto" w:fill="FFFFFF"/>
        <w:spacing w:before="0" w:after="0" w:afterAutospacing="0" w:line="240" w:lineRule="auto"/>
        <w:ind w:left="270"/>
        <w:rPr>
          <w:sz w:val="24"/>
          <w:szCs w:val="24"/>
        </w:rPr>
      </w:pPr>
      <w:r w:rsidRPr="00472765">
        <w:rPr>
          <w:rFonts w:ascii="Times New Roman" w:hAnsi="Times New Roman" w:cs="Times New Roman"/>
          <w:sz w:val="24"/>
          <w:szCs w:val="24"/>
        </w:rPr>
        <w:t xml:space="preserve">Foreign financial institutions may purchase U.S.-denominated bonds, generally issued by foreign governments, with the local currency, which are then transferred to a U.S. broker-dealer and sold, with proceeds then transferred offshore. U.S. broker-dealers act as intermediaries in these transactions and may receive foreign bonds or other securities worth millions of U. S. dollars without knowing who or how many underlying customers may be involved. RRs and the Company must be diligent about such transactions which may involve money laundering.  </w:t>
      </w:r>
    </w:p>
    <w:p w14:paraId="2CAC5157" w14:textId="77777777" w:rsidR="00B235A8" w:rsidRPr="004D2E21" w:rsidRDefault="00B235A8" w:rsidP="004A0FDE">
      <w:pPr>
        <w:pStyle w:val="BodyText2"/>
        <w:widowControl/>
        <w:ind w:left="270"/>
        <w:jc w:val="both"/>
      </w:pPr>
    </w:p>
    <w:p w14:paraId="69B9311F" w14:textId="77777777" w:rsidR="003D216B" w:rsidRDefault="003D216B" w:rsidP="004A0FDE">
      <w:pPr>
        <w:pStyle w:val="BodyText2"/>
        <w:widowControl/>
        <w:jc w:val="both"/>
      </w:pPr>
    </w:p>
    <w:p w14:paraId="009E6D26" w14:textId="77777777" w:rsidR="003D216B" w:rsidRPr="00E60F67" w:rsidRDefault="00A32F62" w:rsidP="00936FEE">
      <w:pPr>
        <w:pStyle w:val="Heading2"/>
      </w:pPr>
      <w:r w:rsidRPr="00E60F67">
        <w:t>7.</w:t>
      </w:r>
      <w:r w:rsidR="00C52626">
        <w:t>7</w:t>
      </w:r>
      <w:r w:rsidRPr="00E60F67">
        <w:t xml:space="preserve">   </w:t>
      </w:r>
      <w:r w:rsidR="001D73CC">
        <w:t xml:space="preserve">FinCEN </w:t>
      </w:r>
      <w:r w:rsidR="00277006">
        <w:t xml:space="preserve">and </w:t>
      </w:r>
      <w:r w:rsidR="003D216B" w:rsidRPr="00E60F67">
        <w:t>Subject Information Forms</w:t>
      </w:r>
    </w:p>
    <w:p w14:paraId="58CDFA15" w14:textId="77777777" w:rsidR="009431F1" w:rsidRPr="00267253" w:rsidRDefault="009431F1" w:rsidP="004A0FDE">
      <w:pPr>
        <w:rPr>
          <w:color w:val="FF0000"/>
        </w:rPr>
      </w:pPr>
      <w:r w:rsidRPr="00C35790">
        <w:rPr>
          <w:sz w:val="24"/>
        </w:rPr>
        <w:t xml:space="preserve">Enforcement agencies (FinCEN, state, local, and certain foreign law enforcement agencies eligible to make requests) send requests to FinCEN's Secure Information Sharing System (SSIS).  </w:t>
      </w:r>
      <w:r w:rsidR="00E1285E" w:rsidRPr="00C35790">
        <w:rPr>
          <w:sz w:val="24"/>
        </w:rPr>
        <w:t xml:space="preserve">Company is required to review </w:t>
      </w:r>
      <w:r w:rsidRPr="00C35790">
        <w:rPr>
          <w:sz w:val="24"/>
        </w:rPr>
        <w:t xml:space="preserve">the </w:t>
      </w:r>
      <w:r w:rsidR="00E1285E" w:rsidRPr="00C35790">
        <w:rPr>
          <w:sz w:val="24"/>
        </w:rPr>
        <w:t xml:space="preserve">SSIS bi-weekly to identify requests for information </w:t>
      </w:r>
      <w:r w:rsidR="00E1285E" w:rsidRPr="00C35790">
        <w:rPr>
          <w:sz w:val="24"/>
        </w:rPr>
        <w:lastRenderedPageBreak/>
        <w:t>and to send required information within required time frames.  Documentation of reviews including a confirmation page from SSIS and records of positive search results.</w:t>
      </w:r>
      <w:r w:rsidR="00E1285E" w:rsidRPr="00C35790">
        <w:t xml:space="preserve">  </w:t>
      </w:r>
    </w:p>
    <w:p w14:paraId="70FFE912" w14:textId="77777777" w:rsidR="009431F1" w:rsidRDefault="009431F1" w:rsidP="004A0FDE">
      <w:pPr>
        <w:rPr>
          <w:sz w:val="24"/>
          <w:szCs w:val="24"/>
        </w:rPr>
      </w:pPr>
    </w:p>
    <w:p w14:paraId="249D3CFE" w14:textId="77777777" w:rsidR="003D216B" w:rsidRDefault="00936FD9" w:rsidP="004A0FDE">
      <w:pPr>
        <w:rPr>
          <w:sz w:val="24"/>
          <w:szCs w:val="24"/>
        </w:rPr>
      </w:pPr>
      <w:r>
        <w:rPr>
          <w:sz w:val="24"/>
          <w:szCs w:val="24"/>
        </w:rPr>
        <w:t>If Company</w:t>
      </w:r>
      <w:r w:rsidR="003D216B" w:rsidRPr="00936FD9">
        <w:rPr>
          <w:sz w:val="24"/>
          <w:szCs w:val="24"/>
        </w:rPr>
        <w:t xml:space="preserve"> receive</w:t>
      </w:r>
      <w:r>
        <w:rPr>
          <w:sz w:val="24"/>
          <w:szCs w:val="24"/>
        </w:rPr>
        <w:t>s</w:t>
      </w:r>
      <w:r w:rsidR="003D216B" w:rsidRPr="00936FD9">
        <w:rPr>
          <w:sz w:val="24"/>
          <w:szCs w:val="24"/>
        </w:rPr>
        <w:t xml:space="preserve"> a request from FinCEN (which requests information </w:t>
      </w:r>
      <w:r w:rsidR="007E7973">
        <w:rPr>
          <w:sz w:val="24"/>
          <w:szCs w:val="24"/>
        </w:rPr>
        <w:t xml:space="preserve">approximately </w:t>
      </w:r>
      <w:r w:rsidR="003D216B" w:rsidRPr="00936FD9">
        <w:rPr>
          <w:sz w:val="24"/>
          <w:szCs w:val="24"/>
        </w:rPr>
        <w:t>every two weeks)</w:t>
      </w:r>
      <w:r>
        <w:rPr>
          <w:sz w:val="24"/>
          <w:szCs w:val="24"/>
        </w:rPr>
        <w:t>:</w:t>
      </w:r>
    </w:p>
    <w:p w14:paraId="3F39B404" w14:textId="77777777" w:rsidR="004C3D96" w:rsidRDefault="004C3D96" w:rsidP="004A0FDE">
      <w:pPr>
        <w:rPr>
          <w:sz w:val="24"/>
          <w:szCs w:val="24"/>
        </w:rPr>
      </w:pPr>
    </w:p>
    <w:p w14:paraId="7E907CD8" w14:textId="568B5496" w:rsidR="00FA538F" w:rsidRPr="00FA538F" w:rsidRDefault="004C3D96" w:rsidP="00FA538F">
      <w:pPr>
        <w:numPr>
          <w:ilvl w:val="0"/>
          <w:numId w:val="17"/>
        </w:numPr>
        <w:jc w:val="both"/>
        <w:rPr>
          <w:sz w:val="24"/>
        </w:rPr>
      </w:pPr>
      <w:r>
        <w:rPr>
          <w:sz w:val="24"/>
        </w:rPr>
        <w:t xml:space="preserve">The Company is required to conduct an immediate "one-time" search of its records (whether or not they are kept electronically) to determine whether the Company, at its home office or at one of its branches operating in the United States, maintains or has maintained accounts for, or has engaged in transactions with, any "named subject," that is, any individual, entity, or organization identified in the request. </w:t>
      </w:r>
    </w:p>
    <w:p w14:paraId="76875DB4" w14:textId="77777777" w:rsidR="004C3D96" w:rsidRDefault="004C3D96" w:rsidP="00216F83">
      <w:pPr>
        <w:numPr>
          <w:ilvl w:val="0"/>
          <w:numId w:val="17"/>
        </w:numPr>
        <w:spacing w:before="100" w:beforeAutospacing="1" w:after="240"/>
        <w:jc w:val="both"/>
        <w:rPr>
          <w:sz w:val="24"/>
        </w:rPr>
      </w:pPr>
      <w:r>
        <w:rPr>
          <w:sz w:val="24"/>
        </w:rPr>
        <w:t xml:space="preserve">The Company is only required to search </w:t>
      </w:r>
      <w:r>
        <w:rPr>
          <w:b/>
          <w:bCs/>
          <w:sz w:val="24"/>
        </w:rPr>
        <w:t>current accounts and accounts</w:t>
      </w:r>
      <w:r>
        <w:rPr>
          <w:sz w:val="24"/>
        </w:rPr>
        <w:t xml:space="preserve"> maintained by a named subject during the prior twelve (12) months, and </w:t>
      </w:r>
      <w:r>
        <w:rPr>
          <w:b/>
          <w:bCs/>
          <w:sz w:val="24"/>
        </w:rPr>
        <w:t>transactions not linked to an account</w:t>
      </w:r>
      <w:r>
        <w:rPr>
          <w:sz w:val="24"/>
        </w:rPr>
        <w:t xml:space="preserve"> conducted by a named subject during the prior six (6) months. </w:t>
      </w:r>
    </w:p>
    <w:p w14:paraId="4222AC7D" w14:textId="77777777" w:rsidR="004C3D96" w:rsidRDefault="004C3D96" w:rsidP="00216F83">
      <w:pPr>
        <w:numPr>
          <w:ilvl w:val="0"/>
          <w:numId w:val="17"/>
        </w:numPr>
        <w:spacing w:before="100" w:beforeAutospacing="1" w:after="240"/>
        <w:jc w:val="both"/>
        <w:rPr>
          <w:sz w:val="24"/>
        </w:rPr>
      </w:pPr>
      <w:r>
        <w:rPr>
          <w:sz w:val="24"/>
        </w:rPr>
        <w:t xml:space="preserve">If a match is found, the Company should stop its search of the named subject. There is no need to continue searching the Company’s records regarding that subject, unless and until the Company has been contacted by the requesting federal law enforcement agency for additional information. However, the Company should continue to search its records for an account or transactions matching </w:t>
      </w:r>
      <w:r>
        <w:rPr>
          <w:i/>
          <w:iCs/>
          <w:sz w:val="24"/>
        </w:rPr>
        <w:t>any other</w:t>
      </w:r>
      <w:r>
        <w:rPr>
          <w:sz w:val="24"/>
        </w:rPr>
        <w:t xml:space="preserve"> named subject in the request.</w:t>
      </w:r>
    </w:p>
    <w:p w14:paraId="4740190B" w14:textId="77777777" w:rsidR="004C3D96" w:rsidRDefault="004C3D96" w:rsidP="00216F83">
      <w:pPr>
        <w:numPr>
          <w:ilvl w:val="0"/>
          <w:numId w:val="17"/>
        </w:numPr>
        <w:spacing w:before="100" w:beforeAutospacing="1" w:after="240"/>
        <w:jc w:val="both"/>
        <w:rPr>
          <w:sz w:val="24"/>
        </w:rPr>
      </w:pPr>
      <w:r>
        <w:rPr>
          <w:sz w:val="24"/>
        </w:rPr>
        <w:t xml:space="preserve">The Company is required to notify FinCEN </w:t>
      </w:r>
      <w:r>
        <w:rPr>
          <w:b/>
          <w:bCs/>
          <w:sz w:val="24"/>
        </w:rPr>
        <w:t>immediately</w:t>
      </w:r>
      <w:r>
        <w:rPr>
          <w:sz w:val="24"/>
        </w:rPr>
        <w:t xml:space="preserve"> if the Company matches an account or transaction with a named subject. The Company must report any match to FinCEN by completing a Subject Information Form (one form per request). The Form only requires an "X" be placed next to the particular named subject for which a match that was found, and to provide point-of-contact information. The Form containing the positive matches must be sent to FinCEN by electronic mail at </w:t>
      </w:r>
      <w:hyperlink r:id="rId47" w:history="1">
        <w:r>
          <w:rPr>
            <w:rStyle w:val="Hyperlink"/>
            <w:sz w:val="24"/>
          </w:rPr>
          <w:t>sys314a@fincen.treas.gov</w:t>
        </w:r>
      </w:hyperlink>
      <w:r>
        <w:rPr>
          <w:sz w:val="24"/>
        </w:rPr>
        <w:t xml:space="preserve">, or if for some reason the Company does not have e-mail, by facsimile transmission at 703-905-3660. </w:t>
      </w:r>
    </w:p>
    <w:p w14:paraId="010D887A" w14:textId="77777777" w:rsidR="004C3D96" w:rsidRDefault="004C3D96" w:rsidP="00216F83">
      <w:pPr>
        <w:numPr>
          <w:ilvl w:val="0"/>
          <w:numId w:val="17"/>
        </w:numPr>
        <w:spacing w:before="100" w:beforeAutospacing="1" w:after="240"/>
        <w:jc w:val="both"/>
        <w:rPr>
          <w:sz w:val="24"/>
        </w:rPr>
      </w:pPr>
      <w:r>
        <w:rPr>
          <w:sz w:val="24"/>
        </w:rPr>
        <w:t xml:space="preserve">If a match is found, </w:t>
      </w:r>
      <w:r w:rsidR="001B56C4">
        <w:rPr>
          <w:sz w:val="24"/>
        </w:rPr>
        <w:t>t</w:t>
      </w:r>
      <w:r>
        <w:rPr>
          <w:sz w:val="24"/>
        </w:rPr>
        <w:t xml:space="preserve">he Company should not send any record of an account or a transaction (other than a report, as described above, notifying FinCEN of the match) when responding to the information request. </w:t>
      </w:r>
    </w:p>
    <w:p w14:paraId="7F395CC0" w14:textId="77777777" w:rsidR="004C3D96" w:rsidRDefault="004C3D96" w:rsidP="00216F83">
      <w:pPr>
        <w:numPr>
          <w:ilvl w:val="0"/>
          <w:numId w:val="17"/>
        </w:numPr>
        <w:spacing w:before="100" w:beforeAutospacing="1" w:after="240"/>
        <w:jc w:val="both"/>
        <w:rPr>
          <w:sz w:val="24"/>
        </w:rPr>
      </w:pPr>
      <w:r>
        <w:rPr>
          <w:sz w:val="24"/>
        </w:rPr>
        <w:t xml:space="preserve">If a match is found, the Company is required to provide FinCEN with information </w:t>
      </w:r>
      <w:r>
        <w:rPr>
          <w:b/>
          <w:bCs/>
          <w:sz w:val="24"/>
        </w:rPr>
        <w:t>identifying</w:t>
      </w:r>
      <w:r>
        <w:rPr>
          <w:sz w:val="24"/>
        </w:rPr>
        <w:t xml:space="preserve"> Morris Monroe as the </w:t>
      </w:r>
      <w:r>
        <w:rPr>
          <w:b/>
          <w:bCs/>
          <w:sz w:val="24"/>
        </w:rPr>
        <w:t>point-of-contact</w:t>
      </w:r>
      <w:r>
        <w:rPr>
          <w:sz w:val="24"/>
        </w:rPr>
        <w:t xml:space="preserve"> at the Company in charge of the Section 314(a) search and the person who may be contacted by the requesting federal law enforcement agency for additional information regarding the match (although this person does not have to be </w:t>
      </w:r>
      <w:r w:rsidR="00A00E56">
        <w:rPr>
          <w:sz w:val="24"/>
          <w:szCs w:val="24"/>
        </w:rPr>
        <w:t>the Company</w:t>
      </w:r>
      <w:r w:rsidR="00A00E56" w:rsidRPr="00472765">
        <w:rPr>
          <w:sz w:val="24"/>
          <w:szCs w:val="24"/>
        </w:rPr>
        <w:t xml:space="preserve">'s </w:t>
      </w:r>
      <w:r>
        <w:rPr>
          <w:sz w:val="24"/>
        </w:rPr>
        <w:t>Anti-Money Laundering Compliance Officer).</w:t>
      </w:r>
    </w:p>
    <w:p w14:paraId="56A826F0" w14:textId="77777777" w:rsidR="004C3D96" w:rsidRDefault="009378DB" w:rsidP="00216F83">
      <w:pPr>
        <w:numPr>
          <w:ilvl w:val="0"/>
          <w:numId w:val="17"/>
        </w:numPr>
        <w:spacing w:before="100" w:beforeAutospacing="1" w:after="240"/>
        <w:jc w:val="both"/>
        <w:rPr>
          <w:sz w:val="24"/>
        </w:rPr>
      </w:pPr>
      <w:r>
        <w:rPr>
          <w:b/>
          <w:bCs/>
          <w:sz w:val="24"/>
        </w:rPr>
        <w:t>If the</w:t>
      </w:r>
      <w:r w:rsidR="004C3D96">
        <w:rPr>
          <w:b/>
          <w:bCs/>
          <w:sz w:val="24"/>
        </w:rPr>
        <w:t xml:space="preserve"> Company does </w:t>
      </w:r>
      <w:r w:rsidR="004C3D96">
        <w:rPr>
          <w:b/>
          <w:bCs/>
          <w:sz w:val="24"/>
          <w:u w:val="single"/>
        </w:rPr>
        <w:t>not</w:t>
      </w:r>
      <w:r w:rsidR="004C3D96">
        <w:rPr>
          <w:b/>
          <w:bCs/>
          <w:sz w:val="24"/>
        </w:rPr>
        <w:t xml:space="preserve"> uncover a match, then it does not have to reply to the request. Only matches should be reported.</w:t>
      </w:r>
      <w:r w:rsidR="004C3D96">
        <w:rPr>
          <w:sz w:val="24"/>
        </w:rPr>
        <w:t xml:space="preserve"> </w:t>
      </w:r>
    </w:p>
    <w:p w14:paraId="0BEAADDE" w14:textId="77777777" w:rsidR="004C3D96" w:rsidRDefault="004C3D96" w:rsidP="00216F83">
      <w:pPr>
        <w:numPr>
          <w:ilvl w:val="0"/>
          <w:numId w:val="17"/>
        </w:numPr>
        <w:spacing w:before="100" w:beforeAutospacing="1" w:after="240"/>
        <w:jc w:val="both"/>
        <w:rPr>
          <w:sz w:val="24"/>
        </w:rPr>
      </w:pPr>
      <w:r>
        <w:rPr>
          <w:sz w:val="24"/>
        </w:rPr>
        <w:t xml:space="preserve">Other than responding to and notifying FinCEN of a match, no other action is required by the request. </w:t>
      </w:r>
    </w:p>
    <w:p w14:paraId="451CC79C" w14:textId="77777777" w:rsidR="004C3D96" w:rsidRDefault="004C3D96" w:rsidP="00216F83">
      <w:pPr>
        <w:numPr>
          <w:ilvl w:val="0"/>
          <w:numId w:val="17"/>
        </w:numPr>
        <w:spacing w:before="100" w:beforeAutospacing="1" w:after="240"/>
        <w:jc w:val="both"/>
        <w:rPr>
          <w:sz w:val="24"/>
        </w:rPr>
      </w:pPr>
      <w:r>
        <w:rPr>
          <w:sz w:val="24"/>
        </w:rPr>
        <w:t>Questions concerning a possible match with any named subject should be directed to the requesting federal law enforcement agency designated in the request.</w:t>
      </w:r>
    </w:p>
    <w:p w14:paraId="7C227AB8" w14:textId="77777777" w:rsidR="004C3D96" w:rsidRDefault="004C3D96" w:rsidP="004C3D96">
      <w:pPr>
        <w:pStyle w:val="NormalWeb"/>
        <w:spacing w:before="0" w:beforeAutospacing="0" w:after="0" w:afterAutospacing="0"/>
        <w:jc w:val="both"/>
        <w:rPr>
          <w:rFonts w:ascii="Times New Roman" w:hAnsi="Times New Roman" w:cs="Times New Roman"/>
          <w:b/>
          <w:bCs/>
          <w:szCs w:val="20"/>
        </w:rPr>
      </w:pPr>
    </w:p>
    <w:p w14:paraId="51CAD6E2" w14:textId="77777777" w:rsidR="004C3D96" w:rsidRDefault="004C3D96" w:rsidP="004C3D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i/>
          <w:iCs/>
          <w:sz w:val="20"/>
        </w:rPr>
      </w:pPr>
      <w:r>
        <w:rPr>
          <w:rFonts w:ascii="Times New Roman" w:hAnsi="Times New Roman" w:cs="Times New Roman"/>
          <w:b/>
          <w:bCs/>
          <w:i/>
          <w:iCs/>
          <w:sz w:val="20"/>
          <w:szCs w:val="20"/>
        </w:rPr>
        <w:lastRenderedPageBreak/>
        <w:t xml:space="preserve">Use and Confidentiality </w:t>
      </w:r>
    </w:p>
    <w:p w14:paraId="6DA2879F" w14:textId="77777777" w:rsidR="004C3D96" w:rsidRDefault="004C3D96" w:rsidP="004C3D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i/>
          <w:iCs/>
          <w:sz w:val="20"/>
        </w:rPr>
      </w:pPr>
      <w:r>
        <w:rPr>
          <w:rFonts w:ascii="Times New Roman" w:hAnsi="Times New Roman" w:cs="Times New Roman"/>
          <w:i/>
          <w:iCs/>
          <w:sz w:val="20"/>
          <w:szCs w:val="20"/>
        </w:rPr>
        <w:t>Firms generally may not disclose to any other person the fact that FinCEN has requested or obtained information, except to the extent necessary to comply with FinCEN's request. For purposes of assisting a firm in complying with a request, the firm may provide a list of named subjects identified in a request to a third-party service provider or vendor so long as it takes those steps necessary to ensure that the third party safeguards the information.</w:t>
      </w:r>
      <w:r>
        <w:rPr>
          <w:rFonts w:ascii="Times New Roman" w:hAnsi="Times New Roman" w:cs="Times New Roman"/>
          <w:i/>
          <w:iCs/>
          <w:sz w:val="20"/>
        </w:rPr>
        <w:t xml:space="preserve"> </w:t>
      </w:r>
    </w:p>
    <w:p w14:paraId="0F39D1B4" w14:textId="77777777" w:rsidR="004C3D96" w:rsidRDefault="004C3D96" w:rsidP="004C3D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i/>
          <w:iCs/>
          <w:sz w:val="20"/>
        </w:rPr>
      </w:pPr>
      <w:r>
        <w:rPr>
          <w:rFonts w:ascii="Times New Roman" w:hAnsi="Times New Roman" w:cs="Times New Roman"/>
          <w:b/>
          <w:bCs/>
          <w:i/>
          <w:iCs/>
          <w:sz w:val="20"/>
          <w:szCs w:val="20"/>
        </w:rPr>
        <w:t>Questions</w:t>
      </w:r>
      <w:r>
        <w:rPr>
          <w:rFonts w:ascii="Times New Roman" w:hAnsi="Times New Roman" w:cs="Times New Roman"/>
          <w:i/>
          <w:iCs/>
          <w:sz w:val="20"/>
        </w:rPr>
        <w:t xml:space="preserve"> </w:t>
      </w:r>
    </w:p>
    <w:p w14:paraId="382EB272" w14:textId="77777777" w:rsidR="004C3D96" w:rsidRDefault="004C3D96" w:rsidP="004C3D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i/>
          <w:iCs/>
          <w:sz w:val="20"/>
        </w:rPr>
      </w:pPr>
      <w:r>
        <w:rPr>
          <w:rFonts w:ascii="Times New Roman" w:hAnsi="Times New Roman" w:cs="Times New Roman"/>
          <w:i/>
          <w:iCs/>
          <w:sz w:val="20"/>
          <w:szCs w:val="20"/>
        </w:rPr>
        <w:t xml:space="preserve">For further information about this and detailed instructions on how to comply with Section 314(a) requests, access: </w:t>
      </w:r>
      <w:hyperlink r:id="rId48" w:history="1">
        <w:r>
          <w:rPr>
            <w:rStyle w:val="Hyperlink"/>
            <w:rFonts w:ascii="Times New Roman" w:hAnsi="Times New Roman" w:cs="Times New Roman"/>
            <w:i/>
            <w:iCs/>
            <w:sz w:val="20"/>
            <w:szCs w:val="20"/>
          </w:rPr>
          <w:t>www.fincen.gov/314a_instructionsfinal.pdf</w:t>
        </w:r>
      </w:hyperlink>
      <w:r>
        <w:rPr>
          <w:rFonts w:ascii="Times New Roman" w:hAnsi="Times New Roman" w:cs="Times New Roman"/>
          <w:i/>
          <w:iCs/>
          <w:sz w:val="20"/>
          <w:szCs w:val="20"/>
        </w:rPr>
        <w:t xml:space="preserve">.  FinCEN has also published "Frequently Asked Questions" on its website at </w:t>
      </w:r>
      <w:hyperlink r:id="rId49" w:history="1">
        <w:r>
          <w:rPr>
            <w:rStyle w:val="Hyperlink"/>
            <w:rFonts w:ascii="Times New Roman" w:hAnsi="Times New Roman" w:cs="Times New Roman"/>
            <w:i/>
            <w:iCs/>
            <w:sz w:val="20"/>
            <w:szCs w:val="20"/>
          </w:rPr>
          <w:t>www.fincen.gov/314a_faqsfinal.pdf</w:t>
        </w:r>
      </w:hyperlink>
      <w:r>
        <w:rPr>
          <w:rFonts w:ascii="Times New Roman" w:hAnsi="Times New Roman" w:cs="Times New Roman"/>
          <w:i/>
          <w:iCs/>
          <w:sz w:val="20"/>
        </w:rPr>
        <w:t xml:space="preserve"> </w:t>
      </w:r>
    </w:p>
    <w:p w14:paraId="728080E6" w14:textId="77777777" w:rsidR="004C3D96" w:rsidRDefault="00D6319C" w:rsidP="004C3D96">
      <w:pPr>
        <w:pBdr>
          <w:top w:val="single" w:sz="4" w:space="1" w:color="auto"/>
          <w:left w:val="single" w:sz="4" w:space="4" w:color="auto"/>
          <w:bottom w:val="single" w:sz="4" w:space="1" w:color="auto"/>
          <w:right w:val="single" w:sz="4" w:space="4" w:color="auto"/>
        </w:pBdr>
        <w:jc w:val="both"/>
        <w:rPr>
          <w:i/>
          <w:iCs/>
        </w:rPr>
      </w:pPr>
      <w:r>
        <w:rPr>
          <w:i/>
          <w:iCs/>
        </w:rPr>
        <w:pict w14:anchorId="1FBD4BEA">
          <v:rect id="_x0000_i1029" style="width:351pt;height:.75pt" o:hrpct="750" o:hrstd="t" o:hr="t" fillcolor="gray" stroked="f"/>
        </w:pict>
      </w:r>
    </w:p>
    <w:p w14:paraId="46DDEE51" w14:textId="77777777" w:rsidR="004C3D96" w:rsidRDefault="004C3D96" w:rsidP="004C3D96">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imes New Roman" w:hAnsi="Times New Roman" w:cs="Times New Roman"/>
          <w:i/>
          <w:iCs/>
          <w:sz w:val="20"/>
        </w:rPr>
      </w:pPr>
      <w:r>
        <w:rPr>
          <w:rFonts w:ascii="Times New Roman" w:hAnsi="Times New Roman" w:cs="Times New Roman"/>
          <w:i/>
          <w:iCs/>
          <w:sz w:val="20"/>
          <w:szCs w:val="20"/>
          <w:vertAlign w:val="superscript"/>
        </w:rPr>
        <w:t>1</w:t>
      </w:r>
      <w:r>
        <w:rPr>
          <w:rFonts w:ascii="Times New Roman" w:hAnsi="Times New Roman" w:cs="Times New Roman"/>
          <w:i/>
          <w:iCs/>
          <w:sz w:val="20"/>
          <w:szCs w:val="20"/>
        </w:rPr>
        <w:t xml:space="preserve"> For more specific information concerning which records are required to be searched,  go to </w:t>
      </w:r>
      <w:hyperlink r:id="rId50" w:history="1">
        <w:r>
          <w:rPr>
            <w:rStyle w:val="Hyperlink"/>
            <w:rFonts w:ascii="Times New Roman" w:hAnsi="Times New Roman" w:cs="Times New Roman"/>
            <w:i/>
            <w:iCs/>
            <w:sz w:val="20"/>
            <w:szCs w:val="20"/>
          </w:rPr>
          <w:t>www.fincen.gov</w:t>
        </w:r>
      </w:hyperlink>
      <w:r>
        <w:rPr>
          <w:rFonts w:ascii="Times New Roman" w:hAnsi="Times New Roman" w:cs="Times New Roman"/>
          <w:i/>
          <w:iCs/>
          <w:sz w:val="20"/>
          <w:szCs w:val="20"/>
        </w:rPr>
        <w:t xml:space="preserve"> and view the detailed instructions for complying with Section 314(a) requests.</w:t>
      </w:r>
      <w:r>
        <w:rPr>
          <w:rFonts w:ascii="Times New Roman" w:hAnsi="Times New Roman" w:cs="Times New Roman"/>
          <w:i/>
          <w:iCs/>
          <w:sz w:val="20"/>
        </w:rPr>
        <w:t xml:space="preserve"> </w:t>
      </w:r>
    </w:p>
    <w:p w14:paraId="4B0C6F85" w14:textId="77777777" w:rsidR="004C3D96" w:rsidRDefault="004C3D96" w:rsidP="004C3D96">
      <w:pPr>
        <w:pStyle w:val="NormalWeb"/>
        <w:spacing w:before="0" w:beforeAutospacing="0" w:after="240" w:afterAutospacing="0"/>
        <w:rPr>
          <w:rFonts w:ascii="Times New Roman" w:hAnsi="Times New Roman" w:cs="Times New Roman"/>
        </w:rPr>
      </w:pPr>
    </w:p>
    <w:p w14:paraId="371F0FD8" w14:textId="77777777" w:rsidR="00E63D03" w:rsidRDefault="00E63D03" w:rsidP="00D858D7">
      <w:pPr>
        <w:pStyle w:val="Heading3"/>
        <w:ind w:left="274"/>
      </w:pPr>
      <w:r>
        <w:t xml:space="preserve">7.7.1 Foreign Financial Account Reporting Requirements </w:t>
      </w:r>
      <w:r w:rsidR="00FC71A3">
        <w:t>and</w:t>
      </w:r>
      <w:r>
        <w:t xml:space="preserve"> Recordkeeping (FBAR)</w:t>
      </w:r>
    </w:p>
    <w:p w14:paraId="3DAF92BB" w14:textId="77777777" w:rsidR="00E63D03" w:rsidRPr="00D949D0" w:rsidRDefault="00E63D03" w:rsidP="00D858D7">
      <w:pPr>
        <w:tabs>
          <w:tab w:val="left" w:pos="270"/>
        </w:tabs>
        <w:ind w:left="274"/>
        <w:rPr>
          <w:spacing w:val="8"/>
          <w:sz w:val="24"/>
          <w:szCs w:val="24"/>
        </w:rPr>
      </w:pPr>
      <w:r w:rsidRPr="00D949D0">
        <w:rPr>
          <w:spacing w:val="8"/>
          <w:sz w:val="24"/>
          <w:szCs w:val="24"/>
        </w:rPr>
        <w:t>Certain "United States persons" that maintain accounts (including any account where the person has a financial interest in, or signature or other authority over) in foreign jurisdictions and with aggregate balances exceeding $10,000 are required to file a Report of Foreign Bank and Financial Accounts (FBAR) Department of Treasury Form 90-22.1 with FinCEN on or before June 30</w:t>
      </w:r>
      <w:r w:rsidRPr="00D949D0">
        <w:rPr>
          <w:spacing w:val="8"/>
          <w:sz w:val="24"/>
          <w:szCs w:val="24"/>
          <w:vertAlign w:val="superscript"/>
        </w:rPr>
        <w:t>th</w:t>
      </w:r>
      <w:r w:rsidRPr="00D949D0">
        <w:rPr>
          <w:spacing w:val="8"/>
          <w:sz w:val="24"/>
          <w:szCs w:val="24"/>
        </w:rPr>
        <w:t xml:space="preserve"> of each calendar year for accounts maintained during the previous calendar year. Certain U.S. persons with signature authority over, but no financial interest in, foreign financial accounts of their employers and entities related to their employers have an extension until June 30, </w:t>
      </w:r>
      <w:proofErr w:type="gramStart"/>
      <w:r w:rsidRPr="00D949D0">
        <w:rPr>
          <w:spacing w:val="8"/>
          <w:sz w:val="24"/>
          <w:szCs w:val="24"/>
        </w:rPr>
        <w:t>2013</w:t>
      </w:r>
      <w:proofErr w:type="gramEnd"/>
      <w:r w:rsidRPr="00D949D0">
        <w:rPr>
          <w:spacing w:val="8"/>
          <w:sz w:val="24"/>
          <w:szCs w:val="24"/>
        </w:rPr>
        <w:t xml:space="preserve"> to file Form 90-22.1 (see FinCEN Notice 2012-1). The FINOP is responsible for filing the annual report if it is required for </w:t>
      </w:r>
      <w:r w:rsidR="00D858D7" w:rsidRPr="00D949D0">
        <w:rPr>
          <w:spacing w:val="8"/>
          <w:sz w:val="24"/>
          <w:szCs w:val="24"/>
        </w:rPr>
        <w:t>the Company</w:t>
      </w:r>
      <w:r w:rsidRPr="00D949D0">
        <w:rPr>
          <w:spacing w:val="8"/>
          <w:sz w:val="24"/>
          <w:szCs w:val="24"/>
        </w:rPr>
        <w:t>.</w:t>
      </w:r>
    </w:p>
    <w:p w14:paraId="139CF1CB" w14:textId="77777777" w:rsidR="00E63D03" w:rsidRPr="00D949D0" w:rsidRDefault="00E63D03" w:rsidP="00E63D03">
      <w:pPr>
        <w:spacing w:before="100" w:beforeAutospacing="1" w:after="100" w:afterAutospacing="1" w:line="200" w:lineRule="atLeast"/>
        <w:ind w:firstLine="270"/>
        <w:rPr>
          <w:spacing w:val="8"/>
          <w:sz w:val="24"/>
          <w:szCs w:val="24"/>
        </w:rPr>
      </w:pPr>
      <w:r w:rsidRPr="00D949D0">
        <w:rPr>
          <w:spacing w:val="8"/>
          <w:sz w:val="24"/>
          <w:szCs w:val="24"/>
        </w:rPr>
        <w:t>The filing requirement applies to:</w:t>
      </w:r>
    </w:p>
    <w:p w14:paraId="06F4B4C4" w14:textId="77777777" w:rsidR="00E63D03" w:rsidRPr="00D949D0" w:rsidRDefault="00E63D03" w:rsidP="003E7B18">
      <w:pPr>
        <w:numPr>
          <w:ilvl w:val="0"/>
          <w:numId w:val="179"/>
        </w:numPr>
        <w:spacing w:before="100" w:beforeAutospacing="1" w:after="100" w:afterAutospacing="1"/>
        <w:ind w:left="783"/>
        <w:rPr>
          <w:spacing w:val="8"/>
          <w:sz w:val="24"/>
          <w:szCs w:val="24"/>
        </w:rPr>
      </w:pPr>
      <w:r w:rsidRPr="00D949D0">
        <w:rPr>
          <w:spacing w:val="8"/>
          <w:sz w:val="24"/>
          <w:szCs w:val="24"/>
        </w:rPr>
        <w:t xml:space="preserve">Non-resident aliens and foreign entities "in and doing business" in the U.S. </w:t>
      </w:r>
    </w:p>
    <w:p w14:paraId="74C789A2" w14:textId="77777777" w:rsidR="00E63D03" w:rsidRPr="00D949D0" w:rsidRDefault="00E63D03" w:rsidP="003E7B18">
      <w:pPr>
        <w:numPr>
          <w:ilvl w:val="0"/>
          <w:numId w:val="179"/>
        </w:numPr>
        <w:spacing w:before="100" w:beforeAutospacing="1" w:after="100" w:afterAutospacing="1"/>
        <w:ind w:left="783"/>
        <w:rPr>
          <w:spacing w:val="8"/>
          <w:sz w:val="24"/>
          <w:szCs w:val="24"/>
        </w:rPr>
      </w:pPr>
      <w:r w:rsidRPr="00D949D0">
        <w:rPr>
          <w:spacing w:val="8"/>
          <w:sz w:val="24"/>
          <w:szCs w:val="24"/>
        </w:rPr>
        <w:t xml:space="preserve">All forms of U.S. business entities, trusts, estates with foreign accounts. </w:t>
      </w:r>
    </w:p>
    <w:p w14:paraId="25F8022A" w14:textId="77777777" w:rsidR="00E63D03" w:rsidRPr="00D949D0" w:rsidRDefault="00E63D03" w:rsidP="003E7B18">
      <w:pPr>
        <w:numPr>
          <w:ilvl w:val="0"/>
          <w:numId w:val="179"/>
        </w:numPr>
        <w:spacing w:before="100" w:beforeAutospacing="1" w:after="100" w:afterAutospacing="1"/>
        <w:ind w:left="783"/>
        <w:rPr>
          <w:spacing w:val="8"/>
          <w:sz w:val="24"/>
          <w:szCs w:val="24"/>
        </w:rPr>
      </w:pPr>
      <w:r w:rsidRPr="00D949D0">
        <w:rPr>
          <w:spacing w:val="8"/>
          <w:sz w:val="24"/>
          <w:szCs w:val="24"/>
        </w:rPr>
        <w:t xml:space="preserve">U.S. citizens and residents with signature or other authority over a foreign account. </w:t>
      </w:r>
    </w:p>
    <w:p w14:paraId="3677D7E8" w14:textId="77777777" w:rsidR="00E63D03" w:rsidRPr="00D949D0" w:rsidRDefault="00E63D03" w:rsidP="003E7B18">
      <w:pPr>
        <w:numPr>
          <w:ilvl w:val="0"/>
          <w:numId w:val="179"/>
        </w:numPr>
        <w:spacing w:before="100" w:beforeAutospacing="1" w:after="100" w:afterAutospacing="1"/>
        <w:ind w:left="783"/>
        <w:rPr>
          <w:spacing w:val="8"/>
          <w:sz w:val="24"/>
          <w:szCs w:val="24"/>
        </w:rPr>
      </w:pPr>
      <w:r w:rsidRPr="00D949D0">
        <w:rPr>
          <w:spacing w:val="8"/>
          <w:sz w:val="24"/>
          <w:szCs w:val="24"/>
        </w:rPr>
        <w:t xml:space="preserve">Trust beneficiaries with a greater than 50% beneficial interest in a trust with a foreign account. </w:t>
      </w:r>
    </w:p>
    <w:p w14:paraId="2EA2A02C" w14:textId="77777777" w:rsidR="00E63D03" w:rsidRPr="00D949D0" w:rsidRDefault="00E63D03" w:rsidP="003E7B18">
      <w:pPr>
        <w:numPr>
          <w:ilvl w:val="0"/>
          <w:numId w:val="179"/>
        </w:numPr>
        <w:spacing w:before="100" w:beforeAutospacing="1" w:after="100" w:afterAutospacing="1"/>
        <w:ind w:left="783"/>
        <w:rPr>
          <w:spacing w:val="8"/>
          <w:sz w:val="24"/>
          <w:szCs w:val="24"/>
        </w:rPr>
      </w:pPr>
      <w:r w:rsidRPr="00D949D0">
        <w:rPr>
          <w:spacing w:val="8"/>
          <w:sz w:val="24"/>
          <w:szCs w:val="24"/>
        </w:rPr>
        <w:t xml:space="preserve">U.S. citizens and resident stockholders with greater than 50% of the value or vote of the shares of a corporation with foreign accounts. </w:t>
      </w:r>
    </w:p>
    <w:p w14:paraId="2FE77700" w14:textId="77777777" w:rsidR="00E63D03" w:rsidRPr="00D949D0" w:rsidRDefault="00E63D03" w:rsidP="003E7B18">
      <w:pPr>
        <w:numPr>
          <w:ilvl w:val="0"/>
          <w:numId w:val="179"/>
        </w:numPr>
        <w:spacing w:before="100" w:beforeAutospacing="1" w:after="100" w:afterAutospacing="1"/>
        <w:ind w:left="783"/>
        <w:rPr>
          <w:spacing w:val="8"/>
          <w:sz w:val="24"/>
          <w:szCs w:val="24"/>
        </w:rPr>
      </w:pPr>
      <w:r w:rsidRPr="00D949D0">
        <w:rPr>
          <w:spacing w:val="8"/>
          <w:sz w:val="24"/>
          <w:szCs w:val="24"/>
        </w:rPr>
        <w:t>Entities that are disregarded for tax purposes, such as limited liability companies.</w:t>
      </w:r>
    </w:p>
    <w:p w14:paraId="5DCD0B9F" w14:textId="77777777" w:rsidR="00E63D03" w:rsidRPr="00D949D0" w:rsidRDefault="00E63D03" w:rsidP="00E63D03">
      <w:pPr>
        <w:spacing w:before="100" w:beforeAutospacing="1" w:after="100" w:afterAutospacing="1" w:line="200" w:lineRule="atLeast"/>
        <w:ind w:left="270"/>
        <w:rPr>
          <w:spacing w:val="8"/>
          <w:sz w:val="24"/>
          <w:szCs w:val="24"/>
        </w:rPr>
      </w:pPr>
      <w:r w:rsidRPr="00D949D0">
        <w:rPr>
          <w:spacing w:val="8"/>
          <w:sz w:val="24"/>
          <w:szCs w:val="24"/>
        </w:rPr>
        <w:t>The filing requirement does not apply to certain entities or situations. The regulation should be consulted for specific exemptions or conditions of exemptions.</w:t>
      </w:r>
    </w:p>
    <w:p w14:paraId="1E43BDB0" w14:textId="77777777" w:rsidR="00E63D03" w:rsidRPr="00D949D0" w:rsidRDefault="00E63D03" w:rsidP="003E7B18">
      <w:pPr>
        <w:numPr>
          <w:ilvl w:val="0"/>
          <w:numId w:val="180"/>
        </w:numPr>
        <w:spacing w:before="100" w:beforeAutospacing="1" w:after="100" w:afterAutospacing="1"/>
        <w:ind w:left="783"/>
        <w:rPr>
          <w:spacing w:val="8"/>
          <w:sz w:val="24"/>
          <w:szCs w:val="24"/>
        </w:rPr>
      </w:pPr>
      <w:r w:rsidRPr="00D949D0">
        <w:rPr>
          <w:spacing w:val="8"/>
          <w:sz w:val="24"/>
          <w:szCs w:val="24"/>
        </w:rPr>
        <w:t xml:space="preserve">If the account is maintained in the United States, it is not considered a foreign account even if it holds foreign assets. </w:t>
      </w:r>
    </w:p>
    <w:p w14:paraId="27D0C422" w14:textId="77777777" w:rsidR="00E63D03" w:rsidRPr="00D949D0" w:rsidRDefault="00E63D03" w:rsidP="003E7B18">
      <w:pPr>
        <w:numPr>
          <w:ilvl w:val="0"/>
          <w:numId w:val="180"/>
        </w:numPr>
        <w:spacing w:before="100" w:beforeAutospacing="1" w:after="100" w:afterAutospacing="1"/>
        <w:ind w:left="783"/>
        <w:rPr>
          <w:spacing w:val="8"/>
          <w:sz w:val="24"/>
          <w:szCs w:val="24"/>
        </w:rPr>
      </w:pPr>
      <w:r w:rsidRPr="00D949D0">
        <w:rPr>
          <w:spacing w:val="8"/>
          <w:sz w:val="24"/>
          <w:szCs w:val="24"/>
        </w:rPr>
        <w:t xml:space="preserve">An omnibus account held by a custody bank that holds assets both in the U.S. and outside the U.S. is not considered a foreign account unless the customer has direct access to its foreign holdings maintained at the foreign institution. </w:t>
      </w:r>
    </w:p>
    <w:p w14:paraId="0F0112DD" w14:textId="77777777" w:rsidR="00E63D03" w:rsidRPr="00D949D0" w:rsidRDefault="00E63D03" w:rsidP="003E7B18">
      <w:pPr>
        <w:numPr>
          <w:ilvl w:val="0"/>
          <w:numId w:val="180"/>
        </w:numPr>
        <w:spacing w:before="100" w:beforeAutospacing="1" w:after="100" w:afterAutospacing="1"/>
        <w:ind w:left="783"/>
        <w:rPr>
          <w:spacing w:val="8"/>
          <w:sz w:val="24"/>
          <w:szCs w:val="24"/>
        </w:rPr>
      </w:pPr>
      <w:r w:rsidRPr="00D949D0">
        <w:rPr>
          <w:spacing w:val="8"/>
          <w:sz w:val="24"/>
          <w:szCs w:val="24"/>
        </w:rPr>
        <w:t xml:space="preserve">Certain entities are excluded including: foreign hedge funds, venture capital funds, or private equity funds; tax-exempt investors that own offshore "blocker corporations;" government pension funds; pension plan participants and IRA owners (provided the trustee files a FBAR); investment advisers and employees of such advisers that provide advice to SEC-registered entities; remainder </w:t>
      </w:r>
      <w:r w:rsidRPr="00D949D0">
        <w:rPr>
          <w:spacing w:val="8"/>
          <w:sz w:val="24"/>
          <w:szCs w:val="24"/>
        </w:rPr>
        <w:lastRenderedPageBreak/>
        <w:t>interests in trusts and beneficiaries of discretionary trusts; employees of a U.S. or foreign entity that issued a class of foreign equity (including ADRs) registered with the SEC.</w:t>
      </w:r>
    </w:p>
    <w:p w14:paraId="4785FE8E" w14:textId="53F7EEAF" w:rsidR="00E63D03" w:rsidRPr="00E63D03" w:rsidRDefault="00E63D03" w:rsidP="00AD28CB">
      <w:pPr>
        <w:spacing w:before="100" w:beforeAutospacing="1" w:after="100" w:afterAutospacing="1" w:line="200" w:lineRule="atLeast"/>
        <w:ind w:left="270"/>
        <w:rPr>
          <w:color w:val="FF0000"/>
          <w:sz w:val="24"/>
          <w:szCs w:val="24"/>
        </w:rPr>
      </w:pPr>
      <w:r w:rsidRPr="00D949D0">
        <w:rPr>
          <w:spacing w:val="8"/>
          <w:sz w:val="24"/>
          <w:szCs w:val="24"/>
        </w:rPr>
        <w:t>There also are exemptions for officers or employees with signature or other authority over certain foreign financial accounts but no financial interest in the reportable account. The regulation should be consulted for details regarding who is not required to notify FinCEN regarding signature or other authority over such an account.</w:t>
      </w:r>
    </w:p>
    <w:p w14:paraId="7A836E3D" w14:textId="77777777" w:rsidR="004C3D96" w:rsidRDefault="004C3D96" w:rsidP="00AD28CB">
      <w:pPr>
        <w:ind w:left="270"/>
        <w:rPr>
          <w:sz w:val="24"/>
          <w:szCs w:val="24"/>
        </w:rPr>
      </w:pPr>
      <w:r>
        <w:rPr>
          <w:sz w:val="24"/>
        </w:rPr>
        <w:t xml:space="preserve">Morris Monroe, Laura Hendricks, or </w:t>
      </w:r>
      <w:r w:rsidR="00086DCC">
        <w:rPr>
          <w:sz w:val="24"/>
        </w:rPr>
        <w:t>BackOffice</w:t>
      </w:r>
      <w:r>
        <w:rPr>
          <w:sz w:val="24"/>
        </w:rPr>
        <w:t xml:space="preserve"> personnel will be responsible for maintaining copies of all documentation, records, and communications relating to a reported transaction and will be maintained for a period of five years.  SARs are confidential and may not be disclosed to any person involved in the transaction.</w:t>
      </w:r>
    </w:p>
    <w:p w14:paraId="1F292681" w14:textId="77777777" w:rsidR="004C3D96" w:rsidRPr="00936FD9" w:rsidRDefault="004C3D96" w:rsidP="00660CEE">
      <w:pPr>
        <w:rPr>
          <w:sz w:val="24"/>
          <w:szCs w:val="24"/>
        </w:rPr>
      </w:pPr>
    </w:p>
    <w:p w14:paraId="08B6DE96" w14:textId="77777777" w:rsidR="00E81CD8" w:rsidRDefault="00E81CD8" w:rsidP="00E81CD8"/>
    <w:p w14:paraId="6A85CB0D" w14:textId="77777777" w:rsidR="003D216B" w:rsidRDefault="00A32F62" w:rsidP="00936FEE">
      <w:pPr>
        <w:pStyle w:val="Heading2"/>
      </w:pPr>
      <w:r w:rsidRPr="00E60F67">
        <w:t>7.</w:t>
      </w:r>
      <w:r w:rsidR="00C52626">
        <w:t>8</w:t>
      </w:r>
      <w:r w:rsidRPr="00E60F67">
        <w:t xml:space="preserve">   </w:t>
      </w:r>
      <w:r w:rsidR="003D216B" w:rsidRPr="00E60F67">
        <w:t>Sharing Information</w:t>
      </w:r>
    </w:p>
    <w:p w14:paraId="29CB9228" w14:textId="77777777" w:rsidR="003D216B" w:rsidRDefault="003D216B" w:rsidP="003D216B">
      <w:pPr>
        <w:rPr>
          <w:b/>
          <w:bCs/>
          <w:sz w:val="24"/>
        </w:rPr>
      </w:pPr>
    </w:p>
    <w:p w14:paraId="01B2D99C" w14:textId="26622F9E" w:rsidR="003D216B" w:rsidRDefault="00086DCC" w:rsidP="00AD28CB">
      <w:pPr>
        <w:numPr>
          <w:ilvl w:val="0"/>
          <w:numId w:val="43"/>
        </w:numPr>
        <w:rPr>
          <w:b/>
          <w:bCs/>
          <w:sz w:val="24"/>
        </w:rPr>
      </w:pPr>
      <w:r>
        <w:rPr>
          <w:b/>
          <w:bCs/>
          <w:sz w:val="24"/>
        </w:rPr>
        <w:t xml:space="preserve"> </w:t>
      </w:r>
      <w:r w:rsidR="003D216B">
        <w:rPr>
          <w:b/>
          <w:bCs/>
          <w:sz w:val="24"/>
        </w:rPr>
        <w:t>With Other Financial Institutions</w:t>
      </w:r>
    </w:p>
    <w:p w14:paraId="4552D751" w14:textId="77777777" w:rsidR="003D216B" w:rsidRDefault="003D216B" w:rsidP="00AD28CB">
      <w:pPr>
        <w:ind w:left="720"/>
        <w:rPr>
          <w:sz w:val="24"/>
        </w:rPr>
      </w:pPr>
      <w:r>
        <w:rPr>
          <w:sz w:val="24"/>
        </w:rPr>
        <w:t>The Company may share information about those suspected of terrorism and money laundering with other financial institutions for the purposes of identifying and reporting activities that may involve terrorist acts or money laundering activities.  The Company will file with FinCEN an initial certification before any sharing occurs and annual certifications thereafter.</w:t>
      </w:r>
    </w:p>
    <w:p w14:paraId="161B0743" w14:textId="77777777" w:rsidR="003D4650" w:rsidRDefault="003D4650" w:rsidP="00AD28CB">
      <w:pPr>
        <w:ind w:left="720" w:hanging="360"/>
        <w:rPr>
          <w:sz w:val="24"/>
        </w:rPr>
      </w:pPr>
    </w:p>
    <w:p w14:paraId="25F24EBD" w14:textId="77777777" w:rsidR="003D216B" w:rsidRDefault="003D216B" w:rsidP="00AD28CB">
      <w:pPr>
        <w:ind w:left="720"/>
      </w:pPr>
      <w:r>
        <w:rPr>
          <w:sz w:val="24"/>
        </w:rPr>
        <w:t xml:space="preserve">The Company will use the certification form found at </w:t>
      </w:r>
      <w:hyperlink r:id="rId51" w:history="1">
        <w:r>
          <w:rPr>
            <w:rStyle w:val="Hyperlink"/>
            <w:sz w:val="24"/>
          </w:rPr>
          <w:t>www.fincen.gov/fi_infoappb.html</w:t>
        </w:r>
      </w:hyperlink>
      <w:r>
        <w:rPr>
          <w:sz w:val="24"/>
        </w:rPr>
        <w:t xml:space="preserve">. The Company will ensure that only relevant information is shared and protect the security and confidentiality of this information by keeping a separate file in Morris Monroe’s office.  In addition, the Company will also share information about suspicious transactions with its clearing firm, </w:t>
      </w:r>
      <w:r w:rsidR="00D4257C" w:rsidRPr="00BE01FA">
        <w:rPr>
          <w:sz w:val="24"/>
        </w:rPr>
        <w:t>Hilltop</w:t>
      </w:r>
      <w:r w:rsidRPr="00BE01FA">
        <w:rPr>
          <w:sz w:val="24"/>
        </w:rPr>
        <w:t xml:space="preserve"> Securities, Inc. (</w:t>
      </w:r>
      <w:r w:rsidR="00D4257C" w:rsidRPr="00BE01FA">
        <w:rPr>
          <w:sz w:val="24"/>
        </w:rPr>
        <w:t>HT</w:t>
      </w:r>
      <w:r w:rsidRPr="00BE01FA">
        <w:rPr>
          <w:sz w:val="24"/>
        </w:rPr>
        <w:t xml:space="preserve">S) for purposes of determining whether a SAR needs to be filed by either entity.  In cases in which the Company files a SAR for a transaction that has been handled both entities, it may share with </w:t>
      </w:r>
      <w:r w:rsidR="00D4257C" w:rsidRPr="00BE01FA">
        <w:rPr>
          <w:sz w:val="24"/>
        </w:rPr>
        <w:t>HT</w:t>
      </w:r>
      <w:r w:rsidRPr="00BE01FA">
        <w:rPr>
          <w:sz w:val="24"/>
        </w:rPr>
        <w:t xml:space="preserve">S a copy of the filed SAR, unless it would be inappropriate to do so under the circumstances, such as where the Company filed a SAR concerning </w:t>
      </w:r>
      <w:r w:rsidR="00D4257C" w:rsidRPr="00BE01FA">
        <w:rPr>
          <w:sz w:val="24"/>
        </w:rPr>
        <w:t>HT</w:t>
      </w:r>
      <w:r w:rsidRPr="00BE01FA">
        <w:rPr>
          <w:sz w:val="24"/>
        </w:rPr>
        <w:t xml:space="preserve">S or </w:t>
      </w:r>
      <w:r>
        <w:rPr>
          <w:sz w:val="24"/>
        </w:rPr>
        <w:t>one of its employees.</w:t>
      </w:r>
    </w:p>
    <w:p w14:paraId="5BC36161" w14:textId="77777777" w:rsidR="003D216B" w:rsidRPr="00EE28C7" w:rsidRDefault="003D216B" w:rsidP="00267170">
      <w:pPr>
        <w:ind w:left="810"/>
        <w:rPr>
          <w:sz w:val="24"/>
        </w:rPr>
      </w:pPr>
    </w:p>
    <w:p w14:paraId="717BB355" w14:textId="1126CAC1" w:rsidR="003D216B" w:rsidRPr="00EE28C7" w:rsidRDefault="003D216B" w:rsidP="00C1728B">
      <w:pPr>
        <w:numPr>
          <w:ilvl w:val="0"/>
          <w:numId w:val="43"/>
        </w:numPr>
        <w:rPr>
          <w:sz w:val="24"/>
          <w:szCs w:val="24"/>
        </w:rPr>
      </w:pPr>
      <w:r w:rsidRPr="00EE28C7">
        <w:rPr>
          <w:b/>
          <w:sz w:val="24"/>
        </w:rPr>
        <w:t>Manda</w:t>
      </w:r>
      <w:r w:rsidR="00F56F61">
        <w:rPr>
          <w:b/>
          <w:sz w:val="24"/>
        </w:rPr>
        <w:t>t</w:t>
      </w:r>
      <w:r w:rsidRPr="00EE28C7">
        <w:rPr>
          <w:b/>
          <w:sz w:val="24"/>
        </w:rPr>
        <w:t xml:space="preserve">ory Sharing - </w:t>
      </w:r>
      <w:r w:rsidRPr="00EE28C7">
        <w:rPr>
          <w:b/>
          <w:bCs/>
          <w:iCs/>
          <w:sz w:val="24"/>
          <w:szCs w:val="24"/>
        </w:rPr>
        <w:t>Section 314(a) Requests</w:t>
      </w:r>
      <w:r w:rsidRPr="00EE28C7">
        <w:rPr>
          <w:b/>
          <w:bCs/>
          <w:sz w:val="24"/>
          <w:szCs w:val="24"/>
        </w:rPr>
        <w:t>:</w:t>
      </w:r>
      <w:r w:rsidRPr="00EE28C7">
        <w:rPr>
          <w:sz w:val="24"/>
          <w:szCs w:val="24"/>
        </w:rPr>
        <w:t xml:space="preserve">  The Company will respond to requests for information made by federal law enforcement agencies. FinCEN, on behalf of a requesting Federal law enforcement agency, may require the Company to search its records to determine whether Company has accounts for, or has engaged in transactions with, any specified individual, entity, or organization. These requests are often referred to as “Section 314(a) information requests.” The Company must report to FinCEN if it has any account or transactions matching the information listed on the information request. Morris Monroe is the designated contact person to receive the requests and must maintain the confidentiality of any request and any responsive reports to FinCEN.</w:t>
      </w:r>
    </w:p>
    <w:p w14:paraId="319BAFB4" w14:textId="77777777" w:rsidR="003D216B" w:rsidRDefault="003D216B" w:rsidP="00267170">
      <w:pPr>
        <w:rPr>
          <w:b/>
          <w:bCs/>
          <w:sz w:val="24"/>
        </w:rPr>
      </w:pPr>
    </w:p>
    <w:p w14:paraId="3CB04E8E" w14:textId="77777777" w:rsidR="00A32F62" w:rsidRDefault="00A32F62" w:rsidP="00267170">
      <w:pPr>
        <w:pStyle w:val="Heading3"/>
        <w:jc w:val="left"/>
      </w:pPr>
      <w:r>
        <w:t>7.</w:t>
      </w:r>
      <w:r w:rsidR="00C52626">
        <w:t>8</w:t>
      </w:r>
      <w:r>
        <w:t>.1</w:t>
      </w:r>
      <w:r w:rsidR="00681F9D">
        <w:t xml:space="preserve"> </w:t>
      </w:r>
      <w:r w:rsidR="006245AC" w:rsidRPr="00BE01FA">
        <w:t>HTS</w:t>
      </w:r>
      <w:r>
        <w:t xml:space="preserve"> Clearing Firm Relationship</w:t>
      </w:r>
    </w:p>
    <w:p w14:paraId="52C25FF9" w14:textId="77777777" w:rsidR="00A32F62" w:rsidRPr="001E23AB" w:rsidRDefault="00A32F62" w:rsidP="00267170">
      <w:pPr>
        <w:ind w:left="270"/>
        <w:rPr>
          <w:sz w:val="24"/>
        </w:rPr>
      </w:pPr>
      <w:r>
        <w:rPr>
          <w:sz w:val="24"/>
        </w:rPr>
        <w:t xml:space="preserve">Company will work closely with </w:t>
      </w:r>
      <w:r w:rsidR="00D4257C">
        <w:rPr>
          <w:sz w:val="24"/>
        </w:rPr>
        <w:t>HT</w:t>
      </w:r>
      <w:r>
        <w:rPr>
          <w:sz w:val="24"/>
        </w:rPr>
        <w:t xml:space="preserve">S to detect money laundering.  Company will exchange information, records, data and exception reports as necessary to comply with AML laws.  Both Company and clearing firm will file (and keep updated) the necessary annual </w:t>
      </w:r>
      <w:r>
        <w:rPr>
          <w:sz w:val="24"/>
        </w:rPr>
        <w:lastRenderedPageBreak/>
        <w:t xml:space="preserve">certifications for such information sharing, which can be found at </w:t>
      </w:r>
      <w:hyperlink r:id="rId52" w:history="1">
        <w:r>
          <w:rPr>
            <w:rStyle w:val="Hyperlink"/>
            <w:sz w:val="24"/>
          </w:rPr>
          <w:t>http://www.fincen.gov/fi_infoappb.html</w:t>
        </w:r>
      </w:hyperlink>
      <w:r>
        <w:rPr>
          <w:rFonts w:ascii="Verdana" w:hAnsi="Verdana"/>
        </w:rPr>
        <w:t xml:space="preserve">.  </w:t>
      </w:r>
      <w:r>
        <w:rPr>
          <w:sz w:val="24"/>
        </w:rPr>
        <w:t xml:space="preserve"> As a general matter, Company has agreed that its clearing firm will monitor customer activity on its behalf, and it will provide clearing firm with proper customer identification information as required to successfully </w:t>
      </w:r>
      <w:r w:rsidR="00DF7D08">
        <w:rPr>
          <w:sz w:val="24"/>
        </w:rPr>
        <w:t>monitoring</w:t>
      </w:r>
      <w:r>
        <w:rPr>
          <w:sz w:val="24"/>
        </w:rPr>
        <w:t xml:space="preserve"> customer transactions.  Company has set out these responsibilities in its clearing agreement under </w:t>
      </w:r>
      <w:r w:rsidRPr="001E23AB">
        <w:rPr>
          <w:sz w:val="24"/>
        </w:rPr>
        <w:t xml:space="preserve">FINRA Rule 3230.  </w:t>
      </w:r>
      <w:r>
        <w:rPr>
          <w:sz w:val="24"/>
        </w:rPr>
        <w:t>Company</w:t>
      </w:r>
      <w:r w:rsidRPr="001E23AB">
        <w:rPr>
          <w:sz w:val="24"/>
        </w:rPr>
        <w:t xml:space="preserve"> understand</w:t>
      </w:r>
      <w:r>
        <w:rPr>
          <w:sz w:val="24"/>
        </w:rPr>
        <w:t>s</w:t>
      </w:r>
      <w:r w:rsidRPr="001E23AB">
        <w:rPr>
          <w:sz w:val="24"/>
        </w:rPr>
        <w:t xml:space="preserve"> that the agreement will not relieve either of us from our independent obligation to comply with AML laws.</w:t>
      </w:r>
    </w:p>
    <w:p w14:paraId="05E8AAC1" w14:textId="77777777" w:rsidR="00A32F62" w:rsidRDefault="00A32F62" w:rsidP="003D216B">
      <w:pPr>
        <w:rPr>
          <w:b/>
          <w:bCs/>
          <w:sz w:val="24"/>
        </w:rPr>
      </w:pPr>
    </w:p>
    <w:p w14:paraId="49EB52AE" w14:textId="77777777" w:rsidR="00A32F62" w:rsidRDefault="00A32F62" w:rsidP="003D216B">
      <w:pPr>
        <w:rPr>
          <w:b/>
          <w:bCs/>
          <w:sz w:val="24"/>
        </w:rPr>
      </w:pPr>
    </w:p>
    <w:p w14:paraId="63CFA943" w14:textId="77777777" w:rsidR="003D216B" w:rsidRDefault="00A32F62" w:rsidP="00936FEE">
      <w:pPr>
        <w:pStyle w:val="Heading2"/>
      </w:pPr>
      <w:r w:rsidRPr="00E60F67">
        <w:t>7.</w:t>
      </w:r>
      <w:r w:rsidR="00C52626">
        <w:t>9</w:t>
      </w:r>
      <w:r w:rsidR="00681F9D">
        <w:t xml:space="preserve"> </w:t>
      </w:r>
      <w:r w:rsidR="003D216B" w:rsidRPr="00E60F67">
        <w:t>Internal Controls</w:t>
      </w:r>
    </w:p>
    <w:p w14:paraId="309D5731" w14:textId="77777777" w:rsidR="003D216B" w:rsidRPr="008D43CB" w:rsidRDefault="003D216B" w:rsidP="008D43CB">
      <w:pPr>
        <w:rPr>
          <w:sz w:val="24"/>
          <w:szCs w:val="24"/>
        </w:rPr>
      </w:pPr>
      <w:r w:rsidRPr="008D43CB">
        <w:rPr>
          <w:sz w:val="24"/>
          <w:szCs w:val="24"/>
        </w:rPr>
        <w:t>In order to detect breeches of these procedures, the following controls have been implemented to help detect violations or breeches of the above.</w:t>
      </w:r>
    </w:p>
    <w:p w14:paraId="1F26C333" w14:textId="77777777" w:rsidR="003D216B" w:rsidRDefault="003D216B" w:rsidP="003D216B"/>
    <w:p w14:paraId="2D1B518C" w14:textId="77777777" w:rsidR="003D216B" w:rsidRDefault="003D216B" w:rsidP="00216F83">
      <w:pPr>
        <w:numPr>
          <w:ilvl w:val="0"/>
          <w:numId w:val="14"/>
        </w:numPr>
        <w:jc w:val="both"/>
      </w:pPr>
      <w:r>
        <w:rPr>
          <w:sz w:val="24"/>
        </w:rPr>
        <w:t xml:space="preserve">All new accounts are only opened at two locations.  </w:t>
      </w:r>
    </w:p>
    <w:p w14:paraId="0C142F6B" w14:textId="77777777" w:rsidR="003D216B" w:rsidRDefault="003D216B" w:rsidP="00216F83">
      <w:pPr>
        <w:numPr>
          <w:ilvl w:val="0"/>
          <w:numId w:val="14"/>
        </w:numPr>
      </w:pPr>
      <w:r>
        <w:rPr>
          <w:sz w:val="24"/>
        </w:rPr>
        <w:t xml:space="preserve">All new accounts are reviewed by at least three (3) individuals (i.e. RR, </w:t>
      </w:r>
      <w:r w:rsidR="00DF7D08">
        <w:rPr>
          <w:sz w:val="24"/>
        </w:rPr>
        <w:t>BackOffice</w:t>
      </w:r>
      <w:r>
        <w:rPr>
          <w:sz w:val="24"/>
        </w:rPr>
        <w:t xml:space="preserve"> personnel, Principal).  This will enhance the due diligence process of detecting any account for suspicious activity or that is prohibited by Company policy.  All new accounts are </w:t>
      </w:r>
      <w:r w:rsidR="00EB6D93">
        <w:rPr>
          <w:sz w:val="24"/>
        </w:rPr>
        <w:t>reviewed by the home office</w:t>
      </w:r>
      <w:r>
        <w:rPr>
          <w:sz w:val="24"/>
        </w:rPr>
        <w:t>.</w:t>
      </w:r>
    </w:p>
    <w:p w14:paraId="7D6BE140" w14:textId="77777777" w:rsidR="003D216B" w:rsidRPr="000A6B2F" w:rsidRDefault="003D216B" w:rsidP="00216F83">
      <w:pPr>
        <w:pStyle w:val="BodyText2"/>
        <w:numPr>
          <w:ilvl w:val="0"/>
          <w:numId w:val="14"/>
        </w:numPr>
        <w:rPr>
          <w:bCs/>
        </w:rPr>
      </w:pPr>
      <w:r>
        <w:t xml:space="preserve">Customer funds are deposited at only two locations.  The one OSJ branch that conducts customer fund deposits also faxes their deposits to the home office for further review.  Both branch </w:t>
      </w:r>
      <w:proofErr w:type="gramStart"/>
      <w:r>
        <w:t>back office</w:t>
      </w:r>
      <w:proofErr w:type="gramEnd"/>
      <w:r>
        <w:t xml:space="preserve"> personnel will be reviewing these deposits for detection of foreign banks and any cash deposits.  I</w:t>
      </w:r>
      <w:r w:rsidRPr="000A6B2F">
        <w:rPr>
          <w:bCs/>
        </w:rPr>
        <w:t xml:space="preserve">f Company discovers currency has been received, </w:t>
      </w:r>
      <w:r w:rsidR="00F56F61" w:rsidRPr="000A6B2F">
        <w:rPr>
          <w:bCs/>
        </w:rPr>
        <w:t>it will</w:t>
      </w:r>
      <w:r w:rsidRPr="000A6B2F">
        <w:rPr>
          <w:bCs/>
        </w:rPr>
        <w:t xml:space="preserve"> file with FinCEN CTRs for transactions involving currency that exceed $10,000.  Multiple transactions will be treated as a single transaction if they total more than $10,000 during any one business day.  Company will use the CTR form at </w:t>
      </w:r>
      <w:hyperlink r:id="rId53" w:history="1">
        <w:r w:rsidRPr="000A6B2F">
          <w:rPr>
            <w:rStyle w:val="Hyperlink"/>
            <w:bCs/>
          </w:rPr>
          <w:t>http://www.fincen.gov/f4789-1.pdf</w:t>
        </w:r>
      </w:hyperlink>
      <w:r w:rsidRPr="000A6B2F">
        <w:rPr>
          <w:bCs/>
        </w:rPr>
        <w:t xml:space="preserve">.  </w:t>
      </w:r>
      <w:r>
        <w:t>Further, if applicable, Company will</w:t>
      </w:r>
      <w:r w:rsidRPr="000A6B2F">
        <w:rPr>
          <w:i/>
          <w:iCs/>
        </w:rPr>
        <w:t xml:space="preserve"> </w:t>
      </w:r>
      <w:r>
        <w:t xml:space="preserve">file with the Commissioner of Customs a CMIR whenever the Company transports, mails, ships or receives or causes or attempts to transport, mail, ship or receive monetary instruments of more than $10,000 at one time (on one calendar day or, if for the purposed of evading the reporting requirements, on one or more days) in or out of the U.S.  Company will file a CMIR for all such shipments or receipts of monetary instruments, except for currency or monetary instruments shipped or mailed through the postal service or by common carrier.   Company will, however, file a CMIR for such receipts of currency and monetary instruments and for shipments and deliveries made by the Company by means other than the postal service or common carrier, even when such shipment or transport is made by </w:t>
      </w:r>
      <w:r w:rsidR="00A00E56">
        <w:rPr>
          <w:szCs w:val="24"/>
        </w:rPr>
        <w:t>the Company</w:t>
      </w:r>
      <w:r>
        <w:t xml:space="preserve"> to an office of </w:t>
      </w:r>
      <w:r w:rsidR="00A00E56">
        <w:rPr>
          <w:szCs w:val="24"/>
        </w:rPr>
        <w:t xml:space="preserve">the Company </w:t>
      </w:r>
      <w:r>
        <w:t xml:space="preserve">located outside the U.S.  We will use the CMIR Form at </w:t>
      </w:r>
      <w:hyperlink r:id="rId54" w:history="1">
        <w:r w:rsidR="007A2069" w:rsidRPr="0080618E">
          <w:rPr>
            <w:rStyle w:val="Hyperlink"/>
          </w:rPr>
          <w:t>http://www.fincen.gov/f4790newfillin.pdf</w:t>
        </w:r>
      </w:hyperlink>
      <w:r>
        <w:t xml:space="preserve">.   Further, if applicable, the Company </w:t>
      </w:r>
      <w:r w:rsidRPr="000A6B2F">
        <w:rPr>
          <w:bCs/>
        </w:rPr>
        <w:t xml:space="preserve">will file with FinCEN an FBAR for any financial accounts that it holds, or for which it has signature or other authority over, in a foreign country of more than $10,000.  Company will use the FBAR Form at </w:t>
      </w:r>
      <w:hyperlink r:id="rId55" w:history="1">
        <w:r w:rsidR="007A2069" w:rsidRPr="000A6B2F">
          <w:rPr>
            <w:rStyle w:val="Hyperlink"/>
            <w:bCs/>
          </w:rPr>
          <w:t>http://www.fincen.gov/forms/files/f9022-1_fbar.pdf</w:t>
        </w:r>
      </w:hyperlink>
      <w:r w:rsidRPr="000A6B2F">
        <w:rPr>
          <w:bCs/>
        </w:rPr>
        <w:t>.</w:t>
      </w:r>
      <w:r>
        <w:t xml:space="preserve"> </w:t>
      </w:r>
    </w:p>
    <w:p w14:paraId="2EAD5C19" w14:textId="77777777" w:rsidR="003D216B" w:rsidRPr="00B235A8" w:rsidRDefault="000A6B2F" w:rsidP="00216F83">
      <w:pPr>
        <w:pStyle w:val="BodyText2"/>
        <w:numPr>
          <w:ilvl w:val="0"/>
          <w:numId w:val="14"/>
        </w:numPr>
        <w:rPr>
          <w:bCs/>
        </w:rPr>
      </w:pPr>
      <w:r>
        <w:t xml:space="preserve">The </w:t>
      </w:r>
      <w:r w:rsidR="003D216B">
        <w:t xml:space="preserve">annual FinCEN Information Sharing certification </w:t>
      </w:r>
      <w:r>
        <w:t xml:space="preserve">is added </w:t>
      </w:r>
      <w:r w:rsidR="003D216B">
        <w:t>to the Company Internal Exam to verify completion.</w:t>
      </w:r>
    </w:p>
    <w:p w14:paraId="4BB2EAB2" w14:textId="77777777" w:rsidR="00B235A8" w:rsidRDefault="00B235A8" w:rsidP="00DF7D08">
      <w:pPr>
        <w:pStyle w:val="BodyText2"/>
      </w:pPr>
    </w:p>
    <w:p w14:paraId="29E290AC" w14:textId="77777777" w:rsidR="00A32F62" w:rsidRDefault="00A32F62" w:rsidP="00DF7D08">
      <w:pPr>
        <w:rPr>
          <w:b/>
          <w:bCs/>
          <w:sz w:val="24"/>
        </w:rPr>
      </w:pPr>
    </w:p>
    <w:p w14:paraId="73D4E070" w14:textId="77777777" w:rsidR="00A32F62" w:rsidRPr="004B4F79" w:rsidRDefault="00294FE5" w:rsidP="00936FEE">
      <w:pPr>
        <w:pStyle w:val="Heading2"/>
      </w:pPr>
      <w:r w:rsidRPr="004B4F79">
        <w:t>7.</w:t>
      </w:r>
      <w:r>
        <w:t xml:space="preserve">10 </w:t>
      </w:r>
      <w:r w:rsidRPr="004B4F79">
        <w:t>Suspicious</w:t>
      </w:r>
      <w:r w:rsidR="00A32F62" w:rsidRPr="004B4F79">
        <w:t xml:space="preserve"> Activity Reports (SARs)</w:t>
      </w:r>
    </w:p>
    <w:p w14:paraId="48B30D3E" w14:textId="515EC22C" w:rsidR="00A32F62" w:rsidRDefault="00A32F62" w:rsidP="00DF7D08">
      <w:pPr>
        <w:pStyle w:val="BodyText2"/>
        <w:widowControl/>
      </w:pPr>
      <w:r>
        <w:t xml:space="preserve">The </w:t>
      </w:r>
      <w:r w:rsidR="008C3494">
        <w:t>r</w:t>
      </w:r>
      <w:r>
        <w:t xml:space="preserve">equirement to file Suspicious Activity Reports on Form SAR applies to transactions occurring after December 30, 2002.  Specifically, the rule requires broker/dealers to report to </w:t>
      </w:r>
      <w:r>
        <w:lastRenderedPageBreak/>
        <w:t xml:space="preserve">any transaction if the broker/dealer </w:t>
      </w:r>
      <w:r w:rsidR="008E37E2">
        <w:t>knows</w:t>
      </w:r>
      <w:r>
        <w:t xml:space="preserve"> suspects or has reason to suspect that it falls within one of four classes: </w:t>
      </w:r>
    </w:p>
    <w:p w14:paraId="180FD460" w14:textId="77777777" w:rsidR="00A32F62" w:rsidRDefault="00A32F62" w:rsidP="00DF7D08">
      <w:pPr>
        <w:pStyle w:val="BodyText2"/>
        <w:widowControl/>
      </w:pPr>
    </w:p>
    <w:p w14:paraId="325319FA" w14:textId="77777777" w:rsidR="000F3031" w:rsidRPr="000F3031" w:rsidRDefault="00A32F62" w:rsidP="00DF7D08">
      <w:pPr>
        <w:ind w:left="900" w:hanging="360"/>
        <w:rPr>
          <w:sz w:val="24"/>
          <w:szCs w:val="24"/>
        </w:rPr>
      </w:pPr>
      <w:r w:rsidRPr="000F3031">
        <w:rPr>
          <w:sz w:val="24"/>
          <w:szCs w:val="24"/>
        </w:rPr>
        <w:t xml:space="preserve">(1) </w:t>
      </w:r>
      <w:r w:rsidR="008E37E2" w:rsidRPr="000F3031">
        <w:rPr>
          <w:sz w:val="24"/>
          <w:szCs w:val="24"/>
        </w:rPr>
        <w:t>The</w:t>
      </w:r>
      <w:r w:rsidRPr="000F3031">
        <w:rPr>
          <w:sz w:val="24"/>
          <w:szCs w:val="24"/>
        </w:rPr>
        <w:t xml:space="preserve"> transaction involves funds derived from illegal activity or is intended or conducted to hide or disguise funds or assets derived from illegal activity;  </w:t>
      </w:r>
    </w:p>
    <w:p w14:paraId="39186104" w14:textId="77777777" w:rsidR="00A32F62" w:rsidRPr="000F3031" w:rsidRDefault="000F3031" w:rsidP="00DF7D08">
      <w:pPr>
        <w:ind w:left="900" w:hanging="360"/>
        <w:rPr>
          <w:sz w:val="24"/>
          <w:szCs w:val="24"/>
        </w:rPr>
      </w:pPr>
      <w:r w:rsidRPr="000F3031">
        <w:rPr>
          <w:sz w:val="24"/>
          <w:szCs w:val="24"/>
        </w:rPr>
        <w:t xml:space="preserve">(2) </w:t>
      </w:r>
      <w:r w:rsidR="008E37E2" w:rsidRPr="000F3031">
        <w:rPr>
          <w:sz w:val="24"/>
          <w:szCs w:val="24"/>
        </w:rPr>
        <w:t>The</w:t>
      </w:r>
      <w:r w:rsidR="00A32F62" w:rsidRPr="000F3031">
        <w:rPr>
          <w:sz w:val="24"/>
          <w:szCs w:val="24"/>
        </w:rPr>
        <w:t xml:space="preserve"> transaction is designed, whether through structuring or other means, to evade the requirements of the BSA;  </w:t>
      </w:r>
    </w:p>
    <w:p w14:paraId="774E9E15" w14:textId="77777777" w:rsidR="00A32F62" w:rsidRPr="000F3031" w:rsidRDefault="000F3031" w:rsidP="00DF7D08">
      <w:pPr>
        <w:ind w:left="900" w:hanging="360"/>
        <w:rPr>
          <w:sz w:val="24"/>
          <w:szCs w:val="24"/>
        </w:rPr>
      </w:pPr>
      <w:r w:rsidRPr="000F3031">
        <w:rPr>
          <w:sz w:val="24"/>
          <w:szCs w:val="24"/>
        </w:rPr>
        <w:t xml:space="preserve">(3) </w:t>
      </w:r>
      <w:r w:rsidR="008E37E2">
        <w:rPr>
          <w:sz w:val="24"/>
          <w:szCs w:val="24"/>
        </w:rPr>
        <w:t>T</w:t>
      </w:r>
      <w:r w:rsidR="00A32F62" w:rsidRPr="000F3031">
        <w:rPr>
          <w:sz w:val="24"/>
          <w:szCs w:val="24"/>
        </w:rPr>
        <w:t xml:space="preserve">he transaction appears to serve no business or apparent lawful purpose or is not the sort of transaction in which the particular customer would be expected to engage and for which the broker/dealer knows of no reasonable explanation after examining the available facts; or  </w:t>
      </w:r>
    </w:p>
    <w:p w14:paraId="1E137E59" w14:textId="77777777" w:rsidR="00A32F62" w:rsidRPr="000F3031" w:rsidRDefault="000F3031" w:rsidP="00DF7D08">
      <w:pPr>
        <w:ind w:left="900" w:hanging="360"/>
        <w:rPr>
          <w:sz w:val="24"/>
          <w:szCs w:val="24"/>
        </w:rPr>
      </w:pPr>
      <w:r w:rsidRPr="000F3031">
        <w:rPr>
          <w:sz w:val="24"/>
          <w:szCs w:val="24"/>
        </w:rPr>
        <w:t xml:space="preserve">(4) </w:t>
      </w:r>
      <w:r w:rsidR="008E37E2" w:rsidRPr="000F3031">
        <w:rPr>
          <w:sz w:val="24"/>
          <w:szCs w:val="24"/>
        </w:rPr>
        <w:t>The</w:t>
      </w:r>
      <w:r w:rsidR="00A32F62" w:rsidRPr="000F3031">
        <w:rPr>
          <w:sz w:val="24"/>
          <w:szCs w:val="24"/>
        </w:rPr>
        <w:t xml:space="preserve"> transaction involves the use of the broker/dealer to facilitate criminal activity.</w:t>
      </w:r>
    </w:p>
    <w:p w14:paraId="6CE2D367" w14:textId="77777777" w:rsidR="00A32F62" w:rsidRPr="000F3031" w:rsidRDefault="00A32F62" w:rsidP="00DF7D08">
      <w:pPr>
        <w:rPr>
          <w:sz w:val="24"/>
          <w:szCs w:val="24"/>
        </w:rPr>
      </w:pPr>
    </w:p>
    <w:p w14:paraId="54D503AA" w14:textId="77777777" w:rsidR="00A32F62" w:rsidRDefault="00A32F62" w:rsidP="00DF7D08">
      <w:pPr>
        <w:pStyle w:val="BodyText2"/>
        <w:widowControl/>
      </w:pPr>
      <w:r>
        <w:t xml:space="preserve">Filing SARs not only applies to individual transactions but extends to patterns of transactions. FinCEN rules clarify that “if a broker/dealer determines that a series of transactions that would not independently trigger the suspicion of the broker/dealer, but that taken together, form a suspicious pattern of activity, the broker/dealer must </w:t>
      </w:r>
      <w:r w:rsidR="008D43CB">
        <w:t xml:space="preserve">file </w:t>
      </w:r>
      <w:r>
        <w:t>a suspicious transaction report.”  The indicators noted above are red flags and helpful in determining whether a transaction “appears to serve no business or apparent lawful purpose or is not the sort of transactions in which the particular customer would be expected to engage and for which the broker/dealer knows of no reasonable explanation after examining the available facts.”</w:t>
      </w:r>
    </w:p>
    <w:p w14:paraId="0AFA644E" w14:textId="77777777" w:rsidR="00A32F62" w:rsidRDefault="00A32F62" w:rsidP="00DF7D08">
      <w:pPr>
        <w:rPr>
          <w:sz w:val="24"/>
        </w:rPr>
      </w:pPr>
    </w:p>
    <w:p w14:paraId="42E6CC1E" w14:textId="77777777" w:rsidR="00A32F62" w:rsidRPr="00EE28C7" w:rsidRDefault="00A32F62" w:rsidP="00DF7D08">
      <w:pPr>
        <w:rPr>
          <w:sz w:val="24"/>
          <w:szCs w:val="24"/>
        </w:rPr>
      </w:pPr>
      <w:r w:rsidRPr="00EE28C7">
        <w:rPr>
          <w:sz w:val="24"/>
          <w:szCs w:val="24"/>
        </w:rPr>
        <w:t xml:space="preserve">The Securities and Exchange Commission (SEC) unveiled a Suspicious Activity Report (SAR) Alert Message Line in August 2008 that securities firms can use to voluntarily report the filing of a SAR that may require immediate attention by the SEC. The SEC's SAR Alert Message Line is </w:t>
      </w:r>
      <w:r w:rsidRPr="00EE28C7">
        <w:rPr>
          <w:b/>
          <w:sz w:val="24"/>
          <w:szCs w:val="24"/>
        </w:rPr>
        <w:t>(202) 551-SARS (7277)</w:t>
      </w:r>
      <w:r w:rsidRPr="00EE28C7">
        <w:rPr>
          <w:sz w:val="24"/>
          <w:szCs w:val="24"/>
        </w:rPr>
        <w:t xml:space="preserve">.   </w:t>
      </w:r>
    </w:p>
    <w:p w14:paraId="2B317530" w14:textId="77777777" w:rsidR="00A32F62" w:rsidRPr="00561232" w:rsidRDefault="00A32F62" w:rsidP="00DF7D08">
      <w:pPr>
        <w:rPr>
          <w:color w:val="FF0000"/>
          <w:sz w:val="24"/>
          <w:szCs w:val="24"/>
        </w:rPr>
      </w:pPr>
    </w:p>
    <w:p w14:paraId="2369878F" w14:textId="77777777" w:rsidR="00A32F62" w:rsidRPr="00BE01FA" w:rsidRDefault="00A32F62" w:rsidP="00DF7D08">
      <w:pPr>
        <w:rPr>
          <w:sz w:val="24"/>
        </w:rPr>
      </w:pPr>
      <w:r>
        <w:rPr>
          <w:bCs/>
          <w:sz w:val="24"/>
        </w:rPr>
        <w:t xml:space="preserve">The Company will hold SARs and any supporting documentation confidential. </w:t>
      </w:r>
      <w:r w:rsidR="00D97A39">
        <w:rPr>
          <w:bCs/>
          <w:sz w:val="24"/>
        </w:rPr>
        <w:t>It</w:t>
      </w:r>
      <w:r>
        <w:rPr>
          <w:bCs/>
          <w:sz w:val="24"/>
        </w:rPr>
        <w:t xml:space="preserve"> will not inform anyone outside of a law enforcement or regulatory agency or securities regulator about a SAR.  </w:t>
      </w:r>
      <w:r w:rsidR="002100D0">
        <w:rPr>
          <w:bCs/>
          <w:sz w:val="24"/>
        </w:rPr>
        <w:t>Company</w:t>
      </w:r>
      <w:r>
        <w:rPr>
          <w:bCs/>
          <w:sz w:val="24"/>
        </w:rPr>
        <w:t xml:space="preserve"> will deny any subpoena requests for SARs or SAR information and immediately tell FinCEN of any such subpoena </w:t>
      </w:r>
      <w:r w:rsidR="002100D0">
        <w:rPr>
          <w:bCs/>
          <w:sz w:val="24"/>
        </w:rPr>
        <w:t>it</w:t>
      </w:r>
      <w:r>
        <w:rPr>
          <w:bCs/>
          <w:sz w:val="24"/>
        </w:rPr>
        <w:t xml:space="preserve"> receive</w:t>
      </w:r>
      <w:r w:rsidR="002100D0">
        <w:rPr>
          <w:bCs/>
          <w:sz w:val="24"/>
        </w:rPr>
        <w:t>s</w:t>
      </w:r>
      <w:r>
        <w:rPr>
          <w:bCs/>
          <w:sz w:val="24"/>
        </w:rPr>
        <w:t xml:space="preserve">.  </w:t>
      </w:r>
      <w:r w:rsidR="002100D0">
        <w:rPr>
          <w:bCs/>
          <w:sz w:val="24"/>
        </w:rPr>
        <w:t>Company</w:t>
      </w:r>
      <w:r>
        <w:rPr>
          <w:bCs/>
          <w:sz w:val="24"/>
        </w:rPr>
        <w:t xml:space="preserve"> will segregate SAR filings and copies of supporting documentation from other firm books and records to avoid disclosing SAR filings.  </w:t>
      </w:r>
      <w:r w:rsidR="00681F9D" w:rsidRPr="00D949D0">
        <w:rPr>
          <w:bCs/>
          <w:sz w:val="24"/>
        </w:rPr>
        <w:t>How</w:t>
      </w:r>
      <w:r w:rsidR="0056162C" w:rsidRPr="00D949D0">
        <w:rPr>
          <w:bCs/>
          <w:sz w:val="24"/>
        </w:rPr>
        <w:t>ever, while SARs are to be treat</w:t>
      </w:r>
      <w:r w:rsidR="00681F9D" w:rsidRPr="00D949D0">
        <w:rPr>
          <w:bCs/>
          <w:sz w:val="24"/>
        </w:rPr>
        <w:t xml:space="preserve">ed as confidential, Company will provide SARS and supporting documents to any </w:t>
      </w:r>
      <w:r w:rsidR="003B6772" w:rsidRPr="00D949D0">
        <w:rPr>
          <w:bCs/>
          <w:sz w:val="24"/>
        </w:rPr>
        <w:t>self-regulatory</w:t>
      </w:r>
      <w:r w:rsidR="00681F9D" w:rsidRPr="00D949D0">
        <w:rPr>
          <w:bCs/>
          <w:sz w:val="24"/>
        </w:rPr>
        <w:t xml:space="preserve"> organization (SRO) that examines Company for compliance with the SAR Rule, upon request of the SEC. </w:t>
      </w:r>
      <w:r w:rsidRPr="00D949D0">
        <w:rPr>
          <w:bCs/>
          <w:sz w:val="24"/>
        </w:rPr>
        <w:t>Morris Monroe will handle all subpoenas or other requests for SARs.</w:t>
      </w:r>
      <w:r w:rsidRPr="00D949D0">
        <w:rPr>
          <w:bCs/>
          <w:i/>
          <w:iCs/>
          <w:sz w:val="24"/>
        </w:rPr>
        <w:t xml:space="preserve">  </w:t>
      </w:r>
      <w:r w:rsidR="002100D0" w:rsidRPr="00D949D0">
        <w:rPr>
          <w:bCs/>
          <w:iCs/>
          <w:sz w:val="24"/>
        </w:rPr>
        <w:t>Company</w:t>
      </w:r>
      <w:r w:rsidRPr="00D949D0">
        <w:rPr>
          <w:sz w:val="24"/>
        </w:rPr>
        <w:t xml:space="preserve"> will share</w:t>
      </w:r>
      <w:r>
        <w:rPr>
          <w:sz w:val="24"/>
        </w:rPr>
        <w:t xml:space="preserve"> information with </w:t>
      </w:r>
      <w:r w:rsidR="00FF1BD2" w:rsidRPr="00BE01FA">
        <w:rPr>
          <w:sz w:val="24"/>
        </w:rPr>
        <w:t>HTS</w:t>
      </w:r>
      <w:r w:rsidRPr="00BE01FA">
        <w:rPr>
          <w:sz w:val="24"/>
        </w:rPr>
        <w:t xml:space="preserve">, our clearing firm, about suspicious transactions for determining when a SAR should be filed.  </w:t>
      </w:r>
      <w:r w:rsidR="002100D0" w:rsidRPr="00BE01FA">
        <w:rPr>
          <w:sz w:val="24"/>
        </w:rPr>
        <w:t>Company</w:t>
      </w:r>
      <w:r w:rsidRPr="00BE01FA">
        <w:rPr>
          <w:sz w:val="24"/>
        </w:rPr>
        <w:t xml:space="preserve"> may share with </w:t>
      </w:r>
      <w:r w:rsidR="00FF1BD2" w:rsidRPr="00BE01FA">
        <w:rPr>
          <w:sz w:val="24"/>
        </w:rPr>
        <w:t>HT</w:t>
      </w:r>
      <w:r w:rsidRPr="00BE01FA">
        <w:rPr>
          <w:sz w:val="24"/>
        </w:rPr>
        <w:t xml:space="preserve">S a copy of the filed SAR – unless it would be inappropriate to do so under the circumstances, such as where we file a SAR concerning </w:t>
      </w:r>
      <w:r w:rsidR="00FF1BD2" w:rsidRPr="00BE01FA">
        <w:rPr>
          <w:sz w:val="24"/>
        </w:rPr>
        <w:t>HT</w:t>
      </w:r>
      <w:r w:rsidRPr="00BE01FA">
        <w:rPr>
          <w:sz w:val="24"/>
        </w:rPr>
        <w:t>S or its employees.</w:t>
      </w:r>
    </w:p>
    <w:p w14:paraId="2282399D" w14:textId="77777777" w:rsidR="00A32F62" w:rsidRDefault="00A32F62" w:rsidP="00DF7D08">
      <w:pPr>
        <w:rPr>
          <w:sz w:val="24"/>
        </w:rPr>
      </w:pPr>
    </w:p>
    <w:p w14:paraId="78E90C81" w14:textId="77777777" w:rsidR="003D216B" w:rsidRDefault="00294FE5" w:rsidP="00DF7D08">
      <w:pPr>
        <w:pStyle w:val="Heading3"/>
        <w:jc w:val="left"/>
      </w:pPr>
      <w:r>
        <w:t>7.10.1 Reporting</w:t>
      </w:r>
      <w:r w:rsidR="003D216B">
        <w:t xml:space="preserve"> Suspicious Activity</w:t>
      </w:r>
    </w:p>
    <w:p w14:paraId="1F91B437" w14:textId="77777777" w:rsidR="003D216B" w:rsidRDefault="003D216B" w:rsidP="00DF7D08">
      <w:pPr>
        <w:ind w:left="270"/>
        <w:rPr>
          <w:sz w:val="24"/>
        </w:rPr>
      </w:pPr>
      <w:r>
        <w:rPr>
          <w:sz w:val="24"/>
        </w:rPr>
        <w:t xml:space="preserve">Morris Monroe will have responsibility for reporting any suspicious activity and is the named recipient for any request of information from law enforcement agencies or securities regulators.  Any suspicious activity will be reported to the home office to Morris Monroe or Laura Hendricks.  Further investigation by one or both of these individuals, and the advice of outside counsel if determined necessary, will be conducted to determine if the information should be reported to law enforcement agencies and/or filing a Suspicious Activity Report (SAR).   </w:t>
      </w:r>
    </w:p>
    <w:p w14:paraId="33BB657E" w14:textId="77777777" w:rsidR="003D216B" w:rsidRDefault="003D216B" w:rsidP="003D216B">
      <w:pPr>
        <w:rPr>
          <w:sz w:val="24"/>
        </w:rPr>
      </w:pPr>
    </w:p>
    <w:p w14:paraId="0EB2470F" w14:textId="2CC1E650" w:rsidR="00CE12C3"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r>
        <w:rPr>
          <w:sz w:val="24"/>
        </w:rPr>
        <w:lastRenderedPageBreak/>
        <w:t xml:space="preserve">Any requests for information from FinCEN (Financial Crimes Enforcement Network) must be submitted as soon as possible, but not later than seven days, either by email at </w:t>
      </w:r>
      <w:hyperlink r:id="rId56" w:history="1">
        <w:r>
          <w:rPr>
            <w:rStyle w:val="Hyperlink"/>
            <w:i/>
            <w:iCs/>
            <w:sz w:val="24"/>
          </w:rPr>
          <w:t>patriot@fincen.treas.gov</w:t>
        </w:r>
      </w:hyperlink>
      <w:r>
        <w:rPr>
          <w:i/>
          <w:iCs/>
          <w:sz w:val="24"/>
        </w:rPr>
        <w:t xml:space="preserve">, </w:t>
      </w:r>
      <w:r>
        <w:rPr>
          <w:sz w:val="24"/>
        </w:rPr>
        <w:t xml:space="preserve">by calling the </w:t>
      </w:r>
      <w:r w:rsidRPr="000D43E7">
        <w:rPr>
          <w:b/>
          <w:sz w:val="24"/>
        </w:rPr>
        <w:t xml:space="preserve">Financial Institutions </w:t>
      </w:r>
      <w:r w:rsidR="005B1753" w:rsidRPr="000D43E7">
        <w:rPr>
          <w:b/>
          <w:sz w:val="24"/>
        </w:rPr>
        <w:t>Hotline</w:t>
      </w:r>
      <w:r w:rsidR="005B1753">
        <w:rPr>
          <w:sz w:val="24"/>
        </w:rPr>
        <w:t xml:space="preserve"> (</w:t>
      </w:r>
      <w:r>
        <w:rPr>
          <w:sz w:val="24"/>
        </w:rPr>
        <w:t>1-866-556-3974)</w:t>
      </w:r>
      <w:r w:rsidR="00CE12C3">
        <w:rPr>
          <w:sz w:val="24"/>
        </w:rPr>
        <w:t xml:space="preserve"> or by any other means as requested by FinCEN.  If required to complete a Subject Information Form as requested by FinCEN, it must be sent to FinCEN by electronic mail at </w:t>
      </w:r>
      <w:hyperlink r:id="rId57" w:history="1">
        <w:r w:rsidR="00CE12C3">
          <w:rPr>
            <w:rStyle w:val="Hyperlink"/>
            <w:sz w:val="24"/>
          </w:rPr>
          <w:t>sys314a@fincen.treas.gov</w:t>
        </w:r>
      </w:hyperlink>
      <w:r w:rsidR="00CE12C3">
        <w:rPr>
          <w:sz w:val="24"/>
        </w:rPr>
        <w:t>, or if the Company does not have e-mail, by facsimile transmission at 703-905-3660.</w:t>
      </w:r>
    </w:p>
    <w:p w14:paraId="48D51FEF" w14:textId="77777777" w:rsidR="00CE12C3" w:rsidRDefault="00CE12C3" w:rsidP="003D216B">
      <w:pPr>
        <w:pBdr>
          <w:top w:val="single" w:sz="4" w:space="1" w:color="auto"/>
          <w:left w:val="single" w:sz="4" w:space="4" w:color="auto"/>
          <w:bottom w:val="single" w:sz="4" w:space="1" w:color="auto"/>
          <w:right w:val="single" w:sz="4" w:space="4" w:color="auto"/>
        </w:pBdr>
        <w:shd w:val="clear" w:color="auto" w:fill="BBDDFF"/>
        <w:rPr>
          <w:sz w:val="24"/>
        </w:rPr>
      </w:pPr>
    </w:p>
    <w:p w14:paraId="37315F80" w14:textId="2D1AFE81" w:rsidR="003D216B" w:rsidRPr="009B3190" w:rsidRDefault="00CE12C3" w:rsidP="003D216B">
      <w:pPr>
        <w:pBdr>
          <w:top w:val="single" w:sz="4" w:space="1" w:color="auto"/>
          <w:left w:val="single" w:sz="4" w:space="4" w:color="auto"/>
          <w:bottom w:val="single" w:sz="4" w:space="1" w:color="auto"/>
          <w:right w:val="single" w:sz="4" w:space="4" w:color="auto"/>
        </w:pBdr>
        <w:shd w:val="clear" w:color="auto" w:fill="BBDDFF"/>
        <w:rPr>
          <w:color w:val="000000" w:themeColor="text1"/>
          <w:sz w:val="24"/>
        </w:rPr>
      </w:pPr>
      <w:r w:rsidRPr="009B3190">
        <w:rPr>
          <w:color w:val="000000" w:themeColor="text1"/>
          <w:sz w:val="24"/>
        </w:rPr>
        <w:t xml:space="preserve">In particular, use the Hotline to report Ransomware.  Company can log into the SISS and navigate to the </w:t>
      </w:r>
      <w:r w:rsidRPr="009B3190">
        <w:rPr>
          <w:i/>
          <w:iCs/>
          <w:color w:val="000000" w:themeColor="text1"/>
          <w:sz w:val="24"/>
        </w:rPr>
        <w:t xml:space="preserve">Special Collections </w:t>
      </w:r>
      <w:r w:rsidRPr="009B3190">
        <w:rPr>
          <w:color w:val="000000" w:themeColor="text1"/>
          <w:sz w:val="24"/>
        </w:rPr>
        <w:t xml:space="preserve">tab.  This tab has a dropdown menu where the User can select “Hotline Tip” as the type of Special Collection.  There is a field where the User can provide a reference number.  If filing is in relation to a recent or ongoing ransomware attack, use </w:t>
      </w:r>
      <w:r w:rsidRPr="009B3190">
        <w:rPr>
          <w:b/>
          <w:bCs/>
          <w:color w:val="000000" w:themeColor="text1"/>
          <w:sz w:val="24"/>
        </w:rPr>
        <w:t xml:space="preserve">FIN-2021-RW </w:t>
      </w:r>
      <w:r w:rsidRPr="009B3190">
        <w:rPr>
          <w:color w:val="000000" w:themeColor="text1"/>
          <w:sz w:val="24"/>
        </w:rPr>
        <w:t>(if in 2021) as the reference number.  Lastly, there is a “Choose Files” button to locate and attach the documents.  The User can click the “Submit” button to transmit the information to FinCEN.</w:t>
      </w:r>
    </w:p>
    <w:p w14:paraId="7C298B56" w14:textId="77777777" w:rsidR="003D216B" w:rsidRPr="00CE12C3" w:rsidRDefault="003D216B" w:rsidP="003D216B">
      <w:pPr>
        <w:pBdr>
          <w:top w:val="single" w:sz="4" w:space="1" w:color="auto"/>
          <w:left w:val="single" w:sz="4" w:space="4" w:color="auto"/>
          <w:bottom w:val="single" w:sz="4" w:space="1" w:color="auto"/>
          <w:right w:val="single" w:sz="4" w:space="4" w:color="auto"/>
        </w:pBdr>
        <w:shd w:val="clear" w:color="auto" w:fill="BBDDFF"/>
        <w:rPr>
          <w:color w:val="FF0000"/>
          <w:sz w:val="24"/>
        </w:rPr>
      </w:pPr>
    </w:p>
    <w:p w14:paraId="60D35A47"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r>
        <w:rPr>
          <w:b/>
          <w:bCs/>
          <w:sz w:val="24"/>
        </w:rPr>
        <w:t>Informing Federal Law Enforcement in Emergency Situations</w:t>
      </w:r>
      <w:r>
        <w:rPr>
          <w:sz w:val="24"/>
        </w:rPr>
        <w:t>:  Morris Monroe will contact Federal law enforcement immediately by telephone if, in the course of performing due diligence or opening an account, it is discovered that:</w:t>
      </w:r>
    </w:p>
    <w:p w14:paraId="273B2F56"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p>
    <w:p w14:paraId="2493AC0B"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r>
        <w:rPr>
          <w:sz w:val="24"/>
        </w:rPr>
        <w:t xml:space="preserve">  * a customer is on the OFAC list;</w:t>
      </w:r>
    </w:p>
    <w:p w14:paraId="503BE581"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r>
        <w:rPr>
          <w:sz w:val="24"/>
        </w:rPr>
        <w:t xml:space="preserve">  * a customer’s legal or beneficial account owner is listed on the OFAC list;</w:t>
      </w:r>
    </w:p>
    <w:p w14:paraId="24E078F5" w14:textId="77777777" w:rsidR="003D216B" w:rsidRDefault="003D216B" w:rsidP="003D216B">
      <w:pPr>
        <w:pStyle w:val="BodyText3"/>
        <w:ind w:left="270" w:hanging="270"/>
      </w:pPr>
      <w:r>
        <w:t xml:space="preserve">  * a customer attempts to use bribery, coercion, undue influence, or other inappropriate means to induce the Company to open an account or proceed with a suspicious activity or transaction; and</w:t>
      </w:r>
    </w:p>
    <w:p w14:paraId="528D027B"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ind w:left="270" w:hanging="270"/>
        <w:rPr>
          <w:sz w:val="24"/>
        </w:rPr>
      </w:pPr>
      <w:r>
        <w:rPr>
          <w:sz w:val="24"/>
        </w:rPr>
        <w:t xml:space="preserve">  * any other situation that the Company reasonably determines requires immediate government             action.</w:t>
      </w:r>
    </w:p>
    <w:p w14:paraId="06A4FA5C" w14:textId="77777777" w:rsidR="000D43E7" w:rsidRDefault="000D43E7" w:rsidP="003D216B">
      <w:pPr>
        <w:pBdr>
          <w:top w:val="single" w:sz="4" w:space="1" w:color="auto"/>
          <w:left w:val="single" w:sz="4" w:space="4" w:color="auto"/>
          <w:bottom w:val="single" w:sz="4" w:space="1" w:color="auto"/>
          <w:right w:val="single" w:sz="4" w:space="4" w:color="auto"/>
        </w:pBdr>
        <w:shd w:val="clear" w:color="auto" w:fill="BBDDFF"/>
        <w:rPr>
          <w:sz w:val="24"/>
        </w:rPr>
      </w:pPr>
    </w:p>
    <w:p w14:paraId="02254E74"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r>
        <w:rPr>
          <w:sz w:val="24"/>
        </w:rPr>
        <w:t>Any other requests for information from enforcement agencies must be provided to the appropriate agency and made available when requested.  Such information must be provided as soon as possible, but not later than seven days, after receiving a written enforcement request.</w:t>
      </w:r>
    </w:p>
    <w:p w14:paraId="6C3F6000"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p>
    <w:p w14:paraId="5652D21E" w14:textId="77777777" w:rsidR="000D43E7"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r>
        <w:rPr>
          <w:sz w:val="24"/>
        </w:rPr>
        <w:t xml:space="preserve">Any customer or potential customer on the OFAC list or a customer’s legal or beneficial account owner is listed on the OFAC list must be reported to the </w:t>
      </w:r>
      <w:r w:rsidRPr="000D43E7">
        <w:rPr>
          <w:b/>
          <w:sz w:val="24"/>
        </w:rPr>
        <w:t>OFAC Compliance hotline</w:t>
      </w:r>
      <w:r>
        <w:rPr>
          <w:sz w:val="24"/>
        </w:rPr>
        <w:t xml:space="preserve"> at </w:t>
      </w:r>
    </w:p>
    <w:p w14:paraId="4253ABE1"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r>
        <w:rPr>
          <w:sz w:val="24"/>
        </w:rPr>
        <w:t>(202) 622-2490</w:t>
      </w:r>
      <w:r w:rsidR="000D43E7">
        <w:rPr>
          <w:sz w:val="24"/>
        </w:rPr>
        <w:t xml:space="preserve"> or </w:t>
      </w:r>
      <w:r w:rsidR="000D43E7" w:rsidRPr="00CD0138">
        <w:rPr>
          <w:sz w:val="24"/>
        </w:rPr>
        <w:t>800-540-6322</w:t>
      </w:r>
      <w:r w:rsidRPr="00CD0138">
        <w:rPr>
          <w:sz w:val="24"/>
        </w:rPr>
        <w:t xml:space="preserve">.  </w:t>
      </w:r>
    </w:p>
    <w:p w14:paraId="1EF5AE8E"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p>
    <w:p w14:paraId="523652EE" w14:textId="77777777" w:rsidR="00606901" w:rsidRPr="00606901" w:rsidRDefault="00606901" w:rsidP="003D216B">
      <w:pPr>
        <w:pBdr>
          <w:top w:val="single" w:sz="4" w:space="1" w:color="auto"/>
          <w:left w:val="single" w:sz="4" w:space="4" w:color="auto"/>
          <w:bottom w:val="single" w:sz="4" w:space="1" w:color="auto"/>
          <w:right w:val="single" w:sz="4" w:space="4" w:color="auto"/>
        </w:pBdr>
        <w:shd w:val="clear" w:color="auto" w:fill="BBDDFF"/>
        <w:rPr>
          <w:b/>
          <w:color w:val="FF0000"/>
          <w:sz w:val="24"/>
        </w:rPr>
      </w:pPr>
      <w:r w:rsidRPr="00472765">
        <w:rPr>
          <w:b/>
          <w:sz w:val="24"/>
        </w:rPr>
        <w:t>BSA E-Filing System</w:t>
      </w:r>
      <w:r w:rsidRPr="00472765">
        <w:rPr>
          <w:sz w:val="24"/>
        </w:rPr>
        <w:t>:</w:t>
      </w:r>
      <w:r w:rsidRPr="00606901">
        <w:rPr>
          <w:b/>
          <w:color w:val="FF0000"/>
          <w:sz w:val="24"/>
        </w:rPr>
        <w:t xml:space="preserve">  </w:t>
      </w:r>
      <w:hyperlink r:id="rId58" w:history="1">
        <w:r w:rsidR="00472765" w:rsidRPr="003E7B07">
          <w:rPr>
            <w:rStyle w:val="Hyperlink"/>
            <w:b/>
            <w:sz w:val="24"/>
          </w:rPr>
          <w:t>http://bsaefiling.fincen.treas.gov/main.html</w:t>
        </w:r>
      </w:hyperlink>
      <w:r w:rsidR="00472765" w:rsidRPr="00472765">
        <w:rPr>
          <w:sz w:val="24"/>
        </w:rPr>
        <w:t>.</w:t>
      </w:r>
      <w:r w:rsidR="00472765">
        <w:rPr>
          <w:b/>
          <w:sz w:val="24"/>
        </w:rPr>
        <w:t xml:space="preserve"> </w:t>
      </w:r>
      <w:r w:rsidRPr="00606901">
        <w:rPr>
          <w:b/>
          <w:color w:val="FF0000"/>
          <w:sz w:val="24"/>
        </w:rPr>
        <w:t xml:space="preserve"> </w:t>
      </w:r>
      <w:r w:rsidRPr="00472765">
        <w:rPr>
          <w:b/>
          <w:sz w:val="24"/>
        </w:rPr>
        <w:t>FinCEN website for Adobe forms</w:t>
      </w:r>
      <w:r w:rsidRPr="00472765">
        <w:rPr>
          <w:sz w:val="24"/>
        </w:rPr>
        <w:t>:</w:t>
      </w:r>
      <w:r w:rsidRPr="00472765">
        <w:rPr>
          <w:b/>
          <w:sz w:val="24"/>
        </w:rPr>
        <w:t xml:space="preserve"> </w:t>
      </w:r>
      <w:hyperlink r:id="rId59" w:history="1">
        <w:r w:rsidRPr="00B90751">
          <w:rPr>
            <w:rStyle w:val="Hyperlink"/>
            <w:b/>
            <w:sz w:val="24"/>
          </w:rPr>
          <w:t>http://www.fincen.gov/forms/bsa_forms/</w:t>
        </w:r>
      </w:hyperlink>
      <w:r w:rsidRPr="00606901">
        <w:rPr>
          <w:b/>
          <w:color w:val="FF0000"/>
          <w:sz w:val="24"/>
        </w:rPr>
        <w:t xml:space="preserve"> </w:t>
      </w:r>
    </w:p>
    <w:p w14:paraId="09184A08" w14:textId="77777777" w:rsidR="00606901" w:rsidRDefault="00606901" w:rsidP="003D216B">
      <w:pPr>
        <w:pBdr>
          <w:top w:val="single" w:sz="4" w:space="1" w:color="auto"/>
          <w:left w:val="single" w:sz="4" w:space="4" w:color="auto"/>
          <w:bottom w:val="single" w:sz="4" w:space="1" w:color="auto"/>
          <w:right w:val="single" w:sz="4" w:space="4" w:color="auto"/>
        </w:pBdr>
        <w:shd w:val="clear" w:color="auto" w:fill="BBDDFF"/>
        <w:rPr>
          <w:b/>
          <w:bCs/>
          <w:sz w:val="24"/>
        </w:rPr>
      </w:pPr>
    </w:p>
    <w:p w14:paraId="03DCD905"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b/>
          <w:bCs/>
          <w:sz w:val="24"/>
        </w:rPr>
      </w:pPr>
      <w:r>
        <w:rPr>
          <w:b/>
          <w:bCs/>
          <w:sz w:val="24"/>
        </w:rPr>
        <w:t>FinCEN Terror Hotline:  866-556-3974</w:t>
      </w:r>
      <w:r w:rsidR="00606901">
        <w:rPr>
          <w:b/>
          <w:bCs/>
          <w:sz w:val="24"/>
        </w:rPr>
        <w:t xml:space="preserve"> </w:t>
      </w:r>
    </w:p>
    <w:p w14:paraId="4A7E4C90"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b/>
          <w:bCs/>
          <w:sz w:val="24"/>
        </w:rPr>
      </w:pPr>
    </w:p>
    <w:p w14:paraId="6A4C0F8B"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b/>
          <w:bCs/>
          <w:sz w:val="24"/>
        </w:rPr>
      </w:pPr>
      <w:r>
        <w:rPr>
          <w:b/>
          <w:bCs/>
          <w:sz w:val="24"/>
        </w:rPr>
        <w:t>FinCEN Regulatory Helpline Number: 800-949-2732</w:t>
      </w:r>
    </w:p>
    <w:p w14:paraId="02FD4288"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p>
    <w:p w14:paraId="48EE189F"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b/>
          <w:bCs/>
          <w:sz w:val="24"/>
        </w:rPr>
      </w:pPr>
      <w:r>
        <w:rPr>
          <w:b/>
          <w:bCs/>
          <w:sz w:val="24"/>
        </w:rPr>
        <w:t>US Attorney’s Office:   (713) 567-9000</w:t>
      </w:r>
    </w:p>
    <w:p w14:paraId="713374F6"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p>
    <w:p w14:paraId="5E1AF31B"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b/>
          <w:bCs/>
          <w:sz w:val="24"/>
        </w:rPr>
      </w:pPr>
      <w:r>
        <w:rPr>
          <w:b/>
          <w:bCs/>
          <w:sz w:val="24"/>
        </w:rPr>
        <w:t xml:space="preserve">FBI Office:    (713) 693-5000 </w:t>
      </w:r>
    </w:p>
    <w:p w14:paraId="4AED48D2" w14:textId="77777777" w:rsidR="003D216B" w:rsidRDefault="00D6319C" w:rsidP="003D216B">
      <w:pPr>
        <w:pBdr>
          <w:top w:val="single" w:sz="4" w:space="1" w:color="auto"/>
          <w:left w:val="single" w:sz="4" w:space="4" w:color="auto"/>
          <w:bottom w:val="single" w:sz="4" w:space="1" w:color="auto"/>
          <w:right w:val="single" w:sz="4" w:space="4" w:color="auto"/>
        </w:pBdr>
        <w:shd w:val="clear" w:color="auto" w:fill="BBDDFF"/>
        <w:rPr>
          <w:b/>
          <w:bCs/>
          <w:sz w:val="22"/>
        </w:rPr>
      </w:pPr>
      <w:hyperlink r:id="rId60" w:history="1">
        <w:r w:rsidR="003D216B">
          <w:rPr>
            <w:rStyle w:val="Hyperlink"/>
            <w:sz w:val="22"/>
          </w:rPr>
          <w:t>http://www.fbi.gov/contact/fo/fo.htm</w:t>
        </w:r>
      </w:hyperlink>
      <w:r w:rsidR="003D216B">
        <w:rPr>
          <w:color w:val="000055"/>
          <w:sz w:val="22"/>
        </w:rPr>
        <w:t xml:space="preserve">; </w:t>
      </w:r>
      <w:r w:rsidR="003D216B">
        <w:rPr>
          <w:sz w:val="22"/>
        </w:rPr>
        <w:t>submit a tip to the FBI electronically at</w:t>
      </w:r>
      <w:r w:rsidR="003D216B">
        <w:rPr>
          <w:color w:val="000055"/>
          <w:sz w:val="22"/>
        </w:rPr>
        <w:t xml:space="preserve"> </w:t>
      </w:r>
      <w:hyperlink r:id="rId61" w:history="1">
        <w:r w:rsidR="003D216B">
          <w:rPr>
            <w:rStyle w:val="Hyperlink"/>
            <w:sz w:val="22"/>
          </w:rPr>
          <w:t>https://tips.fbi.gov/</w:t>
        </w:r>
      </w:hyperlink>
    </w:p>
    <w:p w14:paraId="0C0F7D5A"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p>
    <w:p w14:paraId="4948B019" w14:textId="77777777" w:rsidR="003D216B" w:rsidRPr="00026489" w:rsidRDefault="003D216B" w:rsidP="003D216B">
      <w:pPr>
        <w:pBdr>
          <w:top w:val="single" w:sz="4" w:space="1" w:color="auto"/>
          <w:left w:val="single" w:sz="4" w:space="4" w:color="auto"/>
          <w:bottom w:val="single" w:sz="4" w:space="1" w:color="auto"/>
          <w:right w:val="single" w:sz="4" w:space="4" w:color="auto"/>
        </w:pBdr>
        <w:shd w:val="clear" w:color="auto" w:fill="BBDDFF"/>
        <w:rPr>
          <w:b/>
          <w:bCs/>
          <w:color w:val="FF0000"/>
          <w:sz w:val="24"/>
        </w:rPr>
      </w:pPr>
      <w:r>
        <w:rPr>
          <w:b/>
          <w:bCs/>
          <w:sz w:val="24"/>
        </w:rPr>
        <w:t xml:space="preserve">SEC Office:  (817) 978-3821/  </w:t>
      </w:r>
      <w:r w:rsidRPr="00EE28C7">
        <w:rPr>
          <w:b/>
          <w:bCs/>
          <w:sz w:val="24"/>
        </w:rPr>
        <w:t>SEC SAR Alert Message Line (202) 551-SARS 7277</w:t>
      </w:r>
    </w:p>
    <w:p w14:paraId="04989716"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p>
    <w:p w14:paraId="6CE8DEF6"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r>
        <w:rPr>
          <w:b/>
          <w:bCs/>
          <w:sz w:val="24"/>
        </w:rPr>
        <w:t>Blocked Properties Reporting Form</w:t>
      </w:r>
      <w:r>
        <w:rPr>
          <w:sz w:val="24"/>
        </w:rPr>
        <w:t>:</w:t>
      </w:r>
    </w:p>
    <w:p w14:paraId="3CBE7782" w14:textId="77777777" w:rsidR="003D216B" w:rsidRDefault="00D6319C" w:rsidP="003D216B">
      <w:pPr>
        <w:pBdr>
          <w:top w:val="single" w:sz="4" w:space="1" w:color="auto"/>
          <w:left w:val="single" w:sz="4" w:space="4" w:color="auto"/>
          <w:bottom w:val="single" w:sz="4" w:space="1" w:color="auto"/>
          <w:right w:val="single" w:sz="4" w:space="4" w:color="auto"/>
        </w:pBdr>
        <w:shd w:val="clear" w:color="auto" w:fill="BBDDFF"/>
        <w:rPr>
          <w:sz w:val="24"/>
        </w:rPr>
      </w:pPr>
      <w:hyperlink r:id="rId62" w:history="1">
        <w:r w:rsidR="003D216B">
          <w:rPr>
            <w:rStyle w:val="Hyperlink"/>
            <w:sz w:val="24"/>
          </w:rPr>
          <w:t>http://www.treas.gov/offices/enforcement/ofac/legal/forms/td902250.pdf</w:t>
        </w:r>
      </w:hyperlink>
    </w:p>
    <w:p w14:paraId="71FB7EAE"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p>
    <w:p w14:paraId="5837CBDA"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r>
        <w:rPr>
          <w:b/>
          <w:bCs/>
          <w:sz w:val="24"/>
        </w:rPr>
        <w:t xml:space="preserve">Voluntary Form for Reporting Blocked </w:t>
      </w:r>
      <w:r w:rsidR="00046914">
        <w:rPr>
          <w:b/>
          <w:bCs/>
          <w:sz w:val="24"/>
        </w:rPr>
        <w:t>Transactions</w:t>
      </w:r>
      <w:r>
        <w:rPr>
          <w:sz w:val="24"/>
        </w:rPr>
        <w:t>:</w:t>
      </w:r>
    </w:p>
    <w:p w14:paraId="6F9440BC" w14:textId="77777777" w:rsidR="003D216B" w:rsidRDefault="00D6319C" w:rsidP="003D216B">
      <w:pPr>
        <w:pBdr>
          <w:top w:val="single" w:sz="4" w:space="1" w:color="auto"/>
          <w:left w:val="single" w:sz="4" w:space="4" w:color="auto"/>
          <w:bottom w:val="single" w:sz="4" w:space="1" w:color="auto"/>
          <w:right w:val="single" w:sz="4" w:space="4" w:color="auto"/>
        </w:pBdr>
        <w:shd w:val="clear" w:color="auto" w:fill="BBDDFF"/>
        <w:rPr>
          <w:sz w:val="24"/>
        </w:rPr>
      </w:pPr>
      <w:hyperlink r:id="rId63" w:history="1">
        <w:r w:rsidR="003D216B">
          <w:rPr>
            <w:rStyle w:val="Hyperlink"/>
            <w:sz w:val="24"/>
          </w:rPr>
          <w:t>http://www.treas.gov/offices/enforcement/ofac/legal/forms/e blockreport1.pdf</w:t>
        </w:r>
      </w:hyperlink>
    </w:p>
    <w:p w14:paraId="258464A2"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p>
    <w:p w14:paraId="631569E6"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r>
        <w:rPr>
          <w:b/>
          <w:bCs/>
          <w:sz w:val="24"/>
        </w:rPr>
        <w:t>Voluntary Form for Reporting Rejected Transactions</w:t>
      </w:r>
      <w:r>
        <w:rPr>
          <w:sz w:val="24"/>
        </w:rPr>
        <w:t>:</w:t>
      </w:r>
    </w:p>
    <w:p w14:paraId="478C8E98" w14:textId="77777777" w:rsidR="003D216B" w:rsidRDefault="00D6319C" w:rsidP="003D216B">
      <w:pPr>
        <w:pBdr>
          <w:top w:val="single" w:sz="4" w:space="1" w:color="auto"/>
          <w:left w:val="single" w:sz="4" w:space="4" w:color="auto"/>
          <w:bottom w:val="single" w:sz="4" w:space="1" w:color="auto"/>
          <w:right w:val="single" w:sz="4" w:space="4" w:color="auto"/>
        </w:pBdr>
        <w:shd w:val="clear" w:color="auto" w:fill="BBDDFF"/>
        <w:rPr>
          <w:sz w:val="24"/>
        </w:rPr>
      </w:pPr>
      <w:hyperlink r:id="rId64" w:history="1">
        <w:r w:rsidR="003D216B">
          <w:rPr>
            <w:rStyle w:val="Hyperlink"/>
            <w:sz w:val="24"/>
          </w:rPr>
          <w:t>http://www.treas.gov/offices/enforcement/ofac/legal/forms/e recjectreport1.pdf</w:t>
        </w:r>
      </w:hyperlink>
    </w:p>
    <w:p w14:paraId="76474897" w14:textId="77777777" w:rsidR="00F70F84" w:rsidRDefault="00F70F84" w:rsidP="003D216B">
      <w:pPr>
        <w:pBdr>
          <w:top w:val="single" w:sz="4" w:space="1" w:color="auto"/>
          <w:left w:val="single" w:sz="4" w:space="4" w:color="auto"/>
          <w:bottom w:val="single" w:sz="4" w:space="1" w:color="auto"/>
          <w:right w:val="single" w:sz="4" w:space="4" w:color="auto"/>
        </w:pBdr>
        <w:shd w:val="clear" w:color="auto" w:fill="BBDDFF"/>
        <w:rPr>
          <w:sz w:val="24"/>
        </w:rPr>
      </w:pPr>
    </w:p>
    <w:p w14:paraId="27B8ADDC" w14:textId="77777777" w:rsidR="00F70F84" w:rsidRPr="00622F5D" w:rsidRDefault="00F70F84" w:rsidP="003D216B">
      <w:pPr>
        <w:pBdr>
          <w:top w:val="single" w:sz="4" w:space="1" w:color="auto"/>
          <w:left w:val="single" w:sz="4" w:space="4" w:color="auto"/>
          <w:bottom w:val="single" w:sz="4" w:space="1" w:color="auto"/>
          <w:right w:val="single" w:sz="4" w:space="4" w:color="auto"/>
        </w:pBdr>
        <w:shd w:val="clear" w:color="auto" w:fill="BBDDFF"/>
        <w:rPr>
          <w:sz w:val="24"/>
        </w:rPr>
      </w:pPr>
      <w:r w:rsidRPr="00622F5D">
        <w:rPr>
          <w:b/>
          <w:sz w:val="24"/>
        </w:rPr>
        <w:t>Sanctioned Countries</w:t>
      </w:r>
      <w:r w:rsidR="00722059" w:rsidRPr="00622F5D">
        <w:rPr>
          <w:b/>
          <w:sz w:val="24"/>
        </w:rPr>
        <w:t xml:space="preserve"> List</w:t>
      </w:r>
      <w:r w:rsidR="00722059" w:rsidRPr="00622F5D">
        <w:rPr>
          <w:sz w:val="24"/>
        </w:rPr>
        <w:t>:</w:t>
      </w:r>
    </w:p>
    <w:p w14:paraId="72F2A510" w14:textId="77777777" w:rsidR="00B712EE" w:rsidRPr="00622F5D" w:rsidRDefault="00D6319C" w:rsidP="00622F5D">
      <w:pPr>
        <w:pBdr>
          <w:top w:val="single" w:sz="4" w:space="1" w:color="auto"/>
          <w:left w:val="single" w:sz="4" w:space="4" w:color="auto"/>
          <w:bottom w:val="single" w:sz="4" w:space="1" w:color="auto"/>
          <w:right w:val="single" w:sz="4" w:space="4" w:color="auto"/>
        </w:pBdr>
        <w:shd w:val="clear" w:color="auto" w:fill="BBDDFF"/>
        <w:rPr>
          <w:bCs/>
          <w:color w:val="0000FF"/>
        </w:rPr>
      </w:pPr>
      <w:hyperlink r:id="rId65" w:history="1">
        <w:r w:rsidR="00F70F84" w:rsidRPr="00622F5D">
          <w:rPr>
            <w:rStyle w:val="Hyperlink"/>
            <w:sz w:val="24"/>
          </w:rPr>
          <w:t>http://www.treasury.gov/resource-center/sanctions/Programs/Pages/Programs.aspx</w:t>
        </w:r>
      </w:hyperlink>
      <w:r w:rsidR="00622F5D" w:rsidRPr="00622F5D">
        <w:rPr>
          <w:color w:val="0000FF"/>
          <w:sz w:val="24"/>
        </w:rPr>
        <w:t xml:space="preserve"> </w:t>
      </w:r>
    </w:p>
    <w:p w14:paraId="61B35657" w14:textId="77777777" w:rsidR="00F70F84" w:rsidRDefault="00F70F84" w:rsidP="003D216B">
      <w:pPr>
        <w:pStyle w:val="BodyText3"/>
        <w:rPr>
          <w:b/>
          <w:bCs/>
        </w:rPr>
      </w:pPr>
    </w:p>
    <w:p w14:paraId="38042771" w14:textId="77777777" w:rsidR="00F70F84" w:rsidRDefault="00F70F84" w:rsidP="003D216B">
      <w:pPr>
        <w:pStyle w:val="BodyText3"/>
        <w:rPr>
          <w:b/>
          <w:bCs/>
        </w:rPr>
      </w:pPr>
    </w:p>
    <w:p w14:paraId="1269D9BE" w14:textId="77777777" w:rsidR="003D216B" w:rsidRDefault="003D216B" w:rsidP="003D216B">
      <w:pPr>
        <w:pStyle w:val="BodyText3"/>
        <w:rPr>
          <w:b/>
          <w:bCs/>
        </w:rPr>
      </w:pPr>
      <w:r>
        <w:rPr>
          <w:b/>
          <w:bCs/>
        </w:rPr>
        <w:t>To file a Suspicious Activity Report (SAR):</w:t>
      </w:r>
    </w:p>
    <w:p w14:paraId="01D310A4" w14:textId="77777777" w:rsidR="003D216B" w:rsidRDefault="003D216B" w:rsidP="003D216B">
      <w:pPr>
        <w:pStyle w:val="BodyText3"/>
      </w:pPr>
      <w:r>
        <w:t>The form SAR SF will be used and must be filed within 30 days of the Company’s becoming aware of the suspicious activity and concluding, after conducting further due diligence that the suspicious activity cannot be explained and should be reported.  If there is no suspect identified, an additional 30 days may be allowed to attempt to identify the suspect and file the SAR SF.  The form can be accessed at the following link:</w:t>
      </w:r>
    </w:p>
    <w:p w14:paraId="1932030D" w14:textId="77777777" w:rsidR="003D216B" w:rsidRDefault="00D6319C" w:rsidP="003D216B">
      <w:pPr>
        <w:pStyle w:val="BodyText3"/>
      </w:pPr>
      <w:hyperlink r:id="rId66" w:history="1">
        <w:r w:rsidR="003D216B">
          <w:rPr>
            <w:rStyle w:val="Hyperlink"/>
          </w:rPr>
          <w:t>http://www.fincen.gov/fin101_formandinstructions.pdf</w:t>
        </w:r>
      </w:hyperlink>
    </w:p>
    <w:p w14:paraId="2EABC84B" w14:textId="77777777" w:rsidR="003D216B" w:rsidRDefault="003D216B" w:rsidP="003D216B">
      <w:pPr>
        <w:pStyle w:val="BodyText3"/>
      </w:pPr>
    </w:p>
    <w:p w14:paraId="0F2FA311"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sz w:val="24"/>
        </w:rPr>
      </w:pPr>
    </w:p>
    <w:p w14:paraId="318F7108" w14:textId="77777777" w:rsidR="003D216B" w:rsidRDefault="003D216B" w:rsidP="003D216B">
      <w:pPr>
        <w:pBdr>
          <w:top w:val="single" w:sz="4" w:space="1" w:color="auto"/>
          <w:left w:val="single" w:sz="4" w:space="4" w:color="auto"/>
          <w:bottom w:val="single" w:sz="4" w:space="1" w:color="auto"/>
          <w:right w:val="single" w:sz="4" w:space="4" w:color="auto"/>
        </w:pBdr>
        <w:shd w:val="clear" w:color="auto" w:fill="BBDDFF"/>
        <w:rPr>
          <w:b/>
          <w:bCs/>
          <w:i/>
          <w:iCs/>
          <w:sz w:val="24"/>
        </w:rPr>
      </w:pPr>
      <w:r>
        <w:rPr>
          <w:b/>
          <w:bCs/>
          <w:i/>
          <w:iCs/>
          <w:sz w:val="24"/>
        </w:rPr>
        <w:t xml:space="preserve">Any detection of securities law violations should be reported to the SEC and the </w:t>
      </w:r>
      <w:r w:rsidRPr="001E23AB">
        <w:rPr>
          <w:b/>
          <w:bCs/>
          <w:i/>
          <w:iCs/>
          <w:sz w:val="24"/>
        </w:rPr>
        <w:t>FINRA</w:t>
      </w:r>
      <w:r>
        <w:rPr>
          <w:b/>
          <w:bCs/>
          <w:i/>
          <w:iCs/>
          <w:sz w:val="24"/>
        </w:rPr>
        <w:t>.</w:t>
      </w:r>
    </w:p>
    <w:p w14:paraId="66F0200A" w14:textId="77777777" w:rsidR="000F3031" w:rsidRDefault="000F3031" w:rsidP="003D216B">
      <w:pPr>
        <w:rPr>
          <w:color w:val="FF0000"/>
        </w:rPr>
      </w:pPr>
    </w:p>
    <w:p w14:paraId="2509FB32" w14:textId="77777777" w:rsidR="00606901" w:rsidRDefault="00606901" w:rsidP="003D216B">
      <w:pPr>
        <w:rPr>
          <w:b/>
          <w:bCs/>
          <w:sz w:val="24"/>
        </w:rPr>
      </w:pPr>
    </w:p>
    <w:p w14:paraId="0AF685A8" w14:textId="77777777" w:rsidR="003D216B" w:rsidRPr="004B4F79" w:rsidRDefault="00A32F62" w:rsidP="00936FEE">
      <w:pPr>
        <w:pStyle w:val="Heading2"/>
      </w:pPr>
      <w:r w:rsidRPr="004B4F79">
        <w:t>7.1</w:t>
      </w:r>
      <w:r w:rsidR="00C52626">
        <w:t>1</w:t>
      </w:r>
      <w:r w:rsidRPr="004B4F79">
        <w:t xml:space="preserve"> </w:t>
      </w:r>
      <w:r w:rsidR="003D216B" w:rsidRPr="004B4F79">
        <w:t>Internal Audit and Testing of AML Procedures</w:t>
      </w:r>
    </w:p>
    <w:p w14:paraId="2E72455D" w14:textId="77777777" w:rsidR="003D216B" w:rsidRPr="00622F5D" w:rsidRDefault="003D216B" w:rsidP="003D216B">
      <w:pPr>
        <w:pStyle w:val="BodyText2"/>
        <w:widowControl/>
        <w:jc w:val="both"/>
      </w:pPr>
      <w:r w:rsidRPr="00622F5D">
        <w:t xml:space="preserve">At a minimum, the Company will </w:t>
      </w:r>
      <w:r w:rsidR="00FF7E08" w:rsidRPr="00622F5D">
        <w:t>ensure</w:t>
      </w:r>
      <w:r w:rsidRPr="00622F5D">
        <w:t xml:space="preserve"> an annual audit and testing of its AML procedures in an </w:t>
      </w:r>
      <w:r w:rsidR="00FF7E08" w:rsidRPr="00622F5D">
        <w:t>independent</w:t>
      </w:r>
      <w:r w:rsidRPr="00622F5D">
        <w:t xml:space="preserve"> audit and a record of such audit will be maintained with the Company’s records.  After testing is completed, the staff will report its findings to Morris Monroe, senior management.  </w:t>
      </w:r>
      <w:r w:rsidR="000045F0" w:rsidRPr="00622F5D">
        <w:t xml:space="preserve">Company </w:t>
      </w:r>
      <w:r w:rsidRPr="00622F5D">
        <w:t>will address each of</w:t>
      </w:r>
      <w:r w:rsidR="00FF7E08" w:rsidRPr="00622F5D">
        <w:t xml:space="preserve"> the resulting recommendations and adopt any new applicable policies or procedures</w:t>
      </w:r>
    </w:p>
    <w:p w14:paraId="70DBD7A0" w14:textId="77777777" w:rsidR="00DD343C" w:rsidRPr="00622F5D" w:rsidRDefault="00DD343C" w:rsidP="003D216B">
      <w:pPr>
        <w:pStyle w:val="BodyText2"/>
        <w:widowControl/>
        <w:jc w:val="both"/>
      </w:pPr>
    </w:p>
    <w:p w14:paraId="3CEC02F8" w14:textId="77777777" w:rsidR="00DD343C" w:rsidRPr="00622F5D" w:rsidRDefault="00DD343C" w:rsidP="001A7509">
      <w:pPr>
        <w:pStyle w:val="Heading3"/>
        <w:rPr>
          <w:i/>
          <w:sz w:val="20"/>
        </w:rPr>
      </w:pPr>
      <w:r w:rsidRPr="00622F5D">
        <w:rPr>
          <w:rStyle w:val="us"/>
          <w:bCs/>
        </w:rPr>
        <w:t xml:space="preserve">7.11.1 </w:t>
      </w:r>
      <w:r w:rsidRPr="00622F5D">
        <w:rPr>
          <w:rStyle w:val="Strong"/>
          <w:b/>
        </w:rPr>
        <w:t>Independent Testing Requirements</w:t>
      </w:r>
      <w:r w:rsidRPr="00622F5D">
        <w:t xml:space="preserve"> </w:t>
      </w:r>
      <w:r w:rsidR="002115F5" w:rsidRPr="00622F5D">
        <w:rPr>
          <w:i/>
          <w:sz w:val="20"/>
        </w:rPr>
        <w:t>(</w:t>
      </w:r>
      <w:proofErr w:type="gramStart"/>
      <w:r w:rsidR="002115F5" w:rsidRPr="00622F5D">
        <w:rPr>
          <w:i/>
          <w:sz w:val="20"/>
        </w:rPr>
        <w:t>eff</w:t>
      </w:r>
      <w:proofErr w:type="gramEnd"/>
      <w:r w:rsidR="002115F5" w:rsidRPr="00622F5D">
        <w:rPr>
          <w:i/>
          <w:sz w:val="20"/>
        </w:rPr>
        <w:t xml:space="preserve"> 01/01/10)</w:t>
      </w:r>
    </w:p>
    <w:p w14:paraId="453AC906" w14:textId="77777777" w:rsidR="00DD343C" w:rsidRDefault="00C24820" w:rsidP="00DD343C">
      <w:pPr>
        <w:shd w:val="clear" w:color="auto" w:fill="FFFFFF"/>
        <w:spacing w:line="270" w:lineRule="atLeast"/>
        <w:ind w:left="270"/>
        <w:jc w:val="both"/>
      </w:pPr>
      <w:r w:rsidRPr="00622F5D">
        <w:rPr>
          <w:sz w:val="24"/>
          <w:szCs w:val="24"/>
        </w:rPr>
        <w:t xml:space="preserve">Independent testing must be conducted by an independent person with a working knowledge of applicable requirements under the Bank Secrecy Act and its implementing regulations.  </w:t>
      </w:r>
      <w:r w:rsidR="00273614" w:rsidRPr="00622F5D">
        <w:rPr>
          <w:sz w:val="24"/>
          <w:szCs w:val="24"/>
        </w:rPr>
        <w:t>Independent testing may not be conducted by a person who performs the functions being tested, the AML Compliance Officer, or a person who reports to either of these</w:t>
      </w:r>
      <w:r w:rsidR="00682C35" w:rsidRPr="00622F5D">
        <w:rPr>
          <w:sz w:val="24"/>
          <w:szCs w:val="24"/>
        </w:rPr>
        <w:t xml:space="preserve"> persons</w:t>
      </w:r>
      <w:r w:rsidR="00273614" w:rsidRPr="00273614">
        <w:rPr>
          <w:color w:val="FF0000"/>
          <w:sz w:val="24"/>
          <w:szCs w:val="24"/>
        </w:rPr>
        <w:t>.</w:t>
      </w:r>
      <w:r w:rsidR="00273614">
        <w:rPr>
          <w:color w:val="000000"/>
          <w:sz w:val="24"/>
          <w:szCs w:val="24"/>
        </w:rPr>
        <w:t xml:space="preserve">  </w:t>
      </w:r>
      <w:r>
        <w:rPr>
          <w:color w:val="000000"/>
          <w:sz w:val="24"/>
          <w:szCs w:val="24"/>
        </w:rPr>
        <w:t xml:space="preserve">Testing will be conducted at least </w:t>
      </w:r>
      <w:r w:rsidR="00273614">
        <w:rPr>
          <w:color w:val="000000"/>
          <w:sz w:val="24"/>
          <w:szCs w:val="24"/>
        </w:rPr>
        <w:t>annually;</w:t>
      </w:r>
      <w:r>
        <w:rPr>
          <w:color w:val="000000"/>
          <w:sz w:val="24"/>
          <w:szCs w:val="24"/>
        </w:rPr>
        <w:t xml:space="preserve"> however, </w:t>
      </w:r>
      <w:r w:rsidR="00DD343C">
        <w:rPr>
          <w:color w:val="000000"/>
          <w:sz w:val="24"/>
          <w:szCs w:val="24"/>
        </w:rPr>
        <w:t>Company</w:t>
      </w:r>
      <w:r w:rsidR="00DD343C" w:rsidRPr="00DD343C">
        <w:rPr>
          <w:color w:val="000000"/>
          <w:sz w:val="24"/>
          <w:szCs w:val="24"/>
        </w:rPr>
        <w:t xml:space="preserve"> sh</w:t>
      </w:r>
      <w:r w:rsidR="00E0725A">
        <w:rPr>
          <w:color w:val="000000"/>
          <w:sz w:val="24"/>
          <w:szCs w:val="24"/>
        </w:rPr>
        <w:t>all</w:t>
      </w:r>
      <w:r w:rsidR="00DD343C" w:rsidRPr="00DD343C">
        <w:rPr>
          <w:color w:val="000000"/>
          <w:sz w:val="24"/>
          <w:szCs w:val="24"/>
        </w:rPr>
        <w:t xml:space="preserve"> undertake more frequent testing than required if circumstances warrant. </w:t>
      </w:r>
      <w:r w:rsidR="00DD343C">
        <w:rPr>
          <w:color w:val="000000"/>
          <w:sz w:val="24"/>
          <w:szCs w:val="24"/>
        </w:rPr>
        <w:t xml:space="preserve"> </w:t>
      </w:r>
      <w:r w:rsidR="00DD343C" w:rsidRPr="00DD343C">
        <w:rPr>
          <w:color w:val="000000"/>
          <w:sz w:val="24"/>
          <w:szCs w:val="24"/>
        </w:rPr>
        <w:t xml:space="preserve"> </w:t>
      </w:r>
      <w:r>
        <w:rPr>
          <w:color w:val="000000"/>
          <w:sz w:val="24"/>
          <w:szCs w:val="24"/>
        </w:rPr>
        <w:t>A copy of said reviews will be maintained as part of Company records for a period of three years.</w:t>
      </w:r>
    </w:p>
    <w:p w14:paraId="7B3EB85A" w14:textId="77777777" w:rsidR="003D216B" w:rsidRDefault="003D216B" w:rsidP="003D216B">
      <w:pPr>
        <w:pStyle w:val="BodyText2"/>
        <w:widowControl/>
        <w:jc w:val="both"/>
      </w:pPr>
    </w:p>
    <w:p w14:paraId="30335858" w14:textId="77777777" w:rsidR="00FB0641" w:rsidRDefault="00FB0641" w:rsidP="003D216B">
      <w:pPr>
        <w:pStyle w:val="BodyText2"/>
        <w:widowControl/>
        <w:jc w:val="both"/>
      </w:pPr>
    </w:p>
    <w:p w14:paraId="3CD1075A" w14:textId="77777777" w:rsidR="003D216B" w:rsidRPr="004B4F79" w:rsidRDefault="00A32F62" w:rsidP="00936FEE">
      <w:pPr>
        <w:pStyle w:val="Heading2"/>
      </w:pPr>
      <w:r w:rsidRPr="004B4F79">
        <w:t>7.1</w:t>
      </w:r>
      <w:r w:rsidR="00C52626">
        <w:t xml:space="preserve">2 </w:t>
      </w:r>
      <w:r w:rsidR="003D216B" w:rsidRPr="004B4F79">
        <w:t>Monitoring Employee Accounts</w:t>
      </w:r>
    </w:p>
    <w:p w14:paraId="3A13EA4D" w14:textId="77777777" w:rsidR="003D216B" w:rsidRDefault="000045F0" w:rsidP="003D216B">
      <w:pPr>
        <w:pStyle w:val="BodyText2"/>
        <w:widowControl/>
        <w:jc w:val="both"/>
      </w:pPr>
      <w:r>
        <w:t>Company</w:t>
      </w:r>
      <w:r w:rsidR="003D216B">
        <w:t xml:space="preserve"> will subject employee accounts to the same AML procedures as customer accounts, under the supervision of the AML Compliance Officer.  </w:t>
      </w:r>
      <w:r w:rsidR="00FC1F67">
        <w:t>Laura Hendricks</w:t>
      </w:r>
      <w:r w:rsidR="003D216B">
        <w:t xml:space="preserve"> will also review the AML</w:t>
      </w:r>
      <w:r w:rsidR="00B71D19">
        <w:t xml:space="preserve"> </w:t>
      </w:r>
      <w:r w:rsidR="003D216B">
        <w:t>Compliance Officer’s accounts.</w:t>
      </w:r>
    </w:p>
    <w:p w14:paraId="29106750" w14:textId="77777777" w:rsidR="003D216B" w:rsidRDefault="003D216B" w:rsidP="003D216B">
      <w:pPr>
        <w:pStyle w:val="BodyText2"/>
        <w:widowControl/>
        <w:jc w:val="both"/>
        <w:rPr>
          <w:b/>
          <w:bCs/>
        </w:rPr>
      </w:pPr>
    </w:p>
    <w:p w14:paraId="75582BA5" w14:textId="77777777" w:rsidR="00FB0641" w:rsidRDefault="00FB0641" w:rsidP="003D216B">
      <w:pPr>
        <w:pStyle w:val="BodyText2"/>
        <w:widowControl/>
        <w:jc w:val="both"/>
        <w:rPr>
          <w:b/>
          <w:bCs/>
        </w:rPr>
      </w:pPr>
    </w:p>
    <w:p w14:paraId="528F5300" w14:textId="77777777" w:rsidR="003D216B" w:rsidRPr="004B4F79" w:rsidRDefault="00A32F62" w:rsidP="00936FEE">
      <w:pPr>
        <w:pStyle w:val="Heading2"/>
      </w:pPr>
      <w:r w:rsidRPr="004B4F79">
        <w:t>7.1</w:t>
      </w:r>
      <w:r w:rsidR="00C52626">
        <w:t>3</w:t>
      </w:r>
      <w:r w:rsidRPr="004B4F79">
        <w:t xml:space="preserve"> </w:t>
      </w:r>
      <w:r w:rsidR="003D216B" w:rsidRPr="004B4F79">
        <w:t xml:space="preserve">Confidential Reporting of AML Non-Compliance </w:t>
      </w:r>
    </w:p>
    <w:p w14:paraId="5F6FFCCB" w14:textId="77777777" w:rsidR="003D216B" w:rsidRDefault="003D216B" w:rsidP="003D216B">
      <w:pPr>
        <w:pStyle w:val="BodyText2"/>
        <w:widowControl/>
        <w:jc w:val="both"/>
      </w:pPr>
      <w:r>
        <w:t xml:space="preserve">Employees will report any violations of </w:t>
      </w:r>
      <w:r w:rsidR="00A00E56">
        <w:rPr>
          <w:szCs w:val="24"/>
        </w:rPr>
        <w:t>the Company</w:t>
      </w:r>
      <w:r w:rsidR="00A00E56" w:rsidRPr="00472765">
        <w:rPr>
          <w:szCs w:val="24"/>
        </w:rPr>
        <w:t>'s</w:t>
      </w:r>
      <w:r>
        <w:t xml:space="preserve"> AML compliance program to the AML Compliance Officer, unless the violations implicate the Compliance Officer, in which case the employee shall report to Laura Hendricks.  Such reports will be confidential, and the employee will suffer no retaliation for making them.</w:t>
      </w:r>
    </w:p>
    <w:p w14:paraId="6641D0C2" w14:textId="77777777" w:rsidR="003D216B" w:rsidRDefault="003D216B" w:rsidP="003D216B">
      <w:pPr>
        <w:pStyle w:val="BodyText2"/>
        <w:widowControl/>
        <w:jc w:val="both"/>
        <w:rPr>
          <w:b/>
          <w:bCs/>
        </w:rPr>
      </w:pPr>
    </w:p>
    <w:p w14:paraId="05F29A97" w14:textId="77777777" w:rsidR="00933D05" w:rsidRDefault="00933D05" w:rsidP="003D216B">
      <w:pPr>
        <w:pStyle w:val="BodyText2"/>
        <w:widowControl/>
        <w:jc w:val="both"/>
        <w:rPr>
          <w:b/>
          <w:bCs/>
        </w:rPr>
      </w:pPr>
    </w:p>
    <w:p w14:paraId="47214CDA" w14:textId="77777777" w:rsidR="003D216B" w:rsidRPr="004B4F79" w:rsidRDefault="00A32F62" w:rsidP="00936FEE">
      <w:pPr>
        <w:pStyle w:val="Heading2"/>
      </w:pPr>
      <w:r w:rsidRPr="004B4F79">
        <w:t>7.1</w:t>
      </w:r>
      <w:r w:rsidR="00C52626">
        <w:t>4</w:t>
      </w:r>
      <w:r w:rsidR="00681F9D">
        <w:t xml:space="preserve"> </w:t>
      </w:r>
      <w:r w:rsidR="003D216B" w:rsidRPr="004B4F79">
        <w:t>AML Recordkeeping</w:t>
      </w:r>
    </w:p>
    <w:p w14:paraId="638E114C" w14:textId="77777777" w:rsidR="003D216B" w:rsidRDefault="003D216B" w:rsidP="003D216B">
      <w:pPr>
        <w:pStyle w:val="BodyText2"/>
        <w:widowControl/>
        <w:jc w:val="both"/>
      </w:pPr>
      <w:r>
        <w:t>Company will hold SARs and any supporting documentation confidential. Company will not inform anyone outside of a law enforcement or regulatory agency or securities regulator about a SAR.  Company will deny any subpoena requests for SARs or SAR information and immediately tell FinCEN of any such subpoena it receives.  Company will segregate SAR filings and copies of supporting documentation from other firm books and records to avoid disclosing SAR filings.  The AML Compliance Officer will handle all subpoenas or other requests for SARs.  All SAR records and any other confidential records will be maintained in a separate file in Morris Monroe’s office in a secured file cabinet.  Company will share information with its clearing broker about suspicious transactions for determining when a SAR should be filed.  Company may share with the clearing broker a copy of the filed SAR – unless it would be inappropriate to do so under the circumstances, such as where it files a SAR concerning the clearing broker or its employees.</w:t>
      </w:r>
    </w:p>
    <w:p w14:paraId="5C3A8319" w14:textId="77777777" w:rsidR="003D216B" w:rsidRDefault="003D216B" w:rsidP="003D216B">
      <w:pPr>
        <w:jc w:val="both"/>
        <w:rPr>
          <w:b/>
          <w:bCs/>
          <w:sz w:val="24"/>
        </w:rPr>
      </w:pPr>
    </w:p>
    <w:p w14:paraId="4BC444E7" w14:textId="77777777" w:rsidR="003D216B" w:rsidRDefault="003D216B" w:rsidP="003D216B">
      <w:pPr>
        <w:jc w:val="both"/>
        <w:rPr>
          <w:sz w:val="24"/>
        </w:rPr>
      </w:pPr>
      <w:r>
        <w:rPr>
          <w:sz w:val="24"/>
        </w:rPr>
        <w:t xml:space="preserve">As part of the AML program, </w:t>
      </w:r>
      <w:r w:rsidR="003D474B">
        <w:rPr>
          <w:sz w:val="24"/>
        </w:rPr>
        <w:t>Company</w:t>
      </w:r>
      <w:r>
        <w:rPr>
          <w:sz w:val="24"/>
        </w:rPr>
        <w:t xml:space="preserve"> will create and maintain </w:t>
      </w:r>
      <w:r w:rsidR="003D474B">
        <w:rPr>
          <w:sz w:val="24"/>
        </w:rPr>
        <w:t xml:space="preserve">any filed </w:t>
      </w:r>
      <w:r>
        <w:rPr>
          <w:sz w:val="24"/>
        </w:rPr>
        <w:t>SARs, CTRs, CMIRs, FBARs, and relevant documentation on customer identity and verificatio</w:t>
      </w:r>
      <w:r w:rsidR="003D474B">
        <w:rPr>
          <w:sz w:val="24"/>
        </w:rPr>
        <w:t xml:space="preserve">n </w:t>
      </w:r>
      <w:r>
        <w:rPr>
          <w:sz w:val="24"/>
        </w:rPr>
        <w:t xml:space="preserve">and funds transfers and transmittals as well as any records related to customers listed on the OFAC list.  Company will maintain SARs and their accompanying documentation for at least five years.  Other documents will be kept according to existing BSA and other record keeping requirements, including certain SEC rules that require six-year retention. </w:t>
      </w:r>
    </w:p>
    <w:p w14:paraId="43941E32" w14:textId="77777777" w:rsidR="003D216B" w:rsidRDefault="003D216B" w:rsidP="003D216B">
      <w:pPr>
        <w:jc w:val="both"/>
        <w:rPr>
          <w:sz w:val="24"/>
        </w:rPr>
      </w:pPr>
    </w:p>
    <w:p w14:paraId="24573A8F" w14:textId="77777777" w:rsidR="003D216B" w:rsidRDefault="003D216B" w:rsidP="003D216B">
      <w:pPr>
        <w:jc w:val="both"/>
        <w:rPr>
          <w:sz w:val="24"/>
        </w:rPr>
      </w:pPr>
      <w:r>
        <w:rPr>
          <w:sz w:val="24"/>
        </w:rPr>
        <w:t>In addition, all CIP forms or information will be maintained either in hard copy in the customer file or electronically (scanned documents or identifying information recorded in Company maintained software).</w:t>
      </w:r>
    </w:p>
    <w:p w14:paraId="416E43FC" w14:textId="77777777" w:rsidR="003D216B" w:rsidRDefault="003D216B" w:rsidP="003D216B">
      <w:pPr>
        <w:jc w:val="both"/>
        <w:rPr>
          <w:b/>
          <w:bCs/>
          <w:sz w:val="24"/>
        </w:rPr>
      </w:pPr>
    </w:p>
    <w:p w14:paraId="3E32F1B0" w14:textId="77777777" w:rsidR="003D216B" w:rsidRDefault="003D216B" w:rsidP="003D216B">
      <w:pPr>
        <w:pStyle w:val="BodyText2"/>
        <w:widowControl/>
        <w:jc w:val="both"/>
      </w:pPr>
      <w:r>
        <w:t xml:space="preserve">The AML Compliance Officer and his or her designee will be responsible to ensure that AML records are maintained </w:t>
      </w:r>
      <w:r w:rsidR="00B71D19">
        <w:t>properly,</w:t>
      </w:r>
      <w:r>
        <w:t xml:space="preserve"> and </w:t>
      </w:r>
      <w:r w:rsidR="003D474B">
        <w:t>any</w:t>
      </w:r>
      <w:r>
        <w:t xml:space="preserve"> SARs are filed as required.  </w:t>
      </w:r>
    </w:p>
    <w:p w14:paraId="436ED04B" w14:textId="77777777" w:rsidR="003D216B" w:rsidRDefault="003D216B" w:rsidP="003D216B">
      <w:pPr>
        <w:pStyle w:val="BodyText2"/>
        <w:widowControl/>
      </w:pPr>
    </w:p>
    <w:p w14:paraId="0D39A18B" w14:textId="77777777" w:rsidR="003D216B" w:rsidRPr="004B4F79" w:rsidRDefault="00FB0641" w:rsidP="00936FEE">
      <w:pPr>
        <w:pStyle w:val="Heading2"/>
      </w:pPr>
      <w:r w:rsidRPr="004B4F79">
        <w:t>7.1</w:t>
      </w:r>
      <w:r w:rsidR="00C52626">
        <w:t>5</w:t>
      </w:r>
      <w:r w:rsidR="00681F9D">
        <w:t xml:space="preserve"> </w:t>
      </w:r>
      <w:r w:rsidR="003D216B" w:rsidRPr="004B4F79">
        <w:t>Training</w:t>
      </w:r>
    </w:p>
    <w:p w14:paraId="76F7123B" w14:textId="77777777" w:rsidR="003D216B" w:rsidRPr="002C26F2" w:rsidRDefault="003D216B" w:rsidP="003D216B">
      <w:pPr>
        <w:jc w:val="both"/>
        <w:rPr>
          <w:sz w:val="24"/>
        </w:rPr>
      </w:pPr>
      <w:r>
        <w:rPr>
          <w:sz w:val="24"/>
        </w:rPr>
        <w:t xml:space="preserve">Company will develop ongoing employee training under the leadership of the AML Compliance Officer and senior management.  Training will occur </w:t>
      </w:r>
      <w:r w:rsidR="002D1AAA">
        <w:rPr>
          <w:sz w:val="24"/>
        </w:rPr>
        <w:t xml:space="preserve">at least </w:t>
      </w:r>
      <w:r>
        <w:rPr>
          <w:sz w:val="24"/>
        </w:rPr>
        <w:t>on an annual basis.  It will be based on Company’s size, its customer base, and its resources.</w:t>
      </w:r>
      <w:r w:rsidR="00456132">
        <w:rPr>
          <w:sz w:val="24"/>
        </w:rPr>
        <w:t xml:space="preserve">  </w:t>
      </w:r>
      <w:r w:rsidR="00456132" w:rsidRPr="002C26F2">
        <w:rPr>
          <w:sz w:val="24"/>
        </w:rPr>
        <w:t>In add</w:t>
      </w:r>
      <w:r w:rsidR="004B2432">
        <w:rPr>
          <w:sz w:val="24"/>
        </w:rPr>
        <w:t>i</w:t>
      </w:r>
      <w:r w:rsidR="00456132" w:rsidRPr="002C26F2">
        <w:rPr>
          <w:sz w:val="24"/>
        </w:rPr>
        <w:t>tion, all new hires receive training i</w:t>
      </w:r>
      <w:r w:rsidR="002C26F2" w:rsidRPr="002C26F2">
        <w:rPr>
          <w:sz w:val="24"/>
        </w:rPr>
        <w:t>n</w:t>
      </w:r>
      <w:r w:rsidR="00456132" w:rsidRPr="002C26F2">
        <w:rPr>
          <w:sz w:val="24"/>
        </w:rPr>
        <w:t xml:space="preserve"> all Company Procedures and its WSP, including AMLCP as evidenced by their certification of receipt and acknowledgment of the WSP.</w:t>
      </w:r>
    </w:p>
    <w:p w14:paraId="7F835F3C" w14:textId="77777777" w:rsidR="003D216B" w:rsidRDefault="003D216B" w:rsidP="003D216B">
      <w:pPr>
        <w:rPr>
          <w:sz w:val="24"/>
        </w:rPr>
      </w:pPr>
      <w:r>
        <w:rPr>
          <w:sz w:val="24"/>
        </w:rPr>
        <w:t xml:space="preserve"> </w:t>
      </w:r>
    </w:p>
    <w:p w14:paraId="6DE98019" w14:textId="77777777" w:rsidR="003D216B" w:rsidRDefault="003D216B" w:rsidP="003D216B">
      <w:pPr>
        <w:pStyle w:val="BodyText2"/>
        <w:widowControl/>
      </w:pPr>
      <w:r>
        <w:t xml:space="preserve"> At a minimum, </w:t>
      </w:r>
      <w:r w:rsidR="00A00E56">
        <w:rPr>
          <w:szCs w:val="24"/>
        </w:rPr>
        <w:t>the Company</w:t>
      </w:r>
      <w:r>
        <w:t xml:space="preserve"> will ensure that employees are trained in the following topics:</w:t>
      </w:r>
    </w:p>
    <w:p w14:paraId="31E4304D" w14:textId="77777777" w:rsidR="003D216B" w:rsidRDefault="003D216B" w:rsidP="003D216B">
      <w:pPr>
        <w:pStyle w:val="BodyText2"/>
        <w:widowControl/>
      </w:pPr>
    </w:p>
    <w:p w14:paraId="1A1DBF22" w14:textId="77777777" w:rsidR="003D216B" w:rsidRDefault="003D216B" w:rsidP="00216F83">
      <w:pPr>
        <w:pStyle w:val="BodyText2"/>
        <w:widowControl/>
        <w:numPr>
          <w:ilvl w:val="0"/>
          <w:numId w:val="10"/>
        </w:numPr>
      </w:pPr>
      <w:r>
        <w:t>What is Money Laundering;</w:t>
      </w:r>
    </w:p>
    <w:p w14:paraId="023A47EF" w14:textId="77777777" w:rsidR="003D216B" w:rsidRDefault="003D216B" w:rsidP="00216F83">
      <w:pPr>
        <w:pStyle w:val="BodyText2"/>
        <w:widowControl/>
        <w:numPr>
          <w:ilvl w:val="0"/>
          <w:numId w:val="10"/>
        </w:numPr>
      </w:pPr>
      <w:r>
        <w:t xml:space="preserve">Overview of the US Patriot Act and the Office of Foreign Assets and Control; </w:t>
      </w:r>
    </w:p>
    <w:p w14:paraId="10E6415E" w14:textId="77777777" w:rsidR="003D216B" w:rsidRDefault="003D216B" w:rsidP="00216F83">
      <w:pPr>
        <w:pStyle w:val="BodyText2"/>
        <w:widowControl/>
        <w:numPr>
          <w:ilvl w:val="0"/>
          <w:numId w:val="10"/>
        </w:numPr>
      </w:pPr>
      <w:r>
        <w:t>Customer Identification requirements;</w:t>
      </w:r>
    </w:p>
    <w:p w14:paraId="6C6666B3" w14:textId="77777777" w:rsidR="003D216B" w:rsidRDefault="003D216B" w:rsidP="00216F83">
      <w:pPr>
        <w:pStyle w:val="BodyText2"/>
        <w:widowControl/>
        <w:numPr>
          <w:ilvl w:val="0"/>
          <w:numId w:val="10"/>
        </w:numPr>
      </w:pPr>
      <w:r>
        <w:lastRenderedPageBreak/>
        <w:t>How to identify “red flags” and possible signs of money laundering that could arise in the course of their duties;</w:t>
      </w:r>
    </w:p>
    <w:p w14:paraId="2F7ED0AC" w14:textId="77777777" w:rsidR="003D216B" w:rsidRDefault="003D216B" w:rsidP="00216F83">
      <w:pPr>
        <w:pStyle w:val="BodyText2"/>
        <w:widowControl/>
        <w:numPr>
          <w:ilvl w:val="0"/>
          <w:numId w:val="10"/>
        </w:numPr>
      </w:pPr>
      <w:r>
        <w:t>What to do once the risk is identified;</w:t>
      </w:r>
    </w:p>
    <w:p w14:paraId="2F1822D6" w14:textId="77777777" w:rsidR="003D216B" w:rsidRDefault="003D216B" w:rsidP="00216F83">
      <w:pPr>
        <w:pStyle w:val="BodyText2"/>
        <w:widowControl/>
        <w:numPr>
          <w:ilvl w:val="0"/>
          <w:numId w:val="10"/>
        </w:numPr>
      </w:pPr>
      <w:r>
        <w:t>What their roles are in the Company’s compliance efforts;</w:t>
      </w:r>
    </w:p>
    <w:p w14:paraId="4BFD491A" w14:textId="77777777" w:rsidR="003D216B" w:rsidRDefault="003D216B" w:rsidP="00216F83">
      <w:pPr>
        <w:pStyle w:val="BodyText2"/>
        <w:widowControl/>
        <w:numPr>
          <w:ilvl w:val="0"/>
          <w:numId w:val="10"/>
        </w:numPr>
      </w:pPr>
      <w:r>
        <w:t>How to perform their roles;</w:t>
      </w:r>
    </w:p>
    <w:p w14:paraId="4EEA50B9" w14:textId="77777777" w:rsidR="003D216B" w:rsidRDefault="003D216B" w:rsidP="00216F83">
      <w:pPr>
        <w:pStyle w:val="BodyText2"/>
        <w:widowControl/>
        <w:numPr>
          <w:ilvl w:val="0"/>
          <w:numId w:val="10"/>
        </w:numPr>
      </w:pPr>
      <w:r>
        <w:t>Information about reporting suspicious activity;</w:t>
      </w:r>
    </w:p>
    <w:p w14:paraId="0E27A0BA" w14:textId="77777777" w:rsidR="003D216B" w:rsidRDefault="003D216B" w:rsidP="00216F83">
      <w:pPr>
        <w:pStyle w:val="BodyText2"/>
        <w:widowControl/>
        <w:numPr>
          <w:ilvl w:val="0"/>
          <w:numId w:val="10"/>
        </w:numPr>
      </w:pPr>
      <w:r>
        <w:t>Reporting requirements for cash and currency and Company policies relating to same;</w:t>
      </w:r>
    </w:p>
    <w:p w14:paraId="214DB90B" w14:textId="77777777" w:rsidR="003D216B" w:rsidRDefault="003D216B" w:rsidP="00216F83">
      <w:pPr>
        <w:pStyle w:val="BodyText2"/>
        <w:widowControl/>
        <w:numPr>
          <w:ilvl w:val="0"/>
          <w:numId w:val="10"/>
        </w:numPr>
      </w:pPr>
      <w:r>
        <w:t>The Company’s record retention policy; and</w:t>
      </w:r>
    </w:p>
    <w:p w14:paraId="3DC09AB0" w14:textId="77777777" w:rsidR="003D216B" w:rsidRDefault="003D216B" w:rsidP="00216F83">
      <w:pPr>
        <w:pStyle w:val="BodyText2"/>
        <w:widowControl/>
        <w:numPr>
          <w:ilvl w:val="0"/>
          <w:numId w:val="10"/>
        </w:numPr>
      </w:pPr>
      <w:r>
        <w:t>Disciplinary consequences, including criminal and civil penalties for non-compliance with the Money Laundering Abatement Act.</w:t>
      </w:r>
    </w:p>
    <w:p w14:paraId="20FB148D" w14:textId="77777777" w:rsidR="003D216B" w:rsidRDefault="003D216B" w:rsidP="003D216B">
      <w:pPr>
        <w:pStyle w:val="BodyText2"/>
        <w:widowControl/>
        <w:ind w:left="360"/>
      </w:pPr>
    </w:p>
    <w:p w14:paraId="5B502B0E" w14:textId="77777777" w:rsidR="003D216B" w:rsidRDefault="003D216B" w:rsidP="00262603">
      <w:pPr>
        <w:pStyle w:val="BodyText2"/>
        <w:widowControl/>
      </w:pPr>
      <w:r>
        <w:t>Company will d</w:t>
      </w:r>
      <w:r w:rsidR="00165F7B">
        <w:t xml:space="preserve">evelop training from </w:t>
      </w:r>
      <w:r w:rsidR="00165F7B" w:rsidRPr="00151877">
        <w:t>within or through an outside vendor</w:t>
      </w:r>
      <w:r w:rsidRPr="00151877">
        <w:t xml:space="preserve">.  </w:t>
      </w:r>
      <w:r>
        <w:t xml:space="preserve">Delivery of the training may include educational pamphlets, videos, intranet systems, in-person lectures, and explanatory memos.  Company will maintain records to show the persons </w:t>
      </w:r>
      <w:r w:rsidR="006A2929">
        <w:t>trained,</w:t>
      </w:r>
      <w:r>
        <w:t xml:space="preserve"> the dates, and the subject </w:t>
      </w:r>
      <w:r w:rsidR="00D86969">
        <w:t xml:space="preserve">training </w:t>
      </w:r>
      <w:r>
        <w:t xml:space="preserve">matter. </w:t>
      </w:r>
    </w:p>
    <w:p w14:paraId="2D909D04" w14:textId="77777777" w:rsidR="003D216B" w:rsidRDefault="003D216B" w:rsidP="00262603">
      <w:pPr>
        <w:pStyle w:val="BodyText2"/>
        <w:widowControl/>
      </w:pPr>
    </w:p>
    <w:p w14:paraId="1FE46FA2" w14:textId="77777777" w:rsidR="003D216B" w:rsidRDefault="003D216B" w:rsidP="00262603">
      <w:pPr>
        <w:pStyle w:val="BodyText2"/>
        <w:widowControl/>
      </w:pPr>
      <w:r>
        <w:t>At a minimum, the Company will conduct annual training with its Associated Persons, principals, and employees.  An annual review, or sooner if necessary, of the Company’s AML training will be conducted to ensure that the Company is informing employees about any new developments with the rules and regulations.  A record of such training and those in attendance will be maintained as evidence of completion and be maintained as part of the Company’s permanent records for three years.</w:t>
      </w:r>
    </w:p>
    <w:p w14:paraId="199B50C7" w14:textId="77777777" w:rsidR="003D216B" w:rsidRDefault="003D216B" w:rsidP="00262603"/>
    <w:p w14:paraId="76769B3C" w14:textId="77777777" w:rsidR="003D216B" w:rsidRDefault="003D216B" w:rsidP="00262603">
      <w:pPr>
        <w:rPr>
          <w:sz w:val="24"/>
        </w:rPr>
      </w:pPr>
      <w:r>
        <w:rPr>
          <w:sz w:val="24"/>
        </w:rPr>
        <w:t xml:space="preserve">Company will review its operations to see if certain employees, such as those in compliance, margin, and corporate security, require specialized additional training.  Written procedures will be updated to reflect any such changes. </w:t>
      </w:r>
    </w:p>
    <w:p w14:paraId="3F2E4ECC" w14:textId="77777777" w:rsidR="003D216B" w:rsidRDefault="003D216B" w:rsidP="00262603">
      <w:pPr>
        <w:rPr>
          <w:sz w:val="24"/>
        </w:rPr>
      </w:pPr>
    </w:p>
    <w:p w14:paraId="6E91C7A4" w14:textId="77777777" w:rsidR="003D216B" w:rsidRPr="004B4F79" w:rsidRDefault="00FB0641" w:rsidP="00936FEE">
      <w:pPr>
        <w:pStyle w:val="Heading2"/>
      </w:pPr>
      <w:r w:rsidRPr="004B4F79">
        <w:t>7.1</w:t>
      </w:r>
      <w:r w:rsidR="00C52626">
        <w:t>6</w:t>
      </w:r>
      <w:r w:rsidR="00681F9D">
        <w:t xml:space="preserve"> </w:t>
      </w:r>
      <w:r w:rsidR="003D216B" w:rsidRPr="004B4F79">
        <w:t>Review of Patriot Act</w:t>
      </w:r>
    </w:p>
    <w:p w14:paraId="69A4CF1E" w14:textId="77777777" w:rsidR="003D216B" w:rsidRDefault="003D216B" w:rsidP="00262603">
      <w:pPr>
        <w:pStyle w:val="BodyText2"/>
        <w:widowControl/>
        <w:rPr>
          <w:i/>
          <w:iCs/>
        </w:rPr>
      </w:pPr>
      <w:r>
        <w:t xml:space="preserve">The AML Compliance Officer will review new rule changes as required by the Patriot Act by reviewing rule changes regarding Anti-money Laundering, as published in the </w:t>
      </w:r>
      <w:r w:rsidRPr="001E23AB">
        <w:t xml:space="preserve">FINRA </w:t>
      </w:r>
      <w:r>
        <w:t xml:space="preserve">Rules and Regulations, and Notices to Members.  Such review will be evidenced by updating and signing the Anti-money Laundering Procedures. </w:t>
      </w:r>
    </w:p>
    <w:p w14:paraId="72AAAB81" w14:textId="77777777" w:rsidR="00C56F89" w:rsidRDefault="00C56F89" w:rsidP="000945A9"/>
    <w:p w14:paraId="18826C80" w14:textId="77777777" w:rsidR="002C55AC" w:rsidRDefault="002C55AC" w:rsidP="000945A9"/>
    <w:p w14:paraId="5E892F0F" w14:textId="77777777" w:rsidR="003D216B" w:rsidRDefault="004A1B48" w:rsidP="00936FEE">
      <w:pPr>
        <w:pStyle w:val="Heading2"/>
      </w:pPr>
      <w:r>
        <w:t>7.17</w:t>
      </w:r>
      <w:r w:rsidR="00681F9D">
        <w:t xml:space="preserve"> </w:t>
      </w:r>
      <w:r>
        <w:t>Approval</w:t>
      </w:r>
    </w:p>
    <w:p w14:paraId="4FDF3401" w14:textId="77777777" w:rsidR="003D216B" w:rsidRDefault="003D216B" w:rsidP="00603A03">
      <w:pPr>
        <w:jc w:val="both"/>
        <w:rPr>
          <w:sz w:val="24"/>
          <w:u w:val="single"/>
        </w:rPr>
      </w:pPr>
      <w:r>
        <w:rPr>
          <w:sz w:val="24"/>
        </w:rPr>
        <w:t xml:space="preserve">THESE PROCEDURES HAVE BEEN REVIEWED AND APPROVED BY </w:t>
      </w:r>
      <w:r>
        <w:rPr>
          <w:sz w:val="24"/>
          <w:u w:val="single"/>
        </w:rPr>
        <w:t>MORRIS</w:t>
      </w:r>
      <w:r>
        <w:rPr>
          <w:sz w:val="24"/>
        </w:rPr>
        <w:t xml:space="preserve"> </w:t>
      </w:r>
      <w:r>
        <w:rPr>
          <w:sz w:val="24"/>
          <w:u w:val="single"/>
        </w:rPr>
        <w:t>MONROE</w:t>
      </w:r>
      <w:r>
        <w:rPr>
          <w:sz w:val="24"/>
        </w:rPr>
        <w:t>, PRESIDENT, GENERAL PRINCIPAL, AND AML COMPLIANCE OFFICER.</w:t>
      </w:r>
    </w:p>
    <w:p w14:paraId="40DAF73C" w14:textId="77777777" w:rsidR="00622F5D" w:rsidRDefault="00622F5D" w:rsidP="003D216B"/>
    <w:p w14:paraId="2B4B8FB7" w14:textId="77777777" w:rsidR="00622F5D" w:rsidRDefault="00CC1D9E" w:rsidP="003D216B">
      <w:r>
        <w:rPr>
          <w:noProof/>
        </w:rPr>
        <w:drawing>
          <wp:anchor distT="0" distB="0" distL="114300" distR="114300" simplePos="0" relativeHeight="251653632" behindDoc="1" locked="0" layoutInCell="1" allowOverlap="1" wp14:anchorId="3C161B9C" wp14:editId="372E1414">
            <wp:simplePos x="0" y="0"/>
            <wp:positionH relativeFrom="column">
              <wp:posOffset>73025</wp:posOffset>
            </wp:positionH>
            <wp:positionV relativeFrom="paragraph">
              <wp:posOffset>41275</wp:posOffset>
            </wp:positionV>
            <wp:extent cx="1493520" cy="519430"/>
            <wp:effectExtent l="0" t="0" r="0" b="0"/>
            <wp:wrapNone/>
            <wp:docPr id="43" name="Picture 43" descr="M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LM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93520" cy="519430"/>
                    </a:xfrm>
                    <a:prstGeom prst="rect">
                      <a:avLst/>
                    </a:prstGeom>
                    <a:noFill/>
                  </pic:spPr>
                </pic:pic>
              </a:graphicData>
            </a:graphic>
            <wp14:sizeRelH relativeFrom="page">
              <wp14:pctWidth>0</wp14:pctWidth>
            </wp14:sizeRelH>
            <wp14:sizeRelV relativeFrom="page">
              <wp14:pctHeight>0</wp14:pctHeight>
            </wp14:sizeRelV>
          </wp:anchor>
        </w:drawing>
      </w:r>
    </w:p>
    <w:p w14:paraId="0CD52DEF" w14:textId="77777777" w:rsidR="003D216B" w:rsidRPr="005D5B1F" w:rsidRDefault="003D216B" w:rsidP="003D216B">
      <w:pPr>
        <w:rPr>
          <w:sz w:val="24"/>
          <w:szCs w:val="24"/>
        </w:rPr>
      </w:pPr>
      <w:r>
        <w:t xml:space="preserve">                                                                                       </w:t>
      </w:r>
      <w:r w:rsidR="00046914">
        <w:t xml:space="preserve">                                    </w:t>
      </w:r>
    </w:p>
    <w:p w14:paraId="694FE41E" w14:textId="205B5F13" w:rsidR="003D216B" w:rsidRPr="00CD0138" w:rsidRDefault="003D216B" w:rsidP="00CD0138">
      <w:pPr>
        <w:tabs>
          <w:tab w:val="left" w:pos="6574"/>
        </w:tabs>
        <w:rPr>
          <w:sz w:val="24"/>
          <w:u w:val="single"/>
        </w:rPr>
      </w:pPr>
      <w:r>
        <w:rPr>
          <w:sz w:val="24"/>
        </w:rPr>
        <w:t>____________________________________</w:t>
      </w:r>
      <w:r w:rsidR="00CD0138">
        <w:rPr>
          <w:sz w:val="24"/>
        </w:rPr>
        <w:t xml:space="preserve">                              </w:t>
      </w:r>
      <w:r w:rsidR="004E5448">
        <w:rPr>
          <w:sz w:val="24"/>
          <w:u w:val="single"/>
        </w:rPr>
        <w:t>__</w:t>
      </w:r>
      <w:r w:rsidR="00E164BA">
        <w:rPr>
          <w:sz w:val="24"/>
          <w:u w:val="single"/>
        </w:rPr>
        <w:t>12/21/2</w:t>
      </w:r>
      <w:r w:rsidR="00802F70">
        <w:rPr>
          <w:sz w:val="24"/>
          <w:u w:val="single"/>
        </w:rPr>
        <w:t>2</w:t>
      </w:r>
      <w:r w:rsidR="004E5448">
        <w:rPr>
          <w:sz w:val="24"/>
          <w:u w:val="single"/>
        </w:rPr>
        <w:t>__</w:t>
      </w:r>
    </w:p>
    <w:p w14:paraId="38EF38E0" w14:textId="77777777" w:rsidR="00FB0641" w:rsidRPr="009A4792" w:rsidRDefault="00B71D19" w:rsidP="009A4792">
      <w:pPr>
        <w:pStyle w:val="Heading3"/>
        <w:ind w:left="0"/>
        <w:rPr>
          <w:b w:val="0"/>
        </w:rPr>
      </w:pPr>
      <w:r>
        <w:rPr>
          <w:b w:val="0"/>
        </w:rPr>
        <w:t>Signature                                                                                           Date</w:t>
      </w:r>
      <w:r w:rsidR="003D216B" w:rsidRPr="009A4792">
        <w:rPr>
          <w:b w:val="0"/>
        </w:rPr>
        <w:br w:type="page"/>
      </w:r>
    </w:p>
    <w:p w14:paraId="4C65CB61" w14:textId="77777777" w:rsidR="00FB0641" w:rsidRDefault="00FB0641" w:rsidP="00FB0641">
      <w:pPr>
        <w:pStyle w:val="Heading1"/>
        <w:pBdr>
          <w:top w:val="double" w:sz="12" w:space="1" w:color="000099"/>
          <w:left w:val="double" w:sz="12" w:space="4" w:color="000099"/>
          <w:bottom w:val="double" w:sz="12" w:space="1" w:color="000099"/>
          <w:right w:val="double" w:sz="12" w:space="4" w:color="000099"/>
        </w:pBdr>
        <w:shd w:val="pct10" w:color="0000FF" w:fill="auto"/>
        <w:jc w:val="center"/>
      </w:pPr>
    </w:p>
    <w:p w14:paraId="7838388D" w14:textId="77777777" w:rsidR="00FB0641" w:rsidRDefault="00FB0641" w:rsidP="00FB0641">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111" w:name="_Toc227820423"/>
      <w:bookmarkStart w:id="112" w:name="_Toc227821703"/>
      <w:bookmarkStart w:id="113" w:name="_Toc227821822"/>
      <w:bookmarkStart w:id="114" w:name="_Toc535916173"/>
      <w:r>
        <w:t>8.</w:t>
      </w:r>
      <w:r w:rsidR="00FE3A30">
        <w:t xml:space="preserve">   </w:t>
      </w:r>
      <w:r>
        <w:t>TRADING POLICIES AND PROCEDURES</w:t>
      </w:r>
      <w:bookmarkEnd w:id="111"/>
      <w:bookmarkEnd w:id="112"/>
      <w:bookmarkEnd w:id="113"/>
      <w:bookmarkEnd w:id="114"/>
    </w:p>
    <w:p w14:paraId="1FDE8424" w14:textId="77777777" w:rsidR="00FB0641" w:rsidRDefault="00FB0641" w:rsidP="00FB0641">
      <w:pPr>
        <w:pStyle w:val="Heading1"/>
        <w:pBdr>
          <w:top w:val="double" w:sz="12" w:space="1" w:color="000099"/>
          <w:left w:val="double" w:sz="12" w:space="4" w:color="000099"/>
          <w:bottom w:val="double" w:sz="12" w:space="1" w:color="000099"/>
          <w:right w:val="double" w:sz="12" w:space="4" w:color="000099"/>
        </w:pBdr>
        <w:shd w:val="pct10" w:color="0000FF" w:fill="auto"/>
        <w:jc w:val="center"/>
      </w:pPr>
    </w:p>
    <w:p w14:paraId="368029ED" w14:textId="77777777" w:rsidR="00FB0641" w:rsidRDefault="00FB0641" w:rsidP="00FB0641">
      <w:pPr>
        <w:jc w:val="both"/>
        <w:rPr>
          <w:b/>
          <w:sz w:val="24"/>
        </w:rPr>
      </w:pPr>
    </w:p>
    <w:p w14:paraId="6DD5428F" w14:textId="77777777" w:rsidR="00FB0641" w:rsidRPr="00203D90" w:rsidRDefault="00A90A29" w:rsidP="00936FEE">
      <w:pPr>
        <w:pStyle w:val="Heading2"/>
      </w:pPr>
      <w:r w:rsidRPr="00203D90">
        <w:t>8.1 Introduction</w:t>
      </w:r>
    </w:p>
    <w:p w14:paraId="29676382" w14:textId="77777777" w:rsidR="00FB0641" w:rsidRDefault="00FB0641" w:rsidP="00FB0641">
      <w:pPr>
        <w:pStyle w:val="BodyTextIndent3"/>
        <w:spacing w:before="0" w:after="0"/>
        <w:ind w:left="0"/>
      </w:pPr>
      <w:r>
        <w:t>These policies and procedures are adopted in an effort to assure:</w:t>
      </w:r>
    </w:p>
    <w:p w14:paraId="7E6139EE" w14:textId="77777777" w:rsidR="00FB0641" w:rsidRDefault="00FB0641" w:rsidP="00FB0641">
      <w:pPr>
        <w:jc w:val="both"/>
        <w:rPr>
          <w:sz w:val="24"/>
        </w:rPr>
      </w:pPr>
    </w:p>
    <w:p w14:paraId="72F85924" w14:textId="77777777" w:rsidR="00FB0641" w:rsidRDefault="001C57AD" w:rsidP="00FB0641">
      <w:pPr>
        <w:pStyle w:val="BodyTextIndent"/>
        <w:ind w:left="1440"/>
      </w:pPr>
      <w:r>
        <w:t>(1) F</w:t>
      </w:r>
      <w:r w:rsidR="00FB0641">
        <w:t>air and equitable treatment of accounts both in priority of execution of orders and in the allocation of securities and the price obtained in the execution of block orders or trades;</w:t>
      </w:r>
    </w:p>
    <w:p w14:paraId="3C80B9AE" w14:textId="77777777" w:rsidR="00FB0641" w:rsidRDefault="00FB0641" w:rsidP="00FB0641">
      <w:pPr>
        <w:jc w:val="both"/>
        <w:rPr>
          <w:sz w:val="24"/>
        </w:rPr>
      </w:pPr>
    </w:p>
    <w:p w14:paraId="31602EF0" w14:textId="0AFF2F2A" w:rsidR="00FB0641" w:rsidRPr="0086379E" w:rsidRDefault="00FB0641" w:rsidP="00FB0641">
      <w:pPr>
        <w:ind w:left="1440" w:hanging="360"/>
        <w:jc w:val="both"/>
        <w:rPr>
          <w:color w:val="000000" w:themeColor="text1"/>
          <w:sz w:val="24"/>
        </w:rPr>
      </w:pPr>
      <w:r>
        <w:rPr>
          <w:sz w:val="24"/>
        </w:rPr>
        <w:t>(2)</w:t>
      </w:r>
      <w:r>
        <w:rPr>
          <w:sz w:val="24"/>
        </w:rPr>
        <w:tab/>
      </w:r>
      <w:r w:rsidR="001C57AD">
        <w:rPr>
          <w:sz w:val="24"/>
        </w:rPr>
        <w:t>Timeliness</w:t>
      </w:r>
      <w:r>
        <w:rPr>
          <w:sz w:val="24"/>
        </w:rPr>
        <w:t xml:space="preserve"> and efficiency in the execution of orders</w:t>
      </w:r>
      <w:r w:rsidR="001C57EF">
        <w:rPr>
          <w:sz w:val="24"/>
        </w:rPr>
        <w:t xml:space="preserve"> </w:t>
      </w:r>
      <w:r w:rsidR="001C57EF" w:rsidRPr="0086379E">
        <w:rPr>
          <w:color w:val="000000" w:themeColor="text1"/>
          <w:sz w:val="24"/>
          <w:szCs w:val="24"/>
        </w:rPr>
        <w:t>(</w:t>
      </w:r>
      <w:r w:rsidR="001C57EF" w:rsidRPr="0086379E">
        <w:rPr>
          <w:color w:val="000000" w:themeColor="text1"/>
          <w:spacing w:val="8"/>
          <w:sz w:val="24"/>
          <w:szCs w:val="24"/>
          <w:shd w:val="clear" w:color="auto" w:fill="FFFFFF"/>
        </w:rPr>
        <w:t>Company must make every effort to execute a marketable customer order that it receives fully and promptly. Refer to FINRA Rule 5320.07 for further details on Company's obligations)</w:t>
      </w:r>
      <w:r w:rsidRPr="0086379E">
        <w:rPr>
          <w:color w:val="000000" w:themeColor="text1"/>
          <w:sz w:val="24"/>
          <w:szCs w:val="24"/>
        </w:rPr>
        <w:t>;</w:t>
      </w:r>
      <w:r w:rsidRPr="0086379E">
        <w:rPr>
          <w:color w:val="000000" w:themeColor="text1"/>
          <w:sz w:val="24"/>
        </w:rPr>
        <w:t xml:space="preserve"> and</w:t>
      </w:r>
    </w:p>
    <w:p w14:paraId="51F58826" w14:textId="77777777" w:rsidR="00FB0641" w:rsidRDefault="00FB0641" w:rsidP="00FB0641">
      <w:pPr>
        <w:ind w:left="1440" w:hanging="360"/>
        <w:jc w:val="both"/>
        <w:rPr>
          <w:sz w:val="24"/>
        </w:rPr>
      </w:pPr>
    </w:p>
    <w:p w14:paraId="53750746" w14:textId="77777777" w:rsidR="00FB0641" w:rsidRDefault="00FB0641" w:rsidP="00FB0641">
      <w:pPr>
        <w:ind w:left="1440" w:hanging="360"/>
        <w:jc w:val="both"/>
        <w:rPr>
          <w:sz w:val="24"/>
        </w:rPr>
      </w:pPr>
      <w:r>
        <w:rPr>
          <w:sz w:val="24"/>
        </w:rPr>
        <w:t>(3)</w:t>
      </w:r>
      <w:r>
        <w:rPr>
          <w:sz w:val="24"/>
        </w:rPr>
        <w:tab/>
      </w:r>
      <w:r w:rsidR="001C57AD">
        <w:rPr>
          <w:sz w:val="24"/>
        </w:rPr>
        <w:t>Accuracy</w:t>
      </w:r>
      <w:r>
        <w:rPr>
          <w:sz w:val="24"/>
        </w:rPr>
        <w:t xml:space="preserve"> of the records maintained by the Company with respect to trade execution and </w:t>
      </w:r>
      <w:r>
        <w:rPr>
          <w:sz w:val="24"/>
        </w:rPr>
        <w:tab/>
        <w:t>maintenance of client account positions.</w:t>
      </w:r>
    </w:p>
    <w:p w14:paraId="4BA4F0BB" w14:textId="77777777" w:rsidR="00FB0641" w:rsidRDefault="00FB0641" w:rsidP="00FB0641">
      <w:pPr>
        <w:ind w:left="1440" w:hanging="360"/>
        <w:jc w:val="both"/>
        <w:rPr>
          <w:sz w:val="24"/>
        </w:rPr>
      </w:pPr>
    </w:p>
    <w:p w14:paraId="7DBF7B8B" w14:textId="00D23878" w:rsidR="00B07038" w:rsidRPr="004E5448" w:rsidRDefault="00B07038" w:rsidP="00B07038">
      <w:pPr>
        <w:pStyle w:val="Normal44"/>
        <w:spacing w:before="0" w:beforeAutospacing="0" w:after="0" w:afterAutospacing="0"/>
        <w:rPr>
          <w:spacing w:val="8"/>
        </w:rPr>
      </w:pPr>
      <w:r w:rsidRPr="004E5448">
        <w:rPr>
          <w:spacing w:val="8"/>
        </w:rPr>
        <w:t xml:space="preserve">Suitability is only one element of acting in a customer's best interest. Recommendations to retail customers who are natural persons are subject to Regulation Best Interest (REG BI) which is broader than the suitability requirement. Reg BI includes recommendations for orders; types of accounts; and investment strategies, including recommendations to prospects. It is important to be familiar with those requirements which are included in </w:t>
      </w:r>
      <w:r w:rsidR="00D33EC5" w:rsidRPr="004E5448">
        <w:rPr>
          <w:spacing w:val="8"/>
        </w:rPr>
        <w:t>Chapter</w:t>
      </w:r>
      <w:r w:rsidRPr="004E5448">
        <w:rPr>
          <w:spacing w:val="8"/>
        </w:rPr>
        <w:t xml:space="preserve"> 5 </w:t>
      </w:r>
      <w:r w:rsidRPr="004E5448">
        <w:rPr>
          <w:i/>
          <w:iCs/>
          <w:spacing w:val="8"/>
        </w:rPr>
        <w:t>REGULATION BEST INTEREST (REG BI)</w:t>
      </w:r>
      <w:r w:rsidRPr="004E5448">
        <w:rPr>
          <w:spacing w:val="8"/>
        </w:rPr>
        <w:t>.</w:t>
      </w:r>
    </w:p>
    <w:p w14:paraId="11B409C8" w14:textId="77777777" w:rsidR="00FB0641" w:rsidRDefault="00FB0641" w:rsidP="00FB0641">
      <w:pPr>
        <w:jc w:val="both"/>
        <w:rPr>
          <w:b/>
          <w:sz w:val="24"/>
        </w:rPr>
      </w:pPr>
    </w:p>
    <w:p w14:paraId="42E7FAF3" w14:textId="77777777" w:rsidR="00A90A29" w:rsidRPr="00203D90" w:rsidRDefault="00A90A29" w:rsidP="00936FEE">
      <w:pPr>
        <w:pStyle w:val="Heading2"/>
      </w:pPr>
      <w:r w:rsidRPr="00203D90">
        <w:t>8.2. Compliance Chart</w:t>
      </w:r>
    </w:p>
    <w:tbl>
      <w:tblPr>
        <w:tblW w:w="5411" w:type="pct"/>
        <w:tblCellSpacing w:w="0" w:type="dxa"/>
        <w:tblInd w:w="-48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25"/>
        <w:gridCol w:w="8009"/>
      </w:tblGrid>
      <w:tr w:rsidR="00CD06AD" w:rsidRPr="001679B2" w14:paraId="602A8BD3" w14:textId="77777777" w:rsidTr="00CD06AD">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tcPr>
          <w:p w14:paraId="58930615" w14:textId="77777777" w:rsidR="00CD06AD" w:rsidRPr="001679B2" w:rsidRDefault="00CD06AD" w:rsidP="00CD06AD">
            <w:pPr>
              <w:jc w:val="center"/>
              <w:rPr>
                <w:b/>
                <w:bCs/>
                <w:spacing w:val="8"/>
                <w:sz w:val="24"/>
                <w:szCs w:val="24"/>
              </w:rPr>
            </w:pPr>
            <w:r w:rsidRPr="001679B2">
              <w:rPr>
                <w:b/>
                <w:bCs/>
                <w:spacing w:val="8"/>
                <w:sz w:val="24"/>
                <w:szCs w:val="24"/>
              </w:rPr>
              <w:t>Responsibility</w:t>
            </w:r>
          </w:p>
        </w:tc>
        <w:tc>
          <w:tcPr>
            <w:tcW w:w="3991" w:type="pct"/>
            <w:tcBorders>
              <w:top w:val="outset" w:sz="6" w:space="0" w:color="auto"/>
              <w:left w:val="outset" w:sz="6" w:space="0" w:color="auto"/>
              <w:bottom w:val="outset" w:sz="6" w:space="0" w:color="auto"/>
              <w:right w:val="outset" w:sz="6" w:space="0" w:color="auto"/>
            </w:tcBorders>
            <w:vAlign w:val="center"/>
          </w:tcPr>
          <w:p w14:paraId="1B5D2A40" w14:textId="77777777" w:rsidR="00CD06AD" w:rsidRPr="001679B2" w:rsidRDefault="00CD06AD" w:rsidP="00C1728B">
            <w:pPr>
              <w:numPr>
                <w:ilvl w:val="0"/>
                <w:numId w:val="68"/>
              </w:numPr>
              <w:rPr>
                <w:spacing w:val="8"/>
                <w:sz w:val="24"/>
                <w:szCs w:val="24"/>
              </w:rPr>
            </w:pPr>
            <w:r w:rsidRPr="001679B2">
              <w:rPr>
                <w:spacing w:val="8"/>
                <w:sz w:val="24"/>
                <w:szCs w:val="24"/>
              </w:rPr>
              <w:t>Morris Monroe or Designated Supervisor</w:t>
            </w:r>
          </w:p>
        </w:tc>
      </w:tr>
      <w:tr w:rsidR="00CD06AD" w:rsidRPr="001679B2" w14:paraId="2F00CC7A" w14:textId="77777777" w:rsidTr="00CD06AD">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tcPr>
          <w:p w14:paraId="5B430ECB" w14:textId="77777777" w:rsidR="00CD06AD" w:rsidRPr="001679B2" w:rsidRDefault="00CD06AD" w:rsidP="00CD06AD">
            <w:pPr>
              <w:jc w:val="center"/>
              <w:rPr>
                <w:b/>
                <w:bCs/>
                <w:spacing w:val="8"/>
                <w:sz w:val="24"/>
                <w:szCs w:val="24"/>
              </w:rPr>
            </w:pPr>
            <w:r w:rsidRPr="001679B2">
              <w:rPr>
                <w:b/>
                <w:bCs/>
                <w:spacing w:val="8"/>
                <w:sz w:val="24"/>
                <w:szCs w:val="24"/>
              </w:rPr>
              <w:t>Statutes</w:t>
            </w:r>
          </w:p>
        </w:tc>
        <w:tc>
          <w:tcPr>
            <w:tcW w:w="3991" w:type="pct"/>
            <w:tcBorders>
              <w:top w:val="outset" w:sz="6" w:space="0" w:color="auto"/>
              <w:left w:val="outset" w:sz="6" w:space="0" w:color="auto"/>
              <w:bottom w:val="outset" w:sz="6" w:space="0" w:color="auto"/>
              <w:right w:val="outset" w:sz="6" w:space="0" w:color="auto"/>
            </w:tcBorders>
            <w:vAlign w:val="center"/>
          </w:tcPr>
          <w:p w14:paraId="369B663A" w14:textId="77777777" w:rsidR="00A742CB" w:rsidRPr="001679B2" w:rsidRDefault="00A742CB" w:rsidP="00C1728B">
            <w:pPr>
              <w:numPr>
                <w:ilvl w:val="0"/>
                <w:numId w:val="69"/>
              </w:numPr>
              <w:rPr>
                <w:spacing w:val="8"/>
                <w:sz w:val="24"/>
                <w:szCs w:val="24"/>
              </w:rPr>
            </w:pPr>
            <w:r w:rsidRPr="001679B2">
              <w:rPr>
                <w:spacing w:val="8"/>
                <w:sz w:val="24"/>
                <w:szCs w:val="24"/>
              </w:rPr>
              <w:t xml:space="preserve">FINRA Rule 2114 – Recommendations in </w:t>
            </w:r>
            <w:r w:rsidR="005738CB" w:rsidRPr="00D801C6">
              <w:rPr>
                <w:spacing w:val="8"/>
                <w:sz w:val="24"/>
                <w:szCs w:val="24"/>
              </w:rPr>
              <w:t>Equity</w:t>
            </w:r>
            <w:r w:rsidRPr="001679B2">
              <w:rPr>
                <w:spacing w:val="8"/>
                <w:sz w:val="24"/>
                <w:szCs w:val="24"/>
              </w:rPr>
              <w:t xml:space="preserve"> Securities</w:t>
            </w:r>
          </w:p>
          <w:p w14:paraId="02AD88CE" w14:textId="77777777" w:rsidR="00A742CB" w:rsidRPr="001679B2" w:rsidRDefault="00A742CB" w:rsidP="00C1728B">
            <w:pPr>
              <w:numPr>
                <w:ilvl w:val="0"/>
                <w:numId w:val="69"/>
              </w:numPr>
              <w:rPr>
                <w:spacing w:val="8"/>
                <w:sz w:val="24"/>
                <w:szCs w:val="24"/>
              </w:rPr>
            </w:pPr>
            <w:r w:rsidRPr="001679B2">
              <w:rPr>
                <w:spacing w:val="8"/>
                <w:sz w:val="24"/>
                <w:szCs w:val="24"/>
              </w:rPr>
              <w:t>FINRA Rule 2124 – Net Transactions</w:t>
            </w:r>
          </w:p>
          <w:p w14:paraId="5665F01F" w14:textId="77777777" w:rsidR="00626863" w:rsidRPr="001679B2" w:rsidRDefault="00626863" w:rsidP="00C1728B">
            <w:pPr>
              <w:numPr>
                <w:ilvl w:val="0"/>
                <w:numId w:val="69"/>
              </w:numPr>
              <w:rPr>
                <w:spacing w:val="8"/>
                <w:sz w:val="24"/>
                <w:szCs w:val="24"/>
              </w:rPr>
            </w:pPr>
            <w:r w:rsidRPr="001679B2">
              <w:rPr>
                <w:spacing w:val="8"/>
                <w:sz w:val="24"/>
                <w:szCs w:val="24"/>
              </w:rPr>
              <w:t>FINRA Rule 2265 – Extended Hours Trading</w:t>
            </w:r>
          </w:p>
          <w:p w14:paraId="1FB9B254" w14:textId="77777777" w:rsidR="00A742CB" w:rsidRPr="001679B2" w:rsidRDefault="00A742CB" w:rsidP="00C1728B">
            <w:pPr>
              <w:numPr>
                <w:ilvl w:val="0"/>
                <w:numId w:val="69"/>
              </w:numPr>
              <w:rPr>
                <w:spacing w:val="8"/>
                <w:sz w:val="24"/>
                <w:szCs w:val="24"/>
              </w:rPr>
            </w:pPr>
            <w:r w:rsidRPr="001679B2">
              <w:rPr>
                <w:spacing w:val="8"/>
                <w:sz w:val="24"/>
                <w:szCs w:val="24"/>
              </w:rPr>
              <w:t>FINRA Rule 4560 – Short Interest Reporting</w:t>
            </w:r>
          </w:p>
          <w:p w14:paraId="31FAFB8F" w14:textId="77777777" w:rsidR="00E73FF0" w:rsidRPr="001679B2" w:rsidRDefault="00E73FF0" w:rsidP="00C1728B">
            <w:pPr>
              <w:numPr>
                <w:ilvl w:val="0"/>
                <w:numId w:val="69"/>
              </w:numPr>
              <w:rPr>
                <w:spacing w:val="8"/>
                <w:sz w:val="24"/>
                <w:szCs w:val="24"/>
              </w:rPr>
            </w:pPr>
            <w:r w:rsidRPr="001679B2">
              <w:rPr>
                <w:spacing w:val="8"/>
                <w:sz w:val="24"/>
                <w:szCs w:val="24"/>
              </w:rPr>
              <w:t xml:space="preserve">FINRA Rule 5230 – </w:t>
            </w:r>
            <w:proofErr w:type="spellStart"/>
            <w:r w:rsidRPr="001679B2">
              <w:rPr>
                <w:spacing w:val="8"/>
                <w:sz w:val="24"/>
                <w:szCs w:val="24"/>
              </w:rPr>
              <w:t>Pmts</w:t>
            </w:r>
            <w:proofErr w:type="spellEnd"/>
            <w:r w:rsidRPr="001679B2">
              <w:rPr>
                <w:spacing w:val="8"/>
                <w:sz w:val="24"/>
                <w:szCs w:val="24"/>
              </w:rPr>
              <w:t xml:space="preserve"> for Publications that influence the Mkt Price of Securities </w:t>
            </w:r>
          </w:p>
          <w:p w14:paraId="04917BE3" w14:textId="77777777" w:rsidR="007674AB" w:rsidRPr="007674AB" w:rsidRDefault="001B18C4" w:rsidP="00C1728B">
            <w:pPr>
              <w:numPr>
                <w:ilvl w:val="0"/>
                <w:numId w:val="69"/>
              </w:numPr>
              <w:rPr>
                <w:spacing w:val="8"/>
                <w:sz w:val="24"/>
                <w:szCs w:val="24"/>
              </w:rPr>
            </w:pPr>
            <w:r w:rsidRPr="001679B2">
              <w:rPr>
                <w:spacing w:val="8"/>
                <w:sz w:val="24"/>
                <w:szCs w:val="24"/>
              </w:rPr>
              <w:t>FINRA Rule 5260 – Trading Halt Prohibitions</w:t>
            </w:r>
          </w:p>
          <w:p w14:paraId="5C4A6C42" w14:textId="77777777" w:rsidR="00A87F8A" w:rsidRPr="001679B2" w:rsidRDefault="00CD06AD" w:rsidP="00C1728B">
            <w:pPr>
              <w:numPr>
                <w:ilvl w:val="0"/>
                <w:numId w:val="69"/>
              </w:numPr>
              <w:rPr>
                <w:spacing w:val="8"/>
                <w:sz w:val="24"/>
                <w:szCs w:val="24"/>
              </w:rPr>
            </w:pPr>
            <w:r w:rsidRPr="001679B2">
              <w:rPr>
                <w:sz w:val="24"/>
                <w:szCs w:val="24"/>
              </w:rPr>
              <w:t>FINRA Rule 5280</w:t>
            </w:r>
            <w:r w:rsidR="007674AB">
              <w:rPr>
                <w:sz w:val="24"/>
                <w:szCs w:val="24"/>
              </w:rPr>
              <w:t xml:space="preserve"> and </w:t>
            </w:r>
            <w:r w:rsidR="007674AB" w:rsidRPr="004D2E21">
              <w:rPr>
                <w:sz w:val="24"/>
                <w:szCs w:val="24"/>
              </w:rPr>
              <w:t>5320</w:t>
            </w:r>
            <w:r w:rsidRPr="001679B2">
              <w:rPr>
                <w:sz w:val="24"/>
                <w:szCs w:val="24"/>
              </w:rPr>
              <w:t xml:space="preserve"> – Trading Ahead of Customers</w:t>
            </w:r>
          </w:p>
          <w:p w14:paraId="2E28140B" w14:textId="77777777" w:rsidR="00A87F8A" w:rsidRPr="0086379E" w:rsidRDefault="00A87F8A" w:rsidP="00C1728B">
            <w:pPr>
              <w:numPr>
                <w:ilvl w:val="0"/>
                <w:numId w:val="69"/>
              </w:numPr>
              <w:rPr>
                <w:color w:val="000000" w:themeColor="text1"/>
                <w:spacing w:val="8"/>
                <w:sz w:val="24"/>
                <w:szCs w:val="24"/>
              </w:rPr>
            </w:pPr>
            <w:r w:rsidRPr="001679B2">
              <w:rPr>
                <w:spacing w:val="8"/>
                <w:sz w:val="24"/>
                <w:szCs w:val="24"/>
              </w:rPr>
              <w:t>FINRA Rule 5240-Anti-Intimidation/Coordination</w:t>
            </w:r>
          </w:p>
          <w:p w14:paraId="5295AB55" w14:textId="36E8A1CE" w:rsidR="00CD06AD" w:rsidRPr="0086379E" w:rsidRDefault="00A87F8A" w:rsidP="00C1728B">
            <w:pPr>
              <w:numPr>
                <w:ilvl w:val="0"/>
                <w:numId w:val="69"/>
              </w:numPr>
              <w:rPr>
                <w:color w:val="000000" w:themeColor="text1"/>
                <w:spacing w:val="8"/>
                <w:sz w:val="24"/>
                <w:szCs w:val="24"/>
              </w:rPr>
            </w:pPr>
            <w:r w:rsidRPr="0086379E">
              <w:rPr>
                <w:color w:val="000000" w:themeColor="text1"/>
                <w:spacing w:val="8"/>
                <w:sz w:val="24"/>
                <w:szCs w:val="24"/>
              </w:rPr>
              <w:t xml:space="preserve">FINRA Rule </w:t>
            </w:r>
            <w:r w:rsidR="00F47CD0" w:rsidRPr="0086379E">
              <w:rPr>
                <w:color w:val="000000" w:themeColor="text1"/>
                <w:spacing w:val="8"/>
                <w:sz w:val="24"/>
                <w:szCs w:val="24"/>
              </w:rPr>
              <w:t>68</w:t>
            </w:r>
            <w:r w:rsidRPr="0086379E">
              <w:rPr>
                <w:color w:val="000000" w:themeColor="text1"/>
                <w:spacing w:val="8"/>
                <w:sz w:val="24"/>
                <w:szCs w:val="24"/>
              </w:rPr>
              <w:t xml:space="preserve">00 - </w:t>
            </w:r>
            <w:r w:rsidR="00F47CD0" w:rsidRPr="0086379E">
              <w:rPr>
                <w:color w:val="000000" w:themeColor="text1"/>
                <w:spacing w:val="8"/>
                <w:sz w:val="24"/>
                <w:szCs w:val="24"/>
              </w:rPr>
              <w:t>CAT</w:t>
            </w:r>
          </w:p>
          <w:p w14:paraId="52DAC4B4" w14:textId="77777777" w:rsidR="00A742CB" w:rsidRPr="001679B2" w:rsidRDefault="00A742CB" w:rsidP="00C1728B">
            <w:pPr>
              <w:numPr>
                <w:ilvl w:val="0"/>
                <w:numId w:val="69"/>
              </w:numPr>
              <w:rPr>
                <w:spacing w:val="8"/>
                <w:sz w:val="24"/>
                <w:szCs w:val="24"/>
              </w:rPr>
            </w:pPr>
            <w:r w:rsidRPr="001679B2">
              <w:rPr>
                <w:spacing w:val="8"/>
                <w:sz w:val="24"/>
                <w:szCs w:val="24"/>
              </w:rPr>
              <w:t>SEC Rule 144 – Restricted Stock</w:t>
            </w:r>
          </w:p>
          <w:p w14:paraId="41B21B78" w14:textId="77777777" w:rsidR="00A742CB" w:rsidRDefault="00A742CB" w:rsidP="00C1728B">
            <w:pPr>
              <w:numPr>
                <w:ilvl w:val="0"/>
                <w:numId w:val="69"/>
              </w:numPr>
              <w:rPr>
                <w:spacing w:val="8"/>
                <w:sz w:val="24"/>
                <w:szCs w:val="24"/>
              </w:rPr>
            </w:pPr>
            <w:r w:rsidRPr="001679B2">
              <w:rPr>
                <w:spacing w:val="8"/>
                <w:sz w:val="24"/>
                <w:szCs w:val="24"/>
              </w:rPr>
              <w:t>SEC Rule 605, 606 – Order Routing, Best Execution</w:t>
            </w:r>
          </w:p>
          <w:p w14:paraId="2DB90BA7" w14:textId="3DB6D60B" w:rsidR="00574837" w:rsidRPr="001679B2" w:rsidRDefault="00574837" w:rsidP="00C1728B">
            <w:pPr>
              <w:numPr>
                <w:ilvl w:val="0"/>
                <w:numId w:val="69"/>
              </w:numPr>
              <w:rPr>
                <w:spacing w:val="8"/>
                <w:sz w:val="24"/>
                <w:szCs w:val="24"/>
              </w:rPr>
            </w:pPr>
            <w:r w:rsidRPr="004E5448">
              <w:rPr>
                <w:spacing w:val="8"/>
                <w:sz w:val="24"/>
                <w:szCs w:val="24"/>
              </w:rPr>
              <w:t>SEC Regulation Best Interest</w:t>
            </w:r>
          </w:p>
        </w:tc>
      </w:tr>
      <w:tr w:rsidR="00CD06AD" w:rsidRPr="001679B2" w14:paraId="27A2661C" w14:textId="77777777" w:rsidTr="00CD06AD">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tcPr>
          <w:p w14:paraId="4CB130BF" w14:textId="77777777" w:rsidR="00CD06AD" w:rsidRPr="001679B2" w:rsidRDefault="00CD06AD" w:rsidP="00CD06AD">
            <w:pPr>
              <w:jc w:val="center"/>
              <w:rPr>
                <w:b/>
                <w:bCs/>
                <w:spacing w:val="8"/>
                <w:sz w:val="24"/>
                <w:szCs w:val="24"/>
              </w:rPr>
            </w:pPr>
            <w:r w:rsidRPr="001679B2">
              <w:rPr>
                <w:b/>
                <w:bCs/>
                <w:spacing w:val="8"/>
                <w:sz w:val="24"/>
                <w:szCs w:val="24"/>
              </w:rPr>
              <w:t>Frequency</w:t>
            </w:r>
          </w:p>
        </w:tc>
        <w:tc>
          <w:tcPr>
            <w:tcW w:w="3991" w:type="pct"/>
            <w:tcBorders>
              <w:top w:val="outset" w:sz="6" w:space="0" w:color="auto"/>
              <w:left w:val="outset" w:sz="6" w:space="0" w:color="auto"/>
              <w:bottom w:val="outset" w:sz="6" w:space="0" w:color="auto"/>
              <w:right w:val="outset" w:sz="6" w:space="0" w:color="auto"/>
            </w:tcBorders>
            <w:vAlign w:val="center"/>
          </w:tcPr>
          <w:p w14:paraId="44A7F3B7" w14:textId="77777777" w:rsidR="00CD06AD" w:rsidRPr="001679B2" w:rsidRDefault="00CD06AD" w:rsidP="00C1728B">
            <w:pPr>
              <w:numPr>
                <w:ilvl w:val="0"/>
                <w:numId w:val="69"/>
              </w:numPr>
              <w:rPr>
                <w:spacing w:val="8"/>
                <w:sz w:val="24"/>
                <w:szCs w:val="24"/>
              </w:rPr>
            </w:pPr>
            <w:r w:rsidRPr="001679B2">
              <w:rPr>
                <w:spacing w:val="8"/>
                <w:sz w:val="24"/>
                <w:szCs w:val="24"/>
              </w:rPr>
              <w:t xml:space="preserve">As required , </w:t>
            </w:r>
          </w:p>
          <w:p w14:paraId="7A3D95A2" w14:textId="77777777" w:rsidR="00CD06AD" w:rsidRPr="001679B2" w:rsidRDefault="00CD06AD" w:rsidP="00C1728B">
            <w:pPr>
              <w:numPr>
                <w:ilvl w:val="0"/>
                <w:numId w:val="69"/>
              </w:numPr>
              <w:rPr>
                <w:spacing w:val="8"/>
                <w:sz w:val="24"/>
                <w:szCs w:val="24"/>
              </w:rPr>
            </w:pPr>
            <w:r w:rsidRPr="001679B2">
              <w:rPr>
                <w:spacing w:val="8"/>
                <w:sz w:val="24"/>
                <w:szCs w:val="24"/>
              </w:rPr>
              <w:t>Annual review of procedures</w:t>
            </w:r>
          </w:p>
        </w:tc>
      </w:tr>
      <w:tr w:rsidR="00CD06AD" w:rsidRPr="001679B2" w14:paraId="061D9136" w14:textId="77777777" w:rsidTr="00CD06AD">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tcPr>
          <w:p w14:paraId="1C33F633" w14:textId="77777777" w:rsidR="00CD06AD" w:rsidRPr="001679B2" w:rsidRDefault="00CD06AD" w:rsidP="00CD06AD">
            <w:pPr>
              <w:jc w:val="center"/>
              <w:rPr>
                <w:b/>
                <w:bCs/>
                <w:spacing w:val="8"/>
                <w:sz w:val="24"/>
                <w:szCs w:val="24"/>
              </w:rPr>
            </w:pPr>
            <w:r w:rsidRPr="001679B2">
              <w:rPr>
                <w:b/>
                <w:bCs/>
                <w:spacing w:val="8"/>
                <w:sz w:val="24"/>
                <w:szCs w:val="24"/>
              </w:rPr>
              <w:t>Actions</w:t>
            </w:r>
          </w:p>
        </w:tc>
        <w:tc>
          <w:tcPr>
            <w:tcW w:w="3991" w:type="pct"/>
            <w:tcBorders>
              <w:top w:val="outset" w:sz="6" w:space="0" w:color="auto"/>
              <w:left w:val="outset" w:sz="6" w:space="0" w:color="auto"/>
              <w:bottom w:val="outset" w:sz="6" w:space="0" w:color="auto"/>
              <w:right w:val="outset" w:sz="6" w:space="0" w:color="auto"/>
            </w:tcBorders>
            <w:vAlign w:val="center"/>
          </w:tcPr>
          <w:p w14:paraId="1078B495" w14:textId="77777777" w:rsidR="00CD06AD" w:rsidRPr="00C35790" w:rsidRDefault="005B2255" w:rsidP="00C1728B">
            <w:pPr>
              <w:numPr>
                <w:ilvl w:val="0"/>
                <w:numId w:val="70"/>
              </w:numPr>
              <w:rPr>
                <w:spacing w:val="8"/>
                <w:sz w:val="24"/>
                <w:szCs w:val="24"/>
              </w:rPr>
            </w:pPr>
            <w:r w:rsidRPr="00C35790">
              <w:rPr>
                <w:spacing w:val="8"/>
                <w:sz w:val="24"/>
                <w:szCs w:val="24"/>
              </w:rPr>
              <w:t>Order Tickets or other reports</w:t>
            </w:r>
          </w:p>
          <w:p w14:paraId="01B4787F" w14:textId="77777777" w:rsidR="00CD06AD" w:rsidRPr="00C35790" w:rsidRDefault="006743A9" w:rsidP="00C1728B">
            <w:pPr>
              <w:numPr>
                <w:ilvl w:val="0"/>
                <w:numId w:val="70"/>
              </w:numPr>
              <w:rPr>
                <w:spacing w:val="8"/>
                <w:sz w:val="24"/>
                <w:szCs w:val="24"/>
              </w:rPr>
            </w:pPr>
            <w:r w:rsidRPr="00C35790">
              <w:rPr>
                <w:spacing w:val="8"/>
                <w:sz w:val="24"/>
                <w:szCs w:val="24"/>
              </w:rPr>
              <w:t>Personal trades</w:t>
            </w:r>
          </w:p>
          <w:p w14:paraId="037F54BE" w14:textId="77777777" w:rsidR="006743A9" w:rsidRPr="00C35790" w:rsidRDefault="006743A9" w:rsidP="00C1728B">
            <w:pPr>
              <w:numPr>
                <w:ilvl w:val="0"/>
                <w:numId w:val="70"/>
              </w:numPr>
              <w:rPr>
                <w:spacing w:val="8"/>
                <w:sz w:val="24"/>
                <w:szCs w:val="24"/>
              </w:rPr>
            </w:pPr>
            <w:r w:rsidRPr="00C35790">
              <w:rPr>
                <w:spacing w:val="8"/>
                <w:sz w:val="24"/>
                <w:szCs w:val="24"/>
              </w:rPr>
              <w:lastRenderedPageBreak/>
              <w:t xml:space="preserve">Evaluate best execution and order routing by </w:t>
            </w:r>
            <w:r w:rsidR="00361E0C" w:rsidRPr="00C35790">
              <w:rPr>
                <w:spacing w:val="8"/>
                <w:sz w:val="24"/>
                <w:szCs w:val="24"/>
              </w:rPr>
              <w:t>HTS</w:t>
            </w:r>
          </w:p>
          <w:p w14:paraId="46E29DC5" w14:textId="77777777" w:rsidR="00837934" w:rsidRPr="00C35790" w:rsidRDefault="00837934" w:rsidP="00C1728B">
            <w:pPr>
              <w:numPr>
                <w:ilvl w:val="0"/>
                <w:numId w:val="70"/>
              </w:numPr>
              <w:rPr>
                <w:spacing w:val="8"/>
                <w:sz w:val="24"/>
                <w:szCs w:val="24"/>
              </w:rPr>
            </w:pPr>
            <w:r w:rsidRPr="00C35790">
              <w:rPr>
                <w:spacing w:val="8"/>
                <w:sz w:val="24"/>
                <w:szCs w:val="24"/>
              </w:rPr>
              <w:t>Review trade reporting at a minimum weekly</w:t>
            </w:r>
          </w:p>
          <w:p w14:paraId="7ECB677E" w14:textId="2AB7B8B4" w:rsidR="00A53584" w:rsidRDefault="00A53584" w:rsidP="00C1728B">
            <w:pPr>
              <w:numPr>
                <w:ilvl w:val="0"/>
                <w:numId w:val="70"/>
              </w:numPr>
              <w:rPr>
                <w:spacing w:val="8"/>
                <w:sz w:val="24"/>
                <w:szCs w:val="24"/>
              </w:rPr>
            </w:pPr>
            <w:r w:rsidRPr="00C35790">
              <w:rPr>
                <w:spacing w:val="8"/>
                <w:sz w:val="24"/>
                <w:szCs w:val="24"/>
              </w:rPr>
              <w:t>Where necessary, take corrective action which may include cancelling, rebilling transactions to correct charges.</w:t>
            </w:r>
          </w:p>
          <w:p w14:paraId="6535AD2D" w14:textId="6B6C8DEB" w:rsidR="00B21346" w:rsidRPr="0086379E" w:rsidRDefault="00B21346" w:rsidP="00C1728B">
            <w:pPr>
              <w:numPr>
                <w:ilvl w:val="0"/>
                <w:numId w:val="70"/>
              </w:numPr>
              <w:rPr>
                <w:color w:val="000000" w:themeColor="text1"/>
                <w:spacing w:val="8"/>
                <w:sz w:val="36"/>
                <w:szCs w:val="36"/>
              </w:rPr>
            </w:pPr>
            <w:r w:rsidRPr="0086379E">
              <w:rPr>
                <w:color w:val="000000" w:themeColor="text1"/>
                <w:spacing w:val="8"/>
                <w:sz w:val="24"/>
                <w:szCs w:val="24"/>
              </w:rPr>
              <w:t xml:space="preserve">Review </w:t>
            </w:r>
            <w:r w:rsidRPr="0086379E">
              <w:rPr>
                <w:color w:val="000000" w:themeColor="text1"/>
                <w:spacing w:val="8"/>
                <w:sz w:val="24"/>
                <w:szCs w:val="24"/>
                <w:shd w:val="clear" w:color="auto" w:fill="FFFFFF"/>
              </w:rPr>
              <w:t xml:space="preserve">transactions to identify solicited transactions in OTC </w:t>
            </w:r>
            <w:r w:rsidR="00DD60CB" w:rsidRPr="0086379E">
              <w:rPr>
                <w:color w:val="000000" w:themeColor="text1"/>
                <w:spacing w:val="8"/>
                <w:sz w:val="24"/>
                <w:szCs w:val="24"/>
                <w:shd w:val="clear" w:color="auto" w:fill="FFFFFF"/>
              </w:rPr>
              <w:t xml:space="preserve">and low-priced or microcap </w:t>
            </w:r>
            <w:r w:rsidRPr="0086379E">
              <w:rPr>
                <w:color w:val="000000" w:themeColor="text1"/>
                <w:spacing w:val="8"/>
                <w:sz w:val="24"/>
                <w:szCs w:val="24"/>
                <w:shd w:val="clear" w:color="auto" w:fill="FFFFFF"/>
              </w:rPr>
              <w:t>equity securities (or groups of accounts) for compliance with FINRA rules and applicable laws including red flag indicators of potential fraud</w:t>
            </w:r>
            <w:r w:rsidR="005974C2" w:rsidRPr="0086379E">
              <w:rPr>
                <w:color w:val="000000" w:themeColor="text1"/>
                <w:spacing w:val="8"/>
                <w:sz w:val="24"/>
                <w:szCs w:val="24"/>
                <w:shd w:val="clear" w:color="auto" w:fill="FFFFFF"/>
              </w:rPr>
              <w:t xml:space="preserve"> (in particular </w:t>
            </w:r>
            <w:r w:rsidR="00D0089F" w:rsidRPr="0086379E">
              <w:rPr>
                <w:color w:val="000000" w:themeColor="text1"/>
                <w:spacing w:val="8"/>
                <w:sz w:val="24"/>
                <w:szCs w:val="24"/>
                <w:shd w:val="clear" w:color="auto" w:fill="FFFFFF"/>
              </w:rPr>
              <w:t xml:space="preserve">as noted in FINRA </w:t>
            </w:r>
            <w:r w:rsidR="005974C2" w:rsidRPr="0086379E">
              <w:rPr>
                <w:color w:val="000000" w:themeColor="text1"/>
                <w:spacing w:val="8"/>
                <w:sz w:val="24"/>
                <w:szCs w:val="24"/>
                <w:shd w:val="clear" w:color="auto" w:fill="FFFFFF"/>
              </w:rPr>
              <w:t>Notice 21-03)</w:t>
            </w:r>
          </w:p>
          <w:p w14:paraId="5C4E54FE" w14:textId="77777777" w:rsidR="00F031EB" w:rsidRPr="0086379E" w:rsidRDefault="00F031EB" w:rsidP="00C1728B">
            <w:pPr>
              <w:numPr>
                <w:ilvl w:val="0"/>
                <w:numId w:val="70"/>
              </w:numPr>
              <w:rPr>
                <w:color w:val="000000" w:themeColor="text1"/>
                <w:spacing w:val="8"/>
                <w:sz w:val="24"/>
                <w:szCs w:val="24"/>
              </w:rPr>
            </w:pPr>
            <w:r w:rsidRPr="0086379E">
              <w:rPr>
                <w:color w:val="000000" w:themeColor="text1"/>
                <w:spacing w:val="8"/>
                <w:sz w:val="24"/>
                <w:szCs w:val="24"/>
              </w:rPr>
              <w:t>Review applicable FINRA Reports</w:t>
            </w:r>
          </w:p>
          <w:p w14:paraId="4D6D637A" w14:textId="77777777" w:rsidR="00962406" w:rsidRPr="0086379E" w:rsidRDefault="00962406" w:rsidP="00C1728B">
            <w:pPr>
              <w:numPr>
                <w:ilvl w:val="0"/>
                <w:numId w:val="70"/>
              </w:numPr>
              <w:rPr>
                <w:color w:val="000000" w:themeColor="text1"/>
                <w:spacing w:val="8"/>
                <w:sz w:val="24"/>
                <w:szCs w:val="24"/>
              </w:rPr>
            </w:pPr>
            <w:r w:rsidRPr="0086379E">
              <w:rPr>
                <w:color w:val="000000" w:themeColor="text1"/>
                <w:spacing w:val="8"/>
                <w:sz w:val="24"/>
                <w:szCs w:val="24"/>
              </w:rPr>
              <w:t>Review third party reporting periodically</w:t>
            </w:r>
          </w:p>
          <w:p w14:paraId="66B810C6" w14:textId="79BAA16F" w:rsidR="003972B7" w:rsidRPr="0086379E" w:rsidRDefault="003972B7" w:rsidP="00C1728B">
            <w:pPr>
              <w:numPr>
                <w:ilvl w:val="0"/>
                <w:numId w:val="70"/>
              </w:numPr>
              <w:rPr>
                <w:color w:val="000000" w:themeColor="text1"/>
                <w:spacing w:val="8"/>
                <w:sz w:val="24"/>
                <w:szCs w:val="24"/>
              </w:rPr>
            </w:pPr>
            <w:r w:rsidRPr="0086379E">
              <w:rPr>
                <w:color w:val="000000" w:themeColor="text1"/>
                <w:spacing w:val="8"/>
                <w:sz w:val="24"/>
                <w:szCs w:val="24"/>
              </w:rPr>
              <w:t>Ensure all registrations and requirements set up for CAT reporting</w:t>
            </w:r>
            <w:r w:rsidR="00816897" w:rsidRPr="0086379E">
              <w:rPr>
                <w:color w:val="000000" w:themeColor="text1"/>
                <w:spacing w:val="8"/>
                <w:sz w:val="24"/>
                <w:szCs w:val="24"/>
              </w:rPr>
              <w:t xml:space="preserve"> and keep information updated</w:t>
            </w:r>
          </w:p>
          <w:p w14:paraId="441F76CE" w14:textId="41D547A3" w:rsidR="00816897" w:rsidRPr="00816897" w:rsidRDefault="00816897" w:rsidP="00816897">
            <w:pPr>
              <w:numPr>
                <w:ilvl w:val="0"/>
                <w:numId w:val="70"/>
              </w:numPr>
              <w:rPr>
                <w:spacing w:val="8"/>
                <w:sz w:val="24"/>
                <w:szCs w:val="24"/>
              </w:rPr>
            </w:pPr>
            <w:r w:rsidRPr="0086379E">
              <w:rPr>
                <w:color w:val="000000" w:themeColor="text1"/>
                <w:spacing w:val="8"/>
                <w:sz w:val="24"/>
                <w:szCs w:val="24"/>
              </w:rPr>
              <w:t xml:space="preserve">Regular review of CAT portal for file status, </w:t>
            </w:r>
            <w:r w:rsidR="00536D1F" w:rsidRPr="0086379E">
              <w:rPr>
                <w:color w:val="000000" w:themeColor="text1"/>
                <w:spacing w:val="8"/>
                <w:sz w:val="24"/>
                <w:szCs w:val="24"/>
              </w:rPr>
              <w:t>potential errors or</w:t>
            </w:r>
            <w:r w:rsidRPr="0086379E">
              <w:rPr>
                <w:color w:val="000000" w:themeColor="text1"/>
                <w:spacing w:val="8"/>
                <w:sz w:val="24"/>
                <w:szCs w:val="24"/>
              </w:rPr>
              <w:t xml:space="preserve"> repairs, comparative reviews against Company order and trade records</w:t>
            </w:r>
            <w:r w:rsidR="000E4C96" w:rsidRPr="0086379E">
              <w:rPr>
                <w:color w:val="000000" w:themeColor="text1"/>
                <w:spacing w:val="8"/>
                <w:sz w:val="24"/>
                <w:szCs w:val="24"/>
              </w:rPr>
              <w:t>, clock sync reviews and annual certification by Mar 15.</w:t>
            </w:r>
          </w:p>
        </w:tc>
      </w:tr>
      <w:tr w:rsidR="00CD06AD" w:rsidRPr="001679B2" w14:paraId="7C717123" w14:textId="77777777" w:rsidTr="00CD06AD">
        <w:trPr>
          <w:tblCellSpacing w:w="0" w:type="dxa"/>
        </w:trPr>
        <w:tc>
          <w:tcPr>
            <w:tcW w:w="1009" w:type="pct"/>
            <w:tcBorders>
              <w:top w:val="outset" w:sz="6" w:space="0" w:color="auto"/>
              <w:left w:val="outset" w:sz="6" w:space="0" w:color="auto"/>
              <w:bottom w:val="outset" w:sz="6" w:space="0" w:color="auto"/>
              <w:right w:val="outset" w:sz="6" w:space="0" w:color="auto"/>
            </w:tcBorders>
            <w:vAlign w:val="center"/>
          </w:tcPr>
          <w:p w14:paraId="375865F6" w14:textId="77777777" w:rsidR="00CD06AD" w:rsidRPr="001679B2" w:rsidRDefault="00CD06AD" w:rsidP="00CD06AD">
            <w:pPr>
              <w:jc w:val="center"/>
              <w:rPr>
                <w:b/>
                <w:bCs/>
                <w:spacing w:val="8"/>
                <w:sz w:val="24"/>
                <w:szCs w:val="24"/>
              </w:rPr>
            </w:pPr>
            <w:r w:rsidRPr="001679B2">
              <w:rPr>
                <w:b/>
                <w:bCs/>
                <w:spacing w:val="8"/>
                <w:sz w:val="24"/>
                <w:szCs w:val="24"/>
              </w:rPr>
              <w:lastRenderedPageBreak/>
              <w:t>Records</w:t>
            </w:r>
          </w:p>
        </w:tc>
        <w:tc>
          <w:tcPr>
            <w:tcW w:w="3991" w:type="pct"/>
            <w:tcBorders>
              <w:top w:val="outset" w:sz="6" w:space="0" w:color="auto"/>
              <w:left w:val="outset" w:sz="6" w:space="0" w:color="auto"/>
              <w:bottom w:val="outset" w:sz="6" w:space="0" w:color="auto"/>
              <w:right w:val="outset" w:sz="6" w:space="0" w:color="auto"/>
            </w:tcBorders>
            <w:vAlign w:val="center"/>
          </w:tcPr>
          <w:p w14:paraId="554C61B0" w14:textId="77777777" w:rsidR="00CD06AD" w:rsidRPr="00C35790" w:rsidRDefault="005B2255" w:rsidP="00C1728B">
            <w:pPr>
              <w:numPr>
                <w:ilvl w:val="0"/>
                <w:numId w:val="71"/>
              </w:numPr>
              <w:rPr>
                <w:spacing w:val="8"/>
                <w:sz w:val="24"/>
                <w:szCs w:val="24"/>
              </w:rPr>
            </w:pPr>
            <w:r w:rsidRPr="00C35790">
              <w:rPr>
                <w:spacing w:val="8"/>
                <w:sz w:val="24"/>
                <w:szCs w:val="24"/>
              </w:rPr>
              <w:t>Transaction</w:t>
            </w:r>
            <w:r w:rsidR="00CD06AD" w:rsidRPr="00C35790">
              <w:rPr>
                <w:spacing w:val="8"/>
                <w:sz w:val="24"/>
                <w:szCs w:val="24"/>
              </w:rPr>
              <w:t xml:space="preserve"> records</w:t>
            </w:r>
            <w:r w:rsidR="00962406" w:rsidRPr="00C35790">
              <w:rPr>
                <w:spacing w:val="8"/>
                <w:sz w:val="24"/>
                <w:szCs w:val="24"/>
              </w:rPr>
              <w:t>/ SRO Reports/ Reviews of Third-Party reporting</w:t>
            </w:r>
          </w:p>
          <w:p w14:paraId="6E4C762D" w14:textId="77777777" w:rsidR="006743A9" w:rsidRPr="00C35790" w:rsidRDefault="006743A9" w:rsidP="00C1728B">
            <w:pPr>
              <w:numPr>
                <w:ilvl w:val="0"/>
                <w:numId w:val="71"/>
              </w:numPr>
              <w:rPr>
                <w:spacing w:val="8"/>
                <w:sz w:val="24"/>
                <w:szCs w:val="24"/>
              </w:rPr>
            </w:pPr>
            <w:r w:rsidRPr="00C35790">
              <w:rPr>
                <w:spacing w:val="8"/>
                <w:sz w:val="24"/>
                <w:szCs w:val="24"/>
              </w:rPr>
              <w:t>Personal trades and outside securities account statements</w:t>
            </w:r>
          </w:p>
          <w:p w14:paraId="065E8301" w14:textId="77777777" w:rsidR="006743A9" w:rsidRPr="00C35790" w:rsidRDefault="006743A9" w:rsidP="00C1728B">
            <w:pPr>
              <w:numPr>
                <w:ilvl w:val="0"/>
                <w:numId w:val="71"/>
              </w:numPr>
              <w:rPr>
                <w:spacing w:val="8"/>
                <w:sz w:val="24"/>
                <w:szCs w:val="24"/>
              </w:rPr>
            </w:pPr>
            <w:r w:rsidRPr="00C35790">
              <w:rPr>
                <w:spacing w:val="8"/>
                <w:sz w:val="24"/>
                <w:szCs w:val="24"/>
              </w:rPr>
              <w:t>Best execution and order routing reviews</w:t>
            </w:r>
          </w:p>
          <w:p w14:paraId="72D46B24" w14:textId="77777777" w:rsidR="006743A9" w:rsidRPr="00C35790" w:rsidRDefault="00CD06AD" w:rsidP="00C1728B">
            <w:pPr>
              <w:numPr>
                <w:ilvl w:val="0"/>
                <w:numId w:val="71"/>
              </w:numPr>
              <w:rPr>
                <w:spacing w:val="8"/>
                <w:sz w:val="24"/>
                <w:szCs w:val="24"/>
              </w:rPr>
            </w:pPr>
            <w:r w:rsidRPr="00C35790">
              <w:rPr>
                <w:spacing w:val="8"/>
                <w:sz w:val="24"/>
                <w:szCs w:val="24"/>
              </w:rPr>
              <w:t>Internal reviews</w:t>
            </w:r>
            <w:r w:rsidR="00F031EB" w:rsidRPr="00C35790">
              <w:rPr>
                <w:spacing w:val="8"/>
                <w:sz w:val="24"/>
                <w:szCs w:val="24"/>
              </w:rPr>
              <w:t>, FINRA Reports</w:t>
            </w:r>
            <w:r w:rsidR="00A53584" w:rsidRPr="00C35790">
              <w:rPr>
                <w:spacing w:val="8"/>
                <w:sz w:val="24"/>
                <w:szCs w:val="24"/>
              </w:rPr>
              <w:t xml:space="preserve"> </w:t>
            </w:r>
          </w:p>
          <w:p w14:paraId="204291DE" w14:textId="77777777" w:rsidR="00A53584" w:rsidRDefault="00A53584" w:rsidP="00C1728B">
            <w:pPr>
              <w:numPr>
                <w:ilvl w:val="0"/>
                <w:numId w:val="71"/>
              </w:numPr>
              <w:rPr>
                <w:spacing w:val="8"/>
                <w:sz w:val="24"/>
                <w:szCs w:val="24"/>
              </w:rPr>
            </w:pPr>
            <w:r w:rsidRPr="00C35790">
              <w:rPr>
                <w:spacing w:val="8"/>
                <w:sz w:val="24"/>
                <w:szCs w:val="24"/>
              </w:rPr>
              <w:t>Any corrective actions</w:t>
            </w:r>
            <w:r w:rsidR="00661695" w:rsidRPr="00C35790">
              <w:rPr>
                <w:spacing w:val="8"/>
                <w:sz w:val="24"/>
                <w:szCs w:val="24"/>
              </w:rPr>
              <w:t xml:space="preserve"> taken</w:t>
            </w:r>
            <w:r w:rsidRPr="00C35790">
              <w:rPr>
                <w:spacing w:val="8"/>
                <w:sz w:val="24"/>
                <w:szCs w:val="24"/>
              </w:rPr>
              <w:t>.</w:t>
            </w:r>
          </w:p>
          <w:p w14:paraId="5A1F439B" w14:textId="53EAEB91" w:rsidR="000E4C96" w:rsidRPr="00C35790" w:rsidRDefault="000E4C96" w:rsidP="00C1728B">
            <w:pPr>
              <w:numPr>
                <w:ilvl w:val="0"/>
                <w:numId w:val="71"/>
              </w:numPr>
              <w:rPr>
                <w:spacing w:val="8"/>
                <w:sz w:val="24"/>
                <w:szCs w:val="24"/>
              </w:rPr>
            </w:pPr>
            <w:r w:rsidRPr="0086379E">
              <w:rPr>
                <w:color w:val="000000" w:themeColor="text1"/>
                <w:spacing w:val="8"/>
                <w:sz w:val="24"/>
                <w:szCs w:val="24"/>
              </w:rPr>
              <w:t>Review logs, certifications, reports</w:t>
            </w:r>
          </w:p>
        </w:tc>
      </w:tr>
    </w:tbl>
    <w:p w14:paraId="270E5822" w14:textId="77777777" w:rsidR="008166B0" w:rsidRPr="008166B0" w:rsidRDefault="008166B0" w:rsidP="008166B0"/>
    <w:p w14:paraId="6C57D31C" w14:textId="77777777" w:rsidR="00A90A29" w:rsidRDefault="00A90A29" w:rsidP="00FB0641">
      <w:pPr>
        <w:jc w:val="both"/>
        <w:rPr>
          <w:b/>
          <w:sz w:val="24"/>
        </w:rPr>
      </w:pPr>
    </w:p>
    <w:p w14:paraId="004AD34F" w14:textId="77777777" w:rsidR="006047A9" w:rsidRPr="00203D90" w:rsidRDefault="006047A9" w:rsidP="00936FEE">
      <w:pPr>
        <w:pStyle w:val="Heading2"/>
      </w:pPr>
      <w:r w:rsidRPr="00203D90">
        <w:t>8.3 Authorization</w:t>
      </w:r>
    </w:p>
    <w:p w14:paraId="5199342C" w14:textId="77777777" w:rsidR="00FB0641" w:rsidRDefault="00FB0641" w:rsidP="00FB0641">
      <w:pPr>
        <w:pStyle w:val="BodyTextIndent3"/>
        <w:spacing w:before="0" w:after="0"/>
        <w:ind w:left="0"/>
      </w:pPr>
      <w:r>
        <w:t>Trades may only be executed by the trading desk or designated Associated Persons granted trading authority.</w:t>
      </w:r>
    </w:p>
    <w:p w14:paraId="7D7357D8" w14:textId="77777777" w:rsidR="00FB0641" w:rsidRDefault="00FB0641" w:rsidP="00FB0641">
      <w:pPr>
        <w:pStyle w:val="BodyTextIndent3"/>
        <w:spacing w:before="0" w:after="0"/>
      </w:pPr>
    </w:p>
    <w:tbl>
      <w:tblPr>
        <w:tblpPr w:leftFromText="180" w:rightFromText="180" w:vertAnchor="text" w:horzAnchor="page" w:tblpX="3394"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070"/>
      </w:tblGrid>
      <w:tr w:rsidR="00FB0641" w14:paraId="13428114" w14:textId="77777777">
        <w:trPr>
          <w:trHeight w:val="280"/>
        </w:trPr>
        <w:tc>
          <w:tcPr>
            <w:tcW w:w="3708" w:type="dxa"/>
            <w:shd w:val="clear" w:color="auto" w:fill="D9D9D9"/>
          </w:tcPr>
          <w:p w14:paraId="4CFDFC38" w14:textId="77777777" w:rsidR="00FB0641" w:rsidRDefault="00FB0641" w:rsidP="00A90A29">
            <w:pPr>
              <w:jc w:val="both"/>
              <w:rPr>
                <w:b/>
                <w:bCs/>
                <w:sz w:val="24"/>
              </w:rPr>
            </w:pPr>
            <w:r>
              <w:rPr>
                <w:b/>
                <w:bCs/>
                <w:sz w:val="24"/>
              </w:rPr>
              <w:t>Trading Authorization</w:t>
            </w:r>
          </w:p>
        </w:tc>
        <w:tc>
          <w:tcPr>
            <w:tcW w:w="2070" w:type="dxa"/>
            <w:shd w:val="clear" w:color="auto" w:fill="D9D9D9"/>
          </w:tcPr>
          <w:p w14:paraId="46C1C8D5" w14:textId="77777777" w:rsidR="00FB0641" w:rsidRDefault="00FB0641" w:rsidP="00A90A29">
            <w:pPr>
              <w:jc w:val="both"/>
              <w:rPr>
                <w:b/>
                <w:bCs/>
                <w:sz w:val="24"/>
              </w:rPr>
            </w:pPr>
            <w:r>
              <w:rPr>
                <w:b/>
                <w:bCs/>
                <w:sz w:val="24"/>
              </w:rPr>
              <w:t>Office</w:t>
            </w:r>
          </w:p>
        </w:tc>
      </w:tr>
      <w:tr w:rsidR="00FB0641" w14:paraId="2AF42394" w14:textId="77777777">
        <w:trPr>
          <w:trHeight w:val="261"/>
        </w:trPr>
        <w:tc>
          <w:tcPr>
            <w:tcW w:w="3708" w:type="dxa"/>
          </w:tcPr>
          <w:p w14:paraId="795E8CBE" w14:textId="77777777" w:rsidR="00FB0641" w:rsidRDefault="00FB0641" w:rsidP="00A90A29">
            <w:pPr>
              <w:jc w:val="both"/>
              <w:rPr>
                <w:sz w:val="24"/>
              </w:rPr>
            </w:pPr>
            <w:r>
              <w:rPr>
                <w:sz w:val="24"/>
              </w:rPr>
              <w:t>Monroe, Morris</w:t>
            </w:r>
          </w:p>
        </w:tc>
        <w:tc>
          <w:tcPr>
            <w:tcW w:w="2070" w:type="dxa"/>
          </w:tcPr>
          <w:p w14:paraId="3B4A42DE" w14:textId="77777777" w:rsidR="00FB0641" w:rsidRDefault="00FB0641" w:rsidP="00A90A29">
            <w:pPr>
              <w:jc w:val="both"/>
              <w:rPr>
                <w:sz w:val="24"/>
              </w:rPr>
            </w:pPr>
            <w:r>
              <w:rPr>
                <w:sz w:val="24"/>
              </w:rPr>
              <w:t>Home Office</w:t>
            </w:r>
          </w:p>
        </w:tc>
      </w:tr>
      <w:tr w:rsidR="00FB0641" w14:paraId="5338BC20" w14:textId="77777777">
        <w:trPr>
          <w:trHeight w:val="261"/>
        </w:trPr>
        <w:tc>
          <w:tcPr>
            <w:tcW w:w="3708" w:type="dxa"/>
          </w:tcPr>
          <w:p w14:paraId="7305B1F0" w14:textId="77777777" w:rsidR="00FB0641" w:rsidRDefault="00FB0641" w:rsidP="00A90A29">
            <w:pPr>
              <w:jc w:val="both"/>
              <w:rPr>
                <w:sz w:val="24"/>
              </w:rPr>
            </w:pPr>
            <w:r>
              <w:rPr>
                <w:sz w:val="24"/>
              </w:rPr>
              <w:t>Sedita, Gloria</w:t>
            </w:r>
          </w:p>
        </w:tc>
        <w:tc>
          <w:tcPr>
            <w:tcW w:w="2070" w:type="dxa"/>
          </w:tcPr>
          <w:p w14:paraId="3C8847D6" w14:textId="77777777" w:rsidR="00FB0641" w:rsidRDefault="00FB0641" w:rsidP="00A90A29">
            <w:pPr>
              <w:jc w:val="both"/>
              <w:rPr>
                <w:sz w:val="24"/>
              </w:rPr>
            </w:pPr>
            <w:r>
              <w:rPr>
                <w:sz w:val="24"/>
              </w:rPr>
              <w:t>Home Office</w:t>
            </w:r>
          </w:p>
        </w:tc>
      </w:tr>
      <w:tr w:rsidR="00FB0641" w14:paraId="31CB6384" w14:textId="77777777">
        <w:trPr>
          <w:trHeight w:val="280"/>
        </w:trPr>
        <w:tc>
          <w:tcPr>
            <w:tcW w:w="3708" w:type="dxa"/>
          </w:tcPr>
          <w:p w14:paraId="4295FA3B" w14:textId="77777777" w:rsidR="00FB0641" w:rsidRDefault="00FB0641" w:rsidP="00A90A29">
            <w:pPr>
              <w:jc w:val="both"/>
              <w:rPr>
                <w:sz w:val="24"/>
              </w:rPr>
            </w:pPr>
            <w:r>
              <w:rPr>
                <w:sz w:val="24"/>
              </w:rPr>
              <w:t>Vaughan, David</w:t>
            </w:r>
          </w:p>
        </w:tc>
        <w:tc>
          <w:tcPr>
            <w:tcW w:w="2070" w:type="dxa"/>
          </w:tcPr>
          <w:p w14:paraId="0EAD84C6" w14:textId="77777777" w:rsidR="00FB0641" w:rsidRDefault="00FB0641" w:rsidP="00A90A29">
            <w:pPr>
              <w:jc w:val="both"/>
              <w:rPr>
                <w:sz w:val="24"/>
              </w:rPr>
            </w:pPr>
            <w:r>
              <w:rPr>
                <w:sz w:val="24"/>
              </w:rPr>
              <w:t>Home Office</w:t>
            </w:r>
          </w:p>
        </w:tc>
      </w:tr>
      <w:tr w:rsidR="00FB0641" w14:paraId="0C1E783B" w14:textId="77777777">
        <w:trPr>
          <w:trHeight w:val="280"/>
        </w:trPr>
        <w:tc>
          <w:tcPr>
            <w:tcW w:w="3708" w:type="dxa"/>
          </w:tcPr>
          <w:p w14:paraId="62B592A5" w14:textId="77777777" w:rsidR="00FB0641" w:rsidRDefault="00FB0641" w:rsidP="00A90A29">
            <w:pPr>
              <w:jc w:val="both"/>
              <w:rPr>
                <w:sz w:val="24"/>
              </w:rPr>
            </w:pPr>
            <w:r>
              <w:rPr>
                <w:sz w:val="24"/>
              </w:rPr>
              <w:t>Hendricks, Laura</w:t>
            </w:r>
          </w:p>
        </w:tc>
        <w:tc>
          <w:tcPr>
            <w:tcW w:w="2070" w:type="dxa"/>
          </w:tcPr>
          <w:p w14:paraId="6AC7C005" w14:textId="77777777" w:rsidR="00FB0641" w:rsidRDefault="00FB0641" w:rsidP="00A90A29">
            <w:pPr>
              <w:jc w:val="both"/>
              <w:rPr>
                <w:sz w:val="24"/>
              </w:rPr>
            </w:pPr>
            <w:r>
              <w:rPr>
                <w:sz w:val="24"/>
              </w:rPr>
              <w:t>Home Office</w:t>
            </w:r>
          </w:p>
        </w:tc>
      </w:tr>
    </w:tbl>
    <w:p w14:paraId="4F98F7D6" w14:textId="77777777" w:rsidR="00FB0641" w:rsidRPr="004D2E21" w:rsidRDefault="00FB0641" w:rsidP="00FB0641">
      <w:pPr>
        <w:pStyle w:val="BodyTextIndent3"/>
        <w:spacing w:before="0" w:after="0"/>
      </w:pPr>
    </w:p>
    <w:p w14:paraId="3A689A4B" w14:textId="77777777" w:rsidR="00FB0641" w:rsidRPr="004D2E21" w:rsidRDefault="00FB0641" w:rsidP="00FB0641">
      <w:pPr>
        <w:pStyle w:val="BodyTextIndent3"/>
        <w:spacing w:before="0" w:after="0"/>
      </w:pPr>
    </w:p>
    <w:p w14:paraId="59F40902" w14:textId="77777777" w:rsidR="00FB0641" w:rsidRPr="004D2E21" w:rsidRDefault="00FB0641" w:rsidP="00FB0641">
      <w:pPr>
        <w:pStyle w:val="BodyTextIndent3"/>
        <w:spacing w:before="0" w:after="0"/>
      </w:pPr>
    </w:p>
    <w:p w14:paraId="020A82CC" w14:textId="77777777" w:rsidR="00FB0641" w:rsidRPr="004D2E21" w:rsidRDefault="00FB0641" w:rsidP="00FB0641">
      <w:pPr>
        <w:pStyle w:val="BodyTextIndent3"/>
        <w:spacing w:before="0" w:after="0"/>
      </w:pPr>
    </w:p>
    <w:p w14:paraId="3FD407AC" w14:textId="27DC55C7" w:rsidR="00FB0641" w:rsidRDefault="00FB0641" w:rsidP="00FB0641">
      <w:pPr>
        <w:pStyle w:val="BodyTextIndent3"/>
        <w:spacing w:before="0" w:after="0"/>
      </w:pPr>
    </w:p>
    <w:p w14:paraId="4AD36A84" w14:textId="77777777" w:rsidR="00927E7F" w:rsidRPr="004D2E21" w:rsidRDefault="00927E7F" w:rsidP="00FB0641">
      <w:pPr>
        <w:pStyle w:val="BodyTextIndent3"/>
        <w:spacing w:before="0" w:after="0"/>
      </w:pPr>
    </w:p>
    <w:p w14:paraId="44373789" w14:textId="77777777" w:rsidR="00FB0641" w:rsidRPr="004D2E21" w:rsidRDefault="00FB0641" w:rsidP="00FB0641">
      <w:pPr>
        <w:pStyle w:val="BodyTextIndent3"/>
        <w:spacing w:before="0" w:after="0"/>
      </w:pPr>
    </w:p>
    <w:p w14:paraId="1816339C" w14:textId="77777777" w:rsidR="006047A9" w:rsidRPr="004D2E21" w:rsidRDefault="006047A9" w:rsidP="00936FEE">
      <w:pPr>
        <w:pStyle w:val="Heading2"/>
      </w:pPr>
      <w:bookmarkStart w:id="115" w:name="_8.4_General_Procedures"/>
      <w:bookmarkEnd w:id="115"/>
      <w:r w:rsidRPr="004D2E21">
        <w:t>8.4 General Procedures</w:t>
      </w:r>
    </w:p>
    <w:p w14:paraId="404B2D0C" w14:textId="77059CEC" w:rsidR="00833275" w:rsidRPr="004E5448" w:rsidRDefault="00833275" w:rsidP="00833275">
      <w:pPr>
        <w:pStyle w:val="Normal44"/>
        <w:spacing w:before="0" w:beforeAutospacing="0" w:after="0" w:afterAutospacing="0"/>
        <w:rPr>
          <w:spacing w:val="8"/>
        </w:rPr>
      </w:pPr>
      <w:r w:rsidRPr="004E5448">
        <w:rPr>
          <w:spacing w:val="8"/>
        </w:rPr>
        <w:t>RRs must have a reasonable basis for believing that a recommended transaction or investment strategy involving a security or securities is suitable for the customer. Recommendations should be based on information obtained through reasonable diligence to ascertain the customer's investment profile, which is recorded in the account records, generally at the time the account is opened and updated when necessary. The customer's investment profile includes, but is not limited to, the customer's age, other investments, financial situation and needs, tax status, investment objectives, investment experience, investment time horizon, liquidity needs, risk tolerance, and any other information the customer may disclose in connection with the recommendation.</w:t>
      </w:r>
    </w:p>
    <w:p w14:paraId="41C0193D" w14:textId="77777777" w:rsidR="00833275" w:rsidRPr="00833275" w:rsidRDefault="00833275" w:rsidP="00833275">
      <w:pPr>
        <w:pStyle w:val="Normal44"/>
        <w:spacing w:before="0" w:beforeAutospacing="0" w:after="0" w:afterAutospacing="0"/>
        <w:rPr>
          <w:color w:val="FF0000"/>
          <w:spacing w:val="8"/>
        </w:rPr>
      </w:pPr>
    </w:p>
    <w:p w14:paraId="26C69EBF" w14:textId="7E5D591D" w:rsidR="00FB0641" w:rsidRPr="004D2E21" w:rsidRDefault="00FB0641" w:rsidP="005843BD">
      <w:pPr>
        <w:pStyle w:val="BodyTextIndent3"/>
        <w:spacing w:before="0" w:after="0"/>
        <w:ind w:left="0"/>
      </w:pPr>
      <w:r w:rsidRPr="004D2E21">
        <w:lastRenderedPageBreak/>
        <w:t xml:space="preserve">All orders may be executed only based on written (or </w:t>
      </w:r>
      <w:r w:rsidR="00F56F61" w:rsidRPr="004D2E21">
        <w:t>computer generated</w:t>
      </w:r>
      <w:r w:rsidRPr="004D2E21">
        <w:t>) trade tickets.</w:t>
      </w:r>
      <w:r w:rsidR="005843BD">
        <w:t xml:space="preserve">  </w:t>
      </w:r>
      <w:r w:rsidRPr="004D2E21">
        <w:t>All orders must bear the following information, whether executed or unexecuted:</w:t>
      </w:r>
    </w:p>
    <w:p w14:paraId="2CC4CC45" w14:textId="77777777" w:rsidR="00FB0641" w:rsidRPr="004D2E21" w:rsidRDefault="00FB0641" w:rsidP="00FB0641">
      <w:pPr>
        <w:ind w:left="1080" w:hanging="360"/>
        <w:jc w:val="both"/>
        <w:rPr>
          <w:sz w:val="24"/>
        </w:rPr>
      </w:pPr>
    </w:p>
    <w:p w14:paraId="14DD4677" w14:textId="77777777" w:rsidR="00FB0641" w:rsidRPr="004D2E21" w:rsidRDefault="00FB0641" w:rsidP="00C1728B">
      <w:pPr>
        <w:numPr>
          <w:ilvl w:val="1"/>
          <w:numId w:val="70"/>
        </w:numPr>
        <w:jc w:val="both"/>
        <w:rPr>
          <w:sz w:val="24"/>
        </w:rPr>
      </w:pPr>
      <w:r w:rsidRPr="004D2E21">
        <w:rPr>
          <w:sz w:val="24"/>
        </w:rPr>
        <w:t>Whether the order is long or short (except for debt securities);</w:t>
      </w:r>
    </w:p>
    <w:p w14:paraId="07E4FD14" w14:textId="77777777" w:rsidR="008F53AD" w:rsidRPr="004D2E21" w:rsidRDefault="00FB0641" w:rsidP="00C1728B">
      <w:pPr>
        <w:numPr>
          <w:ilvl w:val="1"/>
          <w:numId w:val="70"/>
        </w:numPr>
        <w:jc w:val="both"/>
        <w:rPr>
          <w:sz w:val="24"/>
        </w:rPr>
      </w:pPr>
      <w:r w:rsidRPr="004D2E21">
        <w:rPr>
          <w:sz w:val="24"/>
        </w:rPr>
        <w:t>The terms and conditions of the order or any modification or cancellation, and any special features of the security</w:t>
      </w:r>
      <w:r w:rsidR="008F53AD" w:rsidRPr="004D2E21">
        <w:rPr>
          <w:sz w:val="24"/>
        </w:rPr>
        <w:t xml:space="preserve"> – name of security, Buy/Sell, Long/Short,  Quantity, Limit or Stop Limit, Fill/Kill, Day or GTC</w:t>
      </w:r>
      <w:r w:rsidRPr="004D2E21">
        <w:rPr>
          <w:sz w:val="24"/>
        </w:rPr>
        <w:t>;</w:t>
      </w:r>
    </w:p>
    <w:p w14:paraId="76CDA46E" w14:textId="77777777" w:rsidR="008F53AD" w:rsidRPr="004D2E21" w:rsidRDefault="008F53AD" w:rsidP="00C1728B">
      <w:pPr>
        <w:numPr>
          <w:ilvl w:val="1"/>
          <w:numId w:val="70"/>
        </w:numPr>
        <w:jc w:val="both"/>
        <w:rPr>
          <w:sz w:val="24"/>
        </w:rPr>
      </w:pPr>
      <w:r w:rsidRPr="004D2E21">
        <w:rPr>
          <w:sz w:val="24"/>
        </w:rPr>
        <w:t>If a short sale, an indication the security can be borrowed;</w:t>
      </w:r>
    </w:p>
    <w:p w14:paraId="4A2A0AB1" w14:textId="77777777" w:rsidR="008F53AD" w:rsidRPr="004D2E21" w:rsidRDefault="008F53AD" w:rsidP="00C1728B">
      <w:pPr>
        <w:numPr>
          <w:ilvl w:val="1"/>
          <w:numId w:val="70"/>
        </w:numPr>
        <w:jc w:val="both"/>
        <w:rPr>
          <w:sz w:val="24"/>
        </w:rPr>
      </w:pPr>
      <w:r w:rsidRPr="004D2E21">
        <w:rPr>
          <w:sz w:val="24"/>
        </w:rPr>
        <w:t>If an option, Put/Call, and Open/Close;</w:t>
      </w:r>
    </w:p>
    <w:p w14:paraId="49E91685" w14:textId="77777777" w:rsidR="00FB0641" w:rsidRPr="004D2E21" w:rsidRDefault="00FB0641" w:rsidP="00C1728B">
      <w:pPr>
        <w:numPr>
          <w:ilvl w:val="1"/>
          <w:numId w:val="70"/>
        </w:numPr>
        <w:jc w:val="both"/>
        <w:rPr>
          <w:sz w:val="24"/>
        </w:rPr>
      </w:pPr>
      <w:r w:rsidRPr="004D2E21">
        <w:rPr>
          <w:sz w:val="24"/>
        </w:rPr>
        <w:t>The date and time of trade entry or cancellation;</w:t>
      </w:r>
    </w:p>
    <w:p w14:paraId="0E11CD94" w14:textId="77777777" w:rsidR="00FB0641" w:rsidRPr="004D2E21" w:rsidRDefault="00FB0641" w:rsidP="00C1728B">
      <w:pPr>
        <w:numPr>
          <w:ilvl w:val="1"/>
          <w:numId w:val="70"/>
        </w:numPr>
        <w:jc w:val="both"/>
        <w:rPr>
          <w:sz w:val="24"/>
        </w:rPr>
      </w:pPr>
      <w:r w:rsidRPr="004D2E21">
        <w:rPr>
          <w:sz w:val="24"/>
        </w:rPr>
        <w:t>The price at which executed;</w:t>
      </w:r>
    </w:p>
    <w:p w14:paraId="5C085166" w14:textId="77777777" w:rsidR="00FB0641" w:rsidRDefault="00FB0641" w:rsidP="00C1728B">
      <w:pPr>
        <w:numPr>
          <w:ilvl w:val="1"/>
          <w:numId w:val="70"/>
        </w:numPr>
        <w:jc w:val="both"/>
        <w:rPr>
          <w:sz w:val="24"/>
        </w:rPr>
      </w:pPr>
      <w:r>
        <w:rPr>
          <w:sz w:val="24"/>
        </w:rPr>
        <w:t>The time of execution;</w:t>
      </w:r>
    </w:p>
    <w:p w14:paraId="46279D75" w14:textId="77777777" w:rsidR="00FB0641" w:rsidRDefault="00FB0641" w:rsidP="00C1728B">
      <w:pPr>
        <w:numPr>
          <w:ilvl w:val="1"/>
          <w:numId w:val="70"/>
        </w:numPr>
        <w:jc w:val="both"/>
        <w:rPr>
          <w:sz w:val="24"/>
        </w:rPr>
      </w:pPr>
      <w:r>
        <w:rPr>
          <w:sz w:val="24"/>
        </w:rPr>
        <w:t>The name of the person responsible for the account and the name of the person placing the order;</w:t>
      </w:r>
    </w:p>
    <w:p w14:paraId="78D05E74" w14:textId="77777777" w:rsidR="00FB0641" w:rsidRDefault="00FB0641" w:rsidP="00C1728B">
      <w:pPr>
        <w:numPr>
          <w:ilvl w:val="1"/>
          <w:numId w:val="70"/>
        </w:numPr>
        <w:jc w:val="both"/>
        <w:rPr>
          <w:sz w:val="24"/>
        </w:rPr>
      </w:pPr>
      <w:r>
        <w:rPr>
          <w:sz w:val="24"/>
        </w:rPr>
        <w:t>The account(s) for which entered and the intended allocation of the order among those accounts;</w:t>
      </w:r>
    </w:p>
    <w:p w14:paraId="6CC476E2" w14:textId="77777777" w:rsidR="00FB0641" w:rsidRDefault="00FB0641" w:rsidP="00C1728B">
      <w:pPr>
        <w:numPr>
          <w:ilvl w:val="1"/>
          <w:numId w:val="70"/>
        </w:numPr>
        <w:jc w:val="both"/>
        <w:rPr>
          <w:sz w:val="24"/>
        </w:rPr>
      </w:pPr>
      <w:r>
        <w:rPr>
          <w:sz w:val="24"/>
        </w:rPr>
        <w:t>An indication of whether the order is Solicited or Unsolicited, and any temporary Discretion, if applicable.</w:t>
      </w:r>
    </w:p>
    <w:p w14:paraId="4811A7EC" w14:textId="77777777" w:rsidR="006D7D2D" w:rsidRPr="004D2E21" w:rsidRDefault="006D7D2D" w:rsidP="00C1728B">
      <w:pPr>
        <w:numPr>
          <w:ilvl w:val="1"/>
          <w:numId w:val="70"/>
        </w:numPr>
        <w:shd w:val="clear" w:color="auto" w:fill="FFFFFF"/>
        <w:tabs>
          <w:tab w:val="left" w:pos="1350"/>
        </w:tabs>
        <w:spacing w:line="270" w:lineRule="atLeast"/>
        <w:rPr>
          <w:sz w:val="24"/>
          <w:szCs w:val="24"/>
        </w:rPr>
      </w:pPr>
      <w:r>
        <w:rPr>
          <w:rFonts w:ascii="Arial" w:hAnsi="Arial" w:cs="Arial"/>
          <w:color w:val="000000"/>
          <w:sz w:val="18"/>
        </w:rPr>
        <w:t xml:space="preserve">  </w:t>
      </w:r>
      <w:r w:rsidRPr="004D2E21">
        <w:rPr>
          <w:sz w:val="24"/>
          <w:szCs w:val="24"/>
        </w:rPr>
        <w:t xml:space="preserve">With respect to each order that is received or executed at its trading department, Company shall record an identification of: </w:t>
      </w:r>
    </w:p>
    <w:p w14:paraId="6863F142" w14:textId="77777777" w:rsidR="006D7D2D" w:rsidRPr="004D2E21" w:rsidRDefault="006D7D2D" w:rsidP="006D7D2D">
      <w:pPr>
        <w:shd w:val="clear" w:color="auto" w:fill="FFFFFF"/>
        <w:tabs>
          <w:tab w:val="left" w:pos="1710"/>
        </w:tabs>
        <w:spacing w:line="270" w:lineRule="atLeast"/>
        <w:ind w:left="1710" w:hanging="270"/>
        <w:rPr>
          <w:sz w:val="24"/>
          <w:szCs w:val="24"/>
        </w:rPr>
      </w:pPr>
      <w:r w:rsidRPr="004D2E21">
        <w:rPr>
          <w:sz w:val="24"/>
          <w:szCs w:val="24"/>
        </w:rPr>
        <w:t xml:space="preserve">(A) </w:t>
      </w:r>
      <w:r w:rsidR="00485A49" w:rsidRPr="004D2E21">
        <w:rPr>
          <w:sz w:val="24"/>
          <w:szCs w:val="24"/>
        </w:rPr>
        <w:t>Each</w:t>
      </w:r>
      <w:r w:rsidRPr="004D2E21">
        <w:rPr>
          <w:sz w:val="24"/>
          <w:szCs w:val="24"/>
        </w:rPr>
        <w:t xml:space="preserve"> registered person who receives the order directly from a customer; </w:t>
      </w:r>
    </w:p>
    <w:p w14:paraId="5D2B59BA" w14:textId="77777777" w:rsidR="006D7D2D" w:rsidRPr="00151877" w:rsidRDefault="006D7D2D" w:rsidP="006D7D2D">
      <w:pPr>
        <w:shd w:val="clear" w:color="auto" w:fill="FFFFFF"/>
        <w:tabs>
          <w:tab w:val="left" w:pos="1710"/>
        </w:tabs>
        <w:spacing w:line="270" w:lineRule="atLeast"/>
        <w:ind w:left="1710" w:hanging="270"/>
        <w:rPr>
          <w:sz w:val="24"/>
          <w:szCs w:val="24"/>
        </w:rPr>
      </w:pPr>
      <w:r w:rsidRPr="004D2E21">
        <w:rPr>
          <w:sz w:val="24"/>
          <w:szCs w:val="24"/>
        </w:rPr>
        <w:t xml:space="preserve">(B) </w:t>
      </w:r>
      <w:r w:rsidR="00485A49" w:rsidRPr="004D2E21">
        <w:rPr>
          <w:sz w:val="24"/>
          <w:szCs w:val="24"/>
        </w:rPr>
        <w:t>Each</w:t>
      </w:r>
      <w:r w:rsidRPr="004D2E21">
        <w:rPr>
          <w:sz w:val="24"/>
          <w:szCs w:val="24"/>
        </w:rPr>
        <w:t xml:space="preserve"> registered person who executes the order</w:t>
      </w:r>
      <w:r w:rsidR="00D735CA">
        <w:rPr>
          <w:sz w:val="24"/>
          <w:szCs w:val="24"/>
        </w:rPr>
        <w:t xml:space="preserve">.  </w:t>
      </w:r>
      <w:r w:rsidR="00D735CA" w:rsidRPr="00151877">
        <w:rPr>
          <w:sz w:val="24"/>
          <w:szCs w:val="24"/>
        </w:rPr>
        <w:t xml:space="preserve">A and B could be the same person as recorded in the </w:t>
      </w:r>
      <w:r w:rsidR="00361E0C" w:rsidRPr="00BE01FA">
        <w:rPr>
          <w:sz w:val="24"/>
          <w:szCs w:val="24"/>
        </w:rPr>
        <w:t>HTS</w:t>
      </w:r>
      <w:r w:rsidR="00D735CA" w:rsidRPr="00151877">
        <w:rPr>
          <w:sz w:val="24"/>
          <w:szCs w:val="24"/>
        </w:rPr>
        <w:t xml:space="preserve"> system</w:t>
      </w:r>
      <w:r w:rsidRPr="00151877">
        <w:rPr>
          <w:sz w:val="24"/>
          <w:szCs w:val="24"/>
        </w:rPr>
        <w:t xml:space="preserve">; and </w:t>
      </w:r>
    </w:p>
    <w:p w14:paraId="631E0BDC" w14:textId="77777777" w:rsidR="006D7D2D" w:rsidRPr="004D2E21" w:rsidRDefault="006D7D2D" w:rsidP="005843BD">
      <w:pPr>
        <w:shd w:val="clear" w:color="auto" w:fill="FFFFFF"/>
        <w:tabs>
          <w:tab w:val="left" w:pos="1800"/>
        </w:tabs>
        <w:spacing w:line="270" w:lineRule="atLeast"/>
        <w:ind w:left="1800" w:hanging="360"/>
        <w:rPr>
          <w:sz w:val="24"/>
          <w:szCs w:val="24"/>
        </w:rPr>
      </w:pPr>
      <w:r w:rsidRPr="004D2E21">
        <w:rPr>
          <w:sz w:val="24"/>
          <w:szCs w:val="24"/>
        </w:rPr>
        <w:t xml:space="preserve">(C) </w:t>
      </w:r>
      <w:r w:rsidR="00485A49" w:rsidRPr="004D2E21">
        <w:rPr>
          <w:sz w:val="24"/>
          <w:szCs w:val="24"/>
        </w:rPr>
        <w:t>The</w:t>
      </w:r>
      <w:r w:rsidRPr="004D2E21">
        <w:rPr>
          <w:sz w:val="24"/>
          <w:szCs w:val="24"/>
        </w:rPr>
        <w:t xml:space="preserve"> department that originated the order if the order is originated by the Company and transmitted manually to another department. </w:t>
      </w:r>
    </w:p>
    <w:p w14:paraId="12B9E837" w14:textId="77777777" w:rsidR="006D7D2D" w:rsidRPr="004D2E21" w:rsidRDefault="006D7D2D" w:rsidP="006D7D2D">
      <w:pPr>
        <w:ind w:left="1440"/>
        <w:jc w:val="both"/>
        <w:rPr>
          <w:sz w:val="24"/>
        </w:rPr>
      </w:pPr>
    </w:p>
    <w:p w14:paraId="010E5209" w14:textId="77777777" w:rsidR="00F0403F" w:rsidRDefault="00FB0641" w:rsidP="00F0403F">
      <w:p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jc w:val="both"/>
        <w:rPr>
          <w:sz w:val="24"/>
        </w:rPr>
      </w:pPr>
      <w:r>
        <w:rPr>
          <w:sz w:val="24"/>
        </w:rPr>
        <w:t xml:space="preserve">All customer orders are to be entered through the Company's main office or through approved-for -trading OSJ branch </w:t>
      </w:r>
      <w:r w:rsidR="00523D2E">
        <w:rPr>
          <w:sz w:val="24"/>
        </w:rPr>
        <w:t>offices and</w:t>
      </w:r>
      <w:r>
        <w:rPr>
          <w:sz w:val="24"/>
        </w:rPr>
        <w:t xml:space="preserve"> shall be reviewed and accepted on behalf of the Company by Morris Monroe or his designee, or designated principal if applicable.</w:t>
      </w:r>
      <w:r w:rsidR="00F0403F">
        <w:rPr>
          <w:sz w:val="24"/>
        </w:rPr>
        <w:t xml:space="preserve">  Only licensed </w:t>
      </w:r>
      <w:proofErr w:type="gramStart"/>
      <w:r w:rsidR="00F0403F">
        <w:rPr>
          <w:sz w:val="24"/>
        </w:rPr>
        <w:t>back office</w:t>
      </w:r>
      <w:proofErr w:type="gramEnd"/>
      <w:r w:rsidR="00F0403F">
        <w:rPr>
          <w:sz w:val="24"/>
        </w:rPr>
        <w:t xml:space="preserve"> personnel or a Registered Representative can process an order from a client. </w:t>
      </w:r>
    </w:p>
    <w:p w14:paraId="1D6DE4C2" w14:textId="77777777" w:rsidR="00FB0641" w:rsidRDefault="00FB0641" w:rsidP="00FB0641">
      <w:pPr>
        <w:jc w:val="both"/>
        <w:rPr>
          <w:sz w:val="24"/>
        </w:rPr>
      </w:pPr>
    </w:p>
    <w:p w14:paraId="1BEDB6E1" w14:textId="77777777" w:rsidR="003D0986" w:rsidRDefault="00FB0641" w:rsidP="003D0986">
      <w:pPr>
        <w:jc w:val="both"/>
        <w:rPr>
          <w:sz w:val="24"/>
        </w:rPr>
      </w:pPr>
      <w:r>
        <w:rPr>
          <w:sz w:val="24"/>
        </w:rPr>
        <w:t xml:space="preserve">No order will be accepted from any person other than the account </w:t>
      </w:r>
      <w:proofErr w:type="gramStart"/>
      <w:r>
        <w:rPr>
          <w:sz w:val="24"/>
        </w:rPr>
        <w:t>owner, unless</w:t>
      </w:r>
      <w:proofErr w:type="gramEnd"/>
      <w:r>
        <w:rPr>
          <w:sz w:val="24"/>
        </w:rPr>
        <w:t xml:space="preserve"> an acceptable power of attorney is on file.   All customer orders must contain the customer's name. Any change in the name or investment objective of an account shall be approved in writing by a Principal (this can be accomplished by completing a new</w:t>
      </w:r>
      <w:r w:rsidR="00DD65C9">
        <w:rPr>
          <w:sz w:val="24"/>
        </w:rPr>
        <w:t>,</w:t>
      </w:r>
      <w:r>
        <w:rPr>
          <w:sz w:val="24"/>
        </w:rPr>
        <w:t xml:space="preserve"> New Account form and providing a copy to the customer).  Starting January 9, 2006, a letter must be sent to the customer for verification if a copy of the new</w:t>
      </w:r>
      <w:r w:rsidR="00DD65C9">
        <w:rPr>
          <w:sz w:val="24"/>
        </w:rPr>
        <w:t>,</w:t>
      </w:r>
      <w:r>
        <w:rPr>
          <w:sz w:val="24"/>
        </w:rPr>
        <w:t xml:space="preserve"> New Account form is not provided.  All customer orders for a new account of </w:t>
      </w:r>
      <w:r w:rsidR="000120ED">
        <w:rPr>
          <w:sz w:val="24"/>
        </w:rPr>
        <w:t>the Company</w:t>
      </w:r>
      <w:r>
        <w:rPr>
          <w:sz w:val="24"/>
        </w:rPr>
        <w:t xml:space="preserve"> must be accompanied by a completed New Account Form, a customer order ticket/subscription agreement and payment from the customer for such transaction</w:t>
      </w:r>
      <w:r w:rsidR="003D0986">
        <w:rPr>
          <w:sz w:val="24"/>
        </w:rPr>
        <w:t>.</w:t>
      </w:r>
    </w:p>
    <w:p w14:paraId="098D90E6" w14:textId="77777777" w:rsidR="003D0986" w:rsidRDefault="003D0986" w:rsidP="003D0986">
      <w:pPr>
        <w:jc w:val="both"/>
        <w:rPr>
          <w:sz w:val="24"/>
        </w:rPr>
      </w:pPr>
    </w:p>
    <w:p w14:paraId="16FC7766" w14:textId="77777777" w:rsidR="003D0986" w:rsidRDefault="001C57AD" w:rsidP="001A7509">
      <w:pPr>
        <w:pStyle w:val="Heading3"/>
      </w:pPr>
      <w:r>
        <w:t xml:space="preserve">8.4.1 </w:t>
      </w:r>
      <w:r w:rsidR="003D0986">
        <w:t>Order Process</w:t>
      </w:r>
      <w:r w:rsidR="003D0986" w:rsidRPr="003D0986">
        <w:t>:</w:t>
      </w:r>
    </w:p>
    <w:p w14:paraId="6E7D49D9" w14:textId="77777777" w:rsidR="0073330D" w:rsidRDefault="0073330D" w:rsidP="0073330D"/>
    <w:p w14:paraId="5786FE75" w14:textId="2FAB2F96" w:rsidR="0073330D" w:rsidRDefault="0073330D" w:rsidP="003E7B18">
      <w:pPr>
        <w:numPr>
          <w:ilvl w:val="0"/>
          <w:numId w:val="223"/>
        </w:numPr>
        <w:rPr>
          <w:sz w:val="24"/>
          <w:szCs w:val="24"/>
        </w:rPr>
      </w:pPr>
      <w:r w:rsidRPr="0073330D">
        <w:rPr>
          <w:sz w:val="24"/>
          <w:szCs w:val="24"/>
        </w:rPr>
        <w:t xml:space="preserve">Either </w:t>
      </w:r>
      <w:r>
        <w:rPr>
          <w:sz w:val="24"/>
          <w:szCs w:val="24"/>
        </w:rPr>
        <w:t xml:space="preserve">complete a written ticket or input same information into </w:t>
      </w:r>
      <w:r w:rsidR="00443462" w:rsidRPr="004E5448">
        <w:rPr>
          <w:sz w:val="24"/>
          <w:szCs w:val="24"/>
        </w:rPr>
        <w:t>HTS</w:t>
      </w:r>
      <w:r w:rsidR="00443462">
        <w:rPr>
          <w:sz w:val="24"/>
          <w:szCs w:val="24"/>
        </w:rPr>
        <w:t xml:space="preserve"> </w:t>
      </w:r>
      <w:r w:rsidR="0086379E">
        <w:rPr>
          <w:sz w:val="24"/>
          <w:szCs w:val="24"/>
        </w:rPr>
        <w:t>back-office</w:t>
      </w:r>
      <w:r>
        <w:rPr>
          <w:sz w:val="24"/>
          <w:szCs w:val="24"/>
        </w:rPr>
        <w:t xml:space="preserve"> system, for blotter and recordkeeping purposes (which must contain the same information as number 2 below.</w:t>
      </w:r>
    </w:p>
    <w:p w14:paraId="70DCB108" w14:textId="11D8E3B7" w:rsidR="0073330D" w:rsidRPr="00151877" w:rsidRDefault="0073330D" w:rsidP="003E7B18">
      <w:pPr>
        <w:numPr>
          <w:ilvl w:val="0"/>
          <w:numId w:val="223"/>
        </w:numPr>
        <w:rPr>
          <w:sz w:val="24"/>
          <w:szCs w:val="24"/>
        </w:rPr>
      </w:pPr>
      <w:r>
        <w:rPr>
          <w:sz w:val="24"/>
          <w:szCs w:val="24"/>
        </w:rPr>
        <w:t xml:space="preserve">If a manual ticket </w:t>
      </w:r>
      <w:r>
        <w:rPr>
          <w:sz w:val="24"/>
        </w:rPr>
        <w:t>is written, review ticket for completeness (including but not limited to type of transactions {long/short/buy/sell, etc</w:t>
      </w:r>
      <w:r w:rsidR="00523D2E">
        <w:rPr>
          <w:sz w:val="24"/>
        </w:rPr>
        <w:t>.</w:t>
      </w:r>
      <w:r>
        <w:rPr>
          <w:sz w:val="24"/>
        </w:rPr>
        <w:t xml:space="preserve">}, time and date stamps if not input directly into </w:t>
      </w:r>
      <w:r w:rsidR="005B5950" w:rsidRPr="004E5448">
        <w:rPr>
          <w:sz w:val="24"/>
        </w:rPr>
        <w:t>HT</w:t>
      </w:r>
      <w:r w:rsidRPr="004E5448">
        <w:rPr>
          <w:sz w:val="24"/>
        </w:rPr>
        <w:t>S</w:t>
      </w:r>
      <w:r>
        <w:rPr>
          <w:sz w:val="24"/>
        </w:rPr>
        <w:t>, solicited/unsolicited, marked for principal/agency), customer account name or designation. Have principal or compliance dep</w:t>
      </w:r>
      <w:r w:rsidR="00D635E8">
        <w:rPr>
          <w:sz w:val="24"/>
        </w:rPr>
        <w:t>ar</w:t>
      </w:r>
      <w:r>
        <w:rPr>
          <w:sz w:val="24"/>
        </w:rPr>
        <w:t>t</w:t>
      </w:r>
      <w:r w:rsidR="00D635E8">
        <w:rPr>
          <w:sz w:val="24"/>
        </w:rPr>
        <w:t>ment</w:t>
      </w:r>
      <w:r>
        <w:rPr>
          <w:sz w:val="24"/>
        </w:rPr>
        <w:t xml:space="preserve"> designee (</w:t>
      </w:r>
      <w:r w:rsidR="00486F14" w:rsidRPr="00523D2E">
        <w:rPr>
          <w:sz w:val="24"/>
        </w:rPr>
        <w:t xml:space="preserve">Morris Monroe, Laura </w:t>
      </w:r>
      <w:r w:rsidR="00486F14" w:rsidRPr="00523D2E">
        <w:rPr>
          <w:sz w:val="24"/>
        </w:rPr>
        <w:lastRenderedPageBreak/>
        <w:t xml:space="preserve">Hendricks, </w:t>
      </w:r>
      <w:r w:rsidR="0086379E" w:rsidRPr="00523D2E">
        <w:rPr>
          <w:sz w:val="24"/>
        </w:rPr>
        <w:t>back-office</w:t>
      </w:r>
      <w:r w:rsidR="00486F14" w:rsidRPr="00523D2E">
        <w:rPr>
          <w:sz w:val="24"/>
        </w:rPr>
        <w:t xml:space="preserve"> personnel</w:t>
      </w:r>
      <w:r w:rsidR="00A913C3" w:rsidRPr="00523D2E">
        <w:rPr>
          <w:sz w:val="24"/>
        </w:rPr>
        <w:t xml:space="preserve"> </w:t>
      </w:r>
      <w:r>
        <w:rPr>
          <w:sz w:val="24"/>
        </w:rPr>
        <w:t>in home office) review ticket.</w:t>
      </w:r>
      <w:r w:rsidR="00A913C3">
        <w:rPr>
          <w:sz w:val="24"/>
        </w:rPr>
        <w:t xml:space="preserve">  </w:t>
      </w:r>
      <w:r w:rsidR="00A913C3" w:rsidRPr="00151877">
        <w:rPr>
          <w:sz w:val="24"/>
        </w:rPr>
        <w:t xml:space="preserve">Time stamp </w:t>
      </w:r>
      <w:r w:rsidR="00D635E8" w:rsidRPr="00151877">
        <w:rPr>
          <w:sz w:val="24"/>
        </w:rPr>
        <w:t xml:space="preserve">paper </w:t>
      </w:r>
      <w:r w:rsidR="00A913C3" w:rsidRPr="00151877">
        <w:rPr>
          <w:sz w:val="24"/>
        </w:rPr>
        <w:t>ticket upon completion of order.</w:t>
      </w:r>
    </w:p>
    <w:p w14:paraId="5D807AA3" w14:textId="77777777" w:rsidR="0073330D" w:rsidRPr="0073330D" w:rsidRDefault="0073330D" w:rsidP="003E7B18">
      <w:pPr>
        <w:numPr>
          <w:ilvl w:val="0"/>
          <w:numId w:val="223"/>
        </w:numPr>
        <w:rPr>
          <w:sz w:val="24"/>
          <w:szCs w:val="24"/>
        </w:rPr>
      </w:pPr>
      <w:r>
        <w:rPr>
          <w:sz w:val="24"/>
        </w:rPr>
        <w:t>Maintain ticket until ticket report is generated (usually printed every two weeks or monthly).  Have principal approve ticket report.</w:t>
      </w:r>
    </w:p>
    <w:p w14:paraId="24EDAD70" w14:textId="49A970DC" w:rsidR="0073330D" w:rsidRPr="00BE01FA" w:rsidRDefault="0073330D" w:rsidP="003E7B18">
      <w:pPr>
        <w:numPr>
          <w:ilvl w:val="0"/>
          <w:numId w:val="223"/>
        </w:numPr>
        <w:rPr>
          <w:sz w:val="24"/>
          <w:szCs w:val="24"/>
        </w:rPr>
      </w:pPr>
      <w:r>
        <w:rPr>
          <w:sz w:val="24"/>
        </w:rPr>
        <w:t xml:space="preserve">All orders input into </w:t>
      </w:r>
      <w:r w:rsidR="005B5950">
        <w:rPr>
          <w:sz w:val="24"/>
        </w:rPr>
        <w:t>HT</w:t>
      </w:r>
      <w:r>
        <w:rPr>
          <w:sz w:val="24"/>
        </w:rPr>
        <w:t xml:space="preserve">S system unless have to be called in or emailed to </w:t>
      </w:r>
      <w:r w:rsidR="00361E0C" w:rsidRPr="00BE01FA">
        <w:rPr>
          <w:sz w:val="24"/>
        </w:rPr>
        <w:t>HTS</w:t>
      </w:r>
      <w:r w:rsidRPr="00BE01FA">
        <w:rPr>
          <w:sz w:val="24"/>
        </w:rPr>
        <w:t>.</w:t>
      </w:r>
    </w:p>
    <w:p w14:paraId="4D235C95" w14:textId="42FF1F77" w:rsidR="0073330D" w:rsidRPr="0073330D" w:rsidRDefault="00523D2E" w:rsidP="003E7B18">
      <w:pPr>
        <w:numPr>
          <w:ilvl w:val="0"/>
          <w:numId w:val="223"/>
        </w:numPr>
        <w:rPr>
          <w:sz w:val="24"/>
          <w:szCs w:val="24"/>
        </w:rPr>
      </w:pPr>
      <w:r>
        <w:rPr>
          <w:sz w:val="24"/>
        </w:rPr>
        <w:t>O</w:t>
      </w:r>
      <w:r w:rsidR="0073330D" w:rsidRPr="00BE01FA">
        <w:rPr>
          <w:sz w:val="24"/>
        </w:rPr>
        <w:t xml:space="preserve">rders that are reportable to RTRS must be processed by the home office trading desk or Morris Monroe.   TRACE and RTRS orders must be entered into </w:t>
      </w:r>
      <w:r w:rsidR="005B5950" w:rsidRPr="004E5448">
        <w:rPr>
          <w:sz w:val="24"/>
        </w:rPr>
        <w:t>HT</w:t>
      </w:r>
      <w:r w:rsidR="0073330D" w:rsidRPr="00BE01FA">
        <w:rPr>
          <w:sz w:val="24"/>
        </w:rPr>
        <w:t xml:space="preserve">S Trade Entry module unless confirmed with </w:t>
      </w:r>
      <w:r w:rsidR="00361E0C" w:rsidRPr="00BE01FA">
        <w:rPr>
          <w:sz w:val="24"/>
        </w:rPr>
        <w:t>HTS</w:t>
      </w:r>
      <w:r w:rsidR="0073330D" w:rsidRPr="00BE01FA">
        <w:rPr>
          <w:sz w:val="24"/>
        </w:rPr>
        <w:t xml:space="preserve"> trading desk that they will process trade when they are the dealer</w:t>
      </w:r>
      <w:r w:rsidR="0073330D" w:rsidRPr="00BE01FA">
        <w:t xml:space="preserve"> </w:t>
      </w:r>
      <w:r w:rsidR="0073330D" w:rsidRPr="00BE01FA">
        <w:rPr>
          <w:sz w:val="24"/>
        </w:rPr>
        <w:t>(o</w:t>
      </w:r>
      <w:r w:rsidR="00820AF0">
        <w:rPr>
          <w:sz w:val="24"/>
        </w:rPr>
        <w:t>r</w:t>
      </w:r>
      <w:r w:rsidR="0073330D" w:rsidRPr="00BE01FA">
        <w:rPr>
          <w:sz w:val="24"/>
        </w:rPr>
        <w:t xml:space="preserve"> emailed </w:t>
      </w:r>
      <w:r w:rsidR="0073330D" w:rsidRPr="00BE01FA">
        <w:rPr>
          <w:sz w:val="24"/>
          <w:szCs w:val="24"/>
        </w:rPr>
        <w:t xml:space="preserve">to P&amp;S at </w:t>
      </w:r>
      <w:r w:rsidR="00361E0C" w:rsidRPr="00BE01FA">
        <w:rPr>
          <w:sz w:val="24"/>
          <w:szCs w:val="24"/>
        </w:rPr>
        <w:t>HT</w:t>
      </w:r>
      <w:r w:rsidR="0073330D" w:rsidRPr="00BE01FA">
        <w:rPr>
          <w:sz w:val="24"/>
          <w:szCs w:val="24"/>
        </w:rPr>
        <w:t xml:space="preserve">S </w:t>
      </w:r>
      <w:r w:rsidR="00820AF0">
        <w:rPr>
          <w:sz w:val="24"/>
          <w:szCs w:val="24"/>
        </w:rPr>
        <w:t>if</w:t>
      </w:r>
      <w:r w:rsidR="0073330D" w:rsidRPr="008528EC">
        <w:rPr>
          <w:sz w:val="24"/>
          <w:szCs w:val="24"/>
        </w:rPr>
        <w:t xml:space="preserve"> experiencing Company system technical problems) and reported in </w:t>
      </w:r>
      <w:r w:rsidR="0073330D" w:rsidRPr="008528EC">
        <w:rPr>
          <w:b/>
          <w:sz w:val="24"/>
          <w:szCs w:val="24"/>
          <w:u w:val="single"/>
        </w:rPr>
        <w:t>Eastern</w:t>
      </w:r>
      <w:r w:rsidR="0073330D">
        <w:rPr>
          <w:b/>
          <w:sz w:val="24"/>
          <w:u w:val="single"/>
        </w:rPr>
        <w:t xml:space="preserve"> Standard Time</w:t>
      </w:r>
      <w:r w:rsidR="0073330D">
        <w:rPr>
          <w:b/>
          <w:sz w:val="24"/>
        </w:rPr>
        <w:t>.</w:t>
      </w:r>
      <w:r w:rsidR="0073330D">
        <w:rPr>
          <w:sz w:val="24"/>
        </w:rPr>
        <w:t xml:space="preserve"> (All other trades are automatically captured in EST in </w:t>
      </w:r>
      <w:r w:rsidR="005B5950" w:rsidRPr="004E5448">
        <w:rPr>
          <w:sz w:val="24"/>
        </w:rPr>
        <w:t>HT</w:t>
      </w:r>
      <w:r w:rsidR="0073330D" w:rsidRPr="004E5448">
        <w:rPr>
          <w:sz w:val="24"/>
        </w:rPr>
        <w:t xml:space="preserve">S when entered into </w:t>
      </w:r>
      <w:r w:rsidR="005B5950" w:rsidRPr="004E5448">
        <w:rPr>
          <w:sz w:val="24"/>
        </w:rPr>
        <w:t>HT</w:t>
      </w:r>
      <w:r w:rsidR="0073330D" w:rsidRPr="004E5448">
        <w:rPr>
          <w:sz w:val="24"/>
        </w:rPr>
        <w:t xml:space="preserve">S </w:t>
      </w:r>
      <w:r w:rsidR="0073330D">
        <w:rPr>
          <w:sz w:val="24"/>
        </w:rPr>
        <w:t>Order Entry module).  Any trades not executed through the home office or OSJ will be reviewed on an individual basis and to determine if any internal disciplinary actions are warranted.</w:t>
      </w:r>
    </w:p>
    <w:p w14:paraId="60A39120" w14:textId="77777777" w:rsidR="0073330D" w:rsidRPr="0073330D" w:rsidRDefault="0073330D" w:rsidP="003E7B18">
      <w:pPr>
        <w:numPr>
          <w:ilvl w:val="0"/>
          <w:numId w:val="223"/>
        </w:numPr>
        <w:rPr>
          <w:sz w:val="24"/>
          <w:szCs w:val="24"/>
        </w:rPr>
      </w:pPr>
      <w:r>
        <w:rPr>
          <w:sz w:val="24"/>
        </w:rPr>
        <w:t xml:space="preserve">Open orders recapped with registered representative and trading </w:t>
      </w:r>
      <w:r w:rsidR="00820A12" w:rsidRPr="00472765">
        <w:rPr>
          <w:sz w:val="24"/>
        </w:rPr>
        <w:t>prior to expiration</w:t>
      </w:r>
      <w:r w:rsidR="00820A12">
        <w:rPr>
          <w:sz w:val="24"/>
        </w:rPr>
        <w:t>.</w:t>
      </w:r>
    </w:p>
    <w:p w14:paraId="7E036006" w14:textId="77777777" w:rsidR="0073330D" w:rsidRDefault="0073330D" w:rsidP="0073330D"/>
    <w:p w14:paraId="6287B97E" w14:textId="7E4942E6" w:rsidR="003D0986" w:rsidRDefault="003D0986" w:rsidP="0073330D">
      <w:pPr>
        <w:autoSpaceDE w:val="0"/>
        <w:autoSpaceDN w:val="0"/>
        <w:adjustRightInd w:val="0"/>
        <w:ind w:left="270"/>
        <w:jc w:val="both"/>
        <w:rPr>
          <w:color w:val="000000"/>
          <w:sz w:val="24"/>
        </w:rPr>
      </w:pPr>
      <w:r>
        <w:rPr>
          <w:sz w:val="24"/>
        </w:rPr>
        <w:t xml:space="preserve">Pursuant to Rule 3110(d), </w:t>
      </w:r>
      <w:r>
        <w:rPr>
          <w:color w:val="231F20"/>
          <w:sz w:val="24"/>
        </w:rPr>
        <w:t xml:space="preserve">before a customer order is executed, the account name or designation must be placed upon the memorandum or contained in the </w:t>
      </w:r>
      <w:r w:rsidR="005B5950" w:rsidRPr="004E5448">
        <w:rPr>
          <w:sz w:val="24"/>
        </w:rPr>
        <w:t>HT</w:t>
      </w:r>
      <w:r>
        <w:rPr>
          <w:color w:val="231F20"/>
          <w:sz w:val="24"/>
        </w:rPr>
        <w:t>S system for each transaction. In addition, only a principal may approve any changes in account names or designations. The principal also must document the essential facts relied upon in approving the changes and maintain the record in a central location. The Company shall preserve any account designation change documentation for a period of not less than three years, with the documentation preserved for the first two years in an easily accessible place, as the term “easily accessible place” is used in SEC Rule 17a-4.</w:t>
      </w:r>
    </w:p>
    <w:p w14:paraId="0BE40599" w14:textId="77777777" w:rsidR="003D0986" w:rsidRDefault="003D0986"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45B7647F" w14:textId="77777777" w:rsidR="003D0986" w:rsidRDefault="003D0986" w:rsidP="001A7509">
      <w:pPr>
        <w:pStyle w:val="Heading3"/>
      </w:pPr>
      <w:r w:rsidRPr="003D0986">
        <w:t>8.4.2 Order Review</w:t>
      </w:r>
    </w:p>
    <w:p w14:paraId="27973288" w14:textId="77777777" w:rsidR="00813412" w:rsidRDefault="00813412" w:rsidP="00813412"/>
    <w:p w14:paraId="6E7A4F70" w14:textId="458E35E1" w:rsidR="00813412" w:rsidRPr="00BE01FA" w:rsidRDefault="00813412" w:rsidP="003E7B18">
      <w:pPr>
        <w:numPr>
          <w:ilvl w:val="0"/>
          <w:numId w:val="224"/>
        </w:numPr>
        <w:ind w:left="900" w:hanging="270"/>
      </w:pPr>
      <w:r>
        <w:rPr>
          <w:sz w:val="24"/>
        </w:rPr>
        <w:t xml:space="preserve">Orders are verified in </w:t>
      </w:r>
      <w:r w:rsidR="00B83E70" w:rsidRPr="00BE01FA">
        <w:rPr>
          <w:sz w:val="24"/>
        </w:rPr>
        <w:t>HTS</w:t>
      </w:r>
      <w:r w:rsidRPr="00BE01FA">
        <w:rPr>
          <w:sz w:val="24"/>
        </w:rPr>
        <w:t xml:space="preserve"> customer accounts by Trading Dept</w:t>
      </w:r>
      <w:r w:rsidR="005B5950">
        <w:rPr>
          <w:sz w:val="24"/>
        </w:rPr>
        <w:t xml:space="preserve"> </w:t>
      </w:r>
      <w:r w:rsidR="005B5950" w:rsidRPr="004E5448">
        <w:rPr>
          <w:sz w:val="24"/>
        </w:rPr>
        <w:t>or back office</w:t>
      </w:r>
      <w:r w:rsidRPr="00BE01FA">
        <w:rPr>
          <w:sz w:val="24"/>
        </w:rPr>
        <w:t>.</w:t>
      </w:r>
    </w:p>
    <w:p w14:paraId="65467931" w14:textId="0211B413" w:rsidR="00813412" w:rsidRPr="00BE01FA" w:rsidRDefault="00813412" w:rsidP="003E7B18">
      <w:pPr>
        <w:numPr>
          <w:ilvl w:val="0"/>
          <w:numId w:val="224"/>
        </w:numPr>
        <w:ind w:left="900" w:hanging="270"/>
      </w:pPr>
      <w:r w:rsidRPr="00BE01FA">
        <w:t xml:space="preserve"> </w:t>
      </w:r>
      <w:r w:rsidRPr="00BE01FA">
        <w:rPr>
          <w:sz w:val="24"/>
        </w:rPr>
        <w:t xml:space="preserve">Next day, each trade is compared with confirmation report from </w:t>
      </w:r>
      <w:r w:rsidR="00B83E70" w:rsidRPr="00BE01FA">
        <w:rPr>
          <w:sz w:val="24"/>
        </w:rPr>
        <w:t>HT</w:t>
      </w:r>
      <w:r w:rsidRPr="00BE01FA">
        <w:rPr>
          <w:sz w:val="24"/>
        </w:rPr>
        <w:t>S for execution information (any discrepancy must be worked out with the clearing firm right away</w:t>
      </w:r>
      <w:r w:rsidR="005B5950" w:rsidRPr="00BE01FA">
        <w:rPr>
          <w:sz w:val="24"/>
        </w:rPr>
        <w:t>) and</w:t>
      </w:r>
      <w:r w:rsidRPr="00BE01FA">
        <w:rPr>
          <w:sz w:val="24"/>
        </w:rPr>
        <w:t xml:space="preserve"> notify principal of any short sales on </w:t>
      </w:r>
      <w:r w:rsidR="00DD65C9" w:rsidRPr="00BE01FA">
        <w:rPr>
          <w:sz w:val="24"/>
        </w:rPr>
        <w:t>non-margin</w:t>
      </w:r>
      <w:r w:rsidRPr="00BE01FA">
        <w:rPr>
          <w:sz w:val="24"/>
        </w:rPr>
        <w:t xml:space="preserve"> stocks.</w:t>
      </w:r>
    </w:p>
    <w:p w14:paraId="5BA4303B" w14:textId="77777777" w:rsidR="00813412" w:rsidRPr="00BE01FA" w:rsidRDefault="00813412" w:rsidP="003E7B18">
      <w:pPr>
        <w:numPr>
          <w:ilvl w:val="0"/>
          <w:numId w:val="224"/>
        </w:numPr>
        <w:ind w:left="900" w:hanging="270"/>
      </w:pPr>
      <w:r w:rsidRPr="00BE01FA">
        <w:rPr>
          <w:sz w:val="24"/>
        </w:rPr>
        <w:t xml:space="preserve"> DK's must be handled immediately (call contra side and speak to original contact noting important points in conversation on trade ticket).</w:t>
      </w:r>
    </w:p>
    <w:p w14:paraId="44DB22B2" w14:textId="77777777" w:rsidR="003D0986" w:rsidRPr="00813412" w:rsidRDefault="00E0298F" w:rsidP="003E7B18">
      <w:pPr>
        <w:numPr>
          <w:ilvl w:val="0"/>
          <w:numId w:val="224"/>
        </w:numPr>
        <w:spacing w:line="240" w:lineRule="exact"/>
        <w:ind w:left="900" w:hanging="270"/>
        <w:jc w:val="both"/>
        <w:rPr>
          <w:sz w:val="24"/>
        </w:rPr>
      </w:pPr>
      <w:r w:rsidRPr="00BE01FA">
        <w:rPr>
          <w:sz w:val="24"/>
        </w:rPr>
        <w:t xml:space="preserve"> Trade</w:t>
      </w:r>
      <w:r>
        <w:rPr>
          <w:sz w:val="24"/>
        </w:rPr>
        <w:t xml:space="preserve"> </w:t>
      </w:r>
      <w:r w:rsidR="00813412" w:rsidRPr="00813412">
        <w:rPr>
          <w:sz w:val="24"/>
        </w:rPr>
        <w:t>Blotters are reviewed by Compliance or designated principals for orders and rule violations.</w:t>
      </w:r>
    </w:p>
    <w:p w14:paraId="25CEE9A5" w14:textId="77777777" w:rsidR="003D0986" w:rsidRDefault="003D0986"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r>
    </w:p>
    <w:p w14:paraId="0DE636C3" w14:textId="77777777" w:rsidR="003D0986" w:rsidRDefault="00F11659" w:rsidP="001A7509">
      <w:pPr>
        <w:pStyle w:val="Heading3"/>
      </w:pPr>
      <w:r>
        <w:t>8.4.3 Extensions</w:t>
      </w:r>
    </w:p>
    <w:p w14:paraId="53CF85D2" w14:textId="77777777" w:rsidR="00813412" w:rsidRDefault="00813412" w:rsidP="0081341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5B4D9EDB" w14:textId="77777777" w:rsidR="003D0986" w:rsidRDefault="003D0986"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1.</w:t>
      </w:r>
      <w:r>
        <w:rPr>
          <w:sz w:val="24"/>
        </w:rPr>
        <w:tab/>
        <w:t>The day prior to extension notify registered representative</w:t>
      </w:r>
      <w:r w:rsidR="00B51ED7">
        <w:rPr>
          <w:sz w:val="24"/>
        </w:rPr>
        <w:t xml:space="preserve"> of the extension.  Have the </w:t>
      </w:r>
      <w:r w:rsidR="00B51ED7">
        <w:rPr>
          <w:sz w:val="24"/>
        </w:rPr>
        <w:tab/>
      </w:r>
      <w:r w:rsidR="00B51ED7">
        <w:rPr>
          <w:sz w:val="24"/>
        </w:rPr>
        <w:tab/>
      </w:r>
      <w:r>
        <w:rPr>
          <w:sz w:val="24"/>
        </w:rPr>
        <w:t>registered representative inform you of status of payment by customer.</w:t>
      </w:r>
    </w:p>
    <w:p w14:paraId="4BD42208" w14:textId="77777777" w:rsidR="003D0986" w:rsidRDefault="003D0986"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jc w:val="both"/>
        <w:rPr>
          <w:sz w:val="24"/>
        </w:rPr>
      </w:pPr>
      <w:r>
        <w:rPr>
          <w:sz w:val="24"/>
        </w:rPr>
        <w:tab/>
        <w:t>2.</w:t>
      </w:r>
      <w:r>
        <w:rPr>
          <w:sz w:val="24"/>
        </w:rPr>
        <w:tab/>
        <w:t>Registered representatives with excessive extensions should be reported immediately to principal for review.</w:t>
      </w:r>
    </w:p>
    <w:p w14:paraId="242A6B05" w14:textId="77777777" w:rsidR="003D0986" w:rsidRPr="00AD2BAC" w:rsidRDefault="003D0986"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b/>
        <w:t>3.</w:t>
      </w:r>
      <w:r>
        <w:rPr>
          <w:sz w:val="24"/>
        </w:rPr>
        <w:tab/>
      </w:r>
      <w:r w:rsidRPr="00AD2BAC">
        <w:rPr>
          <w:sz w:val="24"/>
        </w:rPr>
        <w:t>Emailed Extension requests are kept in Cashiering file.</w:t>
      </w:r>
    </w:p>
    <w:p w14:paraId="0A5857B1" w14:textId="77777777" w:rsidR="00F11659" w:rsidRDefault="00F11659" w:rsidP="00F1165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7A28CF9A" w14:textId="77777777" w:rsidR="003D0986" w:rsidRPr="00AD2BAC" w:rsidRDefault="00F11659" w:rsidP="001A7509">
      <w:pPr>
        <w:pStyle w:val="Heading3"/>
      </w:pPr>
      <w:r>
        <w:t>8.4.4 Margin Accounts</w:t>
      </w:r>
    </w:p>
    <w:p w14:paraId="0AB150E4" w14:textId="77777777" w:rsidR="003D0986" w:rsidRPr="00AD2BAC" w:rsidRDefault="003D0986"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p>
    <w:p w14:paraId="4F78FDBD" w14:textId="77777777" w:rsidR="003D0986" w:rsidRPr="00AD2BAC" w:rsidRDefault="003D0986" w:rsidP="00216F83">
      <w:pPr>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sidRPr="00AD2BAC">
        <w:rPr>
          <w:sz w:val="24"/>
        </w:rPr>
        <w:t xml:space="preserve">A </w:t>
      </w:r>
      <w:r w:rsidR="00B83E70" w:rsidRPr="00BE01FA">
        <w:rPr>
          <w:sz w:val="24"/>
        </w:rPr>
        <w:t>HT</w:t>
      </w:r>
      <w:r w:rsidRPr="00AD2BAC">
        <w:rPr>
          <w:sz w:val="24"/>
        </w:rPr>
        <w:t>S Margin Agreement must be signed by the customer and a copy of the form retained in the customer file;</w:t>
      </w:r>
    </w:p>
    <w:p w14:paraId="6FAB1D5D" w14:textId="77777777" w:rsidR="003D0986" w:rsidRPr="00AF6186" w:rsidRDefault="003D0986" w:rsidP="00216F83">
      <w:pPr>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sidRPr="00AD2BAC">
        <w:rPr>
          <w:sz w:val="24"/>
        </w:rPr>
        <w:t xml:space="preserve">Required margin is set by industry rules and </w:t>
      </w:r>
      <w:r w:rsidR="00B83E70" w:rsidRPr="00AF6186">
        <w:rPr>
          <w:sz w:val="24"/>
        </w:rPr>
        <w:t>HT</w:t>
      </w:r>
      <w:r w:rsidRPr="00AF6186">
        <w:rPr>
          <w:sz w:val="24"/>
        </w:rPr>
        <w:t xml:space="preserve">S.  Margin calls are provided by </w:t>
      </w:r>
      <w:r w:rsidR="00B83E70" w:rsidRPr="00AF6186">
        <w:rPr>
          <w:sz w:val="24"/>
        </w:rPr>
        <w:t>HT</w:t>
      </w:r>
      <w:r w:rsidRPr="00AF6186">
        <w:rPr>
          <w:sz w:val="24"/>
        </w:rPr>
        <w:t>S directly to the customer.  Margin calls may be met by either cash or securities.</w:t>
      </w:r>
    </w:p>
    <w:p w14:paraId="12927399" w14:textId="77777777" w:rsidR="003D0986" w:rsidRPr="00AD2BAC" w:rsidRDefault="003D0986" w:rsidP="00216F83">
      <w:pPr>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sidRPr="00AF6186">
        <w:rPr>
          <w:sz w:val="24"/>
        </w:rPr>
        <w:t xml:space="preserve">Margin excess may be withdrawn or transferred to the SMA account which will result in a debit to the margin account and a credit to the SMA account.  This procedure is </w:t>
      </w:r>
      <w:r w:rsidR="00327E1C" w:rsidRPr="00AF6186">
        <w:rPr>
          <w:sz w:val="24"/>
        </w:rPr>
        <w:t>affected</w:t>
      </w:r>
      <w:r w:rsidRPr="00AF6186">
        <w:rPr>
          <w:sz w:val="24"/>
        </w:rPr>
        <w:t xml:space="preserve"> by </w:t>
      </w:r>
      <w:r w:rsidR="00B83E70" w:rsidRPr="00AF6186">
        <w:rPr>
          <w:sz w:val="24"/>
        </w:rPr>
        <w:t>HT</w:t>
      </w:r>
      <w:r w:rsidRPr="00AD2BAC">
        <w:rPr>
          <w:sz w:val="24"/>
        </w:rPr>
        <w:t>S.</w:t>
      </w:r>
    </w:p>
    <w:p w14:paraId="17695CF9" w14:textId="45B9F97A" w:rsidR="003D0986" w:rsidRPr="00AD2BAC" w:rsidRDefault="003D0986" w:rsidP="00216F83">
      <w:pPr>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sidRPr="00AD2BAC">
        <w:rPr>
          <w:sz w:val="24"/>
        </w:rPr>
        <w:lastRenderedPageBreak/>
        <w:t>Margin calls are emailed to operations contact</w:t>
      </w:r>
      <w:r w:rsidR="00C7041E">
        <w:rPr>
          <w:sz w:val="24"/>
        </w:rPr>
        <w:t>s</w:t>
      </w:r>
      <w:r w:rsidRPr="00AD2BAC">
        <w:rPr>
          <w:sz w:val="24"/>
        </w:rPr>
        <w:t>.  Any requests would be forwarded to the applicable Associated Person and customer for instructions to handle.</w:t>
      </w:r>
    </w:p>
    <w:p w14:paraId="40206C43" w14:textId="77777777" w:rsidR="003D0986" w:rsidRDefault="003D0986"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36E61BD5" w14:textId="77777777" w:rsidR="003D0986" w:rsidRDefault="00F11659" w:rsidP="001A7509">
      <w:pPr>
        <w:pStyle w:val="Heading3"/>
      </w:pPr>
      <w:bookmarkStart w:id="116" w:name="RegT"/>
      <w:bookmarkEnd w:id="116"/>
      <w:r>
        <w:t xml:space="preserve">8.4.5 </w:t>
      </w:r>
      <w:r w:rsidR="003D0986">
        <w:t>Settlement (T+</w:t>
      </w:r>
      <w:r w:rsidR="004D3FE3">
        <w:t>2</w:t>
      </w:r>
      <w:r w:rsidR="003D0986">
        <w:t>)</w:t>
      </w:r>
    </w:p>
    <w:p w14:paraId="34C69DE2" w14:textId="77777777" w:rsidR="003D0986" w:rsidRDefault="003D0986" w:rsidP="003D0986">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42A3C955" w14:textId="77777777" w:rsidR="003D0986" w:rsidRDefault="003D0986" w:rsidP="003D0986">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r>
        <w:rPr>
          <w:sz w:val="24"/>
        </w:rPr>
        <w:t xml:space="preserve">Trades must settle within </w:t>
      </w:r>
      <w:r w:rsidR="004D3FE3" w:rsidRPr="00AF6186">
        <w:rPr>
          <w:sz w:val="24"/>
        </w:rPr>
        <w:t>2</w:t>
      </w:r>
      <w:r w:rsidRPr="00AF6186">
        <w:rPr>
          <w:sz w:val="24"/>
        </w:rPr>
        <w:t xml:space="preserve"> </w:t>
      </w:r>
      <w:r>
        <w:rPr>
          <w:sz w:val="24"/>
        </w:rPr>
        <w:t xml:space="preserve">days of the “trade date.”  </w:t>
      </w:r>
    </w:p>
    <w:p w14:paraId="206FA0BE" w14:textId="77777777" w:rsidR="003D0986" w:rsidRDefault="003D0986" w:rsidP="003D0986">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720"/>
        <w:jc w:val="both"/>
        <w:rPr>
          <w:sz w:val="24"/>
        </w:rPr>
      </w:pPr>
    </w:p>
    <w:p w14:paraId="75764AD9" w14:textId="77777777" w:rsidR="003D0986" w:rsidRDefault="003D0986" w:rsidP="00216F83">
      <w:pPr>
        <w:numPr>
          <w:ilvl w:val="0"/>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Check </w:t>
      </w:r>
      <w:r w:rsidR="000E4285" w:rsidRPr="00AF6186">
        <w:rPr>
          <w:sz w:val="24"/>
        </w:rPr>
        <w:t>HT</w:t>
      </w:r>
      <w:r>
        <w:rPr>
          <w:sz w:val="24"/>
        </w:rPr>
        <w:t>S Requirement Reports daily for securities due and monies due.</w:t>
      </w:r>
    </w:p>
    <w:p w14:paraId="56225F04" w14:textId="77777777" w:rsidR="003D0986" w:rsidRDefault="003D0986" w:rsidP="00216F83">
      <w:pPr>
        <w:numPr>
          <w:ilvl w:val="0"/>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Contact the customer by phone if necessary to inform them of the pending requirement.</w:t>
      </w:r>
    </w:p>
    <w:p w14:paraId="7FA403C7" w14:textId="77777777" w:rsidR="003D0986" w:rsidRDefault="003D0986" w:rsidP="00216F83">
      <w:pPr>
        <w:numPr>
          <w:ilvl w:val="0"/>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Make sure securities/cash are in account on settlement day.</w:t>
      </w:r>
    </w:p>
    <w:p w14:paraId="5231D5A3" w14:textId="77777777" w:rsidR="003D0986" w:rsidRDefault="003D0986" w:rsidP="00216F83">
      <w:pPr>
        <w:numPr>
          <w:ilvl w:val="0"/>
          <w:numId w:val="2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Obtain any extensions if applicable.</w:t>
      </w:r>
    </w:p>
    <w:p w14:paraId="5CDDC13A" w14:textId="77777777" w:rsidR="00DD214E" w:rsidRDefault="00DD214E" w:rsidP="00216F83">
      <w:pPr>
        <w:numPr>
          <w:ilvl w:val="0"/>
          <w:numId w:val="29"/>
        </w:numPr>
        <w:tabs>
          <w:tab w:val="left" w:pos="72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Trading stock prior to payment/settlement:  Client cannot sell stock until it settles but must have money in by purchase side settlement otherwise account will be restricted for 90 days.</w:t>
      </w:r>
    </w:p>
    <w:p w14:paraId="424AC74E" w14:textId="77777777" w:rsidR="00646C31" w:rsidRDefault="00646C31" w:rsidP="00216F83">
      <w:pPr>
        <w:numPr>
          <w:ilvl w:val="0"/>
          <w:numId w:val="29"/>
        </w:numPr>
        <w:tabs>
          <w:tab w:val="left" w:pos="720"/>
          <w:tab w:val="left" w:pos="115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Any extension of credit or Reg T must be approved by Morris Monroe or his Compliance or Trading Department designee with a record maintained in the Operations file.</w:t>
      </w:r>
    </w:p>
    <w:p w14:paraId="49CCD121" w14:textId="77777777" w:rsidR="00DD214E" w:rsidRDefault="00DD214E" w:rsidP="00DD214E">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jc w:val="both"/>
        <w:rPr>
          <w:sz w:val="24"/>
        </w:rPr>
      </w:pPr>
    </w:p>
    <w:p w14:paraId="517FB801" w14:textId="77777777" w:rsidR="003D0986" w:rsidRDefault="00F11659" w:rsidP="001A7509">
      <w:pPr>
        <w:pStyle w:val="Heading3"/>
      </w:pPr>
      <w:r>
        <w:t>8.4.6 Sellouts</w:t>
      </w:r>
    </w:p>
    <w:p w14:paraId="2BC2D01D" w14:textId="77777777" w:rsidR="003D0986" w:rsidRDefault="003D0986"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6BB6A287" w14:textId="77777777" w:rsidR="00F11659" w:rsidRDefault="00F11659"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 xml:space="preserve"> </w:t>
      </w:r>
      <w:r>
        <w:rPr>
          <w:sz w:val="24"/>
        </w:rPr>
        <w:tab/>
        <w:t>If applicable:</w:t>
      </w:r>
    </w:p>
    <w:p w14:paraId="58860582" w14:textId="77777777" w:rsidR="00F11659" w:rsidRDefault="00F11659"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288E3ECB" w14:textId="77777777" w:rsidR="00136223" w:rsidRPr="00C87156" w:rsidRDefault="003D0986" w:rsidP="003E7B18">
      <w:pPr>
        <w:numPr>
          <w:ilvl w:val="0"/>
          <w:numId w:val="218"/>
        </w:numPr>
        <w:tabs>
          <w:tab w:val="left" w:pos="1080"/>
        </w:tabs>
        <w:spacing w:line="240" w:lineRule="exact"/>
        <w:ind w:firstLine="0"/>
        <w:jc w:val="both"/>
        <w:rPr>
          <w:sz w:val="24"/>
        </w:rPr>
      </w:pPr>
      <w:r w:rsidRPr="00C87156">
        <w:rPr>
          <w:sz w:val="24"/>
        </w:rPr>
        <w:t xml:space="preserve">Day prior to sellout, notify registered representative. Have registered representative </w:t>
      </w:r>
      <w:r w:rsidRPr="00C87156">
        <w:rPr>
          <w:sz w:val="24"/>
        </w:rPr>
        <w:tab/>
      </w:r>
      <w:r w:rsidRPr="00C87156">
        <w:rPr>
          <w:sz w:val="24"/>
        </w:rPr>
        <w:tab/>
        <w:t>inform you of status of payment by client.</w:t>
      </w:r>
      <w:r w:rsidR="00136223" w:rsidRPr="00C87156">
        <w:rPr>
          <w:sz w:val="24"/>
        </w:rPr>
        <w:t xml:space="preserve">  </w:t>
      </w:r>
    </w:p>
    <w:p w14:paraId="740BC12B" w14:textId="77777777" w:rsidR="00136223" w:rsidRPr="00C87156" w:rsidRDefault="00136223" w:rsidP="003E7B18">
      <w:pPr>
        <w:numPr>
          <w:ilvl w:val="0"/>
          <w:numId w:val="218"/>
        </w:numPr>
        <w:tabs>
          <w:tab w:val="left" w:pos="1080"/>
        </w:tabs>
        <w:spacing w:line="240" w:lineRule="exact"/>
        <w:ind w:firstLine="0"/>
        <w:jc w:val="both"/>
        <w:rPr>
          <w:sz w:val="24"/>
        </w:rPr>
      </w:pPr>
      <w:r w:rsidRPr="00C87156">
        <w:rPr>
          <w:sz w:val="24"/>
        </w:rPr>
        <w:t>R</w:t>
      </w:r>
      <w:r w:rsidR="003D0986" w:rsidRPr="00C87156">
        <w:rPr>
          <w:sz w:val="24"/>
        </w:rPr>
        <w:t>equest reference number for overnight or incoming wire.</w:t>
      </w:r>
    </w:p>
    <w:p w14:paraId="01FE7D25" w14:textId="77777777" w:rsidR="00136223" w:rsidRPr="00C87156" w:rsidRDefault="003D0986" w:rsidP="003E7B18">
      <w:pPr>
        <w:numPr>
          <w:ilvl w:val="0"/>
          <w:numId w:val="218"/>
        </w:numPr>
        <w:tabs>
          <w:tab w:val="left" w:pos="1080"/>
          <w:tab w:val="left" w:pos="1170"/>
        </w:tabs>
        <w:spacing w:line="240" w:lineRule="exact"/>
        <w:ind w:left="1080"/>
        <w:jc w:val="both"/>
        <w:rPr>
          <w:sz w:val="24"/>
        </w:rPr>
      </w:pPr>
      <w:r w:rsidRPr="00C87156">
        <w:rPr>
          <w:sz w:val="24"/>
        </w:rPr>
        <w:t>If sellout is required, notify registered representative, write up sellout ticket, and notify trading and Morris Monroe.</w:t>
      </w:r>
    </w:p>
    <w:p w14:paraId="1B13A4EC" w14:textId="77777777" w:rsidR="00136223" w:rsidRPr="00C87156" w:rsidRDefault="00136223" w:rsidP="003E7B18">
      <w:pPr>
        <w:numPr>
          <w:ilvl w:val="0"/>
          <w:numId w:val="218"/>
        </w:numPr>
        <w:tabs>
          <w:tab w:val="left" w:pos="1080"/>
          <w:tab w:val="left" w:pos="1170"/>
        </w:tabs>
        <w:spacing w:line="240" w:lineRule="exact"/>
        <w:ind w:left="1080"/>
        <w:rPr>
          <w:sz w:val="24"/>
          <w:szCs w:val="24"/>
        </w:rPr>
      </w:pPr>
      <w:r w:rsidRPr="00C87156">
        <w:rPr>
          <w:sz w:val="24"/>
        </w:rPr>
        <w:t>W</w:t>
      </w:r>
      <w:r w:rsidR="003D0986" w:rsidRPr="00C87156">
        <w:rPr>
          <w:sz w:val="24"/>
        </w:rPr>
        <w:t>hen trading confirms execution of sellout, notify registered representative.</w:t>
      </w:r>
      <w:r w:rsidRPr="00C87156">
        <w:rPr>
          <w:sz w:val="24"/>
        </w:rPr>
        <w:t xml:space="preserve">  </w:t>
      </w:r>
    </w:p>
    <w:p w14:paraId="5BAAB938" w14:textId="77777777" w:rsidR="00136223" w:rsidRPr="00472765" w:rsidRDefault="00136223" w:rsidP="003E7B18">
      <w:pPr>
        <w:numPr>
          <w:ilvl w:val="0"/>
          <w:numId w:val="218"/>
        </w:numPr>
        <w:tabs>
          <w:tab w:val="left" w:pos="1080"/>
        </w:tabs>
        <w:ind w:firstLine="0"/>
        <w:jc w:val="both"/>
        <w:rPr>
          <w:sz w:val="24"/>
          <w:szCs w:val="24"/>
        </w:rPr>
      </w:pPr>
      <w:r w:rsidRPr="00472765">
        <w:rPr>
          <w:sz w:val="24"/>
          <w:szCs w:val="24"/>
        </w:rPr>
        <w:t xml:space="preserve">If the customer does not pay for the trade, sell out the customer's position. </w:t>
      </w:r>
    </w:p>
    <w:p w14:paraId="3F906EC3" w14:textId="77777777" w:rsidR="00136223" w:rsidRPr="00472765" w:rsidRDefault="00136223" w:rsidP="003E7B18">
      <w:pPr>
        <w:numPr>
          <w:ilvl w:val="0"/>
          <w:numId w:val="218"/>
        </w:numPr>
        <w:tabs>
          <w:tab w:val="left" w:pos="1080"/>
        </w:tabs>
        <w:ind w:firstLine="0"/>
        <w:jc w:val="both"/>
        <w:rPr>
          <w:sz w:val="24"/>
          <w:szCs w:val="24"/>
        </w:rPr>
      </w:pPr>
      <w:r w:rsidRPr="00472765">
        <w:rPr>
          <w:sz w:val="24"/>
          <w:szCs w:val="24"/>
        </w:rPr>
        <w:t xml:space="preserve">Remove the transactions from the customer's account through cancel/rebill. </w:t>
      </w:r>
    </w:p>
    <w:p w14:paraId="22F60B61" w14:textId="77777777" w:rsidR="00136223" w:rsidRPr="00472765" w:rsidRDefault="00136223" w:rsidP="003E7B18">
      <w:pPr>
        <w:numPr>
          <w:ilvl w:val="0"/>
          <w:numId w:val="218"/>
        </w:numPr>
        <w:tabs>
          <w:tab w:val="left" w:pos="1080"/>
        </w:tabs>
        <w:ind w:firstLine="0"/>
        <w:jc w:val="both"/>
        <w:rPr>
          <w:sz w:val="24"/>
          <w:szCs w:val="24"/>
        </w:rPr>
      </w:pPr>
      <w:r w:rsidRPr="00472765">
        <w:rPr>
          <w:sz w:val="24"/>
          <w:szCs w:val="24"/>
        </w:rPr>
        <w:t xml:space="preserve">Review the circumstances of the sellout. </w:t>
      </w:r>
    </w:p>
    <w:p w14:paraId="541F483A" w14:textId="77777777" w:rsidR="00136223" w:rsidRPr="00472765" w:rsidRDefault="00136223" w:rsidP="003E7B18">
      <w:pPr>
        <w:numPr>
          <w:ilvl w:val="0"/>
          <w:numId w:val="218"/>
        </w:numPr>
        <w:tabs>
          <w:tab w:val="left" w:pos="1080"/>
        </w:tabs>
        <w:ind w:firstLine="0"/>
        <w:jc w:val="both"/>
        <w:rPr>
          <w:sz w:val="24"/>
          <w:szCs w:val="24"/>
        </w:rPr>
      </w:pPr>
      <w:r w:rsidRPr="00472765">
        <w:rPr>
          <w:sz w:val="24"/>
          <w:szCs w:val="24"/>
        </w:rPr>
        <w:t xml:space="preserve">If there is a loss, charge the RR (unless an exception is warranted). </w:t>
      </w:r>
    </w:p>
    <w:p w14:paraId="4F22B78E" w14:textId="77777777" w:rsidR="00136223" w:rsidRPr="00472765" w:rsidRDefault="00136223" w:rsidP="003E7B18">
      <w:pPr>
        <w:numPr>
          <w:ilvl w:val="0"/>
          <w:numId w:val="218"/>
        </w:numPr>
        <w:tabs>
          <w:tab w:val="left" w:pos="1080"/>
        </w:tabs>
        <w:spacing w:line="240" w:lineRule="exact"/>
        <w:ind w:left="1080"/>
        <w:jc w:val="both"/>
        <w:rPr>
          <w:sz w:val="24"/>
        </w:rPr>
      </w:pPr>
      <w:r w:rsidRPr="00472765">
        <w:rPr>
          <w:sz w:val="24"/>
          <w:szCs w:val="24"/>
        </w:rPr>
        <w:t>Identify patterns of cust</w:t>
      </w:r>
      <w:r w:rsidR="00CA0830" w:rsidRPr="00472765">
        <w:rPr>
          <w:sz w:val="24"/>
          <w:szCs w:val="24"/>
        </w:rPr>
        <w:t>omer reneges which may reflect p</w:t>
      </w:r>
      <w:r w:rsidRPr="00472765">
        <w:rPr>
          <w:sz w:val="24"/>
          <w:szCs w:val="24"/>
        </w:rPr>
        <w:t xml:space="preserve">otential unauthorized transactions </w:t>
      </w:r>
      <w:r w:rsidR="00CA0830" w:rsidRPr="00472765">
        <w:rPr>
          <w:sz w:val="24"/>
          <w:szCs w:val="24"/>
        </w:rPr>
        <w:t>and a</w:t>
      </w:r>
      <w:r w:rsidRPr="00472765">
        <w:rPr>
          <w:sz w:val="24"/>
          <w:szCs w:val="24"/>
        </w:rPr>
        <w:t xml:space="preserve"> customer whose account should be closed. </w:t>
      </w:r>
    </w:p>
    <w:p w14:paraId="01E89E4D" w14:textId="77777777" w:rsidR="00136223" w:rsidRPr="00472765" w:rsidRDefault="00136223" w:rsidP="003E7B18">
      <w:pPr>
        <w:numPr>
          <w:ilvl w:val="0"/>
          <w:numId w:val="218"/>
        </w:numPr>
        <w:tabs>
          <w:tab w:val="left" w:pos="1080"/>
        </w:tabs>
        <w:spacing w:line="240" w:lineRule="exact"/>
        <w:ind w:left="1080"/>
        <w:jc w:val="both"/>
        <w:rPr>
          <w:sz w:val="24"/>
        </w:rPr>
      </w:pPr>
      <w:r w:rsidRPr="00472765">
        <w:rPr>
          <w:sz w:val="24"/>
          <w:szCs w:val="24"/>
        </w:rPr>
        <w:t xml:space="preserve">Take corrective action, if necessary, which may include discussing sellouts with the RR; reviewing new account documentation; contacting the customer; closing the account; contacting Compliance regarding possible disciplinary action against the RR.  </w:t>
      </w:r>
    </w:p>
    <w:p w14:paraId="540DB009" w14:textId="77777777" w:rsidR="003D0986" w:rsidRPr="00A32D35" w:rsidRDefault="003D0986" w:rsidP="003E7B18">
      <w:pPr>
        <w:numPr>
          <w:ilvl w:val="0"/>
          <w:numId w:val="218"/>
        </w:numPr>
        <w:tabs>
          <w:tab w:val="left" w:pos="1080"/>
        </w:tabs>
        <w:spacing w:line="240" w:lineRule="exact"/>
        <w:ind w:left="1080"/>
        <w:jc w:val="both"/>
        <w:rPr>
          <w:sz w:val="24"/>
        </w:rPr>
      </w:pPr>
      <w:r w:rsidRPr="00A32D35">
        <w:rPr>
          <w:sz w:val="24"/>
        </w:rPr>
        <w:t>Excessive registered representative sellouts must be reported to principal.</w:t>
      </w:r>
    </w:p>
    <w:p w14:paraId="2C272EBA" w14:textId="77777777" w:rsidR="003D0986" w:rsidRPr="00472765" w:rsidRDefault="003D0986" w:rsidP="003D0986">
      <w:pPr>
        <w:tabs>
          <w:tab w:val="left" w:pos="720"/>
          <w:tab w:val="left" w:pos="100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76385DCC" w14:textId="77777777" w:rsidR="003D0986" w:rsidRPr="00472765" w:rsidRDefault="001C57AD" w:rsidP="001A7509">
      <w:pPr>
        <w:pStyle w:val="Heading3"/>
      </w:pPr>
      <w:r w:rsidRPr="00472765">
        <w:t xml:space="preserve">8.4.7 </w:t>
      </w:r>
      <w:r w:rsidR="00F11659" w:rsidRPr="00472765">
        <w:t>Commission/Ticket Blotter</w:t>
      </w:r>
    </w:p>
    <w:p w14:paraId="6B735F35" w14:textId="77777777" w:rsidR="003D0986" w:rsidRPr="00472765" w:rsidRDefault="003D0986"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44185716" w14:textId="621BCB15" w:rsidR="00D12768" w:rsidRPr="00472765" w:rsidRDefault="003D0986" w:rsidP="008929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rPr>
          <w:sz w:val="24"/>
        </w:rPr>
      </w:pPr>
      <w:r w:rsidRPr="00472765">
        <w:rPr>
          <w:sz w:val="24"/>
        </w:rPr>
        <w:tab/>
        <w:t>1.</w:t>
      </w:r>
      <w:r w:rsidRPr="00472765">
        <w:rPr>
          <w:sz w:val="24"/>
        </w:rPr>
        <w:tab/>
        <w:t xml:space="preserve">Retail trades for </w:t>
      </w:r>
      <w:r w:rsidR="000E4285" w:rsidRPr="00AF6186">
        <w:rPr>
          <w:sz w:val="24"/>
        </w:rPr>
        <w:t>HTS</w:t>
      </w:r>
      <w:r w:rsidRPr="00AF6186">
        <w:rPr>
          <w:sz w:val="24"/>
        </w:rPr>
        <w:t xml:space="preserve"> are maintained in </w:t>
      </w:r>
      <w:r w:rsidR="002D25AB" w:rsidRPr="004E5448">
        <w:rPr>
          <w:sz w:val="24"/>
        </w:rPr>
        <w:t>HTS</w:t>
      </w:r>
      <w:r w:rsidRPr="00AF6186">
        <w:rPr>
          <w:sz w:val="24"/>
        </w:rPr>
        <w:t xml:space="preserve"> and retrieved for blotter by </w:t>
      </w:r>
      <w:r w:rsidR="00771052" w:rsidRPr="00AF6186">
        <w:rPr>
          <w:sz w:val="24"/>
        </w:rPr>
        <w:t>exporting</w:t>
      </w:r>
      <w:r w:rsidRPr="00AF6186">
        <w:rPr>
          <w:sz w:val="24"/>
        </w:rPr>
        <w:t xml:space="preserve"> information to </w:t>
      </w:r>
      <w:r w:rsidR="00771052" w:rsidRPr="00AF6186">
        <w:rPr>
          <w:sz w:val="24"/>
        </w:rPr>
        <w:t xml:space="preserve">an </w:t>
      </w:r>
      <w:r w:rsidRPr="00AF6186">
        <w:rPr>
          <w:sz w:val="24"/>
        </w:rPr>
        <w:t xml:space="preserve">excel spreadsheet.  </w:t>
      </w:r>
      <w:r w:rsidR="00A32D35" w:rsidRPr="00AF6186">
        <w:rPr>
          <w:sz w:val="24"/>
        </w:rPr>
        <w:t>T</w:t>
      </w:r>
      <w:r w:rsidR="00771052" w:rsidRPr="00AF6186">
        <w:rPr>
          <w:sz w:val="24"/>
        </w:rPr>
        <w:t>rades are reviewed</w:t>
      </w:r>
      <w:r w:rsidRPr="00AF6186">
        <w:rPr>
          <w:sz w:val="24"/>
        </w:rPr>
        <w:t xml:space="preserve"> to compare with confirm reports</w:t>
      </w:r>
      <w:r w:rsidR="00771052" w:rsidRPr="00AF6186">
        <w:rPr>
          <w:sz w:val="24"/>
        </w:rPr>
        <w:t xml:space="preserve"> by Trading Department</w:t>
      </w:r>
      <w:r w:rsidRPr="00AF6186">
        <w:rPr>
          <w:sz w:val="24"/>
        </w:rPr>
        <w:t xml:space="preserve">, prepared monthly for blotter </w:t>
      </w:r>
      <w:r w:rsidR="00771052" w:rsidRPr="00AF6186">
        <w:rPr>
          <w:sz w:val="24"/>
        </w:rPr>
        <w:t xml:space="preserve">and ticket </w:t>
      </w:r>
      <w:r w:rsidRPr="00AF6186">
        <w:rPr>
          <w:sz w:val="24"/>
        </w:rPr>
        <w:t xml:space="preserve">reports.  </w:t>
      </w:r>
      <w:r w:rsidR="00CA0830" w:rsidRPr="00AF6186">
        <w:rPr>
          <w:sz w:val="24"/>
        </w:rPr>
        <w:t xml:space="preserve">In addition, </w:t>
      </w:r>
      <w:r w:rsidR="000E4285" w:rsidRPr="00AF6186">
        <w:rPr>
          <w:sz w:val="24"/>
        </w:rPr>
        <w:t>HT</w:t>
      </w:r>
      <w:r w:rsidR="00CA0830" w:rsidRPr="00AF6186">
        <w:rPr>
          <w:sz w:val="24"/>
        </w:rPr>
        <w:t>S tr</w:t>
      </w:r>
      <w:r w:rsidR="00CA0830" w:rsidRPr="00472765">
        <w:rPr>
          <w:sz w:val="24"/>
        </w:rPr>
        <w:t>ades are downloaded into WinOps and part of all trading reports.</w:t>
      </w:r>
    </w:p>
    <w:p w14:paraId="74D1B0F2" w14:textId="77777777" w:rsidR="003D0986" w:rsidRDefault="003D0986" w:rsidP="008929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rPr>
          <w:sz w:val="24"/>
        </w:rPr>
      </w:pPr>
      <w:r w:rsidRPr="00472765">
        <w:rPr>
          <w:sz w:val="24"/>
        </w:rPr>
        <w:tab/>
        <w:t>2.</w:t>
      </w:r>
      <w:r w:rsidRPr="00472765">
        <w:rPr>
          <w:sz w:val="24"/>
        </w:rPr>
        <w:tab/>
        <w:t xml:space="preserve">Close out </w:t>
      </w:r>
      <w:r w:rsidR="00F11659" w:rsidRPr="00472765">
        <w:rPr>
          <w:sz w:val="24"/>
        </w:rPr>
        <w:t xml:space="preserve">commission period </w:t>
      </w:r>
      <w:r w:rsidRPr="00472765">
        <w:rPr>
          <w:sz w:val="24"/>
        </w:rPr>
        <w:t>at end of month (settlement day is last Friday of the</w:t>
      </w:r>
      <w:r>
        <w:rPr>
          <w:sz w:val="24"/>
        </w:rPr>
        <w:t xml:space="preserve"> month).</w:t>
      </w:r>
    </w:p>
    <w:p w14:paraId="2B7E1878" w14:textId="77777777" w:rsidR="003D0986" w:rsidRDefault="003D0986" w:rsidP="008929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rPr>
          <w:sz w:val="24"/>
        </w:rPr>
      </w:pPr>
      <w:r>
        <w:rPr>
          <w:sz w:val="24"/>
        </w:rPr>
        <w:tab/>
        <w:t>3.</w:t>
      </w:r>
      <w:r>
        <w:rPr>
          <w:sz w:val="24"/>
        </w:rPr>
        <w:tab/>
        <w:t>Ticket Blotter reviewed by principal each month.</w:t>
      </w:r>
    </w:p>
    <w:p w14:paraId="1F7D8472" w14:textId="77777777" w:rsidR="003D0986" w:rsidRDefault="003D0986" w:rsidP="008929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rPr>
          <w:sz w:val="24"/>
        </w:rPr>
      </w:pPr>
    </w:p>
    <w:p w14:paraId="2D4EBC84" w14:textId="77777777" w:rsidR="003D0986" w:rsidRDefault="001C57AD" w:rsidP="0089290F">
      <w:pPr>
        <w:pStyle w:val="Heading3"/>
        <w:jc w:val="left"/>
      </w:pPr>
      <w:r>
        <w:t xml:space="preserve">8.4.8 </w:t>
      </w:r>
      <w:r w:rsidR="003D0986">
        <w:t>Compliance/AML/Exception Reports</w:t>
      </w:r>
    </w:p>
    <w:p w14:paraId="40A2E926" w14:textId="77777777" w:rsidR="003D0986" w:rsidRDefault="003D0986" w:rsidP="003D09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p>
    <w:p w14:paraId="44D71E70" w14:textId="77777777" w:rsidR="003D0986" w:rsidRDefault="003D0986" w:rsidP="003D0986">
      <w:pPr>
        <w:tabs>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jc w:val="both"/>
        <w:rPr>
          <w:sz w:val="24"/>
        </w:rPr>
      </w:pPr>
      <w:r>
        <w:rPr>
          <w:sz w:val="24"/>
        </w:rPr>
        <w:t xml:space="preserve">Back Office </w:t>
      </w:r>
      <w:r w:rsidR="00AB24AF">
        <w:rPr>
          <w:sz w:val="24"/>
        </w:rPr>
        <w:t xml:space="preserve">and/or Compliance </w:t>
      </w:r>
      <w:r>
        <w:rPr>
          <w:sz w:val="24"/>
        </w:rPr>
        <w:t xml:space="preserve">personnel are responsible for reviewing reports.  </w:t>
      </w:r>
    </w:p>
    <w:p w14:paraId="0BB77B0B" w14:textId="77777777" w:rsidR="003D0986" w:rsidRDefault="003D0986" w:rsidP="00C1728B">
      <w:pPr>
        <w:numPr>
          <w:ilvl w:val="1"/>
          <w:numId w:val="7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rPr>
          <w:sz w:val="24"/>
        </w:rPr>
      </w:pPr>
      <w:r>
        <w:rPr>
          <w:sz w:val="24"/>
        </w:rPr>
        <w:t>Any problems/issues bring to the attention of the Principal</w:t>
      </w:r>
    </w:p>
    <w:p w14:paraId="18F80BFF" w14:textId="77777777" w:rsidR="006C646E" w:rsidRDefault="003D0986" w:rsidP="00C1728B">
      <w:pPr>
        <w:pStyle w:val="BodyTextIndent3"/>
        <w:numPr>
          <w:ilvl w:val="1"/>
          <w:numId w:val="7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before="0" w:after="0" w:line="240" w:lineRule="exact"/>
      </w:pPr>
      <w:r>
        <w:lastRenderedPageBreak/>
        <w:t xml:space="preserve">Any problems/issues will be documented in the operations file with any supporting documentation and principal review.  </w:t>
      </w:r>
    </w:p>
    <w:p w14:paraId="7EF0F58C" w14:textId="77777777" w:rsidR="002E4091" w:rsidRPr="00C35790" w:rsidRDefault="002E4091" w:rsidP="00F53963">
      <w:pPr>
        <w:pStyle w:val="BodyTextIndent3"/>
        <w:numPr>
          <w:ilvl w:val="1"/>
          <w:numId w:val="7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before="0" w:after="0" w:line="240" w:lineRule="exact"/>
      </w:pPr>
      <w:r w:rsidRPr="00C35790">
        <w:t>Clearing firm annual notice is provided by July 31 of each year.  The report will be reviewed by Compliance and contact the clearing firm regarding any changes to the list of reports currently received.  Company maintains certain reports provided as part of its records and review.</w:t>
      </w:r>
    </w:p>
    <w:p w14:paraId="7D08F9BC" w14:textId="77777777" w:rsidR="006C646E" w:rsidRDefault="006C646E" w:rsidP="006C646E">
      <w:pPr>
        <w:pStyle w:val="BodyTextIndent3"/>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before="0" w:after="0" w:line="240" w:lineRule="exact"/>
        <w:ind w:left="1440"/>
      </w:pPr>
    </w:p>
    <w:p w14:paraId="5C61A77E" w14:textId="77777777" w:rsidR="007C6D69" w:rsidRDefault="007C6D69" w:rsidP="007C6D69">
      <w:pPr>
        <w:pStyle w:val="Heading3"/>
      </w:pPr>
      <w:r>
        <w:t>8.4.9 Trade Errors</w:t>
      </w:r>
    </w:p>
    <w:p w14:paraId="296372E7" w14:textId="4524E035" w:rsidR="007C6D69" w:rsidRPr="00151877" w:rsidRDefault="007C6D69" w:rsidP="007C6D69">
      <w:pPr>
        <w:pStyle w:val="BodyTextIndent3"/>
        <w:tabs>
          <w:tab w:val="left" w:pos="2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before="0" w:after="0" w:line="240" w:lineRule="exact"/>
        <w:ind w:left="270"/>
        <w:jc w:val="left"/>
      </w:pPr>
      <w:r w:rsidRPr="00151877">
        <w:t xml:space="preserve">Operations/Back Office personnel shall maintain a record of any trade errors for review and approval.  Compliance shall review the </w:t>
      </w:r>
      <w:r w:rsidR="00530511" w:rsidRPr="00AF6186">
        <w:t>HTS</w:t>
      </w:r>
      <w:r w:rsidRPr="00151877">
        <w:t xml:space="preserve"> Error Account (#800030979) for any activity </w:t>
      </w:r>
      <w:r w:rsidR="00CF605A" w:rsidRPr="00CF605A">
        <w:rPr>
          <w:color w:val="FF0000"/>
        </w:rPr>
        <w:t xml:space="preserve">along with maintaining a log of Trade Errors noting the details of the transaction.  Errors will also be part of </w:t>
      </w:r>
      <w:r w:rsidR="00CF605A">
        <w:t xml:space="preserve">the </w:t>
      </w:r>
      <w:r w:rsidRPr="00151877">
        <w:t>annual review to detect any unreported errors.</w:t>
      </w:r>
    </w:p>
    <w:p w14:paraId="673BD17F" w14:textId="77777777" w:rsidR="004978CC" w:rsidRPr="00151877" w:rsidRDefault="004978CC" w:rsidP="007C6D69">
      <w:pPr>
        <w:pStyle w:val="BodyTextIndent3"/>
        <w:tabs>
          <w:tab w:val="left" w:pos="2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before="0" w:after="0" w:line="240" w:lineRule="exact"/>
        <w:ind w:left="270"/>
        <w:jc w:val="left"/>
      </w:pPr>
    </w:p>
    <w:p w14:paraId="7CE0DD35" w14:textId="77777777" w:rsidR="004978CC" w:rsidRPr="00151877" w:rsidRDefault="004978CC" w:rsidP="004978CC">
      <w:pPr>
        <w:pStyle w:val="Heading3"/>
      </w:pPr>
      <w:r w:rsidRPr="00151877">
        <w:t xml:space="preserve">8.4.10 Cancels/Rebills </w:t>
      </w:r>
    </w:p>
    <w:p w14:paraId="599345EB" w14:textId="063087B4" w:rsidR="004978CC" w:rsidRPr="00151877" w:rsidRDefault="00D735CA" w:rsidP="007C6D69">
      <w:pPr>
        <w:pStyle w:val="BodyTextIndent3"/>
        <w:tabs>
          <w:tab w:val="left" w:pos="2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before="0" w:after="0" w:line="240" w:lineRule="exact"/>
        <w:ind w:left="270"/>
        <w:jc w:val="left"/>
      </w:pPr>
      <w:r w:rsidRPr="00151877">
        <w:t xml:space="preserve">Order memorandum </w:t>
      </w:r>
      <w:r w:rsidR="00660BFD" w:rsidRPr="00151877">
        <w:t>(</w:t>
      </w:r>
      <w:r w:rsidR="002D25AB" w:rsidRPr="004E5448">
        <w:t>HT</w:t>
      </w:r>
      <w:r w:rsidR="00660BFD" w:rsidRPr="00151877">
        <w:t>S Order Ticket Report) will</w:t>
      </w:r>
      <w:r w:rsidRPr="00151877">
        <w:t xml:space="preserve"> be marked with cancellation information/reason (i.e. wrong account number, wrong comm., etc</w:t>
      </w:r>
      <w:r w:rsidR="004E5448">
        <w:t>.</w:t>
      </w:r>
      <w:r w:rsidRPr="00151877">
        <w:t xml:space="preserve">) and initialed by a principal.  In addition Compliance will review the FINRA Cancel and As of Report within </w:t>
      </w:r>
      <w:r w:rsidR="00A00E56" w:rsidRPr="00151877">
        <w:t xml:space="preserve">the </w:t>
      </w:r>
      <w:r w:rsidRPr="00151877">
        <w:t xml:space="preserve">Gateway/Report Center to detect any patterns and if any action needs to be taken.  Compliance will maintain a record within the FINRA report if any such action(s) occur. </w:t>
      </w:r>
    </w:p>
    <w:p w14:paraId="01EE3865" w14:textId="77777777" w:rsidR="002D51AD" w:rsidRPr="00151877" w:rsidRDefault="002D51AD" w:rsidP="007C6D69">
      <w:pPr>
        <w:pStyle w:val="BodyTextIndent3"/>
        <w:tabs>
          <w:tab w:val="left" w:pos="2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before="0" w:after="0" w:line="240" w:lineRule="exact"/>
        <w:ind w:left="270"/>
        <w:jc w:val="left"/>
      </w:pPr>
    </w:p>
    <w:p w14:paraId="2AF61D03" w14:textId="77777777" w:rsidR="002D51AD" w:rsidRPr="00151877" w:rsidRDefault="002D51AD" w:rsidP="009D13B5">
      <w:pPr>
        <w:pStyle w:val="Heading3"/>
      </w:pPr>
      <w:r w:rsidRPr="00151877">
        <w:t>8.4.11 Mark-up Policy</w:t>
      </w:r>
    </w:p>
    <w:p w14:paraId="3EC3B6E9" w14:textId="77777777" w:rsidR="002D51AD" w:rsidRDefault="002D51AD" w:rsidP="007C6D69">
      <w:pPr>
        <w:pStyle w:val="BodyTextIndent3"/>
        <w:tabs>
          <w:tab w:val="left" w:pos="2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before="0" w:after="0" w:line="240" w:lineRule="exact"/>
        <w:ind w:left="270"/>
        <w:jc w:val="left"/>
      </w:pPr>
      <w:r w:rsidRPr="00151877">
        <w:t xml:space="preserve">Company is obligated to provide customers with "fair prices" including charges (markup/markdown or commission). Supervisors are responsible for determining that mark-ups and mark-downs are reasonable and consistent with Company’s policy.  See Section </w:t>
      </w:r>
      <w:r w:rsidR="009D13B5" w:rsidRPr="00151877">
        <w:t>12.3</w:t>
      </w:r>
      <w:r w:rsidR="006665BB" w:rsidRPr="00151877">
        <w:t xml:space="preserve"> </w:t>
      </w:r>
      <w:r w:rsidR="009D13B5" w:rsidRPr="00151877">
        <w:t>for FINRA Rule 2121</w:t>
      </w:r>
      <w:r w:rsidR="006665BB" w:rsidRPr="00151877">
        <w:t xml:space="preserve"> and further information.</w:t>
      </w:r>
    </w:p>
    <w:p w14:paraId="754CE9AC" w14:textId="77777777" w:rsidR="006623E4" w:rsidRDefault="006623E4" w:rsidP="007C6D69">
      <w:pPr>
        <w:pStyle w:val="BodyTextIndent3"/>
        <w:tabs>
          <w:tab w:val="left" w:pos="2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before="0" w:after="0" w:line="240" w:lineRule="exact"/>
        <w:ind w:left="270"/>
        <w:jc w:val="left"/>
      </w:pPr>
    </w:p>
    <w:p w14:paraId="22AD744E" w14:textId="77777777" w:rsidR="006623E4" w:rsidRDefault="006623E4" w:rsidP="006623E4">
      <w:pPr>
        <w:pStyle w:val="Heading3"/>
      </w:pPr>
      <w:r>
        <w:t>8.4.12 Providing Stock Quotations</w:t>
      </w:r>
    </w:p>
    <w:p w14:paraId="7353A1E2" w14:textId="4CF3469B" w:rsidR="000C5FF1" w:rsidRPr="00AF6186" w:rsidRDefault="006623E4" w:rsidP="00EC0A31">
      <w:pPr>
        <w:ind w:left="270"/>
        <w:rPr>
          <w:sz w:val="24"/>
          <w:szCs w:val="24"/>
        </w:rPr>
      </w:pPr>
      <w:r w:rsidRPr="002C26F2">
        <w:rPr>
          <w:sz w:val="24"/>
          <w:szCs w:val="24"/>
        </w:rPr>
        <w:t xml:space="preserve">Under the Vendor </w:t>
      </w:r>
      <w:r w:rsidR="00257CE3" w:rsidRPr="002C26F2">
        <w:rPr>
          <w:sz w:val="24"/>
          <w:szCs w:val="24"/>
        </w:rPr>
        <w:t>Display</w:t>
      </w:r>
      <w:r w:rsidRPr="002C26F2">
        <w:rPr>
          <w:sz w:val="24"/>
          <w:szCs w:val="24"/>
        </w:rPr>
        <w:t xml:space="preserve"> Rule of Regulation NMS, Company has an obligation to use market feeds that represent a broad spectrum of quotations available in the marketplace when providing quotations to customers. Only those systems approved by the designated supervisor will be made available for internal use by registered representatives for providing quotations to customers.  Currently, Company uses</w:t>
      </w:r>
      <w:r w:rsidR="0086379E">
        <w:rPr>
          <w:sz w:val="24"/>
          <w:szCs w:val="24"/>
        </w:rPr>
        <w:t xml:space="preserve"> </w:t>
      </w:r>
      <w:proofErr w:type="spellStart"/>
      <w:r w:rsidRPr="002C26F2">
        <w:rPr>
          <w:sz w:val="24"/>
          <w:szCs w:val="24"/>
        </w:rPr>
        <w:t>eSignal</w:t>
      </w:r>
      <w:proofErr w:type="spellEnd"/>
      <w:r w:rsidRPr="002C26F2">
        <w:rPr>
          <w:sz w:val="24"/>
          <w:szCs w:val="24"/>
        </w:rPr>
        <w:t xml:space="preserve"> </w:t>
      </w:r>
      <w:r w:rsidR="00ED53AE" w:rsidRPr="004E5448">
        <w:rPr>
          <w:sz w:val="24"/>
          <w:szCs w:val="24"/>
        </w:rPr>
        <w:t xml:space="preserve">(and Schwab which also displays live data) </w:t>
      </w:r>
      <w:r w:rsidRPr="004E5448">
        <w:rPr>
          <w:sz w:val="24"/>
          <w:szCs w:val="24"/>
        </w:rPr>
        <w:t xml:space="preserve">as </w:t>
      </w:r>
      <w:r w:rsidR="00257CE3" w:rsidRPr="004E5448">
        <w:rPr>
          <w:sz w:val="24"/>
          <w:szCs w:val="24"/>
        </w:rPr>
        <w:t>its</w:t>
      </w:r>
      <w:r w:rsidRPr="004E5448">
        <w:rPr>
          <w:sz w:val="24"/>
          <w:szCs w:val="24"/>
        </w:rPr>
        <w:t xml:space="preserve"> approved </w:t>
      </w:r>
      <w:r w:rsidR="00257CE3" w:rsidRPr="004E5448">
        <w:rPr>
          <w:sz w:val="24"/>
          <w:szCs w:val="24"/>
        </w:rPr>
        <w:t xml:space="preserve">(by Morris Monroe) </w:t>
      </w:r>
      <w:r w:rsidRPr="004E5448">
        <w:rPr>
          <w:sz w:val="24"/>
          <w:szCs w:val="24"/>
        </w:rPr>
        <w:t>quotation vendor.</w:t>
      </w:r>
      <w:r w:rsidR="00F674E9" w:rsidRPr="004E5448">
        <w:rPr>
          <w:sz w:val="24"/>
          <w:szCs w:val="24"/>
        </w:rPr>
        <w:t xml:space="preserve">  Any other quotes (from </w:t>
      </w:r>
      <w:r w:rsidR="00ED53AE" w:rsidRPr="004E5448">
        <w:rPr>
          <w:sz w:val="24"/>
          <w:szCs w:val="24"/>
        </w:rPr>
        <w:t>HT</w:t>
      </w:r>
      <w:r w:rsidR="00F674E9" w:rsidRPr="004E5448">
        <w:rPr>
          <w:sz w:val="24"/>
          <w:szCs w:val="24"/>
        </w:rPr>
        <w:t xml:space="preserve">S or other </w:t>
      </w:r>
      <w:r w:rsidR="00F674E9" w:rsidRPr="00AF6186">
        <w:rPr>
          <w:sz w:val="24"/>
          <w:szCs w:val="24"/>
        </w:rPr>
        <w:t>providers that are not live) may be used with a disclaimer that quotes are delayed.</w:t>
      </w:r>
    </w:p>
    <w:p w14:paraId="6A765B3A" w14:textId="77777777" w:rsidR="00B70680" w:rsidRPr="00AF6186" w:rsidRDefault="00B70680" w:rsidP="00B70680"/>
    <w:p w14:paraId="5996B149" w14:textId="5CEB4CF7" w:rsidR="00B70680" w:rsidRDefault="005D626E" w:rsidP="005D626E">
      <w:pPr>
        <w:pStyle w:val="Heading3"/>
      </w:pPr>
      <w:r>
        <w:t>8.4.13 Low-Priced and Microcap Securities</w:t>
      </w:r>
    </w:p>
    <w:p w14:paraId="49F488DB" w14:textId="0AD69A19" w:rsidR="005D626E" w:rsidRPr="0086379E" w:rsidRDefault="005D626E" w:rsidP="005D626E">
      <w:pPr>
        <w:ind w:left="270"/>
        <w:rPr>
          <w:color w:val="000000" w:themeColor="text1"/>
          <w:spacing w:val="8"/>
          <w:sz w:val="24"/>
          <w:szCs w:val="24"/>
          <w:shd w:val="clear" w:color="auto" w:fill="FFFFFF"/>
        </w:rPr>
      </w:pPr>
      <w:r w:rsidRPr="0086379E">
        <w:rPr>
          <w:color w:val="000000" w:themeColor="text1"/>
          <w:spacing w:val="8"/>
          <w:sz w:val="24"/>
          <w:szCs w:val="24"/>
          <w:shd w:val="clear" w:color="auto" w:fill="FFFFFF"/>
        </w:rPr>
        <w:t>These securities are subject to scrutiny because of potential risks, including the following. The SEC has identified "microcap securities" subject to their scrutiny as stocks of companies with a market capitalization of under $250 million. Following are concerns and actions regarding low-priced securities.</w:t>
      </w:r>
    </w:p>
    <w:p w14:paraId="76F698C4" w14:textId="77777777" w:rsidR="005D626E" w:rsidRPr="0086379E" w:rsidRDefault="005D626E" w:rsidP="0005402C">
      <w:pPr>
        <w:numPr>
          <w:ilvl w:val="0"/>
          <w:numId w:val="380"/>
        </w:numPr>
        <w:shd w:val="clear" w:color="auto" w:fill="FFFFFF"/>
        <w:spacing w:before="100" w:beforeAutospacing="1" w:after="100" w:afterAutospacing="1"/>
        <w:rPr>
          <w:color w:val="000000" w:themeColor="text1"/>
          <w:spacing w:val="8"/>
          <w:sz w:val="24"/>
          <w:szCs w:val="24"/>
        </w:rPr>
      </w:pPr>
      <w:r w:rsidRPr="0086379E">
        <w:rPr>
          <w:color w:val="000000" w:themeColor="text1"/>
          <w:spacing w:val="8"/>
          <w:sz w:val="24"/>
          <w:szCs w:val="24"/>
        </w:rPr>
        <w:t xml:space="preserve">Identify customer's occupation or business to request additional information such as whether the customer is employed by a company that issues low-priced </w:t>
      </w:r>
      <w:proofErr w:type="gramStart"/>
      <w:r w:rsidRPr="0086379E">
        <w:rPr>
          <w:color w:val="000000" w:themeColor="text1"/>
          <w:spacing w:val="8"/>
          <w:sz w:val="24"/>
          <w:szCs w:val="24"/>
        </w:rPr>
        <w:t>publicly-traded</w:t>
      </w:r>
      <w:proofErr w:type="gramEnd"/>
      <w:r w:rsidRPr="0086379E">
        <w:rPr>
          <w:color w:val="000000" w:themeColor="text1"/>
          <w:spacing w:val="8"/>
          <w:sz w:val="24"/>
          <w:szCs w:val="24"/>
        </w:rPr>
        <w:t xml:space="preserve"> securities that will be deposited in the customer's account;</w:t>
      </w:r>
    </w:p>
    <w:p w14:paraId="6D4F965B" w14:textId="32AA19A9" w:rsidR="005D626E" w:rsidRPr="0086379E" w:rsidRDefault="005D626E" w:rsidP="0005402C">
      <w:pPr>
        <w:numPr>
          <w:ilvl w:val="0"/>
          <w:numId w:val="380"/>
        </w:numPr>
        <w:shd w:val="clear" w:color="auto" w:fill="FFFFFF"/>
        <w:spacing w:before="100" w:beforeAutospacing="1" w:after="100" w:afterAutospacing="1"/>
        <w:rPr>
          <w:color w:val="000000" w:themeColor="text1"/>
          <w:spacing w:val="8"/>
          <w:sz w:val="24"/>
          <w:szCs w:val="24"/>
        </w:rPr>
      </w:pPr>
      <w:r w:rsidRPr="0086379E">
        <w:rPr>
          <w:color w:val="000000" w:themeColor="text1"/>
          <w:spacing w:val="8"/>
          <w:sz w:val="24"/>
          <w:szCs w:val="24"/>
        </w:rPr>
        <w:t>Heightened supervision of any Company employees who maintain direct or indirect outside business activities associated with microcap and OTC companies;</w:t>
      </w:r>
    </w:p>
    <w:p w14:paraId="21480457" w14:textId="77777777" w:rsidR="005D626E" w:rsidRPr="0086379E" w:rsidRDefault="005D626E" w:rsidP="0005402C">
      <w:pPr>
        <w:numPr>
          <w:ilvl w:val="0"/>
          <w:numId w:val="380"/>
        </w:numPr>
        <w:shd w:val="clear" w:color="auto" w:fill="FFFFFF"/>
        <w:spacing w:before="100" w:beforeAutospacing="1" w:after="100" w:afterAutospacing="1"/>
        <w:rPr>
          <w:color w:val="000000" w:themeColor="text1"/>
          <w:spacing w:val="8"/>
          <w:sz w:val="24"/>
          <w:szCs w:val="24"/>
        </w:rPr>
      </w:pPr>
      <w:r w:rsidRPr="0086379E">
        <w:rPr>
          <w:color w:val="000000" w:themeColor="text1"/>
          <w:spacing w:val="8"/>
          <w:sz w:val="24"/>
          <w:szCs w:val="24"/>
        </w:rPr>
        <w:t>Heightened supervision of traders involved in trading microcap and low-priced OTC securities;</w:t>
      </w:r>
    </w:p>
    <w:p w14:paraId="11D9578F" w14:textId="77777777" w:rsidR="005D626E" w:rsidRPr="0086379E" w:rsidRDefault="005D626E" w:rsidP="0005402C">
      <w:pPr>
        <w:numPr>
          <w:ilvl w:val="0"/>
          <w:numId w:val="380"/>
        </w:numPr>
        <w:shd w:val="clear" w:color="auto" w:fill="FFFFFF"/>
        <w:spacing w:before="100" w:beforeAutospacing="1" w:after="100" w:afterAutospacing="1"/>
        <w:rPr>
          <w:color w:val="000000" w:themeColor="text1"/>
          <w:spacing w:val="8"/>
          <w:sz w:val="24"/>
          <w:szCs w:val="24"/>
        </w:rPr>
      </w:pPr>
      <w:r w:rsidRPr="0086379E">
        <w:rPr>
          <w:color w:val="000000" w:themeColor="text1"/>
          <w:spacing w:val="8"/>
          <w:sz w:val="24"/>
          <w:szCs w:val="24"/>
        </w:rPr>
        <w:t xml:space="preserve">Monitor customer accounts liquidating microcap and low-priced OTC securities to ensure, among other things, that Company is not facilitating, enabling or participating in an unregistered distribution in violation of Section 5 of the </w:t>
      </w:r>
      <w:r w:rsidRPr="0086379E">
        <w:rPr>
          <w:color w:val="000000" w:themeColor="text1"/>
          <w:spacing w:val="8"/>
          <w:sz w:val="24"/>
          <w:szCs w:val="24"/>
        </w:rPr>
        <w:lastRenderedPageBreak/>
        <w:t>Securities Act, among other potential violations including market manipulation (pump and dump schemes);</w:t>
      </w:r>
    </w:p>
    <w:p w14:paraId="5A00B588" w14:textId="458C8758" w:rsidR="005D626E" w:rsidRPr="0086379E" w:rsidRDefault="005D626E" w:rsidP="0005402C">
      <w:pPr>
        <w:numPr>
          <w:ilvl w:val="0"/>
          <w:numId w:val="380"/>
        </w:numPr>
        <w:shd w:val="clear" w:color="auto" w:fill="FFFFFF"/>
        <w:spacing w:before="100" w:beforeAutospacing="1" w:after="100" w:afterAutospacing="1"/>
        <w:rPr>
          <w:color w:val="000000" w:themeColor="text1"/>
          <w:spacing w:val="8"/>
          <w:sz w:val="24"/>
          <w:szCs w:val="24"/>
        </w:rPr>
      </w:pPr>
      <w:r w:rsidRPr="0086379E">
        <w:rPr>
          <w:color w:val="000000" w:themeColor="text1"/>
          <w:spacing w:val="8"/>
          <w:sz w:val="24"/>
          <w:szCs w:val="24"/>
        </w:rPr>
        <w:t>Where there are significant purchases (&gt;5,000 shares), conduct reasonable investigation into each microcap company which may include that company's regulatory history, the company's financial and reporting status, the disciplinary, criminal, and civil litigation backgrounds of the company's officers, directors and principal shareholders, along with the trading history of the company's securities covering issues related to spikes in price and/or spikes in volume, and any associated promotional programs, </w:t>
      </w:r>
      <w:r w:rsidRPr="0086379E">
        <w:rPr>
          <w:i/>
          <w:iCs/>
          <w:color w:val="000000" w:themeColor="text1"/>
          <w:spacing w:val="8"/>
          <w:sz w:val="24"/>
          <w:szCs w:val="24"/>
        </w:rPr>
        <w:t>etc.</w:t>
      </w:r>
      <w:r w:rsidRPr="0086379E">
        <w:rPr>
          <w:color w:val="000000" w:themeColor="text1"/>
          <w:spacing w:val="8"/>
          <w:sz w:val="24"/>
          <w:szCs w:val="24"/>
        </w:rPr>
        <w:t>;</w:t>
      </w:r>
    </w:p>
    <w:p w14:paraId="2089E984" w14:textId="38CD6F1A" w:rsidR="005D626E" w:rsidRPr="0086379E" w:rsidRDefault="005D626E" w:rsidP="0005402C">
      <w:pPr>
        <w:numPr>
          <w:ilvl w:val="0"/>
          <w:numId w:val="380"/>
        </w:numPr>
        <w:shd w:val="clear" w:color="auto" w:fill="FFFFFF"/>
        <w:rPr>
          <w:color w:val="000000" w:themeColor="text1"/>
          <w:spacing w:val="8"/>
          <w:sz w:val="24"/>
          <w:szCs w:val="24"/>
        </w:rPr>
      </w:pPr>
      <w:r w:rsidRPr="0086379E">
        <w:rPr>
          <w:color w:val="000000" w:themeColor="text1"/>
          <w:spacing w:val="8"/>
          <w:sz w:val="24"/>
          <w:szCs w:val="24"/>
        </w:rPr>
        <w:t xml:space="preserve">Monitor </w:t>
      </w:r>
      <w:r w:rsidR="0001686A" w:rsidRPr="0086379E">
        <w:rPr>
          <w:color w:val="000000" w:themeColor="text1"/>
          <w:spacing w:val="8"/>
          <w:sz w:val="24"/>
          <w:szCs w:val="24"/>
        </w:rPr>
        <w:t>for</w:t>
      </w:r>
      <w:r w:rsidRPr="0086379E">
        <w:rPr>
          <w:color w:val="000000" w:themeColor="text1"/>
          <w:spacing w:val="8"/>
          <w:sz w:val="24"/>
          <w:szCs w:val="24"/>
        </w:rPr>
        <w:t xml:space="preserve"> RR solicitations of customers to trade microcap and low-priced OTC securities to ensure that any recommendations are balanced, and the securities are suitable for the customer.</w:t>
      </w:r>
    </w:p>
    <w:p w14:paraId="5E175EB1" w14:textId="419899FF" w:rsidR="005D626E" w:rsidRDefault="005D626E" w:rsidP="005D626E">
      <w:pPr>
        <w:ind w:left="270"/>
        <w:rPr>
          <w:rFonts w:ascii="Tahoma" w:hAnsi="Tahoma" w:cs="Tahoma"/>
          <w:color w:val="000000"/>
          <w:spacing w:val="8"/>
          <w:sz w:val="18"/>
          <w:szCs w:val="18"/>
          <w:shd w:val="clear" w:color="auto" w:fill="FFFFFF"/>
        </w:rPr>
      </w:pPr>
    </w:p>
    <w:p w14:paraId="1658A27B" w14:textId="77777777" w:rsidR="005D626E" w:rsidRPr="005D626E" w:rsidRDefault="005D626E" w:rsidP="005D626E">
      <w:pPr>
        <w:ind w:left="270"/>
      </w:pPr>
    </w:p>
    <w:p w14:paraId="051C28F8" w14:textId="77777777" w:rsidR="006047A9" w:rsidRPr="00203D90" w:rsidRDefault="006047A9" w:rsidP="00936FEE">
      <w:pPr>
        <w:pStyle w:val="Heading2"/>
      </w:pPr>
      <w:r w:rsidRPr="00203D90">
        <w:t>8.5</w:t>
      </w:r>
      <w:r w:rsidR="001C57AD">
        <w:t xml:space="preserve"> </w:t>
      </w:r>
      <w:r w:rsidRPr="00203D90">
        <w:t>Priority of Order Fill</w:t>
      </w:r>
    </w:p>
    <w:p w14:paraId="245C77B4" w14:textId="77777777" w:rsidR="00FB0641" w:rsidRDefault="00FB0641" w:rsidP="00FB0641">
      <w:pPr>
        <w:pStyle w:val="BodyTextIndent3"/>
        <w:spacing w:before="0" w:after="0"/>
        <w:ind w:left="0"/>
      </w:pPr>
      <w:r>
        <w:t>Orders generally will be processed and executed on a first</w:t>
      </w:r>
      <w:r>
        <w:noBreakHyphen/>
        <w:t>in, first</w:t>
      </w:r>
      <w:r>
        <w:noBreakHyphen/>
        <w:t>out basis, in the order received by the trading desk, with the following exceptions:</w:t>
      </w:r>
    </w:p>
    <w:p w14:paraId="0A69046B" w14:textId="77777777" w:rsidR="00FB0641" w:rsidRDefault="00FB0641" w:rsidP="00FB0641">
      <w:pPr>
        <w:jc w:val="both"/>
        <w:rPr>
          <w:sz w:val="24"/>
        </w:rPr>
      </w:pPr>
    </w:p>
    <w:p w14:paraId="79DB300B" w14:textId="77777777" w:rsidR="00FB0641" w:rsidRDefault="00FB0641" w:rsidP="00FB0641">
      <w:pPr>
        <w:ind w:left="1440" w:hanging="360"/>
        <w:jc w:val="both"/>
        <w:rPr>
          <w:sz w:val="24"/>
        </w:rPr>
      </w:pPr>
      <w:r>
        <w:rPr>
          <w:sz w:val="24"/>
        </w:rPr>
        <w:t xml:space="preserve"> (1)</w:t>
      </w:r>
      <w:r>
        <w:rPr>
          <w:sz w:val="24"/>
        </w:rPr>
        <w:tab/>
        <w:t>A block execution is anticipated. The Company does not execute many or any block trades currently.  However, in the event a block trade should be applicable, execution of orders for a particular security for any client who prohibits the use of block execution of trades may, and sometimes will, be delayed until the execution of any block trade for the security.</w:t>
      </w:r>
    </w:p>
    <w:p w14:paraId="68CF1885" w14:textId="77777777" w:rsidR="00FB0641" w:rsidRDefault="00FB0641" w:rsidP="00FB0641">
      <w:pPr>
        <w:jc w:val="both"/>
        <w:rPr>
          <w:sz w:val="24"/>
        </w:rPr>
      </w:pPr>
    </w:p>
    <w:p w14:paraId="6BEC9056" w14:textId="77777777" w:rsidR="006047A9" w:rsidRDefault="006047A9" w:rsidP="003D0986"/>
    <w:p w14:paraId="6D6A3444" w14:textId="77777777" w:rsidR="006047A9" w:rsidRPr="00203D90" w:rsidRDefault="001C57AD" w:rsidP="00936FEE">
      <w:pPr>
        <w:pStyle w:val="Heading2"/>
      </w:pPr>
      <w:r>
        <w:t xml:space="preserve">8.6 </w:t>
      </w:r>
      <w:r w:rsidR="006047A9" w:rsidRPr="00203D90">
        <w:t>Block Trades</w:t>
      </w:r>
    </w:p>
    <w:p w14:paraId="1E640CD1" w14:textId="77777777" w:rsidR="00FB0641" w:rsidRDefault="00FB0641" w:rsidP="00FB0641">
      <w:pPr>
        <w:pStyle w:val="BodyTextIndent3"/>
        <w:spacing w:before="0" w:after="0"/>
        <w:ind w:left="0"/>
      </w:pPr>
      <w:r>
        <w:t xml:space="preserve">Company does not currently execute many or any block trades.  However, if/when a trade is placed for more than one </w:t>
      </w:r>
      <w:r w:rsidR="006047A9">
        <w:t>client;</w:t>
      </w:r>
      <w:r>
        <w:t xml:space="preserve"> the Company may, but need not, aggregate orders or block trades when the Company believes this will result in more favorable execution. All of Company’s clients may be included in block trades subject to the criteria listed below:</w:t>
      </w:r>
    </w:p>
    <w:p w14:paraId="7F4C67FE" w14:textId="77777777" w:rsidR="00FB0641" w:rsidRDefault="00FB0641" w:rsidP="00FB0641">
      <w:pPr>
        <w:jc w:val="both"/>
        <w:rPr>
          <w:sz w:val="24"/>
        </w:rPr>
      </w:pPr>
    </w:p>
    <w:p w14:paraId="313E72B6" w14:textId="77777777" w:rsidR="00FB0641" w:rsidRDefault="00FB0641" w:rsidP="00FB0641">
      <w:pPr>
        <w:ind w:left="1440" w:hanging="360"/>
        <w:jc w:val="both"/>
        <w:rPr>
          <w:sz w:val="24"/>
        </w:rPr>
      </w:pPr>
      <w:r>
        <w:rPr>
          <w:sz w:val="24"/>
        </w:rPr>
        <w:t>(1)</w:t>
      </w:r>
      <w:r>
        <w:rPr>
          <w:sz w:val="24"/>
        </w:rPr>
        <w:tab/>
        <w:t>Accounts that have a standing instruction prohibiting the use of block trades may not participate in the block.</w:t>
      </w:r>
    </w:p>
    <w:p w14:paraId="43C37846" w14:textId="77777777" w:rsidR="00FB0641" w:rsidRDefault="00FB0641" w:rsidP="00FB0641">
      <w:pPr>
        <w:ind w:left="1440" w:hanging="360"/>
        <w:jc w:val="both"/>
        <w:rPr>
          <w:sz w:val="24"/>
        </w:rPr>
      </w:pPr>
    </w:p>
    <w:p w14:paraId="3CE9EC32" w14:textId="77777777" w:rsidR="00FB0641" w:rsidRDefault="00FB0641" w:rsidP="00FB0641">
      <w:pPr>
        <w:ind w:left="1440" w:hanging="360"/>
        <w:jc w:val="both"/>
        <w:rPr>
          <w:sz w:val="24"/>
        </w:rPr>
      </w:pPr>
      <w:r>
        <w:rPr>
          <w:sz w:val="24"/>
        </w:rPr>
        <w:t>(2)</w:t>
      </w:r>
      <w:r>
        <w:rPr>
          <w:sz w:val="24"/>
        </w:rPr>
        <w:tab/>
        <w:t>Accounts participating in the block are selected on the basis of cash availability, increase or decrease in sector/security type targets, quality guidelines, duration adjustments, overall positions in the security being traded and the availability of a good substitution security.</w:t>
      </w:r>
    </w:p>
    <w:p w14:paraId="7517210A" w14:textId="77777777" w:rsidR="00FB0641" w:rsidRDefault="00FB0641" w:rsidP="00FB0641">
      <w:pPr>
        <w:ind w:left="1440" w:hanging="360"/>
        <w:jc w:val="both"/>
        <w:rPr>
          <w:sz w:val="24"/>
        </w:rPr>
      </w:pPr>
    </w:p>
    <w:p w14:paraId="135B6589" w14:textId="77777777" w:rsidR="00FB0641" w:rsidRDefault="00FB0641" w:rsidP="00FB0641">
      <w:pPr>
        <w:ind w:left="1440" w:hanging="360"/>
        <w:jc w:val="both"/>
        <w:rPr>
          <w:sz w:val="24"/>
        </w:rPr>
      </w:pPr>
      <w:r>
        <w:rPr>
          <w:sz w:val="24"/>
        </w:rPr>
        <w:t>(3)</w:t>
      </w:r>
      <w:r>
        <w:rPr>
          <w:sz w:val="24"/>
        </w:rPr>
        <w:tab/>
        <w:t xml:space="preserve">Accounts of the Company’s principals, officers, directors or employees may participate in block trades </w:t>
      </w:r>
      <w:r w:rsidR="008C7360" w:rsidRPr="00AF6186">
        <w:rPr>
          <w:sz w:val="24"/>
        </w:rPr>
        <w:t xml:space="preserve">including </w:t>
      </w:r>
      <w:r w:rsidR="008C7360">
        <w:rPr>
          <w:sz w:val="24"/>
        </w:rPr>
        <w:t>mu</w:t>
      </w:r>
      <w:r>
        <w:rPr>
          <w:sz w:val="24"/>
        </w:rPr>
        <w:t>tual funds.</w:t>
      </w:r>
    </w:p>
    <w:p w14:paraId="3452F7A3" w14:textId="77777777" w:rsidR="006047A9" w:rsidRDefault="006047A9" w:rsidP="00FB0641">
      <w:pPr>
        <w:jc w:val="both"/>
        <w:rPr>
          <w:b/>
          <w:sz w:val="24"/>
        </w:rPr>
      </w:pPr>
    </w:p>
    <w:p w14:paraId="6DF2EAE6" w14:textId="77777777" w:rsidR="00CA3681" w:rsidRDefault="00CA3681" w:rsidP="00E259B8"/>
    <w:p w14:paraId="1B2A6CB9" w14:textId="77777777" w:rsidR="006047A9" w:rsidRPr="00203D90" w:rsidRDefault="006047A9" w:rsidP="00936FEE">
      <w:pPr>
        <w:pStyle w:val="Heading2"/>
      </w:pPr>
      <w:r w:rsidRPr="00203D90">
        <w:t>8.7 Allocations</w:t>
      </w:r>
    </w:p>
    <w:p w14:paraId="4599AFBA" w14:textId="77777777" w:rsidR="00FB0641" w:rsidRDefault="00FB0641" w:rsidP="00FB0641">
      <w:pPr>
        <w:pStyle w:val="BodyTextIndent3"/>
        <w:spacing w:before="0" w:after="0"/>
        <w:ind w:left="0"/>
      </w:pPr>
      <w:r>
        <w:t>Each trade ticket should state the accounts that will participate in any block trade and the intended allocation of the order among those accounts. However, it is understood that certain circumstances will make pre</w:t>
      </w:r>
      <w:r>
        <w:noBreakHyphen/>
        <w:t>execution allocation impractical, including but not limited to the following situations:</w:t>
      </w:r>
    </w:p>
    <w:p w14:paraId="33F74717" w14:textId="77777777" w:rsidR="00FB0641" w:rsidRDefault="00FB0641" w:rsidP="00FB0641">
      <w:pPr>
        <w:jc w:val="both"/>
        <w:rPr>
          <w:sz w:val="24"/>
        </w:rPr>
      </w:pPr>
    </w:p>
    <w:p w14:paraId="306F1300" w14:textId="77777777" w:rsidR="00FB0641" w:rsidRDefault="00FB0641" w:rsidP="00FB0641">
      <w:pPr>
        <w:ind w:left="1440" w:hanging="360"/>
        <w:jc w:val="both"/>
        <w:rPr>
          <w:sz w:val="24"/>
        </w:rPr>
      </w:pPr>
      <w:r>
        <w:rPr>
          <w:sz w:val="24"/>
        </w:rPr>
        <w:t>(1)</w:t>
      </w:r>
      <w:r>
        <w:rPr>
          <w:sz w:val="24"/>
        </w:rPr>
        <w:tab/>
        <w:t>In the block market and the market for thinly traded securities, an opportunity may be lost to buy or sell a security if the commitment could not be made without allocating the securities among the various accounts; and/or</w:t>
      </w:r>
    </w:p>
    <w:p w14:paraId="3038B214" w14:textId="77777777" w:rsidR="00FB0641" w:rsidRDefault="00FB0641" w:rsidP="00FB0641">
      <w:pPr>
        <w:ind w:left="1440" w:hanging="360"/>
        <w:jc w:val="both"/>
        <w:rPr>
          <w:sz w:val="24"/>
        </w:rPr>
      </w:pPr>
    </w:p>
    <w:p w14:paraId="0A148342" w14:textId="77777777" w:rsidR="00FB0641" w:rsidRDefault="00FB0641" w:rsidP="00FB0641">
      <w:pPr>
        <w:ind w:left="1440" w:hanging="360"/>
        <w:jc w:val="both"/>
        <w:rPr>
          <w:sz w:val="24"/>
        </w:rPr>
      </w:pPr>
      <w:r>
        <w:rPr>
          <w:sz w:val="24"/>
        </w:rPr>
        <w:t>(2)</w:t>
      </w:r>
      <w:r>
        <w:rPr>
          <w:sz w:val="24"/>
        </w:rPr>
        <w:tab/>
        <w:t>The liquidity position of an account and other circumstances affecting the allocation decision could change because of unexpected cash flows, fails to deliver, accounting errors, restrictions or because the security is otherwise unsuitable for the account.</w:t>
      </w:r>
    </w:p>
    <w:p w14:paraId="4FFC3439" w14:textId="77777777" w:rsidR="00FB0641" w:rsidRDefault="00FB0641" w:rsidP="00FB0641">
      <w:pPr>
        <w:jc w:val="both"/>
        <w:rPr>
          <w:sz w:val="24"/>
        </w:rPr>
      </w:pPr>
    </w:p>
    <w:p w14:paraId="196C3FDB" w14:textId="77777777" w:rsidR="00FB0641" w:rsidRDefault="00FB0641" w:rsidP="00FB0641">
      <w:pPr>
        <w:pStyle w:val="MRS"/>
      </w:pPr>
      <w:r>
        <w:t>Hot Issues: Issues that immediately trade at a premium to the IPO price or declared a "Hot Issue" by the underwriter must be allocated only to non</w:t>
      </w:r>
      <w:r>
        <w:noBreakHyphen/>
        <w:t xml:space="preserve">restricted accounts as defined by </w:t>
      </w:r>
      <w:r w:rsidRPr="009922BB">
        <w:t>FINRA</w:t>
      </w:r>
      <w:r>
        <w:t>.</w:t>
      </w:r>
    </w:p>
    <w:p w14:paraId="68DA8388" w14:textId="77777777" w:rsidR="00FB0641" w:rsidRDefault="00FB0641" w:rsidP="00FB0641">
      <w:pPr>
        <w:ind w:left="720"/>
        <w:jc w:val="both"/>
        <w:rPr>
          <w:sz w:val="24"/>
        </w:rPr>
      </w:pPr>
    </w:p>
    <w:p w14:paraId="21F4E37B" w14:textId="77777777" w:rsidR="00FB0641" w:rsidRDefault="00FB0641" w:rsidP="00FB0641">
      <w:pPr>
        <w:pStyle w:val="MRS"/>
      </w:pPr>
      <w:r>
        <w:t>When an allocation is specified on a trade ticket:</w:t>
      </w:r>
    </w:p>
    <w:p w14:paraId="4AC7AED0" w14:textId="77777777" w:rsidR="00FB0641" w:rsidRDefault="00FB0641" w:rsidP="00FB0641">
      <w:pPr>
        <w:jc w:val="both"/>
        <w:rPr>
          <w:sz w:val="24"/>
        </w:rPr>
      </w:pPr>
    </w:p>
    <w:p w14:paraId="698A4630" w14:textId="77777777" w:rsidR="00FB0641" w:rsidRDefault="00FB0641" w:rsidP="00FB0641">
      <w:pPr>
        <w:ind w:left="1440" w:hanging="360"/>
        <w:jc w:val="both"/>
        <w:rPr>
          <w:sz w:val="24"/>
        </w:rPr>
      </w:pPr>
      <w:r>
        <w:rPr>
          <w:sz w:val="24"/>
        </w:rPr>
        <w:t>(1)</w:t>
      </w:r>
      <w:r>
        <w:rPr>
          <w:sz w:val="24"/>
        </w:rPr>
        <w:tab/>
        <w:t>If a block order is filled in its entirety, the order must be allocated in accordance with the intended allocation specified on the trade ticket.</w:t>
      </w:r>
    </w:p>
    <w:p w14:paraId="78B39D77" w14:textId="77777777" w:rsidR="00FB0641" w:rsidRDefault="00FB0641" w:rsidP="00FB0641">
      <w:pPr>
        <w:ind w:left="1440" w:hanging="360"/>
        <w:jc w:val="both"/>
        <w:rPr>
          <w:sz w:val="24"/>
        </w:rPr>
      </w:pPr>
    </w:p>
    <w:p w14:paraId="1DACCC01" w14:textId="77777777" w:rsidR="00FB0641" w:rsidRDefault="00FB0641" w:rsidP="00FB0641">
      <w:pPr>
        <w:ind w:left="1440" w:hanging="360"/>
        <w:jc w:val="both"/>
        <w:rPr>
          <w:sz w:val="24"/>
        </w:rPr>
      </w:pPr>
      <w:r>
        <w:rPr>
          <w:sz w:val="24"/>
        </w:rPr>
        <w:t>(2)</w:t>
      </w:r>
      <w:r>
        <w:rPr>
          <w:sz w:val="24"/>
        </w:rPr>
        <w:tab/>
        <w:t>If a block order is partially filled, the order will be allocated among the accounts specified on the trade ticket and on a pro rata basis in proportion to the intended allocation specified on the trade ticket.</w:t>
      </w:r>
    </w:p>
    <w:p w14:paraId="091AF9E4" w14:textId="77777777" w:rsidR="00FB0641" w:rsidRDefault="00FB0641" w:rsidP="00FB0641">
      <w:pPr>
        <w:jc w:val="both"/>
        <w:rPr>
          <w:sz w:val="24"/>
        </w:rPr>
      </w:pPr>
    </w:p>
    <w:p w14:paraId="6AF143CB" w14:textId="77777777" w:rsidR="00FB0641" w:rsidRDefault="00FB0641" w:rsidP="00FB0641">
      <w:pPr>
        <w:pStyle w:val="MRS"/>
      </w:pPr>
      <w:r>
        <w:t>In all but extremely rare circumstances, trades that are not allocated pre</w:t>
      </w:r>
      <w:r>
        <w:noBreakHyphen/>
        <w:t>execution will be allocated no later than the close of business on the trade date. All clients must be fairly and equitably treated by any post</w:t>
      </w:r>
      <w:r>
        <w:noBreakHyphen/>
        <w:t>execution allocation of a trade.</w:t>
      </w:r>
    </w:p>
    <w:p w14:paraId="44C2A3C7" w14:textId="77777777" w:rsidR="00FB0641" w:rsidRDefault="00FB0641" w:rsidP="00FB0641">
      <w:pPr>
        <w:jc w:val="both"/>
        <w:rPr>
          <w:sz w:val="24"/>
        </w:rPr>
      </w:pPr>
    </w:p>
    <w:p w14:paraId="7A11EBD2" w14:textId="77777777" w:rsidR="00FB0641" w:rsidRDefault="00FB0641" w:rsidP="00B95A60">
      <w:pPr>
        <w:pStyle w:val="BodyTextIndent3"/>
        <w:spacing w:before="0" w:after="0"/>
        <w:ind w:left="0"/>
      </w:pPr>
      <w:r>
        <w:t>Where appropriate, the Company will allocate fixed income block trades at the average price of the aggregated order.</w:t>
      </w:r>
    </w:p>
    <w:p w14:paraId="1C90D206" w14:textId="77777777" w:rsidR="00FB0641" w:rsidRDefault="00FB0641" w:rsidP="00B95A60">
      <w:pPr>
        <w:tabs>
          <w:tab w:val="num" w:pos="1080"/>
        </w:tabs>
        <w:jc w:val="both"/>
        <w:rPr>
          <w:sz w:val="24"/>
        </w:rPr>
      </w:pPr>
    </w:p>
    <w:p w14:paraId="7AD5F808" w14:textId="77777777" w:rsidR="00FB0641" w:rsidRDefault="00FB0641" w:rsidP="00B95A60">
      <w:pPr>
        <w:pStyle w:val="BodyTextIndent3"/>
        <w:spacing w:before="0" w:after="0"/>
        <w:ind w:left="0"/>
      </w:pPr>
      <w:r>
        <w:t>Block trades in equity securities which are worked over the course of a day will be allocated at an average execution price for that day.  Average price account amounts may not be carried overnight without allocation to client accounts.</w:t>
      </w:r>
    </w:p>
    <w:p w14:paraId="7D995286" w14:textId="77777777" w:rsidR="00BA4AF4" w:rsidRDefault="00BA4AF4" w:rsidP="00BA4AF4">
      <w:pPr>
        <w:jc w:val="both"/>
        <w:rPr>
          <w:sz w:val="24"/>
        </w:rPr>
      </w:pPr>
    </w:p>
    <w:p w14:paraId="7DFFD630" w14:textId="77777777" w:rsidR="006047A9" w:rsidRDefault="006047A9" w:rsidP="00FB0641">
      <w:pPr>
        <w:jc w:val="both"/>
        <w:rPr>
          <w:b/>
          <w:sz w:val="24"/>
        </w:rPr>
      </w:pPr>
    </w:p>
    <w:p w14:paraId="5AC8E4D9" w14:textId="77777777" w:rsidR="006047A9" w:rsidRPr="00320DE6" w:rsidRDefault="006047A9" w:rsidP="00936FEE">
      <w:pPr>
        <w:pStyle w:val="Heading2"/>
      </w:pPr>
      <w:r w:rsidRPr="00320DE6">
        <w:t>8.8 Reallocations</w:t>
      </w:r>
    </w:p>
    <w:p w14:paraId="68004AF2" w14:textId="77777777" w:rsidR="00FB0641" w:rsidRDefault="00FB0641" w:rsidP="00FB0641">
      <w:pPr>
        <w:pStyle w:val="BodyTextIndent3"/>
        <w:spacing w:before="0" w:after="0"/>
        <w:ind w:left="0"/>
      </w:pPr>
      <w:r>
        <w:t>Notwithstanding the foregoing, orders for which a pre</w:t>
      </w:r>
      <w:r>
        <w:noBreakHyphen/>
        <w:t>execution allocation was made on a trade ticket may be reallocated post</w:t>
      </w:r>
      <w:r>
        <w:noBreakHyphen/>
        <w:t>execution on a different basis as follows:</w:t>
      </w:r>
    </w:p>
    <w:p w14:paraId="6E481841" w14:textId="77777777" w:rsidR="00FB0641" w:rsidRDefault="00FB0641" w:rsidP="00FB0641">
      <w:pPr>
        <w:jc w:val="both"/>
        <w:rPr>
          <w:sz w:val="24"/>
        </w:rPr>
      </w:pPr>
    </w:p>
    <w:p w14:paraId="5ED7567E" w14:textId="77777777" w:rsidR="00FB0641" w:rsidRDefault="00FB0641" w:rsidP="00FB0641">
      <w:pPr>
        <w:ind w:left="1440" w:hanging="360"/>
        <w:jc w:val="both"/>
        <w:rPr>
          <w:sz w:val="24"/>
        </w:rPr>
      </w:pPr>
      <w:r>
        <w:rPr>
          <w:sz w:val="24"/>
        </w:rPr>
        <w:t>(1)</w:t>
      </w:r>
      <w:r>
        <w:rPr>
          <w:sz w:val="24"/>
        </w:rPr>
        <w:tab/>
      </w:r>
      <w:r>
        <w:rPr>
          <w:i/>
          <w:sz w:val="24"/>
        </w:rPr>
        <w:t>Round Lots</w:t>
      </w:r>
      <w:r>
        <w:rPr>
          <w:sz w:val="24"/>
        </w:rPr>
        <w:t>: A block order may, but need not, be reallocated among the accounts specified on the trade ticket in order to round an allocation to a whole lot.</w:t>
      </w:r>
    </w:p>
    <w:p w14:paraId="061E1ABC" w14:textId="77777777" w:rsidR="00FB0641" w:rsidRDefault="00FB0641" w:rsidP="00FB0641">
      <w:pPr>
        <w:ind w:left="1440" w:hanging="360"/>
        <w:jc w:val="both"/>
        <w:rPr>
          <w:sz w:val="24"/>
        </w:rPr>
      </w:pPr>
    </w:p>
    <w:p w14:paraId="4BF4548B" w14:textId="77777777" w:rsidR="00FB0641" w:rsidRDefault="00FB0641" w:rsidP="00FB0641">
      <w:pPr>
        <w:ind w:left="1440" w:hanging="360"/>
        <w:jc w:val="both"/>
        <w:rPr>
          <w:sz w:val="24"/>
        </w:rPr>
      </w:pPr>
      <w:r>
        <w:rPr>
          <w:sz w:val="24"/>
        </w:rPr>
        <w:t>(2)</w:t>
      </w:r>
      <w:r>
        <w:rPr>
          <w:sz w:val="24"/>
        </w:rPr>
        <w:tab/>
      </w:r>
      <w:r>
        <w:rPr>
          <w:i/>
          <w:sz w:val="24"/>
        </w:rPr>
        <w:t>De Minimis Allocations</w:t>
      </w:r>
      <w:r>
        <w:rPr>
          <w:sz w:val="24"/>
        </w:rPr>
        <w:t>: When a block order is partially filled, it may be reallocated among the accounts specified on the trade ticket because, in the case of equity securities, less than an appropriate number of shares or, in the case of bonds, less than an appropriate dollar amount of the bond has been obtained for a particular account.</w:t>
      </w:r>
    </w:p>
    <w:p w14:paraId="775C45D0" w14:textId="77777777" w:rsidR="00FB0641" w:rsidRDefault="00FB0641" w:rsidP="00FB0641">
      <w:pPr>
        <w:ind w:left="1440" w:hanging="360"/>
        <w:jc w:val="both"/>
        <w:rPr>
          <w:sz w:val="24"/>
        </w:rPr>
      </w:pPr>
    </w:p>
    <w:p w14:paraId="29EF3D4A" w14:textId="77777777" w:rsidR="00FB0641" w:rsidRDefault="00FB0641" w:rsidP="00FB0641">
      <w:pPr>
        <w:ind w:left="1440" w:hanging="360"/>
        <w:jc w:val="both"/>
        <w:rPr>
          <w:sz w:val="24"/>
        </w:rPr>
      </w:pPr>
      <w:r>
        <w:rPr>
          <w:sz w:val="24"/>
        </w:rPr>
        <w:lastRenderedPageBreak/>
        <w:t>(3)</w:t>
      </w:r>
      <w:r>
        <w:rPr>
          <w:sz w:val="24"/>
        </w:rPr>
        <w:tab/>
      </w:r>
      <w:r>
        <w:rPr>
          <w:i/>
          <w:sz w:val="24"/>
        </w:rPr>
        <w:t>Unforeseen Circumstances</w:t>
      </w:r>
      <w:r>
        <w:rPr>
          <w:sz w:val="24"/>
        </w:rPr>
        <w:t>. A block order may be reallocated among either accounts specified on the trade ticket or other accounts due to unforeseen circumstances, such as those listed above.</w:t>
      </w:r>
    </w:p>
    <w:p w14:paraId="5A0F1C1E" w14:textId="77777777" w:rsidR="00FB0641" w:rsidRDefault="00FB0641" w:rsidP="00FB0641">
      <w:pPr>
        <w:ind w:left="1425"/>
        <w:jc w:val="both"/>
        <w:rPr>
          <w:sz w:val="24"/>
        </w:rPr>
      </w:pPr>
    </w:p>
    <w:p w14:paraId="10B69BBE" w14:textId="77777777" w:rsidR="00FB0641" w:rsidRDefault="00FB0641" w:rsidP="00FB0641">
      <w:pPr>
        <w:pStyle w:val="BodyTextIndent3"/>
        <w:tabs>
          <w:tab w:val="num" w:pos="1080"/>
        </w:tabs>
        <w:spacing w:before="0" w:after="0"/>
      </w:pPr>
      <w:r>
        <w:t>All accounts must be fairly and equitably treated by any post</w:t>
      </w:r>
      <w:r>
        <w:noBreakHyphen/>
        <w:t>execution reallocation of a trade.</w:t>
      </w:r>
    </w:p>
    <w:p w14:paraId="488190A1" w14:textId="77777777" w:rsidR="006047A9" w:rsidRDefault="006047A9" w:rsidP="00FB0641">
      <w:pPr>
        <w:pStyle w:val="BodyTextIndent3"/>
        <w:tabs>
          <w:tab w:val="num" w:pos="1080"/>
        </w:tabs>
        <w:spacing w:before="0" w:after="0"/>
        <w:ind w:left="0"/>
        <w:rPr>
          <w:b/>
          <w:bCs/>
        </w:rPr>
      </w:pPr>
    </w:p>
    <w:p w14:paraId="2D964AB4" w14:textId="77777777" w:rsidR="006047A9" w:rsidRDefault="006047A9" w:rsidP="00FB0641">
      <w:pPr>
        <w:pStyle w:val="BodyTextIndent3"/>
        <w:tabs>
          <w:tab w:val="num" w:pos="1080"/>
        </w:tabs>
        <w:spacing w:before="0" w:after="0"/>
        <w:ind w:left="0"/>
        <w:rPr>
          <w:b/>
          <w:bCs/>
        </w:rPr>
      </w:pPr>
    </w:p>
    <w:p w14:paraId="79BCA98A" w14:textId="77777777" w:rsidR="006047A9" w:rsidRPr="00320DE6" w:rsidRDefault="001C57AD" w:rsidP="00936FEE">
      <w:pPr>
        <w:pStyle w:val="Heading2"/>
      </w:pPr>
      <w:r>
        <w:t xml:space="preserve">8.9 </w:t>
      </w:r>
      <w:r w:rsidR="006047A9" w:rsidRPr="00320DE6">
        <w:t>Sale of 144 Restricted Stock</w:t>
      </w:r>
    </w:p>
    <w:p w14:paraId="55C0FE47" w14:textId="77777777" w:rsidR="00FB0641" w:rsidRDefault="00FB0641" w:rsidP="00FB0641">
      <w:pPr>
        <w:pStyle w:val="BodyTextIndent3"/>
        <w:tabs>
          <w:tab w:val="num" w:pos="1080"/>
        </w:tabs>
        <w:spacing w:before="0" w:after="0"/>
        <w:ind w:left="0"/>
      </w:pPr>
      <w:r>
        <w:t>The following procedures must be adhered to for the sale of control or restricted securities:</w:t>
      </w:r>
    </w:p>
    <w:p w14:paraId="67E7E067" w14:textId="77777777" w:rsidR="00FB0641" w:rsidRDefault="00FB0641" w:rsidP="00FB0641">
      <w:pPr>
        <w:pStyle w:val="BodyTextIndent3"/>
        <w:tabs>
          <w:tab w:val="num" w:pos="1080"/>
        </w:tabs>
        <w:spacing w:before="0" w:after="0"/>
        <w:ind w:left="0"/>
      </w:pPr>
    </w:p>
    <w:p w14:paraId="4598BDDD" w14:textId="77777777" w:rsidR="00FB0641" w:rsidRDefault="00FB0641" w:rsidP="00FB0641">
      <w:pPr>
        <w:pStyle w:val="BodyTextIndent3"/>
        <w:tabs>
          <w:tab w:val="num" w:pos="1080"/>
        </w:tabs>
        <w:spacing w:before="0" w:after="0"/>
        <w:ind w:left="0"/>
        <w:rPr>
          <w:i/>
          <w:iCs/>
        </w:rPr>
      </w:pPr>
      <w:r>
        <w:rPr>
          <w:i/>
          <w:iCs/>
        </w:rPr>
        <w:t>Definitions:</w:t>
      </w:r>
    </w:p>
    <w:p w14:paraId="0FB89716" w14:textId="77777777" w:rsidR="00FB0641" w:rsidRDefault="00FB0641" w:rsidP="00FB0641">
      <w:pPr>
        <w:pStyle w:val="BodyTextIndent3"/>
        <w:tabs>
          <w:tab w:val="num" w:pos="1080"/>
        </w:tabs>
        <w:spacing w:before="0" w:after="0"/>
        <w:ind w:left="0"/>
      </w:pPr>
    </w:p>
    <w:p w14:paraId="3788EBA1" w14:textId="77777777" w:rsidR="00FB0641" w:rsidRDefault="00FB0641" w:rsidP="00EA3F38">
      <w:pPr>
        <w:pStyle w:val="BodyTextIndent3"/>
        <w:tabs>
          <w:tab w:val="num" w:pos="1080"/>
        </w:tabs>
        <w:spacing w:before="0" w:after="0"/>
        <w:ind w:left="0"/>
        <w:rPr>
          <w:u w:val="single"/>
        </w:rPr>
      </w:pPr>
      <w:r>
        <w:rPr>
          <w:u w:val="single"/>
        </w:rPr>
        <w:t>Control Securities</w:t>
      </w:r>
    </w:p>
    <w:p w14:paraId="1AC441A7" w14:textId="77777777" w:rsidR="00FB0641" w:rsidRDefault="00FB0641" w:rsidP="00EA3F38">
      <w:pPr>
        <w:jc w:val="both"/>
      </w:pPr>
      <w:r>
        <w:rPr>
          <w:sz w:val="24"/>
        </w:rPr>
        <w:t xml:space="preserve">Control securities are securities owned by affiliates of the issuer. Under Rule 144, an affiliate may sell control securities of the issuer without registration under the 1933 Act if all of the following requirements are met:  </w:t>
      </w:r>
    </w:p>
    <w:p w14:paraId="7617660D" w14:textId="77777777" w:rsidR="00FB0641" w:rsidRDefault="00FB0641" w:rsidP="00F56F61">
      <w:pPr>
        <w:spacing w:before="120"/>
        <w:jc w:val="both"/>
      </w:pPr>
      <w:r>
        <w:rPr>
          <w:sz w:val="24"/>
        </w:rPr>
        <w:t xml:space="preserve">1. There is adequate current public information available about the company that issued the securities sold.  </w:t>
      </w:r>
    </w:p>
    <w:p w14:paraId="7AB2FE60" w14:textId="77777777" w:rsidR="00FB0641" w:rsidRDefault="00FB0641" w:rsidP="00F56F61">
      <w:pPr>
        <w:spacing w:before="120"/>
        <w:jc w:val="both"/>
      </w:pPr>
      <w:r>
        <w:rPr>
          <w:sz w:val="24"/>
        </w:rPr>
        <w:t xml:space="preserve">2. The quantity of securities that may be sold within any three-month period under Rule 144 is limited by a volume formula.  </w:t>
      </w:r>
    </w:p>
    <w:p w14:paraId="3FD59A3E" w14:textId="77777777" w:rsidR="00FB0641" w:rsidRDefault="00FB0641" w:rsidP="00F56F61">
      <w:pPr>
        <w:spacing w:before="120"/>
        <w:jc w:val="both"/>
      </w:pPr>
      <w:r>
        <w:rPr>
          <w:sz w:val="24"/>
        </w:rPr>
        <w:t>3. The securities must be sold in ordinary broker's transactions, defined as no solicitations of buy orders by either the selling customer or the selling broker. Under certain circumstances, a Rule 144 seller may sell his securities directly to a "market maker. The term</w:t>
      </w:r>
      <w:r w:rsidR="008B42ED">
        <w:rPr>
          <w:sz w:val="24"/>
        </w:rPr>
        <w:t xml:space="preserve"> “</w:t>
      </w:r>
      <w:r>
        <w:rPr>
          <w:sz w:val="24"/>
        </w:rPr>
        <w:t>market maker</w:t>
      </w:r>
      <w:r w:rsidR="008B42ED">
        <w:rPr>
          <w:sz w:val="24"/>
        </w:rPr>
        <w:t>”</w:t>
      </w:r>
      <w:r>
        <w:rPr>
          <w:sz w:val="24"/>
        </w:rPr>
        <w:t xml:space="preserve"> includes OTC traders or a securities dealer positioning blocks of listed stocks.  </w:t>
      </w:r>
    </w:p>
    <w:p w14:paraId="008B0FA0" w14:textId="77777777" w:rsidR="00FB0641" w:rsidRDefault="00FB0641" w:rsidP="00F56F61">
      <w:pPr>
        <w:pStyle w:val="BodyText"/>
        <w:spacing w:after="0"/>
      </w:pPr>
      <w:r>
        <w:t xml:space="preserve">4. Filing of the Notice of Proposed Sale of Securities (Form 144), when required, must be accomplished on or before the day of sale (filing should be done by selling firm).  </w:t>
      </w:r>
    </w:p>
    <w:p w14:paraId="71E30B18" w14:textId="77777777" w:rsidR="00740C24" w:rsidRDefault="00740C24" w:rsidP="00F56F61">
      <w:pPr>
        <w:pStyle w:val="BodyText"/>
        <w:spacing w:after="0"/>
      </w:pPr>
    </w:p>
    <w:p w14:paraId="2E2D8ABC" w14:textId="77777777" w:rsidR="00FB0641" w:rsidRDefault="00FB0641" w:rsidP="00EA3F38">
      <w:pPr>
        <w:jc w:val="both"/>
      </w:pPr>
      <w:r>
        <w:rPr>
          <w:sz w:val="24"/>
          <w:u w:val="single"/>
        </w:rPr>
        <w:t xml:space="preserve">Restricted Securities  </w:t>
      </w:r>
    </w:p>
    <w:p w14:paraId="24302CC9" w14:textId="77777777" w:rsidR="00FB0641" w:rsidRDefault="00FB0641" w:rsidP="00EA3F38">
      <w:r>
        <w:rPr>
          <w:sz w:val="24"/>
        </w:rPr>
        <w:t xml:space="preserve">If restricted securities are to be sold, Rule 144 may be employed to </w:t>
      </w:r>
      <w:r w:rsidR="00D0432A">
        <w:rPr>
          <w:sz w:val="24"/>
        </w:rPr>
        <w:t>affect</w:t>
      </w:r>
      <w:r>
        <w:rPr>
          <w:sz w:val="24"/>
        </w:rPr>
        <w:t xml:space="preserve"> the sale provided that:  </w:t>
      </w:r>
    </w:p>
    <w:p w14:paraId="6732D05E" w14:textId="77777777" w:rsidR="00FB0641" w:rsidRDefault="00FB0641" w:rsidP="00FB0641">
      <w:pPr>
        <w:spacing w:before="120"/>
      </w:pPr>
      <w:r>
        <w:rPr>
          <w:sz w:val="24"/>
        </w:rPr>
        <w:t xml:space="preserve">1. Each of the above four requirements is met, </w:t>
      </w:r>
      <w:r>
        <w:rPr>
          <w:b/>
          <w:bCs/>
          <w:sz w:val="24"/>
        </w:rPr>
        <w:t>and,</w:t>
      </w:r>
      <w:r>
        <w:rPr>
          <w:sz w:val="24"/>
        </w:rPr>
        <w:t xml:space="preserve">  </w:t>
      </w:r>
    </w:p>
    <w:p w14:paraId="23708C94" w14:textId="77777777" w:rsidR="00FB0641" w:rsidRDefault="00FB0641" w:rsidP="00FB0641">
      <w:pPr>
        <w:spacing w:before="120"/>
      </w:pPr>
      <w:r>
        <w:rPr>
          <w:sz w:val="24"/>
        </w:rPr>
        <w:t xml:space="preserve">2. </w:t>
      </w:r>
      <w:r>
        <w:rPr>
          <w:sz w:val="24"/>
          <w:u w:val="single"/>
        </w:rPr>
        <w:t xml:space="preserve">The securities must have been fully paid for and beneficially owned for at least one year.  </w:t>
      </w:r>
    </w:p>
    <w:p w14:paraId="2FCDC8DB" w14:textId="77777777" w:rsidR="00FB0641" w:rsidRDefault="00FB0641" w:rsidP="00FB0641">
      <w:pPr>
        <w:spacing w:before="120"/>
        <w:rPr>
          <w:rFonts w:ascii="TimesNewRoman,Italic" w:hAnsi="TimesNewRoman,Italic"/>
          <w:sz w:val="24"/>
        </w:rPr>
      </w:pPr>
    </w:p>
    <w:p w14:paraId="049F5127" w14:textId="77777777" w:rsidR="00FB0641" w:rsidRDefault="00FB0641" w:rsidP="00FB0641">
      <w:pPr>
        <w:spacing w:before="120"/>
        <w:rPr>
          <w:i/>
          <w:iCs/>
          <w:sz w:val="24"/>
        </w:rPr>
      </w:pPr>
      <w:r>
        <w:rPr>
          <w:i/>
          <w:iCs/>
          <w:sz w:val="24"/>
        </w:rPr>
        <w:t>General Guidelines:</w:t>
      </w:r>
    </w:p>
    <w:p w14:paraId="6EF9059B" w14:textId="77777777" w:rsidR="00FB0641" w:rsidRDefault="00FB0641" w:rsidP="00216F83">
      <w:pPr>
        <w:pStyle w:val="BodyText2"/>
        <w:widowControl/>
        <w:numPr>
          <w:ilvl w:val="0"/>
          <w:numId w:val="26"/>
        </w:numPr>
        <w:spacing w:before="120"/>
      </w:pPr>
      <w:r>
        <w:t>Make sure the above conditions apply;</w:t>
      </w:r>
    </w:p>
    <w:p w14:paraId="6258ED3D" w14:textId="77777777" w:rsidR="00FB0641" w:rsidRDefault="00FB0641" w:rsidP="00216F83">
      <w:pPr>
        <w:pStyle w:val="BodyText2"/>
        <w:widowControl/>
        <w:numPr>
          <w:ilvl w:val="0"/>
          <w:numId w:val="26"/>
        </w:numPr>
        <w:spacing w:before="120"/>
      </w:pPr>
      <w:r>
        <w:t xml:space="preserve">Contact </w:t>
      </w:r>
      <w:r w:rsidR="00530511" w:rsidRPr="00AF6186">
        <w:t>HTS</w:t>
      </w:r>
      <w:r w:rsidRPr="00AF6186">
        <w:t xml:space="preserve"> </w:t>
      </w:r>
      <w:r>
        <w:t>Stock Transfer &amp; Receipt Department to notify them of customer’s intent to sell their 144 stock;</w:t>
      </w:r>
    </w:p>
    <w:p w14:paraId="08922697" w14:textId="77777777" w:rsidR="00FB0641" w:rsidRDefault="00FB0641" w:rsidP="00216F83">
      <w:pPr>
        <w:pStyle w:val="BodyText2"/>
        <w:widowControl/>
        <w:numPr>
          <w:ilvl w:val="0"/>
          <w:numId w:val="26"/>
        </w:numPr>
        <w:spacing w:before="120"/>
      </w:pPr>
      <w:r>
        <w:t>In most cases, customer will have to obtain a Legal Opinion from the Issuer’s  Counsel;</w:t>
      </w:r>
    </w:p>
    <w:p w14:paraId="69DF11C5" w14:textId="77777777" w:rsidR="00FB0641" w:rsidRDefault="00FB0641" w:rsidP="00216F83">
      <w:pPr>
        <w:pStyle w:val="BodyText2"/>
        <w:widowControl/>
        <w:numPr>
          <w:ilvl w:val="0"/>
          <w:numId w:val="26"/>
        </w:numPr>
        <w:spacing w:before="120"/>
      </w:pPr>
      <w:r>
        <w:t xml:space="preserve">Have customer sign Rule 144 Seller Letter (can be obtained from </w:t>
      </w:r>
      <w:r w:rsidR="00530511" w:rsidRPr="00AF6186">
        <w:t>HT</w:t>
      </w:r>
      <w:r>
        <w:t>S);</w:t>
      </w:r>
    </w:p>
    <w:p w14:paraId="2DB9A522" w14:textId="77777777" w:rsidR="00FB0641" w:rsidRDefault="00FB0641" w:rsidP="00216F83">
      <w:pPr>
        <w:pStyle w:val="BodyText2"/>
        <w:widowControl/>
        <w:numPr>
          <w:ilvl w:val="0"/>
          <w:numId w:val="26"/>
        </w:numPr>
        <w:spacing w:before="120"/>
      </w:pPr>
      <w:r>
        <w:t>Have customer send his certificate(s) and items #3 and #4 above to:</w:t>
      </w:r>
    </w:p>
    <w:p w14:paraId="4600D8C7" w14:textId="77777777" w:rsidR="00FB0641" w:rsidRDefault="00FB0641" w:rsidP="00FB0641">
      <w:pPr>
        <w:pStyle w:val="BodyText2"/>
        <w:widowControl/>
        <w:ind w:left="360"/>
      </w:pPr>
      <w:r>
        <w:t xml:space="preserve">             </w:t>
      </w:r>
      <w:r w:rsidR="00530511" w:rsidRPr="00AF6186">
        <w:t>Hilltop</w:t>
      </w:r>
      <w:r>
        <w:t xml:space="preserve"> Securities, Inc.</w:t>
      </w:r>
    </w:p>
    <w:p w14:paraId="29891273" w14:textId="77777777" w:rsidR="00FB0641" w:rsidRDefault="00FB0641" w:rsidP="00FB0641">
      <w:pPr>
        <w:pStyle w:val="BodyText2"/>
        <w:widowControl/>
        <w:ind w:left="360"/>
      </w:pPr>
      <w:r>
        <w:t xml:space="preserve">             Stock Transfer and Receipt</w:t>
      </w:r>
    </w:p>
    <w:p w14:paraId="0A959C8C" w14:textId="77777777" w:rsidR="00FB0641" w:rsidRDefault="00FB0641" w:rsidP="00FB0641">
      <w:pPr>
        <w:pStyle w:val="BodyText2"/>
        <w:widowControl/>
        <w:ind w:left="360"/>
      </w:pPr>
      <w:r>
        <w:lastRenderedPageBreak/>
        <w:t xml:space="preserve">             Attn: 144 Stock Sale</w:t>
      </w:r>
    </w:p>
    <w:p w14:paraId="28A36760" w14:textId="77777777" w:rsidR="00FB0641" w:rsidRDefault="00FB0641" w:rsidP="00FB0641">
      <w:pPr>
        <w:pStyle w:val="BodyText2"/>
        <w:widowControl/>
        <w:ind w:left="360"/>
      </w:pPr>
      <w:r>
        <w:t xml:space="preserve">             1201 Elm Street #3500</w:t>
      </w:r>
    </w:p>
    <w:p w14:paraId="1FC1906A" w14:textId="77777777" w:rsidR="00FB0641" w:rsidRDefault="00FB0641" w:rsidP="00FB0641">
      <w:pPr>
        <w:pStyle w:val="BodyText2"/>
        <w:widowControl/>
        <w:ind w:left="360"/>
      </w:pPr>
      <w:r>
        <w:t xml:space="preserve">             Dallas TX 75270</w:t>
      </w:r>
    </w:p>
    <w:p w14:paraId="5FCDF15F" w14:textId="77777777" w:rsidR="006047A9" w:rsidRDefault="006047A9" w:rsidP="00FB0641">
      <w:pPr>
        <w:pStyle w:val="BodyText2"/>
        <w:widowControl/>
        <w:rPr>
          <w:b/>
        </w:rPr>
      </w:pPr>
    </w:p>
    <w:p w14:paraId="7AB1B28F" w14:textId="77777777" w:rsidR="00EA3F38" w:rsidRPr="006D5CDF" w:rsidRDefault="00EA3F38" w:rsidP="00EA3F38">
      <w:pPr>
        <w:pStyle w:val="BodyText2"/>
        <w:widowControl/>
      </w:pPr>
      <w:r w:rsidRPr="006D5CDF">
        <w:rPr>
          <w:u w:val="single"/>
        </w:rPr>
        <w:t>Red Flags</w:t>
      </w:r>
    </w:p>
    <w:p w14:paraId="0E1C0B1E" w14:textId="77777777" w:rsidR="00EA3F38" w:rsidRPr="006D5CDF" w:rsidRDefault="00EA3F38" w:rsidP="00EA3F38">
      <w:pPr>
        <w:rPr>
          <w:sz w:val="24"/>
          <w:szCs w:val="24"/>
        </w:rPr>
      </w:pPr>
      <w:r w:rsidRPr="006D5CDF">
        <w:rPr>
          <w:sz w:val="24"/>
          <w:szCs w:val="24"/>
        </w:rPr>
        <w:t>Broker-dealers are prohibited from selling unregistered securities unless the sale falls within an available exemption such as Rule 144 or Section 4(a)(4) discussed in the prior paragraphs. Avoiding such sales is based on knowing the customer and the securities to be sold.  The RR should be aware of "red flags" that may indicate a customer is selling unregistered securities, including the following examples:</w:t>
      </w:r>
    </w:p>
    <w:p w14:paraId="64E3386A"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 xml:space="preserve">A customer opens a new account and delivers physical certificates representing a large block of </w:t>
      </w:r>
      <w:proofErr w:type="gramStart"/>
      <w:r w:rsidRPr="006D5CDF">
        <w:rPr>
          <w:sz w:val="24"/>
          <w:szCs w:val="24"/>
        </w:rPr>
        <w:t>thinly-traded</w:t>
      </w:r>
      <w:proofErr w:type="gramEnd"/>
      <w:r w:rsidRPr="006D5CDF">
        <w:rPr>
          <w:sz w:val="24"/>
          <w:szCs w:val="24"/>
        </w:rPr>
        <w:t xml:space="preserve"> or low-priced securities he wants to send to </w:t>
      </w:r>
      <w:r w:rsidR="00D57DCA" w:rsidRPr="00AF6186">
        <w:rPr>
          <w:sz w:val="24"/>
          <w:szCs w:val="24"/>
        </w:rPr>
        <w:t>HT</w:t>
      </w:r>
      <w:r w:rsidRPr="00AF6186">
        <w:rPr>
          <w:sz w:val="24"/>
          <w:szCs w:val="24"/>
        </w:rPr>
        <w:t>S</w:t>
      </w:r>
      <w:r w:rsidRPr="006D5CDF">
        <w:rPr>
          <w:sz w:val="24"/>
          <w:szCs w:val="24"/>
        </w:rPr>
        <w:t>.</w:t>
      </w:r>
    </w:p>
    <w:p w14:paraId="7BF83563"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 xml:space="preserve">A customer has a pattern of depositing physical share certificates, immediately selling the shares and then wiring out the proceeds of the resale. </w:t>
      </w:r>
    </w:p>
    <w:p w14:paraId="7C2512F8"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A customer deposits share certificates that are recently issued or represent a large percentage of the float for the security.</w:t>
      </w:r>
    </w:p>
    <w:p w14:paraId="3555A59C"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Share certificates reference a company or customer name that has been changed or that does not match the name on the account.</w:t>
      </w:r>
    </w:p>
    <w:p w14:paraId="31BF32B5"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The lack of a restrictive legend on deposited shares seems inconsistent with the date the customer acquired the securities or the nature of the transaction in which the securities were acquired.</w:t>
      </w:r>
    </w:p>
    <w:p w14:paraId="0F0905DA" w14:textId="42ED87F4"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 xml:space="preserve">There is a sudden spike in investor demand for, coupled with a rising price in, a </w:t>
      </w:r>
      <w:r w:rsidR="004E5448" w:rsidRPr="006D5CDF">
        <w:rPr>
          <w:sz w:val="24"/>
          <w:szCs w:val="24"/>
        </w:rPr>
        <w:t>thinly traded</w:t>
      </w:r>
      <w:r w:rsidRPr="006D5CDF">
        <w:rPr>
          <w:sz w:val="24"/>
          <w:szCs w:val="24"/>
        </w:rPr>
        <w:t xml:space="preserve"> or low-priced security. </w:t>
      </w:r>
    </w:p>
    <w:p w14:paraId="6832233B"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The company was a shell company when it issued the shares.</w:t>
      </w:r>
    </w:p>
    <w:p w14:paraId="667E809F"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 xml:space="preserve">A customer with limited or no other assets under management at </w:t>
      </w:r>
      <w:r w:rsidR="00B608F1">
        <w:rPr>
          <w:sz w:val="24"/>
          <w:szCs w:val="24"/>
        </w:rPr>
        <w:t>Company</w:t>
      </w:r>
      <w:r w:rsidRPr="006D5CDF">
        <w:rPr>
          <w:sz w:val="24"/>
          <w:szCs w:val="24"/>
        </w:rPr>
        <w:t xml:space="preserve"> receives an electronic transfer or journal transactions of large amounts of low-priced, unlisted securities.</w:t>
      </w:r>
    </w:p>
    <w:p w14:paraId="1E194D13"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The issuer has been through several recent name changes, business combinations or recapitalizations, or the company's officers are also officers of numerous similar companies.</w:t>
      </w:r>
    </w:p>
    <w:p w14:paraId="4BAE884D"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The issuer's SEC filings are not current, are incomplete, or nonexistent.</w:t>
      </w:r>
    </w:p>
    <w:p w14:paraId="01AFC6DF"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Omnibus accounts are opened for purported stock loan companies which may hold restricted securities of corporate insiders who have pledged the securities as collateral for, and then defaulted on, purported loans, after which the securities are sold on an unregistered basis.</w:t>
      </w:r>
    </w:p>
    <w:p w14:paraId="4F6D04C5"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Accounts are held in the name of a corporate entity (or LLC), either for the company's own use or as a third-party custodian on behalf of other beneficial shareholders or customers, which disguise the unregistered sales of securities owned by corporate insiders of the company and allow for those insiders to withdraw proceeds individually.</w:t>
      </w:r>
    </w:p>
    <w:p w14:paraId="245CD668"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Accounts are held in the names of foreign financial institutions, such as offshore banks and/or broker-dealers that sold shares of the stock on an unregistered basis on behalf of customers, who may have been stock promoters.</w:t>
      </w:r>
    </w:p>
    <w:p w14:paraId="189A2049" w14:textId="77777777" w:rsidR="00EA3F38" w:rsidRPr="006D5CDF" w:rsidRDefault="00EA3F38" w:rsidP="003E7B18">
      <w:pPr>
        <w:numPr>
          <w:ilvl w:val="0"/>
          <w:numId w:val="275"/>
        </w:numPr>
        <w:spacing w:before="100" w:beforeAutospacing="1" w:after="100" w:afterAutospacing="1"/>
        <w:rPr>
          <w:sz w:val="24"/>
          <w:szCs w:val="24"/>
        </w:rPr>
      </w:pPr>
      <w:r w:rsidRPr="006D5CDF">
        <w:rPr>
          <w:sz w:val="24"/>
          <w:szCs w:val="24"/>
        </w:rPr>
        <w:t>Accounts may use a master/sub-structure, which allows for trading anonymity with respect to the sub-accounts' activity.</w:t>
      </w:r>
    </w:p>
    <w:p w14:paraId="6BD55574" w14:textId="77777777" w:rsidR="00EA3F38" w:rsidRPr="006D5CDF" w:rsidRDefault="00EA3F38" w:rsidP="00EA3F38">
      <w:pPr>
        <w:spacing w:before="100" w:beforeAutospacing="1" w:after="100" w:afterAutospacing="1"/>
        <w:rPr>
          <w:sz w:val="24"/>
          <w:szCs w:val="24"/>
        </w:rPr>
      </w:pPr>
      <w:r w:rsidRPr="006D5CDF">
        <w:rPr>
          <w:sz w:val="24"/>
          <w:szCs w:val="24"/>
        </w:rPr>
        <w:t>When confronted with a customer wanting to sell a block of stock where there may be a question about the registered status of the stock, the following questions should be asked:</w:t>
      </w:r>
    </w:p>
    <w:p w14:paraId="723C212C" w14:textId="77777777" w:rsidR="00EA3F38" w:rsidRPr="006D5CDF" w:rsidRDefault="00EA3F38" w:rsidP="003E7B18">
      <w:pPr>
        <w:numPr>
          <w:ilvl w:val="0"/>
          <w:numId w:val="276"/>
        </w:numPr>
        <w:spacing w:before="100" w:beforeAutospacing="1" w:after="100" w:afterAutospacing="1"/>
        <w:rPr>
          <w:sz w:val="24"/>
          <w:szCs w:val="24"/>
        </w:rPr>
      </w:pPr>
      <w:r w:rsidRPr="006D5CDF">
        <w:rPr>
          <w:sz w:val="24"/>
          <w:szCs w:val="24"/>
        </w:rPr>
        <w:lastRenderedPageBreak/>
        <w:t>How long has the customer held the securities?</w:t>
      </w:r>
    </w:p>
    <w:p w14:paraId="07D193B1" w14:textId="77777777" w:rsidR="00EA3F38" w:rsidRPr="006D5CDF" w:rsidRDefault="00EA3F38" w:rsidP="003E7B18">
      <w:pPr>
        <w:numPr>
          <w:ilvl w:val="0"/>
          <w:numId w:val="276"/>
        </w:numPr>
        <w:spacing w:before="100" w:beforeAutospacing="1" w:after="100" w:afterAutospacing="1"/>
        <w:rPr>
          <w:sz w:val="24"/>
          <w:szCs w:val="24"/>
        </w:rPr>
      </w:pPr>
      <w:r w:rsidRPr="006D5CDF">
        <w:rPr>
          <w:sz w:val="24"/>
          <w:szCs w:val="24"/>
        </w:rPr>
        <w:t>How did the customer acquire the securities?</w:t>
      </w:r>
    </w:p>
    <w:p w14:paraId="0E1BA6C6" w14:textId="77777777" w:rsidR="00EA3F38" w:rsidRPr="006D5CDF" w:rsidRDefault="00EA3F38" w:rsidP="003E7B18">
      <w:pPr>
        <w:numPr>
          <w:ilvl w:val="0"/>
          <w:numId w:val="276"/>
        </w:numPr>
        <w:spacing w:before="100" w:beforeAutospacing="1" w:after="100" w:afterAutospacing="1"/>
        <w:rPr>
          <w:sz w:val="24"/>
          <w:szCs w:val="24"/>
        </w:rPr>
      </w:pPr>
      <w:r w:rsidRPr="006D5CDF">
        <w:rPr>
          <w:sz w:val="24"/>
          <w:szCs w:val="24"/>
        </w:rPr>
        <w:t>Does the customer intend to sell additional shares of the same class of securities through other means?</w:t>
      </w:r>
    </w:p>
    <w:p w14:paraId="55D9B99E" w14:textId="77777777" w:rsidR="00EA3F38" w:rsidRPr="006D5CDF" w:rsidRDefault="00EA3F38" w:rsidP="003E7B18">
      <w:pPr>
        <w:numPr>
          <w:ilvl w:val="0"/>
          <w:numId w:val="276"/>
        </w:numPr>
        <w:spacing w:before="100" w:beforeAutospacing="1" w:after="100" w:afterAutospacing="1"/>
        <w:rPr>
          <w:sz w:val="24"/>
          <w:szCs w:val="24"/>
        </w:rPr>
      </w:pPr>
      <w:r w:rsidRPr="006D5CDF">
        <w:rPr>
          <w:sz w:val="24"/>
          <w:szCs w:val="24"/>
        </w:rPr>
        <w:t>Has the customer solicited or made any arrangement for the solicitation of buy orders in connection with the proposed resale of unregistered securities?</w:t>
      </w:r>
    </w:p>
    <w:p w14:paraId="1CB2CB60" w14:textId="77777777" w:rsidR="00EA3F38" w:rsidRPr="006D5CDF" w:rsidRDefault="00EA3F38" w:rsidP="003E7B18">
      <w:pPr>
        <w:numPr>
          <w:ilvl w:val="0"/>
          <w:numId w:val="276"/>
        </w:numPr>
        <w:spacing w:before="100" w:beforeAutospacing="1" w:after="100" w:afterAutospacing="1"/>
        <w:rPr>
          <w:sz w:val="24"/>
          <w:szCs w:val="24"/>
        </w:rPr>
      </w:pPr>
      <w:r w:rsidRPr="006D5CDF">
        <w:rPr>
          <w:sz w:val="24"/>
          <w:szCs w:val="24"/>
        </w:rPr>
        <w:t>Has the customer made any payment to any other person in connection with the proposed resale of securities?</w:t>
      </w:r>
    </w:p>
    <w:p w14:paraId="1230E7B6" w14:textId="77777777" w:rsidR="00EA3F38" w:rsidRPr="006D5CDF" w:rsidRDefault="00EA3F38" w:rsidP="003E7B18">
      <w:pPr>
        <w:numPr>
          <w:ilvl w:val="0"/>
          <w:numId w:val="276"/>
        </w:numPr>
        <w:spacing w:before="100" w:beforeAutospacing="1" w:after="100" w:afterAutospacing="1"/>
        <w:rPr>
          <w:sz w:val="24"/>
          <w:szCs w:val="24"/>
        </w:rPr>
      </w:pPr>
      <w:r w:rsidRPr="006D5CDF">
        <w:rPr>
          <w:sz w:val="24"/>
          <w:szCs w:val="24"/>
        </w:rPr>
        <w:t>How many shares or other units of the class are outstanding, and what is the relevant trading volume?</w:t>
      </w:r>
    </w:p>
    <w:p w14:paraId="7935EFAE" w14:textId="77777777" w:rsidR="006047A9" w:rsidRDefault="006047A9" w:rsidP="00FB0641">
      <w:pPr>
        <w:pStyle w:val="BodyText2"/>
        <w:widowControl/>
        <w:rPr>
          <w:b/>
        </w:rPr>
      </w:pPr>
    </w:p>
    <w:p w14:paraId="2538D9C1" w14:textId="77777777" w:rsidR="00FB0641" w:rsidRPr="00320DE6" w:rsidRDefault="008F53AD" w:rsidP="00936FEE">
      <w:pPr>
        <w:pStyle w:val="Heading2"/>
      </w:pPr>
      <w:r>
        <w:t xml:space="preserve">8.10 </w:t>
      </w:r>
      <w:r w:rsidR="006047A9" w:rsidRPr="00320DE6">
        <w:t>Direct Application &amp; Check Transactions</w:t>
      </w:r>
    </w:p>
    <w:p w14:paraId="11067830" w14:textId="77777777" w:rsidR="00FB0641" w:rsidRPr="00AD2BAC" w:rsidRDefault="00FB0641" w:rsidP="006047A9">
      <w:pPr>
        <w:pStyle w:val="BodyText2"/>
        <w:widowControl/>
        <w:jc w:val="both"/>
      </w:pPr>
      <w:r w:rsidRPr="00AD2BAC">
        <w:t xml:space="preserve">No Associated Person may forward any applications and checks directly to vendors without first obtaining supervisory review and approval and </w:t>
      </w:r>
      <w:proofErr w:type="gramStart"/>
      <w:r w:rsidRPr="00AD2BAC">
        <w:t>back</w:t>
      </w:r>
      <w:r w:rsidR="00B95A60">
        <w:t xml:space="preserve"> </w:t>
      </w:r>
      <w:r w:rsidRPr="00AD2BAC">
        <w:t>office</w:t>
      </w:r>
      <w:proofErr w:type="gramEnd"/>
      <w:r w:rsidRPr="00AD2BAC">
        <w:t xml:space="preserve"> processing.  All originals must be submitted to the OSJ or home office trading department for proper handling and supervisory review and approval.  Violations may result in an offer of cancellation to the customer with full recourse, a fine</w:t>
      </w:r>
      <w:r w:rsidR="00D5213E">
        <w:t>,</w:t>
      </w:r>
      <w:r w:rsidRPr="00AD2BAC">
        <w:t xml:space="preserve"> and or termination for repeated offenses.</w:t>
      </w:r>
    </w:p>
    <w:p w14:paraId="403D9052" w14:textId="77777777" w:rsidR="00FB0641" w:rsidRPr="00AD2BAC" w:rsidRDefault="00FB0641" w:rsidP="00FB0641">
      <w:pPr>
        <w:pStyle w:val="BodyText2"/>
        <w:widowControl/>
        <w:rPr>
          <w:b/>
        </w:rPr>
      </w:pPr>
    </w:p>
    <w:p w14:paraId="14D66D30" w14:textId="77777777" w:rsidR="006047A9" w:rsidRDefault="006047A9" w:rsidP="00FB0641">
      <w:pPr>
        <w:pStyle w:val="BodyText2"/>
        <w:widowControl/>
        <w:rPr>
          <w:b/>
        </w:rPr>
      </w:pPr>
    </w:p>
    <w:p w14:paraId="01278449" w14:textId="77777777" w:rsidR="00D4291D" w:rsidRPr="00320DE6" w:rsidRDefault="00D4291D" w:rsidP="00936FEE">
      <w:pPr>
        <w:pStyle w:val="Heading2"/>
      </w:pPr>
      <w:r w:rsidRPr="00320DE6">
        <w:t>8.1</w:t>
      </w:r>
      <w:r w:rsidR="00A8339B">
        <w:t>1</w:t>
      </w:r>
      <w:r w:rsidRPr="00320DE6">
        <w:t xml:space="preserve"> Improperly Licensed Trades</w:t>
      </w:r>
    </w:p>
    <w:p w14:paraId="640AA0AF" w14:textId="77777777" w:rsidR="00FB0641" w:rsidRPr="00AD2BAC" w:rsidRDefault="00FB0641" w:rsidP="00D4291D">
      <w:pPr>
        <w:pStyle w:val="BodyText2"/>
        <w:widowControl/>
        <w:jc w:val="both"/>
      </w:pPr>
      <w:r w:rsidRPr="00AD2BAC">
        <w:t>For any trade executed for an Associated Person who is not properly licensed either in a jurisdiction or by proper securities license, a full rescission to the customer must be offered and/ or the trade cancelled and/or rebilled if applicable to a properly licensed Associated Person or House account.  No commission will be paid to the improperly licensed Associated Person</w:t>
      </w:r>
      <w:r>
        <w:t>s</w:t>
      </w:r>
      <w:r w:rsidRPr="00AD2BAC">
        <w:t>; however, if the Associated Person has already received the commission</w:t>
      </w:r>
      <w:r w:rsidR="00346270">
        <w:t xml:space="preserve"> </w:t>
      </w:r>
      <w:r w:rsidR="00346270" w:rsidRPr="00472765">
        <w:t>prior to discovery</w:t>
      </w:r>
      <w:r w:rsidRPr="00AD2BAC">
        <w:t>, a chargeback will be assessed.</w:t>
      </w:r>
    </w:p>
    <w:p w14:paraId="06C35450" w14:textId="77777777" w:rsidR="00FB0641" w:rsidRDefault="00FB0641" w:rsidP="00FB0641">
      <w:pPr>
        <w:pStyle w:val="BodyText2"/>
        <w:widowControl/>
        <w:spacing w:before="120"/>
        <w:rPr>
          <w:b/>
        </w:rPr>
      </w:pPr>
    </w:p>
    <w:p w14:paraId="0E862DDF" w14:textId="77777777" w:rsidR="0015172F" w:rsidRDefault="0015172F" w:rsidP="0015172F"/>
    <w:p w14:paraId="4C9A8F50" w14:textId="77777777" w:rsidR="00304179" w:rsidRPr="00320DE6" w:rsidRDefault="00304179" w:rsidP="00936FEE">
      <w:pPr>
        <w:pStyle w:val="Heading2"/>
      </w:pPr>
      <w:r w:rsidRPr="00320DE6">
        <w:t>8.1</w:t>
      </w:r>
      <w:r w:rsidR="00A8339B">
        <w:t>2</w:t>
      </w:r>
      <w:r w:rsidRPr="00320DE6">
        <w:t xml:space="preserve"> Personal Trades</w:t>
      </w:r>
    </w:p>
    <w:p w14:paraId="6078DEF4" w14:textId="77777777" w:rsidR="00FB0641" w:rsidRDefault="00304179" w:rsidP="00FB0641">
      <w:pPr>
        <w:pStyle w:val="MRS"/>
      </w:pPr>
      <w:r>
        <w:t>P</w:t>
      </w:r>
      <w:r w:rsidR="00FB0641">
        <w:t>rincipals and designated employees of the Company may execute orders on behalf of the Company, their own accounts or other accounts, however, it is a regulation of the Company that they must avoid security transactions and activities for these accounts which might conflict with or be detrimental to the interests of clients, or which are designed to profit by market effect.    These rules should not be construed in any way that would place the Company’s clients in a disadvantaged trading position.  Personal trading is reviewed quarterly at a minimum.</w:t>
      </w:r>
    </w:p>
    <w:p w14:paraId="180E3041" w14:textId="77777777" w:rsidR="00FB0641" w:rsidRDefault="00FB0641" w:rsidP="00304179">
      <w:pPr>
        <w:jc w:val="both"/>
        <w:rPr>
          <w:b/>
          <w:sz w:val="24"/>
        </w:rPr>
      </w:pPr>
    </w:p>
    <w:p w14:paraId="735DD985" w14:textId="77777777" w:rsidR="00304179" w:rsidRDefault="00304179" w:rsidP="00304179">
      <w:pPr>
        <w:jc w:val="both"/>
        <w:rPr>
          <w:b/>
          <w:sz w:val="24"/>
        </w:rPr>
      </w:pPr>
    </w:p>
    <w:p w14:paraId="726EAE16" w14:textId="77777777" w:rsidR="00304179" w:rsidRPr="00320DE6" w:rsidRDefault="00304179" w:rsidP="00936FEE">
      <w:pPr>
        <w:pStyle w:val="Heading2"/>
      </w:pPr>
      <w:r w:rsidRPr="00320DE6">
        <w:t>8.1</w:t>
      </w:r>
      <w:r w:rsidR="00A8339B">
        <w:t>3</w:t>
      </w:r>
      <w:r w:rsidRPr="00320DE6">
        <w:t xml:space="preserve"> FINRA Rule </w:t>
      </w:r>
      <w:r w:rsidR="0015172F" w:rsidRPr="00320DE6">
        <w:t>5280-Trading Ahead of Research Reports</w:t>
      </w:r>
    </w:p>
    <w:p w14:paraId="1B197C0E" w14:textId="77777777" w:rsidR="00F538AC" w:rsidRPr="001679B2" w:rsidRDefault="00F538AC" w:rsidP="00F538AC">
      <w:pPr>
        <w:shd w:val="clear" w:color="auto" w:fill="FFFFFF"/>
        <w:jc w:val="both"/>
        <w:rPr>
          <w:sz w:val="24"/>
          <w:szCs w:val="24"/>
        </w:rPr>
      </w:pPr>
      <w:r w:rsidRPr="001679B2">
        <w:rPr>
          <w:rStyle w:val="us"/>
          <w:sz w:val="24"/>
          <w:szCs w:val="24"/>
        </w:rPr>
        <w:t>Company will not establish, increase, decrease or liquidate any inventory position, if ever applicable, in a security or a derivative of such security based on non-public advance knowledge of the content or timing of a research report in that security.</w:t>
      </w:r>
      <w:r w:rsidRPr="001679B2">
        <w:rPr>
          <w:sz w:val="24"/>
          <w:szCs w:val="24"/>
        </w:rPr>
        <w:t xml:space="preserve">   In addition, Company does not m</w:t>
      </w:r>
      <w:r w:rsidRPr="001679B2">
        <w:rPr>
          <w:rStyle w:val="us"/>
          <w:sz w:val="24"/>
          <w:szCs w:val="24"/>
        </w:rPr>
        <w:t>aintain a research department and therefore there is no relative information to flow between Company personnel.</w:t>
      </w:r>
      <w:r w:rsidRPr="001679B2">
        <w:rPr>
          <w:sz w:val="24"/>
          <w:szCs w:val="24"/>
        </w:rPr>
        <w:t xml:space="preserve"> </w:t>
      </w:r>
    </w:p>
    <w:p w14:paraId="3BB8D484" w14:textId="77777777" w:rsidR="00FB0641" w:rsidRDefault="00FB0641" w:rsidP="00F538AC">
      <w:pPr>
        <w:jc w:val="both"/>
        <w:rPr>
          <w:b/>
          <w:sz w:val="24"/>
        </w:rPr>
      </w:pPr>
    </w:p>
    <w:p w14:paraId="3CBDA4F8" w14:textId="77777777" w:rsidR="00F538AC" w:rsidRDefault="00F538AC" w:rsidP="00FB0641">
      <w:pPr>
        <w:pStyle w:val="MRS"/>
        <w:rPr>
          <w:b/>
          <w:bCs/>
        </w:rPr>
      </w:pPr>
    </w:p>
    <w:p w14:paraId="526E8FD7" w14:textId="77777777" w:rsidR="0015172F" w:rsidRPr="00320DE6" w:rsidRDefault="0015172F" w:rsidP="00936FEE">
      <w:pPr>
        <w:pStyle w:val="Heading2"/>
      </w:pPr>
      <w:r w:rsidRPr="00320DE6">
        <w:lastRenderedPageBreak/>
        <w:t>8.1</w:t>
      </w:r>
      <w:r w:rsidR="00A8339B">
        <w:t>4</w:t>
      </w:r>
      <w:r w:rsidRPr="00320DE6">
        <w:t xml:space="preserve"> Hot Issues</w:t>
      </w:r>
    </w:p>
    <w:p w14:paraId="76910B76" w14:textId="77777777" w:rsidR="00FB0641" w:rsidRDefault="00FB0641" w:rsidP="00FB0641">
      <w:pPr>
        <w:pStyle w:val="MRS"/>
      </w:pPr>
      <w:r>
        <w:t>Issues that immediately trade at a premium to the IPO price or declared a "Hot Issue" by the underwriter must be allocated only to non</w:t>
      </w:r>
      <w:r>
        <w:noBreakHyphen/>
        <w:t xml:space="preserve">restricted accounts as defined by </w:t>
      </w:r>
      <w:r w:rsidRPr="00AD2BAC">
        <w:t>FINRA.</w:t>
      </w:r>
    </w:p>
    <w:p w14:paraId="35719E56" w14:textId="77777777" w:rsidR="00FB0641" w:rsidRDefault="00FB0641" w:rsidP="00FB0641">
      <w:pPr>
        <w:ind w:left="720" w:hanging="720"/>
        <w:jc w:val="both"/>
        <w:rPr>
          <w:b/>
          <w:sz w:val="24"/>
        </w:rPr>
      </w:pPr>
    </w:p>
    <w:p w14:paraId="62D41571" w14:textId="77777777" w:rsidR="0023442A" w:rsidRDefault="0023442A" w:rsidP="00FB0641">
      <w:pPr>
        <w:ind w:left="720" w:hanging="720"/>
        <w:jc w:val="both"/>
        <w:rPr>
          <w:b/>
          <w:sz w:val="24"/>
        </w:rPr>
      </w:pPr>
    </w:p>
    <w:p w14:paraId="7D4785D6" w14:textId="77777777" w:rsidR="0015172F" w:rsidRPr="00320DE6" w:rsidRDefault="0015172F" w:rsidP="00936FEE">
      <w:pPr>
        <w:pStyle w:val="Heading2"/>
      </w:pPr>
      <w:r w:rsidRPr="00320DE6">
        <w:t>8.1</w:t>
      </w:r>
      <w:r w:rsidR="00A8339B">
        <w:t>5</w:t>
      </w:r>
      <w:r w:rsidRPr="00320DE6">
        <w:t xml:space="preserve"> Commingling</w:t>
      </w:r>
    </w:p>
    <w:p w14:paraId="3BE65143" w14:textId="77777777" w:rsidR="00FB0641" w:rsidRDefault="00FB0641" w:rsidP="00FB0641">
      <w:pPr>
        <w:pStyle w:val="BodyText2"/>
        <w:widowControl/>
      </w:pPr>
      <w:r>
        <w:t>Company employees are not permitted to place customers' checks or money intended for transactions involving securities into their own bank account or insurance business account, regardless of the amount of money or the length of time involved. Mishandling customer funds could result in prosecution by state or federal criminal agencies.</w:t>
      </w:r>
    </w:p>
    <w:p w14:paraId="0DC84E2F" w14:textId="77777777" w:rsidR="00FB0641" w:rsidRDefault="00FB0641" w:rsidP="00A634B6"/>
    <w:p w14:paraId="586C288E" w14:textId="77777777" w:rsidR="00FB0641" w:rsidRDefault="00FB0641" w:rsidP="00A634B6"/>
    <w:p w14:paraId="485CB45D" w14:textId="77777777" w:rsidR="0015172F" w:rsidRPr="00320DE6" w:rsidRDefault="0015172F" w:rsidP="00936FEE">
      <w:pPr>
        <w:pStyle w:val="Heading2"/>
      </w:pPr>
      <w:r w:rsidRPr="00320DE6">
        <w:t>8.1</w:t>
      </w:r>
      <w:r w:rsidR="00A8339B">
        <w:t>6</w:t>
      </w:r>
      <w:r w:rsidRPr="00320DE6">
        <w:t xml:space="preserve"> Purchase and Sale of IPOs of Equity Securities</w:t>
      </w:r>
    </w:p>
    <w:p w14:paraId="27803964" w14:textId="77777777" w:rsidR="00FB0641" w:rsidRPr="00A0692A" w:rsidRDefault="00463CE2" w:rsidP="00463CE2">
      <w:pPr>
        <w:jc w:val="both"/>
        <w:rPr>
          <w:sz w:val="24"/>
        </w:rPr>
      </w:pPr>
      <w:r w:rsidRPr="00A0692A">
        <w:rPr>
          <w:sz w:val="24"/>
          <w:szCs w:val="24"/>
        </w:rPr>
        <w:t xml:space="preserve">The distribution of equity initial public offering (IPO) shares must be a </w:t>
      </w:r>
      <w:r w:rsidRPr="00A0692A">
        <w:rPr>
          <w:i/>
          <w:iCs/>
          <w:sz w:val="24"/>
          <w:szCs w:val="24"/>
        </w:rPr>
        <w:t>bona fide</w:t>
      </w:r>
      <w:r w:rsidRPr="00A0692A">
        <w:rPr>
          <w:sz w:val="24"/>
          <w:szCs w:val="24"/>
        </w:rPr>
        <w:t xml:space="preserve"> public offering and fair distribution to the public. This means sales will not be made to benefit insiders in the securities industry or to other </w:t>
      </w:r>
      <w:proofErr w:type="gramStart"/>
      <w:r w:rsidRPr="00A0692A">
        <w:rPr>
          <w:sz w:val="24"/>
          <w:szCs w:val="24"/>
        </w:rPr>
        <w:t>closely-related</w:t>
      </w:r>
      <w:proofErr w:type="gramEnd"/>
      <w:r w:rsidRPr="00A0692A">
        <w:rPr>
          <w:sz w:val="24"/>
          <w:szCs w:val="24"/>
        </w:rPr>
        <w:t xml:space="preserve"> parties that might unfairly benefit at the expense of public customers.</w:t>
      </w:r>
      <w:r w:rsidRPr="00A0692A">
        <w:t xml:space="preserve">  T</w:t>
      </w:r>
      <w:r w:rsidR="00FB0641" w:rsidRPr="00A0692A">
        <w:rPr>
          <w:sz w:val="24"/>
        </w:rPr>
        <w:t xml:space="preserve">hey may not be placed in employee </w:t>
      </w:r>
      <w:r w:rsidRPr="00A0692A">
        <w:rPr>
          <w:sz w:val="24"/>
        </w:rPr>
        <w:t xml:space="preserve">or Associated Persons </w:t>
      </w:r>
      <w:r w:rsidR="00FB0641" w:rsidRPr="00A0692A">
        <w:rPr>
          <w:sz w:val="24"/>
        </w:rPr>
        <w:t>accounts under any circumstances, and only under strict guidelines may they be placed in the accounts of financial services industry personnel or their immediate families.</w:t>
      </w:r>
    </w:p>
    <w:p w14:paraId="7D26707D" w14:textId="77777777" w:rsidR="00463CE2" w:rsidRPr="00A0692A" w:rsidRDefault="00463CE2" w:rsidP="00463CE2">
      <w:pPr>
        <w:jc w:val="both"/>
        <w:rPr>
          <w:sz w:val="24"/>
        </w:rPr>
      </w:pPr>
    </w:p>
    <w:p w14:paraId="46B67055" w14:textId="77777777" w:rsidR="00463CE2" w:rsidRPr="00A0692A" w:rsidRDefault="00463CE2" w:rsidP="00463CE2">
      <w:pPr>
        <w:pStyle w:val="Heading3"/>
      </w:pPr>
      <w:r w:rsidRPr="00A0692A">
        <w:t>8.16.1 Exclusions</w:t>
      </w:r>
    </w:p>
    <w:p w14:paraId="60004FB5" w14:textId="77777777" w:rsidR="00463CE2" w:rsidRPr="00A0692A" w:rsidRDefault="00463CE2" w:rsidP="00463CE2">
      <w:pPr>
        <w:shd w:val="clear" w:color="auto" w:fill="FFFFFF"/>
        <w:ind w:left="270"/>
        <w:jc w:val="both"/>
        <w:rPr>
          <w:spacing w:val="8"/>
          <w:sz w:val="24"/>
          <w:szCs w:val="24"/>
        </w:rPr>
      </w:pPr>
      <w:r w:rsidRPr="00A0692A">
        <w:rPr>
          <w:spacing w:val="8"/>
          <w:sz w:val="24"/>
          <w:szCs w:val="24"/>
        </w:rPr>
        <w:t xml:space="preserve">The Rule applies to IPOs of equity securities </w:t>
      </w:r>
      <w:r w:rsidRPr="00A0692A">
        <w:rPr>
          <w:b/>
          <w:bCs/>
          <w:spacing w:val="8"/>
          <w:sz w:val="24"/>
          <w:szCs w:val="24"/>
        </w:rPr>
        <w:t>excluding</w:t>
      </w:r>
      <w:r w:rsidRPr="00A0692A">
        <w:rPr>
          <w:spacing w:val="8"/>
          <w:sz w:val="24"/>
          <w:szCs w:val="24"/>
        </w:rPr>
        <w:t xml:space="preserve"> new issues in the following types of equity securities:</w:t>
      </w:r>
    </w:p>
    <w:p w14:paraId="06FEC300" w14:textId="77777777" w:rsidR="00463CE2" w:rsidRPr="00A0692A" w:rsidRDefault="00463CE2" w:rsidP="00463CE2">
      <w:pPr>
        <w:shd w:val="clear" w:color="auto" w:fill="FFFFFF"/>
        <w:ind w:left="720" w:hanging="360"/>
        <w:jc w:val="both"/>
        <w:rPr>
          <w:spacing w:val="8"/>
          <w:sz w:val="24"/>
          <w:szCs w:val="24"/>
        </w:rPr>
      </w:pPr>
    </w:p>
    <w:p w14:paraId="768B8E38"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Restricted securities </w:t>
      </w:r>
    </w:p>
    <w:p w14:paraId="62DBF586"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Exempt securities </w:t>
      </w:r>
    </w:p>
    <w:p w14:paraId="2B670733"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Commodity pools </w:t>
      </w:r>
    </w:p>
    <w:p w14:paraId="2A8BEA1F"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Rights offerings, exchange offers, or offerings involving a merger or acquisition </w:t>
      </w:r>
    </w:p>
    <w:p w14:paraId="54A182C0"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Investment grade asset-backed securities </w:t>
      </w:r>
    </w:p>
    <w:p w14:paraId="5321D145"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Convertible securities </w:t>
      </w:r>
    </w:p>
    <w:p w14:paraId="536635E2"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Preferred securities </w:t>
      </w:r>
    </w:p>
    <w:p w14:paraId="132DF592"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Investment company securities </w:t>
      </w:r>
    </w:p>
    <w:p w14:paraId="6532AD0A"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Securities that have a pre-existing market outside the United States (ADRs or share form) </w:t>
      </w:r>
    </w:p>
    <w:p w14:paraId="64255204"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Business development companies </w:t>
      </w:r>
    </w:p>
    <w:p w14:paraId="06C84730"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Direct participation programs (DPPs) </w:t>
      </w:r>
    </w:p>
    <w:p w14:paraId="4C5FA6D9"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 xml:space="preserve">Real estate investment trusts (REITs) </w:t>
      </w:r>
    </w:p>
    <w:p w14:paraId="0C90A555" w14:textId="77777777" w:rsidR="00463CE2" w:rsidRPr="00A0692A" w:rsidRDefault="00463CE2" w:rsidP="00C1728B">
      <w:pPr>
        <w:numPr>
          <w:ilvl w:val="0"/>
          <w:numId w:val="122"/>
        </w:numPr>
        <w:shd w:val="clear" w:color="auto" w:fill="FFFFFF"/>
        <w:jc w:val="both"/>
        <w:rPr>
          <w:spacing w:val="8"/>
          <w:sz w:val="24"/>
          <w:szCs w:val="24"/>
        </w:rPr>
      </w:pPr>
      <w:r w:rsidRPr="00A0692A">
        <w:rPr>
          <w:spacing w:val="8"/>
          <w:sz w:val="24"/>
          <w:szCs w:val="24"/>
        </w:rPr>
        <w:t>Foreign investment companies (with certain limitations)</w:t>
      </w:r>
    </w:p>
    <w:p w14:paraId="242360D5" w14:textId="77777777" w:rsidR="00463CE2" w:rsidRPr="00A0692A" w:rsidRDefault="00463CE2" w:rsidP="00463CE2">
      <w:pPr>
        <w:shd w:val="clear" w:color="auto" w:fill="FFFFFF"/>
        <w:ind w:left="270"/>
        <w:jc w:val="both"/>
        <w:rPr>
          <w:spacing w:val="8"/>
          <w:sz w:val="24"/>
          <w:szCs w:val="24"/>
        </w:rPr>
      </w:pPr>
    </w:p>
    <w:p w14:paraId="7C4692A2" w14:textId="77777777" w:rsidR="00463CE2" w:rsidRPr="00A0692A" w:rsidRDefault="00463CE2" w:rsidP="00463CE2">
      <w:pPr>
        <w:shd w:val="clear" w:color="auto" w:fill="FFFFFF"/>
        <w:ind w:left="270"/>
        <w:jc w:val="both"/>
        <w:rPr>
          <w:spacing w:val="8"/>
          <w:sz w:val="24"/>
          <w:szCs w:val="24"/>
        </w:rPr>
      </w:pPr>
      <w:r w:rsidRPr="00A0692A">
        <w:rPr>
          <w:spacing w:val="8"/>
          <w:sz w:val="24"/>
          <w:szCs w:val="24"/>
        </w:rPr>
        <w:t>The Rule should be consulted for specific details. Questions regarding restrictions should be directed to the syndicate supervisor or to Compliance.</w:t>
      </w:r>
    </w:p>
    <w:p w14:paraId="3A744717" w14:textId="77777777" w:rsidR="00463CE2" w:rsidRPr="00A0692A" w:rsidRDefault="00463CE2" w:rsidP="00463CE2">
      <w:pPr>
        <w:shd w:val="clear" w:color="auto" w:fill="FFFFFF"/>
        <w:ind w:left="270"/>
        <w:jc w:val="both"/>
        <w:rPr>
          <w:spacing w:val="8"/>
          <w:sz w:val="24"/>
          <w:szCs w:val="24"/>
        </w:rPr>
      </w:pPr>
    </w:p>
    <w:p w14:paraId="19D8091C" w14:textId="77777777" w:rsidR="00463CE2" w:rsidRPr="00A0692A" w:rsidRDefault="00463CE2" w:rsidP="00463CE2">
      <w:pPr>
        <w:pStyle w:val="Heading3"/>
      </w:pPr>
      <w:r w:rsidRPr="00A0692A">
        <w:rPr>
          <w:spacing w:val="8"/>
        </w:rPr>
        <w:t xml:space="preserve">8.16.2 </w:t>
      </w:r>
      <w:r w:rsidRPr="00A0692A">
        <w:t xml:space="preserve">Restricted Persons </w:t>
      </w:r>
    </w:p>
    <w:p w14:paraId="0FE24327" w14:textId="77777777" w:rsidR="00463CE2" w:rsidRPr="00A0692A" w:rsidRDefault="00463CE2" w:rsidP="00463CE2">
      <w:pPr>
        <w:pStyle w:val="Normal1"/>
        <w:shd w:val="clear" w:color="auto" w:fill="FFFFFF"/>
        <w:spacing w:before="0" w:after="0" w:afterAutospacing="0" w:line="240" w:lineRule="auto"/>
        <w:ind w:left="270"/>
        <w:jc w:val="both"/>
        <w:rPr>
          <w:rFonts w:ascii="Times New Roman" w:hAnsi="Times New Roman" w:cs="Times New Roman"/>
          <w:sz w:val="24"/>
          <w:szCs w:val="24"/>
        </w:rPr>
      </w:pPr>
      <w:r w:rsidRPr="00A0692A">
        <w:rPr>
          <w:rFonts w:ascii="Times New Roman" w:hAnsi="Times New Roman" w:cs="Times New Roman"/>
          <w:sz w:val="24"/>
          <w:szCs w:val="24"/>
        </w:rPr>
        <w:t xml:space="preserve">Equity IPOs </w:t>
      </w:r>
      <w:r w:rsidRPr="00A0692A">
        <w:rPr>
          <w:rFonts w:ascii="Times New Roman" w:hAnsi="Times New Roman" w:cs="Times New Roman"/>
          <w:b/>
          <w:bCs/>
          <w:sz w:val="24"/>
          <w:szCs w:val="24"/>
        </w:rPr>
        <w:t>may not be purchased</w:t>
      </w:r>
      <w:r w:rsidRPr="00A0692A">
        <w:rPr>
          <w:rFonts w:ascii="Times New Roman" w:hAnsi="Times New Roman" w:cs="Times New Roman"/>
          <w:sz w:val="24"/>
          <w:szCs w:val="24"/>
        </w:rPr>
        <w:t xml:space="preserve"> by "restricted persons" as defined in FINRA Rule 2790 including accounts where the restricted person has a beneficial interest. Restricted persons include:</w:t>
      </w:r>
    </w:p>
    <w:p w14:paraId="7636E9AF" w14:textId="77777777" w:rsidR="00463CE2" w:rsidRPr="00A0692A" w:rsidRDefault="00463CE2" w:rsidP="00463CE2">
      <w:pPr>
        <w:pStyle w:val="Normal1"/>
        <w:shd w:val="clear" w:color="auto" w:fill="FFFFFF"/>
        <w:spacing w:before="0" w:after="0" w:afterAutospacing="0" w:line="240" w:lineRule="auto"/>
        <w:ind w:left="630" w:hanging="180"/>
        <w:jc w:val="both"/>
        <w:rPr>
          <w:rFonts w:ascii="Times New Roman" w:hAnsi="Times New Roman" w:cs="Times New Roman"/>
          <w:sz w:val="24"/>
          <w:szCs w:val="24"/>
        </w:rPr>
      </w:pPr>
    </w:p>
    <w:p w14:paraId="33AFD975" w14:textId="77777777" w:rsidR="00463CE2" w:rsidRPr="00A0692A" w:rsidRDefault="00463CE2" w:rsidP="00C1728B">
      <w:pPr>
        <w:numPr>
          <w:ilvl w:val="0"/>
          <w:numId w:val="123"/>
        </w:numPr>
        <w:shd w:val="clear" w:color="auto" w:fill="FFFFFF"/>
        <w:ind w:hanging="270"/>
        <w:jc w:val="both"/>
        <w:rPr>
          <w:spacing w:val="8"/>
          <w:sz w:val="24"/>
          <w:szCs w:val="24"/>
        </w:rPr>
      </w:pPr>
      <w:r w:rsidRPr="00A0692A">
        <w:rPr>
          <w:b/>
          <w:bCs/>
          <w:spacing w:val="8"/>
          <w:sz w:val="24"/>
          <w:szCs w:val="24"/>
        </w:rPr>
        <w:t>Broker-dealers</w:t>
      </w:r>
      <w:r w:rsidRPr="00A0692A">
        <w:rPr>
          <w:spacing w:val="8"/>
          <w:sz w:val="24"/>
          <w:szCs w:val="24"/>
        </w:rPr>
        <w:t xml:space="preserve"> </w:t>
      </w:r>
    </w:p>
    <w:p w14:paraId="7C363325" w14:textId="77777777" w:rsidR="00463CE2" w:rsidRPr="00A0692A" w:rsidRDefault="00463CE2" w:rsidP="00C1728B">
      <w:pPr>
        <w:numPr>
          <w:ilvl w:val="0"/>
          <w:numId w:val="123"/>
        </w:numPr>
        <w:shd w:val="clear" w:color="auto" w:fill="FFFFFF"/>
        <w:ind w:hanging="270"/>
        <w:jc w:val="both"/>
        <w:rPr>
          <w:spacing w:val="8"/>
          <w:sz w:val="24"/>
          <w:szCs w:val="24"/>
        </w:rPr>
      </w:pPr>
      <w:r w:rsidRPr="00A0692A">
        <w:rPr>
          <w:b/>
          <w:bCs/>
          <w:spacing w:val="8"/>
          <w:sz w:val="24"/>
          <w:szCs w:val="24"/>
        </w:rPr>
        <w:lastRenderedPageBreak/>
        <w:t>Broker-dealer personnel</w:t>
      </w:r>
      <w:r w:rsidRPr="00A0692A">
        <w:rPr>
          <w:spacing w:val="8"/>
          <w:sz w:val="24"/>
          <w:szCs w:val="24"/>
        </w:rPr>
        <w:t xml:space="preserve"> (includes officer, director, general partner, associated person, or employee) </w:t>
      </w:r>
    </w:p>
    <w:p w14:paraId="465503E2" w14:textId="77777777" w:rsidR="00463CE2" w:rsidRPr="00A0692A" w:rsidRDefault="00463CE2" w:rsidP="00C1728B">
      <w:pPr>
        <w:numPr>
          <w:ilvl w:val="0"/>
          <w:numId w:val="123"/>
        </w:numPr>
        <w:shd w:val="clear" w:color="auto" w:fill="FFFFFF"/>
        <w:ind w:hanging="270"/>
        <w:jc w:val="both"/>
        <w:rPr>
          <w:spacing w:val="8"/>
          <w:sz w:val="24"/>
          <w:szCs w:val="24"/>
        </w:rPr>
      </w:pPr>
      <w:r w:rsidRPr="00A0692A">
        <w:rPr>
          <w:b/>
          <w:bCs/>
          <w:spacing w:val="8"/>
          <w:sz w:val="24"/>
          <w:szCs w:val="24"/>
        </w:rPr>
        <w:t>Immediate family members</w:t>
      </w:r>
      <w:r w:rsidRPr="00A0692A">
        <w:rPr>
          <w:spacing w:val="8"/>
          <w:sz w:val="24"/>
          <w:szCs w:val="24"/>
        </w:rPr>
        <w:t xml:space="preserve"> of the above ("immediate family" is defined under "Definitions" at the end of this section) </w:t>
      </w:r>
    </w:p>
    <w:p w14:paraId="4682CF3D" w14:textId="77777777" w:rsidR="00463CE2" w:rsidRPr="00A0692A" w:rsidRDefault="00463CE2" w:rsidP="00C1728B">
      <w:pPr>
        <w:numPr>
          <w:ilvl w:val="0"/>
          <w:numId w:val="123"/>
        </w:numPr>
        <w:shd w:val="clear" w:color="auto" w:fill="FFFFFF"/>
        <w:ind w:hanging="270"/>
        <w:jc w:val="both"/>
        <w:rPr>
          <w:spacing w:val="8"/>
          <w:sz w:val="24"/>
          <w:szCs w:val="24"/>
        </w:rPr>
      </w:pPr>
      <w:r w:rsidRPr="00A0692A">
        <w:rPr>
          <w:b/>
          <w:bCs/>
          <w:spacing w:val="8"/>
          <w:sz w:val="24"/>
          <w:szCs w:val="24"/>
        </w:rPr>
        <w:t>Employees and immediate family members</w:t>
      </w:r>
      <w:r w:rsidRPr="00A0692A">
        <w:rPr>
          <w:spacing w:val="8"/>
          <w:sz w:val="24"/>
          <w:szCs w:val="24"/>
        </w:rPr>
        <w:t xml:space="preserve"> of employees of an </w:t>
      </w:r>
      <w:r w:rsidRPr="00A0692A">
        <w:rPr>
          <w:b/>
          <w:bCs/>
          <w:spacing w:val="8"/>
          <w:sz w:val="24"/>
          <w:szCs w:val="24"/>
        </w:rPr>
        <w:t>affiliate of the BD</w:t>
      </w:r>
      <w:r w:rsidRPr="00A0692A">
        <w:rPr>
          <w:spacing w:val="8"/>
          <w:sz w:val="24"/>
          <w:szCs w:val="24"/>
        </w:rPr>
        <w:t xml:space="preserve"> selling the IPO </w:t>
      </w:r>
    </w:p>
    <w:p w14:paraId="235544B5" w14:textId="77777777" w:rsidR="00463CE2" w:rsidRPr="00A0692A" w:rsidRDefault="00463CE2" w:rsidP="00C1728B">
      <w:pPr>
        <w:numPr>
          <w:ilvl w:val="0"/>
          <w:numId w:val="123"/>
        </w:numPr>
        <w:shd w:val="clear" w:color="auto" w:fill="FFFFFF"/>
        <w:ind w:hanging="270"/>
        <w:jc w:val="both"/>
        <w:rPr>
          <w:spacing w:val="8"/>
          <w:sz w:val="24"/>
          <w:szCs w:val="24"/>
        </w:rPr>
      </w:pPr>
      <w:r w:rsidRPr="00A0692A">
        <w:rPr>
          <w:b/>
          <w:bCs/>
          <w:spacing w:val="8"/>
          <w:sz w:val="24"/>
          <w:szCs w:val="24"/>
        </w:rPr>
        <w:t>Finders and fiduciaries</w:t>
      </w:r>
      <w:r w:rsidRPr="00A0692A">
        <w:rPr>
          <w:spacing w:val="8"/>
          <w:sz w:val="24"/>
          <w:szCs w:val="24"/>
        </w:rPr>
        <w:t xml:space="preserve"> to the managing underwriter for the particular IPO or immediate family member of a finder or fiduciary </w:t>
      </w:r>
    </w:p>
    <w:p w14:paraId="19399CA9" w14:textId="77777777" w:rsidR="00463CE2" w:rsidRPr="00A0692A" w:rsidRDefault="00463CE2" w:rsidP="00C1728B">
      <w:pPr>
        <w:numPr>
          <w:ilvl w:val="0"/>
          <w:numId w:val="123"/>
        </w:numPr>
        <w:shd w:val="clear" w:color="auto" w:fill="FFFFFF"/>
        <w:ind w:hanging="270"/>
        <w:jc w:val="both"/>
        <w:rPr>
          <w:spacing w:val="8"/>
          <w:sz w:val="24"/>
          <w:szCs w:val="24"/>
        </w:rPr>
      </w:pPr>
      <w:r w:rsidRPr="00A0692A">
        <w:rPr>
          <w:b/>
          <w:bCs/>
          <w:spacing w:val="8"/>
          <w:sz w:val="24"/>
          <w:szCs w:val="24"/>
        </w:rPr>
        <w:t>Portfolio managers</w:t>
      </w:r>
      <w:r w:rsidRPr="00A0692A">
        <w:rPr>
          <w:spacing w:val="8"/>
          <w:sz w:val="24"/>
          <w:szCs w:val="24"/>
        </w:rPr>
        <w:t xml:space="preserve"> (any person who has authority to buy or sell securities for a bank, savings and loan institution, insurance company, investment company, investment advisor, or collective investment account) and their immediate family members </w:t>
      </w:r>
    </w:p>
    <w:p w14:paraId="523BCF1E" w14:textId="77777777" w:rsidR="00463CE2" w:rsidRPr="00A0692A" w:rsidRDefault="00463CE2" w:rsidP="00C1728B">
      <w:pPr>
        <w:numPr>
          <w:ilvl w:val="0"/>
          <w:numId w:val="123"/>
        </w:numPr>
        <w:shd w:val="clear" w:color="auto" w:fill="FFFFFF"/>
        <w:ind w:hanging="270"/>
        <w:jc w:val="both"/>
        <w:rPr>
          <w:spacing w:val="8"/>
          <w:sz w:val="24"/>
          <w:szCs w:val="24"/>
        </w:rPr>
      </w:pPr>
      <w:r w:rsidRPr="00A0692A">
        <w:rPr>
          <w:b/>
          <w:bCs/>
          <w:spacing w:val="8"/>
          <w:sz w:val="24"/>
          <w:szCs w:val="24"/>
        </w:rPr>
        <w:t>Persons who have ownership in a broker-dealer including:</w:t>
      </w:r>
      <w:r w:rsidRPr="00A0692A">
        <w:rPr>
          <w:spacing w:val="8"/>
          <w:sz w:val="24"/>
          <w:szCs w:val="24"/>
        </w:rPr>
        <w:t xml:space="preserve"> </w:t>
      </w:r>
    </w:p>
    <w:p w14:paraId="5B8595ED" w14:textId="77777777" w:rsidR="00463CE2" w:rsidRPr="00A0692A" w:rsidRDefault="00463CE2" w:rsidP="00C1728B">
      <w:pPr>
        <w:numPr>
          <w:ilvl w:val="1"/>
          <w:numId w:val="123"/>
        </w:numPr>
        <w:shd w:val="clear" w:color="auto" w:fill="FFFFFF"/>
        <w:jc w:val="both"/>
        <w:rPr>
          <w:spacing w:val="8"/>
          <w:sz w:val="24"/>
          <w:szCs w:val="24"/>
        </w:rPr>
      </w:pPr>
      <w:r w:rsidRPr="00A0692A">
        <w:rPr>
          <w:b/>
          <w:bCs/>
          <w:spacing w:val="8"/>
          <w:sz w:val="24"/>
          <w:szCs w:val="24"/>
        </w:rPr>
        <w:t>Direct owners</w:t>
      </w:r>
      <w:r w:rsidRPr="00A0692A">
        <w:rPr>
          <w:spacing w:val="8"/>
          <w:sz w:val="24"/>
          <w:szCs w:val="24"/>
        </w:rPr>
        <w:t xml:space="preserve"> (any person listed, or required to be listed, on Schedule A of Form BD) unless ownership is less than 10% </w:t>
      </w:r>
    </w:p>
    <w:p w14:paraId="2ED591BF" w14:textId="77777777" w:rsidR="00463CE2" w:rsidRPr="00A0692A" w:rsidRDefault="00463CE2" w:rsidP="00C1728B">
      <w:pPr>
        <w:numPr>
          <w:ilvl w:val="1"/>
          <w:numId w:val="123"/>
        </w:numPr>
        <w:shd w:val="clear" w:color="auto" w:fill="FFFFFF"/>
        <w:jc w:val="both"/>
        <w:rPr>
          <w:spacing w:val="8"/>
          <w:sz w:val="24"/>
          <w:szCs w:val="24"/>
        </w:rPr>
      </w:pPr>
      <w:r w:rsidRPr="00A0692A">
        <w:rPr>
          <w:b/>
          <w:bCs/>
          <w:spacing w:val="8"/>
          <w:sz w:val="24"/>
          <w:szCs w:val="24"/>
        </w:rPr>
        <w:t>Indirect owners</w:t>
      </w:r>
      <w:r w:rsidRPr="00A0692A">
        <w:rPr>
          <w:spacing w:val="8"/>
          <w:sz w:val="24"/>
          <w:szCs w:val="24"/>
        </w:rPr>
        <w:t xml:space="preserve"> (any person listed or required to be listed on Schedule B of Form BD) unless ownership is less than 10% </w:t>
      </w:r>
    </w:p>
    <w:p w14:paraId="52450E66" w14:textId="77777777" w:rsidR="00463CE2" w:rsidRPr="00A0692A" w:rsidRDefault="00A31FF8" w:rsidP="00C1728B">
      <w:pPr>
        <w:numPr>
          <w:ilvl w:val="1"/>
          <w:numId w:val="123"/>
        </w:numPr>
        <w:shd w:val="clear" w:color="auto" w:fill="FFFFFF"/>
        <w:ind w:left="1260" w:hanging="180"/>
        <w:jc w:val="both"/>
        <w:rPr>
          <w:spacing w:val="8"/>
          <w:sz w:val="24"/>
          <w:szCs w:val="24"/>
        </w:rPr>
      </w:pPr>
      <w:r>
        <w:rPr>
          <w:b/>
          <w:bCs/>
          <w:spacing w:val="8"/>
          <w:sz w:val="24"/>
          <w:szCs w:val="24"/>
        </w:rPr>
        <w:t xml:space="preserve">   </w:t>
      </w:r>
      <w:r w:rsidR="00463CE2" w:rsidRPr="00A0692A">
        <w:rPr>
          <w:b/>
          <w:bCs/>
          <w:spacing w:val="8"/>
          <w:sz w:val="24"/>
          <w:szCs w:val="24"/>
        </w:rPr>
        <w:t>Persons listed</w:t>
      </w:r>
      <w:r w:rsidR="00463CE2" w:rsidRPr="00A0692A">
        <w:rPr>
          <w:spacing w:val="8"/>
          <w:sz w:val="24"/>
          <w:szCs w:val="24"/>
        </w:rPr>
        <w:t xml:space="preserve"> or required to be listed </w:t>
      </w:r>
      <w:r w:rsidR="00463CE2" w:rsidRPr="00A0692A">
        <w:rPr>
          <w:b/>
          <w:bCs/>
          <w:spacing w:val="8"/>
          <w:sz w:val="24"/>
          <w:szCs w:val="24"/>
        </w:rPr>
        <w:t>on Schedule C</w:t>
      </w:r>
      <w:r w:rsidR="00463CE2" w:rsidRPr="00A0692A">
        <w:rPr>
          <w:spacing w:val="8"/>
          <w:sz w:val="24"/>
          <w:szCs w:val="24"/>
        </w:rPr>
        <w:t xml:space="preserve"> of Form BD </w:t>
      </w:r>
    </w:p>
    <w:p w14:paraId="3E4639DE" w14:textId="77777777" w:rsidR="00463CE2" w:rsidRPr="00A0692A" w:rsidRDefault="00463CE2" w:rsidP="00C1728B">
      <w:pPr>
        <w:numPr>
          <w:ilvl w:val="1"/>
          <w:numId w:val="123"/>
        </w:numPr>
        <w:shd w:val="clear" w:color="auto" w:fill="FFFFFF"/>
        <w:jc w:val="both"/>
        <w:rPr>
          <w:spacing w:val="8"/>
          <w:sz w:val="24"/>
          <w:szCs w:val="24"/>
        </w:rPr>
      </w:pPr>
      <w:r w:rsidRPr="00A0692A">
        <w:rPr>
          <w:b/>
          <w:bCs/>
          <w:spacing w:val="8"/>
          <w:sz w:val="24"/>
          <w:szCs w:val="24"/>
        </w:rPr>
        <w:t>Persons that directly or indirectly own 10% or more of a public reporting company</w:t>
      </w:r>
      <w:r w:rsidRPr="00A0692A">
        <w:rPr>
          <w:spacing w:val="8"/>
          <w:sz w:val="24"/>
          <w:szCs w:val="24"/>
        </w:rPr>
        <w:t xml:space="preserve"> listed or required to be listed in Schedule A or </w:t>
      </w:r>
      <w:r w:rsidRPr="00A0692A">
        <w:rPr>
          <w:b/>
          <w:bCs/>
          <w:spacing w:val="8"/>
          <w:sz w:val="24"/>
          <w:szCs w:val="24"/>
        </w:rPr>
        <w:t>persons that directly or indirectly own 25% or more of a public reporting company</w:t>
      </w:r>
      <w:r w:rsidRPr="00A0692A">
        <w:rPr>
          <w:spacing w:val="8"/>
          <w:sz w:val="24"/>
          <w:szCs w:val="24"/>
        </w:rPr>
        <w:t xml:space="preserve"> listed in Schedule B of Form BD (other than reporting companies listed on an Exchange, the NASDAQ National Market, or that is a limited business broker-dealer) </w:t>
      </w:r>
    </w:p>
    <w:p w14:paraId="2726D92F" w14:textId="77777777" w:rsidR="00463CE2" w:rsidRPr="00A0692A" w:rsidRDefault="00FA049E" w:rsidP="00C1728B">
      <w:pPr>
        <w:numPr>
          <w:ilvl w:val="1"/>
          <w:numId w:val="123"/>
        </w:numPr>
        <w:shd w:val="clear" w:color="auto" w:fill="FFFFFF"/>
        <w:ind w:left="1260" w:hanging="180"/>
        <w:jc w:val="both"/>
        <w:rPr>
          <w:spacing w:val="8"/>
          <w:sz w:val="24"/>
          <w:szCs w:val="24"/>
        </w:rPr>
      </w:pPr>
      <w:r>
        <w:rPr>
          <w:b/>
          <w:bCs/>
          <w:spacing w:val="8"/>
          <w:sz w:val="24"/>
          <w:szCs w:val="24"/>
        </w:rPr>
        <w:t xml:space="preserve">  </w:t>
      </w:r>
      <w:r w:rsidR="00463CE2" w:rsidRPr="00A0692A">
        <w:rPr>
          <w:b/>
          <w:bCs/>
          <w:spacing w:val="8"/>
          <w:sz w:val="24"/>
          <w:szCs w:val="24"/>
        </w:rPr>
        <w:t>Immediate family members</w:t>
      </w:r>
      <w:r w:rsidR="00463CE2" w:rsidRPr="00A0692A">
        <w:rPr>
          <w:spacing w:val="8"/>
          <w:sz w:val="24"/>
          <w:szCs w:val="24"/>
        </w:rPr>
        <w:t xml:space="preserve"> of the above, with some exclusions in the Rule</w:t>
      </w:r>
    </w:p>
    <w:p w14:paraId="1866AA42" w14:textId="77777777" w:rsidR="00463CE2" w:rsidRPr="00A0692A" w:rsidRDefault="00463CE2" w:rsidP="00463CE2">
      <w:pPr>
        <w:pStyle w:val="Normal1"/>
        <w:shd w:val="clear" w:color="auto" w:fill="FFFFFF"/>
        <w:spacing w:before="0" w:after="0" w:afterAutospacing="0" w:line="240" w:lineRule="auto"/>
        <w:jc w:val="both"/>
        <w:rPr>
          <w:rFonts w:ascii="Times New Roman" w:hAnsi="Times New Roman" w:cs="Times New Roman"/>
          <w:b/>
          <w:bCs/>
          <w:sz w:val="24"/>
          <w:szCs w:val="24"/>
        </w:rPr>
      </w:pPr>
    </w:p>
    <w:p w14:paraId="359E52B6" w14:textId="77777777" w:rsidR="00463CE2" w:rsidRPr="00A0692A" w:rsidRDefault="00463CE2" w:rsidP="00463CE2">
      <w:pPr>
        <w:pStyle w:val="Normal1"/>
        <w:shd w:val="clear" w:color="auto" w:fill="FFFFFF"/>
        <w:spacing w:before="0" w:after="0" w:afterAutospacing="0" w:line="240" w:lineRule="auto"/>
        <w:ind w:left="270"/>
        <w:jc w:val="both"/>
        <w:rPr>
          <w:rFonts w:ascii="Times New Roman" w:hAnsi="Times New Roman" w:cs="Times New Roman"/>
          <w:sz w:val="24"/>
          <w:szCs w:val="24"/>
        </w:rPr>
      </w:pPr>
      <w:r w:rsidRPr="00A0692A">
        <w:rPr>
          <w:rFonts w:ascii="Times New Roman" w:hAnsi="Times New Roman" w:cs="Times New Roman"/>
          <w:b/>
          <w:bCs/>
          <w:sz w:val="24"/>
          <w:szCs w:val="24"/>
        </w:rPr>
        <w:t>Excluded</w:t>
      </w:r>
      <w:r w:rsidRPr="00A0692A">
        <w:rPr>
          <w:rFonts w:ascii="Times New Roman" w:hAnsi="Times New Roman" w:cs="Times New Roman"/>
          <w:sz w:val="24"/>
          <w:szCs w:val="24"/>
        </w:rPr>
        <w:t xml:space="preserve"> from the definition of "restricted person" is an </w:t>
      </w:r>
      <w:r w:rsidRPr="00A0692A">
        <w:rPr>
          <w:rFonts w:ascii="Times New Roman" w:hAnsi="Times New Roman" w:cs="Times New Roman"/>
          <w:b/>
          <w:bCs/>
          <w:sz w:val="24"/>
          <w:szCs w:val="24"/>
        </w:rPr>
        <w:t>employee</w:t>
      </w:r>
      <w:r w:rsidRPr="00A0692A">
        <w:rPr>
          <w:rFonts w:ascii="Times New Roman" w:hAnsi="Times New Roman" w:cs="Times New Roman"/>
          <w:sz w:val="24"/>
          <w:szCs w:val="24"/>
        </w:rPr>
        <w:t xml:space="preserve"> or immediate family member of an employee of a </w:t>
      </w:r>
      <w:r w:rsidRPr="00A0692A">
        <w:rPr>
          <w:rFonts w:ascii="Times New Roman" w:hAnsi="Times New Roman" w:cs="Times New Roman"/>
          <w:b/>
          <w:bCs/>
          <w:sz w:val="24"/>
          <w:szCs w:val="24"/>
        </w:rPr>
        <w:t>"limited business broker-dealer"</w:t>
      </w:r>
      <w:r w:rsidRPr="00A0692A">
        <w:rPr>
          <w:rFonts w:ascii="Times New Roman" w:hAnsi="Times New Roman" w:cs="Times New Roman"/>
          <w:sz w:val="24"/>
          <w:szCs w:val="24"/>
        </w:rPr>
        <w:t xml:space="preserve"> which is defined as any broker-dealer whose business is limited solely to the purchase and sale of investment company/variable contract securities and direct participation program securities.</w:t>
      </w:r>
    </w:p>
    <w:p w14:paraId="15D7D474" w14:textId="77777777" w:rsidR="00463CE2" w:rsidRPr="00A0692A" w:rsidRDefault="00463CE2" w:rsidP="00463CE2">
      <w:pPr>
        <w:pStyle w:val="Normal1"/>
        <w:shd w:val="clear" w:color="auto" w:fill="FFFFFF"/>
        <w:spacing w:before="0" w:after="0" w:afterAutospacing="0" w:line="240" w:lineRule="auto"/>
        <w:ind w:left="270"/>
        <w:jc w:val="both"/>
        <w:rPr>
          <w:rFonts w:ascii="Times New Roman" w:hAnsi="Times New Roman" w:cs="Times New Roman"/>
          <w:sz w:val="24"/>
          <w:szCs w:val="24"/>
        </w:rPr>
      </w:pPr>
    </w:p>
    <w:p w14:paraId="13FE32CC" w14:textId="77777777" w:rsidR="00463CE2" w:rsidRPr="00A0692A" w:rsidRDefault="00463CE2" w:rsidP="00463CE2">
      <w:pPr>
        <w:pStyle w:val="Heading3"/>
      </w:pPr>
      <w:r w:rsidRPr="00A0692A">
        <w:t>8.16.3 General Prohibitions</w:t>
      </w:r>
    </w:p>
    <w:p w14:paraId="19EF689F" w14:textId="77777777" w:rsidR="00463CE2" w:rsidRPr="00A0692A" w:rsidRDefault="00463CE2" w:rsidP="00327E1C">
      <w:pPr>
        <w:shd w:val="clear" w:color="auto" w:fill="FFFFFF"/>
        <w:spacing w:before="17" w:after="100" w:afterAutospacing="1" w:line="268" w:lineRule="atLeast"/>
        <w:ind w:left="270"/>
        <w:jc w:val="both"/>
        <w:rPr>
          <w:spacing w:val="8"/>
          <w:sz w:val="24"/>
          <w:szCs w:val="24"/>
        </w:rPr>
      </w:pPr>
      <w:r w:rsidRPr="00A0692A">
        <w:rPr>
          <w:spacing w:val="8"/>
          <w:sz w:val="24"/>
          <w:szCs w:val="24"/>
        </w:rPr>
        <w:t>The following summarizes the general prohibitions that apply to the sale of equity IPOs.</w:t>
      </w:r>
    </w:p>
    <w:p w14:paraId="108D4B32" w14:textId="77777777" w:rsidR="00463CE2" w:rsidRPr="00A0692A" w:rsidRDefault="00463CE2" w:rsidP="00C1728B">
      <w:pPr>
        <w:numPr>
          <w:ilvl w:val="0"/>
          <w:numId w:val="124"/>
        </w:numPr>
        <w:shd w:val="clear" w:color="auto" w:fill="FFFFFF"/>
        <w:spacing w:before="100" w:beforeAutospacing="1" w:after="100" w:afterAutospacing="1" w:line="268" w:lineRule="atLeast"/>
        <w:jc w:val="both"/>
        <w:rPr>
          <w:spacing w:val="8"/>
          <w:sz w:val="24"/>
          <w:szCs w:val="24"/>
        </w:rPr>
      </w:pPr>
      <w:r w:rsidRPr="00A0692A">
        <w:rPr>
          <w:spacing w:val="8"/>
          <w:sz w:val="24"/>
          <w:szCs w:val="24"/>
        </w:rPr>
        <w:t xml:space="preserve">Restricted persons are not allowed to purchase </w:t>
      </w:r>
      <w:proofErr w:type="gramStart"/>
      <w:r w:rsidRPr="00A0692A">
        <w:rPr>
          <w:spacing w:val="8"/>
          <w:sz w:val="24"/>
          <w:szCs w:val="24"/>
        </w:rPr>
        <w:t>IPOs, unless</w:t>
      </w:r>
      <w:proofErr w:type="gramEnd"/>
      <w:r w:rsidRPr="00A0692A">
        <w:rPr>
          <w:spacing w:val="8"/>
          <w:sz w:val="24"/>
          <w:szCs w:val="24"/>
        </w:rPr>
        <w:t xml:space="preserve"> there is an available exemption. </w:t>
      </w:r>
    </w:p>
    <w:p w14:paraId="178A6FD2" w14:textId="77777777" w:rsidR="00463CE2" w:rsidRPr="00A0692A" w:rsidRDefault="00463CE2" w:rsidP="00C1728B">
      <w:pPr>
        <w:numPr>
          <w:ilvl w:val="0"/>
          <w:numId w:val="124"/>
        </w:numPr>
        <w:shd w:val="clear" w:color="auto" w:fill="FFFFFF"/>
        <w:spacing w:before="100" w:beforeAutospacing="1" w:after="100" w:afterAutospacing="1" w:line="268" w:lineRule="atLeast"/>
        <w:jc w:val="both"/>
        <w:rPr>
          <w:spacing w:val="8"/>
          <w:sz w:val="24"/>
          <w:szCs w:val="24"/>
        </w:rPr>
      </w:pPr>
      <w:r w:rsidRPr="00A0692A">
        <w:rPr>
          <w:spacing w:val="8"/>
          <w:sz w:val="24"/>
          <w:szCs w:val="24"/>
        </w:rPr>
        <w:t xml:space="preserve">A broker-dealer or associated person (AP) may not purchase </w:t>
      </w:r>
      <w:r w:rsidR="00D949D0">
        <w:rPr>
          <w:spacing w:val="8"/>
          <w:sz w:val="24"/>
          <w:szCs w:val="24"/>
        </w:rPr>
        <w:t>an equity</w:t>
      </w:r>
      <w:r w:rsidRPr="00A0692A">
        <w:rPr>
          <w:spacing w:val="8"/>
          <w:sz w:val="24"/>
          <w:szCs w:val="24"/>
        </w:rPr>
        <w:t xml:space="preserve"> IPO in an account where the BD or AP has a beneficial interest. </w:t>
      </w:r>
    </w:p>
    <w:p w14:paraId="34F076AC" w14:textId="77777777" w:rsidR="00FB0641" w:rsidRPr="00A0692A" w:rsidRDefault="00463CE2" w:rsidP="00C1728B">
      <w:pPr>
        <w:numPr>
          <w:ilvl w:val="0"/>
          <w:numId w:val="124"/>
        </w:numPr>
        <w:shd w:val="clear" w:color="auto" w:fill="FFFFFF"/>
        <w:spacing w:before="100" w:beforeAutospacing="1" w:after="100" w:afterAutospacing="1" w:line="268" w:lineRule="atLeast"/>
        <w:jc w:val="both"/>
        <w:rPr>
          <w:b/>
          <w:sz w:val="24"/>
        </w:rPr>
      </w:pPr>
      <w:r w:rsidRPr="00A0692A">
        <w:rPr>
          <w:spacing w:val="8"/>
          <w:sz w:val="24"/>
          <w:szCs w:val="24"/>
        </w:rPr>
        <w:t>A broker-dealer may not continue to hold new issues acquired as underwriter or selling group member except when the issue is under-subscribed (described in a later section).</w:t>
      </w:r>
    </w:p>
    <w:p w14:paraId="080584D9" w14:textId="77777777" w:rsidR="0083287F" w:rsidRDefault="0083287F" w:rsidP="0083287F">
      <w:pPr>
        <w:shd w:val="clear" w:color="auto" w:fill="FFFFFF"/>
        <w:ind w:left="270"/>
        <w:jc w:val="both"/>
        <w:rPr>
          <w:spacing w:val="8"/>
          <w:sz w:val="24"/>
          <w:szCs w:val="24"/>
        </w:rPr>
      </w:pPr>
      <w:r w:rsidRPr="00A0692A">
        <w:rPr>
          <w:spacing w:val="8"/>
          <w:sz w:val="24"/>
          <w:szCs w:val="24"/>
        </w:rPr>
        <w:t xml:space="preserve">An IPO may not be sold to an account unless, during the prior 12 months, </w:t>
      </w:r>
      <w:r w:rsidR="005626FB">
        <w:rPr>
          <w:spacing w:val="8"/>
          <w:sz w:val="24"/>
          <w:szCs w:val="24"/>
        </w:rPr>
        <w:t>Company</w:t>
      </w:r>
      <w:r w:rsidRPr="00A0692A">
        <w:rPr>
          <w:spacing w:val="8"/>
          <w:sz w:val="24"/>
          <w:szCs w:val="24"/>
        </w:rPr>
        <w:t xml:space="preserve"> has received certification that the account is eligible to purchase new issues. This includes certification from conduit accounts (discussed below). </w:t>
      </w:r>
      <w:r w:rsidR="005626FB">
        <w:rPr>
          <w:spacing w:val="8"/>
          <w:sz w:val="24"/>
          <w:szCs w:val="24"/>
        </w:rPr>
        <w:t>Company</w:t>
      </w:r>
      <w:r w:rsidRPr="00A0692A">
        <w:rPr>
          <w:spacing w:val="8"/>
          <w:sz w:val="24"/>
          <w:szCs w:val="24"/>
        </w:rPr>
        <w:t xml:space="preserve"> or an RR cannot rely on a certification that it has reason to believe is not accurate.</w:t>
      </w:r>
    </w:p>
    <w:p w14:paraId="56C61C92" w14:textId="77777777" w:rsidR="003C53E6" w:rsidRDefault="003C53E6" w:rsidP="0083287F">
      <w:pPr>
        <w:shd w:val="clear" w:color="auto" w:fill="FFFFFF"/>
        <w:ind w:left="270"/>
        <w:jc w:val="both"/>
        <w:rPr>
          <w:spacing w:val="8"/>
          <w:sz w:val="24"/>
          <w:szCs w:val="24"/>
        </w:rPr>
      </w:pPr>
    </w:p>
    <w:p w14:paraId="0942FF88" w14:textId="77777777" w:rsidR="003C53E6" w:rsidRPr="00A0692A" w:rsidRDefault="003C53E6" w:rsidP="003C53E6">
      <w:pPr>
        <w:pStyle w:val="Heading3"/>
      </w:pPr>
      <w:r>
        <w:lastRenderedPageBreak/>
        <w:t>8.16.4 Indirect Beneficial Owners</w:t>
      </w:r>
    </w:p>
    <w:p w14:paraId="6A51CCDC" w14:textId="77777777" w:rsidR="003C53E6" w:rsidRPr="00151877" w:rsidRDefault="003C53E6" w:rsidP="003C53E6">
      <w:pPr>
        <w:ind w:left="270"/>
        <w:rPr>
          <w:sz w:val="24"/>
          <w:szCs w:val="24"/>
        </w:rPr>
      </w:pPr>
      <w:r w:rsidRPr="00151877">
        <w:rPr>
          <w:sz w:val="24"/>
          <w:szCs w:val="24"/>
        </w:rPr>
        <w:t xml:space="preserve">Where it is difficult to identify indirect beneficial owners such as participants in unaffiliated private funds (such as a fund of funds), </w:t>
      </w:r>
      <w:r w:rsidR="00A00E56" w:rsidRPr="00151877">
        <w:rPr>
          <w:sz w:val="24"/>
          <w:szCs w:val="24"/>
        </w:rPr>
        <w:t xml:space="preserve">the Company </w:t>
      </w:r>
      <w:r w:rsidRPr="00151877">
        <w:rPr>
          <w:sz w:val="24"/>
          <w:szCs w:val="24"/>
        </w:rPr>
        <w:t>may rely on a written representation obtained within 12 months by a person authorized to represent an account that does not look through to the beneficial owners of any unaffiliated private fund invested in the account, except for beneficial owners that are control persons of the investment adviser to the private fund. An unaffiliated private fund that qualifies under this exception:</w:t>
      </w:r>
    </w:p>
    <w:p w14:paraId="5F2D0690" w14:textId="77777777" w:rsidR="003C53E6" w:rsidRPr="00151877" w:rsidRDefault="003C53E6" w:rsidP="003C53E6">
      <w:pPr>
        <w:rPr>
          <w:sz w:val="24"/>
          <w:szCs w:val="24"/>
        </w:rPr>
      </w:pPr>
    </w:p>
    <w:p w14:paraId="5D6198B4" w14:textId="77777777" w:rsidR="003C53E6" w:rsidRPr="00151877" w:rsidRDefault="003C53E6" w:rsidP="003E7B18">
      <w:pPr>
        <w:numPr>
          <w:ilvl w:val="0"/>
          <w:numId w:val="228"/>
        </w:numPr>
        <w:ind w:hanging="180"/>
        <w:rPr>
          <w:sz w:val="24"/>
          <w:szCs w:val="24"/>
        </w:rPr>
      </w:pPr>
      <w:r w:rsidRPr="00151877">
        <w:rPr>
          <w:sz w:val="24"/>
          <w:szCs w:val="24"/>
        </w:rPr>
        <w:t xml:space="preserve">is managed by an investment adviser; </w:t>
      </w:r>
    </w:p>
    <w:p w14:paraId="042C1BCB" w14:textId="77777777" w:rsidR="003C53E6" w:rsidRPr="00151877" w:rsidRDefault="003C53E6" w:rsidP="003E7B18">
      <w:pPr>
        <w:numPr>
          <w:ilvl w:val="0"/>
          <w:numId w:val="228"/>
        </w:numPr>
        <w:ind w:hanging="180"/>
        <w:rPr>
          <w:sz w:val="24"/>
          <w:szCs w:val="24"/>
        </w:rPr>
      </w:pPr>
      <w:r w:rsidRPr="00151877">
        <w:rPr>
          <w:sz w:val="24"/>
          <w:szCs w:val="24"/>
        </w:rPr>
        <w:t xml:space="preserve">has assets greater than $50 million; </w:t>
      </w:r>
    </w:p>
    <w:p w14:paraId="2B32EB87" w14:textId="77777777" w:rsidR="003C53E6" w:rsidRPr="00151877" w:rsidRDefault="003C53E6" w:rsidP="003E7B18">
      <w:pPr>
        <w:numPr>
          <w:ilvl w:val="0"/>
          <w:numId w:val="228"/>
        </w:numPr>
        <w:ind w:hanging="180"/>
        <w:rPr>
          <w:sz w:val="24"/>
          <w:szCs w:val="24"/>
        </w:rPr>
      </w:pPr>
      <w:r w:rsidRPr="00151877">
        <w:rPr>
          <w:sz w:val="24"/>
          <w:szCs w:val="24"/>
        </w:rPr>
        <w:t xml:space="preserve">owns less than 25% of the account and is not a fund in which a single investor has a beneficial interest of 25% or more; and </w:t>
      </w:r>
    </w:p>
    <w:p w14:paraId="5B825709" w14:textId="77777777" w:rsidR="003C53E6" w:rsidRPr="00151877" w:rsidRDefault="003C53E6" w:rsidP="003E7B18">
      <w:pPr>
        <w:numPr>
          <w:ilvl w:val="0"/>
          <w:numId w:val="228"/>
        </w:numPr>
        <w:ind w:hanging="180"/>
        <w:rPr>
          <w:sz w:val="24"/>
          <w:szCs w:val="24"/>
        </w:rPr>
      </w:pPr>
      <w:r w:rsidRPr="00151877">
        <w:rPr>
          <w:sz w:val="24"/>
          <w:szCs w:val="24"/>
        </w:rPr>
        <w:t>was not formed for the specific purpose of investing in the account.</w:t>
      </w:r>
    </w:p>
    <w:p w14:paraId="3251C891" w14:textId="77777777" w:rsidR="003C53E6" w:rsidRPr="00151877" w:rsidRDefault="003C53E6" w:rsidP="003C53E6">
      <w:pPr>
        <w:ind w:left="720"/>
        <w:rPr>
          <w:sz w:val="24"/>
          <w:szCs w:val="24"/>
        </w:rPr>
      </w:pPr>
    </w:p>
    <w:p w14:paraId="0688236B" w14:textId="77777777" w:rsidR="003C53E6" w:rsidRPr="00151877" w:rsidRDefault="003C53E6" w:rsidP="003C53E6">
      <w:pPr>
        <w:ind w:left="270"/>
        <w:rPr>
          <w:sz w:val="24"/>
          <w:szCs w:val="24"/>
        </w:rPr>
      </w:pPr>
      <w:r w:rsidRPr="00151877">
        <w:rPr>
          <w:sz w:val="24"/>
          <w:szCs w:val="24"/>
        </w:rPr>
        <w:t>An "unaffiliated private fund" is a private fund defined in Section 202(a)(29) of the Investment Advisers Act, whose investment adviser does not have a control person in common with the investment adviser to the account.</w:t>
      </w:r>
    </w:p>
    <w:p w14:paraId="2FC370F3" w14:textId="77777777" w:rsidR="0083287F" w:rsidRPr="00A0692A" w:rsidRDefault="0083287F" w:rsidP="00FB0641">
      <w:pPr>
        <w:jc w:val="both"/>
        <w:rPr>
          <w:b/>
          <w:sz w:val="24"/>
        </w:rPr>
      </w:pPr>
    </w:p>
    <w:p w14:paraId="77D0F324" w14:textId="77777777" w:rsidR="0023442A" w:rsidRPr="00A0692A" w:rsidRDefault="0023442A" w:rsidP="00FB0641">
      <w:pPr>
        <w:jc w:val="both"/>
        <w:rPr>
          <w:b/>
          <w:sz w:val="24"/>
        </w:rPr>
      </w:pPr>
    </w:p>
    <w:p w14:paraId="260C9641" w14:textId="77777777" w:rsidR="0015172F" w:rsidRPr="00A0692A" w:rsidRDefault="00327E1C" w:rsidP="00936FEE">
      <w:pPr>
        <w:pStyle w:val="Heading2"/>
      </w:pPr>
      <w:r w:rsidRPr="00A0692A">
        <w:t>8.17 Conflicts</w:t>
      </w:r>
      <w:r w:rsidR="0015172F" w:rsidRPr="00A0692A">
        <w:t xml:space="preserve"> of Interest</w:t>
      </w:r>
    </w:p>
    <w:p w14:paraId="4BECFDED" w14:textId="77777777" w:rsidR="00FB0641" w:rsidRPr="00A0692A" w:rsidRDefault="00FB0641" w:rsidP="00FB0641">
      <w:pPr>
        <w:jc w:val="both"/>
        <w:rPr>
          <w:b/>
          <w:sz w:val="24"/>
        </w:rPr>
      </w:pPr>
      <w:r w:rsidRPr="00A0692A">
        <w:rPr>
          <w:sz w:val="24"/>
        </w:rPr>
        <w:t xml:space="preserve">Avoid even the appearance of conflict, let alone any actual conflict of interest, in transactions with customers. For instance, if </w:t>
      </w:r>
      <w:r w:rsidR="005626FB">
        <w:rPr>
          <w:sz w:val="24"/>
        </w:rPr>
        <w:t>an Associated Person</w:t>
      </w:r>
      <w:r w:rsidRPr="00A0692A">
        <w:rPr>
          <w:sz w:val="24"/>
        </w:rPr>
        <w:t xml:space="preserve"> own shares of a thinly traded stock in </w:t>
      </w:r>
      <w:r w:rsidR="005626FB">
        <w:rPr>
          <w:sz w:val="24"/>
        </w:rPr>
        <w:t>a</w:t>
      </w:r>
      <w:r w:rsidRPr="00A0692A">
        <w:rPr>
          <w:sz w:val="24"/>
        </w:rPr>
        <w:t xml:space="preserve"> personal account, </w:t>
      </w:r>
      <w:r w:rsidR="005626FB">
        <w:rPr>
          <w:sz w:val="24"/>
        </w:rPr>
        <w:t>it may be questionable the</w:t>
      </w:r>
      <w:r w:rsidRPr="00A0692A">
        <w:rPr>
          <w:sz w:val="24"/>
        </w:rPr>
        <w:t xml:space="preserve"> true motivation in recommending large purchases of those shares to </w:t>
      </w:r>
      <w:r w:rsidR="005626FB">
        <w:rPr>
          <w:sz w:val="24"/>
        </w:rPr>
        <w:t>cu</w:t>
      </w:r>
      <w:r w:rsidRPr="00A0692A">
        <w:rPr>
          <w:sz w:val="24"/>
        </w:rPr>
        <w:t>stomers when such a recommendation is likely to drive up the price of that stock.</w:t>
      </w:r>
    </w:p>
    <w:p w14:paraId="5DD63D6B" w14:textId="77777777" w:rsidR="00FB0641" w:rsidRPr="00A0692A" w:rsidRDefault="00FB0641" w:rsidP="00FB0641">
      <w:pPr>
        <w:jc w:val="both"/>
        <w:rPr>
          <w:b/>
          <w:sz w:val="24"/>
        </w:rPr>
      </w:pPr>
    </w:p>
    <w:p w14:paraId="7EFF2748" w14:textId="77777777" w:rsidR="0015172F" w:rsidRPr="00A0692A" w:rsidRDefault="0015172F" w:rsidP="00FB0641">
      <w:pPr>
        <w:jc w:val="both"/>
        <w:rPr>
          <w:b/>
          <w:sz w:val="24"/>
        </w:rPr>
      </w:pPr>
    </w:p>
    <w:p w14:paraId="1D92E733" w14:textId="77777777" w:rsidR="0015172F" w:rsidRPr="00A0692A" w:rsidRDefault="00327E1C" w:rsidP="00936FEE">
      <w:pPr>
        <w:pStyle w:val="Heading2"/>
      </w:pPr>
      <w:r w:rsidRPr="00A0692A">
        <w:t>8.18 Parking</w:t>
      </w:r>
      <w:r w:rsidR="0015172F" w:rsidRPr="00A0692A">
        <w:t xml:space="preserve"> Securities and Maintaining Fictitious Accounts</w:t>
      </w:r>
    </w:p>
    <w:p w14:paraId="27BC54B0" w14:textId="77777777" w:rsidR="00FB0641" w:rsidRPr="00A0692A" w:rsidRDefault="00FB0641" w:rsidP="00FB0641">
      <w:pPr>
        <w:jc w:val="both"/>
        <w:rPr>
          <w:sz w:val="24"/>
        </w:rPr>
      </w:pPr>
      <w:r w:rsidRPr="00A0692A">
        <w:rPr>
          <w:sz w:val="24"/>
        </w:rPr>
        <w:t>Holding or hiding securities in someone else's or a fictitious account is misleading and strictly prohibited.</w:t>
      </w:r>
    </w:p>
    <w:p w14:paraId="7F09B083" w14:textId="77777777" w:rsidR="00FB0641" w:rsidRPr="00A0692A" w:rsidRDefault="00FB0641" w:rsidP="00FB0641">
      <w:pPr>
        <w:jc w:val="both"/>
        <w:rPr>
          <w:b/>
          <w:sz w:val="24"/>
        </w:rPr>
      </w:pPr>
    </w:p>
    <w:p w14:paraId="31C583DB" w14:textId="77777777" w:rsidR="0015172F" w:rsidRPr="00A0692A" w:rsidRDefault="0015172F" w:rsidP="00FB0641">
      <w:pPr>
        <w:jc w:val="both"/>
        <w:rPr>
          <w:b/>
          <w:sz w:val="24"/>
        </w:rPr>
      </w:pPr>
    </w:p>
    <w:p w14:paraId="0160428D" w14:textId="77777777" w:rsidR="0015172F" w:rsidRDefault="00327E1C" w:rsidP="00936FEE">
      <w:pPr>
        <w:pStyle w:val="Heading2"/>
      </w:pPr>
      <w:bookmarkStart w:id="117" w:name="PersonalTradingReview"/>
      <w:bookmarkEnd w:id="117"/>
      <w:r w:rsidRPr="00A0692A">
        <w:t xml:space="preserve">8.19 </w:t>
      </w:r>
      <w:r w:rsidR="0015172F" w:rsidRPr="00A0692A">
        <w:t>Review</w:t>
      </w:r>
      <w:r w:rsidR="003A1CF2">
        <w:t xml:space="preserve"> of Transactions</w:t>
      </w:r>
    </w:p>
    <w:p w14:paraId="64E5D477" w14:textId="77777777" w:rsidR="003A1CF2" w:rsidRPr="006D5CDF" w:rsidRDefault="003A1CF2" w:rsidP="003A1CF2">
      <w:pPr>
        <w:rPr>
          <w:sz w:val="24"/>
          <w:szCs w:val="24"/>
        </w:rPr>
      </w:pPr>
      <w:r w:rsidRPr="006D5CDF">
        <w:rPr>
          <w:sz w:val="24"/>
          <w:szCs w:val="24"/>
        </w:rPr>
        <w:t xml:space="preserve">Company reviews securities transactions </w:t>
      </w:r>
      <w:r w:rsidR="00E002ED" w:rsidRPr="006D5CDF">
        <w:rPr>
          <w:sz w:val="24"/>
          <w:szCs w:val="24"/>
        </w:rPr>
        <w:t xml:space="preserve">at least monthly </w:t>
      </w:r>
      <w:r w:rsidRPr="006D5CDF">
        <w:rPr>
          <w:sz w:val="24"/>
          <w:szCs w:val="24"/>
        </w:rPr>
        <w:t>to identify trades that may violate provisions of the Exchange Act and its rules, rules of exchanges, or FINRA rules prohibiting insider trading and manipulative and deceptive devices. The accounts subject to these reviews include:</w:t>
      </w:r>
    </w:p>
    <w:p w14:paraId="6014D0BE" w14:textId="77777777" w:rsidR="003A1CF2" w:rsidRPr="006D5CDF" w:rsidRDefault="003A1CF2" w:rsidP="003E7B18">
      <w:pPr>
        <w:numPr>
          <w:ilvl w:val="0"/>
          <w:numId w:val="278"/>
        </w:numPr>
        <w:rPr>
          <w:sz w:val="24"/>
          <w:szCs w:val="24"/>
        </w:rPr>
      </w:pPr>
      <w:r w:rsidRPr="006D5CDF">
        <w:rPr>
          <w:sz w:val="24"/>
          <w:szCs w:val="24"/>
        </w:rPr>
        <w:t>Accounts of the Company;</w:t>
      </w:r>
    </w:p>
    <w:p w14:paraId="1998E377" w14:textId="77777777" w:rsidR="003A1CF2" w:rsidRPr="006D5CDF" w:rsidRDefault="003A1CF2" w:rsidP="003E7B18">
      <w:pPr>
        <w:numPr>
          <w:ilvl w:val="0"/>
          <w:numId w:val="278"/>
        </w:numPr>
        <w:rPr>
          <w:sz w:val="24"/>
          <w:szCs w:val="24"/>
        </w:rPr>
      </w:pPr>
      <w:r w:rsidRPr="006D5CDF">
        <w:rPr>
          <w:sz w:val="24"/>
          <w:szCs w:val="24"/>
        </w:rPr>
        <w:t>Accounts introduced by Company in which an Associated Person has a beneficial interest or the authority to make investment decisions;</w:t>
      </w:r>
    </w:p>
    <w:p w14:paraId="195B08ED" w14:textId="77777777" w:rsidR="003A1CF2" w:rsidRPr="006D5CDF" w:rsidRDefault="003A1CF2" w:rsidP="003E7B18">
      <w:pPr>
        <w:numPr>
          <w:ilvl w:val="0"/>
          <w:numId w:val="278"/>
        </w:numPr>
        <w:rPr>
          <w:sz w:val="24"/>
          <w:szCs w:val="24"/>
        </w:rPr>
      </w:pPr>
      <w:r w:rsidRPr="006D5CDF">
        <w:rPr>
          <w:sz w:val="24"/>
          <w:szCs w:val="24"/>
        </w:rPr>
        <w:t>Outside accounts of Associated Person;  and</w:t>
      </w:r>
    </w:p>
    <w:p w14:paraId="54722485" w14:textId="77777777" w:rsidR="00E002ED" w:rsidRPr="006D5CDF" w:rsidRDefault="003A1CF2" w:rsidP="003E7B18">
      <w:pPr>
        <w:numPr>
          <w:ilvl w:val="0"/>
          <w:numId w:val="279"/>
        </w:numPr>
        <w:rPr>
          <w:sz w:val="24"/>
          <w:szCs w:val="24"/>
        </w:rPr>
      </w:pPr>
      <w:r w:rsidRPr="006D5CDF">
        <w:rPr>
          <w:sz w:val="24"/>
          <w:szCs w:val="24"/>
        </w:rPr>
        <w:t>Other covered accounts including any account that is held by the spouse, child (who resides in the same household or is financially dependent of the Associated Person), any other relative or individual over whose account the Associated Person has control</w:t>
      </w:r>
      <w:r w:rsidR="00E002ED" w:rsidRPr="006D5CDF">
        <w:rPr>
          <w:sz w:val="24"/>
          <w:szCs w:val="24"/>
        </w:rPr>
        <w:t xml:space="preserve"> or gives financial support.</w:t>
      </w:r>
    </w:p>
    <w:p w14:paraId="39EFD38A" w14:textId="77777777" w:rsidR="003A1CF2" w:rsidRPr="003A1CF2" w:rsidRDefault="00F031EB" w:rsidP="00521833">
      <w:pPr>
        <w:spacing w:before="100" w:beforeAutospacing="1" w:after="100" w:afterAutospacing="1"/>
      </w:pPr>
      <w:r w:rsidRPr="002C26F2">
        <w:rPr>
          <w:sz w:val="24"/>
          <w:szCs w:val="24"/>
        </w:rPr>
        <w:t>In addition, a review of any available FINRA reports will be conducted to detect</w:t>
      </w:r>
      <w:r w:rsidR="00CB468E" w:rsidRPr="002C26F2">
        <w:rPr>
          <w:sz w:val="24"/>
          <w:szCs w:val="24"/>
        </w:rPr>
        <w:t xml:space="preserve"> such actions as </w:t>
      </w:r>
      <w:r w:rsidRPr="002C26F2">
        <w:rPr>
          <w:sz w:val="24"/>
          <w:szCs w:val="24"/>
        </w:rPr>
        <w:t xml:space="preserve">  layering and spoofing and follow up exceptions to identify manipulative activity and take </w:t>
      </w:r>
      <w:r w:rsidRPr="002C26F2">
        <w:rPr>
          <w:sz w:val="24"/>
          <w:szCs w:val="24"/>
        </w:rPr>
        <w:lastRenderedPageBreak/>
        <w:t>corrective action.</w:t>
      </w:r>
      <w:r w:rsidRPr="002C26F2">
        <w:t xml:space="preserve">  </w:t>
      </w:r>
      <w:r w:rsidR="003A1CF2" w:rsidRPr="006D5CDF">
        <w:rPr>
          <w:sz w:val="24"/>
          <w:szCs w:val="24"/>
        </w:rPr>
        <w:t>For questioned trades, a prompt internal investigation will be conducted to determine whether a violatio</w:t>
      </w:r>
      <w:r w:rsidR="00E002ED" w:rsidRPr="006D5CDF">
        <w:rPr>
          <w:sz w:val="24"/>
          <w:szCs w:val="24"/>
        </w:rPr>
        <w:t>n of laws or rules has occurred and the report maintained as part of Company’s records.</w:t>
      </w:r>
    </w:p>
    <w:p w14:paraId="40932B13" w14:textId="77777777" w:rsidR="00FB0641" w:rsidRDefault="00FB0641" w:rsidP="00FB0641">
      <w:pPr>
        <w:ind w:left="720"/>
        <w:jc w:val="both"/>
        <w:rPr>
          <w:bCs/>
          <w:sz w:val="24"/>
        </w:rPr>
      </w:pPr>
    </w:p>
    <w:p w14:paraId="68E85EDA" w14:textId="77777777" w:rsidR="0015172F" w:rsidRPr="00320DE6" w:rsidRDefault="0015172F" w:rsidP="00936FEE">
      <w:pPr>
        <w:pStyle w:val="Heading2"/>
      </w:pPr>
      <w:r w:rsidRPr="00320DE6">
        <w:t>8.</w:t>
      </w:r>
      <w:r w:rsidR="00A8339B">
        <w:t>20</w:t>
      </w:r>
      <w:r w:rsidRPr="00320DE6">
        <w:t xml:space="preserve"> Proprietary Trading</w:t>
      </w:r>
    </w:p>
    <w:p w14:paraId="358BC110" w14:textId="77777777" w:rsidR="00FB0641" w:rsidRDefault="00FB0641" w:rsidP="00FB0641">
      <w:pPr>
        <w:jc w:val="both"/>
        <w:rPr>
          <w:sz w:val="24"/>
        </w:rPr>
      </w:pPr>
      <w:r>
        <w:rPr>
          <w:sz w:val="24"/>
        </w:rPr>
        <w:t xml:space="preserve">Currently, </w:t>
      </w:r>
      <w:r w:rsidR="00A00E56">
        <w:rPr>
          <w:sz w:val="24"/>
        </w:rPr>
        <w:t>Co</w:t>
      </w:r>
      <w:r>
        <w:rPr>
          <w:sz w:val="24"/>
        </w:rPr>
        <w:t>m</w:t>
      </w:r>
      <w:r w:rsidR="00A00E56">
        <w:rPr>
          <w:sz w:val="24"/>
        </w:rPr>
        <w:t>pany</w:t>
      </w:r>
      <w:r>
        <w:rPr>
          <w:sz w:val="24"/>
        </w:rPr>
        <w:t xml:space="preserve"> is a $5,000 net capital broker/dealer and thus does not conduct any </w:t>
      </w:r>
      <w:r w:rsidR="006662AB">
        <w:rPr>
          <w:sz w:val="24"/>
        </w:rPr>
        <w:t>proprietary</w:t>
      </w:r>
      <w:r>
        <w:rPr>
          <w:sz w:val="24"/>
        </w:rPr>
        <w:t xml:space="preserve"> trading.  However, in the event the </w:t>
      </w:r>
      <w:r w:rsidR="00A00E56">
        <w:rPr>
          <w:sz w:val="24"/>
        </w:rPr>
        <w:t>Company</w:t>
      </w:r>
      <w:r>
        <w:rPr>
          <w:sz w:val="24"/>
        </w:rPr>
        <w:t xml:space="preserve"> is able to conduct </w:t>
      </w:r>
      <w:r w:rsidR="006662AB">
        <w:rPr>
          <w:sz w:val="24"/>
        </w:rPr>
        <w:t>proprietary</w:t>
      </w:r>
      <w:r>
        <w:rPr>
          <w:sz w:val="24"/>
        </w:rPr>
        <w:t xml:space="preserve"> trading in the future, these procedures will apply.</w:t>
      </w:r>
    </w:p>
    <w:p w14:paraId="4D7A63EB" w14:textId="77777777" w:rsidR="00FB0641" w:rsidRDefault="00FB0641" w:rsidP="00FB0641">
      <w:pPr>
        <w:jc w:val="both"/>
        <w:rPr>
          <w:sz w:val="24"/>
        </w:rPr>
      </w:pPr>
    </w:p>
    <w:p w14:paraId="6B5817CB" w14:textId="77777777" w:rsidR="00FB0641" w:rsidRDefault="00FB0641" w:rsidP="00FB0641">
      <w:pPr>
        <w:jc w:val="both"/>
        <w:rPr>
          <w:sz w:val="24"/>
        </w:rPr>
      </w:pPr>
      <w:r>
        <w:rPr>
          <w:sz w:val="24"/>
        </w:rPr>
        <w:t xml:space="preserve">Proprietary trades in the Company's trading account with </w:t>
      </w:r>
      <w:r w:rsidR="006245AC" w:rsidRPr="00AF6186">
        <w:rPr>
          <w:sz w:val="24"/>
        </w:rPr>
        <w:t>Hilltop</w:t>
      </w:r>
      <w:r>
        <w:rPr>
          <w:sz w:val="24"/>
        </w:rPr>
        <w:t xml:space="preserve"> Securities, Inc. may only be executed by Morris Monroe or his designee.  Morris Monroe shall be the supervisor responsible for all proprietary trading activities, including but not limited to principal trades with customers, customer accommodations, mark up policies and trade reporting activities.</w:t>
      </w:r>
    </w:p>
    <w:p w14:paraId="2D95B664" w14:textId="77777777" w:rsidR="00FB0641" w:rsidRDefault="00FB0641" w:rsidP="00FB0641">
      <w:pPr>
        <w:jc w:val="both"/>
        <w:rPr>
          <w:sz w:val="24"/>
        </w:rPr>
      </w:pPr>
    </w:p>
    <w:p w14:paraId="6382E6AE" w14:textId="77777777" w:rsidR="00FB0641" w:rsidRDefault="00FB0641" w:rsidP="00FB0641">
      <w:pPr>
        <w:jc w:val="both"/>
        <w:rPr>
          <w:sz w:val="24"/>
        </w:rPr>
      </w:pPr>
      <w:r>
        <w:rPr>
          <w:sz w:val="24"/>
        </w:rPr>
        <w:t xml:space="preserve">The Company's policy regarding markups/markdowns would be that all markups/markdowns must be consistent with that of Rule 2440 of the </w:t>
      </w:r>
      <w:r w:rsidRPr="0035367E">
        <w:rPr>
          <w:sz w:val="24"/>
        </w:rPr>
        <w:t>FINRA</w:t>
      </w:r>
      <w:r>
        <w:rPr>
          <w:sz w:val="24"/>
        </w:rPr>
        <w:t xml:space="preserve"> Rules. Keeping in mind that it would be the Company's intention to use prevailing inter-dealer prices, and in his absence, the Company would use contemporaneous cost </w:t>
      </w:r>
      <w:r w:rsidR="00D0432A">
        <w:rPr>
          <w:sz w:val="24"/>
        </w:rPr>
        <w:t>and, in some cases,</w:t>
      </w:r>
      <w:r>
        <w:rPr>
          <w:sz w:val="24"/>
        </w:rPr>
        <w:t>, these may be one and the same.  The Company would not act as a market maker, nor would any individual be authorized to hold himself/herself and/or the Company out to the public as a market maker.</w:t>
      </w:r>
    </w:p>
    <w:p w14:paraId="2FD87E93" w14:textId="77777777" w:rsidR="00FB0641" w:rsidRDefault="00FB0641" w:rsidP="00FB0641">
      <w:pPr>
        <w:jc w:val="both"/>
        <w:rPr>
          <w:sz w:val="24"/>
        </w:rPr>
      </w:pPr>
    </w:p>
    <w:p w14:paraId="1F7C8D52" w14:textId="1CCB4E89" w:rsidR="00FB0641" w:rsidRDefault="00FB0641" w:rsidP="00FB0641">
      <w:pPr>
        <w:jc w:val="both"/>
        <w:rPr>
          <w:sz w:val="24"/>
        </w:rPr>
      </w:pPr>
      <w:r>
        <w:rPr>
          <w:sz w:val="24"/>
        </w:rPr>
        <w:t xml:space="preserve">With respect to trading activities, all NASDAQ, listed trades and fixed income products would be executed at the prevailing market price at the time of execution.  As far as accommodations with </w:t>
      </w:r>
      <w:r w:rsidR="000E03AE" w:rsidRPr="000E03AE">
        <w:rPr>
          <w:color w:val="FF0000"/>
          <w:sz w:val="24"/>
        </w:rPr>
        <w:t>non-NMS stocks or elsewhere in the OTC market</w:t>
      </w:r>
      <w:r>
        <w:rPr>
          <w:sz w:val="24"/>
        </w:rPr>
        <w:t>, Pink sheet trades, the Company would execute the trades and obtain the best execution for all customers by checking at least three available market makers and executing at the best price for the customer. A notation would be made on the ticket indicating the market makers contacted and their respective quotes at the time contacted.</w:t>
      </w:r>
    </w:p>
    <w:p w14:paraId="084633F2" w14:textId="77777777" w:rsidR="00FB0641" w:rsidRDefault="00FB0641" w:rsidP="00FB0641">
      <w:pPr>
        <w:jc w:val="both"/>
        <w:rPr>
          <w:sz w:val="24"/>
        </w:rPr>
      </w:pPr>
    </w:p>
    <w:p w14:paraId="08438463" w14:textId="77777777" w:rsidR="00FB0641" w:rsidRDefault="00FB0641" w:rsidP="00FB0641">
      <w:pPr>
        <w:jc w:val="both"/>
        <w:rPr>
          <w:sz w:val="24"/>
        </w:rPr>
      </w:pPr>
      <w:r>
        <w:rPr>
          <w:sz w:val="24"/>
        </w:rPr>
        <w:t>In "over-the-counter" transactions, whether in "listed" or "unlisted" securities, to the extent the Company acts as a principal, the Company will not charge its customer more than a fair commission or service charge, taking into consideration all relevant circumstances including market conditions with respect to such security at the time of the transaction, the expense of executing the order and the value of any service it may have rendered by reason of its experience in and knowledge of such security and the market thereof.</w:t>
      </w:r>
    </w:p>
    <w:p w14:paraId="213A89A8" w14:textId="77777777" w:rsidR="00FB0641" w:rsidRDefault="00FB0641" w:rsidP="00FB0641">
      <w:pPr>
        <w:jc w:val="both"/>
        <w:rPr>
          <w:sz w:val="24"/>
        </w:rPr>
      </w:pPr>
    </w:p>
    <w:p w14:paraId="5DBFB4A4" w14:textId="77777777" w:rsidR="00FB0641" w:rsidRDefault="00FB0641" w:rsidP="00FB0641">
      <w:pPr>
        <w:jc w:val="both"/>
        <w:rPr>
          <w:sz w:val="24"/>
        </w:rPr>
      </w:pPr>
      <w:r>
        <w:rPr>
          <w:sz w:val="24"/>
        </w:rPr>
        <w:t>Entry and execution of retail orders would follow the following procedures:</w:t>
      </w:r>
    </w:p>
    <w:p w14:paraId="1E81E3C7" w14:textId="77777777" w:rsidR="00FB0641" w:rsidRDefault="00FB0641" w:rsidP="00FB0641">
      <w:pPr>
        <w:jc w:val="both"/>
        <w:rPr>
          <w:sz w:val="24"/>
        </w:rPr>
      </w:pPr>
    </w:p>
    <w:p w14:paraId="780C07DB" w14:textId="77777777" w:rsidR="00FB0641" w:rsidRDefault="00FB0641" w:rsidP="00FB0641">
      <w:pPr>
        <w:jc w:val="both"/>
        <w:rPr>
          <w:sz w:val="24"/>
        </w:rPr>
      </w:pPr>
      <w:r>
        <w:rPr>
          <w:sz w:val="24"/>
        </w:rPr>
        <w:t xml:space="preserve">Morris Monroe or his designee will enter orders promptly as received.  Order tickets would be checked for completeness.  Listed orders as applicable would be entered on the system and placed in an order box for later comparison. Other listed orders may be entered verbally as needed with </w:t>
      </w:r>
      <w:r w:rsidR="006245AC" w:rsidRPr="00AF6186">
        <w:rPr>
          <w:sz w:val="24"/>
        </w:rPr>
        <w:t>Hilltop</w:t>
      </w:r>
      <w:r w:rsidRPr="00AF6186">
        <w:rPr>
          <w:sz w:val="24"/>
        </w:rPr>
        <w:t xml:space="preserve"> Securities, Inc.  Agency trades for the most part will be executed with </w:t>
      </w:r>
      <w:r w:rsidR="006245AC" w:rsidRPr="00AF6186">
        <w:rPr>
          <w:sz w:val="24"/>
        </w:rPr>
        <w:t>Hilltop</w:t>
      </w:r>
      <w:r w:rsidRPr="00AF6186">
        <w:rPr>
          <w:sz w:val="24"/>
        </w:rPr>
        <w:t xml:space="preserve"> </w:t>
      </w:r>
      <w:r>
        <w:rPr>
          <w:sz w:val="24"/>
        </w:rPr>
        <w:t>Securities, Inc., however on occasion the Company may execute agency transactions through other dealers. Morris Monroe shall be responsible for reviewing all markups/markdowns computed on behalf of the Company.</w:t>
      </w:r>
    </w:p>
    <w:p w14:paraId="0096501A" w14:textId="77777777" w:rsidR="00FB0641" w:rsidRDefault="00FB0641" w:rsidP="00FB0641">
      <w:pPr>
        <w:jc w:val="both"/>
        <w:rPr>
          <w:sz w:val="24"/>
        </w:rPr>
      </w:pPr>
    </w:p>
    <w:p w14:paraId="218BAC85" w14:textId="77777777" w:rsidR="00FB0641" w:rsidRDefault="00FB0641" w:rsidP="00FB0641">
      <w:pPr>
        <w:jc w:val="both"/>
        <w:rPr>
          <w:sz w:val="24"/>
        </w:rPr>
      </w:pPr>
      <w:r>
        <w:rPr>
          <w:sz w:val="24"/>
        </w:rPr>
        <w:t xml:space="preserve">Over the counter orders, retail NASDAQ agency or principal orders would be executed at best possible prices for all customers. The bid prices less a commission or commission equivalent </w:t>
      </w:r>
      <w:r>
        <w:rPr>
          <w:sz w:val="24"/>
        </w:rPr>
        <w:lastRenderedPageBreak/>
        <w:t xml:space="preserve">markdown for a seller and the offer price plus a commission or commission equivalent markup would be the outside guidelines for execution of agency and principal customer orders. There may be occasional exceptions to this guideline as trading conditions may warrant for </w:t>
      </w:r>
      <w:r w:rsidR="005269F6">
        <w:rPr>
          <w:sz w:val="24"/>
        </w:rPr>
        <w:t>non-routine</w:t>
      </w:r>
      <w:r>
        <w:rPr>
          <w:sz w:val="24"/>
        </w:rPr>
        <w:t xml:space="preserve"> orders considering the size of the order in relation to the liquidity in trading volume.</w:t>
      </w:r>
    </w:p>
    <w:p w14:paraId="06663134" w14:textId="77777777" w:rsidR="00FB0641" w:rsidRDefault="00FB0641" w:rsidP="00FB0641">
      <w:pPr>
        <w:jc w:val="both"/>
        <w:rPr>
          <w:sz w:val="24"/>
        </w:rPr>
      </w:pPr>
    </w:p>
    <w:p w14:paraId="197A506D" w14:textId="77777777" w:rsidR="00FB0641" w:rsidRDefault="00FB0641" w:rsidP="00FB0641">
      <w:pPr>
        <w:jc w:val="both"/>
        <w:rPr>
          <w:sz w:val="24"/>
        </w:rPr>
      </w:pPr>
      <w:r>
        <w:rPr>
          <w:sz w:val="24"/>
        </w:rPr>
        <w:t xml:space="preserve">Principal and agency orders for any Non-NASDAQ over the counter securities ("Pink Sheets" and foreign securities) would </w:t>
      </w:r>
      <w:r w:rsidR="0023442A">
        <w:rPr>
          <w:sz w:val="24"/>
        </w:rPr>
        <w:t xml:space="preserve">be </w:t>
      </w:r>
      <w:r>
        <w:rPr>
          <w:sz w:val="24"/>
        </w:rPr>
        <w:t xml:space="preserve">subject to the stringent "Designated Securities" transaction rules and regulations.  Transactions in designated securities will only be permitted by exemption under SEC Rule SEC 15g-1.  If available, quotations from at least three market makers would be obtained for principal and agency customer orders. </w:t>
      </w:r>
      <w:r w:rsidR="00B97EBA">
        <w:rPr>
          <w:sz w:val="24"/>
        </w:rPr>
        <w:t>The Company</w:t>
      </w:r>
      <w:r>
        <w:rPr>
          <w:sz w:val="24"/>
        </w:rPr>
        <w:t xml:space="preserve"> would only execute non-NASDAQ over the counter transactions on a riskless principal basis.</w:t>
      </w:r>
    </w:p>
    <w:p w14:paraId="046C2E18" w14:textId="77777777" w:rsidR="00FB0641" w:rsidRDefault="00FB0641" w:rsidP="00FB0641">
      <w:pPr>
        <w:jc w:val="both"/>
        <w:rPr>
          <w:sz w:val="24"/>
        </w:rPr>
      </w:pPr>
    </w:p>
    <w:p w14:paraId="45310B4C" w14:textId="77777777" w:rsidR="00FB0641" w:rsidRDefault="00FB0641" w:rsidP="00FB0641">
      <w:pPr>
        <w:jc w:val="both"/>
        <w:rPr>
          <w:sz w:val="24"/>
        </w:rPr>
      </w:pPr>
      <w:r>
        <w:rPr>
          <w:sz w:val="24"/>
        </w:rPr>
        <w:t>All executed orders would be reviewed daily by Morris Monroe.  The Company shall not charge any principal markups/markdowns, whether riskless or at risk, greater than 5%. Any exceptions would be required to be approved by Morris Monroe and the conditions precedent to the exception must be noted in the Company's records to document the basis of granting of such exception.</w:t>
      </w:r>
    </w:p>
    <w:p w14:paraId="058B4A20" w14:textId="77777777" w:rsidR="00FB0641" w:rsidRDefault="00FB0641" w:rsidP="00FB0641">
      <w:pPr>
        <w:jc w:val="both"/>
        <w:rPr>
          <w:sz w:val="24"/>
        </w:rPr>
      </w:pPr>
    </w:p>
    <w:p w14:paraId="4BA771CF" w14:textId="77777777" w:rsidR="00FB0641" w:rsidRDefault="00FB0641" w:rsidP="00FB0641">
      <w:pPr>
        <w:jc w:val="both"/>
        <w:rPr>
          <w:sz w:val="24"/>
        </w:rPr>
      </w:pPr>
      <w:r>
        <w:rPr>
          <w:sz w:val="24"/>
        </w:rPr>
        <w:t>Junk corporate bonds, due to the high risk and volatility of these securities, markups/markdowns may be allowed up to 5% or slightly higher.  However, any markups/markdowns higher than 5% must be approved by Morris Monroe and registered representative shall document the conditions precedent to the exception in support of granting of such exception.</w:t>
      </w:r>
    </w:p>
    <w:p w14:paraId="71C5F746" w14:textId="77777777" w:rsidR="00FB0641" w:rsidRDefault="00FB0641" w:rsidP="00FB0641">
      <w:pPr>
        <w:jc w:val="both"/>
        <w:rPr>
          <w:sz w:val="24"/>
        </w:rPr>
      </w:pPr>
    </w:p>
    <w:p w14:paraId="52AC39E8" w14:textId="77777777" w:rsidR="00FB0641" w:rsidRDefault="00FB0641" w:rsidP="00FB0641">
      <w:pPr>
        <w:jc w:val="both"/>
        <w:rPr>
          <w:sz w:val="24"/>
        </w:rPr>
      </w:pPr>
      <w:r>
        <w:rPr>
          <w:sz w:val="24"/>
        </w:rPr>
        <w:t>For corporates with a Baa or higher rating the markups/markdowns would be as follows:</w:t>
      </w:r>
    </w:p>
    <w:p w14:paraId="34364E53" w14:textId="77777777" w:rsidR="00FB0641" w:rsidRDefault="00FB0641" w:rsidP="00FB0641">
      <w:pPr>
        <w:jc w:val="both"/>
        <w:rPr>
          <w:sz w:val="24"/>
        </w:rPr>
      </w:pPr>
    </w:p>
    <w:p w14:paraId="2267A636" w14:textId="77777777" w:rsidR="00FB0641" w:rsidRDefault="00FB0641" w:rsidP="00FB0641">
      <w:pPr>
        <w:jc w:val="both"/>
        <w:rPr>
          <w:sz w:val="24"/>
        </w:rPr>
      </w:pPr>
      <w:r>
        <w:rPr>
          <w:sz w:val="24"/>
        </w:rPr>
        <w:tab/>
      </w:r>
      <w:r>
        <w:rPr>
          <w:sz w:val="24"/>
        </w:rPr>
        <w:tab/>
        <w:t>3.0%</w:t>
      </w:r>
      <w:r>
        <w:rPr>
          <w:sz w:val="24"/>
        </w:rPr>
        <w:tab/>
      </w:r>
      <w:r>
        <w:rPr>
          <w:sz w:val="24"/>
        </w:rPr>
        <w:tab/>
        <w:t>Round Lots</w:t>
      </w:r>
    </w:p>
    <w:p w14:paraId="7D603A35" w14:textId="77777777" w:rsidR="00FB0641" w:rsidRDefault="00FB0641" w:rsidP="00FB0641">
      <w:pPr>
        <w:jc w:val="both"/>
        <w:rPr>
          <w:sz w:val="24"/>
        </w:rPr>
      </w:pPr>
      <w:r>
        <w:rPr>
          <w:sz w:val="24"/>
        </w:rPr>
        <w:tab/>
      </w:r>
      <w:r>
        <w:rPr>
          <w:sz w:val="24"/>
        </w:rPr>
        <w:tab/>
        <w:t>3.5%</w:t>
      </w:r>
      <w:r>
        <w:rPr>
          <w:sz w:val="24"/>
        </w:rPr>
        <w:tab/>
      </w:r>
      <w:r>
        <w:rPr>
          <w:sz w:val="24"/>
        </w:rPr>
        <w:tab/>
        <w:t>Odd Lots</w:t>
      </w:r>
    </w:p>
    <w:p w14:paraId="6FA6063A" w14:textId="77777777" w:rsidR="00FB0641" w:rsidRDefault="00FB0641" w:rsidP="00FB0641">
      <w:pPr>
        <w:jc w:val="both"/>
        <w:rPr>
          <w:sz w:val="24"/>
        </w:rPr>
      </w:pPr>
    </w:p>
    <w:p w14:paraId="4F49CC64" w14:textId="77777777" w:rsidR="00FB0641" w:rsidRDefault="00FB0641" w:rsidP="00FB0641">
      <w:pPr>
        <w:jc w:val="both"/>
        <w:rPr>
          <w:sz w:val="24"/>
        </w:rPr>
      </w:pPr>
      <w:r>
        <w:rPr>
          <w:sz w:val="24"/>
        </w:rPr>
        <w:t xml:space="preserve">However, any markups/markdowns higher than the foregoing guidelines for corporates with a Baa or higher </w:t>
      </w:r>
      <w:r w:rsidR="00A0692A">
        <w:rPr>
          <w:sz w:val="24"/>
        </w:rPr>
        <w:t>rating</w:t>
      </w:r>
      <w:r>
        <w:rPr>
          <w:sz w:val="24"/>
        </w:rPr>
        <w:t xml:space="preserve"> must be approved by Morris Monroe and registered representative shall document the conditions precedent to the exception in support of granting of such exception.</w:t>
      </w:r>
    </w:p>
    <w:p w14:paraId="5D32F2C4" w14:textId="77777777" w:rsidR="00FB0641" w:rsidRDefault="00FB0641" w:rsidP="00FB0641">
      <w:pPr>
        <w:jc w:val="both"/>
        <w:rPr>
          <w:sz w:val="24"/>
        </w:rPr>
      </w:pPr>
    </w:p>
    <w:p w14:paraId="06982C43" w14:textId="77777777" w:rsidR="00FB0641" w:rsidRDefault="00FB0641" w:rsidP="00FB0641">
      <w:pPr>
        <w:jc w:val="both"/>
        <w:rPr>
          <w:sz w:val="24"/>
        </w:rPr>
      </w:pPr>
      <w:r>
        <w:rPr>
          <w:sz w:val="24"/>
        </w:rPr>
        <w:t>Investment grade municipal securities principal and agency transactions would be executed in accordance with MSRB Rule G-30. The normal markup/markdown would not be greater than 3.0%. Municipal bond transactions would also be executed at an aggregate bond price (including any markdown or markup).  However, any markups/markdowns higher than the foregoing guidelines for municipal securities must be approved by Morris Monroe and registered representative shall document the conditions precedent to the exception in support of granting of such exception.</w:t>
      </w:r>
    </w:p>
    <w:p w14:paraId="16E6BEC4" w14:textId="77777777" w:rsidR="00FB0641" w:rsidRDefault="00FB0641" w:rsidP="00FB0641">
      <w:pPr>
        <w:jc w:val="both"/>
        <w:rPr>
          <w:sz w:val="24"/>
        </w:rPr>
      </w:pPr>
    </w:p>
    <w:p w14:paraId="2D311010" w14:textId="72BF6F73" w:rsidR="00FB0641" w:rsidRDefault="00FB0641" w:rsidP="00FB0641">
      <w:pPr>
        <w:jc w:val="both"/>
        <w:rPr>
          <w:sz w:val="24"/>
        </w:rPr>
      </w:pPr>
      <w:r>
        <w:rPr>
          <w:sz w:val="24"/>
        </w:rPr>
        <w:t xml:space="preserve">Government securities would normally be traded with no more than a </w:t>
      </w:r>
      <w:r w:rsidR="004E5448">
        <w:rPr>
          <w:sz w:val="24"/>
        </w:rPr>
        <w:t>1-point</w:t>
      </w:r>
      <w:r>
        <w:rPr>
          <w:sz w:val="24"/>
        </w:rPr>
        <w:t xml:space="preserve"> spread.  CMOs would normally carry no more than a 3.5% markup/markdown.  However, any markups/markdowns higher than the foregoing guidelines for CMOs must be approved by Morris Monroe or his designee, and he shall document the conditions precedent to the exception in support of granting of such exception.</w:t>
      </w:r>
    </w:p>
    <w:p w14:paraId="4E420BC1" w14:textId="77777777" w:rsidR="00FB0641" w:rsidRDefault="00FB0641" w:rsidP="00FB0641">
      <w:pPr>
        <w:jc w:val="both"/>
        <w:rPr>
          <w:sz w:val="24"/>
        </w:rPr>
      </w:pPr>
    </w:p>
    <w:p w14:paraId="56C9D210" w14:textId="77777777" w:rsidR="00FB0641" w:rsidRPr="0035367E" w:rsidRDefault="00FB0641" w:rsidP="00FB0641">
      <w:pPr>
        <w:jc w:val="both"/>
        <w:rPr>
          <w:sz w:val="24"/>
        </w:rPr>
      </w:pPr>
      <w:r w:rsidRPr="00B00FE0">
        <w:rPr>
          <w:b/>
          <w:i/>
          <w:sz w:val="24"/>
        </w:rPr>
        <w:t>Reporting transactions in NASDAQ National Market System by a "Non- Registered Reporting Member</w:t>
      </w:r>
      <w:r w:rsidR="00A0692A">
        <w:rPr>
          <w:i/>
          <w:sz w:val="24"/>
        </w:rPr>
        <w:t>:</w:t>
      </w:r>
      <w:r w:rsidR="00B00FE0">
        <w:rPr>
          <w:b/>
          <w:i/>
          <w:sz w:val="24"/>
        </w:rPr>
        <w:t>”</w:t>
      </w:r>
      <w:r>
        <w:rPr>
          <w:sz w:val="24"/>
        </w:rPr>
        <w:t xml:space="preserve">  In accordance with Article VII of the </w:t>
      </w:r>
      <w:r w:rsidRPr="0035367E">
        <w:rPr>
          <w:sz w:val="24"/>
        </w:rPr>
        <w:t xml:space="preserve">FINRA By-Laws, and SEC Rule 11Aa2-1, a "Non-Registered Reporting Member" means a member of the FINRA which is not a Registered Reporting Market Maker.  The Company as a Non- Registered Reporting Member shall report </w:t>
      </w:r>
      <w:r w:rsidRPr="0035367E">
        <w:rPr>
          <w:sz w:val="24"/>
        </w:rPr>
        <w:lastRenderedPageBreak/>
        <w:t xml:space="preserve">within 90 seconds after execution, by transmitting through the Automated Confirmation Transaction Service ("ACT") or the ACT Service Desk (if qualified pursuant to Part VIII of Schedule D of the By-Laws), or if ACT is unavailable due to system or transmission failure, by telephone to the Market Operations Department in New York City, last sale reports of transactions in NASDAQ/NMS securities executed during normal market hours.  Transactions not reported within 90 seconds after execution shall be designated as late and such trade reports must include the time of execution. </w:t>
      </w:r>
    </w:p>
    <w:p w14:paraId="178C9FAF" w14:textId="77777777" w:rsidR="00FB0641" w:rsidRPr="0035367E" w:rsidRDefault="00FB0641" w:rsidP="00FB0641">
      <w:pPr>
        <w:jc w:val="both"/>
        <w:rPr>
          <w:sz w:val="24"/>
        </w:rPr>
      </w:pPr>
    </w:p>
    <w:p w14:paraId="08D6B752" w14:textId="77777777" w:rsidR="00FB0641" w:rsidRPr="0035367E" w:rsidRDefault="00FB0641" w:rsidP="00FB0641">
      <w:pPr>
        <w:jc w:val="both"/>
        <w:rPr>
          <w:sz w:val="24"/>
        </w:rPr>
      </w:pPr>
      <w:r w:rsidRPr="0035367E">
        <w:rPr>
          <w:sz w:val="24"/>
        </w:rPr>
        <w:t>Further, the Company as a Non-Registered Reporting Member shall report weekly to the Market Operations Department in New York City, on a form designated by the FINRA Board of Governors, last sale reports of transactions in NASDAQ/NMS securities which are not required</w:t>
      </w:r>
      <w:r>
        <w:rPr>
          <w:sz w:val="24"/>
        </w:rPr>
        <w:t xml:space="preserve"> to be reported under the foregoing paragraphs or under the reporting requirements for transactions outside normal market hours. Given that the Company is a Non-Registered Reporting Member, where the Company effects a transaction with </w:t>
      </w:r>
      <w:r w:rsidRPr="0035367E">
        <w:rPr>
          <w:sz w:val="24"/>
        </w:rPr>
        <w:t>another FINRA Member Firm, the Company shall only be required to report where the Company is representing the sell side of the transaction, otherwise the Registered Reporting Market Maker shall be responsible for reporting all transactions, or the Non-Registered Reporting Member on the sell side of the transaction.  The Company shall also be required to report in transactions between the Company and a customer.  The last sale report shall contain the following information:</w:t>
      </w:r>
    </w:p>
    <w:p w14:paraId="304387DA" w14:textId="77777777" w:rsidR="00FB0641" w:rsidRPr="0035367E" w:rsidRDefault="00FB0641" w:rsidP="00FB0641">
      <w:pPr>
        <w:jc w:val="both"/>
        <w:rPr>
          <w:sz w:val="24"/>
        </w:rPr>
      </w:pPr>
    </w:p>
    <w:p w14:paraId="29BF7F7A" w14:textId="77777777" w:rsidR="00FB0641" w:rsidRPr="0035367E" w:rsidRDefault="00FB0641" w:rsidP="00FB0641">
      <w:pPr>
        <w:jc w:val="both"/>
        <w:rPr>
          <w:sz w:val="24"/>
        </w:rPr>
      </w:pPr>
      <w:r w:rsidRPr="0035367E">
        <w:rPr>
          <w:sz w:val="24"/>
        </w:rPr>
        <w:tab/>
        <w:t>1.  NASDAQ Symbol of the NASDAQ/NMS security;</w:t>
      </w:r>
    </w:p>
    <w:p w14:paraId="328A3786" w14:textId="77777777" w:rsidR="00FB0641" w:rsidRPr="0035367E" w:rsidRDefault="00FB0641" w:rsidP="00FB0641">
      <w:pPr>
        <w:jc w:val="both"/>
        <w:rPr>
          <w:sz w:val="24"/>
        </w:rPr>
      </w:pPr>
      <w:r w:rsidRPr="0035367E">
        <w:rPr>
          <w:sz w:val="24"/>
        </w:rPr>
        <w:tab/>
        <w:t>2.  Number of shares (odd lots shall not be reported);</w:t>
      </w:r>
    </w:p>
    <w:p w14:paraId="7B80DF1A" w14:textId="77777777" w:rsidR="00FB0641" w:rsidRPr="0035367E" w:rsidRDefault="00FB0641" w:rsidP="00FB0641">
      <w:pPr>
        <w:jc w:val="both"/>
        <w:rPr>
          <w:sz w:val="24"/>
        </w:rPr>
      </w:pPr>
      <w:r w:rsidRPr="0035367E">
        <w:rPr>
          <w:sz w:val="24"/>
        </w:rPr>
        <w:tab/>
        <w:t>3.  Price of the transaction as required pursuant to the FINRA By-Laws;</w:t>
      </w:r>
    </w:p>
    <w:p w14:paraId="19FBD6F8" w14:textId="77777777" w:rsidR="00FB0641" w:rsidRPr="0035367E" w:rsidRDefault="00FB0641" w:rsidP="00FB0641">
      <w:pPr>
        <w:jc w:val="both"/>
        <w:rPr>
          <w:sz w:val="24"/>
        </w:rPr>
      </w:pPr>
      <w:r w:rsidRPr="0035367E">
        <w:rPr>
          <w:sz w:val="24"/>
        </w:rPr>
        <w:tab/>
        <w:t>4.  A symbol indicating whether the transaction is a buy, sell, or cross.</w:t>
      </w:r>
    </w:p>
    <w:p w14:paraId="6D729892" w14:textId="77777777" w:rsidR="00FB0641" w:rsidRDefault="00FB0641" w:rsidP="00FB0641">
      <w:pPr>
        <w:jc w:val="both"/>
        <w:rPr>
          <w:sz w:val="24"/>
        </w:rPr>
      </w:pPr>
      <w:r w:rsidRPr="0035367E">
        <w:rPr>
          <w:sz w:val="24"/>
        </w:rPr>
        <w:tab/>
        <w:t>5.  The time of execution if the trade is reported more than 90 seconds after execution.</w:t>
      </w:r>
    </w:p>
    <w:p w14:paraId="605406E2" w14:textId="77777777" w:rsidR="007D2226" w:rsidRDefault="007D2226" w:rsidP="00FB0641">
      <w:pPr>
        <w:jc w:val="both"/>
        <w:rPr>
          <w:sz w:val="24"/>
        </w:rPr>
      </w:pPr>
    </w:p>
    <w:p w14:paraId="1298F108" w14:textId="77777777" w:rsidR="007D2226" w:rsidRPr="003737B2" w:rsidRDefault="007D2226" w:rsidP="001A7509">
      <w:pPr>
        <w:pStyle w:val="Heading3"/>
      </w:pPr>
      <w:r w:rsidRPr="003737B2">
        <w:t xml:space="preserve">8.20.1 </w:t>
      </w:r>
      <w:r w:rsidR="00A479A5">
        <w:t>HTS</w:t>
      </w:r>
      <w:r w:rsidRPr="003737B2">
        <w:t xml:space="preserve"> Inventory Account</w:t>
      </w:r>
    </w:p>
    <w:p w14:paraId="10638D16" w14:textId="77777777" w:rsidR="00FB0641" w:rsidRPr="00DD3DFB" w:rsidRDefault="003737B2" w:rsidP="00DD3DFB">
      <w:pPr>
        <w:ind w:left="270"/>
        <w:jc w:val="both"/>
      </w:pPr>
      <w:r w:rsidRPr="00DD3DFB">
        <w:rPr>
          <w:sz w:val="24"/>
          <w:szCs w:val="24"/>
        </w:rPr>
        <w:t xml:space="preserve">Pursuant to </w:t>
      </w:r>
      <w:r w:rsidR="00344BCA" w:rsidRPr="00DD3DFB">
        <w:rPr>
          <w:sz w:val="24"/>
          <w:szCs w:val="24"/>
        </w:rPr>
        <w:t>c</w:t>
      </w:r>
      <w:r w:rsidRPr="00DD3DFB">
        <w:rPr>
          <w:sz w:val="24"/>
          <w:szCs w:val="24"/>
        </w:rPr>
        <w:t xml:space="preserve">learing </w:t>
      </w:r>
      <w:r w:rsidR="00344BCA" w:rsidRPr="00DD3DFB">
        <w:rPr>
          <w:sz w:val="24"/>
          <w:szCs w:val="24"/>
        </w:rPr>
        <w:t>f</w:t>
      </w:r>
      <w:r w:rsidRPr="00DD3DFB">
        <w:rPr>
          <w:sz w:val="24"/>
          <w:szCs w:val="24"/>
        </w:rPr>
        <w:t xml:space="preserve">irm requirements, Company must utilize an inventory account to process customer </w:t>
      </w:r>
      <w:r w:rsidR="00344BCA" w:rsidRPr="00DD3DFB">
        <w:rPr>
          <w:sz w:val="24"/>
          <w:szCs w:val="24"/>
        </w:rPr>
        <w:t xml:space="preserve">fixed income orders.  Company does not hold positions in this account.  Company processes </w:t>
      </w:r>
      <w:r w:rsidR="00780B56" w:rsidRPr="00DD3DFB">
        <w:rPr>
          <w:sz w:val="24"/>
          <w:szCs w:val="24"/>
        </w:rPr>
        <w:t xml:space="preserve">dealer side of order first and then customer order.  Inventory account is checked daily by the Trading Dept.  Subsequently, the customer account is verified to ensure the proper processing of order.  Any sales credit or markup/markdown is reviewed at the time the order is entered by the Trading Department as well as by Laura Hendricks on </w:t>
      </w:r>
      <w:r w:rsidR="00780B56" w:rsidRPr="00AF6186">
        <w:rPr>
          <w:sz w:val="24"/>
          <w:szCs w:val="24"/>
        </w:rPr>
        <w:t xml:space="preserve">the </w:t>
      </w:r>
      <w:r w:rsidR="00671EFE" w:rsidRPr="00AF6186">
        <w:rPr>
          <w:sz w:val="24"/>
          <w:szCs w:val="24"/>
        </w:rPr>
        <w:t>trade</w:t>
      </w:r>
      <w:r w:rsidR="00780B56" w:rsidRPr="00AF6186">
        <w:rPr>
          <w:sz w:val="24"/>
          <w:szCs w:val="24"/>
        </w:rPr>
        <w:t xml:space="preserve"> </w:t>
      </w:r>
      <w:r w:rsidR="00780B56" w:rsidRPr="00DD3DFB">
        <w:rPr>
          <w:sz w:val="24"/>
          <w:szCs w:val="24"/>
        </w:rPr>
        <w:t xml:space="preserve">blotters.  Any balance that may remain in the inventory account would not only be detected by Company Trading Department but also by the clearing firm P&amp;S Department (who initiates an email to </w:t>
      </w:r>
      <w:r w:rsidR="00470CEE" w:rsidRPr="006D5CDF">
        <w:rPr>
          <w:sz w:val="24"/>
          <w:szCs w:val="24"/>
        </w:rPr>
        <w:t xml:space="preserve">Company Operations </w:t>
      </w:r>
      <w:r w:rsidR="00780B56" w:rsidRPr="006D5CDF">
        <w:rPr>
          <w:sz w:val="24"/>
          <w:szCs w:val="24"/>
        </w:rPr>
        <w:t xml:space="preserve">the </w:t>
      </w:r>
      <w:r w:rsidR="00780B56" w:rsidRPr="00DD3DFB">
        <w:rPr>
          <w:sz w:val="24"/>
          <w:szCs w:val="24"/>
        </w:rPr>
        <w:t>following day for further controls).</w:t>
      </w:r>
    </w:p>
    <w:p w14:paraId="56283BEA" w14:textId="77777777" w:rsidR="00FB0641" w:rsidRDefault="00FB0641" w:rsidP="00FB0641">
      <w:pPr>
        <w:jc w:val="both"/>
      </w:pPr>
    </w:p>
    <w:p w14:paraId="608F5F51" w14:textId="77777777" w:rsidR="007674AB" w:rsidRDefault="007674AB" w:rsidP="007674AB">
      <w:pPr>
        <w:pStyle w:val="Heading3"/>
      </w:pPr>
      <w:r>
        <w:t xml:space="preserve">8.20.2 Rule 5320-Prohibition </w:t>
      </w:r>
      <w:r w:rsidR="00327E1C">
        <w:t>against</w:t>
      </w:r>
      <w:r>
        <w:t xml:space="preserve"> Trading Ahead of Customer Orders</w:t>
      </w:r>
    </w:p>
    <w:p w14:paraId="7748820F" w14:textId="77777777" w:rsidR="007674AB" w:rsidRPr="00AC1FFA" w:rsidRDefault="00BE7B80" w:rsidP="00327E1C">
      <w:pPr>
        <w:ind w:left="270"/>
        <w:jc w:val="both"/>
        <w:rPr>
          <w:sz w:val="24"/>
          <w:szCs w:val="24"/>
        </w:rPr>
      </w:pPr>
      <w:r w:rsidRPr="00AC1FFA">
        <w:rPr>
          <w:sz w:val="24"/>
          <w:szCs w:val="24"/>
        </w:rPr>
        <w:t>If Company accepts and holds an order in an equity security from its customer without executing immediately executing the order is prohibited from trading that security on the same side of the market for its own account at a price that would satisfy the customer order, unless it immediately executes the customer order up to the size and at the same price or better price at which it traded for its own account.  Pending orders are executed on a first-in/first-out basis.  Further procedures will be adopted if Company becomes a market maker.</w:t>
      </w:r>
    </w:p>
    <w:p w14:paraId="33B27F46" w14:textId="77777777" w:rsidR="00BE7B80" w:rsidRPr="00AC1FFA" w:rsidRDefault="00BE7B80" w:rsidP="007674AB">
      <w:pPr>
        <w:ind w:left="270"/>
        <w:rPr>
          <w:sz w:val="24"/>
          <w:szCs w:val="24"/>
        </w:rPr>
      </w:pPr>
    </w:p>
    <w:p w14:paraId="61C963CA" w14:textId="77777777" w:rsidR="0015172F" w:rsidRDefault="0015172F" w:rsidP="00A634B6">
      <w:pPr>
        <w:rPr>
          <w:b/>
          <w:sz w:val="24"/>
          <w:szCs w:val="24"/>
        </w:rPr>
      </w:pPr>
    </w:p>
    <w:p w14:paraId="0606218A" w14:textId="77777777" w:rsidR="0015172F" w:rsidRPr="00320DE6" w:rsidRDefault="0015172F" w:rsidP="00936FEE">
      <w:pPr>
        <w:pStyle w:val="Heading2"/>
      </w:pPr>
      <w:bookmarkStart w:id="118" w:name="_8.21_Short_Sales"/>
      <w:bookmarkEnd w:id="118"/>
      <w:r w:rsidRPr="00320DE6">
        <w:lastRenderedPageBreak/>
        <w:t>8.2</w:t>
      </w:r>
      <w:r w:rsidR="00A8339B">
        <w:t>1</w:t>
      </w:r>
      <w:r w:rsidRPr="00320DE6">
        <w:t xml:space="preserve"> Short Sales Activities</w:t>
      </w:r>
    </w:p>
    <w:p w14:paraId="344166DA" w14:textId="77777777" w:rsidR="00FB0641" w:rsidRDefault="00FB0641" w:rsidP="00FB0641">
      <w:pPr>
        <w:jc w:val="both"/>
        <w:rPr>
          <w:sz w:val="24"/>
        </w:rPr>
      </w:pPr>
      <w:r>
        <w:rPr>
          <w:sz w:val="24"/>
        </w:rPr>
        <w:t xml:space="preserve">With respect to all short sale trading activities, the Company shall adhere to the following policies as it pertains to same.  Prior to </w:t>
      </w:r>
      <w:r w:rsidR="00B00FE0">
        <w:rPr>
          <w:sz w:val="24"/>
        </w:rPr>
        <w:t>affecting</w:t>
      </w:r>
      <w:r>
        <w:rPr>
          <w:sz w:val="24"/>
        </w:rPr>
        <w:t xml:space="preserve"> a short sale for a customer's account, the Company shall determine the availability to borrow such security to cover said position.</w:t>
      </w:r>
    </w:p>
    <w:p w14:paraId="4C138A1E" w14:textId="77777777" w:rsidR="00FB0641" w:rsidRDefault="00FB0641" w:rsidP="00FB0641">
      <w:pPr>
        <w:jc w:val="both"/>
        <w:rPr>
          <w:sz w:val="24"/>
        </w:rPr>
      </w:pPr>
    </w:p>
    <w:p w14:paraId="24A68155" w14:textId="77777777" w:rsidR="00FB0641" w:rsidRPr="00A634B6" w:rsidRDefault="00FB0641" w:rsidP="00A634B6">
      <w:pPr>
        <w:jc w:val="both"/>
        <w:rPr>
          <w:sz w:val="24"/>
          <w:szCs w:val="24"/>
        </w:rPr>
      </w:pPr>
      <w:r w:rsidRPr="00A634B6">
        <w:rPr>
          <w:sz w:val="24"/>
          <w:szCs w:val="24"/>
        </w:rPr>
        <w:t>All short sale orders will be routed to the clearing firm for execution.  However, before accepting a short sale order from a customer, the Company shall either (</w:t>
      </w:r>
      <w:proofErr w:type="spellStart"/>
      <w:r w:rsidRPr="00A634B6">
        <w:rPr>
          <w:sz w:val="24"/>
          <w:szCs w:val="24"/>
        </w:rPr>
        <w:t>i</w:t>
      </w:r>
      <w:proofErr w:type="spellEnd"/>
      <w:r w:rsidRPr="00A634B6">
        <w:rPr>
          <w:sz w:val="24"/>
          <w:szCs w:val="24"/>
        </w:rPr>
        <w:t>) contact the clearing firm and inquire whether the stock can be borrowed for delivery against the short sale.  If it can</w:t>
      </w:r>
      <w:r w:rsidR="00B2400F">
        <w:rPr>
          <w:sz w:val="24"/>
          <w:szCs w:val="24"/>
        </w:rPr>
        <w:t>,</w:t>
      </w:r>
      <w:r w:rsidRPr="00A634B6">
        <w:rPr>
          <w:sz w:val="24"/>
          <w:szCs w:val="24"/>
        </w:rPr>
        <w:t xml:space="preserve"> the registered representative accepting the order shall note the name of the person that assured that the security could be borrowed; or (ii) the Company shall utilize an “Easy to Borrow” list prepared by the clearing firm.  If the latter practice is adopted the list must be less than 24 hours old.  NOTE: Pursuant to Rule 203 of Regulation SHO, a “Hard to Borrow” list may not be utilized. Morris Monroe or his designee shall enforce this procedure by reviewing 10 short sales each month or if there are less than 10, all short sales, and ensuring that the proper notations are on the order ticket.  He shall evidence his review by initialing the ticket.  </w:t>
      </w:r>
    </w:p>
    <w:p w14:paraId="22BC6AF4" w14:textId="77777777" w:rsidR="00FB0641" w:rsidRPr="00A634B6" w:rsidRDefault="00FB0641" w:rsidP="00A634B6">
      <w:pPr>
        <w:jc w:val="both"/>
        <w:rPr>
          <w:sz w:val="24"/>
          <w:szCs w:val="24"/>
        </w:rPr>
      </w:pPr>
    </w:p>
    <w:p w14:paraId="315FDAA6" w14:textId="77777777" w:rsidR="00FB0641" w:rsidRDefault="00FB0641" w:rsidP="00FB0641">
      <w:pPr>
        <w:jc w:val="both"/>
        <w:rPr>
          <w:sz w:val="24"/>
        </w:rPr>
      </w:pPr>
      <w:r>
        <w:rPr>
          <w:sz w:val="24"/>
        </w:rPr>
        <w:t xml:space="preserve">Further to the extent a security carries a UPC 71 designation, (notating that the security is not borrowable), no short sales shall be </w:t>
      </w:r>
      <w:r w:rsidR="00B2400F">
        <w:rPr>
          <w:sz w:val="24"/>
        </w:rPr>
        <w:t>affected</w:t>
      </w:r>
      <w:r>
        <w:rPr>
          <w:sz w:val="24"/>
        </w:rPr>
        <w:t xml:space="preserve"> in such security unless any of the following circumstances exist:</w:t>
      </w:r>
    </w:p>
    <w:p w14:paraId="4553DB23" w14:textId="77777777" w:rsidR="00FB0641" w:rsidRDefault="00FB0641" w:rsidP="00FB0641">
      <w:pPr>
        <w:ind w:left="1440" w:hanging="1440"/>
        <w:jc w:val="both"/>
        <w:rPr>
          <w:sz w:val="24"/>
        </w:rPr>
      </w:pPr>
    </w:p>
    <w:p w14:paraId="3D0A9679" w14:textId="7E02BB85" w:rsidR="00FB0641" w:rsidRDefault="00FB0641" w:rsidP="00B2400F">
      <w:pPr>
        <w:ind w:left="630" w:hanging="630"/>
        <w:jc w:val="both"/>
        <w:rPr>
          <w:sz w:val="24"/>
        </w:rPr>
      </w:pPr>
      <w:r>
        <w:rPr>
          <w:sz w:val="24"/>
        </w:rPr>
        <w:tab/>
        <w:t>*</w:t>
      </w:r>
      <w:r>
        <w:rPr>
          <w:sz w:val="24"/>
        </w:rPr>
        <w:tab/>
        <w:t xml:space="preserve">The short position is entered into as a non-market maker </w:t>
      </w:r>
      <w:r w:rsidR="00A45387">
        <w:rPr>
          <w:sz w:val="24"/>
        </w:rPr>
        <w:t>transaction and</w:t>
      </w:r>
      <w:r>
        <w:rPr>
          <w:sz w:val="24"/>
        </w:rPr>
        <w:t xml:space="preserve"> is covered within ten business days.  Morris Monroe shall be responsible for the establishment and maintenance of routine procedures to abide by the </w:t>
      </w:r>
      <w:r w:rsidR="00A45387">
        <w:rPr>
          <w:sz w:val="24"/>
        </w:rPr>
        <w:t>ten-day</w:t>
      </w:r>
      <w:r>
        <w:rPr>
          <w:sz w:val="24"/>
        </w:rPr>
        <w:t xml:space="preserve"> maximum positioning.</w:t>
      </w:r>
    </w:p>
    <w:p w14:paraId="5A3B61BE" w14:textId="77777777" w:rsidR="00FB0641" w:rsidRDefault="00671EFE" w:rsidP="00671EFE">
      <w:pPr>
        <w:ind w:left="540" w:firstLine="90"/>
        <w:jc w:val="both"/>
        <w:rPr>
          <w:sz w:val="24"/>
        </w:rPr>
      </w:pPr>
      <w:r>
        <w:rPr>
          <w:sz w:val="24"/>
        </w:rPr>
        <w:t xml:space="preserve">*  </w:t>
      </w:r>
      <w:r w:rsidR="00FB0641">
        <w:rPr>
          <w:sz w:val="24"/>
        </w:rPr>
        <w:t>The short position is part of a true hedge or arbitrage.</w:t>
      </w:r>
    </w:p>
    <w:p w14:paraId="3321A24C" w14:textId="77777777" w:rsidR="00FB0641" w:rsidRDefault="00FB0641" w:rsidP="00FB0641">
      <w:pPr>
        <w:ind w:left="1440" w:hanging="1440"/>
        <w:jc w:val="both"/>
        <w:rPr>
          <w:sz w:val="24"/>
        </w:rPr>
      </w:pPr>
    </w:p>
    <w:p w14:paraId="2C5C0325" w14:textId="5345CD1A" w:rsidR="00FB0641" w:rsidRDefault="00FB0641" w:rsidP="00FB0641">
      <w:pPr>
        <w:jc w:val="both"/>
        <w:rPr>
          <w:sz w:val="24"/>
        </w:rPr>
      </w:pPr>
      <w:r>
        <w:rPr>
          <w:sz w:val="24"/>
        </w:rPr>
        <w:t xml:space="preserve">The Company will not execute short sale positions in NASDAQ National Market securities at or below the inside bid when the current inside bid is below the previous inside bid.  Absent an exemption from the rule, the Company shall not </w:t>
      </w:r>
      <w:r w:rsidR="00A45387">
        <w:rPr>
          <w:sz w:val="24"/>
        </w:rPr>
        <w:t>affect</w:t>
      </w:r>
      <w:r>
        <w:rPr>
          <w:sz w:val="24"/>
        </w:rPr>
        <w:t xml:space="preserve"> a short sale at or below the inside bid in a security in an account for a customer if there is a red down arrow, indicating a down bid, next to the security's symbol on the NASDAQ terminal.  To the extent a security is at an up bid, a green "up arrow" shall be denoted on the NASDAQ terminal.  When executing a short sale on a down bid, the short sale must be executed at a price at least 1/16th above the current inside bid.</w:t>
      </w:r>
    </w:p>
    <w:p w14:paraId="60F16B7F" w14:textId="77777777" w:rsidR="00FB0641" w:rsidRDefault="00FB0641" w:rsidP="00FB0641">
      <w:pPr>
        <w:jc w:val="both"/>
        <w:rPr>
          <w:sz w:val="24"/>
        </w:rPr>
      </w:pPr>
    </w:p>
    <w:p w14:paraId="28B5C4CD" w14:textId="77777777" w:rsidR="00FB0641" w:rsidRDefault="00FB0641" w:rsidP="00FB0641">
      <w:pPr>
        <w:jc w:val="both"/>
        <w:rPr>
          <w:sz w:val="24"/>
        </w:rPr>
      </w:pPr>
      <w:r>
        <w:rPr>
          <w:sz w:val="24"/>
        </w:rPr>
        <w:t xml:space="preserve">The Company will review the trade reports to determine whether a sale is long or short in accordance with Rule 3b-3 and Rule 3350 (Short Sale Rule) of the </w:t>
      </w:r>
      <w:r w:rsidRPr="0035367E">
        <w:rPr>
          <w:sz w:val="24"/>
        </w:rPr>
        <w:t>FINRA</w:t>
      </w:r>
      <w:r>
        <w:rPr>
          <w:sz w:val="24"/>
        </w:rPr>
        <w:t xml:space="preserve"> Rules. For purposes of this section and Regulation SHO, the definition of a short sale shall be a sale of a security that the seller does not own at the time the order is entered, or any sale that is consummated by the delivery of a security borrowed by, or for the account of, the seller, and a sale of a security where an exchangeable security is owned unless the exchange process has already begun</w:t>
      </w:r>
      <w:r w:rsidR="00B2400F">
        <w:rPr>
          <w:sz w:val="24"/>
        </w:rPr>
        <w:t xml:space="preserve"> </w:t>
      </w:r>
      <w:r>
        <w:rPr>
          <w:sz w:val="24"/>
        </w:rPr>
        <w:t>(i.e. convertible preferred shares).  In determining whether the seller is long or short overall, the Company shall net all of the seller's positions in the security, as is required in short sales for exchange-listed securities.</w:t>
      </w:r>
    </w:p>
    <w:p w14:paraId="604BA1E5" w14:textId="77777777" w:rsidR="00FB0641" w:rsidRDefault="00FB0641" w:rsidP="00FB0641">
      <w:pPr>
        <w:jc w:val="both"/>
        <w:rPr>
          <w:sz w:val="24"/>
        </w:rPr>
      </w:pPr>
    </w:p>
    <w:p w14:paraId="508EBB96" w14:textId="3645AA6C" w:rsidR="00FB0641" w:rsidRDefault="00FB0641" w:rsidP="00FB0641">
      <w:pPr>
        <w:jc w:val="both"/>
        <w:rPr>
          <w:sz w:val="24"/>
        </w:rPr>
      </w:pPr>
      <w:r>
        <w:rPr>
          <w:sz w:val="24"/>
        </w:rPr>
        <w:t xml:space="preserve">Under Regulation SHO, all sales must be marked as long, short, or short exempt.  Orders marked as short or short exempt will require the person entering the order to note how they made affirmative determination that the stock is available to short.  In </w:t>
      </w:r>
      <w:r w:rsidR="00D57DCA" w:rsidRPr="00523F41">
        <w:rPr>
          <w:sz w:val="24"/>
        </w:rPr>
        <w:t>HTS</w:t>
      </w:r>
      <w:r w:rsidRPr="00523F41">
        <w:rPr>
          <w:sz w:val="24"/>
        </w:rPr>
        <w:t xml:space="preserve">, the user will be able to enter one of the following:  1) Easy to Borrow – selected if the user referenced the Easy to Borrow list via Report Distribution;  2) Manual – selected if </w:t>
      </w:r>
      <w:r w:rsidR="00D57DCA" w:rsidRPr="00523F41">
        <w:rPr>
          <w:sz w:val="24"/>
        </w:rPr>
        <w:t>HT</w:t>
      </w:r>
      <w:r w:rsidRPr="00523F41">
        <w:rPr>
          <w:sz w:val="24"/>
        </w:rPr>
        <w:t>S Stock Loan Department was contacted and asked to perform the locate of the shares (866-797</w:t>
      </w:r>
      <w:r>
        <w:rPr>
          <w:sz w:val="24"/>
        </w:rPr>
        <w:t xml:space="preserve">-4150); or  3) Market Maker – selected if the </w:t>
      </w:r>
      <w:r>
        <w:rPr>
          <w:sz w:val="24"/>
        </w:rPr>
        <w:lastRenderedPageBreak/>
        <w:t xml:space="preserve">order is being entered by a bona fide market maker in the stock and the order is part of a bona fide market making transaction and is therefore exempt.  Orders marked “long sale” indicate that the stock is long in the account or that you can reasonably expect to have good delivery by settlement date.  The Company must note on the ticket that the seller can deliver the security in a negotiable form by settlement date and where the customer holds the </w:t>
      </w:r>
      <w:r w:rsidR="00B2400F">
        <w:rPr>
          <w:sz w:val="24"/>
        </w:rPr>
        <w:t>security</w:t>
      </w:r>
      <w:r>
        <w:rPr>
          <w:sz w:val="24"/>
        </w:rPr>
        <w:t xml:space="preserve"> or who the Company can borrow the security from at the time of the sale. Further, in accordance with the Board of Governor's Interpretations of </w:t>
      </w:r>
      <w:r w:rsidR="00800186">
        <w:rPr>
          <w:sz w:val="24"/>
        </w:rPr>
        <w:t>FINRA</w:t>
      </w:r>
      <w:r>
        <w:rPr>
          <w:sz w:val="24"/>
        </w:rPr>
        <w:t xml:space="preserve"> Rules with respect to "Affirmative Determinations", the Company shall adhere to the following requirements, </w:t>
      </w:r>
    </w:p>
    <w:p w14:paraId="0EBF4AD4" w14:textId="77777777" w:rsidR="00FB0641" w:rsidRDefault="00FB0641" w:rsidP="00FB0641">
      <w:pPr>
        <w:jc w:val="both"/>
        <w:rPr>
          <w:sz w:val="24"/>
        </w:rPr>
      </w:pPr>
    </w:p>
    <w:p w14:paraId="5BA6589E" w14:textId="77777777" w:rsidR="00FB0641" w:rsidRDefault="00FB0641" w:rsidP="00C1728B">
      <w:pPr>
        <w:numPr>
          <w:ilvl w:val="2"/>
          <w:numId w:val="69"/>
        </w:numPr>
        <w:ind w:left="450" w:hanging="450"/>
        <w:jc w:val="both"/>
        <w:rPr>
          <w:sz w:val="24"/>
        </w:rPr>
      </w:pPr>
      <w:r>
        <w:rPr>
          <w:sz w:val="24"/>
        </w:rPr>
        <w:t>Customer short sales. Neither the Company nor any associated person shall accept a "short" sale order for any customer in any security unless the Company or associated person makes an affirmative determination that the Company will receive delivery of the security from the customer or that the Company can borrow the security on behalf of the customer for delivery by settlement date.  This requirement shall not apply, however, to transactions in corporate debt securities.</w:t>
      </w:r>
    </w:p>
    <w:p w14:paraId="17A288AE" w14:textId="77777777" w:rsidR="00FB0641" w:rsidRDefault="00FB0641" w:rsidP="00FB0641">
      <w:pPr>
        <w:jc w:val="both"/>
        <w:rPr>
          <w:sz w:val="24"/>
        </w:rPr>
      </w:pPr>
    </w:p>
    <w:p w14:paraId="51624889" w14:textId="77777777" w:rsidR="00FB0641" w:rsidRDefault="00FB0641" w:rsidP="00C1728B">
      <w:pPr>
        <w:numPr>
          <w:ilvl w:val="2"/>
          <w:numId w:val="69"/>
        </w:numPr>
        <w:ind w:left="540" w:hanging="540"/>
        <w:jc w:val="both"/>
        <w:rPr>
          <w:sz w:val="24"/>
        </w:rPr>
      </w:pPr>
      <w:r>
        <w:rPr>
          <w:sz w:val="24"/>
        </w:rPr>
        <w:t>To satisfy the requirement for an "affirmative determination" contained in subsection (</w:t>
      </w:r>
      <w:proofErr w:type="spellStart"/>
      <w:r w:rsidR="00430618">
        <w:rPr>
          <w:sz w:val="24"/>
        </w:rPr>
        <w:t>i</w:t>
      </w:r>
      <w:proofErr w:type="spellEnd"/>
      <w:r>
        <w:rPr>
          <w:sz w:val="24"/>
        </w:rPr>
        <w:t>) and (</w:t>
      </w:r>
      <w:r w:rsidR="00430618">
        <w:rPr>
          <w:sz w:val="24"/>
        </w:rPr>
        <w:t>ii)</w:t>
      </w:r>
      <w:r>
        <w:rPr>
          <w:sz w:val="24"/>
        </w:rPr>
        <w:t xml:space="preserve"> above for customer and proprietary short sales, the Company or an associated person thereof must keep a written record which includes:</w:t>
      </w:r>
    </w:p>
    <w:p w14:paraId="42859AFE" w14:textId="77777777" w:rsidR="00FB0641" w:rsidRDefault="00FB0641" w:rsidP="00FB0641">
      <w:pPr>
        <w:ind w:left="1440" w:hanging="720"/>
        <w:jc w:val="both"/>
        <w:rPr>
          <w:sz w:val="24"/>
        </w:rPr>
      </w:pPr>
    </w:p>
    <w:p w14:paraId="1A97D958" w14:textId="77777777" w:rsidR="00FB0641" w:rsidRDefault="00FB0641" w:rsidP="00C1728B">
      <w:pPr>
        <w:numPr>
          <w:ilvl w:val="0"/>
          <w:numId w:val="125"/>
        </w:numPr>
        <w:jc w:val="both"/>
        <w:rPr>
          <w:sz w:val="24"/>
        </w:rPr>
      </w:pPr>
      <w:r>
        <w:rPr>
          <w:sz w:val="24"/>
        </w:rPr>
        <w:t xml:space="preserve">if a customer assures delivery, the present location of the securities in question, whether they are in good deliverable form and the customer's ability to </w:t>
      </w:r>
      <w:r w:rsidR="00F53DE0">
        <w:rPr>
          <w:sz w:val="24"/>
        </w:rPr>
        <w:t>deliver</w:t>
      </w:r>
      <w:r>
        <w:rPr>
          <w:sz w:val="24"/>
        </w:rPr>
        <w:t xml:space="preserve"> them to the Company within three (3) business days; or</w:t>
      </w:r>
    </w:p>
    <w:p w14:paraId="4E79BAFE" w14:textId="77777777" w:rsidR="00FB0641" w:rsidRDefault="00FB0641" w:rsidP="00FB0641">
      <w:pPr>
        <w:ind w:left="1440" w:hanging="720"/>
        <w:jc w:val="both"/>
        <w:rPr>
          <w:sz w:val="24"/>
        </w:rPr>
      </w:pPr>
    </w:p>
    <w:p w14:paraId="2F077AB1" w14:textId="77777777" w:rsidR="00FB0641" w:rsidRDefault="00FB0641" w:rsidP="00C1728B">
      <w:pPr>
        <w:numPr>
          <w:ilvl w:val="0"/>
          <w:numId w:val="125"/>
        </w:numPr>
        <w:jc w:val="both"/>
        <w:rPr>
          <w:sz w:val="24"/>
        </w:rPr>
      </w:pPr>
      <w:r>
        <w:rPr>
          <w:sz w:val="24"/>
        </w:rPr>
        <w:t>if the Company or associated person locates the stock, the identity of the individual and firm contacted who offered assurance that the shares would be delivered or that were available for borrowing by settlement date and the number of shares needed to cover the short sale.</w:t>
      </w:r>
    </w:p>
    <w:p w14:paraId="4CFA98AA" w14:textId="77777777" w:rsidR="00FB0641" w:rsidRDefault="00FB0641" w:rsidP="00FB0641">
      <w:pPr>
        <w:ind w:left="1440" w:hanging="720"/>
        <w:jc w:val="both"/>
        <w:rPr>
          <w:sz w:val="24"/>
        </w:rPr>
      </w:pPr>
    </w:p>
    <w:p w14:paraId="44BF8CB9" w14:textId="77777777" w:rsidR="00FB0641" w:rsidRDefault="00FB0641" w:rsidP="000D017B">
      <w:pPr>
        <w:ind w:left="540"/>
        <w:jc w:val="both"/>
        <w:rPr>
          <w:sz w:val="24"/>
        </w:rPr>
      </w:pPr>
      <w:r>
        <w:rPr>
          <w:sz w:val="24"/>
        </w:rPr>
        <w:t>Prior to entering a short sale transaction on the SOES system, where the customer has not assured delivery, all Registered Representatives of the Company shall be required to make an Affirmative Determination through the Company's clearing broker.</w:t>
      </w:r>
    </w:p>
    <w:p w14:paraId="03865C51" w14:textId="77777777" w:rsidR="00FB0641" w:rsidRDefault="00FB0641" w:rsidP="00FB0641">
      <w:pPr>
        <w:ind w:left="1440" w:hanging="720"/>
        <w:jc w:val="both"/>
        <w:rPr>
          <w:sz w:val="24"/>
        </w:rPr>
      </w:pPr>
    </w:p>
    <w:p w14:paraId="5490515D" w14:textId="77777777" w:rsidR="00FB0641" w:rsidRDefault="00FB0641" w:rsidP="009242FE">
      <w:pPr>
        <w:numPr>
          <w:ilvl w:val="0"/>
          <w:numId w:val="2"/>
        </w:numPr>
        <w:tabs>
          <w:tab w:val="clear" w:pos="720"/>
          <w:tab w:val="num" w:pos="540"/>
        </w:tabs>
        <w:ind w:left="540" w:hanging="540"/>
        <w:jc w:val="both"/>
        <w:rPr>
          <w:snapToGrid w:val="0"/>
          <w:color w:val="000000"/>
          <w:sz w:val="24"/>
        </w:rPr>
      </w:pPr>
      <w:r>
        <w:rPr>
          <w:sz w:val="24"/>
        </w:rPr>
        <w:t>The</w:t>
      </w:r>
      <w:r w:rsidR="002C0EEB">
        <w:rPr>
          <w:sz w:val="24"/>
        </w:rPr>
        <w:t xml:space="preserve"> manner by which the Company or A</w:t>
      </w:r>
      <w:r>
        <w:rPr>
          <w:sz w:val="24"/>
        </w:rPr>
        <w:t xml:space="preserve">ssociated </w:t>
      </w:r>
      <w:r w:rsidR="002C0EEB">
        <w:rPr>
          <w:sz w:val="24"/>
        </w:rPr>
        <w:t>P</w:t>
      </w:r>
      <w:r>
        <w:rPr>
          <w:sz w:val="24"/>
        </w:rPr>
        <w:t xml:space="preserve">erson thereof annotates compliance with the "affirmative determination" shall be reflected by recording all inquiries on the individual order tickets. Such notations shall include the name of the individual giving the affirmative determination on behalf of the Company's clearing broker, the </w:t>
      </w:r>
      <w:r w:rsidR="00D0432A">
        <w:rPr>
          <w:sz w:val="24"/>
        </w:rPr>
        <w:t>number</w:t>
      </w:r>
      <w:r>
        <w:rPr>
          <w:sz w:val="24"/>
        </w:rPr>
        <w:t xml:space="preserve"> of shares available to cover the short sale, whether the shares are available for borrowing and that the shares are deliverable within three (3) business days.  However, it is noted here that an affirmative determination and annotation of that affirmative determination must be made for each and every transaction since a "blanket" or standing assurance that securities are available for borrowing is not acceptable to satisfy the affirmative determination requirement. It is noted here that an affirmative determination and annotation of that affirmative determination may be achieved using a "blanket" or standing assurance (Easy to Borrow list) that securities are available for borrowing.  The assurance must be updated daily and the fact that the list was consulted for each short sale must be notated on each order ticket.</w:t>
      </w:r>
      <w:r>
        <w:rPr>
          <w:snapToGrid w:val="0"/>
          <w:color w:val="000000"/>
          <w:sz w:val="24"/>
        </w:rPr>
        <w:t xml:space="preserve"> Rule 3370 further provides that if a member relying on a blanket or standing assurance fails to deliver the security on settlement date, the </w:t>
      </w:r>
      <w:r w:rsidRPr="0035367E">
        <w:rPr>
          <w:snapToGrid w:val="0"/>
          <w:sz w:val="24"/>
        </w:rPr>
        <w:t xml:space="preserve">FINRA </w:t>
      </w:r>
      <w:r>
        <w:rPr>
          <w:snapToGrid w:val="0"/>
          <w:color w:val="000000"/>
          <w:sz w:val="24"/>
        </w:rPr>
        <w:t xml:space="preserve">will deem such conduct inconsistent with the terms of the rule, absent mitigating 0circumstances adequately documented by the member. </w:t>
      </w:r>
    </w:p>
    <w:p w14:paraId="3F8E30A1" w14:textId="77777777" w:rsidR="00FB0641" w:rsidRDefault="00FB0641" w:rsidP="00FB0641">
      <w:pPr>
        <w:pStyle w:val="DELText"/>
        <w:rPr>
          <w:rFonts w:ascii="Times New Roman" w:hAnsi="Times New Roman"/>
          <w:b/>
          <w:snapToGrid w:val="0"/>
          <w:color w:val="000000"/>
          <w:sz w:val="24"/>
        </w:rPr>
      </w:pPr>
    </w:p>
    <w:p w14:paraId="4CEC7424" w14:textId="77777777" w:rsidR="00FB0641" w:rsidRDefault="00FB0641" w:rsidP="009242FE">
      <w:pPr>
        <w:pStyle w:val="DELText"/>
        <w:tabs>
          <w:tab w:val="clear" w:pos="360"/>
          <w:tab w:val="left" w:pos="540"/>
        </w:tabs>
        <w:ind w:left="540"/>
        <w:rPr>
          <w:rFonts w:ascii="Times New Roman" w:hAnsi="Times New Roman"/>
          <w:snapToGrid w:val="0"/>
          <w:color w:val="000000"/>
          <w:sz w:val="24"/>
        </w:rPr>
      </w:pPr>
      <w:r>
        <w:rPr>
          <w:rFonts w:ascii="Times New Roman" w:hAnsi="Times New Roman"/>
          <w:snapToGrid w:val="0"/>
          <w:color w:val="000000"/>
          <w:sz w:val="24"/>
        </w:rPr>
        <w:t xml:space="preserve">Amendments to Rule 3370 permit the use of a “Hard to Borrow” list to comply with the affirmative determination requirement for short sales in The </w:t>
      </w:r>
      <w:r>
        <w:rPr>
          <w:rFonts w:ascii="Times New Roman" w:hAnsi="Times New Roman"/>
          <w:snapToGrid w:val="0"/>
          <w:sz w:val="24"/>
        </w:rPr>
        <w:t>NASDAQ</w:t>
      </w:r>
      <w:r>
        <w:rPr>
          <w:rFonts w:ascii="Times New Roman" w:hAnsi="Times New Roman"/>
          <w:snapToGrid w:val="0"/>
          <w:color w:val="000000"/>
          <w:sz w:val="24"/>
        </w:rPr>
        <w:t xml:space="preserve"> Stock Market, Inc. (</w:t>
      </w:r>
      <w:r>
        <w:rPr>
          <w:rFonts w:ascii="Times New Roman" w:hAnsi="Times New Roman"/>
          <w:snapToGrid w:val="0"/>
          <w:sz w:val="24"/>
        </w:rPr>
        <w:t>NASDAQ</w:t>
      </w:r>
      <w:r>
        <w:rPr>
          <w:rFonts w:ascii="Times New Roman" w:hAnsi="Times New Roman"/>
          <w:snapToGrid w:val="0"/>
          <w:color w:val="000000"/>
          <w:sz w:val="24"/>
        </w:rPr>
        <w:t xml:space="preserve">) National Market (NM) and exchange-listed securities. </w:t>
      </w:r>
    </w:p>
    <w:p w14:paraId="2630793F" w14:textId="77777777" w:rsidR="00FB0641" w:rsidRDefault="00FB0641" w:rsidP="009242FE">
      <w:pPr>
        <w:pStyle w:val="DELText"/>
        <w:tabs>
          <w:tab w:val="clear" w:pos="360"/>
          <w:tab w:val="left" w:pos="540"/>
        </w:tabs>
        <w:ind w:left="540"/>
        <w:rPr>
          <w:rFonts w:ascii="Times New Roman" w:hAnsi="Times New Roman"/>
          <w:snapToGrid w:val="0"/>
          <w:color w:val="000000"/>
          <w:sz w:val="24"/>
        </w:rPr>
      </w:pPr>
    </w:p>
    <w:p w14:paraId="2CA83C81" w14:textId="77777777" w:rsidR="00FB0641" w:rsidRDefault="00FB0641" w:rsidP="009242FE">
      <w:pPr>
        <w:pStyle w:val="DELText"/>
        <w:tabs>
          <w:tab w:val="clear" w:pos="360"/>
          <w:tab w:val="left" w:pos="540"/>
        </w:tabs>
        <w:ind w:left="540"/>
        <w:rPr>
          <w:rFonts w:ascii="Times New Roman" w:hAnsi="Times New Roman"/>
          <w:snapToGrid w:val="0"/>
          <w:color w:val="000000"/>
          <w:sz w:val="24"/>
        </w:rPr>
      </w:pPr>
      <w:r>
        <w:rPr>
          <w:rFonts w:ascii="Times New Roman" w:hAnsi="Times New Roman"/>
          <w:snapToGrid w:val="0"/>
          <w:color w:val="000000"/>
          <w:sz w:val="24"/>
        </w:rPr>
        <w:t xml:space="preserve">In general, a “Hard to Borrow” list includes all securities that are difficult to borrow or unavailable for borrowing.  A user of a “Hard to Borrow” list may believe it is reasonable to infer, under appropriate circumstances, that a specific security absent from the list is easy to borrow.  In this regard, the amendment to Rule 3370 permits members and associated persons to rely on a “Hard to Borrow” list for any short sales executed in NASDAQ NM or exchange-listed securities, provided that: </w:t>
      </w:r>
    </w:p>
    <w:p w14:paraId="4D25F9CD" w14:textId="77777777" w:rsidR="00FB0641" w:rsidRDefault="00FB0641" w:rsidP="00FB0641">
      <w:pPr>
        <w:pStyle w:val="DELText"/>
        <w:rPr>
          <w:rFonts w:ascii="Times New Roman" w:hAnsi="Times New Roman"/>
          <w:snapToGrid w:val="0"/>
          <w:color w:val="000000"/>
          <w:sz w:val="24"/>
        </w:rPr>
      </w:pPr>
    </w:p>
    <w:p w14:paraId="44ED1E9D" w14:textId="77777777" w:rsidR="00FB0641" w:rsidRDefault="00327E1C" w:rsidP="009D1777">
      <w:pPr>
        <w:pStyle w:val="DELText"/>
        <w:numPr>
          <w:ilvl w:val="0"/>
          <w:numId w:val="3"/>
        </w:numPr>
        <w:tabs>
          <w:tab w:val="clear" w:pos="360"/>
          <w:tab w:val="clear" w:pos="720"/>
          <w:tab w:val="left" w:pos="990"/>
        </w:tabs>
        <w:ind w:right="360"/>
        <w:rPr>
          <w:rFonts w:ascii="Times New Roman" w:hAnsi="Times New Roman"/>
          <w:snapToGrid w:val="0"/>
          <w:color w:val="000000"/>
          <w:sz w:val="24"/>
        </w:rPr>
      </w:pPr>
      <w:r>
        <w:rPr>
          <w:rFonts w:ascii="Times New Roman" w:hAnsi="Times New Roman"/>
          <w:snapToGrid w:val="0"/>
          <w:color w:val="000000"/>
          <w:sz w:val="24"/>
        </w:rPr>
        <w:t>T</w:t>
      </w:r>
      <w:r w:rsidR="00FB0641">
        <w:rPr>
          <w:rFonts w:ascii="Times New Roman" w:hAnsi="Times New Roman"/>
          <w:snapToGrid w:val="0"/>
          <w:color w:val="000000"/>
          <w:sz w:val="24"/>
        </w:rPr>
        <w:t xml:space="preserve">he creator of the list attests in writing that any NASDAQ NM or exchange-listed securities not included on the list are easy to borrow or are available for borrowing; and </w:t>
      </w:r>
    </w:p>
    <w:p w14:paraId="57BC5183" w14:textId="77777777" w:rsidR="00FB0641" w:rsidRDefault="00FB0641" w:rsidP="00FB0641">
      <w:pPr>
        <w:pStyle w:val="DELText"/>
        <w:tabs>
          <w:tab w:val="clear" w:pos="360"/>
          <w:tab w:val="clear" w:pos="720"/>
          <w:tab w:val="left" w:pos="990"/>
        </w:tabs>
        <w:ind w:left="720" w:right="360"/>
        <w:rPr>
          <w:rFonts w:ascii="Times New Roman" w:hAnsi="Times New Roman"/>
          <w:snapToGrid w:val="0"/>
          <w:color w:val="000000"/>
          <w:sz w:val="24"/>
        </w:rPr>
      </w:pPr>
    </w:p>
    <w:p w14:paraId="6E8FFEAE" w14:textId="77777777" w:rsidR="00FB0641" w:rsidRDefault="00327E1C" w:rsidP="00327E1C">
      <w:pPr>
        <w:pStyle w:val="DELText"/>
        <w:numPr>
          <w:ilvl w:val="0"/>
          <w:numId w:val="3"/>
        </w:numPr>
        <w:tabs>
          <w:tab w:val="clear" w:pos="360"/>
          <w:tab w:val="clear" w:pos="720"/>
        </w:tabs>
        <w:ind w:right="360"/>
        <w:rPr>
          <w:rFonts w:ascii="Times New Roman" w:hAnsi="Times New Roman"/>
          <w:snapToGrid w:val="0"/>
          <w:color w:val="000000"/>
          <w:sz w:val="24"/>
        </w:rPr>
      </w:pPr>
      <w:r>
        <w:rPr>
          <w:rFonts w:ascii="Times New Roman" w:hAnsi="Times New Roman"/>
          <w:snapToGrid w:val="0"/>
          <w:color w:val="000000"/>
          <w:sz w:val="24"/>
        </w:rPr>
        <w:t>A</w:t>
      </w:r>
      <w:r w:rsidR="00FB0641">
        <w:rPr>
          <w:rFonts w:ascii="Times New Roman" w:hAnsi="Times New Roman"/>
          <w:snapToGrid w:val="0"/>
          <w:color w:val="000000"/>
          <w:sz w:val="24"/>
        </w:rPr>
        <w:t>ny securities restricted pursuant to Uniform Practice Code (UPC) 11830 are included on the list.</w:t>
      </w:r>
    </w:p>
    <w:p w14:paraId="252A4F3A" w14:textId="77777777" w:rsidR="00FB0641" w:rsidRDefault="00FB0641" w:rsidP="00FB0641">
      <w:pPr>
        <w:pStyle w:val="DELText"/>
        <w:rPr>
          <w:rFonts w:ascii="Times New Roman" w:hAnsi="Times New Roman"/>
          <w:snapToGrid w:val="0"/>
          <w:color w:val="000000"/>
          <w:sz w:val="24"/>
        </w:rPr>
      </w:pPr>
    </w:p>
    <w:p w14:paraId="632E1AD7" w14:textId="77777777" w:rsidR="00FB0641" w:rsidRDefault="00FB0641" w:rsidP="00FB0641">
      <w:pPr>
        <w:pStyle w:val="DELText"/>
        <w:rPr>
          <w:rFonts w:ascii="Times New Roman" w:hAnsi="Times New Roman"/>
          <w:snapToGrid w:val="0"/>
          <w:color w:val="000000"/>
          <w:sz w:val="24"/>
        </w:rPr>
      </w:pPr>
      <w:r>
        <w:rPr>
          <w:rFonts w:ascii="Times New Roman" w:hAnsi="Times New Roman"/>
          <w:snapToGrid w:val="0"/>
          <w:color w:val="000000"/>
          <w:sz w:val="24"/>
        </w:rPr>
        <w:t xml:space="preserve">Under the amendment, member firms will be able to refer to the “Hard to Borrow” list before executing a short sale in a given security. If that security is not on the list, the member or associated person will be considered to have made the requisite affirmative determination and will be permitted to execute the short sale without taking any further steps to satisfy the affirmative determination rule. Conversely, if the security is on the list, then a member or associated person will not be permitted to execute the short sale without taking additional steps to ensure the security’s availability. </w:t>
      </w:r>
    </w:p>
    <w:p w14:paraId="7AC8A1D6" w14:textId="77777777" w:rsidR="00FB0641" w:rsidRDefault="00FB0641" w:rsidP="00FB0641">
      <w:pPr>
        <w:pStyle w:val="DELText"/>
        <w:rPr>
          <w:rFonts w:ascii="Times New Roman" w:hAnsi="Times New Roman"/>
          <w:snapToGrid w:val="0"/>
          <w:color w:val="000000"/>
          <w:sz w:val="24"/>
        </w:rPr>
      </w:pPr>
    </w:p>
    <w:p w14:paraId="7DF598FB" w14:textId="77777777" w:rsidR="00FB0641" w:rsidRPr="0035367E" w:rsidRDefault="00FB0641" w:rsidP="00FB0641">
      <w:pPr>
        <w:pStyle w:val="DELText"/>
        <w:rPr>
          <w:rFonts w:ascii="Times New Roman" w:hAnsi="Times New Roman"/>
          <w:snapToGrid w:val="0"/>
          <w:sz w:val="24"/>
        </w:rPr>
      </w:pPr>
      <w:r>
        <w:rPr>
          <w:rFonts w:ascii="Times New Roman" w:hAnsi="Times New Roman"/>
          <w:snapToGrid w:val="0"/>
          <w:color w:val="000000"/>
          <w:sz w:val="24"/>
        </w:rPr>
        <w:t xml:space="preserve">The amendment requires that the creator of a “Hard to Borrow” list attest in writing to the availability of securities not on the list and provide such written statement for each “Hard to Borrow” list created. When the creator of a “Hard to Borrow” list attests in writing, as the amendment requires, that any securities not included on the list are available for borrowing or are easy to borrow, reliance on such “Hard to Borrow” list is substantially similar to reliance on an “Easy to Borrow” list, which is already permitted under </w:t>
      </w:r>
      <w:r w:rsidRPr="0035367E">
        <w:rPr>
          <w:rFonts w:ascii="Times New Roman" w:hAnsi="Times New Roman"/>
          <w:snapToGrid w:val="0"/>
          <w:sz w:val="24"/>
        </w:rPr>
        <w:t>FINRA Rule 3370. It is the responsibility of the member or associated person using the list to determine that the creator of the list is reliable.</w:t>
      </w:r>
    </w:p>
    <w:p w14:paraId="51FADA55" w14:textId="77777777" w:rsidR="00FB0641" w:rsidRPr="0035367E" w:rsidRDefault="00FB0641" w:rsidP="00FB0641">
      <w:pPr>
        <w:pStyle w:val="DELText"/>
        <w:rPr>
          <w:rFonts w:ascii="Times New Roman" w:hAnsi="Times New Roman"/>
          <w:snapToGrid w:val="0"/>
          <w:sz w:val="24"/>
        </w:rPr>
      </w:pPr>
    </w:p>
    <w:p w14:paraId="1F96C02E" w14:textId="77777777" w:rsidR="00FB0641" w:rsidRDefault="00FB0641" w:rsidP="00FB0641">
      <w:pPr>
        <w:pStyle w:val="DELText"/>
        <w:rPr>
          <w:rFonts w:ascii="Times New Roman" w:hAnsi="Times New Roman"/>
          <w:snapToGrid w:val="0"/>
          <w:color w:val="000000"/>
          <w:sz w:val="24"/>
        </w:rPr>
      </w:pPr>
      <w:r w:rsidRPr="0035367E">
        <w:rPr>
          <w:rFonts w:ascii="Times New Roman" w:hAnsi="Times New Roman"/>
          <w:snapToGrid w:val="0"/>
          <w:sz w:val="24"/>
        </w:rPr>
        <w:t>The same requirements that apply to use of “Easy to Borrow” lists also will apply to “Hard to Borrow” lists. In particular, a member or associated person will be permitted to use a “Hard to Borrow” list under the amendment only if the information used to generate the list is less than 24 hours old and the member delivers the security on settlement date. If the member does not deliver the security on settlement date, FINRA will consider such conduct-absent documented mitigating circumstances - inconsistent with the terms of FINRA Rule 3370. The member or associated person relying on a “Hard to Borrow” list is obligated to maintain</w:t>
      </w:r>
      <w:r>
        <w:rPr>
          <w:rFonts w:ascii="Times New Roman" w:hAnsi="Times New Roman"/>
          <w:snapToGrid w:val="0"/>
          <w:color w:val="000000"/>
          <w:sz w:val="24"/>
        </w:rPr>
        <w:t xml:space="preserve"> a written record of the determination that the security was available for borrowing, including the identity of the individual and firm that offered the assurance that securities absent from the list were available for borrowing or easy to borrow. Although the rule does not specify the manner in which firms should record and maintain such information, a copy of the “Hard to Borrow” list relied upon may be necessary to demonstrate that the requirements of Rule 3370 were met, including that the information used in generating the list was less than 24 hours old, </w:t>
      </w:r>
      <w:r>
        <w:rPr>
          <w:rFonts w:ascii="Times New Roman" w:hAnsi="Times New Roman"/>
          <w:snapToGrid w:val="0"/>
          <w:color w:val="000000"/>
          <w:sz w:val="24"/>
        </w:rPr>
        <w:lastRenderedPageBreak/>
        <w:t>the creator attested in writing that the securities not on the list were easy to borrow, and that any securities restricted pursuant to UPC 11830 were included on the list.</w:t>
      </w:r>
    </w:p>
    <w:p w14:paraId="75575B41" w14:textId="77777777" w:rsidR="00FB0641" w:rsidRDefault="00FB0641" w:rsidP="00FB0641">
      <w:pPr>
        <w:pStyle w:val="DELText"/>
        <w:rPr>
          <w:rFonts w:ascii="Times New Roman" w:hAnsi="Times New Roman"/>
          <w:snapToGrid w:val="0"/>
          <w:color w:val="000000"/>
          <w:sz w:val="24"/>
        </w:rPr>
      </w:pPr>
    </w:p>
    <w:p w14:paraId="3354D5CF" w14:textId="1EF201E6" w:rsidR="00FB0641" w:rsidRDefault="00FB0641" w:rsidP="002C0EEB">
      <w:pPr>
        <w:pStyle w:val="DELText"/>
        <w:tabs>
          <w:tab w:val="clear" w:pos="720"/>
        </w:tabs>
        <w:rPr>
          <w:rFonts w:ascii="Times New Roman" w:hAnsi="Times New Roman"/>
          <w:snapToGrid w:val="0"/>
          <w:color w:val="000000"/>
          <w:sz w:val="24"/>
        </w:rPr>
      </w:pPr>
      <w:r>
        <w:rPr>
          <w:rFonts w:ascii="Times New Roman" w:hAnsi="Times New Roman"/>
          <w:snapToGrid w:val="0"/>
          <w:color w:val="000000"/>
          <w:sz w:val="24"/>
        </w:rPr>
        <w:t xml:space="preserve">The amended rule will permit the use of “Hard to Borrow” lists only for NASDAQ NM and exchange-listed securities. For NASDAQ </w:t>
      </w:r>
      <w:r w:rsidR="00B00FE0">
        <w:rPr>
          <w:rFonts w:ascii="Times New Roman" w:hAnsi="Times New Roman"/>
          <w:snapToGrid w:val="0"/>
          <w:color w:val="000000"/>
          <w:sz w:val="24"/>
        </w:rPr>
        <w:t>Small Cap</w:t>
      </w:r>
      <w:r>
        <w:rPr>
          <w:rFonts w:ascii="Times New Roman" w:hAnsi="Times New Roman"/>
          <w:snapToGrid w:val="0"/>
          <w:color w:val="000000"/>
          <w:sz w:val="24"/>
        </w:rPr>
        <w:t xml:space="preserve"> and </w:t>
      </w:r>
      <w:r w:rsidR="004E5448">
        <w:rPr>
          <w:rFonts w:ascii="Times New Roman" w:hAnsi="Times New Roman"/>
          <w:snapToGrid w:val="0"/>
          <w:color w:val="000000"/>
          <w:sz w:val="24"/>
        </w:rPr>
        <w:t>over the counter</w:t>
      </w:r>
      <w:r>
        <w:rPr>
          <w:rFonts w:ascii="Times New Roman" w:hAnsi="Times New Roman"/>
          <w:snapToGrid w:val="0"/>
          <w:color w:val="000000"/>
          <w:sz w:val="24"/>
        </w:rPr>
        <w:t xml:space="preserve"> (OTC) equity securities, members can continue to comply with the requirements of Rule 3370 through the use of “Easy to Borrow” lists. </w:t>
      </w:r>
    </w:p>
    <w:p w14:paraId="589B3027" w14:textId="77777777" w:rsidR="00FB0641" w:rsidRDefault="00FB0641" w:rsidP="00FB0641">
      <w:pPr>
        <w:jc w:val="both"/>
        <w:rPr>
          <w:sz w:val="24"/>
        </w:rPr>
      </w:pPr>
    </w:p>
    <w:p w14:paraId="54932CB9" w14:textId="77777777" w:rsidR="00FB0641" w:rsidRDefault="00FB0641" w:rsidP="00FB0641">
      <w:pPr>
        <w:jc w:val="both"/>
        <w:rPr>
          <w:sz w:val="24"/>
        </w:rPr>
      </w:pPr>
      <w:r>
        <w:rPr>
          <w:sz w:val="24"/>
        </w:rPr>
        <w:t>When executing short sale trades, the Company will adhere to the following:</w:t>
      </w:r>
    </w:p>
    <w:p w14:paraId="2D2785E8" w14:textId="77777777" w:rsidR="00FB0641" w:rsidRDefault="00FB0641" w:rsidP="00FB0641">
      <w:pPr>
        <w:jc w:val="both"/>
        <w:rPr>
          <w:sz w:val="24"/>
        </w:rPr>
      </w:pPr>
    </w:p>
    <w:p w14:paraId="6048E0CF" w14:textId="77777777" w:rsidR="00FB0641" w:rsidRPr="00D949D0" w:rsidRDefault="00FB0641" w:rsidP="002C0EEB">
      <w:pPr>
        <w:ind w:left="270" w:hanging="270"/>
        <w:jc w:val="both"/>
        <w:rPr>
          <w:sz w:val="24"/>
        </w:rPr>
      </w:pPr>
      <w:r>
        <w:rPr>
          <w:sz w:val="24"/>
        </w:rPr>
        <w:t>a.</w:t>
      </w:r>
      <w:r>
        <w:rPr>
          <w:sz w:val="24"/>
        </w:rPr>
        <w:tab/>
        <w:t xml:space="preserve">Short sales which are entered as SelectNet orders shall be marked as short sales </w:t>
      </w:r>
      <w:r w:rsidR="009242FE">
        <w:rPr>
          <w:sz w:val="24"/>
        </w:rPr>
        <w:t xml:space="preserve">or </w:t>
      </w:r>
      <w:r w:rsidR="009242FE" w:rsidRPr="00D949D0">
        <w:rPr>
          <w:sz w:val="24"/>
        </w:rPr>
        <w:t xml:space="preserve">short exempt </w:t>
      </w:r>
      <w:r w:rsidRPr="00D949D0">
        <w:rPr>
          <w:sz w:val="24"/>
        </w:rPr>
        <w:t>at the time of order entry.</w:t>
      </w:r>
    </w:p>
    <w:p w14:paraId="66E542A2" w14:textId="77777777" w:rsidR="00FB0641" w:rsidRDefault="00FB0641" w:rsidP="00FB0641">
      <w:pPr>
        <w:ind w:left="720" w:hanging="720"/>
        <w:jc w:val="both"/>
        <w:rPr>
          <w:sz w:val="24"/>
        </w:rPr>
      </w:pPr>
    </w:p>
    <w:p w14:paraId="043A2E1A" w14:textId="77777777" w:rsidR="00FB0641" w:rsidRDefault="00FB0641" w:rsidP="005E1C3E">
      <w:pPr>
        <w:ind w:left="270" w:hanging="270"/>
        <w:jc w:val="both"/>
        <w:rPr>
          <w:sz w:val="24"/>
        </w:rPr>
      </w:pPr>
      <w:r>
        <w:rPr>
          <w:sz w:val="24"/>
        </w:rPr>
        <w:t>b.</w:t>
      </w:r>
      <w:r>
        <w:rPr>
          <w:sz w:val="24"/>
        </w:rPr>
        <w:tab/>
        <w:t>The Company shall monitor all open SelectNet short- sale orders to comply with the Short Sale Rule. Any and all SelectNet and or SOES transactions shall be handled through the Company’s clearing broker.</w:t>
      </w:r>
    </w:p>
    <w:p w14:paraId="4707487A" w14:textId="77777777" w:rsidR="00FB0641" w:rsidRDefault="00FB0641" w:rsidP="00FB0641">
      <w:pPr>
        <w:ind w:left="720" w:hanging="720"/>
        <w:jc w:val="both"/>
        <w:rPr>
          <w:sz w:val="24"/>
        </w:rPr>
      </w:pPr>
    </w:p>
    <w:p w14:paraId="7D745086" w14:textId="77777777" w:rsidR="00FB0641" w:rsidRDefault="00FB0641" w:rsidP="005E1C3E">
      <w:pPr>
        <w:ind w:left="270" w:hanging="270"/>
        <w:jc w:val="both"/>
        <w:rPr>
          <w:sz w:val="24"/>
        </w:rPr>
      </w:pPr>
      <w:r>
        <w:rPr>
          <w:sz w:val="24"/>
        </w:rPr>
        <w:t>c.</w:t>
      </w:r>
      <w:r>
        <w:rPr>
          <w:sz w:val="24"/>
        </w:rPr>
        <w:tab/>
        <w:t>The Company shall monitor all SOES short-sale orders to comply with the Short Sale Rule. Any and all SelectNet and or SOES transactions shall be handled through the Company’s clearing broker.</w:t>
      </w:r>
    </w:p>
    <w:p w14:paraId="72422D92" w14:textId="77777777" w:rsidR="00FB0641" w:rsidRDefault="00FB0641" w:rsidP="00FB0641">
      <w:pPr>
        <w:ind w:left="720" w:hanging="720"/>
        <w:jc w:val="both"/>
        <w:rPr>
          <w:sz w:val="24"/>
        </w:rPr>
      </w:pPr>
    </w:p>
    <w:p w14:paraId="6FDB34D8" w14:textId="77777777" w:rsidR="00FB0641" w:rsidRDefault="00FB085B" w:rsidP="005E1C3E">
      <w:pPr>
        <w:autoSpaceDE w:val="0"/>
        <w:autoSpaceDN w:val="0"/>
        <w:adjustRightInd w:val="0"/>
        <w:ind w:left="270" w:hanging="270"/>
        <w:rPr>
          <w:color w:val="000000"/>
          <w:sz w:val="24"/>
        </w:rPr>
      </w:pPr>
      <w:r>
        <w:rPr>
          <w:sz w:val="24"/>
        </w:rPr>
        <w:t>d. Pursuant</w:t>
      </w:r>
      <w:r w:rsidR="00FB0641">
        <w:rPr>
          <w:sz w:val="24"/>
        </w:rPr>
        <w:t xml:space="preserve"> to Regulation SHO, </w:t>
      </w:r>
      <w:r w:rsidR="00FB0641">
        <w:rPr>
          <w:color w:val="231F20"/>
          <w:sz w:val="24"/>
        </w:rPr>
        <w:t xml:space="preserve">sell orders in all equity securities shall be marked “long,” “short,” or “short exempt.”  </w:t>
      </w:r>
    </w:p>
    <w:p w14:paraId="47873795" w14:textId="77777777" w:rsidR="00FB0641" w:rsidRDefault="00FB0641" w:rsidP="00FB0641">
      <w:pPr>
        <w:ind w:left="720" w:hanging="720"/>
        <w:jc w:val="both"/>
        <w:rPr>
          <w:sz w:val="24"/>
        </w:rPr>
      </w:pPr>
    </w:p>
    <w:p w14:paraId="296C2560" w14:textId="77777777" w:rsidR="008166B0" w:rsidRPr="008166B0" w:rsidRDefault="008166B0" w:rsidP="008166B0">
      <w:pPr>
        <w:rPr>
          <w:sz w:val="24"/>
        </w:rPr>
      </w:pPr>
      <w:r w:rsidRPr="008166B0">
        <w:rPr>
          <w:sz w:val="24"/>
        </w:rPr>
        <w:t xml:space="preserve">In addition, pursuant to Section 12(k)(2) of the Securities Exchange Act of 1934, in connection with transactions in the publicly traded securities of certain financial institutions listed below, no person may effect a short sale in these securities using the means or instrumentalities of interstate commerce unless such person or its agent has borrowed or arranged to borrow the security or otherwise has the security available to borrow in its inventory prior to effecting such short sale and delivers such security on settlement date.   </w:t>
      </w:r>
    </w:p>
    <w:p w14:paraId="34E289F9" w14:textId="77777777" w:rsidR="008166B0" w:rsidRPr="008166B0" w:rsidRDefault="008166B0" w:rsidP="008166B0">
      <w:pPr>
        <w:rPr>
          <w:sz w:val="24"/>
        </w:rPr>
      </w:pPr>
    </w:p>
    <w:tbl>
      <w:tblPr>
        <w:tblW w:w="0" w:type="auto"/>
        <w:tblLook w:val="04A0" w:firstRow="1" w:lastRow="0" w:firstColumn="1" w:lastColumn="0" w:noHBand="0" w:noVBand="1"/>
      </w:tblPr>
      <w:tblGrid>
        <w:gridCol w:w="3096"/>
        <w:gridCol w:w="3097"/>
        <w:gridCol w:w="3095"/>
      </w:tblGrid>
      <w:tr w:rsidR="008166B0" w:rsidRPr="008166B0" w14:paraId="16D9732D" w14:textId="77777777">
        <w:tc>
          <w:tcPr>
            <w:tcW w:w="3192" w:type="dxa"/>
          </w:tcPr>
          <w:p w14:paraId="71D3F4D7" w14:textId="77777777" w:rsidR="008166B0" w:rsidRPr="008166B0" w:rsidRDefault="008166B0" w:rsidP="008166B0">
            <w:r w:rsidRPr="008166B0">
              <w:t>Allianz SE</w:t>
            </w:r>
          </w:p>
          <w:p w14:paraId="6B64BEB5" w14:textId="77777777" w:rsidR="008166B0" w:rsidRPr="008166B0" w:rsidRDefault="008166B0" w:rsidP="008166B0">
            <w:r w:rsidRPr="008166B0">
              <w:t xml:space="preserve">BNP Paribas Securities Corp </w:t>
            </w:r>
          </w:p>
          <w:p w14:paraId="12F52775" w14:textId="77777777" w:rsidR="008166B0" w:rsidRPr="008166B0" w:rsidRDefault="008166B0" w:rsidP="008166B0">
            <w:r w:rsidRPr="008166B0">
              <w:t xml:space="preserve">Bank of America Corp </w:t>
            </w:r>
          </w:p>
          <w:p w14:paraId="61F7772A" w14:textId="77777777" w:rsidR="008166B0" w:rsidRPr="008166B0" w:rsidRDefault="008166B0" w:rsidP="008166B0">
            <w:r w:rsidRPr="008166B0">
              <w:t xml:space="preserve">Barclays PLC </w:t>
            </w:r>
          </w:p>
          <w:p w14:paraId="6DA360EB" w14:textId="77777777" w:rsidR="008166B0" w:rsidRPr="008166B0" w:rsidRDefault="008166B0" w:rsidP="008166B0">
            <w:r w:rsidRPr="008166B0">
              <w:t xml:space="preserve">Citigroup </w:t>
            </w:r>
            <w:r w:rsidR="00F53DE0" w:rsidRPr="008166B0">
              <w:t>Inc.</w:t>
            </w:r>
            <w:r w:rsidRPr="008166B0">
              <w:t xml:space="preserve"> </w:t>
            </w:r>
          </w:p>
          <w:p w14:paraId="2FCA0F55" w14:textId="77777777" w:rsidR="008166B0" w:rsidRPr="008166B0" w:rsidRDefault="008166B0" w:rsidP="008166B0">
            <w:r w:rsidRPr="008166B0">
              <w:t>Credit Suisse Group</w:t>
            </w:r>
          </w:p>
          <w:p w14:paraId="75BB025F" w14:textId="77777777" w:rsidR="008166B0" w:rsidRPr="008166B0" w:rsidRDefault="008166B0" w:rsidP="008166B0">
            <w:pPr>
              <w:rPr>
                <w:sz w:val="24"/>
              </w:rPr>
            </w:pPr>
          </w:p>
        </w:tc>
        <w:tc>
          <w:tcPr>
            <w:tcW w:w="3192" w:type="dxa"/>
          </w:tcPr>
          <w:p w14:paraId="2256F631" w14:textId="77777777" w:rsidR="008166B0" w:rsidRPr="008166B0" w:rsidRDefault="008166B0" w:rsidP="008166B0">
            <w:r w:rsidRPr="008166B0">
              <w:t xml:space="preserve">Daiwa Securities Group </w:t>
            </w:r>
            <w:r w:rsidR="00F53DE0" w:rsidRPr="008166B0">
              <w:t>Inc.</w:t>
            </w:r>
            <w:r w:rsidRPr="008166B0">
              <w:t xml:space="preserve"> </w:t>
            </w:r>
            <w:proofErr w:type="spellStart"/>
            <w:r w:rsidRPr="008166B0">
              <w:t>Duetsche</w:t>
            </w:r>
            <w:proofErr w:type="spellEnd"/>
            <w:r w:rsidRPr="008166B0">
              <w:t xml:space="preserve"> Bank Group AG </w:t>
            </w:r>
          </w:p>
          <w:p w14:paraId="7D2F7D0E" w14:textId="77777777" w:rsidR="008166B0" w:rsidRPr="008166B0" w:rsidRDefault="008166B0" w:rsidP="008166B0">
            <w:r w:rsidRPr="008166B0">
              <w:t>Fannie Mae</w:t>
            </w:r>
          </w:p>
          <w:p w14:paraId="21DD7853" w14:textId="77777777" w:rsidR="008166B0" w:rsidRPr="008166B0" w:rsidRDefault="008166B0" w:rsidP="008166B0">
            <w:r w:rsidRPr="008166B0">
              <w:t>Freddie Mac</w:t>
            </w:r>
          </w:p>
          <w:p w14:paraId="485DD3E8" w14:textId="77777777" w:rsidR="008166B0" w:rsidRPr="008166B0" w:rsidRDefault="008166B0" w:rsidP="008166B0">
            <w:r w:rsidRPr="008166B0">
              <w:t xml:space="preserve">Goldman Sachs Group </w:t>
            </w:r>
            <w:r w:rsidR="00F53DE0" w:rsidRPr="008166B0">
              <w:t>Inc.</w:t>
            </w:r>
            <w:r w:rsidRPr="008166B0">
              <w:t xml:space="preserve"> </w:t>
            </w:r>
          </w:p>
          <w:p w14:paraId="52973742" w14:textId="77777777" w:rsidR="008166B0" w:rsidRPr="008166B0" w:rsidRDefault="008166B0" w:rsidP="008166B0">
            <w:pPr>
              <w:rPr>
                <w:sz w:val="24"/>
              </w:rPr>
            </w:pPr>
            <w:r w:rsidRPr="008166B0">
              <w:t>HSBC Holdings PLC ADS</w:t>
            </w:r>
          </w:p>
        </w:tc>
        <w:tc>
          <w:tcPr>
            <w:tcW w:w="3192" w:type="dxa"/>
          </w:tcPr>
          <w:p w14:paraId="0E2FBFDD" w14:textId="77777777" w:rsidR="008166B0" w:rsidRPr="008166B0" w:rsidRDefault="008166B0" w:rsidP="008166B0">
            <w:r w:rsidRPr="008166B0">
              <w:t xml:space="preserve">Merrill Lynch &amp; Co </w:t>
            </w:r>
            <w:r w:rsidR="00F53DE0" w:rsidRPr="008166B0">
              <w:t>Inc.</w:t>
            </w:r>
            <w:r w:rsidRPr="008166B0">
              <w:t xml:space="preserve"> </w:t>
            </w:r>
          </w:p>
          <w:p w14:paraId="58E02F71" w14:textId="77777777" w:rsidR="008166B0" w:rsidRPr="008166B0" w:rsidRDefault="008166B0" w:rsidP="008166B0">
            <w:r w:rsidRPr="008166B0">
              <w:t xml:space="preserve">Mizuho Financial Group </w:t>
            </w:r>
            <w:r w:rsidR="00F53DE0" w:rsidRPr="008166B0">
              <w:t>Inc.</w:t>
            </w:r>
            <w:r w:rsidRPr="008166B0">
              <w:t xml:space="preserve"> </w:t>
            </w:r>
          </w:p>
          <w:p w14:paraId="2B88D7B2" w14:textId="77777777" w:rsidR="008166B0" w:rsidRPr="008166B0" w:rsidRDefault="008166B0" w:rsidP="008166B0">
            <w:r w:rsidRPr="008166B0">
              <w:t>Morgan Stanley</w:t>
            </w:r>
          </w:p>
          <w:p w14:paraId="3BC792BE" w14:textId="77777777" w:rsidR="008166B0" w:rsidRPr="008166B0" w:rsidRDefault="008166B0" w:rsidP="008166B0">
            <w:r w:rsidRPr="008166B0">
              <w:t xml:space="preserve">Royal Bank ADS </w:t>
            </w:r>
          </w:p>
          <w:p w14:paraId="72555D02" w14:textId="77777777" w:rsidR="008166B0" w:rsidRPr="008166B0" w:rsidRDefault="008166B0" w:rsidP="008166B0">
            <w:r w:rsidRPr="008166B0">
              <w:t>UBS AG</w:t>
            </w:r>
          </w:p>
          <w:p w14:paraId="4FDE1BB3" w14:textId="77777777" w:rsidR="008166B0" w:rsidRPr="008166B0" w:rsidRDefault="008166B0" w:rsidP="008166B0">
            <w:pPr>
              <w:rPr>
                <w:sz w:val="24"/>
              </w:rPr>
            </w:pPr>
          </w:p>
        </w:tc>
      </w:tr>
    </w:tbl>
    <w:p w14:paraId="2F245453" w14:textId="77777777" w:rsidR="00FB0641" w:rsidRDefault="00FB0641" w:rsidP="00FB0641">
      <w:pPr>
        <w:ind w:left="720" w:hanging="720"/>
        <w:jc w:val="both"/>
        <w:rPr>
          <w:sz w:val="24"/>
        </w:rPr>
      </w:pPr>
    </w:p>
    <w:p w14:paraId="1FC3B8DD" w14:textId="77777777" w:rsidR="0015172F" w:rsidRDefault="0015172F" w:rsidP="001A7509">
      <w:pPr>
        <w:pStyle w:val="Heading3"/>
      </w:pPr>
      <w:r>
        <w:t>8</w:t>
      </w:r>
      <w:r w:rsidRPr="004B4F79">
        <w:t>.</w:t>
      </w:r>
      <w:r>
        <w:t>2</w:t>
      </w:r>
      <w:r w:rsidR="00A8339B">
        <w:t>1</w:t>
      </w:r>
      <w:r>
        <w:t xml:space="preserve">.1 </w:t>
      </w:r>
      <w:r w:rsidR="0034323D">
        <w:t>Short Sale Price Test</w:t>
      </w:r>
    </w:p>
    <w:p w14:paraId="3297BF6B" w14:textId="77777777" w:rsidR="0034323D" w:rsidRPr="00AC1FFA" w:rsidRDefault="0034323D" w:rsidP="001148E7">
      <w:pPr>
        <w:ind w:left="270"/>
        <w:rPr>
          <w:sz w:val="24"/>
          <w:szCs w:val="24"/>
        </w:rPr>
      </w:pPr>
      <w:r w:rsidRPr="00AC1FFA">
        <w:rPr>
          <w:sz w:val="24"/>
          <w:szCs w:val="24"/>
        </w:rPr>
        <w:t>Short Sales of covered securities (</w:t>
      </w:r>
      <w:r w:rsidR="00633406" w:rsidRPr="00AC1FFA">
        <w:rPr>
          <w:sz w:val="24"/>
          <w:szCs w:val="24"/>
        </w:rPr>
        <w:t>NMS stocks traded on a national exchange, ex</w:t>
      </w:r>
      <w:r w:rsidR="00B02A2E" w:rsidRPr="00AC1FFA">
        <w:rPr>
          <w:sz w:val="24"/>
          <w:szCs w:val="24"/>
        </w:rPr>
        <w:t>c</w:t>
      </w:r>
      <w:r w:rsidR="00633406" w:rsidRPr="00AC1FFA">
        <w:rPr>
          <w:sz w:val="24"/>
          <w:szCs w:val="24"/>
        </w:rPr>
        <w:t xml:space="preserve">ept options, or in the OTC market) are subject to a circuit breaker and uptick rule.  </w:t>
      </w:r>
      <w:r w:rsidR="00AA55FA" w:rsidRPr="00AC1FFA">
        <w:rPr>
          <w:sz w:val="24"/>
          <w:szCs w:val="24"/>
        </w:rPr>
        <w:t xml:space="preserve">When a circuit breaker is triggered, by the listing market, short selling is permitted </w:t>
      </w:r>
      <w:r w:rsidR="001148E7" w:rsidRPr="00AC1FFA">
        <w:rPr>
          <w:sz w:val="24"/>
          <w:szCs w:val="24"/>
        </w:rPr>
        <w:t xml:space="preserve">only </w:t>
      </w:r>
      <w:r w:rsidR="00AA55FA" w:rsidRPr="00AC1FFA">
        <w:rPr>
          <w:sz w:val="24"/>
          <w:szCs w:val="24"/>
        </w:rPr>
        <w:t xml:space="preserve">at a price above the </w:t>
      </w:r>
      <w:r w:rsidR="001148E7" w:rsidRPr="00AC1FFA">
        <w:rPr>
          <w:sz w:val="24"/>
          <w:szCs w:val="24"/>
        </w:rPr>
        <w:t xml:space="preserve">current </w:t>
      </w:r>
      <w:r w:rsidR="00AA55FA" w:rsidRPr="00AC1FFA">
        <w:rPr>
          <w:sz w:val="24"/>
          <w:szCs w:val="24"/>
        </w:rPr>
        <w:t xml:space="preserve">national best bid.  </w:t>
      </w:r>
      <w:r w:rsidR="001148E7" w:rsidRPr="00AC1FFA">
        <w:rPr>
          <w:sz w:val="24"/>
          <w:szCs w:val="24"/>
        </w:rPr>
        <w:t>The following requirements apply:</w:t>
      </w:r>
    </w:p>
    <w:p w14:paraId="02972A24" w14:textId="77777777" w:rsidR="001148E7" w:rsidRPr="00AC1FFA" w:rsidRDefault="001148E7" w:rsidP="001148E7">
      <w:pPr>
        <w:ind w:left="270"/>
        <w:rPr>
          <w:sz w:val="24"/>
          <w:szCs w:val="24"/>
        </w:rPr>
      </w:pPr>
    </w:p>
    <w:p w14:paraId="7C385861" w14:textId="77777777" w:rsidR="001148E7" w:rsidRPr="00AC1FFA" w:rsidRDefault="001148E7" w:rsidP="00C1728B">
      <w:pPr>
        <w:widowControl w:val="0"/>
        <w:numPr>
          <w:ilvl w:val="0"/>
          <w:numId w:val="126"/>
        </w:numPr>
        <w:autoSpaceDE w:val="0"/>
        <w:autoSpaceDN w:val="0"/>
        <w:rPr>
          <w:sz w:val="24"/>
          <w:szCs w:val="24"/>
        </w:rPr>
      </w:pPr>
      <w:r w:rsidRPr="00AC1FFA">
        <w:rPr>
          <w:sz w:val="24"/>
          <w:szCs w:val="24"/>
        </w:rPr>
        <w:t>A short sale order may not be executed or displayed at a price that is less than or equal to the current national best bid if the price of the covered security decreases by 10% or more from the security's closing price determined by the listing market as of the end of regular trading hours on the prior day.</w:t>
      </w:r>
    </w:p>
    <w:p w14:paraId="18A36F03" w14:textId="77777777" w:rsidR="001148E7" w:rsidRPr="00AC1FFA" w:rsidRDefault="001148E7" w:rsidP="00C1728B">
      <w:pPr>
        <w:widowControl w:val="0"/>
        <w:numPr>
          <w:ilvl w:val="0"/>
          <w:numId w:val="126"/>
        </w:numPr>
        <w:autoSpaceDE w:val="0"/>
        <w:autoSpaceDN w:val="0"/>
        <w:spacing w:before="100" w:beforeAutospacing="1" w:after="100" w:afterAutospacing="1"/>
        <w:rPr>
          <w:sz w:val="24"/>
          <w:szCs w:val="24"/>
        </w:rPr>
      </w:pPr>
      <w:r w:rsidRPr="00AC1FFA">
        <w:rPr>
          <w:sz w:val="24"/>
          <w:szCs w:val="24"/>
        </w:rPr>
        <w:t xml:space="preserve">The above requirements apply for the remainder of the day and the following day when a </w:t>
      </w:r>
      <w:r w:rsidRPr="00AC1FFA">
        <w:rPr>
          <w:sz w:val="24"/>
          <w:szCs w:val="24"/>
        </w:rPr>
        <w:lastRenderedPageBreak/>
        <w:t>national best bid for the covered security is calculated and disseminated on a current and continuing basis by a plan processor pursuant to an effective national market system plan.</w:t>
      </w:r>
    </w:p>
    <w:p w14:paraId="50E6948A" w14:textId="77777777" w:rsidR="001148E7" w:rsidRPr="00AC1FFA" w:rsidRDefault="00F10C7A" w:rsidP="00273C2B">
      <w:pPr>
        <w:pStyle w:val="Normal1"/>
        <w:spacing w:before="0" w:after="0" w:afterAutospacing="0" w:line="240" w:lineRule="auto"/>
        <w:ind w:left="274"/>
        <w:rPr>
          <w:rFonts w:ascii="Times New Roman" w:hAnsi="Times New Roman" w:cs="Times New Roman"/>
          <w:sz w:val="24"/>
          <w:szCs w:val="24"/>
        </w:rPr>
      </w:pPr>
      <w:r w:rsidRPr="00DC3A89">
        <w:rPr>
          <w:rFonts w:ascii="Times New Roman" w:hAnsi="Times New Roman" w:cs="Times New Roman"/>
          <w:sz w:val="24"/>
          <w:szCs w:val="24"/>
        </w:rPr>
        <w:t>HTS</w:t>
      </w:r>
      <w:r w:rsidR="0041064E" w:rsidRPr="00AC1FFA">
        <w:rPr>
          <w:rFonts w:ascii="Times New Roman" w:hAnsi="Times New Roman" w:cs="Times New Roman"/>
          <w:sz w:val="24"/>
          <w:szCs w:val="24"/>
        </w:rPr>
        <w:t xml:space="preserve"> </w:t>
      </w:r>
      <w:r w:rsidR="001148E7" w:rsidRPr="00AC1FFA">
        <w:rPr>
          <w:rFonts w:ascii="Times New Roman" w:hAnsi="Times New Roman" w:cs="Times New Roman"/>
          <w:sz w:val="24"/>
          <w:szCs w:val="24"/>
        </w:rPr>
        <w:t>systems identify covered securities subject to price test requirements. Traders are responsible for complying with price test requirements.</w:t>
      </w:r>
    </w:p>
    <w:p w14:paraId="38DD52CB" w14:textId="77777777" w:rsidR="00273C2B" w:rsidRPr="00AC1FFA" w:rsidRDefault="00273C2B" w:rsidP="00273C2B">
      <w:pPr>
        <w:pStyle w:val="Normal1"/>
        <w:spacing w:before="0" w:after="0" w:afterAutospacing="0" w:line="240" w:lineRule="auto"/>
        <w:ind w:left="274"/>
        <w:rPr>
          <w:rFonts w:ascii="Times New Roman" w:hAnsi="Times New Roman" w:cs="Times New Roman"/>
          <w:sz w:val="24"/>
          <w:szCs w:val="24"/>
        </w:rPr>
      </w:pPr>
    </w:p>
    <w:p w14:paraId="1DBDF55D" w14:textId="77777777" w:rsidR="00273C2B" w:rsidRPr="00AC1FFA" w:rsidRDefault="00ED218D" w:rsidP="00273C2B">
      <w:pPr>
        <w:pStyle w:val="Normal1"/>
        <w:spacing w:before="0" w:after="0" w:afterAutospacing="0" w:line="240" w:lineRule="auto"/>
        <w:ind w:left="274"/>
        <w:rPr>
          <w:rFonts w:ascii="Times New Roman" w:hAnsi="Times New Roman" w:cs="Times New Roman"/>
          <w:sz w:val="24"/>
          <w:szCs w:val="24"/>
        </w:rPr>
      </w:pPr>
      <w:r w:rsidRPr="00AC1FFA">
        <w:rPr>
          <w:rFonts w:ascii="Times New Roman" w:hAnsi="Times New Roman" w:cs="Times New Roman"/>
          <w:sz w:val="24"/>
          <w:szCs w:val="24"/>
        </w:rPr>
        <w:t>There are e</w:t>
      </w:r>
      <w:r w:rsidR="00273C2B" w:rsidRPr="00AC1FFA">
        <w:rPr>
          <w:rFonts w:ascii="Times New Roman" w:hAnsi="Times New Roman" w:cs="Times New Roman"/>
          <w:sz w:val="24"/>
          <w:szCs w:val="24"/>
        </w:rPr>
        <w:t xml:space="preserve">xemptions to the </w:t>
      </w:r>
      <w:r w:rsidRPr="00AC1FFA">
        <w:rPr>
          <w:rFonts w:ascii="Times New Roman" w:hAnsi="Times New Roman" w:cs="Times New Roman"/>
          <w:sz w:val="24"/>
          <w:szCs w:val="24"/>
        </w:rPr>
        <w:t xml:space="preserve">short sale price test that </w:t>
      </w:r>
      <w:r w:rsidR="00273C2B" w:rsidRPr="00AC1FFA">
        <w:rPr>
          <w:rFonts w:ascii="Times New Roman" w:hAnsi="Times New Roman" w:cs="Times New Roman"/>
          <w:sz w:val="24"/>
          <w:szCs w:val="24"/>
        </w:rPr>
        <w:t xml:space="preserve">apply </w:t>
      </w:r>
      <w:r w:rsidRPr="00AC1FFA">
        <w:rPr>
          <w:rFonts w:ascii="Times New Roman" w:hAnsi="Times New Roman" w:cs="Times New Roman"/>
          <w:sz w:val="24"/>
          <w:szCs w:val="24"/>
        </w:rPr>
        <w:t xml:space="preserve">when the price test circuit breaker is triggered.  When relying on the exemptions, the trade order must be marked “short exempt.” </w:t>
      </w:r>
    </w:p>
    <w:p w14:paraId="1B7AAC6E" w14:textId="77777777" w:rsidR="001F4C55" w:rsidRPr="00AC1FFA" w:rsidRDefault="001F4C55" w:rsidP="00C1728B">
      <w:pPr>
        <w:widowControl w:val="0"/>
        <w:numPr>
          <w:ilvl w:val="0"/>
          <w:numId w:val="127"/>
        </w:numPr>
        <w:autoSpaceDE w:val="0"/>
        <w:autoSpaceDN w:val="0"/>
        <w:spacing w:before="100" w:beforeAutospacing="1" w:after="100" w:afterAutospacing="1"/>
        <w:rPr>
          <w:sz w:val="24"/>
          <w:szCs w:val="24"/>
        </w:rPr>
      </w:pPr>
      <w:r w:rsidRPr="00AC1FFA">
        <w:rPr>
          <w:b/>
          <w:bCs/>
          <w:sz w:val="24"/>
          <w:szCs w:val="24"/>
        </w:rPr>
        <w:t xml:space="preserve">Broker-Dealer Provision. </w:t>
      </w:r>
      <w:r w:rsidRPr="00AC1FFA">
        <w:rPr>
          <w:sz w:val="24"/>
          <w:szCs w:val="24"/>
        </w:rPr>
        <w:t xml:space="preserve"> Rule 201 permits a broker-dealer to mark certain qualifying sell orders as "short exempt" if the broker-dealer reasonably determines that it is submitting the short sale order to the trading center at a price that is above the current national best bid at the time of submission.</w:t>
      </w:r>
    </w:p>
    <w:p w14:paraId="4C35C1EA" w14:textId="77777777" w:rsidR="001F4C55" w:rsidRPr="00AC1FFA" w:rsidRDefault="001F4C55" w:rsidP="00C1728B">
      <w:pPr>
        <w:widowControl w:val="0"/>
        <w:numPr>
          <w:ilvl w:val="0"/>
          <w:numId w:val="127"/>
        </w:numPr>
        <w:autoSpaceDE w:val="0"/>
        <w:autoSpaceDN w:val="0"/>
        <w:spacing w:before="100" w:beforeAutospacing="1" w:after="100" w:afterAutospacing="1"/>
        <w:rPr>
          <w:sz w:val="24"/>
          <w:szCs w:val="24"/>
        </w:rPr>
      </w:pPr>
      <w:r w:rsidRPr="00AC1FFA">
        <w:rPr>
          <w:b/>
          <w:bCs/>
          <w:sz w:val="24"/>
          <w:szCs w:val="24"/>
        </w:rPr>
        <w:t>Sellers Delay in Delivery.</w:t>
      </w:r>
      <w:r w:rsidRPr="00AC1FFA">
        <w:rPr>
          <w:sz w:val="24"/>
          <w:szCs w:val="24"/>
        </w:rPr>
        <w:t xml:space="preserve">  Orders may be marked "short exempt" when a broker-dealer has a reasonable basis to believe that a seller owns the </w:t>
      </w:r>
      <w:r w:rsidR="00D0432A" w:rsidRPr="00AC1FFA">
        <w:rPr>
          <w:sz w:val="24"/>
          <w:szCs w:val="24"/>
        </w:rPr>
        <w:t>securities but</w:t>
      </w:r>
      <w:r w:rsidRPr="00AC1FFA">
        <w:rPr>
          <w:sz w:val="24"/>
          <w:szCs w:val="24"/>
        </w:rPr>
        <w:t xml:space="preserve"> is unable to deliver them prior to settlement because of circumstances outside of the seller's control.</w:t>
      </w:r>
    </w:p>
    <w:p w14:paraId="455D1290" w14:textId="77777777" w:rsidR="001F4C55" w:rsidRPr="00AC1FFA" w:rsidRDefault="001F4C55" w:rsidP="00C1728B">
      <w:pPr>
        <w:widowControl w:val="0"/>
        <w:numPr>
          <w:ilvl w:val="0"/>
          <w:numId w:val="127"/>
        </w:numPr>
        <w:autoSpaceDE w:val="0"/>
        <w:autoSpaceDN w:val="0"/>
        <w:spacing w:before="100" w:beforeAutospacing="1" w:after="100" w:afterAutospacing="1"/>
        <w:rPr>
          <w:sz w:val="24"/>
          <w:szCs w:val="24"/>
        </w:rPr>
      </w:pPr>
      <w:r w:rsidRPr="00AC1FFA">
        <w:rPr>
          <w:b/>
          <w:bCs/>
          <w:sz w:val="24"/>
          <w:szCs w:val="24"/>
        </w:rPr>
        <w:t>Odd Lot Transactions.</w:t>
      </w:r>
      <w:r w:rsidRPr="00AC1FFA">
        <w:rPr>
          <w:sz w:val="24"/>
          <w:szCs w:val="24"/>
        </w:rPr>
        <w:t xml:space="preserve"> An odd lot short sale order may be marked "short exempt" by a market maker if it has a reasonable basis to believe that the order offsets a customer odd-lot order or liquidates an odd-lot position that changes such broker-dealer's position by no more than a unit of trading.</w:t>
      </w:r>
    </w:p>
    <w:p w14:paraId="1E9DEF03" w14:textId="77777777" w:rsidR="001F4C55" w:rsidRPr="00AC1FFA" w:rsidRDefault="001F4C55" w:rsidP="00C1728B">
      <w:pPr>
        <w:widowControl w:val="0"/>
        <w:numPr>
          <w:ilvl w:val="0"/>
          <w:numId w:val="127"/>
        </w:numPr>
        <w:autoSpaceDE w:val="0"/>
        <w:autoSpaceDN w:val="0"/>
        <w:spacing w:before="100" w:beforeAutospacing="1" w:after="100" w:afterAutospacing="1"/>
        <w:rPr>
          <w:sz w:val="24"/>
          <w:szCs w:val="24"/>
        </w:rPr>
      </w:pPr>
      <w:r w:rsidRPr="00AC1FFA">
        <w:rPr>
          <w:b/>
          <w:bCs/>
          <w:sz w:val="24"/>
          <w:szCs w:val="24"/>
        </w:rPr>
        <w:t>Domestic and International Arbitrage.</w:t>
      </w:r>
      <w:r w:rsidRPr="00AC1FFA">
        <w:rPr>
          <w:sz w:val="24"/>
          <w:szCs w:val="24"/>
        </w:rPr>
        <w:t xml:space="preserve"> Certain domestic or international arbitrage transactions may be marked "short exempt."</w:t>
      </w:r>
    </w:p>
    <w:p w14:paraId="2BE7119E" w14:textId="77777777" w:rsidR="001F4C55" w:rsidRPr="00AC1FFA" w:rsidRDefault="001F4C55" w:rsidP="00C1728B">
      <w:pPr>
        <w:widowControl w:val="0"/>
        <w:numPr>
          <w:ilvl w:val="0"/>
          <w:numId w:val="127"/>
        </w:numPr>
        <w:autoSpaceDE w:val="0"/>
        <w:autoSpaceDN w:val="0"/>
        <w:spacing w:before="100" w:beforeAutospacing="1" w:after="100" w:afterAutospacing="1"/>
        <w:rPr>
          <w:sz w:val="24"/>
          <w:szCs w:val="24"/>
        </w:rPr>
      </w:pPr>
      <w:r w:rsidRPr="00AC1FFA">
        <w:rPr>
          <w:b/>
          <w:bCs/>
          <w:sz w:val="24"/>
          <w:szCs w:val="24"/>
        </w:rPr>
        <w:t>Over-Allotments and Lay-Off Sales.</w:t>
      </w:r>
      <w:r w:rsidRPr="00AC1FFA">
        <w:rPr>
          <w:sz w:val="24"/>
          <w:szCs w:val="24"/>
        </w:rPr>
        <w:t xml:space="preserve"> Rule 201(d)(5) permits a broker-dealer to mark as "short exempt" short sale orders by underwriters or members of a syndicate in connection with over-allotments, or in connection with lay-offs by the same persons through a rights or standby underwriting commitment.</w:t>
      </w:r>
    </w:p>
    <w:p w14:paraId="5A9BB7D5" w14:textId="77777777" w:rsidR="001F4C55" w:rsidRPr="00AC1FFA" w:rsidRDefault="001F4C55" w:rsidP="00C1728B">
      <w:pPr>
        <w:widowControl w:val="0"/>
        <w:numPr>
          <w:ilvl w:val="0"/>
          <w:numId w:val="127"/>
        </w:numPr>
        <w:autoSpaceDE w:val="0"/>
        <w:autoSpaceDN w:val="0"/>
        <w:spacing w:before="100" w:beforeAutospacing="1" w:after="100" w:afterAutospacing="1"/>
        <w:rPr>
          <w:sz w:val="24"/>
          <w:szCs w:val="24"/>
        </w:rPr>
      </w:pPr>
      <w:r w:rsidRPr="00AC1FFA">
        <w:rPr>
          <w:b/>
          <w:bCs/>
          <w:sz w:val="24"/>
          <w:szCs w:val="24"/>
        </w:rPr>
        <w:t>Riskless Principal Transactions.</w:t>
      </w:r>
      <w:r w:rsidRPr="00AC1FFA">
        <w:rPr>
          <w:sz w:val="24"/>
          <w:szCs w:val="24"/>
        </w:rPr>
        <w:t xml:space="preserve"> Rule 201(d)(6) permits a broker-dealer to mark short sale orders "short exempt" when the broker-dealer facilitates customer buy orders or sell orders where the customer is net long, and the broker-dealer is net short but is </w:t>
      </w:r>
      <w:proofErr w:type="gramStart"/>
      <w:r w:rsidRPr="00AC1FFA">
        <w:rPr>
          <w:sz w:val="24"/>
          <w:szCs w:val="24"/>
        </w:rPr>
        <w:t>effecting</w:t>
      </w:r>
      <w:proofErr w:type="gramEnd"/>
      <w:r w:rsidRPr="00AC1FFA">
        <w:rPr>
          <w:sz w:val="24"/>
          <w:szCs w:val="24"/>
        </w:rPr>
        <w:t xml:space="preserve"> the sale as riskless principal. Rule 201(a)(8) defines the term "riskless principal" to mean "a transaction in which a broker or dealer, after having received an order to buy a security, purchases the security as principal at the same price to satisfy the order to buy, exclusive of any explicitly disclosed markup or markdown, commission equivalent, or other fee, or, after having received an order to sell, sells the security as principal at the same price to satisfy the order to sell, exclusive of any explicitly disclosed markup or markdown, commission equivalent, or other fee."</w:t>
      </w:r>
    </w:p>
    <w:p w14:paraId="22E853A0" w14:textId="77777777" w:rsidR="001F4C55" w:rsidRPr="00AC1FFA" w:rsidRDefault="001F4C55" w:rsidP="00C1728B">
      <w:pPr>
        <w:widowControl w:val="0"/>
        <w:numPr>
          <w:ilvl w:val="0"/>
          <w:numId w:val="127"/>
        </w:numPr>
        <w:autoSpaceDE w:val="0"/>
        <w:autoSpaceDN w:val="0"/>
        <w:spacing w:before="100" w:beforeAutospacing="1" w:after="100" w:afterAutospacing="1"/>
        <w:rPr>
          <w:sz w:val="24"/>
          <w:szCs w:val="24"/>
        </w:rPr>
      </w:pPr>
      <w:r w:rsidRPr="00AC1FFA">
        <w:rPr>
          <w:b/>
          <w:bCs/>
          <w:sz w:val="24"/>
          <w:szCs w:val="24"/>
        </w:rPr>
        <w:t>Transactions on a Volume-Weighted Average Price Basis.</w:t>
      </w:r>
      <w:r w:rsidRPr="00AC1FFA">
        <w:rPr>
          <w:sz w:val="24"/>
          <w:szCs w:val="24"/>
        </w:rPr>
        <w:t xml:space="preserve"> Orders executed on a volume-weighted average price ("VWAP") may be marked "short exempt" provided that they satisfy several conditions in Rule 201(d)(7). </w:t>
      </w:r>
    </w:p>
    <w:p w14:paraId="45DCF485" w14:textId="77777777" w:rsidR="0034323D" w:rsidRPr="00AC1FFA" w:rsidRDefault="0034323D" w:rsidP="0034323D"/>
    <w:p w14:paraId="489D7286" w14:textId="77777777" w:rsidR="0034323D" w:rsidRPr="0034323D" w:rsidRDefault="0034323D" w:rsidP="0034323D"/>
    <w:p w14:paraId="5B3F6136" w14:textId="77777777" w:rsidR="0034323D" w:rsidRPr="0034323D" w:rsidRDefault="0034323D" w:rsidP="0034323D">
      <w:pPr>
        <w:pStyle w:val="Heading3"/>
      </w:pPr>
      <w:r>
        <w:t>8</w:t>
      </w:r>
      <w:r w:rsidRPr="004B4F79">
        <w:t>.</w:t>
      </w:r>
      <w:r>
        <w:t>21.2 Section 71 of the Uniform Practice Code</w:t>
      </w:r>
    </w:p>
    <w:p w14:paraId="298128FD" w14:textId="77777777" w:rsidR="00FB0641" w:rsidRDefault="00FB0641" w:rsidP="00BA7F7F">
      <w:pPr>
        <w:ind w:left="270"/>
        <w:rPr>
          <w:b/>
          <w:sz w:val="24"/>
          <w:u w:val="single"/>
        </w:rPr>
      </w:pPr>
    </w:p>
    <w:p w14:paraId="5B0E399D" w14:textId="77777777" w:rsidR="00FB0641" w:rsidRDefault="00FB0641" w:rsidP="00BA7F7F">
      <w:pPr>
        <w:ind w:left="270"/>
        <w:jc w:val="both"/>
        <w:rPr>
          <w:sz w:val="24"/>
        </w:rPr>
      </w:pPr>
      <w:r>
        <w:rPr>
          <w:b/>
          <w:sz w:val="24"/>
        </w:rPr>
        <w:t>UPC Sec.71.</w:t>
      </w:r>
      <w:r>
        <w:rPr>
          <w:sz w:val="24"/>
        </w:rPr>
        <w:t xml:space="preserve"> </w:t>
      </w:r>
      <w:r w:rsidR="008166B0">
        <w:rPr>
          <w:sz w:val="24"/>
        </w:rPr>
        <w:t xml:space="preserve"> </w:t>
      </w:r>
      <w:r w:rsidRPr="008166B0">
        <w:rPr>
          <w:b/>
          <w:sz w:val="24"/>
        </w:rPr>
        <w:t>Mandatory Close-Out for Short Sales</w:t>
      </w:r>
    </w:p>
    <w:p w14:paraId="4BC535B8" w14:textId="77777777" w:rsidR="00FB0641" w:rsidRDefault="00FB0641" w:rsidP="00BA7F7F">
      <w:pPr>
        <w:ind w:left="270"/>
        <w:jc w:val="both"/>
        <w:rPr>
          <w:sz w:val="24"/>
        </w:rPr>
      </w:pPr>
    </w:p>
    <w:p w14:paraId="67AAAD15" w14:textId="77777777" w:rsidR="00FB0641" w:rsidRDefault="00FB0641" w:rsidP="00BA7F7F">
      <w:pPr>
        <w:ind w:left="270"/>
        <w:jc w:val="both"/>
        <w:rPr>
          <w:sz w:val="24"/>
        </w:rPr>
      </w:pPr>
      <w:r>
        <w:rPr>
          <w:sz w:val="24"/>
        </w:rPr>
        <w:lastRenderedPageBreak/>
        <w:t>In accordance with the provisions of UPC Sec. 71, a contract involving a short sale in NASDAQ securities, which have clearing short positions of 10,000 shares or more and that are equal to at least one-half (1/2) of one percent of the issue’s total shares outstanding, for the account of a customer or for a member’s own account, which has not resulted in delivery by the broker-dealer representing the seller within 10 business days after the normal settlement date, shall be closed out by the Company to the extent the Company is the broker-dealer representing the seller by purchasing for cash or guaranteed delivery securities of like kind and quantity.</w:t>
      </w:r>
    </w:p>
    <w:p w14:paraId="19BEE549" w14:textId="77777777" w:rsidR="00FB0641" w:rsidRDefault="00FB0641" w:rsidP="00BA7F7F">
      <w:pPr>
        <w:ind w:left="270"/>
        <w:jc w:val="both"/>
        <w:rPr>
          <w:sz w:val="24"/>
        </w:rPr>
      </w:pPr>
    </w:p>
    <w:p w14:paraId="4B6ECF27" w14:textId="77777777" w:rsidR="00FB0641" w:rsidRPr="0035367E" w:rsidRDefault="00FB0641" w:rsidP="005606A7">
      <w:pPr>
        <w:ind w:left="274"/>
        <w:rPr>
          <w:sz w:val="24"/>
        </w:rPr>
      </w:pPr>
      <w:r>
        <w:rPr>
          <w:sz w:val="24"/>
        </w:rPr>
        <w:t xml:space="preserve">Section 71 of the UPC requires the short seller’s broker/dealer to close out a short sale of specific securities 10 days after the normal settlement date if delivery of securities has not occurred and the transaction is not exempt. Securities subject to the close-out requirement are those with an aggregate “clearing” short position of 10,000 shares or more that equals or exceeds one half of one percent of the total shares outstanding. The </w:t>
      </w:r>
      <w:r w:rsidRPr="0035367E">
        <w:rPr>
          <w:sz w:val="24"/>
        </w:rPr>
        <w:t xml:space="preserve">FINRA identifies these securities daily based on data from the National Securities </w:t>
      </w:r>
      <w:r w:rsidR="005606A7">
        <w:rPr>
          <w:sz w:val="24"/>
        </w:rPr>
        <w:t xml:space="preserve">Clearing Corporation (NSCC) and </w:t>
      </w:r>
      <w:r w:rsidRPr="0035367E">
        <w:rPr>
          <w:sz w:val="24"/>
        </w:rPr>
        <w:t>compiles a “restricted list.”</w:t>
      </w:r>
      <w:r w:rsidR="005606A7">
        <w:rPr>
          <w:position w:val="127"/>
          <w:sz w:val="24"/>
          <w:vertAlign w:val="superscript"/>
        </w:rPr>
        <w:t xml:space="preserve"> </w:t>
      </w:r>
      <w:r w:rsidR="005606A7">
        <w:rPr>
          <w:sz w:val="24"/>
        </w:rPr>
        <w:t xml:space="preserve"> </w:t>
      </w:r>
      <w:r w:rsidRPr="0035367E">
        <w:rPr>
          <w:sz w:val="24"/>
        </w:rPr>
        <w:t xml:space="preserve"> Any subsequent short-sale transaction in a security on the list that is not completed by delivery of shares within the prescribed time frames will be subject to mandatory close-out if a “fail-to-deliver” situation exists 10 days after normal settlement date.</w:t>
      </w:r>
    </w:p>
    <w:p w14:paraId="750DD665" w14:textId="77777777" w:rsidR="00FB0641" w:rsidRPr="0035367E" w:rsidRDefault="00FB0641" w:rsidP="005606A7">
      <w:pPr>
        <w:ind w:left="274"/>
        <w:rPr>
          <w:sz w:val="24"/>
        </w:rPr>
      </w:pPr>
    </w:p>
    <w:p w14:paraId="2EE6C89E" w14:textId="77777777" w:rsidR="00FB0641" w:rsidRPr="0035367E" w:rsidRDefault="00FB0641" w:rsidP="005606A7">
      <w:pPr>
        <w:ind w:left="274"/>
        <w:rPr>
          <w:sz w:val="24"/>
        </w:rPr>
      </w:pPr>
      <w:r w:rsidRPr="0035367E">
        <w:rPr>
          <w:sz w:val="24"/>
        </w:rPr>
        <w:t xml:space="preserve">The rule applies to customer and proprietary short sales, but exempts “bona fide” market-making activities and short sales that result in a “bona fide” fully hedged or arbitraged position. For example, the close-out rule applies if a broker/dealer sells a restricted security short from its proprietary account to another broker/dealer and fails to deliver the security within 10 days of normal settlement date. The rule also applies if the </w:t>
      </w:r>
      <w:r w:rsidR="00B97EBA">
        <w:rPr>
          <w:sz w:val="24"/>
        </w:rPr>
        <w:t>Company</w:t>
      </w:r>
      <w:r w:rsidRPr="0035367E">
        <w:rPr>
          <w:sz w:val="24"/>
        </w:rPr>
        <w:t xml:space="preserve"> makes the same transaction for a customer. However, if the short sale is part of a bona fide market-making transaction or if the sale of a restricted security results in a fully hedged or fully arbitraged position, it is exempt from the mandatory close-out requirement. Since the Company will not act as a market maker in any transaction, the exemption available for market making transactions will not be applicable or available to the Company for short sale transactions.</w:t>
      </w:r>
    </w:p>
    <w:p w14:paraId="66AB2CD6" w14:textId="77777777" w:rsidR="00FB0641" w:rsidRPr="0035367E" w:rsidRDefault="00FB0641" w:rsidP="00BA7F7F">
      <w:pPr>
        <w:ind w:left="270"/>
        <w:jc w:val="both"/>
        <w:rPr>
          <w:sz w:val="24"/>
        </w:rPr>
      </w:pPr>
    </w:p>
    <w:p w14:paraId="4FE40CF8" w14:textId="453F8F13" w:rsidR="00FB0641" w:rsidRDefault="00FB0641" w:rsidP="00BA7F7F">
      <w:pPr>
        <w:ind w:left="270"/>
        <w:jc w:val="both"/>
        <w:rPr>
          <w:sz w:val="24"/>
        </w:rPr>
      </w:pPr>
      <w:r w:rsidRPr="0035367E">
        <w:rPr>
          <w:sz w:val="24"/>
        </w:rPr>
        <w:t>NASDAQ Level 2 and Level 3 Workstations show a short-sale restriction indicator (“UPC 71” appears below the name of the company) on their bid/ask screens and a list of restricted securities are available online. Further, the FINRA makes each day’s list available on request via FAX or mail to any person calling the FINRA Market Operations Department at (203) 375–9609.</w:t>
      </w:r>
    </w:p>
    <w:p w14:paraId="7AD27044" w14:textId="77777777" w:rsidR="00BA7F7F" w:rsidRDefault="00BA7F7F" w:rsidP="00BA7F7F">
      <w:pPr>
        <w:ind w:left="270"/>
        <w:jc w:val="both"/>
        <w:rPr>
          <w:sz w:val="24"/>
        </w:rPr>
      </w:pPr>
    </w:p>
    <w:p w14:paraId="7629C94D" w14:textId="77777777" w:rsidR="00BA7F7F" w:rsidRPr="00A634B6" w:rsidRDefault="00D569B4" w:rsidP="001A7509">
      <w:pPr>
        <w:pStyle w:val="Heading3"/>
      </w:pPr>
      <w:r>
        <w:t>8.2</w:t>
      </w:r>
      <w:r w:rsidR="00A8339B">
        <w:t>1</w:t>
      </w:r>
      <w:r>
        <w:t xml:space="preserve">.3 </w:t>
      </w:r>
      <w:r w:rsidR="00BA7F7F" w:rsidRPr="00A634B6">
        <w:t>FINRA Rule 4560.  Short Interest Reporting</w:t>
      </w:r>
    </w:p>
    <w:p w14:paraId="3C1C7EB1" w14:textId="77777777" w:rsidR="00FB0641" w:rsidRDefault="00BA7F7F" w:rsidP="00EA2D2E">
      <w:pPr>
        <w:ind w:left="274"/>
        <w:jc w:val="both"/>
        <w:rPr>
          <w:sz w:val="24"/>
        </w:rPr>
      </w:pPr>
      <w:r>
        <w:rPr>
          <w:sz w:val="24"/>
          <w:szCs w:val="24"/>
        </w:rPr>
        <w:t>Pursuant to Rule 4560, Company</w:t>
      </w:r>
      <w:r w:rsidR="00EA2D2E">
        <w:rPr>
          <w:sz w:val="24"/>
          <w:szCs w:val="24"/>
        </w:rPr>
        <w:t xml:space="preserve">, through its </w:t>
      </w:r>
      <w:r w:rsidR="00EA2D2E" w:rsidRPr="00EA2D2E">
        <w:rPr>
          <w:sz w:val="24"/>
          <w:szCs w:val="24"/>
        </w:rPr>
        <w:t xml:space="preserve">clearing firm, </w:t>
      </w:r>
      <w:r w:rsidR="000E3C2F" w:rsidRPr="00DC3A89">
        <w:rPr>
          <w:sz w:val="24"/>
          <w:szCs w:val="24"/>
        </w:rPr>
        <w:t>Hilltop</w:t>
      </w:r>
      <w:r w:rsidR="00EA2D2E" w:rsidRPr="00DC3A89">
        <w:rPr>
          <w:sz w:val="24"/>
          <w:szCs w:val="24"/>
        </w:rPr>
        <w:t xml:space="preserve"> Securities (</w:t>
      </w:r>
      <w:r w:rsidR="000E3C2F" w:rsidRPr="00DC3A89">
        <w:rPr>
          <w:sz w:val="24"/>
          <w:szCs w:val="24"/>
        </w:rPr>
        <w:t>HT</w:t>
      </w:r>
      <w:r w:rsidR="00EA2D2E" w:rsidRPr="00DC3A89">
        <w:rPr>
          <w:sz w:val="24"/>
          <w:szCs w:val="24"/>
        </w:rPr>
        <w:t xml:space="preserve">S), will maintain a record of total short positions in all customer and proprietary firm accounts in OTC Equity Securities and securities listed on a national securities exchange and </w:t>
      </w:r>
      <w:r w:rsidR="000E3C2F" w:rsidRPr="00DC3A89">
        <w:rPr>
          <w:sz w:val="24"/>
          <w:szCs w:val="24"/>
        </w:rPr>
        <w:t>HT</w:t>
      </w:r>
      <w:r w:rsidR="00EA2D2E" w:rsidRPr="00DC3A89">
        <w:rPr>
          <w:sz w:val="24"/>
          <w:szCs w:val="24"/>
        </w:rPr>
        <w:t xml:space="preserve">S </w:t>
      </w:r>
      <w:r w:rsidR="00EA2D2E" w:rsidRPr="00EA2D2E">
        <w:rPr>
          <w:color w:val="000000"/>
          <w:sz w:val="24"/>
          <w:szCs w:val="24"/>
        </w:rPr>
        <w:t xml:space="preserve">shall regularly report such information to FINRA in such a manner as may be prescribed by FINRA. Reports shall be made as of the close of the settlement date designated by FINRA. </w:t>
      </w:r>
    </w:p>
    <w:p w14:paraId="2C351F8C" w14:textId="77777777" w:rsidR="0023442A" w:rsidRDefault="0023442A" w:rsidP="004B4F79">
      <w:pPr>
        <w:tabs>
          <w:tab w:val="left" w:pos="720"/>
        </w:tabs>
        <w:spacing w:line="240" w:lineRule="exact"/>
        <w:ind w:right="-864"/>
        <w:rPr>
          <w:b/>
          <w:sz w:val="24"/>
        </w:rPr>
      </w:pPr>
    </w:p>
    <w:p w14:paraId="0D081022" w14:textId="140D4E71" w:rsidR="00D569B4" w:rsidRPr="00320DE6" w:rsidRDefault="00D569B4" w:rsidP="00C715C9">
      <w:pPr>
        <w:pStyle w:val="Heading3"/>
        <w:rPr>
          <w:i/>
          <w:sz w:val="20"/>
        </w:rPr>
      </w:pPr>
      <w:r w:rsidRPr="00320DE6">
        <w:t>8.2</w:t>
      </w:r>
      <w:r w:rsidR="00C715C9">
        <w:t>1.4</w:t>
      </w:r>
      <w:r w:rsidRPr="00320DE6">
        <w:t xml:space="preserve"> FINRA Rule 2114-OTC </w:t>
      </w:r>
      <w:r w:rsidR="00A9531E">
        <w:t xml:space="preserve">Equity </w:t>
      </w:r>
      <w:r w:rsidRPr="00320DE6">
        <w:t xml:space="preserve">Securities </w:t>
      </w:r>
    </w:p>
    <w:p w14:paraId="095FACC4" w14:textId="3A673931" w:rsidR="000549C7" w:rsidRPr="00AF2AA2" w:rsidRDefault="000549C7" w:rsidP="00C715C9">
      <w:pPr>
        <w:ind w:left="270"/>
        <w:jc w:val="both"/>
        <w:rPr>
          <w:sz w:val="24"/>
          <w:szCs w:val="24"/>
        </w:rPr>
      </w:pPr>
      <w:r w:rsidRPr="00AF2AA2">
        <w:rPr>
          <w:sz w:val="24"/>
          <w:szCs w:val="24"/>
        </w:rPr>
        <w:t xml:space="preserve">In addition to regulatory suitability requirements, if any Associated Person recommends </w:t>
      </w:r>
      <w:r w:rsidR="00B568E9" w:rsidRPr="00AF2AA2">
        <w:rPr>
          <w:sz w:val="24"/>
          <w:szCs w:val="24"/>
        </w:rPr>
        <w:t xml:space="preserve">the purchase or short sale of </w:t>
      </w:r>
      <w:r w:rsidRPr="00AF2AA2">
        <w:rPr>
          <w:sz w:val="24"/>
          <w:szCs w:val="24"/>
        </w:rPr>
        <w:t xml:space="preserve">an OTC security not listed on an exchange or any other </w:t>
      </w:r>
      <w:r w:rsidR="00DD60CB" w:rsidRPr="00AF2AA2">
        <w:rPr>
          <w:sz w:val="24"/>
          <w:szCs w:val="24"/>
        </w:rPr>
        <w:t>high-risk</w:t>
      </w:r>
      <w:r w:rsidRPr="00AF2AA2">
        <w:rPr>
          <w:sz w:val="24"/>
          <w:szCs w:val="24"/>
        </w:rPr>
        <w:t xml:space="preserve"> security, Company will adhere to the following:</w:t>
      </w:r>
    </w:p>
    <w:p w14:paraId="36738876" w14:textId="77777777" w:rsidR="006D6EA0" w:rsidRPr="00AF2AA2" w:rsidRDefault="006D6EA0" w:rsidP="00B568E9">
      <w:pPr>
        <w:shd w:val="clear" w:color="auto" w:fill="FFFFFF"/>
        <w:ind w:left="270"/>
        <w:jc w:val="both"/>
        <w:rPr>
          <w:sz w:val="24"/>
          <w:szCs w:val="24"/>
        </w:rPr>
      </w:pPr>
      <w:r w:rsidRPr="00AF2AA2">
        <w:rPr>
          <w:sz w:val="24"/>
          <w:szCs w:val="24"/>
        </w:rPr>
        <w:lastRenderedPageBreak/>
        <w:t xml:space="preserve"> </w:t>
      </w:r>
    </w:p>
    <w:p w14:paraId="0946E59F" w14:textId="77777777" w:rsidR="00453EF3" w:rsidRPr="00AF2AA2" w:rsidRDefault="00453EF3" w:rsidP="001A587F">
      <w:pPr>
        <w:pStyle w:val="Heading4"/>
      </w:pPr>
      <w:r w:rsidRPr="00AF2AA2">
        <w:t>8.2</w:t>
      </w:r>
      <w:r w:rsidR="00C715C9">
        <w:t>1</w:t>
      </w:r>
      <w:r w:rsidRPr="00AF2AA2">
        <w:t>.</w:t>
      </w:r>
      <w:r w:rsidR="00C715C9">
        <w:t>4.1</w:t>
      </w:r>
      <w:r w:rsidRPr="00AF2AA2">
        <w:t xml:space="preserve"> Definitions</w:t>
      </w:r>
    </w:p>
    <w:p w14:paraId="7FE3B490" w14:textId="77777777" w:rsidR="006D6EA0" w:rsidRPr="00AF2AA2" w:rsidRDefault="006D6EA0" w:rsidP="00B568E9">
      <w:pPr>
        <w:shd w:val="clear" w:color="auto" w:fill="FFFFFF"/>
        <w:ind w:left="270"/>
        <w:jc w:val="both"/>
        <w:rPr>
          <w:sz w:val="24"/>
          <w:szCs w:val="24"/>
        </w:rPr>
      </w:pPr>
    </w:p>
    <w:p w14:paraId="5D92F42B" w14:textId="77777777" w:rsidR="006D6EA0" w:rsidRPr="00AF2AA2" w:rsidRDefault="006D6EA0" w:rsidP="00C715C9">
      <w:pPr>
        <w:shd w:val="clear" w:color="auto" w:fill="FFFFFF"/>
        <w:ind w:left="360"/>
        <w:jc w:val="both"/>
        <w:rPr>
          <w:sz w:val="24"/>
          <w:szCs w:val="24"/>
        </w:rPr>
      </w:pPr>
      <w:r w:rsidRPr="00AF2AA2">
        <w:rPr>
          <w:sz w:val="24"/>
          <w:szCs w:val="24"/>
        </w:rPr>
        <w:t xml:space="preserve">(1)  For purposes of this Rule, the term "current financial statements" shall include: </w:t>
      </w:r>
    </w:p>
    <w:p w14:paraId="69ADF933" w14:textId="77777777" w:rsidR="006D6EA0" w:rsidRPr="00AF2AA2" w:rsidRDefault="006D6EA0" w:rsidP="00B568E9">
      <w:pPr>
        <w:shd w:val="clear" w:color="auto" w:fill="FFFFFF"/>
        <w:ind w:left="270"/>
        <w:jc w:val="both"/>
        <w:rPr>
          <w:sz w:val="24"/>
          <w:szCs w:val="24"/>
        </w:rPr>
      </w:pPr>
      <w:r w:rsidRPr="00AF2AA2">
        <w:rPr>
          <w:sz w:val="24"/>
          <w:szCs w:val="24"/>
        </w:rPr>
        <w:t xml:space="preserve">      </w:t>
      </w:r>
    </w:p>
    <w:p w14:paraId="523E02BA" w14:textId="77777777" w:rsidR="006D6EA0" w:rsidRPr="00AF2AA2" w:rsidRDefault="006D6EA0" w:rsidP="00B568E9">
      <w:pPr>
        <w:shd w:val="clear" w:color="auto" w:fill="FFFFFF"/>
        <w:ind w:left="270"/>
        <w:jc w:val="both"/>
        <w:rPr>
          <w:sz w:val="24"/>
          <w:szCs w:val="24"/>
        </w:rPr>
      </w:pPr>
      <w:r w:rsidRPr="00AF2AA2">
        <w:rPr>
          <w:sz w:val="24"/>
          <w:szCs w:val="24"/>
        </w:rPr>
        <w:t xml:space="preserve">      (A) For issuers that are not foreign private issuers, </w:t>
      </w:r>
    </w:p>
    <w:p w14:paraId="2FFB744F" w14:textId="77777777" w:rsidR="006D6EA0" w:rsidRPr="00AF2AA2" w:rsidRDefault="006D6EA0" w:rsidP="00B568E9">
      <w:pPr>
        <w:shd w:val="clear" w:color="auto" w:fill="FFFFFF"/>
        <w:ind w:left="990"/>
        <w:jc w:val="both"/>
        <w:rPr>
          <w:sz w:val="24"/>
          <w:szCs w:val="24"/>
        </w:rPr>
      </w:pPr>
      <w:r w:rsidRPr="00AF2AA2">
        <w:rPr>
          <w:sz w:val="24"/>
          <w:szCs w:val="24"/>
        </w:rPr>
        <w:t>(</w:t>
      </w:r>
      <w:proofErr w:type="spellStart"/>
      <w:r w:rsidRPr="00AF2AA2">
        <w:rPr>
          <w:sz w:val="24"/>
          <w:szCs w:val="24"/>
        </w:rPr>
        <w:t>i</w:t>
      </w:r>
      <w:proofErr w:type="spellEnd"/>
      <w:r w:rsidRPr="00AF2AA2">
        <w:rPr>
          <w:sz w:val="24"/>
          <w:szCs w:val="24"/>
        </w:rPr>
        <w:t xml:space="preserve">) </w:t>
      </w:r>
      <w:r w:rsidR="00E14A91">
        <w:rPr>
          <w:sz w:val="24"/>
          <w:szCs w:val="24"/>
        </w:rPr>
        <w:t>A</w:t>
      </w:r>
      <w:r w:rsidRPr="00AF2AA2">
        <w:rPr>
          <w:sz w:val="24"/>
          <w:szCs w:val="24"/>
        </w:rPr>
        <w:t xml:space="preserve"> balance sheet as of a date less than 15 months before the date of the recommendation; </w:t>
      </w:r>
    </w:p>
    <w:p w14:paraId="5CA9D343" w14:textId="77777777" w:rsidR="006D6EA0" w:rsidRPr="00AF2AA2" w:rsidRDefault="006D6EA0" w:rsidP="00B568E9">
      <w:pPr>
        <w:shd w:val="clear" w:color="auto" w:fill="FFFFFF"/>
        <w:ind w:left="990"/>
        <w:jc w:val="both"/>
        <w:rPr>
          <w:sz w:val="24"/>
          <w:szCs w:val="24"/>
        </w:rPr>
      </w:pPr>
      <w:r w:rsidRPr="00AF2AA2">
        <w:rPr>
          <w:sz w:val="24"/>
          <w:szCs w:val="24"/>
        </w:rPr>
        <w:t xml:space="preserve">(ii) </w:t>
      </w:r>
      <w:r w:rsidR="00E14A91">
        <w:rPr>
          <w:sz w:val="24"/>
          <w:szCs w:val="24"/>
        </w:rPr>
        <w:t>A</w:t>
      </w:r>
      <w:r w:rsidRPr="00AF2AA2">
        <w:rPr>
          <w:sz w:val="24"/>
          <w:szCs w:val="24"/>
        </w:rPr>
        <w:t xml:space="preserve"> statement of profit and loss for the 12 months preceding the date of the balance sheet; </w:t>
      </w:r>
    </w:p>
    <w:p w14:paraId="7A1AA600" w14:textId="77777777" w:rsidR="006D6EA0" w:rsidRPr="00AF2AA2" w:rsidRDefault="00E14A91" w:rsidP="00B568E9">
      <w:pPr>
        <w:shd w:val="clear" w:color="auto" w:fill="FFFFFF"/>
        <w:ind w:left="990"/>
        <w:jc w:val="both"/>
        <w:rPr>
          <w:sz w:val="24"/>
          <w:szCs w:val="24"/>
        </w:rPr>
      </w:pPr>
      <w:r>
        <w:rPr>
          <w:sz w:val="24"/>
          <w:szCs w:val="24"/>
        </w:rPr>
        <w:t>(iii) I</w:t>
      </w:r>
      <w:r w:rsidR="006D6EA0" w:rsidRPr="00AF2AA2">
        <w:rPr>
          <w:sz w:val="24"/>
          <w:szCs w:val="24"/>
        </w:rPr>
        <w:t xml:space="preserve">f the balance sheet is not as of a date less than 6 months before the date of the recommendation, additional statements of profit and loss for the period from the date of the balance sheet to a date less than 6 months before the date of the recommendation; </w:t>
      </w:r>
    </w:p>
    <w:p w14:paraId="6B5F4715" w14:textId="77777777" w:rsidR="006D6EA0" w:rsidRPr="00AF2AA2" w:rsidRDefault="00E14A91" w:rsidP="00B568E9">
      <w:pPr>
        <w:shd w:val="clear" w:color="auto" w:fill="FFFFFF"/>
        <w:ind w:left="990"/>
        <w:jc w:val="both"/>
        <w:rPr>
          <w:sz w:val="24"/>
          <w:szCs w:val="24"/>
        </w:rPr>
      </w:pPr>
      <w:r>
        <w:rPr>
          <w:sz w:val="24"/>
          <w:szCs w:val="24"/>
        </w:rPr>
        <w:t>(iv) P</w:t>
      </w:r>
      <w:r w:rsidR="006D6EA0" w:rsidRPr="00AF2AA2">
        <w:rPr>
          <w:sz w:val="24"/>
          <w:szCs w:val="24"/>
        </w:rPr>
        <w:t xml:space="preserve">ublicly available financial statements and other financial reports filed during the 12 months preceding the date of the recommendation and up to the date of the recommendation with the issuer's principal financial or securities regulatory authority in its home jurisdiction, including the </w:t>
      </w:r>
      <w:r w:rsidR="006D6EA0" w:rsidRPr="00AF2AA2">
        <w:rPr>
          <w:rStyle w:val="us"/>
          <w:sz w:val="24"/>
          <w:szCs w:val="24"/>
        </w:rPr>
        <w:t>SEC</w:t>
      </w:r>
      <w:r w:rsidR="006D6EA0" w:rsidRPr="00AF2AA2">
        <w:rPr>
          <w:sz w:val="24"/>
          <w:szCs w:val="24"/>
        </w:rPr>
        <w:t xml:space="preserve">, foreign regulatory authorities, </w:t>
      </w:r>
      <w:r w:rsidR="006D6EA0" w:rsidRPr="00AF2AA2">
        <w:rPr>
          <w:rStyle w:val="us"/>
          <w:sz w:val="24"/>
          <w:szCs w:val="24"/>
        </w:rPr>
        <w:t>and</w:t>
      </w:r>
      <w:r w:rsidR="006D6EA0" w:rsidRPr="00AF2AA2">
        <w:rPr>
          <w:sz w:val="24"/>
          <w:szCs w:val="24"/>
        </w:rPr>
        <w:t xml:space="preserve"> bank and insurance regulators; and </w:t>
      </w:r>
    </w:p>
    <w:p w14:paraId="4136DED9" w14:textId="77777777" w:rsidR="006D6EA0" w:rsidRPr="00AF2AA2" w:rsidRDefault="00E14A91" w:rsidP="00B568E9">
      <w:pPr>
        <w:shd w:val="clear" w:color="auto" w:fill="FFFFFF"/>
        <w:ind w:left="990"/>
        <w:jc w:val="both"/>
        <w:rPr>
          <w:sz w:val="24"/>
          <w:szCs w:val="24"/>
        </w:rPr>
      </w:pPr>
      <w:r>
        <w:rPr>
          <w:sz w:val="24"/>
          <w:szCs w:val="24"/>
        </w:rPr>
        <w:t>(v) A</w:t>
      </w:r>
      <w:r w:rsidR="006D6EA0" w:rsidRPr="00AF2AA2">
        <w:rPr>
          <w:sz w:val="24"/>
          <w:szCs w:val="24"/>
        </w:rPr>
        <w:t xml:space="preserve">ll publicly available financial information filed with the </w:t>
      </w:r>
      <w:r w:rsidR="006D6EA0" w:rsidRPr="00AF2AA2">
        <w:rPr>
          <w:rStyle w:val="us"/>
          <w:sz w:val="24"/>
          <w:szCs w:val="24"/>
        </w:rPr>
        <w:t>SEC</w:t>
      </w:r>
      <w:r w:rsidR="006D6EA0" w:rsidRPr="00AF2AA2">
        <w:rPr>
          <w:sz w:val="24"/>
          <w:szCs w:val="24"/>
        </w:rPr>
        <w:t xml:space="preserve"> during the 12 months preceding the date of the recommendation contained in registration statements or </w:t>
      </w:r>
      <w:r w:rsidR="006D6EA0" w:rsidRPr="00AF2AA2">
        <w:rPr>
          <w:rStyle w:val="us"/>
          <w:sz w:val="24"/>
          <w:szCs w:val="24"/>
        </w:rPr>
        <w:t>SEC</w:t>
      </w:r>
      <w:r w:rsidR="006D6EA0" w:rsidRPr="00AF2AA2">
        <w:rPr>
          <w:sz w:val="24"/>
          <w:szCs w:val="24"/>
        </w:rPr>
        <w:t xml:space="preserve"> Regulation A filings. </w:t>
      </w:r>
    </w:p>
    <w:p w14:paraId="71100C29" w14:textId="77777777" w:rsidR="00F13549" w:rsidRPr="00AF2AA2" w:rsidRDefault="00F13549" w:rsidP="00B568E9">
      <w:pPr>
        <w:shd w:val="clear" w:color="auto" w:fill="FFFFFF"/>
        <w:ind w:left="990"/>
        <w:jc w:val="both"/>
        <w:rPr>
          <w:sz w:val="24"/>
          <w:szCs w:val="24"/>
        </w:rPr>
      </w:pPr>
    </w:p>
    <w:p w14:paraId="0FAF7F3A" w14:textId="77777777" w:rsidR="006D6EA0" w:rsidRPr="00AF2AA2" w:rsidRDefault="006D6EA0" w:rsidP="00B568E9">
      <w:pPr>
        <w:shd w:val="clear" w:color="auto" w:fill="FFFFFF"/>
        <w:ind w:left="270" w:firstLine="360"/>
        <w:jc w:val="both"/>
        <w:rPr>
          <w:sz w:val="24"/>
          <w:szCs w:val="24"/>
        </w:rPr>
      </w:pPr>
      <w:r w:rsidRPr="00AF2AA2">
        <w:rPr>
          <w:sz w:val="24"/>
          <w:szCs w:val="24"/>
        </w:rPr>
        <w:t xml:space="preserve">(B) For foreign private issuers, </w:t>
      </w:r>
    </w:p>
    <w:p w14:paraId="5AB09123" w14:textId="77777777" w:rsidR="006D6EA0" w:rsidRPr="00AF2AA2" w:rsidRDefault="006D6EA0" w:rsidP="00B568E9">
      <w:pPr>
        <w:shd w:val="clear" w:color="auto" w:fill="FFFFFF"/>
        <w:ind w:left="990"/>
        <w:jc w:val="both"/>
        <w:rPr>
          <w:sz w:val="24"/>
          <w:szCs w:val="24"/>
        </w:rPr>
      </w:pPr>
      <w:r w:rsidRPr="00AF2AA2">
        <w:rPr>
          <w:sz w:val="24"/>
          <w:szCs w:val="24"/>
        </w:rPr>
        <w:t>(</w:t>
      </w:r>
      <w:proofErr w:type="spellStart"/>
      <w:r w:rsidRPr="00AF2AA2">
        <w:rPr>
          <w:sz w:val="24"/>
          <w:szCs w:val="24"/>
        </w:rPr>
        <w:t>i</w:t>
      </w:r>
      <w:proofErr w:type="spellEnd"/>
      <w:r w:rsidRPr="00AF2AA2">
        <w:rPr>
          <w:sz w:val="24"/>
          <w:szCs w:val="24"/>
        </w:rPr>
        <w:t xml:space="preserve">) </w:t>
      </w:r>
      <w:r w:rsidR="00E14A91">
        <w:rPr>
          <w:sz w:val="24"/>
          <w:szCs w:val="24"/>
        </w:rPr>
        <w:t>A</w:t>
      </w:r>
      <w:r w:rsidRPr="00AF2AA2">
        <w:rPr>
          <w:sz w:val="24"/>
          <w:szCs w:val="24"/>
        </w:rPr>
        <w:t xml:space="preserve"> balance sheet as of a date less than 18 months before the date of the recommendation; </w:t>
      </w:r>
    </w:p>
    <w:p w14:paraId="42BCC6FA" w14:textId="77777777" w:rsidR="006D6EA0" w:rsidRPr="00AF2AA2" w:rsidRDefault="006D6EA0" w:rsidP="00B568E9">
      <w:pPr>
        <w:shd w:val="clear" w:color="auto" w:fill="FFFFFF"/>
        <w:ind w:left="990"/>
        <w:jc w:val="both"/>
        <w:rPr>
          <w:sz w:val="24"/>
          <w:szCs w:val="24"/>
        </w:rPr>
      </w:pPr>
      <w:r w:rsidRPr="00AF2AA2">
        <w:rPr>
          <w:sz w:val="24"/>
          <w:szCs w:val="24"/>
        </w:rPr>
        <w:t xml:space="preserve">(ii) </w:t>
      </w:r>
      <w:r w:rsidR="00E14A91">
        <w:rPr>
          <w:sz w:val="24"/>
          <w:szCs w:val="24"/>
        </w:rPr>
        <w:t>A</w:t>
      </w:r>
      <w:r w:rsidRPr="00AF2AA2">
        <w:rPr>
          <w:sz w:val="24"/>
          <w:szCs w:val="24"/>
        </w:rPr>
        <w:t xml:space="preserve"> statement of profit and loss for the 12 months preceding the date of the balance sheet; </w:t>
      </w:r>
    </w:p>
    <w:p w14:paraId="5F2A47CD" w14:textId="77777777" w:rsidR="006D6EA0" w:rsidRPr="00AF2AA2" w:rsidRDefault="00E14A91" w:rsidP="00B568E9">
      <w:pPr>
        <w:shd w:val="clear" w:color="auto" w:fill="FFFFFF"/>
        <w:ind w:left="990"/>
        <w:jc w:val="both"/>
        <w:rPr>
          <w:sz w:val="24"/>
          <w:szCs w:val="24"/>
        </w:rPr>
      </w:pPr>
      <w:r>
        <w:rPr>
          <w:sz w:val="24"/>
          <w:szCs w:val="24"/>
        </w:rPr>
        <w:t>(iii) I</w:t>
      </w:r>
      <w:r w:rsidR="006D6EA0" w:rsidRPr="00AF2AA2">
        <w:rPr>
          <w:sz w:val="24"/>
          <w:szCs w:val="24"/>
        </w:rPr>
        <w:t>f the balance sheet is not as of a date less than 9 months before the date of the recommendation, additional statements of profit and loss f</w:t>
      </w:r>
      <w:r>
        <w:rPr>
          <w:sz w:val="24"/>
          <w:szCs w:val="24"/>
        </w:rPr>
        <w:t>or the period from the date of T</w:t>
      </w:r>
      <w:r w:rsidR="006D6EA0" w:rsidRPr="00AF2AA2">
        <w:rPr>
          <w:sz w:val="24"/>
          <w:szCs w:val="24"/>
        </w:rPr>
        <w:t xml:space="preserve">he balance sheet to a date less than 9 months before the date of the recommendation, if any such statements have been prepared by the issuer; and </w:t>
      </w:r>
    </w:p>
    <w:p w14:paraId="74115B49" w14:textId="77777777" w:rsidR="006D6EA0" w:rsidRPr="00AF2AA2" w:rsidRDefault="00E14A91" w:rsidP="00B568E9">
      <w:pPr>
        <w:shd w:val="clear" w:color="auto" w:fill="FFFFFF"/>
        <w:ind w:left="990"/>
        <w:jc w:val="both"/>
        <w:rPr>
          <w:sz w:val="24"/>
          <w:szCs w:val="24"/>
        </w:rPr>
      </w:pPr>
      <w:r>
        <w:rPr>
          <w:sz w:val="24"/>
          <w:szCs w:val="24"/>
        </w:rPr>
        <w:t>(iv) P</w:t>
      </w:r>
      <w:r w:rsidR="006D6EA0" w:rsidRPr="00AF2AA2">
        <w:rPr>
          <w:sz w:val="24"/>
          <w:szCs w:val="24"/>
        </w:rPr>
        <w:t xml:space="preserve">ublicly available financial statements and other financial reports filed during the 12 months preceding the date of the recommendation and up to the date of the recommendation with the issuer's principal financial or securities regulatory authority in its home jurisdiction, including the </w:t>
      </w:r>
      <w:r w:rsidR="006D6EA0" w:rsidRPr="00AF2AA2">
        <w:rPr>
          <w:rStyle w:val="us"/>
          <w:sz w:val="24"/>
          <w:szCs w:val="24"/>
        </w:rPr>
        <w:t>SEC</w:t>
      </w:r>
      <w:r w:rsidR="006D6EA0" w:rsidRPr="00AF2AA2">
        <w:rPr>
          <w:sz w:val="24"/>
          <w:szCs w:val="24"/>
        </w:rPr>
        <w:t xml:space="preserve">, foreign regulatory authorities, </w:t>
      </w:r>
      <w:r w:rsidR="006D6EA0" w:rsidRPr="00AF2AA2">
        <w:rPr>
          <w:rStyle w:val="us"/>
          <w:sz w:val="24"/>
          <w:szCs w:val="24"/>
        </w:rPr>
        <w:t>and</w:t>
      </w:r>
      <w:r w:rsidR="006D6EA0" w:rsidRPr="00AF2AA2">
        <w:rPr>
          <w:sz w:val="24"/>
          <w:szCs w:val="24"/>
        </w:rPr>
        <w:t xml:space="preserve"> bank and insurance regulators. </w:t>
      </w:r>
    </w:p>
    <w:p w14:paraId="58E7FB3A" w14:textId="77777777" w:rsidR="00F13549" w:rsidRPr="00AF2AA2" w:rsidRDefault="00F13549" w:rsidP="00B568E9">
      <w:pPr>
        <w:shd w:val="clear" w:color="auto" w:fill="FFFFFF"/>
        <w:ind w:left="990"/>
        <w:jc w:val="both"/>
        <w:rPr>
          <w:sz w:val="24"/>
          <w:szCs w:val="24"/>
        </w:rPr>
      </w:pPr>
    </w:p>
    <w:p w14:paraId="569DB5B6" w14:textId="77777777" w:rsidR="006D6EA0" w:rsidRPr="00AF2AA2" w:rsidRDefault="006D6EA0" w:rsidP="00B568E9">
      <w:pPr>
        <w:shd w:val="clear" w:color="auto" w:fill="FFFFFF"/>
        <w:ind w:left="270"/>
        <w:jc w:val="both"/>
        <w:rPr>
          <w:sz w:val="24"/>
          <w:szCs w:val="24"/>
        </w:rPr>
      </w:pPr>
      <w:r w:rsidRPr="00AF2AA2">
        <w:rPr>
          <w:rStyle w:val="us"/>
          <w:sz w:val="24"/>
          <w:szCs w:val="24"/>
        </w:rPr>
        <w:t>(2) For purposes of this Rule, the term "current material business information" shall include information that is ascertainable through the reasonable exercise of professional diligence and that a reasonable person would take into account in reaching an investment decision.</w:t>
      </w:r>
      <w:r w:rsidRPr="00AF2AA2">
        <w:rPr>
          <w:sz w:val="24"/>
          <w:szCs w:val="24"/>
        </w:rPr>
        <w:t xml:space="preserve"> </w:t>
      </w:r>
    </w:p>
    <w:p w14:paraId="7B50F88E" w14:textId="77777777" w:rsidR="006D6EA0" w:rsidRPr="00AF2AA2" w:rsidRDefault="006D6EA0" w:rsidP="00B568E9">
      <w:pPr>
        <w:shd w:val="clear" w:color="auto" w:fill="FFFFFF"/>
        <w:ind w:left="270"/>
        <w:jc w:val="both"/>
        <w:rPr>
          <w:sz w:val="24"/>
          <w:szCs w:val="24"/>
        </w:rPr>
      </w:pPr>
    </w:p>
    <w:p w14:paraId="6C5C5FF0" w14:textId="77777777" w:rsidR="006D6EA0" w:rsidRPr="00AF2AA2" w:rsidRDefault="006D6EA0" w:rsidP="00B568E9">
      <w:pPr>
        <w:shd w:val="clear" w:color="auto" w:fill="FFFFFF"/>
        <w:ind w:left="270"/>
        <w:jc w:val="both"/>
        <w:rPr>
          <w:sz w:val="24"/>
          <w:szCs w:val="24"/>
        </w:rPr>
      </w:pPr>
      <w:r w:rsidRPr="00AF2AA2">
        <w:rPr>
          <w:rStyle w:val="us"/>
          <w:sz w:val="24"/>
          <w:szCs w:val="24"/>
        </w:rPr>
        <w:t>(3)</w:t>
      </w:r>
      <w:r w:rsidRPr="00AF2AA2">
        <w:rPr>
          <w:sz w:val="24"/>
          <w:szCs w:val="24"/>
        </w:rPr>
        <w:t xml:space="preserve"> For purposes of this Rule, the term </w:t>
      </w:r>
      <w:r w:rsidRPr="00AF2AA2">
        <w:rPr>
          <w:rStyle w:val="us"/>
          <w:sz w:val="24"/>
          <w:szCs w:val="24"/>
        </w:rPr>
        <w:t xml:space="preserve">"OTC Equity Security' shall have the meaning described in </w:t>
      </w:r>
      <w:hyperlink r:id="rId68" w:tgtFrame="_blank" w:history="1">
        <w:r w:rsidRPr="00AF2AA2">
          <w:rPr>
            <w:rStyle w:val="Hyperlink"/>
            <w:color w:val="auto"/>
            <w:sz w:val="24"/>
            <w:szCs w:val="24"/>
          </w:rPr>
          <w:t>Rule 6420</w:t>
        </w:r>
      </w:hyperlink>
      <w:r w:rsidRPr="00AF2AA2">
        <w:rPr>
          <w:rStyle w:val="us"/>
          <w:sz w:val="24"/>
          <w:szCs w:val="24"/>
        </w:rPr>
        <w:t>.</w:t>
      </w:r>
      <w:r w:rsidRPr="00AF2AA2">
        <w:rPr>
          <w:sz w:val="24"/>
          <w:szCs w:val="24"/>
        </w:rPr>
        <w:t xml:space="preserve"> </w:t>
      </w:r>
    </w:p>
    <w:p w14:paraId="2ED959DF" w14:textId="77777777" w:rsidR="006D6EA0" w:rsidRPr="00AF2AA2" w:rsidRDefault="006D6EA0" w:rsidP="00B568E9">
      <w:pPr>
        <w:jc w:val="both"/>
        <w:rPr>
          <w:sz w:val="24"/>
          <w:szCs w:val="24"/>
        </w:rPr>
      </w:pPr>
    </w:p>
    <w:p w14:paraId="63599833" w14:textId="77777777" w:rsidR="00BB5DB1" w:rsidRPr="00AF2AA2" w:rsidRDefault="00BB5DB1" w:rsidP="001A587F">
      <w:pPr>
        <w:pStyle w:val="Heading4"/>
      </w:pPr>
      <w:r w:rsidRPr="00AF2AA2">
        <w:t>8.2</w:t>
      </w:r>
      <w:r w:rsidR="00C715C9">
        <w:t>1.4.2</w:t>
      </w:r>
      <w:r w:rsidRPr="00AF2AA2">
        <w:t xml:space="preserve"> Review</w:t>
      </w:r>
    </w:p>
    <w:p w14:paraId="7F30D4B5" w14:textId="77777777" w:rsidR="000549C7" w:rsidRPr="00AF2AA2" w:rsidRDefault="00B568E9" w:rsidP="00C715C9">
      <w:pPr>
        <w:ind w:left="360"/>
        <w:jc w:val="both"/>
        <w:rPr>
          <w:rStyle w:val="us"/>
          <w:sz w:val="24"/>
          <w:szCs w:val="24"/>
        </w:rPr>
      </w:pPr>
      <w:r w:rsidRPr="00AF2AA2">
        <w:rPr>
          <w:sz w:val="24"/>
          <w:szCs w:val="24"/>
        </w:rPr>
        <w:t xml:space="preserve">Associated Person or </w:t>
      </w:r>
      <w:r w:rsidR="00D06942" w:rsidRPr="00AF2AA2">
        <w:rPr>
          <w:sz w:val="24"/>
          <w:szCs w:val="24"/>
        </w:rPr>
        <w:t xml:space="preserve">designated person with the requisite skills will </w:t>
      </w:r>
      <w:r w:rsidRPr="00AF2AA2">
        <w:rPr>
          <w:sz w:val="24"/>
          <w:szCs w:val="24"/>
        </w:rPr>
        <w:t xml:space="preserve">review the current financial statements of the issuer, current material business information about the issuer, and make a determination that such information, and any other information available, provides a </w:t>
      </w:r>
      <w:r w:rsidRPr="00AF2AA2">
        <w:rPr>
          <w:sz w:val="24"/>
          <w:szCs w:val="24"/>
        </w:rPr>
        <w:lastRenderedPageBreak/>
        <w:t>reasonable basis under the circumstances for making the recommendation.</w:t>
      </w:r>
      <w:r w:rsidR="00D06942" w:rsidRPr="00AF2AA2">
        <w:rPr>
          <w:sz w:val="24"/>
          <w:szCs w:val="24"/>
        </w:rPr>
        <w:t xml:space="preserve">  Said review will be documented with the date of the review, and the name of the person performing the review of the required information. </w:t>
      </w:r>
      <w:r w:rsidR="00D06942" w:rsidRPr="00AF2AA2">
        <w:rPr>
          <w:rStyle w:val="us"/>
          <w:sz w:val="24"/>
          <w:szCs w:val="24"/>
        </w:rPr>
        <w:t>In the event that the person designated to perform the review is not registered as a General Securities Principal or General Securities Sales Supervisor, the member shall also document the name of the General Securities Principal or General Securities Sales Supervisor who supervised the designated person.</w:t>
      </w:r>
    </w:p>
    <w:p w14:paraId="0F5D3172" w14:textId="77777777" w:rsidR="00324177" w:rsidRPr="00AF2AA2" w:rsidRDefault="00324177" w:rsidP="00C715C9">
      <w:pPr>
        <w:ind w:left="360"/>
        <w:jc w:val="both"/>
        <w:rPr>
          <w:sz w:val="24"/>
          <w:szCs w:val="24"/>
        </w:rPr>
      </w:pPr>
    </w:p>
    <w:p w14:paraId="053EA87A" w14:textId="77777777" w:rsidR="00324177" w:rsidRPr="00AF2AA2" w:rsidRDefault="00324177" w:rsidP="00C35E36">
      <w:pPr>
        <w:shd w:val="clear" w:color="auto" w:fill="FFFFFF"/>
        <w:ind w:left="360"/>
        <w:rPr>
          <w:sz w:val="24"/>
          <w:szCs w:val="24"/>
        </w:rPr>
      </w:pPr>
      <w:r w:rsidRPr="00AF2AA2">
        <w:rPr>
          <w:sz w:val="24"/>
          <w:szCs w:val="24"/>
        </w:rPr>
        <w:t xml:space="preserve">If an issuer has not made current filings required by the issuer's principal financial or securities regulatory authority in its home jurisdiction, including the </w:t>
      </w:r>
      <w:r w:rsidRPr="00AF2AA2">
        <w:rPr>
          <w:rStyle w:val="us"/>
          <w:sz w:val="24"/>
          <w:szCs w:val="24"/>
        </w:rPr>
        <w:t>SEC</w:t>
      </w:r>
      <w:r w:rsidRPr="00AF2AA2">
        <w:rPr>
          <w:sz w:val="24"/>
          <w:szCs w:val="24"/>
        </w:rPr>
        <w:t xml:space="preserve">, foreign regulatory authorities, or bank and insurance regulators, such review must include an inquiry into the circumstances concerning the failure to make current filings, and a determination, based on all the facts and circumstances, that the recommendation is appropriate under the circumstances. Such a determination must be made in writing and maintained by the member. </w:t>
      </w:r>
    </w:p>
    <w:p w14:paraId="4FD1FD6D" w14:textId="77777777" w:rsidR="00C35E36" w:rsidRDefault="00C35E36" w:rsidP="00C35E36"/>
    <w:p w14:paraId="45F425C6" w14:textId="77777777" w:rsidR="00BB5DB1" w:rsidRPr="00AF2AA2" w:rsidRDefault="00BB5DB1" w:rsidP="001A587F">
      <w:pPr>
        <w:pStyle w:val="Heading4"/>
      </w:pPr>
      <w:r w:rsidRPr="00AF2AA2">
        <w:t>8.2</w:t>
      </w:r>
      <w:r w:rsidR="00C715C9">
        <w:t>1.4.</w:t>
      </w:r>
      <w:r w:rsidRPr="00AF2AA2">
        <w:t>3 Exemptions</w:t>
      </w:r>
    </w:p>
    <w:p w14:paraId="4259FB57" w14:textId="77777777" w:rsidR="00324177" w:rsidRPr="00AF2AA2" w:rsidRDefault="00324177" w:rsidP="00C35E36">
      <w:pPr>
        <w:shd w:val="clear" w:color="auto" w:fill="FFFFFF"/>
        <w:ind w:left="270" w:firstLine="90"/>
        <w:rPr>
          <w:sz w:val="24"/>
          <w:szCs w:val="24"/>
        </w:rPr>
      </w:pPr>
      <w:r w:rsidRPr="00AF2AA2">
        <w:rPr>
          <w:sz w:val="24"/>
          <w:szCs w:val="24"/>
        </w:rPr>
        <w:t xml:space="preserve">The requirements of this Rule shall not apply to: </w:t>
      </w:r>
    </w:p>
    <w:p w14:paraId="110C0D5A" w14:textId="77777777" w:rsidR="00324177" w:rsidRPr="00AF2AA2" w:rsidRDefault="00324177" w:rsidP="00324177">
      <w:pPr>
        <w:shd w:val="clear" w:color="auto" w:fill="FFFFFF"/>
        <w:spacing w:line="180" w:lineRule="exact"/>
        <w:ind w:left="274"/>
        <w:rPr>
          <w:sz w:val="24"/>
          <w:szCs w:val="24"/>
        </w:rPr>
      </w:pPr>
    </w:p>
    <w:p w14:paraId="1668F9E2" w14:textId="77777777" w:rsidR="00324177" w:rsidRPr="00AF2AA2" w:rsidRDefault="00324177" w:rsidP="00324177">
      <w:pPr>
        <w:shd w:val="clear" w:color="auto" w:fill="FFFFFF"/>
        <w:spacing w:line="270" w:lineRule="atLeast"/>
        <w:ind w:left="630"/>
        <w:jc w:val="both"/>
        <w:rPr>
          <w:sz w:val="24"/>
          <w:szCs w:val="24"/>
        </w:rPr>
      </w:pPr>
      <w:r w:rsidRPr="00AF2AA2">
        <w:rPr>
          <w:sz w:val="24"/>
          <w:szCs w:val="24"/>
        </w:rPr>
        <w:t xml:space="preserve">(A) Transactions that meet the requirements of Rule 504 of </w:t>
      </w:r>
      <w:r w:rsidRPr="00AF2AA2">
        <w:rPr>
          <w:rStyle w:val="us"/>
          <w:sz w:val="24"/>
          <w:szCs w:val="24"/>
        </w:rPr>
        <w:t>SEC</w:t>
      </w:r>
      <w:r w:rsidRPr="00AF2AA2">
        <w:rPr>
          <w:sz w:val="24"/>
          <w:szCs w:val="24"/>
        </w:rPr>
        <w:t xml:space="preserve"> Regulation D and transactions with an issuer not involving any public offering pursuant to Section 4(2) of the Securities Act; </w:t>
      </w:r>
    </w:p>
    <w:p w14:paraId="544711D1" w14:textId="77777777" w:rsidR="00324177" w:rsidRPr="00AF2AA2" w:rsidRDefault="00324177" w:rsidP="00324177">
      <w:pPr>
        <w:shd w:val="clear" w:color="auto" w:fill="FFFFFF"/>
        <w:spacing w:line="270" w:lineRule="atLeast"/>
        <w:ind w:left="630"/>
        <w:jc w:val="both"/>
        <w:rPr>
          <w:sz w:val="24"/>
          <w:szCs w:val="24"/>
        </w:rPr>
      </w:pPr>
      <w:r w:rsidRPr="00AF2AA2">
        <w:rPr>
          <w:sz w:val="24"/>
          <w:szCs w:val="24"/>
        </w:rPr>
        <w:t xml:space="preserve">(B) Transactions with or for an account that qualifies as an "institutional account" under </w:t>
      </w:r>
      <w:r w:rsidRPr="00AF2AA2">
        <w:rPr>
          <w:rStyle w:val="us"/>
          <w:sz w:val="24"/>
          <w:szCs w:val="24"/>
        </w:rPr>
        <w:t>Rule 4512(c)</w:t>
      </w:r>
      <w:r w:rsidRPr="00AF2AA2">
        <w:rPr>
          <w:sz w:val="24"/>
          <w:szCs w:val="24"/>
        </w:rPr>
        <w:t xml:space="preserve"> or with a customer that is a "qualified institutional buyer" under </w:t>
      </w:r>
      <w:r w:rsidRPr="00AF2AA2">
        <w:rPr>
          <w:rStyle w:val="us"/>
          <w:sz w:val="24"/>
          <w:szCs w:val="24"/>
        </w:rPr>
        <w:t>Securities Act</w:t>
      </w:r>
      <w:r w:rsidRPr="00AF2AA2">
        <w:rPr>
          <w:sz w:val="24"/>
          <w:szCs w:val="24"/>
        </w:rPr>
        <w:t xml:space="preserve"> Rule 144A or "qualified purchaser" under Section 2(a)(51) of the Investment Company Act; </w:t>
      </w:r>
    </w:p>
    <w:p w14:paraId="45835A0A" w14:textId="77777777" w:rsidR="00324177" w:rsidRPr="00AF2AA2" w:rsidRDefault="00324177" w:rsidP="00324177">
      <w:pPr>
        <w:shd w:val="clear" w:color="auto" w:fill="FFFFFF"/>
        <w:spacing w:line="270" w:lineRule="atLeast"/>
        <w:ind w:left="630"/>
        <w:jc w:val="both"/>
        <w:rPr>
          <w:sz w:val="24"/>
          <w:szCs w:val="24"/>
        </w:rPr>
      </w:pPr>
      <w:r w:rsidRPr="00AF2AA2">
        <w:rPr>
          <w:sz w:val="24"/>
          <w:szCs w:val="24"/>
        </w:rPr>
        <w:t xml:space="preserve">(C) Transactions in an issuer's securities if the issuer has at least $50 million in total assets and $10 million in shareholder's equity as stated in the issuer's most recent audited current financial statements, as defined in this Rule; </w:t>
      </w:r>
    </w:p>
    <w:p w14:paraId="5B2206AD" w14:textId="77777777" w:rsidR="00324177" w:rsidRPr="00AF2AA2" w:rsidRDefault="00324177" w:rsidP="00324177">
      <w:pPr>
        <w:shd w:val="clear" w:color="auto" w:fill="FFFFFF"/>
        <w:spacing w:line="270" w:lineRule="atLeast"/>
        <w:ind w:left="630"/>
        <w:jc w:val="both"/>
        <w:rPr>
          <w:sz w:val="24"/>
          <w:szCs w:val="24"/>
        </w:rPr>
      </w:pPr>
      <w:r w:rsidRPr="00AF2AA2">
        <w:rPr>
          <w:sz w:val="24"/>
          <w:szCs w:val="24"/>
        </w:rPr>
        <w:t xml:space="preserve">(D) Transactions in securities of a bank as defined in Section 3(a)(6) of the Exchange Act and/or insurance company subject to regulation by a state or federal bank or insurance regulatory authority; </w:t>
      </w:r>
      <w:r w:rsidRPr="00AF2AA2">
        <w:rPr>
          <w:rStyle w:val="us"/>
          <w:sz w:val="24"/>
          <w:szCs w:val="24"/>
        </w:rPr>
        <w:t>or</w:t>
      </w:r>
      <w:r w:rsidRPr="00AF2AA2">
        <w:rPr>
          <w:sz w:val="24"/>
          <w:szCs w:val="24"/>
        </w:rPr>
        <w:t xml:space="preserve"> </w:t>
      </w:r>
    </w:p>
    <w:p w14:paraId="4366FAE8" w14:textId="77777777" w:rsidR="00324177" w:rsidRPr="00AF2AA2" w:rsidRDefault="00324177" w:rsidP="00324177">
      <w:pPr>
        <w:shd w:val="clear" w:color="auto" w:fill="FFFFFF"/>
        <w:spacing w:line="270" w:lineRule="atLeast"/>
        <w:ind w:left="630"/>
        <w:jc w:val="both"/>
        <w:rPr>
          <w:sz w:val="24"/>
          <w:szCs w:val="24"/>
        </w:rPr>
      </w:pPr>
      <w:r w:rsidRPr="00AF2AA2">
        <w:rPr>
          <w:rStyle w:val="us"/>
          <w:sz w:val="24"/>
          <w:szCs w:val="24"/>
        </w:rPr>
        <w:t>(E)</w:t>
      </w:r>
      <w:r w:rsidRPr="00AF2AA2">
        <w:rPr>
          <w:sz w:val="24"/>
          <w:szCs w:val="24"/>
        </w:rPr>
        <w:t xml:space="preserve"> A security that has a bid price, as published in a quotation medium, of at least $50 per share. If the security is a unit composed of one or more securities, the bid price of the unit divided by the number of shares of the unit that are not warrants, options, rights, or similar securities must be at least $50</w:t>
      </w:r>
      <w:r w:rsidRPr="00AF2AA2">
        <w:rPr>
          <w:rStyle w:val="us"/>
          <w:sz w:val="24"/>
          <w:szCs w:val="24"/>
        </w:rPr>
        <w:t>.</w:t>
      </w:r>
      <w:r w:rsidRPr="00AF2AA2">
        <w:rPr>
          <w:sz w:val="24"/>
          <w:szCs w:val="24"/>
        </w:rPr>
        <w:t xml:space="preserve"> </w:t>
      </w:r>
    </w:p>
    <w:p w14:paraId="60B46AE0" w14:textId="77777777" w:rsidR="00324177" w:rsidRPr="00AF2AA2" w:rsidRDefault="00324177" w:rsidP="00324177">
      <w:pPr>
        <w:shd w:val="clear" w:color="auto" w:fill="FFFFFF"/>
        <w:spacing w:line="270" w:lineRule="atLeast"/>
        <w:ind w:left="270"/>
        <w:rPr>
          <w:sz w:val="24"/>
          <w:szCs w:val="24"/>
        </w:rPr>
      </w:pPr>
    </w:p>
    <w:p w14:paraId="0474EFFE" w14:textId="38E4BCB1" w:rsidR="00324177" w:rsidRPr="00AF2AA2" w:rsidRDefault="00324177" w:rsidP="00324177">
      <w:pPr>
        <w:shd w:val="clear" w:color="auto" w:fill="FFFFFF"/>
        <w:spacing w:line="270" w:lineRule="atLeast"/>
        <w:ind w:left="270"/>
        <w:jc w:val="both"/>
        <w:rPr>
          <w:sz w:val="24"/>
          <w:szCs w:val="24"/>
        </w:rPr>
      </w:pPr>
      <w:r w:rsidRPr="00AF2AA2">
        <w:rPr>
          <w:sz w:val="24"/>
          <w:szCs w:val="24"/>
        </w:rPr>
        <w:t xml:space="preserve">Pursuant to the </w:t>
      </w:r>
      <w:r w:rsidRPr="00AF2AA2">
        <w:rPr>
          <w:rStyle w:val="us"/>
          <w:sz w:val="24"/>
          <w:szCs w:val="24"/>
        </w:rPr>
        <w:t>FINRA 9600 rule series</w:t>
      </w:r>
      <w:r w:rsidRPr="00AF2AA2">
        <w:rPr>
          <w:sz w:val="24"/>
          <w:szCs w:val="24"/>
        </w:rPr>
        <w:t xml:space="preserve">, for good cause shown after taking into consideration all relevant factors, may exempt any person, security or transaction, or any class or classes of persons, </w:t>
      </w:r>
      <w:r w:rsidR="00421A3E" w:rsidRPr="00AF2AA2">
        <w:rPr>
          <w:sz w:val="24"/>
          <w:szCs w:val="24"/>
        </w:rPr>
        <w:t>securities,</w:t>
      </w:r>
      <w:r w:rsidRPr="00AF2AA2">
        <w:rPr>
          <w:sz w:val="24"/>
          <w:szCs w:val="24"/>
        </w:rPr>
        <w:t xml:space="preserve"> or transactions, either unconditionally or on specified terms, from any or all of the requirements of this Rule if it determines that such exemption is consistent with the purpose of this Rule, the protection of investors, and the public interest. </w:t>
      </w:r>
    </w:p>
    <w:p w14:paraId="152783DF" w14:textId="77777777" w:rsidR="00324177" w:rsidRPr="00AF2AA2" w:rsidRDefault="00324177" w:rsidP="00B568E9">
      <w:pPr>
        <w:ind w:left="270"/>
        <w:jc w:val="both"/>
        <w:rPr>
          <w:sz w:val="24"/>
          <w:szCs w:val="24"/>
        </w:rPr>
      </w:pPr>
    </w:p>
    <w:p w14:paraId="27FAB604" w14:textId="77777777" w:rsidR="002530B9" w:rsidRPr="00AF2AA2" w:rsidRDefault="002530B9" w:rsidP="00A634B6"/>
    <w:p w14:paraId="58256D2D" w14:textId="77777777" w:rsidR="00BB5DB1" w:rsidRPr="00AF2AA2" w:rsidRDefault="00BB5DB1" w:rsidP="00936FEE">
      <w:pPr>
        <w:pStyle w:val="Heading2"/>
        <w:rPr>
          <w:i/>
          <w:sz w:val="20"/>
        </w:rPr>
      </w:pPr>
      <w:r w:rsidRPr="00AF2AA2">
        <w:t>8.2</w:t>
      </w:r>
      <w:r w:rsidR="00C715C9">
        <w:t>2</w:t>
      </w:r>
      <w:r w:rsidRPr="00AF2AA2">
        <w:t xml:space="preserve"> FINRA Rule 5240-Anti-Intimidation/Coordination </w:t>
      </w:r>
      <w:r w:rsidRPr="00AE408B">
        <w:rPr>
          <w:i/>
          <w:sz w:val="20"/>
        </w:rPr>
        <w:t>(</w:t>
      </w:r>
      <w:proofErr w:type="gramStart"/>
      <w:r w:rsidRPr="00AE408B">
        <w:rPr>
          <w:i/>
          <w:sz w:val="20"/>
        </w:rPr>
        <w:t>eff</w:t>
      </w:r>
      <w:proofErr w:type="gramEnd"/>
      <w:r w:rsidRPr="00AE408B">
        <w:rPr>
          <w:i/>
          <w:sz w:val="20"/>
        </w:rPr>
        <w:t xml:space="preserve"> 06/15/09)</w:t>
      </w:r>
    </w:p>
    <w:p w14:paraId="2EDA3A41" w14:textId="77777777" w:rsidR="002530B9" w:rsidRPr="00AF2AA2" w:rsidRDefault="002530B9" w:rsidP="003662E3">
      <w:pPr>
        <w:jc w:val="both"/>
        <w:rPr>
          <w:sz w:val="24"/>
          <w:szCs w:val="24"/>
        </w:rPr>
      </w:pPr>
      <w:r w:rsidRPr="00AF2AA2">
        <w:rPr>
          <w:sz w:val="24"/>
          <w:szCs w:val="24"/>
        </w:rPr>
        <w:t>Pursuant to just and equitable principles of trade</w:t>
      </w:r>
      <w:r w:rsidR="003662E3" w:rsidRPr="00AF2AA2">
        <w:rPr>
          <w:sz w:val="24"/>
          <w:szCs w:val="24"/>
        </w:rPr>
        <w:t xml:space="preserve"> and Rule 5240</w:t>
      </w:r>
      <w:r w:rsidRPr="00AF2AA2">
        <w:rPr>
          <w:sz w:val="24"/>
          <w:szCs w:val="24"/>
        </w:rPr>
        <w:t>, Company shall not engage in any of the following:</w:t>
      </w:r>
    </w:p>
    <w:p w14:paraId="04F9A077" w14:textId="77777777" w:rsidR="002530B9" w:rsidRPr="00AF2AA2" w:rsidRDefault="002530B9" w:rsidP="002530B9">
      <w:pPr>
        <w:rPr>
          <w:sz w:val="24"/>
          <w:szCs w:val="24"/>
        </w:rPr>
      </w:pPr>
    </w:p>
    <w:p w14:paraId="778DA854" w14:textId="77777777" w:rsidR="004E3F75" w:rsidRPr="00AF2AA2" w:rsidRDefault="0054126A" w:rsidP="004E3F75">
      <w:pPr>
        <w:shd w:val="clear" w:color="auto" w:fill="FFFFFF"/>
        <w:jc w:val="both"/>
        <w:rPr>
          <w:sz w:val="24"/>
          <w:szCs w:val="24"/>
        </w:rPr>
      </w:pPr>
      <w:r w:rsidRPr="00AF2AA2">
        <w:rPr>
          <w:sz w:val="24"/>
          <w:szCs w:val="24"/>
        </w:rPr>
        <w:t>(</w:t>
      </w:r>
      <w:r w:rsidR="004E3F75" w:rsidRPr="00AF2AA2">
        <w:rPr>
          <w:sz w:val="24"/>
          <w:szCs w:val="24"/>
        </w:rPr>
        <w:t xml:space="preserve">1) </w:t>
      </w:r>
      <w:r w:rsidR="00AE408B" w:rsidRPr="00AF2AA2">
        <w:rPr>
          <w:sz w:val="24"/>
          <w:szCs w:val="24"/>
        </w:rPr>
        <w:t>Coordinate</w:t>
      </w:r>
      <w:r w:rsidR="004E3F75" w:rsidRPr="00AF2AA2">
        <w:rPr>
          <w:sz w:val="24"/>
          <w:szCs w:val="24"/>
        </w:rPr>
        <w:t xml:space="preserve"> the prices (including quotations), trades or trade reports with any other member or person associated with a member, or any other person; </w:t>
      </w:r>
    </w:p>
    <w:p w14:paraId="107F9A13" w14:textId="77777777" w:rsidR="0054126A" w:rsidRPr="00AF2AA2" w:rsidRDefault="0054126A" w:rsidP="0054126A">
      <w:pPr>
        <w:shd w:val="clear" w:color="auto" w:fill="FFFFFF"/>
        <w:spacing w:line="140" w:lineRule="exact"/>
        <w:jc w:val="both"/>
        <w:rPr>
          <w:sz w:val="24"/>
          <w:szCs w:val="24"/>
        </w:rPr>
      </w:pPr>
    </w:p>
    <w:p w14:paraId="0A46929D" w14:textId="77777777" w:rsidR="004E3F75" w:rsidRPr="00AF2AA2" w:rsidRDefault="004E3F75" w:rsidP="004E3F75">
      <w:pPr>
        <w:shd w:val="clear" w:color="auto" w:fill="FFFFFF"/>
        <w:jc w:val="both"/>
        <w:rPr>
          <w:sz w:val="24"/>
          <w:szCs w:val="24"/>
        </w:rPr>
      </w:pPr>
      <w:r w:rsidRPr="00AF2AA2">
        <w:rPr>
          <w:sz w:val="24"/>
          <w:szCs w:val="24"/>
        </w:rPr>
        <w:t xml:space="preserve">(2) </w:t>
      </w:r>
      <w:r w:rsidR="00AE408B">
        <w:rPr>
          <w:sz w:val="24"/>
          <w:szCs w:val="24"/>
        </w:rPr>
        <w:t xml:space="preserve"> </w:t>
      </w:r>
      <w:r w:rsidR="00AE408B" w:rsidRPr="00AF2AA2">
        <w:rPr>
          <w:sz w:val="24"/>
          <w:szCs w:val="24"/>
        </w:rPr>
        <w:t>Direct</w:t>
      </w:r>
      <w:r w:rsidRPr="00AF2AA2">
        <w:rPr>
          <w:sz w:val="24"/>
          <w:szCs w:val="24"/>
        </w:rPr>
        <w:t xml:space="preserve"> or request another member to alter a price (including a quotation); or </w:t>
      </w:r>
    </w:p>
    <w:p w14:paraId="50733DFE" w14:textId="77777777" w:rsidR="0054126A" w:rsidRPr="00AF2AA2" w:rsidRDefault="0054126A" w:rsidP="0054126A">
      <w:pPr>
        <w:shd w:val="clear" w:color="auto" w:fill="FFFFFF"/>
        <w:spacing w:line="140" w:lineRule="exact"/>
        <w:jc w:val="both"/>
        <w:rPr>
          <w:sz w:val="24"/>
          <w:szCs w:val="24"/>
        </w:rPr>
      </w:pPr>
    </w:p>
    <w:p w14:paraId="701E1283" w14:textId="413BE3FC" w:rsidR="004E3F75" w:rsidRPr="00AF2AA2" w:rsidRDefault="004E3F75" w:rsidP="004E3F75">
      <w:pPr>
        <w:shd w:val="clear" w:color="auto" w:fill="FFFFFF"/>
        <w:jc w:val="both"/>
        <w:rPr>
          <w:sz w:val="24"/>
          <w:szCs w:val="24"/>
        </w:rPr>
      </w:pPr>
      <w:r w:rsidRPr="00AF2AA2">
        <w:rPr>
          <w:sz w:val="24"/>
          <w:szCs w:val="24"/>
        </w:rPr>
        <w:t xml:space="preserve">(3) </w:t>
      </w:r>
      <w:r w:rsidR="00AE408B" w:rsidRPr="00AF2AA2">
        <w:rPr>
          <w:sz w:val="24"/>
          <w:szCs w:val="24"/>
        </w:rPr>
        <w:t>Engage</w:t>
      </w:r>
      <w:r w:rsidRPr="00AF2AA2">
        <w:rPr>
          <w:sz w:val="24"/>
          <w:szCs w:val="24"/>
        </w:rPr>
        <w:t xml:space="preserve">, directly or indirectly, in any conduct that threatens, harasses, coerces, </w:t>
      </w:r>
      <w:r w:rsidR="00421A3E" w:rsidRPr="00AF2AA2">
        <w:rPr>
          <w:sz w:val="24"/>
          <w:szCs w:val="24"/>
        </w:rPr>
        <w:t>intimidates,</w:t>
      </w:r>
      <w:r w:rsidRPr="00AF2AA2">
        <w:rPr>
          <w:sz w:val="24"/>
          <w:szCs w:val="24"/>
        </w:rPr>
        <w:t xml:space="preserve"> or otherwise attempts improperly to influence another member, a person associated with a member, or any other person. </w:t>
      </w:r>
      <w:r w:rsidR="0054126A" w:rsidRPr="00AF2AA2">
        <w:rPr>
          <w:sz w:val="24"/>
          <w:szCs w:val="24"/>
        </w:rPr>
        <w:t xml:space="preserve">  </w:t>
      </w:r>
      <w:r w:rsidRPr="00AF2AA2">
        <w:rPr>
          <w:sz w:val="24"/>
          <w:szCs w:val="24"/>
        </w:rPr>
        <w:t xml:space="preserve">This includes, but is not limited to, any attempt to influence another member or person associated with a member to adjust or maintain a price or quotation, whether displayed on any facility operated by FINRA or otherwise, or refusals to trade or other conduct that retaliates against or discourages the competitive activities of a market maker or market participant. </w:t>
      </w:r>
    </w:p>
    <w:p w14:paraId="4CB9123E" w14:textId="77777777" w:rsidR="0054126A" w:rsidRPr="00AF2AA2" w:rsidRDefault="0054126A" w:rsidP="0054126A">
      <w:pPr>
        <w:shd w:val="clear" w:color="auto" w:fill="FFFFFF"/>
        <w:spacing w:line="140" w:lineRule="exact"/>
        <w:jc w:val="both"/>
        <w:rPr>
          <w:sz w:val="24"/>
          <w:szCs w:val="24"/>
        </w:rPr>
      </w:pPr>
    </w:p>
    <w:p w14:paraId="72FDA8AA" w14:textId="2C5AAEDD" w:rsidR="004E3F75" w:rsidRPr="00AF2AA2" w:rsidRDefault="004E3F75" w:rsidP="004E3F75">
      <w:pPr>
        <w:shd w:val="clear" w:color="auto" w:fill="FFFFFF"/>
        <w:jc w:val="both"/>
        <w:rPr>
          <w:sz w:val="24"/>
          <w:szCs w:val="24"/>
        </w:rPr>
      </w:pPr>
      <w:r w:rsidRPr="00AF2AA2">
        <w:rPr>
          <w:sz w:val="24"/>
          <w:szCs w:val="24"/>
        </w:rPr>
        <w:t>Provided that the conduct in subparagraphs (</w:t>
      </w:r>
      <w:r w:rsidR="0054126A" w:rsidRPr="00AF2AA2">
        <w:rPr>
          <w:sz w:val="24"/>
          <w:szCs w:val="24"/>
        </w:rPr>
        <w:t>a</w:t>
      </w:r>
      <w:r w:rsidRPr="00AF2AA2">
        <w:rPr>
          <w:sz w:val="24"/>
          <w:szCs w:val="24"/>
        </w:rPr>
        <w:t>) through (</w:t>
      </w:r>
      <w:r w:rsidR="0054126A" w:rsidRPr="00AF2AA2">
        <w:rPr>
          <w:sz w:val="24"/>
          <w:szCs w:val="24"/>
        </w:rPr>
        <w:t>g</w:t>
      </w:r>
      <w:r w:rsidRPr="00AF2AA2">
        <w:rPr>
          <w:sz w:val="24"/>
          <w:szCs w:val="24"/>
        </w:rPr>
        <w:t xml:space="preserve">) below is otherwise in compliance with all applicable law, nothing in this Rule respecting coordination of quotes, trades or trade reports shall be deemed to limit, </w:t>
      </w:r>
      <w:r w:rsidR="00421A3E" w:rsidRPr="00AF2AA2">
        <w:rPr>
          <w:sz w:val="24"/>
          <w:szCs w:val="24"/>
        </w:rPr>
        <w:t>constrain,</w:t>
      </w:r>
      <w:r w:rsidRPr="00AF2AA2">
        <w:rPr>
          <w:sz w:val="24"/>
          <w:szCs w:val="24"/>
        </w:rPr>
        <w:t xml:space="preserve"> or otherwise inhibit the freedom of a member or person associated with a member to: </w:t>
      </w:r>
    </w:p>
    <w:p w14:paraId="083C814A" w14:textId="77777777" w:rsidR="003662E3" w:rsidRPr="00AF2AA2" w:rsidRDefault="003662E3" w:rsidP="003662E3">
      <w:pPr>
        <w:shd w:val="clear" w:color="auto" w:fill="FFFFFF"/>
        <w:spacing w:line="140" w:lineRule="exact"/>
        <w:jc w:val="both"/>
        <w:rPr>
          <w:sz w:val="24"/>
          <w:szCs w:val="24"/>
        </w:rPr>
      </w:pPr>
    </w:p>
    <w:p w14:paraId="1438AD5B" w14:textId="77777777" w:rsidR="004E3F75" w:rsidRPr="00AF2AA2" w:rsidRDefault="004E3F75" w:rsidP="00C1728B">
      <w:pPr>
        <w:numPr>
          <w:ilvl w:val="0"/>
          <w:numId w:val="83"/>
        </w:numPr>
        <w:shd w:val="clear" w:color="auto" w:fill="FFFFFF"/>
        <w:jc w:val="both"/>
        <w:rPr>
          <w:sz w:val="24"/>
          <w:szCs w:val="24"/>
        </w:rPr>
      </w:pPr>
      <w:r w:rsidRPr="00AF2AA2">
        <w:rPr>
          <w:sz w:val="24"/>
          <w:szCs w:val="24"/>
        </w:rPr>
        <w:t>set unilaterally its own bid or ask in any security, the prices at which it is willing to buy or sell any security, and the quantity of shares of any security that it is willing to buy or sell;</w:t>
      </w:r>
    </w:p>
    <w:p w14:paraId="5D5F3BBF" w14:textId="77777777" w:rsidR="004E3F75" w:rsidRPr="00AF2AA2" w:rsidRDefault="004E3F75" w:rsidP="00C1728B">
      <w:pPr>
        <w:numPr>
          <w:ilvl w:val="0"/>
          <w:numId w:val="83"/>
        </w:numPr>
        <w:shd w:val="clear" w:color="auto" w:fill="FFFFFF"/>
        <w:jc w:val="both"/>
        <w:rPr>
          <w:sz w:val="24"/>
          <w:szCs w:val="24"/>
        </w:rPr>
      </w:pPr>
      <w:r w:rsidRPr="00AF2AA2">
        <w:rPr>
          <w:sz w:val="24"/>
          <w:szCs w:val="24"/>
        </w:rPr>
        <w:t>set unilaterally its own dealer spread, quote increment or quantity of shares for its quotations (or set any relationship between or among its dealer spread, inside spread, or the size of any quote increment) in any security;</w:t>
      </w:r>
    </w:p>
    <w:p w14:paraId="2983F75D" w14:textId="77777777" w:rsidR="004E3F75" w:rsidRPr="00AF2AA2" w:rsidRDefault="004E3F75" w:rsidP="00C1728B">
      <w:pPr>
        <w:numPr>
          <w:ilvl w:val="0"/>
          <w:numId w:val="83"/>
        </w:numPr>
        <w:shd w:val="clear" w:color="auto" w:fill="FFFFFF"/>
        <w:jc w:val="both"/>
        <w:rPr>
          <w:sz w:val="24"/>
          <w:szCs w:val="24"/>
        </w:rPr>
      </w:pPr>
      <w:r w:rsidRPr="00AF2AA2">
        <w:rPr>
          <w:sz w:val="24"/>
          <w:szCs w:val="24"/>
        </w:rPr>
        <w:t>communicate its own bid or ask, or the prices at or the quantity of shares in which it is willing to buy or sell any security to any person, for the purpose of exploring the possibility of a purchase or sale of that security, and to negotiate for or agree to such purchase or sale;</w:t>
      </w:r>
    </w:p>
    <w:p w14:paraId="46B5709E" w14:textId="77777777" w:rsidR="004E3F75" w:rsidRPr="00AF2AA2" w:rsidRDefault="004E3F75" w:rsidP="00C1728B">
      <w:pPr>
        <w:numPr>
          <w:ilvl w:val="0"/>
          <w:numId w:val="83"/>
        </w:numPr>
        <w:shd w:val="clear" w:color="auto" w:fill="FFFFFF"/>
        <w:jc w:val="both"/>
        <w:rPr>
          <w:sz w:val="24"/>
          <w:szCs w:val="24"/>
        </w:rPr>
      </w:pPr>
      <w:r w:rsidRPr="00AF2AA2">
        <w:rPr>
          <w:sz w:val="24"/>
          <w:szCs w:val="24"/>
        </w:rPr>
        <w:t>communicate its own bid or ask, or the price at or the quantity of shares in which it is willing to buy or sell any security, to any person for the purpose of retaining such person as an agent or subagent for the member or for a customer of the member (or for the purpose of seeking to be retained as an agent or subagent), and to negotiate for or agree to such purchase or sale;</w:t>
      </w:r>
    </w:p>
    <w:p w14:paraId="39AE4254" w14:textId="77777777" w:rsidR="004E3F75" w:rsidRPr="00AF2AA2" w:rsidRDefault="004E3F75" w:rsidP="00C1728B">
      <w:pPr>
        <w:numPr>
          <w:ilvl w:val="0"/>
          <w:numId w:val="83"/>
        </w:numPr>
        <w:shd w:val="clear" w:color="auto" w:fill="FFFFFF"/>
        <w:jc w:val="both"/>
        <w:rPr>
          <w:sz w:val="24"/>
          <w:szCs w:val="24"/>
        </w:rPr>
      </w:pPr>
      <w:r w:rsidRPr="00AF2AA2">
        <w:rPr>
          <w:sz w:val="24"/>
          <w:szCs w:val="24"/>
        </w:rPr>
        <w:t>engage in any underwriting (or any syndicate for the underwriting) of securities to the extent permitted by the federal securities laws;</w:t>
      </w:r>
    </w:p>
    <w:p w14:paraId="6D335DB0" w14:textId="77777777" w:rsidR="004E3F75" w:rsidRPr="00AF2AA2" w:rsidRDefault="004E3F75" w:rsidP="00C1728B">
      <w:pPr>
        <w:numPr>
          <w:ilvl w:val="0"/>
          <w:numId w:val="83"/>
        </w:numPr>
        <w:shd w:val="clear" w:color="auto" w:fill="FFFFFF"/>
        <w:jc w:val="both"/>
        <w:rPr>
          <w:sz w:val="24"/>
          <w:szCs w:val="24"/>
        </w:rPr>
      </w:pPr>
      <w:r w:rsidRPr="00AF2AA2">
        <w:rPr>
          <w:sz w:val="24"/>
          <w:szCs w:val="24"/>
        </w:rPr>
        <w:t>take any unilateral action or make any unilateral decision regarding the market makers with which it will trade and the terms on which it will trade unless such action is prohibited by paragraph (a) of this Rule; and</w:t>
      </w:r>
    </w:p>
    <w:p w14:paraId="669E2C96" w14:textId="77777777" w:rsidR="004E3F75" w:rsidRPr="00AF2AA2" w:rsidRDefault="004E3F75" w:rsidP="00C1728B">
      <w:pPr>
        <w:numPr>
          <w:ilvl w:val="0"/>
          <w:numId w:val="83"/>
        </w:numPr>
        <w:shd w:val="clear" w:color="auto" w:fill="FFFFFF"/>
        <w:jc w:val="both"/>
        <w:rPr>
          <w:sz w:val="24"/>
          <w:szCs w:val="24"/>
        </w:rPr>
      </w:pPr>
      <w:r w:rsidRPr="00AF2AA2">
        <w:rPr>
          <w:sz w:val="24"/>
          <w:szCs w:val="24"/>
        </w:rPr>
        <w:t xml:space="preserve">deliver an order to another member for handling. </w:t>
      </w:r>
    </w:p>
    <w:p w14:paraId="5D2155E0" w14:textId="77777777" w:rsidR="002530B9" w:rsidRPr="00AF2AA2" w:rsidRDefault="002530B9" w:rsidP="002530B9">
      <w:pPr>
        <w:rPr>
          <w:sz w:val="24"/>
          <w:szCs w:val="24"/>
        </w:rPr>
      </w:pPr>
    </w:p>
    <w:p w14:paraId="62E854FB" w14:textId="77777777" w:rsidR="002530B9" w:rsidRPr="002530B9" w:rsidRDefault="002530B9" w:rsidP="002530B9"/>
    <w:p w14:paraId="0610FC86" w14:textId="77777777" w:rsidR="0062542F" w:rsidRPr="00320DE6" w:rsidRDefault="0062542F" w:rsidP="00936FEE">
      <w:pPr>
        <w:pStyle w:val="Heading2"/>
      </w:pPr>
      <w:r w:rsidRPr="00320DE6">
        <w:t>8.2</w:t>
      </w:r>
      <w:r w:rsidR="00C715C9">
        <w:t>3</w:t>
      </w:r>
      <w:r w:rsidR="00CE743E">
        <w:t xml:space="preserve"> </w:t>
      </w:r>
      <w:r w:rsidRPr="00320DE6">
        <w:t>Designated Securities Transactions</w:t>
      </w:r>
    </w:p>
    <w:p w14:paraId="54B46444" w14:textId="77777777" w:rsidR="00FB0641" w:rsidRDefault="00FB0641" w:rsidP="00FB0641">
      <w:pPr>
        <w:jc w:val="both"/>
        <w:rPr>
          <w:sz w:val="24"/>
        </w:rPr>
      </w:pPr>
      <w:r>
        <w:rPr>
          <w:sz w:val="24"/>
        </w:rPr>
        <w:t>For purposes of this section, the term "Designated Security" shall mean a non-NASDAQ over-the-counter equity security that sells for less than $5 per share issued by a company with less than $2,000,000 in net tangible assets.</w:t>
      </w:r>
    </w:p>
    <w:p w14:paraId="27775866" w14:textId="77777777" w:rsidR="00FB0641" w:rsidRDefault="00FB0641" w:rsidP="00FB0641">
      <w:pPr>
        <w:jc w:val="both"/>
        <w:rPr>
          <w:sz w:val="24"/>
        </w:rPr>
      </w:pPr>
    </w:p>
    <w:p w14:paraId="288716C6" w14:textId="77777777" w:rsidR="00457B2A" w:rsidRPr="00457B2A" w:rsidRDefault="00457B2A" w:rsidP="00457B2A">
      <w:pPr>
        <w:shd w:val="clear" w:color="auto" w:fill="FFFFFF"/>
        <w:jc w:val="both"/>
        <w:rPr>
          <w:spacing w:val="8"/>
          <w:sz w:val="24"/>
          <w:szCs w:val="24"/>
        </w:rPr>
      </w:pPr>
      <w:r w:rsidRPr="00457B2A">
        <w:rPr>
          <w:spacing w:val="8"/>
          <w:sz w:val="24"/>
          <w:szCs w:val="24"/>
        </w:rPr>
        <w:t xml:space="preserve">The following are </w:t>
      </w:r>
      <w:r w:rsidRPr="00457B2A">
        <w:rPr>
          <w:b/>
          <w:bCs/>
          <w:spacing w:val="8"/>
          <w:sz w:val="24"/>
          <w:szCs w:val="24"/>
        </w:rPr>
        <w:t>not</w:t>
      </w:r>
      <w:r w:rsidRPr="00457B2A">
        <w:rPr>
          <w:spacing w:val="8"/>
          <w:sz w:val="24"/>
          <w:szCs w:val="24"/>
        </w:rPr>
        <w:t xml:space="preserve"> considered penny stocks subject to the requirements outlined in </w:t>
      </w:r>
      <w:r w:rsidR="000114C5">
        <w:rPr>
          <w:spacing w:val="8"/>
          <w:sz w:val="24"/>
          <w:szCs w:val="24"/>
        </w:rPr>
        <w:t>this</w:t>
      </w:r>
      <w:r w:rsidRPr="00457B2A">
        <w:rPr>
          <w:spacing w:val="8"/>
          <w:sz w:val="24"/>
          <w:szCs w:val="24"/>
        </w:rPr>
        <w:t xml:space="preserve"> section:</w:t>
      </w:r>
    </w:p>
    <w:p w14:paraId="61817BF9" w14:textId="77777777" w:rsidR="00457B2A" w:rsidRPr="00457B2A" w:rsidRDefault="00457B2A" w:rsidP="00C1728B">
      <w:pPr>
        <w:numPr>
          <w:ilvl w:val="0"/>
          <w:numId w:val="113"/>
        </w:numPr>
        <w:shd w:val="clear" w:color="auto" w:fill="FFFFFF"/>
        <w:jc w:val="both"/>
        <w:rPr>
          <w:spacing w:val="8"/>
          <w:sz w:val="24"/>
          <w:szCs w:val="24"/>
        </w:rPr>
      </w:pPr>
      <w:r w:rsidRPr="00457B2A">
        <w:rPr>
          <w:spacing w:val="8"/>
          <w:sz w:val="24"/>
          <w:szCs w:val="24"/>
        </w:rPr>
        <w:t xml:space="preserve">A reported security as defined in Regulation NMS Rule 601. </w:t>
      </w:r>
    </w:p>
    <w:p w14:paraId="3F7DFBB0" w14:textId="77777777" w:rsidR="00457B2A" w:rsidRPr="00457B2A" w:rsidRDefault="00457B2A" w:rsidP="00C1728B">
      <w:pPr>
        <w:numPr>
          <w:ilvl w:val="0"/>
          <w:numId w:val="113"/>
        </w:numPr>
        <w:shd w:val="clear" w:color="auto" w:fill="FFFFFF"/>
        <w:jc w:val="both"/>
        <w:rPr>
          <w:spacing w:val="8"/>
          <w:sz w:val="24"/>
          <w:szCs w:val="24"/>
        </w:rPr>
      </w:pPr>
      <w:r w:rsidRPr="00457B2A">
        <w:rPr>
          <w:spacing w:val="8"/>
          <w:sz w:val="24"/>
          <w:szCs w:val="24"/>
        </w:rPr>
        <w:t xml:space="preserve">The stock is priced at $5.00 or more per share. </w:t>
      </w:r>
    </w:p>
    <w:p w14:paraId="5F2D6EEB" w14:textId="77777777" w:rsidR="00457B2A" w:rsidRPr="00457B2A" w:rsidRDefault="00457B2A" w:rsidP="00C1728B">
      <w:pPr>
        <w:numPr>
          <w:ilvl w:val="0"/>
          <w:numId w:val="113"/>
        </w:numPr>
        <w:shd w:val="clear" w:color="auto" w:fill="FFFFFF"/>
        <w:jc w:val="both"/>
        <w:rPr>
          <w:spacing w:val="8"/>
          <w:sz w:val="24"/>
          <w:szCs w:val="24"/>
        </w:rPr>
      </w:pPr>
      <w:r w:rsidRPr="00457B2A">
        <w:rPr>
          <w:spacing w:val="8"/>
          <w:sz w:val="24"/>
          <w:szCs w:val="24"/>
        </w:rPr>
        <w:t xml:space="preserve">Shares of investment companies. </w:t>
      </w:r>
    </w:p>
    <w:p w14:paraId="6D05215C" w14:textId="77777777" w:rsidR="00457B2A" w:rsidRPr="00457B2A" w:rsidRDefault="00457B2A" w:rsidP="00C1728B">
      <w:pPr>
        <w:numPr>
          <w:ilvl w:val="0"/>
          <w:numId w:val="113"/>
        </w:numPr>
        <w:shd w:val="clear" w:color="auto" w:fill="FFFFFF"/>
        <w:jc w:val="both"/>
        <w:rPr>
          <w:spacing w:val="8"/>
          <w:sz w:val="24"/>
          <w:szCs w:val="24"/>
        </w:rPr>
      </w:pPr>
      <w:r w:rsidRPr="00457B2A">
        <w:rPr>
          <w:spacing w:val="8"/>
          <w:sz w:val="24"/>
          <w:szCs w:val="24"/>
        </w:rPr>
        <w:t xml:space="preserve">The stock is listed on an exchange. </w:t>
      </w:r>
    </w:p>
    <w:p w14:paraId="78DDA727" w14:textId="77777777" w:rsidR="00457B2A" w:rsidRPr="00457B2A" w:rsidRDefault="00457B2A" w:rsidP="00C1728B">
      <w:pPr>
        <w:numPr>
          <w:ilvl w:val="0"/>
          <w:numId w:val="113"/>
        </w:numPr>
        <w:shd w:val="clear" w:color="auto" w:fill="FFFFFF"/>
        <w:jc w:val="both"/>
        <w:rPr>
          <w:spacing w:val="8"/>
          <w:sz w:val="24"/>
          <w:szCs w:val="24"/>
        </w:rPr>
      </w:pPr>
      <w:r w:rsidRPr="00457B2A">
        <w:rPr>
          <w:spacing w:val="8"/>
          <w:sz w:val="24"/>
          <w:szCs w:val="24"/>
        </w:rPr>
        <w:t xml:space="preserve">Security futures. </w:t>
      </w:r>
    </w:p>
    <w:p w14:paraId="6A627030" w14:textId="77777777" w:rsidR="00457B2A" w:rsidRPr="00457B2A" w:rsidRDefault="00457B2A" w:rsidP="00C1728B">
      <w:pPr>
        <w:numPr>
          <w:ilvl w:val="0"/>
          <w:numId w:val="113"/>
        </w:numPr>
        <w:shd w:val="clear" w:color="auto" w:fill="FFFFFF"/>
        <w:jc w:val="both"/>
        <w:rPr>
          <w:spacing w:val="8"/>
          <w:sz w:val="24"/>
          <w:szCs w:val="24"/>
        </w:rPr>
      </w:pPr>
      <w:r w:rsidRPr="00457B2A">
        <w:rPr>
          <w:spacing w:val="8"/>
          <w:sz w:val="24"/>
          <w:szCs w:val="24"/>
        </w:rPr>
        <w:lastRenderedPageBreak/>
        <w:t>The issuer has net tangible assets in excess of $2 million, if the issuer has been in continuous operation for at least 3 years, or $5,000,000 if in continuous operation for less than 3 years; or average revenue of at least $6,000,000 for the last 3 years.</w:t>
      </w:r>
    </w:p>
    <w:p w14:paraId="5D76C65D" w14:textId="77777777" w:rsidR="00457B2A" w:rsidRPr="00650EB1" w:rsidRDefault="00457B2A" w:rsidP="00457B2A">
      <w:pPr>
        <w:shd w:val="clear" w:color="auto" w:fill="FFFFFF"/>
        <w:jc w:val="both"/>
        <w:rPr>
          <w:spacing w:val="8"/>
          <w:sz w:val="24"/>
          <w:szCs w:val="24"/>
        </w:rPr>
      </w:pPr>
    </w:p>
    <w:p w14:paraId="30A4D153" w14:textId="77777777" w:rsidR="00457B2A" w:rsidRPr="00457B2A" w:rsidRDefault="00457B2A" w:rsidP="00457B2A">
      <w:pPr>
        <w:shd w:val="clear" w:color="auto" w:fill="FFFFFF"/>
        <w:jc w:val="both"/>
        <w:rPr>
          <w:spacing w:val="8"/>
          <w:sz w:val="24"/>
          <w:szCs w:val="24"/>
        </w:rPr>
      </w:pPr>
      <w:r w:rsidRPr="00457B2A">
        <w:rPr>
          <w:spacing w:val="8"/>
          <w:sz w:val="24"/>
          <w:szCs w:val="24"/>
        </w:rPr>
        <w:t>Penny stocks include the equity securities of private companies with no active trading market if they do not qualify for one of the exclusions from the definition of penny stock.</w:t>
      </w:r>
    </w:p>
    <w:p w14:paraId="3DFF3A70" w14:textId="77777777" w:rsidR="00457B2A" w:rsidRPr="00457B2A" w:rsidRDefault="000114C5" w:rsidP="00457B2A">
      <w:pPr>
        <w:shd w:val="clear" w:color="auto" w:fill="FFFFFF"/>
        <w:jc w:val="both"/>
        <w:rPr>
          <w:spacing w:val="8"/>
          <w:sz w:val="24"/>
          <w:szCs w:val="24"/>
        </w:rPr>
      </w:pPr>
      <w:r>
        <w:rPr>
          <w:spacing w:val="8"/>
          <w:sz w:val="24"/>
          <w:szCs w:val="24"/>
        </w:rPr>
        <w:t>Associated Person</w:t>
      </w:r>
      <w:r w:rsidR="009B30B2">
        <w:rPr>
          <w:spacing w:val="8"/>
          <w:sz w:val="24"/>
          <w:szCs w:val="24"/>
        </w:rPr>
        <w:t>s</w:t>
      </w:r>
      <w:r w:rsidR="00457B2A" w:rsidRPr="00457B2A">
        <w:rPr>
          <w:spacing w:val="8"/>
          <w:sz w:val="24"/>
          <w:szCs w:val="24"/>
        </w:rPr>
        <w:t xml:space="preserve"> should assume that any unlisted securities priced less than $5.00 per share may be subject to the penny stock requirements.</w:t>
      </w:r>
    </w:p>
    <w:p w14:paraId="0371BA00" w14:textId="77777777" w:rsidR="00457B2A" w:rsidRDefault="00457B2A" w:rsidP="00FB0641">
      <w:pPr>
        <w:jc w:val="both"/>
        <w:rPr>
          <w:sz w:val="24"/>
        </w:rPr>
      </w:pPr>
    </w:p>
    <w:p w14:paraId="3CF94746" w14:textId="77777777" w:rsidR="00FB0641" w:rsidRDefault="00FB0641" w:rsidP="00FB0641">
      <w:pPr>
        <w:jc w:val="both"/>
        <w:rPr>
          <w:sz w:val="24"/>
        </w:rPr>
      </w:pPr>
      <w:r>
        <w:rPr>
          <w:sz w:val="24"/>
        </w:rPr>
        <w:t xml:space="preserve">Morris </w:t>
      </w:r>
      <w:r w:rsidR="00457B2A">
        <w:rPr>
          <w:sz w:val="24"/>
        </w:rPr>
        <w:t>M</w:t>
      </w:r>
      <w:r>
        <w:rPr>
          <w:sz w:val="24"/>
        </w:rPr>
        <w:t>onroe</w:t>
      </w:r>
      <w:r w:rsidR="000114C5">
        <w:rPr>
          <w:sz w:val="24"/>
        </w:rPr>
        <w:t xml:space="preserve">, </w:t>
      </w:r>
      <w:r>
        <w:rPr>
          <w:sz w:val="24"/>
        </w:rPr>
        <w:t>the designated principal</w:t>
      </w:r>
      <w:r w:rsidR="000114C5">
        <w:rPr>
          <w:sz w:val="24"/>
        </w:rPr>
        <w:t>,</w:t>
      </w:r>
      <w:r>
        <w:rPr>
          <w:sz w:val="24"/>
        </w:rPr>
        <w:t xml:space="preserve"> or designee shall be responsible for all transactions in designated securities and compliance with SEC Rule 15c2-6.  Currently, it is the </w:t>
      </w:r>
      <w:r w:rsidR="00650EB1">
        <w:rPr>
          <w:sz w:val="24"/>
        </w:rPr>
        <w:t>Company</w:t>
      </w:r>
      <w:r>
        <w:rPr>
          <w:sz w:val="24"/>
        </w:rPr>
        <w:t xml:space="preserve"> policy that we </w:t>
      </w:r>
      <w:r>
        <w:rPr>
          <w:sz w:val="24"/>
          <w:u w:val="single"/>
        </w:rPr>
        <w:t>do not</w:t>
      </w:r>
      <w:r>
        <w:rPr>
          <w:sz w:val="24"/>
        </w:rPr>
        <w:t xml:space="preserve"> recommend any purchases for designated securities, however, from time to time, may execute an unsolicited request for a designated security transaction.  </w:t>
      </w:r>
    </w:p>
    <w:p w14:paraId="423027E3" w14:textId="77777777" w:rsidR="00FB0641" w:rsidRDefault="00FB0641" w:rsidP="00FB0641">
      <w:pPr>
        <w:jc w:val="both"/>
        <w:rPr>
          <w:sz w:val="24"/>
        </w:rPr>
      </w:pPr>
    </w:p>
    <w:p w14:paraId="4C77190A" w14:textId="138C9729" w:rsidR="00FB0641" w:rsidRDefault="00FB0641" w:rsidP="00FB0641">
      <w:pPr>
        <w:jc w:val="both"/>
        <w:rPr>
          <w:sz w:val="24"/>
        </w:rPr>
      </w:pPr>
      <w:r>
        <w:rPr>
          <w:sz w:val="24"/>
        </w:rPr>
        <w:t xml:space="preserve">In the event this policy changes, all </w:t>
      </w:r>
      <w:r w:rsidR="00AE3D81">
        <w:rPr>
          <w:sz w:val="24"/>
        </w:rPr>
        <w:t>Associated P</w:t>
      </w:r>
      <w:r>
        <w:rPr>
          <w:sz w:val="24"/>
        </w:rPr>
        <w:t xml:space="preserve">ersons shall be required, prior to recommending a designated security to a customer that is not an established </w:t>
      </w:r>
      <w:r w:rsidR="002E2193">
        <w:rPr>
          <w:sz w:val="24"/>
        </w:rPr>
        <w:t xml:space="preserve">customer </w:t>
      </w:r>
      <w:r>
        <w:rPr>
          <w:sz w:val="24"/>
        </w:rPr>
        <w:t>or accredited</w:t>
      </w:r>
      <w:r w:rsidR="002E2193">
        <w:rPr>
          <w:sz w:val="24"/>
        </w:rPr>
        <w:t xml:space="preserve"> investor</w:t>
      </w:r>
      <w:r>
        <w:rPr>
          <w:sz w:val="24"/>
        </w:rPr>
        <w:t xml:space="preserve">, to first obtain sufficient information from the customer about his or her financial situation, investment experience, and investment objectives.  This includes reviewing </w:t>
      </w:r>
      <w:r w:rsidR="002E2193">
        <w:rPr>
          <w:sz w:val="24"/>
        </w:rPr>
        <w:t>the financial profile and</w:t>
      </w:r>
      <w:r>
        <w:rPr>
          <w:sz w:val="24"/>
        </w:rPr>
        <w:t xml:space="preserve"> current material business information prior to recommending any purchase.  In addition, all associated persons shall be required to complete the Customer Suitability Statement and Agreement to Purchase Form for submission to Morris Monroe or his designee. </w:t>
      </w:r>
    </w:p>
    <w:p w14:paraId="10086BDA" w14:textId="77777777" w:rsidR="00FB0641" w:rsidRDefault="00FB0641" w:rsidP="00FB0641">
      <w:pPr>
        <w:jc w:val="both"/>
        <w:rPr>
          <w:sz w:val="24"/>
        </w:rPr>
      </w:pPr>
    </w:p>
    <w:p w14:paraId="2E1E4E28" w14:textId="77777777" w:rsidR="00FB0641" w:rsidRDefault="00FB0641" w:rsidP="00FB0641">
      <w:pPr>
        <w:jc w:val="both"/>
        <w:rPr>
          <w:sz w:val="24"/>
        </w:rPr>
      </w:pPr>
      <w:r>
        <w:rPr>
          <w:sz w:val="24"/>
        </w:rPr>
        <w:t xml:space="preserve">An "established customer" is one who has had a trade or a deposit in his or her account with the Company that occurred at least one year </w:t>
      </w:r>
      <w:r w:rsidR="00D0432A">
        <w:rPr>
          <w:sz w:val="24"/>
        </w:rPr>
        <w:t>earlier or</w:t>
      </w:r>
      <w:r>
        <w:rPr>
          <w:sz w:val="24"/>
        </w:rPr>
        <w:t xml:space="preserve"> has previously made three purchases of designated securities on separate days involving different issuers.  Further, an "accredited" investor is one whose knowledge and experience in securities matters, or whose financial resources, satisfy standards prescribed by SEC Regulation D. These include financial institutions, officers of an issuer, or investors with a net worth of $1,000,000</w:t>
      </w:r>
      <w:r w:rsidR="002C1B4C">
        <w:rPr>
          <w:sz w:val="24"/>
        </w:rPr>
        <w:t xml:space="preserve"> </w:t>
      </w:r>
      <w:r w:rsidR="002C1B4C" w:rsidRPr="00151877">
        <w:rPr>
          <w:sz w:val="24"/>
        </w:rPr>
        <w:t>(excluding their private residence)</w:t>
      </w:r>
      <w:r w:rsidRPr="00151877">
        <w:rPr>
          <w:sz w:val="24"/>
        </w:rPr>
        <w:t>.</w:t>
      </w:r>
    </w:p>
    <w:p w14:paraId="5BA924B4" w14:textId="77777777" w:rsidR="00FB0641" w:rsidRDefault="00FB0641" w:rsidP="00FB0641">
      <w:pPr>
        <w:jc w:val="both"/>
        <w:rPr>
          <w:sz w:val="24"/>
        </w:rPr>
      </w:pPr>
    </w:p>
    <w:p w14:paraId="02F1F4DF" w14:textId="77777777" w:rsidR="00FB0641" w:rsidRDefault="00FB0641" w:rsidP="00FB0641">
      <w:pPr>
        <w:jc w:val="both"/>
        <w:rPr>
          <w:sz w:val="24"/>
        </w:rPr>
      </w:pPr>
    </w:p>
    <w:p w14:paraId="174BBC92" w14:textId="77777777" w:rsidR="00D271BE" w:rsidRPr="00923FB2" w:rsidRDefault="00D271BE" w:rsidP="00936FEE">
      <w:pPr>
        <w:pStyle w:val="Heading2"/>
      </w:pPr>
      <w:r w:rsidRPr="00923FB2">
        <w:t>8.2</w:t>
      </w:r>
      <w:r w:rsidR="00C715C9">
        <w:t>4</w:t>
      </w:r>
      <w:r w:rsidRPr="00923FB2">
        <w:t xml:space="preserve"> REITS</w:t>
      </w:r>
    </w:p>
    <w:p w14:paraId="4F8DF14D" w14:textId="77777777" w:rsidR="00D271BE" w:rsidRDefault="00D271BE" w:rsidP="00D271BE">
      <w:pPr>
        <w:shd w:val="clear" w:color="auto" w:fill="FFFFFF"/>
        <w:jc w:val="both"/>
        <w:rPr>
          <w:spacing w:val="8"/>
          <w:sz w:val="24"/>
          <w:szCs w:val="24"/>
        </w:rPr>
      </w:pPr>
      <w:r w:rsidRPr="00D40929">
        <w:rPr>
          <w:spacing w:val="8"/>
          <w:sz w:val="24"/>
          <w:szCs w:val="24"/>
        </w:rPr>
        <w:t>REITs invest in different types of real estate or real estate related assets such as shopping centers, apartment buildings, office buildings, hotels, and mortgages secured by real estate. The three types of REITs include:</w:t>
      </w:r>
    </w:p>
    <w:p w14:paraId="136EF3A9" w14:textId="77777777" w:rsidR="00D271BE" w:rsidRPr="00D40929" w:rsidRDefault="00D271BE" w:rsidP="00D271BE">
      <w:pPr>
        <w:shd w:val="clear" w:color="auto" w:fill="FFFFFF"/>
        <w:jc w:val="both"/>
        <w:rPr>
          <w:spacing w:val="8"/>
          <w:sz w:val="24"/>
          <w:szCs w:val="24"/>
        </w:rPr>
      </w:pPr>
    </w:p>
    <w:p w14:paraId="22866852" w14:textId="77777777" w:rsidR="00D271BE" w:rsidRPr="00D40929" w:rsidRDefault="00D271BE" w:rsidP="00C1728B">
      <w:pPr>
        <w:numPr>
          <w:ilvl w:val="0"/>
          <w:numId w:val="114"/>
        </w:numPr>
        <w:shd w:val="clear" w:color="auto" w:fill="FFFFFF"/>
        <w:jc w:val="both"/>
        <w:rPr>
          <w:spacing w:val="8"/>
          <w:sz w:val="24"/>
          <w:szCs w:val="24"/>
        </w:rPr>
      </w:pPr>
      <w:r w:rsidRPr="00D40929">
        <w:rPr>
          <w:spacing w:val="8"/>
          <w:sz w:val="24"/>
          <w:szCs w:val="24"/>
        </w:rPr>
        <w:t xml:space="preserve">Equity REITs that invest in or own real estate with income principally from rents collected </w:t>
      </w:r>
    </w:p>
    <w:p w14:paraId="195CE809" w14:textId="77777777" w:rsidR="00D271BE" w:rsidRPr="00D40929" w:rsidRDefault="00D271BE" w:rsidP="00C1728B">
      <w:pPr>
        <w:numPr>
          <w:ilvl w:val="0"/>
          <w:numId w:val="114"/>
        </w:numPr>
        <w:shd w:val="clear" w:color="auto" w:fill="FFFFFF"/>
        <w:jc w:val="both"/>
        <w:rPr>
          <w:spacing w:val="8"/>
          <w:sz w:val="24"/>
          <w:szCs w:val="24"/>
        </w:rPr>
      </w:pPr>
      <w:r w:rsidRPr="00D40929">
        <w:rPr>
          <w:spacing w:val="8"/>
          <w:sz w:val="24"/>
          <w:szCs w:val="24"/>
        </w:rPr>
        <w:t xml:space="preserve">Mortgage REITs that lend money to owners and developers or invest in financial instruments secured by mortgages on real estate </w:t>
      </w:r>
    </w:p>
    <w:p w14:paraId="1C3E575F" w14:textId="77777777" w:rsidR="00D271BE" w:rsidRPr="00D40929" w:rsidRDefault="00D271BE" w:rsidP="00C1728B">
      <w:pPr>
        <w:numPr>
          <w:ilvl w:val="0"/>
          <w:numId w:val="114"/>
        </w:numPr>
        <w:shd w:val="clear" w:color="auto" w:fill="FFFFFF"/>
        <w:jc w:val="both"/>
        <w:rPr>
          <w:spacing w:val="8"/>
          <w:sz w:val="24"/>
          <w:szCs w:val="24"/>
        </w:rPr>
      </w:pPr>
      <w:r w:rsidRPr="00D40929">
        <w:rPr>
          <w:spacing w:val="8"/>
          <w:sz w:val="24"/>
          <w:szCs w:val="24"/>
        </w:rPr>
        <w:t>Hybrid REITs that combine the investment strategies of equity and mortgage REITs</w:t>
      </w:r>
    </w:p>
    <w:p w14:paraId="1EAA9089" w14:textId="77777777" w:rsidR="00D271BE" w:rsidRDefault="00D271BE" w:rsidP="00D271BE">
      <w:pPr>
        <w:shd w:val="clear" w:color="auto" w:fill="FFFFFF"/>
        <w:jc w:val="both"/>
        <w:rPr>
          <w:spacing w:val="8"/>
          <w:sz w:val="24"/>
          <w:szCs w:val="24"/>
        </w:rPr>
      </w:pPr>
    </w:p>
    <w:p w14:paraId="10779404" w14:textId="77777777" w:rsidR="00DB6BB2" w:rsidRDefault="00DB6BB2" w:rsidP="00DB6BB2">
      <w:pPr>
        <w:pStyle w:val="Heading3"/>
      </w:pPr>
      <w:r>
        <w:t>8.2</w:t>
      </w:r>
      <w:r w:rsidR="00C715C9">
        <w:t>4</w:t>
      </w:r>
      <w:r>
        <w:t>.1 General Guidelines</w:t>
      </w:r>
    </w:p>
    <w:p w14:paraId="5676126D" w14:textId="77777777" w:rsidR="00D271BE" w:rsidRDefault="00D271BE" w:rsidP="00DB6BB2">
      <w:pPr>
        <w:shd w:val="clear" w:color="auto" w:fill="FFFFFF"/>
        <w:ind w:left="270"/>
        <w:jc w:val="both"/>
        <w:rPr>
          <w:spacing w:val="8"/>
          <w:sz w:val="24"/>
          <w:szCs w:val="24"/>
        </w:rPr>
      </w:pPr>
      <w:r w:rsidRPr="00D40929">
        <w:rPr>
          <w:spacing w:val="8"/>
          <w:sz w:val="24"/>
          <w:szCs w:val="24"/>
        </w:rPr>
        <w:t>REITs trade on national exchanges or in the over-the-counter market; some mutual funds specialize in public real estate. Some REITs invest specifically in one area of real estate (for example, apartment buildings) or in one specific geographic region. REITs generally provide ongoing dividend income along with the potential for long-term capital gains.</w:t>
      </w:r>
      <w:r>
        <w:rPr>
          <w:spacing w:val="8"/>
          <w:sz w:val="24"/>
          <w:szCs w:val="24"/>
        </w:rPr>
        <w:t xml:space="preserve">  </w:t>
      </w:r>
    </w:p>
    <w:p w14:paraId="0AADC98D" w14:textId="77777777" w:rsidR="001A0648" w:rsidRDefault="001A0648" w:rsidP="00DB6BB2">
      <w:pPr>
        <w:shd w:val="clear" w:color="auto" w:fill="FFFFFF"/>
        <w:ind w:left="270"/>
        <w:jc w:val="both"/>
        <w:rPr>
          <w:spacing w:val="8"/>
          <w:sz w:val="24"/>
          <w:szCs w:val="24"/>
        </w:rPr>
      </w:pPr>
    </w:p>
    <w:p w14:paraId="4819D38E" w14:textId="77777777" w:rsidR="00D271BE" w:rsidRDefault="00D271BE" w:rsidP="00DB6BB2">
      <w:pPr>
        <w:shd w:val="clear" w:color="auto" w:fill="FFFFFF"/>
        <w:ind w:left="270"/>
        <w:jc w:val="both"/>
        <w:rPr>
          <w:spacing w:val="8"/>
          <w:sz w:val="24"/>
          <w:szCs w:val="24"/>
        </w:rPr>
      </w:pPr>
      <w:r>
        <w:rPr>
          <w:spacing w:val="8"/>
          <w:sz w:val="24"/>
          <w:szCs w:val="24"/>
        </w:rPr>
        <w:t>When offering REITS,</w:t>
      </w:r>
      <w:r w:rsidRPr="00D40929">
        <w:rPr>
          <w:spacing w:val="8"/>
          <w:sz w:val="24"/>
          <w:szCs w:val="24"/>
        </w:rPr>
        <w:t xml:space="preserve"> </w:t>
      </w:r>
      <w:r w:rsidR="00AE3D81">
        <w:rPr>
          <w:spacing w:val="8"/>
          <w:sz w:val="24"/>
          <w:szCs w:val="24"/>
        </w:rPr>
        <w:t>Associated Person</w:t>
      </w:r>
      <w:r>
        <w:rPr>
          <w:spacing w:val="8"/>
          <w:sz w:val="24"/>
          <w:szCs w:val="24"/>
        </w:rPr>
        <w:t>s must consider the following:</w:t>
      </w:r>
    </w:p>
    <w:p w14:paraId="21D5C44E" w14:textId="77777777" w:rsidR="00D271BE" w:rsidRPr="00D40929" w:rsidRDefault="001A0648" w:rsidP="00C1728B">
      <w:pPr>
        <w:numPr>
          <w:ilvl w:val="0"/>
          <w:numId w:val="115"/>
        </w:numPr>
        <w:shd w:val="clear" w:color="auto" w:fill="FFFFFF"/>
        <w:spacing w:before="100" w:beforeAutospacing="1" w:after="100" w:afterAutospacing="1" w:line="240" w:lineRule="atLeast"/>
        <w:jc w:val="both"/>
        <w:rPr>
          <w:spacing w:val="8"/>
          <w:sz w:val="24"/>
          <w:szCs w:val="24"/>
        </w:rPr>
      </w:pPr>
      <w:r>
        <w:rPr>
          <w:spacing w:val="8"/>
          <w:sz w:val="24"/>
          <w:szCs w:val="24"/>
        </w:rPr>
        <w:t>T</w:t>
      </w:r>
      <w:r w:rsidR="00D271BE" w:rsidRPr="00D40929">
        <w:rPr>
          <w:spacing w:val="8"/>
          <w:sz w:val="24"/>
          <w:szCs w:val="24"/>
        </w:rPr>
        <w:t>he suitability of recommending a REIT, consider the investor's investment objectives and need for income and the risks of the REIT including the use of leverage</w:t>
      </w:r>
      <w:r w:rsidR="000C6E81">
        <w:rPr>
          <w:spacing w:val="8"/>
          <w:sz w:val="24"/>
          <w:szCs w:val="24"/>
        </w:rPr>
        <w:t>.</w:t>
      </w:r>
      <w:r w:rsidR="00D271BE" w:rsidRPr="00D40929">
        <w:rPr>
          <w:spacing w:val="8"/>
          <w:sz w:val="24"/>
          <w:szCs w:val="24"/>
        </w:rPr>
        <w:t xml:space="preserve"> </w:t>
      </w:r>
    </w:p>
    <w:p w14:paraId="20D8B662" w14:textId="77777777" w:rsidR="00D271BE" w:rsidRPr="00D40929" w:rsidRDefault="00D271BE" w:rsidP="00C1728B">
      <w:pPr>
        <w:numPr>
          <w:ilvl w:val="0"/>
          <w:numId w:val="115"/>
        </w:numPr>
        <w:shd w:val="clear" w:color="auto" w:fill="FFFFFF"/>
        <w:spacing w:before="100" w:beforeAutospacing="1" w:after="100" w:afterAutospacing="1" w:line="240" w:lineRule="atLeast"/>
        <w:jc w:val="both"/>
        <w:rPr>
          <w:spacing w:val="8"/>
          <w:sz w:val="24"/>
          <w:szCs w:val="24"/>
        </w:rPr>
      </w:pPr>
      <w:r w:rsidRPr="00D40929">
        <w:rPr>
          <w:spacing w:val="8"/>
          <w:sz w:val="24"/>
          <w:szCs w:val="24"/>
        </w:rPr>
        <w:t>Apply a volume discount if it is available</w:t>
      </w:r>
      <w:r w:rsidR="000C6E81">
        <w:rPr>
          <w:spacing w:val="8"/>
          <w:sz w:val="24"/>
          <w:szCs w:val="24"/>
        </w:rPr>
        <w:t>.</w:t>
      </w:r>
      <w:r w:rsidRPr="00D40929">
        <w:rPr>
          <w:spacing w:val="8"/>
          <w:sz w:val="24"/>
          <w:szCs w:val="24"/>
        </w:rPr>
        <w:t xml:space="preserve"> </w:t>
      </w:r>
    </w:p>
    <w:p w14:paraId="34D9A378" w14:textId="77777777" w:rsidR="00D271BE" w:rsidRPr="00D40929" w:rsidRDefault="00D271BE" w:rsidP="00C1728B">
      <w:pPr>
        <w:numPr>
          <w:ilvl w:val="0"/>
          <w:numId w:val="115"/>
        </w:numPr>
        <w:shd w:val="clear" w:color="auto" w:fill="FFFFFF"/>
        <w:spacing w:before="100" w:beforeAutospacing="1" w:after="100" w:afterAutospacing="1" w:line="240" w:lineRule="atLeast"/>
        <w:jc w:val="both"/>
        <w:rPr>
          <w:spacing w:val="8"/>
          <w:sz w:val="24"/>
          <w:szCs w:val="24"/>
        </w:rPr>
      </w:pPr>
      <w:r w:rsidRPr="00D40929">
        <w:rPr>
          <w:spacing w:val="8"/>
          <w:sz w:val="24"/>
          <w:szCs w:val="24"/>
        </w:rPr>
        <w:t xml:space="preserve">For unlisted REITs, consider liquidity and marketability and advise the investor of such risks [FINRA Rule 2810(b)(3)(D)] </w:t>
      </w:r>
    </w:p>
    <w:p w14:paraId="1C611294" w14:textId="77777777" w:rsidR="00D271BE" w:rsidRPr="00D40929" w:rsidRDefault="00D271BE" w:rsidP="00C1728B">
      <w:pPr>
        <w:numPr>
          <w:ilvl w:val="0"/>
          <w:numId w:val="115"/>
        </w:numPr>
        <w:shd w:val="clear" w:color="auto" w:fill="FFFFFF"/>
        <w:spacing w:before="100" w:beforeAutospacing="1" w:after="100" w:afterAutospacing="1" w:line="240" w:lineRule="atLeast"/>
        <w:jc w:val="both"/>
        <w:rPr>
          <w:spacing w:val="8"/>
          <w:sz w:val="24"/>
          <w:szCs w:val="24"/>
        </w:rPr>
      </w:pPr>
      <w:r w:rsidRPr="00D40929">
        <w:rPr>
          <w:spacing w:val="8"/>
          <w:sz w:val="24"/>
          <w:szCs w:val="24"/>
        </w:rPr>
        <w:t>Customer account statements may include valuations and disclosures regarding certain REITs [FINRA Rule 28</w:t>
      </w:r>
      <w:r w:rsidR="000C6E81">
        <w:rPr>
          <w:spacing w:val="8"/>
          <w:sz w:val="24"/>
          <w:szCs w:val="24"/>
        </w:rPr>
        <w:t>10(b), Notice to Members 01-08].</w:t>
      </w:r>
    </w:p>
    <w:p w14:paraId="53128564" w14:textId="77777777" w:rsidR="00D271BE" w:rsidRDefault="00D271BE" w:rsidP="00C1728B">
      <w:pPr>
        <w:numPr>
          <w:ilvl w:val="0"/>
          <w:numId w:val="115"/>
        </w:numPr>
        <w:shd w:val="clear" w:color="auto" w:fill="FFFFFF"/>
        <w:spacing w:before="100" w:beforeAutospacing="1" w:after="100" w:afterAutospacing="1" w:line="240" w:lineRule="atLeast"/>
        <w:jc w:val="both"/>
        <w:rPr>
          <w:spacing w:val="8"/>
          <w:sz w:val="24"/>
          <w:szCs w:val="24"/>
        </w:rPr>
      </w:pPr>
      <w:r w:rsidRPr="00D40929">
        <w:rPr>
          <w:spacing w:val="8"/>
          <w:sz w:val="24"/>
          <w:szCs w:val="24"/>
        </w:rPr>
        <w:t>Requirements regarding sales contests and cash/non-cash compensation apply to REITs [FINRA Rule 2810, Notice to Members 05-40]</w:t>
      </w:r>
      <w:r w:rsidR="000C6E81">
        <w:rPr>
          <w:spacing w:val="8"/>
          <w:sz w:val="24"/>
          <w:szCs w:val="24"/>
        </w:rPr>
        <w:t>.</w:t>
      </w:r>
    </w:p>
    <w:p w14:paraId="08942E10" w14:textId="77777777" w:rsidR="00AE3D81" w:rsidRPr="00D40929" w:rsidRDefault="00AE3D81" w:rsidP="00C1728B">
      <w:pPr>
        <w:numPr>
          <w:ilvl w:val="0"/>
          <w:numId w:val="115"/>
        </w:numPr>
        <w:shd w:val="clear" w:color="auto" w:fill="FFFFFF"/>
        <w:spacing w:before="100" w:beforeAutospacing="1" w:after="100" w:afterAutospacing="1" w:line="240" w:lineRule="atLeast"/>
        <w:jc w:val="both"/>
        <w:rPr>
          <w:spacing w:val="8"/>
          <w:sz w:val="24"/>
          <w:szCs w:val="24"/>
        </w:rPr>
      </w:pPr>
      <w:r>
        <w:rPr>
          <w:spacing w:val="8"/>
          <w:sz w:val="24"/>
          <w:szCs w:val="24"/>
        </w:rPr>
        <w:t>Orders to be reviewed by a principal</w:t>
      </w:r>
      <w:r w:rsidR="000C6E81">
        <w:rPr>
          <w:spacing w:val="8"/>
          <w:sz w:val="24"/>
          <w:szCs w:val="24"/>
        </w:rPr>
        <w:t>.</w:t>
      </w:r>
    </w:p>
    <w:p w14:paraId="37B7E265" w14:textId="77777777" w:rsidR="00D271BE" w:rsidRDefault="00D271BE" w:rsidP="00D271BE"/>
    <w:p w14:paraId="24751A94" w14:textId="77777777" w:rsidR="00CA1E14" w:rsidRDefault="00DB6BB2" w:rsidP="00DB6BB2">
      <w:pPr>
        <w:pStyle w:val="Heading3"/>
      </w:pPr>
      <w:r>
        <w:t>8.2</w:t>
      </w:r>
      <w:r w:rsidR="00C715C9">
        <w:t>4</w:t>
      </w:r>
      <w:r>
        <w:t>.2 Private and Non-traded REITs</w:t>
      </w:r>
    </w:p>
    <w:p w14:paraId="3B896A18" w14:textId="77777777" w:rsidR="00DB6BB2" w:rsidRPr="00472765" w:rsidRDefault="00DB6BB2" w:rsidP="00DB6BB2">
      <w:pPr>
        <w:ind w:left="270"/>
        <w:rPr>
          <w:sz w:val="24"/>
          <w:szCs w:val="24"/>
        </w:rPr>
      </w:pPr>
      <w:r w:rsidRPr="00472765">
        <w:rPr>
          <w:sz w:val="24"/>
          <w:szCs w:val="24"/>
        </w:rPr>
        <w:t>Private and non-traded REITs are companies whose shares do not trade on a national stock exchange. They generally operate like unit investment trusts by purchasing assets that are held for a fixed amount of time, often 7 to 10 years, and will either sell off the properties or do an IPO at the end to exit the fund and deliver returns to shareholders.</w:t>
      </w:r>
    </w:p>
    <w:p w14:paraId="21B7FBC1" w14:textId="77777777" w:rsidR="00DB6BB2" w:rsidRPr="00472765" w:rsidRDefault="00DB6BB2" w:rsidP="00DB6BB2">
      <w:pPr>
        <w:spacing w:before="100" w:beforeAutospacing="1" w:after="100" w:afterAutospacing="1"/>
        <w:ind w:left="270"/>
        <w:rPr>
          <w:sz w:val="24"/>
          <w:szCs w:val="24"/>
        </w:rPr>
      </w:pPr>
      <w:r w:rsidRPr="00472765">
        <w:rPr>
          <w:sz w:val="24"/>
          <w:szCs w:val="24"/>
        </w:rPr>
        <w:t>There are features and risks which RRs must be familiar with prior to recommending a private or non-traded REIT.</w:t>
      </w:r>
    </w:p>
    <w:p w14:paraId="2A41D735" w14:textId="77777777" w:rsidR="00DB6BB2" w:rsidRPr="00472765" w:rsidRDefault="00DB6BB2" w:rsidP="003E7B18">
      <w:pPr>
        <w:numPr>
          <w:ilvl w:val="0"/>
          <w:numId w:val="213"/>
        </w:numPr>
        <w:spacing w:before="100" w:beforeAutospacing="1" w:after="100" w:afterAutospacing="1"/>
        <w:rPr>
          <w:sz w:val="24"/>
          <w:szCs w:val="24"/>
        </w:rPr>
      </w:pPr>
      <w:r w:rsidRPr="00472765">
        <w:rPr>
          <w:sz w:val="24"/>
          <w:szCs w:val="24"/>
        </w:rPr>
        <w:t xml:space="preserve">Sales costs are deducted from the offering price. </w:t>
      </w:r>
    </w:p>
    <w:p w14:paraId="3AE9D9A8" w14:textId="77777777" w:rsidR="00DB6BB2" w:rsidRPr="00472765" w:rsidRDefault="00DB6BB2" w:rsidP="003E7B18">
      <w:pPr>
        <w:numPr>
          <w:ilvl w:val="0"/>
          <w:numId w:val="213"/>
        </w:numPr>
        <w:spacing w:before="100" w:beforeAutospacing="1" w:after="100" w:afterAutospacing="1"/>
        <w:rPr>
          <w:sz w:val="24"/>
          <w:szCs w:val="24"/>
        </w:rPr>
      </w:pPr>
      <w:r w:rsidRPr="00472765">
        <w:rPr>
          <w:sz w:val="24"/>
          <w:szCs w:val="24"/>
        </w:rPr>
        <w:t xml:space="preserve">The investment is illiquid during the term of investment which may be 7 to 10 years. Trying to liquidate the investment earlier is often difficult or costly or may be impossible. </w:t>
      </w:r>
    </w:p>
    <w:p w14:paraId="384FCDDC" w14:textId="77777777" w:rsidR="00DB6BB2" w:rsidRPr="00472765" w:rsidRDefault="00DB6BB2" w:rsidP="003E7B18">
      <w:pPr>
        <w:numPr>
          <w:ilvl w:val="0"/>
          <w:numId w:val="213"/>
        </w:numPr>
        <w:spacing w:before="100" w:beforeAutospacing="1" w:after="100" w:afterAutospacing="1"/>
        <w:rPr>
          <w:sz w:val="24"/>
          <w:szCs w:val="24"/>
        </w:rPr>
      </w:pPr>
      <w:r w:rsidRPr="00472765">
        <w:rPr>
          <w:sz w:val="24"/>
          <w:szCs w:val="24"/>
        </w:rPr>
        <w:t xml:space="preserve">Many companies offer some form of redemption </w:t>
      </w:r>
      <w:r w:rsidR="00D0432A" w:rsidRPr="00472765">
        <w:rPr>
          <w:sz w:val="24"/>
          <w:szCs w:val="24"/>
        </w:rPr>
        <w:t>plan,</w:t>
      </w:r>
      <w:r w:rsidRPr="00472765">
        <w:rPr>
          <w:sz w:val="24"/>
          <w:szCs w:val="24"/>
        </w:rPr>
        <w:t xml:space="preserve"> but these are very limited, often limited to 3% of the shares outstanding in a year and involve a significant penalty. </w:t>
      </w:r>
    </w:p>
    <w:p w14:paraId="689943DE" w14:textId="77777777" w:rsidR="00DB6BB2" w:rsidRPr="00472765" w:rsidRDefault="00DB6BB2" w:rsidP="003E7B18">
      <w:pPr>
        <w:numPr>
          <w:ilvl w:val="0"/>
          <w:numId w:val="213"/>
        </w:numPr>
        <w:spacing w:before="100" w:beforeAutospacing="1" w:after="100" w:afterAutospacing="1"/>
        <w:rPr>
          <w:sz w:val="24"/>
          <w:szCs w:val="24"/>
        </w:rPr>
      </w:pPr>
      <w:r w:rsidRPr="00472765">
        <w:rPr>
          <w:sz w:val="24"/>
          <w:szCs w:val="24"/>
        </w:rPr>
        <w:t xml:space="preserve">The fixed portfolio and long-term horizon provide a level of stability since the REIT is not required to sell properties to meet investor liquidation requirements. </w:t>
      </w:r>
    </w:p>
    <w:p w14:paraId="5ACD7869" w14:textId="1C75E533" w:rsidR="00DB6BB2" w:rsidRPr="00472765" w:rsidRDefault="00DB6BB2" w:rsidP="003E7B18">
      <w:pPr>
        <w:numPr>
          <w:ilvl w:val="0"/>
          <w:numId w:val="213"/>
        </w:numPr>
        <w:spacing w:before="100" w:beforeAutospacing="1" w:after="100" w:afterAutospacing="1"/>
        <w:rPr>
          <w:sz w:val="24"/>
          <w:szCs w:val="24"/>
        </w:rPr>
      </w:pPr>
      <w:r w:rsidRPr="00472765">
        <w:rPr>
          <w:sz w:val="24"/>
          <w:szCs w:val="24"/>
        </w:rPr>
        <w:t xml:space="preserve">Non-traded REITs pay monthly or quarterly dividends which may be higher than </w:t>
      </w:r>
      <w:r w:rsidR="00421A3E" w:rsidRPr="00472765">
        <w:rPr>
          <w:sz w:val="24"/>
          <w:szCs w:val="24"/>
        </w:rPr>
        <w:t>publicly traded</w:t>
      </w:r>
      <w:r w:rsidRPr="00472765">
        <w:rPr>
          <w:sz w:val="24"/>
          <w:szCs w:val="24"/>
        </w:rPr>
        <w:t xml:space="preserve"> REITs; however, dividends are not guaranteed. </w:t>
      </w:r>
    </w:p>
    <w:p w14:paraId="1791290B" w14:textId="77777777" w:rsidR="00DB6BB2" w:rsidRPr="00472765" w:rsidRDefault="00DB6BB2" w:rsidP="003E7B18">
      <w:pPr>
        <w:numPr>
          <w:ilvl w:val="0"/>
          <w:numId w:val="213"/>
        </w:numPr>
        <w:spacing w:before="100" w:beforeAutospacing="1" w:after="100" w:afterAutospacing="1"/>
        <w:rPr>
          <w:sz w:val="24"/>
          <w:szCs w:val="24"/>
        </w:rPr>
      </w:pPr>
      <w:r w:rsidRPr="00472765">
        <w:rPr>
          <w:sz w:val="24"/>
          <w:szCs w:val="24"/>
        </w:rPr>
        <w:t xml:space="preserve">Dividends may include repayment of principal in early stages of the program. </w:t>
      </w:r>
    </w:p>
    <w:p w14:paraId="36E036C1" w14:textId="3616E689" w:rsidR="00DB6BB2" w:rsidRPr="00472765" w:rsidRDefault="00DB6BB2" w:rsidP="003E7B18">
      <w:pPr>
        <w:numPr>
          <w:ilvl w:val="0"/>
          <w:numId w:val="213"/>
        </w:numPr>
        <w:spacing w:before="100" w:beforeAutospacing="1" w:after="100" w:afterAutospacing="1"/>
        <w:rPr>
          <w:sz w:val="24"/>
          <w:szCs w:val="24"/>
        </w:rPr>
      </w:pPr>
      <w:r w:rsidRPr="00472765">
        <w:rPr>
          <w:sz w:val="24"/>
          <w:szCs w:val="24"/>
        </w:rPr>
        <w:t xml:space="preserve">Private REITs are not required to provide the same level of quarterly disclosure as </w:t>
      </w:r>
      <w:r w:rsidR="00421A3E" w:rsidRPr="00472765">
        <w:rPr>
          <w:sz w:val="24"/>
          <w:szCs w:val="24"/>
        </w:rPr>
        <w:t>publicly traded</w:t>
      </w:r>
      <w:r w:rsidRPr="00472765">
        <w:rPr>
          <w:sz w:val="24"/>
          <w:szCs w:val="24"/>
        </w:rPr>
        <w:t xml:space="preserve"> REITs. </w:t>
      </w:r>
    </w:p>
    <w:p w14:paraId="52A166F3" w14:textId="77777777" w:rsidR="00AE285B" w:rsidRPr="00472765" w:rsidRDefault="00DB6BB2" w:rsidP="003E7B18">
      <w:pPr>
        <w:numPr>
          <w:ilvl w:val="0"/>
          <w:numId w:val="213"/>
        </w:numPr>
        <w:spacing w:before="100" w:beforeAutospacing="1" w:after="100" w:afterAutospacing="1"/>
        <w:rPr>
          <w:sz w:val="24"/>
          <w:szCs w:val="24"/>
        </w:rPr>
      </w:pPr>
      <w:r w:rsidRPr="00472765">
        <w:rPr>
          <w:sz w:val="24"/>
          <w:szCs w:val="24"/>
        </w:rPr>
        <w:t>They impose minimum income and/or net worth requirements</w:t>
      </w:r>
      <w:r w:rsidR="00AE285B" w:rsidRPr="00472765">
        <w:rPr>
          <w:sz w:val="24"/>
          <w:szCs w:val="24"/>
        </w:rPr>
        <w:t xml:space="preserve">. </w:t>
      </w:r>
    </w:p>
    <w:p w14:paraId="14F75424" w14:textId="77777777" w:rsidR="00DB6BB2" w:rsidRDefault="00DB6BB2" w:rsidP="00C074A9">
      <w:pPr>
        <w:ind w:left="360"/>
        <w:rPr>
          <w:sz w:val="24"/>
          <w:szCs w:val="24"/>
        </w:rPr>
      </w:pPr>
      <w:r w:rsidRPr="00472765">
        <w:rPr>
          <w:sz w:val="24"/>
          <w:szCs w:val="24"/>
        </w:rPr>
        <w:t>RRs are obligated to determine the investor meets the requirements and completes any necessary subscription agreements.</w:t>
      </w:r>
    </w:p>
    <w:p w14:paraId="6F63B713" w14:textId="77777777" w:rsidR="00C074A9" w:rsidRPr="00472765" w:rsidRDefault="00C074A9" w:rsidP="00C074A9">
      <w:pPr>
        <w:ind w:left="360"/>
        <w:rPr>
          <w:sz w:val="24"/>
          <w:szCs w:val="24"/>
        </w:rPr>
      </w:pPr>
    </w:p>
    <w:p w14:paraId="5F73577A" w14:textId="77777777" w:rsidR="00DB6BB2" w:rsidRPr="00DB6BB2" w:rsidRDefault="00DB6BB2" w:rsidP="00C074A9"/>
    <w:p w14:paraId="66EFBBA9" w14:textId="77777777" w:rsidR="00CA1E14" w:rsidRDefault="00CA1E14" w:rsidP="00936FEE">
      <w:pPr>
        <w:pStyle w:val="Heading2"/>
      </w:pPr>
      <w:r w:rsidRPr="00923FB2">
        <w:t>8.2</w:t>
      </w:r>
      <w:r w:rsidR="00C715C9">
        <w:t>5</w:t>
      </w:r>
      <w:r w:rsidRPr="00923FB2">
        <w:t xml:space="preserve"> ETF</w:t>
      </w:r>
      <w:r w:rsidR="00D14A2D">
        <w:t>s</w:t>
      </w:r>
      <w:r w:rsidRPr="00923FB2">
        <w:t xml:space="preserve"> – Exchange Traded Fund</w:t>
      </w:r>
      <w:r>
        <w:t>s</w:t>
      </w:r>
    </w:p>
    <w:p w14:paraId="15FF2228" w14:textId="77777777" w:rsidR="009C322C" w:rsidRPr="001F0DBA" w:rsidRDefault="009C322C" w:rsidP="009C322C">
      <w:pPr>
        <w:jc w:val="both"/>
        <w:rPr>
          <w:sz w:val="24"/>
          <w:szCs w:val="24"/>
        </w:rPr>
      </w:pPr>
      <w:r w:rsidRPr="001F0DBA">
        <w:rPr>
          <w:sz w:val="24"/>
          <w:szCs w:val="24"/>
        </w:rPr>
        <w:t xml:space="preserve">ETFs are special mutual funds </w:t>
      </w:r>
      <w:r w:rsidR="00D14A2D">
        <w:rPr>
          <w:sz w:val="24"/>
          <w:szCs w:val="24"/>
        </w:rPr>
        <w:t xml:space="preserve">or UITs </w:t>
      </w:r>
      <w:r w:rsidRPr="001F0DBA">
        <w:rPr>
          <w:sz w:val="24"/>
          <w:szCs w:val="24"/>
        </w:rPr>
        <w:t xml:space="preserve">that are listed on an exchange and can be traded like stocks intraday at a price set by the market. Not all ETFs are the same.  Most ETFs attempt to replicate the performance of a stock index or bond </w:t>
      </w:r>
      <w:r w:rsidR="00811BB6" w:rsidRPr="001F0DBA">
        <w:rPr>
          <w:sz w:val="24"/>
          <w:szCs w:val="24"/>
        </w:rPr>
        <w:t>index and</w:t>
      </w:r>
      <w:r w:rsidRPr="001F0DBA">
        <w:rPr>
          <w:sz w:val="24"/>
          <w:szCs w:val="24"/>
        </w:rPr>
        <w:t xml:space="preserve"> are therefore referred to as index or index-based ETFs. Some of the most popular index ETFs track the very largest and most popular stock </w:t>
      </w:r>
      <w:r w:rsidRPr="001F0DBA">
        <w:rPr>
          <w:sz w:val="24"/>
          <w:szCs w:val="24"/>
        </w:rPr>
        <w:lastRenderedPageBreak/>
        <w:t xml:space="preserve">and bond market indices — the Standard and Poor's 500, Dow Jones Industrial Average and NASDAQ Composite Index. </w:t>
      </w:r>
    </w:p>
    <w:p w14:paraId="77CE1140" w14:textId="77777777" w:rsidR="009C322C" w:rsidRPr="001F0DBA" w:rsidRDefault="009C322C" w:rsidP="009C322C">
      <w:pPr>
        <w:jc w:val="both"/>
        <w:rPr>
          <w:sz w:val="24"/>
          <w:szCs w:val="24"/>
        </w:rPr>
      </w:pPr>
    </w:p>
    <w:p w14:paraId="3778B159" w14:textId="77777777" w:rsidR="009C322C" w:rsidRPr="00151877" w:rsidRDefault="009C322C" w:rsidP="009C322C">
      <w:pPr>
        <w:jc w:val="both"/>
        <w:rPr>
          <w:sz w:val="24"/>
          <w:szCs w:val="24"/>
        </w:rPr>
      </w:pPr>
      <w:r w:rsidRPr="001F0DBA">
        <w:rPr>
          <w:sz w:val="24"/>
          <w:szCs w:val="24"/>
        </w:rPr>
        <w:t>Other index ETFs track indices that are based on the market capitalization of the underlying companies (e.g. Small Cap ETFs). There are also index-based ETFs which track more narrow segments of the markets, such as the financial sector or individual commodities (e.g. gold). There also are Leveraged and Inverse ETFs that are designed to return a multiple of a benchmark index's performance (or inverse of performance) over a specific, pre-set time period, typically daily. Finally, there are index ETFs that track international markets, including specific countries and regions around the world. It is extremely important for Associated Persons to understand the type of ETF being considered, as each type carries its own risks and features and present such features to customers.  ETFs are subject to the same suitability standards and due to the complexity of some ETFs, they may not be suitable for most customers. A prospectus, if applicable, would need to be disseminated to the customer as well</w:t>
      </w:r>
      <w:r w:rsidR="00DD262E">
        <w:rPr>
          <w:sz w:val="24"/>
          <w:szCs w:val="24"/>
        </w:rPr>
        <w:t xml:space="preserve"> </w:t>
      </w:r>
      <w:r w:rsidR="00DD262E" w:rsidRPr="00151877">
        <w:rPr>
          <w:sz w:val="24"/>
          <w:szCs w:val="24"/>
        </w:rPr>
        <w:t>or "product description." Some ETFs have obtained exemptive relief from the SEC allowing provision of a description instead of a prospectus</w:t>
      </w:r>
      <w:r w:rsidRPr="00151877">
        <w:rPr>
          <w:sz w:val="24"/>
          <w:szCs w:val="24"/>
        </w:rPr>
        <w:t xml:space="preserve">.  </w:t>
      </w:r>
    </w:p>
    <w:p w14:paraId="2C3868CB" w14:textId="77777777" w:rsidR="002F6D09" w:rsidRPr="00151877" w:rsidRDefault="002F6D09" w:rsidP="009C322C">
      <w:pPr>
        <w:jc w:val="both"/>
        <w:rPr>
          <w:sz w:val="24"/>
          <w:szCs w:val="24"/>
        </w:rPr>
      </w:pPr>
    </w:p>
    <w:p w14:paraId="0B18F5D6" w14:textId="77777777" w:rsidR="00CA1E14" w:rsidRPr="001F0DBA" w:rsidRDefault="002F6D09" w:rsidP="009C322C">
      <w:pPr>
        <w:jc w:val="both"/>
        <w:rPr>
          <w:sz w:val="24"/>
          <w:szCs w:val="24"/>
        </w:rPr>
      </w:pPr>
      <w:r w:rsidRPr="001F0DBA">
        <w:rPr>
          <w:sz w:val="24"/>
          <w:szCs w:val="24"/>
        </w:rPr>
        <w:t>Leveraged and Inverse ETFs are not designed for buy-and-hold investors to track an index over a long period of time but rather reset daily.  They are intended for very aggressive, sophisticated investors and typically unsuitable for retail investors.   Associated Persons may not recommend an inverse or leveraged ETF without approval from Morris Monroe.</w:t>
      </w:r>
    </w:p>
    <w:p w14:paraId="579BCE29" w14:textId="77777777" w:rsidR="002F6D09" w:rsidRPr="001F0DBA" w:rsidRDefault="002F6D09" w:rsidP="009C322C">
      <w:pPr>
        <w:jc w:val="both"/>
        <w:rPr>
          <w:sz w:val="24"/>
          <w:szCs w:val="24"/>
        </w:rPr>
      </w:pPr>
    </w:p>
    <w:p w14:paraId="0F40D64F" w14:textId="77777777" w:rsidR="00CA1E14" w:rsidRPr="00CA1E14" w:rsidRDefault="00CA1E14" w:rsidP="00CA1E14"/>
    <w:p w14:paraId="456A5F41" w14:textId="77777777" w:rsidR="0062542F" w:rsidRPr="00AB24AF" w:rsidRDefault="0062542F" w:rsidP="00936FEE">
      <w:pPr>
        <w:pStyle w:val="Heading2"/>
      </w:pPr>
      <w:r w:rsidRPr="00AB24AF">
        <w:t>8.2</w:t>
      </w:r>
      <w:r w:rsidR="00C715C9">
        <w:t>6</w:t>
      </w:r>
      <w:r w:rsidRPr="00AB24AF">
        <w:t xml:space="preserve"> Limit Order Procedures</w:t>
      </w:r>
    </w:p>
    <w:p w14:paraId="1CD51031" w14:textId="77777777" w:rsidR="00FB0641" w:rsidRPr="00DC3A89" w:rsidRDefault="00FB0641" w:rsidP="00FB0641">
      <w:pPr>
        <w:pStyle w:val="BodyText3"/>
        <w:keepNext/>
        <w:pBdr>
          <w:top w:val="none" w:sz="0" w:space="0" w:color="auto"/>
          <w:left w:val="none" w:sz="0" w:space="0" w:color="auto"/>
          <w:bottom w:val="none" w:sz="0" w:space="0" w:color="auto"/>
          <w:right w:val="none" w:sz="0" w:space="0" w:color="auto"/>
        </w:pBdr>
        <w:shd w:val="clear" w:color="auto" w:fill="auto"/>
        <w:tabs>
          <w:tab w:val="left" w:pos="4140"/>
        </w:tabs>
        <w:jc w:val="both"/>
        <w:rPr>
          <w:szCs w:val="24"/>
        </w:rPr>
      </w:pPr>
      <w:r>
        <w:rPr>
          <w:szCs w:val="24"/>
        </w:rPr>
        <w:t xml:space="preserve">The Company does not execute orders.  All limit orders are forwarded to </w:t>
      </w:r>
      <w:r w:rsidR="00E02109" w:rsidRPr="00DC3A89">
        <w:rPr>
          <w:szCs w:val="24"/>
        </w:rPr>
        <w:t>Hilltop</w:t>
      </w:r>
      <w:r w:rsidRPr="00DC3A89">
        <w:rPr>
          <w:szCs w:val="24"/>
        </w:rPr>
        <w:t xml:space="preserve"> Securities for routing</w:t>
      </w:r>
      <w:r w:rsidR="003D2470" w:rsidRPr="00DC3A89">
        <w:rPr>
          <w:szCs w:val="24"/>
        </w:rPr>
        <w:t xml:space="preserve">. </w:t>
      </w:r>
      <w:r w:rsidRPr="00DC3A89">
        <w:rPr>
          <w:szCs w:val="24"/>
        </w:rPr>
        <w:t xml:space="preserve"> If a customer requests that a limit order not be displayed, the request shall be forwarded to </w:t>
      </w:r>
      <w:r w:rsidR="00E02109" w:rsidRPr="00DC3A89">
        <w:rPr>
          <w:szCs w:val="24"/>
        </w:rPr>
        <w:t>Hilltop</w:t>
      </w:r>
      <w:r w:rsidRPr="00DC3A89">
        <w:rPr>
          <w:szCs w:val="24"/>
        </w:rPr>
        <w:t xml:space="preserve"> Securities along with the order.</w:t>
      </w:r>
    </w:p>
    <w:p w14:paraId="34DAD788" w14:textId="77777777" w:rsidR="00FB0641" w:rsidRPr="00DC3A89" w:rsidRDefault="00FB0641" w:rsidP="00FB0641">
      <w:pPr>
        <w:jc w:val="both"/>
        <w:rPr>
          <w:sz w:val="24"/>
        </w:rPr>
      </w:pPr>
    </w:p>
    <w:p w14:paraId="4A8B4AEE" w14:textId="77777777" w:rsidR="00FB0641" w:rsidRDefault="00FB0641" w:rsidP="00FB0641">
      <w:pPr>
        <w:jc w:val="both"/>
        <w:rPr>
          <w:sz w:val="24"/>
        </w:rPr>
      </w:pPr>
      <w:r>
        <w:rPr>
          <w:sz w:val="24"/>
        </w:rPr>
        <w:t xml:space="preserve">However, it is a policy of the Company that in keeping with the Board of Governor’s Interpretation of </w:t>
      </w:r>
      <w:r w:rsidRPr="0035367E">
        <w:rPr>
          <w:sz w:val="24"/>
        </w:rPr>
        <w:t>FINRA Conduct Rule</w:t>
      </w:r>
      <w:r w:rsidR="0062542F">
        <w:rPr>
          <w:sz w:val="24"/>
        </w:rPr>
        <w:t xml:space="preserve"> 2010</w:t>
      </w:r>
      <w:r w:rsidRPr="0035367E">
        <w:rPr>
          <w:sz w:val="24"/>
        </w:rPr>
        <w:t xml:space="preserve"> and FINRA</w:t>
      </w:r>
      <w:r>
        <w:rPr>
          <w:sz w:val="24"/>
        </w:rPr>
        <w:t xml:space="preserve"> Conduct Rule 2320 (“Best Execution Rule”) to the extent the Company acts as a market maker and handles customer limit orders, whether received from customers of the Company or from customers of another broker/dealer, the Company shall not trade at prices equal to or superior to that of the customer’s limit order without executing the limit order. Further, the Company shall not rely on any so called “safe harbor” to trade ahead of a customer limit order.  Currently, the Company does not act as a market maker.  In addition, the Company does not trade for its own account and therefore the </w:t>
      </w:r>
      <w:r>
        <w:rPr>
          <w:b/>
          <w:bCs/>
          <w:sz w:val="24"/>
        </w:rPr>
        <w:t>Manning Rule</w:t>
      </w:r>
      <w:r>
        <w:rPr>
          <w:sz w:val="24"/>
        </w:rPr>
        <w:t xml:space="preserve"> does not apply.</w:t>
      </w:r>
    </w:p>
    <w:p w14:paraId="5CC67416" w14:textId="77777777" w:rsidR="00FB0641" w:rsidRDefault="00FB0641" w:rsidP="00FB0641">
      <w:pPr>
        <w:jc w:val="both"/>
        <w:rPr>
          <w:sz w:val="24"/>
        </w:rPr>
      </w:pPr>
    </w:p>
    <w:p w14:paraId="446051D9" w14:textId="77777777" w:rsidR="00FB0641" w:rsidRDefault="00FB0641" w:rsidP="00FB0641">
      <w:pPr>
        <w:jc w:val="both"/>
        <w:rPr>
          <w:sz w:val="24"/>
        </w:rPr>
      </w:pPr>
      <w:r>
        <w:rPr>
          <w:sz w:val="24"/>
        </w:rPr>
        <w:t xml:space="preserve">Further, it shall be the responsibility of Morris Monroe or his designee to make clear to institutional customers of the Company the terms and conditions under which institutional accounts or appropriately sized customer limit orders are to be accepted at the time the order is accepted by the Company so that trading ahead in </w:t>
      </w:r>
      <w:r w:rsidR="00BB47CC">
        <w:rPr>
          <w:sz w:val="24"/>
        </w:rPr>
        <w:t>its</w:t>
      </w:r>
      <w:r>
        <w:rPr>
          <w:sz w:val="24"/>
        </w:rPr>
        <w:t xml:space="preserve"> market making capacity does not occur. It is a policy of the Company that by accepting a customer limit order, the Company owes its customers duties of “best execution” regardless of whether the orders are executed through the Company’s market making activities or sent to another broker/dealer for execution.  Currently, the Company does not act as a market maker.</w:t>
      </w:r>
    </w:p>
    <w:p w14:paraId="3E30D437" w14:textId="77777777" w:rsidR="00FB0641" w:rsidRDefault="00FB0641" w:rsidP="00FB0641">
      <w:pPr>
        <w:jc w:val="both"/>
        <w:rPr>
          <w:sz w:val="24"/>
        </w:rPr>
      </w:pPr>
    </w:p>
    <w:p w14:paraId="724A0869" w14:textId="77777777" w:rsidR="00FB0641" w:rsidRDefault="007D261C" w:rsidP="00FB0641">
      <w:pPr>
        <w:jc w:val="both"/>
        <w:rPr>
          <w:sz w:val="24"/>
        </w:rPr>
      </w:pPr>
      <w:r>
        <w:rPr>
          <w:sz w:val="24"/>
        </w:rPr>
        <w:t>If applicable, i</w:t>
      </w:r>
      <w:r w:rsidR="00FB0641">
        <w:rPr>
          <w:sz w:val="24"/>
        </w:rPr>
        <w:t xml:space="preserve">n stocks where </w:t>
      </w:r>
      <w:r>
        <w:rPr>
          <w:sz w:val="24"/>
        </w:rPr>
        <w:t>Company</w:t>
      </w:r>
      <w:r w:rsidR="00FB0641">
        <w:rPr>
          <w:sz w:val="24"/>
        </w:rPr>
        <w:t xml:space="preserve"> is not a market maker, customer limit orders under 10,000 shares will be reflected through the use of electronic approved trading mediums (ECN’s)</w:t>
      </w:r>
      <w:r>
        <w:rPr>
          <w:sz w:val="24"/>
        </w:rPr>
        <w:t xml:space="preserve">. </w:t>
      </w:r>
      <w:r w:rsidR="00FB0641">
        <w:rPr>
          <w:sz w:val="24"/>
        </w:rPr>
        <w:t xml:space="preserve">As a </w:t>
      </w:r>
      <w:r w:rsidR="00FB0641">
        <w:rPr>
          <w:sz w:val="24"/>
        </w:rPr>
        <w:lastRenderedPageBreak/>
        <w:t>backup due to system problems over-capacity or ECN problems, all limit orders that need to be reflected will be routed to other market makers</w:t>
      </w:r>
      <w:r>
        <w:rPr>
          <w:sz w:val="24"/>
        </w:rPr>
        <w:t xml:space="preserve">.  </w:t>
      </w:r>
      <w:r w:rsidR="00FB0641">
        <w:rPr>
          <w:sz w:val="24"/>
        </w:rPr>
        <w:t xml:space="preserve"> </w:t>
      </w:r>
    </w:p>
    <w:p w14:paraId="1D319A75" w14:textId="77777777" w:rsidR="007D261C" w:rsidRDefault="007D261C" w:rsidP="00FB0641">
      <w:pPr>
        <w:jc w:val="both"/>
        <w:rPr>
          <w:sz w:val="24"/>
        </w:rPr>
      </w:pPr>
    </w:p>
    <w:p w14:paraId="12FF4D27" w14:textId="77777777" w:rsidR="00FB0641" w:rsidRDefault="00FB0641" w:rsidP="00FB0641">
      <w:pPr>
        <w:jc w:val="both"/>
        <w:rPr>
          <w:sz w:val="24"/>
        </w:rPr>
      </w:pPr>
      <w:r>
        <w:rPr>
          <w:sz w:val="24"/>
        </w:rPr>
        <w:t xml:space="preserve">Since </w:t>
      </w:r>
      <w:r w:rsidR="007D261C">
        <w:rPr>
          <w:sz w:val="24"/>
        </w:rPr>
        <w:t>Company</w:t>
      </w:r>
      <w:r>
        <w:rPr>
          <w:sz w:val="24"/>
        </w:rPr>
        <w:t xml:space="preserve"> is </w:t>
      </w:r>
      <w:r w:rsidR="007D261C">
        <w:rPr>
          <w:sz w:val="24"/>
        </w:rPr>
        <w:t xml:space="preserve">currently </w:t>
      </w:r>
      <w:r>
        <w:rPr>
          <w:sz w:val="24"/>
        </w:rPr>
        <w:t xml:space="preserve">not a market maker, customer limit orders will be placed with the clearing firm or those broker/dealers who we have a payment for order flow.  </w:t>
      </w:r>
    </w:p>
    <w:p w14:paraId="673F920E" w14:textId="77777777" w:rsidR="00FB0641" w:rsidRDefault="00FB0641" w:rsidP="00FB0641">
      <w:pPr>
        <w:jc w:val="both"/>
        <w:rPr>
          <w:sz w:val="24"/>
        </w:rPr>
      </w:pPr>
    </w:p>
    <w:p w14:paraId="0CD30878" w14:textId="77777777" w:rsidR="00FB0641" w:rsidRDefault="00FB0641" w:rsidP="00FB0641">
      <w:pPr>
        <w:jc w:val="both"/>
        <w:rPr>
          <w:sz w:val="24"/>
        </w:rPr>
      </w:pPr>
      <w:r>
        <w:rPr>
          <w:sz w:val="24"/>
        </w:rPr>
        <w:t xml:space="preserve">Any limit </w:t>
      </w:r>
      <w:proofErr w:type="gramStart"/>
      <w:r>
        <w:rPr>
          <w:sz w:val="24"/>
        </w:rPr>
        <w:t>order</w:t>
      </w:r>
      <w:proofErr w:type="gramEnd"/>
      <w:r>
        <w:rPr>
          <w:sz w:val="24"/>
        </w:rPr>
        <w:t xml:space="preserve"> a customer requests not be reflected amongst competing quotes will be honored.</w:t>
      </w:r>
    </w:p>
    <w:p w14:paraId="16F88DDB" w14:textId="77777777" w:rsidR="00FB0641" w:rsidRDefault="00FB0641" w:rsidP="00FB0641">
      <w:pPr>
        <w:jc w:val="both"/>
        <w:rPr>
          <w:sz w:val="24"/>
        </w:rPr>
      </w:pPr>
    </w:p>
    <w:p w14:paraId="5866CF1E" w14:textId="77777777" w:rsidR="0062542F" w:rsidRDefault="0062542F" w:rsidP="00A634B6">
      <w:pPr>
        <w:rPr>
          <w:b/>
          <w:sz w:val="24"/>
          <w:szCs w:val="24"/>
        </w:rPr>
      </w:pPr>
    </w:p>
    <w:p w14:paraId="7B249374" w14:textId="77777777" w:rsidR="0062542F" w:rsidRPr="00AB24AF" w:rsidRDefault="0062542F" w:rsidP="00936FEE">
      <w:pPr>
        <w:pStyle w:val="Heading2"/>
      </w:pPr>
      <w:r w:rsidRPr="00AB24AF">
        <w:t>8.2</w:t>
      </w:r>
      <w:r w:rsidR="00C715C9">
        <w:t>7</w:t>
      </w:r>
      <w:r w:rsidRPr="00AB24AF">
        <w:t xml:space="preserve"> Best Execution</w:t>
      </w:r>
    </w:p>
    <w:p w14:paraId="4539B603" w14:textId="77777777" w:rsidR="00FB0641" w:rsidRDefault="00FB0641" w:rsidP="00A634B6">
      <w:pPr>
        <w:pStyle w:val="BodyText"/>
        <w:spacing w:before="0" w:after="0"/>
      </w:pPr>
      <w:r>
        <w:t>In accordance with Rule 2320</w:t>
      </w:r>
      <w:r w:rsidR="00BB47CC">
        <w:t>,</w:t>
      </w:r>
      <w:r>
        <w:t xml:space="preserve"> </w:t>
      </w:r>
      <w:r w:rsidR="00BB47CC">
        <w:t>Co</w:t>
      </w:r>
      <w:r>
        <w:t>m</w:t>
      </w:r>
      <w:r w:rsidR="00BB47CC">
        <w:t>pany</w:t>
      </w:r>
      <w:r>
        <w:t xml:space="preserve"> will use reasonable diligence to ascertain the best inter-dealer market and buy or sell so that the resultant price to the customer is as favorable as possible under the prevailing market conditions.  Reasonable diligence shall consist of; the character of the market, size and type of transaction; the number of primary markets checked; and the location and accessibility to the company to the primary markets and quotation services.</w:t>
      </w:r>
    </w:p>
    <w:p w14:paraId="52086815" w14:textId="77777777" w:rsidR="007D261C" w:rsidRDefault="007D261C" w:rsidP="00FB0641">
      <w:pPr>
        <w:keepNext/>
        <w:jc w:val="both"/>
        <w:rPr>
          <w:sz w:val="24"/>
        </w:rPr>
      </w:pPr>
    </w:p>
    <w:p w14:paraId="278DC30D" w14:textId="77777777" w:rsidR="00FB0641" w:rsidRDefault="00FB0641" w:rsidP="00FB0641">
      <w:pPr>
        <w:keepNext/>
        <w:jc w:val="both"/>
        <w:rPr>
          <w:sz w:val="24"/>
        </w:rPr>
      </w:pPr>
      <w:r>
        <w:rPr>
          <w:sz w:val="24"/>
        </w:rPr>
        <w:t xml:space="preserve">Even though the Company forwards its orders to the clearing firm for routing and execution, the </w:t>
      </w:r>
      <w:r w:rsidR="007D261C">
        <w:rPr>
          <w:sz w:val="24"/>
        </w:rPr>
        <w:t>Company</w:t>
      </w:r>
      <w:r>
        <w:rPr>
          <w:sz w:val="24"/>
        </w:rPr>
        <w:t xml:space="preserve"> is still subject to </w:t>
      </w:r>
      <w:r w:rsidRPr="0035367E">
        <w:rPr>
          <w:sz w:val="24"/>
        </w:rPr>
        <w:t>FINRA Rule</w:t>
      </w:r>
      <w:r>
        <w:rPr>
          <w:sz w:val="24"/>
        </w:rPr>
        <w:t xml:space="preserve"> 2320 and to the SEC Best Execution Rules. The Company is relying on its clearing firm’s regular and rigorous review of its executions.  This shall be documented by receiving copies of the clearing firm reports by Morris Monroe or </w:t>
      </w:r>
      <w:r w:rsidR="0075160D" w:rsidRPr="00472765">
        <w:rPr>
          <w:sz w:val="24"/>
        </w:rPr>
        <w:t>Compliance</w:t>
      </w:r>
      <w:r w:rsidRPr="0075160D">
        <w:rPr>
          <w:color w:val="FF0000"/>
          <w:sz w:val="24"/>
        </w:rPr>
        <w:t xml:space="preserve"> </w:t>
      </w:r>
      <w:r>
        <w:rPr>
          <w:sz w:val="24"/>
        </w:rPr>
        <w:t>as required pursuant to SEC Rules 11Ac1-6 and 11Ac1-5 and maintain them in a file for this purpose.</w:t>
      </w:r>
    </w:p>
    <w:p w14:paraId="04807FE6" w14:textId="77777777" w:rsidR="00FB0641" w:rsidRDefault="00FB0641" w:rsidP="00FB0641">
      <w:pPr>
        <w:keepNext/>
        <w:jc w:val="both"/>
        <w:rPr>
          <w:color w:val="FF0000"/>
          <w:sz w:val="24"/>
        </w:rPr>
      </w:pPr>
    </w:p>
    <w:p w14:paraId="50B75A8B" w14:textId="77777777" w:rsidR="00FB0641" w:rsidRDefault="00FB0641" w:rsidP="00FB0641">
      <w:pPr>
        <w:jc w:val="both"/>
        <w:rPr>
          <w:sz w:val="24"/>
        </w:rPr>
      </w:pPr>
      <w:r>
        <w:rPr>
          <w:sz w:val="24"/>
        </w:rPr>
        <w:t>Even though the company may maintain order–flow agreements or a clearing arrangement with another broker-dealer where orders are routed automatically for execution</w:t>
      </w:r>
      <w:r w:rsidR="0075160D">
        <w:rPr>
          <w:sz w:val="24"/>
        </w:rPr>
        <w:t>, the C</w:t>
      </w:r>
      <w:r>
        <w:rPr>
          <w:sz w:val="24"/>
        </w:rPr>
        <w:t xml:space="preserve">ompany must periodically assess the quality of competing markets to assure the best price to the customer. Morris Monroe will assess the quality of competing markets by assessing such factors as price, speed, cost of execution, and technological aids in executing and processing trades.  Such review will be done on a random monthly basis for all broker-dealers that </w:t>
      </w:r>
      <w:r w:rsidR="009E63AB">
        <w:rPr>
          <w:sz w:val="24"/>
        </w:rPr>
        <w:t>Company</w:t>
      </w:r>
      <w:r>
        <w:rPr>
          <w:sz w:val="24"/>
        </w:rPr>
        <w:t xml:space="preserve"> has an order-flow agreement.  </w:t>
      </w:r>
    </w:p>
    <w:p w14:paraId="251964FC" w14:textId="77777777" w:rsidR="004B4F79" w:rsidRDefault="004B4F79" w:rsidP="00FB0641">
      <w:pPr>
        <w:jc w:val="both"/>
        <w:rPr>
          <w:b/>
          <w:sz w:val="24"/>
        </w:rPr>
      </w:pPr>
    </w:p>
    <w:p w14:paraId="5A43CCE5" w14:textId="77777777" w:rsidR="00940DBB" w:rsidRDefault="00940DBB" w:rsidP="00FB0641">
      <w:pPr>
        <w:jc w:val="both"/>
        <w:rPr>
          <w:b/>
          <w:sz w:val="24"/>
        </w:rPr>
      </w:pPr>
    </w:p>
    <w:p w14:paraId="7618539E" w14:textId="77777777" w:rsidR="00940DBB" w:rsidRPr="00AB24AF" w:rsidRDefault="00940DBB" w:rsidP="00936FEE">
      <w:pPr>
        <w:pStyle w:val="Heading2"/>
      </w:pPr>
      <w:bookmarkStart w:id="119" w:name="_8.28_Payment_for"/>
      <w:bookmarkEnd w:id="119"/>
      <w:r w:rsidRPr="00AB24AF">
        <w:t>8.2</w:t>
      </w:r>
      <w:r w:rsidR="00C715C9">
        <w:t>8</w:t>
      </w:r>
      <w:r w:rsidRPr="00AB24AF">
        <w:t xml:space="preserve"> Payment for Order Flow</w:t>
      </w:r>
    </w:p>
    <w:p w14:paraId="1E4CB9DB" w14:textId="77777777" w:rsidR="00FB0641" w:rsidRPr="00472765" w:rsidRDefault="00FB0641" w:rsidP="00FB0641">
      <w:pPr>
        <w:jc w:val="both"/>
        <w:rPr>
          <w:sz w:val="24"/>
        </w:rPr>
      </w:pPr>
      <w:r>
        <w:rPr>
          <w:sz w:val="24"/>
        </w:rPr>
        <w:t>If the Company should receive such a payment for order flow, the Company shall ensure that all customers receive the best execution possible.</w:t>
      </w:r>
      <w:r w:rsidR="006E6776">
        <w:rPr>
          <w:sz w:val="24"/>
        </w:rPr>
        <w:t xml:space="preserve">  </w:t>
      </w:r>
      <w:r w:rsidR="006E6776" w:rsidRPr="00472765">
        <w:rPr>
          <w:sz w:val="24"/>
        </w:rPr>
        <w:t>However, Company currently does not route orders to any other facility other than to the clearing firm.</w:t>
      </w:r>
    </w:p>
    <w:p w14:paraId="0082B7F1" w14:textId="77777777" w:rsidR="00FB0641" w:rsidRPr="00472765" w:rsidRDefault="00FB0641" w:rsidP="00FB0641">
      <w:pPr>
        <w:jc w:val="both"/>
        <w:rPr>
          <w:sz w:val="24"/>
        </w:rPr>
      </w:pPr>
    </w:p>
    <w:p w14:paraId="31D74090" w14:textId="77777777" w:rsidR="00FB0641" w:rsidRPr="00472765" w:rsidRDefault="00FB0641" w:rsidP="00FB0641">
      <w:pPr>
        <w:jc w:val="both"/>
        <w:rPr>
          <w:sz w:val="24"/>
        </w:rPr>
      </w:pPr>
      <w:r w:rsidRPr="00472765">
        <w:rPr>
          <w:sz w:val="24"/>
        </w:rPr>
        <w:t>In accordance with SEC Rule 11 Act-3 and amendments to Rule 10b-10 concerning payment for order flow practices, the Company shall:</w:t>
      </w:r>
    </w:p>
    <w:p w14:paraId="29D4AE01" w14:textId="77777777" w:rsidR="00FB0641" w:rsidRPr="00472765" w:rsidRDefault="00FB0641" w:rsidP="00FB0641">
      <w:pPr>
        <w:jc w:val="both"/>
        <w:rPr>
          <w:sz w:val="24"/>
        </w:rPr>
      </w:pPr>
    </w:p>
    <w:p w14:paraId="5F242B99" w14:textId="77777777" w:rsidR="00FB0641" w:rsidRPr="00472765" w:rsidRDefault="00FB0641" w:rsidP="009448F3">
      <w:pPr>
        <w:ind w:left="270" w:hanging="270"/>
        <w:jc w:val="both"/>
        <w:rPr>
          <w:sz w:val="24"/>
        </w:rPr>
      </w:pPr>
      <w:r w:rsidRPr="00472765">
        <w:rPr>
          <w:sz w:val="24"/>
        </w:rPr>
        <w:t>a.</w:t>
      </w:r>
      <w:r w:rsidRPr="00472765">
        <w:rPr>
          <w:sz w:val="24"/>
        </w:rPr>
        <w:tab/>
        <w:t>Inform each customer in writing, when a new account is opened, about its policies regarding the receipt of payment for order flow, including whether or not payment for order flow is received and a detailed description of the nature of compensation received.</w:t>
      </w:r>
      <w:r w:rsidR="009D3A2E" w:rsidRPr="00472765">
        <w:rPr>
          <w:sz w:val="24"/>
        </w:rPr>
        <w:t xml:space="preserve">  This is accomplished through the </w:t>
      </w:r>
      <w:r w:rsidR="00A31BA3" w:rsidRPr="002C26F2">
        <w:rPr>
          <w:sz w:val="24"/>
        </w:rPr>
        <w:t>Hilltop Securities (HTS)</w:t>
      </w:r>
      <w:r w:rsidR="009D3A2E" w:rsidRPr="002C26F2">
        <w:rPr>
          <w:sz w:val="24"/>
        </w:rPr>
        <w:t xml:space="preserve"> </w:t>
      </w:r>
      <w:r w:rsidR="009D3A2E" w:rsidRPr="00472765">
        <w:rPr>
          <w:sz w:val="24"/>
        </w:rPr>
        <w:t xml:space="preserve">Customer Information Brochure given to each </w:t>
      </w:r>
      <w:r w:rsidR="00A31BA3" w:rsidRPr="002C26F2">
        <w:rPr>
          <w:sz w:val="24"/>
        </w:rPr>
        <w:t>HTS</w:t>
      </w:r>
      <w:r w:rsidR="009D3A2E" w:rsidRPr="002C26F2">
        <w:rPr>
          <w:sz w:val="24"/>
        </w:rPr>
        <w:t xml:space="preserve"> </w:t>
      </w:r>
      <w:r w:rsidR="00487C65" w:rsidRPr="00472765">
        <w:rPr>
          <w:sz w:val="24"/>
        </w:rPr>
        <w:t xml:space="preserve">new </w:t>
      </w:r>
      <w:r w:rsidR="00487C65" w:rsidRPr="002C26F2">
        <w:rPr>
          <w:sz w:val="24"/>
        </w:rPr>
        <w:t>account</w:t>
      </w:r>
      <w:r w:rsidR="00A31BA3" w:rsidRPr="002C26F2">
        <w:rPr>
          <w:sz w:val="24"/>
        </w:rPr>
        <w:t xml:space="preserve"> (and annually thereafter within their HTS September account statement)</w:t>
      </w:r>
      <w:r w:rsidR="009D3A2E" w:rsidRPr="002C26F2">
        <w:rPr>
          <w:sz w:val="24"/>
        </w:rPr>
        <w:t>.</w:t>
      </w:r>
    </w:p>
    <w:p w14:paraId="09A97CDE" w14:textId="77777777" w:rsidR="00FB0641" w:rsidRPr="00472765" w:rsidRDefault="00FB0641" w:rsidP="00FB0641">
      <w:pPr>
        <w:ind w:left="720" w:hanging="720"/>
        <w:jc w:val="both"/>
        <w:rPr>
          <w:sz w:val="24"/>
        </w:rPr>
      </w:pPr>
    </w:p>
    <w:p w14:paraId="4627F836" w14:textId="77777777" w:rsidR="00FB0641" w:rsidRDefault="00FB0641" w:rsidP="009448F3">
      <w:pPr>
        <w:ind w:left="270" w:hanging="270"/>
        <w:jc w:val="both"/>
        <w:rPr>
          <w:sz w:val="24"/>
        </w:rPr>
      </w:pPr>
      <w:r w:rsidRPr="00472765">
        <w:rPr>
          <w:sz w:val="24"/>
        </w:rPr>
        <w:lastRenderedPageBreak/>
        <w:t>b.</w:t>
      </w:r>
      <w:r w:rsidRPr="00472765">
        <w:rPr>
          <w:sz w:val="24"/>
        </w:rPr>
        <w:tab/>
        <w:t>Provide information in account opening documents about order-routing decisions</w:t>
      </w:r>
      <w:r w:rsidR="009D3A2E" w:rsidRPr="00472765">
        <w:rPr>
          <w:sz w:val="24"/>
        </w:rPr>
        <w:t xml:space="preserve"> if applicable</w:t>
      </w:r>
      <w:r w:rsidRPr="00472765">
        <w:rPr>
          <w:sz w:val="24"/>
        </w:rPr>
        <w:t xml:space="preserve">, including an explanation of the extent to which unpriced orders can be executed at </w:t>
      </w:r>
      <w:r>
        <w:rPr>
          <w:sz w:val="24"/>
        </w:rPr>
        <w:t>prices superior to the national best bid or best offer (NBBO) at the time the order is received.</w:t>
      </w:r>
    </w:p>
    <w:p w14:paraId="066A05DD" w14:textId="77777777" w:rsidR="00FB0641" w:rsidRDefault="00FB0641" w:rsidP="00FB0641">
      <w:pPr>
        <w:ind w:left="720" w:hanging="720"/>
        <w:jc w:val="both"/>
        <w:rPr>
          <w:sz w:val="24"/>
        </w:rPr>
      </w:pPr>
    </w:p>
    <w:p w14:paraId="2C6FA563" w14:textId="77777777" w:rsidR="00FB0641" w:rsidRDefault="00FB0641" w:rsidP="009448F3">
      <w:pPr>
        <w:ind w:left="270" w:hanging="270"/>
        <w:jc w:val="both"/>
        <w:rPr>
          <w:sz w:val="24"/>
        </w:rPr>
      </w:pPr>
      <w:r>
        <w:rPr>
          <w:sz w:val="24"/>
        </w:rPr>
        <w:t>c.</w:t>
      </w:r>
      <w:r>
        <w:rPr>
          <w:sz w:val="24"/>
        </w:rPr>
        <w:tab/>
        <w:t xml:space="preserve">Indicate on confirmations whether the Company receives payment for order flow, and the availability of further information upon request.  In addition, according to </w:t>
      </w:r>
      <w:r>
        <w:rPr>
          <w:b/>
          <w:bCs/>
          <w:sz w:val="24"/>
        </w:rPr>
        <w:t>Rule 10b-10</w:t>
      </w:r>
      <w:r>
        <w:rPr>
          <w:sz w:val="24"/>
        </w:rPr>
        <w:t xml:space="preserve">, the Company will provide to customers immediate written notification of information relevant to their securities transactions. Consistent with the Commission's investor protection mandate and in keeping with innovations in securities products and markets, the </w:t>
      </w:r>
      <w:r w:rsidR="002221DA">
        <w:rPr>
          <w:sz w:val="24"/>
        </w:rPr>
        <w:t>Company</w:t>
      </w:r>
      <w:r>
        <w:rPr>
          <w:sz w:val="24"/>
        </w:rPr>
        <w:t xml:space="preserve"> will provide information concerning customer transaction costs in specified NASDAQ and exchange-listed securities, the status of certain unrated debt securities, the status of certain non-SIPC member broker-dealers, and the availability of information regarding asset-backed securities.</w:t>
      </w:r>
    </w:p>
    <w:p w14:paraId="52287FFC" w14:textId="77777777" w:rsidR="00FB0641" w:rsidRDefault="00FB0641" w:rsidP="00FB0641">
      <w:pPr>
        <w:jc w:val="both"/>
        <w:rPr>
          <w:sz w:val="24"/>
        </w:rPr>
      </w:pPr>
    </w:p>
    <w:p w14:paraId="76C2C926" w14:textId="77777777" w:rsidR="00FB0641" w:rsidRDefault="00FB0641" w:rsidP="00FB0641">
      <w:pPr>
        <w:jc w:val="both"/>
        <w:rPr>
          <w:sz w:val="24"/>
        </w:rPr>
      </w:pPr>
      <w:r>
        <w:rPr>
          <w:sz w:val="24"/>
        </w:rPr>
        <w:t xml:space="preserve">The foregoing payment for order flow procedures apply to transactions in NASDAQ National Market System securities, NASDAQ Small Cap Market SM securities, and Over </w:t>
      </w:r>
      <w:r w:rsidR="00CE743E">
        <w:rPr>
          <w:sz w:val="24"/>
        </w:rPr>
        <w:t>t</w:t>
      </w:r>
      <w:r>
        <w:rPr>
          <w:sz w:val="24"/>
        </w:rPr>
        <w:t xml:space="preserve">he Counter Bulletin Board securities. The requisite disclosures required under amendments to Rule 10b-10 shall be made on the customer's confirmations as issued by </w:t>
      </w:r>
      <w:r w:rsidR="006572C2" w:rsidRPr="00DC3A89">
        <w:rPr>
          <w:sz w:val="24"/>
        </w:rPr>
        <w:t>Hilltop</w:t>
      </w:r>
      <w:r w:rsidR="006572C2">
        <w:rPr>
          <w:color w:val="FF0000"/>
          <w:sz w:val="24"/>
        </w:rPr>
        <w:t xml:space="preserve"> </w:t>
      </w:r>
      <w:r>
        <w:rPr>
          <w:sz w:val="24"/>
        </w:rPr>
        <w:t>Securities, Inc.  It shall be Morris Monroe's</w:t>
      </w:r>
      <w:r w:rsidR="00DA082E">
        <w:rPr>
          <w:sz w:val="24"/>
        </w:rPr>
        <w:t xml:space="preserve"> </w:t>
      </w:r>
      <w:r w:rsidR="00DA082E" w:rsidRPr="00472765">
        <w:rPr>
          <w:sz w:val="24"/>
        </w:rPr>
        <w:t>or Compliance’s</w:t>
      </w:r>
      <w:r>
        <w:rPr>
          <w:sz w:val="24"/>
        </w:rPr>
        <w:t xml:space="preserve"> responsibility to review customer confirmations for compliance with the requisite disclosures.</w:t>
      </w:r>
    </w:p>
    <w:p w14:paraId="29ABB882" w14:textId="77777777" w:rsidR="00FB0641" w:rsidRDefault="00FB0641" w:rsidP="00FB0641">
      <w:pPr>
        <w:jc w:val="both"/>
        <w:rPr>
          <w:sz w:val="24"/>
        </w:rPr>
      </w:pPr>
    </w:p>
    <w:p w14:paraId="3BD216E3" w14:textId="77777777" w:rsidR="00FB0641" w:rsidRDefault="00FB0641" w:rsidP="00FB0641">
      <w:pPr>
        <w:jc w:val="both"/>
        <w:rPr>
          <w:sz w:val="24"/>
        </w:rPr>
      </w:pPr>
    </w:p>
    <w:p w14:paraId="05C4DD22" w14:textId="77777777" w:rsidR="00456167" w:rsidRPr="00AB24AF" w:rsidRDefault="00456167" w:rsidP="00936FEE">
      <w:pPr>
        <w:pStyle w:val="Heading2"/>
      </w:pPr>
      <w:bookmarkStart w:id="120" w:name="OrderExecnRouting"/>
      <w:bookmarkEnd w:id="120"/>
      <w:r w:rsidRPr="00AB24AF">
        <w:t>8.</w:t>
      </w:r>
      <w:r w:rsidR="00C715C9">
        <w:t>29</w:t>
      </w:r>
      <w:r w:rsidRPr="00AB24AF">
        <w:t xml:space="preserve"> Order Execution and Routing Practices</w:t>
      </w:r>
    </w:p>
    <w:p w14:paraId="6C640C95" w14:textId="77777777" w:rsidR="00FB0641" w:rsidRDefault="00FB0641" w:rsidP="00FB0641">
      <w:pPr>
        <w:pStyle w:val="BlockText"/>
        <w:ind w:left="0" w:right="0"/>
        <w:rPr>
          <w:b/>
        </w:rPr>
      </w:pPr>
    </w:p>
    <w:p w14:paraId="5543A8EA" w14:textId="77777777" w:rsidR="00456167" w:rsidRPr="001F0DBA" w:rsidRDefault="00456167" w:rsidP="001A7509">
      <w:pPr>
        <w:pStyle w:val="Heading3"/>
      </w:pPr>
      <w:r w:rsidRPr="00456167">
        <w:t>8.</w:t>
      </w:r>
      <w:r w:rsidR="00C715C9">
        <w:t>29</w:t>
      </w:r>
      <w:r w:rsidRPr="00456167">
        <w:t xml:space="preserve">.1 SEC Rule </w:t>
      </w:r>
      <w:r w:rsidRPr="001F0DBA">
        <w:t>606 Disclosure of Order Routing Information</w:t>
      </w:r>
    </w:p>
    <w:p w14:paraId="1FB3EB5B" w14:textId="77777777" w:rsidR="00FB0641" w:rsidRPr="001F0DBA" w:rsidRDefault="00FB0641" w:rsidP="00456167">
      <w:pPr>
        <w:pStyle w:val="BlockText"/>
        <w:ind w:left="270" w:right="0"/>
      </w:pPr>
      <w:r w:rsidRPr="001F0DBA">
        <w:t>Morris Monroe will be responsible to ensure that the Company complies with SEC Rule 606.</w:t>
      </w:r>
    </w:p>
    <w:p w14:paraId="5458CD6F" w14:textId="77777777" w:rsidR="00FB0641" w:rsidRDefault="00FB0641" w:rsidP="00456167">
      <w:pPr>
        <w:pStyle w:val="BlockText"/>
        <w:ind w:left="270" w:right="0"/>
        <w:rPr>
          <w:color w:val="000000"/>
        </w:rPr>
      </w:pPr>
    </w:p>
    <w:p w14:paraId="6DCE112F" w14:textId="77777777" w:rsidR="00FB0641" w:rsidRDefault="00FB0641" w:rsidP="00456167">
      <w:pPr>
        <w:pStyle w:val="BlockText"/>
        <w:ind w:left="270" w:right="0"/>
        <w:rPr>
          <w:color w:val="000000"/>
        </w:rPr>
      </w:pPr>
      <w:r>
        <w:rPr>
          <w:b/>
          <w:color w:val="000000"/>
        </w:rPr>
        <w:t>Exemption</w:t>
      </w:r>
    </w:p>
    <w:p w14:paraId="15762D91" w14:textId="77777777" w:rsidR="00FB0641" w:rsidRDefault="00FB0641" w:rsidP="00456167">
      <w:pPr>
        <w:pStyle w:val="BlockText"/>
        <w:ind w:left="270" w:right="0"/>
        <w:rPr>
          <w:color w:val="000000"/>
        </w:rPr>
      </w:pPr>
      <w:r>
        <w:rPr>
          <w:color w:val="000000"/>
        </w:rPr>
        <w:t xml:space="preserve">The Company does not make any routing decisions.  No trades through </w:t>
      </w:r>
      <w:r w:rsidR="003D0914">
        <w:rPr>
          <w:color w:val="000000"/>
        </w:rPr>
        <w:t>Hilltop</w:t>
      </w:r>
      <w:r>
        <w:rPr>
          <w:color w:val="000000"/>
        </w:rPr>
        <w:t xml:space="preserve"> Securities, Inc. (</w:t>
      </w:r>
      <w:r w:rsidR="003D0914">
        <w:rPr>
          <w:color w:val="000000"/>
        </w:rPr>
        <w:t>HT</w:t>
      </w:r>
      <w:r>
        <w:rPr>
          <w:color w:val="000000"/>
        </w:rPr>
        <w:t xml:space="preserve">S) are routed back to the Company.  Any applicable routing information would be included in the disclosures made by </w:t>
      </w:r>
      <w:r w:rsidR="003D0914" w:rsidRPr="00DC3A89">
        <w:t xml:space="preserve">Hilltop </w:t>
      </w:r>
      <w:r w:rsidRPr="00DC3A89">
        <w:t>Securities in their quarterly disclosures on their website (</w:t>
      </w:r>
      <w:hyperlink r:id="rId69" w:history="1">
        <w:r w:rsidR="003D0914" w:rsidRPr="00DC3A89">
          <w:rPr>
            <w:rStyle w:val="Hyperlink"/>
            <w:color w:val="auto"/>
          </w:rPr>
          <w:t>www.hilltopsecurities.com</w:t>
        </w:r>
      </w:hyperlink>
      <w:r w:rsidRPr="00DC3A89">
        <w:t>, departments/equity trading/1-6 posting).  In addition, the SEC is granting a limited exemption</w:t>
      </w:r>
      <w:r>
        <w:rPr>
          <w:color w:val="000000"/>
        </w:rPr>
        <w:t xml:space="preserve"> for the Rule for broker-dealers that route a de</w:t>
      </w:r>
      <w:r w:rsidR="000B5012">
        <w:rPr>
          <w:color w:val="000000"/>
        </w:rPr>
        <w:t xml:space="preserve"> </w:t>
      </w:r>
      <w:r>
        <w:rPr>
          <w:color w:val="000000"/>
        </w:rPr>
        <w:t>minimus number of customer orders in covered securities for execution.  Specifically, the Commission is exempting from the quarterly reporting requirement those firms that have routed, on average, 500 or fewer customer orders in covered securities per month during the preceding calendar quarter.  The Company currently meets this exemption.</w:t>
      </w:r>
    </w:p>
    <w:p w14:paraId="71BEBFF5" w14:textId="77777777" w:rsidR="00FB0641" w:rsidRDefault="00FB0641" w:rsidP="00456167">
      <w:pPr>
        <w:pStyle w:val="BlockText"/>
        <w:ind w:left="270" w:right="0"/>
        <w:rPr>
          <w:color w:val="000000"/>
        </w:rPr>
      </w:pPr>
    </w:p>
    <w:p w14:paraId="3DD70141" w14:textId="77777777" w:rsidR="00FB0641" w:rsidRDefault="00FB0641" w:rsidP="00456167">
      <w:pPr>
        <w:pStyle w:val="BlockText"/>
        <w:ind w:left="270" w:right="0"/>
        <w:rPr>
          <w:color w:val="000000"/>
        </w:rPr>
      </w:pPr>
      <w:r>
        <w:rPr>
          <w:color w:val="000000"/>
        </w:rPr>
        <w:t xml:space="preserve">Firms eligible for this limited exemption must still comply with the Rule, which requires them to provide interested customers with routing information about specific orders and to notify customers annually that such information is available.  Routing information is available from the above website from inquiry </w:t>
      </w:r>
      <w:r w:rsidRPr="00DC3A89">
        <w:t xml:space="preserve">through </w:t>
      </w:r>
      <w:r w:rsidR="003D0914" w:rsidRPr="00DC3A89">
        <w:t>HT</w:t>
      </w:r>
      <w:r w:rsidRPr="00DC3A89">
        <w:t xml:space="preserve">S as to the venue which the customer’s order was routed in the six months prior to the request whether they are directed or non-directed and the time of execution.  The annual notification is provided by </w:t>
      </w:r>
      <w:r w:rsidR="003D0914" w:rsidRPr="00DC3A89">
        <w:t>HT</w:t>
      </w:r>
      <w:r w:rsidRPr="00DC3A89">
        <w:t xml:space="preserve">S </w:t>
      </w:r>
      <w:r>
        <w:rPr>
          <w:color w:val="000000"/>
        </w:rPr>
        <w:t xml:space="preserve">via customer statements and a copy of said statement will be maintained by Company, initialed by Morris Monroe or </w:t>
      </w:r>
      <w:r w:rsidR="00DA082E" w:rsidRPr="00472765">
        <w:t>Compliance</w:t>
      </w:r>
      <w:r w:rsidRPr="00472765">
        <w:t>,</w:t>
      </w:r>
      <w:r>
        <w:rPr>
          <w:color w:val="000000"/>
        </w:rPr>
        <w:t xml:space="preserve"> and maintained as part of the Company’s records for three years.</w:t>
      </w:r>
    </w:p>
    <w:p w14:paraId="7C580023" w14:textId="77777777" w:rsidR="00FB0641" w:rsidRDefault="00FB0641" w:rsidP="00456167">
      <w:pPr>
        <w:pStyle w:val="BlockText"/>
        <w:ind w:left="270" w:right="0"/>
        <w:rPr>
          <w:color w:val="000000"/>
        </w:rPr>
      </w:pPr>
    </w:p>
    <w:p w14:paraId="570A43A3" w14:textId="4DD25D6E" w:rsidR="00FB0641" w:rsidRDefault="00FB0641" w:rsidP="00456167">
      <w:pPr>
        <w:autoSpaceDE w:val="0"/>
        <w:autoSpaceDN w:val="0"/>
        <w:adjustRightInd w:val="0"/>
        <w:ind w:left="270"/>
        <w:jc w:val="both"/>
        <w:rPr>
          <w:sz w:val="24"/>
          <w:szCs w:val="24"/>
        </w:rPr>
      </w:pPr>
      <w:r>
        <w:rPr>
          <w:color w:val="000000"/>
          <w:sz w:val="24"/>
        </w:rPr>
        <w:t xml:space="preserve">Pursuant to </w:t>
      </w:r>
      <w:r w:rsidRPr="001E23AB">
        <w:rPr>
          <w:sz w:val="24"/>
        </w:rPr>
        <w:t>FINRA</w:t>
      </w:r>
      <w:r>
        <w:rPr>
          <w:color w:val="000000"/>
          <w:sz w:val="24"/>
        </w:rPr>
        <w:t xml:space="preserve"> Rules 3310 and IM-3310, only authorized persons of the Company have access to the Company’s</w:t>
      </w:r>
      <w:r>
        <w:rPr>
          <w:color w:val="000000"/>
        </w:rPr>
        <w:t xml:space="preserve"> </w:t>
      </w:r>
      <w:r>
        <w:rPr>
          <w:color w:val="231F20"/>
          <w:sz w:val="24"/>
        </w:rPr>
        <w:t xml:space="preserve">trading systems which includes controls that limit the use of such </w:t>
      </w:r>
      <w:r>
        <w:rPr>
          <w:color w:val="231F20"/>
          <w:sz w:val="24"/>
        </w:rPr>
        <w:lastRenderedPageBreak/>
        <w:t xml:space="preserve">systems to authorized persons only, enables the personnel to check for order accuracy, prevent orders that exceed preset credit- and order-size parameters from being transmitted to a trading system, and prevents the unwanted generation, cancellation, repricing, resizing, duplication, or re-transmission of orders.  The operation of the </w:t>
      </w:r>
      <w:r w:rsidR="003D0914" w:rsidRPr="00DC3A89">
        <w:rPr>
          <w:sz w:val="24"/>
        </w:rPr>
        <w:t>HT</w:t>
      </w:r>
      <w:r w:rsidRPr="00DC3A89">
        <w:rPr>
          <w:sz w:val="24"/>
        </w:rPr>
        <w:t>S t</w:t>
      </w:r>
      <w:r>
        <w:rPr>
          <w:color w:val="231F20"/>
          <w:sz w:val="24"/>
        </w:rPr>
        <w:t>rading system does not allow inadvertent disabling of the system</w:t>
      </w:r>
      <w:r w:rsidRPr="00421A3E">
        <w:rPr>
          <w:sz w:val="24"/>
        </w:rPr>
        <w:t xml:space="preserve">.  </w:t>
      </w:r>
      <w:r w:rsidR="00A45387" w:rsidRPr="00421A3E">
        <w:rPr>
          <w:sz w:val="24"/>
        </w:rPr>
        <w:t>HT</w:t>
      </w:r>
      <w:r w:rsidRPr="00421A3E">
        <w:rPr>
          <w:sz w:val="24"/>
        </w:rPr>
        <w:t xml:space="preserve">S </w:t>
      </w:r>
      <w:r>
        <w:rPr>
          <w:color w:val="231F20"/>
          <w:sz w:val="24"/>
        </w:rPr>
        <w:t xml:space="preserve">has built-in systems (red flags, alerts, error messages) to prevent mistaken executions, inadvertent errors, and other trading problems. </w:t>
      </w:r>
      <w:r>
        <w:rPr>
          <w:sz w:val="24"/>
          <w:szCs w:val="24"/>
        </w:rPr>
        <w:t xml:space="preserve">Order Routing reports are available quarterly and will be reviewed and maintained by the Company as part of its records (with principal </w:t>
      </w:r>
      <w:r w:rsidR="002221DA">
        <w:rPr>
          <w:sz w:val="24"/>
          <w:szCs w:val="24"/>
        </w:rPr>
        <w:t>initials</w:t>
      </w:r>
      <w:r>
        <w:rPr>
          <w:sz w:val="24"/>
          <w:szCs w:val="24"/>
        </w:rPr>
        <w:t xml:space="preserve">).  </w:t>
      </w:r>
    </w:p>
    <w:p w14:paraId="3FD1A70C" w14:textId="77777777" w:rsidR="00FB0641" w:rsidRDefault="00FB0641" w:rsidP="00456167">
      <w:pPr>
        <w:autoSpaceDE w:val="0"/>
        <w:autoSpaceDN w:val="0"/>
        <w:adjustRightInd w:val="0"/>
        <w:ind w:left="270"/>
        <w:rPr>
          <w:sz w:val="24"/>
          <w:szCs w:val="24"/>
        </w:rPr>
      </w:pPr>
    </w:p>
    <w:p w14:paraId="6902413D" w14:textId="77777777" w:rsidR="00456167" w:rsidRPr="00456167" w:rsidRDefault="00456167" w:rsidP="001A7509">
      <w:pPr>
        <w:pStyle w:val="Heading3"/>
      </w:pPr>
      <w:r w:rsidRPr="00456167">
        <w:t>8.</w:t>
      </w:r>
      <w:r w:rsidR="00C715C9">
        <w:t>29</w:t>
      </w:r>
      <w:r w:rsidRPr="00456167">
        <w:t xml:space="preserve">.2 SEC Rule </w:t>
      </w:r>
      <w:r w:rsidRPr="001F0DBA">
        <w:t>605</w:t>
      </w:r>
      <w:r w:rsidRPr="00456167">
        <w:t xml:space="preserve"> – Best Execution</w:t>
      </w:r>
    </w:p>
    <w:p w14:paraId="168D9EC0" w14:textId="77777777" w:rsidR="00FB0641" w:rsidRDefault="00FB0641" w:rsidP="00456167">
      <w:pPr>
        <w:autoSpaceDE w:val="0"/>
        <w:autoSpaceDN w:val="0"/>
        <w:adjustRightInd w:val="0"/>
        <w:ind w:left="270"/>
        <w:jc w:val="both"/>
        <w:rPr>
          <w:sz w:val="24"/>
        </w:rPr>
      </w:pPr>
      <w:r w:rsidRPr="00EE28C7">
        <w:rPr>
          <w:sz w:val="24"/>
          <w:szCs w:val="24"/>
        </w:rPr>
        <w:t xml:space="preserve">Company relies on the best execution practices of </w:t>
      </w:r>
      <w:r w:rsidR="003D0914" w:rsidRPr="00DC3A89">
        <w:rPr>
          <w:sz w:val="24"/>
          <w:szCs w:val="24"/>
        </w:rPr>
        <w:t>Hilltop</w:t>
      </w:r>
      <w:r w:rsidRPr="00EE28C7">
        <w:rPr>
          <w:sz w:val="24"/>
          <w:szCs w:val="24"/>
        </w:rPr>
        <w:t xml:space="preserve"> Securities and the Rule 605 monthly reports they make available through their website.</w:t>
      </w:r>
      <w:r>
        <w:rPr>
          <w:sz w:val="24"/>
          <w:szCs w:val="24"/>
        </w:rPr>
        <w:t xml:space="preserve">  These reports will be reviewed and maintained as evidence of review in an excel file for a period of three years.  Pursuant to Rule 3380, Order Entry and Execution Practices, the Company and its Associated Persons are prohibited from splitting any order </w:t>
      </w:r>
      <w:r>
        <w:rPr>
          <w:sz w:val="24"/>
        </w:rPr>
        <w:t>into multiple smaller orders for execution, or any execution into multiple smaller executions for transaction reporting for the primary purpose of maximizing a monetary or in-kind payment to the Company or Associated Persons as a result of the execution of such orders or the transaction reporting of such executions (known as “trade shredding”).  However, the Company is not a Market Participant nor does it share in any Plan revenues with Market Participants.</w:t>
      </w:r>
    </w:p>
    <w:p w14:paraId="520FDA34" w14:textId="77777777" w:rsidR="00235B3D" w:rsidRDefault="00235B3D" w:rsidP="00456167">
      <w:pPr>
        <w:autoSpaceDE w:val="0"/>
        <w:autoSpaceDN w:val="0"/>
        <w:adjustRightInd w:val="0"/>
        <w:ind w:left="270"/>
        <w:jc w:val="both"/>
        <w:rPr>
          <w:sz w:val="24"/>
        </w:rPr>
      </w:pPr>
    </w:p>
    <w:p w14:paraId="4532EE68" w14:textId="77777777" w:rsidR="00235B3D" w:rsidRDefault="00235B3D" w:rsidP="00FB0641">
      <w:pPr>
        <w:jc w:val="both"/>
      </w:pPr>
    </w:p>
    <w:p w14:paraId="4DF0ECBD" w14:textId="77777777" w:rsidR="00235B3D" w:rsidRPr="00AB24AF" w:rsidRDefault="00235B3D" w:rsidP="00936FEE">
      <w:pPr>
        <w:pStyle w:val="Heading2"/>
      </w:pPr>
      <w:r w:rsidRPr="00AB24AF">
        <w:t>8.</w:t>
      </w:r>
      <w:r w:rsidR="000810AD">
        <w:t>3</w:t>
      </w:r>
      <w:r w:rsidR="00C715C9">
        <w:t>0</w:t>
      </w:r>
      <w:r w:rsidR="00A90463">
        <w:t xml:space="preserve"> </w:t>
      </w:r>
      <w:r w:rsidRPr="00AB24AF">
        <w:t>Market-Wide Trading Halts</w:t>
      </w:r>
    </w:p>
    <w:p w14:paraId="2EB6EA26" w14:textId="77777777" w:rsidR="00FB0641" w:rsidRDefault="00FB0641" w:rsidP="00235B3D">
      <w:pPr>
        <w:jc w:val="both"/>
        <w:rPr>
          <w:snapToGrid w:val="0"/>
          <w:sz w:val="24"/>
        </w:rPr>
      </w:pPr>
      <w:r>
        <w:rPr>
          <w:snapToGrid w:val="0"/>
          <w:sz w:val="24"/>
        </w:rPr>
        <w:t xml:space="preserve">During market-wide trading halts resulting from the triggering of circuit breakers, </w:t>
      </w:r>
      <w:r w:rsidR="002221DA">
        <w:rPr>
          <w:sz w:val="24"/>
        </w:rPr>
        <w:t>Morris Monroe</w:t>
      </w:r>
      <w:r>
        <w:rPr>
          <w:color w:val="FF0000"/>
          <w:sz w:val="24"/>
        </w:rPr>
        <w:t xml:space="preserve"> </w:t>
      </w:r>
      <w:r>
        <w:rPr>
          <w:snapToGrid w:val="0"/>
          <w:color w:val="000000"/>
          <w:sz w:val="24"/>
        </w:rPr>
        <w:t>will be responsible to ensure that customer orders will be handled in the same manner as</w:t>
      </w:r>
      <w:r>
        <w:rPr>
          <w:snapToGrid w:val="0"/>
          <w:sz w:val="24"/>
        </w:rPr>
        <w:t xml:space="preserve"> they would have been handled during other regulatory trading halts concerning only individual stocks. </w:t>
      </w:r>
    </w:p>
    <w:p w14:paraId="3A418554" w14:textId="77777777" w:rsidR="00FB0641" w:rsidRDefault="00FB0641" w:rsidP="00FB0641">
      <w:pPr>
        <w:pStyle w:val="BodyText"/>
        <w:spacing w:before="60" w:after="60"/>
        <w:rPr>
          <w:snapToGrid w:val="0"/>
        </w:rPr>
      </w:pPr>
      <w:r>
        <w:rPr>
          <w:snapToGrid w:val="0"/>
        </w:rPr>
        <w:t xml:space="preserve">During market-wide trading halts of durations that will allow trading to resume on that same trading day, pending and new customer orders will be forwarded </w:t>
      </w:r>
      <w:r w:rsidR="00E4471E" w:rsidRPr="00472765">
        <w:rPr>
          <w:snapToGrid w:val="0"/>
        </w:rPr>
        <w:t xml:space="preserve">by </w:t>
      </w:r>
      <w:r w:rsidR="008662E6" w:rsidRPr="00DC3A89">
        <w:rPr>
          <w:snapToGrid w:val="0"/>
        </w:rPr>
        <w:t>HT</w:t>
      </w:r>
      <w:r w:rsidR="00E4471E" w:rsidRPr="00472765">
        <w:rPr>
          <w:snapToGrid w:val="0"/>
        </w:rPr>
        <w:t>S</w:t>
      </w:r>
      <w:r w:rsidR="00E4471E">
        <w:rPr>
          <w:snapToGrid w:val="0"/>
        </w:rPr>
        <w:t xml:space="preserve"> </w:t>
      </w:r>
      <w:r>
        <w:rPr>
          <w:snapToGrid w:val="0"/>
        </w:rPr>
        <w:t xml:space="preserve">to the appropriate market for execution upon the resumption of trading. This should be done unless the </w:t>
      </w:r>
      <w:r w:rsidR="00E4471E">
        <w:rPr>
          <w:snapToGrid w:val="0"/>
        </w:rPr>
        <w:t>Company</w:t>
      </w:r>
      <w:r>
        <w:rPr>
          <w:snapToGrid w:val="0"/>
        </w:rPr>
        <w:t xml:space="preserve"> receives contrary instructions from the customer during the halt.</w:t>
      </w:r>
    </w:p>
    <w:p w14:paraId="7EA4B2F7" w14:textId="77777777" w:rsidR="00FB0641" w:rsidRDefault="00FB0641" w:rsidP="00FB0641">
      <w:pPr>
        <w:spacing w:before="60" w:after="60"/>
        <w:jc w:val="both"/>
        <w:rPr>
          <w:snapToGrid w:val="0"/>
          <w:sz w:val="24"/>
        </w:rPr>
      </w:pPr>
      <w:r>
        <w:rPr>
          <w:snapToGrid w:val="0"/>
          <w:sz w:val="24"/>
        </w:rPr>
        <w:t>During market-wide trading halts with durations that will close the market for the remainder of the trading day, pending and new customer orders should be treated as follows:</w:t>
      </w:r>
    </w:p>
    <w:p w14:paraId="0F72AA90" w14:textId="77777777" w:rsidR="00FB0641" w:rsidRDefault="00FB0641" w:rsidP="00FB0641">
      <w:pPr>
        <w:spacing w:before="60" w:after="60"/>
        <w:jc w:val="both"/>
        <w:rPr>
          <w:snapToGrid w:val="0"/>
          <w:sz w:val="24"/>
        </w:rPr>
      </w:pPr>
      <w:r>
        <w:rPr>
          <w:snapToGrid w:val="0"/>
          <w:sz w:val="24"/>
        </w:rPr>
        <w:t>Absent customer instructions to the contrary, orders that are pending at the time of the halt, and new orders received after the halt has commenced will be treated as “</w:t>
      </w:r>
      <w:r>
        <w:rPr>
          <w:i/>
          <w:snapToGrid w:val="0"/>
          <w:sz w:val="24"/>
        </w:rPr>
        <w:t>Good Till Canceled</w:t>
      </w:r>
      <w:r w:rsidR="00E4471E">
        <w:rPr>
          <w:snapToGrid w:val="0"/>
          <w:sz w:val="24"/>
        </w:rPr>
        <w:t xml:space="preserve">” orders and be held by </w:t>
      </w:r>
      <w:r w:rsidR="008662E6" w:rsidRPr="00DC3A89">
        <w:rPr>
          <w:snapToGrid w:val="0"/>
          <w:sz w:val="24"/>
        </w:rPr>
        <w:t>HT</w:t>
      </w:r>
      <w:r w:rsidR="00E4471E" w:rsidRPr="00DC3A89">
        <w:rPr>
          <w:snapToGrid w:val="0"/>
          <w:sz w:val="24"/>
        </w:rPr>
        <w:t>S</w:t>
      </w:r>
      <w:r>
        <w:rPr>
          <w:snapToGrid w:val="0"/>
          <w:sz w:val="24"/>
        </w:rPr>
        <w:t xml:space="preserve"> for execution at the reopening of the next trading session.</w:t>
      </w:r>
    </w:p>
    <w:p w14:paraId="3D062177" w14:textId="77777777" w:rsidR="00FB0641" w:rsidRDefault="00FB0641" w:rsidP="00FB0641">
      <w:pPr>
        <w:spacing w:before="60" w:after="60"/>
        <w:jc w:val="both"/>
        <w:rPr>
          <w:b/>
          <w:snapToGrid w:val="0"/>
          <w:sz w:val="24"/>
        </w:rPr>
      </w:pPr>
      <w:r>
        <w:rPr>
          <w:snapToGrid w:val="0"/>
          <w:sz w:val="24"/>
        </w:rPr>
        <w:t>“At-the-Close” orders (including “Market-at-Close” orders) pending at the time trading is halted will be t</w:t>
      </w:r>
      <w:r w:rsidR="00827E64">
        <w:rPr>
          <w:snapToGrid w:val="0"/>
          <w:sz w:val="24"/>
        </w:rPr>
        <w:t>reated as canceled orders. C</w:t>
      </w:r>
      <w:r>
        <w:rPr>
          <w:snapToGrid w:val="0"/>
          <w:sz w:val="24"/>
        </w:rPr>
        <w:t>ompany will not accept, or forward any new orders related to closing prices received during a trading halt.</w:t>
      </w:r>
      <w:r>
        <w:rPr>
          <w:b/>
          <w:snapToGrid w:val="0"/>
          <w:sz w:val="24"/>
          <w:vertAlign w:val="superscript"/>
        </w:rPr>
        <w:t xml:space="preserve"> </w:t>
      </w:r>
    </w:p>
    <w:p w14:paraId="2F3EB330" w14:textId="77777777" w:rsidR="00FB0641" w:rsidRDefault="00FB0641" w:rsidP="00FB0641">
      <w:pPr>
        <w:jc w:val="both"/>
        <w:rPr>
          <w:snapToGrid w:val="0"/>
          <w:sz w:val="24"/>
        </w:rPr>
      </w:pPr>
    </w:p>
    <w:p w14:paraId="136D13EE" w14:textId="77777777" w:rsidR="00A90463" w:rsidRPr="005F3651" w:rsidRDefault="00A90463" w:rsidP="001A7509">
      <w:pPr>
        <w:pStyle w:val="Heading3"/>
        <w:rPr>
          <w:i/>
          <w:sz w:val="20"/>
        </w:rPr>
      </w:pPr>
      <w:r w:rsidRPr="005F3651">
        <w:rPr>
          <w:snapToGrid w:val="0"/>
        </w:rPr>
        <w:t>8.</w:t>
      </w:r>
      <w:r w:rsidR="000810AD" w:rsidRPr="005F3651">
        <w:rPr>
          <w:snapToGrid w:val="0"/>
        </w:rPr>
        <w:t>3</w:t>
      </w:r>
      <w:r w:rsidR="00C715C9">
        <w:rPr>
          <w:snapToGrid w:val="0"/>
        </w:rPr>
        <w:t>0</w:t>
      </w:r>
      <w:r w:rsidRPr="005F3651">
        <w:rPr>
          <w:snapToGrid w:val="0"/>
        </w:rPr>
        <w:t>.1</w:t>
      </w:r>
      <w:r w:rsidR="00DF4662">
        <w:rPr>
          <w:snapToGrid w:val="0"/>
        </w:rPr>
        <w:t xml:space="preserve"> </w:t>
      </w:r>
      <w:r w:rsidRPr="005F3651">
        <w:rPr>
          <w:snapToGrid w:val="0"/>
        </w:rPr>
        <w:t xml:space="preserve">FINRA Rule 5260 - </w:t>
      </w:r>
      <w:r w:rsidRPr="005F3651">
        <w:t xml:space="preserve">Prohibition on Transactions, Publication of Quotations, or Publication of Indications of Interest During Trading Halts </w:t>
      </w:r>
      <w:r w:rsidRPr="00CE743E">
        <w:rPr>
          <w:b w:val="0"/>
          <w:i/>
          <w:sz w:val="20"/>
        </w:rPr>
        <w:t>(</w:t>
      </w:r>
      <w:proofErr w:type="gramStart"/>
      <w:r w:rsidRPr="00CE743E">
        <w:rPr>
          <w:b w:val="0"/>
          <w:i/>
          <w:sz w:val="20"/>
        </w:rPr>
        <w:t>eff</w:t>
      </w:r>
      <w:proofErr w:type="gramEnd"/>
      <w:r w:rsidRPr="00CE743E">
        <w:rPr>
          <w:b w:val="0"/>
          <w:i/>
          <w:sz w:val="20"/>
        </w:rPr>
        <w:t xml:space="preserve"> 12/14/09)</w:t>
      </w:r>
    </w:p>
    <w:p w14:paraId="5AA23C9E" w14:textId="189BF1B9" w:rsidR="00A90463" w:rsidRPr="001F0DBA" w:rsidRDefault="00A90463" w:rsidP="00A90463">
      <w:pPr>
        <w:shd w:val="clear" w:color="auto" w:fill="FFFFFF"/>
        <w:spacing w:line="270" w:lineRule="atLeast"/>
        <w:ind w:left="270"/>
        <w:jc w:val="both"/>
        <w:rPr>
          <w:sz w:val="24"/>
          <w:szCs w:val="24"/>
        </w:rPr>
      </w:pPr>
      <w:r w:rsidRPr="001F0DBA">
        <w:rPr>
          <w:sz w:val="24"/>
          <w:szCs w:val="24"/>
        </w:rPr>
        <w:t xml:space="preserve">Company and Associated Persons shall not, </w:t>
      </w:r>
      <w:r w:rsidR="00421A3E" w:rsidRPr="001F0DBA">
        <w:rPr>
          <w:sz w:val="24"/>
          <w:szCs w:val="24"/>
        </w:rPr>
        <w:t>directly,</w:t>
      </w:r>
      <w:r w:rsidRPr="001F0DBA">
        <w:rPr>
          <w:sz w:val="24"/>
          <w:szCs w:val="24"/>
        </w:rPr>
        <w:t xml:space="preserve"> or indirectly, effect any transaction in any security as to which a trading halt is currently in effect. If </w:t>
      </w:r>
      <w:r w:rsidRPr="001F0DBA">
        <w:rPr>
          <w:rStyle w:val="us"/>
          <w:sz w:val="24"/>
          <w:szCs w:val="24"/>
        </w:rPr>
        <w:t>FINRA</w:t>
      </w:r>
      <w:r w:rsidRPr="001F0DBA">
        <w:rPr>
          <w:sz w:val="24"/>
          <w:szCs w:val="24"/>
        </w:rPr>
        <w:t xml:space="preserve"> closes trading in a security pursuant to its authority under Rule 6120(a)(3), </w:t>
      </w:r>
      <w:r w:rsidR="00061A0D" w:rsidRPr="001F0DBA">
        <w:rPr>
          <w:sz w:val="24"/>
          <w:szCs w:val="24"/>
        </w:rPr>
        <w:t xml:space="preserve">Company may </w:t>
      </w:r>
      <w:r w:rsidRPr="001F0DBA">
        <w:rPr>
          <w:sz w:val="24"/>
          <w:szCs w:val="24"/>
        </w:rPr>
        <w:t>trad</w:t>
      </w:r>
      <w:r w:rsidR="00061A0D" w:rsidRPr="001F0DBA">
        <w:rPr>
          <w:sz w:val="24"/>
          <w:szCs w:val="24"/>
        </w:rPr>
        <w:t>e</w:t>
      </w:r>
      <w:r w:rsidRPr="001F0DBA">
        <w:rPr>
          <w:sz w:val="24"/>
          <w:szCs w:val="24"/>
        </w:rPr>
        <w:t xml:space="preserve"> through other markets for which trading is not halted. </w:t>
      </w:r>
      <w:r w:rsidR="00061A0D" w:rsidRPr="001F0DBA">
        <w:rPr>
          <w:sz w:val="24"/>
          <w:szCs w:val="24"/>
        </w:rPr>
        <w:t>In addition, Company</w:t>
      </w:r>
      <w:r w:rsidRPr="001F0DBA">
        <w:rPr>
          <w:sz w:val="24"/>
          <w:szCs w:val="24"/>
        </w:rPr>
        <w:t xml:space="preserve"> or </w:t>
      </w:r>
      <w:r w:rsidR="00061A0D" w:rsidRPr="001F0DBA">
        <w:rPr>
          <w:sz w:val="24"/>
          <w:szCs w:val="24"/>
        </w:rPr>
        <w:t>Associated P</w:t>
      </w:r>
      <w:r w:rsidRPr="001F0DBA">
        <w:rPr>
          <w:sz w:val="24"/>
          <w:szCs w:val="24"/>
        </w:rPr>
        <w:t>erson</w:t>
      </w:r>
      <w:r w:rsidR="00061A0D" w:rsidRPr="001F0DBA">
        <w:rPr>
          <w:sz w:val="24"/>
          <w:szCs w:val="24"/>
        </w:rPr>
        <w:t>s</w:t>
      </w:r>
      <w:r w:rsidRPr="001F0DBA">
        <w:rPr>
          <w:sz w:val="24"/>
          <w:szCs w:val="24"/>
        </w:rPr>
        <w:t xml:space="preserve"> </w:t>
      </w:r>
      <w:r w:rsidR="00061A0D" w:rsidRPr="001F0DBA">
        <w:rPr>
          <w:sz w:val="24"/>
          <w:szCs w:val="24"/>
        </w:rPr>
        <w:t xml:space="preserve">do not engage in transactions in futures and therefore cannot </w:t>
      </w:r>
      <w:r w:rsidRPr="001F0DBA">
        <w:rPr>
          <w:sz w:val="24"/>
          <w:szCs w:val="24"/>
        </w:rPr>
        <w:t>directly or ind</w:t>
      </w:r>
      <w:r w:rsidR="00061A0D" w:rsidRPr="001F0DBA">
        <w:rPr>
          <w:sz w:val="24"/>
          <w:szCs w:val="24"/>
        </w:rPr>
        <w:t>irectly effect any such transactions</w:t>
      </w:r>
      <w:r w:rsidRPr="001F0DBA">
        <w:rPr>
          <w:sz w:val="24"/>
          <w:szCs w:val="24"/>
        </w:rPr>
        <w:t xml:space="preserve"> </w:t>
      </w:r>
      <w:r w:rsidR="00061A0D" w:rsidRPr="001F0DBA">
        <w:rPr>
          <w:sz w:val="24"/>
          <w:szCs w:val="24"/>
        </w:rPr>
        <w:t xml:space="preserve">during a </w:t>
      </w:r>
      <w:r w:rsidRPr="001F0DBA">
        <w:rPr>
          <w:sz w:val="24"/>
          <w:szCs w:val="24"/>
        </w:rPr>
        <w:t xml:space="preserve">regulatory trading halt that is currently in effect. </w:t>
      </w:r>
    </w:p>
    <w:p w14:paraId="1CFC6B38" w14:textId="77777777" w:rsidR="00A90463" w:rsidRPr="005F3651" w:rsidRDefault="00A90463" w:rsidP="00A90463">
      <w:pPr>
        <w:rPr>
          <w:color w:val="FF0000"/>
        </w:rPr>
      </w:pPr>
    </w:p>
    <w:p w14:paraId="1AA9F373" w14:textId="77777777" w:rsidR="00FB0641" w:rsidRDefault="00FB0641" w:rsidP="00FB0641"/>
    <w:p w14:paraId="04ED4DC9" w14:textId="77777777" w:rsidR="00235B3D" w:rsidRPr="00CB299D" w:rsidRDefault="00235B3D" w:rsidP="00936FEE">
      <w:pPr>
        <w:pStyle w:val="Heading2"/>
      </w:pPr>
      <w:r w:rsidRPr="00CB299D">
        <w:t>8.</w:t>
      </w:r>
      <w:r w:rsidR="00046D74">
        <w:t>3</w:t>
      </w:r>
      <w:r w:rsidR="0004301E">
        <w:t>1</w:t>
      </w:r>
      <w:r w:rsidRPr="00CB299D">
        <w:t xml:space="preserve"> Market Outages</w:t>
      </w:r>
    </w:p>
    <w:p w14:paraId="1ECDC4AE" w14:textId="77777777" w:rsidR="00FB0641" w:rsidRDefault="00FB0641" w:rsidP="00235B3D">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In the event </w:t>
      </w:r>
      <w:r w:rsidR="009E63AB">
        <w:rPr>
          <w:rFonts w:ascii="Times New Roman" w:hAnsi="Times New Roman" w:cs="Times New Roman"/>
          <w:szCs w:val="20"/>
        </w:rPr>
        <w:t>Company</w:t>
      </w:r>
      <w:r>
        <w:rPr>
          <w:rFonts w:ascii="Times New Roman" w:hAnsi="Times New Roman" w:cs="Times New Roman"/>
          <w:szCs w:val="20"/>
        </w:rPr>
        <w:t xml:space="preserve"> experiences a system outage or other technology-related problem that impacts our ability to meet the obligations imposed by the applicable rules, </w:t>
      </w:r>
      <w:r w:rsidR="009E63AB">
        <w:rPr>
          <w:rFonts w:ascii="Times New Roman" w:hAnsi="Times New Roman" w:cs="Times New Roman"/>
          <w:szCs w:val="20"/>
        </w:rPr>
        <w:t>Company</w:t>
      </w:r>
      <w:r>
        <w:rPr>
          <w:rFonts w:ascii="Times New Roman" w:hAnsi="Times New Roman" w:cs="Times New Roman"/>
          <w:szCs w:val="20"/>
        </w:rPr>
        <w:t xml:space="preserve"> should send a message to the appropriate e-mail address below that includes the following information: </w:t>
      </w:r>
    </w:p>
    <w:p w14:paraId="56FF0493" w14:textId="77777777" w:rsidR="00E44B88" w:rsidRPr="00E44B88" w:rsidRDefault="00E44B88" w:rsidP="00235B3D">
      <w:pPr>
        <w:pStyle w:val="NormalWeb"/>
        <w:spacing w:before="0" w:beforeAutospacing="0" w:after="0" w:afterAutospacing="0"/>
        <w:jc w:val="both"/>
        <w:rPr>
          <w:rFonts w:ascii="Times New Roman" w:hAnsi="Times New Roman" w:cs="Times New Roman"/>
          <w:sz w:val="18"/>
          <w:szCs w:val="18"/>
        </w:rPr>
      </w:pPr>
    </w:p>
    <w:p w14:paraId="105F728B" w14:textId="77777777" w:rsidR="00FB0641" w:rsidRDefault="00FB0641" w:rsidP="00216F83">
      <w:pPr>
        <w:numPr>
          <w:ilvl w:val="0"/>
          <w:numId w:val="16"/>
        </w:numPr>
        <w:rPr>
          <w:sz w:val="24"/>
        </w:rPr>
      </w:pPr>
      <w:r>
        <w:rPr>
          <w:sz w:val="24"/>
        </w:rPr>
        <w:t>the date(s) the system problem occurred;</w:t>
      </w:r>
    </w:p>
    <w:p w14:paraId="38B9EAA1" w14:textId="77777777" w:rsidR="00FB0641" w:rsidRDefault="00FB0641" w:rsidP="00216F83">
      <w:pPr>
        <w:numPr>
          <w:ilvl w:val="0"/>
          <w:numId w:val="16"/>
        </w:numPr>
        <w:rPr>
          <w:sz w:val="24"/>
        </w:rPr>
      </w:pPr>
      <w:r>
        <w:rPr>
          <w:sz w:val="24"/>
        </w:rPr>
        <w:t>the specific systems that were affected (</w:t>
      </w:r>
      <w:r>
        <w:rPr>
          <w:i/>
          <w:iCs/>
          <w:sz w:val="24"/>
        </w:rPr>
        <w:t>e.g.</w:t>
      </w:r>
      <w:r>
        <w:rPr>
          <w:sz w:val="24"/>
        </w:rPr>
        <w:t>, the member's internal systems, third party vendor system);</w:t>
      </w:r>
    </w:p>
    <w:p w14:paraId="4F6AFBCD" w14:textId="77777777" w:rsidR="00FB0641" w:rsidRDefault="00FB0641" w:rsidP="00216F83">
      <w:pPr>
        <w:numPr>
          <w:ilvl w:val="0"/>
          <w:numId w:val="16"/>
        </w:numPr>
        <w:rPr>
          <w:sz w:val="24"/>
        </w:rPr>
      </w:pPr>
      <w:r>
        <w:rPr>
          <w:sz w:val="24"/>
        </w:rPr>
        <w:t>the exact nature of the problem (</w:t>
      </w:r>
      <w:r>
        <w:rPr>
          <w:i/>
          <w:iCs/>
          <w:sz w:val="24"/>
        </w:rPr>
        <w:t>e.g.</w:t>
      </w:r>
      <w:r>
        <w:rPr>
          <w:sz w:val="24"/>
        </w:rPr>
        <w:t>, complete outage, slow transmission times);</w:t>
      </w:r>
    </w:p>
    <w:p w14:paraId="564AD517" w14:textId="77777777" w:rsidR="00FB0641" w:rsidRDefault="00FB0641" w:rsidP="00216F83">
      <w:pPr>
        <w:numPr>
          <w:ilvl w:val="0"/>
          <w:numId w:val="16"/>
        </w:numPr>
        <w:rPr>
          <w:sz w:val="24"/>
        </w:rPr>
      </w:pPr>
      <w:r>
        <w:rPr>
          <w:sz w:val="24"/>
        </w:rPr>
        <w:t>the time the problem began;</w:t>
      </w:r>
    </w:p>
    <w:p w14:paraId="0FDDC998" w14:textId="77777777" w:rsidR="00FB0641" w:rsidRDefault="00FB0641" w:rsidP="00216F83">
      <w:pPr>
        <w:numPr>
          <w:ilvl w:val="0"/>
          <w:numId w:val="16"/>
        </w:numPr>
        <w:rPr>
          <w:sz w:val="24"/>
        </w:rPr>
      </w:pPr>
      <w:r>
        <w:rPr>
          <w:sz w:val="24"/>
        </w:rPr>
        <w:t>the time the member first detected the problem;</w:t>
      </w:r>
    </w:p>
    <w:p w14:paraId="4A8B97D2" w14:textId="77777777" w:rsidR="00FB0641" w:rsidRDefault="00FB0641" w:rsidP="00216F83">
      <w:pPr>
        <w:numPr>
          <w:ilvl w:val="0"/>
          <w:numId w:val="16"/>
        </w:numPr>
        <w:rPr>
          <w:sz w:val="24"/>
        </w:rPr>
      </w:pPr>
      <w:r>
        <w:rPr>
          <w:sz w:val="24"/>
        </w:rPr>
        <w:t>the time the problem was resolved and a brief description of the resolution;</w:t>
      </w:r>
    </w:p>
    <w:p w14:paraId="684C37B1" w14:textId="77777777" w:rsidR="00FB0641" w:rsidRDefault="00FB0641" w:rsidP="00216F83">
      <w:pPr>
        <w:numPr>
          <w:ilvl w:val="0"/>
          <w:numId w:val="16"/>
        </w:numPr>
        <w:rPr>
          <w:sz w:val="24"/>
        </w:rPr>
      </w:pPr>
      <w:r>
        <w:rPr>
          <w:sz w:val="24"/>
        </w:rPr>
        <w:t>the level of activity impacted (</w:t>
      </w:r>
      <w:r>
        <w:rPr>
          <w:i/>
          <w:iCs/>
          <w:sz w:val="24"/>
        </w:rPr>
        <w:t>e.g.</w:t>
      </w:r>
      <w:r>
        <w:rPr>
          <w:sz w:val="24"/>
        </w:rPr>
        <w:t>, the approximate number of trades not reported) and a description of how the impact will be addressed (</w:t>
      </w:r>
      <w:r>
        <w:rPr>
          <w:i/>
          <w:iCs/>
          <w:sz w:val="24"/>
        </w:rPr>
        <w:t>e.g.</w:t>
      </w:r>
      <w:r>
        <w:rPr>
          <w:sz w:val="24"/>
        </w:rPr>
        <w:t xml:space="preserve">, trade reports to be submitted on an "as of" basis the next business day); </w:t>
      </w:r>
    </w:p>
    <w:p w14:paraId="4F016A6D" w14:textId="77777777" w:rsidR="00FB0641" w:rsidRDefault="00FB0641" w:rsidP="00216F83">
      <w:pPr>
        <w:numPr>
          <w:ilvl w:val="0"/>
          <w:numId w:val="16"/>
        </w:numPr>
        <w:rPr>
          <w:sz w:val="24"/>
        </w:rPr>
      </w:pPr>
      <w:r>
        <w:rPr>
          <w:sz w:val="24"/>
        </w:rPr>
        <w:t>contact name and telephone number; and</w:t>
      </w:r>
    </w:p>
    <w:p w14:paraId="045CAB5F" w14:textId="77777777" w:rsidR="00FB0641" w:rsidRDefault="00FB0641" w:rsidP="00216F83">
      <w:pPr>
        <w:numPr>
          <w:ilvl w:val="0"/>
          <w:numId w:val="16"/>
        </w:numPr>
        <w:rPr>
          <w:sz w:val="24"/>
        </w:rPr>
      </w:pPr>
      <w:r>
        <w:rPr>
          <w:sz w:val="24"/>
        </w:rPr>
        <w:t>any additional information deemed relevant by the member firm reporting the problem.</w:t>
      </w:r>
    </w:p>
    <w:p w14:paraId="722711D5" w14:textId="77777777" w:rsidR="00FB0641" w:rsidRDefault="00FB0641" w:rsidP="00FB0641">
      <w:pPr>
        <w:pStyle w:val="NormalWeb"/>
        <w:rPr>
          <w:rFonts w:ascii="Times New Roman" w:hAnsi="Times New Roman" w:cs="Times New Roman"/>
        </w:rPr>
      </w:pPr>
      <w:r>
        <w:rPr>
          <w:rFonts w:ascii="Times New Roman" w:hAnsi="Times New Roman" w:cs="Times New Roman"/>
          <w:i/>
          <w:iCs/>
          <w:szCs w:val="20"/>
        </w:rPr>
        <w:t xml:space="preserve">All system outages or technology-related problems involving equities should be reported to </w:t>
      </w:r>
      <w:hyperlink r:id="rId70" w:history="1">
        <w:r>
          <w:rPr>
            <w:rStyle w:val="Hyperlink"/>
            <w:rFonts w:ascii="Times New Roman" w:hAnsi="Times New Roman" w:cs="Times New Roman"/>
            <w:i/>
            <w:iCs/>
            <w:szCs w:val="20"/>
          </w:rPr>
          <w:t>tradereporting@</w:t>
        </w:r>
        <w:r w:rsidRPr="001E23AB">
          <w:rPr>
            <w:rStyle w:val="Hyperlink"/>
            <w:rFonts w:ascii="Times New Roman" w:hAnsi="Times New Roman" w:cs="Times New Roman"/>
            <w:i/>
            <w:iCs/>
            <w:szCs w:val="20"/>
          </w:rPr>
          <w:t>FINRA</w:t>
        </w:r>
        <w:r>
          <w:rPr>
            <w:rStyle w:val="Hyperlink"/>
            <w:rFonts w:ascii="Times New Roman" w:hAnsi="Times New Roman" w:cs="Times New Roman"/>
            <w:i/>
            <w:iCs/>
            <w:szCs w:val="20"/>
          </w:rPr>
          <w:t>.com</w:t>
        </w:r>
      </w:hyperlink>
      <w:r>
        <w:rPr>
          <w:rFonts w:ascii="Times New Roman" w:hAnsi="Times New Roman" w:cs="Times New Roman"/>
          <w:i/>
          <w:iCs/>
          <w:szCs w:val="20"/>
        </w:rPr>
        <w:t xml:space="preserve">. All system outages or other technology-related problems involving TRACE should be reported to </w:t>
      </w:r>
      <w:hyperlink r:id="rId71" w:history="1">
        <w:r>
          <w:rPr>
            <w:rStyle w:val="Hyperlink"/>
            <w:rFonts w:ascii="Times New Roman" w:hAnsi="Times New Roman" w:cs="Times New Roman"/>
            <w:i/>
            <w:iCs/>
            <w:szCs w:val="20"/>
          </w:rPr>
          <w:t>bondreporting@</w:t>
        </w:r>
        <w:r w:rsidRPr="001E23AB">
          <w:rPr>
            <w:rStyle w:val="Hyperlink"/>
            <w:rFonts w:ascii="Times New Roman" w:hAnsi="Times New Roman" w:cs="Times New Roman"/>
            <w:i/>
            <w:iCs/>
            <w:szCs w:val="20"/>
          </w:rPr>
          <w:t>FINRA</w:t>
        </w:r>
        <w:r>
          <w:rPr>
            <w:rStyle w:val="Hyperlink"/>
            <w:rFonts w:ascii="Times New Roman" w:hAnsi="Times New Roman" w:cs="Times New Roman"/>
            <w:i/>
            <w:iCs/>
            <w:szCs w:val="20"/>
          </w:rPr>
          <w:t>.com</w:t>
        </w:r>
      </w:hyperlink>
      <w:r>
        <w:rPr>
          <w:rFonts w:ascii="Times New Roman" w:hAnsi="Times New Roman" w:cs="Times New Roman"/>
          <w:i/>
          <w:iCs/>
          <w:szCs w:val="20"/>
        </w:rPr>
        <w:t>.</w:t>
      </w:r>
      <w:r>
        <w:rPr>
          <w:rFonts w:ascii="Times New Roman" w:hAnsi="Times New Roman" w:cs="Times New Roman"/>
          <w:szCs w:val="20"/>
        </w:rPr>
        <w:t xml:space="preserve"> </w:t>
      </w:r>
    </w:p>
    <w:p w14:paraId="5FE40CAA" w14:textId="77777777" w:rsidR="00FB0641" w:rsidRDefault="00A37E88" w:rsidP="000F2CA0">
      <w:pPr>
        <w:pStyle w:val="Heading3"/>
      </w:pPr>
      <w:r>
        <w:t xml:space="preserve">8.31.1 </w:t>
      </w:r>
      <w:r w:rsidR="000F2CA0">
        <w:t>Unexpected Market Day Closures</w:t>
      </w:r>
    </w:p>
    <w:p w14:paraId="4AC6D25D" w14:textId="77777777" w:rsidR="000F2CA0" w:rsidRPr="00C35790" w:rsidRDefault="000F2CA0" w:rsidP="000F2CA0">
      <w:pPr>
        <w:ind w:left="270"/>
        <w:rPr>
          <w:sz w:val="24"/>
        </w:rPr>
      </w:pPr>
      <w:r w:rsidRPr="00C35790">
        <w:rPr>
          <w:sz w:val="24"/>
        </w:rPr>
        <w:t>There are occasions when the securities markets close for business such as a national day of mourning in memory of a President. Whether that day is or is not a regular business day affects various rule requirements including net capital, financial reporting, extensions of time and close-outs. Refer to FINRA Regulatory Notice 18-39 for details regarding how those rules are affected.</w:t>
      </w:r>
    </w:p>
    <w:p w14:paraId="4881163F" w14:textId="77777777" w:rsidR="005F3651" w:rsidRDefault="005F3651" w:rsidP="005F3651"/>
    <w:p w14:paraId="1B3F4E46" w14:textId="77777777" w:rsidR="00235B3D" w:rsidRPr="00CB299D" w:rsidRDefault="00235B3D" w:rsidP="00936FEE">
      <w:pPr>
        <w:pStyle w:val="Heading2"/>
      </w:pPr>
      <w:r w:rsidRPr="00CB299D">
        <w:t>8.3</w:t>
      </w:r>
      <w:r w:rsidR="0004301E">
        <w:t>2</w:t>
      </w:r>
      <w:r w:rsidRPr="00CB299D">
        <w:t xml:space="preserve"> </w:t>
      </w:r>
      <w:r w:rsidR="000702A2">
        <w:t>Market</w:t>
      </w:r>
      <w:r w:rsidRPr="00CB299D">
        <w:t xml:space="preserve"> Volatility</w:t>
      </w:r>
      <w:r w:rsidR="003F6B7A">
        <w:t xml:space="preserve"> and Orders</w:t>
      </w:r>
    </w:p>
    <w:p w14:paraId="66AA8FAC" w14:textId="77777777" w:rsidR="00FB0641" w:rsidRDefault="00FB0641" w:rsidP="00FB0641">
      <w:pPr>
        <w:tabs>
          <w:tab w:val="left" w:pos="288"/>
          <w:tab w:val="left" w:pos="720"/>
        </w:tabs>
        <w:jc w:val="both"/>
        <w:rPr>
          <w:sz w:val="24"/>
        </w:rPr>
      </w:pPr>
      <w:r>
        <w:rPr>
          <w:sz w:val="24"/>
        </w:rPr>
        <w:t>During extreme market conditions</w:t>
      </w:r>
      <w:r w:rsidR="00487C65">
        <w:rPr>
          <w:sz w:val="24"/>
        </w:rPr>
        <w:t>,</w:t>
      </w:r>
      <w:r>
        <w:rPr>
          <w:sz w:val="24"/>
        </w:rPr>
        <w:t xml:space="preserve"> Morris Monroe</w:t>
      </w:r>
      <w:r>
        <w:rPr>
          <w:color w:val="FF0000"/>
          <w:sz w:val="24"/>
        </w:rPr>
        <w:t xml:space="preserve"> </w:t>
      </w:r>
      <w:r>
        <w:rPr>
          <w:color w:val="000000"/>
          <w:sz w:val="24"/>
        </w:rPr>
        <w:t>will</w:t>
      </w:r>
      <w:r>
        <w:rPr>
          <w:sz w:val="24"/>
        </w:rPr>
        <w:t xml:space="preserve"> ensure that </w:t>
      </w:r>
      <w:r w:rsidR="009E63AB">
        <w:rPr>
          <w:sz w:val="24"/>
        </w:rPr>
        <w:t>Company</w:t>
      </w:r>
      <w:r>
        <w:rPr>
          <w:sz w:val="24"/>
        </w:rPr>
        <w:t xml:space="preserve"> treats all customers fairly and will provide clear disclosure to customers regarding the risks of volatility and volume concerns that may impac</w:t>
      </w:r>
      <w:r w:rsidR="00715012">
        <w:rPr>
          <w:sz w:val="24"/>
        </w:rPr>
        <w:t>t the C</w:t>
      </w:r>
      <w:r>
        <w:rPr>
          <w:sz w:val="24"/>
        </w:rPr>
        <w:t xml:space="preserve">ompany’s ability to process orders in a timely and orderly manner.  </w:t>
      </w:r>
    </w:p>
    <w:p w14:paraId="385694D3" w14:textId="77777777" w:rsidR="00FB0641" w:rsidRDefault="00FB0641" w:rsidP="00FB0641">
      <w:pPr>
        <w:pStyle w:val="MRS"/>
        <w:tabs>
          <w:tab w:val="left" w:pos="288"/>
          <w:tab w:val="left" w:pos="720"/>
        </w:tabs>
      </w:pPr>
    </w:p>
    <w:p w14:paraId="6C98263C" w14:textId="77777777" w:rsidR="00FB0641" w:rsidRDefault="00FB0641" w:rsidP="00FB0641">
      <w:pPr>
        <w:tabs>
          <w:tab w:val="left" w:pos="288"/>
          <w:tab w:val="left" w:pos="720"/>
        </w:tabs>
        <w:jc w:val="both"/>
        <w:rPr>
          <w:sz w:val="24"/>
        </w:rPr>
      </w:pPr>
      <w:r>
        <w:rPr>
          <w:sz w:val="24"/>
        </w:rPr>
        <w:t xml:space="preserve">Registered representatives will disclose that high volumes of trading may cause delays in execution and executions at prices significantly away from the market price quoted at the time the order was entered.  They will also disclose the difference between limit and market orders.  Customers will be reminded that market orders must be executed fully and promptly without regard to price, therefore the execution may be significantly different from the current quotes.  Registered representatives will inform customers that limit orders offer price </w:t>
      </w:r>
      <w:r w:rsidR="000B5012">
        <w:rPr>
          <w:sz w:val="24"/>
        </w:rPr>
        <w:t>protection,</w:t>
      </w:r>
      <w:r>
        <w:rPr>
          <w:sz w:val="24"/>
        </w:rPr>
        <w:t xml:space="preserve"> but the order may not be executed.</w:t>
      </w:r>
    </w:p>
    <w:p w14:paraId="23FFC5DB" w14:textId="77777777" w:rsidR="00FB0641" w:rsidRDefault="00FB0641" w:rsidP="00FB0641">
      <w:pPr>
        <w:tabs>
          <w:tab w:val="left" w:pos="288"/>
          <w:tab w:val="left" w:pos="720"/>
        </w:tabs>
        <w:jc w:val="both"/>
        <w:rPr>
          <w:sz w:val="24"/>
        </w:rPr>
      </w:pPr>
    </w:p>
    <w:p w14:paraId="2656385A" w14:textId="77777777" w:rsidR="00FB0641" w:rsidRDefault="00FB0641" w:rsidP="00FB0641">
      <w:pPr>
        <w:tabs>
          <w:tab w:val="left" w:pos="288"/>
          <w:tab w:val="left" w:pos="720"/>
        </w:tabs>
        <w:jc w:val="both"/>
        <w:rPr>
          <w:sz w:val="24"/>
        </w:rPr>
      </w:pPr>
      <w:r>
        <w:rPr>
          <w:sz w:val="24"/>
        </w:rPr>
        <w:t xml:space="preserve">Customers will also be informed by registered representatives at applicable times of order discussion that system problems may arise so that orders cannot be placed and that market losses may result.  Representatives will also discuss the company’s plan to attempt to alleviate this situation.  </w:t>
      </w:r>
    </w:p>
    <w:p w14:paraId="54BCADB6" w14:textId="77777777" w:rsidR="00FB0641" w:rsidRDefault="00FB0641" w:rsidP="00FB0641">
      <w:pPr>
        <w:tabs>
          <w:tab w:val="left" w:pos="288"/>
          <w:tab w:val="left" w:pos="720"/>
        </w:tabs>
        <w:jc w:val="both"/>
        <w:rPr>
          <w:sz w:val="24"/>
        </w:rPr>
      </w:pPr>
    </w:p>
    <w:p w14:paraId="6560F0DD" w14:textId="77777777" w:rsidR="00FB0641" w:rsidRDefault="000702A2" w:rsidP="00FB0641">
      <w:pPr>
        <w:pStyle w:val="BodyText"/>
        <w:tabs>
          <w:tab w:val="left" w:pos="288"/>
          <w:tab w:val="left" w:pos="720"/>
        </w:tabs>
        <w:spacing w:before="0" w:after="0"/>
      </w:pPr>
      <w:r w:rsidRPr="002C26F2">
        <w:lastRenderedPageBreak/>
        <w:t>Hilltop Securities</w:t>
      </w:r>
      <w:r w:rsidR="00FB0641" w:rsidRPr="002C26F2">
        <w:t xml:space="preserve"> </w:t>
      </w:r>
      <w:r w:rsidR="00FB0641">
        <w:t>will notify firm who will then notify customers if it raises the maintenance margin requirements for volatile stocks.  A record of any such notice will be kept with firm’s permanent records of correspondence for three years.</w:t>
      </w:r>
      <w:r>
        <w:t xml:space="preserve">  </w:t>
      </w:r>
    </w:p>
    <w:p w14:paraId="53052EA4" w14:textId="77777777" w:rsidR="000702A2" w:rsidRDefault="000702A2" w:rsidP="00FB0641">
      <w:pPr>
        <w:pStyle w:val="BodyText"/>
        <w:tabs>
          <w:tab w:val="left" w:pos="288"/>
          <w:tab w:val="left" w:pos="720"/>
        </w:tabs>
        <w:spacing w:before="0" w:after="0"/>
      </w:pPr>
    </w:p>
    <w:p w14:paraId="08DB3A0D" w14:textId="77777777" w:rsidR="000702A2" w:rsidRPr="002C26F2" w:rsidRDefault="000702A2" w:rsidP="00FB0641">
      <w:pPr>
        <w:pStyle w:val="BodyText"/>
        <w:tabs>
          <w:tab w:val="left" w:pos="288"/>
          <w:tab w:val="left" w:pos="720"/>
        </w:tabs>
        <w:spacing w:before="0" w:after="0"/>
      </w:pPr>
      <w:r w:rsidRPr="002C26F2">
        <w:t xml:space="preserve">Company will rely on HTS’ system to comply with the requirements of </w:t>
      </w:r>
      <w:r w:rsidR="00B67620" w:rsidRPr="002C26F2">
        <w:t xml:space="preserve">Regulation NMS </w:t>
      </w:r>
      <w:r w:rsidRPr="002C26F2">
        <w:t>and will obtain affirmation regarding the</w:t>
      </w:r>
      <w:r w:rsidR="00B67620" w:rsidRPr="002C26F2">
        <w:t>ir</w:t>
      </w:r>
      <w:r w:rsidRPr="002C26F2">
        <w:t xml:space="preserve"> system and responsibility to comply with executing trades and displaying quotations within price bands and preventing execution of trades during a trading pause.</w:t>
      </w:r>
    </w:p>
    <w:p w14:paraId="5D4EAA7C" w14:textId="77777777" w:rsidR="000F115E" w:rsidRDefault="000F115E" w:rsidP="00FB0641">
      <w:pPr>
        <w:pStyle w:val="BodyText"/>
        <w:tabs>
          <w:tab w:val="left" w:pos="288"/>
          <w:tab w:val="left" w:pos="720"/>
        </w:tabs>
        <w:spacing w:before="0" w:after="0"/>
        <w:rPr>
          <w:color w:val="FF0000"/>
        </w:rPr>
      </w:pPr>
    </w:p>
    <w:p w14:paraId="2DEF45DE" w14:textId="77777777" w:rsidR="000F115E" w:rsidRDefault="000F115E" w:rsidP="000F115E">
      <w:pPr>
        <w:pStyle w:val="Heading3"/>
      </w:pPr>
      <w:r>
        <w:t>8.32.1 Volatile Stocks</w:t>
      </w:r>
    </w:p>
    <w:p w14:paraId="4F5821ED" w14:textId="77777777" w:rsidR="000F115E" w:rsidRPr="002C26F2" w:rsidRDefault="000F115E" w:rsidP="000F115E">
      <w:pPr>
        <w:ind w:left="270"/>
        <w:rPr>
          <w:sz w:val="24"/>
          <w:szCs w:val="24"/>
        </w:rPr>
      </w:pPr>
      <w:r w:rsidRPr="002C26F2">
        <w:rPr>
          <w:sz w:val="24"/>
          <w:szCs w:val="24"/>
        </w:rPr>
        <w:t xml:space="preserve">Some securities are characterized by volatility of price and volume. This has, in particular, been a characteristic of some Internet stocks. The RR should know the potential </w:t>
      </w:r>
      <w:r w:rsidR="000B5012" w:rsidRPr="002C26F2">
        <w:rPr>
          <w:sz w:val="24"/>
          <w:szCs w:val="24"/>
        </w:rPr>
        <w:t>effect</w:t>
      </w:r>
      <w:r w:rsidRPr="002C26F2">
        <w:rPr>
          <w:sz w:val="24"/>
          <w:szCs w:val="24"/>
        </w:rPr>
        <w:t xml:space="preserve"> of volatility on recommended stocks and discuss these risks when recommending such investments with customers unfamiliar with transactions in these types of securities. Following </w:t>
      </w:r>
      <w:proofErr w:type="gramStart"/>
      <w:r w:rsidRPr="002C26F2">
        <w:rPr>
          <w:sz w:val="24"/>
          <w:szCs w:val="24"/>
        </w:rPr>
        <w:t>are</w:t>
      </w:r>
      <w:proofErr w:type="gramEnd"/>
      <w:r w:rsidRPr="002C26F2">
        <w:rPr>
          <w:sz w:val="24"/>
          <w:szCs w:val="24"/>
        </w:rPr>
        <w:t xml:space="preserve"> some of the conditions potentially affecting volatile stocks:</w:t>
      </w:r>
    </w:p>
    <w:p w14:paraId="031A577E" w14:textId="77777777" w:rsidR="000F115E" w:rsidRPr="002C26F2" w:rsidRDefault="000F115E" w:rsidP="003E7B18">
      <w:pPr>
        <w:numPr>
          <w:ilvl w:val="0"/>
          <w:numId w:val="293"/>
        </w:numPr>
        <w:spacing w:before="100" w:beforeAutospacing="1" w:after="100" w:afterAutospacing="1"/>
        <w:ind w:hanging="270"/>
        <w:rPr>
          <w:sz w:val="24"/>
          <w:szCs w:val="24"/>
        </w:rPr>
      </w:pPr>
      <w:r w:rsidRPr="002C26F2">
        <w:rPr>
          <w:sz w:val="24"/>
          <w:szCs w:val="24"/>
        </w:rPr>
        <w:t>High volume in volatile stocks may result in delays in execution at the opening or during the trading day.</w:t>
      </w:r>
    </w:p>
    <w:p w14:paraId="249B40CF" w14:textId="77777777" w:rsidR="000F115E" w:rsidRPr="002C26F2" w:rsidRDefault="000F115E" w:rsidP="003E7B18">
      <w:pPr>
        <w:numPr>
          <w:ilvl w:val="0"/>
          <w:numId w:val="293"/>
        </w:numPr>
        <w:spacing w:before="100" w:beforeAutospacing="1" w:after="100" w:afterAutospacing="1"/>
        <w:ind w:hanging="270"/>
        <w:rPr>
          <w:sz w:val="24"/>
          <w:szCs w:val="24"/>
        </w:rPr>
      </w:pPr>
      <w:r w:rsidRPr="002C26F2">
        <w:rPr>
          <w:sz w:val="24"/>
          <w:szCs w:val="24"/>
        </w:rPr>
        <w:t>Market orders may be executed at a price significantly different from the current quote. The benefits and risks of market vs. limit orders should be discussed.</w:t>
      </w:r>
    </w:p>
    <w:p w14:paraId="73121C57" w14:textId="77777777" w:rsidR="000F115E" w:rsidRPr="002C26F2" w:rsidRDefault="000F115E" w:rsidP="003E7B18">
      <w:pPr>
        <w:numPr>
          <w:ilvl w:val="0"/>
          <w:numId w:val="293"/>
        </w:numPr>
        <w:spacing w:before="100" w:beforeAutospacing="1" w:after="100" w:afterAutospacing="1"/>
        <w:ind w:hanging="270"/>
        <w:rPr>
          <w:sz w:val="24"/>
          <w:szCs w:val="24"/>
        </w:rPr>
      </w:pPr>
      <w:r w:rsidRPr="002C26F2">
        <w:rPr>
          <w:sz w:val="24"/>
          <w:szCs w:val="24"/>
        </w:rPr>
        <w:t>Orders for IPOs in the secondary market may be executed at prices significantly away from the current quote, and, because of "fast market" conditions, the current quote may not be up to date.</w:t>
      </w:r>
    </w:p>
    <w:p w14:paraId="18D62FF7" w14:textId="77777777" w:rsidR="000F115E" w:rsidRPr="002C26F2" w:rsidRDefault="000F115E" w:rsidP="003E7B18">
      <w:pPr>
        <w:numPr>
          <w:ilvl w:val="0"/>
          <w:numId w:val="293"/>
        </w:numPr>
        <w:ind w:hanging="270"/>
        <w:rPr>
          <w:sz w:val="24"/>
          <w:szCs w:val="24"/>
        </w:rPr>
      </w:pPr>
      <w:r w:rsidRPr="002C26F2">
        <w:rPr>
          <w:sz w:val="24"/>
          <w:szCs w:val="24"/>
        </w:rPr>
        <w:t>Volatile stocks may be subject to higher margin requirements or not available for purchase on margin.</w:t>
      </w:r>
    </w:p>
    <w:p w14:paraId="6BFAE208" w14:textId="77777777" w:rsidR="000F115E" w:rsidRPr="002C26F2" w:rsidRDefault="000F115E" w:rsidP="000F115E">
      <w:pPr>
        <w:ind w:left="270"/>
      </w:pPr>
    </w:p>
    <w:p w14:paraId="12BE3BCE" w14:textId="77777777" w:rsidR="00F10DCF" w:rsidRPr="002C26F2" w:rsidRDefault="00F10DCF" w:rsidP="00F10DCF">
      <w:pPr>
        <w:pStyle w:val="Heading3"/>
      </w:pPr>
      <w:r w:rsidRPr="002C26F2">
        <w:t>8.32.2 Stop Orders</w:t>
      </w:r>
    </w:p>
    <w:p w14:paraId="2708FAB8" w14:textId="77777777" w:rsidR="00F10DCF" w:rsidRPr="002C26F2" w:rsidRDefault="00F10DCF" w:rsidP="00F10DCF">
      <w:pPr>
        <w:ind w:left="270"/>
        <w:rPr>
          <w:sz w:val="24"/>
          <w:szCs w:val="24"/>
        </w:rPr>
      </w:pPr>
      <w:r w:rsidRPr="002C26F2">
        <w:rPr>
          <w:sz w:val="24"/>
          <w:szCs w:val="24"/>
        </w:rPr>
        <w:t>Stop orders may be used as a tool to manage market risk, but conditions during volatile market conditions may affect them differently than normal market conditions. Customers should be made aware of the risks of stop orders when markets are volatile:</w:t>
      </w:r>
    </w:p>
    <w:p w14:paraId="1E87371E" w14:textId="77777777" w:rsidR="00F10DCF" w:rsidRPr="002C26F2" w:rsidRDefault="00F10DCF" w:rsidP="003E7B18">
      <w:pPr>
        <w:numPr>
          <w:ilvl w:val="0"/>
          <w:numId w:val="294"/>
        </w:numPr>
        <w:spacing w:before="100" w:beforeAutospacing="1" w:after="100" w:afterAutospacing="1"/>
        <w:ind w:hanging="270"/>
        <w:rPr>
          <w:sz w:val="24"/>
          <w:szCs w:val="24"/>
        </w:rPr>
      </w:pPr>
      <w:r w:rsidRPr="002C26F2">
        <w:rPr>
          <w:sz w:val="24"/>
          <w:szCs w:val="24"/>
        </w:rPr>
        <w:t>Stop prices are not guaranteed execution prices.</w:t>
      </w:r>
    </w:p>
    <w:p w14:paraId="445A3E4F" w14:textId="77777777" w:rsidR="00F10DCF" w:rsidRPr="002C26F2" w:rsidRDefault="00F10DCF" w:rsidP="003E7B18">
      <w:pPr>
        <w:numPr>
          <w:ilvl w:val="0"/>
          <w:numId w:val="294"/>
        </w:numPr>
        <w:spacing w:before="100" w:beforeAutospacing="1" w:after="100" w:afterAutospacing="1"/>
        <w:ind w:hanging="270"/>
        <w:rPr>
          <w:sz w:val="24"/>
          <w:szCs w:val="24"/>
        </w:rPr>
      </w:pPr>
      <w:r w:rsidRPr="002C26F2">
        <w:rPr>
          <w:sz w:val="24"/>
          <w:szCs w:val="24"/>
        </w:rPr>
        <w:t>Stop orders may be triggered by a short-lived, dramatic price change.</w:t>
      </w:r>
    </w:p>
    <w:p w14:paraId="55153051" w14:textId="77777777" w:rsidR="00F10DCF" w:rsidRPr="002C26F2" w:rsidRDefault="00F10DCF" w:rsidP="003E7B18">
      <w:pPr>
        <w:numPr>
          <w:ilvl w:val="0"/>
          <w:numId w:val="294"/>
        </w:numPr>
        <w:spacing w:before="100" w:beforeAutospacing="1" w:after="100" w:afterAutospacing="1"/>
        <w:ind w:hanging="270"/>
        <w:rPr>
          <w:sz w:val="24"/>
          <w:szCs w:val="24"/>
        </w:rPr>
      </w:pPr>
      <w:r w:rsidRPr="002C26F2">
        <w:rPr>
          <w:sz w:val="24"/>
          <w:szCs w:val="24"/>
        </w:rPr>
        <w:t>Sell orders may exacerbate price declines during times of extreme volatility.</w:t>
      </w:r>
    </w:p>
    <w:p w14:paraId="28EB888A" w14:textId="77777777" w:rsidR="00F10DCF" w:rsidRPr="002C26F2" w:rsidRDefault="00F10DCF" w:rsidP="003E7B18">
      <w:pPr>
        <w:numPr>
          <w:ilvl w:val="0"/>
          <w:numId w:val="294"/>
        </w:numPr>
        <w:spacing w:before="100" w:beforeAutospacing="1" w:after="100" w:afterAutospacing="1"/>
        <w:ind w:hanging="270"/>
        <w:rPr>
          <w:sz w:val="24"/>
          <w:szCs w:val="24"/>
        </w:rPr>
      </w:pPr>
      <w:r w:rsidRPr="002C26F2">
        <w:rPr>
          <w:sz w:val="24"/>
          <w:szCs w:val="24"/>
        </w:rPr>
        <w:t>Placing a "limit price" on a stop order may help manage some of these risks.</w:t>
      </w:r>
    </w:p>
    <w:p w14:paraId="6EE1EC4C" w14:textId="77777777" w:rsidR="00F10DCF" w:rsidRPr="002C26F2" w:rsidRDefault="00F10DCF" w:rsidP="003E7B18">
      <w:pPr>
        <w:numPr>
          <w:ilvl w:val="0"/>
          <w:numId w:val="294"/>
        </w:numPr>
        <w:spacing w:before="100" w:beforeAutospacing="1" w:after="100" w:afterAutospacing="1"/>
        <w:ind w:hanging="270"/>
        <w:rPr>
          <w:sz w:val="24"/>
          <w:szCs w:val="24"/>
        </w:rPr>
      </w:pPr>
      <w:r w:rsidRPr="002C26F2">
        <w:rPr>
          <w:sz w:val="24"/>
          <w:szCs w:val="24"/>
        </w:rPr>
        <w:t>Customers should be made aware of volatile market conditions when RRs advise customers in selecting a stop order type and the stop price (or the stop and limit prices for a stop limit order).</w:t>
      </w:r>
    </w:p>
    <w:p w14:paraId="6C331B77" w14:textId="77777777" w:rsidR="00F10DCF" w:rsidRPr="002C26F2" w:rsidRDefault="00F10DCF" w:rsidP="003E7B18">
      <w:pPr>
        <w:numPr>
          <w:ilvl w:val="0"/>
          <w:numId w:val="294"/>
        </w:numPr>
        <w:spacing w:before="100" w:beforeAutospacing="1" w:after="100" w:afterAutospacing="1"/>
        <w:ind w:hanging="270"/>
        <w:rPr>
          <w:sz w:val="24"/>
          <w:szCs w:val="24"/>
        </w:rPr>
      </w:pPr>
      <w:r w:rsidRPr="002C26F2">
        <w:rPr>
          <w:sz w:val="24"/>
          <w:szCs w:val="24"/>
        </w:rPr>
        <w:t>If in place, customers should be notified of the expiration of good-</w:t>
      </w:r>
      <w:proofErr w:type="spellStart"/>
      <w:r w:rsidRPr="002C26F2">
        <w:rPr>
          <w:sz w:val="24"/>
          <w:szCs w:val="24"/>
        </w:rPr>
        <w:t>til</w:t>
      </w:r>
      <w:proofErr w:type="spellEnd"/>
      <w:r w:rsidRPr="002C26F2">
        <w:rPr>
          <w:sz w:val="24"/>
          <w:szCs w:val="24"/>
        </w:rPr>
        <w:t>-cancelled stop and stop limit orders.</w:t>
      </w:r>
    </w:p>
    <w:p w14:paraId="7FB187CE" w14:textId="17AD5C0E" w:rsidR="00A26CAD" w:rsidRPr="00C35790" w:rsidRDefault="006172C0" w:rsidP="00936FEE">
      <w:pPr>
        <w:pStyle w:val="Heading2"/>
      </w:pPr>
      <w:bookmarkStart w:id="121" w:name="OATS"/>
      <w:bookmarkStart w:id="122" w:name="_8.33_Consolidated_Audit"/>
      <w:bookmarkEnd w:id="121"/>
      <w:bookmarkEnd w:id="122"/>
      <w:r w:rsidRPr="00CB299D">
        <w:t>8.3</w:t>
      </w:r>
      <w:r w:rsidR="0004301E">
        <w:t>3</w:t>
      </w:r>
      <w:r w:rsidRPr="00CB299D">
        <w:t xml:space="preserve"> </w:t>
      </w:r>
      <w:r w:rsidR="00A26CAD">
        <w:t>Consolidated Audit Trail</w:t>
      </w:r>
      <w:r w:rsidR="005F7437">
        <w:t xml:space="preserve"> (CAT)</w:t>
      </w:r>
      <w:r w:rsidR="00A26CAD">
        <w:t xml:space="preserve"> </w:t>
      </w:r>
    </w:p>
    <w:p w14:paraId="58B3F979" w14:textId="3E8E25E8" w:rsidR="00A26CAD" w:rsidRPr="0086379E" w:rsidRDefault="00A26CAD" w:rsidP="00A26CAD">
      <w:pPr>
        <w:pStyle w:val="Normal41"/>
        <w:spacing w:before="15" w:beforeAutospacing="0" w:line="240" w:lineRule="atLeast"/>
        <w:rPr>
          <w:color w:val="000000" w:themeColor="text1"/>
          <w:spacing w:val="8"/>
        </w:rPr>
      </w:pPr>
      <w:r w:rsidRPr="00C35790">
        <w:rPr>
          <w:spacing w:val="8"/>
        </w:rPr>
        <w:t>Under Rule 613 of Regulation NMS, FINRA and the national securities exchanges ("SROs") have developed a consolidated audit trail that enables regulators to oversee securities markets on a consolidated basis to enhance market and investor protections. This section outlines general and supervisory requirements; CAT resources, particularly the CAT website at </w:t>
      </w:r>
      <w:hyperlink r:id="rId72" w:tgtFrame="_blank" w:history="1">
        <w:r w:rsidRPr="00C35790">
          <w:rPr>
            <w:rStyle w:val="Hyperlink"/>
            <w:color w:val="auto"/>
            <w:spacing w:val="8"/>
          </w:rPr>
          <w:t>www.catnmsplan.com</w:t>
        </w:r>
        <w:r w:rsidRPr="00C35790">
          <w:rPr>
            <w:rStyle w:val="Hyperlink"/>
            <w:color w:val="auto"/>
            <w:spacing w:val="8"/>
            <w:u w:val="none"/>
          </w:rPr>
          <w:t> </w:t>
        </w:r>
      </w:hyperlink>
      <w:r w:rsidRPr="00C35790">
        <w:rPr>
          <w:spacing w:val="8"/>
        </w:rPr>
        <w:t>should be consulted for details of requirements and technical guidance</w:t>
      </w:r>
      <w:r w:rsidRPr="0086379E">
        <w:rPr>
          <w:color w:val="000000" w:themeColor="text1"/>
          <w:spacing w:val="8"/>
        </w:rPr>
        <w:t>.</w:t>
      </w:r>
      <w:r w:rsidR="00E62A1A" w:rsidRPr="0086379E">
        <w:rPr>
          <w:color w:val="000000" w:themeColor="text1"/>
          <w:spacing w:val="8"/>
        </w:rPr>
        <w:t xml:space="preserve">  Morris Monroe will be responsible for </w:t>
      </w:r>
      <w:r w:rsidR="000D1495" w:rsidRPr="0086379E">
        <w:rPr>
          <w:color w:val="000000" w:themeColor="text1"/>
          <w:spacing w:val="8"/>
        </w:rPr>
        <w:t xml:space="preserve">the overall compliance with CAT reporting.  In addition, he will be responsible for ensuring </w:t>
      </w:r>
      <w:r w:rsidR="00E62A1A" w:rsidRPr="0086379E">
        <w:rPr>
          <w:color w:val="000000" w:themeColor="text1"/>
        </w:rPr>
        <w:t xml:space="preserve">order </w:t>
      </w:r>
      <w:r w:rsidR="00E62A1A" w:rsidRPr="0086379E">
        <w:rPr>
          <w:color w:val="000000" w:themeColor="text1"/>
        </w:rPr>
        <w:lastRenderedPageBreak/>
        <w:t xml:space="preserve">information is properly submitted to the </w:t>
      </w:r>
      <w:r w:rsidR="00E62A1A" w:rsidRPr="0086379E">
        <w:rPr>
          <w:color w:val="000000" w:themeColor="text1"/>
          <w:spacing w:val="8"/>
        </w:rPr>
        <w:t xml:space="preserve">CAT reporting system </w:t>
      </w:r>
      <w:r w:rsidR="00AF480E" w:rsidRPr="0086379E">
        <w:rPr>
          <w:color w:val="000000" w:themeColor="text1"/>
          <w:spacing w:val="8"/>
        </w:rPr>
        <w:t xml:space="preserve">(through its Reporting Agent) </w:t>
      </w:r>
      <w:r w:rsidR="00E62A1A" w:rsidRPr="0086379E">
        <w:rPr>
          <w:color w:val="000000" w:themeColor="text1"/>
        </w:rPr>
        <w:t>and the Company is properly setup to implement reporting when notified by FINRA’s phase</w:t>
      </w:r>
      <w:r w:rsidR="00AF480E" w:rsidRPr="0086379E">
        <w:rPr>
          <w:color w:val="000000" w:themeColor="text1"/>
        </w:rPr>
        <w:t>d</w:t>
      </w:r>
      <w:r w:rsidR="00E62A1A" w:rsidRPr="0086379E">
        <w:rPr>
          <w:color w:val="000000" w:themeColor="text1"/>
        </w:rPr>
        <w:t xml:space="preserve"> implementations.  </w:t>
      </w:r>
    </w:p>
    <w:p w14:paraId="0B7678BE" w14:textId="511729AE" w:rsidR="00A26CAD" w:rsidRPr="00655EDE" w:rsidRDefault="00A26CAD" w:rsidP="00A26CAD">
      <w:pPr>
        <w:pStyle w:val="Normal41"/>
        <w:spacing w:before="15" w:beforeAutospacing="0" w:line="240" w:lineRule="atLeast"/>
        <w:rPr>
          <w:color w:val="FF0000"/>
          <w:spacing w:val="8"/>
        </w:rPr>
      </w:pPr>
      <w:r w:rsidRPr="00C35790">
        <w:rPr>
          <w:spacing w:val="8"/>
        </w:rPr>
        <w:t xml:space="preserve">All firms (regardless of size) that receive or originate orders in NMS stocks, OTC equity securities, or listed options must report to CAT. </w:t>
      </w:r>
      <w:r w:rsidR="006159CD" w:rsidRPr="00C35790">
        <w:rPr>
          <w:spacing w:val="8"/>
        </w:rPr>
        <w:t>Consequently, Company has registered with the CAT system</w:t>
      </w:r>
      <w:r w:rsidR="002C0BA6" w:rsidRPr="00C35790">
        <w:rPr>
          <w:spacing w:val="8"/>
        </w:rPr>
        <w:t xml:space="preserve"> and appointed HTS as its Reporting Agent</w:t>
      </w:r>
      <w:r w:rsidR="006159CD" w:rsidRPr="00C35790">
        <w:rPr>
          <w:spacing w:val="8"/>
        </w:rPr>
        <w:t xml:space="preserve">.  </w:t>
      </w:r>
      <w:r w:rsidRPr="00C35790">
        <w:rPr>
          <w:spacing w:val="8"/>
        </w:rPr>
        <w:t>All proprietary trading activity, including market making activity, is subject to CAT reporting. There are no exclusions or exemptions of any kind for type of firm or type of trading activity. If reporting is done by a third party (</w:t>
      </w:r>
      <w:r w:rsidRPr="00C35790">
        <w:rPr>
          <w:i/>
          <w:iCs/>
          <w:spacing w:val="8"/>
        </w:rPr>
        <w:t>e.g.,</w:t>
      </w:r>
      <w:r w:rsidRPr="00C35790">
        <w:rPr>
          <w:spacing w:val="8"/>
        </w:rPr>
        <w:t> clearing firm) Company remains responsible for oversight of reporting.</w:t>
      </w:r>
      <w:r w:rsidR="00536D1F">
        <w:rPr>
          <w:spacing w:val="8"/>
        </w:rPr>
        <w:t xml:space="preserve">  </w:t>
      </w:r>
      <w:r w:rsidR="00536D1F" w:rsidRPr="00421A3E">
        <w:rPr>
          <w:spacing w:val="8"/>
        </w:rPr>
        <w:t>Company must ensure designation of a Super Account Administrator and users.</w:t>
      </w:r>
      <w:r w:rsidR="00655EDE">
        <w:rPr>
          <w:spacing w:val="8"/>
        </w:rPr>
        <w:t xml:space="preserve"> </w:t>
      </w:r>
      <w:r w:rsidR="00655EDE" w:rsidRPr="00655EDE">
        <w:rPr>
          <w:color w:val="FF0000"/>
          <w:spacing w:val="8"/>
        </w:rPr>
        <w:t>Company must also:</w:t>
      </w:r>
    </w:p>
    <w:p w14:paraId="00A6CADC" w14:textId="7FEC56E0" w:rsidR="00655EDE" w:rsidRDefault="00655EDE" w:rsidP="0005402C">
      <w:pPr>
        <w:pStyle w:val="Normal41"/>
        <w:numPr>
          <w:ilvl w:val="0"/>
          <w:numId w:val="403"/>
        </w:numPr>
        <w:spacing w:before="15" w:beforeAutospacing="0" w:line="240" w:lineRule="atLeast"/>
        <w:rPr>
          <w:color w:val="FF0000"/>
          <w:spacing w:val="8"/>
        </w:rPr>
      </w:pPr>
      <w:r>
        <w:rPr>
          <w:color w:val="FF0000"/>
          <w:spacing w:val="8"/>
        </w:rPr>
        <w:t xml:space="preserve">Create the Company’s </w:t>
      </w:r>
      <w:r w:rsidR="0005402C">
        <w:rPr>
          <w:color w:val="FF0000"/>
          <w:spacing w:val="8"/>
        </w:rPr>
        <w:t>Firm Designated ID (</w:t>
      </w:r>
      <w:r>
        <w:rPr>
          <w:color w:val="FF0000"/>
          <w:spacing w:val="8"/>
        </w:rPr>
        <w:t>FDID</w:t>
      </w:r>
      <w:r w:rsidR="0005402C">
        <w:rPr>
          <w:color w:val="FF0000"/>
          <w:spacing w:val="8"/>
        </w:rPr>
        <w:t>)</w:t>
      </w:r>
      <w:r>
        <w:rPr>
          <w:color w:val="FF0000"/>
          <w:spacing w:val="8"/>
        </w:rPr>
        <w:t xml:space="preserve"> and submit to CAT;</w:t>
      </w:r>
    </w:p>
    <w:p w14:paraId="3794773C" w14:textId="2184A358" w:rsidR="00655EDE" w:rsidRDefault="00655EDE" w:rsidP="0005402C">
      <w:pPr>
        <w:pStyle w:val="Normal41"/>
        <w:numPr>
          <w:ilvl w:val="0"/>
          <w:numId w:val="403"/>
        </w:numPr>
        <w:spacing w:before="15" w:beforeAutospacing="0" w:line="240" w:lineRule="atLeast"/>
        <w:rPr>
          <w:color w:val="FF0000"/>
          <w:spacing w:val="8"/>
        </w:rPr>
      </w:pPr>
      <w:r>
        <w:rPr>
          <w:color w:val="FF0000"/>
          <w:spacing w:val="8"/>
        </w:rPr>
        <w:t>Monitor reporting to confirm the FDID is used for reporting as required by the Company for reporting;</w:t>
      </w:r>
    </w:p>
    <w:p w14:paraId="787B2BAD" w14:textId="060F04DC" w:rsidR="00655EDE" w:rsidRPr="00655EDE" w:rsidRDefault="00655EDE" w:rsidP="0005402C">
      <w:pPr>
        <w:pStyle w:val="Normal41"/>
        <w:numPr>
          <w:ilvl w:val="0"/>
          <w:numId w:val="403"/>
        </w:numPr>
        <w:spacing w:before="15" w:beforeAutospacing="0" w:line="240" w:lineRule="atLeast"/>
        <w:rPr>
          <w:color w:val="FF0000"/>
          <w:spacing w:val="8"/>
        </w:rPr>
      </w:pPr>
      <w:r>
        <w:rPr>
          <w:color w:val="FF0000"/>
          <w:spacing w:val="8"/>
        </w:rPr>
        <w:t>Take any corrective action if errors are identified</w:t>
      </w:r>
      <w:r w:rsidR="0005402C">
        <w:rPr>
          <w:color w:val="FF0000"/>
          <w:spacing w:val="8"/>
        </w:rPr>
        <w:t xml:space="preserve"> in assigning transactions to the Company’s FDID.</w:t>
      </w:r>
    </w:p>
    <w:p w14:paraId="5B02C612" w14:textId="77777777" w:rsidR="00A26CAD" w:rsidRPr="00C35790" w:rsidRDefault="001A4D9C" w:rsidP="003A7A2D">
      <w:pPr>
        <w:pStyle w:val="Heading3"/>
      </w:pPr>
      <w:r w:rsidRPr="00C35790">
        <w:t>8.33.1 Trade Report Information</w:t>
      </w:r>
    </w:p>
    <w:p w14:paraId="14759175" w14:textId="77777777" w:rsidR="001A2E23" w:rsidRPr="00C35790" w:rsidRDefault="001A2E23" w:rsidP="001A4D9C">
      <w:pPr>
        <w:ind w:left="270"/>
        <w:rPr>
          <w:spacing w:val="8"/>
          <w:sz w:val="24"/>
          <w:szCs w:val="24"/>
          <w:shd w:val="clear" w:color="auto" w:fill="FFFFFF"/>
        </w:rPr>
      </w:pPr>
      <w:r w:rsidRPr="00C35790">
        <w:rPr>
          <w:spacing w:val="8"/>
          <w:sz w:val="24"/>
          <w:szCs w:val="24"/>
          <w:shd w:val="clear" w:color="auto" w:fill="FFFFFF"/>
        </w:rPr>
        <w:t>Company is obligated to report trades to the CAT system through a  Trade Reporting Facility (TRF). The obligation to report depends on the security, the type of transaction (buy or sell), and the capacity in which the Firm executes the transaction. Transactions must be reported to a FINRA trade reporting facility unless transactions in eligible securities are reported on or through an exchange. Rules specify the latest time ("no later than _") by which a trade must be reported, but the obligation is to report "as soon as practicable," </w:t>
      </w:r>
      <w:r w:rsidRPr="00C35790">
        <w:rPr>
          <w:i/>
          <w:iCs/>
          <w:spacing w:val="8"/>
          <w:sz w:val="24"/>
          <w:szCs w:val="24"/>
          <w:shd w:val="clear" w:color="auto" w:fill="FFFFFF"/>
        </w:rPr>
        <w:t>i.e.,</w:t>
      </w:r>
      <w:r w:rsidRPr="00C35790">
        <w:rPr>
          <w:spacing w:val="8"/>
          <w:sz w:val="24"/>
          <w:szCs w:val="24"/>
          <w:shd w:val="clear" w:color="auto" w:fill="FFFFFF"/>
        </w:rPr>
        <w:t> without delay after execution or cancellation.</w:t>
      </w:r>
    </w:p>
    <w:p w14:paraId="7D5A0513" w14:textId="77777777" w:rsidR="001A2E23" w:rsidRPr="00C35790" w:rsidRDefault="001A2E23" w:rsidP="001A4D9C">
      <w:pPr>
        <w:ind w:left="270"/>
        <w:rPr>
          <w:spacing w:val="8"/>
          <w:sz w:val="24"/>
          <w:szCs w:val="24"/>
          <w:shd w:val="clear" w:color="auto" w:fill="FFFFFF"/>
        </w:rPr>
      </w:pPr>
    </w:p>
    <w:p w14:paraId="0181A65D" w14:textId="77777777" w:rsidR="001A4D9C" w:rsidRPr="00C35790" w:rsidRDefault="001A4D9C" w:rsidP="001A4D9C">
      <w:pPr>
        <w:ind w:left="270"/>
        <w:rPr>
          <w:spacing w:val="8"/>
          <w:sz w:val="24"/>
          <w:szCs w:val="24"/>
          <w:shd w:val="clear" w:color="auto" w:fill="FFFFFF"/>
        </w:rPr>
      </w:pPr>
      <w:r w:rsidRPr="00C35790">
        <w:rPr>
          <w:spacing w:val="8"/>
          <w:sz w:val="24"/>
          <w:szCs w:val="24"/>
          <w:shd w:val="clear" w:color="auto" w:fill="FFFFFF"/>
        </w:rPr>
        <w:t>Company must report market transaction data (Reportable Events) to CAT in a format(s) specified by CAT. These events cover the end-to-end lifecycle of a trade, including but not limited to, quotes, original receipts or originations of an order, modifications, cancellations, routing, receipts of a routed order execution (in whole or in part), and ultimately order allocations.</w:t>
      </w:r>
    </w:p>
    <w:p w14:paraId="65D7E605" w14:textId="77777777" w:rsidR="001A4D9C" w:rsidRPr="00C35790" w:rsidRDefault="001A4D9C" w:rsidP="001A4D9C">
      <w:pPr>
        <w:ind w:left="270"/>
        <w:rPr>
          <w:spacing w:val="8"/>
          <w:sz w:val="24"/>
          <w:szCs w:val="24"/>
          <w:shd w:val="clear" w:color="auto" w:fill="FFFFFF"/>
        </w:rPr>
      </w:pPr>
    </w:p>
    <w:p w14:paraId="4707C88B" w14:textId="015C0D46" w:rsidR="003972B7" w:rsidRPr="000301E9" w:rsidRDefault="001A4D9C" w:rsidP="000301E9">
      <w:pPr>
        <w:ind w:left="274"/>
        <w:rPr>
          <w:spacing w:val="8"/>
          <w:sz w:val="24"/>
          <w:szCs w:val="24"/>
          <w:shd w:val="clear" w:color="auto" w:fill="FFFFFF"/>
        </w:rPr>
      </w:pPr>
      <w:r w:rsidRPr="00C35790">
        <w:rPr>
          <w:spacing w:val="8"/>
          <w:sz w:val="24"/>
          <w:szCs w:val="24"/>
          <w:shd w:val="clear" w:color="auto" w:fill="FFFFFF"/>
        </w:rPr>
        <w:t>Market transactions include all NMS Securities, meaning "any security or class of securities for which transaction reports are collected, processed, and made available pursuant to an effective transaction reporting plan, or an effective national market system plan for reporting transactions in Listed Options;" and all OTC Equity Securities, meaning "any equity security, other than an NMS Security, subject to prompt last sale reporting rules of a registered national securities association and reported to one of such association's equity trade reporting facilities."</w:t>
      </w:r>
      <w:r w:rsidR="00E2238F">
        <w:rPr>
          <w:color w:val="FF0000"/>
          <w:spacing w:val="8"/>
          <w:sz w:val="24"/>
          <w:szCs w:val="24"/>
        </w:rPr>
        <w:t>.</w:t>
      </w:r>
    </w:p>
    <w:p w14:paraId="271B208D" w14:textId="77777777" w:rsidR="00422F0C" w:rsidRDefault="00422F0C" w:rsidP="00422F0C">
      <w:pPr>
        <w:ind w:left="274"/>
        <w:rPr>
          <w:spacing w:val="8"/>
          <w:sz w:val="24"/>
          <w:szCs w:val="24"/>
          <w:shd w:val="clear" w:color="auto" w:fill="FFFFFF"/>
        </w:rPr>
      </w:pPr>
    </w:p>
    <w:p w14:paraId="30F0FE4C" w14:textId="4023EDE2" w:rsidR="003972B7" w:rsidRDefault="003972B7" w:rsidP="003972B7">
      <w:pPr>
        <w:pStyle w:val="Heading3"/>
        <w:rPr>
          <w:shd w:val="clear" w:color="auto" w:fill="FFFFFF"/>
        </w:rPr>
      </w:pPr>
      <w:r>
        <w:rPr>
          <w:shd w:val="clear" w:color="auto" w:fill="FFFFFF"/>
        </w:rPr>
        <w:t>8.33.2 Timeframes for Compliance**</w:t>
      </w:r>
    </w:p>
    <w:p w14:paraId="7A7C45F0" w14:textId="6D825581" w:rsidR="003972B7" w:rsidRPr="003972B7" w:rsidRDefault="003972B7" w:rsidP="003972B7">
      <w:pPr>
        <w:ind w:left="270"/>
        <w:rPr>
          <w:color w:val="000000"/>
          <w:spacing w:val="8"/>
          <w:sz w:val="24"/>
          <w:szCs w:val="24"/>
          <w:shd w:val="clear" w:color="auto" w:fill="FFFFFF"/>
        </w:rPr>
      </w:pPr>
      <w:r w:rsidRPr="003972B7">
        <w:rPr>
          <w:color w:val="000000"/>
          <w:spacing w:val="8"/>
          <w:sz w:val="24"/>
          <w:szCs w:val="24"/>
          <w:shd w:val="clear" w:color="auto" w:fill="FFFFFF"/>
        </w:rPr>
        <w:t xml:space="preserve">For CAT reporting, there are different timelines for small and large firms. The SEC defines a small firm as a broker or dealer that (a) had total capital (net worth plus subordinated liabilities) of less than $500,000 on the date in the prior fiscal year as of which its audited financial statements were prepared pursuant to SEC Act of 1934 article 240.17a-5(d) or, if not required to file such statements, a broker or dealer that had total capital (net worth plus subordinated liabilities) of less than $500,000 on the </w:t>
      </w:r>
      <w:r w:rsidRPr="003972B7">
        <w:rPr>
          <w:color w:val="000000"/>
          <w:spacing w:val="8"/>
          <w:sz w:val="24"/>
          <w:szCs w:val="24"/>
          <w:shd w:val="clear" w:color="auto" w:fill="FFFFFF"/>
        </w:rPr>
        <w:lastRenderedPageBreak/>
        <w:t>last business day of the preceding fiscal year (or in the time that it has been in business, if shorter); and (b) is not affiliated with any person (other than a natural person) that is not a small business or small organization as defined in SEC Rule 0-10. Firms that do not fall into the above category are considered large firms according to the regulation.</w:t>
      </w:r>
      <w:r>
        <w:rPr>
          <w:color w:val="000000"/>
          <w:spacing w:val="8"/>
          <w:sz w:val="24"/>
          <w:szCs w:val="24"/>
          <w:shd w:val="clear" w:color="auto" w:fill="FFFFFF"/>
        </w:rPr>
        <w:t xml:space="preserve">  </w:t>
      </w:r>
      <w:r w:rsidRPr="003972B7">
        <w:rPr>
          <w:color w:val="000000"/>
          <w:spacing w:val="8"/>
          <w:sz w:val="24"/>
          <w:szCs w:val="24"/>
          <w:shd w:val="clear" w:color="auto" w:fill="FFFFFF"/>
        </w:rPr>
        <w:t>Refer to the CAT timeline at </w:t>
      </w:r>
      <w:hyperlink r:id="rId73" w:tgtFrame="_blank" w:history="1">
        <w:r w:rsidRPr="003972B7">
          <w:rPr>
            <w:rStyle w:val="Hyperlink"/>
            <w:spacing w:val="8"/>
            <w:sz w:val="24"/>
            <w:szCs w:val="24"/>
            <w:shd w:val="clear" w:color="auto" w:fill="FFFFFF"/>
          </w:rPr>
          <w:t>https://www.catnmsplan.com/timelines/</w:t>
        </w:r>
      </w:hyperlink>
      <w:r w:rsidRPr="003972B7">
        <w:rPr>
          <w:color w:val="000000"/>
          <w:spacing w:val="8"/>
          <w:sz w:val="24"/>
          <w:szCs w:val="24"/>
          <w:shd w:val="clear" w:color="auto" w:fill="FFFFFF"/>
        </w:rPr>
        <w:t>.</w:t>
      </w:r>
    </w:p>
    <w:p w14:paraId="56FB6700" w14:textId="05AB575A" w:rsidR="003972B7" w:rsidRDefault="003972B7" w:rsidP="003972B7">
      <w:pPr>
        <w:ind w:left="270"/>
        <w:rPr>
          <w:color w:val="000000"/>
          <w:spacing w:val="8"/>
          <w:sz w:val="24"/>
          <w:szCs w:val="24"/>
          <w:shd w:val="clear" w:color="auto" w:fill="FFFFFF"/>
        </w:rPr>
      </w:pPr>
    </w:p>
    <w:p w14:paraId="1942BDD6" w14:textId="10C157E9" w:rsidR="003972B7" w:rsidRPr="003972B7" w:rsidRDefault="003972B7" w:rsidP="003972B7">
      <w:pPr>
        <w:pStyle w:val="Heading3"/>
      </w:pPr>
      <w:r>
        <w:t>8.33.3 Firm Registration and Reporting</w:t>
      </w:r>
    </w:p>
    <w:p w14:paraId="4896A6AD" w14:textId="77777777" w:rsidR="008F21B9" w:rsidRPr="008F21B9" w:rsidRDefault="008F21B9" w:rsidP="008F21B9">
      <w:pPr>
        <w:spacing w:before="15" w:after="100" w:afterAutospacing="1" w:line="240" w:lineRule="atLeast"/>
        <w:ind w:left="270"/>
        <w:rPr>
          <w:color w:val="000000"/>
          <w:spacing w:val="8"/>
          <w:sz w:val="24"/>
          <w:szCs w:val="24"/>
        </w:rPr>
      </w:pPr>
      <w:r w:rsidRPr="008F21B9">
        <w:rPr>
          <w:color w:val="000000"/>
          <w:spacing w:val="8"/>
          <w:sz w:val="24"/>
          <w:szCs w:val="24"/>
        </w:rPr>
        <w:t>ALL firms are required to register with the CAT system to report. Any third party such as a clearing firm reporting for others is also required to register.</w:t>
      </w:r>
    </w:p>
    <w:p w14:paraId="5A9DBF75" w14:textId="17706BC7" w:rsidR="000301E9" w:rsidRPr="0086379E" w:rsidRDefault="008F21B9" w:rsidP="000301E9">
      <w:pPr>
        <w:ind w:left="274"/>
        <w:rPr>
          <w:color w:val="000000" w:themeColor="text1"/>
          <w:spacing w:val="8"/>
          <w:sz w:val="24"/>
          <w:szCs w:val="24"/>
        </w:rPr>
      </w:pPr>
      <w:r w:rsidRPr="008F21B9">
        <w:rPr>
          <w:color w:val="000000"/>
          <w:spacing w:val="8"/>
          <w:sz w:val="24"/>
          <w:szCs w:val="24"/>
        </w:rPr>
        <w:t>The CAT applies to all U.S. exchanges and firms, including Alternative Trading Systems (ATSs) registered with an SRO, and there are no broker-dealer exemptions from reporting requirements. Any broker-dealer that is a member of a national securities exchange or FINRA and handles orders must report to CAT.</w:t>
      </w:r>
      <w:r w:rsidR="000301E9">
        <w:rPr>
          <w:color w:val="000000"/>
          <w:spacing w:val="8"/>
          <w:sz w:val="24"/>
          <w:szCs w:val="24"/>
        </w:rPr>
        <w:t xml:space="preserve">  </w:t>
      </w:r>
      <w:r w:rsidR="000301E9" w:rsidRPr="0086379E">
        <w:rPr>
          <w:color w:val="000000" w:themeColor="text1"/>
          <w:spacing w:val="8"/>
          <w:sz w:val="24"/>
          <w:szCs w:val="24"/>
        </w:rPr>
        <w:t>Hilltop Securities is designated as Company’s Reporting Agent and will report on behalf of Company, however, if there are any changes necessary or corrections, Company Operations department will be responsible for editing the trade.</w:t>
      </w:r>
    </w:p>
    <w:p w14:paraId="378D850F" w14:textId="77777777" w:rsidR="000301E9" w:rsidRPr="0086379E" w:rsidRDefault="000301E9" w:rsidP="008F21B9">
      <w:pPr>
        <w:ind w:left="274"/>
        <w:rPr>
          <w:color w:val="000000" w:themeColor="text1"/>
          <w:spacing w:val="8"/>
          <w:sz w:val="24"/>
          <w:szCs w:val="24"/>
        </w:rPr>
      </w:pPr>
    </w:p>
    <w:p w14:paraId="4C4640CA" w14:textId="159606BF" w:rsidR="008F21B9" w:rsidRDefault="008F21B9" w:rsidP="008F21B9">
      <w:pPr>
        <w:ind w:left="274"/>
        <w:rPr>
          <w:color w:val="000000"/>
          <w:spacing w:val="8"/>
          <w:sz w:val="24"/>
          <w:szCs w:val="24"/>
        </w:rPr>
      </w:pPr>
      <w:r w:rsidRPr="008F21B9">
        <w:rPr>
          <w:color w:val="000000"/>
          <w:spacing w:val="8"/>
          <w:sz w:val="24"/>
          <w:szCs w:val="24"/>
        </w:rPr>
        <w:t>Firms can be a(n):</w:t>
      </w:r>
    </w:p>
    <w:p w14:paraId="3C0B3FF8" w14:textId="77777777" w:rsidR="008F21B9" w:rsidRPr="008F21B9" w:rsidRDefault="008F21B9" w:rsidP="008F21B9">
      <w:pPr>
        <w:ind w:left="274"/>
        <w:rPr>
          <w:color w:val="000000"/>
          <w:spacing w:val="8"/>
          <w:sz w:val="12"/>
          <w:szCs w:val="12"/>
        </w:rPr>
      </w:pPr>
    </w:p>
    <w:p w14:paraId="3E305375" w14:textId="77777777" w:rsidR="008F21B9" w:rsidRPr="008F21B9" w:rsidRDefault="008F21B9" w:rsidP="0005402C">
      <w:pPr>
        <w:numPr>
          <w:ilvl w:val="0"/>
          <w:numId w:val="370"/>
        </w:numPr>
        <w:rPr>
          <w:color w:val="000000"/>
          <w:spacing w:val="8"/>
          <w:sz w:val="24"/>
          <w:szCs w:val="24"/>
        </w:rPr>
      </w:pPr>
      <w:r w:rsidRPr="008F21B9">
        <w:rPr>
          <w:b/>
          <w:bCs/>
          <w:color w:val="000000"/>
          <w:spacing w:val="8"/>
          <w:sz w:val="24"/>
          <w:szCs w:val="24"/>
        </w:rPr>
        <w:t>Executing firm</w:t>
      </w:r>
      <w:r w:rsidRPr="008F21B9">
        <w:rPr>
          <w:color w:val="000000"/>
          <w:spacing w:val="8"/>
          <w:sz w:val="24"/>
          <w:szCs w:val="24"/>
        </w:rPr>
        <w:t>: Broker or dealer that processes a buy or sell order on behalf of a customer or another firm. Executing firms have a clear reporting responsibility for the orders they handle, routing of the orders and ultimate execution.</w:t>
      </w:r>
    </w:p>
    <w:p w14:paraId="5EFE93AE" w14:textId="77777777" w:rsidR="008F21B9" w:rsidRPr="008F21B9" w:rsidRDefault="008F21B9" w:rsidP="0005402C">
      <w:pPr>
        <w:numPr>
          <w:ilvl w:val="0"/>
          <w:numId w:val="370"/>
        </w:numPr>
        <w:spacing w:before="100" w:beforeAutospacing="1" w:after="100" w:afterAutospacing="1"/>
        <w:rPr>
          <w:color w:val="000000"/>
          <w:spacing w:val="8"/>
          <w:sz w:val="24"/>
          <w:szCs w:val="24"/>
        </w:rPr>
      </w:pPr>
      <w:r w:rsidRPr="008F21B9">
        <w:rPr>
          <w:b/>
          <w:bCs/>
          <w:color w:val="000000"/>
          <w:spacing w:val="8"/>
          <w:sz w:val="24"/>
          <w:szCs w:val="24"/>
        </w:rPr>
        <w:t>Introducing firm</w:t>
      </w:r>
      <w:r w:rsidRPr="008F21B9">
        <w:rPr>
          <w:color w:val="000000"/>
          <w:spacing w:val="8"/>
          <w:sz w:val="24"/>
          <w:szCs w:val="24"/>
        </w:rPr>
        <w:t>: Broker or dealer that interacts with customers but may not execute trades on behalf of customers. Introducing firms will have a regulatory obligation to report any quotes, new orders, routes and any cancels or amendments to those events.</w:t>
      </w:r>
    </w:p>
    <w:p w14:paraId="677474CB" w14:textId="3A909CB3" w:rsidR="008F21B9" w:rsidRPr="002250A5" w:rsidRDefault="008F21B9" w:rsidP="0005402C">
      <w:pPr>
        <w:numPr>
          <w:ilvl w:val="0"/>
          <w:numId w:val="370"/>
        </w:numPr>
        <w:spacing w:before="100" w:beforeAutospacing="1" w:after="100" w:afterAutospacing="1"/>
        <w:rPr>
          <w:color w:val="FF0000"/>
          <w:spacing w:val="8"/>
          <w:sz w:val="24"/>
          <w:szCs w:val="24"/>
        </w:rPr>
      </w:pPr>
      <w:r w:rsidRPr="008F21B9">
        <w:rPr>
          <w:b/>
          <w:bCs/>
          <w:color w:val="000000"/>
          <w:spacing w:val="8"/>
          <w:sz w:val="24"/>
          <w:szCs w:val="24"/>
        </w:rPr>
        <w:t>Clearing firm</w:t>
      </w:r>
      <w:r w:rsidRPr="008F21B9">
        <w:rPr>
          <w:color w:val="000000"/>
          <w:spacing w:val="8"/>
          <w:sz w:val="24"/>
          <w:szCs w:val="24"/>
        </w:rPr>
        <w:t>: Broker or dealer that not only handles orders to buy/sell securities, but also maintains custody of securities and other assets. The act of clearing (including step-ins and step-outs) is not reportable, however, if handling orders or providing execution services, a clearing member has an obligation to report those events. If the clearing member provides reporting services to their correspondent or introducing firms, then the roles and responsibilities should be clearly defined for that operating model. If the clearing firm is reporting on behalf of another firm, then the outsourcing firm may designate the clearing firm as the CAT reporting source on their registration.</w:t>
      </w:r>
      <w:r w:rsidR="00872F14">
        <w:rPr>
          <w:color w:val="000000"/>
          <w:spacing w:val="8"/>
          <w:sz w:val="24"/>
          <w:szCs w:val="24"/>
        </w:rPr>
        <w:t xml:space="preserve">  </w:t>
      </w:r>
    </w:p>
    <w:p w14:paraId="6FEEB8AE" w14:textId="77777777" w:rsidR="002250A5" w:rsidRPr="009F0B02" w:rsidRDefault="002250A5" w:rsidP="009F0B02">
      <w:pPr>
        <w:ind w:firstLine="270"/>
        <w:rPr>
          <w:b/>
          <w:bCs/>
          <w:color w:val="FF0000"/>
          <w:sz w:val="24"/>
          <w:szCs w:val="24"/>
          <w:u w:val="single"/>
        </w:rPr>
      </w:pPr>
      <w:r w:rsidRPr="009F0B02">
        <w:rPr>
          <w:b/>
          <w:bCs/>
          <w:color w:val="FF0000"/>
          <w:sz w:val="24"/>
          <w:szCs w:val="24"/>
          <w:u w:val="single"/>
        </w:rPr>
        <w:t>Designated IDs</w:t>
      </w:r>
    </w:p>
    <w:p w14:paraId="342FEFC3" w14:textId="77777777" w:rsidR="002250A5" w:rsidRPr="002250A5" w:rsidRDefault="002250A5" w:rsidP="002250A5">
      <w:pPr>
        <w:pStyle w:val="NormalWeb"/>
        <w:spacing w:before="15" w:beforeAutospacing="0" w:line="240" w:lineRule="atLeast"/>
        <w:ind w:firstLine="270"/>
        <w:rPr>
          <w:rFonts w:ascii="Times New Roman" w:hAnsi="Times New Roman" w:cs="Times New Roman"/>
          <w:color w:val="FF0000"/>
          <w:spacing w:val="8"/>
        </w:rPr>
      </w:pPr>
      <w:r w:rsidRPr="002250A5">
        <w:rPr>
          <w:rFonts w:ascii="Times New Roman" w:hAnsi="Times New Roman" w:cs="Times New Roman"/>
          <w:color w:val="FF0000"/>
          <w:spacing w:val="8"/>
        </w:rPr>
        <w:t>Orders are reported using distinct identifiers:</w:t>
      </w:r>
    </w:p>
    <w:p w14:paraId="2E0DCBC1" w14:textId="77777777" w:rsidR="002250A5" w:rsidRPr="002250A5" w:rsidRDefault="002250A5" w:rsidP="002250A5">
      <w:pPr>
        <w:numPr>
          <w:ilvl w:val="0"/>
          <w:numId w:val="404"/>
        </w:numPr>
        <w:spacing w:before="100" w:beforeAutospacing="1" w:after="100" w:afterAutospacing="1"/>
        <w:ind w:hanging="270"/>
        <w:rPr>
          <w:color w:val="FF0000"/>
          <w:spacing w:val="8"/>
          <w:sz w:val="24"/>
          <w:szCs w:val="24"/>
        </w:rPr>
      </w:pPr>
      <w:r w:rsidRPr="002250A5">
        <w:rPr>
          <w:color w:val="FF0000"/>
          <w:spacing w:val="8"/>
          <w:sz w:val="24"/>
          <w:szCs w:val="24"/>
        </w:rPr>
        <w:t>Customers - defined in Rule 613 and represented by the CAT Customer ID (CCID).</w:t>
      </w:r>
    </w:p>
    <w:p w14:paraId="624E82A1" w14:textId="58678D55" w:rsidR="002250A5" w:rsidRDefault="002250A5" w:rsidP="002250A5">
      <w:pPr>
        <w:numPr>
          <w:ilvl w:val="0"/>
          <w:numId w:val="404"/>
        </w:numPr>
        <w:ind w:hanging="270"/>
        <w:rPr>
          <w:color w:val="FF0000"/>
          <w:spacing w:val="8"/>
          <w:sz w:val="24"/>
          <w:szCs w:val="24"/>
        </w:rPr>
      </w:pPr>
      <w:r w:rsidRPr="002250A5">
        <w:rPr>
          <w:color w:val="FF0000"/>
          <w:spacing w:val="8"/>
          <w:sz w:val="24"/>
          <w:szCs w:val="24"/>
        </w:rPr>
        <w:t>Trading Accounts - addressed in the NMS Plan and represented by the Firm Designated ID (FDID). This can represent firm or customer accounts. A customer can have more than one trading account, and a trading account can have more than one customer.</w:t>
      </w:r>
    </w:p>
    <w:p w14:paraId="17A5DA96" w14:textId="77777777" w:rsidR="002250A5" w:rsidRDefault="002250A5" w:rsidP="002250A5">
      <w:pPr>
        <w:ind w:left="720"/>
        <w:rPr>
          <w:color w:val="FF0000"/>
          <w:spacing w:val="8"/>
          <w:sz w:val="24"/>
          <w:szCs w:val="24"/>
        </w:rPr>
      </w:pPr>
    </w:p>
    <w:p w14:paraId="055F12D1" w14:textId="2BC89078" w:rsidR="002250A5" w:rsidRPr="009F0B02" w:rsidRDefault="002250A5" w:rsidP="009F0B02">
      <w:pPr>
        <w:pStyle w:val="ListParagraph"/>
        <w:numPr>
          <w:ilvl w:val="1"/>
          <w:numId w:val="404"/>
        </w:numPr>
        <w:ind w:left="720"/>
        <w:rPr>
          <w:b/>
          <w:bCs/>
          <w:color w:val="FF0000"/>
          <w:sz w:val="24"/>
          <w:szCs w:val="24"/>
        </w:rPr>
      </w:pPr>
      <w:r w:rsidRPr="009F0B02">
        <w:rPr>
          <w:b/>
          <w:bCs/>
          <w:color w:val="FF0000"/>
          <w:sz w:val="24"/>
          <w:szCs w:val="24"/>
        </w:rPr>
        <w:t>CAT Customer ID (CCID)</w:t>
      </w:r>
    </w:p>
    <w:p w14:paraId="2B6187E9" w14:textId="77777777" w:rsidR="002250A5" w:rsidRPr="002250A5" w:rsidRDefault="002250A5" w:rsidP="002250A5">
      <w:pPr>
        <w:pStyle w:val="NormalWeb"/>
        <w:spacing w:before="15" w:beforeAutospacing="0" w:line="240" w:lineRule="atLeast"/>
        <w:ind w:firstLine="720"/>
        <w:rPr>
          <w:rFonts w:ascii="Times New Roman" w:hAnsi="Times New Roman" w:cs="Times New Roman"/>
          <w:color w:val="FF0000"/>
          <w:spacing w:val="8"/>
        </w:rPr>
      </w:pPr>
      <w:r w:rsidRPr="002250A5">
        <w:rPr>
          <w:rFonts w:ascii="Times New Roman" w:hAnsi="Times New Roman" w:cs="Times New Roman"/>
          <w:color w:val="FF0000"/>
          <w:spacing w:val="8"/>
        </w:rPr>
        <w:t>SEC Rule 613 defines two types of customers:</w:t>
      </w:r>
    </w:p>
    <w:p w14:paraId="57A7C105" w14:textId="77777777" w:rsidR="002250A5" w:rsidRPr="002250A5" w:rsidRDefault="002250A5" w:rsidP="002250A5">
      <w:pPr>
        <w:numPr>
          <w:ilvl w:val="0"/>
          <w:numId w:val="405"/>
        </w:numPr>
        <w:tabs>
          <w:tab w:val="clear" w:pos="720"/>
          <w:tab w:val="num" w:pos="1170"/>
        </w:tabs>
        <w:spacing w:before="100" w:beforeAutospacing="1" w:after="100" w:afterAutospacing="1"/>
        <w:ind w:left="1080" w:hanging="180"/>
        <w:rPr>
          <w:color w:val="FF0000"/>
          <w:spacing w:val="8"/>
          <w:sz w:val="24"/>
          <w:szCs w:val="24"/>
        </w:rPr>
      </w:pPr>
      <w:r w:rsidRPr="002250A5">
        <w:rPr>
          <w:color w:val="FF0000"/>
          <w:spacing w:val="8"/>
          <w:sz w:val="24"/>
          <w:szCs w:val="24"/>
        </w:rPr>
        <w:lastRenderedPageBreak/>
        <w:t>The account holder(s) of the account at a registered broker-dealer originating the order.</w:t>
      </w:r>
    </w:p>
    <w:p w14:paraId="59A4D2AD" w14:textId="77777777" w:rsidR="002250A5" w:rsidRPr="002250A5" w:rsidRDefault="002250A5" w:rsidP="002250A5">
      <w:pPr>
        <w:numPr>
          <w:ilvl w:val="0"/>
          <w:numId w:val="405"/>
        </w:numPr>
        <w:tabs>
          <w:tab w:val="clear" w:pos="720"/>
          <w:tab w:val="num" w:pos="1170"/>
        </w:tabs>
        <w:spacing w:before="100" w:beforeAutospacing="1" w:after="100" w:afterAutospacing="1"/>
        <w:ind w:left="1080" w:hanging="180"/>
        <w:rPr>
          <w:color w:val="FF0000"/>
          <w:spacing w:val="8"/>
          <w:sz w:val="24"/>
          <w:szCs w:val="24"/>
        </w:rPr>
      </w:pPr>
      <w:r w:rsidRPr="002250A5">
        <w:rPr>
          <w:color w:val="FF0000"/>
          <w:spacing w:val="8"/>
          <w:sz w:val="24"/>
          <w:szCs w:val="24"/>
        </w:rPr>
        <w:t>Any person from whom the broker-dealer is authorized to accept trading instructions for such account, if different from the account holder(s).</w:t>
      </w:r>
    </w:p>
    <w:p w14:paraId="23332C56" w14:textId="77777777" w:rsidR="002250A5" w:rsidRPr="002250A5" w:rsidRDefault="002250A5" w:rsidP="002250A5">
      <w:pPr>
        <w:pStyle w:val="NormalWeb"/>
        <w:spacing w:before="15" w:beforeAutospacing="0" w:line="240" w:lineRule="atLeast"/>
        <w:ind w:left="720"/>
        <w:rPr>
          <w:rFonts w:ascii="Times New Roman" w:hAnsi="Times New Roman" w:cs="Times New Roman"/>
          <w:color w:val="FF0000"/>
          <w:spacing w:val="8"/>
        </w:rPr>
      </w:pPr>
      <w:r w:rsidRPr="002250A5">
        <w:rPr>
          <w:rFonts w:ascii="Times New Roman" w:hAnsi="Times New Roman" w:cs="Times New Roman"/>
          <w:color w:val="FF0000"/>
          <w:spacing w:val="8"/>
        </w:rPr>
        <w:t>A unique CCID will be assigned to each customer and will allow customers to be consistently identified across broker-dealers within the Central Repository. Examples of customers that would have a CCID include an individual investor; financial advisor; institutions; third party money managers; any individual that has trading authorization (except an individual with trading authorization that is employed by an entity that is an account holder); and any entity that has trading authorization.</w:t>
      </w:r>
    </w:p>
    <w:p w14:paraId="7D38B1E2" w14:textId="77777777" w:rsidR="002250A5" w:rsidRPr="002250A5" w:rsidRDefault="002250A5" w:rsidP="002250A5">
      <w:pPr>
        <w:pStyle w:val="NormalWeb"/>
        <w:spacing w:before="15" w:beforeAutospacing="0" w:line="240" w:lineRule="atLeast"/>
        <w:ind w:left="720"/>
        <w:rPr>
          <w:rFonts w:ascii="Times New Roman" w:hAnsi="Times New Roman" w:cs="Times New Roman"/>
          <w:color w:val="FF0000"/>
          <w:spacing w:val="8"/>
        </w:rPr>
      </w:pPr>
      <w:r w:rsidRPr="002250A5">
        <w:rPr>
          <w:rFonts w:ascii="Times New Roman" w:hAnsi="Times New Roman" w:cs="Times New Roman"/>
          <w:color w:val="FF0000"/>
          <w:spacing w:val="8"/>
        </w:rPr>
        <w:t>Industry members and Cat Reporting Agents submit customer information to the CAT Customer &amp; Account Information System (CAIS) for assignment of a unique identifier for each customer to be used across all dealers and markets.</w:t>
      </w:r>
    </w:p>
    <w:p w14:paraId="42362E28" w14:textId="5A37F087" w:rsidR="002250A5" w:rsidRPr="00AA2E23" w:rsidRDefault="00AA2E23" w:rsidP="00AA2E23">
      <w:pPr>
        <w:pStyle w:val="ListParagraph"/>
        <w:numPr>
          <w:ilvl w:val="1"/>
          <w:numId w:val="404"/>
        </w:numPr>
        <w:ind w:left="720"/>
        <w:rPr>
          <w:b/>
          <w:bCs/>
          <w:color w:val="FF0000"/>
          <w:spacing w:val="8"/>
          <w:sz w:val="24"/>
          <w:szCs w:val="24"/>
        </w:rPr>
      </w:pPr>
      <w:r w:rsidRPr="00AA2E23">
        <w:rPr>
          <w:b/>
          <w:bCs/>
          <w:color w:val="FF0000"/>
          <w:sz w:val="24"/>
          <w:szCs w:val="24"/>
        </w:rPr>
        <w:t>Firm Designated ID (FDID)</w:t>
      </w:r>
    </w:p>
    <w:p w14:paraId="54030628" w14:textId="77777777" w:rsidR="00AA2E23" w:rsidRPr="00AA2E23" w:rsidRDefault="00AA2E23" w:rsidP="00AA2E23">
      <w:pPr>
        <w:pStyle w:val="ListParagraph"/>
        <w:shd w:val="clear" w:color="auto" w:fill="FFFFFF"/>
        <w:rPr>
          <w:color w:val="FF0000"/>
          <w:spacing w:val="8"/>
          <w:sz w:val="24"/>
          <w:szCs w:val="24"/>
        </w:rPr>
      </w:pPr>
      <w:r w:rsidRPr="00AA2E23">
        <w:rPr>
          <w:color w:val="FF0000"/>
          <w:spacing w:val="8"/>
          <w:sz w:val="24"/>
          <w:szCs w:val="24"/>
        </w:rPr>
        <w:t>CAT requires that industry members assign a single FDID to </w:t>
      </w:r>
      <w:r w:rsidRPr="00AA2E23">
        <w:rPr>
          <w:b/>
          <w:bCs/>
          <w:color w:val="FF0000"/>
          <w:spacing w:val="8"/>
          <w:sz w:val="24"/>
          <w:szCs w:val="24"/>
        </w:rPr>
        <w:t>each</w:t>
      </w:r>
      <w:r w:rsidRPr="00AA2E23">
        <w:rPr>
          <w:color w:val="FF0000"/>
          <w:spacing w:val="8"/>
          <w:sz w:val="24"/>
          <w:szCs w:val="24"/>
        </w:rPr>
        <w:t> trading account that is unique across all vendors Company may use to report new orders to CAT and unique across time (with limited exceptions such as closed accounts). For example, if Company uses multiple vendors for reporting, each vendor must report activity from the same account using the same FDID. Trading accounts are represented in CAT by Company's FDID.</w:t>
      </w:r>
    </w:p>
    <w:p w14:paraId="2F13584A" w14:textId="77777777" w:rsidR="00AA2E23" w:rsidRPr="00AA2E23" w:rsidRDefault="00AA2E23" w:rsidP="00AA2E23">
      <w:pPr>
        <w:pStyle w:val="ListParagraph"/>
        <w:spacing w:before="100" w:beforeAutospacing="1" w:after="100" w:afterAutospacing="1"/>
        <w:rPr>
          <w:b/>
          <w:bCs/>
          <w:color w:val="FF0000"/>
          <w:spacing w:val="8"/>
          <w:sz w:val="24"/>
          <w:szCs w:val="24"/>
        </w:rPr>
      </w:pPr>
    </w:p>
    <w:p w14:paraId="58D8575E" w14:textId="77777777" w:rsidR="002250A5" w:rsidRPr="00872F14" w:rsidRDefault="002250A5" w:rsidP="002250A5">
      <w:pPr>
        <w:spacing w:before="100" w:beforeAutospacing="1" w:after="100" w:afterAutospacing="1"/>
        <w:ind w:left="720"/>
        <w:rPr>
          <w:color w:val="FF0000"/>
          <w:spacing w:val="8"/>
          <w:sz w:val="24"/>
          <w:szCs w:val="24"/>
        </w:rPr>
      </w:pPr>
    </w:p>
    <w:p w14:paraId="6C3A7157" w14:textId="0F8DD6CB" w:rsidR="00A26CAD" w:rsidRDefault="008F21B9" w:rsidP="008F21B9">
      <w:pPr>
        <w:pStyle w:val="Heading3"/>
      </w:pPr>
      <w:r>
        <w:t xml:space="preserve">8.33.4 </w:t>
      </w:r>
      <w:r w:rsidR="003A7A2D">
        <w:t>What to Report</w:t>
      </w:r>
    </w:p>
    <w:p w14:paraId="4EF04C77" w14:textId="77777777" w:rsidR="008F21B9" w:rsidRPr="008F21B9" w:rsidRDefault="008F21B9" w:rsidP="008F21B9">
      <w:pPr>
        <w:spacing w:before="15" w:after="100" w:afterAutospacing="1" w:line="240" w:lineRule="atLeast"/>
        <w:ind w:left="270"/>
        <w:rPr>
          <w:color w:val="000000"/>
          <w:spacing w:val="8"/>
          <w:sz w:val="24"/>
          <w:szCs w:val="24"/>
        </w:rPr>
      </w:pPr>
      <w:r w:rsidRPr="008F21B9">
        <w:rPr>
          <w:color w:val="000000"/>
          <w:spacing w:val="8"/>
          <w:sz w:val="24"/>
          <w:szCs w:val="24"/>
        </w:rPr>
        <w:t>Firms must report market transaction data (Reportable Events) to the CAT in a format(s) specified by CAT. These events cover the end-to-end lifecycle of a trade, including but not limited to, quotes, original receipts or originations of an order, modifications, cancellations, routing, receipts of a routed order execution (in whole or in part), and ultimately order allocations.</w:t>
      </w:r>
    </w:p>
    <w:p w14:paraId="73B25A34" w14:textId="77777777" w:rsidR="008F21B9" w:rsidRPr="008F21B9" w:rsidRDefault="008F21B9" w:rsidP="008F21B9">
      <w:pPr>
        <w:spacing w:before="15" w:after="100" w:afterAutospacing="1" w:line="240" w:lineRule="atLeast"/>
        <w:ind w:left="270"/>
        <w:rPr>
          <w:color w:val="000000"/>
          <w:spacing w:val="8"/>
          <w:sz w:val="24"/>
          <w:szCs w:val="24"/>
        </w:rPr>
      </w:pPr>
      <w:r w:rsidRPr="008F21B9">
        <w:rPr>
          <w:color w:val="000000"/>
          <w:spacing w:val="8"/>
          <w:sz w:val="24"/>
          <w:szCs w:val="24"/>
        </w:rPr>
        <w:t xml:space="preserve">Eligible securities include NMS stocks, listed options, and </w:t>
      </w:r>
      <w:proofErr w:type="gramStart"/>
      <w:r w:rsidRPr="008F21B9">
        <w:rPr>
          <w:color w:val="000000"/>
          <w:spacing w:val="8"/>
          <w:sz w:val="24"/>
          <w:szCs w:val="24"/>
        </w:rPr>
        <w:t>over-the-counter</w:t>
      </w:r>
      <w:proofErr w:type="gramEnd"/>
      <w:r w:rsidRPr="008F21B9">
        <w:rPr>
          <w:color w:val="000000"/>
          <w:spacing w:val="8"/>
          <w:sz w:val="24"/>
          <w:szCs w:val="24"/>
        </w:rPr>
        <w:t xml:space="preserve"> (OTC) equity securities. Under the CAT NMS Plan, "eligible security" includes equities and options with the following definitions: (1) all NMS Securities, meaning "any security or class of securities for which transaction reports are collected, processed, and made available pursuant to an effective transaction reporting plan, or an effective national market system plan for reporting transactions in Listed Options;" and (2) all OTC Equity Securities, meaning "any equity security, other than an NMS Security, subject to prompt last sale reporting rules of a registered national securities association and reported to one of such association's equity trade reporting facilities."</w:t>
      </w:r>
    </w:p>
    <w:p w14:paraId="1C3B6917" w14:textId="43164071" w:rsidR="008F21B9" w:rsidRDefault="008F21B9" w:rsidP="008F21B9">
      <w:pPr>
        <w:ind w:left="274"/>
        <w:rPr>
          <w:color w:val="000000"/>
          <w:spacing w:val="8"/>
          <w:sz w:val="24"/>
          <w:szCs w:val="24"/>
        </w:rPr>
      </w:pPr>
      <w:r w:rsidRPr="008F21B9">
        <w:rPr>
          <w:color w:val="000000"/>
          <w:spacing w:val="8"/>
          <w:sz w:val="24"/>
          <w:szCs w:val="24"/>
        </w:rPr>
        <w:t>For eligible securities, the types of events that will need to be reported include:</w:t>
      </w:r>
    </w:p>
    <w:p w14:paraId="47B31926" w14:textId="77777777" w:rsidR="008F21B9" w:rsidRPr="008F21B9" w:rsidRDefault="008F21B9" w:rsidP="008F21B9">
      <w:pPr>
        <w:ind w:left="274"/>
        <w:rPr>
          <w:color w:val="000000"/>
          <w:spacing w:val="8"/>
          <w:sz w:val="14"/>
          <w:szCs w:val="14"/>
        </w:rPr>
      </w:pPr>
    </w:p>
    <w:p w14:paraId="2E3B55EC" w14:textId="77777777" w:rsidR="008F21B9" w:rsidRPr="008F21B9" w:rsidRDefault="008F21B9" w:rsidP="0005402C">
      <w:pPr>
        <w:numPr>
          <w:ilvl w:val="0"/>
          <w:numId w:val="371"/>
        </w:numPr>
        <w:tabs>
          <w:tab w:val="clear" w:pos="720"/>
          <w:tab w:val="num" w:pos="810"/>
        </w:tabs>
        <w:ind w:left="810" w:hanging="270"/>
        <w:rPr>
          <w:color w:val="000000"/>
          <w:spacing w:val="8"/>
          <w:sz w:val="24"/>
          <w:szCs w:val="24"/>
        </w:rPr>
      </w:pPr>
      <w:r w:rsidRPr="008F21B9">
        <w:rPr>
          <w:color w:val="000000"/>
          <w:spacing w:val="8"/>
          <w:sz w:val="24"/>
          <w:szCs w:val="24"/>
        </w:rPr>
        <w:t>All proprietary orders, including market maker orders</w:t>
      </w:r>
    </w:p>
    <w:p w14:paraId="355C0BE9" w14:textId="77777777" w:rsidR="008F21B9" w:rsidRPr="008F21B9" w:rsidRDefault="008F21B9" w:rsidP="0005402C">
      <w:pPr>
        <w:numPr>
          <w:ilvl w:val="0"/>
          <w:numId w:val="371"/>
        </w:numPr>
        <w:tabs>
          <w:tab w:val="clear" w:pos="720"/>
          <w:tab w:val="num" w:pos="810"/>
        </w:tabs>
        <w:spacing w:before="100" w:beforeAutospacing="1" w:after="100" w:afterAutospacing="1"/>
        <w:ind w:left="810" w:hanging="270"/>
        <w:rPr>
          <w:color w:val="000000"/>
          <w:spacing w:val="8"/>
          <w:sz w:val="24"/>
          <w:szCs w:val="24"/>
        </w:rPr>
      </w:pPr>
      <w:r w:rsidRPr="008F21B9">
        <w:rPr>
          <w:color w:val="000000"/>
          <w:spacing w:val="8"/>
          <w:sz w:val="24"/>
          <w:szCs w:val="24"/>
        </w:rPr>
        <w:lastRenderedPageBreak/>
        <w:t>All street side representative orders (both agency and proprietary)</w:t>
      </w:r>
    </w:p>
    <w:p w14:paraId="2741C6EF" w14:textId="77777777" w:rsidR="008F21B9" w:rsidRPr="008F21B9" w:rsidRDefault="008F21B9" w:rsidP="0005402C">
      <w:pPr>
        <w:numPr>
          <w:ilvl w:val="0"/>
          <w:numId w:val="371"/>
        </w:numPr>
        <w:tabs>
          <w:tab w:val="clear" w:pos="720"/>
          <w:tab w:val="num" w:pos="810"/>
        </w:tabs>
        <w:spacing w:before="100" w:beforeAutospacing="1" w:after="100" w:afterAutospacing="1"/>
        <w:ind w:left="810" w:hanging="270"/>
        <w:rPr>
          <w:color w:val="000000"/>
          <w:spacing w:val="8"/>
          <w:sz w:val="24"/>
          <w:szCs w:val="24"/>
        </w:rPr>
      </w:pPr>
      <w:r w:rsidRPr="008F21B9">
        <w:rPr>
          <w:color w:val="000000"/>
          <w:spacing w:val="8"/>
          <w:sz w:val="24"/>
          <w:szCs w:val="24"/>
        </w:rPr>
        <w:t>Electronic listed quotes (NMS stocks) sent to an exchange or the Alternative Display Facility (ADF) (assumes exempted relief request for verbal quotes)</w:t>
      </w:r>
    </w:p>
    <w:p w14:paraId="217977C6" w14:textId="77777777" w:rsidR="008F21B9" w:rsidRPr="008F21B9" w:rsidRDefault="008F21B9" w:rsidP="0005402C">
      <w:pPr>
        <w:numPr>
          <w:ilvl w:val="0"/>
          <w:numId w:val="371"/>
        </w:numPr>
        <w:tabs>
          <w:tab w:val="clear" w:pos="720"/>
          <w:tab w:val="num" w:pos="810"/>
        </w:tabs>
        <w:spacing w:before="100" w:beforeAutospacing="1" w:after="100" w:afterAutospacing="1"/>
        <w:ind w:left="810" w:hanging="270"/>
        <w:rPr>
          <w:color w:val="000000"/>
          <w:spacing w:val="8"/>
          <w:sz w:val="24"/>
          <w:szCs w:val="24"/>
        </w:rPr>
      </w:pPr>
      <w:r w:rsidRPr="008F21B9">
        <w:rPr>
          <w:color w:val="000000"/>
          <w:spacing w:val="8"/>
          <w:sz w:val="24"/>
          <w:szCs w:val="24"/>
        </w:rPr>
        <w:t>Unlisted quotes (OTC Equity Securities) received by a broker-dealer operating an inter-dealer quotation system (</w:t>
      </w:r>
      <w:r w:rsidRPr="008F21B9">
        <w:rPr>
          <w:i/>
          <w:iCs/>
          <w:color w:val="000000"/>
          <w:spacing w:val="8"/>
          <w:sz w:val="24"/>
          <w:szCs w:val="24"/>
        </w:rPr>
        <w:t>e.g.,</w:t>
      </w:r>
      <w:r w:rsidRPr="008F21B9">
        <w:rPr>
          <w:color w:val="000000"/>
          <w:spacing w:val="8"/>
          <w:sz w:val="24"/>
          <w:szCs w:val="24"/>
        </w:rPr>
        <w:t> Global OTC, OTC Link)</w:t>
      </w:r>
    </w:p>
    <w:p w14:paraId="4BF49C34" w14:textId="77777777" w:rsidR="008F21B9" w:rsidRPr="008F21B9" w:rsidRDefault="008F21B9" w:rsidP="0005402C">
      <w:pPr>
        <w:numPr>
          <w:ilvl w:val="0"/>
          <w:numId w:val="371"/>
        </w:numPr>
        <w:tabs>
          <w:tab w:val="clear" w:pos="720"/>
          <w:tab w:val="num" w:pos="810"/>
        </w:tabs>
        <w:spacing w:before="100" w:beforeAutospacing="1" w:after="100" w:afterAutospacing="1"/>
        <w:ind w:left="810" w:hanging="270"/>
        <w:rPr>
          <w:color w:val="000000"/>
          <w:spacing w:val="8"/>
          <w:sz w:val="24"/>
          <w:szCs w:val="24"/>
        </w:rPr>
      </w:pPr>
      <w:r w:rsidRPr="008F21B9">
        <w:rPr>
          <w:color w:val="000000"/>
          <w:spacing w:val="8"/>
          <w:sz w:val="24"/>
          <w:szCs w:val="24"/>
        </w:rPr>
        <w:t>Unlisted quotes that meet the definition of bid or offer under the Plan sent by a broker-dealer to a quotation venue not operated by an SRO or broker-dealer</w:t>
      </w:r>
    </w:p>
    <w:p w14:paraId="0219565A" w14:textId="77777777" w:rsidR="008F21B9" w:rsidRPr="008F21B9" w:rsidRDefault="008F21B9" w:rsidP="0005402C">
      <w:pPr>
        <w:numPr>
          <w:ilvl w:val="0"/>
          <w:numId w:val="371"/>
        </w:numPr>
        <w:tabs>
          <w:tab w:val="clear" w:pos="720"/>
          <w:tab w:val="num" w:pos="810"/>
        </w:tabs>
        <w:spacing w:before="100" w:beforeAutospacing="1" w:after="100" w:afterAutospacing="1"/>
        <w:ind w:left="810" w:hanging="270"/>
        <w:rPr>
          <w:color w:val="000000"/>
          <w:spacing w:val="8"/>
          <w:sz w:val="24"/>
          <w:szCs w:val="24"/>
        </w:rPr>
      </w:pPr>
      <w:r w:rsidRPr="008F21B9">
        <w:rPr>
          <w:color w:val="000000"/>
          <w:spacing w:val="8"/>
          <w:sz w:val="24"/>
          <w:szCs w:val="24"/>
        </w:rPr>
        <w:t>"Simple Electronic Option Orders:" orders to buy or sell a single option that are not related to or dependent on any other transaction for pricing or timing of execution that are either received or routed electronically by an Industry Member CAT Reporter</w:t>
      </w:r>
    </w:p>
    <w:p w14:paraId="21127DE9" w14:textId="77777777" w:rsidR="008F21B9" w:rsidRPr="008F21B9" w:rsidRDefault="008F21B9" w:rsidP="0005402C">
      <w:pPr>
        <w:numPr>
          <w:ilvl w:val="0"/>
          <w:numId w:val="371"/>
        </w:numPr>
        <w:tabs>
          <w:tab w:val="clear" w:pos="720"/>
          <w:tab w:val="num" w:pos="810"/>
        </w:tabs>
        <w:spacing w:before="100" w:beforeAutospacing="1" w:after="100" w:afterAutospacing="1"/>
        <w:ind w:left="810" w:hanging="270"/>
        <w:rPr>
          <w:color w:val="000000"/>
          <w:spacing w:val="8"/>
          <w:sz w:val="24"/>
          <w:szCs w:val="24"/>
        </w:rPr>
      </w:pPr>
      <w:r w:rsidRPr="008F21B9">
        <w:rPr>
          <w:color w:val="000000"/>
          <w:spacing w:val="8"/>
          <w:sz w:val="24"/>
          <w:szCs w:val="24"/>
        </w:rPr>
        <w:t>"Electronic Paired Option Orders:" electronic option orders that contain both the buy and sell side that is routed to another Industry Member or exchange for crossing and/or price improvement as a single transaction on an exchange. Further, the events related to Simple Electronic Option Orders subject to reporting in Phase 2b are limited to those events which involve electronic receipt of an order, or electronic routing of an order</w:t>
      </w:r>
    </w:p>
    <w:p w14:paraId="5D750480" w14:textId="77777777" w:rsidR="008F21B9" w:rsidRPr="008F21B9" w:rsidRDefault="008F21B9" w:rsidP="0005402C">
      <w:pPr>
        <w:numPr>
          <w:ilvl w:val="0"/>
          <w:numId w:val="371"/>
        </w:numPr>
        <w:tabs>
          <w:tab w:val="clear" w:pos="720"/>
          <w:tab w:val="num" w:pos="810"/>
        </w:tabs>
        <w:spacing w:before="100" w:beforeAutospacing="1" w:after="100" w:afterAutospacing="1"/>
        <w:ind w:left="810" w:hanging="270"/>
        <w:rPr>
          <w:color w:val="000000"/>
          <w:spacing w:val="8"/>
          <w:sz w:val="24"/>
          <w:szCs w:val="24"/>
        </w:rPr>
      </w:pPr>
      <w:r w:rsidRPr="008F21B9">
        <w:rPr>
          <w:color w:val="000000"/>
          <w:spacing w:val="8"/>
          <w:sz w:val="24"/>
          <w:szCs w:val="24"/>
        </w:rPr>
        <w:t>Electronic receipt of an order: the initial receipt of an order by an Industry Member in electronic form in standard format directly into an order handling or execution system</w:t>
      </w:r>
    </w:p>
    <w:p w14:paraId="6D3A7D76" w14:textId="7448399C" w:rsidR="008F21B9" w:rsidRDefault="008F21B9" w:rsidP="0005402C">
      <w:pPr>
        <w:numPr>
          <w:ilvl w:val="0"/>
          <w:numId w:val="371"/>
        </w:numPr>
        <w:tabs>
          <w:tab w:val="clear" w:pos="720"/>
          <w:tab w:val="num" w:pos="810"/>
        </w:tabs>
        <w:spacing w:before="100" w:beforeAutospacing="1" w:after="100" w:afterAutospacing="1"/>
        <w:ind w:left="810" w:hanging="270"/>
        <w:rPr>
          <w:color w:val="000000"/>
          <w:spacing w:val="8"/>
          <w:sz w:val="24"/>
          <w:szCs w:val="24"/>
        </w:rPr>
      </w:pPr>
      <w:r w:rsidRPr="008F21B9">
        <w:rPr>
          <w:color w:val="000000"/>
          <w:spacing w:val="8"/>
          <w:sz w:val="24"/>
          <w:szCs w:val="24"/>
        </w:rPr>
        <w:t>Electronic routing of an order: the routing of an order via electronic medium in standard format from one Industry Member's order handling or execution system to an exchange or another Industry Member</w:t>
      </w:r>
    </w:p>
    <w:p w14:paraId="11D705EB" w14:textId="5002DA98" w:rsidR="00B30C99" w:rsidRDefault="00B30C99" w:rsidP="00B30C99">
      <w:pPr>
        <w:pStyle w:val="Heading3"/>
      </w:pPr>
      <w:r>
        <w:t>8.33.5 Time Clocks</w:t>
      </w:r>
    </w:p>
    <w:p w14:paraId="1888D06B" w14:textId="5FE6441B" w:rsidR="00B30C99" w:rsidRPr="0086379E" w:rsidRDefault="00B30C99" w:rsidP="00B30C99">
      <w:pPr>
        <w:ind w:left="270"/>
        <w:rPr>
          <w:color w:val="000000" w:themeColor="text1"/>
          <w:spacing w:val="8"/>
          <w:sz w:val="24"/>
          <w:szCs w:val="24"/>
          <w:shd w:val="clear" w:color="auto" w:fill="FFFFFF"/>
        </w:rPr>
      </w:pPr>
      <w:r w:rsidRPr="0086379E">
        <w:rPr>
          <w:color w:val="000000" w:themeColor="text1"/>
          <w:spacing w:val="8"/>
          <w:sz w:val="24"/>
          <w:szCs w:val="24"/>
          <w:shd w:val="clear" w:color="auto" w:fill="FFFFFF"/>
        </w:rPr>
        <w:t xml:space="preserve">All time clocks (computer system or mechanical) used for recording date and time of orders must be synchronized and maintained within a specified tolerance of time maintained by the NIST atomic clock. </w:t>
      </w:r>
    </w:p>
    <w:p w14:paraId="029C239E" w14:textId="77777777" w:rsidR="00B30C99" w:rsidRPr="00B30C99" w:rsidRDefault="00B30C99" w:rsidP="00B30C99"/>
    <w:p w14:paraId="4BF110EB" w14:textId="3D7CB568" w:rsidR="0075048C" w:rsidRDefault="0075048C" w:rsidP="0075048C">
      <w:pPr>
        <w:pStyle w:val="Heading3"/>
      </w:pPr>
      <w:r>
        <w:t>8.33.</w:t>
      </w:r>
      <w:r w:rsidR="00B30C99">
        <w:t>6</w:t>
      </w:r>
      <w:r>
        <w:t xml:space="preserve"> Reviews</w:t>
      </w:r>
    </w:p>
    <w:p w14:paraId="5F6FC511" w14:textId="38AFB7AC" w:rsidR="0075048C" w:rsidRPr="00421A3E" w:rsidRDefault="00036479" w:rsidP="0075048C">
      <w:pPr>
        <w:ind w:left="270"/>
        <w:rPr>
          <w:sz w:val="24"/>
          <w:szCs w:val="24"/>
        </w:rPr>
      </w:pPr>
      <w:r w:rsidRPr="00421A3E">
        <w:rPr>
          <w:sz w:val="24"/>
          <w:szCs w:val="24"/>
        </w:rPr>
        <w:t xml:space="preserve">Company will ensure the review of CAT </w:t>
      </w:r>
      <w:r w:rsidR="00FE325E" w:rsidRPr="00421A3E">
        <w:rPr>
          <w:sz w:val="24"/>
          <w:szCs w:val="24"/>
        </w:rPr>
        <w:t xml:space="preserve">information and </w:t>
      </w:r>
      <w:r w:rsidRPr="00421A3E">
        <w:rPr>
          <w:sz w:val="24"/>
          <w:szCs w:val="24"/>
        </w:rPr>
        <w:t xml:space="preserve">reporting </w:t>
      </w:r>
      <w:r w:rsidR="00FE325E" w:rsidRPr="00421A3E">
        <w:rPr>
          <w:sz w:val="24"/>
          <w:szCs w:val="24"/>
        </w:rPr>
        <w:t xml:space="preserve">portal </w:t>
      </w:r>
      <w:r w:rsidRPr="00421A3E">
        <w:rPr>
          <w:sz w:val="24"/>
          <w:szCs w:val="24"/>
        </w:rPr>
        <w:t>which will include:</w:t>
      </w:r>
    </w:p>
    <w:p w14:paraId="7AE850B7" w14:textId="0CDA5DBD" w:rsidR="00036479" w:rsidRPr="00421A3E" w:rsidRDefault="00FE325E" w:rsidP="0005402C">
      <w:pPr>
        <w:pStyle w:val="ListParagraph"/>
        <w:numPr>
          <w:ilvl w:val="0"/>
          <w:numId w:val="376"/>
        </w:numPr>
        <w:ind w:left="810" w:hanging="270"/>
        <w:rPr>
          <w:sz w:val="24"/>
          <w:szCs w:val="24"/>
        </w:rPr>
      </w:pPr>
      <w:r w:rsidRPr="00421A3E">
        <w:rPr>
          <w:sz w:val="24"/>
          <w:szCs w:val="24"/>
        </w:rPr>
        <w:t>File status, and potential errors or repairs, statistics and compare to Company order and trade records to ensure all applicable trades are submitted to CAT;</w:t>
      </w:r>
    </w:p>
    <w:p w14:paraId="7A06AA12" w14:textId="415AFEFD" w:rsidR="00FE325E" w:rsidRPr="00421A3E" w:rsidRDefault="00FE325E" w:rsidP="0005402C">
      <w:pPr>
        <w:pStyle w:val="ListParagraph"/>
        <w:numPr>
          <w:ilvl w:val="0"/>
          <w:numId w:val="376"/>
        </w:numPr>
        <w:ind w:left="810" w:hanging="270"/>
        <w:rPr>
          <w:sz w:val="24"/>
          <w:szCs w:val="24"/>
        </w:rPr>
      </w:pPr>
      <w:r w:rsidRPr="00421A3E">
        <w:rPr>
          <w:sz w:val="24"/>
          <w:szCs w:val="24"/>
        </w:rPr>
        <w:t xml:space="preserve">Maintain and update if applicable Firm Contact information; </w:t>
      </w:r>
    </w:p>
    <w:p w14:paraId="2B5D6A3A" w14:textId="77777777" w:rsidR="00FE325E" w:rsidRPr="00421A3E" w:rsidRDefault="00FE325E" w:rsidP="0005402C">
      <w:pPr>
        <w:pStyle w:val="ListParagraph"/>
        <w:numPr>
          <w:ilvl w:val="0"/>
          <w:numId w:val="376"/>
        </w:numPr>
        <w:ind w:left="810" w:hanging="270"/>
        <w:rPr>
          <w:sz w:val="24"/>
          <w:szCs w:val="24"/>
        </w:rPr>
      </w:pPr>
      <w:r w:rsidRPr="00421A3E">
        <w:rPr>
          <w:sz w:val="24"/>
          <w:szCs w:val="24"/>
        </w:rPr>
        <w:t xml:space="preserve">CAT announcements and any FAQs (use the FINRA CAT Help Desk if necessary at 888-696-3348 or </w:t>
      </w:r>
      <w:hyperlink r:id="rId74" w:history="1">
        <w:r w:rsidRPr="00421A3E">
          <w:rPr>
            <w:rStyle w:val="Hyperlink"/>
            <w:color w:val="auto"/>
            <w:sz w:val="24"/>
            <w:szCs w:val="24"/>
          </w:rPr>
          <w:t>help@finracat.com</w:t>
        </w:r>
      </w:hyperlink>
      <w:r w:rsidRPr="00421A3E">
        <w:rPr>
          <w:sz w:val="24"/>
          <w:szCs w:val="24"/>
        </w:rPr>
        <w:t xml:space="preserve">); </w:t>
      </w:r>
    </w:p>
    <w:p w14:paraId="7D49BBFB" w14:textId="2A9E5525" w:rsidR="00FE325E" w:rsidRPr="0086379E" w:rsidRDefault="00FE325E" w:rsidP="0005402C">
      <w:pPr>
        <w:numPr>
          <w:ilvl w:val="0"/>
          <w:numId w:val="376"/>
        </w:numPr>
        <w:tabs>
          <w:tab w:val="num" w:pos="810"/>
        </w:tabs>
        <w:ind w:left="810" w:hanging="270"/>
        <w:rPr>
          <w:color w:val="000000" w:themeColor="text1"/>
          <w:sz w:val="24"/>
          <w:szCs w:val="24"/>
        </w:rPr>
      </w:pPr>
      <w:r w:rsidRPr="000E4C96">
        <w:rPr>
          <w:sz w:val="24"/>
          <w:szCs w:val="24"/>
        </w:rPr>
        <w:t>Clock synchronization on a random basis but no less than weekly and maintain a log of such reviews</w:t>
      </w:r>
      <w:r w:rsidR="000E4C96" w:rsidRPr="000E4C96">
        <w:rPr>
          <w:sz w:val="24"/>
          <w:szCs w:val="24"/>
        </w:rPr>
        <w:t xml:space="preserve"> </w:t>
      </w:r>
      <w:r w:rsidR="000E4C96" w:rsidRPr="0086379E">
        <w:rPr>
          <w:color w:val="000000" w:themeColor="text1"/>
          <w:sz w:val="24"/>
          <w:szCs w:val="24"/>
        </w:rPr>
        <w:t>and c</w:t>
      </w:r>
      <w:r w:rsidR="000E4C96" w:rsidRPr="0086379E">
        <w:rPr>
          <w:color w:val="000000" w:themeColor="text1"/>
          <w:spacing w:val="8"/>
          <w:sz w:val="24"/>
          <w:szCs w:val="24"/>
        </w:rPr>
        <w:t xml:space="preserve">omplete the annual certification by March 15 of each year; </w:t>
      </w:r>
      <w:r w:rsidRPr="0086379E">
        <w:rPr>
          <w:color w:val="000000" w:themeColor="text1"/>
          <w:sz w:val="24"/>
          <w:szCs w:val="24"/>
        </w:rPr>
        <w:t>and</w:t>
      </w:r>
    </w:p>
    <w:p w14:paraId="1983DA43" w14:textId="71618E55" w:rsidR="00FE325E" w:rsidRDefault="00FE325E" w:rsidP="0005402C">
      <w:pPr>
        <w:pStyle w:val="ListParagraph"/>
        <w:numPr>
          <w:ilvl w:val="0"/>
          <w:numId w:val="376"/>
        </w:numPr>
        <w:ind w:left="810" w:hanging="270"/>
        <w:rPr>
          <w:sz w:val="24"/>
          <w:szCs w:val="24"/>
        </w:rPr>
      </w:pPr>
      <w:r w:rsidRPr="00421A3E">
        <w:rPr>
          <w:sz w:val="24"/>
          <w:szCs w:val="24"/>
        </w:rPr>
        <w:t xml:space="preserve">Designation of SAA and users. </w:t>
      </w:r>
    </w:p>
    <w:p w14:paraId="0EB371C1" w14:textId="1B9116D3" w:rsidR="00FE325E" w:rsidRPr="00C9190D" w:rsidRDefault="00916485" w:rsidP="0005402C">
      <w:pPr>
        <w:numPr>
          <w:ilvl w:val="0"/>
          <w:numId w:val="376"/>
        </w:numPr>
        <w:shd w:val="clear" w:color="auto" w:fill="FFFFFF"/>
        <w:spacing w:before="100" w:beforeAutospacing="1" w:after="100" w:afterAutospacing="1"/>
        <w:ind w:left="810" w:hanging="270"/>
        <w:rPr>
          <w:sz w:val="24"/>
          <w:szCs w:val="24"/>
        </w:rPr>
      </w:pPr>
      <w:r w:rsidRPr="00916485">
        <w:rPr>
          <w:color w:val="FF0000"/>
          <w:spacing w:val="8"/>
          <w:sz w:val="24"/>
          <w:szCs w:val="24"/>
        </w:rPr>
        <w:t>Periodic reviews of third</w:t>
      </w:r>
      <w:r w:rsidRPr="00C9190D">
        <w:rPr>
          <w:color w:val="FF0000"/>
          <w:spacing w:val="8"/>
          <w:sz w:val="24"/>
          <w:szCs w:val="24"/>
        </w:rPr>
        <w:t>-</w:t>
      </w:r>
      <w:r w:rsidRPr="00916485">
        <w:rPr>
          <w:color w:val="FF0000"/>
          <w:spacing w:val="8"/>
          <w:sz w:val="24"/>
          <w:szCs w:val="24"/>
        </w:rPr>
        <w:t>party reporting (including clearing firm) if applicable</w:t>
      </w:r>
      <w:r w:rsidR="00C9190D">
        <w:rPr>
          <w:color w:val="FF0000"/>
          <w:spacing w:val="8"/>
          <w:sz w:val="24"/>
          <w:szCs w:val="24"/>
        </w:rPr>
        <w:t>.</w:t>
      </w:r>
    </w:p>
    <w:p w14:paraId="6CB6EEE3" w14:textId="0CDC977F" w:rsidR="00FE325E" w:rsidRPr="00421A3E" w:rsidRDefault="00FE325E" w:rsidP="00FE325E">
      <w:pPr>
        <w:ind w:left="270"/>
        <w:rPr>
          <w:sz w:val="24"/>
          <w:szCs w:val="24"/>
        </w:rPr>
      </w:pPr>
      <w:r w:rsidRPr="00421A3E">
        <w:rPr>
          <w:sz w:val="24"/>
          <w:szCs w:val="24"/>
        </w:rPr>
        <w:t xml:space="preserve">Said reviews </w:t>
      </w:r>
      <w:r w:rsidRPr="0086379E">
        <w:rPr>
          <w:color w:val="000000" w:themeColor="text1"/>
          <w:sz w:val="24"/>
          <w:szCs w:val="24"/>
        </w:rPr>
        <w:t xml:space="preserve">will </w:t>
      </w:r>
      <w:r w:rsidR="00872F14" w:rsidRPr="0086379E">
        <w:rPr>
          <w:color w:val="000000" w:themeColor="text1"/>
          <w:sz w:val="24"/>
          <w:szCs w:val="24"/>
        </w:rPr>
        <w:t xml:space="preserve">be conducted by Compliance and will </w:t>
      </w:r>
      <w:r w:rsidRPr="0086379E">
        <w:rPr>
          <w:color w:val="000000" w:themeColor="text1"/>
          <w:sz w:val="24"/>
          <w:szCs w:val="24"/>
        </w:rPr>
        <w:t xml:space="preserve">also </w:t>
      </w:r>
      <w:r w:rsidRPr="00421A3E">
        <w:rPr>
          <w:sz w:val="24"/>
          <w:szCs w:val="24"/>
        </w:rPr>
        <w:t>be noted in Company’s annual Internal Review Exam along with reviewing these procedures, auditing and testing, and any corrective action.</w:t>
      </w:r>
    </w:p>
    <w:p w14:paraId="191B17B6" w14:textId="77777777" w:rsidR="00A26CAD" w:rsidRPr="00C35790" w:rsidRDefault="00A26CAD" w:rsidP="005F7437"/>
    <w:p w14:paraId="6B5BB26A" w14:textId="77777777" w:rsidR="007F01FC" w:rsidRDefault="007F01FC" w:rsidP="00B27C24">
      <w:pPr>
        <w:jc w:val="both"/>
        <w:rPr>
          <w:sz w:val="24"/>
        </w:rPr>
      </w:pPr>
      <w:bookmarkStart w:id="123" w:name="SyncClocks"/>
      <w:bookmarkEnd w:id="123"/>
    </w:p>
    <w:p w14:paraId="37D8776E" w14:textId="77777777" w:rsidR="00E44D90" w:rsidRPr="00E37A75" w:rsidRDefault="0037510E" w:rsidP="00936FEE">
      <w:pPr>
        <w:pStyle w:val="Heading2"/>
        <w:rPr>
          <w:i/>
          <w:sz w:val="20"/>
          <w:szCs w:val="20"/>
        </w:rPr>
      </w:pPr>
      <w:r>
        <w:t>8</w:t>
      </w:r>
      <w:r w:rsidRPr="004B4F79">
        <w:t>.</w:t>
      </w:r>
      <w:r>
        <w:t>3</w:t>
      </w:r>
      <w:r w:rsidR="0004301E">
        <w:t>4</w:t>
      </w:r>
      <w:r w:rsidR="00E44D90">
        <w:t xml:space="preserve"> FINRA Rule 2124 – Net Transactions with Customers</w:t>
      </w:r>
      <w:r w:rsidR="00E37A75">
        <w:t xml:space="preserve"> </w:t>
      </w:r>
      <w:r w:rsidR="00E37A75" w:rsidRPr="00AF0071">
        <w:rPr>
          <w:i/>
          <w:sz w:val="20"/>
          <w:szCs w:val="20"/>
        </w:rPr>
        <w:t>(</w:t>
      </w:r>
      <w:proofErr w:type="gramStart"/>
      <w:r w:rsidR="00E37A75" w:rsidRPr="00AF0071">
        <w:rPr>
          <w:i/>
          <w:sz w:val="20"/>
          <w:szCs w:val="20"/>
        </w:rPr>
        <w:t>eff</w:t>
      </w:r>
      <w:proofErr w:type="gramEnd"/>
      <w:r w:rsidR="00E37A75" w:rsidRPr="00AF0071">
        <w:rPr>
          <w:i/>
          <w:sz w:val="20"/>
          <w:szCs w:val="20"/>
        </w:rPr>
        <w:t xml:space="preserve"> </w:t>
      </w:r>
      <w:r w:rsidR="0074381B" w:rsidRPr="00AF0071">
        <w:rPr>
          <w:i/>
          <w:sz w:val="20"/>
          <w:szCs w:val="20"/>
        </w:rPr>
        <w:t>12/14/09)</w:t>
      </w:r>
    </w:p>
    <w:p w14:paraId="066A9899" w14:textId="77777777" w:rsidR="009728F4" w:rsidRPr="009728F4" w:rsidRDefault="00705BC9" w:rsidP="009728F4">
      <w:pPr>
        <w:jc w:val="both"/>
        <w:rPr>
          <w:sz w:val="24"/>
          <w:szCs w:val="24"/>
        </w:rPr>
      </w:pPr>
      <w:r>
        <w:rPr>
          <w:sz w:val="24"/>
          <w:szCs w:val="24"/>
        </w:rPr>
        <w:t>Company</w:t>
      </w:r>
      <w:r w:rsidR="009728F4" w:rsidRPr="009728F4">
        <w:rPr>
          <w:sz w:val="24"/>
          <w:szCs w:val="24"/>
        </w:rPr>
        <w:t xml:space="preserve"> may, at the request of a customer, confirm a transaction on a net basis. A net transaction is a principal transaction in which the market maker, after having received an order to buy or sell </w:t>
      </w:r>
      <w:r w:rsidR="009728F4" w:rsidRPr="009728F4">
        <w:rPr>
          <w:sz w:val="24"/>
          <w:szCs w:val="24"/>
        </w:rPr>
        <w:lastRenderedPageBreak/>
        <w:t xml:space="preserve">an equity security, buys or sells the security (from or to another dealer or another customer) and then sells to or buys from the customer at a different price. </w:t>
      </w:r>
    </w:p>
    <w:p w14:paraId="426CCCB2" w14:textId="77777777" w:rsidR="009728F4" w:rsidRPr="009728F4" w:rsidRDefault="009728F4" w:rsidP="009728F4">
      <w:pPr>
        <w:jc w:val="both"/>
        <w:rPr>
          <w:sz w:val="24"/>
          <w:szCs w:val="24"/>
        </w:rPr>
      </w:pPr>
    </w:p>
    <w:p w14:paraId="62F59B75" w14:textId="77777777" w:rsidR="009728F4" w:rsidRPr="009728F4" w:rsidRDefault="009728F4" w:rsidP="009728F4">
      <w:pPr>
        <w:jc w:val="both"/>
        <w:rPr>
          <w:sz w:val="24"/>
          <w:szCs w:val="24"/>
        </w:rPr>
      </w:pPr>
      <w:r w:rsidRPr="009728F4">
        <w:rPr>
          <w:sz w:val="24"/>
          <w:szCs w:val="24"/>
        </w:rPr>
        <w:t xml:space="preserve">Institutions that request net basis transactions will be provided with </w:t>
      </w:r>
      <w:r w:rsidR="00705BC9">
        <w:rPr>
          <w:sz w:val="24"/>
          <w:szCs w:val="24"/>
        </w:rPr>
        <w:t>the Company</w:t>
      </w:r>
      <w:r w:rsidR="00705BC9" w:rsidRPr="00472765">
        <w:rPr>
          <w:sz w:val="24"/>
          <w:szCs w:val="24"/>
        </w:rPr>
        <w:t xml:space="preserve">'s </w:t>
      </w:r>
      <w:r w:rsidRPr="009728F4">
        <w:rPr>
          <w:sz w:val="24"/>
          <w:szCs w:val="24"/>
        </w:rPr>
        <w:t xml:space="preserve">negative consent letter regarding the terms and conditions of such transactions. If the institution objects to the terms included in the letter, </w:t>
      </w:r>
      <w:r w:rsidR="00705BC9">
        <w:rPr>
          <w:sz w:val="24"/>
          <w:szCs w:val="24"/>
        </w:rPr>
        <w:t xml:space="preserve">the Company </w:t>
      </w:r>
      <w:r w:rsidRPr="009728F4">
        <w:rPr>
          <w:sz w:val="24"/>
          <w:szCs w:val="24"/>
        </w:rPr>
        <w:t>will not trade on a net basis with that customer. As an alternative, the terms and conditions for handling the order on a net basis may be orally explained and oral consent obtained from the institutional customer. Oral consent must be noted on the order record.</w:t>
      </w:r>
    </w:p>
    <w:p w14:paraId="0359CCB2" w14:textId="77777777" w:rsidR="009728F4" w:rsidRPr="009728F4" w:rsidRDefault="009728F4" w:rsidP="009728F4">
      <w:pPr>
        <w:jc w:val="both"/>
        <w:rPr>
          <w:sz w:val="24"/>
          <w:szCs w:val="24"/>
        </w:rPr>
      </w:pPr>
    </w:p>
    <w:p w14:paraId="270E7F70" w14:textId="77777777" w:rsidR="009728F4" w:rsidRPr="009728F4" w:rsidRDefault="009728F4" w:rsidP="009728F4">
      <w:pPr>
        <w:jc w:val="both"/>
        <w:rPr>
          <w:sz w:val="24"/>
          <w:szCs w:val="24"/>
        </w:rPr>
      </w:pPr>
      <w:r w:rsidRPr="009728F4">
        <w:rPr>
          <w:sz w:val="24"/>
          <w:szCs w:val="24"/>
        </w:rPr>
        <w:t xml:space="preserve">Net trading with non-institutional customers requires </w:t>
      </w:r>
      <w:r w:rsidRPr="009728F4">
        <w:rPr>
          <w:b/>
          <w:bCs/>
          <w:sz w:val="24"/>
          <w:szCs w:val="24"/>
        </w:rPr>
        <w:t>pre-trade</w:t>
      </w:r>
      <w:r w:rsidRPr="009728F4">
        <w:rPr>
          <w:sz w:val="24"/>
          <w:szCs w:val="24"/>
        </w:rPr>
        <w:t xml:space="preserve"> disclosure and written consent on an order-by-order basis. Orders received from another broker-dealer for their customer do not require disclosure and consent; these are obligations of the other broker-dealer. </w:t>
      </w:r>
    </w:p>
    <w:p w14:paraId="723BBD0F" w14:textId="77777777" w:rsidR="009728F4" w:rsidRPr="009728F4" w:rsidRDefault="009728F4" w:rsidP="009728F4">
      <w:pPr>
        <w:jc w:val="both"/>
        <w:rPr>
          <w:sz w:val="24"/>
          <w:szCs w:val="24"/>
        </w:rPr>
      </w:pPr>
    </w:p>
    <w:p w14:paraId="78D0CC53" w14:textId="77777777" w:rsidR="009728F4" w:rsidRPr="009728F4" w:rsidRDefault="009728F4" w:rsidP="009728F4">
      <w:pPr>
        <w:jc w:val="both"/>
        <w:rPr>
          <w:sz w:val="24"/>
          <w:szCs w:val="24"/>
        </w:rPr>
      </w:pPr>
      <w:r w:rsidRPr="009728F4">
        <w:rPr>
          <w:sz w:val="24"/>
          <w:szCs w:val="24"/>
        </w:rPr>
        <w:t>If orders are received from a fiduciary for a non-institutional customer, the fiduciary's status determines whether there is an obligation to provide pre-trade disclosure and consent. For example, if the fiduciary is an investment adviser, the adviser is considered an institution and disclosure and consent are not required. If the fiduciary is an individual such as an attorney or an accountant acting on someone's behalf, the fiduciary is considered an individual and pre-trade disclosure and consent are required.</w:t>
      </w:r>
    </w:p>
    <w:p w14:paraId="7D3B914C" w14:textId="77777777" w:rsidR="00E44D90" w:rsidRPr="00E44D90" w:rsidRDefault="00E44D90" w:rsidP="00E44D90">
      <w:pPr>
        <w:rPr>
          <w:sz w:val="24"/>
          <w:szCs w:val="24"/>
        </w:rPr>
      </w:pPr>
    </w:p>
    <w:p w14:paraId="71420844" w14:textId="77777777" w:rsidR="00E50782" w:rsidRDefault="00E50782" w:rsidP="00E50782"/>
    <w:p w14:paraId="0D441C0E" w14:textId="77777777" w:rsidR="00E50782" w:rsidRPr="00926A23" w:rsidRDefault="00E44D90" w:rsidP="00936FEE">
      <w:pPr>
        <w:pStyle w:val="Heading2"/>
      </w:pPr>
      <w:r w:rsidRPr="00926A23">
        <w:t>8.3</w:t>
      </w:r>
      <w:r w:rsidR="0004301E">
        <w:t>5</w:t>
      </w:r>
      <w:r w:rsidRPr="00926A23">
        <w:t xml:space="preserve"> </w:t>
      </w:r>
      <w:r w:rsidR="00E50782" w:rsidRPr="00926A23">
        <w:t xml:space="preserve">Extended </w:t>
      </w:r>
      <w:r w:rsidR="00681F9F" w:rsidRPr="00926A23">
        <w:t xml:space="preserve">Hours </w:t>
      </w:r>
      <w:r w:rsidR="00E50782" w:rsidRPr="00926A23">
        <w:t xml:space="preserve">Trading </w:t>
      </w:r>
    </w:p>
    <w:p w14:paraId="08F5089A" w14:textId="77777777" w:rsidR="00E50782" w:rsidRPr="001F0DBA" w:rsidRDefault="00E50782" w:rsidP="001F0DBA">
      <w:pPr>
        <w:jc w:val="both"/>
        <w:rPr>
          <w:sz w:val="24"/>
          <w:szCs w:val="24"/>
        </w:rPr>
      </w:pPr>
      <w:r w:rsidRPr="001F0DBA">
        <w:rPr>
          <w:sz w:val="24"/>
          <w:szCs w:val="24"/>
        </w:rPr>
        <w:t xml:space="preserve">Company prohibits customers from engaging in extended </w:t>
      </w:r>
      <w:r w:rsidR="00C90ADB" w:rsidRPr="001F0DBA">
        <w:rPr>
          <w:sz w:val="24"/>
          <w:szCs w:val="24"/>
        </w:rPr>
        <w:t xml:space="preserve">hours </w:t>
      </w:r>
      <w:r w:rsidRPr="001F0DBA">
        <w:rPr>
          <w:sz w:val="24"/>
          <w:szCs w:val="24"/>
        </w:rPr>
        <w:t xml:space="preserve">trading and </w:t>
      </w:r>
      <w:r w:rsidR="00C90ADB" w:rsidRPr="001F0DBA">
        <w:rPr>
          <w:sz w:val="24"/>
          <w:szCs w:val="24"/>
        </w:rPr>
        <w:t xml:space="preserve">does not allow </w:t>
      </w:r>
      <w:r w:rsidRPr="001F0DBA">
        <w:rPr>
          <w:sz w:val="24"/>
          <w:szCs w:val="24"/>
        </w:rPr>
        <w:t xml:space="preserve">customers </w:t>
      </w:r>
      <w:r w:rsidR="00C90ADB" w:rsidRPr="001F0DBA">
        <w:rPr>
          <w:sz w:val="24"/>
          <w:szCs w:val="24"/>
        </w:rPr>
        <w:t xml:space="preserve">to </w:t>
      </w:r>
      <w:r w:rsidRPr="001F0DBA">
        <w:rPr>
          <w:sz w:val="24"/>
          <w:szCs w:val="24"/>
        </w:rPr>
        <w:t>open accounts online. In the event Company determines it will allow any extended hours trading</w:t>
      </w:r>
      <w:r w:rsidR="00C90ADB" w:rsidRPr="001F0DBA">
        <w:rPr>
          <w:sz w:val="24"/>
          <w:szCs w:val="24"/>
        </w:rPr>
        <w:t xml:space="preserve"> in the future</w:t>
      </w:r>
      <w:r w:rsidRPr="001F0DBA">
        <w:rPr>
          <w:sz w:val="24"/>
          <w:szCs w:val="24"/>
        </w:rPr>
        <w:t xml:space="preserve">, customers would be furnished the appropriate </w:t>
      </w:r>
      <w:r w:rsidR="00C90ADB" w:rsidRPr="001F0DBA">
        <w:rPr>
          <w:sz w:val="24"/>
          <w:szCs w:val="24"/>
        </w:rPr>
        <w:t xml:space="preserve">risk </w:t>
      </w:r>
      <w:r w:rsidRPr="001F0DBA">
        <w:rPr>
          <w:sz w:val="24"/>
          <w:szCs w:val="24"/>
        </w:rPr>
        <w:t>disclosures pursuant to FINRA Rule 2265</w:t>
      </w:r>
    </w:p>
    <w:p w14:paraId="3B57A24F" w14:textId="77777777" w:rsidR="00825590" w:rsidRPr="001F0DBA" w:rsidRDefault="00825590" w:rsidP="001F0DBA">
      <w:pPr>
        <w:jc w:val="both"/>
        <w:rPr>
          <w:sz w:val="24"/>
          <w:szCs w:val="24"/>
        </w:rPr>
      </w:pPr>
    </w:p>
    <w:p w14:paraId="2BFA8A8A" w14:textId="77777777" w:rsidR="00825590" w:rsidRDefault="00825590" w:rsidP="00E50782">
      <w:pPr>
        <w:rPr>
          <w:color w:val="0070C0"/>
          <w:sz w:val="24"/>
          <w:szCs w:val="24"/>
        </w:rPr>
      </w:pPr>
    </w:p>
    <w:p w14:paraId="45A1A1CE" w14:textId="77777777" w:rsidR="00C163C1" w:rsidRPr="00AE7231" w:rsidRDefault="00E50782" w:rsidP="00936FEE">
      <w:pPr>
        <w:pStyle w:val="Heading2"/>
        <w:rPr>
          <w:rStyle w:val="us"/>
          <w:b w:val="0"/>
          <w:i/>
          <w:sz w:val="20"/>
          <w:szCs w:val="20"/>
        </w:rPr>
      </w:pPr>
      <w:r w:rsidRPr="00C163C1">
        <w:t>8.3</w:t>
      </w:r>
      <w:r w:rsidR="0004301E">
        <w:t>6</w:t>
      </w:r>
      <w:r w:rsidRPr="00C163C1">
        <w:t xml:space="preserve"> </w:t>
      </w:r>
      <w:r w:rsidR="00C163C1" w:rsidRPr="00C163C1">
        <w:t xml:space="preserve">FINRA Rule 5230 </w:t>
      </w:r>
      <w:r w:rsidR="00C163C1" w:rsidRPr="00AE7231">
        <w:t xml:space="preserve">- </w:t>
      </w:r>
      <w:r w:rsidR="00C163C1" w:rsidRPr="00AE7231">
        <w:rPr>
          <w:rStyle w:val="us"/>
        </w:rPr>
        <w:t>Payments Involving Publications that</w:t>
      </w:r>
      <w:r w:rsidR="00C163C1" w:rsidRPr="00AE7231">
        <w:t xml:space="preserve"> Influence </w:t>
      </w:r>
      <w:r w:rsidR="00C163C1" w:rsidRPr="00AE7231">
        <w:rPr>
          <w:rStyle w:val="us"/>
        </w:rPr>
        <w:t>the</w:t>
      </w:r>
      <w:r w:rsidR="00C163C1" w:rsidRPr="00AE7231">
        <w:t xml:space="preserve"> Market </w:t>
      </w:r>
      <w:r w:rsidR="00C163C1" w:rsidRPr="00AE7231">
        <w:rPr>
          <w:rStyle w:val="us"/>
        </w:rPr>
        <w:t xml:space="preserve">Price of a Security </w:t>
      </w:r>
      <w:r w:rsidR="00C163C1" w:rsidRPr="00AE7231">
        <w:rPr>
          <w:rStyle w:val="us"/>
          <w:b w:val="0"/>
          <w:i/>
          <w:sz w:val="20"/>
          <w:szCs w:val="20"/>
        </w:rPr>
        <w:t>(</w:t>
      </w:r>
      <w:proofErr w:type="gramStart"/>
      <w:r w:rsidR="00C163C1" w:rsidRPr="00AE7231">
        <w:rPr>
          <w:rStyle w:val="us"/>
          <w:b w:val="0"/>
          <w:i/>
          <w:sz w:val="20"/>
          <w:szCs w:val="20"/>
        </w:rPr>
        <w:t>eff</w:t>
      </w:r>
      <w:proofErr w:type="gramEnd"/>
      <w:r w:rsidR="00C163C1" w:rsidRPr="00AE7231">
        <w:rPr>
          <w:rStyle w:val="us"/>
          <w:b w:val="0"/>
          <w:i/>
          <w:sz w:val="20"/>
          <w:szCs w:val="20"/>
        </w:rPr>
        <w:t xml:space="preserve"> 12/14/09)</w:t>
      </w:r>
    </w:p>
    <w:p w14:paraId="64C93539" w14:textId="77777777" w:rsidR="00C163C1" w:rsidRPr="001F0DBA" w:rsidRDefault="00C163C1" w:rsidP="00C163C1">
      <w:pPr>
        <w:shd w:val="clear" w:color="auto" w:fill="FFFFFF"/>
        <w:spacing w:line="270" w:lineRule="atLeast"/>
        <w:jc w:val="both"/>
        <w:rPr>
          <w:sz w:val="24"/>
          <w:szCs w:val="24"/>
        </w:rPr>
      </w:pPr>
      <w:r w:rsidRPr="001F0DBA">
        <w:rPr>
          <w:rStyle w:val="us"/>
          <w:sz w:val="24"/>
          <w:szCs w:val="24"/>
        </w:rPr>
        <w:t xml:space="preserve">Company or Associated Persons </w:t>
      </w:r>
      <w:r w:rsidRPr="001F0DBA">
        <w:rPr>
          <w:sz w:val="24"/>
          <w:szCs w:val="24"/>
        </w:rPr>
        <w:t xml:space="preserve">shall not directly or indirectly, give, permit to be given, or offer to give, anything of value to any person for the purpose of influencing or rewarding the action of such person in connection with the publication or circulation in any </w:t>
      </w:r>
      <w:r w:rsidRPr="001F0DBA">
        <w:rPr>
          <w:rStyle w:val="us"/>
          <w:sz w:val="24"/>
          <w:szCs w:val="24"/>
        </w:rPr>
        <w:t>electronic or other public media, including any</w:t>
      </w:r>
      <w:r w:rsidRPr="001F0DBA">
        <w:rPr>
          <w:sz w:val="24"/>
          <w:szCs w:val="24"/>
        </w:rPr>
        <w:t xml:space="preserve"> investment service or similar publication, w</w:t>
      </w:r>
      <w:r w:rsidRPr="001F0DBA">
        <w:rPr>
          <w:rStyle w:val="us"/>
          <w:sz w:val="24"/>
          <w:szCs w:val="24"/>
        </w:rPr>
        <w:t>eb site, newspaper, magazine or other periodical, radio, or television program</w:t>
      </w:r>
      <w:r w:rsidRPr="001F0DBA">
        <w:rPr>
          <w:sz w:val="24"/>
          <w:szCs w:val="24"/>
        </w:rPr>
        <w:t xml:space="preserve"> of any matter </w:t>
      </w:r>
      <w:r w:rsidRPr="001F0DBA">
        <w:rPr>
          <w:rStyle w:val="us"/>
          <w:sz w:val="24"/>
          <w:szCs w:val="24"/>
        </w:rPr>
        <w:t>that</w:t>
      </w:r>
      <w:r w:rsidRPr="001F0DBA">
        <w:rPr>
          <w:sz w:val="24"/>
          <w:szCs w:val="24"/>
        </w:rPr>
        <w:t xml:space="preserve"> has, or is intended to have, an effect upon the market price of any security</w:t>
      </w:r>
      <w:r w:rsidRPr="001F0DBA">
        <w:rPr>
          <w:rStyle w:val="us"/>
          <w:sz w:val="24"/>
          <w:szCs w:val="24"/>
        </w:rPr>
        <w:t>.</w:t>
      </w:r>
      <w:r w:rsidRPr="001F0DBA">
        <w:rPr>
          <w:sz w:val="24"/>
          <w:szCs w:val="24"/>
        </w:rPr>
        <w:t xml:space="preserve">  These prohibitions shall not apply to </w:t>
      </w:r>
      <w:r w:rsidRPr="001F0DBA">
        <w:rPr>
          <w:rStyle w:val="us"/>
          <w:sz w:val="24"/>
          <w:szCs w:val="24"/>
        </w:rPr>
        <w:t>compensation paid to a person in connection with the publication or circulation of:</w:t>
      </w:r>
      <w:r w:rsidRPr="001F0DBA">
        <w:rPr>
          <w:sz w:val="24"/>
          <w:szCs w:val="24"/>
        </w:rPr>
        <w:t xml:space="preserve"> </w:t>
      </w:r>
    </w:p>
    <w:p w14:paraId="160BC04C" w14:textId="77777777" w:rsidR="001F0DBA" w:rsidRPr="001F0DBA" w:rsidRDefault="001F0DBA" w:rsidP="00C163C1">
      <w:pPr>
        <w:shd w:val="clear" w:color="auto" w:fill="FFFFFF"/>
        <w:spacing w:line="270" w:lineRule="atLeast"/>
        <w:jc w:val="both"/>
        <w:rPr>
          <w:sz w:val="24"/>
          <w:szCs w:val="24"/>
        </w:rPr>
      </w:pPr>
    </w:p>
    <w:p w14:paraId="5BDCEF5C" w14:textId="77777777" w:rsidR="00C163C1" w:rsidRPr="001F0DBA" w:rsidRDefault="00C163C1" w:rsidP="00C163C1">
      <w:pPr>
        <w:shd w:val="clear" w:color="auto" w:fill="FFFFFF"/>
        <w:spacing w:line="270" w:lineRule="atLeast"/>
        <w:jc w:val="both"/>
        <w:rPr>
          <w:rStyle w:val="us"/>
          <w:sz w:val="24"/>
          <w:szCs w:val="24"/>
        </w:rPr>
      </w:pPr>
      <w:r w:rsidRPr="001F0DBA">
        <w:rPr>
          <w:rStyle w:val="us"/>
          <w:sz w:val="24"/>
          <w:szCs w:val="24"/>
        </w:rPr>
        <w:t xml:space="preserve">(1) </w:t>
      </w:r>
      <w:r w:rsidR="000037F1">
        <w:rPr>
          <w:rStyle w:val="us"/>
          <w:sz w:val="24"/>
          <w:szCs w:val="24"/>
        </w:rPr>
        <w:t xml:space="preserve"> A</w:t>
      </w:r>
      <w:r w:rsidRPr="001F0DBA">
        <w:rPr>
          <w:rStyle w:val="us"/>
          <w:sz w:val="24"/>
          <w:szCs w:val="24"/>
        </w:rPr>
        <w:t xml:space="preserve"> communication</w:t>
      </w:r>
      <w:r w:rsidRPr="001F0DBA">
        <w:rPr>
          <w:sz w:val="24"/>
          <w:szCs w:val="24"/>
        </w:rPr>
        <w:t xml:space="preserve"> that is clearly distinguishable as paid advertising</w:t>
      </w:r>
      <w:r w:rsidRPr="001F0DBA">
        <w:rPr>
          <w:rStyle w:val="us"/>
          <w:sz w:val="24"/>
          <w:szCs w:val="24"/>
        </w:rPr>
        <w:t>;</w:t>
      </w:r>
    </w:p>
    <w:p w14:paraId="45D78EC3" w14:textId="77777777" w:rsidR="00C163C1" w:rsidRPr="001F0DBA" w:rsidRDefault="00C163C1" w:rsidP="00A56826">
      <w:pPr>
        <w:shd w:val="clear" w:color="auto" w:fill="FFFFFF"/>
        <w:spacing w:line="270" w:lineRule="atLeast"/>
        <w:ind w:left="360" w:hanging="360"/>
        <w:jc w:val="both"/>
        <w:rPr>
          <w:rStyle w:val="us"/>
          <w:sz w:val="24"/>
          <w:szCs w:val="24"/>
        </w:rPr>
      </w:pPr>
      <w:r w:rsidRPr="001F0DBA">
        <w:rPr>
          <w:rStyle w:val="us"/>
          <w:sz w:val="24"/>
          <w:szCs w:val="24"/>
        </w:rPr>
        <w:t>(2)</w:t>
      </w:r>
      <w:r w:rsidR="00A56826" w:rsidRPr="001F0DBA">
        <w:rPr>
          <w:rStyle w:val="us"/>
          <w:sz w:val="24"/>
          <w:szCs w:val="24"/>
        </w:rPr>
        <w:t xml:space="preserve"> </w:t>
      </w:r>
      <w:r w:rsidR="000037F1">
        <w:rPr>
          <w:rStyle w:val="us"/>
          <w:sz w:val="24"/>
          <w:szCs w:val="24"/>
        </w:rPr>
        <w:t>A</w:t>
      </w:r>
      <w:r w:rsidRPr="001F0DBA">
        <w:rPr>
          <w:rStyle w:val="us"/>
          <w:sz w:val="24"/>
          <w:szCs w:val="24"/>
        </w:rPr>
        <w:t xml:space="preserve"> communication that discloses the receipt of compensation and the amount thereof in accordance with Section 17(b) of the Securities Act; or</w:t>
      </w:r>
      <w:r w:rsidRPr="001F0DBA">
        <w:rPr>
          <w:sz w:val="24"/>
          <w:szCs w:val="24"/>
        </w:rPr>
        <w:t xml:space="preserve"> </w:t>
      </w:r>
    </w:p>
    <w:p w14:paraId="798CAFB8" w14:textId="77777777" w:rsidR="00C163C1" w:rsidRPr="001F0DBA" w:rsidRDefault="00C163C1" w:rsidP="00C163C1">
      <w:pPr>
        <w:shd w:val="clear" w:color="auto" w:fill="FFFFFF"/>
        <w:spacing w:line="270" w:lineRule="atLeast"/>
        <w:jc w:val="both"/>
        <w:rPr>
          <w:sz w:val="24"/>
          <w:szCs w:val="24"/>
        </w:rPr>
      </w:pPr>
      <w:r w:rsidRPr="001F0DBA">
        <w:rPr>
          <w:rStyle w:val="us"/>
          <w:sz w:val="24"/>
          <w:szCs w:val="24"/>
        </w:rPr>
        <w:t xml:space="preserve">(3) a research report, as that term is defined in </w:t>
      </w:r>
      <w:r w:rsidR="00AE7449" w:rsidRPr="00E70034">
        <w:rPr>
          <w:sz w:val="24"/>
          <w:szCs w:val="24"/>
        </w:rPr>
        <w:t>FINRA Rule 2241(a)(11)</w:t>
      </w:r>
      <w:r w:rsidRPr="00E70034">
        <w:rPr>
          <w:rStyle w:val="us"/>
          <w:sz w:val="24"/>
          <w:szCs w:val="24"/>
        </w:rPr>
        <w:t>.</w:t>
      </w:r>
      <w:r w:rsidRPr="00E70034">
        <w:rPr>
          <w:sz w:val="24"/>
          <w:szCs w:val="24"/>
        </w:rPr>
        <w:t xml:space="preserve"> </w:t>
      </w:r>
    </w:p>
    <w:p w14:paraId="253E20BA" w14:textId="77777777" w:rsidR="00825590" w:rsidRDefault="00825590" w:rsidP="00C163C1"/>
    <w:p w14:paraId="5B7A5536" w14:textId="77777777" w:rsidR="00BE23C3" w:rsidRDefault="00BE23C3" w:rsidP="00C163C1"/>
    <w:p w14:paraId="7F23EA0E" w14:textId="77777777" w:rsidR="00BE23C3" w:rsidRDefault="00BE23C3" w:rsidP="00936FEE">
      <w:pPr>
        <w:pStyle w:val="Heading2"/>
      </w:pPr>
      <w:r>
        <w:t>8.3</w:t>
      </w:r>
      <w:r w:rsidR="0004301E">
        <w:t>7</w:t>
      </w:r>
      <w:r>
        <w:t xml:space="preserve"> Churning</w:t>
      </w:r>
    </w:p>
    <w:p w14:paraId="1FD71B71" w14:textId="77777777" w:rsidR="00825590" w:rsidRPr="009F3F74" w:rsidRDefault="00BE23C3" w:rsidP="00C163C1">
      <w:pPr>
        <w:rPr>
          <w:sz w:val="24"/>
          <w:szCs w:val="24"/>
        </w:rPr>
      </w:pPr>
      <w:r w:rsidRPr="009F3F74">
        <w:rPr>
          <w:sz w:val="24"/>
          <w:szCs w:val="24"/>
        </w:rPr>
        <w:t>Churning of a customer’s account is prohibited.  The term “churning” has a number of elements including:</w:t>
      </w:r>
    </w:p>
    <w:p w14:paraId="1A447760" w14:textId="77777777" w:rsidR="00BE23C3" w:rsidRPr="009F3F74" w:rsidRDefault="00BE23C3" w:rsidP="00C1728B">
      <w:pPr>
        <w:numPr>
          <w:ilvl w:val="0"/>
          <w:numId w:val="130"/>
        </w:numPr>
        <w:rPr>
          <w:sz w:val="24"/>
          <w:szCs w:val="24"/>
        </w:rPr>
      </w:pPr>
      <w:r w:rsidRPr="009F3F74">
        <w:rPr>
          <w:sz w:val="24"/>
          <w:szCs w:val="24"/>
        </w:rPr>
        <w:lastRenderedPageBreak/>
        <w:t>Excessive transactions</w:t>
      </w:r>
    </w:p>
    <w:p w14:paraId="4FA44FA0" w14:textId="77777777" w:rsidR="00BE23C3" w:rsidRPr="009F3F74" w:rsidRDefault="00BE23C3" w:rsidP="00C1728B">
      <w:pPr>
        <w:numPr>
          <w:ilvl w:val="0"/>
          <w:numId w:val="130"/>
        </w:numPr>
        <w:rPr>
          <w:sz w:val="24"/>
          <w:szCs w:val="24"/>
        </w:rPr>
      </w:pPr>
      <w:r w:rsidRPr="009F3F74">
        <w:rPr>
          <w:sz w:val="24"/>
          <w:szCs w:val="24"/>
        </w:rPr>
        <w:t xml:space="preserve">Intent to defraud which may be defined as the RR acting in the RR’s own interest contrary </w:t>
      </w:r>
      <w:proofErr w:type="spellStart"/>
      <w:r w:rsidRPr="009F3F74">
        <w:rPr>
          <w:sz w:val="24"/>
          <w:szCs w:val="24"/>
        </w:rPr>
        <w:t>o</w:t>
      </w:r>
      <w:proofErr w:type="spellEnd"/>
      <w:r w:rsidRPr="009F3F74">
        <w:rPr>
          <w:sz w:val="24"/>
          <w:szCs w:val="24"/>
        </w:rPr>
        <w:t xml:space="preserve"> the customer’s interest.</w:t>
      </w:r>
    </w:p>
    <w:p w14:paraId="6D8F9E57" w14:textId="77777777" w:rsidR="00BE23C3" w:rsidRPr="009F3F74" w:rsidRDefault="00BE23C3" w:rsidP="00BE23C3">
      <w:pPr>
        <w:rPr>
          <w:sz w:val="24"/>
          <w:szCs w:val="24"/>
        </w:rPr>
      </w:pPr>
      <w:r w:rsidRPr="009F3F74">
        <w:rPr>
          <w:sz w:val="24"/>
          <w:szCs w:val="24"/>
        </w:rPr>
        <w:t>An account that is active does not necessarily denote churning.  An account’s activity must be reviewed individually when reviewing for churning including the customer’s objectives and the customer’s control of the account.</w:t>
      </w:r>
    </w:p>
    <w:p w14:paraId="39BA5B0E" w14:textId="77777777" w:rsidR="00BE23C3" w:rsidRPr="009F3F74" w:rsidRDefault="00BE23C3" w:rsidP="00BE23C3">
      <w:pPr>
        <w:rPr>
          <w:sz w:val="24"/>
          <w:szCs w:val="24"/>
        </w:rPr>
      </w:pPr>
    </w:p>
    <w:p w14:paraId="3D43EDD8" w14:textId="77777777" w:rsidR="00BE23C3" w:rsidRPr="009F3F74" w:rsidRDefault="00BE23C3" w:rsidP="00BE23C3">
      <w:pPr>
        <w:rPr>
          <w:sz w:val="24"/>
          <w:szCs w:val="24"/>
        </w:rPr>
      </w:pPr>
    </w:p>
    <w:p w14:paraId="7208556D" w14:textId="77777777" w:rsidR="00F24248" w:rsidRPr="009F3F74" w:rsidRDefault="00F24248" w:rsidP="00936FEE">
      <w:pPr>
        <w:pStyle w:val="Heading2"/>
      </w:pPr>
      <w:r w:rsidRPr="009F3F74">
        <w:t>8.3</w:t>
      </w:r>
      <w:r w:rsidR="0004301E">
        <w:t>8</w:t>
      </w:r>
      <w:r w:rsidRPr="009F3F74">
        <w:t xml:space="preserve"> Market Manipulation</w:t>
      </w:r>
    </w:p>
    <w:p w14:paraId="44C22E42" w14:textId="77777777" w:rsidR="00F24248" w:rsidRPr="009F3F74" w:rsidRDefault="00F24248" w:rsidP="00356D94">
      <w:pPr>
        <w:jc w:val="both"/>
        <w:rPr>
          <w:sz w:val="24"/>
          <w:szCs w:val="24"/>
        </w:rPr>
      </w:pPr>
      <w:r w:rsidRPr="009F3F74">
        <w:rPr>
          <w:sz w:val="24"/>
          <w:szCs w:val="24"/>
        </w:rPr>
        <w:t>Company and its Associated Persons may not engage in manipulative activity to artificially affect the price of a security including entering orders at successively higher price3s; creating or inducing a false or misleading appearance with respect to the market in a security; trading at the close to influence the price of a security; or participate (directly or indirectly) in the profits of a manipulative operation or knowingly manage or finance a manipulative operation.</w:t>
      </w:r>
      <w:r w:rsidR="00356D94" w:rsidRPr="009F3F74">
        <w:rPr>
          <w:sz w:val="24"/>
          <w:szCs w:val="24"/>
        </w:rPr>
        <w:t xml:space="preserve">  “Matched trades” where a person buys or sells a stock, with knowledge that a substantially offsetting transaction is going to be entered by someone, in order to mislead others about the extent of the activity in, or the market for, a given stock is a form of market manipulation. </w:t>
      </w:r>
    </w:p>
    <w:p w14:paraId="687576F6" w14:textId="77777777" w:rsidR="00F24248" w:rsidRDefault="00F24248" w:rsidP="00356D94">
      <w:pPr>
        <w:jc w:val="both"/>
        <w:rPr>
          <w:color w:val="0033CC"/>
          <w:sz w:val="24"/>
          <w:szCs w:val="24"/>
        </w:rPr>
      </w:pPr>
    </w:p>
    <w:p w14:paraId="7D61A52A" w14:textId="77777777" w:rsidR="00F24248" w:rsidRPr="00F24248" w:rsidRDefault="00F24248" w:rsidP="00F24248">
      <w:pPr>
        <w:rPr>
          <w:color w:val="0033CC"/>
          <w:sz w:val="24"/>
          <w:szCs w:val="24"/>
        </w:rPr>
      </w:pPr>
    </w:p>
    <w:p w14:paraId="260A2862" w14:textId="77777777" w:rsidR="0037510E" w:rsidRPr="00AE7231" w:rsidRDefault="00825590" w:rsidP="00936FEE">
      <w:pPr>
        <w:pStyle w:val="Heading2"/>
      </w:pPr>
      <w:bookmarkStart w:id="124" w:name="WatchRestrictedLists"/>
      <w:bookmarkEnd w:id="124"/>
      <w:r w:rsidRPr="00AE7231">
        <w:t>8.</w:t>
      </w:r>
      <w:r w:rsidR="002D77F0">
        <w:t>3</w:t>
      </w:r>
      <w:r w:rsidR="0004301E">
        <w:t>9</w:t>
      </w:r>
      <w:r w:rsidRPr="00AE7231">
        <w:t xml:space="preserve"> </w:t>
      </w:r>
      <w:r w:rsidR="0037510E" w:rsidRPr="00AE7231">
        <w:t>Watch/Restricted Lists</w:t>
      </w:r>
    </w:p>
    <w:p w14:paraId="6EBBEF45" w14:textId="77777777" w:rsidR="0037510E" w:rsidRDefault="0037510E" w:rsidP="0037510E">
      <w:pPr>
        <w:tabs>
          <w:tab w:val="left" w:pos="720"/>
        </w:tabs>
        <w:jc w:val="both"/>
        <w:rPr>
          <w:sz w:val="24"/>
        </w:rPr>
      </w:pPr>
      <w:r>
        <w:rPr>
          <w:sz w:val="24"/>
        </w:rPr>
        <w:t>The following policies and procedures shall govern the actions of all Registered Principals, Registered Representatives and other Associated Persons of the Company in the handling of private securities transactions involving securities issued by companies whose names appear on the Watch List and or Restricted Lists described herein. Securities transactions shall include but not be limited to corporate debt and equity securities, options, warrants, or any derivative products related thereto.</w:t>
      </w:r>
    </w:p>
    <w:p w14:paraId="3AD728B2" w14:textId="77777777" w:rsidR="0037510E" w:rsidRDefault="0037510E" w:rsidP="0037510E">
      <w:pPr>
        <w:tabs>
          <w:tab w:val="left" w:pos="720"/>
        </w:tabs>
        <w:spacing w:line="240" w:lineRule="exact"/>
        <w:jc w:val="both"/>
        <w:rPr>
          <w:sz w:val="24"/>
        </w:rPr>
      </w:pPr>
    </w:p>
    <w:p w14:paraId="6B410D9A" w14:textId="77777777" w:rsidR="00A56826" w:rsidRDefault="00A56826" w:rsidP="0037510E">
      <w:pPr>
        <w:tabs>
          <w:tab w:val="left" w:pos="720"/>
        </w:tabs>
        <w:spacing w:line="240" w:lineRule="exact"/>
        <w:jc w:val="both"/>
        <w:rPr>
          <w:b/>
          <w:sz w:val="24"/>
          <w:u w:val="single"/>
        </w:rPr>
      </w:pPr>
    </w:p>
    <w:p w14:paraId="39B3BE16" w14:textId="77777777" w:rsidR="0037510E" w:rsidRDefault="0037510E" w:rsidP="0037510E">
      <w:pPr>
        <w:tabs>
          <w:tab w:val="left" w:pos="720"/>
        </w:tabs>
        <w:spacing w:line="240" w:lineRule="exact"/>
        <w:jc w:val="both"/>
        <w:rPr>
          <w:sz w:val="24"/>
        </w:rPr>
      </w:pPr>
      <w:r>
        <w:rPr>
          <w:b/>
          <w:sz w:val="24"/>
          <w:u w:val="single"/>
        </w:rPr>
        <w:t>The</w:t>
      </w:r>
      <w:r>
        <w:rPr>
          <w:sz w:val="24"/>
          <w:u w:val="single"/>
        </w:rPr>
        <w:t xml:space="preserve"> </w:t>
      </w:r>
      <w:r>
        <w:rPr>
          <w:b/>
          <w:sz w:val="24"/>
          <w:u w:val="single"/>
        </w:rPr>
        <w:t>Watch</w:t>
      </w:r>
      <w:r>
        <w:rPr>
          <w:sz w:val="24"/>
          <w:u w:val="single"/>
        </w:rPr>
        <w:t xml:space="preserve"> </w:t>
      </w:r>
      <w:r>
        <w:rPr>
          <w:b/>
          <w:sz w:val="24"/>
          <w:u w:val="single"/>
        </w:rPr>
        <w:t>List</w:t>
      </w:r>
    </w:p>
    <w:p w14:paraId="3F90369F" w14:textId="77777777" w:rsidR="0037510E" w:rsidRDefault="0037510E" w:rsidP="0037510E">
      <w:pPr>
        <w:tabs>
          <w:tab w:val="left" w:pos="720"/>
        </w:tabs>
        <w:spacing w:line="240" w:lineRule="exact"/>
        <w:jc w:val="both"/>
        <w:rPr>
          <w:sz w:val="24"/>
        </w:rPr>
      </w:pPr>
    </w:p>
    <w:p w14:paraId="1A8C496E" w14:textId="77777777" w:rsidR="0037510E" w:rsidRPr="0062542F" w:rsidRDefault="0037510E" w:rsidP="0037510E">
      <w:pPr>
        <w:tabs>
          <w:tab w:val="left" w:pos="720"/>
        </w:tabs>
        <w:spacing w:line="240" w:lineRule="exact"/>
        <w:jc w:val="both"/>
        <w:rPr>
          <w:b/>
          <w:sz w:val="24"/>
        </w:rPr>
      </w:pPr>
      <w:r w:rsidRPr="0062542F">
        <w:rPr>
          <w:b/>
          <w:sz w:val="24"/>
        </w:rPr>
        <w:t>A. Introduction</w:t>
      </w:r>
    </w:p>
    <w:p w14:paraId="12E9C85F" w14:textId="77777777" w:rsidR="0037510E" w:rsidRDefault="0037510E" w:rsidP="0037510E">
      <w:pPr>
        <w:tabs>
          <w:tab w:val="left" w:pos="720"/>
        </w:tabs>
        <w:spacing w:line="240" w:lineRule="exact"/>
        <w:jc w:val="both"/>
        <w:rPr>
          <w:sz w:val="24"/>
        </w:rPr>
      </w:pPr>
      <w:r>
        <w:rPr>
          <w:sz w:val="24"/>
        </w:rPr>
        <w:t>The Watch List ("WL") is a confidential list of securities about whose issuers the Company may have received material confidential information, usually concerning a transaction or other event for which the Company has been engaged, or where the Company has been retained to advise an issuer or otherwise has determined that there is a reason to monitor trading activities in securities of said issuer.</w:t>
      </w:r>
    </w:p>
    <w:p w14:paraId="2DB89BF6" w14:textId="77777777" w:rsidR="0037510E" w:rsidRDefault="0037510E" w:rsidP="0037510E">
      <w:pPr>
        <w:tabs>
          <w:tab w:val="left" w:pos="720"/>
        </w:tabs>
        <w:spacing w:line="240" w:lineRule="exact"/>
        <w:jc w:val="both"/>
        <w:rPr>
          <w:sz w:val="24"/>
        </w:rPr>
      </w:pPr>
    </w:p>
    <w:p w14:paraId="1E43EFBB" w14:textId="77777777" w:rsidR="0037510E" w:rsidRDefault="0037510E" w:rsidP="0037510E">
      <w:pPr>
        <w:tabs>
          <w:tab w:val="left" w:pos="720"/>
        </w:tabs>
        <w:spacing w:line="240" w:lineRule="exact"/>
        <w:jc w:val="both"/>
        <w:rPr>
          <w:sz w:val="24"/>
        </w:rPr>
      </w:pPr>
      <w:r>
        <w:rPr>
          <w:sz w:val="24"/>
        </w:rPr>
        <w:t>The WL is ordinarily used to facilitate the monitoring of, without restricting, research and trading and other activities in those securities in order to monitor compliance with the Chinese Wall procedures set forth in the Company's Written Supervisory Procedures. In appropriate circumstances, however, the Compliance Department may intervene to break trades, freeze or liquidate securities positions, require "passive" trading activity, halt the dissemination of research, or impose other restrictions on the activities of the Company or associated persons in connection with securities on the WL.</w:t>
      </w:r>
    </w:p>
    <w:p w14:paraId="2F5097BA" w14:textId="77777777" w:rsidR="0037510E" w:rsidRDefault="0037510E" w:rsidP="0037510E">
      <w:pPr>
        <w:tabs>
          <w:tab w:val="left" w:pos="720"/>
        </w:tabs>
        <w:spacing w:line="240" w:lineRule="exact"/>
        <w:jc w:val="both"/>
        <w:rPr>
          <w:sz w:val="24"/>
        </w:rPr>
      </w:pPr>
    </w:p>
    <w:p w14:paraId="41D9764A" w14:textId="77777777" w:rsidR="0037510E" w:rsidRDefault="0037510E" w:rsidP="0037510E">
      <w:pPr>
        <w:tabs>
          <w:tab w:val="left" w:pos="720"/>
        </w:tabs>
        <w:spacing w:line="240" w:lineRule="exact"/>
        <w:jc w:val="both"/>
        <w:rPr>
          <w:sz w:val="24"/>
        </w:rPr>
      </w:pPr>
      <w:r>
        <w:rPr>
          <w:sz w:val="24"/>
        </w:rPr>
        <w:t>The contents of the WL and any restrictions that result from them are confidential. No one may engage in discussions regarding the contents of the WL with persons inside the Company accept in accordance with the Company's Chinese Wall procedures. No one may engage in a discussion with anyone outside the Company concerning the contents of the WL.</w:t>
      </w:r>
    </w:p>
    <w:p w14:paraId="4E9BC5CE" w14:textId="77777777" w:rsidR="0037510E" w:rsidRDefault="0037510E" w:rsidP="0037510E">
      <w:pPr>
        <w:tabs>
          <w:tab w:val="left" w:pos="720"/>
        </w:tabs>
        <w:spacing w:line="240" w:lineRule="exact"/>
        <w:jc w:val="both"/>
        <w:rPr>
          <w:sz w:val="24"/>
        </w:rPr>
      </w:pPr>
    </w:p>
    <w:p w14:paraId="49005045" w14:textId="77777777" w:rsidR="0037510E" w:rsidRDefault="0037510E" w:rsidP="0037510E">
      <w:pPr>
        <w:tabs>
          <w:tab w:val="left" w:pos="720"/>
        </w:tabs>
        <w:spacing w:line="240" w:lineRule="exact"/>
        <w:jc w:val="both"/>
        <w:rPr>
          <w:sz w:val="24"/>
        </w:rPr>
      </w:pPr>
      <w:r>
        <w:rPr>
          <w:sz w:val="24"/>
        </w:rPr>
        <w:t xml:space="preserve">Distribution of the WL is very limited. It is available only to persons specified by </w:t>
      </w:r>
      <w:r w:rsidR="00A56826">
        <w:rPr>
          <w:sz w:val="24"/>
        </w:rPr>
        <w:t>Morris Monroe</w:t>
      </w:r>
      <w:r>
        <w:rPr>
          <w:sz w:val="24"/>
        </w:rPr>
        <w:t>.</w:t>
      </w:r>
    </w:p>
    <w:p w14:paraId="2C143824" w14:textId="77777777" w:rsidR="0037510E" w:rsidRDefault="0037510E" w:rsidP="0037510E">
      <w:pPr>
        <w:tabs>
          <w:tab w:val="left" w:pos="720"/>
        </w:tabs>
        <w:spacing w:line="240" w:lineRule="exact"/>
        <w:jc w:val="both"/>
        <w:rPr>
          <w:sz w:val="24"/>
        </w:rPr>
      </w:pPr>
    </w:p>
    <w:p w14:paraId="1EBA8516" w14:textId="77777777" w:rsidR="0037510E" w:rsidRDefault="0037510E" w:rsidP="0037510E">
      <w:pPr>
        <w:tabs>
          <w:tab w:val="left" w:pos="720"/>
        </w:tabs>
        <w:spacing w:line="240" w:lineRule="exact"/>
        <w:jc w:val="both"/>
        <w:rPr>
          <w:sz w:val="24"/>
        </w:rPr>
      </w:pPr>
      <w:r w:rsidRPr="0062542F">
        <w:rPr>
          <w:b/>
          <w:sz w:val="24"/>
        </w:rPr>
        <w:t>B. Placement of Securities on and off the Watch List</w:t>
      </w:r>
      <w:r>
        <w:rPr>
          <w:sz w:val="24"/>
        </w:rPr>
        <w:t>.</w:t>
      </w:r>
    </w:p>
    <w:p w14:paraId="749065D2" w14:textId="77777777" w:rsidR="0037510E" w:rsidRDefault="0037510E" w:rsidP="0037510E">
      <w:pPr>
        <w:tabs>
          <w:tab w:val="left" w:pos="720"/>
        </w:tabs>
        <w:spacing w:line="240" w:lineRule="exact"/>
        <w:jc w:val="both"/>
        <w:rPr>
          <w:sz w:val="24"/>
        </w:rPr>
      </w:pPr>
      <w:r>
        <w:rPr>
          <w:sz w:val="24"/>
        </w:rPr>
        <w:t>A security will ordinarily be placed on the WL when the Company has received material confidential information concerning that security or its issuer in the course of the Company's involvement in a possible transaction or other event that has not been publicly announced or when the Company has been engaged to advise the issuer or a related party with respect to a market-sensitive transaction. Ordinarily, when the Company signs a confidentiality letter or executes an engagement letter, any relevant security of the issuer will be placed on the WL.</w:t>
      </w:r>
    </w:p>
    <w:p w14:paraId="629F1868" w14:textId="77777777" w:rsidR="0037510E" w:rsidRDefault="0037510E" w:rsidP="0037510E">
      <w:pPr>
        <w:tabs>
          <w:tab w:val="left" w:pos="720"/>
        </w:tabs>
        <w:spacing w:line="240" w:lineRule="exact"/>
        <w:jc w:val="both"/>
        <w:rPr>
          <w:sz w:val="24"/>
        </w:rPr>
      </w:pPr>
    </w:p>
    <w:p w14:paraId="0C783603" w14:textId="77777777" w:rsidR="0037510E" w:rsidRDefault="0037510E" w:rsidP="0037510E">
      <w:pPr>
        <w:tabs>
          <w:tab w:val="left" w:pos="720"/>
        </w:tabs>
        <w:spacing w:line="240" w:lineRule="exact"/>
        <w:jc w:val="both"/>
        <w:rPr>
          <w:sz w:val="24"/>
        </w:rPr>
      </w:pPr>
      <w:r>
        <w:rPr>
          <w:sz w:val="24"/>
        </w:rPr>
        <w:t>Decisions to place a security on the WL involve questions of judgment and not merely the application of arbitrary or mechanical standards.</w:t>
      </w:r>
    </w:p>
    <w:p w14:paraId="7ABCB79A" w14:textId="77777777" w:rsidR="0037510E" w:rsidRDefault="0037510E" w:rsidP="0037510E">
      <w:pPr>
        <w:tabs>
          <w:tab w:val="left" w:pos="720"/>
        </w:tabs>
        <w:spacing w:line="240" w:lineRule="exact"/>
        <w:jc w:val="both"/>
        <w:rPr>
          <w:sz w:val="24"/>
        </w:rPr>
      </w:pPr>
      <w:r>
        <w:rPr>
          <w:sz w:val="24"/>
        </w:rPr>
        <w:tab/>
      </w:r>
    </w:p>
    <w:p w14:paraId="34DC76B9" w14:textId="77777777" w:rsidR="0037510E" w:rsidRDefault="0037510E" w:rsidP="0037510E">
      <w:pPr>
        <w:tabs>
          <w:tab w:val="left" w:pos="720"/>
        </w:tabs>
        <w:spacing w:line="240" w:lineRule="exact"/>
        <w:jc w:val="both"/>
        <w:rPr>
          <w:sz w:val="24"/>
        </w:rPr>
      </w:pPr>
      <w:r>
        <w:rPr>
          <w:sz w:val="24"/>
        </w:rPr>
        <w:t>It is the responsibility of personnel in the area whose activities call for the addition of a security to or its deletion from the WL to request the addition or deletion promptly. Subject to the requirement to consult with and obtain the agreement of Morris Monroe, requests to add securities to or delete them from the WL may be by any person.</w:t>
      </w:r>
    </w:p>
    <w:p w14:paraId="08C360B7" w14:textId="77777777" w:rsidR="0037510E" w:rsidRDefault="0037510E" w:rsidP="0037510E">
      <w:pPr>
        <w:tabs>
          <w:tab w:val="left" w:pos="720"/>
        </w:tabs>
        <w:spacing w:line="240" w:lineRule="exact"/>
        <w:jc w:val="both"/>
        <w:rPr>
          <w:sz w:val="24"/>
        </w:rPr>
      </w:pPr>
    </w:p>
    <w:p w14:paraId="4A620739" w14:textId="77777777" w:rsidR="0037510E" w:rsidRDefault="0037510E" w:rsidP="0037510E">
      <w:pPr>
        <w:tabs>
          <w:tab w:val="left" w:pos="720"/>
        </w:tabs>
        <w:spacing w:line="240" w:lineRule="exact"/>
        <w:jc w:val="both"/>
        <w:rPr>
          <w:sz w:val="24"/>
        </w:rPr>
      </w:pPr>
      <w:r>
        <w:rPr>
          <w:sz w:val="24"/>
        </w:rPr>
        <w:t>It is essential that associated persons engaged in advisory activities be alert to circumstances that might require a security to be placed on or deleted from the WL. When in doubt, the supervisor of the associated person should be consulted.</w:t>
      </w:r>
    </w:p>
    <w:p w14:paraId="2DBBFF22" w14:textId="77777777" w:rsidR="0037510E" w:rsidRDefault="0037510E" w:rsidP="0037510E">
      <w:pPr>
        <w:tabs>
          <w:tab w:val="left" w:pos="720"/>
        </w:tabs>
        <w:spacing w:line="240" w:lineRule="exact"/>
        <w:jc w:val="both"/>
        <w:rPr>
          <w:sz w:val="24"/>
        </w:rPr>
      </w:pPr>
    </w:p>
    <w:p w14:paraId="203784A2" w14:textId="77777777" w:rsidR="00A56826" w:rsidRDefault="0037510E" w:rsidP="0037510E">
      <w:pPr>
        <w:tabs>
          <w:tab w:val="left" w:pos="720"/>
        </w:tabs>
        <w:spacing w:line="240" w:lineRule="exact"/>
        <w:jc w:val="both"/>
        <w:rPr>
          <w:b/>
          <w:sz w:val="24"/>
        </w:rPr>
      </w:pPr>
      <w:r>
        <w:rPr>
          <w:sz w:val="24"/>
        </w:rPr>
        <w:t>A security ordinarily will be removed from the WL when Morris Monroe determines that it is no longer necessary to monitor research, sales and trading activities with respect to the security or its issuer.</w:t>
      </w:r>
    </w:p>
    <w:p w14:paraId="0CE8070F" w14:textId="77777777" w:rsidR="00A56826" w:rsidRDefault="00A56826" w:rsidP="0037510E">
      <w:pPr>
        <w:tabs>
          <w:tab w:val="left" w:pos="720"/>
        </w:tabs>
        <w:spacing w:line="240" w:lineRule="exact"/>
        <w:jc w:val="both"/>
        <w:rPr>
          <w:b/>
          <w:sz w:val="24"/>
        </w:rPr>
      </w:pPr>
    </w:p>
    <w:p w14:paraId="3C637383" w14:textId="77777777" w:rsidR="0037510E" w:rsidRPr="0062542F" w:rsidRDefault="0037510E" w:rsidP="0037510E">
      <w:pPr>
        <w:tabs>
          <w:tab w:val="left" w:pos="720"/>
        </w:tabs>
        <w:spacing w:line="240" w:lineRule="exact"/>
        <w:jc w:val="both"/>
        <w:rPr>
          <w:b/>
          <w:sz w:val="24"/>
        </w:rPr>
      </w:pPr>
      <w:r w:rsidRPr="0062542F">
        <w:rPr>
          <w:b/>
          <w:sz w:val="24"/>
        </w:rPr>
        <w:t>C. Monitoring</w:t>
      </w:r>
    </w:p>
    <w:p w14:paraId="4E5330BF" w14:textId="77777777" w:rsidR="0037510E" w:rsidRDefault="0037510E" w:rsidP="0037510E">
      <w:pPr>
        <w:tabs>
          <w:tab w:val="left" w:pos="720"/>
        </w:tabs>
        <w:spacing w:line="240" w:lineRule="exact"/>
        <w:jc w:val="both"/>
        <w:rPr>
          <w:sz w:val="24"/>
        </w:rPr>
      </w:pPr>
      <w:r>
        <w:rPr>
          <w:sz w:val="24"/>
        </w:rPr>
        <w:t>When a security has been placed on the WL or Restricted List (discussed below), the Company conducts a retroactive review of transactions, including transactions in personal accounts, in the Company's proprietary accounts and in customer accounts that involve the security.</w:t>
      </w:r>
    </w:p>
    <w:p w14:paraId="6881E627" w14:textId="77777777" w:rsidR="0037510E" w:rsidRDefault="0037510E" w:rsidP="0037510E">
      <w:pPr>
        <w:tabs>
          <w:tab w:val="left" w:pos="720"/>
        </w:tabs>
        <w:spacing w:line="240" w:lineRule="exact"/>
        <w:jc w:val="both"/>
        <w:rPr>
          <w:sz w:val="24"/>
        </w:rPr>
      </w:pPr>
    </w:p>
    <w:p w14:paraId="5A674D0B" w14:textId="77777777" w:rsidR="0037510E" w:rsidRDefault="0037510E" w:rsidP="0037510E">
      <w:pPr>
        <w:tabs>
          <w:tab w:val="left" w:pos="720"/>
        </w:tabs>
        <w:spacing w:line="240" w:lineRule="exact"/>
        <w:jc w:val="both"/>
        <w:rPr>
          <w:sz w:val="24"/>
        </w:rPr>
      </w:pPr>
      <w:r>
        <w:rPr>
          <w:sz w:val="24"/>
        </w:rPr>
        <w:t>The Company conducts review</w:t>
      </w:r>
      <w:r w:rsidR="00F950FE">
        <w:rPr>
          <w:sz w:val="24"/>
        </w:rPr>
        <w:t>s of A</w:t>
      </w:r>
      <w:r>
        <w:rPr>
          <w:sz w:val="24"/>
        </w:rPr>
        <w:t xml:space="preserve">ssociated </w:t>
      </w:r>
      <w:r w:rsidR="00F950FE">
        <w:rPr>
          <w:sz w:val="24"/>
        </w:rPr>
        <w:t>P</w:t>
      </w:r>
      <w:r>
        <w:rPr>
          <w:sz w:val="24"/>
        </w:rPr>
        <w:t>erson transactions, the Company's proprietary transactions (currently does not conduct proprietary transactions) and customer transactions involving securities on the WL which is documented by the Compliance Department.</w:t>
      </w:r>
    </w:p>
    <w:p w14:paraId="480387E5" w14:textId="77777777" w:rsidR="0037510E" w:rsidRDefault="0037510E" w:rsidP="0037510E">
      <w:pPr>
        <w:tabs>
          <w:tab w:val="left" w:pos="720"/>
        </w:tabs>
        <w:spacing w:line="240" w:lineRule="exact"/>
        <w:jc w:val="both"/>
        <w:rPr>
          <w:sz w:val="24"/>
        </w:rPr>
      </w:pPr>
    </w:p>
    <w:p w14:paraId="4A81416B" w14:textId="77777777" w:rsidR="0037510E" w:rsidRDefault="0037510E" w:rsidP="0037510E">
      <w:pPr>
        <w:tabs>
          <w:tab w:val="left" w:pos="720"/>
        </w:tabs>
        <w:spacing w:line="240" w:lineRule="exact"/>
        <w:jc w:val="both"/>
        <w:rPr>
          <w:sz w:val="24"/>
        </w:rPr>
      </w:pPr>
      <w:r>
        <w:rPr>
          <w:sz w:val="24"/>
        </w:rPr>
        <w:t>When a security has been placed on the WL, the release of research with respect to the security will be reviewed prior to release by the Compliance Department.</w:t>
      </w:r>
    </w:p>
    <w:p w14:paraId="5BB78EEB" w14:textId="77777777" w:rsidR="0037510E" w:rsidRDefault="0037510E" w:rsidP="0037510E">
      <w:pPr>
        <w:tabs>
          <w:tab w:val="left" w:pos="720"/>
        </w:tabs>
        <w:spacing w:line="240" w:lineRule="exact"/>
        <w:jc w:val="both"/>
        <w:rPr>
          <w:sz w:val="24"/>
        </w:rPr>
      </w:pPr>
    </w:p>
    <w:p w14:paraId="2BF2C08A" w14:textId="77777777" w:rsidR="0037510E" w:rsidRDefault="0037510E" w:rsidP="0037510E">
      <w:pPr>
        <w:tabs>
          <w:tab w:val="left" w:pos="720"/>
        </w:tabs>
        <w:spacing w:line="240" w:lineRule="exact"/>
        <w:jc w:val="both"/>
        <w:rPr>
          <w:sz w:val="24"/>
        </w:rPr>
      </w:pPr>
      <w:r>
        <w:rPr>
          <w:sz w:val="24"/>
        </w:rPr>
        <w:t>Trading logs maintained by the Compliance Department will contain the date of placement and removal of a security from the WL, and any inquiries or investigations into suspicious trading activity in a security on the WL.</w:t>
      </w:r>
    </w:p>
    <w:p w14:paraId="1AD12894" w14:textId="77777777" w:rsidR="0037510E" w:rsidRDefault="0037510E" w:rsidP="0037510E">
      <w:pPr>
        <w:tabs>
          <w:tab w:val="left" w:pos="720"/>
        </w:tabs>
        <w:spacing w:line="240" w:lineRule="exact"/>
        <w:jc w:val="both"/>
        <w:rPr>
          <w:sz w:val="24"/>
        </w:rPr>
      </w:pPr>
    </w:p>
    <w:p w14:paraId="650E8351" w14:textId="77777777" w:rsidR="0037510E" w:rsidRDefault="0037510E" w:rsidP="0037510E">
      <w:pPr>
        <w:tabs>
          <w:tab w:val="left" w:pos="720"/>
        </w:tabs>
        <w:spacing w:line="240" w:lineRule="exact"/>
        <w:jc w:val="both"/>
        <w:rPr>
          <w:sz w:val="24"/>
        </w:rPr>
      </w:pPr>
    </w:p>
    <w:p w14:paraId="78D09430" w14:textId="77777777" w:rsidR="0037510E" w:rsidRDefault="0037510E" w:rsidP="0037510E">
      <w:pPr>
        <w:tabs>
          <w:tab w:val="left" w:pos="720"/>
        </w:tabs>
        <w:spacing w:line="240" w:lineRule="exact"/>
        <w:jc w:val="both"/>
        <w:rPr>
          <w:sz w:val="24"/>
        </w:rPr>
      </w:pPr>
      <w:r>
        <w:rPr>
          <w:b/>
          <w:sz w:val="24"/>
          <w:u w:val="single"/>
        </w:rPr>
        <w:t>The</w:t>
      </w:r>
      <w:r>
        <w:rPr>
          <w:sz w:val="24"/>
          <w:u w:val="single"/>
        </w:rPr>
        <w:t xml:space="preserve"> </w:t>
      </w:r>
      <w:r>
        <w:rPr>
          <w:b/>
          <w:sz w:val="24"/>
          <w:u w:val="single"/>
        </w:rPr>
        <w:t>Restricted</w:t>
      </w:r>
      <w:r>
        <w:rPr>
          <w:sz w:val="24"/>
          <w:u w:val="single"/>
        </w:rPr>
        <w:t xml:space="preserve"> </w:t>
      </w:r>
      <w:r>
        <w:rPr>
          <w:b/>
          <w:sz w:val="24"/>
          <w:u w:val="single"/>
        </w:rPr>
        <w:t>List</w:t>
      </w:r>
    </w:p>
    <w:p w14:paraId="74D1E680" w14:textId="77777777" w:rsidR="0037510E" w:rsidRDefault="0037510E" w:rsidP="0037510E">
      <w:pPr>
        <w:tabs>
          <w:tab w:val="left" w:pos="720"/>
        </w:tabs>
        <w:spacing w:line="240" w:lineRule="exact"/>
        <w:jc w:val="both"/>
        <w:rPr>
          <w:sz w:val="24"/>
        </w:rPr>
      </w:pPr>
    </w:p>
    <w:p w14:paraId="3384C073" w14:textId="77777777" w:rsidR="0037510E" w:rsidRPr="0062542F" w:rsidRDefault="0037510E" w:rsidP="0037510E">
      <w:pPr>
        <w:tabs>
          <w:tab w:val="left" w:pos="720"/>
        </w:tabs>
        <w:spacing w:line="240" w:lineRule="exact"/>
        <w:jc w:val="both"/>
        <w:rPr>
          <w:b/>
          <w:sz w:val="24"/>
        </w:rPr>
      </w:pPr>
      <w:r w:rsidRPr="0062542F">
        <w:rPr>
          <w:b/>
          <w:sz w:val="24"/>
        </w:rPr>
        <w:t>A. Introduction</w:t>
      </w:r>
    </w:p>
    <w:p w14:paraId="06D7D0AD" w14:textId="77777777" w:rsidR="0037510E" w:rsidRDefault="0037510E" w:rsidP="0037510E">
      <w:pPr>
        <w:tabs>
          <w:tab w:val="left" w:pos="720"/>
        </w:tabs>
        <w:spacing w:line="240" w:lineRule="exact"/>
        <w:jc w:val="both"/>
        <w:rPr>
          <w:sz w:val="24"/>
        </w:rPr>
      </w:pPr>
      <w:r>
        <w:rPr>
          <w:sz w:val="24"/>
        </w:rPr>
        <w:t>To comply with securities laws, avoid the appearance of impropriety and supplement the Chinese Wall, the Company</w:t>
      </w:r>
      <w:r w:rsidR="00F950FE">
        <w:rPr>
          <w:sz w:val="24"/>
        </w:rPr>
        <w:t xml:space="preserve">, </w:t>
      </w:r>
      <w:r w:rsidR="00F950FE" w:rsidRPr="00DC3A89">
        <w:rPr>
          <w:sz w:val="24"/>
        </w:rPr>
        <w:t xml:space="preserve">if applicable, will </w:t>
      </w:r>
      <w:r w:rsidR="00F950FE">
        <w:rPr>
          <w:sz w:val="24"/>
        </w:rPr>
        <w:t>maintain</w:t>
      </w:r>
      <w:r>
        <w:rPr>
          <w:sz w:val="24"/>
        </w:rPr>
        <w:t xml:space="preserve"> a Restricted List ("RL"). The RL is a list of securities which are subject to restrictions in handling customer orders, trading for proprietary accounts and for personal and related accounts, and other activities.</w:t>
      </w:r>
    </w:p>
    <w:p w14:paraId="206D289C" w14:textId="77777777" w:rsidR="0037510E" w:rsidRDefault="0037510E" w:rsidP="0037510E">
      <w:pPr>
        <w:tabs>
          <w:tab w:val="left" w:pos="720"/>
        </w:tabs>
        <w:spacing w:line="240" w:lineRule="exact"/>
        <w:jc w:val="both"/>
        <w:rPr>
          <w:sz w:val="24"/>
        </w:rPr>
      </w:pPr>
    </w:p>
    <w:p w14:paraId="16BB9F26" w14:textId="77777777" w:rsidR="0037510E" w:rsidRDefault="0037510E" w:rsidP="0037510E">
      <w:pPr>
        <w:tabs>
          <w:tab w:val="left" w:pos="720"/>
        </w:tabs>
        <w:spacing w:line="240" w:lineRule="exact"/>
        <w:jc w:val="both"/>
        <w:rPr>
          <w:sz w:val="24"/>
        </w:rPr>
      </w:pPr>
      <w:r>
        <w:rPr>
          <w:sz w:val="24"/>
        </w:rPr>
        <w:t>A security ordinarily will not be placed on the RL until after a relevant transaction (and/or the Company's involvement in the relevant transaction) has been publicly announced or has otherwise become a matter of public record.</w:t>
      </w:r>
    </w:p>
    <w:p w14:paraId="36D52A4E" w14:textId="77777777" w:rsidR="0037510E" w:rsidRDefault="0037510E" w:rsidP="0037510E">
      <w:pPr>
        <w:tabs>
          <w:tab w:val="left" w:pos="720"/>
        </w:tabs>
        <w:spacing w:line="240" w:lineRule="exact"/>
        <w:jc w:val="both"/>
        <w:rPr>
          <w:sz w:val="24"/>
        </w:rPr>
      </w:pPr>
    </w:p>
    <w:p w14:paraId="2AC4C057" w14:textId="77777777" w:rsidR="0037510E" w:rsidRDefault="0037510E" w:rsidP="0037510E">
      <w:pPr>
        <w:tabs>
          <w:tab w:val="left" w:pos="720"/>
        </w:tabs>
        <w:spacing w:line="240" w:lineRule="exact"/>
        <w:jc w:val="both"/>
        <w:rPr>
          <w:b/>
          <w:sz w:val="24"/>
        </w:rPr>
      </w:pPr>
      <w:r w:rsidRPr="0062542F">
        <w:rPr>
          <w:b/>
          <w:sz w:val="24"/>
        </w:rPr>
        <w:t>B. Use of the Restricted List</w:t>
      </w:r>
    </w:p>
    <w:p w14:paraId="59138074" w14:textId="77777777" w:rsidR="0037510E" w:rsidRDefault="0037510E" w:rsidP="0037510E">
      <w:pPr>
        <w:tabs>
          <w:tab w:val="left" w:pos="720"/>
        </w:tabs>
        <w:spacing w:line="240" w:lineRule="exact"/>
        <w:jc w:val="both"/>
        <w:rPr>
          <w:sz w:val="24"/>
        </w:rPr>
      </w:pPr>
      <w:r>
        <w:rPr>
          <w:sz w:val="24"/>
        </w:rPr>
        <w:lastRenderedPageBreak/>
        <w:t>The RL is solely for the internal use of the Company. No one may engage in discussions regarding whether a security is or is not on the RL with persons outside the Company without specific clearance from Morris Monroe.</w:t>
      </w:r>
    </w:p>
    <w:p w14:paraId="5C33BA7B" w14:textId="77777777" w:rsidR="0037510E" w:rsidRDefault="0037510E" w:rsidP="0037510E">
      <w:pPr>
        <w:tabs>
          <w:tab w:val="left" w:pos="720"/>
        </w:tabs>
        <w:spacing w:line="240" w:lineRule="exact"/>
        <w:jc w:val="both"/>
        <w:rPr>
          <w:sz w:val="24"/>
        </w:rPr>
      </w:pPr>
    </w:p>
    <w:p w14:paraId="4785E071" w14:textId="77777777" w:rsidR="0037510E" w:rsidRDefault="0037510E" w:rsidP="0037510E">
      <w:pPr>
        <w:tabs>
          <w:tab w:val="left" w:pos="720"/>
        </w:tabs>
        <w:spacing w:line="240" w:lineRule="exact"/>
        <w:jc w:val="both"/>
        <w:rPr>
          <w:sz w:val="24"/>
        </w:rPr>
      </w:pPr>
      <w:r>
        <w:rPr>
          <w:sz w:val="24"/>
        </w:rPr>
        <w:t>The RL</w:t>
      </w:r>
      <w:r w:rsidR="00887836">
        <w:rPr>
          <w:sz w:val="24"/>
        </w:rPr>
        <w:t>, if applicable, will be</w:t>
      </w:r>
      <w:r>
        <w:rPr>
          <w:sz w:val="24"/>
        </w:rPr>
        <w:t xml:space="preserve"> distributed periodically (electronically and/or in written form) to </w:t>
      </w:r>
      <w:r w:rsidR="00887836">
        <w:rPr>
          <w:sz w:val="24"/>
        </w:rPr>
        <w:t>A</w:t>
      </w:r>
      <w:r>
        <w:rPr>
          <w:sz w:val="24"/>
        </w:rPr>
        <w:t xml:space="preserve">ssociated </w:t>
      </w:r>
      <w:r w:rsidR="00887836">
        <w:rPr>
          <w:sz w:val="24"/>
        </w:rPr>
        <w:t>P</w:t>
      </w:r>
      <w:r>
        <w:rPr>
          <w:sz w:val="24"/>
        </w:rPr>
        <w:t>ersons.</w:t>
      </w:r>
    </w:p>
    <w:p w14:paraId="76002E22" w14:textId="77777777" w:rsidR="0037510E" w:rsidRDefault="0037510E" w:rsidP="0037510E">
      <w:pPr>
        <w:tabs>
          <w:tab w:val="left" w:pos="720"/>
        </w:tabs>
        <w:spacing w:line="240" w:lineRule="exact"/>
        <w:jc w:val="both"/>
        <w:rPr>
          <w:sz w:val="24"/>
        </w:rPr>
      </w:pPr>
    </w:p>
    <w:p w14:paraId="7FF6BB72" w14:textId="77777777" w:rsidR="0037510E" w:rsidRDefault="0037510E" w:rsidP="0037510E">
      <w:pPr>
        <w:tabs>
          <w:tab w:val="left" w:pos="720"/>
        </w:tabs>
        <w:spacing w:line="240" w:lineRule="exact"/>
        <w:jc w:val="both"/>
        <w:rPr>
          <w:b/>
          <w:sz w:val="24"/>
        </w:rPr>
      </w:pPr>
      <w:r w:rsidRPr="0062542F">
        <w:rPr>
          <w:b/>
          <w:sz w:val="24"/>
        </w:rPr>
        <w:t>C. Prohibitions Relating to Restricted List Securities</w:t>
      </w:r>
    </w:p>
    <w:p w14:paraId="3781F03D" w14:textId="77777777" w:rsidR="0037510E" w:rsidRDefault="0037510E" w:rsidP="0037510E">
      <w:pPr>
        <w:tabs>
          <w:tab w:val="left" w:pos="720"/>
        </w:tabs>
        <w:spacing w:line="240" w:lineRule="exact"/>
        <w:jc w:val="both"/>
        <w:rPr>
          <w:sz w:val="24"/>
        </w:rPr>
      </w:pPr>
      <w:r>
        <w:rPr>
          <w:sz w:val="24"/>
        </w:rPr>
        <w:t>The placement of a security on the RL generally restricts trading in the specific classes of the security unless an exception is granted by Morris Monroe.  This means that, depending on the reason for placing a security on the RL, absent an exception, the following activities in RL securities may be prohibited: proprietary trading, transactions in customer accounts, transactions for discretionary accounts, the recommendation of transactions, and trading in personal or certain related accounts. Once a security is placed on the RL, the release of research with respect to the security will be reviewed prior to release by Morris Monroe or the Compliance Department to determine whether it may be released.</w:t>
      </w:r>
    </w:p>
    <w:p w14:paraId="0EEA1653" w14:textId="77777777" w:rsidR="0037510E" w:rsidRDefault="0037510E" w:rsidP="0037510E">
      <w:pPr>
        <w:tabs>
          <w:tab w:val="left" w:pos="720"/>
        </w:tabs>
        <w:spacing w:line="240" w:lineRule="exact"/>
        <w:jc w:val="both"/>
        <w:rPr>
          <w:sz w:val="24"/>
        </w:rPr>
      </w:pPr>
    </w:p>
    <w:p w14:paraId="4567308A" w14:textId="77777777" w:rsidR="0037510E" w:rsidRDefault="0037510E" w:rsidP="0037510E">
      <w:pPr>
        <w:tabs>
          <w:tab w:val="left" w:pos="720"/>
        </w:tabs>
        <w:spacing w:line="240" w:lineRule="exact"/>
        <w:jc w:val="both"/>
        <w:rPr>
          <w:sz w:val="24"/>
        </w:rPr>
      </w:pPr>
      <w:r>
        <w:rPr>
          <w:sz w:val="24"/>
        </w:rPr>
        <w:t>RL prohibitions generally apply to all securities which are convertible, exchangeable or exercisable into a security that is on the RL.</w:t>
      </w:r>
    </w:p>
    <w:p w14:paraId="22BDF56D" w14:textId="77777777" w:rsidR="0037510E" w:rsidRDefault="0037510E" w:rsidP="0037510E">
      <w:pPr>
        <w:tabs>
          <w:tab w:val="left" w:pos="720"/>
        </w:tabs>
        <w:spacing w:line="240" w:lineRule="exact"/>
        <w:jc w:val="both"/>
        <w:rPr>
          <w:sz w:val="24"/>
        </w:rPr>
      </w:pPr>
    </w:p>
    <w:p w14:paraId="6C7D2186" w14:textId="77777777" w:rsidR="0037510E" w:rsidRDefault="0037510E" w:rsidP="0037510E">
      <w:pPr>
        <w:tabs>
          <w:tab w:val="left" w:pos="720"/>
        </w:tabs>
        <w:spacing w:line="240" w:lineRule="exact"/>
        <w:jc w:val="both"/>
        <w:rPr>
          <w:sz w:val="24"/>
        </w:rPr>
      </w:pPr>
      <w:r w:rsidRPr="0062542F">
        <w:rPr>
          <w:b/>
          <w:sz w:val="24"/>
        </w:rPr>
        <w:t>D. Placement of Securitie</w:t>
      </w:r>
      <w:r>
        <w:rPr>
          <w:b/>
          <w:sz w:val="24"/>
        </w:rPr>
        <w:t>s on and off the Restricted List</w:t>
      </w:r>
    </w:p>
    <w:p w14:paraId="177C0419" w14:textId="77777777" w:rsidR="0037510E" w:rsidRDefault="0037510E" w:rsidP="0037510E">
      <w:pPr>
        <w:tabs>
          <w:tab w:val="left" w:pos="720"/>
        </w:tabs>
        <w:spacing w:line="240" w:lineRule="exact"/>
        <w:jc w:val="both"/>
        <w:rPr>
          <w:sz w:val="24"/>
        </w:rPr>
      </w:pPr>
      <w:r>
        <w:rPr>
          <w:sz w:val="24"/>
        </w:rPr>
        <w:t>A security may be placed on the RL for a number of reasons. Therefore, no inferences should be drawn concerning a company or its securities due to its inclusion on the RL.</w:t>
      </w:r>
    </w:p>
    <w:p w14:paraId="0BB5F4A6" w14:textId="77777777" w:rsidR="0037510E" w:rsidRDefault="0037510E" w:rsidP="0037510E">
      <w:pPr>
        <w:tabs>
          <w:tab w:val="left" w:pos="720"/>
        </w:tabs>
        <w:spacing w:line="240" w:lineRule="exact"/>
        <w:jc w:val="both"/>
        <w:rPr>
          <w:sz w:val="24"/>
        </w:rPr>
      </w:pPr>
    </w:p>
    <w:p w14:paraId="5E77354E" w14:textId="77777777" w:rsidR="0037510E" w:rsidRDefault="0037510E" w:rsidP="00C1728B">
      <w:pPr>
        <w:numPr>
          <w:ilvl w:val="0"/>
          <w:numId w:val="90"/>
        </w:numPr>
        <w:tabs>
          <w:tab w:val="left" w:pos="720"/>
          <w:tab w:val="left" w:pos="1008"/>
        </w:tabs>
        <w:spacing w:line="240" w:lineRule="exact"/>
        <w:ind w:left="720" w:hanging="360"/>
        <w:jc w:val="both"/>
        <w:rPr>
          <w:sz w:val="24"/>
        </w:rPr>
      </w:pPr>
      <w:r>
        <w:rPr>
          <w:sz w:val="24"/>
        </w:rPr>
        <w:t xml:space="preserve">Reinforcing the Chinese Wall. When one or more </w:t>
      </w:r>
      <w:r w:rsidR="00C139E1">
        <w:rPr>
          <w:sz w:val="24"/>
        </w:rPr>
        <w:t xml:space="preserve">areas of the Company may be in </w:t>
      </w:r>
      <w:r>
        <w:rPr>
          <w:sz w:val="24"/>
        </w:rPr>
        <w:t>possession of material confidential information, the Company may restrict sales and trading in order to avoid the possible appearances of misusing that information;</w:t>
      </w:r>
    </w:p>
    <w:p w14:paraId="1E44E999" w14:textId="77777777" w:rsidR="0037510E" w:rsidRDefault="0037510E" w:rsidP="0037510E">
      <w:pPr>
        <w:numPr>
          <w:ilvl w:val="12"/>
          <w:numId w:val="0"/>
        </w:numPr>
        <w:tabs>
          <w:tab w:val="left" w:pos="720"/>
          <w:tab w:val="left" w:pos="1008"/>
        </w:tabs>
        <w:spacing w:line="240" w:lineRule="exact"/>
        <w:ind w:left="360"/>
        <w:jc w:val="both"/>
        <w:rPr>
          <w:sz w:val="24"/>
        </w:rPr>
      </w:pPr>
    </w:p>
    <w:p w14:paraId="54C25A83" w14:textId="77777777" w:rsidR="0037510E" w:rsidRDefault="0037510E" w:rsidP="00C1728B">
      <w:pPr>
        <w:numPr>
          <w:ilvl w:val="0"/>
          <w:numId w:val="90"/>
        </w:numPr>
        <w:tabs>
          <w:tab w:val="left" w:pos="720"/>
          <w:tab w:val="left" w:pos="1008"/>
        </w:tabs>
        <w:spacing w:line="240" w:lineRule="exact"/>
        <w:ind w:left="360"/>
        <w:jc w:val="both"/>
        <w:rPr>
          <w:sz w:val="24"/>
        </w:rPr>
      </w:pPr>
      <w:r>
        <w:rPr>
          <w:sz w:val="24"/>
        </w:rPr>
        <w:t xml:space="preserve">Complying with Rule 10b-6, 10b-7, 10b-9 or 10b-13. When the Company is participating </w:t>
      </w:r>
      <w:r>
        <w:rPr>
          <w:sz w:val="24"/>
        </w:rPr>
        <w:tab/>
        <w:t xml:space="preserve">in a distribution of securities or is involved as a Dealer or Bidder in connection with a </w:t>
      </w:r>
      <w:r>
        <w:rPr>
          <w:sz w:val="24"/>
        </w:rPr>
        <w:tab/>
        <w:t xml:space="preserve">tender offer, SEC Rules impose certain restrictions on the Company's activities with </w:t>
      </w:r>
      <w:r>
        <w:rPr>
          <w:sz w:val="24"/>
        </w:rPr>
        <w:tab/>
        <w:t>respect to certain classes of securities;</w:t>
      </w:r>
    </w:p>
    <w:p w14:paraId="3F173BD1" w14:textId="77777777" w:rsidR="0037510E" w:rsidRDefault="0037510E" w:rsidP="0037510E">
      <w:pPr>
        <w:numPr>
          <w:ilvl w:val="12"/>
          <w:numId w:val="0"/>
        </w:numPr>
        <w:tabs>
          <w:tab w:val="left" w:pos="720"/>
          <w:tab w:val="left" w:pos="1008"/>
        </w:tabs>
        <w:spacing w:line="240" w:lineRule="exact"/>
        <w:ind w:left="360"/>
        <w:jc w:val="both"/>
        <w:rPr>
          <w:sz w:val="24"/>
        </w:rPr>
      </w:pPr>
    </w:p>
    <w:p w14:paraId="795E8DCD" w14:textId="77777777" w:rsidR="0037510E" w:rsidRDefault="0037510E" w:rsidP="00C1728B">
      <w:pPr>
        <w:numPr>
          <w:ilvl w:val="0"/>
          <w:numId w:val="90"/>
        </w:numPr>
        <w:tabs>
          <w:tab w:val="left" w:pos="720"/>
          <w:tab w:val="left" w:pos="1008"/>
        </w:tabs>
        <w:spacing w:line="240" w:lineRule="exact"/>
        <w:ind w:left="720" w:hanging="360"/>
        <w:jc w:val="both"/>
        <w:rPr>
          <w:sz w:val="24"/>
        </w:rPr>
      </w:pPr>
      <w:r>
        <w:rPr>
          <w:sz w:val="24"/>
        </w:rPr>
        <w:t xml:space="preserve">Research Reports. </w:t>
      </w:r>
      <w:r w:rsidR="00500FEA">
        <w:rPr>
          <w:sz w:val="24"/>
        </w:rPr>
        <w:t>Should the Company ever issue</w:t>
      </w:r>
      <w:r>
        <w:rPr>
          <w:sz w:val="24"/>
        </w:rPr>
        <w:t xml:space="preserve"> significant new or significantly changed research relating to such a security, that security may be placed on the RL until the greater of 24 hours or one full business day following the release of the research;</w:t>
      </w:r>
    </w:p>
    <w:p w14:paraId="3B72D940" w14:textId="77777777" w:rsidR="0037510E" w:rsidRDefault="0037510E" w:rsidP="0037510E">
      <w:pPr>
        <w:numPr>
          <w:ilvl w:val="12"/>
          <w:numId w:val="0"/>
        </w:numPr>
        <w:tabs>
          <w:tab w:val="left" w:pos="720"/>
          <w:tab w:val="left" w:pos="1008"/>
        </w:tabs>
        <w:spacing w:line="240" w:lineRule="exact"/>
        <w:ind w:left="360"/>
        <w:jc w:val="both"/>
        <w:rPr>
          <w:sz w:val="24"/>
        </w:rPr>
      </w:pPr>
    </w:p>
    <w:p w14:paraId="400535C1" w14:textId="77777777" w:rsidR="0037510E" w:rsidRDefault="0037510E" w:rsidP="00C1728B">
      <w:pPr>
        <w:numPr>
          <w:ilvl w:val="0"/>
          <w:numId w:val="90"/>
        </w:numPr>
        <w:tabs>
          <w:tab w:val="left" w:pos="720"/>
          <w:tab w:val="left" w:pos="1008"/>
        </w:tabs>
        <w:spacing w:line="240" w:lineRule="exact"/>
        <w:ind w:left="720" w:hanging="360"/>
        <w:jc w:val="both"/>
        <w:rPr>
          <w:sz w:val="24"/>
        </w:rPr>
      </w:pPr>
      <w:r>
        <w:rPr>
          <w:sz w:val="24"/>
        </w:rPr>
        <w:t>Other purposes. Trading, sales or research activities in the securities of a company may     be restricted to meet other compliance, business or regulatory objectives, such as those imposed by Rule 144, Rule 144A, Rule 145, and shelf registration requirements.</w:t>
      </w:r>
    </w:p>
    <w:p w14:paraId="22EC0E39" w14:textId="77777777" w:rsidR="0037510E" w:rsidRDefault="0037510E" w:rsidP="0037510E">
      <w:pPr>
        <w:tabs>
          <w:tab w:val="left" w:pos="720"/>
          <w:tab w:val="left" w:pos="1008"/>
        </w:tabs>
        <w:spacing w:line="240" w:lineRule="exact"/>
        <w:jc w:val="both"/>
        <w:rPr>
          <w:sz w:val="24"/>
        </w:rPr>
      </w:pPr>
    </w:p>
    <w:p w14:paraId="54EA63C4" w14:textId="77777777" w:rsidR="0037510E" w:rsidRDefault="0037510E" w:rsidP="0037510E">
      <w:pPr>
        <w:tabs>
          <w:tab w:val="left" w:pos="720"/>
          <w:tab w:val="left" w:pos="1008"/>
        </w:tabs>
        <w:spacing w:line="240" w:lineRule="exact"/>
        <w:jc w:val="both"/>
        <w:rPr>
          <w:sz w:val="24"/>
        </w:rPr>
      </w:pPr>
      <w:r>
        <w:rPr>
          <w:sz w:val="24"/>
        </w:rPr>
        <w:t>Securities may be placed on the RL at the direction of Morris Monroe.  It is the responsibility of Morris Monroe</w:t>
      </w:r>
      <w:r w:rsidR="00500FEA">
        <w:rPr>
          <w:sz w:val="24"/>
        </w:rPr>
        <w:t xml:space="preserve"> </w:t>
      </w:r>
      <w:r w:rsidR="00500FEA" w:rsidRPr="00DC3A89">
        <w:rPr>
          <w:sz w:val="24"/>
        </w:rPr>
        <w:t>or Compliance</w:t>
      </w:r>
      <w:r w:rsidRPr="00DC3A89">
        <w:rPr>
          <w:sz w:val="24"/>
        </w:rPr>
        <w:t xml:space="preserve"> </w:t>
      </w:r>
      <w:r>
        <w:rPr>
          <w:sz w:val="24"/>
        </w:rPr>
        <w:t>to add, at the appropriate time, all appropriate securities to the RL.</w:t>
      </w:r>
    </w:p>
    <w:p w14:paraId="3F0245D9" w14:textId="77777777" w:rsidR="0037510E" w:rsidRDefault="0037510E" w:rsidP="0037510E">
      <w:pPr>
        <w:tabs>
          <w:tab w:val="left" w:pos="720"/>
          <w:tab w:val="left" w:pos="1008"/>
        </w:tabs>
        <w:spacing w:line="240" w:lineRule="exact"/>
        <w:jc w:val="both"/>
        <w:rPr>
          <w:sz w:val="24"/>
        </w:rPr>
      </w:pPr>
    </w:p>
    <w:p w14:paraId="553E6208" w14:textId="77777777" w:rsidR="0037510E" w:rsidRDefault="0037510E" w:rsidP="0037510E">
      <w:pPr>
        <w:tabs>
          <w:tab w:val="left" w:pos="720"/>
          <w:tab w:val="left" w:pos="1008"/>
        </w:tabs>
        <w:spacing w:line="240" w:lineRule="exact"/>
        <w:jc w:val="both"/>
        <w:rPr>
          <w:sz w:val="24"/>
        </w:rPr>
      </w:pPr>
      <w:r>
        <w:rPr>
          <w:sz w:val="24"/>
        </w:rPr>
        <w:t>It is essential that associated persons engaged in investment banking or other advisory activities be alert to circumstances that might require the placement of a security on or off the RL. When in doubt, the supervisor should be consulted.</w:t>
      </w:r>
    </w:p>
    <w:p w14:paraId="5543C2B1" w14:textId="77777777" w:rsidR="0037510E" w:rsidRDefault="0037510E" w:rsidP="0037510E">
      <w:pPr>
        <w:tabs>
          <w:tab w:val="left" w:pos="720"/>
          <w:tab w:val="left" w:pos="1008"/>
        </w:tabs>
        <w:spacing w:line="240" w:lineRule="exact"/>
        <w:jc w:val="both"/>
        <w:rPr>
          <w:sz w:val="24"/>
        </w:rPr>
      </w:pPr>
    </w:p>
    <w:p w14:paraId="2390EED2" w14:textId="77777777" w:rsidR="0037510E" w:rsidRDefault="0037510E" w:rsidP="0037510E">
      <w:pPr>
        <w:tabs>
          <w:tab w:val="left" w:pos="720"/>
          <w:tab w:val="left" w:pos="1008"/>
        </w:tabs>
        <w:spacing w:line="240" w:lineRule="exact"/>
        <w:jc w:val="both"/>
        <w:rPr>
          <w:sz w:val="24"/>
        </w:rPr>
      </w:pPr>
      <w:r>
        <w:rPr>
          <w:sz w:val="24"/>
        </w:rPr>
        <w:t>Generally, a security will be removed by the Compliance Department from the RL at the request of Morris Monroe.  The security can be removed from the RL when the Company's involvement in the transaction relating to the security has ended, when the transaction has been concluded or when it is otherwise determined that it is no longer necessary to restrict activities in the security.</w:t>
      </w:r>
    </w:p>
    <w:p w14:paraId="0A26C50F" w14:textId="77777777" w:rsidR="0037510E" w:rsidRDefault="0037510E" w:rsidP="0037510E">
      <w:pPr>
        <w:tabs>
          <w:tab w:val="left" w:pos="720"/>
          <w:tab w:val="left" w:pos="1008"/>
        </w:tabs>
        <w:spacing w:line="240" w:lineRule="exact"/>
        <w:jc w:val="both"/>
        <w:rPr>
          <w:sz w:val="24"/>
        </w:rPr>
      </w:pPr>
    </w:p>
    <w:p w14:paraId="0C6290F7" w14:textId="77777777" w:rsidR="0037510E" w:rsidRPr="0062542F" w:rsidRDefault="0037510E" w:rsidP="0037510E">
      <w:pPr>
        <w:tabs>
          <w:tab w:val="left" w:pos="720"/>
          <w:tab w:val="left" w:pos="1008"/>
        </w:tabs>
        <w:spacing w:line="240" w:lineRule="exact"/>
        <w:jc w:val="both"/>
        <w:rPr>
          <w:b/>
          <w:sz w:val="24"/>
        </w:rPr>
      </w:pPr>
      <w:r w:rsidRPr="0062542F">
        <w:rPr>
          <w:b/>
          <w:sz w:val="24"/>
        </w:rPr>
        <w:t>E. Exceptions to the Restricted List</w:t>
      </w:r>
    </w:p>
    <w:p w14:paraId="3C601644" w14:textId="77777777" w:rsidR="0037510E" w:rsidRDefault="0037510E" w:rsidP="0037510E">
      <w:pPr>
        <w:tabs>
          <w:tab w:val="left" w:pos="576"/>
          <w:tab w:val="left" w:pos="720"/>
          <w:tab w:val="left" w:pos="864"/>
          <w:tab w:val="left" w:pos="2592"/>
          <w:tab w:val="left" w:pos="7200"/>
        </w:tabs>
        <w:spacing w:line="240" w:lineRule="exact"/>
        <w:jc w:val="both"/>
        <w:rPr>
          <w:sz w:val="24"/>
        </w:rPr>
      </w:pPr>
      <w:r>
        <w:rPr>
          <w:sz w:val="24"/>
        </w:rPr>
        <w:t xml:space="preserve">The Compliance Department may grant exceptions to RL prohibitions in appropriate circumstances.  Any request for such an exception may be granted only by Morris Monroe, and the exception must be granted before any otherwise prohibited activity is </w:t>
      </w:r>
      <w:r w:rsidR="000B5012">
        <w:rPr>
          <w:sz w:val="24"/>
        </w:rPr>
        <w:t>affected</w:t>
      </w:r>
      <w:r>
        <w:rPr>
          <w:sz w:val="24"/>
        </w:rPr>
        <w:t>.</w:t>
      </w:r>
    </w:p>
    <w:p w14:paraId="4D4313EE" w14:textId="77777777" w:rsidR="0037510E" w:rsidRDefault="0037510E" w:rsidP="0037510E"/>
    <w:p w14:paraId="21607A83" w14:textId="77777777" w:rsidR="0037510E" w:rsidRDefault="0037510E" w:rsidP="0037510E"/>
    <w:p w14:paraId="0D48C065" w14:textId="77777777" w:rsidR="0037510E" w:rsidRPr="00046D74" w:rsidRDefault="0037510E" w:rsidP="00936FEE">
      <w:pPr>
        <w:pStyle w:val="Heading2"/>
      </w:pPr>
      <w:bookmarkStart w:id="125" w:name="InsiderInfo"/>
      <w:bookmarkEnd w:id="125"/>
      <w:r w:rsidRPr="00046D74">
        <w:t>8.</w:t>
      </w:r>
      <w:r w:rsidR="00F47474">
        <w:t>4</w:t>
      </w:r>
      <w:r w:rsidR="0004301E">
        <w:t>0</w:t>
      </w:r>
      <w:r w:rsidRPr="00046D74">
        <w:t xml:space="preserve"> Insider Information and Chinese Wall Procedures</w:t>
      </w:r>
    </w:p>
    <w:p w14:paraId="3B099D23" w14:textId="77777777" w:rsidR="0037510E" w:rsidRDefault="00676D0A" w:rsidP="0037510E">
      <w:pPr>
        <w:jc w:val="both"/>
        <w:rPr>
          <w:sz w:val="24"/>
        </w:rPr>
      </w:pPr>
      <w:r>
        <w:rPr>
          <w:sz w:val="24"/>
        </w:rPr>
        <w:t>All A</w:t>
      </w:r>
      <w:r w:rsidR="0037510E">
        <w:rPr>
          <w:sz w:val="24"/>
        </w:rPr>
        <w:t xml:space="preserve">ssociated </w:t>
      </w:r>
      <w:r>
        <w:rPr>
          <w:sz w:val="24"/>
        </w:rPr>
        <w:t>P</w:t>
      </w:r>
      <w:r w:rsidR="0037510E">
        <w:rPr>
          <w:sz w:val="24"/>
        </w:rPr>
        <w:t xml:space="preserve">ersons shall be assigned to a qualified supervisor of the Company (Exhibit "A").  It shall be the policy of the Company to require all registered representatives to provide the Company with a list of all affiliations either directly or indirectly with any publicly registered companies. Such listing </w:t>
      </w:r>
      <w:r w:rsidR="00A56826">
        <w:rPr>
          <w:sz w:val="24"/>
        </w:rPr>
        <w:t xml:space="preserve">is </w:t>
      </w:r>
      <w:r w:rsidR="0037510E">
        <w:rPr>
          <w:sz w:val="24"/>
        </w:rPr>
        <w:t xml:space="preserve">to include the name of the company, the nature of the affiliation, the percentage (%) ownership (either direct or indirect), and the date in which the affiliation first existed. It shall be the policy of the Company to request duplicate statements and confirmations from other SEC registered broker/dealer for each registered representative of the Company.  Such duplicate account statements shall be </w:t>
      </w:r>
      <w:r w:rsidR="000B5012">
        <w:rPr>
          <w:sz w:val="24"/>
        </w:rPr>
        <w:t>reviewed,</w:t>
      </w:r>
      <w:r w:rsidR="0037510E">
        <w:rPr>
          <w:sz w:val="24"/>
        </w:rPr>
        <w:t xml:space="preserve"> and cross referenced periodically by </w:t>
      </w:r>
      <w:r w:rsidR="00924DCA">
        <w:rPr>
          <w:sz w:val="24"/>
        </w:rPr>
        <w:t>Morris Monroe</w:t>
      </w:r>
      <w:r>
        <w:rPr>
          <w:sz w:val="24"/>
        </w:rPr>
        <w:t xml:space="preserve">, </w:t>
      </w:r>
      <w:r w:rsidRPr="00AF0071">
        <w:rPr>
          <w:sz w:val="24"/>
        </w:rPr>
        <w:t>his designee</w:t>
      </w:r>
      <w:r>
        <w:rPr>
          <w:sz w:val="24"/>
        </w:rPr>
        <w:t>,</w:t>
      </w:r>
      <w:r w:rsidR="0037510E">
        <w:rPr>
          <w:sz w:val="24"/>
        </w:rPr>
        <w:t xml:space="preserve"> or the designated principal, with regards to trading activities in public corporations listed on the individual's disclosure list.</w:t>
      </w:r>
    </w:p>
    <w:p w14:paraId="7ADE1543" w14:textId="77777777" w:rsidR="0037510E" w:rsidRDefault="0037510E" w:rsidP="0037510E">
      <w:pPr>
        <w:jc w:val="both"/>
        <w:rPr>
          <w:sz w:val="24"/>
        </w:rPr>
      </w:pPr>
    </w:p>
    <w:p w14:paraId="34E2AB78" w14:textId="77777777" w:rsidR="0037510E" w:rsidRDefault="0037510E" w:rsidP="0037510E">
      <w:pPr>
        <w:jc w:val="both"/>
        <w:rPr>
          <w:sz w:val="24"/>
        </w:rPr>
      </w:pPr>
      <w:r>
        <w:rPr>
          <w:sz w:val="24"/>
        </w:rPr>
        <w:t xml:space="preserve">During a meeting with Morris Monroe, Laura Hendricks, or designated principal (“principal”), that is to occur prior to an </w:t>
      </w:r>
      <w:r w:rsidR="00D55AF1">
        <w:rPr>
          <w:sz w:val="24"/>
        </w:rPr>
        <w:t>A</w:t>
      </w:r>
      <w:r>
        <w:rPr>
          <w:sz w:val="24"/>
        </w:rPr>
        <w:t xml:space="preserve">ssociated </w:t>
      </w:r>
      <w:r w:rsidR="00D55AF1">
        <w:rPr>
          <w:sz w:val="24"/>
        </w:rPr>
        <w:t>P</w:t>
      </w:r>
      <w:r>
        <w:rPr>
          <w:sz w:val="24"/>
        </w:rPr>
        <w:t xml:space="preserve">erson being allowed to engage in a securities business, the principal shall review insider trading with the new employee. The review shall be documented by the </w:t>
      </w:r>
      <w:r w:rsidR="00D55AF1">
        <w:rPr>
          <w:sz w:val="24"/>
        </w:rPr>
        <w:t>A</w:t>
      </w:r>
      <w:r>
        <w:rPr>
          <w:sz w:val="24"/>
        </w:rPr>
        <w:t xml:space="preserve">ssociated </w:t>
      </w:r>
      <w:r w:rsidR="00D55AF1">
        <w:rPr>
          <w:sz w:val="24"/>
        </w:rPr>
        <w:t>P</w:t>
      </w:r>
      <w:r>
        <w:rPr>
          <w:sz w:val="24"/>
        </w:rPr>
        <w:t xml:space="preserve">erson’s signature on the “Insider Trading and Chinese Wall Procedures Acknowledgment” form.  </w:t>
      </w:r>
      <w:r>
        <w:rPr>
          <w:sz w:val="24"/>
          <w:szCs w:val="24"/>
        </w:rPr>
        <w:t xml:space="preserve">At the time of employment and annually thereafter, during the annual compliance meeting, all </w:t>
      </w:r>
      <w:r w:rsidR="00D55AF1">
        <w:rPr>
          <w:sz w:val="24"/>
          <w:szCs w:val="24"/>
        </w:rPr>
        <w:t>A</w:t>
      </w:r>
      <w:r>
        <w:rPr>
          <w:sz w:val="24"/>
          <w:szCs w:val="24"/>
        </w:rPr>
        <w:t xml:space="preserve">ssociated </w:t>
      </w:r>
      <w:r w:rsidR="00D55AF1">
        <w:rPr>
          <w:sz w:val="24"/>
          <w:szCs w:val="24"/>
        </w:rPr>
        <w:t>P</w:t>
      </w:r>
      <w:r>
        <w:rPr>
          <w:sz w:val="24"/>
          <w:szCs w:val="24"/>
        </w:rPr>
        <w:t xml:space="preserve">ersons and registered representatives will be required to sign the “Insider Trading and Chinese Wall Procedures Acknowledgment” form indicating that they have read and understand the procedures.  </w:t>
      </w:r>
      <w:r>
        <w:rPr>
          <w:sz w:val="24"/>
        </w:rPr>
        <w:t>Morris Monroe</w:t>
      </w:r>
      <w:r>
        <w:rPr>
          <w:sz w:val="24"/>
          <w:szCs w:val="24"/>
        </w:rPr>
        <w:t xml:space="preserve"> or Laura Hendricks will review the Acknowledgments received at the completion of the compliance meeting and place a copy of the Acknowledgment in each individual’s personnel file.  </w:t>
      </w:r>
    </w:p>
    <w:p w14:paraId="76D8E572" w14:textId="77777777" w:rsidR="0037510E" w:rsidRDefault="0037510E" w:rsidP="0037510E">
      <w:pPr>
        <w:pStyle w:val="MRS"/>
      </w:pPr>
    </w:p>
    <w:p w14:paraId="79E731DC" w14:textId="77777777" w:rsidR="0037510E" w:rsidRDefault="0037510E" w:rsidP="0037510E">
      <w:pPr>
        <w:pStyle w:val="MRS"/>
      </w:pPr>
      <w:r>
        <w:t xml:space="preserve">All </w:t>
      </w:r>
      <w:r w:rsidR="00D55AF1">
        <w:t>Associated P</w:t>
      </w:r>
      <w:r>
        <w:t xml:space="preserve">ersons of the Company are expressly prohibited from misusing "inside" or nonpublic "proprietary" information as such terms are defined herein for purposes of this section.  No </w:t>
      </w:r>
      <w:r w:rsidR="00D55AF1">
        <w:t>A</w:t>
      </w:r>
      <w:r>
        <w:t xml:space="preserve">ssociated </w:t>
      </w:r>
      <w:r w:rsidR="00D55AF1">
        <w:t>P</w:t>
      </w:r>
      <w:r>
        <w:t xml:space="preserve">erson may purchase or sell a security or cause the purchase or sale of a security for any account while in possession of inside information relating to that security. Further, no </w:t>
      </w:r>
      <w:r w:rsidR="00D55AF1">
        <w:t>A</w:t>
      </w:r>
      <w:r>
        <w:t xml:space="preserve">ssociated </w:t>
      </w:r>
      <w:r w:rsidR="00D55AF1">
        <w:t>P</w:t>
      </w:r>
      <w:r>
        <w:t xml:space="preserve">erson may recommend or solicit the purchase or sale of any security while in possession of inside information relating to that security. No </w:t>
      </w:r>
      <w:r w:rsidR="00D55AF1">
        <w:t>A</w:t>
      </w:r>
      <w:r>
        <w:t xml:space="preserve">ssociated </w:t>
      </w:r>
      <w:r w:rsidR="00D55AF1">
        <w:t>P</w:t>
      </w:r>
      <w:r>
        <w:t>erson may disclose inside information to others, except disclosures made in accordance with the Company's policies and procedures to other Company personnel or persons outside the Company (such as the Company's outside legal counsel or the client's attorneys or accountants) who have a valid business reason for receiving such information. Any person engaged in research activities and or corporate finance activities who may become privy to insider information is restricted from acting upon such information and should bring such information to th</w:t>
      </w:r>
      <w:r w:rsidR="00D55AF1">
        <w:t xml:space="preserve">e direct attention of Morris </w:t>
      </w:r>
      <w:r>
        <w:t xml:space="preserve">Monroe. </w:t>
      </w:r>
    </w:p>
    <w:p w14:paraId="3570B10B" w14:textId="77777777" w:rsidR="0037510E" w:rsidRDefault="0037510E" w:rsidP="0037510E">
      <w:pPr>
        <w:jc w:val="both"/>
        <w:rPr>
          <w:sz w:val="24"/>
        </w:rPr>
      </w:pPr>
    </w:p>
    <w:p w14:paraId="3F44D108" w14:textId="77777777" w:rsidR="0037510E" w:rsidRDefault="00D55AF1" w:rsidP="0037510E">
      <w:pPr>
        <w:jc w:val="both"/>
        <w:rPr>
          <w:sz w:val="24"/>
        </w:rPr>
      </w:pPr>
      <w:r>
        <w:rPr>
          <w:sz w:val="24"/>
        </w:rPr>
        <w:t>No A</w:t>
      </w:r>
      <w:r w:rsidR="0037510E">
        <w:rPr>
          <w:sz w:val="24"/>
        </w:rPr>
        <w:t xml:space="preserve">ssociated </w:t>
      </w:r>
      <w:r>
        <w:rPr>
          <w:sz w:val="24"/>
        </w:rPr>
        <w:t>P</w:t>
      </w:r>
      <w:r w:rsidR="0037510E">
        <w:rPr>
          <w:sz w:val="24"/>
        </w:rPr>
        <w:t xml:space="preserve">erson may purchase or sell or cause the purchase or sale of a security for an employee or employee-related or proprietary account of the Company before the investing public has had time to receive and react to material research information, opinions, or recommendations released by the Company relating to such security. Generally, the security will be placed on the Restricted List from the time of release of the material research until public dissemination is judged by Morris Monroe to be complete - generally within 48 hours of release. No </w:t>
      </w:r>
      <w:r>
        <w:rPr>
          <w:sz w:val="24"/>
        </w:rPr>
        <w:t>Associated P</w:t>
      </w:r>
      <w:r w:rsidR="0037510E">
        <w:rPr>
          <w:sz w:val="24"/>
        </w:rPr>
        <w:t xml:space="preserve">erson may purchase or sell or cause the purchase or sale of a security for an employee or employee-related account or a proprietary account of the Company or an account over which an employee exercises investment discretion, while in possession of proprietary information concerning a contemplated block transaction in the security or for a customer account when such </w:t>
      </w:r>
      <w:r w:rsidR="0037510E">
        <w:rPr>
          <w:sz w:val="24"/>
        </w:rPr>
        <w:lastRenderedPageBreak/>
        <w:t>customer has been pr</w:t>
      </w:r>
      <w:r w:rsidR="00676D0A">
        <w:rPr>
          <w:sz w:val="24"/>
        </w:rPr>
        <w:t>ovided such information by any A</w:t>
      </w:r>
      <w:r w:rsidR="0037510E">
        <w:rPr>
          <w:sz w:val="24"/>
        </w:rPr>
        <w:t xml:space="preserve">ssociated </w:t>
      </w:r>
      <w:r w:rsidR="00676D0A">
        <w:rPr>
          <w:sz w:val="24"/>
        </w:rPr>
        <w:t>P</w:t>
      </w:r>
      <w:r w:rsidR="0037510E">
        <w:rPr>
          <w:sz w:val="24"/>
        </w:rPr>
        <w:t xml:space="preserve">erson.  A copy of the Restricted List </w:t>
      </w:r>
      <w:r w:rsidR="00676D0A">
        <w:rPr>
          <w:sz w:val="24"/>
        </w:rPr>
        <w:t>shall be made available to all A</w:t>
      </w:r>
      <w:r w:rsidR="0037510E">
        <w:rPr>
          <w:sz w:val="24"/>
        </w:rPr>
        <w:t xml:space="preserve">ssociated </w:t>
      </w:r>
      <w:r w:rsidR="00676D0A">
        <w:rPr>
          <w:sz w:val="24"/>
        </w:rPr>
        <w:t>P</w:t>
      </w:r>
      <w:r w:rsidR="0037510E">
        <w:rPr>
          <w:sz w:val="24"/>
        </w:rPr>
        <w:t>ersons of the Company.  Further any transactions which occur, in an Employee Account or Employee Related Account, which the Company feels may be inappropriate and or otherwise questionable will be investigated by Morris Monroe and inquiries will be made into the circumstances surrounding such transaction.</w:t>
      </w:r>
    </w:p>
    <w:p w14:paraId="4E13F82C" w14:textId="77777777" w:rsidR="0037510E" w:rsidRDefault="0037510E" w:rsidP="0037510E">
      <w:pPr>
        <w:jc w:val="both"/>
        <w:rPr>
          <w:sz w:val="24"/>
        </w:rPr>
      </w:pPr>
    </w:p>
    <w:p w14:paraId="6F2488C6" w14:textId="77777777" w:rsidR="0037510E" w:rsidRDefault="0037510E" w:rsidP="0037510E">
      <w:pPr>
        <w:jc w:val="both"/>
        <w:rPr>
          <w:sz w:val="24"/>
        </w:rPr>
      </w:pPr>
      <w:r>
        <w:rPr>
          <w:sz w:val="24"/>
        </w:rPr>
        <w:t xml:space="preserve">Associated </w:t>
      </w:r>
      <w:r w:rsidR="00D55AF1">
        <w:rPr>
          <w:sz w:val="24"/>
        </w:rPr>
        <w:t>P</w:t>
      </w:r>
      <w:r>
        <w:rPr>
          <w:sz w:val="24"/>
        </w:rPr>
        <w:t xml:space="preserve">ersons engaged in research activities should not discuss unreleased information, opinions, recommendations, or research analysis in progress with Company </w:t>
      </w:r>
      <w:r w:rsidR="00D55AF1">
        <w:rPr>
          <w:sz w:val="24"/>
        </w:rPr>
        <w:t>A</w:t>
      </w:r>
      <w:r>
        <w:rPr>
          <w:sz w:val="24"/>
        </w:rPr>
        <w:t xml:space="preserve">ssociated </w:t>
      </w:r>
      <w:r w:rsidR="00D55AF1">
        <w:rPr>
          <w:sz w:val="24"/>
        </w:rPr>
        <w:t>P</w:t>
      </w:r>
      <w:r>
        <w:rPr>
          <w:sz w:val="24"/>
        </w:rPr>
        <w:t>ersons engaged in trading or sales activities, other than Morris Monroe, or any person within or outside the Company who does not have a valid business need to know the information.</w:t>
      </w:r>
    </w:p>
    <w:p w14:paraId="679FF722" w14:textId="77777777" w:rsidR="0037510E" w:rsidRDefault="0037510E" w:rsidP="0037510E">
      <w:pPr>
        <w:jc w:val="both"/>
        <w:rPr>
          <w:sz w:val="24"/>
        </w:rPr>
      </w:pPr>
    </w:p>
    <w:p w14:paraId="7ED8C012" w14:textId="77777777" w:rsidR="0037510E" w:rsidRDefault="0037510E" w:rsidP="0037510E">
      <w:pPr>
        <w:jc w:val="both"/>
        <w:rPr>
          <w:sz w:val="24"/>
        </w:rPr>
      </w:pPr>
      <w:r>
        <w:rPr>
          <w:sz w:val="24"/>
        </w:rPr>
        <w:t>Generally, research persons should not submit unreleased research information, opinions, recommendations, or analyses to associated persons engaged in investment banking activities for prior approval.  All such materials should be forwarded to Morris Monroe for review, approval and dissemination.</w:t>
      </w:r>
    </w:p>
    <w:p w14:paraId="5C4D61E2" w14:textId="77777777" w:rsidR="0037510E" w:rsidRDefault="0037510E" w:rsidP="0037510E">
      <w:pPr>
        <w:jc w:val="center"/>
        <w:rPr>
          <w:sz w:val="24"/>
        </w:rPr>
      </w:pPr>
    </w:p>
    <w:p w14:paraId="1FB0F1F2" w14:textId="77777777" w:rsidR="0037510E" w:rsidRDefault="0037510E" w:rsidP="0037510E">
      <w:pPr>
        <w:jc w:val="both"/>
        <w:rPr>
          <w:b/>
          <w:color w:val="0000FF"/>
          <w:sz w:val="24"/>
        </w:rPr>
      </w:pPr>
      <w:bookmarkStart w:id="126" w:name="InsideInoDefinition"/>
      <w:bookmarkEnd w:id="126"/>
      <w:r>
        <w:rPr>
          <w:b/>
          <w:sz w:val="24"/>
        </w:rPr>
        <w:t>Definitions</w:t>
      </w:r>
      <w:r>
        <w:rPr>
          <w:b/>
          <w:color w:val="0000FF"/>
          <w:sz w:val="24"/>
        </w:rPr>
        <w:t>:</w:t>
      </w:r>
    </w:p>
    <w:p w14:paraId="623E9865" w14:textId="77777777" w:rsidR="0037510E" w:rsidRDefault="0037510E" w:rsidP="0037510E">
      <w:pPr>
        <w:jc w:val="both"/>
        <w:rPr>
          <w:sz w:val="24"/>
        </w:rPr>
      </w:pPr>
    </w:p>
    <w:p w14:paraId="16693F79" w14:textId="77777777" w:rsidR="0037510E" w:rsidRDefault="0037510E" w:rsidP="0037510E">
      <w:pPr>
        <w:ind w:left="720"/>
        <w:jc w:val="both"/>
        <w:rPr>
          <w:sz w:val="24"/>
        </w:rPr>
      </w:pPr>
      <w:r>
        <w:rPr>
          <w:b/>
          <w:sz w:val="24"/>
          <w:u w:val="single"/>
        </w:rPr>
        <w:t>Inside</w:t>
      </w:r>
      <w:r w:rsidR="00C41187">
        <w:rPr>
          <w:b/>
          <w:sz w:val="24"/>
          <w:u w:val="single"/>
        </w:rPr>
        <w:t xml:space="preserve"> </w:t>
      </w:r>
      <w:r>
        <w:rPr>
          <w:b/>
          <w:sz w:val="24"/>
          <w:u w:val="single"/>
        </w:rPr>
        <w:t>Information</w:t>
      </w:r>
      <w:r>
        <w:rPr>
          <w:sz w:val="24"/>
        </w:rPr>
        <w:t xml:space="preserve"> - Certain information received by the Company in the course of its activities may be "inside" information within the meaning of federal securities laws which prohibit the fraudulent misuse of such information in connection with the purchase or sale of securities. For purposes of the Company's policies and procedures, "inside" information includes "material, nonpublic" information provided by the Company by an external source such as a client, prospective client, or other third party with the expectation that the Company will keep the information confidential and use it only for the benefit of the client or prospective client.</w:t>
      </w:r>
    </w:p>
    <w:p w14:paraId="5EB4C432" w14:textId="77777777" w:rsidR="0037510E" w:rsidRDefault="0037510E" w:rsidP="0037510E">
      <w:pPr>
        <w:ind w:left="720"/>
        <w:jc w:val="both"/>
        <w:rPr>
          <w:sz w:val="24"/>
        </w:rPr>
      </w:pPr>
    </w:p>
    <w:p w14:paraId="57D797B1" w14:textId="77777777" w:rsidR="0037510E" w:rsidRDefault="0037510E" w:rsidP="0037510E">
      <w:pPr>
        <w:ind w:left="720"/>
        <w:jc w:val="both"/>
        <w:rPr>
          <w:sz w:val="24"/>
        </w:rPr>
      </w:pPr>
      <w:r>
        <w:rPr>
          <w:sz w:val="24"/>
        </w:rPr>
        <w:t>Under the Company's policies and procedures, certain "tips" may be treated as inside information. "Tips" are generally material nonpublic information received from persons outside of a client relationship. For example, during the course of gathering information from which to prepare their research reports, research analysts may be provided material, nonpublic information by corporate officials. Associated persons of the Company who receive information in such circumstances should check with Morris Monroe, who then may contact legal counsel for the Company, before using or disclosing the information.</w:t>
      </w:r>
    </w:p>
    <w:p w14:paraId="04E33FDD" w14:textId="77777777" w:rsidR="0037510E" w:rsidRDefault="0037510E" w:rsidP="0037510E">
      <w:pPr>
        <w:ind w:left="720"/>
        <w:jc w:val="both"/>
        <w:rPr>
          <w:sz w:val="24"/>
        </w:rPr>
      </w:pPr>
    </w:p>
    <w:p w14:paraId="1D15BD9B" w14:textId="77777777" w:rsidR="0037510E" w:rsidRDefault="0037510E" w:rsidP="0037510E">
      <w:pPr>
        <w:ind w:left="720"/>
        <w:jc w:val="both"/>
        <w:rPr>
          <w:sz w:val="24"/>
        </w:rPr>
      </w:pPr>
      <w:r>
        <w:rPr>
          <w:b/>
          <w:sz w:val="24"/>
          <w:u w:val="single"/>
        </w:rPr>
        <w:t>Proprietary Information</w:t>
      </w:r>
      <w:r>
        <w:rPr>
          <w:sz w:val="24"/>
        </w:rPr>
        <w:t xml:space="preserve"> - Certain information possessed by associated persons of the Company is proprietary to the Company. Such information may include unpublished research information, opinions, and recommendations; the Company's security positions; the Company's intentions with respect to trading in its proprietary accounts; the Company's investment or trading strategies or decisions; pending or contemplated customer orders; unpublished analyses of companies, industries or economic forecasts; and analyses done by research personnel of companies that are potential acquirers of other companies or their assets or companies that are possible candidates for acquisition, merger, or sale of assets.</w:t>
      </w:r>
    </w:p>
    <w:p w14:paraId="66179F40" w14:textId="77777777" w:rsidR="0037510E" w:rsidRDefault="0037510E" w:rsidP="0037510E">
      <w:pPr>
        <w:ind w:left="720"/>
        <w:jc w:val="both"/>
        <w:rPr>
          <w:sz w:val="24"/>
        </w:rPr>
      </w:pPr>
    </w:p>
    <w:p w14:paraId="33454014" w14:textId="77777777" w:rsidR="0037510E" w:rsidRDefault="0037510E" w:rsidP="0037510E">
      <w:pPr>
        <w:ind w:left="720"/>
        <w:jc w:val="both"/>
        <w:rPr>
          <w:sz w:val="24"/>
        </w:rPr>
      </w:pPr>
      <w:bookmarkStart w:id="127" w:name="MaterialInformation"/>
      <w:bookmarkEnd w:id="127"/>
      <w:r>
        <w:rPr>
          <w:b/>
          <w:sz w:val="24"/>
          <w:u w:val="single"/>
        </w:rPr>
        <w:t>Material</w:t>
      </w:r>
      <w:r w:rsidR="00C41187">
        <w:rPr>
          <w:b/>
          <w:sz w:val="24"/>
          <w:u w:val="single"/>
        </w:rPr>
        <w:t xml:space="preserve"> I</w:t>
      </w:r>
      <w:r>
        <w:rPr>
          <w:b/>
          <w:sz w:val="24"/>
          <w:u w:val="single"/>
        </w:rPr>
        <w:t>nformation</w:t>
      </w:r>
      <w:r>
        <w:rPr>
          <w:sz w:val="24"/>
        </w:rPr>
        <w:t xml:space="preserve"> - Information is material if there is a substantial likelihood that a reasonable investor would consider the information important in deciding whether to purchase, hold or sell a security.  In other words, there must be a substantial likelihood that disclosure of the information would have been viewed by a reasonable investor as </w:t>
      </w:r>
      <w:r>
        <w:rPr>
          <w:sz w:val="24"/>
        </w:rPr>
        <w:lastRenderedPageBreak/>
        <w:t>having significantly altered the total mix of information made available. Information may be material even if it relates to speculative or contingent events.</w:t>
      </w:r>
    </w:p>
    <w:p w14:paraId="02B81357" w14:textId="77777777" w:rsidR="0037510E" w:rsidRDefault="0037510E" w:rsidP="0037510E">
      <w:pPr>
        <w:ind w:left="720"/>
        <w:jc w:val="both"/>
        <w:rPr>
          <w:sz w:val="24"/>
        </w:rPr>
      </w:pPr>
    </w:p>
    <w:p w14:paraId="6ACA9C70" w14:textId="2BF1EB4A" w:rsidR="0037510E" w:rsidRDefault="0037510E" w:rsidP="0037510E">
      <w:pPr>
        <w:ind w:left="720"/>
        <w:jc w:val="both"/>
        <w:rPr>
          <w:sz w:val="24"/>
        </w:rPr>
      </w:pPr>
      <w:r>
        <w:rPr>
          <w:sz w:val="24"/>
        </w:rPr>
        <w:t xml:space="preserve">Material information may include information about: dividend increases or decreases; earnings or earnings estimates; changes in previously released earnings or earnings estimates; </w:t>
      </w:r>
      <w:r w:rsidR="000B5012">
        <w:rPr>
          <w:sz w:val="24"/>
        </w:rPr>
        <w:t>write-downs</w:t>
      </w:r>
      <w:r>
        <w:rPr>
          <w:sz w:val="24"/>
        </w:rPr>
        <w:t xml:space="preserve"> of assets; additions to reserves for bad debts; expansion or curtailment of operations; increases or declines in orders' new products or discoveries; borrowing; litigation; liquidity problems; management developments; contests for corporate control; public offerings of securities; changes of ratings of debt securities; proposed transactions such as </w:t>
      </w:r>
      <w:r w:rsidR="00421A3E">
        <w:rPr>
          <w:sz w:val="24"/>
        </w:rPr>
        <w:t>refinancing,</w:t>
      </w:r>
      <w:r>
        <w:rPr>
          <w:sz w:val="24"/>
        </w:rPr>
        <w:t xml:space="preserve"> tender offers</w:t>
      </w:r>
      <w:r w:rsidR="00421A3E">
        <w:rPr>
          <w:sz w:val="24"/>
        </w:rPr>
        <w:t>,</w:t>
      </w:r>
      <w:r>
        <w:rPr>
          <w:sz w:val="24"/>
        </w:rPr>
        <w:t xml:space="preserve"> recapitalizations, leveraged buy-outs, acquisitions, mergers, restructurings or purchases or sales of assets; advance knowledge of unannounced government actions that is likely to have an effect on the market; knowledge of unannounced events that will affect one or more companies in a significant way; or knowledge of unannounced inventions.</w:t>
      </w:r>
    </w:p>
    <w:p w14:paraId="79E0587E" w14:textId="77777777" w:rsidR="0037510E" w:rsidRDefault="0037510E" w:rsidP="0037510E">
      <w:pPr>
        <w:ind w:left="720"/>
        <w:jc w:val="both"/>
        <w:rPr>
          <w:sz w:val="24"/>
        </w:rPr>
      </w:pPr>
    </w:p>
    <w:p w14:paraId="2EAFC898" w14:textId="6CACAEC3" w:rsidR="0037510E" w:rsidRDefault="0037510E" w:rsidP="0037510E">
      <w:pPr>
        <w:ind w:left="720"/>
        <w:jc w:val="both"/>
        <w:rPr>
          <w:sz w:val="24"/>
        </w:rPr>
      </w:pPr>
      <w:r>
        <w:rPr>
          <w:b/>
          <w:sz w:val="24"/>
          <w:u w:val="single"/>
        </w:rPr>
        <w:t>Nonpublic Information</w:t>
      </w:r>
      <w:r>
        <w:rPr>
          <w:sz w:val="24"/>
        </w:rPr>
        <w:t xml:space="preserve"> - Unless information has been publicly disclosed, such as by means of a press release, in the Dow Jones or Reuters press services, in a newspaper, in a public filing made with a regulatory agency, in materials sent to shareholders or potential investors such as a proxy statement or prospectus, or in materials available from public disclosure services, Company associated persons should assume that all information obtained in the course of their employment by the Company should be considered </w:t>
      </w:r>
      <w:r w:rsidR="00421A3E">
        <w:rPr>
          <w:sz w:val="24"/>
        </w:rPr>
        <w:t>nonpublic</w:t>
      </w:r>
      <w:r>
        <w:rPr>
          <w:sz w:val="24"/>
        </w:rPr>
        <w:t xml:space="preserve"> information.</w:t>
      </w:r>
    </w:p>
    <w:p w14:paraId="28AF3B93" w14:textId="77777777" w:rsidR="0037510E" w:rsidRDefault="0037510E" w:rsidP="0037510E">
      <w:pPr>
        <w:ind w:left="720"/>
        <w:jc w:val="both"/>
        <w:rPr>
          <w:sz w:val="24"/>
        </w:rPr>
      </w:pPr>
    </w:p>
    <w:p w14:paraId="658D2D66" w14:textId="199B30E4" w:rsidR="0037510E" w:rsidRDefault="0037510E" w:rsidP="0037510E">
      <w:pPr>
        <w:ind w:left="720"/>
        <w:jc w:val="both"/>
        <w:rPr>
          <w:sz w:val="24"/>
        </w:rPr>
      </w:pPr>
      <w:r>
        <w:rPr>
          <w:b/>
          <w:sz w:val="24"/>
          <w:u w:val="single"/>
        </w:rPr>
        <w:t>Securities</w:t>
      </w:r>
      <w:r>
        <w:rPr>
          <w:b/>
          <w:sz w:val="24"/>
        </w:rPr>
        <w:t xml:space="preserve"> </w:t>
      </w:r>
      <w:r>
        <w:rPr>
          <w:sz w:val="24"/>
        </w:rPr>
        <w:t xml:space="preserve">- The term securities </w:t>
      </w:r>
      <w:proofErr w:type="gramStart"/>
      <w:r>
        <w:rPr>
          <w:sz w:val="24"/>
        </w:rPr>
        <w:t>includes</w:t>
      </w:r>
      <w:proofErr w:type="gramEnd"/>
      <w:r>
        <w:rPr>
          <w:sz w:val="24"/>
        </w:rPr>
        <w:t xml:space="preserve"> all forms of stock, notes, bonds, debentures, and other </w:t>
      </w:r>
      <w:r w:rsidR="006815E3">
        <w:rPr>
          <w:sz w:val="24"/>
        </w:rPr>
        <w:t>evidence</w:t>
      </w:r>
      <w:r>
        <w:rPr>
          <w:sz w:val="24"/>
        </w:rPr>
        <w:t xml:space="preserve"> of indebtedness, investment contracts, futures and all securities derivative of such securities (i.e. options, warrants, stock index futures).</w:t>
      </w:r>
    </w:p>
    <w:p w14:paraId="74138854" w14:textId="77777777" w:rsidR="0037510E" w:rsidRDefault="0037510E" w:rsidP="0037510E">
      <w:pPr>
        <w:ind w:left="720"/>
        <w:jc w:val="both"/>
        <w:rPr>
          <w:sz w:val="24"/>
        </w:rPr>
      </w:pPr>
    </w:p>
    <w:p w14:paraId="2C61FC66" w14:textId="77777777" w:rsidR="0037510E" w:rsidRDefault="0037510E" w:rsidP="0037510E">
      <w:pPr>
        <w:ind w:left="720"/>
        <w:jc w:val="both"/>
        <w:rPr>
          <w:sz w:val="24"/>
        </w:rPr>
      </w:pPr>
      <w:r>
        <w:rPr>
          <w:b/>
          <w:sz w:val="24"/>
          <w:u w:val="single"/>
        </w:rPr>
        <w:t>Restricted List</w:t>
      </w:r>
      <w:r>
        <w:rPr>
          <w:sz w:val="24"/>
        </w:rPr>
        <w:t xml:space="preserve"> - The Restricted List is composed of companies whose securities are subject to research, sales or trading activity prohibitions.</w:t>
      </w:r>
    </w:p>
    <w:p w14:paraId="461C8E86" w14:textId="77777777" w:rsidR="0037510E" w:rsidRDefault="0037510E" w:rsidP="0037510E">
      <w:pPr>
        <w:ind w:left="720"/>
        <w:jc w:val="both"/>
        <w:rPr>
          <w:sz w:val="24"/>
        </w:rPr>
      </w:pPr>
    </w:p>
    <w:p w14:paraId="509490BB" w14:textId="77777777" w:rsidR="0037510E" w:rsidRDefault="0037510E" w:rsidP="0037510E">
      <w:pPr>
        <w:ind w:left="720"/>
        <w:jc w:val="both"/>
        <w:rPr>
          <w:sz w:val="24"/>
        </w:rPr>
      </w:pPr>
      <w:r>
        <w:rPr>
          <w:b/>
          <w:sz w:val="24"/>
          <w:u w:val="single"/>
        </w:rPr>
        <w:t>Employee</w:t>
      </w:r>
      <w:r>
        <w:rPr>
          <w:b/>
          <w:sz w:val="24"/>
        </w:rPr>
        <w:t xml:space="preserve"> </w:t>
      </w:r>
      <w:r>
        <w:rPr>
          <w:sz w:val="24"/>
        </w:rPr>
        <w:t>- includes all officers, directors and employees of the Company.</w:t>
      </w:r>
    </w:p>
    <w:p w14:paraId="6E813EE8" w14:textId="77777777" w:rsidR="0037510E" w:rsidRDefault="0037510E" w:rsidP="0037510E">
      <w:pPr>
        <w:ind w:left="720"/>
        <w:jc w:val="both"/>
        <w:rPr>
          <w:sz w:val="24"/>
        </w:rPr>
      </w:pPr>
    </w:p>
    <w:p w14:paraId="6F57367A" w14:textId="77777777" w:rsidR="0037510E" w:rsidRDefault="0037510E" w:rsidP="0037510E">
      <w:pPr>
        <w:ind w:left="720"/>
        <w:jc w:val="both"/>
        <w:rPr>
          <w:sz w:val="24"/>
        </w:rPr>
      </w:pPr>
      <w:r>
        <w:rPr>
          <w:b/>
          <w:sz w:val="24"/>
          <w:u w:val="single"/>
        </w:rPr>
        <w:t>Employee</w:t>
      </w:r>
      <w:r>
        <w:rPr>
          <w:b/>
          <w:sz w:val="24"/>
        </w:rPr>
        <w:t xml:space="preserve"> </w:t>
      </w:r>
      <w:r>
        <w:rPr>
          <w:b/>
          <w:sz w:val="24"/>
          <w:u w:val="single"/>
        </w:rPr>
        <w:t>Account</w:t>
      </w:r>
      <w:r>
        <w:rPr>
          <w:sz w:val="24"/>
        </w:rPr>
        <w:t xml:space="preserve"> - includes any personal account of an employee, any joint account in which the employee has an interest, any account in which the employee is a tenant in common with another person; and any other account over which the employee has investment discretion or may otherwise exercise control or in which the employee has a direct or indirect beneficial or financial interest, including the accounts of entities controlled directly or indirectly by the employee, trusts for the benefit of the employee or for which the employee acts as trustee, executor or custodian. </w:t>
      </w:r>
    </w:p>
    <w:p w14:paraId="7FD1CB3F" w14:textId="77777777" w:rsidR="0037510E" w:rsidRDefault="0037510E" w:rsidP="0037510E">
      <w:pPr>
        <w:jc w:val="both"/>
        <w:rPr>
          <w:sz w:val="24"/>
        </w:rPr>
      </w:pPr>
    </w:p>
    <w:p w14:paraId="2E6F2381" w14:textId="6563B0D5" w:rsidR="0037510E" w:rsidRDefault="0037510E" w:rsidP="0037510E">
      <w:pPr>
        <w:ind w:left="720"/>
        <w:jc w:val="both"/>
        <w:rPr>
          <w:sz w:val="24"/>
        </w:rPr>
      </w:pPr>
      <w:r>
        <w:rPr>
          <w:b/>
          <w:sz w:val="24"/>
          <w:u w:val="single"/>
        </w:rPr>
        <w:t>Employee-Related</w:t>
      </w:r>
      <w:r w:rsidR="00C41187">
        <w:rPr>
          <w:b/>
          <w:sz w:val="24"/>
          <w:u w:val="single"/>
        </w:rPr>
        <w:t xml:space="preserve"> </w:t>
      </w:r>
      <w:r>
        <w:rPr>
          <w:b/>
          <w:sz w:val="24"/>
          <w:u w:val="single"/>
        </w:rPr>
        <w:t>Account</w:t>
      </w:r>
      <w:r>
        <w:rPr>
          <w:sz w:val="24"/>
        </w:rPr>
        <w:t xml:space="preserve"> - includes the following accounts if maintained by the Company; the accounts of an employee's family members including but not limited to, an employee's spouse, children, grandchildren, parents, grandparents, </w:t>
      </w:r>
      <w:r w:rsidR="006815E3">
        <w:rPr>
          <w:sz w:val="24"/>
        </w:rPr>
        <w:t>siblings,</w:t>
      </w:r>
      <w:r>
        <w:rPr>
          <w:sz w:val="24"/>
        </w:rPr>
        <w:t xml:space="preserve"> and in-laws; the account of any person who resides with or receives support from the employee; and any account for the benefit of any member of an employee's family other than an account defined by these policies and procedures as an employee account.</w:t>
      </w:r>
    </w:p>
    <w:p w14:paraId="78B1C9D3" w14:textId="77777777" w:rsidR="0037510E" w:rsidRDefault="0037510E" w:rsidP="0037510E">
      <w:pPr>
        <w:ind w:left="720"/>
        <w:jc w:val="both"/>
        <w:rPr>
          <w:sz w:val="24"/>
        </w:rPr>
      </w:pPr>
    </w:p>
    <w:p w14:paraId="1711EC07" w14:textId="7832CBD3" w:rsidR="00F228A1" w:rsidRDefault="0037510E" w:rsidP="00F228A1">
      <w:pPr>
        <w:keepNext/>
        <w:jc w:val="both"/>
      </w:pPr>
      <w:r>
        <w:rPr>
          <w:sz w:val="24"/>
        </w:rPr>
        <w:t xml:space="preserve">Morris Monroe will be responsible for updating employees on new or revised regulations pertaining to insider trading as they are issued.  He will distribute an addendum to the written </w:t>
      </w:r>
      <w:r>
        <w:rPr>
          <w:sz w:val="24"/>
        </w:rPr>
        <w:lastRenderedPageBreak/>
        <w:t xml:space="preserve">supervisory procedures to all employees.  A copy of the addendum will be placed in the file with a signed copy of the distribution memorandum.   </w:t>
      </w:r>
      <w:bookmarkStart w:id="128" w:name="ChineseWall"/>
      <w:bookmarkEnd w:id="128"/>
    </w:p>
    <w:p w14:paraId="25988C6E" w14:textId="77777777" w:rsidR="003D5633" w:rsidRDefault="003D5633" w:rsidP="003D5633"/>
    <w:p w14:paraId="6850212A" w14:textId="77777777" w:rsidR="0037510E" w:rsidRDefault="000810AD" w:rsidP="001A7509">
      <w:pPr>
        <w:pStyle w:val="Heading3"/>
      </w:pPr>
      <w:r>
        <w:t>8.</w:t>
      </w:r>
      <w:r w:rsidR="00F47474">
        <w:t>4</w:t>
      </w:r>
      <w:r w:rsidR="0004301E">
        <w:t>0</w:t>
      </w:r>
      <w:r>
        <w:t xml:space="preserve">.1 </w:t>
      </w:r>
      <w:r w:rsidR="0037510E">
        <w:t>Chinese Wall Procedures</w:t>
      </w:r>
    </w:p>
    <w:p w14:paraId="651533DA" w14:textId="77777777" w:rsidR="0037510E" w:rsidRDefault="00F228A1" w:rsidP="000810AD">
      <w:pPr>
        <w:ind w:left="270"/>
        <w:jc w:val="both"/>
        <w:rPr>
          <w:sz w:val="24"/>
        </w:rPr>
      </w:pPr>
      <w:r>
        <w:rPr>
          <w:sz w:val="24"/>
        </w:rPr>
        <w:t>All Associated P</w:t>
      </w:r>
      <w:r w:rsidR="0037510E">
        <w:rPr>
          <w:sz w:val="24"/>
        </w:rPr>
        <w:t>ersons should take the following steps to safeguard the confidentiality of inside information:</w:t>
      </w:r>
    </w:p>
    <w:p w14:paraId="79732C1A" w14:textId="77777777" w:rsidR="0037510E" w:rsidRDefault="0037510E" w:rsidP="000810AD">
      <w:pPr>
        <w:ind w:left="270"/>
        <w:jc w:val="both"/>
        <w:rPr>
          <w:sz w:val="24"/>
        </w:rPr>
      </w:pPr>
    </w:p>
    <w:p w14:paraId="526FCF97" w14:textId="77777777" w:rsidR="0037510E" w:rsidRDefault="0037510E" w:rsidP="000810AD">
      <w:pPr>
        <w:ind w:left="270"/>
        <w:jc w:val="both"/>
        <w:rPr>
          <w:sz w:val="24"/>
        </w:rPr>
      </w:pPr>
      <w:r>
        <w:rPr>
          <w:sz w:val="24"/>
        </w:rPr>
        <w:t>a)</w:t>
      </w:r>
      <w:r>
        <w:rPr>
          <w:sz w:val="24"/>
        </w:rPr>
        <w:tab/>
        <w:t>Do not discuss confidential information in public places such as elevators, hallways, restrooms or at social gatherings;</w:t>
      </w:r>
    </w:p>
    <w:p w14:paraId="267BAE4C" w14:textId="77777777" w:rsidR="0037510E" w:rsidRDefault="0037510E" w:rsidP="000810AD">
      <w:pPr>
        <w:ind w:left="270"/>
        <w:jc w:val="both"/>
        <w:rPr>
          <w:sz w:val="24"/>
        </w:rPr>
      </w:pPr>
    </w:p>
    <w:p w14:paraId="71DA564C" w14:textId="77777777" w:rsidR="0037510E" w:rsidRDefault="0037510E" w:rsidP="000810AD">
      <w:pPr>
        <w:ind w:left="270"/>
        <w:jc w:val="both"/>
        <w:rPr>
          <w:sz w:val="24"/>
        </w:rPr>
      </w:pPr>
      <w:r>
        <w:rPr>
          <w:sz w:val="24"/>
        </w:rPr>
        <w:t>b)</w:t>
      </w:r>
      <w:r>
        <w:rPr>
          <w:sz w:val="24"/>
        </w:rPr>
        <w:tab/>
        <w:t>To the extent practicable, limit access to the Company's offices where confidential information could be observed or overheard to Company associated persons with a business need for being in the area;</w:t>
      </w:r>
    </w:p>
    <w:p w14:paraId="602DA6C1" w14:textId="77777777" w:rsidR="0037510E" w:rsidRDefault="0037510E" w:rsidP="000810AD">
      <w:pPr>
        <w:ind w:left="270"/>
        <w:jc w:val="both"/>
        <w:rPr>
          <w:sz w:val="24"/>
        </w:rPr>
      </w:pPr>
    </w:p>
    <w:p w14:paraId="526331C6" w14:textId="2969365B" w:rsidR="0037510E" w:rsidRDefault="0037510E" w:rsidP="000810AD">
      <w:pPr>
        <w:ind w:left="270"/>
        <w:jc w:val="both"/>
        <w:rPr>
          <w:sz w:val="24"/>
        </w:rPr>
      </w:pPr>
      <w:r>
        <w:rPr>
          <w:sz w:val="24"/>
        </w:rPr>
        <w:t>c)</w:t>
      </w:r>
      <w:r>
        <w:rPr>
          <w:sz w:val="24"/>
        </w:rPr>
        <w:tab/>
        <w:t xml:space="preserve">Avoid using speakerphones in areas where unauthorized persons may </w:t>
      </w:r>
      <w:r w:rsidR="006815E3">
        <w:rPr>
          <w:sz w:val="24"/>
        </w:rPr>
        <w:t>overhear</w:t>
      </w:r>
      <w:r>
        <w:rPr>
          <w:sz w:val="24"/>
        </w:rPr>
        <w:t xml:space="preserve"> conversations;</w:t>
      </w:r>
    </w:p>
    <w:p w14:paraId="427955D7" w14:textId="77777777" w:rsidR="0037510E" w:rsidRDefault="0037510E" w:rsidP="000810AD">
      <w:pPr>
        <w:ind w:left="270"/>
        <w:jc w:val="both"/>
        <w:rPr>
          <w:sz w:val="24"/>
        </w:rPr>
      </w:pPr>
    </w:p>
    <w:p w14:paraId="43DEFBF0" w14:textId="77777777" w:rsidR="0037510E" w:rsidRDefault="0037510E" w:rsidP="000810AD">
      <w:pPr>
        <w:ind w:left="270"/>
        <w:jc w:val="both"/>
        <w:rPr>
          <w:sz w:val="24"/>
        </w:rPr>
      </w:pPr>
      <w:r>
        <w:rPr>
          <w:sz w:val="24"/>
        </w:rPr>
        <w:t>d)</w:t>
      </w:r>
      <w:r>
        <w:rPr>
          <w:sz w:val="24"/>
        </w:rPr>
        <w:tab/>
        <w:t>Where appropriate, maintain the confidentiality of client identities by using code names or numbers for confidential projects;</w:t>
      </w:r>
    </w:p>
    <w:p w14:paraId="5C73F011" w14:textId="77777777" w:rsidR="0037510E" w:rsidRDefault="0037510E" w:rsidP="000810AD">
      <w:pPr>
        <w:ind w:left="270"/>
        <w:jc w:val="both"/>
        <w:rPr>
          <w:sz w:val="24"/>
        </w:rPr>
      </w:pPr>
    </w:p>
    <w:p w14:paraId="66CD99C2" w14:textId="5B3AC209" w:rsidR="0037510E" w:rsidRDefault="0037510E" w:rsidP="000810AD">
      <w:pPr>
        <w:ind w:left="270"/>
        <w:jc w:val="both"/>
        <w:rPr>
          <w:sz w:val="24"/>
        </w:rPr>
      </w:pPr>
      <w:r>
        <w:rPr>
          <w:sz w:val="24"/>
        </w:rPr>
        <w:t>e)</w:t>
      </w:r>
      <w:r>
        <w:rPr>
          <w:sz w:val="24"/>
        </w:rPr>
        <w:tab/>
        <w:t>Exercise care to avoid placing documents containing confidential information in areas where the</w:t>
      </w:r>
      <w:r w:rsidR="0031215B">
        <w:rPr>
          <w:sz w:val="24"/>
        </w:rPr>
        <w:t>y</w:t>
      </w:r>
      <w:r>
        <w:rPr>
          <w:sz w:val="24"/>
        </w:rPr>
        <w:t xml:space="preserve"> may be read by unauthorized persons and store such documents in secure locations when they are not in use;</w:t>
      </w:r>
    </w:p>
    <w:p w14:paraId="7890A2A8" w14:textId="77777777" w:rsidR="0037510E" w:rsidRDefault="0037510E" w:rsidP="000810AD">
      <w:pPr>
        <w:ind w:left="270"/>
        <w:jc w:val="both"/>
        <w:rPr>
          <w:sz w:val="24"/>
        </w:rPr>
      </w:pPr>
    </w:p>
    <w:p w14:paraId="5FBCF88C" w14:textId="77777777" w:rsidR="0037510E" w:rsidRDefault="0037510E" w:rsidP="000810AD">
      <w:pPr>
        <w:ind w:left="270"/>
        <w:jc w:val="both"/>
        <w:rPr>
          <w:sz w:val="24"/>
        </w:rPr>
      </w:pPr>
      <w:r>
        <w:rPr>
          <w:sz w:val="24"/>
        </w:rPr>
        <w:t>f)</w:t>
      </w:r>
      <w:r>
        <w:rPr>
          <w:sz w:val="24"/>
        </w:rPr>
        <w:tab/>
        <w:t>Destroy copies of confidential documents no longer needed for a project or not otherwise required to be maintained under federal securities laws;</w:t>
      </w:r>
    </w:p>
    <w:p w14:paraId="6F97F3E4" w14:textId="77777777" w:rsidR="0037510E" w:rsidRDefault="0037510E" w:rsidP="000810AD">
      <w:pPr>
        <w:ind w:left="270"/>
        <w:jc w:val="both"/>
        <w:rPr>
          <w:sz w:val="24"/>
        </w:rPr>
      </w:pPr>
    </w:p>
    <w:p w14:paraId="33745449" w14:textId="77777777" w:rsidR="0037510E" w:rsidRDefault="00F228A1" w:rsidP="000810AD">
      <w:pPr>
        <w:ind w:left="270"/>
        <w:jc w:val="both"/>
        <w:rPr>
          <w:sz w:val="24"/>
        </w:rPr>
      </w:pPr>
      <w:r>
        <w:rPr>
          <w:sz w:val="24"/>
        </w:rPr>
        <w:t>g)</w:t>
      </w:r>
      <w:r>
        <w:rPr>
          <w:sz w:val="24"/>
        </w:rPr>
        <w:tab/>
        <w:t>Associated P</w:t>
      </w:r>
      <w:r w:rsidR="0037510E">
        <w:rPr>
          <w:sz w:val="24"/>
        </w:rPr>
        <w:t>ersons engaging in meetings with corporate officers of companies for the purpose of gathering information for research reports or follow up meetings with companies shall maintain written notes of said meetings including but not limited to: (1) the names of Company representatives and of corporate officers of the subject company in attendance; (2) the time, date and location of the meeting; (3) the purpose of the meeting; (4) notes of conversation between the corporate officers and Company representatives in attendance; (5) copies of any handouts or other written materials given to Company representatives in attendance; and</w:t>
      </w:r>
    </w:p>
    <w:p w14:paraId="10D24213" w14:textId="77777777" w:rsidR="0037510E" w:rsidRDefault="0037510E" w:rsidP="000810AD">
      <w:pPr>
        <w:ind w:left="270"/>
        <w:jc w:val="both"/>
        <w:rPr>
          <w:sz w:val="24"/>
        </w:rPr>
      </w:pPr>
    </w:p>
    <w:p w14:paraId="6D3D864D" w14:textId="77777777" w:rsidR="0037510E" w:rsidRDefault="0037510E" w:rsidP="000810AD">
      <w:pPr>
        <w:ind w:left="270"/>
        <w:jc w:val="both"/>
        <w:rPr>
          <w:sz w:val="24"/>
        </w:rPr>
      </w:pPr>
      <w:r>
        <w:rPr>
          <w:sz w:val="24"/>
        </w:rPr>
        <w:t>h)</w:t>
      </w:r>
      <w:r>
        <w:rPr>
          <w:sz w:val="24"/>
        </w:rPr>
        <w:tab/>
        <w:t xml:space="preserve">The Company shall maintain a file containing a list of all research reports, statistical sheets and other written materials issued within the previous </w:t>
      </w:r>
      <w:r w:rsidR="000B5012">
        <w:rPr>
          <w:sz w:val="24"/>
        </w:rPr>
        <w:t>12-month</w:t>
      </w:r>
      <w:r>
        <w:rPr>
          <w:sz w:val="24"/>
        </w:rPr>
        <w:t xml:space="preserve"> period to customers of the Company.  Copies of such materials shall also be maintained in the files of the Company.</w:t>
      </w:r>
    </w:p>
    <w:p w14:paraId="6C562909" w14:textId="77777777" w:rsidR="0037510E" w:rsidRDefault="0037510E" w:rsidP="0037510E">
      <w:pPr>
        <w:jc w:val="both"/>
        <w:rPr>
          <w:b/>
          <w:color w:val="0000FF"/>
          <w:sz w:val="24"/>
        </w:rPr>
      </w:pPr>
    </w:p>
    <w:p w14:paraId="40714238" w14:textId="77777777" w:rsidR="0037510E" w:rsidRDefault="000810AD" w:rsidP="001A7509">
      <w:pPr>
        <w:pStyle w:val="Heading3"/>
      </w:pPr>
      <w:bookmarkStart w:id="129" w:name="SpecificTradingLimitations"/>
      <w:bookmarkEnd w:id="129"/>
      <w:r>
        <w:t>8.</w:t>
      </w:r>
      <w:r w:rsidR="00F47474">
        <w:t>4</w:t>
      </w:r>
      <w:r w:rsidR="0004301E">
        <w:t>0</w:t>
      </w:r>
      <w:r>
        <w:t xml:space="preserve">.2 </w:t>
      </w:r>
      <w:r w:rsidR="0037510E">
        <w:t>Specific Trading Limitations</w:t>
      </w:r>
    </w:p>
    <w:p w14:paraId="5406333D" w14:textId="77777777" w:rsidR="0037510E" w:rsidRDefault="0037510E" w:rsidP="000810AD">
      <w:pPr>
        <w:ind w:left="270"/>
        <w:jc w:val="both"/>
        <w:rPr>
          <w:sz w:val="24"/>
        </w:rPr>
      </w:pPr>
      <w:r>
        <w:rPr>
          <w:sz w:val="24"/>
        </w:rPr>
        <w:t>a)</w:t>
      </w:r>
      <w:r>
        <w:rPr>
          <w:sz w:val="24"/>
        </w:rPr>
        <w:tab/>
        <w:t>No purchase or sale of securities may be made for an employee or employee-related account if the transaction is prohibited by the Restricted List. Employees should check whether a security is on the Restricted List before making a purchase or sale for an employee or employee-related account.</w:t>
      </w:r>
    </w:p>
    <w:p w14:paraId="0CE87D49" w14:textId="77777777" w:rsidR="0037510E" w:rsidRDefault="0037510E" w:rsidP="000810AD">
      <w:pPr>
        <w:ind w:left="270"/>
        <w:jc w:val="both"/>
        <w:rPr>
          <w:sz w:val="24"/>
        </w:rPr>
      </w:pPr>
    </w:p>
    <w:p w14:paraId="4E1B0FFE" w14:textId="77777777" w:rsidR="0037510E" w:rsidRDefault="0037510E" w:rsidP="000810AD">
      <w:pPr>
        <w:ind w:left="270"/>
        <w:jc w:val="both"/>
        <w:rPr>
          <w:sz w:val="24"/>
        </w:rPr>
      </w:pPr>
      <w:r>
        <w:rPr>
          <w:sz w:val="24"/>
        </w:rPr>
        <w:t>b)</w:t>
      </w:r>
      <w:r>
        <w:rPr>
          <w:sz w:val="24"/>
        </w:rPr>
        <w:tab/>
        <w:t xml:space="preserve">With respect to securities on the Company's recommended list, the following transactions may not be made for an employee or employee-related account: short sales or purchases of put </w:t>
      </w:r>
      <w:r>
        <w:rPr>
          <w:sz w:val="24"/>
        </w:rPr>
        <w:lastRenderedPageBreak/>
        <w:t>options for any purpose within the first three (3) days after the related company or security is placed on the recommended list, and thereafter, only to hedge a position.</w:t>
      </w:r>
    </w:p>
    <w:p w14:paraId="7F415F22" w14:textId="77777777" w:rsidR="0037510E" w:rsidRDefault="0037510E" w:rsidP="000810AD">
      <w:pPr>
        <w:ind w:left="270"/>
        <w:jc w:val="both"/>
        <w:rPr>
          <w:sz w:val="24"/>
        </w:rPr>
      </w:pPr>
    </w:p>
    <w:p w14:paraId="09EB8FB8" w14:textId="77777777" w:rsidR="0037510E" w:rsidRDefault="0037510E" w:rsidP="000810AD">
      <w:pPr>
        <w:ind w:left="270"/>
        <w:jc w:val="both"/>
        <w:rPr>
          <w:sz w:val="24"/>
        </w:rPr>
      </w:pPr>
      <w:r>
        <w:rPr>
          <w:sz w:val="24"/>
        </w:rPr>
        <w:t>c)</w:t>
      </w:r>
      <w:r>
        <w:rPr>
          <w:sz w:val="24"/>
        </w:rPr>
        <w:tab/>
        <w:t>No purchases or sales of securities should be made for an employee or employee-related account based on information learned from customers or derived from customer accounts.</w:t>
      </w:r>
    </w:p>
    <w:p w14:paraId="2CF53CC5" w14:textId="77777777" w:rsidR="0037510E" w:rsidRDefault="0037510E" w:rsidP="000810AD">
      <w:pPr>
        <w:ind w:left="270"/>
        <w:jc w:val="both"/>
        <w:rPr>
          <w:sz w:val="24"/>
        </w:rPr>
      </w:pPr>
    </w:p>
    <w:p w14:paraId="57290A83" w14:textId="77777777" w:rsidR="0037510E" w:rsidRDefault="0037510E" w:rsidP="000810AD">
      <w:pPr>
        <w:ind w:left="270"/>
        <w:jc w:val="both"/>
        <w:rPr>
          <w:sz w:val="24"/>
        </w:rPr>
      </w:pPr>
      <w:r>
        <w:rPr>
          <w:sz w:val="24"/>
        </w:rPr>
        <w:t>d)</w:t>
      </w:r>
      <w:r>
        <w:rPr>
          <w:sz w:val="24"/>
        </w:rPr>
        <w:tab/>
        <w:t xml:space="preserve">No purchases may be made for an employee or employee- related account of securities in a "hot issue" with respect to which the Company is acting as an underwriter. Regardless of whether an offering would be deemed to be a "hot issue" by </w:t>
      </w:r>
      <w:r w:rsidRPr="00126568">
        <w:rPr>
          <w:sz w:val="24"/>
        </w:rPr>
        <w:t>FINRA</w:t>
      </w:r>
      <w:r>
        <w:rPr>
          <w:sz w:val="24"/>
        </w:rPr>
        <w:t xml:space="preserve"> or SEC standards, no securities may be allocated to any employee or employee-related account so long as there remain unfilled orders of Company customers.</w:t>
      </w:r>
    </w:p>
    <w:p w14:paraId="5C851F3A" w14:textId="77777777" w:rsidR="0037510E" w:rsidRDefault="0037510E" w:rsidP="000810AD">
      <w:pPr>
        <w:ind w:left="270"/>
        <w:jc w:val="both"/>
        <w:rPr>
          <w:sz w:val="24"/>
        </w:rPr>
      </w:pPr>
    </w:p>
    <w:p w14:paraId="7A0BD387" w14:textId="4456FF2D" w:rsidR="0037510E" w:rsidRDefault="0037510E" w:rsidP="000810AD">
      <w:pPr>
        <w:ind w:left="270"/>
        <w:jc w:val="both"/>
        <w:rPr>
          <w:sz w:val="24"/>
        </w:rPr>
      </w:pPr>
      <w:r>
        <w:rPr>
          <w:sz w:val="24"/>
        </w:rPr>
        <w:t>e)</w:t>
      </w:r>
      <w:r>
        <w:rPr>
          <w:sz w:val="24"/>
        </w:rPr>
        <w:tab/>
        <w:t>No purchase or sale of securities may be made for an employee or employee-related account if the employee knows or has reason to know that a security is the subject of un</w:t>
      </w:r>
      <w:r w:rsidR="006815E3">
        <w:rPr>
          <w:sz w:val="24"/>
        </w:rPr>
        <w:t>-</w:t>
      </w:r>
      <w:r>
        <w:rPr>
          <w:sz w:val="24"/>
        </w:rPr>
        <w:t>disseminated Company material research.</w:t>
      </w:r>
    </w:p>
    <w:p w14:paraId="32BECB9E" w14:textId="77777777" w:rsidR="0037510E" w:rsidRDefault="0037510E" w:rsidP="000810AD">
      <w:pPr>
        <w:ind w:left="270"/>
        <w:jc w:val="both"/>
        <w:rPr>
          <w:sz w:val="24"/>
        </w:rPr>
      </w:pPr>
    </w:p>
    <w:p w14:paraId="5C9643B0" w14:textId="77777777" w:rsidR="0037510E" w:rsidRDefault="003B00A4" w:rsidP="000810AD">
      <w:pPr>
        <w:ind w:left="270"/>
        <w:jc w:val="both"/>
        <w:rPr>
          <w:sz w:val="24"/>
        </w:rPr>
      </w:pPr>
      <w:r>
        <w:rPr>
          <w:sz w:val="24"/>
        </w:rPr>
        <w:t xml:space="preserve">Orders are reviewed by both Trading Department and Compliance.  Outside securities accounts are reviewed at least quarterly.  </w:t>
      </w:r>
      <w:r w:rsidR="0037510E">
        <w:rPr>
          <w:sz w:val="24"/>
        </w:rPr>
        <w:t>Morris Monroe has overall responsibility for developing and maintaining policies and procedures for handling inside and proprietary information.  Morris Monroe shall be responsible for the implementation of these policies and procedures.</w:t>
      </w:r>
    </w:p>
    <w:p w14:paraId="0BAFA83C" w14:textId="77777777" w:rsidR="001C289F" w:rsidRDefault="001C289F" w:rsidP="000810AD">
      <w:pPr>
        <w:ind w:left="270"/>
        <w:jc w:val="both"/>
        <w:rPr>
          <w:sz w:val="24"/>
        </w:rPr>
      </w:pPr>
    </w:p>
    <w:p w14:paraId="6CD5AB7C" w14:textId="77777777" w:rsidR="001C289F" w:rsidRDefault="001C289F" w:rsidP="001C289F">
      <w:pPr>
        <w:pStyle w:val="Heading3"/>
      </w:pPr>
      <w:r>
        <w:t>8.4</w:t>
      </w:r>
      <w:r w:rsidR="0004301E">
        <w:t>0</w:t>
      </w:r>
      <w:r>
        <w:t>.3 Possession of Inside Information</w:t>
      </w:r>
    </w:p>
    <w:p w14:paraId="5C209BE5" w14:textId="77777777" w:rsidR="001C289F" w:rsidRPr="00B079F1" w:rsidRDefault="001C289F" w:rsidP="001C289F">
      <w:pPr>
        <w:pStyle w:val="Normal10"/>
        <w:spacing w:before="0" w:beforeAutospacing="0" w:after="0" w:afterAutospacing="0"/>
        <w:ind w:left="270"/>
      </w:pPr>
      <w:r w:rsidRPr="00B079F1">
        <w:t>It is not illegal to learn inside information. The Company may learn material non-public information from its customers and is permitted to use that information in a lawful manner to advise and assist them. It is, however, illegal to trade on such information or to pass it on to others who have no legitimate business reason for receiving such information.</w:t>
      </w:r>
    </w:p>
    <w:p w14:paraId="6A09971A" w14:textId="77777777" w:rsidR="001C289F" w:rsidRPr="00B079F1" w:rsidRDefault="001C289F" w:rsidP="001C289F">
      <w:pPr>
        <w:pStyle w:val="Normal10"/>
        <w:spacing w:before="0" w:beforeAutospacing="0" w:after="0" w:afterAutospacing="0"/>
        <w:ind w:left="270"/>
      </w:pPr>
      <w:r w:rsidRPr="00B079F1">
        <w:t>If any Associated Persons believe they have learned inside information, other than in the ordinary course of business (such as investment bankers who learn inside information when working on an engagement), contact Compliance immediately so that the insider trading issues may be addressed and preserve the integrity of the Company's activities. Do not trade on the information or discuss the possible inside information with any other person at the Company. Advise Compliance immediately if a breach of these policies or o</w:t>
      </w:r>
      <w:r w:rsidR="00684BE5" w:rsidRPr="00B079F1">
        <w:t>f a leak of inside information occurs.</w:t>
      </w:r>
    </w:p>
    <w:p w14:paraId="0CF6A467" w14:textId="77777777" w:rsidR="00C41187" w:rsidRPr="00B079F1" w:rsidRDefault="00C41187" w:rsidP="001C289F">
      <w:pPr>
        <w:pStyle w:val="Normal10"/>
        <w:spacing w:before="0" w:beforeAutospacing="0" w:after="0" w:afterAutospacing="0"/>
        <w:ind w:left="270"/>
      </w:pPr>
    </w:p>
    <w:p w14:paraId="6D0DC2BB" w14:textId="77777777" w:rsidR="00C41187" w:rsidRPr="00B079F1" w:rsidRDefault="00C41187" w:rsidP="00C41187">
      <w:pPr>
        <w:pStyle w:val="Heading3"/>
      </w:pPr>
      <w:r w:rsidRPr="00B079F1">
        <w:t>8.4</w:t>
      </w:r>
      <w:r w:rsidR="0004301E">
        <w:t>0</w:t>
      </w:r>
      <w:r w:rsidRPr="00B079F1">
        <w:t>.4 Review and Supervision</w:t>
      </w:r>
    </w:p>
    <w:p w14:paraId="43F46C6E" w14:textId="77777777" w:rsidR="00C41187" w:rsidRPr="00B079F1" w:rsidRDefault="00C41187" w:rsidP="00C41187">
      <w:pPr>
        <w:ind w:left="270"/>
        <w:rPr>
          <w:sz w:val="24"/>
          <w:szCs w:val="24"/>
        </w:rPr>
      </w:pPr>
      <w:r w:rsidRPr="00B079F1">
        <w:rPr>
          <w:sz w:val="24"/>
          <w:szCs w:val="24"/>
        </w:rPr>
        <w:t xml:space="preserve">Compliance will implement the following procedures to ensure Company’s compliance with the laws </w:t>
      </w:r>
      <w:r w:rsidR="00A90EFD" w:rsidRPr="00B079F1">
        <w:rPr>
          <w:sz w:val="24"/>
          <w:szCs w:val="24"/>
        </w:rPr>
        <w:t>and regulations</w:t>
      </w:r>
      <w:r w:rsidRPr="00B079F1">
        <w:rPr>
          <w:sz w:val="24"/>
          <w:szCs w:val="24"/>
        </w:rPr>
        <w:t>:</w:t>
      </w:r>
    </w:p>
    <w:p w14:paraId="12F09267" w14:textId="77777777" w:rsidR="00C41187" w:rsidRPr="00B079F1" w:rsidRDefault="00C41187" w:rsidP="00C41187">
      <w:pPr>
        <w:ind w:left="270"/>
        <w:rPr>
          <w:sz w:val="24"/>
          <w:szCs w:val="24"/>
        </w:rPr>
      </w:pPr>
    </w:p>
    <w:p w14:paraId="322D361C" w14:textId="77777777" w:rsidR="00C41187" w:rsidRPr="00B079F1" w:rsidRDefault="00C41187" w:rsidP="003E7B18">
      <w:pPr>
        <w:numPr>
          <w:ilvl w:val="0"/>
          <w:numId w:val="190"/>
        </w:numPr>
        <w:ind w:left="900" w:hanging="270"/>
        <w:rPr>
          <w:sz w:val="24"/>
          <w:szCs w:val="24"/>
        </w:rPr>
      </w:pPr>
      <w:r w:rsidRPr="00B079F1">
        <w:rPr>
          <w:sz w:val="24"/>
          <w:szCs w:val="24"/>
        </w:rPr>
        <w:t>Review trades against any restricted or watch list to identify any potential breaches</w:t>
      </w:r>
      <w:r w:rsidR="00A90EFD" w:rsidRPr="00B079F1">
        <w:rPr>
          <w:sz w:val="24"/>
          <w:szCs w:val="24"/>
        </w:rPr>
        <w:t xml:space="preserve"> which will be evidenced by </w:t>
      </w:r>
      <w:r w:rsidR="000B5012" w:rsidRPr="00B079F1">
        <w:rPr>
          <w:sz w:val="24"/>
          <w:szCs w:val="24"/>
        </w:rPr>
        <w:t>reviewers’</w:t>
      </w:r>
      <w:r w:rsidR="00A90EFD" w:rsidRPr="00B079F1">
        <w:rPr>
          <w:sz w:val="24"/>
          <w:szCs w:val="24"/>
        </w:rPr>
        <w:t xml:space="preserve"> initials on daily blotters;</w:t>
      </w:r>
    </w:p>
    <w:p w14:paraId="0B81AEF6" w14:textId="77777777" w:rsidR="00C41187" w:rsidRPr="00B079F1" w:rsidRDefault="00C41187" w:rsidP="003E7B18">
      <w:pPr>
        <w:numPr>
          <w:ilvl w:val="0"/>
          <w:numId w:val="190"/>
        </w:numPr>
        <w:ind w:left="900" w:hanging="270"/>
        <w:rPr>
          <w:sz w:val="24"/>
          <w:szCs w:val="24"/>
        </w:rPr>
      </w:pPr>
      <w:r w:rsidRPr="00B079F1">
        <w:rPr>
          <w:sz w:val="24"/>
          <w:szCs w:val="24"/>
        </w:rPr>
        <w:t>Investigate any reported or discovered breaches and take any corrective action, including:</w:t>
      </w:r>
    </w:p>
    <w:p w14:paraId="0921BE3B" w14:textId="77777777" w:rsidR="00C41187" w:rsidRPr="00B079F1" w:rsidRDefault="00C41187" w:rsidP="003E7B18">
      <w:pPr>
        <w:numPr>
          <w:ilvl w:val="0"/>
          <w:numId w:val="191"/>
        </w:numPr>
        <w:rPr>
          <w:sz w:val="24"/>
          <w:szCs w:val="24"/>
        </w:rPr>
      </w:pPr>
      <w:r w:rsidRPr="00B079F1">
        <w:rPr>
          <w:sz w:val="24"/>
          <w:szCs w:val="24"/>
        </w:rPr>
        <w:t>Contact with affected personnel;</w:t>
      </w:r>
    </w:p>
    <w:p w14:paraId="6E8B8D03" w14:textId="77777777" w:rsidR="00C41187" w:rsidRPr="00B079F1" w:rsidRDefault="00A90EFD" w:rsidP="003E7B18">
      <w:pPr>
        <w:numPr>
          <w:ilvl w:val="0"/>
          <w:numId w:val="191"/>
        </w:numPr>
        <w:rPr>
          <w:sz w:val="24"/>
          <w:szCs w:val="24"/>
        </w:rPr>
      </w:pPr>
      <w:r w:rsidRPr="00B079F1">
        <w:rPr>
          <w:sz w:val="24"/>
          <w:szCs w:val="24"/>
        </w:rPr>
        <w:t>Consultation with inside or outside counsel;</w:t>
      </w:r>
    </w:p>
    <w:p w14:paraId="7AAD930A" w14:textId="77777777" w:rsidR="00A90EFD" w:rsidRPr="00B079F1" w:rsidRDefault="00A90EFD" w:rsidP="003E7B18">
      <w:pPr>
        <w:numPr>
          <w:ilvl w:val="0"/>
          <w:numId w:val="191"/>
        </w:numPr>
        <w:rPr>
          <w:sz w:val="24"/>
          <w:szCs w:val="24"/>
        </w:rPr>
      </w:pPr>
      <w:r w:rsidRPr="00B079F1">
        <w:rPr>
          <w:sz w:val="24"/>
          <w:szCs w:val="24"/>
        </w:rPr>
        <w:t>Refer to regulators any applicable information;</w:t>
      </w:r>
    </w:p>
    <w:p w14:paraId="6FEED6A6" w14:textId="77777777" w:rsidR="00A90EFD" w:rsidRPr="00B079F1" w:rsidRDefault="00A90EFD" w:rsidP="003E7B18">
      <w:pPr>
        <w:numPr>
          <w:ilvl w:val="0"/>
          <w:numId w:val="191"/>
        </w:numPr>
        <w:rPr>
          <w:sz w:val="24"/>
          <w:szCs w:val="24"/>
        </w:rPr>
      </w:pPr>
      <w:r w:rsidRPr="00B079F1">
        <w:rPr>
          <w:sz w:val="24"/>
          <w:szCs w:val="24"/>
        </w:rPr>
        <w:t>Administer any necessary disciplinary action;</w:t>
      </w:r>
    </w:p>
    <w:p w14:paraId="38AD8D6D" w14:textId="77777777" w:rsidR="00A90EFD" w:rsidRPr="00B079F1" w:rsidRDefault="00A90EFD" w:rsidP="003E7B18">
      <w:pPr>
        <w:numPr>
          <w:ilvl w:val="0"/>
          <w:numId w:val="191"/>
        </w:numPr>
        <w:ind w:left="1440" w:hanging="180"/>
        <w:rPr>
          <w:sz w:val="24"/>
          <w:szCs w:val="24"/>
        </w:rPr>
      </w:pPr>
      <w:r w:rsidRPr="00B079F1">
        <w:rPr>
          <w:sz w:val="24"/>
          <w:szCs w:val="24"/>
        </w:rPr>
        <w:t>Document the investigation in a report to be maintained as part of Company’s books and records</w:t>
      </w:r>
    </w:p>
    <w:p w14:paraId="75175075" w14:textId="77777777" w:rsidR="00C41187" w:rsidRPr="00B079F1" w:rsidRDefault="00EC0B13" w:rsidP="00EC0B13">
      <w:pPr>
        <w:ind w:left="900" w:hanging="270"/>
        <w:rPr>
          <w:sz w:val="24"/>
          <w:szCs w:val="24"/>
        </w:rPr>
      </w:pPr>
      <w:r w:rsidRPr="00B079F1">
        <w:rPr>
          <w:sz w:val="24"/>
          <w:szCs w:val="24"/>
        </w:rPr>
        <w:lastRenderedPageBreak/>
        <w:t>3.  Provide initial training of regulations and Company’s policies for newly hired Associated Persons and annually thereafter.  Training will be evidenced by the Insider Trading Acknowledgment Form.</w:t>
      </w:r>
    </w:p>
    <w:p w14:paraId="1A768BBF" w14:textId="77777777" w:rsidR="001C289F" w:rsidRPr="00B079F1" w:rsidRDefault="001C289F" w:rsidP="00C41187">
      <w:pPr>
        <w:ind w:left="270"/>
      </w:pPr>
    </w:p>
    <w:p w14:paraId="50DBDFF3" w14:textId="77777777" w:rsidR="0037510E" w:rsidRPr="00B079F1" w:rsidRDefault="0037510E" w:rsidP="000810AD">
      <w:pPr>
        <w:ind w:left="270"/>
        <w:jc w:val="both"/>
        <w:rPr>
          <w:b/>
          <w:sz w:val="24"/>
          <w:u w:val="double"/>
        </w:rPr>
      </w:pPr>
    </w:p>
    <w:p w14:paraId="1E2B44A5" w14:textId="77777777" w:rsidR="00EB2965" w:rsidRDefault="00EB2965" w:rsidP="00936FEE">
      <w:pPr>
        <w:pStyle w:val="Heading2"/>
      </w:pPr>
      <w:r>
        <w:t>8.</w:t>
      </w:r>
      <w:r w:rsidR="00CA1E14">
        <w:t>4</w:t>
      </w:r>
      <w:r w:rsidR="0004301E">
        <w:t>1</w:t>
      </w:r>
      <w:r>
        <w:t xml:space="preserve"> New Product Procedures</w:t>
      </w:r>
    </w:p>
    <w:p w14:paraId="7CF53FD6" w14:textId="77777777" w:rsidR="00EB2965" w:rsidRDefault="00EB2965" w:rsidP="00EB2965">
      <w:pPr>
        <w:pStyle w:val="BodyText"/>
        <w:spacing w:before="0" w:after="0"/>
        <w:rPr>
          <w:bCs/>
        </w:rPr>
      </w:pPr>
      <w:r>
        <w:rPr>
          <w:bCs/>
        </w:rPr>
        <w:t>Company will utilize the following guidelines when offering new products.  Morris Monroe will be responsible for reviewing and approving new products and the development of these procedures designed to avoid and detect conflicts and meet any regulatory requirements.</w:t>
      </w:r>
    </w:p>
    <w:p w14:paraId="679EE309" w14:textId="77777777" w:rsidR="00EB2965" w:rsidRDefault="00EB2965" w:rsidP="00EB2965">
      <w:pPr>
        <w:pStyle w:val="BodyText"/>
        <w:spacing w:before="0" w:after="0"/>
        <w:rPr>
          <w:bCs/>
        </w:rPr>
      </w:pPr>
    </w:p>
    <w:p w14:paraId="5578B87E" w14:textId="77777777" w:rsidR="00EB2965" w:rsidRDefault="00EB2965" w:rsidP="00EB2965">
      <w:pPr>
        <w:pStyle w:val="BodyText"/>
        <w:spacing w:before="0" w:after="0"/>
        <w:rPr>
          <w:bCs/>
        </w:rPr>
      </w:pPr>
      <w:r>
        <w:rPr>
          <w:bCs/>
        </w:rPr>
        <w:t>Once the determination has been made that a product constitutes a new product to the Company or its customers (by examining criteria such as whether it is offered to a new class of investors, offered by representatives new to the product, involves material modifications to an existing product, involves material operational or sales practice changes, or involves any conflicts) a review process will be conducted to determine whether a new product will be offered for sale.</w:t>
      </w:r>
    </w:p>
    <w:p w14:paraId="134AAD04" w14:textId="77777777" w:rsidR="00EB2965" w:rsidRDefault="00EB2965" w:rsidP="00EB2965">
      <w:pPr>
        <w:pStyle w:val="BodyText"/>
        <w:spacing w:before="0" w:after="0"/>
        <w:rPr>
          <w:bCs/>
        </w:rPr>
      </w:pPr>
    </w:p>
    <w:p w14:paraId="32DC33DE" w14:textId="77777777" w:rsidR="00EB2965" w:rsidRDefault="00EB2965" w:rsidP="00EB2965">
      <w:pPr>
        <w:pStyle w:val="BodyText"/>
        <w:spacing w:before="0" w:after="0"/>
        <w:rPr>
          <w:bCs/>
        </w:rPr>
      </w:pPr>
      <w:r>
        <w:rPr>
          <w:bCs/>
        </w:rPr>
        <w:t>At a minimum, the following questions will be addressed and answered as part of the review process:</w:t>
      </w:r>
    </w:p>
    <w:p w14:paraId="44BE9514" w14:textId="77777777" w:rsidR="00EB2965" w:rsidRDefault="00EB2965" w:rsidP="00C1728B">
      <w:pPr>
        <w:pStyle w:val="BodyText"/>
        <w:numPr>
          <w:ilvl w:val="0"/>
          <w:numId w:val="33"/>
        </w:numPr>
        <w:rPr>
          <w:bCs/>
        </w:rPr>
      </w:pPr>
      <w:r>
        <w:rPr>
          <w:bCs/>
        </w:rPr>
        <w:t>Who is the target investor – general or limited (if limited, what are the limitations)?</w:t>
      </w:r>
    </w:p>
    <w:p w14:paraId="5E69FA67" w14:textId="77777777" w:rsidR="00EB2965" w:rsidRDefault="00EB2965" w:rsidP="00C1728B">
      <w:pPr>
        <w:pStyle w:val="BodyText"/>
        <w:numPr>
          <w:ilvl w:val="0"/>
          <w:numId w:val="33"/>
        </w:numPr>
        <w:rPr>
          <w:bCs/>
        </w:rPr>
      </w:pPr>
      <w:r>
        <w:rPr>
          <w:bCs/>
        </w:rPr>
        <w:t>Is this product only offered by the Company or is it available from other competitors?</w:t>
      </w:r>
    </w:p>
    <w:p w14:paraId="22B82EF7" w14:textId="77777777" w:rsidR="00EB2965" w:rsidRDefault="00EB2965" w:rsidP="00C1728B">
      <w:pPr>
        <w:pStyle w:val="BodyText"/>
        <w:numPr>
          <w:ilvl w:val="0"/>
          <w:numId w:val="33"/>
        </w:numPr>
        <w:rPr>
          <w:bCs/>
        </w:rPr>
      </w:pPr>
      <w:r>
        <w:rPr>
          <w:bCs/>
        </w:rPr>
        <w:t>Which representatives will offer the product and what license is required?</w:t>
      </w:r>
    </w:p>
    <w:p w14:paraId="0EEE82A4" w14:textId="22805FA7" w:rsidR="00EB2965" w:rsidRDefault="00EB2965" w:rsidP="00C1728B">
      <w:pPr>
        <w:pStyle w:val="BodyText"/>
        <w:numPr>
          <w:ilvl w:val="0"/>
          <w:numId w:val="33"/>
        </w:numPr>
        <w:rPr>
          <w:bCs/>
        </w:rPr>
      </w:pPr>
      <w:r>
        <w:rPr>
          <w:bCs/>
        </w:rPr>
        <w:t>Are there any particular conditions or limitations for the product? (only accredited or have a particular objective or risk tolerance, sophistication level, set percentage of net wealth limit, etc</w:t>
      </w:r>
      <w:r w:rsidR="000B5012">
        <w:rPr>
          <w:bCs/>
        </w:rPr>
        <w:t>.</w:t>
      </w:r>
      <w:r>
        <w:rPr>
          <w:bCs/>
        </w:rPr>
        <w:t>).</w:t>
      </w:r>
    </w:p>
    <w:p w14:paraId="6F1676F0" w14:textId="77777777" w:rsidR="00EB2965" w:rsidRDefault="00EB2965" w:rsidP="00C1728B">
      <w:pPr>
        <w:pStyle w:val="BodyText"/>
        <w:numPr>
          <w:ilvl w:val="0"/>
          <w:numId w:val="33"/>
        </w:numPr>
        <w:rPr>
          <w:bCs/>
        </w:rPr>
      </w:pPr>
      <w:r>
        <w:rPr>
          <w:bCs/>
        </w:rPr>
        <w:t>What is the products investment objective and what other products offer the same objective with similar or less risk?</w:t>
      </w:r>
    </w:p>
    <w:p w14:paraId="4BDDB937" w14:textId="77777777" w:rsidR="00EB2965" w:rsidRDefault="00EB2965" w:rsidP="00C1728B">
      <w:pPr>
        <w:pStyle w:val="BodyText"/>
        <w:numPr>
          <w:ilvl w:val="0"/>
          <w:numId w:val="33"/>
        </w:numPr>
        <w:rPr>
          <w:bCs/>
        </w:rPr>
      </w:pPr>
      <w:r>
        <w:rPr>
          <w:bCs/>
        </w:rPr>
        <w:t>What are the features of the product (benefits and risks – do the risks outweigh the benefits)?</w:t>
      </w:r>
    </w:p>
    <w:p w14:paraId="14175FB4" w14:textId="77777777" w:rsidR="00EB2965" w:rsidRDefault="00EB2965" w:rsidP="00C1728B">
      <w:pPr>
        <w:pStyle w:val="BodyText"/>
        <w:numPr>
          <w:ilvl w:val="0"/>
          <w:numId w:val="33"/>
        </w:numPr>
        <w:rPr>
          <w:bCs/>
        </w:rPr>
      </w:pPr>
      <w:r>
        <w:rPr>
          <w:bCs/>
        </w:rPr>
        <w:t>How liquid is the product and is there a secondary market?</w:t>
      </w:r>
    </w:p>
    <w:p w14:paraId="5FBF455F" w14:textId="77777777" w:rsidR="00EB2965" w:rsidRDefault="00EB2965" w:rsidP="00C1728B">
      <w:pPr>
        <w:pStyle w:val="BodyText"/>
        <w:numPr>
          <w:ilvl w:val="0"/>
          <w:numId w:val="33"/>
        </w:numPr>
        <w:rPr>
          <w:bCs/>
        </w:rPr>
      </w:pPr>
      <w:r>
        <w:rPr>
          <w:bCs/>
        </w:rPr>
        <w:t>Are there any market or performance factors that determine the product’s return?</w:t>
      </w:r>
    </w:p>
    <w:p w14:paraId="47D52434" w14:textId="77777777" w:rsidR="00EB2965" w:rsidRDefault="00EB2965" w:rsidP="00C1728B">
      <w:pPr>
        <w:pStyle w:val="BodyText"/>
        <w:numPr>
          <w:ilvl w:val="0"/>
          <w:numId w:val="33"/>
        </w:numPr>
        <w:rPr>
          <w:bCs/>
        </w:rPr>
      </w:pPr>
      <w:r>
        <w:rPr>
          <w:bCs/>
        </w:rPr>
        <w:t>What are the fees, sales charges, expenses, legal and tax implications, etc</w:t>
      </w:r>
      <w:r w:rsidR="000B5012">
        <w:rPr>
          <w:bCs/>
        </w:rPr>
        <w:t>.</w:t>
      </w:r>
      <w:r>
        <w:rPr>
          <w:bCs/>
        </w:rPr>
        <w:t xml:space="preserve"> to the investor and how do they compare to other products offered by the Company or competitors?</w:t>
      </w:r>
    </w:p>
    <w:p w14:paraId="56DABECC" w14:textId="77777777" w:rsidR="00F00379" w:rsidRDefault="00EB2965" w:rsidP="00C1728B">
      <w:pPr>
        <w:pStyle w:val="BodyText"/>
        <w:numPr>
          <w:ilvl w:val="0"/>
          <w:numId w:val="33"/>
        </w:numPr>
        <w:rPr>
          <w:bCs/>
        </w:rPr>
      </w:pPr>
      <w:r>
        <w:rPr>
          <w:bCs/>
        </w:rPr>
        <w:t>What is the compensation to representatives</w:t>
      </w:r>
      <w:r w:rsidR="00F00379">
        <w:rPr>
          <w:bCs/>
        </w:rPr>
        <w:t xml:space="preserve"> </w:t>
      </w:r>
      <w:r w:rsidR="00F00379" w:rsidRPr="00DC3A89">
        <w:t>and does the compensation comply with the "best interests" requirement of the Fiduciary Rule</w:t>
      </w:r>
      <w:r>
        <w:rPr>
          <w:bCs/>
        </w:rPr>
        <w:t>?</w:t>
      </w:r>
      <w:r w:rsidR="00F00379">
        <w:rPr>
          <w:bCs/>
        </w:rPr>
        <w:t xml:space="preserve">  </w:t>
      </w:r>
    </w:p>
    <w:p w14:paraId="20D68522" w14:textId="77777777" w:rsidR="00EB2965" w:rsidRPr="00DC3A89" w:rsidRDefault="00F00379" w:rsidP="00C1728B">
      <w:pPr>
        <w:pStyle w:val="BodyText"/>
        <w:numPr>
          <w:ilvl w:val="0"/>
          <w:numId w:val="33"/>
        </w:numPr>
        <w:rPr>
          <w:bCs/>
        </w:rPr>
      </w:pPr>
      <w:r w:rsidRPr="00DC3A89">
        <w:t xml:space="preserve">Does the product/service fall under the BIC or another exemption </w:t>
      </w:r>
      <w:r w:rsidR="00051F27" w:rsidRPr="00DC3A89">
        <w:t xml:space="preserve">(when applicable) </w:t>
      </w:r>
      <w:r w:rsidRPr="00DC3A89">
        <w:t xml:space="preserve">and/or should </w:t>
      </w:r>
      <w:r w:rsidR="00370616" w:rsidRPr="00DC3A89">
        <w:t>any notification</w:t>
      </w:r>
      <w:r w:rsidRPr="00DC3A89">
        <w:t xml:space="preserve"> be made to RRs and supervisors regarding requirements specific to the product/service (BIC, </w:t>
      </w:r>
      <w:r w:rsidRPr="00DC3A89">
        <w:rPr>
          <w:i/>
          <w:iCs/>
        </w:rPr>
        <w:t>etc.</w:t>
      </w:r>
      <w:r w:rsidRPr="00DC3A89">
        <w:t>)?</w:t>
      </w:r>
    </w:p>
    <w:p w14:paraId="60BE27D7" w14:textId="77777777" w:rsidR="00EB2965" w:rsidRDefault="00EB2965" w:rsidP="00C1728B">
      <w:pPr>
        <w:pStyle w:val="BodyText"/>
        <w:numPr>
          <w:ilvl w:val="0"/>
          <w:numId w:val="33"/>
        </w:numPr>
        <w:rPr>
          <w:bCs/>
        </w:rPr>
      </w:pPr>
      <w:r>
        <w:rPr>
          <w:bCs/>
        </w:rPr>
        <w:t>Are there any conflicts of interest arising from the sale of the product between the customer and representative or the Company?  If any exist, how will they be addressed and/or disclosed to the potential investor?</w:t>
      </w:r>
    </w:p>
    <w:p w14:paraId="7A0B4FAC" w14:textId="0CF4630A" w:rsidR="00EB2965" w:rsidRDefault="00EB2965" w:rsidP="00C1728B">
      <w:pPr>
        <w:pStyle w:val="BodyText"/>
        <w:numPr>
          <w:ilvl w:val="0"/>
          <w:numId w:val="33"/>
        </w:numPr>
        <w:rPr>
          <w:bCs/>
        </w:rPr>
      </w:pPr>
      <w:r>
        <w:rPr>
          <w:bCs/>
        </w:rPr>
        <w:t xml:space="preserve">What is the complexity of the product and how does that affect both the potential investor’s understanding, </w:t>
      </w:r>
      <w:r w:rsidR="00C27C1A" w:rsidRPr="00C27C1A">
        <w:rPr>
          <w:bCs/>
          <w:color w:val="FF0000"/>
        </w:rPr>
        <w:t>best interest</w:t>
      </w:r>
      <w:r>
        <w:rPr>
          <w:bCs/>
        </w:rPr>
        <w:t>, and/or training of the product?</w:t>
      </w:r>
    </w:p>
    <w:p w14:paraId="1EFC8142" w14:textId="77777777" w:rsidR="00EB2965" w:rsidRDefault="00EB2965" w:rsidP="00C1728B">
      <w:pPr>
        <w:pStyle w:val="BodyText"/>
        <w:numPr>
          <w:ilvl w:val="0"/>
          <w:numId w:val="33"/>
        </w:numPr>
        <w:rPr>
          <w:bCs/>
        </w:rPr>
      </w:pPr>
      <w:r>
        <w:rPr>
          <w:bCs/>
        </w:rPr>
        <w:t>How will the Company and its representatives market the new product?</w:t>
      </w:r>
    </w:p>
    <w:p w14:paraId="57F7798C" w14:textId="77777777" w:rsidR="00EB2965" w:rsidRDefault="00EB2965" w:rsidP="00C1728B">
      <w:pPr>
        <w:pStyle w:val="BodyText"/>
        <w:numPr>
          <w:ilvl w:val="0"/>
          <w:numId w:val="33"/>
        </w:numPr>
        <w:rPr>
          <w:bCs/>
        </w:rPr>
      </w:pPr>
      <w:r>
        <w:rPr>
          <w:bCs/>
        </w:rPr>
        <w:lastRenderedPageBreak/>
        <w:t>Is there a specific time period for the product or will it be offered continuously?  If continuous, what periodic review or monitoring must be conducted if the product is approved?</w:t>
      </w:r>
    </w:p>
    <w:p w14:paraId="4BFECF05" w14:textId="77777777" w:rsidR="00EB2965" w:rsidRDefault="00EB2965" w:rsidP="00C1728B">
      <w:pPr>
        <w:pStyle w:val="BodyText"/>
        <w:numPr>
          <w:ilvl w:val="0"/>
          <w:numId w:val="33"/>
        </w:numPr>
        <w:rPr>
          <w:bCs/>
        </w:rPr>
      </w:pPr>
      <w:r>
        <w:rPr>
          <w:bCs/>
        </w:rPr>
        <w:t>Is there a Company Product Disclosure Form or a Product Sponsor disclosure form that will be provided to the potential investor to disclose risks, charges, fees, etc</w:t>
      </w:r>
      <w:r w:rsidR="000B5012">
        <w:rPr>
          <w:bCs/>
        </w:rPr>
        <w:t>.</w:t>
      </w:r>
      <w:r>
        <w:rPr>
          <w:bCs/>
        </w:rPr>
        <w:t>?</w:t>
      </w:r>
    </w:p>
    <w:p w14:paraId="0958C085" w14:textId="77777777" w:rsidR="00EB2965" w:rsidRDefault="00EB2965" w:rsidP="00C1728B">
      <w:pPr>
        <w:pStyle w:val="BodyText"/>
        <w:numPr>
          <w:ilvl w:val="0"/>
          <w:numId w:val="33"/>
        </w:numPr>
        <w:rPr>
          <w:bCs/>
        </w:rPr>
      </w:pPr>
      <w:r>
        <w:rPr>
          <w:bCs/>
        </w:rPr>
        <w:t>What product or sales material will be provided?</w:t>
      </w:r>
    </w:p>
    <w:p w14:paraId="2CDE6FA8" w14:textId="77777777" w:rsidR="00EB2965" w:rsidRDefault="00EB2965" w:rsidP="00C1728B">
      <w:pPr>
        <w:pStyle w:val="BodyText"/>
        <w:numPr>
          <w:ilvl w:val="0"/>
          <w:numId w:val="33"/>
        </w:numPr>
        <w:rPr>
          <w:bCs/>
        </w:rPr>
      </w:pPr>
      <w:r>
        <w:rPr>
          <w:bCs/>
        </w:rPr>
        <w:t>Are there any other individuals assessing the new product’s features and complexity and what are their qualifications?</w:t>
      </w:r>
    </w:p>
    <w:p w14:paraId="6C6E427E" w14:textId="77777777" w:rsidR="00EB2965" w:rsidRDefault="00EB2965" w:rsidP="00C1728B">
      <w:pPr>
        <w:pStyle w:val="BodyText"/>
        <w:numPr>
          <w:ilvl w:val="0"/>
          <w:numId w:val="33"/>
        </w:numPr>
        <w:rPr>
          <w:bCs/>
        </w:rPr>
      </w:pPr>
      <w:r>
        <w:rPr>
          <w:bCs/>
        </w:rPr>
        <w:t>Will there be any initial or ongoing training for representatives, back office, principals, etc. (when and how)?</w:t>
      </w:r>
    </w:p>
    <w:p w14:paraId="5CF9BA08" w14:textId="77777777" w:rsidR="00EB2965" w:rsidRDefault="00EB2965" w:rsidP="00C1728B">
      <w:pPr>
        <w:pStyle w:val="BodyText"/>
        <w:numPr>
          <w:ilvl w:val="0"/>
          <w:numId w:val="33"/>
        </w:numPr>
        <w:rPr>
          <w:bCs/>
        </w:rPr>
      </w:pPr>
      <w:r>
        <w:rPr>
          <w:bCs/>
        </w:rPr>
        <w:t xml:space="preserve">Will the Company current systems support the new </w:t>
      </w:r>
      <w:r w:rsidR="000B5012">
        <w:rPr>
          <w:bCs/>
        </w:rPr>
        <w:t>product,</w:t>
      </w:r>
      <w:r>
        <w:rPr>
          <w:bCs/>
        </w:rPr>
        <w:t xml:space="preserve"> or will new ones have to </w:t>
      </w:r>
      <w:r w:rsidR="000446EE">
        <w:rPr>
          <w:bCs/>
        </w:rPr>
        <w:t>be created</w:t>
      </w:r>
      <w:r>
        <w:rPr>
          <w:bCs/>
        </w:rPr>
        <w:t xml:space="preserve"> and initiated?</w:t>
      </w:r>
    </w:p>
    <w:p w14:paraId="7362B239" w14:textId="77777777" w:rsidR="00EB2965" w:rsidRDefault="00EB2965" w:rsidP="00C1728B">
      <w:pPr>
        <w:pStyle w:val="BodyText"/>
        <w:numPr>
          <w:ilvl w:val="0"/>
          <w:numId w:val="33"/>
        </w:numPr>
        <w:rPr>
          <w:bCs/>
        </w:rPr>
      </w:pPr>
      <w:r>
        <w:rPr>
          <w:bCs/>
        </w:rPr>
        <w:t xml:space="preserve">Are there any conditions that must exist for the continuation of the product? </w:t>
      </w:r>
    </w:p>
    <w:p w14:paraId="2C5C356F" w14:textId="77777777" w:rsidR="00EB2965" w:rsidRDefault="00EB2965" w:rsidP="00C1728B">
      <w:pPr>
        <w:pStyle w:val="BodyText"/>
        <w:numPr>
          <w:ilvl w:val="0"/>
          <w:numId w:val="33"/>
        </w:numPr>
        <w:rPr>
          <w:bCs/>
        </w:rPr>
      </w:pPr>
      <w:r>
        <w:rPr>
          <w:bCs/>
        </w:rPr>
        <w:t>What are the regulatory requirements or implications surrounding the new product?</w:t>
      </w:r>
    </w:p>
    <w:p w14:paraId="687ABF8F" w14:textId="77777777" w:rsidR="00EB2965" w:rsidRDefault="00EB2965" w:rsidP="00C1728B">
      <w:pPr>
        <w:pStyle w:val="BodyText"/>
        <w:numPr>
          <w:ilvl w:val="0"/>
          <w:numId w:val="33"/>
        </w:numPr>
        <w:rPr>
          <w:bCs/>
        </w:rPr>
      </w:pPr>
      <w:r>
        <w:rPr>
          <w:bCs/>
        </w:rPr>
        <w:t>Are there any other issues that need to be addressed that may be specific to this new product?</w:t>
      </w:r>
    </w:p>
    <w:p w14:paraId="4813C1CB" w14:textId="77777777" w:rsidR="00EB2965" w:rsidRDefault="00EB2965" w:rsidP="00EB2965">
      <w:pPr>
        <w:pStyle w:val="BodyText"/>
        <w:spacing w:before="0" w:after="0"/>
        <w:rPr>
          <w:bCs/>
        </w:rPr>
      </w:pPr>
      <w:r>
        <w:rPr>
          <w:bCs/>
        </w:rPr>
        <w:t xml:space="preserve">The review conducted by the Company (and the subsequent outcome) will be maintained as part of its books and records for as long as the new product is offered and then for a period of three years thereafter.  </w:t>
      </w:r>
    </w:p>
    <w:p w14:paraId="38FE515A" w14:textId="77777777" w:rsidR="00EB2965" w:rsidRDefault="00EB2965" w:rsidP="00EB2965">
      <w:pPr>
        <w:pStyle w:val="BodyText"/>
        <w:spacing w:before="0" w:after="0"/>
        <w:rPr>
          <w:bCs/>
        </w:rPr>
      </w:pPr>
    </w:p>
    <w:p w14:paraId="0F83C3EA" w14:textId="77777777" w:rsidR="00EB2965" w:rsidRDefault="00EB2965" w:rsidP="00EB2965">
      <w:pPr>
        <w:pStyle w:val="BodyText"/>
        <w:spacing w:before="0" w:after="0"/>
        <w:rPr>
          <w:bCs/>
        </w:rPr>
      </w:pPr>
      <w:r>
        <w:rPr>
          <w:bCs/>
        </w:rPr>
        <w:t xml:space="preserve">In addition to the above review, any new product offered will have a section added to these Written Supervisory Procedures for representatives and other employees to follow applicable procedures for offering the product.  </w:t>
      </w:r>
    </w:p>
    <w:p w14:paraId="4CFF8FCB" w14:textId="77777777" w:rsidR="00EB2965" w:rsidRDefault="00EB2965" w:rsidP="00EB2965"/>
    <w:p w14:paraId="033C49E6" w14:textId="77777777" w:rsidR="00EB2965" w:rsidRDefault="00EB2965" w:rsidP="00EB2965"/>
    <w:p w14:paraId="3AEBA64A" w14:textId="77777777" w:rsidR="00C734E9" w:rsidRDefault="000810AD" w:rsidP="00936FEE">
      <w:pPr>
        <w:pStyle w:val="Heading2"/>
      </w:pPr>
      <w:r>
        <w:t>8.4</w:t>
      </w:r>
      <w:r w:rsidR="0004301E">
        <w:t>2</w:t>
      </w:r>
      <w:r w:rsidR="0037510E">
        <w:t xml:space="preserve"> </w:t>
      </w:r>
      <w:r w:rsidR="00C734E9">
        <w:t>Options</w:t>
      </w:r>
    </w:p>
    <w:p w14:paraId="7D574564" w14:textId="77777777" w:rsidR="00C734E9" w:rsidRPr="00572C29" w:rsidRDefault="00C734E9" w:rsidP="00C734E9">
      <w:pPr>
        <w:shd w:val="clear" w:color="auto" w:fill="FFFFFF"/>
        <w:jc w:val="both"/>
        <w:rPr>
          <w:color w:val="000000" w:themeColor="text1"/>
          <w:spacing w:val="8"/>
          <w:sz w:val="24"/>
          <w:szCs w:val="24"/>
        </w:rPr>
      </w:pPr>
      <w:r w:rsidRPr="00612826">
        <w:rPr>
          <w:spacing w:val="8"/>
          <w:sz w:val="24"/>
          <w:szCs w:val="24"/>
        </w:rPr>
        <w:t>Company is currently not offering options</w:t>
      </w:r>
      <w:r>
        <w:rPr>
          <w:color w:val="000000"/>
          <w:spacing w:val="8"/>
          <w:sz w:val="24"/>
          <w:szCs w:val="24"/>
        </w:rPr>
        <w:t xml:space="preserve">; however, </w:t>
      </w:r>
      <w:r w:rsidRPr="00572C29">
        <w:rPr>
          <w:color w:val="000000" w:themeColor="text1"/>
          <w:spacing w:val="8"/>
          <w:sz w:val="24"/>
          <w:szCs w:val="24"/>
        </w:rPr>
        <w:t>will outline requirements when offering options in the future to customers. Key requirements will include the following:</w:t>
      </w:r>
    </w:p>
    <w:p w14:paraId="180DFC60" w14:textId="77777777" w:rsidR="000B5012" w:rsidRPr="00572C29" w:rsidRDefault="000B5012" w:rsidP="00C1728B">
      <w:pPr>
        <w:numPr>
          <w:ilvl w:val="0"/>
          <w:numId w:val="84"/>
        </w:numPr>
        <w:shd w:val="clear" w:color="auto" w:fill="FFFFFF"/>
        <w:jc w:val="both"/>
        <w:rPr>
          <w:color w:val="000000" w:themeColor="text1"/>
          <w:spacing w:val="8"/>
          <w:sz w:val="24"/>
          <w:szCs w:val="24"/>
        </w:rPr>
      </w:pPr>
      <w:r w:rsidRPr="00572C29">
        <w:rPr>
          <w:color w:val="000000" w:themeColor="text1"/>
          <w:spacing w:val="8"/>
          <w:sz w:val="24"/>
          <w:szCs w:val="24"/>
        </w:rPr>
        <w:t>Appoint an Options Principal to supervise options activity;</w:t>
      </w:r>
    </w:p>
    <w:p w14:paraId="6B97A9D7" w14:textId="77777777" w:rsidR="00C734E9" w:rsidRPr="00572C29" w:rsidRDefault="00C734E9" w:rsidP="00C1728B">
      <w:pPr>
        <w:numPr>
          <w:ilvl w:val="0"/>
          <w:numId w:val="84"/>
        </w:numPr>
        <w:shd w:val="clear" w:color="auto" w:fill="FFFFFF"/>
        <w:jc w:val="both"/>
        <w:rPr>
          <w:color w:val="000000" w:themeColor="text1"/>
          <w:spacing w:val="8"/>
          <w:sz w:val="24"/>
          <w:szCs w:val="24"/>
        </w:rPr>
      </w:pPr>
      <w:r w:rsidRPr="00572C29">
        <w:rPr>
          <w:color w:val="000000" w:themeColor="text1"/>
          <w:spacing w:val="8"/>
          <w:sz w:val="24"/>
          <w:szCs w:val="24"/>
        </w:rPr>
        <w:t>RRs and supervisors must be registered to sell and supervise options</w:t>
      </w:r>
      <w:r w:rsidR="000B5012" w:rsidRPr="00572C29">
        <w:rPr>
          <w:color w:val="000000" w:themeColor="text1"/>
          <w:spacing w:val="8"/>
          <w:sz w:val="24"/>
          <w:szCs w:val="24"/>
        </w:rPr>
        <w:t>;</w:t>
      </w:r>
      <w:r w:rsidRPr="00572C29">
        <w:rPr>
          <w:color w:val="000000" w:themeColor="text1"/>
          <w:spacing w:val="8"/>
          <w:sz w:val="24"/>
          <w:szCs w:val="24"/>
        </w:rPr>
        <w:t xml:space="preserve"> </w:t>
      </w:r>
    </w:p>
    <w:p w14:paraId="345B9B70" w14:textId="77777777" w:rsidR="00C734E9" w:rsidRPr="00572C29" w:rsidRDefault="00C734E9" w:rsidP="00C1728B">
      <w:pPr>
        <w:numPr>
          <w:ilvl w:val="0"/>
          <w:numId w:val="84"/>
        </w:numPr>
        <w:shd w:val="clear" w:color="auto" w:fill="FFFFFF"/>
        <w:jc w:val="both"/>
        <w:rPr>
          <w:color w:val="000000" w:themeColor="text1"/>
          <w:spacing w:val="8"/>
          <w:sz w:val="24"/>
          <w:szCs w:val="24"/>
        </w:rPr>
      </w:pPr>
      <w:r w:rsidRPr="00572C29">
        <w:rPr>
          <w:color w:val="000000" w:themeColor="text1"/>
          <w:spacing w:val="8"/>
          <w:sz w:val="24"/>
          <w:szCs w:val="24"/>
        </w:rPr>
        <w:t>Customers must submit an option agreement, and accounts must be approved for options trading levels</w:t>
      </w:r>
      <w:r w:rsidR="000B5012" w:rsidRPr="00572C29">
        <w:rPr>
          <w:color w:val="000000" w:themeColor="text1"/>
          <w:spacing w:val="8"/>
          <w:sz w:val="24"/>
          <w:szCs w:val="24"/>
        </w:rPr>
        <w:t>;</w:t>
      </w:r>
      <w:r w:rsidRPr="00572C29">
        <w:rPr>
          <w:color w:val="000000" w:themeColor="text1"/>
          <w:spacing w:val="8"/>
          <w:sz w:val="24"/>
          <w:szCs w:val="24"/>
        </w:rPr>
        <w:t xml:space="preserve"> </w:t>
      </w:r>
    </w:p>
    <w:p w14:paraId="3966D4C1" w14:textId="77777777" w:rsidR="00C734E9" w:rsidRPr="00572C29" w:rsidRDefault="00C734E9" w:rsidP="00C1728B">
      <w:pPr>
        <w:numPr>
          <w:ilvl w:val="0"/>
          <w:numId w:val="84"/>
        </w:numPr>
        <w:shd w:val="clear" w:color="auto" w:fill="FFFFFF"/>
        <w:jc w:val="both"/>
        <w:rPr>
          <w:color w:val="000000" w:themeColor="text1"/>
          <w:spacing w:val="8"/>
          <w:sz w:val="24"/>
          <w:szCs w:val="24"/>
        </w:rPr>
      </w:pPr>
      <w:r w:rsidRPr="00572C29">
        <w:rPr>
          <w:color w:val="000000" w:themeColor="text1"/>
          <w:spacing w:val="8"/>
          <w:sz w:val="24"/>
          <w:szCs w:val="24"/>
        </w:rPr>
        <w:t>Writing uncovered options requires a separate disclosure and approval</w:t>
      </w:r>
      <w:r w:rsidR="000B5012" w:rsidRPr="00572C29">
        <w:rPr>
          <w:color w:val="000000" w:themeColor="text1"/>
          <w:spacing w:val="8"/>
          <w:sz w:val="24"/>
          <w:szCs w:val="24"/>
        </w:rPr>
        <w:t xml:space="preserve">; </w:t>
      </w:r>
      <w:r w:rsidRPr="00572C29">
        <w:rPr>
          <w:color w:val="000000" w:themeColor="text1"/>
          <w:spacing w:val="8"/>
          <w:sz w:val="24"/>
          <w:szCs w:val="24"/>
        </w:rPr>
        <w:t xml:space="preserve"> </w:t>
      </w:r>
    </w:p>
    <w:p w14:paraId="38FCCB60" w14:textId="77777777" w:rsidR="00C734E9" w:rsidRPr="00572C29" w:rsidRDefault="00C734E9" w:rsidP="00C1728B">
      <w:pPr>
        <w:numPr>
          <w:ilvl w:val="0"/>
          <w:numId w:val="84"/>
        </w:numPr>
        <w:shd w:val="clear" w:color="auto" w:fill="FFFFFF"/>
        <w:jc w:val="both"/>
        <w:rPr>
          <w:color w:val="000000" w:themeColor="text1"/>
          <w:spacing w:val="8"/>
          <w:sz w:val="24"/>
          <w:szCs w:val="24"/>
        </w:rPr>
      </w:pPr>
      <w:r w:rsidRPr="00572C29">
        <w:rPr>
          <w:color w:val="000000" w:themeColor="text1"/>
          <w:spacing w:val="8"/>
          <w:sz w:val="24"/>
          <w:szCs w:val="24"/>
        </w:rPr>
        <w:t>Customers will be provided with a standard options disclosure document when option trading is approved</w:t>
      </w:r>
      <w:r w:rsidR="000B5012" w:rsidRPr="00572C29">
        <w:rPr>
          <w:color w:val="000000" w:themeColor="text1"/>
          <w:spacing w:val="8"/>
          <w:sz w:val="24"/>
          <w:szCs w:val="24"/>
        </w:rPr>
        <w:t>;</w:t>
      </w:r>
      <w:r w:rsidRPr="00572C29">
        <w:rPr>
          <w:color w:val="000000" w:themeColor="text1"/>
          <w:spacing w:val="8"/>
          <w:sz w:val="24"/>
          <w:szCs w:val="24"/>
        </w:rPr>
        <w:t xml:space="preserve"> </w:t>
      </w:r>
    </w:p>
    <w:p w14:paraId="551304DB" w14:textId="77777777" w:rsidR="00C734E9" w:rsidRPr="00572C29" w:rsidRDefault="00C734E9" w:rsidP="00C1728B">
      <w:pPr>
        <w:numPr>
          <w:ilvl w:val="0"/>
          <w:numId w:val="84"/>
        </w:numPr>
        <w:shd w:val="clear" w:color="auto" w:fill="FFFFFF"/>
        <w:jc w:val="both"/>
        <w:rPr>
          <w:color w:val="000000" w:themeColor="text1"/>
          <w:spacing w:val="8"/>
          <w:sz w:val="24"/>
          <w:szCs w:val="24"/>
        </w:rPr>
      </w:pPr>
      <w:r w:rsidRPr="00572C29">
        <w:rPr>
          <w:color w:val="000000" w:themeColor="text1"/>
          <w:spacing w:val="8"/>
          <w:sz w:val="24"/>
          <w:szCs w:val="24"/>
        </w:rPr>
        <w:t>Customers are subject to position limits and methods of exercise disclosed in the agreement</w:t>
      </w:r>
      <w:r w:rsidR="000B5012" w:rsidRPr="00572C29">
        <w:rPr>
          <w:color w:val="000000" w:themeColor="text1"/>
          <w:spacing w:val="8"/>
          <w:sz w:val="24"/>
          <w:szCs w:val="24"/>
        </w:rPr>
        <w:t xml:space="preserve">; </w:t>
      </w:r>
      <w:r w:rsidRPr="00572C29">
        <w:rPr>
          <w:color w:val="000000" w:themeColor="text1"/>
          <w:spacing w:val="8"/>
          <w:sz w:val="24"/>
          <w:szCs w:val="24"/>
        </w:rPr>
        <w:t xml:space="preserve"> </w:t>
      </w:r>
    </w:p>
    <w:p w14:paraId="55AE1D60" w14:textId="77777777" w:rsidR="00207EE0" w:rsidRPr="00572C29" w:rsidRDefault="00C734E9" w:rsidP="00C1728B">
      <w:pPr>
        <w:numPr>
          <w:ilvl w:val="0"/>
          <w:numId w:val="84"/>
        </w:numPr>
        <w:shd w:val="clear" w:color="auto" w:fill="FFFFFF"/>
        <w:jc w:val="both"/>
        <w:rPr>
          <w:color w:val="000000" w:themeColor="text1"/>
        </w:rPr>
      </w:pPr>
      <w:r w:rsidRPr="00572C29">
        <w:rPr>
          <w:color w:val="000000" w:themeColor="text1"/>
          <w:spacing w:val="8"/>
          <w:sz w:val="24"/>
          <w:szCs w:val="24"/>
        </w:rPr>
        <w:t>Options communications require inclusion of the special risks associated with options</w:t>
      </w:r>
      <w:r w:rsidR="00207EE0" w:rsidRPr="00572C29">
        <w:rPr>
          <w:color w:val="000000" w:themeColor="text1"/>
          <w:spacing w:val="8"/>
          <w:sz w:val="24"/>
          <w:szCs w:val="24"/>
        </w:rPr>
        <w:t xml:space="preserve">; and </w:t>
      </w:r>
    </w:p>
    <w:p w14:paraId="13A9C139" w14:textId="77777777" w:rsidR="00C734E9" w:rsidRPr="00572C29" w:rsidRDefault="00207EE0" w:rsidP="00C1728B">
      <w:pPr>
        <w:numPr>
          <w:ilvl w:val="0"/>
          <w:numId w:val="84"/>
        </w:numPr>
        <w:shd w:val="clear" w:color="auto" w:fill="FFFFFF"/>
        <w:jc w:val="both"/>
        <w:rPr>
          <w:color w:val="000000" w:themeColor="text1"/>
        </w:rPr>
      </w:pPr>
      <w:r w:rsidRPr="00572C29">
        <w:rPr>
          <w:color w:val="000000" w:themeColor="text1"/>
          <w:spacing w:val="8"/>
          <w:sz w:val="24"/>
          <w:szCs w:val="24"/>
        </w:rPr>
        <w:t>C</w:t>
      </w:r>
      <w:r w:rsidR="00C734E9" w:rsidRPr="00572C29">
        <w:rPr>
          <w:color w:val="000000" w:themeColor="text1"/>
          <w:spacing w:val="8"/>
          <w:sz w:val="24"/>
          <w:szCs w:val="24"/>
        </w:rPr>
        <w:t>ompliance would have to approve any discretionary accounts that would trade options.</w:t>
      </w:r>
    </w:p>
    <w:p w14:paraId="726656E9" w14:textId="77777777" w:rsidR="00C734E9" w:rsidRDefault="00C734E9" w:rsidP="00C734E9"/>
    <w:p w14:paraId="5B21131E" w14:textId="77777777" w:rsidR="0037510E" w:rsidRPr="00E115BF" w:rsidRDefault="00C734E9" w:rsidP="00936FEE">
      <w:pPr>
        <w:pStyle w:val="Heading2"/>
      </w:pPr>
      <w:r>
        <w:lastRenderedPageBreak/>
        <w:t xml:space="preserve">8.43 </w:t>
      </w:r>
      <w:r w:rsidR="0037510E" w:rsidRPr="00E115BF">
        <w:t>Annual Review</w:t>
      </w:r>
    </w:p>
    <w:p w14:paraId="3E8E4E0D" w14:textId="0CB4F049" w:rsidR="000C099C" w:rsidRDefault="0037510E" w:rsidP="00A56826">
      <w:pPr>
        <w:pStyle w:val="BodyTextIndent3"/>
        <w:tabs>
          <w:tab w:val="num" w:pos="1080"/>
        </w:tabs>
        <w:spacing w:before="0" w:after="0"/>
        <w:ind w:left="0"/>
        <w:rPr>
          <w:b/>
        </w:rPr>
      </w:pPr>
      <w:r>
        <w:t>The Company shall review on an annual basis these Trading Policies and Procedures to ensure that they are adequate to prevent any account from being systematically disadvantaged as a result of any trade practices.</w:t>
      </w:r>
      <w:r w:rsidR="00A56826">
        <w:br w:type="page"/>
      </w:r>
    </w:p>
    <w:p w14:paraId="74552E66" w14:textId="77777777" w:rsidR="008948AD" w:rsidRDefault="008948AD" w:rsidP="008948AD">
      <w:pPr>
        <w:pStyle w:val="Heading1"/>
        <w:pBdr>
          <w:top w:val="double" w:sz="12" w:space="1" w:color="000099"/>
          <w:left w:val="double" w:sz="12" w:space="4" w:color="000099"/>
          <w:bottom w:val="double" w:sz="12" w:space="1" w:color="000099"/>
          <w:right w:val="double" w:sz="12" w:space="4" w:color="000099"/>
        </w:pBdr>
        <w:shd w:val="pct10" w:color="0000FF" w:fill="auto"/>
        <w:jc w:val="center"/>
      </w:pPr>
    </w:p>
    <w:p w14:paraId="02E1EB8E" w14:textId="77777777" w:rsidR="008948AD" w:rsidRDefault="0037510E" w:rsidP="008948AD">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130" w:name="_Toc227820426"/>
      <w:bookmarkStart w:id="131" w:name="_Toc227821705"/>
      <w:bookmarkStart w:id="132" w:name="_Toc227821824"/>
      <w:bookmarkStart w:id="133" w:name="_Toc535916174"/>
      <w:r>
        <w:t>9</w:t>
      </w:r>
      <w:r w:rsidR="00FB0641">
        <w:t>.</w:t>
      </w:r>
      <w:r w:rsidR="00FE3A30">
        <w:t xml:space="preserve">  </w:t>
      </w:r>
      <w:r w:rsidR="00124657">
        <w:t xml:space="preserve"> </w:t>
      </w:r>
      <w:r w:rsidR="00ED0825">
        <w:t xml:space="preserve"> </w:t>
      </w:r>
      <w:r w:rsidR="007C6877">
        <w:t>COMMUNICATIONS WITH THE PUBLIC</w:t>
      </w:r>
      <w:bookmarkEnd w:id="130"/>
      <w:bookmarkEnd w:id="131"/>
      <w:bookmarkEnd w:id="132"/>
      <w:bookmarkEnd w:id="133"/>
    </w:p>
    <w:p w14:paraId="30165AAA" w14:textId="77777777" w:rsidR="008948AD" w:rsidRDefault="008948AD" w:rsidP="008948AD">
      <w:pPr>
        <w:pStyle w:val="Heading1"/>
        <w:pBdr>
          <w:top w:val="double" w:sz="12" w:space="1" w:color="000099"/>
          <w:left w:val="double" w:sz="12" w:space="4" w:color="000099"/>
          <w:bottom w:val="double" w:sz="12" w:space="1" w:color="000099"/>
          <w:right w:val="double" w:sz="12" w:space="4" w:color="000099"/>
        </w:pBdr>
        <w:shd w:val="pct10" w:color="0000FF" w:fill="auto"/>
        <w:jc w:val="center"/>
      </w:pPr>
    </w:p>
    <w:p w14:paraId="64A0E873" w14:textId="77777777" w:rsidR="000C099C" w:rsidRDefault="000C099C" w:rsidP="006B12F1"/>
    <w:p w14:paraId="0C027991" w14:textId="77777777" w:rsidR="000C099C" w:rsidRDefault="000C099C" w:rsidP="006B12F1"/>
    <w:p w14:paraId="55FE77D5" w14:textId="77777777" w:rsidR="00A76FA5" w:rsidRPr="009B2B54" w:rsidRDefault="00A76FA5" w:rsidP="00936FEE">
      <w:pPr>
        <w:pStyle w:val="Heading2"/>
      </w:pPr>
      <w:r w:rsidRPr="009B2B54">
        <w:t>9.1   Introduction</w:t>
      </w:r>
    </w:p>
    <w:p w14:paraId="1E47FD26" w14:textId="682A8711" w:rsidR="00675DE4" w:rsidRPr="00217738" w:rsidRDefault="00675DE4" w:rsidP="004131CC">
      <w:pPr>
        <w:rPr>
          <w:sz w:val="24"/>
        </w:rPr>
      </w:pPr>
      <w:r>
        <w:rPr>
          <w:sz w:val="24"/>
        </w:rPr>
        <w:t xml:space="preserve">These procedures provide Company guidance and policies related to all communications with the public including correspondence, </w:t>
      </w:r>
      <w:r w:rsidR="005F60FA" w:rsidRPr="00217738">
        <w:rPr>
          <w:sz w:val="24"/>
        </w:rPr>
        <w:t>retail communication and institutional communication.</w:t>
      </w:r>
      <w:r w:rsidR="002D5AD5" w:rsidRPr="00217738">
        <w:rPr>
          <w:sz w:val="24"/>
        </w:rPr>
        <w:t xml:space="preserve"> It is the policy of the Company that all communications with the public shall be based on principles of fair dealing and good faith and shall provide a sound basis for evaluating the merits of any security or type of security, industry discussed</w:t>
      </w:r>
      <w:r w:rsidR="00702989" w:rsidRPr="00217738">
        <w:rPr>
          <w:sz w:val="24"/>
        </w:rPr>
        <w:t>,</w:t>
      </w:r>
      <w:r w:rsidR="002D5AD5" w:rsidRPr="00217738">
        <w:rPr>
          <w:sz w:val="24"/>
        </w:rPr>
        <w:t xml:space="preserve"> or service offered by the Company. No material fact or qualification may be omitted if the omission, in light of the context in which the material is presented, would cause the </w:t>
      </w:r>
      <w:r w:rsidR="005F60FA" w:rsidRPr="00217738">
        <w:rPr>
          <w:sz w:val="24"/>
        </w:rPr>
        <w:t>communication</w:t>
      </w:r>
      <w:r w:rsidR="002D5AD5" w:rsidRPr="00217738">
        <w:rPr>
          <w:sz w:val="24"/>
        </w:rPr>
        <w:t xml:space="preserve"> to be misleading. Exaggerated, unwarranted or misleading statements or claims shall not be used in any public communication made by the Company.</w:t>
      </w:r>
      <w:r w:rsidR="005F60FA" w:rsidRPr="00217738">
        <w:rPr>
          <w:sz w:val="24"/>
        </w:rPr>
        <w:t xml:space="preserve"> </w:t>
      </w:r>
      <w:r w:rsidR="002D5AD5" w:rsidRPr="00217738">
        <w:rPr>
          <w:sz w:val="24"/>
        </w:rPr>
        <w:t xml:space="preserve"> Furthermore, the Company shall not, directly or indirectly, publish, </w:t>
      </w:r>
      <w:r w:rsidR="006815E3" w:rsidRPr="00217738">
        <w:rPr>
          <w:sz w:val="24"/>
        </w:rPr>
        <w:t>circulate,</w:t>
      </w:r>
      <w:r w:rsidR="002D5AD5" w:rsidRPr="00217738">
        <w:rPr>
          <w:sz w:val="24"/>
        </w:rPr>
        <w:t xml:space="preserve"> or distribute any public communication that the Company knows or has reason to know contains any untrue statement of a material fact or is otherwise false or misleading.</w:t>
      </w:r>
    </w:p>
    <w:p w14:paraId="4AC75B51" w14:textId="77777777" w:rsidR="00B36D82" w:rsidRPr="00217738" w:rsidRDefault="00B36D82" w:rsidP="004131CC">
      <w:pPr>
        <w:rPr>
          <w:sz w:val="24"/>
        </w:rPr>
      </w:pPr>
    </w:p>
    <w:p w14:paraId="5D071B53" w14:textId="77777777" w:rsidR="004131CC" w:rsidRPr="00217738" w:rsidRDefault="004131CC" w:rsidP="002C26F2">
      <w:pPr>
        <w:shd w:val="clear" w:color="auto" w:fill="FFFFFF"/>
        <w:rPr>
          <w:spacing w:val="8"/>
          <w:sz w:val="24"/>
          <w:szCs w:val="24"/>
        </w:rPr>
      </w:pPr>
      <w:r w:rsidRPr="00217738">
        <w:rPr>
          <w:spacing w:val="8"/>
          <w:sz w:val="24"/>
          <w:szCs w:val="24"/>
        </w:rPr>
        <w:t>In general,</w:t>
      </w:r>
    </w:p>
    <w:p w14:paraId="74B02461" w14:textId="77777777" w:rsidR="004131CC" w:rsidRPr="00217738" w:rsidRDefault="004131CC" w:rsidP="003E7B18">
      <w:pPr>
        <w:numPr>
          <w:ilvl w:val="0"/>
          <w:numId w:val="202"/>
        </w:numPr>
        <w:shd w:val="clear" w:color="auto" w:fill="FFFFFF"/>
        <w:rPr>
          <w:spacing w:val="8"/>
          <w:sz w:val="24"/>
          <w:szCs w:val="24"/>
        </w:rPr>
      </w:pPr>
      <w:r w:rsidRPr="00217738">
        <w:rPr>
          <w:spacing w:val="8"/>
          <w:sz w:val="24"/>
          <w:szCs w:val="24"/>
        </w:rPr>
        <w:t xml:space="preserve">All communications must be truthful and balanced. </w:t>
      </w:r>
    </w:p>
    <w:p w14:paraId="2470864A" w14:textId="77777777" w:rsidR="004131CC" w:rsidRPr="00217738" w:rsidRDefault="004131CC" w:rsidP="003E7B18">
      <w:pPr>
        <w:numPr>
          <w:ilvl w:val="0"/>
          <w:numId w:val="202"/>
        </w:numPr>
        <w:shd w:val="clear" w:color="auto" w:fill="FFFFFF"/>
        <w:spacing w:before="100" w:beforeAutospacing="1" w:after="100" w:afterAutospacing="1" w:line="240" w:lineRule="atLeast"/>
        <w:rPr>
          <w:spacing w:val="8"/>
          <w:sz w:val="24"/>
          <w:szCs w:val="24"/>
        </w:rPr>
      </w:pPr>
      <w:r w:rsidRPr="00217738">
        <w:rPr>
          <w:spacing w:val="8"/>
          <w:sz w:val="24"/>
          <w:szCs w:val="24"/>
        </w:rPr>
        <w:t xml:space="preserve">Communications (incoming and outgoing) are subject to review by the Company. Do not expect confidentiality for any communications that are received by you or that you send from the Company. </w:t>
      </w:r>
    </w:p>
    <w:p w14:paraId="0BDC91D6" w14:textId="77777777" w:rsidR="004131CC" w:rsidRPr="00217738" w:rsidRDefault="004131CC" w:rsidP="003E7B18">
      <w:pPr>
        <w:numPr>
          <w:ilvl w:val="0"/>
          <w:numId w:val="202"/>
        </w:numPr>
        <w:shd w:val="clear" w:color="auto" w:fill="FFFFFF"/>
        <w:spacing w:before="100" w:beforeAutospacing="1" w:after="100" w:afterAutospacing="1" w:line="240" w:lineRule="atLeast"/>
        <w:rPr>
          <w:spacing w:val="8"/>
          <w:sz w:val="24"/>
          <w:szCs w:val="24"/>
        </w:rPr>
      </w:pPr>
      <w:r w:rsidRPr="00217738">
        <w:rPr>
          <w:spacing w:val="8"/>
          <w:sz w:val="24"/>
          <w:szCs w:val="24"/>
        </w:rPr>
        <w:t>Records of communications (incoming and outgoing) are retained by the Company and are subject to review by regulators and subpoena in civil actions.</w:t>
      </w:r>
    </w:p>
    <w:p w14:paraId="27D38720" w14:textId="77777777" w:rsidR="00A87CB6" w:rsidRPr="00217738" w:rsidRDefault="00A87CB6" w:rsidP="003E7B18">
      <w:pPr>
        <w:numPr>
          <w:ilvl w:val="0"/>
          <w:numId w:val="202"/>
        </w:numPr>
        <w:shd w:val="clear" w:color="auto" w:fill="FFFFFF"/>
        <w:spacing w:before="100" w:beforeAutospacing="1" w:after="100" w:afterAutospacing="1" w:line="240" w:lineRule="atLeast"/>
        <w:rPr>
          <w:spacing w:val="8"/>
          <w:sz w:val="24"/>
          <w:szCs w:val="24"/>
        </w:rPr>
      </w:pPr>
      <w:r w:rsidRPr="00217738">
        <w:rPr>
          <w:sz w:val="24"/>
          <w:szCs w:val="24"/>
        </w:rPr>
        <w:t>Public communications must be sent or transmitted only through Firm-sponsored facilities or systems. Written and electronic communications must be sent through channels that permit review by the supervisor.</w:t>
      </w:r>
    </w:p>
    <w:p w14:paraId="78F39BEE" w14:textId="77777777" w:rsidR="00B36D82" w:rsidRDefault="00B36D82" w:rsidP="002C26F2">
      <w:pPr>
        <w:spacing w:line="240" w:lineRule="atLeast"/>
        <w:rPr>
          <w:sz w:val="24"/>
        </w:rPr>
      </w:pPr>
      <w:r>
        <w:rPr>
          <w:sz w:val="24"/>
        </w:rPr>
        <w:t>Communications with the public must not contain promises of specific results, exaggerated or unwarranted claims or unwarranted superlatives, opinions for which there is no reasonable basis, or forecasts of future events which are unwarranted, or which are not clearly labeled as forecasts. In testimonials concerning the quality of investment advice, the following points must be clearly stated in the communication:</w:t>
      </w:r>
    </w:p>
    <w:p w14:paraId="34B1FA57" w14:textId="77777777" w:rsidR="00B36D82" w:rsidRDefault="00B36D82" w:rsidP="00B36D82">
      <w:pPr>
        <w:ind w:left="1440" w:hanging="720"/>
        <w:jc w:val="both"/>
        <w:rPr>
          <w:sz w:val="24"/>
        </w:rPr>
      </w:pPr>
    </w:p>
    <w:p w14:paraId="2ADD9F44" w14:textId="77777777" w:rsidR="00B36D82" w:rsidRDefault="00B36D82" w:rsidP="00B36D82">
      <w:pPr>
        <w:ind w:left="1440" w:hanging="720"/>
        <w:jc w:val="both"/>
        <w:rPr>
          <w:sz w:val="24"/>
        </w:rPr>
      </w:pPr>
      <w:r>
        <w:rPr>
          <w:sz w:val="24"/>
        </w:rPr>
        <w:t>1.</w:t>
      </w:r>
      <w:r w:rsidR="00A20043">
        <w:rPr>
          <w:sz w:val="24"/>
        </w:rPr>
        <w:t xml:space="preserve">    </w:t>
      </w:r>
      <w:r>
        <w:rPr>
          <w:sz w:val="24"/>
        </w:rPr>
        <w:t>The testimonial may not be representative of the experience of other clients;</w:t>
      </w:r>
    </w:p>
    <w:p w14:paraId="1333CE5F" w14:textId="77777777" w:rsidR="00B36D82" w:rsidRDefault="00B36D82" w:rsidP="00B36D82">
      <w:pPr>
        <w:ind w:left="1440" w:hanging="720"/>
        <w:jc w:val="both"/>
        <w:rPr>
          <w:sz w:val="24"/>
        </w:rPr>
      </w:pPr>
      <w:r>
        <w:rPr>
          <w:sz w:val="24"/>
        </w:rPr>
        <w:t>2.</w:t>
      </w:r>
      <w:r w:rsidR="00A20043">
        <w:rPr>
          <w:sz w:val="24"/>
        </w:rPr>
        <w:t xml:space="preserve">    </w:t>
      </w:r>
      <w:r>
        <w:rPr>
          <w:sz w:val="24"/>
        </w:rPr>
        <w:t>The testimonial is not indicative of future performance or success;</w:t>
      </w:r>
    </w:p>
    <w:p w14:paraId="4580BDBF" w14:textId="77777777" w:rsidR="00B36D82" w:rsidRDefault="00B36D82" w:rsidP="004131CC">
      <w:pPr>
        <w:ind w:left="1170" w:hanging="450"/>
        <w:jc w:val="both"/>
        <w:rPr>
          <w:sz w:val="24"/>
        </w:rPr>
      </w:pPr>
      <w:r>
        <w:rPr>
          <w:sz w:val="24"/>
        </w:rPr>
        <w:t>3.</w:t>
      </w:r>
      <w:r>
        <w:rPr>
          <w:sz w:val="24"/>
        </w:rPr>
        <w:tab/>
        <w:t>If more than a nominal sum is paid, the fact that it is a paid testimonial must be indicated; and</w:t>
      </w:r>
    </w:p>
    <w:p w14:paraId="76FC1ACE" w14:textId="77777777" w:rsidR="00B36D82" w:rsidRDefault="00B36D82" w:rsidP="004131CC">
      <w:pPr>
        <w:ind w:left="1170" w:hanging="450"/>
        <w:jc w:val="both"/>
        <w:rPr>
          <w:sz w:val="24"/>
        </w:rPr>
      </w:pPr>
      <w:r>
        <w:rPr>
          <w:sz w:val="24"/>
        </w:rPr>
        <w:t>4.</w:t>
      </w:r>
      <w:r>
        <w:rPr>
          <w:sz w:val="24"/>
        </w:rPr>
        <w:tab/>
        <w:t>If the testimonial concerns a technical aspect of in</w:t>
      </w:r>
      <w:r w:rsidR="004131CC">
        <w:rPr>
          <w:sz w:val="24"/>
        </w:rPr>
        <w:t xml:space="preserve">vesting, the person making the </w:t>
      </w:r>
      <w:r>
        <w:rPr>
          <w:sz w:val="24"/>
        </w:rPr>
        <w:t>testimonial must have the knowledge and experience to form a valid opinion.</w:t>
      </w:r>
    </w:p>
    <w:p w14:paraId="409D498C" w14:textId="77777777" w:rsidR="00675DE4" w:rsidRDefault="00675DE4">
      <w:pPr>
        <w:jc w:val="both"/>
        <w:rPr>
          <w:sz w:val="24"/>
        </w:rPr>
      </w:pPr>
    </w:p>
    <w:p w14:paraId="6D1B4B4F" w14:textId="77777777" w:rsidR="00AD230F" w:rsidRDefault="00AD230F">
      <w:pPr>
        <w:jc w:val="both"/>
        <w:rPr>
          <w:sz w:val="24"/>
        </w:rPr>
      </w:pPr>
    </w:p>
    <w:p w14:paraId="4B251288" w14:textId="77777777" w:rsidR="00675DE4" w:rsidRPr="00C60727" w:rsidRDefault="00A76FA5" w:rsidP="00936FEE">
      <w:pPr>
        <w:pStyle w:val="Heading2"/>
      </w:pPr>
      <w:r w:rsidRPr="00C60727">
        <w:t xml:space="preserve">9.2  </w:t>
      </w:r>
      <w:r w:rsidR="00A23F78" w:rsidRPr="00C60727">
        <w:t xml:space="preserve"> </w:t>
      </w:r>
      <w:r w:rsidR="00675DE4" w:rsidRPr="00C60727">
        <w:t>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86"/>
        <w:gridCol w:w="7586"/>
      </w:tblGrid>
      <w:tr w:rsidR="00675DE4" w:rsidRPr="00702989" w14:paraId="708ADBC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844B68F" w14:textId="77777777" w:rsidR="00675DE4" w:rsidRPr="00702989" w:rsidRDefault="00675DE4" w:rsidP="00675DE4">
            <w:pPr>
              <w:jc w:val="center"/>
              <w:rPr>
                <w:b/>
                <w:bCs/>
                <w:spacing w:val="8"/>
                <w:sz w:val="24"/>
                <w:szCs w:val="24"/>
              </w:rPr>
            </w:pPr>
            <w:r w:rsidRPr="00702989">
              <w:rPr>
                <w:b/>
                <w:bCs/>
                <w:spacing w:val="8"/>
                <w:sz w:val="24"/>
                <w:szCs w:val="24"/>
              </w:rPr>
              <w:t>Responsibility</w:t>
            </w:r>
          </w:p>
        </w:tc>
        <w:tc>
          <w:tcPr>
            <w:tcW w:w="0" w:type="auto"/>
            <w:tcBorders>
              <w:top w:val="outset" w:sz="6" w:space="0" w:color="auto"/>
              <w:left w:val="outset" w:sz="6" w:space="0" w:color="auto"/>
              <w:bottom w:val="outset" w:sz="6" w:space="0" w:color="auto"/>
              <w:right w:val="outset" w:sz="6" w:space="0" w:color="auto"/>
            </w:tcBorders>
            <w:vAlign w:val="center"/>
          </w:tcPr>
          <w:p w14:paraId="2F1C6CE8" w14:textId="77777777" w:rsidR="00675DE4" w:rsidRPr="00702989" w:rsidRDefault="00675DE4" w:rsidP="00C1728B">
            <w:pPr>
              <w:numPr>
                <w:ilvl w:val="0"/>
                <w:numId w:val="59"/>
              </w:numPr>
              <w:rPr>
                <w:spacing w:val="8"/>
                <w:sz w:val="24"/>
                <w:szCs w:val="24"/>
              </w:rPr>
            </w:pPr>
            <w:r w:rsidRPr="00702989">
              <w:rPr>
                <w:spacing w:val="8"/>
                <w:sz w:val="24"/>
                <w:szCs w:val="24"/>
              </w:rPr>
              <w:t>Designated Supervisor</w:t>
            </w:r>
            <w:r w:rsidR="002D5AD5" w:rsidRPr="00702989">
              <w:rPr>
                <w:spacing w:val="8"/>
                <w:sz w:val="24"/>
                <w:szCs w:val="24"/>
              </w:rPr>
              <w:t>s or Principal</w:t>
            </w:r>
          </w:p>
        </w:tc>
      </w:tr>
      <w:tr w:rsidR="00675DE4" w:rsidRPr="00702989" w14:paraId="5EF267A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A1DE617" w14:textId="77777777" w:rsidR="00675DE4" w:rsidRPr="00702989" w:rsidRDefault="00675DE4" w:rsidP="00675DE4">
            <w:pPr>
              <w:jc w:val="center"/>
              <w:rPr>
                <w:b/>
                <w:bCs/>
                <w:spacing w:val="8"/>
                <w:sz w:val="24"/>
                <w:szCs w:val="24"/>
              </w:rPr>
            </w:pPr>
            <w:r w:rsidRPr="00702989">
              <w:rPr>
                <w:b/>
                <w:bCs/>
                <w:spacing w:val="8"/>
                <w:sz w:val="24"/>
                <w:szCs w:val="24"/>
              </w:rPr>
              <w:t>Statute</w:t>
            </w:r>
            <w:r w:rsidR="00AB363C" w:rsidRPr="00702989">
              <w:rPr>
                <w:b/>
                <w:bCs/>
                <w:spacing w:val="8"/>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tcPr>
          <w:p w14:paraId="0810CBD0" w14:textId="77777777" w:rsidR="00675DE4" w:rsidRPr="00B079F1" w:rsidRDefault="00675DE4" w:rsidP="00C1728B">
            <w:pPr>
              <w:numPr>
                <w:ilvl w:val="0"/>
                <w:numId w:val="60"/>
              </w:numPr>
              <w:rPr>
                <w:spacing w:val="8"/>
                <w:sz w:val="24"/>
                <w:szCs w:val="24"/>
              </w:rPr>
            </w:pPr>
            <w:r w:rsidRPr="00B079F1">
              <w:rPr>
                <w:sz w:val="24"/>
                <w:szCs w:val="24"/>
              </w:rPr>
              <w:t xml:space="preserve">FINRA Rule 2210 – </w:t>
            </w:r>
            <w:r w:rsidR="005F60FA">
              <w:rPr>
                <w:sz w:val="24"/>
                <w:szCs w:val="24"/>
              </w:rPr>
              <w:t>Communication with the Public</w:t>
            </w:r>
          </w:p>
          <w:p w14:paraId="07679AAC" w14:textId="77777777" w:rsidR="00721A6C" w:rsidRPr="00B079F1" w:rsidRDefault="00721A6C" w:rsidP="00C1728B">
            <w:pPr>
              <w:numPr>
                <w:ilvl w:val="0"/>
                <w:numId w:val="60"/>
              </w:numPr>
              <w:rPr>
                <w:spacing w:val="8"/>
                <w:sz w:val="24"/>
                <w:szCs w:val="24"/>
              </w:rPr>
            </w:pPr>
            <w:r w:rsidRPr="00B079F1">
              <w:rPr>
                <w:sz w:val="24"/>
                <w:szCs w:val="24"/>
              </w:rPr>
              <w:lastRenderedPageBreak/>
              <w:t>FINRA Rules 2212-2216</w:t>
            </w:r>
          </w:p>
          <w:p w14:paraId="2CA55D20" w14:textId="77777777" w:rsidR="00F46640" w:rsidRPr="00B079F1" w:rsidRDefault="00F46640" w:rsidP="00C1728B">
            <w:pPr>
              <w:numPr>
                <w:ilvl w:val="0"/>
                <w:numId w:val="60"/>
              </w:numPr>
              <w:rPr>
                <w:spacing w:val="8"/>
                <w:sz w:val="24"/>
                <w:szCs w:val="24"/>
              </w:rPr>
            </w:pPr>
            <w:r w:rsidRPr="00B079F1">
              <w:rPr>
                <w:sz w:val="24"/>
                <w:szCs w:val="24"/>
              </w:rPr>
              <w:t>FINRA Rule 2266 – SIPC information</w:t>
            </w:r>
          </w:p>
        </w:tc>
      </w:tr>
      <w:tr w:rsidR="00675DE4" w:rsidRPr="00702989" w14:paraId="0B2AD97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47F08AD" w14:textId="77777777" w:rsidR="00675DE4" w:rsidRPr="00702989" w:rsidRDefault="00675DE4" w:rsidP="00675DE4">
            <w:pPr>
              <w:jc w:val="center"/>
              <w:rPr>
                <w:b/>
                <w:bCs/>
                <w:spacing w:val="8"/>
                <w:sz w:val="24"/>
                <w:szCs w:val="24"/>
              </w:rPr>
            </w:pPr>
            <w:r w:rsidRPr="00702989">
              <w:rPr>
                <w:b/>
                <w:bCs/>
                <w:spacing w:val="8"/>
                <w:sz w:val="24"/>
                <w:szCs w:val="24"/>
              </w:rPr>
              <w:lastRenderedPageBreak/>
              <w:t>Frequency</w:t>
            </w:r>
          </w:p>
        </w:tc>
        <w:tc>
          <w:tcPr>
            <w:tcW w:w="0" w:type="auto"/>
            <w:tcBorders>
              <w:top w:val="outset" w:sz="6" w:space="0" w:color="auto"/>
              <w:left w:val="outset" w:sz="6" w:space="0" w:color="auto"/>
              <w:bottom w:val="outset" w:sz="6" w:space="0" w:color="auto"/>
              <w:right w:val="outset" w:sz="6" w:space="0" w:color="auto"/>
            </w:tcBorders>
            <w:vAlign w:val="center"/>
          </w:tcPr>
          <w:p w14:paraId="687C7F41" w14:textId="77777777" w:rsidR="00675DE4" w:rsidRPr="00B079F1" w:rsidRDefault="00675DE4" w:rsidP="00C1728B">
            <w:pPr>
              <w:numPr>
                <w:ilvl w:val="0"/>
                <w:numId w:val="60"/>
              </w:numPr>
              <w:rPr>
                <w:spacing w:val="8"/>
                <w:sz w:val="24"/>
                <w:szCs w:val="24"/>
              </w:rPr>
            </w:pPr>
            <w:r w:rsidRPr="00B079F1">
              <w:rPr>
                <w:spacing w:val="8"/>
                <w:sz w:val="24"/>
                <w:szCs w:val="24"/>
              </w:rPr>
              <w:t>As required</w:t>
            </w:r>
          </w:p>
        </w:tc>
      </w:tr>
      <w:tr w:rsidR="00675DE4" w:rsidRPr="00702989" w14:paraId="2554EB1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5E5D047" w14:textId="77777777" w:rsidR="00675DE4" w:rsidRPr="00702989" w:rsidRDefault="00675DE4" w:rsidP="00675DE4">
            <w:pPr>
              <w:jc w:val="center"/>
              <w:rPr>
                <w:b/>
                <w:bCs/>
                <w:spacing w:val="8"/>
                <w:sz w:val="24"/>
                <w:szCs w:val="24"/>
              </w:rPr>
            </w:pPr>
            <w:r w:rsidRPr="00702989">
              <w:rPr>
                <w:b/>
                <w:bCs/>
                <w:spacing w:val="8"/>
                <w:sz w:val="24"/>
                <w:szCs w:val="24"/>
              </w:rPr>
              <w:t>Action</w:t>
            </w:r>
            <w:r w:rsidR="00AB363C" w:rsidRPr="00702989">
              <w:rPr>
                <w:b/>
                <w:bCs/>
                <w:spacing w:val="8"/>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tcPr>
          <w:p w14:paraId="5C73D4AF" w14:textId="77777777" w:rsidR="00675DE4" w:rsidRPr="00217738" w:rsidRDefault="00FA7E53" w:rsidP="00C1728B">
            <w:pPr>
              <w:numPr>
                <w:ilvl w:val="0"/>
                <w:numId w:val="61"/>
              </w:numPr>
              <w:rPr>
                <w:spacing w:val="8"/>
                <w:sz w:val="24"/>
                <w:szCs w:val="24"/>
              </w:rPr>
            </w:pPr>
            <w:r w:rsidRPr="00217738">
              <w:rPr>
                <w:spacing w:val="8"/>
                <w:sz w:val="24"/>
                <w:szCs w:val="24"/>
              </w:rPr>
              <w:t>Review applicable communications</w:t>
            </w:r>
          </w:p>
          <w:p w14:paraId="62B333CF" w14:textId="77777777" w:rsidR="00675DE4" w:rsidRPr="00217738" w:rsidRDefault="00675DE4" w:rsidP="00C1728B">
            <w:pPr>
              <w:numPr>
                <w:ilvl w:val="0"/>
                <w:numId w:val="61"/>
              </w:numPr>
              <w:rPr>
                <w:spacing w:val="8"/>
                <w:sz w:val="24"/>
                <w:szCs w:val="24"/>
              </w:rPr>
            </w:pPr>
            <w:r w:rsidRPr="00217738">
              <w:rPr>
                <w:spacing w:val="8"/>
                <w:sz w:val="24"/>
                <w:szCs w:val="24"/>
              </w:rPr>
              <w:t xml:space="preserve">Make revisions as needed </w:t>
            </w:r>
          </w:p>
          <w:p w14:paraId="0FD77E2B" w14:textId="77777777" w:rsidR="00675DE4" w:rsidRPr="00217738" w:rsidRDefault="00675DE4" w:rsidP="00C1728B">
            <w:pPr>
              <w:numPr>
                <w:ilvl w:val="0"/>
                <w:numId w:val="61"/>
              </w:numPr>
              <w:rPr>
                <w:spacing w:val="8"/>
                <w:sz w:val="24"/>
                <w:szCs w:val="24"/>
              </w:rPr>
            </w:pPr>
            <w:r w:rsidRPr="00217738">
              <w:rPr>
                <w:spacing w:val="8"/>
                <w:sz w:val="24"/>
                <w:szCs w:val="24"/>
              </w:rPr>
              <w:t>Provide requestor with approved copy or notify of disapproval</w:t>
            </w:r>
          </w:p>
          <w:p w14:paraId="590FF5A9" w14:textId="77777777" w:rsidR="00675DE4" w:rsidRPr="00217738" w:rsidRDefault="00675DE4" w:rsidP="00C1728B">
            <w:pPr>
              <w:numPr>
                <w:ilvl w:val="0"/>
                <w:numId w:val="61"/>
              </w:numPr>
              <w:rPr>
                <w:spacing w:val="8"/>
                <w:sz w:val="24"/>
                <w:szCs w:val="24"/>
              </w:rPr>
            </w:pPr>
            <w:r w:rsidRPr="00217738">
              <w:rPr>
                <w:spacing w:val="8"/>
                <w:sz w:val="24"/>
                <w:szCs w:val="24"/>
              </w:rPr>
              <w:t>Review of Emails</w:t>
            </w:r>
          </w:p>
          <w:p w14:paraId="54503D85" w14:textId="77777777" w:rsidR="009F48BF" w:rsidRPr="00217738" w:rsidRDefault="009F48BF" w:rsidP="00C1728B">
            <w:pPr>
              <w:numPr>
                <w:ilvl w:val="0"/>
                <w:numId w:val="61"/>
              </w:numPr>
              <w:rPr>
                <w:spacing w:val="8"/>
                <w:sz w:val="24"/>
                <w:szCs w:val="24"/>
              </w:rPr>
            </w:pPr>
            <w:r w:rsidRPr="00217738">
              <w:rPr>
                <w:spacing w:val="8"/>
                <w:sz w:val="24"/>
                <w:szCs w:val="24"/>
              </w:rPr>
              <w:t xml:space="preserve">Any applicable training </w:t>
            </w:r>
          </w:p>
        </w:tc>
      </w:tr>
      <w:tr w:rsidR="00675DE4" w:rsidRPr="00702989" w14:paraId="76ED6B9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5CB87AE" w14:textId="77777777" w:rsidR="00675DE4" w:rsidRPr="00702989" w:rsidRDefault="00675DE4" w:rsidP="00675DE4">
            <w:pPr>
              <w:jc w:val="center"/>
              <w:rPr>
                <w:b/>
                <w:bCs/>
                <w:spacing w:val="8"/>
                <w:sz w:val="24"/>
                <w:szCs w:val="24"/>
              </w:rPr>
            </w:pPr>
            <w:r w:rsidRPr="00702989">
              <w:rPr>
                <w:b/>
                <w:bCs/>
                <w:spacing w:val="8"/>
                <w:sz w:val="24"/>
                <w:szCs w:val="24"/>
              </w:rPr>
              <w:t>Record</w:t>
            </w:r>
            <w:r w:rsidR="00B73590" w:rsidRPr="00702989">
              <w:rPr>
                <w:b/>
                <w:bCs/>
                <w:spacing w:val="8"/>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tcPr>
          <w:p w14:paraId="2C20EC23" w14:textId="77777777" w:rsidR="00675DE4" w:rsidRPr="00217738" w:rsidRDefault="00675DE4" w:rsidP="00C1728B">
            <w:pPr>
              <w:numPr>
                <w:ilvl w:val="0"/>
                <w:numId w:val="62"/>
              </w:numPr>
              <w:rPr>
                <w:spacing w:val="8"/>
                <w:sz w:val="24"/>
                <w:szCs w:val="24"/>
              </w:rPr>
            </w:pPr>
            <w:r w:rsidRPr="00217738">
              <w:rPr>
                <w:spacing w:val="8"/>
                <w:sz w:val="24"/>
                <w:szCs w:val="24"/>
              </w:rPr>
              <w:t xml:space="preserve">Copies of reviewed materials, including the reviewer's initials, are retained in </w:t>
            </w:r>
            <w:r w:rsidR="00FA7E53" w:rsidRPr="00217738">
              <w:rPr>
                <w:spacing w:val="8"/>
                <w:sz w:val="24"/>
                <w:szCs w:val="24"/>
              </w:rPr>
              <w:t xml:space="preserve">a </w:t>
            </w:r>
            <w:r w:rsidR="00BC70D4" w:rsidRPr="00217738">
              <w:rPr>
                <w:spacing w:val="8"/>
                <w:sz w:val="24"/>
                <w:szCs w:val="24"/>
              </w:rPr>
              <w:t>file</w:t>
            </w:r>
          </w:p>
          <w:p w14:paraId="060FD0F6" w14:textId="77777777" w:rsidR="00675DE4" w:rsidRPr="00217738" w:rsidRDefault="00675DE4" w:rsidP="00C1728B">
            <w:pPr>
              <w:numPr>
                <w:ilvl w:val="0"/>
                <w:numId w:val="62"/>
              </w:numPr>
              <w:rPr>
                <w:spacing w:val="8"/>
                <w:sz w:val="24"/>
                <w:szCs w:val="24"/>
              </w:rPr>
            </w:pPr>
            <w:r w:rsidRPr="00217738">
              <w:rPr>
                <w:spacing w:val="8"/>
                <w:sz w:val="24"/>
                <w:szCs w:val="24"/>
              </w:rPr>
              <w:t>Archived Emails</w:t>
            </w:r>
          </w:p>
          <w:p w14:paraId="27D02378" w14:textId="77777777" w:rsidR="009F48BF" w:rsidRPr="00217738" w:rsidRDefault="009F48BF" w:rsidP="00C1728B">
            <w:pPr>
              <w:numPr>
                <w:ilvl w:val="0"/>
                <w:numId w:val="62"/>
              </w:numPr>
              <w:rPr>
                <w:spacing w:val="8"/>
                <w:sz w:val="24"/>
                <w:szCs w:val="24"/>
              </w:rPr>
            </w:pPr>
            <w:r w:rsidRPr="00217738">
              <w:rPr>
                <w:spacing w:val="8"/>
                <w:sz w:val="24"/>
                <w:szCs w:val="24"/>
              </w:rPr>
              <w:t>Applicable compliance meetings and attendance</w:t>
            </w:r>
          </w:p>
        </w:tc>
      </w:tr>
    </w:tbl>
    <w:p w14:paraId="0D4648A5" w14:textId="77777777" w:rsidR="00675DE4" w:rsidRDefault="00675DE4">
      <w:pPr>
        <w:jc w:val="both"/>
        <w:rPr>
          <w:sz w:val="24"/>
        </w:rPr>
      </w:pPr>
    </w:p>
    <w:p w14:paraId="5C5D96EA" w14:textId="77777777" w:rsidR="00D3578D" w:rsidRDefault="00D3578D" w:rsidP="00D3578D">
      <w:pPr>
        <w:jc w:val="both"/>
        <w:rPr>
          <w:b/>
          <w:sz w:val="24"/>
        </w:rPr>
      </w:pPr>
      <w:bookmarkStart w:id="134" w:name="IncomingCorresp"/>
      <w:bookmarkEnd w:id="134"/>
    </w:p>
    <w:p w14:paraId="0D7378F6" w14:textId="77777777" w:rsidR="00D3578D" w:rsidRPr="00044B20" w:rsidRDefault="001730D2" w:rsidP="00936FEE">
      <w:pPr>
        <w:pStyle w:val="Heading2"/>
        <w:rPr>
          <w:i/>
        </w:rPr>
      </w:pPr>
      <w:bookmarkStart w:id="135" w:name="AdvAndSalesLit"/>
      <w:bookmarkEnd w:id="135"/>
      <w:r w:rsidRPr="00054679">
        <w:t xml:space="preserve">9.3 </w:t>
      </w:r>
      <w:r w:rsidR="00D678BA">
        <w:t>Rule 2210 - Communications with the Public</w:t>
      </w:r>
      <w:r w:rsidR="00044B20">
        <w:t xml:space="preserve"> </w:t>
      </w:r>
      <w:r w:rsidR="00044B20" w:rsidRPr="00044B20">
        <w:rPr>
          <w:i/>
          <w:sz w:val="20"/>
          <w:szCs w:val="20"/>
        </w:rPr>
        <w:t>(</w:t>
      </w:r>
      <w:proofErr w:type="gramStart"/>
      <w:r w:rsidR="00044B20" w:rsidRPr="00044B20">
        <w:rPr>
          <w:i/>
          <w:sz w:val="20"/>
          <w:szCs w:val="20"/>
        </w:rPr>
        <w:t>eff</w:t>
      </w:r>
      <w:proofErr w:type="gramEnd"/>
      <w:r w:rsidR="00044B20" w:rsidRPr="00044B20">
        <w:rPr>
          <w:i/>
          <w:sz w:val="20"/>
          <w:szCs w:val="20"/>
        </w:rPr>
        <w:t xml:space="preserve"> 02/04/13)</w:t>
      </w:r>
    </w:p>
    <w:p w14:paraId="21F422B3" w14:textId="77777777" w:rsidR="00E6233A" w:rsidRDefault="00E6233A" w:rsidP="00D3578D">
      <w:pPr>
        <w:jc w:val="both"/>
        <w:rPr>
          <w:b/>
          <w:sz w:val="24"/>
        </w:rPr>
      </w:pPr>
    </w:p>
    <w:p w14:paraId="2DE402BF" w14:textId="77777777" w:rsidR="00D3578D" w:rsidRDefault="00E6233A" w:rsidP="001A7509">
      <w:pPr>
        <w:pStyle w:val="Heading3"/>
      </w:pPr>
      <w:r>
        <w:t>9.3.1 Definitions</w:t>
      </w:r>
    </w:p>
    <w:p w14:paraId="1F4A2B6F" w14:textId="77777777" w:rsidR="00D3578D" w:rsidRPr="00B079F1" w:rsidRDefault="00D3578D" w:rsidP="00E6233A">
      <w:pPr>
        <w:ind w:left="270"/>
        <w:jc w:val="both"/>
        <w:rPr>
          <w:b/>
          <w:sz w:val="24"/>
        </w:rPr>
      </w:pPr>
    </w:p>
    <w:p w14:paraId="7B711730" w14:textId="77777777" w:rsidR="00D678BA" w:rsidRPr="00B079F1" w:rsidRDefault="00D678BA" w:rsidP="00527BAD">
      <w:pPr>
        <w:shd w:val="clear" w:color="auto" w:fill="FFFFFF"/>
        <w:spacing w:line="270" w:lineRule="atLeast"/>
        <w:ind w:left="720" w:hanging="450"/>
        <w:rPr>
          <w:sz w:val="24"/>
          <w:szCs w:val="24"/>
        </w:rPr>
      </w:pPr>
      <w:r w:rsidRPr="00B079F1">
        <w:rPr>
          <w:rStyle w:val="us"/>
          <w:sz w:val="24"/>
          <w:szCs w:val="24"/>
        </w:rPr>
        <w:t>(1) “Communications” consist of correspondence, retail communications and institutional communications.</w:t>
      </w:r>
      <w:r w:rsidRPr="00B079F1">
        <w:rPr>
          <w:sz w:val="24"/>
          <w:szCs w:val="24"/>
        </w:rPr>
        <w:t xml:space="preserve"> </w:t>
      </w:r>
    </w:p>
    <w:p w14:paraId="3C9392C9" w14:textId="77777777" w:rsidR="00D678BA" w:rsidRPr="00B079F1" w:rsidRDefault="00D678BA" w:rsidP="00527BAD">
      <w:pPr>
        <w:shd w:val="clear" w:color="auto" w:fill="FFFFFF"/>
        <w:spacing w:line="270" w:lineRule="atLeast"/>
        <w:ind w:left="720" w:hanging="450"/>
        <w:rPr>
          <w:sz w:val="24"/>
          <w:szCs w:val="24"/>
        </w:rPr>
      </w:pPr>
      <w:r w:rsidRPr="00B079F1">
        <w:rPr>
          <w:rStyle w:val="us"/>
          <w:sz w:val="24"/>
          <w:szCs w:val="24"/>
        </w:rPr>
        <w:t>(2) “Correspondence” means any written (including electronic) communication that is distributed or made available to 25 or fewer retail investors within any 30 calendar-day period.</w:t>
      </w:r>
      <w:r w:rsidRPr="00B079F1">
        <w:rPr>
          <w:sz w:val="24"/>
          <w:szCs w:val="24"/>
        </w:rPr>
        <w:t xml:space="preserve"> </w:t>
      </w:r>
    </w:p>
    <w:p w14:paraId="0472F6B9" w14:textId="77777777" w:rsidR="00D678BA" w:rsidRPr="00B079F1" w:rsidRDefault="00CD3315" w:rsidP="00527BAD">
      <w:pPr>
        <w:shd w:val="clear" w:color="auto" w:fill="FFFFFF"/>
        <w:spacing w:line="270" w:lineRule="atLeast"/>
        <w:ind w:left="720" w:hanging="450"/>
        <w:rPr>
          <w:sz w:val="24"/>
          <w:szCs w:val="24"/>
        </w:rPr>
      </w:pPr>
      <w:r w:rsidRPr="00B079F1">
        <w:rPr>
          <w:rStyle w:val="us"/>
          <w:sz w:val="24"/>
          <w:szCs w:val="24"/>
        </w:rPr>
        <w:t>(3) “Institutional C</w:t>
      </w:r>
      <w:r w:rsidR="00D678BA" w:rsidRPr="00B079F1">
        <w:rPr>
          <w:rStyle w:val="us"/>
          <w:sz w:val="24"/>
          <w:szCs w:val="24"/>
        </w:rPr>
        <w:t xml:space="preserve">ommunication” means any written (including electronic) communication that is distributed or made available only to institutional </w:t>
      </w:r>
      <w:r w:rsidR="00572C29" w:rsidRPr="00B079F1">
        <w:rPr>
          <w:rStyle w:val="us"/>
          <w:sz w:val="24"/>
          <w:szCs w:val="24"/>
        </w:rPr>
        <w:t>investors but</w:t>
      </w:r>
      <w:r w:rsidR="00D678BA" w:rsidRPr="00B079F1">
        <w:rPr>
          <w:rStyle w:val="us"/>
          <w:sz w:val="24"/>
          <w:szCs w:val="24"/>
        </w:rPr>
        <w:t xml:space="preserve"> does not include a member's internal communications.</w:t>
      </w:r>
      <w:r w:rsidR="00D678BA" w:rsidRPr="00B079F1">
        <w:rPr>
          <w:sz w:val="24"/>
          <w:szCs w:val="24"/>
        </w:rPr>
        <w:t xml:space="preserve"> </w:t>
      </w:r>
    </w:p>
    <w:p w14:paraId="496FD88B" w14:textId="77777777" w:rsidR="00D678BA" w:rsidRPr="00B079F1" w:rsidRDefault="00CD3315" w:rsidP="00527BAD">
      <w:pPr>
        <w:shd w:val="clear" w:color="auto" w:fill="FFFFFF"/>
        <w:spacing w:line="270" w:lineRule="atLeast"/>
        <w:ind w:left="540" w:hanging="270"/>
        <w:rPr>
          <w:sz w:val="24"/>
          <w:szCs w:val="24"/>
        </w:rPr>
      </w:pPr>
      <w:r w:rsidRPr="00B079F1">
        <w:rPr>
          <w:rStyle w:val="us"/>
          <w:sz w:val="24"/>
          <w:szCs w:val="24"/>
        </w:rPr>
        <w:t>(4) “Institutional I</w:t>
      </w:r>
      <w:r w:rsidR="00D678BA" w:rsidRPr="00B079F1">
        <w:rPr>
          <w:rStyle w:val="us"/>
          <w:sz w:val="24"/>
          <w:szCs w:val="24"/>
        </w:rPr>
        <w:t>nvestor” means any:</w:t>
      </w:r>
      <w:r w:rsidR="00D678BA" w:rsidRPr="00B079F1">
        <w:rPr>
          <w:sz w:val="24"/>
          <w:szCs w:val="24"/>
        </w:rPr>
        <w:t xml:space="preserve"> </w:t>
      </w:r>
    </w:p>
    <w:p w14:paraId="62D33552" w14:textId="77777777" w:rsidR="00D678BA" w:rsidRPr="00B079F1" w:rsidRDefault="00D678BA" w:rsidP="00527BAD">
      <w:pPr>
        <w:shd w:val="clear" w:color="auto" w:fill="FFFFFF"/>
        <w:spacing w:line="270" w:lineRule="atLeast"/>
        <w:ind w:left="1170" w:hanging="360"/>
        <w:rPr>
          <w:sz w:val="24"/>
          <w:szCs w:val="24"/>
        </w:rPr>
      </w:pPr>
      <w:r w:rsidRPr="00B079F1">
        <w:rPr>
          <w:rStyle w:val="us"/>
          <w:sz w:val="24"/>
          <w:szCs w:val="24"/>
        </w:rPr>
        <w:t xml:space="preserve">(A) Person described in </w:t>
      </w:r>
      <w:hyperlink r:id="rId75" w:tgtFrame="_blank" w:history="1">
        <w:r w:rsidRPr="00B079F1">
          <w:rPr>
            <w:rStyle w:val="Hyperlink"/>
            <w:color w:val="auto"/>
            <w:sz w:val="24"/>
            <w:szCs w:val="24"/>
          </w:rPr>
          <w:t>Rule 4512</w:t>
        </w:r>
      </w:hyperlink>
      <w:r w:rsidRPr="00B079F1">
        <w:rPr>
          <w:rStyle w:val="us"/>
          <w:sz w:val="24"/>
          <w:szCs w:val="24"/>
        </w:rPr>
        <w:t>(c), regardless of whether the person has an account with a member;</w:t>
      </w:r>
      <w:r w:rsidRPr="00B079F1">
        <w:rPr>
          <w:sz w:val="24"/>
          <w:szCs w:val="24"/>
        </w:rPr>
        <w:t xml:space="preserve"> </w:t>
      </w:r>
    </w:p>
    <w:p w14:paraId="5BB1690C" w14:textId="77777777" w:rsidR="00D678BA" w:rsidRPr="00B079F1" w:rsidRDefault="00D678BA" w:rsidP="00527BAD">
      <w:pPr>
        <w:shd w:val="clear" w:color="auto" w:fill="FFFFFF"/>
        <w:spacing w:line="270" w:lineRule="atLeast"/>
        <w:ind w:left="1170" w:hanging="360"/>
        <w:rPr>
          <w:sz w:val="24"/>
          <w:szCs w:val="24"/>
        </w:rPr>
      </w:pPr>
      <w:r w:rsidRPr="00B079F1">
        <w:rPr>
          <w:rStyle w:val="us"/>
          <w:sz w:val="24"/>
          <w:szCs w:val="24"/>
        </w:rPr>
        <w:t>(B) Governmental entity or subdivision thereof;</w:t>
      </w:r>
      <w:r w:rsidRPr="00B079F1">
        <w:rPr>
          <w:sz w:val="24"/>
          <w:szCs w:val="24"/>
        </w:rPr>
        <w:t xml:space="preserve"> </w:t>
      </w:r>
    </w:p>
    <w:p w14:paraId="4017DE88" w14:textId="77777777" w:rsidR="00D678BA" w:rsidRPr="00B079F1" w:rsidRDefault="00D678BA" w:rsidP="00527BAD">
      <w:pPr>
        <w:shd w:val="clear" w:color="auto" w:fill="FFFFFF"/>
        <w:spacing w:line="270" w:lineRule="atLeast"/>
        <w:ind w:left="1170" w:hanging="360"/>
        <w:rPr>
          <w:sz w:val="24"/>
          <w:szCs w:val="24"/>
        </w:rPr>
      </w:pPr>
      <w:r w:rsidRPr="00B079F1">
        <w:rPr>
          <w:rStyle w:val="us"/>
          <w:sz w:val="24"/>
          <w:szCs w:val="24"/>
        </w:rPr>
        <w:t>(C) Employee benefit plan, or multiple employee benefit plans offered to employees of the same employer, that meet the requirements of Section 403(b) or Section 457 of the Internal Revenue Code and in the aggregate have at least 100 participants, but does not include any participant of such plans;</w:t>
      </w:r>
      <w:r w:rsidRPr="00B079F1">
        <w:rPr>
          <w:sz w:val="24"/>
          <w:szCs w:val="24"/>
        </w:rPr>
        <w:t xml:space="preserve"> </w:t>
      </w:r>
    </w:p>
    <w:p w14:paraId="6EC0D3D5" w14:textId="77777777" w:rsidR="00D678BA" w:rsidRPr="00B079F1" w:rsidRDefault="00D678BA" w:rsidP="00527BAD">
      <w:pPr>
        <w:shd w:val="clear" w:color="auto" w:fill="FFFFFF"/>
        <w:spacing w:line="270" w:lineRule="atLeast"/>
        <w:ind w:left="1170" w:hanging="360"/>
        <w:rPr>
          <w:sz w:val="24"/>
          <w:szCs w:val="24"/>
        </w:rPr>
      </w:pPr>
      <w:r w:rsidRPr="00B079F1">
        <w:rPr>
          <w:rStyle w:val="us"/>
          <w:sz w:val="24"/>
          <w:szCs w:val="24"/>
        </w:rPr>
        <w:t>(D) Qualified plan, as defined in Section 3(a)(12)(C) of the Exchange Act, or multiple qualified plans offered to employees of the same employer, that in the aggregate have at least 100 participants, but does not include any participant of such plans;</w:t>
      </w:r>
      <w:r w:rsidRPr="00B079F1">
        <w:rPr>
          <w:sz w:val="24"/>
          <w:szCs w:val="24"/>
        </w:rPr>
        <w:t xml:space="preserve"> </w:t>
      </w:r>
    </w:p>
    <w:p w14:paraId="768B76B4" w14:textId="77777777" w:rsidR="00D678BA" w:rsidRPr="00B079F1" w:rsidRDefault="00D678BA" w:rsidP="00527BAD">
      <w:pPr>
        <w:shd w:val="clear" w:color="auto" w:fill="FFFFFF"/>
        <w:spacing w:line="270" w:lineRule="atLeast"/>
        <w:ind w:left="1170" w:hanging="360"/>
        <w:rPr>
          <w:sz w:val="24"/>
          <w:szCs w:val="24"/>
        </w:rPr>
      </w:pPr>
      <w:r w:rsidRPr="00B079F1">
        <w:rPr>
          <w:rStyle w:val="us"/>
          <w:sz w:val="24"/>
          <w:szCs w:val="24"/>
        </w:rPr>
        <w:t>(E) Member or registered person of such a member; and</w:t>
      </w:r>
      <w:r w:rsidRPr="00B079F1">
        <w:rPr>
          <w:sz w:val="24"/>
          <w:szCs w:val="24"/>
        </w:rPr>
        <w:t xml:space="preserve"> </w:t>
      </w:r>
    </w:p>
    <w:p w14:paraId="5F55DFFC" w14:textId="77777777" w:rsidR="00D678BA" w:rsidRPr="00B079F1" w:rsidRDefault="00D678BA" w:rsidP="00527BAD">
      <w:pPr>
        <w:shd w:val="clear" w:color="auto" w:fill="FFFFFF"/>
        <w:spacing w:line="270" w:lineRule="atLeast"/>
        <w:ind w:left="1170" w:hanging="360"/>
        <w:rPr>
          <w:sz w:val="24"/>
          <w:szCs w:val="24"/>
        </w:rPr>
      </w:pPr>
      <w:r w:rsidRPr="00B079F1">
        <w:rPr>
          <w:rStyle w:val="us"/>
          <w:sz w:val="24"/>
          <w:szCs w:val="24"/>
        </w:rPr>
        <w:t>(F) Person acting solely on behalf of any such institutional investor.</w:t>
      </w:r>
      <w:r w:rsidRPr="00B079F1">
        <w:rPr>
          <w:sz w:val="24"/>
          <w:szCs w:val="24"/>
        </w:rPr>
        <w:t xml:space="preserve"> </w:t>
      </w:r>
    </w:p>
    <w:p w14:paraId="7C7EA57A" w14:textId="77777777" w:rsidR="00D678BA" w:rsidRPr="00B079F1" w:rsidRDefault="00D678BA" w:rsidP="00527BAD">
      <w:pPr>
        <w:shd w:val="clear" w:color="auto" w:fill="FFFFFF"/>
        <w:spacing w:line="270" w:lineRule="atLeast"/>
        <w:ind w:left="1170" w:hanging="18"/>
        <w:rPr>
          <w:sz w:val="24"/>
          <w:szCs w:val="24"/>
        </w:rPr>
      </w:pPr>
      <w:r w:rsidRPr="00B079F1">
        <w:rPr>
          <w:rStyle w:val="us"/>
          <w:sz w:val="24"/>
          <w:szCs w:val="24"/>
        </w:rPr>
        <w:t>No member may treat a communication as having been distributed to an institutional investor if the member has reason to believe that the communication or any excerpt thereof will be forwarded or made available to any retail investor.</w:t>
      </w:r>
      <w:r w:rsidRPr="00B079F1">
        <w:rPr>
          <w:sz w:val="24"/>
          <w:szCs w:val="24"/>
        </w:rPr>
        <w:t xml:space="preserve"> </w:t>
      </w:r>
    </w:p>
    <w:p w14:paraId="219F3ED8" w14:textId="77777777" w:rsidR="00D678BA" w:rsidRPr="00B079F1" w:rsidRDefault="00CD3315" w:rsidP="00527BAD">
      <w:pPr>
        <w:shd w:val="clear" w:color="auto" w:fill="FFFFFF"/>
        <w:spacing w:line="270" w:lineRule="atLeast"/>
        <w:ind w:left="720" w:hanging="450"/>
        <w:rPr>
          <w:sz w:val="24"/>
          <w:szCs w:val="24"/>
        </w:rPr>
      </w:pPr>
      <w:r w:rsidRPr="00B079F1">
        <w:rPr>
          <w:rStyle w:val="us"/>
          <w:sz w:val="24"/>
          <w:szCs w:val="24"/>
        </w:rPr>
        <w:t>(5) “Retail C</w:t>
      </w:r>
      <w:r w:rsidR="00D678BA" w:rsidRPr="00B079F1">
        <w:rPr>
          <w:rStyle w:val="us"/>
          <w:sz w:val="24"/>
          <w:szCs w:val="24"/>
        </w:rPr>
        <w:t>ommunication” means any written (including electronic) communication that is distributed or made available to more than 25 retail investors within any 30 calendar-day period.</w:t>
      </w:r>
      <w:r w:rsidR="00D678BA" w:rsidRPr="00B079F1">
        <w:rPr>
          <w:sz w:val="24"/>
          <w:szCs w:val="24"/>
        </w:rPr>
        <w:t xml:space="preserve"> </w:t>
      </w:r>
    </w:p>
    <w:p w14:paraId="753AB251" w14:textId="77777777" w:rsidR="00D678BA" w:rsidRPr="00B079F1" w:rsidRDefault="00CD3315" w:rsidP="00527BAD">
      <w:pPr>
        <w:shd w:val="clear" w:color="auto" w:fill="FFFFFF"/>
        <w:spacing w:line="270" w:lineRule="atLeast"/>
        <w:ind w:left="720" w:hanging="450"/>
        <w:rPr>
          <w:rFonts w:ascii="Arial" w:hAnsi="Arial" w:cs="Arial"/>
          <w:sz w:val="15"/>
          <w:szCs w:val="15"/>
        </w:rPr>
      </w:pPr>
      <w:r w:rsidRPr="00B079F1">
        <w:rPr>
          <w:rStyle w:val="us"/>
          <w:sz w:val="24"/>
          <w:szCs w:val="24"/>
        </w:rPr>
        <w:t>(6) “Retail I</w:t>
      </w:r>
      <w:r w:rsidR="00D678BA" w:rsidRPr="00B079F1">
        <w:rPr>
          <w:rStyle w:val="us"/>
          <w:sz w:val="24"/>
          <w:szCs w:val="24"/>
        </w:rPr>
        <w:t>nvestor” means any person other than an institutional investor, regardless of whether the person has an account with a member.</w:t>
      </w:r>
      <w:r w:rsidR="00D678BA" w:rsidRPr="00B079F1">
        <w:rPr>
          <w:rFonts w:ascii="Arial" w:hAnsi="Arial" w:cs="Arial"/>
          <w:sz w:val="15"/>
          <w:szCs w:val="15"/>
        </w:rPr>
        <w:t xml:space="preserve"> </w:t>
      </w:r>
    </w:p>
    <w:p w14:paraId="67D7C310" w14:textId="77777777" w:rsidR="00D3578D" w:rsidRPr="00B079F1" w:rsidRDefault="00D3578D" w:rsidP="00527BAD">
      <w:pPr>
        <w:ind w:left="270"/>
        <w:rPr>
          <w:sz w:val="24"/>
        </w:rPr>
      </w:pPr>
    </w:p>
    <w:p w14:paraId="5B631D8B" w14:textId="77777777" w:rsidR="00D3578D" w:rsidRPr="00B079F1" w:rsidRDefault="00D3578D" w:rsidP="00527BAD">
      <w:pPr>
        <w:rPr>
          <w:sz w:val="24"/>
        </w:rPr>
      </w:pPr>
    </w:p>
    <w:p w14:paraId="04714A72" w14:textId="77777777" w:rsidR="00801942" w:rsidRPr="00B079F1" w:rsidRDefault="00801942" w:rsidP="00527BAD">
      <w:pPr>
        <w:pStyle w:val="Heading3"/>
        <w:jc w:val="left"/>
      </w:pPr>
      <w:r w:rsidRPr="00B079F1">
        <w:t>9.3.2 Categories of Communication</w:t>
      </w:r>
    </w:p>
    <w:p w14:paraId="0941AEF1" w14:textId="77777777" w:rsidR="00801942" w:rsidRPr="00B079F1" w:rsidRDefault="00801942" w:rsidP="00801942">
      <w:pPr>
        <w:ind w:left="270"/>
        <w:rPr>
          <w:sz w:val="24"/>
          <w:szCs w:val="24"/>
        </w:rPr>
      </w:pPr>
      <w:r w:rsidRPr="00B079F1">
        <w:rPr>
          <w:sz w:val="24"/>
          <w:szCs w:val="24"/>
        </w:rPr>
        <w:t>Under the new rules, there are three main categories or communication with the public (verses the former six):</w:t>
      </w:r>
    </w:p>
    <w:p w14:paraId="37E0F784" w14:textId="77777777" w:rsidR="00801942" w:rsidRPr="00B079F1" w:rsidRDefault="00801942" w:rsidP="00801942">
      <w:pPr>
        <w:ind w:left="270"/>
        <w:rPr>
          <w:sz w:val="24"/>
          <w:szCs w:val="24"/>
        </w:rPr>
      </w:pPr>
    </w:p>
    <w:p w14:paraId="4C8463FC" w14:textId="77777777" w:rsidR="00801942" w:rsidRPr="00B079F1" w:rsidRDefault="00801942" w:rsidP="003E7B18">
      <w:pPr>
        <w:numPr>
          <w:ilvl w:val="0"/>
          <w:numId w:val="192"/>
        </w:numPr>
        <w:rPr>
          <w:sz w:val="24"/>
          <w:szCs w:val="24"/>
        </w:rPr>
      </w:pPr>
      <w:r w:rsidRPr="00B079F1">
        <w:rPr>
          <w:sz w:val="24"/>
          <w:szCs w:val="24"/>
        </w:rPr>
        <w:t>Institutional Communication</w:t>
      </w:r>
      <w:r w:rsidR="00C71C42" w:rsidRPr="00B079F1">
        <w:rPr>
          <w:sz w:val="24"/>
          <w:szCs w:val="24"/>
        </w:rPr>
        <w:t>;</w:t>
      </w:r>
    </w:p>
    <w:p w14:paraId="0DFC9D02" w14:textId="77777777" w:rsidR="00801942" w:rsidRPr="00B079F1" w:rsidRDefault="00801942" w:rsidP="003E7B18">
      <w:pPr>
        <w:numPr>
          <w:ilvl w:val="0"/>
          <w:numId w:val="192"/>
        </w:numPr>
        <w:rPr>
          <w:sz w:val="24"/>
          <w:szCs w:val="24"/>
        </w:rPr>
      </w:pPr>
      <w:r w:rsidRPr="00B079F1">
        <w:rPr>
          <w:sz w:val="24"/>
          <w:szCs w:val="24"/>
        </w:rPr>
        <w:t xml:space="preserve">Retail Communication; and </w:t>
      </w:r>
    </w:p>
    <w:p w14:paraId="2F1FFCC4" w14:textId="77777777" w:rsidR="00801942" w:rsidRPr="00B079F1" w:rsidRDefault="00801942" w:rsidP="003E7B18">
      <w:pPr>
        <w:numPr>
          <w:ilvl w:val="0"/>
          <w:numId w:val="192"/>
        </w:numPr>
        <w:rPr>
          <w:sz w:val="24"/>
          <w:szCs w:val="24"/>
        </w:rPr>
      </w:pPr>
      <w:r w:rsidRPr="00B079F1">
        <w:rPr>
          <w:sz w:val="24"/>
          <w:szCs w:val="24"/>
        </w:rPr>
        <w:t>Correspondence.</w:t>
      </w:r>
    </w:p>
    <w:p w14:paraId="7930B707" w14:textId="77777777" w:rsidR="00801942" w:rsidRPr="00B079F1" w:rsidRDefault="00801942" w:rsidP="00801942">
      <w:pPr>
        <w:ind w:left="270"/>
        <w:rPr>
          <w:sz w:val="24"/>
          <w:szCs w:val="24"/>
        </w:rPr>
      </w:pPr>
    </w:p>
    <w:p w14:paraId="5CEA80DA" w14:textId="77777777" w:rsidR="00CF5E28" w:rsidRPr="00B079F1" w:rsidRDefault="00CF5E28" w:rsidP="00CF5E28">
      <w:pPr>
        <w:ind w:left="270"/>
        <w:jc w:val="both"/>
        <w:rPr>
          <w:b/>
          <w:sz w:val="24"/>
        </w:rPr>
      </w:pPr>
    </w:p>
    <w:p w14:paraId="2B5E0808" w14:textId="77777777" w:rsidR="005F57D7" w:rsidRPr="00B079F1" w:rsidRDefault="005F57D7" w:rsidP="00936FEE">
      <w:pPr>
        <w:pStyle w:val="Heading2"/>
      </w:pPr>
      <w:bookmarkStart w:id="136" w:name="ColdCalling"/>
      <w:bookmarkEnd w:id="136"/>
      <w:r w:rsidRPr="00B079F1">
        <w:t>9.4 Institutional Communication</w:t>
      </w:r>
    </w:p>
    <w:p w14:paraId="5166F6C5" w14:textId="77777777" w:rsidR="00C7027E" w:rsidRPr="00B079F1" w:rsidRDefault="005F57D7" w:rsidP="00E06C91">
      <w:pPr>
        <w:autoSpaceDE w:val="0"/>
        <w:autoSpaceDN w:val="0"/>
        <w:adjustRightInd w:val="0"/>
        <w:rPr>
          <w:sz w:val="24"/>
          <w:szCs w:val="24"/>
        </w:rPr>
      </w:pPr>
      <w:r w:rsidRPr="00B079F1">
        <w:rPr>
          <w:sz w:val="24"/>
          <w:szCs w:val="24"/>
        </w:rPr>
        <w:t>Rule 2210(a)(4) specifies that no member may treat a communication as having been</w:t>
      </w:r>
      <w:r w:rsidR="00E06C91" w:rsidRPr="00B079F1">
        <w:rPr>
          <w:sz w:val="24"/>
          <w:szCs w:val="24"/>
        </w:rPr>
        <w:t xml:space="preserve"> </w:t>
      </w:r>
      <w:r w:rsidRPr="00B079F1">
        <w:rPr>
          <w:sz w:val="24"/>
          <w:szCs w:val="24"/>
        </w:rPr>
        <w:t>distributed to an institutional investor if the member has reason to believe that the</w:t>
      </w:r>
      <w:r w:rsidR="00E06C91" w:rsidRPr="00B079F1">
        <w:rPr>
          <w:sz w:val="24"/>
          <w:szCs w:val="24"/>
        </w:rPr>
        <w:t xml:space="preserve"> </w:t>
      </w:r>
      <w:r w:rsidRPr="00B079F1">
        <w:rPr>
          <w:sz w:val="24"/>
          <w:szCs w:val="24"/>
        </w:rPr>
        <w:t>communication or any excerpt thereof will be forwarded or made available to any retail</w:t>
      </w:r>
      <w:r w:rsidR="00E06C91" w:rsidRPr="00B079F1">
        <w:rPr>
          <w:sz w:val="24"/>
          <w:szCs w:val="24"/>
        </w:rPr>
        <w:t xml:space="preserve"> </w:t>
      </w:r>
      <w:r w:rsidRPr="00B079F1">
        <w:rPr>
          <w:sz w:val="24"/>
          <w:szCs w:val="24"/>
        </w:rPr>
        <w:t>investor or the “reason to believe” standard.</w:t>
      </w:r>
      <w:r w:rsidR="00E06C91" w:rsidRPr="00B079F1">
        <w:rPr>
          <w:sz w:val="24"/>
          <w:szCs w:val="24"/>
        </w:rPr>
        <w:t xml:space="preserve">  </w:t>
      </w:r>
    </w:p>
    <w:p w14:paraId="7615B190" w14:textId="77777777" w:rsidR="00C7027E" w:rsidRPr="00B079F1" w:rsidRDefault="00C7027E" w:rsidP="00E06C91">
      <w:pPr>
        <w:autoSpaceDE w:val="0"/>
        <w:autoSpaceDN w:val="0"/>
        <w:adjustRightInd w:val="0"/>
        <w:rPr>
          <w:sz w:val="24"/>
          <w:szCs w:val="24"/>
        </w:rPr>
      </w:pPr>
    </w:p>
    <w:p w14:paraId="3949E4E3" w14:textId="77777777" w:rsidR="00E06C91" w:rsidRPr="00B079F1" w:rsidRDefault="00C7027E" w:rsidP="00E06C91">
      <w:pPr>
        <w:autoSpaceDE w:val="0"/>
        <w:autoSpaceDN w:val="0"/>
        <w:adjustRightInd w:val="0"/>
        <w:rPr>
          <w:sz w:val="24"/>
          <w:szCs w:val="24"/>
        </w:rPr>
      </w:pPr>
      <w:r w:rsidRPr="00B079F1">
        <w:rPr>
          <w:sz w:val="24"/>
          <w:szCs w:val="24"/>
        </w:rPr>
        <w:t>T</w:t>
      </w:r>
      <w:r w:rsidR="00E06C91" w:rsidRPr="00B079F1">
        <w:rPr>
          <w:sz w:val="24"/>
          <w:szCs w:val="24"/>
        </w:rPr>
        <w:t>he standard does not impose an affirmative obligation on firms to</w:t>
      </w:r>
      <w:r w:rsidRPr="00B079F1">
        <w:rPr>
          <w:sz w:val="24"/>
          <w:szCs w:val="24"/>
        </w:rPr>
        <w:t xml:space="preserve"> </w:t>
      </w:r>
      <w:r w:rsidR="00E06C91" w:rsidRPr="00B079F1">
        <w:rPr>
          <w:sz w:val="24"/>
          <w:szCs w:val="24"/>
        </w:rPr>
        <w:t>inquire</w:t>
      </w:r>
      <w:r w:rsidRPr="00B079F1">
        <w:rPr>
          <w:sz w:val="24"/>
          <w:szCs w:val="24"/>
        </w:rPr>
        <w:t xml:space="preserve"> </w:t>
      </w:r>
      <w:r w:rsidR="00E06C91" w:rsidRPr="00B079F1">
        <w:rPr>
          <w:sz w:val="24"/>
          <w:szCs w:val="24"/>
        </w:rPr>
        <w:t>whether an institutional communication will be forwarded to retail investors every time such a communication is distributed.</w:t>
      </w:r>
      <w:r w:rsidRPr="00B079F1">
        <w:rPr>
          <w:sz w:val="24"/>
          <w:szCs w:val="24"/>
        </w:rPr>
        <w:t xml:space="preserve">  However, if Company becomes aware of any institutional recipient is forwarding its material to retail investors, Company will treat such material as “retail communications” until the practice is corrected.</w:t>
      </w:r>
    </w:p>
    <w:p w14:paraId="62DEB0CE" w14:textId="77777777" w:rsidR="005F57D7" w:rsidRPr="00B079F1" w:rsidRDefault="005F57D7" w:rsidP="005F57D7">
      <w:pPr>
        <w:rPr>
          <w:sz w:val="24"/>
          <w:szCs w:val="24"/>
        </w:rPr>
      </w:pPr>
    </w:p>
    <w:p w14:paraId="1431AE99" w14:textId="77777777" w:rsidR="006C701F" w:rsidRPr="00B079F1" w:rsidRDefault="006C701F" w:rsidP="006C701F"/>
    <w:p w14:paraId="5103DC4D" w14:textId="77777777" w:rsidR="006C701F" w:rsidRPr="00B079F1" w:rsidRDefault="006C701F" w:rsidP="00936FEE">
      <w:pPr>
        <w:pStyle w:val="Heading2"/>
      </w:pPr>
      <w:r w:rsidRPr="00B079F1">
        <w:t>9.5 Retail Communications</w:t>
      </w:r>
    </w:p>
    <w:p w14:paraId="1C276312" w14:textId="77777777" w:rsidR="009F627B" w:rsidRPr="00B079F1" w:rsidRDefault="009F627B" w:rsidP="009F627B">
      <w:pPr>
        <w:rPr>
          <w:sz w:val="24"/>
        </w:rPr>
      </w:pPr>
      <w:r w:rsidRPr="00B079F1">
        <w:rPr>
          <w:sz w:val="24"/>
        </w:rPr>
        <w:t>Communications that formerly qualified as “Advertisements” or “Sales Literature,” generally fall under the definition of “Retail Communication.”  In addition, any communication of an independently prepared reprint made available to 25 or more retail investors within a 30 calendar-day period would also fall under the category of “Retail Communication.”</w:t>
      </w:r>
    </w:p>
    <w:p w14:paraId="2E106F00" w14:textId="77777777" w:rsidR="007172C4" w:rsidRPr="00B079F1" w:rsidRDefault="007172C4" w:rsidP="009F627B">
      <w:pPr>
        <w:rPr>
          <w:sz w:val="24"/>
        </w:rPr>
      </w:pPr>
    </w:p>
    <w:p w14:paraId="477F1516" w14:textId="77777777" w:rsidR="006C701F" w:rsidRPr="00B079F1" w:rsidRDefault="006C701F" w:rsidP="006C701F"/>
    <w:p w14:paraId="7158CEC5" w14:textId="77777777" w:rsidR="003F4E31" w:rsidRPr="00B079F1" w:rsidRDefault="003F4E31" w:rsidP="00936FEE">
      <w:pPr>
        <w:pStyle w:val="Heading2"/>
      </w:pPr>
      <w:r w:rsidRPr="00B079F1">
        <w:t>9.</w:t>
      </w:r>
      <w:r w:rsidR="005F57D7" w:rsidRPr="00B079F1">
        <w:t>6</w:t>
      </w:r>
      <w:r w:rsidRPr="00B079F1">
        <w:t xml:space="preserve"> Correspondence</w:t>
      </w:r>
    </w:p>
    <w:p w14:paraId="77015D57" w14:textId="77777777" w:rsidR="00DD76DE" w:rsidRPr="00B079F1" w:rsidRDefault="007D03AC" w:rsidP="00DD76DE">
      <w:pPr>
        <w:rPr>
          <w:sz w:val="24"/>
          <w:szCs w:val="24"/>
        </w:rPr>
      </w:pPr>
      <w:r w:rsidRPr="00B079F1">
        <w:rPr>
          <w:sz w:val="24"/>
          <w:szCs w:val="24"/>
        </w:rPr>
        <w:t>As revised, FINRA Rule 2210(a)(2) defines “correspondence” as “any written (including electronic) communication that is distributed or made available to 25 or fewer retail investors within any 30 calendar-day period.” Thus, the current distinction between existing retail customers and prospective retail customers is eliminated. Instead, if Company distributes or makes available a written communication to 25 or fewer retail investors within a 30 calendar-day period, the communication is considered correspondence. If Company distributes or makes available a written (including electronic) communication to more than 25 retail investors (even if they are existing retail customers) within a 30 calendar-day period, it is considered a retail communication.</w:t>
      </w:r>
      <w:r w:rsidR="00DD76DE" w:rsidRPr="00B079F1">
        <w:rPr>
          <w:sz w:val="24"/>
          <w:szCs w:val="24"/>
        </w:rPr>
        <w:t xml:space="preserve">  Thus, for example, a seminar handout provided to 25 or fewer retail</w:t>
      </w:r>
      <w:r w:rsidR="006C701F" w:rsidRPr="00B079F1">
        <w:rPr>
          <w:sz w:val="24"/>
          <w:szCs w:val="24"/>
        </w:rPr>
        <w:t xml:space="preserve"> </w:t>
      </w:r>
      <w:r w:rsidR="00DD76DE" w:rsidRPr="00B079F1">
        <w:rPr>
          <w:sz w:val="24"/>
          <w:szCs w:val="24"/>
        </w:rPr>
        <w:t>investors within a 30 calendar-day period would be considered correspondence under the</w:t>
      </w:r>
      <w:r w:rsidR="006C701F" w:rsidRPr="00B079F1">
        <w:rPr>
          <w:sz w:val="24"/>
          <w:szCs w:val="24"/>
        </w:rPr>
        <w:t xml:space="preserve"> </w:t>
      </w:r>
      <w:r w:rsidR="00DD76DE" w:rsidRPr="00B079F1">
        <w:rPr>
          <w:sz w:val="24"/>
          <w:szCs w:val="24"/>
        </w:rPr>
        <w:t>new definition.</w:t>
      </w:r>
    </w:p>
    <w:p w14:paraId="0A66C387" w14:textId="77777777" w:rsidR="007172C4" w:rsidRPr="00B079F1" w:rsidRDefault="007172C4" w:rsidP="00DD76DE">
      <w:pPr>
        <w:rPr>
          <w:sz w:val="24"/>
          <w:szCs w:val="24"/>
        </w:rPr>
      </w:pPr>
    </w:p>
    <w:p w14:paraId="2367BB55" w14:textId="77777777" w:rsidR="00943E84" w:rsidRDefault="00943E84" w:rsidP="00943E84">
      <w:pPr>
        <w:pStyle w:val="Heading3"/>
        <w:jc w:val="left"/>
      </w:pPr>
      <w:r>
        <w:t>9.6.1 Incoming Correspondence</w:t>
      </w:r>
    </w:p>
    <w:p w14:paraId="5D8A6293" w14:textId="29530F22" w:rsidR="00943E84" w:rsidRDefault="00943E84" w:rsidP="00943E84">
      <w:pPr>
        <w:ind w:left="270"/>
        <w:rPr>
          <w:sz w:val="24"/>
        </w:rPr>
      </w:pPr>
      <w:r>
        <w:rPr>
          <w:sz w:val="24"/>
        </w:rPr>
        <w:t xml:space="preserve">Morris Monroe shall designate a qualified individual with sufficient training the responsibility for opening all incoming mail immediately upon receipt to assure that any securities related business and checks are properly handled and promptly processed and that Morris Monroe or Laura Hendricks are notified of any customer complaints or regulatory </w:t>
      </w:r>
      <w:r>
        <w:rPr>
          <w:sz w:val="24"/>
        </w:rPr>
        <w:lastRenderedPageBreak/>
        <w:t xml:space="preserve">inquiries.  These duties will be performed by the Compliance Department designees and the Principal and/or his designees in the branch offices.   Incoming correspondence will be date stamped when received, initialed for review by Morris Monroe, the branch office </w:t>
      </w:r>
      <w:r w:rsidR="006815E3">
        <w:rPr>
          <w:sz w:val="24"/>
        </w:rPr>
        <w:t>Principal,</w:t>
      </w:r>
      <w:r>
        <w:rPr>
          <w:sz w:val="24"/>
        </w:rPr>
        <w:t xml:space="preserve"> or their Designees, and maintained in the current year’s Incoming Correspondence notebook (to be retained for a period of three years) </w:t>
      </w:r>
      <w:r w:rsidRPr="00B81D46">
        <w:rPr>
          <w:sz w:val="24"/>
        </w:rPr>
        <w:t xml:space="preserve">or scanned as a pdf  for backup and evidence of approval (for ease of offsite approval).  Originals will be maintained as well.  </w:t>
      </w:r>
    </w:p>
    <w:p w14:paraId="20F4922C" w14:textId="77777777" w:rsidR="00B32144" w:rsidRDefault="00B32144" w:rsidP="00943E84">
      <w:pPr>
        <w:ind w:left="270"/>
        <w:rPr>
          <w:sz w:val="24"/>
        </w:rPr>
      </w:pPr>
    </w:p>
    <w:p w14:paraId="6198639F" w14:textId="77777777" w:rsidR="00B32144" w:rsidRPr="00B32144" w:rsidRDefault="00B32144" w:rsidP="00B32144">
      <w:pPr>
        <w:ind w:left="450"/>
        <w:rPr>
          <w:b/>
          <w:sz w:val="24"/>
        </w:rPr>
      </w:pPr>
      <w:r w:rsidRPr="00B32144">
        <w:rPr>
          <w:b/>
          <w:sz w:val="24"/>
        </w:rPr>
        <w:t>Customer Complaints</w:t>
      </w:r>
    </w:p>
    <w:p w14:paraId="2E32A919" w14:textId="77777777" w:rsidR="00B32144" w:rsidRPr="00151877" w:rsidRDefault="00B32144" w:rsidP="00B32144">
      <w:pPr>
        <w:ind w:left="450"/>
      </w:pPr>
      <w:r w:rsidRPr="00151877">
        <w:rPr>
          <w:sz w:val="24"/>
          <w:szCs w:val="24"/>
        </w:rPr>
        <w:t>"Complaint" is defined as any written statement by a customer or a person acting on behalf of a customer alleging a grievance involving the activities of a person under the broker-dealer's control in connection with the solicitation or execution of any transaction or the disposition of securities or funds of that customer.   Each office where Company regularly conducts business (handles funds or securities, solicits or accepts customer orders) will maintain a separate file of all written customer complaints. Records of options complaints will be maintained in a separate file (or are separately identifiable) in Compliance and in the office that is the subject of the complaint</w:t>
      </w:r>
      <w:r w:rsidRPr="00151877">
        <w:t>.</w:t>
      </w:r>
    </w:p>
    <w:p w14:paraId="688DF1DB" w14:textId="77777777" w:rsidR="00B32144" w:rsidRDefault="00B32144" w:rsidP="00943E84">
      <w:pPr>
        <w:ind w:left="270"/>
      </w:pPr>
    </w:p>
    <w:p w14:paraId="28844D3B" w14:textId="77777777" w:rsidR="00943E84" w:rsidRPr="00364F41" w:rsidRDefault="00943E84" w:rsidP="001A587F">
      <w:pPr>
        <w:pStyle w:val="Heading4"/>
      </w:pPr>
      <w:r w:rsidRPr="00364F41">
        <w:t>Regulatory Communication</w:t>
      </w:r>
    </w:p>
    <w:p w14:paraId="76938EC5" w14:textId="77777777" w:rsidR="00943E84" w:rsidRDefault="00943E84" w:rsidP="006815E3">
      <w:pPr>
        <w:ind w:left="450"/>
        <w:rPr>
          <w:sz w:val="24"/>
          <w:szCs w:val="24"/>
        </w:rPr>
      </w:pPr>
      <w:r w:rsidRPr="00364F41">
        <w:rPr>
          <w:sz w:val="24"/>
          <w:szCs w:val="24"/>
        </w:rPr>
        <w:t>All regulatory inquiries whether written or oral are to be directed to the attention of Morris Monroe, for response.  Further, all responses and other correspondence will be handled by Morris Monroe, or his designee, or legal counsel for the Company, and the representative will make no statements on behalf of the Company, to any person in a regulatory agency, unless specifically authorized to do so by the Company.</w:t>
      </w:r>
    </w:p>
    <w:p w14:paraId="15D92091" w14:textId="77777777" w:rsidR="00943E84" w:rsidRDefault="00943E84" w:rsidP="006815E3">
      <w:pPr>
        <w:ind w:left="540"/>
        <w:rPr>
          <w:sz w:val="24"/>
          <w:szCs w:val="24"/>
        </w:rPr>
      </w:pPr>
    </w:p>
    <w:p w14:paraId="45C31E09" w14:textId="77777777" w:rsidR="00943E84" w:rsidRPr="00EB63D2" w:rsidRDefault="00943E84" w:rsidP="001A587F">
      <w:pPr>
        <w:pStyle w:val="Heading4"/>
      </w:pPr>
      <w:r w:rsidRPr="00EB63D2">
        <w:t>Processing Incoming Mail</w:t>
      </w:r>
    </w:p>
    <w:p w14:paraId="6964246C" w14:textId="77777777" w:rsidR="00943E84" w:rsidRPr="00AD2BAC" w:rsidRDefault="00943E84" w:rsidP="00943E8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1080"/>
        <w:rPr>
          <w:sz w:val="24"/>
        </w:rPr>
      </w:pPr>
      <w:r>
        <w:rPr>
          <w:sz w:val="24"/>
        </w:rPr>
        <w:tab/>
        <w:t>1.</w:t>
      </w:r>
      <w:r>
        <w:rPr>
          <w:sz w:val="24"/>
        </w:rPr>
        <w:tab/>
        <w:t>Open all mail related to securities and investment information, stamp with date received and distribute accordingly including faxes (m</w:t>
      </w:r>
      <w:r w:rsidRPr="00AD2BAC">
        <w:rPr>
          <w:sz w:val="24"/>
        </w:rPr>
        <w:t xml:space="preserve">ay scan </w:t>
      </w:r>
      <w:r>
        <w:rPr>
          <w:sz w:val="24"/>
        </w:rPr>
        <w:t xml:space="preserve">any </w:t>
      </w:r>
      <w:r w:rsidRPr="00AD2BAC">
        <w:rPr>
          <w:sz w:val="24"/>
        </w:rPr>
        <w:t>into pdf Correspondence folder for backup copy and approval</w:t>
      </w:r>
      <w:r>
        <w:rPr>
          <w:sz w:val="24"/>
        </w:rPr>
        <w:t>.)</w:t>
      </w:r>
      <w:r w:rsidRPr="00AD2BAC">
        <w:rPr>
          <w:sz w:val="24"/>
        </w:rPr>
        <w:t xml:space="preserve">  If customer related, add scanned c</w:t>
      </w:r>
      <w:r w:rsidR="00151877">
        <w:rPr>
          <w:sz w:val="24"/>
        </w:rPr>
        <w:t>opy into customer record in Win</w:t>
      </w:r>
      <w:r w:rsidR="00572C29">
        <w:rPr>
          <w:sz w:val="24"/>
        </w:rPr>
        <w:t>O</w:t>
      </w:r>
      <w:r w:rsidRPr="00AD2BAC">
        <w:rPr>
          <w:sz w:val="24"/>
        </w:rPr>
        <w:t xml:space="preserve">ps. Emails are archived.  </w:t>
      </w:r>
    </w:p>
    <w:p w14:paraId="41D62551" w14:textId="77777777" w:rsidR="00943E84" w:rsidRDefault="00943E84" w:rsidP="00943E8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rPr>
          <w:sz w:val="24"/>
        </w:rPr>
      </w:pPr>
      <w:r w:rsidRPr="00AD2BAC">
        <w:rPr>
          <w:sz w:val="24"/>
        </w:rPr>
        <w:t>2.</w:t>
      </w:r>
      <w:r w:rsidRPr="00AD2BAC">
        <w:rPr>
          <w:sz w:val="24"/>
        </w:rPr>
        <w:tab/>
        <w:t>Check for customer complaints (make copy for Morris Monroe and Laura</w:t>
      </w:r>
      <w:r>
        <w:rPr>
          <w:sz w:val="24"/>
        </w:rPr>
        <w:t xml:space="preserve"> Hendricks, the registered representatives, and customer complaint files and in customer's account file).</w:t>
      </w:r>
    </w:p>
    <w:p w14:paraId="4F626559" w14:textId="77777777" w:rsidR="00943E84" w:rsidRDefault="00943E84" w:rsidP="00C1728B">
      <w:pPr>
        <w:numPr>
          <w:ilvl w:val="0"/>
          <w:numId w:val="3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rPr>
          <w:sz w:val="24"/>
        </w:rPr>
      </w:pPr>
      <w:r>
        <w:rPr>
          <w:sz w:val="24"/>
        </w:rPr>
        <w:t>Customer checks to be forwarded to back office to be deposited same day, (if before 3:00 pm) or next day if after 3:00 pm.</w:t>
      </w:r>
    </w:p>
    <w:p w14:paraId="0CD6E7C5" w14:textId="77777777" w:rsidR="00943E84" w:rsidRDefault="00943E84" w:rsidP="00943E84">
      <w:pPr>
        <w:tabs>
          <w:tab w:val="left" w:pos="720"/>
          <w:tab w:val="num" w:pos="90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rPr>
          <w:sz w:val="24"/>
        </w:rPr>
      </w:pPr>
      <w:r>
        <w:rPr>
          <w:sz w:val="24"/>
        </w:rPr>
        <w:t xml:space="preserve">4.  </w:t>
      </w:r>
      <w:r w:rsidR="00854C91">
        <w:rPr>
          <w:sz w:val="24"/>
        </w:rPr>
        <w:t xml:space="preserve"> </w:t>
      </w:r>
      <w:r>
        <w:rPr>
          <w:sz w:val="24"/>
        </w:rPr>
        <w:t>Correspondence from a regulatory agency is to be copied and directed immediately to Morris Monroe.</w:t>
      </w:r>
    </w:p>
    <w:p w14:paraId="2B861B47" w14:textId="77777777" w:rsidR="00E42F73" w:rsidRPr="00E42F73" w:rsidRDefault="00E42F73" w:rsidP="00E42F73">
      <w:pPr>
        <w:numPr>
          <w:ilvl w:val="0"/>
          <w:numId w:val="28"/>
        </w:numPr>
        <w:autoSpaceDE w:val="0"/>
        <w:autoSpaceDN w:val="0"/>
        <w:adjustRightInd w:val="0"/>
        <w:rPr>
          <w:sz w:val="24"/>
        </w:rPr>
      </w:pPr>
      <w:r w:rsidRPr="00E42F73">
        <w:rPr>
          <w:b/>
          <w:color w:val="231F20"/>
          <w:sz w:val="24"/>
        </w:rPr>
        <w:t>Hold Mail</w:t>
      </w:r>
      <w:r>
        <w:rPr>
          <w:color w:val="231F20"/>
          <w:sz w:val="24"/>
        </w:rPr>
        <w:t xml:space="preserve">:  </w:t>
      </w:r>
      <w:r w:rsidR="00943E84">
        <w:rPr>
          <w:color w:val="231F20"/>
          <w:sz w:val="24"/>
        </w:rPr>
        <w:t xml:space="preserve">Under revised </w:t>
      </w:r>
      <w:r w:rsidR="00943E84">
        <w:rPr>
          <w:b/>
          <w:bCs/>
          <w:color w:val="231F20"/>
          <w:sz w:val="24"/>
        </w:rPr>
        <w:t>IM-3110(</w:t>
      </w:r>
      <w:proofErr w:type="spellStart"/>
      <w:r w:rsidR="00943E84">
        <w:rPr>
          <w:b/>
          <w:bCs/>
          <w:color w:val="231F20"/>
          <w:sz w:val="24"/>
        </w:rPr>
        <w:t>i</w:t>
      </w:r>
      <w:proofErr w:type="spellEnd"/>
      <w:r w:rsidR="00943E84">
        <w:rPr>
          <w:b/>
          <w:bCs/>
          <w:color w:val="231F20"/>
          <w:sz w:val="24"/>
        </w:rPr>
        <w:t>),</w:t>
      </w:r>
      <w:r w:rsidR="00943E84">
        <w:rPr>
          <w:color w:val="231F20"/>
          <w:sz w:val="24"/>
        </w:rPr>
        <w:t xml:space="preserve"> the Company, upon a customer’s written instructions, may hold mail for a customer</w:t>
      </w:r>
      <w:r>
        <w:rPr>
          <w:color w:val="231F20"/>
          <w:sz w:val="24"/>
        </w:rPr>
        <w:t>:</w:t>
      </w:r>
    </w:p>
    <w:p w14:paraId="52D13ACC" w14:textId="77777777" w:rsidR="00E42F73" w:rsidRPr="00E42F73" w:rsidRDefault="00E42F73" w:rsidP="00E42F73">
      <w:pPr>
        <w:autoSpaceDE w:val="0"/>
        <w:autoSpaceDN w:val="0"/>
        <w:adjustRightInd w:val="0"/>
        <w:ind w:left="1080"/>
        <w:rPr>
          <w:sz w:val="16"/>
          <w:szCs w:val="16"/>
        </w:rPr>
      </w:pPr>
    </w:p>
    <w:p w14:paraId="3FC9934E" w14:textId="4368815C" w:rsidR="00E42F73" w:rsidRPr="00E42F73" w:rsidRDefault="003663BD" w:rsidP="003E7B18">
      <w:pPr>
        <w:pStyle w:val="ListParagraph"/>
        <w:numPr>
          <w:ilvl w:val="0"/>
          <w:numId w:val="277"/>
        </w:numPr>
        <w:autoSpaceDE w:val="0"/>
        <w:autoSpaceDN w:val="0"/>
        <w:adjustRightInd w:val="0"/>
        <w:rPr>
          <w:color w:val="FF0000"/>
          <w:sz w:val="24"/>
          <w:szCs w:val="24"/>
        </w:rPr>
      </w:pPr>
      <w:r>
        <w:rPr>
          <w:color w:val="231F20"/>
          <w:sz w:val="24"/>
        </w:rPr>
        <w:t>W</w:t>
      </w:r>
      <w:r w:rsidR="00943E84" w:rsidRPr="00E42F73">
        <w:rPr>
          <w:color w:val="231F20"/>
          <w:sz w:val="24"/>
        </w:rPr>
        <w:t>ho will not be at his or her usual address for no longer than two months if the customer is on vacation or traveling, or three months if the customer is going abroad</w:t>
      </w:r>
      <w:r w:rsidR="00A20043">
        <w:rPr>
          <w:color w:val="231F20"/>
          <w:sz w:val="24"/>
        </w:rPr>
        <w:t>.</w:t>
      </w:r>
      <w:r w:rsidR="00943E84" w:rsidRPr="00E42F73">
        <w:rPr>
          <w:color w:val="231F20"/>
          <w:sz w:val="24"/>
        </w:rPr>
        <w:t xml:space="preserve">  </w:t>
      </w:r>
      <w:r w:rsidR="00E34D9C" w:rsidRPr="00E42F73">
        <w:rPr>
          <w:sz w:val="24"/>
          <w:szCs w:val="24"/>
        </w:rPr>
        <w:t>Mail held for any longer period must be justified by the customer in writing for an acceptable reason (</w:t>
      </w:r>
      <w:r w:rsidR="00E34D9C" w:rsidRPr="00E42F73">
        <w:rPr>
          <w:i/>
          <w:iCs/>
          <w:sz w:val="24"/>
          <w:szCs w:val="24"/>
        </w:rPr>
        <w:t>e.g.,</w:t>
      </w:r>
      <w:r w:rsidR="00E34D9C" w:rsidRPr="00E42F73">
        <w:rPr>
          <w:sz w:val="24"/>
          <w:szCs w:val="24"/>
        </w:rPr>
        <w:t xml:space="preserve"> </w:t>
      </w:r>
      <w:r w:rsidR="0068236C" w:rsidRPr="00767FD6">
        <w:rPr>
          <w:sz w:val="24"/>
          <w:szCs w:val="24"/>
        </w:rPr>
        <w:t>military,</w:t>
      </w:r>
      <w:r w:rsidR="0068236C" w:rsidRPr="00E42F73">
        <w:rPr>
          <w:sz w:val="24"/>
          <w:szCs w:val="24"/>
        </w:rPr>
        <w:t xml:space="preserve"> </w:t>
      </w:r>
      <w:r w:rsidR="006815E3" w:rsidRPr="00E42F73">
        <w:rPr>
          <w:sz w:val="24"/>
          <w:szCs w:val="24"/>
        </w:rPr>
        <w:t>safety,</w:t>
      </w:r>
      <w:r w:rsidR="0068236C" w:rsidRPr="00E42F73">
        <w:rPr>
          <w:sz w:val="24"/>
          <w:szCs w:val="24"/>
        </w:rPr>
        <w:t xml:space="preserve"> </w:t>
      </w:r>
      <w:r w:rsidR="00E34D9C" w:rsidRPr="00E42F73">
        <w:rPr>
          <w:sz w:val="24"/>
          <w:szCs w:val="24"/>
        </w:rPr>
        <w:t xml:space="preserve">or security concerns). </w:t>
      </w:r>
      <w:r w:rsidR="00E42F73" w:rsidRPr="00E42F73">
        <w:rPr>
          <w:sz w:val="24"/>
          <w:szCs w:val="24"/>
        </w:rPr>
        <w:t xml:space="preserve"> </w:t>
      </w:r>
      <w:r w:rsidR="00E34D9C" w:rsidRPr="00E42F73">
        <w:rPr>
          <w:sz w:val="24"/>
          <w:szCs w:val="24"/>
        </w:rPr>
        <w:t xml:space="preserve">Convenience is not an acceptable reason to hold mail longer.  </w:t>
      </w:r>
    </w:p>
    <w:p w14:paraId="3324E018" w14:textId="77777777" w:rsidR="00E42F73" w:rsidRPr="00E42F73" w:rsidRDefault="00E34D9C" w:rsidP="003E7B18">
      <w:pPr>
        <w:pStyle w:val="ListParagraph"/>
        <w:numPr>
          <w:ilvl w:val="0"/>
          <w:numId w:val="277"/>
        </w:numPr>
        <w:autoSpaceDE w:val="0"/>
        <w:autoSpaceDN w:val="0"/>
        <w:adjustRightInd w:val="0"/>
        <w:spacing w:before="100" w:beforeAutospacing="1" w:after="100" w:afterAutospacing="1"/>
        <w:rPr>
          <w:color w:val="FF0000"/>
          <w:sz w:val="24"/>
          <w:szCs w:val="24"/>
        </w:rPr>
      </w:pPr>
      <w:r w:rsidRPr="00E42F73">
        <w:rPr>
          <w:sz w:val="24"/>
          <w:szCs w:val="24"/>
        </w:rPr>
        <w:t>Any requests received from customers to hold their mail should be referred to Compliance for review. Such requests should be in writing and renewed annually</w:t>
      </w:r>
      <w:r w:rsidRPr="00151877">
        <w:t xml:space="preserve">.  </w:t>
      </w:r>
    </w:p>
    <w:p w14:paraId="28B5BA82" w14:textId="77777777" w:rsidR="00E42F73" w:rsidRPr="00767FD6" w:rsidRDefault="00E42F73" w:rsidP="003E7B18">
      <w:pPr>
        <w:pStyle w:val="ListParagraph"/>
        <w:numPr>
          <w:ilvl w:val="0"/>
          <w:numId w:val="277"/>
        </w:numPr>
        <w:autoSpaceDE w:val="0"/>
        <w:autoSpaceDN w:val="0"/>
        <w:adjustRightInd w:val="0"/>
        <w:spacing w:before="100" w:beforeAutospacing="1" w:after="100" w:afterAutospacing="1"/>
        <w:rPr>
          <w:sz w:val="24"/>
          <w:szCs w:val="24"/>
        </w:rPr>
      </w:pPr>
      <w:r w:rsidRPr="00767FD6">
        <w:rPr>
          <w:sz w:val="24"/>
          <w:szCs w:val="24"/>
        </w:rPr>
        <w:t>All mail will be held by Compliance and sent to the customer at the expiration of hold mail instructions.</w:t>
      </w:r>
    </w:p>
    <w:p w14:paraId="5EC0D322" w14:textId="77777777" w:rsidR="00E42F73" w:rsidRPr="00767FD6" w:rsidRDefault="00E42F73" w:rsidP="003E7B18">
      <w:pPr>
        <w:pStyle w:val="ListParagraph"/>
        <w:numPr>
          <w:ilvl w:val="0"/>
          <w:numId w:val="277"/>
        </w:numPr>
        <w:autoSpaceDE w:val="0"/>
        <w:autoSpaceDN w:val="0"/>
        <w:adjustRightInd w:val="0"/>
        <w:spacing w:before="100" w:beforeAutospacing="1" w:after="100" w:afterAutospacing="1"/>
        <w:rPr>
          <w:sz w:val="24"/>
          <w:szCs w:val="24"/>
        </w:rPr>
      </w:pPr>
      <w:r w:rsidRPr="00767FD6">
        <w:rPr>
          <w:sz w:val="24"/>
          <w:szCs w:val="24"/>
        </w:rPr>
        <w:lastRenderedPageBreak/>
        <w:t>If Company is holding mail for a customer, Company must be able to communicate with the customer in a timely manner to provide important account information (</w:t>
      </w:r>
      <w:r w:rsidRPr="00767FD6">
        <w:rPr>
          <w:i/>
          <w:iCs/>
          <w:sz w:val="24"/>
          <w:szCs w:val="24"/>
        </w:rPr>
        <w:t>e.g.</w:t>
      </w:r>
      <w:r w:rsidRPr="00767FD6">
        <w:rPr>
          <w:sz w:val="24"/>
          <w:szCs w:val="24"/>
        </w:rPr>
        <w:t xml:space="preserve"> privacy notices, SIPC information notices), as necessary.</w:t>
      </w:r>
    </w:p>
    <w:p w14:paraId="2670AB40" w14:textId="77777777" w:rsidR="00E42F73" w:rsidRPr="00E42F73" w:rsidRDefault="00E34D9C" w:rsidP="003E7B18">
      <w:pPr>
        <w:pStyle w:val="ListParagraph"/>
        <w:numPr>
          <w:ilvl w:val="0"/>
          <w:numId w:val="277"/>
        </w:numPr>
        <w:autoSpaceDE w:val="0"/>
        <w:autoSpaceDN w:val="0"/>
        <w:adjustRightInd w:val="0"/>
        <w:spacing w:before="100" w:beforeAutospacing="1" w:after="100" w:afterAutospacing="1"/>
        <w:rPr>
          <w:color w:val="FF0000"/>
          <w:sz w:val="24"/>
          <w:szCs w:val="24"/>
        </w:rPr>
      </w:pPr>
      <w:r w:rsidRPr="00E42F73">
        <w:rPr>
          <w:sz w:val="24"/>
          <w:szCs w:val="24"/>
        </w:rPr>
        <w:t xml:space="preserve">Customers will be notified in writing of alternative methods for the customer to view/monitor account activity such as email or access through the custodian’s website.  Such notice may originate from either the Company or the custodian.  The customer will be requested to acknowledge receipt of this notice.   </w:t>
      </w:r>
    </w:p>
    <w:p w14:paraId="4B667F4E" w14:textId="52B845F1" w:rsidR="00E42F73" w:rsidRPr="00E42F73" w:rsidRDefault="00943E84" w:rsidP="003E7B18">
      <w:pPr>
        <w:pStyle w:val="ListParagraph"/>
        <w:numPr>
          <w:ilvl w:val="0"/>
          <w:numId w:val="277"/>
        </w:numPr>
        <w:autoSpaceDE w:val="0"/>
        <w:autoSpaceDN w:val="0"/>
        <w:adjustRightInd w:val="0"/>
        <w:spacing w:before="100" w:beforeAutospacing="1" w:after="100" w:afterAutospacing="1"/>
        <w:rPr>
          <w:color w:val="FF0000"/>
          <w:sz w:val="24"/>
          <w:szCs w:val="24"/>
        </w:rPr>
      </w:pPr>
      <w:r w:rsidRPr="00E42F73">
        <w:rPr>
          <w:color w:val="231F20"/>
          <w:sz w:val="24"/>
        </w:rPr>
        <w:t>Any written instructions will be maintained in the customer file or Win</w:t>
      </w:r>
      <w:r w:rsidR="00217738" w:rsidRPr="00E42F73">
        <w:rPr>
          <w:color w:val="231F20"/>
          <w:sz w:val="24"/>
        </w:rPr>
        <w:t>O</w:t>
      </w:r>
      <w:r w:rsidRPr="00E42F73">
        <w:rPr>
          <w:color w:val="231F20"/>
          <w:sz w:val="24"/>
        </w:rPr>
        <w:t xml:space="preserve">ps and also </w:t>
      </w:r>
      <w:r w:rsidR="00AB3015" w:rsidRPr="006815E3">
        <w:rPr>
          <w:sz w:val="24"/>
        </w:rPr>
        <w:t xml:space="preserve">may be </w:t>
      </w:r>
      <w:r w:rsidRPr="006815E3">
        <w:rPr>
          <w:sz w:val="24"/>
        </w:rPr>
        <w:t xml:space="preserve">recorded in </w:t>
      </w:r>
      <w:r w:rsidR="00AB3015" w:rsidRPr="006815E3">
        <w:rPr>
          <w:sz w:val="24"/>
        </w:rPr>
        <w:t>the CRM</w:t>
      </w:r>
      <w:r w:rsidRPr="006815E3">
        <w:rPr>
          <w:sz w:val="24"/>
        </w:rPr>
        <w:t xml:space="preserve"> </w:t>
      </w:r>
      <w:r w:rsidRPr="00E42F73">
        <w:rPr>
          <w:color w:val="231F20"/>
          <w:sz w:val="24"/>
        </w:rPr>
        <w:t xml:space="preserve">with a follow up action for two months in the future (or three months if applicable) to contact the customer and terminate the holding period.  Morris Monroe or his designee will ensure that once the time period has expired, all mail is again properly forwarded to the customer.  A notification will be forwarded </w:t>
      </w:r>
      <w:r w:rsidRPr="009F0FC7">
        <w:rPr>
          <w:sz w:val="24"/>
        </w:rPr>
        <w:t xml:space="preserve">to </w:t>
      </w:r>
      <w:r w:rsidR="00EC5133" w:rsidRPr="009F0FC7">
        <w:rPr>
          <w:sz w:val="24"/>
        </w:rPr>
        <w:t>HT</w:t>
      </w:r>
      <w:r w:rsidRPr="009F0FC7">
        <w:rPr>
          <w:sz w:val="24"/>
        </w:rPr>
        <w:t xml:space="preserve">S </w:t>
      </w:r>
      <w:r w:rsidRPr="00E42F73">
        <w:rPr>
          <w:color w:val="231F20"/>
          <w:sz w:val="24"/>
        </w:rPr>
        <w:t>to resume delivery to the customer and maintain a copy of the notice in the customer file.</w:t>
      </w:r>
      <w:r w:rsidR="00E34D9C" w:rsidRPr="00E42F73">
        <w:rPr>
          <w:color w:val="231F20"/>
          <w:sz w:val="24"/>
        </w:rPr>
        <w:t xml:space="preserve">  </w:t>
      </w:r>
    </w:p>
    <w:p w14:paraId="362EB0FF" w14:textId="77777777" w:rsidR="00F67CE1" w:rsidRPr="00E42F73" w:rsidRDefault="00F67CE1" w:rsidP="003E7B18">
      <w:pPr>
        <w:pStyle w:val="ListParagraph"/>
        <w:numPr>
          <w:ilvl w:val="0"/>
          <w:numId w:val="277"/>
        </w:numPr>
        <w:autoSpaceDE w:val="0"/>
        <w:autoSpaceDN w:val="0"/>
        <w:adjustRightInd w:val="0"/>
        <w:rPr>
          <w:color w:val="FF0000"/>
          <w:sz w:val="24"/>
          <w:szCs w:val="24"/>
        </w:rPr>
      </w:pPr>
      <w:r w:rsidRPr="00E42F73">
        <w:rPr>
          <w:sz w:val="24"/>
          <w:szCs w:val="24"/>
        </w:rPr>
        <w:t xml:space="preserve">In addition, Compliance will maintain a log to record the transmittal of held mail including when it is sent, to whom, and </w:t>
      </w:r>
      <w:proofErr w:type="gramStart"/>
      <w:r w:rsidRPr="00E42F73">
        <w:rPr>
          <w:sz w:val="24"/>
          <w:szCs w:val="24"/>
        </w:rPr>
        <w:t>where</w:t>
      </w:r>
      <w:proofErr w:type="gramEnd"/>
      <w:r w:rsidRPr="00E42F73">
        <w:rPr>
          <w:sz w:val="24"/>
          <w:szCs w:val="24"/>
        </w:rPr>
        <w:t xml:space="preserve"> sent as well as the customer's written instructions to hold mail and notice to the customer of alternatives and the customer's acknowledgment of receipt.</w:t>
      </w:r>
    </w:p>
    <w:p w14:paraId="3849026D" w14:textId="77777777" w:rsidR="00943E84" w:rsidRDefault="00943E84" w:rsidP="00A20043">
      <w:pPr>
        <w:numPr>
          <w:ilvl w:val="0"/>
          <w:numId w:val="28"/>
        </w:numPr>
        <w:autoSpaceDE w:val="0"/>
        <w:autoSpaceDN w:val="0"/>
        <w:adjustRightInd w:val="0"/>
        <w:rPr>
          <w:color w:val="231F20"/>
          <w:sz w:val="24"/>
        </w:rPr>
      </w:pPr>
      <w:r>
        <w:rPr>
          <w:color w:val="231F20"/>
          <w:sz w:val="24"/>
        </w:rPr>
        <w:t>LOA’s to transfer funds or securities will be processed by the trading department and any instructions maintained in a central location.</w:t>
      </w:r>
    </w:p>
    <w:p w14:paraId="63EED6A1" w14:textId="77777777" w:rsidR="00943E84" w:rsidRDefault="00943E84" w:rsidP="00216F83">
      <w:pPr>
        <w:numPr>
          <w:ilvl w:val="0"/>
          <w:numId w:val="28"/>
        </w:numPr>
        <w:autoSpaceDE w:val="0"/>
        <w:autoSpaceDN w:val="0"/>
        <w:adjustRightInd w:val="0"/>
        <w:rPr>
          <w:color w:val="231F20"/>
          <w:sz w:val="24"/>
        </w:rPr>
      </w:pPr>
      <w:r>
        <w:rPr>
          <w:color w:val="231F20"/>
          <w:sz w:val="24"/>
        </w:rPr>
        <w:t>Any bills, invoices, forwarded to Accounting for processing.</w:t>
      </w:r>
    </w:p>
    <w:p w14:paraId="5CACBFD2" w14:textId="77777777" w:rsidR="00943E84" w:rsidRPr="00EB63D2" w:rsidRDefault="00943E84" w:rsidP="00943E84">
      <w:pPr>
        <w:ind w:left="540"/>
        <w:rPr>
          <w:b/>
          <w:sz w:val="24"/>
          <w:szCs w:val="24"/>
        </w:rPr>
      </w:pPr>
    </w:p>
    <w:p w14:paraId="6A47B341" w14:textId="77777777" w:rsidR="00943E84" w:rsidRPr="00B81D46" w:rsidRDefault="00943E84" w:rsidP="00943E84">
      <w:pPr>
        <w:pStyle w:val="Heading3"/>
        <w:jc w:val="left"/>
      </w:pPr>
      <w:r>
        <w:t xml:space="preserve">9.6.2 </w:t>
      </w:r>
      <w:r w:rsidRPr="00B81D46">
        <w:t>Outgoing Correspondence</w:t>
      </w:r>
    </w:p>
    <w:p w14:paraId="5BB4A7E4" w14:textId="61E8A3E3" w:rsidR="00943E84" w:rsidRDefault="00943E84" w:rsidP="006815E3">
      <w:pPr>
        <w:ind w:left="270"/>
        <w:rPr>
          <w:sz w:val="24"/>
        </w:rPr>
      </w:pPr>
      <w:r w:rsidRPr="00B81D46">
        <w:rPr>
          <w:sz w:val="24"/>
        </w:rPr>
        <w:t>All correspondence relating to the solicitation or execution of securiti</w:t>
      </w:r>
      <w:r>
        <w:rPr>
          <w:sz w:val="24"/>
        </w:rPr>
        <w:t xml:space="preserve">es shall be approved by Morris </w:t>
      </w:r>
      <w:r w:rsidRPr="00B81D46">
        <w:rPr>
          <w:sz w:val="24"/>
        </w:rPr>
        <w:t xml:space="preserve">Monroe or another qualified supervisor. </w:t>
      </w:r>
      <w:r w:rsidR="00782C1E">
        <w:rPr>
          <w:sz w:val="24"/>
        </w:rPr>
        <w:t xml:space="preserve"> </w:t>
      </w:r>
      <w:r w:rsidRPr="00B81D46">
        <w:rPr>
          <w:sz w:val="24"/>
        </w:rPr>
        <w:t xml:space="preserve">Examples of letters involving solicitation would include, but not be limited to, suggesting specific stocks or industries or those telling a potential customer of the benefits of the Company.  In addition, pursuant to amended Rule 2211, effective December 1, 2006, a registered principal must approve correspondence sent to 25 or more existing retail customers within any 30 calendar-day period if the correspondence makes any financial or investment recommendation or otherwise promotes a product or service of the </w:t>
      </w:r>
      <w:r>
        <w:rPr>
          <w:sz w:val="24"/>
        </w:rPr>
        <w:t>Company</w:t>
      </w:r>
      <w:r w:rsidRPr="00B81D46">
        <w:rPr>
          <w:sz w:val="24"/>
        </w:rPr>
        <w:t>. Approval of Morris Monroe or another qualified supervisor will be evidenced by initialing the correspondence document. A centralized file will be maintained for all outgoing correspondence (which can include a pdf file folder</w:t>
      </w:r>
      <w:r w:rsidR="00782C1E">
        <w:rPr>
          <w:sz w:val="24"/>
        </w:rPr>
        <w:t xml:space="preserve"> for backup and ease of </w:t>
      </w:r>
      <w:r w:rsidRPr="00B81D46">
        <w:rPr>
          <w:sz w:val="24"/>
        </w:rPr>
        <w:t xml:space="preserve">approval) to customers pertaining to solicitation or execution of a transaction. Copies of such letters will be maintained for a period of three (3) years.  </w:t>
      </w:r>
    </w:p>
    <w:p w14:paraId="34E43154" w14:textId="77777777" w:rsidR="006815E3" w:rsidRDefault="006815E3" w:rsidP="006815E3">
      <w:pPr>
        <w:ind w:left="270"/>
        <w:rPr>
          <w:sz w:val="24"/>
        </w:rPr>
      </w:pPr>
    </w:p>
    <w:p w14:paraId="72D4B82C" w14:textId="77777777" w:rsidR="00943E84" w:rsidRDefault="00943E84" w:rsidP="001A587F">
      <w:pPr>
        <w:pStyle w:val="Heading4"/>
      </w:pPr>
      <w:r>
        <w:tab/>
      </w:r>
      <w:r w:rsidRPr="00EB63D2">
        <w:t xml:space="preserve">Processing </w:t>
      </w:r>
      <w:r w:rsidRPr="00EB63D2">
        <w:rPr>
          <w:color w:val="231F20"/>
        </w:rPr>
        <w:t>Outgoing</w:t>
      </w:r>
      <w:r w:rsidRPr="00EB63D2">
        <w:t xml:space="preserve"> Mail</w:t>
      </w:r>
    </w:p>
    <w:p w14:paraId="65AA6D6A" w14:textId="77777777" w:rsidR="00943E84" w:rsidRDefault="00943E84" w:rsidP="00943E8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rPr>
          <w:sz w:val="24"/>
        </w:rPr>
      </w:pPr>
      <w:r>
        <w:rPr>
          <w:sz w:val="24"/>
        </w:rPr>
        <w:tab/>
        <w:t>1.</w:t>
      </w:r>
      <w:r>
        <w:rPr>
          <w:sz w:val="24"/>
        </w:rPr>
        <w:tab/>
        <w:t>Must be received by 4:30 PM CST in back office.</w:t>
      </w:r>
    </w:p>
    <w:p w14:paraId="5634580B" w14:textId="77777777" w:rsidR="00943E84" w:rsidRDefault="00943E84" w:rsidP="0022399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810" w:hanging="810"/>
        <w:rPr>
          <w:sz w:val="24"/>
        </w:rPr>
      </w:pPr>
      <w:r>
        <w:rPr>
          <w:sz w:val="24"/>
        </w:rPr>
        <w:tab/>
        <w:t>2.</w:t>
      </w:r>
      <w:r>
        <w:rPr>
          <w:sz w:val="24"/>
        </w:rPr>
        <w:tab/>
        <w:t xml:space="preserve">Make sure date is correct on postage machine. Weigh all letters and put correct </w:t>
      </w:r>
      <w:r>
        <w:rPr>
          <w:sz w:val="24"/>
        </w:rPr>
        <w:tab/>
      </w:r>
      <w:r>
        <w:rPr>
          <w:sz w:val="24"/>
        </w:rPr>
        <w:tab/>
      </w:r>
      <w:r>
        <w:rPr>
          <w:sz w:val="24"/>
        </w:rPr>
        <w:tab/>
        <w:t xml:space="preserve">postage in. </w:t>
      </w:r>
    </w:p>
    <w:p w14:paraId="31228459" w14:textId="77777777" w:rsidR="00943E84" w:rsidRDefault="00943E84" w:rsidP="00943E8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rPr>
          <w:sz w:val="24"/>
        </w:rPr>
      </w:pPr>
      <w:r>
        <w:rPr>
          <w:sz w:val="24"/>
        </w:rPr>
        <w:tab/>
        <w:t>3.</w:t>
      </w:r>
      <w:r>
        <w:rPr>
          <w:sz w:val="24"/>
        </w:rPr>
        <w:tab/>
        <w:t>Stamp with machine.</w:t>
      </w:r>
    </w:p>
    <w:p w14:paraId="143C28D2" w14:textId="77777777" w:rsidR="00943E84" w:rsidRDefault="00943E84" w:rsidP="00943E84">
      <w:pPr>
        <w:tabs>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ind w:left="1080" w:hanging="360"/>
        <w:rPr>
          <w:sz w:val="24"/>
        </w:rPr>
      </w:pPr>
      <w:r>
        <w:rPr>
          <w:sz w:val="24"/>
        </w:rPr>
        <w:tab/>
        <w:t>Drop in mailbox by 4:45PM CST.</w:t>
      </w:r>
    </w:p>
    <w:p w14:paraId="62F6B5A3" w14:textId="77777777" w:rsidR="00943E84" w:rsidRDefault="00943E84" w:rsidP="00C1728B">
      <w:pPr>
        <w:numPr>
          <w:ilvl w:val="0"/>
          <w:numId w:val="3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rPr>
          <w:sz w:val="24"/>
        </w:rPr>
      </w:pPr>
      <w:r>
        <w:rPr>
          <w:sz w:val="24"/>
        </w:rPr>
        <w:t>Sales and prospecting letters must be approved by compliance prior to sending.</w:t>
      </w:r>
    </w:p>
    <w:p w14:paraId="2DA314A5" w14:textId="77777777" w:rsidR="00943E84" w:rsidRPr="00485C15" w:rsidRDefault="00943E84" w:rsidP="00C1728B">
      <w:pPr>
        <w:numPr>
          <w:ilvl w:val="0"/>
          <w:numId w:val="3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rPr>
          <w:sz w:val="24"/>
        </w:rPr>
      </w:pPr>
      <w:r w:rsidRPr="00485C15">
        <w:rPr>
          <w:sz w:val="24"/>
        </w:rPr>
        <w:t>May scan as a pdf into Correspondence folder for backup copy and for review purposes. If customer related, scan a copy into Win</w:t>
      </w:r>
      <w:r w:rsidR="00B079F1">
        <w:rPr>
          <w:sz w:val="24"/>
        </w:rPr>
        <w:t>O</w:t>
      </w:r>
      <w:r w:rsidRPr="00485C15">
        <w:rPr>
          <w:sz w:val="24"/>
        </w:rPr>
        <w:t>ps.  Emails are archived.</w:t>
      </w:r>
    </w:p>
    <w:p w14:paraId="645BBD07" w14:textId="77777777" w:rsidR="00943E84" w:rsidRDefault="00943E84" w:rsidP="00DD76DE">
      <w:pPr>
        <w:rPr>
          <w:color w:val="FF0000"/>
          <w:sz w:val="24"/>
          <w:szCs w:val="24"/>
        </w:rPr>
      </w:pPr>
    </w:p>
    <w:p w14:paraId="2E6FB380" w14:textId="77777777" w:rsidR="00DD76DE" w:rsidRPr="007D03AC" w:rsidRDefault="00DD76DE" w:rsidP="007D03AC">
      <w:pPr>
        <w:rPr>
          <w:color w:val="FF0000"/>
          <w:sz w:val="24"/>
          <w:szCs w:val="24"/>
        </w:rPr>
      </w:pPr>
    </w:p>
    <w:p w14:paraId="0E45F5F1" w14:textId="77777777" w:rsidR="00657619" w:rsidRDefault="00657619" w:rsidP="00936FEE">
      <w:pPr>
        <w:pStyle w:val="Heading2"/>
      </w:pPr>
      <w:r>
        <w:lastRenderedPageBreak/>
        <w:t>9.7 Approval, Review, and Recordkeeping</w:t>
      </w:r>
    </w:p>
    <w:p w14:paraId="2CF8DA1F" w14:textId="77777777" w:rsidR="00ED7FA0" w:rsidRPr="00ED7FA0" w:rsidRDefault="00ED7FA0" w:rsidP="00ED7FA0"/>
    <w:p w14:paraId="61D49A3F" w14:textId="77777777" w:rsidR="00ED7FA0" w:rsidRDefault="00ED7FA0" w:rsidP="00ED7FA0">
      <w:pPr>
        <w:pStyle w:val="Heading3"/>
      </w:pPr>
      <w:r>
        <w:t xml:space="preserve">9.7.1 Retail </w:t>
      </w:r>
      <w:r w:rsidRPr="00ED7FA0">
        <w:t>Communications</w:t>
      </w:r>
      <w:r>
        <w:t xml:space="preserve">  </w:t>
      </w:r>
    </w:p>
    <w:p w14:paraId="342E4B90" w14:textId="77777777" w:rsidR="00657619" w:rsidRPr="00B079F1" w:rsidRDefault="005B3226" w:rsidP="00ED7FA0">
      <w:pPr>
        <w:autoSpaceDE w:val="0"/>
        <w:autoSpaceDN w:val="0"/>
        <w:adjustRightInd w:val="0"/>
        <w:ind w:left="270"/>
        <w:rPr>
          <w:sz w:val="24"/>
          <w:szCs w:val="24"/>
        </w:rPr>
      </w:pPr>
      <w:r w:rsidRPr="00B079F1">
        <w:rPr>
          <w:sz w:val="24"/>
          <w:szCs w:val="24"/>
        </w:rPr>
        <w:t xml:space="preserve">FINRA Rules require an appropriately qualified registered principal of </w:t>
      </w:r>
      <w:r w:rsidR="004F5F51">
        <w:rPr>
          <w:sz w:val="24"/>
          <w:szCs w:val="24"/>
        </w:rPr>
        <w:t>the Company</w:t>
      </w:r>
      <w:r w:rsidRPr="00B079F1">
        <w:rPr>
          <w:sz w:val="24"/>
          <w:szCs w:val="24"/>
        </w:rPr>
        <w:t xml:space="preserve"> </w:t>
      </w:r>
      <w:r w:rsidR="00DB0A86">
        <w:rPr>
          <w:sz w:val="24"/>
          <w:szCs w:val="24"/>
        </w:rPr>
        <w:t>to</w:t>
      </w:r>
      <w:r w:rsidRPr="00B079F1">
        <w:rPr>
          <w:sz w:val="24"/>
          <w:szCs w:val="24"/>
        </w:rPr>
        <w:t xml:space="preserve"> approve each retail communication before the earlier of its use or filing with FINRA.</w:t>
      </w:r>
      <w:r w:rsidR="00ED7FA0" w:rsidRPr="00B079F1">
        <w:rPr>
          <w:sz w:val="24"/>
          <w:szCs w:val="24"/>
        </w:rPr>
        <w:t xml:space="preserve">  These communications include: (</w:t>
      </w:r>
      <w:proofErr w:type="spellStart"/>
      <w:r w:rsidR="00ED7FA0" w:rsidRPr="00B079F1">
        <w:rPr>
          <w:sz w:val="24"/>
          <w:szCs w:val="24"/>
        </w:rPr>
        <w:t>i</w:t>
      </w:r>
      <w:proofErr w:type="spellEnd"/>
      <w:r w:rsidR="00ED7FA0" w:rsidRPr="00B079F1">
        <w:rPr>
          <w:sz w:val="24"/>
          <w:szCs w:val="24"/>
        </w:rPr>
        <w:t xml:space="preserve">) any retail communication that is excepted from the definition of “research report” pursuant to </w:t>
      </w:r>
      <w:r w:rsidR="00186DC5" w:rsidRPr="00767FD6">
        <w:rPr>
          <w:sz w:val="24"/>
          <w:szCs w:val="24"/>
        </w:rPr>
        <w:t>FINRA Rule 2241</w:t>
      </w:r>
      <w:r w:rsidR="00186DC5" w:rsidRPr="00767FD6">
        <w:t xml:space="preserve">, </w:t>
      </w:r>
      <w:r w:rsidR="00ED7FA0" w:rsidRPr="00B079F1">
        <w:rPr>
          <w:sz w:val="24"/>
          <w:szCs w:val="24"/>
        </w:rPr>
        <w:t xml:space="preserve">communication that is posted on an online interactive electronic forum; and (iii) any retail communication that does not make any financial or investment recommendation or otherwise promote a product or service of </w:t>
      </w:r>
      <w:r w:rsidR="004F5F51">
        <w:rPr>
          <w:sz w:val="24"/>
          <w:szCs w:val="24"/>
        </w:rPr>
        <w:t>the Company</w:t>
      </w:r>
      <w:r w:rsidR="00ED7FA0" w:rsidRPr="00B079F1">
        <w:rPr>
          <w:sz w:val="24"/>
          <w:szCs w:val="24"/>
        </w:rPr>
        <w:t>.</w:t>
      </w:r>
    </w:p>
    <w:p w14:paraId="6F15A3A2" w14:textId="77777777" w:rsidR="00ED7FA0" w:rsidRPr="00B079F1" w:rsidRDefault="00ED7FA0" w:rsidP="00ED7FA0">
      <w:pPr>
        <w:rPr>
          <w:sz w:val="24"/>
          <w:szCs w:val="24"/>
        </w:rPr>
      </w:pPr>
    </w:p>
    <w:p w14:paraId="2C337344" w14:textId="77777777" w:rsidR="003C036E" w:rsidRPr="00B079F1" w:rsidRDefault="003C036E" w:rsidP="00ED7FA0">
      <w:pPr>
        <w:ind w:left="270"/>
        <w:rPr>
          <w:sz w:val="24"/>
          <w:szCs w:val="24"/>
        </w:rPr>
      </w:pPr>
      <w:r w:rsidRPr="00B079F1">
        <w:rPr>
          <w:b/>
          <w:sz w:val="24"/>
          <w:szCs w:val="24"/>
        </w:rPr>
        <w:t>Exceptions</w:t>
      </w:r>
      <w:r w:rsidR="000762EA" w:rsidRPr="00B079F1">
        <w:rPr>
          <w:b/>
          <w:sz w:val="24"/>
          <w:szCs w:val="24"/>
        </w:rPr>
        <w:t xml:space="preserve"> for Pre-Approval</w:t>
      </w:r>
      <w:r w:rsidRPr="00B079F1">
        <w:rPr>
          <w:sz w:val="24"/>
          <w:szCs w:val="24"/>
        </w:rPr>
        <w:t>:</w:t>
      </w:r>
    </w:p>
    <w:p w14:paraId="4CD9C375" w14:textId="77777777" w:rsidR="000762EA" w:rsidRPr="00B079F1" w:rsidRDefault="000762EA" w:rsidP="00ED7FA0">
      <w:pPr>
        <w:autoSpaceDE w:val="0"/>
        <w:autoSpaceDN w:val="0"/>
        <w:adjustRightInd w:val="0"/>
        <w:ind w:left="270"/>
        <w:rPr>
          <w:sz w:val="24"/>
          <w:szCs w:val="24"/>
        </w:rPr>
      </w:pPr>
      <w:r w:rsidRPr="00B079F1">
        <w:rPr>
          <w:sz w:val="24"/>
          <w:szCs w:val="24"/>
        </w:rPr>
        <w:t>A communication, if, at the time that a firm intends to publish or distribute it: (</w:t>
      </w:r>
      <w:proofErr w:type="spellStart"/>
      <w:r w:rsidRPr="00B079F1">
        <w:rPr>
          <w:sz w:val="24"/>
          <w:szCs w:val="24"/>
        </w:rPr>
        <w:t>i</w:t>
      </w:r>
      <w:proofErr w:type="spellEnd"/>
      <w:r w:rsidRPr="00B079F1">
        <w:rPr>
          <w:sz w:val="24"/>
          <w:szCs w:val="24"/>
        </w:rPr>
        <w:t xml:space="preserve">) another firm has filed it with FINRA and has received a letter from FINRA stating that it appears to be consistent with applicable standards; and (ii) </w:t>
      </w:r>
      <w:r w:rsidR="004F5F51">
        <w:rPr>
          <w:sz w:val="24"/>
          <w:szCs w:val="24"/>
        </w:rPr>
        <w:t>Company</w:t>
      </w:r>
      <w:r w:rsidRPr="00B079F1">
        <w:rPr>
          <w:sz w:val="24"/>
          <w:szCs w:val="24"/>
        </w:rPr>
        <w:t xml:space="preserve"> using the communication in reliance on this exception has not materially altered it and will not use it in a manner that is inconsistent with the conditions of the Advertising Regulation Department’s letter.</w:t>
      </w:r>
    </w:p>
    <w:p w14:paraId="592C2B7B" w14:textId="77777777" w:rsidR="003C036E" w:rsidRPr="00B079F1" w:rsidRDefault="003C036E" w:rsidP="00657619"/>
    <w:p w14:paraId="0E8CEE92" w14:textId="77777777" w:rsidR="00ED7FA0" w:rsidRPr="00B079F1" w:rsidRDefault="00ED7FA0" w:rsidP="00ED7FA0">
      <w:pPr>
        <w:pStyle w:val="Heading3"/>
      </w:pPr>
      <w:r w:rsidRPr="00B079F1">
        <w:t>9.7.2 Correspondence and Institutional Communication</w:t>
      </w:r>
    </w:p>
    <w:p w14:paraId="4FA90532" w14:textId="77777777" w:rsidR="00ED7FA0" w:rsidRDefault="004433C4" w:rsidP="004433C4">
      <w:pPr>
        <w:ind w:left="270"/>
        <w:rPr>
          <w:sz w:val="24"/>
          <w:szCs w:val="24"/>
        </w:rPr>
      </w:pPr>
      <w:r w:rsidRPr="00B079F1">
        <w:rPr>
          <w:sz w:val="24"/>
          <w:szCs w:val="24"/>
        </w:rPr>
        <w:t xml:space="preserve">Correspondence does not require pre-approval.  Any institutional communication will be pre-approved by a principal.  </w:t>
      </w:r>
    </w:p>
    <w:p w14:paraId="223924CF" w14:textId="77777777" w:rsidR="00DB0A86" w:rsidRDefault="00DB0A86" w:rsidP="004433C4">
      <w:pPr>
        <w:ind w:left="270"/>
        <w:rPr>
          <w:sz w:val="24"/>
          <w:szCs w:val="24"/>
        </w:rPr>
      </w:pPr>
    </w:p>
    <w:p w14:paraId="0545E448" w14:textId="77777777" w:rsidR="00DB0A86" w:rsidRDefault="00DB0A86" w:rsidP="00DB0A86">
      <w:pPr>
        <w:pStyle w:val="Heading3"/>
      </w:pPr>
      <w:r>
        <w:t>9.7.3 Inter-office Communication</w:t>
      </w:r>
      <w:r w:rsidR="009F6476">
        <w:t>s</w:t>
      </w:r>
    </w:p>
    <w:p w14:paraId="655351C8" w14:textId="77777777" w:rsidR="00DB0A86" w:rsidRPr="00151877" w:rsidRDefault="00DB0A86" w:rsidP="004433C4">
      <w:pPr>
        <w:ind w:left="270"/>
        <w:rPr>
          <w:sz w:val="24"/>
          <w:szCs w:val="24"/>
        </w:rPr>
      </w:pPr>
      <w:r w:rsidRPr="00151877">
        <w:rPr>
          <w:sz w:val="24"/>
          <w:szCs w:val="24"/>
        </w:rPr>
        <w:t>Any inter-office communications may be subject to regulatory review, and therefore must comply with good business practice as well as Company's policies on communications and securities rules/laws. Inter-office memos and other communications are subject to review and retention requirements.</w:t>
      </w:r>
    </w:p>
    <w:p w14:paraId="48754544" w14:textId="77777777" w:rsidR="00497A32" w:rsidRPr="00151877" w:rsidRDefault="00497A32" w:rsidP="004433C4">
      <w:pPr>
        <w:ind w:left="270"/>
        <w:rPr>
          <w:sz w:val="24"/>
          <w:szCs w:val="24"/>
        </w:rPr>
      </w:pPr>
    </w:p>
    <w:p w14:paraId="55EF12D9" w14:textId="143BAF50" w:rsidR="009311BB" w:rsidRPr="00151877" w:rsidRDefault="009311BB" w:rsidP="009311BB">
      <w:pPr>
        <w:pStyle w:val="Heading3"/>
      </w:pPr>
      <w:r w:rsidRPr="00151877">
        <w:t>9.7.</w:t>
      </w:r>
      <w:r w:rsidR="00DB0A86" w:rsidRPr="00151877">
        <w:t>4</w:t>
      </w:r>
      <w:r w:rsidRPr="00151877">
        <w:t xml:space="preserve"> Reviewing </w:t>
      </w:r>
      <w:r w:rsidR="0031215B">
        <w:t>o</w:t>
      </w:r>
      <w:r w:rsidRPr="00151877">
        <w:t xml:space="preserve">n </w:t>
      </w:r>
      <w:r w:rsidR="008816D3">
        <w:t>a</w:t>
      </w:r>
      <w:r w:rsidRPr="00151877">
        <w:t xml:space="preserve"> </w:t>
      </w:r>
      <w:r w:rsidR="00F03592" w:rsidRPr="00151877">
        <w:t>Risk</w:t>
      </w:r>
      <w:r w:rsidRPr="00151877">
        <w:t xml:space="preserve"> Basis</w:t>
      </w:r>
    </w:p>
    <w:p w14:paraId="4FB3042B" w14:textId="77777777" w:rsidR="009311BB" w:rsidRPr="00217738" w:rsidRDefault="009311BB" w:rsidP="009311BB">
      <w:pPr>
        <w:shd w:val="clear" w:color="auto" w:fill="FFFFFF"/>
        <w:spacing w:before="13" w:after="100" w:afterAutospacing="1" w:line="200" w:lineRule="atLeast"/>
        <w:ind w:left="270"/>
        <w:rPr>
          <w:spacing w:val="8"/>
          <w:sz w:val="24"/>
          <w:szCs w:val="24"/>
        </w:rPr>
      </w:pPr>
      <w:r w:rsidRPr="00151877">
        <w:rPr>
          <w:spacing w:val="8"/>
          <w:sz w:val="24"/>
          <w:szCs w:val="24"/>
        </w:rPr>
        <w:t>Supervisors</w:t>
      </w:r>
      <w:r w:rsidR="00F03592" w:rsidRPr="00151877">
        <w:rPr>
          <w:spacing w:val="8"/>
          <w:sz w:val="24"/>
          <w:szCs w:val="24"/>
        </w:rPr>
        <w:t xml:space="preserve">, or </w:t>
      </w:r>
      <w:r w:rsidR="00F03592" w:rsidRPr="00151877">
        <w:rPr>
          <w:sz w:val="24"/>
          <w:szCs w:val="24"/>
        </w:rPr>
        <w:t>someone qualified and appointed by the department supervisor,</w:t>
      </w:r>
      <w:r w:rsidRPr="00151877">
        <w:rPr>
          <w:spacing w:val="8"/>
          <w:sz w:val="24"/>
          <w:szCs w:val="24"/>
        </w:rPr>
        <w:t xml:space="preserve"> </w:t>
      </w:r>
      <w:r w:rsidRPr="00217738">
        <w:rPr>
          <w:spacing w:val="8"/>
          <w:sz w:val="24"/>
          <w:szCs w:val="24"/>
        </w:rPr>
        <w:t xml:space="preserve">may review written outgoing correspondence on a </w:t>
      </w:r>
      <w:r w:rsidR="00F03592">
        <w:rPr>
          <w:spacing w:val="8"/>
          <w:sz w:val="24"/>
          <w:szCs w:val="24"/>
        </w:rPr>
        <w:t>risk</w:t>
      </w:r>
      <w:r w:rsidRPr="00217738">
        <w:rPr>
          <w:spacing w:val="8"/>
          <w:sz w:val="24"/>
          <w:szCs w:val="24"/>
        </w:rPr>
        <w:t xml:space="preserve"> basis using the guidelines that follow, </w:t>
      </w:r>
      <w:proofErr w:type="gramStart"/>
      <w:r w:rsidRPr="00217738">
        <w:rPr>
          <w:spacing w:val="8"/>
          <w:sz w:val="24"/>
          <w:szCs w:val="24"/>
        </w:rPr>
        <w:t>or,</w:t>
      </w:r>
      <w:proofErr w:type="gramEnd"/>
      <w:r w:rsidRPr="00217738">
        <w:rPr>
          <w:spacing w:val="8"/>
          <w:sz w:val="24"/>
          <w:szCs w:val="24"/>
        </w:rPr>
        <w:t xml:space="preserve"> review all outgoing correspondence prior to sending.</w:t>
      </w:r>
    </w:p>
    <w:p w14:paraId="21B3D0B2" w14:textId="77777777" w:rsidR="009311BB" w:rsidRPr="00217738" w:rsidRDefault="009311BB" w:rsidP="009311BB">
      <w:pPr>
        <w:shd w:val="clear" w:color="auto" w:fill="FFFFFF"/>
        <w:spacing w:before="13" w:after="100" w:afterAutospacing="1" w:line="200" w:lineRule="atLeast"/>
        <w:ind w:left="270"/>
        <w:rPr>
          <w:spacing w:val="8"/>
          <w:sz w:val="24"/>
          <w:szCs w:val="24"/>
        </w:rPr>
      </w:pPr>
      <w:r w:rsidRPr="00217738">
        <w:rPr>
          <w:spacing w:val="8"/>
          <w:sz w:val="24"/>
          <w:szCs w:val="24"/>
        </w:rPr>
        <w:t xml:space="preserve">Sampling guidelines include the following. "Pre-review" refers to review and approval of written correspondence </w:t>
      </w:r>
      <w:r w:rsidRPr="00217738">
        <w:rPr>
          <w:b/>
          <w:bCs/>
          <w:spacing w:val="8"/>
          <w:sz w:val="24"/>
          <w:szCs w:val="24"/>
        </w:rPr>
        <w:t>before</w:t>
      </w:r>
      <w:r w:rsidRPr="00217738">
        <w:rPr>
          <w:spacing w:val="8"/>
          <w:sz w:val="24"/>
          <w:szCs w:val="24"/>
        </w:rPr>
        <w:t xml:space="preserve"> it is sent. Correspondence subject to "post-review" may be reviewed after sending. All RRs are subject to review of at least some of their correspondence on a regular basis. Sampling is permitted for the following type(s) of outgoing correspondence:</w:t>
      </w:r>
    </w:p>
    <w:p w14:paraId="0A5A05CC" w14:textId="21379795" w:rsidR="009311BB" w:rsidRPr="00217738" w:rsidRDefault="009311BB" w:rsidP="003E7B18">
      <w:pPr>
        <w:numPr>
          <w:ilvl w:val="0"/>
          <w:numId w:val="204"/>
        </w:numPr>
        <w:shd w:val="clear" w:color="auto" w:fill="FFFFFF"/>
        <w:ind w:hanging="180"/>
        <w:rPr>
          <w:spacing w:val="8"/>
          <w:sz w:val="24"/>
          <w:szCs w:val="24"/>
        </w:rPr>
      </w:pPr>
      <w:r w:rsidRPr="00217738">
        <w:rPr>
          <w:spacing w:val="8"/>
          <w:sz w:val="24"/>
          <w:szCs w:val="24"/>
        </w:rPr>
        <w:t>Written (hard</w:t>
      </w:r>
      <w:r w:rsidR="0031215B">
        <w:rPr>
          <w:spacing w:val="8"/>
          <w:sz w:val="24"/>
          <w:szCs w:val="24"/>
        </w:rPr>
        <w:t xml:space="preserve"> </w:t>
      </w:r>
      <w:r w:rsidRPr="00217738">
        <w:rPr>
          <w:spacing w:val="8"/>
          <w:sz w:val="24"/>
          <w:szCs w:val="24"/>
        </w:rPr>
        <w:t xml:space="preserve">copy) correspondence </w:t>
      </w:r>
    </w:p>
    <w:p w14:paraId="3A9D2160" w14:textId="77777777" w:rsidR="009311BB" w:rsidRPr="00217738" w:rsidRDefault="009311BB" w:rsidP="003E7B18">
      <w:pPr>
        <w:numPr>
          <w:ilvl w:val="0"/>
          <w:numId w:val="204"/>
        </w:numPr>
        <w:shd w:val="clear" w:color="auto" w:fill="FFFFFF"/>
        <w:ind w:hanging="180"/>
        <w:rPr>
          <w:spacing w:val="8"/>
          <w:sz w:val="24"/>
          <w:szCs w:val="24"/>
        </w:rPr>
      </w:pPr>
      <w:r w:rsidRPr="00217738">
        <w:rPr>
          <w:spacing w:val="8"/>
          <w:sz w:val="24"/>
          <w:szCs w:val="24"/>
        </w:rPr>
        <w:t xml:space="preserve">E-mails </w:t>
      </w:r>
    </w:p>
    <w:p w14:paraId="3916378B" w14:textId="77777777" w:rsidR="009311BB" w:rsidRPr="001F5BF2" w:rsidRDefault="009311BB" w:rsidP="003E7B18">
      <w:pPr>
        <w:numPr>
          <w:ilvl w:val="0"/>
          <w:numId w:val="204"/>
        </w:numPr>
        <w:shd w:val="clear" w:color="auto" w:fill="FFFFFF"/>
        <w:ind w:left="810" w:hanging="270"/>
        <w:rPr>
          <w:sz w:val="24"/>
          <w:szCs w:val="24"/>
        </w:rPr>
      </w:pPr>
      <w:r w:rsidRPr="001F5BF2">
        <w:rPr>
          <w:spacing w:val="8"/>
          <w:sz w:val="24"/>
          <w:szCs w:val="24"/>
        </w:rPr>
        <w:t>Faxes</w:t>
      </w:r>
    </w:p>
    <w:p w14:paraId="245D96E8" w14:textId="77777777" w:rsidR="001F5BF2" w:rsidRPr="001F5BF2" w:rsidRDefault="001F5BF2" w:rsidP="001F5BF2">
      <w:pPr>
        <w:shd w:val="clear" w:color="auto" w:fill="FFFFFF"/>
        <w:ind w:left="810"/>
        <w:rPr>
          <w:sz w:val="24"/>
          <w:szCs w:val="24"/>
        </w:rPr>
      </w:pPr>
    </w:p>
    <w:p w14:paraId="3572F9BB" w14:textId="77777777" w:rsidR="009C48A0" w:rsidRPr="00217738" w:rsidRDefault="009C48A0" w:rsidP="003E7B18">
      <w:pPr>
        <w:numPr>
          <w:ilvl w:val="0"/>
          <w:numId w:val="206"/>
        </w:numPr>
        <w:shd w:val="clear" w:color="auto" w:fill="FFFFFF"/>
        <w:tabs>
          <w:tab w:val="left" w:pos="630"/>
        </w:tabs>
        <w:ind w:left="630" w:hanging="274"/>
        <w:rPr>
          <w:spacing w:val="8"/>
          <w:sz w:val="24"/>
          <w:szCs w:val="24"/>
        </w:rPr>
      </w:pPr>
      <w:r w:rsidRPr="00217738">
        <w:rPr>
          <w:spacing w:val="8"/>
          <w:sz w:val="24"/>
          <w:szCs w:val="24"/>
        </w:rPr>
        <w:t xml:space="preserve">  Pre-review: </w:t>
      </w:r>
    </w:p>
    <w:p w14:paraId="16E33E4C" w14:textId="77777777" w:rsidR="009C48A0" w:rsidRPr="00217738" w:rsidRDefault="009C48A0" w:rsidP="003E7B18">
      <w:pPr>
        <w:numPr>
          <w:ilvl w:val="1"/>
          <w:numId w:val="205"/>
        </w:numPr>
        <w:shd w:val="clear" w:color="auto" w:fill="FFFFFF"/>
        <w:tabs>
          <w:tab w:val="clear" w:pos="1440"/>
          <w:tab w:val="num" w:pos="1170"/>
        </w:tabs>
        <w:ind w:left="1170" w:hanging="274"/>
        <w:rPr>
          <w:spacing w:val="8"/>
          <w:sz w:val="24"/>
          <w:szCs w:val="24"/>
        </w:rPr>
      </w:pPr>
      <w:r w:rsidRPr="00217738">
        <w:rPr>
          <w:spacing w:val="8"/>
          <w:sz w:val="24"/>
          <w:szCs w:val="24"/>
        </w:rPr>
        <w:t xml:space="preserve">All correspondence for any RR with a history of complaints/discipline that necessitates heightened supervision (Compliance will notify supervisors of RRs subject to heightened supervision) </w:t>
      </w:r>
    </w:p>
    <w:p w14:paraId="26D9A867" w14:textId="77777777" w:rsidR="009C48A0" w:rsidRPr="00217738" w:rsidRDefault="009C48A0" w:rsidP="003E7B18">
      <w:pPr>
        <w:numPr>
          <w:ilvl w:val="1"/>
          <w:numId w:val="205"/>
        </w:numPr>
        <w:shd w:val="clear" w:color="auto" w:fill="FFFFFF"/>
        <w:tabs>
          <w:tab w:val="clear" w:pos="1440"/>
          <w:tab w:val="num" w:pos="1170"/>
        </w:tabs>
        <w:ind w:left="1170" w:hanging="270"/>
        <w:rPr>
          <w:spacing w:val="8"/>
          <w:sz w:val="24"/>
          <w:szCs w:val="24"/>
        </w:rPr>
      </w:pPr>
      <w:r w:rsidRPr="00217738">
        <w:rPr>
          <w:spacing w:val="8"/>
          <w:sz w:val="24"/>
          <w:szCs w:val="24"/>
        </w:rPr>
        <w:t>All correspondence that includes high-risk or other special products (e.g. options, CMOs, etc.)</w:t>
      </w:r>
    </w:p>
    <w:p w14:paraId="071E3324" w14:textId="77777777" w:rsidR="009C48A0" w:rsidRPr="00217738" w:rsidRDefault="009C48A0" w:rsidP="003E7B18">
      <w:pPr>
        <w:numPr>
          <w:ilvl w:val="0"/>
          <w:numId w:val="206"/>
        </w:numPr>
        <w:shd w:val="clear" w:color="auto" w:fill="FFFFFF"/>
        <w:rPr>
          <w:spacing w:val="8"/>
          <w:sz w:val="24"/>
          <w:szCs w:val="24"/>
        </w:rPr>
      </w:pPr>
      <w:r w:rsidRPr="00217738">
        <w:rPr>
          <w:spacing w:val="8"/>
          <w:sz w:val="24"/>
          <w:szCs w:val="24"/>
        </w:rPr>
        <w:lastRenderedPageBreak/>
        <w:t xml:space="preserve">Post-review: </w:t>
      </w:r>
    </w:p>
    <w:p w14:paraId="2C9C96A4" w14:textId="77777777" w:rsidR="009C48A0" w:rsidRPr="00217738" w:rsidRDefault="009C48A0" w:rsidP="003E7B18">
      <w:pPr>
        <w:numPr>
          <w:ilvl w:val="1"/>
          <w:numId w:val="205"/>
        </w:numPr>
        <w:shd w:val="clear" w:color="auto" w:fill="FFFFFF"/>
        <w:tabs>
          <w:tab w:val="clear" w:pos="1440"/>
          <w:tab w:val="num" w:pos="1170"/>
        </w:tabs>
        <w:ind w:hanging="540"/>
        <w:rPr>
          <w:spacing w:val="8"/>
          <w:sz w:val="24"/>
          <w:szCs w:val="24"/>
        </w:rPr>
      </w:pPr>
      <w:r w:rsidRPr="00217738">
        <w:rPr>
          <w:spacing w:val="8"/>
          <w:sz w:val="24"/>
          <w:szCs w:val="24"/>
        </w:rPr>
        <w:t>At least 5% of other correspondence</w:t>
      </w:r>
    </w:p>
    <w:p w14:paraId="0E4BCBA7" w14:textId="77777777" w:rsidR="009C48A0" w:rsidRPr="00217738" w:rsidRDefault="009C48A0" w:rsidP="003E7B18">
      <w:pPr>
        <w:numPr>
          <w:ilvl w:val="0"/>
          <w:numId w:val="206"/>
        </w:numPr>
        <w:shd w:val="clear" w:color="auto" w:fill="FFFFFF"/>
        <w:tabs>
          <w:tab w:val="left" w:pos="810"/>
        </w:tabs>
        <w:rPr>
          <w:spacing w:val="8"/>
          <w:sz w:val="24"/>
          <w:szCs w:val="24"/>
        </w:rPr>
      </w:pPr>
      <w:r w:rsidRPr="00217738">
        <w:rPr>
          <w:spacing w:val="8"/>
          <w:sz w:val="24"/>
          <w:szCs w:val="24"/>
        </w:rPr>
        <w:t xml:space="preserve">Refer to the section </w:t>
      </w:r>
      <w:r w:rsidRPr="00217738">
        <w:rPr>
          <w:i/>
          <w:iCs/>
          <w:spacing w:val="8"/>
          <w:sz w:val="24"/>
          <w:szCs w:val="24"/>
        </w:rPr>
        <w:t>Content Guidelines</w:t>
      </w:r>
      <w:r w:rsidRPr="00217738">
        <w:rPr>
          <w:spacing w:val="8"/>
          <w:sz w:val="24"/>
          <w:szCs w:val="24"/>
        </w:rPr>
        <w:t xml:space="preserve"> that follows for guidance on acceptable </w:t>
      </w:r>
      <w:r w:rsidR="00954A3E" w:rsidRPr="00217738">
        <w:rPr>
          <w:spacing w:val="8"/>
          <w:sz w:val="24"/>
          <w:szCs w:val="24"/>
        </w:rPr>
        <w:t xml:space="preserve"> </w:t>
      </w:r>
      <w:r w:rsidR="001F5BF2">
        <w:rPr>
          <w:spacing w:val="8"/>
          <w:sz w:val="24"/>
          <w:szCs w:val="24"/>
        </w:rPr>
        <w:t xml:space="preserve">  </w:t>
      </w:r>
      <w:r w:rsidRPr="00217738">
        <w:rPr>
          <w:spacing w:val="8"/>
          <w:sz w:val="24"/>
          <w:szCs w:val="24"/>
        </w:rPr>
        <w:t>content</w:t>
      </w:r>
      <w:r w:rsidR="001F5BF2">
        <w:rPr>
          <w:spacing w:val="8"/>
          <w:sz w:val="24"/>
          <w:szCs w:val="24"/>
        </w:rPr>
        <w:t>.</w:t>
      </w:r>
      <w:r w:rsidRPr="00217738">
        <w:rPr>
          <w:spacing w:val="8"/>
          <w:sz w:val="24"/>
          <w:szCs w:val="24"/>
        </w:rPr>
        <w:t xml:space="preserve"> </w:t>
      </w:r>
    </w:p>
    <w:p w14:paraId="0CD07061" w14:textId="77777777" w:rsidR="009C48A0" w:rsidRPr="00217738" w:rsidRDefault="009C48A0" w:rsidP="003E7B18">
      <w:pPr>
        <w:numPr>
          <w:ilvl w:val="0"/>
          <w:numId w:val="206"/>
        </w:numPr>
        <w:shd w:val="clear" w:color="auto" w:fill="FFFFFF"/>
        <w:spacing w:before="100" w:beforeAutospacing="1" w:after="100" w:afterAutospacing="1" w:line="200" w:lineRule="atLeast"/>
        <w:rPr>
          <w:spacing w:val="8"/>
          <w:sz w:val="24"/>
          <w:szCs w:val="24"/>
        </w:rPr>
      </w:pPr>
      <w:r w:rsidRPr="00217738">
        <w:rPr>
          <w:spacing w:val="8"/>
          <w:sz w:val="24"/>
          <w:szCs w:val="24"/>
        </w:rPr>
        <w:t xml:space="preserve">For correspondence that includes a recommendation, determine that the information presented balances the benefits and risks of the recommendation and, if the subject security is high-risk, determine the recommendation is appropriate for the customer by conferring with the RR and/or reviewing new account information </w:t>
      </w:r>
    </w:p>
    <w:p w14:paraId="3374013F" w14:textId="60E3833B" w:rsidR="00954A3E" w:rsidRDefault="00954A3E" w:rsidP="003E7B18">
      <w:pPr>
        <w:numPr>
          <w:ilvl w:val="0"/>
          <w:numId w:val="206"/>
        </w:numPr>
        <w:rPr>
          <w:sz w:val="24"/>
          <w:szCs w:val="24"/>
        </w:rPr>
      </w:pPr>
      <w:r w:rsidRPr="00217738">
        <w:rPr>
          <w:sz w:val="24"/>
          <w:szCs w:val="24"/>
        </w:rPr>
        <w:t>Emails are reviewed on a random sampling basis, typically at least once a week, and generally sorted by Keyword Risk Level, with the highest numbers first down to lowest numbers.  That sampling is then reviewed on a random sampling basis.</w:t>
      </w:r>
    </w:p>
    <w:p w14:paraId="132E6439" w14:textId="47AEA22E" w:rsidR="00CB0D22" w:rsidRPr="00CB0D22" w:rsidRDefault="00CB0D22" w:rsidP="003E7B18">
      <w:pPr>
        <w:numPr>
          <w:ilvl w:val="0"/>
          <w:numId w:val="206"/>
        </w:numPr>
        <w:rPr>
          <w:color w:val="FF0000"/>
          <w:sz w:val="24"/>
          <w:szCs w:val="24"/>
        </w:rPr>
      </w:pPr>
      <w:r w:rsidRPr="00CB0D22">
        <w:rPr>
          <w:color w:val="FF0000"/>
          <w:sz w:val="24"/>
          <w:szCs w:val="24"/>
        </w:rPr>
        <w:t xml:space="preserve">Content should be reviewed </w:t>
      </w:r>
      <w:r>
        <w:rPr>
          <w:color w:val="FF0000"/>
          <w:sz w:val="24"/>
          <w:szCs w:val="24"/>
        </w:rPr>
        <w:t>t</w:t>
      </w:r>
      <w:r w:rsidRPr="00CB0D22">
        <w:rPr>
          <w:color w:val="FF0000"/>
          <w:sz w:val="24"/>
          <w:szCs w:val="24"/>
        </w:rPr>
        <w:t>o detect and identif</w:t>
      </w:r>
      <w:r>
        <w:rPr>
          <w:color w:val="FF0000"/>
          <w:sz w:val="24"/>
          <w:szCs w:val="24"/>
        </w:rPr>
        <w:t>y</w:t>
      </w:r>
      <w:r w:rsidRPr="00CB0D22">
        <w:rPr>
          <w:color w:val="FF0000"/>
          <w:sz w:val="24"/>
          <w:szCs w:val="24"/>
        </w:rPr>
        <w:t xml:space="preserve"> potential customer complaints.</w:t>
      </w:r>
    </w:p>
    <w:p w14:paraId="046096B9" w14:textId="77777777" w:rsidR="009311BB" w:rsidRPr="009311BB" w:rsidRDefault="009311BB" w:rsidP="004433C4">
      <w:pPr>
        <w:ind w:left="270"/>
        <w:rPr>
          <w:color w:val="FF0000"/>
          <w:sz w:val="24"/>
          <w:szCs w:val="24"/>
        </w:rPr>
      </w:pPr>
    </w:p>
    <w:p w14:paraId="0882D99A" w14:textId="77777777" w:rsidR="004433C4" w:rsidRPr="00B079F1" w:rsidRDefault="004433C4" w:rsidP="004433C4">
      <w:pPr>
        <w:rPr>
          <w:sz w:val="24"/>
          <w:szCs w:val="24"/>
        </w:rPr>
      </w:pPr>
    </w:p>
    <w:p w14:paraId="1EE2AABC" w14:textId="77777777" w:rsidR="003C036E" w:rsidRPr="00B079F1" w:rsidRDefault="004433C4" w:rsidP="00936FEE">
      <w:pPr>
        <w:pStyle w:val="Heading2"/>
      </w:pPr>
      <w:r w:rsidRPr="00B079F1">
        <w:t>9.8 Recordkeeping Requirements</w:t>
      </w:r>
    </w:p>
    <w:p w14:paraId="78BCB434" w14:textId="77777777" w:rsidR="00BD23DD" w:rsidRPr="00B079F1" w:rsidRDefault="00C96BBA" w:rsidP="00C96BBA">
      <w:pPr>
        <w:autoSpaceDE w:val="0"/>
        <w:autoSpaceDN w:val="0"/>
        <w:adjustRightInd w:val="0"/>
        <w:rPr>
          <w:sz w:val="24"/>
          <w:szCs w:val="24"/>
        </w:rPr>
      </w:pPr>
      <w:r w:rsidRPr="00B079F1">
        <w:rPr>
          <w:sz w:val="24"/>
          <w:szCs w:val="24"/>
        </w:rPr>
        <w:t xml:space="preserve">FINRA Rule 2210(b)(4)(A) specifies that such records must include: </w:t>
      </w:r>
    </w:p>
    <w:p w14:paraId="7A5A1AC9" w14:textId="77777777" w:rsidR="003D6E65" w:rsidRPr="00B079F1" w:rsidRDefault="00BD23DD" w:rsidP="003E7B18">
      <w:pPr>
        <w:numPr>
          <w:ilvl w:val="0"/>
          <w:numId w:val="193"/>
        </w:numPr>
        <w:autoSpaceDE w:val="0"/>
        <w:autoSpaceDN w:val="0"/>
        <w:adjustRightInd w:val="0"/>
        <w:ind w:left="630" w:hanging="270"/>
        <w:rPr>
          <w:sz w:val="24"/>
          <w:szCs w:val="24"/>
        </w:rPr>
      </w:pPr>
      <w:r w:rsidRPr="00B079F1">
        <w:rPr>
          <w:sz w:val="24"/>
          <w:szCs w:val="24"/>
        </w:rPr>
        <w:t>A</w:t>
      </w:r>
      <w:r w:rsidR="00C96BBA" w:rsidRPr="00B079F1">
        <w:rPr>
          <w:sz w:val="24"/>
          <w:szCs w:val="24"/>
        </w:rPr>
        <w:t xml:space="preserve"> copy of the communication and the dates of first and (if applicable) last use; </w:t>
      </w:r>
    </w:p>
    <w:p w14:paraId="6DC2806F" w14:textId="77777777" w:rsidR="00BD23DD" w:rsidRPr="00B079F1" w:rsidRDefault="003D6E65" w:rsidP="003E7B18">
      <w:pPr>
        <w:numPr>
          <w:ilvl w:val="0"/>
          <w:numId w:val="193"/>
        </w:numPr>
        <w:autoSpaceDE w:val="0"/>
        <w:autoSpaceDN w:val="0"/>
        <w:adjustRightInd w:val="0"/>
        <w:ind w:left="630" w:hanging="270"/>
        <w:rPr>
          <w:sz w:val="24"/>
          <w:szCs w:val="24"/>
        </w:rPr>
      </w:pPr>
      <w:r w:rsidRPr="00B079F1">
        <w:rPr>
          <w:sz w:val="24"/>
          <w:szCs w:val="24"/>
        </w:rPr>
        <w:t>T</w:t>
      </w:r>
      <w:r w:rsidR="00C96BBA" w:rsidRPr="00B079F1">
        <w:rPr>
          <w:sz w:val="24"/>
          <w:szCs w:val="24"/>
        </w:rPr>
        <w:t>he name of any registered principal who approved the communication and the date that approval was given;</w:t>
      </w:r>
      <w:r w:rsidR="00BD23DD" w:rsidRPr="00B079F1">
        <w:rPr>
          <w:sz w:val="24"/>
          <w:szCs w:val="24"/>
        </w:rPr>
        <w:t xml:space="preserve">  </w:t>
      </w:r>
    </w:p>
    <w:p w14:paraId="59C6266C" w14:textId="77777777" w:rsidR="00BD23DD" w:rsidRPr="00B079F1" w:rsidRDefault="00BD23DD" w:rsidP="003E7B18">
      <w:pPr>
        <w:numPr>
          <w:ilvl w:val="0"/>
          <w:numId w:val="193"/>
        </w:numPr>
        <w:autoSpaceDE w:val="0"/>
        <w:autoSpaceDN w:val="0"/>
        <w:adjustRightInd w:val="0"/>
        <w:ind w:left="630" w:hanging="270"/>
        <w:rPr>
          <w:sz w:val="24"/>
          <w:szCs w:val="24"/>
        </w:rPr>
      </w:pPr>
      <w:r w:rsidRPr="00B079F1">
        <w:rPr>
          <w:sz w:val="24"/>
          <w:szCs w:val="24"/>
        </w:rPr>
        <w:t>I</w:t>
      </w:r>
      <w:r w:rsidR="00C96BBA" w:rsidRPr="00B079F1">
        <w:rPr>
          <w:sz w:val="24"/>
          <w:szCs w:val="24"/>
        </w:rPr>
        <w:t>n the case of a retail communication or institutional communication that is not</w:t>
      </w:r>
      <w:r w:rsidRPr="00B079F1">
        <w:rPr>
          <w:sz w:val="24"/>
          <w:szCs w:val="24"/>
        </w:rPr>
        <w:t xml:space="preserve"> </w:t>
      </w:r>
      <w:r w:rsidR="00C96BBA" w:rsidRPr="00B079F1">
        <w:rPr>
          <w:sz w:val="24"/>
          <w:szCs w:val="24"/>
        </w:rPr>
        <w:t>approved prior to first use by a registered principal, the name of the person who</w:t>
      </w:r>
      <w:r w:rsidRPr="00B079F1">
        <w:rPr>
          <w:sz w:val="24"/>
          <w:szCs w:val="24"/>
        </w:rPr>
        <w:t xml:space="preserve"> </w:t>
      </w:r>
      <w:r w:rsidR="00C96BBA" w:rsidRPr="00B079F1">
        <w:rPr>
          <w:sz w:val="24"/>
          <w:szCs w:val="24"/>
        </w:rPr>
        <w:t>prepared or distributed the communication;</w:t>
      </w:r>
      <w:r w:rsidRPr="00B079F1">
        <w:rPr>
          <w:sz w:val="24"/>
          <w:szCs w:val="24"/>
        </w:rPr>
        <w:t xml:space="preserve"> </w:t>
      </w:r>
    </w:p>
    <w:p w14:paraId="21BCE011" w14:textId="77777777" w:rsidR="00BD23DD" w:rsidRPr="00B079F1" w:rsidRDefault="00BD23DD" w:rsidP="003E7B18">
      <w:pPr>
        <w:numPr>
          <w:ilvl w:val="0"/>
          <w:numId w:val="193"/>
        </w:numPr>
        <w:autoSpaceDE w:val="0"/>
        <w:autoSpaceDN w:val="0"/>
        <w:adjustRightInd w:val="0"/>
        <w:ind w:left="630" w:hanging="270"/>
        <w:rPr>
          <w:sz w:val="24"/>
          <w:szCs w:val="24"/>
        </w:rPr>
      </w:pPr>
      <w:r w:rsidRPr="00B079F1">
        <w:rPr>
          <w:sz w:val="24"/>
          <w:szCs w:val="24"/>
        </w:rPr>
        <w:t>I</w:t>
      </w:r>
      <w:r w:rsidR="00C96BBA" w:rsidRPr="00B079F1">
        <w:rPr>
          <w:sz w:val="24"/>
          <w:szCs w:val="24"/>
        </w:rPr>
        <w:t>nformation concerning the source of any statistical table, chart, graph or other</w:t>
      </w:r>
      <w:r w:rsidRPr="00B079F1">
        <w:rPr>
          <w:sz w:val="24"/>
          <w:szCs w:val="24"/>
        </w:rPr>
        <w:t xml:space="preserve"> </w:t>
      </w:r>
      <w:r w:rsidR="00C96BBA" w:rsidRPr="00B079F1">
        <w:rPr>
          <w:sz w:val="24"/>
          <w:szCs w:val="24"/>
        </w:rPr>
        <w:t>illustration used in the communication; and</w:t>
      </w:r>
      <w:r w:rsidRPr="00B079F1">
        <w:rPr>
          <w:sz w:val="24"/>
          <w:szCs w:val="24"/>
        </w:rPr>
        <w:t xml:space="preserve"> </w:t>
      </w:r>
    </w:p>
    <w:p w14:paraId="65ECB60E" w14:textId="77777777" w:rsidR="004433C4" w:rsidRPr="00B079F1" w:rsidRDefault="00BD23DD" w:rsidP="003E7B18">
      <w:pPr>
        <w:numPr>
          <w:ilvl w:val="0"/>
          <w:numId w:val="193"/>
        </w:numPr>
        <w:autoSpaceDE w:val="0"/>
        <w:autoSpaceDN w:val="0"/>
        <w:adjustRightInd w:val="0"/>
        <w:ind w:left="630" w:hanging="270"/>
        <w:rPr>
          <w:sz w:val="24"/>
          <w:szCs w:val="24"/>
        </w:rPr>
      </w:pPr>
      <w:r w:rsidRPr="00B079F1">
        <w:rPr>
          <w:sz w:val="24"/>
          <w:szCs w:val="24"/>
        </w:rPr>
        <w:t>F</w:t>
      </w:r>
      <w:r w:rsidR="00C96BBA" w:rsidRPr="00B079F1">
        <w:rPr>
          <w:sz w:val="24"/>
          <w:szCs w:val="24"/>
        </w:rPr>
        <w:t>or retail communications that rely on the exception under paragraph (b)(1)(C)</w:t>
      </w:r>
      <w:r w:rsidR="003D6E65" w:rsidRPr="00B079F1">
        <w:rPr>
          <w:sz w:val="24"/>
          <w:szCs w:val="24"/>
        </w:rPr>
        <w:t xml:space="preserve"> of the Rule</w:t>
      </w:r>
      <w:r w:rsidR="00C96BBA" w:rsidRPr="00B079F1">
        <w:rPr>
          <w:sz w:val="24"/>
          <w:szCs w:val="24"/>
        </w:rPr>
        <w:t>,</w:t>
      </w:r>
      <w:r w:rsidRPr="00B079F1">
        <w:rPr>
          <w:sz w:val="24"/>
          <w:szCs w:val="24"/>
        </w:rPr>
        <w:t xml:space="preserve"> </w:t>
      </w:r>
      <w:r w:rsidR="00C96BBA" w:rsidRPr="00B079F1">
        <w:rPr>
          <w:sz w:val="24"/>
          <w:szCs w:val="24"/>
        </w:rPr>
        <w:t>the name of the firm that filed the retail communication with FINRA and a copy</w:t>
      </w:r>
      <w:r w:rsidRPr="00B079F1">
        <w:rPr>
          <w:sz w:val="24"/>
          <w:szCs w:val="24"/>
        </w:rPr>
        <w:t xml:space="preserve"> </w:t>
      </w:r>
      <w:r w:rsidR="00C96BBA" w:rsidRPr="00B079F1">
        <w:rPr>
          <w:sz w:val="24"/>
          <w:szCs w:val="24"/>
        </w:rPr>
        <w:t>of the Advertising Regulation Department’s review letter.</w:t>
      </w:r>
    </w:p>
    <w:p w14:paraId="451114AC" w14:textId="77777777" w:rsidR="00BF0A5C" w:rsidRPr="00B079F1" w:rsidRDefault="00BF0A5C" w:rsidP="00BF0A5C">
      <w:pPr>
        <w:autoSpaceDE w:val="0"/>
        <w:autoSpaceDN w:val="0"/>
        <w:adjustRightInd w:val="0"/>
        <w:rPr>
          <w:rFonts w:ascii="TheSans-B4SemiLight" w:hAnsi="TheSans-B4SemiLight" w:cs="TheSans-B4SemiLight"/>
        </w:rPr>
      </w:pPr>
    </w:p>
    <w:p w14:paraId="3B52DF4E" w14:textId="77777777" w:rsidR="00BF0A5C" w:rsidRDefault="00BF0A5C" w:rsidP="00BF0A5C">
      <w:pPr>
        <w:autoSpaceDE w:val="0"/>
        <w:autoSpaceDN w:val="0"/>
        <w:adjustRightInd w:val="0"/>
        <w:rPr>
          <w:sz w:val="24"/>
          <w:szCs w:val="24"/>
        </w:rPr>
      </w:pPr>
      <w:r w:rsidRPr="00B079F1">
        <w:rPr>
          <w:sz w:val="24"/>
          <w:szCs w:val="24"/>
        </w:rPr>
        <w:t>Company shall maintain a file in a central location for securities related incoming and outgoing correspondence.</w:t>
      </w:r>
    </w:p>
    <w:p w14:paraId="754D7E7C" w14:textId="77777777" w:rsidR="009965DA" w:rsidRPr="00B079F1" w:rsidRDefault="009965DA" w:rsidP="00BF0A5C">
      <w:pPr>
        <w:autoSpaceDE w:val="0"/>
        <w:autoSpaceDN w:val="0"/>
        <w:adjustRightInd w:val="0"/>
        <w:rPr>
          <w:sz w:val="24"/>
          <w:szCs w:val="24"/>
        </w:rPr>
      </w:pPr>
    </w:p>
    <w:p w14:paraId="38FA625E" w14:textId="77777777" w:rsidR="00BF0A5C" w:rsidRPr="00B079F1" w:rsidRDefault="00BF0A5C" w:rsidP="00BD23DD">
      <w:pPr>
        <w:autoSpaceDE w:val="0"/>
        <w:autoSpaceDN w:val="0"/>
        <w:adjustRightInd w:val="0"/>
        <w:ind w:left="630"/>
      </w:pPr>
    </w:p>
    <w:p w14:paraId="789C8BC8" w14:textId="77777777" w:rsidR="00AB6AE5" w:rsidRDefault="00BF0A5C" w:rsidP="00936FEE">
      <w:pPr>
        <w:pStyle w:val="Heading2"/>
      </w:pPr>
      <w:r w:rsidRPr="00B079F1">
        <w:t xml:space="preserve">9.9 </w:t>
      </w:r>
      <w:r w:rsidR="0053358A">
        <w:t xml:space="preserve">FINRA </w:t>
      </w:r>
      <w:r w:rsidRPr="00B079F1">
        <w:t>Filing Requirements and Review Procedures</w:t>
      </w:r>
    </w:p>
    <w:p w14:paraId="28AB7D7B" w14:textId="77777777" w:rsidR="00AB6AE5" w:rsidRPr="00217738" w:rsidRDefault="00AB6AE5" w:rsidP="0053358A">
      <w:pPr>
        <w:shd w:val="clear" w:color="auto" w:fill="FFFFFF"/>
        <w:spacing w:before="15" w:after="100" w:afterAutospacing="1" w:line="240" w:lineRule="atLeast"/>
        <w:rPr>
          <w:spacing w:val="8"/>
          <w:sz w:val="24"/>
          <w:szCs w:val="24"/>
        </w:rPr>
      </w:pPr>
      <w:r w:rsidRPr="00217738">
        <w:rPr>
          <w:spacing w:val="8"/>
          <w:sz w:val="24"/>
          <w:szCs w:val="24"/>
        </w:rPr>
        <w:t>Retail communications that must be filed with FINRA are charted below and outlines those requirements and the corresponding rule.  In addition:</w:t>
      </w:r>
    </w:p>
    <w:p w14:paraId="55F99B0B" w14:textId="77777777" w:rsidR="00AB6AE5" w:rsidRPr="00217738" w:rsidRDefault="00AB6AE5" w:rsidP="003E7B18">
      <w:pPr>
        <w:numPr>
          <w:ilvl w:val="0"/>
          <w:numId w:val="203"/>
        </w:numPr>
        <w:shd w:val="clear" w:color="auto" w:fill="FFFFFF"/>
        <w:tabs>
          <w:tab w:val="clear" w:pos="720"/>
          <w:tab w:val="num" w:pos="540"/>
        </w:tabs>
        <w:spacing w:before="100" w:beforeAutospacing="1" w:after="100" w:afterAutospacing="1" w:line="240" w:lineRule="atLeast"/>
        <w:ind w:left="540" w:hanging="270"/>
        <w:rPr>
          <w:spacing w:val="8"/>
          <w:sz w:val="24"/>
          <w:szCs w:val="24"/>
        </w:rPr>
      </w:pPr>
      <w:r w:rsidRPr="00217738">
        <w:rPr>
          <w:spacing w:val="8"/>
          <w:sz w:val="24"/>
          <w:szCs w:val="24"/>
        </w:rPr>
        <w:t xml:space="preserve">Filings must be accompanied by FINRA's Advertising Literature Filing Cover Sheet. </w:t>
      </w:r>
    </w:p>
    <w:p w14:paraId="63BDDA26" w14:textId="77777777" w:rsidR="00AB6AE5" w:rsidRPr="00217738" w:rsidRDefault="00AB6AE5" w:rsidP="003E7B18">
      <w:pPr>
        <w:numPr>
          <w:ilvl w:val="0"/>
          <w:numId w:val="203"/>
        </w:numPr>
        <w:shd w:val="clear" w:color="auto" w:fill="FFFFFF"/>
        <w:tabs>
          <w:tab w:val="clear" w:pos="720"/>
          <w:tab w:val="num" w:pos="540"/>
        </w:tabs>
        <w:spacing w:before="100" w:beforeAutospacing="1" w:after="100" w:afterAutospacing="1" w:line="240" w:lineRule="atLeast"/>
        <w:ind w:left="540" w:hanging="270"/>
        <w:rPr>
          <w:spacing w:val="8"/>
          <w:sz w:val="24"/>
          <w:szCs w:val="24"/>
        </w:rPr>
      </w:pPr>
      <w:r w:rsidRPr="00217738">
        <w:rPr>
          <w:spacing w:val="8"/>
          <w:sz w:val="24"/>
          <w:szCs w:val="24"/>
        </w:rPr>
        <w:t xml:space="preserve">Filings should identify the reference number of any communication previously submitted by the Company and already reviewed by FINRA that is similar to the current filing. </w:t>
      </w:r>
    </w:p>
    <w:p w14:paraId="0566C5E4" w14:textId="77777777" w:rsidR="00AB6AE5" w:rsidRPr="00217738" w:rsidRDefault="00AB6AE5" w:rsidP="003E7B18">
      <w:pPr>
        <w:numPr>
          <w:ilvl w:val="0"/>
          <w:numId w:val="203"/>
        </w:numPr>
        <w:shd w:val="clear" w:color="auto" w:fill="FFFFFF"/>
        <w:tabs>
          <w:tab w:val="clear" w:pos="720"/>
          <w:tab w:val="num" w:pos="540"/>
        </w:tabs>
        <w:spacing w:before="100" w:beforeAutospacing="1" w:after="100" w:afterAutospacing="1" w:line="240" w:lineRule="atLeast"/>
        <w:ind w:left="540" w:hanging="270"/>
        <w:rPr>
          <w:spacing w:val="8"/>
          <w:sz w:val="24"/>
          <w:szCs w:val="24"/>
        </w:rPr>
      </w:pPr>
      <w:r w:rsidRPr="00217738">
        <w:rPr>
          <w:spacing w:val="8"/>
          <w:sz w:val="24"/>
          <w:szCs w:val="24"/>
        </w:rPr>
        <w:t xml:space="preserve">All retail communications to be submitted to FINRA must be approved by the designated supervisor prior to submission to FINRA. </w:t>
      </w:r>
    </w:p>
    <w:p w14:paraId="52C26663" w14:textId="77777777" w:rsidR="00AB6AE5" w:rsidRPr="00217738" w:rsidRDefault="00AB6AE5" w:rsidP="003E7B18">
      <w:pPr>
        <w:numPr>
          <w:ilvl w:val="0"/>
          <w:numId w:val="203"/>
        </w:numPr>
        <w:shd w:val="clear" w:color="auto" w:fill="FFFFFF"/>
        <w:tabs>
          <w:tab w:val="clear" w:pos="720"/>
          <w:tab w:val="num" w:pos="540"/>
        </w:tabs>
        <w:spacing w:before="100" w:beforeAutospacing="1" w:after="100" w:afterAutospacing="1" w:line="240" w:lineRule="atLeast"/>
        <w:ind w:left="540" w:hanging="270"/>
        <w:rPr>
          <w:spacing w:val="8"/>
          <w:sz w:val="24"/>
          <w:szCs w:val="24"/>
        </w:rPr>
      </w:pPr>
      <w:r w:rsidRPr="00217738">
        <w:rPr>
          <w:spacing w:val="8"/>
          <w:sz w:val="24"/>
          <w:szCs w:val="24"/>
        </w:rPr>
        <w:t>The actual or expected date of first use or publication and the name and CRD number of the approving supervisor must be included with the FINRA filing. [FINRA Rule 2210(c)(5)]</w:t>
      </w:r>
    </w:p>
    <w:p w14:paraId="06DEC467" w14:textId="77777777" w:rsidR="00AB6AE5" w:rsidRDefault="00AB6AE5" w:rsidP="008816D3">
      <w:pPr>
        <w:shd w:val="clear" w:color="auto" w:fill="FFFFFF"/>
        <w:spacing w:before="15" w:after="100" w:afterAutospacing="1" w:line="240" w:lineRule="atLeast"/>
        <w:rPr>
          <w:spacing w:val="8"/>
          <w:sz w:val="24"/>
          <w:szCs w:val="24"/>
        </w:rPr>
      </w:pPr>
      <w:r w:rsidRPr="00217738">
        <w:rPr>
          <w:spacing w:val="8"/>
          <w:sz w:val="24"/>
          <w:szCs w:val="24"/>
        </w:rPr>
        <w:lastRenderedPageBreak/>
        <w:t>It is not necessary to file any retail communication which has previously been filed and is used without any changes. FINRA rules should be consulted for specific requirements and some exclusions [Rule 2210(c)(7)] from the requirements.</w:t>
      </w:r>
    </w:p>
    <w:p w14:paraId="2B214E21" w14:textId="77777777" w:rsidR="00C35790" w:rsidRPr="00217738" w:rsidRDefault="00C35790" w:rsidP="008816D3">
      <w:pPr>
        <w:shd w:val="clear" w:color="auto" w:fill="FFFFFF"/>
        <w:spacing w:before="15" w:after="100" w:afterAutospacing="1" w:line="240" w:lineRule="atLeast"/>
        <w:rPr>
          <w:rFonts w:ascii="Tahoma" w:hAnsi="Tahoma" w:cs="Tahoma"/>
          <w:spacing w:val="8"/>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470"/>
        <w:gridCol w:w="3225"/>
        <w:gridCol w:w="1577"/>
      </w:tblGrid>
      <w:tr w:rsidR="00AB6AE5" w:rsidRPr="00217738" w14:paraId="001FF47D" w14:textId="77777777" w:rsidTr="00D9061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7BF0FFF" w14:textId="77777777" w:rsidR="00AB6AE5" w:rsidRPr="00217738" w:rsidRDefault="00AB6AE5" w:rsidP="00AB6AE5">
            <w:pPr>
              <w:spacing w:line="240" w:lineRule="atLeast"/>
              <w:jc w:val="center"/>
              <w:rPr>
                <w:spacing w:val="8"/>
                <w:sz w:val="22"/>
                <w:szCs w:val="22"/>
              </w:rPr>
            </w:pPr>
            <w:r w:rsidRPr="00217738">
              <w:rPr>
                <w:b/>
                <w:bCs/>
                <w:spacing w:val="8"/>
                <w:sz w:val="22"/>
                <w:szCs w:val="22"/>
              </w:rPr>
              <w:t>Retail Communication Content Requiring Filing</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7D57278" w14:textId="77777777" w:rsidR="00AB6AE5" w:rsidRPr="00217738" w:rsidRDefault="00AB6AE5" w:rsidP="00AB6AE5">
            <w:pPr>
              <w:spacing w:line="240" w:lineRule="atLeast"/>
              <w:jc w:val="center"/>
              <w:rPr>
                <w:spacing w:val="8"/>
                <w:sz w:val="22"/>
                <w:szCs w:val="22"/>
              </w:rPr>
            </w:pPr>
            <w:r w:rsidRPr="00217738">
              <w:rPr>
                <w:b/>
                <w:bCs/>
                <w:spacing w:val="8"/>
                <w:sz w:val="22"/>
                <w:szCs w:val="22"/>
              </w:rPr>
              <w:t>When</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12952E5A" w14:textId="77777777" w:rsidR="00AB6AE5" w:rsidRPr="00217738" w:rsidRDefault="00AB6AE5" w:rsidP="00AB6AE5">
            <w:pPr>
              <w:spacing w:line="240" w:lineRule="atLeast"/>
              <w:jc w:val="center"/>
              <w:rPr>
                <w:spacing w:val="8"/>
                <w:sz w:val="22"/>
                <w:szCs w:val="22"/>
              </w:rPr>
            </w:pPr>
            <w:r w:rsidRPr="00217738">
              <w:rPr>
                <w:b/>
                <w:bCs/>
                <w:spacing w:val="8"/>
                <w:sz w:val="22"/>
                <w:szCs w:val="22"/>
              </w:rPr>
              <w:t>FINRA Rule</w:t>
            </w:r>
          </w:p>
        </w:tc>
      </w:tr>
      <w:tr w:rsidR="00AB6AE5" w:rsidRPr="00217738" w14:paraId="7FA38344"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2FEF4" w14:textId="77777777" w:rsidR="00AB6AE5" w:rsidRPr="00217738" w:rsidRDefault="00AB6AE5" w:rsidP="00AB6AE5">
            <w:pPr>
              <w:spacing w:line="240" w:lineRule="atLeast"/>
              <w:rPr>
                <w:spacing w:val="8"/>
                <w:sz w:val="22"/>
                <w:szCs w:val="22"/>
              </w:rPr>
            </w:pPr>
            <w:r w:rsidRPr="00217738">
              <w:rPr>
                <w:spacing w:val="8"/>
                <w:sz w:val="22"/>
                <w:szCs w:val="22"/>
              </w:rPr>
              <w:t>New member firms only: certain broadly disseminated retail communications such as generally accessible websites, print media communications, and TV and radio commercials. Free writing</w:t>
            </w:r>
            <w:r w:rsidR="001031FE">
              <w:rPr>
                <w:spacing w:val="8"/>
                <w:sz w:val="22"/>
                <w:szCs w:val="22"/>
              </w:rPr>
              <w:t xml:space="preserve"> prospectuses are also included, </w:t>
            </w:r>
            <w:r w:rsidR="001031FE" w:rsidRPr="00151877">
              <w:rPr>
                <w:sz w:val="22"/>
                <w:szCs w:val="22"/>
              </w:rPr>
              <w:t>other than those exempt from filing with the SEC. The rule also excludes research reports concerning only securities listed on a national securities exchange [other than those that must be filed under Section 24(b) of the Investment Company Act of 1940]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BC28A" w14:textId="77777777" w:rsidR="00AB6AE5" w:rsidRPr="00217738" w:rsidRDefault="00AB6AE5" w:rsidP="009965DA">
            <w:pPr>
              <w:rPr>
                <w:spacing w:val="8"/>
                <w:sz w:val="22"/>
                <w:szCs w:val="22"/>
              </w:rPr>
            </w:pPr>
            <w:r w:rsidRPr="00217738">
              <w:rPr>
                <w:spacing w:val="8"/>
                <w:sz w:val="22"/>
                <w:szCs w:val="22"/>
              </w:rPr>
              <w:t xml:space="preserve">One-year requirement to file at least 10 business days prior to use starting on the date </w:t>
            </w:r>
            <w:r w:rsidR="00D90611">
              <w:rPr>
                <w:spacing w:val="8"/>
                <w:sz w:val="22"/>
                <w:szCs w:val="22"/>
              </w:rPr>
              <w:t>a</w:t>
            </w:r>
            <w:r w:rsidRPr="00217738">
              <w:rPr>
                <w:spacing w:val="8"/>
                <w:sz w:val="22"/>
                <w:szCs w:val="22"/>
              </w:rPr>
              <w:t xml:space="preserve"> firm's membership with FINRA becomes effective, per the CRD. Free writing prospectuses may be filed within 10 business days of first use.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2FF92" w14:textId="77777777" w:rsidR="00AB6AE5" w:rsidRPr="00217738" w:rsidRDefault="00AB6AE5" w:rsidP="00AB6AE5">
            <w:pPr>
              <w:spacing w:line="240" w:lineRule="atLeast"/>
              <w:rPr>
                <w:spacing w:val="8"/>
                <w:sz w:val="22"/>
                <w:szCs w:val="22"/>
              </w:rPr>
            </w:pPr>
            <w:r w:rsidRPr="00217738">
              <w:rPr>
                <w:b/>
                <w:bCs/>
                <w:spacing w:val="8"/>
                <w:sz w:val="22"/>
                <w:szCs w:val="22"/>
              </w:rPr>
              <w:t>2210(c)(1)(A)</w:t>
            </w:r>
          </w:p>
        </w:tc>
      </w:tr>
      <w:tr w:rsidR="00AE3561" w:rsidRPr="00217738" w14:paraId="347C51D1"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EEFB207" w14:textId="77777777" w:rsidR="00AE3561" w:rsidRPr="009F0FC7" w:rsidRDefault="00AE3561" w:rsidP="00AB6AE5">
            <w:pPr>
              <w:spacing w:line="240" w:lineRule="atLeast"/>
              <w:rPr>
                <w:spacing w:val="8"/>
                <w:sz w:val="22"/>
                <w:szCs w:val="22"/>
              </w:rPr>
            </w:pPr>
            <w:r w:rsidRPr="009F0FC7">
              <w:rPr>
                <w:sz w:val="22"/>
                <w:szCs w:val="22"/>
              </w:rPr>
              <w:t>Investment company communications that promote a specific registered investment company or family of registered investment companies. (Generic investment company communications are not required to be filed.)</w:t>
            </w:r>
          </w:p>
        </w:tc>
        <w:tc>
          <w:tcPr>
            <w:tcW w:w="0" w:type="auto"/>
            <w:tcBorders>
              <w:top w:val="outset" w:sz="6" w:space="0" w:color="auto"/>
              <w:left w:val="outset" w:sz="6" w:space="0" w:color="auto"/>
              <w:bottom w:val="outset" w:sz="6" w:space="0" w:color="auto"/>
              <w:right w:val="outset" w:sz="6" w:space="0" w:color="auto"/>
            </w:tcBorders>
            <w:vAlign w:val="center"/>
          </w:tcPr>
          <w:p w14:paraId="0C8D86CB" w14:textId="77777777" w:rsidR="00AE3561" w:rsidRPr="009F0FC7" w:rsidRDefault="00AE3561" w:rsidP="00AB6AE5">
            <w:pPr>
              <w:spacing w:line="240" w:lineRule="atLeast"/>
              <w:rPr>
                <w:spacing w:val="8"/>
                <w:sz w:val="22"/>
                <w:szCs w:val="22"/>
              </w:rPr>
            </w:pPr>
            <w:r w:rsidRPr="009F0FC7">
              <w:rPr>
                <w:sz w:val="22"/>
                <w:szCs w:val="22"/>
              </w:rPr>
              <w:t>Within 10 business days of first use or publication</w:t>
            </w:r>
          </w:p>
        </w:tc>
        <w:tc>
          <w:tcPr>
            <w:tcW w:w="0" w:type="auto"/>
            <w:tcBorders>
              <w:top w:val="outset" w:sz="6" w:space="0" w:color="auto"/>
              <w:left w:val="outset" w:sz="6" w:space="0" w:color="auto"/>
              <w:bottom w:val="outset" w:sz="6" w:space="0" w:color="auto"/>
              <w:right w:val="outset" w:sz="6" w:space="0" w:color="auto"/>
            </w:tcBorders>
            <w:vAlign w:val="center"/>
          </w:tcPr>
          <w:p w14:paraId="2C78E1D4" w14:textId="77777777" w:rsidR="00AE3561" w:rsidRPr="009F0FC7" w:rsidRDefault="00AE3561" w:rsidP="00AB6AE5">
            <w:pPr>
              <w:spacing w:line="240" w:lineRule="atLeast"/>
              <w:rPr>
                <w:b/>
                <w:bCs/>
                <w:spacing w:val="8"/>
                <w:sz w:val="22"/>
                <w:szCs w:val="22"/>
              </w:rPr>
            </w:pPr>
            <w:r w:rsidRPr="009F0FC7">
              <w:rPr>
                <w:b/>
                <w:bCs/>
                <w:sz w:val="22"/>
                <w:szCs w:val="22"/>
              </w:rPr>
              <w:t>2210(c)(30)(A)</w:t>
            </w:r>
          </w:p>
        </w:tc>
      </w:tr>
      <w:tr w:rsidR="00AB6AE5" w:rsidRPr="00217738" w14:paraId="6C4A8D07"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5B8390" w14:textId="77777777" w:rsidR="00AE3561" w:rsidRPr="00217738" w:rsidRDefault="00AB6AE5" w:rsidP="00AE3561">
            <w:pPr>
              <w:spacing w:line="240" w:lineRule="atLeast"/>
              <w:rPr>
                <w:spacing w:val="8"/>
                <w:sz w:val="22"/>
                <w:szCs w:val="22"/>
              </w:rPr>
            </w:pPr>
            <w:r w:rsidRPr="00217738">
              <w:rPr>
                <w:spacing w:val="8"/>
                <w:sz w:val="22"/>
                <w:szCs w:val="22"/>
              </w:rPr>
              <w:t>Investment company using rankings or performance comparison</w:t>
            </w:r>
            <w:r w:rsidR="00AE3561">
              <w:rPr>
                <w:spacing w:val="8"/>
                <w:sz w:val="22"/>
                <w:szCs w:val="22"/>
              </w:rPr>
              <w:t>s</w:t>
            </w:r>
            <w:r w:rsidRPr="00217738">
              <w:rPr>
                <w:spacing w:val="8"/>
                <w:sz w:val="22"/>
                <w:szCs w:val="22"/>
              </w:rPr>
              <w:t xml:space="preserve"> </w:t>
            </w:r>
          </w:p>
          <w:p w14:paraId="71D2ED79" w14:textId="77777777" w:rsidR="00AE3561" w:rsidRPr="00217738" w:rsidRDefault="00AE3561" w:rsidP="00AB6AE5">
            <w:pPr>
              <w:spacing w:line="240" w:lineRule="atLeast"/>
              <w:rPr>
                <w:spacing w:val="8"/>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ED23B5" w14:textId="77777777" w:rsidR="00AB6AE5" w:rsidRPr="00217738" w:rsidRDefault="00AB6AE5" w:rsidP="00AE3561">
            <w:pPr>
              <w:spacing w:line="240" w:lineRule="atLeast"/>
              <w:rPr>
                <w:spacing w:val="8"/>
                <w:sz w:val="22"/>
                <w:szCs w:val="22"/>
              </w:rPr>
            </w:pPr>
            <w:r w:rsidRPr="00217738">
              <w:rPr>
                <w:spacing w:val="8"/>
                <w:sz w:val="22"/>
                <w:szCs w:val="22"/>
              </w:rPr>
              <w:t xml:space="preserve">10 business days prior to first use </w:t>
            </w:r>
            <w:r w:rsidR="00AE3561" w:rsidRPr="009F0FC7">
              <w:rPr>
                <w:spacing w:val="8"/>
                <w:sz w:val="22"/>
                <w:szCs w:val="22"/>
              </w:rPr>
              <w:t>or publication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FAE31" w14:textId="77777777" w:rsidR="00AB6AE5" w:rsidRPr="00217738" w:rsidRDefault="00AB6AE5" w:rsidP="00AB6AE5">
            <w:pPr>
              <w:spacing w:line="240" w:lineRule="atLeast"/>
              <w:rPr>
                <w:spacing w:val="8"/>
                <w:sz w:val="22"/>
                <w:szCs w:val="22"/>
              </w:rPr>
            </w:pPr>
            <w:r w:rsidRPr="00217738">
              <w:rPr>
                <w:b/>
                <w:bCs/>
                <w:spacing w:val="8"/>
                <w:sz w:val="22"/>
                <w:szCs w:val="22"/>
              </w:rPr>
              <w:t xml:space="preserve">2210(c)(2)(A) </w:t>
            </w:r>
            <w:r w:rsidRPr="00217738">
              <w:rPr>
                <w:b/>
                <w:bCs/>
                <w:spacing w:val="8"/>
                <w:sz w:val="22"/>
                <w:szCs w:val="22"/>
              </w:rPr>
              <w:br/>
              <w:t xml:space="preserve">2212 </w:t>
            </w:r>
            <w:r w:rsidRPr="00217738">
              <w:rPr>
                <w:b/>
                <w:bCs/>
                <w:spacing w:val="8"/>
                <w:sz w:val="22"/>
                <w:szCs w:val="22"/>
              </w:rPr>
              <w:br/>
              <w:t>2214</w:t>
            </w:r>
          </w:p>
        </w:tc>
      </w:tr>
      <w:tr w:rsidR="00D87982" w:rsidRPr="00217738" w14:paraId="7FA8D603"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12FDF" w14:textId="77777777" w:rsidR="00D87982" w:rsidRPr="00217738" w:rsidRDefault="00D87982" w:rsidP="00D87982">
            <w:pPr>
              <w:spacing w:line="240" w:lineRule="atLeast"/>
              <w:rPr>
                <w:spacing w:val="8"/>
                <w:sz w:val="22"/>
                <w:szCs w:val="22"/>
              </w:rPr>
            </w:pPr>
            <w:r w:rsidRPr="00217738">
              <w:rPr>
                <w:spacing w:val="8"/>
                <w:sz w:val="22"/>
                <w:szCs w:val="22"/>
              </w:rPr>
              <w:t>Security futures (with certain exceptions)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627E6" w14:textId="77777777" w:rsidR="00D87982" w:rsidRPr="00217738" w:rsidRDefault="00D87982" w:rsidP="00FC4814">
            <w:pPr>
              <w:spacing w:line="240" w:lineRule="atLeast"/>
              <w:rPr>
                <w:spacing w:val="8"/>
                <w:sz w:val="22"/>
                <w:szCs w:val="22"/>
              </w:rPr>
            </w:pPr>
            <w:r w:rsidRPr="00217738">
              <w:rPr>
                <w:spacing w:val="8"/>
                <w:sz w:val="22"/>
                <w:szCs w:val="22"/>
              </w:rPr>
              <w:t>10 business days prior to first use</w:t>
            </w:r>
            <w:r w:rsidR="00FC4814">
              <w:rPr>
                <w:spacing w:val="8"/>
                <w:sz w:val="22"/>
                <w:szCs w:val="22"/>
              </w:rPr>
              <w:t xml:space="preserve"> </w:t>
            </w:r>
            <w:r w:rsidR="00FC4814" w:rsidRPr="009F0FC7">
              <w:rPr>
                <w:spacing w:val="8"/>
                <w:sz w:val="22"/>
                <w:szCs w:val="22"/>
              </w:rPr>
              <w:t>or publication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56AA3" w14:textId="77777777" w:rsidR="00D87982" w:rsidRPr="00217738" w:rsidRDefault="00D87982" w:rsidP="00D87982">
            <w:pPr>
              <w:spacing w:line="240" w:lineRule="atLeast"/>
              <w:rPr>
                <w:spacing w:val="8"/>
                <w:sz w:val="22"/>
                <w:szCs w:val="22"/>
              </w:rPr>
            </w:pPr>
            <w:r w:rsidRPr="00217738">
              <w:rPr>
                <w:b/>
                <w:bCs/>
                <w:spacing w:val="8"/>
                <w:sz w:val="22"/>
                <w:szCs w:val="22"/>
              </w:rPr>
              <w:t xml:space="preserve">2210(c)(2)(B) </w:t>
            </w:r>
            <w:r w:rsidRPr="00217738">
              <w:rPr>
                <w:b/>
                <w:bCs/>
                <w:spacing w:val="8"/>
                <w:sz w:val="22"/>
                <w:szCs w:val="22"/>
              </w:rPr>
              <w:br/>
              <w:t>2215</w:t>
            </w:r>
          </w:p>
        </w:tc>
      </w:tr>
      <w:tr w:rsidR="00D87982" w:rsidRPr="00217738" w14:paraId="23BD0A02"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273963" w14:textId="77777777" w:rsidR="00D87982" w:rsidRPr="00217738" w:rsidRDefault="00D87982" w:rsidP="00D87982">
            <w:pPr>
              <w:spacing w:line="240" w:lineRule="atLeast"/>
              <w:rPr>
                <w:spacing w:val="8"/>
                <w:sz w:val="22"/>
                <w:szCs w:val="22"/>
              </w:rPr>
            </w:pPr>
            <w:r w:rsidRPr="00217738">
              <w:rPr>
                <w:spacing w:val="8"/>
                <w:sz w:val="22"/>
                <w:szCs w:val="22"/>
              </w:rPr>
              <w:t>Bond mutual funds that include volatility ratings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14E06" w14:textId="77777777" w:rsidR="00D87982" w:rsidRPr="00217738" w:rsidRDefault="00D87982" w:rsidP="00AE3561">
            <w:pPr>
              <w:spacing w:line="240" w:lineRule="atLeast"/>
              <w:rPr>
                <w:spacing w:val="8"/>
                <w:sz w:val="22"/>
                <w:szCs w:val="22"/>
              </w:rPr>
            </w:pPr>
            <w:r w:rsidRPr="00217738">
              <w:rPr>
                <w:spacing w:val="8"/>
                <w:sz w:val="22"/>
                <w:szCs w:val="22"/>
              </w:rPr>
              <w:t>10 business days prior to first use</w:t>
            </w:r>
            <w:r w:rsidR="00AE3561">
              <w:rPr>
                <w:spacing w:val="8"/>
                <w:sz w:val="22"/>
                <w:szCs w:val="22"/>
              </w:rPr>
              <w:t xml:space="preserve"> </w:t>
            </w:r>
            <w:r w:rsidR="00AE3561" w:rsidRPr="009F0FC7">
              <w:rPr>
                <w:spacing w:val="8"/>
                <w:sz w:val="22"/>
                <w:szCs w:val="22"/>
              </w:rPr>
              <w:t>or publication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B2BD3" w14:textId="77777777" w:rsidR="00D87982" w:rsidRPr="00217738" w:rsidRDefault="00D87982" w:rsidP="00AE3561">
            <w:pPr>
              <w:spacing w:line="240" w:lineRule="atLeast"/>
              <w:rPr>
                <w:spacing w:val="8"/>
                <w:sz w:val="22"/>
                <w:szCs w:val="22"/>
              </w:rPr>
            </w:pPr>
            <w:r w:rsidRPr="00217738">
              <w:rPr>
                <w:b/>
                <w:bCs/>
                <w:spacing w:val="8"/>
                <w:sz w:val="22"/>
                <w:szCs w:val="22"/>
              </w:rPr>
              <w:t>2210(c)(2)(</w:t>
            </w:r>
            <w:r w:rsidR="00AE3561" w:rsidRPr="009F0FC7">
              <w:rPr>
                <w:b/>
                <w:bCs/>
                <w:spacing w:val="8"/>
                <w:sz w:val="22"/>
                <w:szCs w:val="22"/>
              </w:rPr>
              <w:t>A</w:t>
            </w:r>
            <w:r w:rsidRPr="00217738">
              <w:rPr>
                <w:b/>
                <w:bCs/>
                <w:spacing w:val="8"/>
                <w:sz w:val="22"/>
                <w:szCs w:val="22"/>
              </w:rPr>
              <w:t xml:space="preserve">) </w:t>
            </w:r>
            <w:r w:rsidRPr="00217738">
              <w:rPr>
                <w:b/>
                <w:bCs/>
                <w:spacing w:val="8"/>
                <w:sz w:val="22"/>
                <w:szCs w:val="22"/>
              </w:rPr>
              <w:br/>
              <w:t>2213</w:t>
            </w:r>
          </w:p>
        </w:tc>
      </w:tr>
      <w:tr w:rsidR="00D87982" w:rsidRPr="00217738" w14:paraId="37D0C026"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5A5BA" w14:textId="77777777" w:rsidR="00D87982" w:rsidRPr="00217738" w:rsidRDefault="00D87982" w:rsidP="00D87982">
            <w:pPr>
              <w:spacing w:line="240" w:lineRule="atLeast"/>
              <w:rPr>
                <w:spacing w:val="8"/>
                <w:sz w:val="22"/>
                <w:szCs w:val="22"/>
              </w:rPr>
            </w:pPr>
            <w:r w:rsidRPr="00217738">
              <w:rPr>
                <w:spacing w:val="8"/>
                <w:sz w:val="22"/>
                <w:szCs w:val="22"/>
              </w:rPr>
              <w:t>Options communications used prior to the delivery of the Options Disclosure Document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3907B" w14:textId="77777777" w:rsidR="00D87982" w:rsidRPr="00217738" w:rsidRDefault="00FC4814" w:rsidP="00D87982">
            <w:pPr>
              <w:spacing w:line="240" w:lineRule="atLeast"/>
              <w:rPr>
                <w:spacing w:val="8"/>
                <w:sz w:val="22"/>
                <w:szCs w:val="22"/>
              </w:rPr>
            </w:pPr>
            <w:r w:rsidRPr="00217738">
              <w:rPr>
                <w:spacing w:val="8"/>
                <w:sz w:val="22"/>
                <w:szCs w:val="22"/>
              </w:rPr>
              <w:t>10 business days prior to first use</w:t>
            </w:r>
            <w:r>
              <w:rPr>
                <w:spacing w:val="8"/>
                <w:sz w:val="22"/>
                <w:szCs w:val="22"/>
              </w:rPr>
              <w:t xml:space="preserve"> </w:t>
            </w:r>
            <w:r w:rsidRPr="009F0FC7">
              <w:rPr>
                <w:spacing w:val="8"/>
                <w:sz w:val="22"/>
                <w:szCs w:val="22"/>
              </w:rPr>
              <w:t>or publication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ABC90" w14:textId="77777777" w:rsidR="00D87982" w:rsidRPr="00217738" w:rsidRDefault="00D87982" w:rsidP="00D87982">
            <w:pPr>
              <w:spacing w:line="240" w:lineRule="atLeast"/>
              <w:rPr>
                <w:spacing w:val="8"/>
                <w:sz w:val="22"/>
                <w:szCs w:val="22"/>
              </w:rPr>
            </w:pPr>
            <w:r w:rsidRPr="00217738">
              <w:rPr>
                <w:b/>
                <w:bCs/>
                <w:spacing w:val="8"/>
                <w:sz w:val="22"/>
                <w:szCs w:val="22"/>
              </w:rPr>
              <w:t>2220(c)</w:t>
            </w:r>
          </w:p>
        </w:tc>
      </w:tr>
      <w:tr w:rsidR="00D87982" w:rsidRPr="00217738" w14:paraId="3F45470F"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8317E" w14:textId="77777777" w:rsidR="00D87982" w:rsidRPr="00217738" w:rsidRDefault="00D87982" w:rsidP="00D87982">
            <w:pPr>
              <w:spacing w:line="240" w:lineRule="atLeast"/>
              <w:rPr>
                <w:spacing w:val="8"/>
                <w:sz w:val="22"/>
                <w:szCs w:val="22"/>
              </w:rPr>
            </w:pPr>
            <w:r w:rsidRPr="00217738">
              <w:rPr>
                <w:spacing w:val="8"/>
                <w:sz w:val="22"/>
                <w:szCs w:val="22"/>
              </w:rPr>
              <w:t>Public direct participation programs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F97BF" w14:textId="77777777" w:rsidR="00D87982" w:rsidRPr="00217738" w:rsidRDefault="00D87982" w:rsidP="00D87982">
            <w:pPr>
              <w:spacing w:line="240" w:lineRule="atLeast"/>
              <w:rPr>
                <w:spacing w:val="8"/>
                <w:sz w:val="22"/>
                <w:szCs w:val="22"/>
              </w:rPr>
            </w:pPr>
            <w:r w:rsidRPr="00217738">
              <w:rPr>
                <w:spacing w:val="8"/>
                <w:sz w:val="22"/>
                <w:szCs w:val="22"/>
              </w:rPr>
              <w:t>Within 10 business days of first use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D6695" w14:textId="77777777" w:rsidR="00D87982" w:rsidRPr="00217738" w:rsidRDefault="00D87982" w:rsidP="00D87982">
            <w:pPr>
              <w:spacing w:line="240" w:lineRule="atLeast"/>
              <w:rPr>
                <w:spacing w:val="8"/>
                <w:sz w:val="22"/>
                <w:szCs w:val="22"/>
              </w:rPr>
            </w:pPr>
            <w:r w:rsidRPr="00217738">
              <w:rPr>
                <w:b/>
                <w:bCs/>
                <w:spacing w:val="8"/>
                <w:sz w:val="22"/>
                <w:szCs w:val="22"/>
              </w:rPr>
              <w:t>2210(c)(3)(B)</w:t>
            </w:r>
          </w:p>
        </w:tc>
      </w:tr>
      <w:tr w:rsidR="00D87982" w:rsidRPr="00217738" w14:paraId="32F78EC7"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3D7A0" w14:textId="77777777" w:rsidR="00D87982" w:rsidRPr="00217738" w:rsidRDefault="00D87982" w:rsidP="00CD7698">
            <w:pPr>
              <w:spacing w:line="240" w:lineRule="atLeast"/>
              <w:rPr>
                <w:spacing w:val="8"/>
                <w:sz w:val="22"/>
                <w:szCs w:val="22"/>
              </w:rPr>
            </w:pPr>
            <w:r w:rsidRPr="00217738">
              <w:rPr>
                <w:spacing w:val="8"/>
                <w:sz w:val="22"/>
                <w:szCs w:val="22"/>
              </w:rPr>
              <w:t xml:space="preserve">Templates for written reports produced by or concerning an investment analysis tool </w:t>
            </w:r>
            <w:r w:rsidRPr="00217738">
              <w:rPr>
                <w:spacing w:val="8"/>
                <w:sz w:val="22"/>
                <w:szCs w:val="22"/>
              </w:rPr>
              <w:br/>
            </w:r>
            <w:r w:rsidRPr="00217738">
              <w:rPr>
                <w:i/>
                <w:iCs/>
                <w:spacing w:val="8"/>
                <w:sz w:val="22"/>
                <w:szCs w:val="22"/>
              </w:rPr>
              <w:t>(Retail communications based on templates previously filed with FINRA where the only changes are to update statistical or other non-narrative information do not require re-filing.</w:t>
            </w:r>
            <w:r w:rsidR="00CD7698">
              <w:rPr>
                <w:i/>
                <w:iCs/>
                <w:spacing w:val="8"/>
                <w:sz w:val="22"/>
                <w:szCs w:val="22"/>
              </w:rPr>
              <w:t xml:space="preserve"> </w:t>
            </w:r>
            <w:r w:rsidR="00CD7698" w:rsidRPr="009F0FC7">
              <w:rPr>
                <w:i/>
                <w:iCs/>
                <w:sz w:val="22"/>
                <w:szCs w:val="22"/>
              </w:rPr>
              <w:t xml:space="preserve">Also updated non-predictive narrative descriptions of market events during the period covered by the communication and factual descriptions of portfolio changes without having to re-file the template as well as updated information from a registered investment company's regulatory documents filed with the SEC. Filing exclusion includes updates supplied </w:t>
            </w:r>
            <w:r w:rsidR="00CD7698" w:rsidRPr="009F0FC7">
              <w:rPr>
                <w:i/>
                <w:iCs/>
                <w:sz w:val="22"/>
                <w:szCs w:val="22"/>
              </w:rPr>
              <w:lastRenderedPageBreak/>
              <w:t>by third-party data providers if its information is from SEC filings; Company should obtain assurances from the data provider regarding the quality of the data and consistency with SEC source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3F268" w14:textId="77777777" w:rsidR="00D87982" w:rsidRPr="005C5D56" w:rsidRDefault="00CD7698" w:rsidP="00D87982">
            <w:pPr>
              <w:spacing w:line="240" w:lineRule="atLeast"/>
              <w:rPr>
                <w:spacing w:val="8"/>
                <w:sz w:val="22"/>
                <w:szCs w:val="22"/>
              </w:rPr>
            </w:pPr>
            <w:r w:rsidRPr="009F0FC7">
              <w:rPr>
                <w:sz w:val="22"/>
                <w:szCs w:val="22"/>
              </w:rPr>
              <w:lastRenderedPageBreak/>
              <w:t>No filing requirement; must provide access to investment analysis tools upon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78575" w14:textId="77777777" w:rsidR="00D87982" w:rsidRPr="00217738" w:rsidRDefault="00D87982" w:rsidP="00CD7698">
            <w:pPr>
              <w:spacing w:line="240" w:lineRule="atLeast"/>
              <w:rPr>
                <w:spacing w:val="8"/>
                <w:sz w:val="22"/>
                <w:szCs w:val="22"/>
              </w:rPr>
            </w:pPr>
            <w:r w:rsidRPr="00217738">
              <w:rPr>
                <w:b/>
                <w:bCs/>
                <w:spacing w:val="8"/>
                <w:sz w:val="22"/>
                <w:szCs w:val="22"/>
              </w:rPr>
              <w:t>2210</w:t>
            </w:r>
          </w:p>
        </w:tc>
      </w:tr>
      <w:tr w:rsidR="00D87982" w:rsidRPr="00217738" w14:paraId="1A1B9579"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47C0" w14:textId="77777777" w:rsidR="00D87982" w:rsidRPr="00217738" w:rsidRDefault="00D87982" w:rsidP="00D87982">
            <w:pPr>
              <w:spacing w:line="240" w:lineRule="atLeast"/>
              <w:rPr>
                <w:spacing w:val="8"/>
                <w:sz w:val="22"/>
                <w:szCs w:val="22"/>
              </w:rPr>
            </w:pPr>
            <w:r w:rsidRPr="00217738">
              <w:rPr>
                <w:spacing w:val="8"/>
                <w:sz w:val="22"/>
                <w:szCs w:val="22"/>
              </w:rPr>
              <w:t>Registered CMOs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67A54" w14:textId="77777777" w:rsidR="00D87982" w:rsidRPr="00217738" w:rsidRDefault="00D87982" w:rsidP="00D87982">
            <w:pPr>
              <w:spacing w:line="240" w:lineRule="atLeast"/>
              <w:rPr>
                <w:spacing w:val="8"/>
                <w:sz w:val="22"/>
                <w:szCs w:val="22"/>
              </w:rPr>
            </w:pPr>
            <w:r w:rsidRPr="00217738">
              <w:rPr>
                <w:spacing w:val="8"/>
                <w:sz w:val="22"/>
                <w:szCs w:val="22"/>
              </w:rPr>
              <w:t>Within 10 business days of first use or publication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F995F" w14:textId="77777777" w:rsidR="00D87982" w:rsidRPr="00217738" w:rsidRDefault="00D87982" w:rsidP="004231B4">
            <w:pPr>
              <w:spacing w:line="240" w:lineRule="atLeast"/>
              <w:rPr>
                <w:spacing w:val="8"/>
                <w:sz w:val="22"/>
                <w:szCs w:val="22"/>
              </w:rPr>
            </w:pPr>
            <w:r w:rsidRPr="00217738">
              <w:rPr>
                <w:b/>
                <w:bCs/>
                <w:spacing w:val="8"/>
                <w:sz w:val="22"/>
                <w:szCs w:val="22"/>
              </w:rPr>
              <w:t>2210(c)(3)(</w:t>
            </w:r>
            <w:r w:rsidR="004231B4" w:rsidRPr="009F0FC7">
              <w:rPr>
                <w:b/>
                <w:bCs/>
                <w:spacing w:val="8"/>
                <w:sz w:val="22"/>
                <w:szCs w:val="22"/>
              </w:rPr>
              <w:t>C</w:t>
            </w:r>
            <w:r w:rsidRPr="00217738">
              <w:rPr>
                <w:b/>
                <w:bCs/>
                <w:spacing w:val="8"/>
                <w:sz w:val="22"/>
                <w:szCs w:val="22"/>
              </w:rPr>
              <w:t xml:space="preserve">) </w:t>
            </w:r>
            <w:r w:rsidRPr="00217738">
              <w:rPr>
                <w:b/>
                <w:bCs/>
                <w:spacing w:val="8"/>
                <w:sz w:val="22"/>
                <w:szCs w:val="22"/>
              </w:rPr>
              <w:br/>
              <w:t>2216</w:t>
            </w:r>
          </w:p>
        </w:tc>
      </w:tr>
      <w:tr w:rsidR="00D87982" w:rsidRPr="00217738" w14:paraId="2ADF3FA5"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21322" w14:textId="77777777" w:rsidR="00D87982" w:rsidRPr="00217738" w:rsidRDefault="00D87982" w:rsidP="004231B4">
            <w:pPr>
              <w:spacing w:line="240" w:lineRule="atLeast"/>
              <w:rPr>
                <w:spacing w:val="8"/>
                <w:sz w:val="22"/>
                <w:szCs w:val="22"/>
              </w:rPr>
            </w:pPr>
            <w:r w:rsidRPr="00217738">
              <w:rPr>
                <w:spacing w:val="8"/>
                <w:sz w:val="22"/>
                <w:szCs w:val="22"/>
              </w:rPr>
              <w:t xml:space="preserve">Registered </w:t>
            </w:r>
            <w:r w:rsidR="004231B4" w:rsidRPr="009F0FC7">
              <w:rPr>
                <w:spacing w:val="8"/>
                <w:sz w:val="22"/>
                <w:szCs w:val="22"/>
              </w:rPr>
              <w:t>securities</w:t>
            </w:r>
            <w:r w:rsidRPr="009F0FC7">
              <w:rPr>
                <w:spacing w:val="8"/>
                <w:sz w:val="22"/>
                <w:szCs w:val="22"/>
              </w:rPr>
              <w:t xml:space="preserve"> t</w:t>
            </w:r>
            <w:r w:rsidRPr="00217738">
              <w:rPr>
                <w:spacing w:val="8"/>
                <w:sz w:val="22"/>
                <w:szCs w:val="22"/>
              </w:rPr>
              <w:t>hat are derived from or based on a single security, a basket of securities, an index, a commodity, a debt issuance or a foreign currency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4CBF8" w14:textId="77777777" w:rsidR="00D87982" w:rsidRPr="00217738" w:rsidRDefault="00D87982" w:rsidP="00D87982">
            <w:pPr>
              <w:spacing w:line="240" w:lineRule="atLeast"/>
              <w:rPr>
                <w:spacing w:val="8"/>
                <w:sz w:val="22"/>
                <w:szCs w:val="22"/>
              </w:rPr>
            </w:pPr>
            <w:r w:rsidRPr="00217738">
              <w:rPr>
                <w:spacing w:val="8"/>
                <w:sz w:val="22"/>
                <w:szCs w:val="22"/>
              </w:rPr>
              <w:t>Within 10 business days of first use or publication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1A54D" w14:textId="77777777" w:rsidR="00D87982" w:rsidRPr="00217738" w:rsidRDefault="00D87982" w:rsidP="004231B4">
            <w:pPr>
              <w:spacing w:line="240" w:lineRule="atLeast"/>
              <w:rPr>
                <w:spacing w:val="8"/>
                <w:sz w:val="22"/>
                <w:szCs w:val="22"/>
              </w:rPr>
            </w:pPr>
            <w:r w:rsidRPr="00217738">
              <w:rPr>
                <w:b/>
                <w:bCs/>
                <w:spacing w:val="8"/>
                <w:sz w:val="22"/>
                <w:szCs w:val="22"/>
              </w:rPr>
              <w:t>2210(c)(3)(</w:t>
            </w:r>
            <w:r w:rsidR="004231B4" w:rsidRPr="009F0FC7">
              <w:rPr>
                <w:b/>
                <w:bCs/>
                <w:spacing w:val="8"/>
                <w:sz w:val="22"/>
                <w:szCs w:val="22"/>
              </w:rPr>
              <w:t>D</w:t>
            </w:r>
            <w:r w:rsidRPr="00217738">
              <w:rPr>
                <w:b/>
                <w:bCs/>
                <w:spacing w:val="8"/>
                <w:sz w:val="22"/>
                <w:szCs w:val="22"/>
              </w:rPr>
              <w:t>)</w:t>
            </w:r>
          </w:p>
        </w:tc>
      </w:tr>
      <w:tr w:rsidR="00D87982" w:rsidRPr="00217738" w14:paraId="2D4C02B5"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9975C5" w14:textId="77777777" w:rsidR="00D87982" w:rsidRPr="00217738" w:rsidRDefault="00D87982" w:rsidP="00D90611">
            <w:pPr>
              <w:spacing w:line="240" w:lineRule="atLeast"/>
              <w:rPr>
                <w:spacing w:val="8"/>
                <w:sz w:val="22"/>
                <w:szCs w:val="22"/>
              </w:rPr>
            </w:pPr>
            <w:r w:rsidRPr="00217738">
              <w:rPr>
                <w:spacing w:val="8"/>
                <w:sz w:val="22"/>
                <w:szCs w:val="22"/>
              </w:rPr>
              <w:t xml:space="preserve">Television </w:t>
            </w:r>
            <w:r w:rsidR="00D90611">
              <w:rPr>
                <w:spacing w:val="8"/>
                <w:sz w:val="22"/>
                <w:szCs w:val="22"/>
              </w:rPr>
              <w:t>or video where Company</w:t>
            </w:r>
            <w:r w:rsidRPr="00217738">
              <w:rPr>
                <w:spacing w:val="8"/>
                <w:sz w:val="22"/>
                <w:szCs w:val="22"/>
              </w:rPr>
              <w:t xml:space="preserve"> has filed with FINRA a draft version of a "story board"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7DA14" w14:textId="77777777" w:rsidR="00D87982" w:rsidRPr="00217738" w:rsidRDefault="00D87982" w:rsidP="00D87982">
            <w:pPr>
              <w:spacing w:line="240" w:lineRule="atLeast"/>
              <w:rPr>
                <w:spacing w:val="8"/>
                <w:sz w:val="22"/>
                <w:szCs w:val="22"/>
              </w:rPr>
            </w:pPr>
            <w:r w:rsidRPr="00217738">
              <w:rPr>
                <w:spacing w:val="8"/>
                <w:sz w:val="22"/>
                <w:szCs w:val="22"/>
              </w:rPr>
              <w:t>Within 10 business days of first use or broadcast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5E26B" w14:textId="77777777" w:rsidR="00D87982" w:rsidRPr="00217738" w:rsidRDefault="00D87982" w:rsidP="00D87982">
            <w:pPr>
              <w:spacing w:line="240" w:lineRule="atLeast"/>
              <w:rPr>
                <w:spacing w:val="8"/>
                <w:sz w:val="22"/>
                <w:szCs w:val="22"/>
              </w:rPr>
            </w:pPr>
            <w:r w:rsidRPr="00217738">
              <w:rPr>
                <w:b/>
                <w:bCs/>
                <w:spacing w:val="8"/>
                <w:sz w:val="22"/>
                <w:szCs w:val="22"/>
              </w:rPr>
              <w:t>2210(c)(4)</w:t>
            </w:r>
          </w:p>
        </w:tc>
      </w:tr>
      <w:tr w:rsidR="00D87982" w:rsidRPr="00217738" w14:paraId="420E26CE"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09971" w14:textId="77777777" w:rsidR="00D87982" w:rsidRPr="00217738" w:rsidRDefault="00D87982" w:rsidP="00D87982">
            <w:pPr>
              <w:spacing w:line="240" w:lineRule="atLeast"/>
              <w:rPr>
                <w:spacing w:val="8"/>
                <w:sz w:val="22"/>
                <w:szCs w:val="22"/>
              </w:rPr>
            </w:pPr>
            <w:r w:rsidRPr="00217738">
              <w:rPr>
                <w:spacing w:val="8"/>
                <w:sz w:val="22"/>
                <w:szCs w:val="22"/>
              </w:rPr>
              <w:t>Certain 529 Plans communications offering registered investment company products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B6D07" w14:textId="77777777" w:rsidR="00D87982" w:rsidRPr="00217738" w:rsidRDefault="00D87982" w:rsidP="00D87982">
            <w:pPr>
              <w:spacing w:line="240" w:lineRule="atLeast"/>
              <w:rPr>
                <w:spacing w:val="8"/>
                <w:sz w:val="22"/>
                <w:szCs w:val="22"/>
              </w:rPr>
            </w:pPr>
            <w:r w:rsidRPr="00217738">
              <w:rPr>
                <w:spacing w:val="8"/>
                <w:sz w:val="22"/>
                <w:szCs w:val="22"/>
              </w:rPr>
              <w:t>Within 10 business days of first use or publication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26B60" w14:textId="77777777" w:rsidR="00D87982" w:rsidRPr="00217738" w:rsidRDefault="00D87982" w:rsidP="00D87982">
            <w:pPr>
              <w:spacing w:line="240" w:lineRule="atLeast"/>
              <w:rPr>
                <w:spacing w:val="8"/>
                <w:sz w:val="22"/>
                <w:szCs w:val="22"/>
              </w:rPr>
            </w:pPr>
            <w:r w:rsidRPr="00217738">
              <w:rPr>
                <w:b/>
                <w:bCs/>
                <w:spacing w:val="8"/>
                <w:sz w:val="22"/>
                <w:szCs w:val="22"/>
              </w:rPr>
              <w:t>2210(c)(2)(A)</w:t>
            </w:r>
          </w:p>
        </w:tc>
      </w:tr>
      <w:tr w:rsidR="00D87982" w:rsidRPr="00217738" w14:paraId="0DA862EB" w14:textId="77777777" w:rsidTr="00AB6A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37A17" w14:textId="77777777" w:rsidR="00D87982" w:rsidRPr="00217738" w:rsidRDefault="00D87982" w:rsidP="00D87982">
            <w:pPr>
              <w:spacing w:line="240" w:lineRule="atLeast"/>
              <w:rPr>
                <w:spacing w:val="8"/>
                <w:sz w:val="22"/>
                <w:szCs w:val="22"/>
              </w:rPr>
            </w:pPr>
            <w:r w:rsidRPr="00217738">
              <w:rPr>
                <w:spacing w:val="8"/>
                <w:sz w:val="22"/>
                <w:szCs w:val="22"/>
              </w:rPr>
              <w:t>Certain broker-prepared widely disseminated free-writing prospectuses</w:t>
            </w:r>
            <w:r>
              <w:rPr>
                <w:spacing w:val="8"/>
                <w:sz w:val="22"/>
                <w:szCs w:val="22"/>
              </w:rPr>
              <w:t xml:space="preserve"> </w:t>
            </w:r>
            <w:r w:rsidRPr="00151877">
              <w:rPr>
                <w:sz w:val="22"/>
                <w:szCs w:val="22"/>
              </w:rPr>
              <w:t>that are required to be filed with the SEC under Securities Act 433(d)(1)(ii) [Excludes those exempt from filing with the SEC]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F8240" w14:textId="77777777" w:rsidR="00D87982" w:rsidRPr="00217738" w:rsidRDefault="00D87982" w:rsidP="00D87982">
            <w:pPr>
              <w:spacing w:line="240" w:lineRule="atLeast"/>
              <w:rPr>
                <w:spacing w:val="8"/>
                <w:sz w:val="22"/>
                <w:szCs w:val="22"/>
              </w:rPr>
            </w:pPr>
            <w:r w:rsidRPr="00217738">
              <w:rPr>
                <w:spacing w:val="8"/>
                <w:sz w:val="22"/>
                <w:szCs w:val="22"/>
              </w:rPr>
              <w:t>Within 10 business days of first use or publication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48613" w14:textId="77777777" w:rsidR="00D87982" w:rsidRPr="00217738" w:rsidRDefault="00D87982" w:rsidP="00D87982">
            <w:pPr>
              <w:spacing w:line="240" w:lineRule="atLeast"/>
              <w:rPr>
                <w:spacing w:val="8"/>
                <w:sz w:val="22"/>
                <w:szCs w:val="22"/>
              </w:rPr>
            </w:pPr>
            <w:r w:rsidRPr="00217738">
              <w:rPr>
                <w:b/>
                <w:bCs/>
                <w:spacing w:val="8"/>
                <w:sz w:val="22"/>
                <w:szCs w:val="22"/>
              </w:rPr>
              <w:t>Regulatory Notice 10-52</w:t>
            </w:r>
          </w:p>
        </w:tc>
      </w:tr>
    </w:tbl>
    <w:p w14:paraId="0FE786F3" w14:textId="77777777" w:rsidR="00AB6AE5" w:rsidRPr="00217738" w:rsidRDefault="00AB6AE5" w:rsidP="00AB6AE5">
      <w:pPr>
        <w:autoSpaceDE w:val="0"/>
        <w:autoSpaceDN w:val="0"/>
        <w:adjustRightInd w:val="0"/>
        <w:ind w:left="270"/>
        <w:rPr>
          <w:sz w:val="24"/>
          <w:szCs w:val="24"/>
        </w:rPr>
      </w:pPr>
    </w:p>
    <w:p w14:paraId="4030C6E2" w14:textId="77777777" w:rsidR="00A73E02" w:rsidRPr="00B079F1" w:rsidRDefault="00A73996" w:rsidP="00A73E02">
      <w:pPr>
        <w:autoSpaceDE w:val="0"/>
        <w:autoSpaceDN w:val="0"/>
        <w:adjustRightInd w:val="0"/>
        <w:ind w:left="630"/>
        <w:rPr>
          <w:sz w:val="24"/>
          <w:szCs w:val="24"/>
        </w:rPr>
      </w:pPr>
      <w:r w:rsidRPr="00B079F1">
        <w:rPr>
          <w:b/>
          <w:sz w:val="24"/>
          <w:szCs w:val="24"/>
        </w:rPr>
        <w:t>Exclusions</w:t>
      </w:r>
      <w:r w:rsidR="00A73E02" w:rsidRPr="00B079F1">
        <w:rPr>
          <w:sz w:val="24"/>
          <w:szCs w:val="24"/>
        </w:rPr>
        <w:t>:</w:t>
      </w:r>
    </w:p>
    <w:p w14:paraId="2A4AA531" w14:textId="77777777" w:rsidR="0080261E" w:rsidRPr="00B079F1" w:rsidRDefault="003551E3" w:rsidP="00A73E02">
      <w:pPr>
        <w:autoSpaceDE w:val="0"/>
        <w:autoSpaceDN w:val="0"/>
        <w:adjustRightInd w:val="0"/>
        <w:ind w:left="630"/>
        <w:rPr>
          <w:sz w:val="24"/>
          <w:szCs w:val="24"/>
        </w:rPr>
      </w:pPr>
      <w:r w:rsidRPr="00B079F1">
        <w:rPr>
          <w:sz w:val="24"/>
          <w:szCs w:val="24"/>
        </w:rPr>
        <w:t>FINRA Rule 2210(c)(7)(C)</w:t>
      </w:r>
      <w:r w:rsidR="002C47BC" w:rsidRPr="00B079F1">
        <w:rPr>
          <w:sz w:val="24"/>
          <w:szCs w:val="24"/>
        </w:rPr>
        <w:t xml:space="preserve"> </w:t>
      </w:r>
      <w:r w:rsidR="00A73E02" w:rsidRPr="00B079F1">
        <w:rPr>
          <w:sz w:val="24"/>
          <w:szCs w:val="24"/>
        </w:rPr>
        <w:t>excludes</w:t>
      </w:r>
      <w:r w:rsidR="002C47BC" w:rsidRPr="00B079F1">
        <w:rPr>
          <w:sz w:val="24"/>
          <w:szCs w:val="24"/>
        </w:rPr>
        <w:t>:</w:t>
      </w:r>
      <w:r w:rsidR="00A73E02" w:rsidRPr="00B079F1">
        <w:rPr>
          <w:sz w:val="24"/>
          <w:szCs w:val="24"/>
        </w:rPr>
        <w:t xml:space="preserve"> </w:t>
      </w:r>
    </w:p>
    <w:p w14:paraId="0CB02185" w14:textId="77777777" w:rsidR="002C47BC" w:rsidRPr="00B079F1" w:rsidRDefault="0080261E" w:rsidP="003E7B18">
      <w:pPr>
        <w:numPr>
          <w:ilvl w:val="0"/>
          <w:numId w:val="194"/>
        </w:numPr>
        <w:autoSpaceDE w:val="0"/>
        <w:autoSpaceDN w:val="0"/>
        <w:adjustRightInd w:val="0"/>
        <w:ind w:left="900" w:hanging="270"/>
        <w:rPr>
          <w:sz w:val="24"/>
          <w:szCs w:val="24"/>
        </w:rPr>
      </w:pPr>
      <w:r w:rsidRPr="00B079F1">
        <w:rPr>
          <w:sz w:val="24"/>
          <w:szCs w:val="24"/>
        </w:rPr>
        <w:t>R</w:t>
      </w:r>
      <w:r w:rsidR="00A73E02" w:rsidRPr="00B079F1">
        <w:rPr>
          <w:sz w:val="24"/>
          <w:szCs w:val="24"/>
        </w:rPr>
        <w:t xml:space="preserve">etail communications that do not make any financial or investment recommendation or otherwise promote a product or service of </w:t>
      </w:r>
      <w:r w:rsidR="00D90611">
        <w:rPr>
          <w:sz w:val="24"/>
          <w:szCs w:val="24"/>
        </w:rPr>
        <w:t>the Company</w:t>
      </w:r>
      <w:r w:rsidR="002C47BC" w:rsidRPr="00B079F1">
        <w:rPr>
          <w:sz w:val="24"/>
          <w:szCs w:val="24"/>
        </w:rPr>
        <w:t xml:space="preserve">;  </w:t>
      </w:r>
    </w:p>
    <w:p w14:paraId="5C02A130" w14:textId="77777777" w:rsidR="002C47BC" w:rsidRPr="00B079F1" w:rsidRDefault="002C47BC" w:rsidP="003E7B18">
      <w:pPr>
        <w:numPr>
          <w:ilvl w:val="0"/>
          <w:numId w:val="194"/>
        </w:numPr>
        <w:autoSpaceDE w:val="0"/>
        <w:autoSpaceDN w:val="0"/>
        <w:adjustRightInd w:val="0"/>
        <w:ind w:left="900" w:hanging="270"/>
        <w:rPr>
          <w:sz w:val="24"/>
          <w:szCs w:val="24"/>
        </w:rPr>
      </w:pPr>
      <w:r w:rsidRPr="00B079F1">
        <w:rPr>
          <w:sz w:val="24"/>
          <w:szCs w:val="24"/>
        </w:rPr>
        <w:t xml:space="preserve">Communications </w:t>
      </w:r>
      <w:r w:rsidR="0080261E" w:rsidRPr="00B079F1">
        <w:rPr>
          <w:sz w:val="24"/>
          <w:szCs w:val="24"/>
        </w:rPr>
        <w:t xml:space="preserve">that do no more than identify a national securities exchange symbol of </w:t>
      </w:r>
      <w:r w:rsidR="00D90611">
        <w:rPr>
          <w:sz w:val="24"/>
          <w:szCs w:val="24"/>
        </w:rPr>
        <w:t>a</w:t>
      </w:r>
      <w:r w:rsidR="0080261E" w:rsidRPr="00B079F1">
        <w:rPr>
          <w:sz w:val="24"/>
          <w:szCs w:val="24"/>
        </w:rPr>
        <w:t xml:space="preserve"> firm</w:t>
      </w:r>
      <w:r w:rsidRPr="00B079F1">
        <w:rPr>
          <w:sz w:val="24"/>
          <w:szCs w:val="24"/>
        </w:rPr>
        <w:t xml:space="preserve"> </w:t>
      </w:r>
      <w:r w:rsidR="0080261E" w:rsidRPr="00B079F1">
        <w:rPr>
          <w:sz w:val="24"/>
          <w:szCs w:val="24"/>
        </w:rPr>
        <w:t xml:space="preserve">or identify a security for which </w:t>
      </w:r>
      <w:r w:rsidR="00D90611">
        <w:rPr>
          <w:sz w:val="24"/>
          <w:szCs w:val="24"/>
        </w:rPr>
        <w:t xml:space="preserve">a </w:t>
      </w:r>
      <w:r w:rsidR="0080261E" w:rsidRPr="00B079F1">
        <w:rPr>
          <w:sz w:val="24"/>
          <w:szCs w:val="24"/>
        </w:rPr>
        <w:t>firm is a regis</w:t>
      </w:r>
      <w:r w:rsidRPr="00B079F1">
        <w:rPr>
          <w:sz w:val="24"/>
          <w:szCs w:val="24"/>
        </w:rPr>
        <w:t>tered market maker or that</w:t>
      </w:r>
      <w:r w:rsidR="0080261E" w:rsidRPr="00B079F1">
        <w:rPr>
          <w:sz w:val="24"/>
          <w:szCs w:val="24"/>
        </w:rPr>
        <w:t xml:space="preserve"> do no more than identify </w:t>
      </w:r>
      <w:r w:rsidR="00D90611">
        <w:rPr>
          <w:sz w:val="24"/>
          <w:szCs w:val="24"/>
        </w:rPr>
        <w:t>a</w:t>
      </w:r>
      <w:r w:rsidR="0080261E" w:rsidRPr="00B079F1">
        <w:rPr>
          <w:sz w:val="24"/>
          <w:szCs w:val="24"/>
        </w:rPr>
        <w:t xml:space="preserve"> firm or offer a specific security at a stated</w:t>
      </w:r>
      <w:r w:rsidRPr="00B079F1">
        <w:rPr>
          <w:sz w:val="24"/>
          <w:szCs w:val="24"/>
        </w:rPr>
        <w:t xml:space="preserve"> </w:t>
      </w:r>
      <w:r w:rsidR="0080261E" w:rsidRPr="00B079F1">
        <w:rPr>
          <w:sz w:val="24"/>
          <w:szCs w:val="24"/>
        </w:rPr>
        <w:t xml:space="preserve">price; </w:t>
      </w:r>
    </w:p>
    <w:p w14:paraId="6BEE9F47" w14:textId="77777777" w:rsidR="002C47BC" w:rsidRPr="00B079F1" w:rsidRDefault="002C47BC" w:rsidP="003E7B18">
      <w:pPr>
        <w:numPr>
          <w:ilvl w:val="0"/>
          <w:numId w:val="194"/>
        </w:numPr>
        <w:autoSpaceDE w:val="0"/>
        <w:autoSpaceDN w:val="0"/>
        <w:adjustRightInd w:val="0"/>
        <w:ind w:left="900" w:hanging="270"/>
        <w:rPr>
          <w:sz w:val="24"/>
          <w:szCs w:val="24"/>
        </w:rPr>
      </w:pPr>
      <w:r w:rsidRPr="00B079F1">
        <w:rPr>
          <w:sz w:val="24"/>
          <w:szCs w:val="24"/>
        </w:rPr>
        <w:t>C</w:t>
      </w:r>
      <w:r w:rsidR="0080261E" w:rsidRPr="00B079F1">
        <w:rPr>
          <w:sz w:val="24"/>
          <w:szCs w:val="24"/>
        </w:rPr>
        <w:t xml:space="preserve">ertain “tombstone” advertisements governed by Securities Act Rule 134;  </w:t>
      </w:r>
    </w:p>
    <w:p w14:paraId="3C6155C3" w14:textId="77777777" w:rsidR="00112AE3" w:rsidRPr="00B079F1" w:rsidRDefault="002C47BC" w:rsidP="003E7B18">
      <w:pPr>
        <w:numPr>
          <w:ilvl w:val="0"/>
          <w:numId w:val="194"/>
        </w:numPr>
        <w:autoSpaceDE w:val="0"/>
        <w:autoSpaceDN w:val="0"/>
        <w:adjustRightInd w:val="0"/>
        <w:ind w:left="900" w:hanging="270"/>
        <w:rPr>
          <w:sz w:val="24"/>
          <w:szCs w:val="24"/>
        </w:rPr>
      </w:pPr>
      <w:r w:rsidRPr="00B079F1">
        <w:rPr>
          <w:sz w:val="24"/>
          <w:szCs w:val="24"/>
        </w:rPr>
        <w:t>P</w:t>
      </w:r>
      <w:r w:rsidR="0080261E" w:rsidRPr="00B079F1">
        <w:rPr>
          <w:sz w:val="24"/>
          <w:szCs w:val="24"/>
        </w:rPr>
        <w:t>ress</w:t>
      </w:r>
      <w:r w:rsidRPr="00B079F1">
        <w:rPr>
          <w:sz w:val="24"/>
          <w:szCs w:val="24"/>
        </w:rPr>
        <w:t xml:space="preserve"> </w:t>
      </w:r>
      <w:r w:rsidR="0080261E" w:rsidRPr="00B079F1">
        <w:rPr>
          <w:sz w:val="24"/>
          <w:szCs w:val="24"/>
        </w:rPr>
        <w:t>releases that are made availab</w:t>
      </w:r>
      <w:r w:rsidR="00112AE3" w:rsidRPr="00B079F1">
        <w:rPr>
          <w:sz w:val="24"/>
          <w:szCs w:val="24"/>
        </w:rPr>
        <w:t xml:space="preserve">le only to members of the media; </w:t>
      </w:r>
    </w:p>
    <w:p w14:paraId="7D23F420" w14:textId="77777777" w:rsidR="00E320BE" w:rsidRPr="00B079F1" w:rsidRDefault="00112AE3" w:rsidP="003E7B18">
      <w:pPr>
        <w:numPr>
          <w:ilvl w:val="0"/>
          <w:numId w:val="194"/>
        </w:numPr>
        <w:shd w:val="clear" w:color="auto" w:fill="FFFFFF"/>
        <w:autoSpaceDE w:val="0"/>
        <w:autoSpaceDN w:val="0"/>
        <w:adjustRightInd w:val="0"/>
        <w:ind w:left="900" w:hanging="270"/>
        <w:rPr>
          <w:sz w:val="24"/>
          <w:szCs w:val="24"/>
        </w:rPr>
      </w:pPr>
      <w:r w:rsidRPr="00B079F1">
        <w:rPr>
          <w:sz w:val="24"/>
          <w:szCs w:val="24"/>
        </w:rPr>
        <w:t>Retail communications of reprints of independently prepared articles or reports</w:t>
      </w:r>
      <w:r w:rsidR="00E320BE" w:rsidRPr="00B079F1">
        <w:rPr>
          <w:sz w:val="24"/>
          <w:szCs w:val="24"/>
        </w:rPr>
        <w:t xml:space="preserve"> provided that: </w:t>
      </w:r>
    </w:p>
    <w:p w14:paraId="67596B1B" w14:textId="77777777" w:rsidR="00E320BE" w:rsidRPr="00B079F1" w:rsidRDefault="00E320BE" w:rsidP="00E320BE">
      <w:pPr>
        <w:shd w:val="clear" w:color="auto" w:fill="FFFFFF"/>
        <w:autoSpaceDE w:val="0"/>
        <w:autoSpaceDN w:val="0"/>
        <w:adjustRightInd w:val="0"/>
        <w:ind w:left="1260" w:hanging="360"/>
        <w:rPr>
          <w:sz w:val="24"/>
          <w:szCs w:val="24"/>
        </w:rPr>
      </w:pPr>
      <w:r w:rsidRPr="00B079F1">
        <w:rPr>
          <w:sz w:val="24"/>
          <w:szCs w:val="24"/>
        </w:rPr>
        <w:t>(</w:t>
      </w:r>
      <w:proofErr w:type="spellStart"/>
      <w:r w:rsidRPr="00B079F1">
        <w:rPr>
          <w:sz w:val="24"/>
          <w:szCs w:val="24"/>
        </w:rPr>
        <w:t>i</w:t>
      </w:r>
      <w:proofErr w:type="spellEnd"/>
      <w:r w:rsidRPr="00B079F1">
        <w:rPr>
          <w:sz w:val="24"/>
          <w:szCs w:val="24"/>
        </w:rPr>
        <w:t xml:space="preserve">)  The publisher is not an affiliate of the member using the reprint or any underwriter or issuer of a security mentioned in the reprint that the member is promoting;  </w:t>
      </w:r>
    </w:p>
    <w:p w14:paraId="6C6ED1D5" w14:textId="77777777" w:rsidR="00E320BE" w:rsidRPr="00B079F1" w:rsidRDefault="00E320BE" w:rsidP="00E320BE">
      <w:pPr>
        <w:shd w:val="clear" w:color="auto" w:fill="FFFFFF"/>
        <w:autoSpaceDE w:val="0"/>
        <w:autoSpaceDN w:val="0"/>
        <w:adjustRightInd w:val="0"/>
        <w:ind w:left="1260" w:hanging="360"/>
        <w:rPr>
          <w:sz w:val="24"/>
          <w:szCs w:val="24"/>
        </w:rPr>
      </w:pPr>
      <w:r w:rsidRPr="00B079F1">
        <w:rPr>
          <w:sz w:val="24"/>
          <w:szCs w:val="24"/>
        </w:rPr>
        <w:t xml:space="preserve">(ii) Neither the member using the </w:t>
      </w:r>
      <w:r w:rsidR="00572C29" w:rsidRPr="00B079F1">
        <w:rPr>
          <w:sz w:val="24"/>
          <w:szCs w:val="24"/>
        </w:rPr>
        <w:t>reprint,</w:t>
      </w:r>
      <w:r w:rsidRPr="00B079F1">
        <w:rPr>
          <w:sz w:val="24"/>
          <w:szCs w:val="24"/>
        </w:rPr>
        <w:t xml:space="preserve"> nor any underwriter or issuer of a security mentioned in the reprint has commissioned the reprinted article or report; and </w:t>
      </w:r>
    </w:p>
    <w:p w14:paraId="7274CF36" w14:textId="77777777" w:rsidR="00D07AAB" w:rsidRPr="00B079F1" w:rsidRDefault="00E320BE" w:rsidP="00A67592">
      <w:pPr>
        <w:shd w:val="clear" w:color="auto" w:fill="FFFFFF"/>
        <w:autoSpaceDE w:val="0"/>
        <w:autoSpaceDN w:val="0"/>
        <w:adjustRightInd w:val="0"/>
        <w:ind w:left="1260" w:hanging="360"/>
        <w:rPr>
          <w:sz w:val="24"/>
          <w:szCs w:val="24"/>
        </w:rPr>
      </w:pPr>
      <w:r w:rsidRPr="00B079F1">
        <w:rPr>
          <w:sz w:val="24"/>
          <w:szCs w:val="24"/>
        </w:rPr>
        <w:t xml:space="preserve">(iii)The member using the reprint has not materially altered its contents except as necessary to make the reprint consistent with applicable regulatory standards or to correct factual errors. </w:t>
      </w:r>
    </w:p>
    <w:p w14:paraId="063E4E1F" w14:textId="77777777" w:rsidR="009E3D4A" w:rsidRPr="00B079F1" w:rsidRDefault="00D07AAB" w:rsidP="003E7B18">
      <w:pPr>
        <w:numPr>
          <w:ilvl w:val="0"/>
          <w:numId w:val="194"/>
        </w:numPr>
        <w:autoSpaceDE w:val="0"/>
        <w:autoSpaceDN w:val="0"/>
        <w:adjustRightInd w:val="0"/>
        <w:ind w:left="900" w:hanging="270"/>
        <w:rPr>
          <w:sz w:val="24"/>
          <w:szCs w:val="24"/>
        </w:rPr>
      </w:pPr>
      <w:r w:rsidRPr="00B079F1">
        <w:rPr>
          <w:sz w:val="24"/>
          <w:szCs w:val="24"/>
        </w:rPr>
        <w:t>Correspondence and institutional communications</w:t>
      </w:r>
      <w:r w:rsidR="003266EE" w:rsidRPr="00B079F1">
        <w:rPr>
          <w:sz w:val="24"/>
          <w:szCs w:val="24"/>
        </w:rPr>
        <w:t>;</w:t>
      </w:r>
      <w:r w:rsidR="009E3D4A" w:rsidRPr="00B079F1">
        <w:rPr>
          <w:sz w:val="24"/>
          <w:szCs w:val="24"/>
        </w:rPr>
        <w:t xml:space="preserve">  </w:t>
      </w:r>
    </w:p>
    <w:p w14:paraId="1F47A659" w14:textId="77777777" w:rsidR="00A73996" w:rsidRPr="00B079F1" w:rsidRDefault="009E3D4A" w:rsidP="003E7B18">
      <w:pPr>
        <w:numPr>
          <w:ilvl w:val="0"/>
          <w:numId w:val="194"/>
        </w:numPr>
        <w:autoSpaceDE w:val="0"/>
        <w:autoSpaceDN w:val="0"/>
        <w:adjustRightInd w:val="0"/>
        <w:ind w:left="900" w:hanging="270"/>
        <w:rPr>
          <w:sz w:val="24"/>
          <w:szCs w:val="24"/>
        </w:rPr>
      </w:pPr>
      <w:r w:rsidRPr="00B079F1">
        <w:rPr>
          <w:sz w:val="24"/>
          <w:szCs w:val="24"/>
        </w:rPr>
        <w:t xml:space="preserve">Communications that refer to types of investments solely as part of a listing of products or services offered by </w:t>
      </w:r>
      <w:r w:rsidR="00D90611">
        <w:rPr>
          <w:sz w:val="24"/>
          <w:szCs w:val="24"/>
        </w:rPr>
        <w:t>the Company</w:t>
      </w:r>
      <w:r w:rsidR="00A73996" w:rsidRPr="00B079F1">
        <w:rPr>
          <w:sz w:val="24"/>
          <w:szCs w:val="24"/>
        </w:rPr>
        <w:t xml:space="preserve">;  </w:t>
      </w:r>
    </w:p>
    <w:p w14:paraId="1AC568D2" w14:textId="77777777" w:rsidR="009E3D4A" w:rsidRPr="00B079F1" w:rsidRDefault="00A73996" w:rsidP="003E7B18">
      <w:pPr>
        <w:numPr>
          <w:ilvl w:val="0"/>
          <w:numId w:val="194"/>
        </w:numPr>
        <w:autoSpaceDE w:val="0"/>
        <w:autoSpaceDN w:val="0"/>
        <w:adjustRightInd w:val="0"/>
        <w:ind w:left="900" w:hanging="270"/>
        <w:rPr>
          <w:sz w:val="24"/>
          <w:szCs w:val="24"/>
        </w:rPr>
      </w:pPr>
      <w:r w:rsidRPr="00B079F1">
        <w:rPr>
          <w:sz w:val="24"/>
          <w:szCs w:val="24"/>
        </w:rPr>
        <w:t>R</w:t>
      </w:r>
      <w:r w:rsidR="003266EE" w:rsidRPr="00B079F1">
        <w:rPr>
          <w:sz w:val="24"/>
          <w:szCs w:val="24"/>
        </w:rPr>
        <w:t>etail communications that are posted on online interactive electronic forums, such as an electronic bulletin board or an interactive forum that is contained on a social media website.</w:t>
      </w:r>
    </w:p>
    <w:p w14:paraId="2252F484" w14:textId="77777777" w:rsidR="009E3D4A" w:rsidRPr="00B079F1" w:rsidRDefault="009E3D4A" w:rsidP="00482433"/>
    <w:p w14:paraId="637B3694" w14:textId="77777777" w:rsidR="00BC055B" w:rsidRPr="00B079F1" w:rsidRDefault="00BC055B" w:rsidP="00BC055B">
      <w:pPr>
        <w:pStyle w:val="Heading3"/>
      </w:pPr>
      <w:r w:rsidRPr="00B079F1">
        <w:lastRenderedPageBreak/>
        <w:t>9.9.3 Other Filing Requirements</w:t>
      </w:r>
    </w:p>
    <w:p w14:paraId="08E9C8AD" w14:textId="77777777" w:rsidR="00BC055B" w:rsidRPr="00B079F1" w:rsidRDefault="00D3338A" w:rsidP="00D3338A">
      <w:pPr>
        <w:autoSpaceDE w:val="0"/>
        <w:autoSpaceDN w:val="0"/>
        <w:adjustRightInd w:val="0"/>
        <w:ind w:left="270"/>
        <w:rPr>
          <w:sz w:val="24"/>
          <w:szCs w:val="24"/>
        </w:rPr>
      </w:pPr>
      <w:r w:rsidRPr="00B079F1">
        <w:rPr>
          <w:sz w:val="24"/>
          <w:szCs w:val="24"/>
        </w:rPr>
        <w:t>Company’s written and electronic communications may be subject to a spot-check procedure, and that firms must submit requested material within the time frame specified by the Advertising Regulation Department</w:t>
      </w:r>
      <w:r w:rsidRPr="00B079F1">
        <w:rPr>
          <w:rFonts w:ascii="TheSans-B4SemiLight" w:hAnsi="TheSans-B4SemiLight" w:cs="TheSans-B4SemiLight"/>
        </w:rPr>
        <w:t>.</w:t>
      </w:r>
    </w:p>
    <w:p w14:paraId="0BC44076" w14:textId="77777777" w:rsidR="00CA4935" w:rsidRPr="00B079F1" w:rsidRDefault="00CA4935" w:rsidP="00CA4935"/>
    <w:p w14:paraId="02E99768" w14:textId="77777777" w:rsidR="00D3338A" w:rsidRPr="00B079F1" w:rsidRDefault="00D3338A" w:rsidP="00482433"/>
    <w:p w14:paraId="56622E85" w14:textId="77777777" w:rsidR="00A73E02" w:rsidRPr="00B079F1" w:rsidRDefault="00482433" w:rsidP="00936FEE">
      <w:pPr>
        <w:pStyle w:val="Heading2"/>
      </w:pPr>
      <w:r w:rsidRPr="00B079F1">
        <w:t>9.10 Content Standards</w:t>
      </w:r>
    </w:p>
    <w:p w14:paraId="0F9F97F0" w14:textId="77777777" w:rsidR="00482433" w:rsidRPr="00B079F1" w:rsidRDefault="00482433" w:rsidP="00A73E02"/>
    <w:p w14:paraId="789480B7" w14:textId="77777777" w:rsidR="007172C4" w:rsidRPr="00B079F1" w:rsidRDefault="007172C4" w:rsidP="007172C4">
      <w:pPr>
        <w:pStyle w:val="Heading3"/>
      </w:pPr>
      <w:r w:rsidRPr="00B079F1">
        <w:t>9.10.1 General Standards</w:t>
      </w:r>
    </w:p>
    <w:p w14:paraId="741AE4F6" w14:textId="4EC3EC4C" w:rsidR="007172C4" w:rsidRPr="00B079F1" w:rsidRDefault="007172C4" w:rsidP="007172C4">
      <w:pPr>
        <w:autoSpaceDE w:val="0"/>
        <w:autoSpaceDN w:val="0"/>
        <w:adjustRightInd w:val="0"/>
        <w:ind w:left="270"/>
        <w:rPr>
          <w:sz w:val="24"/>
          <w:szCs w:val="24"/>
        </w:rPr>
      </w:pPr>
      <w:r w:rsidRPr="00B079F1">
        <w:rPr>
          <w:sz w:val="24"/>
          <w:szCs w:val="24"/>
        </w:rPr>
        <w:t xml:space="preserve">Company communications are to be based on principles of fair dealing and good faith, to be fair and balanced, and to provide a sound basis for evaluating the facts in regard to any particular security or type of security, </w:t>
      </w:r>
      <w:r w:rsidR="0031215B" w:rsidRPr="00B079F1">
        <w:rPr>
          <w:sz w:val="24"/>
          <w:szCs w:val="24"/>
        </w:rPr>
        <w:t>industry,</w:t>
      </w:r>
      <w:r w:rsidRPr="00B079F1">
        <w:rPr>
          <w:sz w:val="24"/>
          <w:szCs w:val="24"/>
        </w:rPr>
        <w:t xml:space="preserve"> or service. In addition:</w:t>
      </w:r>
    </w:p>
    <w:p w14:paraId="46CEB491" w14:textId="77777777" w:rsidR="007172C4" w:rsidRPr="00B079F1" w:rsidRDefault="007172C4" w:rsidP="003E7B18">
      <w:pPr>
        <w:numPr>
          <w:ilvl w:val="0"/>
          <w:numId w:val="195"/>
        </w:numPr>
        <w:shd w:val="clear" w:color="auto" w:fill="FFFFFF"/>
        <w:rPr>
          <w:sz w:val="24"/>
          <w:szCs w:val="24"/>
        </w:rPr>
      </w:pPr>
      <w:r w:rsidRPr="00B079F1">
        <w:rPr>
          <w:sz w:val="24"/>
          <w:szCs w:val="24"/>
        </w:rPr>
        <w:t xml:space="preserve">Company may not omit any material fact or qualification if the omission, in light of the context of the material presented, would cause the communications to be misleading. </w:t>
      </w:r>
    </w:p>
    <w:p w14:paraId="02F1FA9E" w14:textId="2F234A7C" w:rsidR="007172C4" w:rsidRPr="00B079F1" w:rsidRDefault="007172C4" w:rsidP="003E7B18">
      <w:pPr>
        <w:numPr>
          <w:ilvl w:val="0"/>
          <w:numId w:val="195"/>
        </w:numPr>
        <w:shd w:val="clear" w:color="auto" w:fill="FFFFFF"/>
        <w:rPr>
          <w:sz w:val="24"/>
          <w:szCs w:val="24"/>
        </w:rPr>
      </w:pPr>
      <w:r w:rsidRPr="00B079F1">
        <w:rPr>
          <w:sz w:val="24"/>
          <w:szCs w:val="24"/>
        </w:rPr>
        <w:t>Company may not make any false, exaggerated, unwarranted</w:t>
      </w:r>
      <w:r w:rsidRPr="00B079F1">
        <w:rPr>
          <w:rStyle w:val="us"/>
          <w:sz w:val="24"/>
          <w:szCs w:val="24"/>
        </w:rPr>
        <w:t xml:space="preserve">, </w:t>
      </w:r>
      <w:r w:rsidR="0031215B" w:rsidRPr="00B079F1">
        <w:rPr>
          <w:rStyle w:val="us"/>
          <w:sz w:val="24"/>
          <w:szCs w:val="24"/>
        </w:rPr>
        <w:t>promissory,</w:t>
      </w:r>
      <w:r w:rsidRPr="00B079F1">
        <w:rPr>
          <w:sz w:val="24"/>
          <w:szCs w:val="24"/>
        </w:rPr>
        <w:t xml:space="preserve"> or misleading statement or claim in any communication. </w:t>
      </w:r>
    </w:p>
    <w:p w14:paraId="18282E02" w14:textId="77777777" w:rsidR="007172C4" w:rsidRPr="00B079F1" w:rsidRDefault="007172C4" w:rsidP="003E7B18">
      <w:pPr>
        <w:numPr>
          <w:ilvl w:val="0"/>
          <w:numId w:val="195"/>
        </w:numPr>
        <w:shd w:val="clear" w:color="auto" w:fill="FFFFFF"/>
        <w:rPr>
          <w:sz w:val="24"/>
          <w:szCs w:val="24"/>
        </w:rPr>
      </w:pPr>
      <w:r w:rsidRPr="00B079F1">
        <w:rPr>
          <w:sz w:val="24"/>
          <w:szCs w:val="24"/>
        </w:rPr>
        <w:t xml:space="preserve">Company may not publish, circulate or distribute any communication that it knows or has reason to know contains any untrue statement of a material fact or is otherwise false or misleading. </w:t>
      </w:r>
    </w:p>
    <w:p w14:paraId="5879B574" w14:textId="77777777" w:rsidR="007172C4" w:rsidRPr="00B079F1" w:rsidRDefault="007172C4" w:rsidP="003E7B18">
      <w:pPr>
        <w:numPr>
          <w:ilvl w:val="0"/>
          <w:numId w:val="195"/>
        </w:numPr>
        <w:shd w:val="clear" w:color="auto" w:fill="FFFFFF"/>
        <w:rPr>
          <w:sz w:val="24"/>
          <w:szCs w:val="24"/>
        </w:rPr>
      </w:pPr>
      <w:r w:rsidRPr="00B079F1">
        <w:rPr>
          <w:sz w:val="24"/>
          <w:szCs w:val="24"/>
        </w:rPr>
        <w:t xml:space="preserve">Information may be placed in a legend or footnote only in the event that such placement would not inhibit an investor's understanding of the communication. </w:t>
      </w:r>
    </w:p>
    <w:p w14:paraId="503312DC" w14:textId="77777777" w:rsidR="007172C4" w:rsidRPr="00B079F1" w:rsidRDefault="007172C4" w:rsidP="003E7B18">
      <w:pPr>
        <w:numPr>
          <w:ilvl w:val="0"/>
          <w:numId w:val="195"/>
        </w:numPr>
        <w:shd w:val="clear" w:color="auto" w:fill="FFFFFF"/>
        <w:rPr>
          <w:sz w:val="24"/>
          <w:szCs w:val="24"/>
        </w:rPr>
      </w:pPr>
      <w:r w:rsidRPr="00B079F1">
        <w:rPr>
          <w:sz w:val="24"/>
          <w:szCs w:val="24"/>
        </w:rPr>
        <w:t>Company</w:t>
      </w:r>
      <w:r w:rsidRPr="00B079F1">
        <w:rPr>
          <w:rStyle w:val="us"/>
          <w:sz w:val="24"/>
          <w:szCs w:val="24"/>
        </w:rPr>
        <w:t xml:space="preserve"> must ensure that statements are clear and not misleading within the context in which they are made, and that they provide balanced treatment of risks and potential benefits. Communications must be consistent with the risks of fluctuating prices and the uncertainty of dividends, rates of return and yield inherent to investments.</w:t>
      </w:r>
      <w:r w:rsidRPr="00B079F1">
        <w:rPr>
          <w:sz w:val="24"/>
          <w:szCs w:val="24"/>
        </w:rPr>
        <w:t xml:space="preserve">  </w:t>
      </w:r>
    </w:p>
    <w:p w14:paraId="52675517" w14:textId="77777777" w:rsidR="007172C4" w:rsidRPr="00B079F1" w:rsidRDefault="007172C4" w:rsidP="003E7B18">
      <w:pPr>
        <w:numPr>
          <w:ilvl w:val="0"/>
          <w:numId w:val="195"/>
        </w:numPr>
        <w:shd w:val="clear" w:color="auto" w:fill="FFFFFF"/>
        <w:rPr>
          <w:sz w:val="24"/>
          <w:szCs w:val="24"/>
        </w:rPr>
      </w:pPr>
      <w:r w:rsidRPr="00B079F1">
        <w:rPr>
          <w:sz w:val="24"/>
          <w:szCs w:val="24"/>
        </w:rPr>
        <w:t>Company</w:t>
      </w:r>
      <w:r w:rsidRPr="00B079F1">
        <w:rPr>
          <w:rStyle w:val="us"/>
          <w:sz w:val="24"/>
          <w:szCs w:val="24"/>
        </w:rPr>
        <w:t xml:space="preserve"> must consider the nature of the audience to which the communication will be directed and must provide details and explanations appropriate to the audience.</w:t>
      </w:r>
      <w:r w:rsidRPr="00B079F1">
        <w:rPr>
          <w:sz w:val="24"/>
          <w:szCs w:val="24"/>
        </w:rPr>
        <w:t xml:space="preserve">  </w:t>
      </w:r>
    </w:p>
    <w:p w14:paraId="61384505" w14:textId="77777777" w:rsidR="007172C4" w:rsidRPr="00B079F1" w:rsidRDefault="007172C4" w:rsidP="003E7B18">
      <w:pPr>
        <w:numPr>
          <w:ilvl w:val="0"/>
          <w:numId w:val="195"/>
        </w:numPr>
        <w:shd w:val="clear" w:color="auto" w:fill="FFFFFF"/>
        <w:rPr>
          <w:sz w:val="24"/>
          <w:szCs w:val="24"/>
        </w:rPr>
      </w:pPr>
      <w:r w:rsidRPr="00B079F1">
        <w:rPr>
          <w:sz w:val="24"/>
          <w:szCs w:val="24"/>
        </w:rPr>
        <w:t>Communications may not predict or project performance, imply that past performance will recur or make any exaggerated or unwarranted claim, opinion or forecast</w:t>
      </w:r>
      <w:r w:rsidRPr="00B079F1">
        <w:rPr>
          <w:rStyle w:val="us"/>
          <w:sz w:val="24"/>
          <w:szCs w:val="24"/>
        </w:rPr>
        <w:t>; provided, however, that this point does not prohibit:</w:t>
      </w:r>
      <w:r w:rsidRPr="00B079F1">
        <w:rPr>
          <w:sz w:val="24"/>
          <w:szCs w:val="24"/>
        </w:rPr>
        <w:t xml:space="preserve"> </w:t>
      </w:r>
    </w:p>
    <w:p w14:paraId="46BCBFB6" w14:textId="77777777" w:rsidR="007172C4" w:rsidRPr="00B079F1" w:rsidRDefault="007172C4" w:rsidP="007172C4">
      <w:pPr>
        <w:shd w:val="clear" w:color="auto" w:fill="FFFFFF"/>
        <w:ind w:left="1530" w:hanging="360"/>
        <w:rPr>
          <w:sz w:val="24"/>
          <w:szCs w:val="24"/>
        </w:rPr>
      </w:pPr>
      <w:r w:rsidRPr="00B079F1">
        <w:rPr>
          <w:rStyle w:val="us"/>
          <w:sz w:val="24"/>
          <w:szCs w:val="24"/>
        </w:rPr>
        <w:t>(</w:t>
      </w:r>
      <w:proofErr w:type="spellStart"/>
      <w:r w:rsidRPr="00B079F1">
        <w:rPr>
          <w:rStyle w:val="us"/>
          <w:sz w:val="24"/>
          <w:szCs w:val="24"/>
        </w:rPr>
        <w:t>i</w:t>
      </w:r>
      <w:proofErr w:type="spellEnd"/>
      <w:r w:rsidRPr="00B079F1">
        <w:rPr>
          <w:rStyle w:val="us"/>
          <w:sz w:val="24"/>
          <w:szCs w:val="24"/>
        </w:rPr>
        <w:t>)</w:t>
      </w:r>
      <w:r w:rsidRPr="00B079F1">
        <w:rPr>
          <w:sz w:val="24"/>
          <w:szCs w:val="24"/>
        </w:rPr>
        <w:t xml:space="preserve"> A hypothetical illustration of mathematical principles, provided that it does not predict or project the performance of an investment or investment strategy</w:t>
      </w:r>
      <w:r w:rsidRPr="00B079F1">
        <w:rPr>
          <w:rStyle w:val="us"/>
          <w:sz w:val="24"/>
          <w:szCs w:val="24"/>
        </w:rPr>
        <w:t>;</w:t>
      </w:r>
      <w:r w:rsidRPr="00B079F1">
        <w:rPr>
          <w:sz w:val="24"/>
          <w:szCs w:val="24"/>
        </w:rPr>
        <w:t xml:space="preserve"> </w:t>
      </w:r>
    </w:p>
    <w:p w14:paraId="52137C5D" w14:textId="77777777" w:rsidR="007172C4" w:rsidRPr="00B079F1" w:rsidRDefault="007172C4" w:rsidP="007172C4">
      <w:pPr>
        <w:shd w:val="clear" w:color="auto" w:fill="FFFFFF"/>
        <w:ind w:left="1530" w:hanging="360"/>
        <w:rPr>
          <w:sz w:val="24"/>
          <w:szCs w:val="24"/>
        </w:rPr>
      </w:pPr>
      <w:r w:rsidRPr="00B079F1">
        <w:rPr>
          <w:rStyle w:val="us"/>
          <w:sz w:val="24"/>
          <w:szCs w:val="24"/>
        </w:rPr>
        <w:t xml:space="preserve">(ii) An investment analysis tool, or a written report produced by an investment analysis tool, that meets the requirements of </w:t>
      </w:r>
      <w:hyperlink r:id="rId76" w:tgtFrame="_blank" w:history="1">
        <w:r w:rsidRPr="00B079F1">
          <w:rPr>
            <w:rStyle w:val="Hyperlink"/>
            <w:color w:val="auto"/>
            <w:sz w:val="24"/>
            <w:szCs w:val="24"/>
          </w:rPr>
          <w:t>Rule 2214</w:t>
        </w:r>
      </w:hyperlink>
      <w:r w:rsidRPr="00B079F1">
        <w:rPr>
          <w:rStyle w:val="us"/>
          <w:sz w:val="24"/>
          <w:szCs w:val="24"/>
        </w:rPr>
        <w:t>; and</w:t>
      </w:r>
      <w:r w:rsidRPr="00B079F1">
        <w:rPr>
          <w:sz w:val="24"/>
          <w:szCs w:val="24"/>
        </w:rPr>
        <w:t xml:space="preserve"> </w:t>
      </w:r>
    </w:p>
    <w:p w14:paraId="5096CE0E" w14:textId="77777777" w:rsidR="007172C4" w:rsidRPr="00B079F1" w:rsidRDefault="007172C4" w:rsidP="007172C4">
      <w:pPr>
        <w:shd w:val="clear" w:color="auto" w:fill="FFFFFF"/>
        <w:ind w:left="1530" w:hanging="360"/>
        <w:rPr>
          <w:sz w:val="24"/>
          <w:szCs w:val="24"/>
        </w:rPr>
      </w:pPr>
      <w:r w:rsidRPr="00B079F1">
        <w:rPr>
          <w:rStyle w:val="us"/>
          <w:sz w:val="24"/>
          <w:szCs w:val="24"/>
        </w:rPr>
        <w:t>(iii) A price target contained in a research report on debt or equity securities, provided that the price target has a reasonable basis, the report discloses the valuation methods used to determine the price target, and the price target is accompanied by disclosure concerning the risks that may impede achievement of the price target.</w:t>
      </w:r>
      <w:r w:rsidRPr="00B079F1">
        <w:rPr>
          <w:sz w:val="24"/>
          <w:szCs w:val="24"/>
        </w:rPr>
        <w:t xml:space="preserve"> </w:t>
      </w:r>
    </w:p>
    <w:p w14:paraId="446BD9DC" w14:textId="77777777" w:rsidR="007172C4" w:rsidRPr="00B079F1" w:rsidRDefault="007172C4" w:rsidP="00A73E02"/>
    <w:p w14:paraId="7891A08A" w14:textId="77777777" w:rsidR="007172C4" w:rsidRPr="00B079F1" w:rsidRDefault="00EC341E" w:rsidP="00EC341E">
      <w:pPr>
        <w:pStyle w:val="Heading3"/>
      </w:pPr>
      <w:r w:rsidRPr="00B079F1">
        <w:t>9.10.2 Comparisons</w:t>
      </w:r>
    </w:p>
    <w:p w14:paraId="05C8C340" w14:textId="77777777" w:rsidR="004F40EF" w:rsidRPr="00B079F1" w:rsidRDefault="004F40EF" w:rsidP="004F40EF">
      <w:pPr>
        <w:shd w:val="clear" w:color="auto" w:fill="FFFFFF"/>
        <w:ind w:left="270"/>
        <w:rPr>
          <w:sz w:val="24"/>
          <w:szCs w:val="24"/>
        </w:rPr>
      </w:pPr>
      <w:r w:rsidRPr="00B079F1">
        <w:rPr>
          <w:sz w:val="24"/>
          <w:szCs w:val="24"/>
        </w:rPr>
        <w:t xml:space="preserve">Any comparison in retail communications between investments or services must disclose all material differences between them, including (as applicable) investment objectives, costs and expenses, liquidity, safety, guarantees or insurance, fluctuation of principal or return, and tax features. </w:t>
      </w:r>
    </w:p>
    <w:p w14:paraId="01F71E22" w14:textId="77777777" w:rsidR="004F40EF" w:rsidRPr="00B079F1" w:rsidRDefault="004F40EF" w:rsidP="004F40EF">
      <w:pPr>
        <w:shd w:val="clear" w:color="auto" w:fill="FFFFFF"/>
        <w:ind w:left="270"/>
        <w:rPr>
          <w:sz w:val="24"/>
          <w:szCs w:val="24"/>
        </w:rPr>
      </w:pPr>
    </w:p>
    <w:p w14:paraId="004BB474" w14:textId="77777777" w:rsidR="004F40EF" w:rsidRPr="00B079F1" w:rsidRDefault="004F40EF" w:rsidP="004F40EF">
      <w:pPr>
        <w:pStyle w:val="Heading3"/>
      </w:pPr>
      <w:r w:rsidRPr="00B079F1">
        <w:t>9.10.3 Disclosures</w:t>
      </w:r>
    </w:p>
    <w:p w14:paraId="73567F29" w14:textId="77777777" w:rsidR="004F40EF" w:rsidRPr="00B079F1" w:rsidRDefault="004F40EF" w:rsidP="006145D2"/>
    <w:p w14:paraId="5859417F" w14:textId="77777777" w:rsidR="004F40EF" w:rsidRPr="00B079F1" w:rsidRDefault="004F40EF" w:rsidP="001A587F">
      <w:pPr>
        <w:pStyle w:val="Heading4"/>
      </w:pPr>
      <w:r w:rsidRPr="00B079F1">
        <w:lastRenderedPageBreak/>
        <w:t>Company Name</w:t>
      </w:r>
    </w:p>
    <w:p w14:paraId="73328DA9" w14:textId="77777777" w:rsidR="004F40EF" w:rsidRPr="00B079F1" w:rsidRDefault="004F40EF" w:rsidP="004F40EF">
      <w:pPr>
        <w:shd w:val="clear" w:color="auto" w:fill="FFFFFF"/>
        <w:ind w:firstLine="540"/>
        <w:rPr>
          <w:sz w:val="24"/>
          <w:szCs w:val="24"/>
        </w:rPr>
      </w:pPr>
      <w:r w:rsidRPr="00B079F1">
        <w:rPr>
          <w:sz w:val="24"/>
          <w:szCs w:val="24"/>
        </w:rPr>
        <w:t xml:space="preserve">All retail communications and correspondence must: </w:t>
      </w:r>
    </w:p>
    <w:p w14:paraId="75717524" w14:textId="2B039B5B" w:rsidR="004F40EF" w:rsidRPr="00B079F1" w:rsidRDefault="004F40EF" w:rsidP="004F40EF">
      <w:pPr>
        <w:shd w:val="clear" w:color="auto" w:fill="FFFFFF"/>
        <w:spacing w:line="270" w:lineRule="atLeast"/>
        <w:ind w:left="1350" w:hanging="450"/>
        <w:rPr>
          <w:sz w:val="24"/>
          <w:szCs w:val="24"/>
        </w:rPr>
      </w:pPr>
      <w:r w:rsidRPr="00B079F1">
        <w:rPr>
          <w:sz w:val="24"/>
          <w:szCs w:val="24"/>
        </w:rPr>
        <w:t>(A) Prominently disclose Company name</w:t>
      </w:r>
      <w:r w:rsidR="001E1EA9">
        <w:rPr>
          <w:sz w:val="24"/>
          <w:szCs w:val="24"/>
        </w:rPr>
        <w:t xml:space="preserve">, </w:t>
      </w:r>
      <w:r w:rsidR="001E1EA9" w:rsidRPr="001E1EA9">
        <w:rPr>
          <w:color w:val="FF0000"/>
          <w:sz w:val="24"/>
          <w:szCs w:val="24"/>
        </w:rPr>
        <w:t>member FINRA and SIPC</w:t>
      </w:r>
      <w:r w:rsidR="001E1EA9">
        <w:rPr>
          <w:color w:val="FF0000"/>
          <w:sz w:val="24"/>
          <w:szCs w:val="24"/>
        </w:rPr>
        <w:t xml:space="preserve"> and address</w:t>
      </w:r>
      <w:r w:rsidR="001E1EA9" w:rsidRPr="001E1EA9">
        <w:rPr>
          <w:color w:val="FF0000"/>
          <w:sz w:val="24"/>
          <w:szCs w:val="24"/>
        </w:rPr>
        <w:t xml:space="preserve"> (</w:t>
      </w:r>
      <w:r w:rsidR="00A35C90">
        <w:rPr>
          <w:color w:val="FF0000"/>
          <w:sz w:val="24"/>
          <w:szCs w:val="24"/>
        </w:rPr>
        <w:t xml:space="preserve">also </w:t>
      </w:r>
      <w:r w:rsidR="001E1EA9" w:rsidRPr="001E1EA9">
        <w:rPr>
          <w:color w:val="FF0000"/>
          <w:sz w:val="24"/>
          <w:szCs w:val="24"/>
        </w:rPr>
        <w:t xml:space="preserve">if using another name besides the </w:t>
      </w:r>
      <w:r w:rsidR="00A35C90">
        <w:rPr>
          <w:color w:val="FF0000"/>
          <w:sz w:val="24"/>
          <w:szCs w:val="24"/>
        </w:rPr>
        <w:t xml:space="preserve">Company </w:t>
      </w:r>
      <w:r w:rsidR="001E1EA9" w:rsidRPr="001E1EA9">
        <w:rPr>
          <w:color w:val="FF0000"/>
          <w:sz w:val="24"/>
          <w:szCs w:val="24"/>
        </w:rPr>
        <w:t xml:space="preserve">member </w:t>
      </w:r>
      <w:r w:rsidR="00A35C90">
        <w:rPr>
          <w:color w:val="FF0000"/>
          <w:sz w:val="24"/>
          <w:szCs w:val="24"/>
        </w:rPr>
        <w:t xml:space="preserve">name </w:t>
      </w:r>
      <w:r w:rsidR="001E1EA9" w:rsidRPr="001E1EA9">
        <w:rPr>
          <w:color w:val="FF0000"/>
          <w:sz w:val="24"/>
          <w:szCs w:val="24"/>
        </w:rPr>
        <w:t xml:space="preserve">or </w:t>
      </w:r>
      <w:r w:rsidR="00A35C90">
        <w:rPr>
          <w:color w:val="FF0000"/>
          <w:sz w:val="24"/>
          <w:szCs w:val="24"/>
        </w:rPr>
        <w:t xml:space="preserve">using </w:t>
      </w:r>
      <w:r w:rsidR="001E1EA9" w:rsidRPr="001E1EA9">
        <w:rPr>
          <w:color w:val="FF0000"/>
          <w:sz w:val="24"/>
          <w:szCs w:val="24"/>
        </w:rPr>
        <w:t>a DBA)</w:t>
      </w:r>
      <w:r w:rsidRPr="00B079F1">
        <w:rPr>
          <w:sz w:val="24"/>
          <w:szCs w:val="24"/>
        </w:rPr>
        <w:t xml:space="preserve">  or the name under which the member's broker-dealer business primarily is conducted as disclosed on the member's Form BD, and may also include a fictional name by which the member is commonly </w:t>
      </w:r>
      <w:r w:rsidR="00885159" w:rsidRPr="00B079F1">
        <w:rPr>
          <w:sz w:val="24"/>
          <w:szCs w:val="24"/>
        </w:rPr>
        <w:t>recognized,</w:t>
      </w:r>
      <w:r w:rsidRPr="00B079F1">
        <w:rPr>
          <w:sz w:val="24"/>
          <w:szCs w:val="24"/>
        </w:rPr>
        <w:t xml:space="preserve"> or which is required by any state or jurisdiction; </w:t>
      </w:r>
    </w:p>
    <w:p w14:paraId="1CA7E3E3" w14:textId="77777777" w:rsidR="004F40EF" w:rsidRPr="00B079F1" w:rsidRDefault="004F40EF" w:rsidP="004F40EF">
      <w:pPr>
        <w:shd w:val="clear" w:color="auto" w:fill="FFFFFF"/>
        <w:spacing w:line="270" w:lineRule="atLeast"/>
        <w:ind w:left="1350" w:hanging="450"/>
        <w:rPr>
          <w:sz w:val="24"/>
          <w:szCs w:val="24"/>
        </w:rPr>
      </w:pPr>
      <w:r w:rsidRPr="00B079F1">
        <w:rPr>
          <w:sz w:val="24"/>
          <w:szCs w:val="24"/>
        </w:rPr>
        <w:t xml:space="preserve">(B) Reflect any relationship between Company and any non-member or individual who is also named; and </w:t>
      </w:r>
    </w:p>
    <w:p w14:paraId="6FDE2E0A" w14:textId="77777777" w:rsidR="004F40EF" w:rsidRPr="00B079F1" w:rsidRDefault="004F40EF" w:rsidP="004F40EF">
      <w:pPr>
        <w:shd w:val="clear" w:color="auto" w:fill="FFFFFF"/>
        <w:spacing w:line="270" w:lineRule="atLeast"/>
        <w:ind w:left="1350" w:hanging="450"/>
        <w:rPr>
          <w:sz w:val="24"/>
          <w:szCs w:val="24"/>
        </w:rPr>
      </w:pPr>
      <w:r w:rsidRPr="00B079F1">
        <w:rPr>
          <w:sz w:val="24"/>
          <w:szCs w:val="24"/>
        </w:rPr>
        <w:t xml:space="preserve">(C) If it includes other names, reflect which products or services are being offered by Company. </w:t>
      </w:r>
    </w:p>
    <w:p w14:paraId="399926C6" w14:textId="77777777" w:rsidR="004F40EF" w:rsidRPr="00B079F1" w:rsidRDefault="004F40EF" w:rsidP="004F40EF">
      <w:pPr>
        <w:shd w:val="clear" w:color="auto" w:fill="FFFFFF"/>
        <w:spacing w:line="270" w:lineRule="atLeast"/>
        <w:rPr>
          <w:sz w:val="24"/>
          <w:szCs w:val="24"/>
        </w:rPr>
      </w:pPr>
    </w:p>
    <w:p w14:paraId="43715E8F" w14:textId="77777777" w:rsidR="004F40EF" w:rsidRPr="00B079F1" w:rsidRDefault="004F40EF" w:rsidP="004F40EF">
      <w:pPr>
        <w:shd w:val="clear" w:color="auto" w:fill="FFFFFF"/>
        <w:spacing w:line="270" w:lineRule="atLeast"/>
        <w:ind w:left="540"/>
        <w:rPr>
          <w:sz w:val="24"/>
          <w:szCs w:val="24"/>
        </w:rPr>
      </w:pPr>
      <w:r w:rsidRPr="00B079F1">
        <w:rPr>
          <w:sz w:val="24"/>
          <w:szCs w:val="24"/>
        </w:rPr>
        <w:t xml:space="preserve">This paragraph does not apply to so-called "blind" advertisements used to recruit personnel. </w:t>
      </w:r>
    </w:p>
    <w:p w14:paraId="6F456B9D" w14:textId="77777777" w:rsidR="007F4BE4" w:rsidRPr="00B079F1" w:rsidRDefault="007F4BE4" w:rsidP="004F40EF">
      <w:pPr>
        <w:shd w:val="clear" w:color="auto" w:fill="FFFFFF"/>
        <w:spacing w:line="270" w:lineRule="atLeast"/>
        <w:ind w:left="540"/>
        <w:rPr>
          <w:sz w:val="24"/>
          <w:szCs w:val="24"/>
        </w:rPr>
      </w:pPr>
    </w:p>
    <w:p w14:paraId="553E53CE" w14:textId="77777777" w:rsidR="007F4BE4" w:rsidRPr="00EC5FF1" w:rsidRDefault="007F4BE4" w:rsidP="001A587F">
      <w:pPr>
        <w:pStyle w:val="Heading4"/>
      </w:pPr>
      <w:r w:rsidRPr="00EC5FF1">
        <w:rPr>
          <w:rStyle w:val="Strong"/>
          <w:b/>
        </w:rPr>
        <w:t>Fees, Expenses and Standardized Performance</w:t>
      </w:r>
    </w:p>
    <w:p w14:paraId="5321E3B8" w14:textId="77777777" w:rsidR="007F4BE4" w:rsidRPr="00B079F1" w:rsidRDefault="007F4BE4" w:rsidP="00EC5FF1">
      <w:pPr>
        <w:shd w:val="clear" w:color="auto" w:fill="FFFFFF"/>
        <w:ind w:left="540"/>
        <w:rPr>
          <w:sz w:val="24"/>
          <w:szCs w:val="24"/>
        </w:rPr>
      </w:pPr>
      <w:r w:rsidRPr="00B079F1">
        <w:rPr>
          <w:sz w:val="24"/>
          <w:szCs w:val="24"/>
        </w:rPr>
        <w:t xml:space="preserve">Retail communications and correspondence that present non-money market fund open-end management investment company performance data as permitted by Securities Act Rule 482 and Rule 34b-1 under the Investment Company Act must disclose: </w:t>
      </w:r>
    </w:p>
    <w:p w14:paraId="5629FA89" w14:textId="77777777" w:rsidR="007F4BE4" w:rsidRPr="00B079F1" w:rsidRDefault="007F4BE4" w:rsidP="003E7B18">
      <w:pPr>
        <w:numPr>
          <w:ilvl w:val="0"/>
          <w:numId w:val="197"/>
        </w:numPr>
        <w:shd w:val="clear" w:color="auto" w:fill="FFFFFF"/>
        <w:spacing w:line="270" w:lineRule="atLeast"/>
        <w:ind w:left="1170" w:hanging="270"/>
        <w:rPr>
          <w:sz w:val="24"/>
          <w:szCs w:val="24"/>
        </w:rPr>
      </w:pPr>
      <w:r w:rsidRPr="00B079F1">
        <w:rPr>
          <w:sz w:val="24"/>
          <w:szCs w:val="24"/>
        </w:rPr>
        <w:t xml:space="preserve">The standardized performance information mandated by Securities Act Rule 482 and Rule 34b-1 under the Investment Company Act; and </w:t>
      </w:r>
    </w:p>
    <w:p w14:paraId="237D3ACE" w14:textId="77777777" w:rsidR="007F4BE4" w:rsidRPr="00B079F1" w:rsidRDefault="007F4BE4" w:rsidP="003E7B18">
      <w:pPr>
        <w:numPr>
          <w:ilvl w:val="0"/>
          <w:numId w:val="197"/>
        </w:numPr>
        <w:shd w:val="clear" w:color="auto" w:fill="FFFFFF"/>
        <w:spacing w:line="270" w:lineRule="atLeast"/>
        <w:ind w:left="1080" w:hanging="180"/>
        <w:rPr>
          <w:sz w:val="24"/>
          <w:szCs w:val="24"/>
        </w:rPr>
      </w:pPr>
      <w:r w:rsidRPr="00B079F1">
        <w:rPr>
          <w:sz w:val="24"/>
          <w:szCs w:val="24"/>
        </w:rPr>
        <w:t xml:space="preserve">To the extent applicable: </w:t>
      </w:r>
    </w:p>
    <w:p w14:paraId="1645ACEE" w14:textId="77777777" w:rsidR="007F4BE4" w:rsidRPr="00B079F1" w:rsidRDefault="007F4BE4" w:rsidP="007F4BE4">
      <w:pPr>
        <w:shd w:val="clear" w:color="auto" w:fill="FFFFFF"/>
        <w:spacing w:line="270" w:lineRule="atLeast"/>
        <w:ind w:left="1530" w:hanging="180"/>
        <w:rPr>
          <w:sz w:val="24"/>
          <w:szCs w:val="24"/>
        </w:rPr>
      </w:pPr>
      <w:r w:rsidRPr="00B079F1">
        <w:rPr>
          <w:sz w:val="24"/>
          <w:szCs w:val="24"/>
        </w:rPr>
        <w:t xml:space="preserve">a. the maximum sales charge imposed on purchases or the maximum deferred sales charge, as stated in the investment company's prospectus current as of the date of distribution or submission for publication of a communication; and </w:t>
      </w:r>
    </w:p>
    <w:p w14:paraId="0A07F3DE" w14:textId="77777777" w:rsidR="007F4BE4" w:rsidRPr="00B079F1" w:rsidRDefault="007F4BE4" w:rsidP="007F4BE4">
      <w:pPr>
        <w:shd w:val="clear" w:color="auto" w:fill="FFFFFF"/>
        <w:spacing w:line="270" w:lineRule="atLeast"/>
        <w:ind w:left="1530" w:hanging="180"/>
        <w:rPr>
          <w:sz w:val="24"/>
          <w:szCs w:val="24"/>
        </w:rPr>
      </w:pPr>
      <w:r w:rsidRPr="00B079F1">
        <w:rPr>
          <w:sz w:val="24"/>
          <w:szCs w:val="24"/>
        </w:rPr>
        <w:t xml:space="preserve">b. the total annual fund operating expense ratio, gross of any fee waivers or expense reimbursements, as stated in the fee table of the investment company's prospectus described in paragraph (d)(5)(A)(ii)(a). </w:t>
      </w:r>
    </w:p>
    <w:p w14:paraId="6E23311C" w14:textId="77777777" w:rsidR="00CA4A96" w:rsidRPr="00B079F1" w:rsidRDefault="00CA4A96" w:rsidP="007F4BE4">
      <w:pPr>
        <w:shd w:val="clear" w:color="auto" w:fill="FFFFFF"/>
        <w:spacing w:line="270" w:lineRule="atLeast"/>
        <w:rPr>
          <w:sz w:val="24"/>
          <w:szCs w:val="24"/>
        </w:rPr>
      </w:pPr>
    </w:p>
    <w:p w14:paraId="571FF87B" w14:textId="77777777" w:rsidR="007F4BE4" w:rsidRPr="00B079F1" w:rsidRDefault="007F4BE4" w:rsidP="00CA4A96">
      <w:pPr>
        <w:shd w:val="clear" w:color="auto" w:fill="FFFFFF"/>
        <w:spacing w:line="270" w:lineRule="atLeast"/>
        <w:ind w:left="540"/>
        <w:rPr>
          <w:sz w:val="24"/>
          <w:szCs w:val="24"/>
        </w:rPr>
      </w:pPr>
      <w:r w:rsidRPr="00B079F1">
        <w:rPr>
          <w:sz w:val="24"/>
          <w:szCs w:val="24"/>
        </w:rPr>
        <w:t xml:space="preserve">All of the information required </w:t>
      </w:r>
      <w:r w:rsidR="00CA4A96" w:rsidRPr="00B079F1">
        <w:rPr>
          <w:sz w:val="24"/>
          <w:szCs w:val="24"/>
        </w:rPr>
        <w:t>above</w:t>
      </w:r>
      <w:r w:rsidRPr="00B079F1">
        <w:rPr>
          <w:sz w:val="24"/>
          <w:szCs w:val="24"/>
        </w:rPr>
        <w:t xml:space="preserve"> must be set forth prominently, and in any print advertisement, in a prominent text box that contains only the required information and, at the </w:t>
      </w:r>
      <w:r w:rsidR="00CA4A96" w:rsidRPr="00B079F1">
        <w:rPr>
          <w:sz w:val="24"/>
          <w:szCs w:val="24"/>
        </w:rPr>
        <w:t>Company</w:t>
      </w:r>
      <w:r w:rsidRPr="00B079F1">
        <w:rPr>
          <w:sz w:val="24"/>
          <w:szCs w:val="24"/>
        </w:rPr>
        <w:t xml:space="preserve">'s option, comparative performance and fee data and disclosures required by Securities Act Rule 482 and Rule 34b-1 under the Investment Company Act. </w:t>
      </w:r>
    </w:p>
    <w:p w14:paraId="008C6386" w14:textId="77777777" w:rsidR="007F4BE4" w:rsidRPr="00B079F1" w:rsidRDefault="007F4BE4" w:rsidP="004F40EF"/>
    <w:p w14:paraId="24D2C12E" w14:textId="77777777" w:rsidR="004F40EF" w:rsidRPr="00A23F78" w:rsidRDefault="004F40EF" w:rsidP="001A587F">
      <w:pPr>
        <w:pStyle w:val="Heading4"/>
      </w:pPr>
      <w:r w:rsidRPr="00A23F78">
        <w:t xml:space="preserve">SIPC Coverage  </w:t>
      </w:r>
    </w:p>
    <w:p w14:paraId="4449CFB6" w14:textId="77777777" w:rsidR="004F40EF" w:rsidRPr="00A37776" w:rsidRDefault="004F40EF" w:rsidP="004B5BF1">
      <w:pPr>
        <w:ind w:left="540"/>
        <w:jc w:val="both"/>
        <w:rPr>
          <w:sz w:val="24"/>
          <w:szCs w:val="24"/>
        </w:rPr>
      </w:pPr>
      <w:r>
        <w:rPr>
          <w:sz w:val="24"/>
          <w:szCs w:val="24"/>
        </w:rPr>
        <w:t>Company shall ensure that a</w:t>
      </w:r>
      <w:r w:rsidRPr="00A23F78">
        <w:rPr>
          <w:sz w:val="24"/>
          <w:szCs w:val="24"/>
        </w:rPr>
        <w:t xml:space="preserve">ll </w:t>
      </w:r>
      <w:r>
        <w:rPr>
          <w:sz w:val="24"/>
          <w:szCs w:val="24"/>
        </w:rPr>
        <w:t>communications</w:t>
      </w:r>
      <w:r w:rsidRPr="00A23F78">
        <w:rPr>
          <w:sz w:val="24"/>
          <w:szCs w:val="24"/>
        </w:rPr>
        <w:t xml:space="preserve"> which contain references to SIPC coverage is not improperly referred to as “insurance coverage” and that all limitations to such coverage are expressly detailed to the customer.  New Account form standard disclosures and annual disclosures to customers are exempt from this provision. </w:t>
      </w:r>
      <w:r w:rsidRPr="00A37776">
        <w:rPr>
          <w:sz w:val="24"/>
          <w:szCs w:val="24"/>
        </w:rPr>
        <w:t xml:space="preserve">SIPC information with applicable link to their website is maintained on Company website, is listed on Company letterhead and business cards, </w:t>
      </w:r>
      <w:r w:rsidR="00E40B62">
        <w:rPr>
          <w:sz w:val="24"/>
          <w:szCs w:val="24"/>
        </w:rPr>
        <w:t xml:space="preserve">and </w:t>
      </w:r>
      <w:r w:rsidRPr="00A37776">
        <w:rPr>
          <w:sz w:val="24"/>
          <w:szCs w:val="24"/>
        </w:rPr>
        <w:t>is included on Company’s N</w:t>
      </w:r>
      <w:r w:rsidR="00E40B62">
        <w:rPr>
          <w:sz w:val="24"/>
          <w:szCs w:val="24"/>
        </w:rPr>
        <w:t>ew Account Form Agreement</w:t>
      </w:r>
      <w:r w:rsidRPr="00A37776">
        <w:rPr>
          <w:sz w:val="24"/>
          <w:szCs w:val="24"/>
        </w:rPr>
        <w:t xml:space="preserve">. </w:t>
      </w:r>
    </w:p>
    <w:p w14:paraId="5EB261D4" w14:textId="77777777" w:rsidR="004F40EF" w:rsidRPr="00A23F78" w:rsidRDefault="004F40EF" w:rsidP="004F40EF">
      <w:pPr>
        <w:ind w:left="540"/>
        <w:jc w:val="both"/>
        <w:rPr>
          <w:sz w:val="24"/>
          <w:szCs w:val="24"/>
        </w:rPr>
      </w:pPr>
    </w:p>
    <w:p w14:paraId="7C5FE8F7" w14:textId="77777777" w:rsidR="004F40EF" w:rsidRPr="00A23F78" w:rsidRDefault="004F40EF" w:rsidP="001A587F">
      <w:pPr>
        <w:pStyle w:val="Heading4"/>
      </w:pPr>
      <w:r w:rsidRPr="00A23F78">
        <w:t xml:space="preserve">Use of FINRA </w:t>
      </w:r>
      <w:r w:rsidR="008E50A3">
        <w:t xml:space="preserve">Name or </w:t>
      </w:r>
      <w:r w:rsidRPr="00A23F78">
        <w:t xml:space="preserve">Logo   </w:t>
      </w:r>
    </w:p>
    <w:p w14:paraId="06793B9A" w14:textId="77777777" w:rsidR="003D4CC0" w:rsidRPr="00B079F1" w:rsidRDefault="003D4CC0" w:rsidP="004B5BF1">
      <w:pPr>
        <w:shd w:val="clear" w:color="auto" w:fill="FFFFFF"/>
        <w:ind w:left="547"/>
        <w:rPr>
          <w:sz w:val="24"/>
          <w:szCs w:val="24"/>
        </w:rPr>
      </w:pPr>
      <w:r w:rsidRPr="00B079F1">
        <w:rPr>
          <w:sz w:val="24"/>
          <w:szCs w:val="24"/>
        </w:rPr>
        <w:t xml:space="preserve">Company may indicate FINRA membership but neither states nor implies that FINRA, or any other corporate name or facility owned by FINRA, or any other regulatory </w:t>
      </w:r>
      <w:r w:rsidRPr="00B079F1">
        <w:rPr>
          <w:sz w:val="24"/>
          <w:szCs w:val="24"/>
        </w:rPr>
        <w:lastRenderedPageBreak/>
        <w:t xml:space="preserve">organization endorses, indemnifies, or guarantees the member's business practices, selling methods, the class or type of securities offered, or any specific security, and provided further that any reference to the Department's review of a communication is limited to either “Reviewed by FINRA” or “FINRA Reviewed”; </w:t>
      </w:r>
    </w:p>
    <w:p w14:paraId="73F03DC3" w14:textId="77777777" w:rsidR="003D4CC0" w:rsidRPr="00B079F1" w:rsidRDefault="003D4CC0" w:rsidP="000E64EF">
      <w:pPr>
        <w:ind w:left="547"/>
        <w:jc w:val="both"/>
        <w:rPr>
          <w:sz w:val="24"/>
          <w:szCs w:val="24"/>
        </w:rPr>
      </w:pPr>
    </w:p>
    <w:p w14:paraId="627E523B" w14:textId="77777777" w:rsidR="004F40EF" w:rsidRDefault="004F40EF" w:rsidP="000E64EF">
      <w:pPr>
        <w:ind w:left="547"/>
        <w:jc w:val="both"/>
        <w:rPr>
          <w:sz w:val="24"/>
          <w:szCs w:val="24"/>
        </w:rPr>
      </w:pPr>
      <w:r w:rsidRPr="00B079F1">
        <w:rPr>
          <w:sz w:val="24"/>
          <w:szCs w:val="24"/>
        </w:rPr>
        <w:t>Company and Associated Persons are prohibited from using the FINRA logo in any communication materials or any manner.  However, the use “Member FINRA” or “FINRA Member Firm” or similar statements are permitted in such materials.  A link to FINRA’s website is maintained on Company website.</w:t>
      </w:r>
    </w:p>
    <w:p w14:paraId="23258CF5" w14:textId="77777777" w:rsidR="00C9775E" w:rsidRDefault="00C9775E" w:rsidP="000E64EF">
      <w:pPr>
        <w:ind w:left="547"/>
        <w:jc w:val="both"/>
        <w:rPr>
          <w:sz w:val="24"/>
          <w:szCs w:val="24"/>
        </w:rPr>
      </w:pPr>
    </w:p>
    <w:p w14:paraId="729D5F94" w14:textId="77777777" w:rsidR="00EC341E" w:rsidRPr="00B079F1" w:rsidRDefault="00EC341E" w:rsidP="00C9775E">
      <w:pPr>
        <w:ind w:left="547"/>
      </w:pPr>
    </w:p>
    <w:p w14:paraId="1A68A309" w14:textId="77777777" w:rsidR="007172C4" w:rsidRPr="00B079F1" w:rsidRDefault="006145D2" w:rsidP="006145D2">
      <w:pPr>
        <w:pStyle w:val="Heading3"/>
      </w:pPr>
      <w:r w:rsidRPr="00B079F1">
        <w:t>9.10.4 Tax Considerations</w:t>
      </w:r>
    </w:p>
    <w:p w14:paraId="3B4343E5" w14:textId="77777777" w:rsidR="006145D2" w:rsidRPr="00B079F1" w:rsidRDefault="006145D2" w:rsidP="006145D2">
      <w:pPr>
        <w:shd w:val="clear" w:color="auto" w:fill="FFFFFF"/>
        <w:spacing w:line="270" w:lineRule="atLeast"/>
        <w:ind w:left="270"/>
        <w:rPr>
          <w:sz w:val="24"/>
          <w:szCs w:val="24"/>
        </w:rPr>
      </w:pPr>
      <w:r w:rsidRPr="00B079F1">
        <w:rPr>
          <w:sz w:val="24"/>
          <w:szCs w:val="24"/>
        </w:rPr>
        <w:t xml:space="preserve">In retail communications and correspondence, references to tax-free or tax-exempt income must indicate which income taxes apply, or which do not, unless income is free from all applicable taxes. If income from an investment company investing in municipal bonds is subject to state or local income taxes, this fact must be stated, or the illustration must otherwise make it clear that income is free only from federal income tax.  </w:t>
      </w:r>
    </w:p>
    <w:p w14:paraId="1E9087CD" w14:textId="77777777" w:rsidR="006145D2" w:rsidRPr="00B079F1" w:rsidRDefault="006145D2" w:rsidP="006145D2">
      <w:pPr>
        <w:shd w:val="clear" w:color="auto" w:fill="FFFFFF"/>
        <w:spacing w:line="270" w:lineRule="atLeast"/>
        <w:ind w:left="270"/>
        <w:rPr>
          <w:sz w:val="24"/>
          <w:szCs w:val="24"/>
        </w:rPr>
      </w:pPr>
    </w:p>
    <w:p w14:paraId="29B6949F" w14:textId="77777777" w:rsidR="006145D2" w:rsidRDefault="006145D2" w:rsidP="006145D2">
      <w:pPr>
        <w:shd w:val="clear" w:color="auto" w:fill="FFFFFF"/>
        <w:spacing w:line="270" w:lineRule="atLeast"/>
        <w:ind w:left="270"/>
        <w:rPr>
          <w:sz w:val="24"/>
          <w:szCs w:val="24"/>
        </w:rPr>
      </w:pPr>
      <w:r w:rsidRPr="00B079F1">
        <w:rPr>
          <w:sz w:val="24"/>
          <w:szCs w:val="24"/>
        </w:rPr>
        <w:t xml:space="preserve">Communications may not characterize income or investment returns as tax-free or exempt from income tax when tax liability is merely postponed or deferred, such as when taxes are payable upon redemption. </w:t>
      </w:r>
    </w:p>
    <w:p w14:paraId="5C7066BC" w14:textId="77777777" w:rsidR="001704A1" w:rsidRPr="00B079F1" w:rsidRDefault="001704A1" w:rsidP="006145D2">
      <w:pPr>
        <w:shd w:val="clear" w:color="auto" w:fill="FFFFFF"/>
        <w:spacing w:line="270" w:lineRule="atLeast"/>
        <w:ind w:left="270"/>
        <w:rPr>
          <w:sz w:val="24"/>
          <w:szCs w:val="24"/>
        </w:rPr>
      </w:pPr>
    </w:p>
    <w:p w14:paraId="5F22255E" w14:textId="77777777" w:rsidR="006145D2" w:rsidRPr="00B079F1" w:rsidRDefault="006145D2" w:rsidP="006145D2">
      <w:pPr>
        <w:shd w:val="clear" w:color="auto" w:fill="FFFFFF"/>
        <w:spacing w:line="270" w:lineRule="atLeast"/>
        <w:ind w:left="270"/>
        <w:rPr>
          <w:sz w:val="24"/>
          <w:szCs w:val="24"/>
        </w:rPr>
      </w:pPr>
      <w:r w:rsidRPr="00B079F1">
        <w:rPr>
          <w:sz w:val="24"/>
          <w:szCs w:val="24"/>
        </w:rPr>
        <w:t xml:space="preserve">A comparative illustration of the mathematical principles of tax-deferred versus taxable compounding must meet the following requirements: </w:t>
      </w:r>
    </w:p>
    <w:p w14:paraId="3C0076A4" w14:textId="77777777" w:rsidR="006145D2" w:rsidRPr="00B079F1" w:rsidRDefault="006145D2" w:rsidP="003E7B18">
      <w:pPr>
        <w:numPr>
          <w:ilvl w:val="0"/>
          <w:numId w:val="196"/>
        </w:numPr>
        <w:shd w:val="clear" w:color="auto" w:fill="FFFFFF"/>
        <w:spacing w:line="270" w:lineRule="atLeast"/>
        <w:ind w:left="810" w:hanging="270"/>
        <w:rPr>
          <w:sz w:val="24"/>
          <w:szCs w:val="24"/>
        </w:rPr>
      </w:pPr>
      <w:r w:rsidRPr="00B079F1">
        <w:rPr>
          <w:sz w:val="24"/>
          <w:szCs w:val="24"/>
        </w:rPr>
        <w:t xml:space="preserve">The illustration must depict both the taxable investment and the tax-deferred investment using identical investment amounts and identical assumed gross investment rates of return, which may not exceed 10 percent per annum.  </w:t>
      </w:r>
    </w:p>
    <w:p w14:paraId="78D45634" w14:textId="77777777" w:rsidR="006145D2" w:rsidRPr="00B079F1" w:rsidRDefault="006145D2" w:rsidP="003E7B18">
      <w:pPr>
        <w:numPr>
          <w:ilvl w:val="0"/>
          <w:numId w:val="196"/>
        </w:numPr>
        <w:shd w:val="clear" w:color="auto" w:fill="FFFFFF"/>
        <w:spacing w:line="270" w:lineRule="atLeast"/>
        <w:ind w:left="810" w:hanging="270"/>
        <w:rPr>
          <w:sz w:val="24"/>
          <w:szCs w:val="24"/>
        </w:rPr>
      </w:pPr>
      <w:r w:rsidRPr="00B079F1">
        <w:rPr>
          <w:sz w:val="24"/>
          <w:szCs w:val="24"/>
        </w:rPr>
        <w:t xml:space="preserve">The illustration must use and identify actual federal income tax rates.  </w:t>
      </w:r>
    </w:p>
    <w:p w14:paraId="04FC06ED" w14:textId="77777777" w:rsidR="006145D2" w:rsidRPr="00B079F1" w:rsidRDefault="006145D2" w:rsidP="003E7B18">
      <w:pPr>
        <w:numPr>
          <w:ilvl w:val="0"/>
          <w:numId w:val="196"/>
        </w:numPr>
        <w:shd w:val="clear" w:color="auto" w:fill="FFFFFF"/>
        <w:spacing w:line="270" w:lineRule="atLeast"/>
        <w:ind w:left="810" w:hanging="270"/>
        <w:rPr>
          <w:sz w:val="24"/>
          <w:szCs w:val="24"/>
        </w:rPr>
      </w:pPr>
      <w:r w:rsidRPr="00B079F1">
        <w:rPr>
          <w:sz w:val="24"/>
          <w:szCs w:val="24"/>
        </w:rPr>
        <w:t xml:space="preserve">The illustration may reflect an actual state income tax rate, provided that the communication prominently discloses that the illustration is applicable only to investors that reside in the identified state.  </w:t>
      </w:r>
    </w:p>
    <w:p w14:paraId="53A2534A" w14:textId="77777777" w:rsidR="006145D2" w:rsidRPr="00B079F1" w:rsidRDefault="006145D2" w:rsidP="003E7B18">
      <w:pPr>
        <w:numPr>
          <w:ilvl w:val="0"/>
          <w:numId w:val="196"/>
        </w:numPr>
        <w:shd w:val="clear" w:color="auto" w:fill="FFFFFF"/>
        <w:spacing w:line="270" w:lineRule="atLeast"/>
        <w:ind w:left="810" w:hanging="270"/>
        <w:rPr>
          <w:sz w:val="24"/>
          <w:szCs w:val="24"/>
        </w:rPr>
      </w:pPr>
      <w:r w:rsidRPr="00B079F1">
        <w:rPr>
          <w:sz w:val="24"/>
          <w:szCs w:val="24"/>
        </w:rPr>
        <w:t xml:space="preserve">Tax rates used in an illustration that is intended for a target audience must reasonably reflect its tax bracket or brackets as well as the tax character of capital gains and ordinary income. </w:t>
      </w:r>
    </w:p>
    <w:p w14:paraId="156229A2" w14:textId="77777777" w:rsidR="006145D2" w:rsidRPr="00B079F1" w:rsidRDefault="006145D2" w:rsidP="003E7B18">
      <w:pPr>
        <w:numPr>
          <w:ilvl w:val="0"/>
          <w:numId w:val="196"/>
        </w:numPr>
        <w:shd w:val="clear" w:color="auto" w:fill="FFFFFF"/>
        <w:spacing w:line="270" w:lineRule="atLeast"/>
        <w:ind w:left="810" w:hanging="270"/>
        <w:rPr>
          <w:sz w:val="24"/>
          <w:szCs w:val="24"/>
        </w:rPr>
      </w:pPr>
      <w:r w:rsidRPr="00B079F1">
        <w:rPr>
          <w:sz w:val="24"/>
          <w:szCs w:val="24"/>
        </w:rPr>
        <w:t xml:space="preserve">If the illustration covers the payout period for an investment, the illustration must reflect the impact of taxes during this period.  </w:t>
      </w:r>
    </w:p>
    <w:p w14:paraId="71E3E6F8" w14:textId="77777777" w:rsidR="006145D2" w:rsidRPr="00B079F1" w:rsidRDefault="006145D2" w:rsidP="003E7B18">
      <w:pPr>
        <w:numPr>
          <w:ilvl w:val="0"/>
          <w:numId w:val="196"/>
        </w:numPr>
        <w:shd w:val="clear" w:color="auto" w:fill="FFFFFF"/>
        <w:spacing w:line="270" w:lineRule="atLeast"/>
        <w:ind w:left="810" w:hanging="270"/>
        <w:rPr>
          <w:sz w:val="24"/>
          <w:szCs w:val="24"/>
        </w:rPr>
      </w:pPr>
      <w:r w:rsidRPr="00B079F1">
        <w:rPr>
          <w:sz w:val="24"/>
          <w:szCs w:val="24"/>
        </w:rPr>
        <w:t xml:space="preserve">The illustration may not assume an unreasonable period of tax deferral. </w:t>
      </w:r>
    </w:p>
    <w:p w14:paraId="4F209DFF" w14:textId="77777777" w:rsidR="006145D2" w:rsidRPr="00B079F1" w:rsidRDefault="006145D2" w:rsidP="003E7B18">
      <w:pPr>
        <w:numPr>
          <w:ilvl w:val="0"/>
          <w:numId w:val="196"/>
        </w:numPr>
        <w:shd w:val="clear" w:color="auto" w:fill="FFFFFF"/>
        <w:spacing w:line="270" w:lineRule="atLeast"/>
        <w:ind w:left="810" w:hanging="270"/>
        <w:rPr>
          <w:sz w:val="24"/>
          <w:szCs w:val="24"/>
        </w:rPr>
      </w:pPr>
      <w:r w:rsidRPr="00B079F1">
        <w:rPr>
          <w:sz w:val="24"/>
          <w:szCs w:val="24"/>
        </w:rPr>
        <w:t xml:space="preserve">The illustration must disclose, as applicable: </w:t>
      </w:r>
    </w:p>
    <w:p w14:paraId="315A1AAD" w14:textId="77777777" w:rsidR="006145D2" w:rsidRPr="00B079F1" w:rsidRDefault="006145D2" w:rsidP="006145D2">
      <w:pPr>
        <w:shd w:val="clear" w:color="auto" w:fill="FFFFFF"/>
        <w:tabs>
          <w:tab w:val="left" w:pos="1260"/>
        </w:tabs>
        <w:spacing w:line="270" w:lineRule="atLeast"/>
        <w:ind w:left="1260" w:hanging="180"/>
        <w:rPr>
          <w:sz w:val="24"/>
          <w:szCs w:val="24"/>
        </w:rPr>
      </w:pPr>
      <w:r w:rsidRPr="00B079F1">
        <w:rPr>
          <w:sz w:val="24"/>
          <w:szCs w:val="24"/>
        </w:rPr>
        <w:t xml:space="preserve">a. the degree of risk in the investment's assumed rate of return, including a statement that the assumed rate of return is not guaranteed; </w:t>
      </w:r>
    </w:p>
    <w:p w14:paraId="68BE2CEC" w14:textId="77777777" w:rsidR="006145D2" w:rsidRPr="00B079F1" w:rsidRDefault="006145D2" w:rsidP="006145D2">
      <w:pPr>
        <w:shd w:val="clear" w:color="auto" w:fill="FFFFFF"/>
        <w:tabs>
          <w:tab w:val="left" w:pos="1260"/>
        </w:tabs>
        <w:spacing w:line="270" w:lineRule="atLeast"/>
        <w:ind w:left="1260" w:hanging="180"/>
        <w:rPr>
          <w:sz w:val="24"/>
          <w:szCs w:val="24"/>
        </w:rPr>
      </w:pPr>
      <w:r w:rsidRPr="00B079F1">
        <w:rPr>
          <w:sz w:val="24"/>
          <w:szCs w:val="24"/>
        </w:rPr>
        <w:t xml:space="preserve">b. the possible effects of investment losses on the relative advantage of the taxable versus the tax-deferred investments; </w:t>
      </w:r>
    </w:p>
    <w:p w14:paraId="62CE3DE9" w14:textId="77777777" w:rsidR="006145D2" w:rsidRPr="00B079F1" w:rsidRDefault="006145D2" w:rsidP="006145D2">
      <w:pPr>
        <w:shd w:val="clear" w:color="auto" w:fill="FFFFFF"/>
        <w:tabs>
          <w:tab w:val="left" w:pos="1260"/>
        </w:tabs>
        <w:spacing w:line="270" w:lineRule="atLeast"/>
        <w:ind w:left="1260" w:hanging="180"/>
        <w:rPr>
          <w:sz w:val="24"/>
          <w:szCs w:val="24"/>
        </w:rPr>
      </w:pPr>
      <w:r w:rsidRPr="00B079F1">
        <w:rPr>
          <w:sz w:val="24"/>
          <w:szCs w:val="24"/>
        </w:rPr>
        <w:t xml:space="preserve">c. the extent to which tax rates on capital gains and dividends would affect the taxable investment's return; </w:t>
      </w:r>
    </w:p>
    <w:p w14:paraId="1D2A0E3B" w14:textId="77777777" w:rsidR="006145D2" w:rsidRPr="00B079F1" w:rsidRDefault="006145D2" w:rsidP="006145D2">
      <w:pPr>
        <w:shd w:val="clear" w:color="auto" w:fill="FFFFFF"/>
        <w:tabs>
          <w:tab w:val="left" w:pos="1260"/>
        </w:tabs>
        <w:spacing w:line="270" w:lineRule="atLeast"/>
        <w:ind w:left="1260" w:hanging="180"/>
        <w:rPr>
          <w:sz w:val="24"/>
          <w:szCs w:val="24"/>
        </w:rPr>
      </w:pPr>
      <w:r w:rsidRPr="00B079F1">
        <w:rPr>
          <w:sz w:val="24"/>
          <w:szCs w:val="24"/>
        </w:rPr>
        <w:t xml:space="preserve">d. the fact that ordinary income tax rates will apply to withdrawals from a tax-deferred investment; </w:t>
      </w:r>
    </w:p>
    <w:p w14:paraId="7170A733" w14:textId="77777777" w:rsidR="006145D2" w:rsidRPr="00B079F1" w:rsidRDefault="006145D2" w:rsidP="006145D2">
      <w:pPr>
        <w:shd w:val="clear" w:color="auto" w:fill="FFFFFF"/>
        <w:tabs>
          <w:tab w:val="left" w:pos="1260"/>
        </w:tabs>
        <w:spacing w:line="270" w:lineRule="atLeast"/>
        <w:ind w:left="1260" w:hanging="180"/>
        <w:rPr>
          <w:sz w:val="24"/>
          <w:szCs w:val="24"/>
        </w:rPr>
      </w:pPr>
      <w:r w:rsidRPr="00B079F1">
        <w:rPr>
          <w:sz w:val="24"/>
          <w:szCs w:val="24"/>
        </w:rPr>
        <w:t xml:space="preserve">e. its underlying assumptions; </w:t>
      </w:r>
    </w:p>
    <w:p w14:paraId="09CB5175" w14:textId="77777777" w:rsidR="006145D2" w:rsidRPr="00B079F1" w:rsidRDefault="006145D2" w:rsidP="006145D2">
      <w:pPr>
        <w:shd w:val="clear" w:color="auto" w:fill="FFFFFF"/>
        <w:tabs>
          <w:tab w:val="left" w:pos="1260"/>
        </w:tabs>
        <w:spacing w:line="270" w:lineRule="atLeast"/>
        <w:ind w:left="1260" w:hanging="180"/>
        <w:rPr>
          <w:sz w:val="24"/>
          <w:szCs w:val="24"/>
        </w:rPr>
      </w:pPr>
      <w:r w:rsidRPr="00B079F1">
        <w:rPr>
          <w:sz w:val="24"/>
          <w:szCs w:val="24"/>
        </w:rPr>
        <w:t xml:space="preserve">f. the potential impact resulting from federal or state tax penalties (e.g., for early withdrawals or use on non-qualified expenses); and </w:t>
      </w:r>
    </w:p>
    <w:p w14:paraId="5800A7C8" w14:textId="77777777" w:rsidR="006145D2" w:rsidRPr="00B079F1" w:rsidRDefault="006145D2" w:rsidP="006145D2">
      <w:pPr>
        <w:shd w:val="clear" w:color="auto" w:fill="FFFFFF"/>
        <w:tabs>
          <w:tab w:val="left" w:pos="1260"/>
        </w:tabs>
        <w:spacing w:line="270" w:lineRule="atLeast"/>
        <w:ind w:left="1260" w:hanging="180"/>
        <w:rPr>
          <w:sz w:val="24"/>
          <w:szCs w:val="24"/>
        </w:rPr>
      </w:pPr>
      <w:r w:rsidRPr="00B079F1">
        <w:rPr>
          <w:sz w:val="24"/>
          <w:szCs w:val="24"/>
        </w:rPr>
        <w:lastRenderedPageBreak/>
        <w:t>g. that an investor should consider his or her current and anticipated investment horizon and income tax bracket when making an investment decision, as the illustration may not reflect these factors.</w:t>
      </w:r>
    </w:p>
    <w:p w14:paraId="2C3178ED" w14:textId="77777777" w:rsidR="006145D2" w:rsidRPr="00B079F1" w:rsidRDefault="006145D2" w:rsidP="006145D2">
      <w:pPr>
        <w:shd w:val="clear" w:color="auto" w:fill="FFFFFF"/>
        <w:tabs>
          <w:tab w:val="left" w:pos="1260"/>
        </w:tabs>
        <w:spacing w:line="270" w:lineRule="atLeast"/>
        <w:ind w:left="1260" w:hanging="180"/>
        <w:rPr>
          <w:sz w:val="24"/>
          <w:szCs w:val="24"/>
        </w:rPr>
      </w:pPr>
    </w:p>
    <w:p w14:paraId="00F8EAB4" w14:textId="77777777" w:rsidR="00CA7BC8" w:rsidRPr="00B079F1" w:rsidRDefault="00CA7BC8" w:rsidP="00CA7BC8">
      <w:pPr>
        <w:pStyle w:val="Heading3"/>
      </w:pPr>
      <w:r w:rsidRPr="00B079F1">
        <w:t>9.10.5 Testimonials</w:t>
      </w:r>
    </w:p>
    <w:p w14:paraId="68509D42" w14:textId="77777777" w:rsidR="00CA7BC8" w:rsidRPr="00B079F1" w:rsidRDefault="00CA7BC8" w:rsidP="00CA7BC8">
      <w:pPr>
        <w:shd w:val="clear" w:color="auto" w:fill="FFFFFF"/>
        <w:spacing w:line="270" w:lineRule="atLeast"/>
        <w:ind w:left="270"/>
        <w:rPr>
          <w:sz w:val="24"/>
          <w:szCs w:val="24"/>
        </w:rPr>
      </w:pPr>
      <w:r w:rsidRPr="00B079F1">
        <w:rPr>
          <w:sz w:val="24"/>
          <w:szCs w:val="24"/>
        </w:rPr>
        <w:t xml:space="preserve">If any testimonial in a communication concerns a technical aspect of investing, the person making the testimonial must have the knowledge and experience to form a valid opinion.  Retail communications or correspondence providing any testimonial concerning the investment advice or investment performance of Company or its products must prominently disclose the following: </w:t>
      </w:r>
    </w:p>
    <w:p w14:paraId="77ADCAB6" w14:textId="77777777" w:rsidR="00CA7BC8" w:rsidRPr="00B079F1" w:rsidRDefault="00CA7BC8" w:rsidP="00CA7BC8">
      <w:pPr>
        <w:shd w:val="clear" w:color="auto" w:fill="FFFFFF"/>
        <w:spacing w:line="270" w:lineRule="atLeast"/>
        <w:ind w:left="270"/>
        <w:rPr>
          <w:sz w:val="24"/>
          <w:szCs w:val="24"/>
        </w:rPr>
      </w:pPr>
    </w:p>
    <w:p w14:paraId="61469656" w14:textId="77777777" w:rsidR="00CA7BC8" w:rsidRPr="00B079F1" w:rsidRDefault="00CA7BC8" w:rsidP="003E7B18">
      <w:pPr>
        <w:numPr>
          <w:ilvl w:val="0"/>
          <w:numId w:val="198"/>
        </w:numPr>
        <w:shd w:val="clear" w:color="auto" w:fill="FFFFFF"/>
        <w:spacing w:line="270" w:lineRule="atLeast"/>
        <w:ind w:left="900" w:hanging="270"/>
        <w:rPr>
          <w:sz w:val="24"/>
          <w:szCs w:val="24"/>
        </w:rPr>
      </w:pPr>
      <w:r w:rsidRPr="00B079F1">
        <w:rPr>
          <w:sz w:val="24"/>
          <w:szCs w:val="24"/>
        </w:rPr>
        <w:t xml:space="preserve">The fact that the testimonial may not be representative of the experience of </w:t>
      </w:r>
      <w:r w:rsidR="00AD230F" w:rsidRPr="00B079F1">
        <w:rPr>
          <w:sz w:val="24"/>
          <w:szCs w:val="24"/>
        </w:rPr>
        <w:t>other customers</w:t>
      </w:r>
      <w:r w:rsidRPr="00B079F1">
        <w:rPr>
          <w:sz w:val="24"/>
          <w:szCs w:val="24"/>
        </w:rPr>
        <w:t xml:space="preserve">. </w:t>
      </w:r>
    </w:p>
    <w:p w14:paraId="6C024292" w14:textId="77777777" w:rsidR="00CA7BC8" w:rsidRPr="00B079F1" w:rsidRDefault="00CA7BC8" w:rsidP="003E7B18">
      <w:pPr>
        <w:numPr>
          <w:ilvl w:val="0"/>
          <w:numId w:val="198"/>
        </w:numPr>
        <w:shd w:val="clear" w:color="auto" w:fill="FFFFFF"/>
        <w:spacing w:line="270" w:lineRule="atLeast"/>
        <w:ind w:left="900" w:hanging="270"/>
        <w:rPr>
          <w:sz w:val="24"/>
          <w:szCs w:val="24"/>
        </w:rPr>
      </w:pPr>
      <w:r w:rsidRPr="00B079F1">
        <w:rPr>
          <w:sz w:val="24"/>
          <w:szCs w:val="24"/>
        </w:rPr>
        <w:t xml:space="preserve">The fact that the testimonial is no guarantee of future performance or success.   </w:t>
      </w:r>
    </w:p>
    <w:p w14:paraId="2DC0D95F" w14:textId="77777777" w:rsidR="00CA7BC8" w:rsidRPr="00B079F1" w:rsidRDefault="00CA7BC8" w:rsidP="003E7B18">
      <w:pPr>
        <w:numPr>
          <w:ilvl w:val="0"/>
          <w:numId w:val="198"/>
        </w:numPr>
        <w:shd w:val="clear" w:color="auto" w:fill="FFFFFF"/>
        <w:spacing w:line="270" w:lineRule="atLeast"/>
        <w:ind w:left="900" w:hanging="270"/>
        <w:rPr>
          <w:sz w:val="24"/>
          <w:szCs w:val="24"/>
        </w:rPr>
      </w:pPr>
      <w:r w:rsidRPr="00B079F1">
        <w:rPr>
          <w:sz w:val="24"/>
          <w:szCs w:val="24"/>
        </w:rPr>
        <w:t xml:space="preserve">If more than $100 in value is paid for the testimonial, the fact that it is a paid testimonial. </w:t>
      </w:r>
    </w:p>
    <w:p w14:paraId="5A5FCE94" w14:textId="77777777" w:rsidR="00CA7BC8" w:rsidRPr="00B079F1" w:rsidRDefault="00CA7BC8" w:rsidP="00CA7BC8"/>
    <w:p w14:paraId="2884DF08" w14:textId="77777777" w:rsidR="00ED2771" w:rsidRPr="00B079F1" w:rsidRDefault="00ED2771" w:rsidP="00ED2771">
      <w:pPr>
        <w:pStyle w:val="Heading3"/>
      </w:pPr>
      <w:r w:rsidRPr="00B079F1">
        <w:t>9.10.6 Recommendations</w:t>
      </w:r>
    </w:p>
    <w:p w14:paraId="0C6CF287" w14:textId="0E0C2CED" w:rsidR="00CF39E9" w:rsidRPr="00B079F1" w:rsidRDefault="00CF39E9" w:rsidP="00CF39E9">
      <w:pPr>
        <w:shd w:val="clear" w:color="auto" w:fill="FFFFFF"/>
        <w:spacing w:line="270" w:lineRule="atLeast"/>
        <w:ind w:left="270"/>
        <w:rPr>
          <w:sz w:val="24"/>
          <w:szCs w:val="24"/>
        </w:rPr>
      </w:pPr>
      <w:r w:rsidRPr="00B079F1">
        <w:rPr>
          <w:rStyle w:val="us"/>
          <w:sz w:val="24"/>
          <w:szCs w:val="24"/>
        </w:rPr>
        <w:t xml:space="preserve">Retail communications that include a recommendation of securities must </w:t>
      </w:r>
      <w:r w:rsidR="009E4668" w:rsidRPr="009E4668">
        <w:rPr>
          <w:color w:val="FF0000"/>
          <w:spacing w:val="8"/>
          <w:sz w:val="24"/>
          <w:szCs w:val="24"/>
          <w:shd w:val="clear" w:color="auto" w:fill="FFFFFF"/>
        </w:rPr>
        <w:t>comply with Regulation Best Interest and</w:t>
      </w:r>
      <w:r w:rsidR="009E4668" w:rsidRPr="009E4668">
        <w:rPr>
          <w:rFonts w:ascii="Tahoma" w:hAnsi="Tahoma" w:cs="Tahoma"/>
          <w:color w:val="FF0000"/>
          <w:spacing w:val="8"/>
          <w:sz w:val="18"/>
          <w:szCs w:val="18"/>
          <w:shd w:val="clear" w:color="auto" w:fill="FFFFFF"/>
        </w:rPr>
        <w:t xml:space="preserve"> </w:t>
      </w:r>
      <w:r w:rsidRPr="00B079F1">
        <w:rPr>
          <w:rStyle w:val="us"/>
          <w:sz w:val="24"/>
          <w:szCs w:val="24"/>
        </w:rPr>
        <w:t>have a reasonable basis for the recommendation and must disclose, if applicable, the following:</w:t>
      </w:r>
      <w:r w:rsidRPr="00B079F1">
        <w:rPr>
          <w:sz w:val="24"/>
          <w:szCs w:val="24"/>
        </w:rPr>
        <w:t xml:space="preserve"> </w:t>
      </w:r>
    </w:p>
    <w:p w14:paraId="4AA0D67F" w14:textId="77777777" w:rsidR="00CF39E9" w:rsidRPr="00B079F1" w:rsidRDefault="00CF39E9" w:rsidP="003E7B18">
      <w:pPr>
        <w:numPr>
          <w:ilvl w:val="0"/>
          <w:numId w:val="199"/>
        </w:numPr>
        <w:shd w:val="clear" w:color="auto" w:fill="FFFFFF"/>
        <w:spacing w:line="270" w:lineRule="atLeast"/>
        <w:ind w:left="900" w:hanging="270"/>
        <w:rPr>
          <w:sz w:val="24"/>
          <w:szCs w:val="24"/>
        </w:rPr>
      </w:pPr>
      <w:r w:rsidRPr="00B079F1">
        <w:rPr>
          <w:rStyle w:val="us"/>
          <w:sz w:val="24"/>
          <w:szCs w:val="24"/>
        </w:rPr>
        <w:t>That at the time the communication was published or distributed, the member was making a market in the security being recommended, or in the underlying security if the recommended security is an option or security future, or that the member or associated persons will sell to or buy from customers on a principal basis;</w:t>
      </w:r>
      <w:r w:rsidRPr="00B079F1">
        <w:rPr>
          <w:sz w:val="24"/>
          <w:szCs w:val="24"/>
        </w:rPr>
        <w:t xml:space="preserve">   </w:t>
      </w:r>
    </w:p>
    <w:p w14:paraId="17519B7C" w14:textId="77777777" w:rsidR="00CF39E9" w:rsidRPr="00B079F1" w:rsidRDefault="00CF39E9" w:rsidP="003E7B18">
      <w:pPr>
        <w:numPr>
          <w:ilvl w:val="0"/>
          <w:numId w:val="199"/>
        </w:numPr>
        <w:shd w:val="clear" w:color="auto" w:fill="FFFFFF"/>
        <w:spacing w:line="270" w:lineRule="atLeast"/>
        <w:ind w:left="900" w:hanging="270"/>
        <w:rPr>
          <w:sz w:val="24"/>
          <w:szCs w:val="24"/>
        </w:rPr>
      </w:pPr>
      <w:r w:rsidRPr="00B079F1">
        <w:rPr>
          <w:rStyle w:val="us"/>
          <w:sz w:val="24"/>
          <w:szCs w:val="24"/>
        </w:rPr>
        <w:t xml:space="preserve">That the </w:t>
      </w:r>
      <w:r w:rsidR="00BC0EF5" w:rsidRPr="00B079F1">
        <w:rPr>
          <w:rStyle w:val="us"/>
          <w:sz w:val="24"/>
          <w:szCs w:val="24"/>
        </w:rPr>
        <w:t>Company</w:t>
      </w:r>
      <w:r w:rsidRPr="00B079F1">
        <w:rPr>
          <w:rStyle w:val="us"/>
          <w:sz w:val="24"/>
          <w:szCs w:val="24"/>
        </w:rPr>
        <w:t xml:space="preserve"> or any </w:t>
      </w:r>
      <w:r w:rsidR="00BC0EF5" w:rsidRPr="00B079F1">
        <w:rPr>
          <w:rStyle w:val="us"/>
          <w:sz w:val="24"/>
          <w:szCs w:val="24"/>
        </w:rPr>
        <w:t>Associated P</w:t>
      </w:r>
      <w:r w:rsidRPr="00B079F1">
        <w:rPr>
          <w:rStyle w:val="us"/>
          <w:sz w:val="24"/>
          <w:szCs w:val="24"/>
        </w:rPr>
        <w:t>erson that is directly and materially involved in the preparation of the content of the communication has a financial interest in any of the securities of the issuer whose securities are recommended, and the nature of the financial interest (including, without limitation, whether it consists of any option, right, warrant, future, long or short position), unless the extent of the financial interest is nominal; and</w:t>
      </w:r>
      <w:r w:rsidRPr="00B079F1">
        <w:rPr>
          <w:sz w:val="24"/>
          <w:szCs w:val="24"/>
        </w:rPr>
        <w:t xml:space="preserve"> </w:t>
      </w:r>
    </w:p>
    <w:p w14:paraId="30C69341" w14:textId="77777777" w:rsidR="00CF39E9" w:rsidRPr="00B079F1" w:rsidRDefault="00CF39E9" w:rsidP="003E7B18">
      <w:pPr>
        <w:numPr>
          <w:ilvl w:val="0"/>
          <w:numId w:val="199"/>
        </w:numPr>
        <w:shd w:val="clear" w:color="auto" w:fill="FFFFFF"/>
        <w:spacing w:line="270" w:lineRule="atLeast"/>
        <w:ind w:left="900" w:hanging="270"/>
        <w:rPr>
          <w:sz w:val="24"/>
          <w:szCs w:val="24"/>
        </w:rPr>
      </w:pPr>
      <w:r w:rsidRPr="00B079F1">
        <w:rPr>
          <w:rStyle w:val="us"/>
          <w:sz w:val="24"/>
          <w:szCs w:val="24"/>
        </w:rPr>
        <w:t xml:space="preserve">That the </w:t>
      </w:r>
      <w:r w:rsidR="00BC0EF5" w:rsidRPr="00B079F1">
        <w:rPr>
          <w:rStyle w:val="us"/>
          <w:sz w:val="24"/>
          <w:szCs w:val="24"/>
        </w:rPr>
        <w:t>Company</w:t>
      </w:r>
      <w:r w:rsidRPr="00B079F1">
        <w:rPr>
          <w:rStyle w:val="us"/>
          <w:sz w:val="24"/>
          <w:szCs w:val="24"/>
        </w:rPr>
        <w:t xml:space="preserve"> was manager or co-manager of a public offering of any securities of the issuer whose securities are recommended within the past 12 months.</w:t>
      </w:r>
      <w:r w:rsidRPr="00B079F1">
        <w:rPr>
          <w:sz w:val="24"/>
          <w:szCs w:val="24"/>
        </w:rPr>
        <w:t xml:space="preserve"> </w:t>
      </w:r>
    </w:p>
    <w:p w14:paraId="4D0BE8B9" w14:textId="77777777" w:rsidR="00CF39E9" w:rsidRPr="00B079F1" w:rsidRDefault="00CF39E9" w:rsidP="00CF39E9">
      <w:pPr>
        <w:shd w:val="clear" w:color="auto" w:fill="FFFFFF"/>
        <w:spacing w:line="270" w:lineRule="atLeast"/>
        <w:ind w:left="270"/>
        <w:rPr>
          <w:rStyle w:val="us"/>
          <w:sz w:val="24"/>
          <w:szCs w:val="24"/>
        </w:rPr>
      </w:pPr>
    </w:p>
    <w:p w14:paraId="5CEBDF51" w14:textId="77777777" w:rsidR="00CF39E9" w:rsidRPr="00B079F1" w:rsidRDefault="00BC0EF5" w:rsidP="00CF39E9">
      <w:pPr>
        <w:shd w:val="clear" w:color="auto" w:fill="FFFFFF"/>
        <w:spacing w:line="270" w:lineRule="atLeast"/>
        <w:ind w:left="270"/>
        <w:rPr>
          <w:sz w:val="24"/>
          <w:szCs w:val="24"/>
        </w:rPr>
      </w:pPr>
      <w:r w:rsidRPr="00B079F1">
        <w:rPr>
          <w:rStyle w:val="us"/>
          <w:sz w:val="24"/>
          <w:szCs w:val="24"/>
        </w:rPr>
        <w:t>Company</w:t>
      </w:r>
      <w:r w:rsidR="00CF39E9" w:rsidRPr="00B079F1">
        <w:rPr>
          <w:rStyle w:val="us"/>
          <w:sz w:val="24"/>
          <w:szCs w:val="24"/>
        </w:rPr>
        <w:t xml:space="preserve"> must provide, or offer to furnish upon request, available investment information supporting the recommendation. When a member recommends a corporate equity security, the member must provide the price at the time the recommendation is made.</w:t>
      </w:r>
      <w:r w:rsidR="00CF39E9" w:rsidRPr="00B079F1">
        <w:rPr>
          <w:sz w:val="24"/>
          <w:szCs w:val="24"/>
        </w:rPr>
        <w:t xml:space="preserve"> </w:t>
      </w:r>
    </w:p>
    <w:p w14:paraId="5FE305A8" w14:textId="77777777" w:rsidR="00BC0EF5" w:rsidRPr="00B079F1" w:rsidRDefault="00BC0EF5" w:rsidP="00CF39E9">
      <w:pPr>
        <w:shd w:val="clear" w:color="auto" w:fill="FFFFFF"/>
        <w:spacing w:line="270" w:lineRule="atLeast"/>
        <w:ind w:left="270"/>
        <w:rPr>
          <w:rStyle w:val="us"/>
          <w:sz w:val="24"/>
          <w:szCs w:val="24"/>
        </w:rPr>
      </w:pPr>
    </w:p>
    <w:p w14:paraId="235CF911" w14:textId="180DC1F6" w:rsidR="00CF39E9" w:rsidRPr="00B079F1" w:rsidRDefault="00CF39E9" w:rsidP="00CF39E9">
      <w:pPr>
        <w:shd w:val="clear" w:color="auto" w:fill="FFFFFF"/>
        <w:spacing w:line="270" w:lineRule="atLeast"/>
        <w:ind w:left="270"/>
        <w:rPr>
          <w:sz w:val="24"/>
          <w:szCs w:val="24"/>
        </w:rPr>
      </w:pPr>
      <w:r w:rsidRPr="00B079F1">
        <w:rPr>
          <w:rStyle w:val="us"/>
          <w:sz w:val="24"/>
          <w:szCs w:val="24"/>
        </w:rPr>
        <w:t xml:space="preserve">A retail communication or correspondence may not refer, directly or indirectly, to past specific recommendations of the member that were or would have been profitable to any person; provided, however, that a retail communication or correspondence may set out or offer to furnish a list of all recommendations as to the same type, kind, </w:t>
      </w:r>
      <w:r w:rsidR="006815E3" w:rsidRPr="00B079F1">
        <w:rPr>
          <w:rStyle w:val="us"/>
          <w:sz w:val="24"/>
          <w:szCs w:val="24"/>
        </w:rPr>
        <w:t>grade,</w:t>
      </w:r>
      <w:r w:rsidRPr="00B079F1">
        <w:rPr>
          <w:rStyle w:val="us"/>
          <w:sz w:val="24"/>
          <w:szCs w:val="24"/>
        </w:rPr>
        <w:t xml:space="preserve"> or classification of securities made by the member within the immediately preceding period of not less than one year, if the communication or list:</w:t>
      </w:r>
      <w:r w:rsidRPr="00B079F1">
        <w:rPr>
          <w:sz w:val="24"/>
          <w:szCs w:val="24"/>
        </w:rPr>
        <w:t xml:space="preserve"> </w:t>
      </w:r>
    </w:p>
    <w:p w14:paraId="40CBBE64" w14:textId="77777777" w:rsidR="000B7D46" w:rsidRPr="00B079F1" w:rsidRDefault="000B7D46" w:rsidP="00CF39E9">
      <w:pPr>
        <w:shd w:val="clear" w:color="auto" w:fill="FFFFFF"/>
        <w:spacing w:line="270" w:lineRule="atLeast"/>
        <w:ind w:left="270"/>
        <w:rPr>
          <w:sz w:val="24"/>
          <w:szCs w:val="24"/>
        </w:rPr>
      </w:pPr>
    </w:p>
    <w:p w14:paraId="6353EB87" w14:textId="77777777" w:rsidR="00BC0EF5" w:rsidRPr="00B079F1" w:rsidRDefault="00BC0EF5" w:rsidP="003E7B18">
      <w:pPr>
        <w:numPr>
          <w:ilvl w:val="0"/>
          <w:numId w:val="200"/>
        </w:numPr>
        <w:shd w:val="clear" w:color="auto" w:fill="FFFFFF"/>
        <w:spacing w:line="270" w:lineRule="atLeast"/>
        <w:ind w:left="900" w:hanging="270"/>
        <w:rPr>
          <w:sz w:val="24"/>
          <w:szCs w:val="24"/>
        </w:rPr>
      </w:pPr>
      <w:r w:rsidRPr="00B079F1">
        <w:rPr>
          <w:rStyle w:val="us"/>
          <w:sz w:val="24"/>
          <w:szCs w:val="24"/>
        </w:rPr>
        <w:t>S</w:t>
      </w:r>
      <w:r w:rsidR="00CF39E9" w:rsidRPr="00B079F1">
        <w:rPr>
          <w:rStyle w:val="us"/>
          <w:sz w:val="24"/>
          <w:szCs w:val="24"/>
        </w:rPr>
        <w:t>tates the name of each such security recommended, the date and nature of each such recommendation (e.g., whether to buy, sell or hold), the market price at that time, the price at which the recommendation was to be acted upon, and the market price of each such security as of the most recent practicable date; and</w:t>
      </w:r>
      <w:r w:rsidR="00CF39E9" w:rsidRPr="00B079F1">
        <w:rPr>
          <w:sz w:val="24"/>
          <w:szCs w:val="24"/>
        </w:rPr>
        <w:t xml:space="preserve"> </w:t>
      </w:r>
    </w:p>
    <w:p w14:paraId="257F74C8" w14:textId="77777777" w:rsidR="00CF39E9" w:rsidRPr="00B079F1" w:rsidRDefault="00BC0EF5" w:rsidP="003E7B18">
      <w:pPr>
        <w:numPr>
          <w:ilvl w:val="0"/>
          <w:numId w:val="200"/>
        </w:numPr>
        <w:shd w:val="clear" w:color="auto" w:fill="FFFFFF"/>
        <w:spacing w:line="270" w:lineRule="atLeast"/>
        <w:ind w:left="900" w:hanging="270"/>
        <w:rPr>
          <w:sz w:val="24"/>
          <w:szCs w:val="24"/>
        </w:rPr>
      </w:pPr>
      <w:r w:rsidRPr="00B079F1">
        <w:rPr>
          <w:rStyle w:val="us"/>
          <w:sz w:val="24"/>
          <w:szCs w:val="24"/>
        </w:rPr>
        <w:lastRenderedPageBreak/>
        <w:t>C</w:t>
      </w:r>
      <w:r w:rsidR="00CF39E9" w:rsidRPr="00B079F1">
        <w:rPr>
          <w:rStyle w:val="us"/>
          <w:sz w:val="24"/>
          <w:szCs w:val="24"/>
        </w:rPr>
        <w:t>ontains the following cautionary legend, which must appear prominently within the communication or list: “it should not be assumed that recommendations made in the future will be profitable or will equal the performance of the securities in this list.”</w:t>
      </w:r>
      <w:r w:rsidR="00CF39E9" w:rsidRPr="00B079F1">
        <w:rPr>
          <w:sz w:val="24"/>
          <w:szCs w:val="24"/>
        </w:rPr>
        <w:t xml:space="preserve"> </w:t>
      </w:r>
    </w:p>
    <w:p w14:paraId="25AFF539" w14:textId="77777777" w:rsidR="00BC0EF5" w:rsidRPr="00B079F1" w:rsidRDefault="00BC0EF5" w:rsidP="00CF39E9">
      <w:pPr>
        <w:shd w:val="clear" w:color="auto" w:fill="FFFFFF"/>
        <w:spacing w:line="270" w:lineRule="atLeast"/>
        <w:ind w:left="270"/>
        <w:rPr>
          <w:rStyle w:val="us"/>
          <w:sz w:val="24"/>
          <w:szCs w:val="24"/>
        </w:rPr>
      </w:pPr>
    </w:p>
    <w:p w14:paraId="6A5F5A01" w14:textId="77777777" w:rsidR="00CF39E9" w:rsidRPr="00B079F1" w:rsidRDefault="00DF5ED5" w:rsidP="00DF5ED5">
      <w:pPr>
        <w:shd w:val="clear" w:color="auto" w:fill="FFFFFF"/>
        <w:spacing w:line="270" w:lineRule="atLeast"/>
        <w:ind w:left="270"/>
        <w:rPr>
          <w:sz w:val="24"/>
          <w:szCs w:val="24"/>
        </w:rPr>
      </w:pPr>
      <w:r w:rsidRPr="00B079F1">
        <w:rPr>
          <w:rStyle w:val="us"/>
          <w:sz w:val="24"/>
          <w:szCs w:val="24"/>
        </w:rPr>
        <w:t>FINRA Rule 2210(d)(7)(D) excludes from the requirement of this section</w:t>
      </w:r>
      <w:r w:rsidR="00CF39E9" w:rsidRPr="00B079F1">
        <w:rPr>
          <w:rStyle w:val="us"/>
          <w:sz w:val="24"/>
          <w:szCs w:val="24"/>
        </w:rPr>
        <w:t xml:space="preserve"> any communication that meets the definition of “research report” for purposes of </w:t>
      </w:r>
      <w:r w:rsidR="00B449F3" w:rsidRPr="00767FD6">
        <w:rPr>
          <w:sz w:val="24"/>
          <w:szCs w:val="24"/>
        </w:rPr>
        <w:t>FINRA Rule 2241</w:t>
      </w:r>
      <w:r w:rsidR="00CF39E9" w:rsidRPr="00767FD6">
        <w:rPr>
          <w:rStyle w:val="us"/>
          <w:sz w:val="24"/>
          <w:szCs w:val="24"/>
        </w:rPr>
        <w:t xml:space="preserve"> </w:t>
      </w:r>
      <w:r w:rsidR="00CF39E9" w:rsidRPr="00B079F1">
        <w:rPr>
          <w:rStyle w:val="us"/>
          <w:sz w:val="24"/>
          <w:szCs w:val="24"/>
        </w:rPr>
        <w:t>and includes all of the applicable di</w:t>
      </w:r>
      <w:r w:rsidRPr="00B079F1">
        <w:rPr>
          <w:rStyle w:val="us"/>
          <w:sz w:val="24"/>
          <w:szCs w:val="24"/>
        </w:rPr>
        <w:t xml:space="preserve">sclosures required by that Rule and </w:t>
      </w:r>
      <w:r w:rsidRPr="00B079F1">
        <w:rPr>
          <w:sz w:val="24"/>
          <w:szCs w:val="24"/>
        </w:rPr>
        <w:t xml:space="preserve">do </w:t>
      </w:r>
      <w:r w:rsidR="00CF39E9" w:rsidRPr="00B079F1">
        <w:rPr>
          <w:rStyle w:val="us"/>
          <w:sz w:val="24"/>
          <w:szCs w:val="24"/>
        </w:rPr>
        <w:t>not apply to any communication that recommends only registered investment companies or variable insurance products; provided, however, that such communications must have a reasonable basis for the recommendation.</w:t>
      </w:r>
      <w:r w:rsidR="00CF39E9" w:rsidRPr="00B079F1">
        <w:rPr>
          <w:sz w:val="24"/>
          <w:szCs w:val="24"/>
        </w:rPr>
        <w:t xml:space="preserve"> </w:t>
      </w:r>
    </w:p>
    <w:p w14:paraId="670CD172" w14:textId="77777777" w:rsidR="00ED2771" w:rsidRPr="00B079F1" w:rsidRDefault="00ED2771" w:rsidP="00CA7BC8"/>
    <w:p w14:paraId="71CBF0A2" w14:textId="77777777" w:rsidR="008E50A3" w:rsidRPr="00B079F1" w:rsidRDefault="008E50A3" w:rsidP="008E50A3">
      <w:pPr>
        <w:pStyle w:val="Heading3"/>
        <w:rPr>
          <w:szCs w:val="18"/>
        </w:rPr>
      </w:pPr>
      <w:r w:rsidRPr="00B079F1">
        <w:t>9.10.7 Prospectuses Filed with the SEC</w:t>
      </w:r>
      <w:r w:rsidRPr="00B079F1">
        <w:rPr>
          <w:szCs w:val="18"/>
        </w:rPr>
        <w:t xml:space="preserve"> </w:t>
      </w:r>
    </w:p>
    <w:p w14:paraId="37DB581C" w14:textId="77777777" w:rsidR="008E50A3" w:rsidRPr="00B079F1" w:rsidRDefault="008E50A3" w:rsidP="008E50A3">
      <w:pPr>
        <w:shd w:val="clear" w:color="auto" w:fill="FFFFFF"/>
        <w:spacing w:line="270" w:lineRule="atLeast"/>
        <w:ind w:left="270"/>
        <w:rPr>
          <w:sz w:val="24"/>
          <w:szCs w:val="24"/>
        </w:rPr>
      </w:pPr>
      <w:r w:rsidRPr="00B079F1">
        <w:rPr>
          <w:sz w:val="24"/>
          <w:szCs w:val="24"/>
        </w:rPr>
        <w:t xml:space="preserve">Prospectuses, preliminary prospectuses, fund profiles and similar documents that have been filed with the SEC are not subject to the standards of this paragraph (d); provided, however, that the standards of this paragraph (d) shall apply to an investment company prospectus published pursuant to Securities Act Rule 482 and a free writing prospectus that has been filed with the SEC pursuant to Securities Act Rule 433(d)(1)(ii). </w:t>
      </w:r>
    </w:p>
    <w:p w14:paraId="74CFFB51" w14:textId="77777777" w:rsidR="008E50A3" w:rsidRPr="00B079F1" w:rsidRDefault="008E50A3" w:rsidP="008E50A3">
      <w:pPr>
        <w:ind w:left="270"/>
        <w:rPr>
          <w:sz w:val="24"/>
          <w:szCs w:val="24"/>
        </w:rPr>
      </w:pPr>
    </w:p>
    <w:p w14:paraId="69E947C3" w14:textId="77777777" w:rsidR="00C50388" w:rsidRPr="00B079F1" w:rsidRDefault="00C50388" w:rsidP="00C50388">
      <w:pPr>
        <w:pStyle w:val="Heading3"/>
      </w:pPr>
      <w:r w:rsidRPr="00B079F1">
        <w:t xml:space="preserve">9.10.8 Public </w:t>
      </w:r>
      <w:r w:rsidR="00F820BF">
        <w:t xml:space="preserve">Speaking and </w:t>
      </w:r>
      <w:r w:rsidRPr="00B079F1">
        <w:t>Appearances</w:t>
      </w:r>
    </w:p>
    <w:p w14:paraId="3572EF10" w14:textId="313F36A2" w:rsidR="00044E8F" w:rsidRPr="00B079F1" w:rsidRDefault="00044E8F" w:rsidP="00044E8F">
      <w:pPr>
        <w:shd w:val="clear" w:color="auto" w:fill="FFFFFF"/>
        <w:spacing w:line="270" w:lineRule="atLeast"/>
        <w:ind w:left="270"/>
        <w:rPr>
          <w:sz w:val="24"/>
          <w:szCs w:val="24"/>
        </w:rPr>
      </w:pPr>
      <w:r w:rsidRPr="00B079F1">
        <w:rPr>
          <w:rStyle w:val="us"/>
          <w:sz w:val="24"/>
          <w:szCs w:val="24"/>
        </w:rPr>
        <w:t xml:space="preserve">When sponsoring or participating in a seminar, forum, </w:t>
      </w:r>
      <w:r w:rsidR="006815E3" w:rsidRPr="00B079F1">
        <w:rPr>
          <w:rStyle w:val="us"/>
          <w:sz w:val="24"/>
          <w:szCs w:val="24"/>
        </w:rPr>
        <w:t>radio,</w:t>
      </w:r>
      <w:r w:rsidRPr="00B079F1">
        <w:rPr>
          <w:rStyle w:val="us"/>
          <w:sz w:val="24"/>
          <w:szCs w:val="24"/>
        </w:rPr>
        <w:t xml:space="preserve"> or television interview, or when otherwise engaged in public appearances or speaking activities that are unscripted and do not constitute retail communications, institutional communications or correspondence (“public appearance”), Associated Persons must follow the standards of the General Standards above.</w:t>
      </w:r>
      <w:r w:rsidRPr="00B079F1">
        <w:rPr>
          <w:sz w:val="24"/>
          <w:szCs w:val="24"/>
        </w:rPr>
        <w:t xml:space="preserve"> </w:t>
      </w:r>
    </w:p>
    <w:p w14:paraId="154A0FE2" w14:textId="77777777" w:rsidR="00044E8F" w:rsidRPr="00B079F1" w:rsidRDefault="00044E8F" w:rsidP="00044E8F">
      <w:pPr>
        <w:shd w:val="clear" w:color="auto" w:fill="FFFFFF"/>
        <w:spacing w:line="270" w:lineRule="atLeast"/>
        <w:rPr>
          <w:rStyle w:val="us"/>
          <w:sz w:val="24"/>
          <w:szCs w:val="24"/>
        </w:rPr>
      </w:pPr>
    </w:p>
    <w:p w14:paraId="55500720" w14:textId="77777777" w:rsidR="00044E8F" w:rsidRDefault="00044E8F" w:rsidP="00BC2816">
      <w:pPr>
        <w:shd w:val="clear" w:color="auto" w:fill="FFFFFF"/>
        <w:ind w:left="270"/>
        <w:rPr>
          <w:sz w:val="24"/>
          <w:szCs w:val="24"/>
        </w:rPr>
      </w:pPr>
      <w:r w:rsidRPr="00B079F1">
        <w:rPr>
          <w:rStyle w:val="us"/>
          <w:sz w:val="24"/>
          <w:szCs w:val="24"/>
        </w:rPr>
        <w:t>If an Associated Person recommends a security in a public appearance, the Associated Person must have a reasonable basis for the recommendation. The Associated Person also must disclose, as applicable:</w:t>
      </w:r>
      <w:r w:rsidRPr="00B079F1">
        <w:rPr>
          <w:sz w:val="24"/>
          <w:szCs w:val="24"/>
        </w:rPr>
        <w:t xml:space="preserve"> </w:t>
      </w:r>
    </w:p>
    <w:p w14:paraId="7A2E2F0A" w14:textId="77777777" w:rsidR="00BC2816" w:rsidRPr="00BC2816" w:rsidRDefault="00BC2816" w:rsidP="00BC2816">
      <w:pPr>
        <w:shd w:val="clear" w:color="auto" w:fill="FFFFFF"/>
        <w:ind w:left="270"/>
        <w:rPr>
          <w:sz w:val="16"/>
          <w:szCs w:val="16"/>
        </w:rPr>
      </w:pPr>
    </w:p>
    <w:p w14:paraId="58CF795C" w14:textId="77777777" w:rsidR="00044E8F" w:rsidRPr="00B079F1" w:rsidRDefault="00BC2816" w:rsidP="003E7B18">
      <w:pPr>
        <w:numPr>
          <w:ilvl w:val="0"/>
          <w:numId w:val="201"/>
        </w:numPr>
        <w:shd w:val="clear" w:color="auto" w:fill="FFFFFF"/>
        <w:ind w:left="900" w:hanging="270"/>
        <w:rPr>
          <w:sz w:val="24"/>
          <w:szCs w:val="24"/>
        </w:rPr>
      </w:pPr>
      <w:r>
        <w:rPr>
          <w:rStyle w:val="us"/>
          <w:sz w:val="24"/>
          <w:szCs w:val="24"/>
        </w:rPr>
        <w:t>That the A</w:t>
      </w:r>
      <w:r w:rsidR="00044E8F" w:rsidRPr="00B079F1">
        <w:rPr>
          <w:rStyle w:val="us"/>
          <w:sz w:val="24"/>
          <w:szCs w:val="24"/>
        </w:rPr>
        <w:t xml:space="preserve">ssociated </w:t>
      </w:r>
      <w:r>
        <w:rPr>
          <w:rStyle w:val="us"/>
          <w:sz w:val="24"/>
          <w:szCs w:val="24"/>
        </w:rPr>
        <w:t>P</w:t>
      </w:r>
      <w:r w:rsidR="00044E8F" w:rsidRPr="00B079F1">
        <w:rPr>
          <w:rStyle w:val="us"/>
          <w:sz w:val="24"/>
          <w:szCs w:val="24"/>
        </w:rPr>
        <w:t>erson has a financial interest in any of the securities of the issuer whose securities are recommended, and the nature of the financial interest (including, without limitation, whether it consists of any option, right, warrant, future, long or short position), unless the extent of the financial interest is nominal; and</w:t>
      </w:r>
      <w:r w:rsidR="00044E8F" w:rsidRPr="00B079F1">
        <w:rPr>
          <w:sz w:val="24"/>
          <w:szCs w:val="24"/>
        </w:rPr>
        <w:t xml:space="preserve"> </w:t>
      </w:r>
    </w:p>
    <w:p w14:paraId="2A6F9976" w14:textId="77777777" w:rsidR="00044E8F" w:rsidRPr="00B079F1" w:rsidRDefault="00044E8F" w:rsidP="003E7B18">
      <w:pPr>
        <w:numPr>
          <w:ilvl w:val="0"/>
          <w:numId w:val="201"/>
        </w:numPr>
        <w:shd w:val="clear" w:color="auto" w:fill="FFFFFF"/>
        <w:spacing w:line="270" w:lineRule="atLeast"/>
        <w:ind w:left="900" w:hanging="270"/>
        <w:rPr>
          <w:sz w:val="24"/>
          <w:szCs w:val="24"/>
        </w:rPr>
      </w:pPr>
      <w:r w:rsidRPr="00B079F1">
        <w:rPr>
          <w:sz w:val="24"/>
          <w:szCs w:val="24"/>
        </w:rPr>
        <w:t>A</w:t>
      </w:r>
      <w:r w:rsidRPr="00B079F1">
        <w:rPr>
          <w:rStyle w:val="us"/>
          <w:sz w:val="24"/>
          <w:szCs w:val="24"/>
        </w:rPr>
        <w:t>ny other actual, material conflict of interest of the associated person or member of which the associated person knows or has reason to know at the time of the public appearance.</w:t>
      </w:r>
      <w:r w:rsidRPr="00B079F1">
        <w:rPr>
          <w:sz w:val="24"/>
          <w:szCs w:val="24"/>
        </w:rPr>
        <w:t xml:space="preserve"> </w:t>
      </w:r>
    </w:p>
    <w:p w14:paraId="165F11F2" w14:textId="77777777" w:rsidR="00044E8F" w:rsidRPr="00B079F1" w:rsidRDefault="00044E8F" w:rsidP="00044E8F">
      <w:pPr>
        <w:shd w:val="clear" w:color="auto" w:fill="FFFFFF"/>
        <w:spacing w:line="270" w:lineRule="atLeast"/>
        <w:ind w:left="270"/>
        <w:rPr>
          <w:rStyle w:val="us"/>
          <w:sz w:val="24"/>
          <w:szCs w:val="24"/>
        </w:rPr>
      </w:pPr>
    </w:p>
    <w:p w14:paraId="58402EBB" w14:textId="77777777" w:rsidR="00044E8F" w:rsidRPr="00B079F1" w:rsidRDefault="00044E8F" w:rsidP="00044E8F">
      <w:pPr>
        <w:shd w:val="clear" w:color="auto" w:fill="FFFFFF"/>
        <w:spacing w:line="270" w:lineRule="atLeast"/>
        <w:ind w:left="270"/>
        <w:rPr>
          <w:sz w:val="24"/>
          <w:szCs w:val="24"/>
        </w:rPr>
      </w:pPr>
      <w:r w:rsidRPr="00B079F1">
        <w:rPr>
          <w:rStyle w:val="us"/>
          <w:sz w:val="24"/>
          <w:szCs w:val="24"/>
        </w:rPr>
        <w:t>Company shall establish written procedures that are appropriate to its business, size, structure, and customers to supervise its Associated Persons' public appearances. Such procedures must provide for the education and training of associated persons who make public appearances as to the Company's procedures, documentation of such education and training, and surveillance and follow-up to ensure that such procedures are implemented and adhered to. Evidence that these supervisory procedures have been implemented and carried out must be maintained and made available to FINRA upon request.</w:t>
      </w:r>
      <w:r w:rsidRPr="00B079F1">
        <w:rPr>
          <w:sz w:val="24"/>
          <w:szCs w:val="24"/>
        </w:rPr>
        <w:t xml:space="preserve"> </w:t>
      </w:r>
    </w:p>
    <w:p w14:paraId="314D9027" w14:textId="77777777" w:rsidR="00044E8F" w:rsidRPr="00B079F1" w:rsidRDefault="00044E8F" w:rsidP="00044E8F">
      <w:pPr>
        <w:shd w:val="clear" w:color="auto" w:fill="FFFFFF"/>
        <w:spacing w:line="270" w:lineRule="atLeast"/>
        <w:ind w:left="270"/>
        <w:rPr>
          <w:rStyle w:val="us"/>
          <w:sz w:val="24"/>
          <w:szCs w:val="24"/>
        </w:rPr>
      </w:pPr>
    </w:p>
    <w:p w14:paraId="07A0084E" w14:textId="1419C591" w:rsidR="00EB2CC3" w:rsidRPr="00B079F1" w:rsidRDefault="00044E8F" w:rsidP="00044E8F">
      <w:pPr>
        <w:shd w:val="clear" w:color="auto" w:fill="FFFFFF"/>
        <w:spacing w:line="270" w:lineRule="atLeast"/>
        <w:ind w:left="270"/>
        <w:rPr>
          <w:sz w:val="24"/>
          <w:szCs w:val="24"/>
        </w:rPr>
      </w:pPr>
      <w:r w:rsidRPr="00B079F1">
        <w:rPr>
          <w:rStyle w:val="us"/>
          <w:sz w:val="24"/>
          <w:szCs w:val="24"/>
        </w:rPr>
        <w:t xml:space="preserve">Any scripts, slides, handouts or other written (including electronic) materials used in connection with public appearances are considered communications for purposes of this Rule, and Company shall comply with all applicable provisions of the Rule based on those communications' audience, </w:t>
      </w:r>
      <w:r w:rsidR="006815E3" w:rsidRPr="00B079F1">
        <w:rPr>
          <w:rStyle w:val="us"/>
          <w:sz w:val="24"/>
          <w:szCs w:val="24"/>
        </w:rPr>
        <w:t>content,</w:t>
      </w:r>
      <w:r w:rsidRPr="00B079F1">
        <w:rPr>
          <w:rStyle w:val="us"/>
          <w:sz w:val="24"/>
          <w:szCs w:val="24"/>
        </w:rPr>
        <w:t xml:space="preserve"> and use.</w:t>
      </w:r>
      <w:r w:rsidRPr="00B079F1">
        <w:rPr>
          <w:sz w:val="24"/>
          <w:szCs w:val="24"/>
        </w:rPr>
        <w:t xml:space="preserve"> </w:t>
      </w:r>
      <w:r w:rsidR="00EB2CC3" w:rsidRPr="00B079F1">
        <w:rPr>
          <w:sz w:val="24"/>
          <w:szCs w:val="24"/>
        </w:rPr>
        <w:t xml:space="preserve"> </w:t>
      </w:r>
    </w:p>
    <w:p w14:paraId="216B4D8A" w14:textId="77777777" w:rsidR="00EB2CC3" w:rsidRPr="00B079F1" w:rsidRDefault="00EB2CC3" w:rsidP="00044E8F">
      <w:pPr>
        <w:shd w:val="clear" w:color="auto" w:fill="FFFFFF"/>
        <w:spacing w:line="270" w:lineRule="atLeast"/>
        <w:ind w:left="270"/>
        <w:rPr>
          <w:sz w:val="24"/>
          <w:szCs w:val="24"/>
        </w:rPr>
      </w:pPr>
    </w:p>
    <w:p w14:paraId="2C8A5943" w14:textId="77777777" w:rsidR="00044E8F" w:rsidRPr="00B079F1" w:rsidRDefault="00EB2CC3" w:rsidP="00044E8F">
      <w:pPr>
        <w:shd w:val="clear" w:color="auto" w:fill="FFFFFF"/>
        <w:spacing w:line="270" w:lineRule="atLeast"/>
        <w:ind w:left="270"/>
        <w:rPr>
          <w:sz w:val="24"/>
          <w:szCs w:val="24"/>
        </w:rPr>
      </w:pPr>
      <w:r w:rsidRPr="00B079F1">
        <w:rPr>
          <w:sz w:val="24"/>
          <w:szCs w:val="24"/>
        </w:rPr>
        <w:lastRenderedPageBreak/>
        <w:t>This</w:t>
      </w:r>
      <w:r w:rsidR="00044E8F" w:rsidRPr="00B079F1">
        <w:rPr>
          <w:rStyle w:val="us"/>
          <w:sz w:val="24"/>
          <w:szCs w:val="24"/>
        </w:rPr>
        <w:t xml:space="preserve"> does not apply to any public appearance by a research analyst for purposes </w:t>
      </w:r>
      <w:r w:rsidR="00044E8F" w:rsidRPr="00767FD6">
        <w:rPr>
          <w:rStyle w:val="us"/>
          <w:sz w:val="24"/>
          <w:szCs w:val="24"/>
        </w:rPr>
        <w:t xml:space="preserve">of </w:t>
      </w:r>
      <w:r w:rsidR="008816D3" w:rsidRPr="00767FD6">
        <w:rPr>
          <w:sz w:val="24"/>
          <w:szCs w:val="24"/>
        </w:rPr>
        <w:t>FINRA Rule 2241</w:t>
      </w:r>
      <w:r w:rsidR="00044E8F" w:rsidRPr="00767FD6">
        <w:rPr>
          <w:rStyle w:val="us"/>
          <w:sz w:val="24"/>
          <w:szCs w:val="24"/>
        </w:rPr>
        <w:t xml:space="preserve"> that includes all of the applicable disclosures required by that Rule. </w:t>
      </w:r>
      <w:r w:rsidRPr="00767FD6">
        <w:rPr>
          <w:rStyle w:val="us"/>
          <w:sz w:val="24"/>
          <w:szCs w:val="24"/>
        </w:rPr>
        <w:t xml:space="preserve">It </w:t>
      </w:r>
      <w:r w:rsidR="00044E8F" w:rsidRPr="00767FD6">
        <w:rPr>
          <w:rStyle w:val="us"/>
          <w:sz w:val="24"/>
          <w:szCs w:val="24"/>
        </w:rPr>
        <w:t xml:space="preserve">also does not </w:t>
      </w:r>
      <w:r w:rsidR="00044E8F" w:rsidRPr="00B079F1">
        <w:rPr>
          <w:rStyle w:val="us"/>
          <w:sz w:val="24"/>
          <w:szCs w:val="24"/>
        </w:rPr>
        <w:t>apply to a recommendation of investment company securities or variable insurance products; provided, however, that the associated person must have a reasonable basis for the recommendation.</w:t>
      </w:r>
      <w:r w:rsidR="00044E8F" w:rsidRPr="00B079F1">
        <w:rPr>
          <w:sz w:val="24"/>
          <w:szCs w:val="24"/>
        </w:rPr>
        <w:t xml:space="preserve"> </w:t>
      </w:r>
    </w:p>
    <w:p w14:paraId="528F26AC" w14:textId="77777777" w:rsidR="00C50388" w:rsidRPr="00B079F1" w:rsidRDefault="00C50388" w:rsidP="008E50A3">
      <w:pPr>
        <w:ind w:left="270"/>
        <w:rPr>
          <w:sz w:val="24"/>
          <w:szCs w:val="24"/>
        </w:rPr>
      </w:pPr>
    </w:p>
    <w:p w14:paraId="58CB6B53" w14:textId="77777777" w:rsidR="006145D2" w:rsidRPr="00B079F1" w:rsidRDefault="00B75A46" w:rsidP="00B75A46">
      <w:pPr>
        <w:pStyle w:val="Heading3"/>
      </w:pPr>
      <w:r w:rsidRPr="00B079F1">
        <w:t>9.10.9 Violation of Other Rules</w:t>
      </w:r>
    </w:p>
    <w:p w14:paraId="0EE13D00" w14:textId="77777777" w:rsidR="00B75A46" w:rsidRDefault="00B75A46" w:rsidP="00B75A46">
      <w:pPr>
        <w:shd w:val="clear" w:color="auto" w:fill="FFFFFF"/>
        <w:spacing w:line="270" w:lineRule="atLeast"/>
        <w:ind w:left="270"/>
        <w:rPr>
          <w:sz w:val="24"/>
          <w:szCs w:val="24"/>
        </w:rPr>
      </w:pPr>
      <w:r w:rsidRPr="00B079F1">
        <w:rPr>
          <w:sz w:val="24"/>
          <w:szCs w:val="24"/>
        </w:rPr>
        <w:t xml:space="preserve">Any violation by </w:t>
      </w:r>
      <w:r w:rsidR="0060788D" w:rsidRPr="00B079F1">
        <w:rPr>
          <w:sz w:val="24"/>
          <w:szCs w:val="24"/>
        </w:rPr>
        <w:t>Company</w:t>
      </w:r>
      <w:r w:rsidRPr="00B079F1">
        <w:rPr>
          <w:sz w:val="24"/>
          <w:szCs w:val="24"/>
        </w:rPr>
        <w:t xml:space="preserve"> of any rule of the SEC, the Securities Investor Protection Corporation or the Municipal Securities Rulemaking Board applicable to </w:t>
      </w:r>
      <w:r w:rsidR="0060788D" w:rsidRPr="00B079F1">
        <w:rPr>
          <w:sz w:val="24"/>
          <w:szCs w:val="24"/>
        </w:rPr>
        <w:t xml:space="preserve">Company </w:t>
      </w:r>
      <w:r w:rsidRPr="00B079F1">
        <w:rPr>
          <w:sz w:val="24"/>
          <w:szCs w:val="24"/>
        </w:rPr>
        <w:t xml:space="preserve">communications will be deemed a violation of this Rule 2210. </w:t>
      </w:r>
    </w:p>
    <w:p w14:paraId="71EDE76A" w14:textId="77777777" w:rsidR="00331114" w:rsidRDefault="00331114" w:rsidP="00B75A46">
      <w:pPr>
        <w:shd w:val="clear" w:color="auto" w:fill="FFFFFF"/>
        <w:spacing w:line="270" w:lineRule="atLeast"/>
        <w:ind w:left="270"/>
        <w:rPr>
          <w:sz w:val="24"/>
          <w:szCs w:val="24"/>
        </w:rPr>
      </w:pPr>
    </w:p>
    <w:p w14:paraId="4ED3B31C" w14:textId="77777777" w:rsidR="00331114" w:rsidRDefault="00331114" w:rsidP="00331114">
      <w:pPr>
        <w:pStyle w:val="Heading3"/>
      </w:pPr>
      <w:r>
        <w:t>9.10.10 Consolidated Reports</w:t>
      </w:r>
    </w:p>
    <w:p w14:paraId="2A8B1EB4" w14:textId="77777777" w:rsidR="008C0632" w:rsidRPr="009F0FC7" w:rsidRDefault="001704A1" w:rsidP="00331114">
      <w:pPr>
        <w:ind w:left="270"/>
        <w:rPr>
          <w:sz w:val="24"/>
          <w:szCs w:val="24"/>
        </w:rPr>
      </w:pPr>
      <w:r w:rsidRPr="009F0FC7">
        <w:rPr>
          <w:sz w:val="24"/>
          <w:szCs w:val="24"/>
        </w:rPr>
        <w:t xml:space="preserve">Company may, as a </w:t>
      </w:r>
      <w:r w:rsidR="00700692" w:rsidRPr="009F0FC7">
        <w:rPr>
          <w:sz w:val="24"/>
          <w:szCs w:val="24"/>
        </w:rPr>
        <w:t>courtesy</w:t>
      </w:r>
      <w:r w:rsidRPr="009F0FC7">
        <w:rPr>
          <w:sz w:val="24"/>
          <w:szCs w:val="24"/>
        </w:rPr>
        <w:t xml:space="preserve"> to </w:t>
      </w:r>
      <w:r w:rsidR="00401F35" w:rsidRPr="009F0FC7">
        <w:rPr>
          <w:sz w:val="24"/>
          <w:szCs w:val="24"/>
        </w:rPr>
        <w:t>its</w:t>
      </w:r>
      <w:r w:rsidRPr="009F0FC7">
        <w:rPr>
          <w:sz w:val="24"/>
          <w:szCs w:val="24"/>
        </w:rPr>
        <w:t xml:space="preserve"> customers, provide documents that consolidate information regarding a customer’s various financial holdings</w:t>
      </w:r>
      <w:r w:rsidR="00D8397D" w:rsidRPr="009F0FC7">
        <w:rPr>
          <w:sz w:val="24"/>
          <w:szCs w:val="24"/>
        </w:rPr>
        <w:t xml:space="preserve"> (and may include assets held away from the Company)</w:t>
      </w:r>
      <w:r w:rsidRPr="009F0FC7">
        <w:rPr>
          <w:sz w:val="24"/>
          <w:szCs w:val="24"/>
        </w:rPr>
        <w:t>.</w:t>
      </w:r>
      <w:r w:rsidR="00F54636" w:rsidRPr="009F0FC7">
        <w:rPr>
          <w:sz w:val="24"/>
          <w:szCs w:val="24"/>
        </w:rPr>
        <w:t xml:space="preserve">  These communications may supplement, but do not replace, the customer account statement and may not be represented as a substitute for, and must be distinguished from, account statements.  </w:t>
      </w:r>
    </w:p>
    <w:p w14:paraId="36259796" w14:textId="77777777" w:rsidR="008C0632" w:rsidRPr="009F0FC7" w:rsidRDefault="008C0632" w:rsidP="00331114">
      <w:pPr>
        <w:ind w:left="270"/>
        <w:rPr>
          <w:sz w:val="24"/>
          <w:szCs w:val="24"/>
        </w:rPr>
      </w:pPr>
    </w:p>
    <w:p w14:paraId="5B35382C" w14:textId="77777777" w:rsidR="00331114" w:rsidRPr="009F0FC7" w:rsidRDefault="00F54636" w:rsidP="00331114">
      <w:pPr>
        <w:ind w:left="270"/>
        <w:rPr>
          <w:sz w:val="24"/>
          <w:szCs w:val="24"/>
        </w:rPr>
      </w:pPr>
      <w:r w:rsidRPr="009F0FC7">
        <w:rPr>
          <w:sz w:val="24"/>
          <w:szCs w:val="24"/>
        </w:rPr>
        <w:t>Reports must be clear, accurate and not misleading. For assets held away, this includes, among other things, taking reasonable steps to accurately reproduce information obtained regarding outside accounts and not to include information that is false or misleading.</w:t>
      </w:r>
    </w:p>
    <w:p w14:paraId="23B8D24B" w14:textId="77777777" w:rsidR="00331114" w:rsidRPr="009F0FC7" w:rsidRDefault="00331114" w:rsidP="00B75A46">
      <w:pPr>
        <w:shd w:val="clear" w:color="auto" w:fill="FFFFFF"/>
        <w:spacing w:line="270" w:lineRule="atLeast"/>
        <w:ind w:left="270"/>
        <w:rPr>
          <w:sz w:val="24"/>
          <w:szCs w:val="24"/>
        </w:rPr>
      </w:pPr>
    </w:p>
    <w:p w14:paraId="046846B7" w14:textId="77777777" w:rsidR="002A1AA9" w:rsidRPr="009F0FC7" w:rsidRDefault="002A1AA9" w:rsidP="00B75A46">
      <w:pPr>
        <w:shd w:val="clear" w:color="auto" w:fill="FFFFFF"/>
        <w:spacing w:line="270" w:lineRule="atLeast"/>
        <w:ind w:left="270"/>
        <w:rPr>
          <w:b/>
          <w:sz w:val="24"/>
          <w:szCs w:val="24"/>
        </w:rPr>
      </w:pPr>
      <w:r w:rsidRPr="009F0FC7">
        <w:rPr>
          <w:b/>
          <w:sz w:val="24"/>
          <w:szCs w:val="24"/>
        </w:rPr>
        <w:t>Guidelines</w:t>
      </w:r>
    </w:p>
    <w:p w14:paraId="2F6D8830" w14:textId="024FA9B2" w:rsidR="00F115A2" w:rsidRDefault="00F115A2" w:rsidP="0031215B">
      <w:pPr>
        <w:shd w:val="clear" w:color="auto" w:fill="FFFFFF"/>
        <w:ind w:left="270"/>
        <w:rPr>
          <w:sz w:val="24"/>
          <w:szCs w:val="24"/>
        </w:rPr>
      </w:pPr>
      <w:r w:rsidRPr="009F0FC7">
        <w:rPr>
          <w:sz w:val="24"/>
          <w:szCs w:val="24"/>
        </w:rPr>
        <w:t>The following guidelines will be followed when providing consolidated reports to customers:</w:t>
      </w:r>
    </w:p>
    <w:p w14:paraId="452DC644" w14:textId="77777777" w:rsidR="0031215B" w:rsidRPr="0031215B" w:rsidRDefault="0031215B" w:rsidP="0031215B">
      <w:pPr>
        <w:shd w:val="clear" w:color="auto" w:fill="FFFFFF"/>
        <w:ind w:left="270"/>
        <w:rPr>
          <w:sz w:val="14"/>
          <w:szCs w:val="14"/>
        </w:rPr>
      </w:pPr>
    </w:p>
    <w:p w14:paraId="180E6BA3" w14:textId="327EE5F2" w:rsidR="00F115A2" w:rsidRPr="009F0FC7" w:rsidRDefault="00F115A2" w:rsidP="003E7B18">
      <w:pPr>
        <w:pStyle w:val="ListParagraph"/>
        <w:numPr>
          <w:ilvl w:val="0"/>
          <w:numId w:val="299"/>
        </w:numPr>
        <w:shd w:val="clear" w:color="auto" w:fill="FFFFFF"/>
        <w:rPr>
          <w:sz w:val="24"/>
          <w:szCs w:val="24"/>
        </w:rPr>
      </w:pPr>
      <w:r w:rsidRPr="009F0FC7">
        <w:rPr>
          <w:b/>
          <w:sz w:val="24"/>
          <w:szCs w:val="24"/>
          <w:u w:val="single"/>
        </w:rPr>
        <w:t>Format</w:t>
      </w:r>
      <w:r w:rsidRPr="009F0FC7">
        <w:rPr>
          <w:sz w:val="24"/>
          <w:szCs w:val="24"/>
        </w:rPr>
        <w:t xml:space="preserve">: The report may only be in the format approved by the Company.  Home office uses the format of </w:t>
      </w:r>
      <w:r w:rsidR="00352A9B" w:rsidRPr="00352A9B">
        <w:rPr>
          <w:color w:val="FF0000"/>
          <w:sz w:val="24"/>
          <w:szCs w:val="24"/>
        </w:rPr>
        <w:t xml:space="preserve">“Maps” (i.e. </w:t>
      </w:r>
      <w:r w:rsidRPr="009F0FC7">
        <w:rPr>
          <w:sz w:val="24"/>
          <w:szCs w:val="24"/>
        </w:rPr>
        <w:t>Mind Manager</w:t>
      </w:r>
      <w:r w:rsidR="00352A9B">
        <w:rPr>
          <w:sz w:val="24"/>
          <w:szCs w:val="24"/>
        </w:rPr>
        <w:t xml:space="preserve">, </w:t>
      </w:r>
      <w:r w:rsidR="00352A9B" w:rsidRPr="00352A9B">
        <w:rPr>
          <w:color w:val="FF0000"/>
          <w:sz w:val="24"/>
          <w:szCs w:val="24"/>
        </w:rPr>
        <w:t>Asset Map</w:t>
      </w:r>
      <w:r w:rsidR="00352A9B">
        <w:rPr>
          <w:sz w:val="24"/>
          <w:szCs w:val="24"/>
        </w:rPr>
        <w:t>)</w:t>
      </w:r>
      <w:r w:rsidRPr="009F0FC7">
        <w:rPr>
          <w:sz w:val="24"/>
          <w:szCs w:val="24"/>
        </w:rPr>
        <w:t xml:space="preserve">. </w:t>
      </w:r>
    </w:p>
    <w:p w14:paraId="7C4409A7" w14:textId="77777777" w:rsidR="00F115A2" w:rsidRPr="009F0FC7" w:rsidRDefault="00F115A2" w:rsidP="003E7B18">
      <w:pPr>
        <w:pStyle w:val="ListParagraph"/>
        <w:numPr>
          <w:ilvl w:val="0"/>
          <w:numId w:val="299"/>
        </w:numPr>
        <w:shd w:val="clear" w:color="auto" w:fill="FFFFFF"/>
        <w:spacing w:line="270" w:lineRule="atLeast"/>
        <w:rPr>
          <w:sz w:val="24"/>
          <w:szCs w:val="24"/>
        </w:rPr>
      </w:pPr>
      <w:r w:rsidRPr="009F0FC7">
        <w:rPr>
          <w:b/>
          <w:sz w:val="24"/>
          <w:szCs w:val="24"/>
          <w:u w:val="single"/>
        </w:rPr>
        <w:t>Account Values</w:t>
      </w:r>
      <w:r w:rsidRPr="009F0FC7">
        <w:rPr>
          <w:sz w:val="24"/>
          <w:szCs w:val="24"/>
        </w:rPr>
        <w:t xml:space="preserve">:  When compiling reports with account values, </w:t>
      </w:r>
      <w:r w:rsidR="00960107" w:rsidRPr="009F0FC7">
        <w:rPr>
          <w:sz w:val="24"/>
          <w:szCs w:val="24"/>
        </w:rPr>
        <w:t>figures may be taken as current values as of a certain date and/or month/quarter end values per customer statements, if applicable (Company maintains account statements separately from reports).  Statements may be included with the report provided to the customer but are not required since customer receives those independently from their respective custodians.</w:t>
      </w:r>
    </w:p>
    <w:p w14:paraId="593349C5" w14:textId="77777777" w:rsidR="00C83F06" w:rsidRPr="009F0FC7" w:rsidRDefault="008475B5" w:rsidP="003E7B18">
      <w:pPr>
        <w:pStyle w:val="ListParagraph"/>
        <w:numPr>
          <w:ilvl w:val="0"/>
          <w:numId w:val="299"/>
        </w:numPr>
        <w:shd w:val="clear" w:color="auto" w:fill="FFFFFF"/>
        <w:spacing w:line="270" w:lineRule="atLeast"/>
        <w:rPr>
          <w:sz w:val="24"/>
          <w:szCs w:val="24"/>
        </w:rPr>
      </w:pPr>
      <w:r w:rsidRPr="009F0FC7">
        <w:rPr>
          <w:b/>
          <w:sz w:val="24"/>
          <w:szCs w:val="24"/>
          <w:u w:val="single"/>
        </w:rPr>
        <w:t>Company Holdings</w:t>
      </w:r>
      <w:r w:rsidRPr="009F0FC7">
        <w:rPr>
          <w:sz w:val="24"/>
          <w:szCs w:val="24"/>
        </w:rPr>
        <w:t xml:space="preserve">:  </w:t>
      </w:r>
      <w:r w:rsidR="00C83F06" w:rsidRPr="009F0FC7">
        <w:rPr>
          <w:sz w:val="24"/>
          <w:szCs w:val="24"/>
        </w:rPr>
        <w:t xml:space="preserve">Reports must include a delineation for Company holdings, as the FINRA member firm, with either Woodlands Securities Corporation or WSC to delineate which holdings are part of Company’s versus held away assets.  </w:t>
      </w:r>
    </w:p>
    <w:p w14:paraId="1FA1FF62" w14:textId="77777777" w:rsidR="00960107" w:rsidRPr="009F0FC7" w:rsidRDefault="00960107" w:rsidP="003E7B18">
      <w:pPr>
        <w:pStyle w:val="ListParagraph"/>
        <w:numPr>
          <w:ilvl w:val="0"/>
          <w:numId w:val="299"/>
        </w:numPr>
        <w:shd w:val="clear" w:color="auto" w:fill="FFFFFF"/>
        <w:spacing w:line="270" w:lineRule="atLeast"/>
        <w:rPr>
          <w:sz w:val="24"/>
          <w:szCs w:val="24"/>
        </w:rPr>
      </w:pPr>
      <w:r w:rsidRPr="009F0FC7">
        <w:rPr>
          <w:b/>
          <w:sz w:val="24"/>
          <w:szCs w:val="24"/>
          <w:u w:val="single"/>
        </w:rPr>
        <w:t>Disclosures</w:t>
      </w:r>
      <w:r w:rsidRPr="009F0FC7">
        <w:rPr>
          <w:sz w:val="24"/>
          <w:szCs w:val="24"/>
        </w:rPr>
        <w:t xml:space="preserve">:  </w:t>
      </w:r>
      <w:r w:rsidR="0094724C" w:rsidRPr="009F0FC7">
        <w:rPr>
          <w:sz w:val="24"/>
          <w:szCs w:val="24"/>
        </w:rPr>
        <w:t>Reports should in</w:t>
      </w:r>
      <w:r w:rsidR="00EE5EA1" w:rsidRPr="009F0FC7">
        <w:rPr>
          <w:sz w:val="24"/>
          <w:szCs w:val="24"/>
        </w:rPr>
        <w:t>clude the language to the following effect:</w:t>
      </w:r>
    </w:p>
    <w:p w14:paraId="24CF0CE6" w14:textId="77777777" w:rsidR="00EE5EA1" w:rsidRPr="009F0FC7" w:rsidRDefault="00EE5EA1" w:rsidP="00C1728B">
      <w:pPr>
        <w:pStyle w:val="ListParagraph"/>
        <w:numPr>
          <w:ilvl w:val="1"/>
          <w:numId w:val="61"/>
        </w:numPr>
        <w:shd w:val="clear" w:color="auto" w:fill="FFFFFF"/>
        <w:spacing w:line="270" w:lineRule="atLeast"/>
        <w:rPr>
          <w:sz w:val="24"/>
          <w:szCs w:val="24"/>
        </w:rPr>
      </w:pPr>
      <w:r w:rsidRPr="009F0FC7">
        <w:rPr>
          <w:sz w:val="24"/>
          <w:szCs w:val="24"/>
        </w:rPr>
        <w:t>Securities offered through Woodlands Securities Corporation (WSC), member FINRA and SIPC;</w:t>
      </w:r>
    </w:p>
    <w:p w14:paraId="362E932B" w14:textId="77777777" w:rsidR="00EE5EA1" w:rsidRPr="009F0FC7" w:rsidRDefault="00EE5EA1" w:rsidP="00C1728B">
      <w:pPr>
        <w:pStyle w:val="ListParagraph"/>
        <w:numPr>
          <w:ilvl w:val="1"/>
          <w:numId w:val="61"/>
        </w:numPr>
        <w:shd w:val="clear" w:color="auto" w:fill="FFFFFF"/>
        <w:spacing w:line="270" w:lineRule="atLeast"/>
        <w:rPr>
          <w:sz w:val="24"/>
          <w:szCs w:val="24"/>
        </w:rPr>
      </w:pPr>
      <w:r w:rsidRPr="009F0FC7">
        <w:rPr>
          <w:sz w:val="24"/>
          <w:szCs w:val="24"/>
        </w:rPr>
        <w:t>The (or this) report includes assets that the FINRA member firm, WSC</w:t>
      </w:r>
      <w:r w:rsidR="005D6960" w:rsidRPr="009F0FC7">
        <w:rPr>
          <w:sz w:val="24"/>
          <w:szCs w:val="24"/>
        </w:rPr>
        <w:t>,</w:t>
      </w:r>
      <w:r w:rsidRPr="009F0FC7">
        <w:rPr>
          <w:sz w:val="24"/>
          <w:szCs w:val="24"/>
        </w:rPr>
        <w:t xml:space="preserve"> does not include as part of its books and records and any assets held away from WSC may not be covered my SIPC;</w:t>
      </w:r>
    </w:p>
    <w:p w14:paraId="33D0BAA1" w14:textId="77777777" w:rsidR="00EE5EA1" w:rsidRPr="009F0FC7" w:rsidRDefault="00EE5EA1" w:rsidP="00C1728B">
      <w:pPr>
        <w:pStyle w:val="ListParagraph"/>
        <w:numPr>
          <w:ilvl w:val="1"/>
          <w:numId w:val="61"/>
        </w:numPr>
        <w:shd w:val="clear" w:color="auto" w:fill="FFFFFF"/>
        <w:spacing w:line="270" w:lineRule="atLeast"/>
        <w:rPr>
          <w:sz w:val="24"/>
          <w:szCs w:val="24"/>
        </w:rPr>
      </w:pPr>
      <w:r w:rsidRPr="009F0FC7">
        <w:rPr>
          <w:sz w:val="24"/>
          <w:szCs w:val="24"/>
        </w:rPr>
        <w:t>The information contained in this report is provided as a courtesy only and may be an approximate value provided as of a certain date.  It is not for IRS purposes and it is not an Account Statement.</w:t>
      </w:r>
    </w:p>
    <w:p w14:paraId="69947C71" w14:textId="77777777" w:rsidR="009E2302" w:rsidRPr="009F0FC7" w:rsidRDefault="009E2302" w:rsidP="00C1728B">
      <w:pPr>
        <w:pStyle w:val="ListParagraph"/>
        <w:numPr>
          <w:ilvl w:val="0"/>
          <w:numId w:val="61"/>
        </w:numPr>
        <w:shd w:val="clear" w:color="auto" w:fill="FFFFFF"/>
        <w:tabs>
          <w:tab w:val="clear" w:pos="720"/>
          <w:tab w:val="num" w:pos="990"/>
        </w:tabs>
        <w:spacing w:line="270" w:lineRule="atLeast"/>
        <w:ind w:left="990"/>
        <w:rPr>
          <w:b/>
          <w:sz w:val="24"/>
          <w:szCs w:val="24"/>
          <w:u w:val="single"/>
        </w:rPr>
      </w:pPr>
      <w:r w:rsidRPr="009F0FC7">
        <w:rPr>
          <w:b/>
          <w:sz w:val="24"/>
          <w:szCs w:val="24"/>
          <w:u w:val="single"/>
        </w:rPr>
        <w:t>Books and Records</w:t>
      </w:r>
      <w:r w:rsidRPr="009F0FC7">
        <w:rPr>
          <w:sz w:val="24"/>
          <w:szCs w:val="24"/>
        </w:rPr>
        <w:t>:  Company will maintain copies (may be electronically) of any reports generated for a period of three years.</w:t>
      </w:r>
    </w:p>
    <w:p w14:paraId="0076DF9C" w14:textId="77777777" w:rsidR="002A1AA9" w:rsidRPr="009F0FC7" w:rsidRDefault="002A1AA9" w:rsidP="00B75A46">
      <w:pPr>
        <w:shd w:val="clear" w:color="auto" w:fill="FFFFFF"/>
        <w:spacing w:line="270" w:lineRule="atLeast"/>
        <w:ind w:left="270"/>
        <w:rPr>
          <w:b/>
          <w:sz w:val="24"/>
          <w:szCs w:val="24"/>
        </w:rPr>
      </w:pPr>
    </w:p>
    <w:p w14:paraId="6B6D0E01" w14:textId="77777777" w:rsidR="00B75A46" w:rsidRPr="009F0FC7" w:rsidRDefault="00EE5EA1" w:rsidP="00EE5EA1">
      <w:pPr>
        <w:ind w:left="270"/>
        <w:rPr>
          <w:b/>
          <w:sz w:val="24"/>
          <w:szCs w:val="24"/>
        </w:rPr>
      </w:pPr>
      <w:r w:rsidRPr="009F0FC7">
        <w:rPr>
          <w:b/>
          <w:sz w:val="24"/>
          <w:szCs w:val="24"/>
        </w:rPr>
        <w:t>Review</w:t>
      </w:r>
    </w:p>
    <w:p w14:paraId="51BF2E41" w14:textId="77777777" w:rsidR="00EE5EA1" w:rsidRPr="009F0FC7" w:rsidRDefault="00EE5EA1" w:rsidP="00EE5EA1">
      <w:pPr>
        <w:ind w:left="270"/>
        <w:rPr>
          <w:sz w:val="24"/>
          <w:szCs w:val="24"/>
        </w:rPr>
      </w:pPr>
      <w:r w:rsidRPr="009F0FC7">
        <w:rPr>
          <w:sz w:val="24"/>
          <w:szCs w:val="24"/>
        </w:rPr>
        <w:lastRenderedPageBreak/>
        <w:t>A random review of consolidated reports will be conducted as part of Company’s</w:t>
      </w:r>
      <w:r w:rsidR="00401F35" w:rsidRPr="009F0FC7">
        <w:rPr>
          <w:sz w:val="24"/>
          <w:szCs w:val="24"/>
        </w:rPr>
        <w:t xml:space="preserve"> </w:t>
      </w:r>
      <w:r w:rsidR="00653A08" w:rsidRPr="009F0FC7">
        <w:rPr>
          <w:sz w:val="24"/>
          <w:szCs w:val="24"/>
        </w:rPr>
        <w:t>annual internal</w:t>
      </w:r>
      <w:r w:rsidRPr="009F0FC7">
        <w:rPr>
          <w:sz w:val="24"/>
          <w:szCs w:val="24"/>
        </w:rPr>
        <w:t xml:space="preserve"> review and testing as well as any branch office reviews</w:t>
      </w:r>
      <w:r w:rsidR="00401F35" w:rsidRPr="009F0FC7">
        <w:rPr>
          <w:sz w:val="24"/>
          <w:szCs w:val="24"/>
        </w:rPr>
        <w:t>, if applicable</w:t>
      </w:r>
      <w:r w:rsidRPr="009F0FC7">
        <w:rPr>
          <w:sz w:val="24"/>
          <w:szCs w:val="24"/>
        </w:rPr>
        <w:t>.  A review of these procedures will be reviewed at least on an annual basis.</w:t>
      </w:r>
    </w:p>
    <w:p w14:paraId="2E5E5C97" w14:textId="77777777" w:rsidR="00EE5EA1" w:rsidRPr="009F0FC7" w:rsidRDefault="00EE5EA1" w:rsidP="00EE5EA1">
      <w:pPr>
        <w:ind w:left="270"/>
        <w:rPr>
          <w:sz w:val="24"/>
          <w:szCs w:val="24"/>
        </w:rPr>
      </w:pPr>
    </w:p>
    <w:p w14:paraId="7512D2B0" w14:textId="77777777" w:rsidR="00EE5EA1" w:rsidRPr="00EE5EA1" w:rsidRDefault="00EE5EA1" w:rsidP="00EE5EA1">
      <w:pPr>
        <w:ind w:left="270"/>
        <w:rPr>
          <w:color w:val="FF0000"/>
          <w:sz w:val="24"/>
          <w:szCs w:val="24"/>
        </w:rPr>
      </w:pPr>
    </w:p>
    <w:p w14:paraId="6E298EDD" w14:textId="77777777" w:rsidR="004A0C95" w:rsidRPr="00056209" w:rsidRDefault="00056209" w:rsidP="00936FEE">
      <w:pPr>
        <w:pStyle w:val="Heading2"/>
      </w:pPr>
      <w:r w:rsidRPr="00056209">
        <w:t>9</w:t>
      </w:r>
      <w:r w:rsidR="00FA5669">
        <w:t>.</w:t>
      </w:r>
      <w:r w:rsidR="00943E84">
        <w:t>11</w:t>
      </w:r>
      <w:r w:rsidRPr="00056209">
        <w:t xml:space="preserve"> </w:t>
      </w:r>
      <w:r w:rsidR="004A0C95" w:rsidRPr="00056209">
        <w:t>Cold Calling</w:t>
      </w:r>
    </w:p>
    <w:p w14:paraId="4B5AA7E6" w14:textId="4B8C0DD7" w:rsidR="004A0C95" w:rsidRDefault="004A0C95" w:rsidP="00943E84">
      <w:pPr>
        <w:rPr>
          <w:sz w:val="24"/>
        </w:rPr>
      </w:pPr>
      <w:r>
        <w:rPr>
          <w:sz w:val="24"/>
        </w:rPr>
        <w:t xml:space="preserve">Although it is the Company’s general policy not to conduct cold calling, the Company shall make and maintain a centralized do-not-call list of persons who do not wish to receive telephone solicitations or wireless communications from the Company or its </w:t>
      </w:r>
      <w:r w:rsidR="00E32E0B">
        <w:rPr>
          <w:sz w:val="24"/>
        </w:rPr>
        <w:t>Associated P</w:t>
      </w:r>
      <w:r>
        <w:rPr>
          <w:sz w:val="24"/>
        </w:rPr>
        <w:t xml:space="preserve">ersons in accordance with Rule 3110 and MSRB Rule G-39. This list will be maintained on the </w:t>
      </w:r>
      <w:r w:rsidR="004D7E79" w:rsidRPr="006815E3">
        <w:rPr>
          <w:sz w:val="24"/>
        </w:rPr>
        <w:t>CRM.</w:t>
      </w:r>
      <w:r w:rsidRPr="006815E3">
        <w:rPr>
          <w:sz w:val="24"/>
        </w:rPr>
        <w:t xml:space="preserve">  </w:t>
      </w:r>
      <w:r>
        <w:rPr>
          <w:sz w:val="24"/>
        </w:rPr>
        <w:t xml:space="preserve">All Associated Persons with </w:t>
      </w:r>
      <w:r w:rsidR="00D90611">
        <w:rPr>
          <w:sz w:val="24"/>
        </w:rPr>
        <w:t>the Company</w:t>
      </w:r>
      <w:r>
        <w:rPr>
          <w:sz w:val="24"/>
        </w:rPr>
        <w:t xml:space="preserve"> utilize this system or have access to its information.  Any cold calling must be conducted using this system and reference the “Communication Status” for each name on the list of people to be called</w:t>
      </w:r>
      <w:r w:rsidR="00E32E0B">
        <w:rPr>
          <w:sz w:val="24"/>
        </w:rPr>
        <w:t xml:space="preserve"> for any cold calling purpose</w:t>
      </w:r>
      <w:r>
        <w:rPr>
          <w:sz w:val="24"/>
        </w:rPr>
        <w:t>.  In addition, the Company will adhere to the Federal Trade Commission’s National Do-Not-Call Registry.</w:t>
      </w:r>
    </w:p>
    <w:p w14:paraId="6FE806E2" w14:textId="77777777" w:rsidR="004A0C95" w:rsidRDefault="004A0C95" w:rsidP="00943E84">
      <w:pPr>
        <w:rPr>
          <w:sz w:val="24"/>
        </w:rPr>
      </w:pPr>
    </w:p>
    <w:p w14:paraId="335CEE42" w14:textId="77777777" w:rsidR="004A0C95" w:rsidRDefault="004A0C95" w:rsidP="00943E84">
      <w:pPr>
        <w:rPr>
          <w:sz w:val="24"/>
        </w:rPr>
      </w:pPr>
      <w:r>
        <w:rPr>
          <w:sz w:val="24"/>
        </w:rPr>
        <w:t xml:space="preserve">Further, in accordance with FCC rules for cold-calling solicitations, associated persons shall: </w:t>
      </w:r>
    </w:p>
    <w:p w14:paraId="0F2D3205" w14:textId="77777777" w:rsidR="004A0C95" w:rsidRDefault="004A0C95" w:rsidP="00943E84">
      <w:pPr>
        <w:rPr>
          <w:sz w:val="24"/>
        </w:rPr>
      </w:pPr>
    </w:p>
    <w:p w14:paraId="53E4ADB3" w14:textId="77777777" w:rsidR="004A0C95" w:rsidRDefault="004A0C95" w:rsidP="00216F83">
      <w:pPr>
        <w:numPr>
          <w:ilvl w:val="0"/>
          <w:numId w:val="31"/>
        </w:numPr>
        <w:tabs>
          <w:tab w:val="clear" w:pos="1095"/>
          <w:tab w:val="num" w:pos="540"/>
        </w:tabs>
        <w:ind w:left="0" w:firstLine="0"/>
        <w:rPr>
          <w:sz w:val="24"/>
        </w:rPr>
      </w:pPr>
      <w:r>
        <w:rPr>
          <w:sz w:val="24"/>
        </w:rPr>
        <w:t xml:space="preserve">be prohibited against making any cold calls before 8:00am or after 9:00pm at the called party's location;  </w:t>
      </w:r>
    </w:p>
    <w:p w14:paraId="06E89B99" w14:textId="77777777" w:rsidR="004A0C95" w:rsidRDefault="004A0C95" w:rsidP="00216F83">
      <w:pPr>
        <w:numPr>
          <w:ilvl w:val="0"/>
          <w:numId w:val="31"/>
        </w:numPr>
        <w:tabs>
          <w:tab w:val="clear" w:pos="1095"/>
          <w:tab w:val="num" w:pos="540"/>
        </w:tabs>
        <w:ind w:left="0" w:firstLine="0"/>
        <w:rPr>
          <w:sz w:val="24"/>
        </w:rPr>
      </w:pPr>
      <w:r>
        <w:rPr>
          <w:sz w:val="24"/>
        </w:rPr>
        <w:t xml:space="preserve">shall provide the called party with the name of the caller, the name of the Company and any agent for whom the call is being placed, a telephone number and address for contacting the caller, and that the purpose of the call is for solicitation of securities transactions or services; </w:t>
      </w:r>
    </w:p>
    <w:p w14:paraId="24A601D1" w14:textId="2C18DF57" w:rsidR="004A0C95" w:rsidRPr="006815E3" w:rsidRDefault="004A0C95" w:rsidP="00216F83">
      <w:pPr>
        <w:numPr>
          <w:ilvl w:val="0"/>
          <w:numId w:val="31"/>
        </w:numPr>
        <w:tabs>
          <w:tab w:val="clear" w:pos="1095"/>
          <w:tab w:val="num" w:pos="540"/>
        </w:tabs>
        <w:ind w:left="0" w:firstLine="0"/>
        <w:rPr>
          <w:sz w:val="24"/>
        </w:rPr>
      </w:pPr>
      <w:r>
        <w:rPr>
          <w:sz w:val="24"/>
        </w:rPr>
        <w:t xml:space="preserve">any national do-not-call list must be referenced in order to ensure any name appearing in the </w:t>
      </w:r>
      <w:r w:rsidR="00445266" w:rsidRPr="006815E3">
        <w:rPr>
          <w:sz w:val="24"/>
        </w:rPr>
        <w:t>CRM</w:t>
      </w:r>
      <w:r w:rsidRPr="006815E3">
        <w:rPr>
          <w:sz w:val="24"/>
        </w:rPr>
        <w:t xml:space="preserve"> database or other cold calling list does not appear on such national listing, must honor that request for a period of five years and honor a person’s do-not-call request within a reasonable time from the date such request is made.  This period may not exceed thirty days from the date of such request;</w:t>
      </w:r>
    </w:p>
    <w:p w14:paraId="0FA08279" w14:textId="7D34D124" w:rsidR="004A0C95" w:rsidRPr="006815E3" w:rsidRDefault="004A0C95" w:rsidP="00216F83">
      <w:pPr>
        <w:numPr>
          <w:ilvl w:val="0"/>
          <w:numId w:val="31"/>
        </w:numPr>
        <w:tabs>
          <w:tab w:val="clear" w:pos="1095"/>
          <w:tab w:val="num" w:pos="450"/>
        </w:tabs>
        <w:ind w:left="0" w:firstLine="0"/>
        <w:rPr>
          <w:sz w:val="24"/>
        </w:rPr>
      </w:pPr>
      <w:r w:rsidRPr="006815E3">
        <w:rPr>
          <w:sz w:val="24"/>
        </w:rPr>
        <w:t xml:space="preserve">Shall record/disclose or to mark such names as “No Calls” in the </w:t>
      </w:r>
      <w:r w:rsidR="00445266" w:rsidRPr="006815E3">
        <w:rPr>
          <w:sz w:val="24"/>
        </w:rPr>
        <w:t>CRM</w:t>
      </w:r>
      <w:r w:rsidRPr="006815E3">
        <w:rPr>
          <w:sz w:val="24"/>
        </w:rPr>
        <w:t xml:space="preserve">;  </w:t>
      </w:r>
    </w:p>
    <w:p w14:paraId="1BBA23BE" w14:textId="77777777" w:rsidR="004A0C95" w:rsidRDefault="004A0C95" w:rsidP="00216F83">
      <w:pPr>
        <w:numPr>
          <w:ilvl w:val="0"/>
          <w:numId w:val="31"/>
        </w:numPr>
        <w:tabs>
          <w:tab w:val="clear" w:pos="1095"/>
          <w:tab w:val="num" w:pos="450"/>
        </w:tabs>
        <w:ind w:left="0" w:firstLine="0"/>
        <w:rPr>
          <w:sz w:val="24"/>
        </w:rPr>
      </w:pPr>
      <w:r w:rsidRPr="006815E3">
        <w:rPr>
          <w:sz w:val="24"/>
        </w:rPr>
        <w:t xml:space="preserve">Training: any personnel engaged in cold calling will be trained in Company </w:t>
      </w:r>
      <w:r>
        <w:rPr>
          <w:sz w:val="24"/>
        </w:rPr>
        <w:t>and Regulatory procedures prior to engaging in such activity;</w:t>
      </w:r>
    </w:p>
    <w:p w14:paraId="4EF9E3F3" w14:textId="77777777" w:rsidR="004A0C95" w:rsidRDefault="004A0C95" w:rsidP="00216F83">
      <w:pPr>
        <w:numPr>
          <w:ilvl w:val="0"/>
          <w:numId w:val="31"/>
        </w:numPr>
        <w:tabs>
          <w:tab w:val="clear" w:pos="1095"/>
          <w:tab w:val="num" w:pos="450"/>
        </w:tabs>
        <w:ind w:left="0" w:firstLine="0"/>
        <w:rPr>
          <w:sz w:val="24"/>
        </w:rPr>
      </w:pPr>
      <w:r>
        <w:rPr>
          <w:sz w:val="24"/>
        </w:rPr>
        <w:t>No outside telemarketing source may be utilized.</w:t>
      </w:r>
    </w:p>
    <w:p w14:paraId="63AAB665" w14:textId="77777777" w:rsidR="004A0C95" w:rsidRDefault="004A0C95" w:rsidP="00943E84">
      <w:pPr>
        <w:rPr>
          <w:sz w:val="24"/>
        </w:rPr>
      </w:pPr>
    </w:p>
    <w:p w14:paraId="272427B8" w14:textId="77777777" w:rsidR="004129B1" w:rsidRPr="00B079F1" w:rsidRDefault="000A3AFF" w:rsidP="00943E84">
      <w:pPr>
        <w:rPr>
          <w:sz w:val="24"/>
        </w:rPr>
      </w:pPr>
      <w:r w:rsidRPr="00B079F1">
        <w:rPr>
          <w:sz w:val="24"/>
        </w:rPr>
        <w:t xml:space="preserve">Company and its employees must avoid solicitation to any numbers on the National Do-Not-Call Registry established by </w:t>
      </w:r>
      <w:r w:rsidR="00943E84" w:rsidRPr="00B079F1">
        <w:rPr>
          <w:sz w:val="24"/>
        </w:rPr>
        <w:t>the FTC</w:t>
      </w:r>
      <w:r w:rsidRPr="00B079F1">
        <w:rPr>
          <w:sz w:val="24"/>
        </w:rPr>
        <w:t xml:space="preserve"> and FCC unless the person has an “established business relationship” with the Company.</w:t>
      </w:r>
    </w:p>
    <w:p w14:paraId="31148E51" w14:textId="77777777" w:rsidR="000A3AFF" w:rsidRPr="00B079F1" w:rsidRDefault="000A3AFF" w:rsidP="00943E84">
      <w:pPr>
        <w:rPr>
          <w:sz w:val="24"/>
        </w:rPr>
      </w:pPr>
    </w:p>
    <w:p w14:paraId="7CA49669" w14:textId="77777777" w:rsidR="004A0C95" w:rsidRPr="00B079F1" w:rsidRDefault="004A0C95" w:rsidP="00943E84">
      <w:pPr>
        <w:rPr>
          <w:sz w:val="24"/>
        </w:rPr>
      </w:pPr>
      <w:r w:rsidRPr="00B079F1">
        <w:rPr>
          <w:sz w:val="24"/>
        </w:rPr>
        <w:t xml:space="preserve">Further, </w:t>
      </w:r>
      <w:r w:rsidR="00E32E0B" w:rsidRPr="00B079F1">
        <w:rPr>
          <w:sz w:val="24"/>
        </w:rPr>
        <w:t xml:space="preserve">calls to customers for Company related activity or business does not apply to these requirements.  Any </w:t>
      </w:r>
      <w:r w:rsidRPr="00B079F1">
        <w:rPr>
          <w:sz w:val="24"/>
        </w:rPr>
        <w:t>Do-Not-Call list shall be maintained under the direct supervision Morris Monroe or the designated principal at each OSJ.</w:t>
      </w:r>
      <w:r w:rsidR="00E32E0B" w:rsidRPr="00B079F1">
        <w:rPr>
          <w:sz w:val="24"/>
        </w:rPr>
        <w:t xml:space="preserve">  </w:t>
      </w:r>
    </w:p>
    <w:p w14:paraId="512B23F1" w14:textId="77777777" w:rsidR="003958ED" w:rsidRPr="00B079F1" w:rsidRDefault="003958ED" w:rsidP="00943E84">
      <w:pPr>
        <w:rPr>
          <w:sz w:val="24"/>
        </w:rPr>
      </w:pPr>
    </w:p>
    <w:p w14:paraId="7F0EC0AB" w14:textId="77777777" w:rsidR="00A6503A" w:rsidRPr="00B079F1" w:rsidRDefault="003958ED" w:rsidP="00943E84">
      <w:pPr>
        <w:rPr>
          <w:sz w:val="24"/>
        </w:rPr>
      </w:pPr>
      <w:r w:rsidRPr="00B079F1">
        <w:rPr>
          <w:sz w:val="24"/>
        </w:rPr>
        <w:t xml:space="preserve">It is Company’s policy to prohibit any outbound telemarketing call that delivers a prerecorded message, any facsimile advertising or marketing, </w:t>
      </w:r>
      <w:r w:rsidR="00A6503A" w:rsidRPr="00B079F1">
        <w:rPr>
          <w:sz w:val="24"/>
        </w:rPr>
        <w:t>any wireless communication marketing</w:t>
      </w:r>
      <w:r w:rsidR="00E77E1A" w:rsidRPr="00B079F1">
        <w:rPr>
          <w:sz w:val="24"/>
        </w:rPr>
        <w:t xml:space="preserve">, or </w:t>
      </w:r>
      <w:r w:rsidR="005D6960" w:rsidRPr="00B079F1">
        <w:rPr>
          <w:sz w:val="24"/>
        </w:rPr>
        <w:t>third-party</w:t>
      </w:r>
      <w:r w:rsidR="00E77E1A" w:rsidRPr="00B079F1">
        <w:rPr>
          <w:sz w:val="24"/>
        </w:rPr>
        <w:t xml:space="preserve"> telemarketer.</w:t>
      </w:r>
      <w:r w:rsidR="00A6503A" w:rsidRPr="00B079F1">
        <w:rPr>
          <w:sz w:val="24"/>
        </w:rPr>
        <w:t xml:space="preserve"> In </w:t>
      </w:r>
      <w:r w:rsidR="005D6960" w:rsidRPr="00B079F1">
        <w:rPr>
          <w:sz w:val="24"/>
        </w:rPr>
        <w:t>addition,</w:t>
      </w:r>
      <w:r w:rsidR="00A6503A" w:rsidRPr="00B079F1">
        <w:rPr>
          <w:sz w:val="24"/>
        </w:rPr>
        <w:t xml:space="preserve"> the following are prohibited when calling customers or prospective custom</w:t>
      </w:r>
      <w:r w:rsidR="00E77E1A" w:rsidRPr="00B079F1">
        <w:rPr>
          <w:sz w:val="24"/>
        </w:rPr>
        <w:t>e</w:t>
      </w:r>
      <w:r w:rsidR="00A6503A" w:rsidRPr="00B079F1">
        <w:rPr>
          <w:sz w:val="24"/>
        </w:rPr>
        <w:t>rs:</w:t>
      </w:r>
    </w:p>
    <w:p w14:paraId="74026471" w14:textId="77777777" w:rsidR="003958ED" w:rsidRPr="00B079F1" w:rsidRDefault="00A6503A" w:rsidP="003E7B18">
      <w:pPr>
        <w:numPr>
          <w:ilvl w:val="0"/>
          <w:numId w:val="169"/>
        </w:numPr>
        <w:rPr>
          <w:sz w:val="24"/>
        </w:rPr>
      </w:pPr>
      <w:r w:rsidRPr="00B079F1">
        <w:rPr>
          <w:sz w:val="24"/>
        </w:rPr>
        <w:t xml:space="preserve"> Threats, intimidation, or use profane or obscene language;</w:t>
      </w:r>
    </w:p>
    <w:p w14:paraId="1AD43ADD" w14:textId="77777777" w:rsidR="00A6503A" w:rsidRPr="00B079F1" w:rsidRDefault="00A6503A" w:rsidP="003E7B18">
      <w:pPr>
        <w:numPr>
          <w:ilvl w:val="0"/>
          <w:numId w:val="169"/>
        </w:numPr>
        <w:rPr>
          <w:sz w:val="24"/>
        </w:rPr>
      </w:pPr>
      <w:r w:rsidRPr="00B079F1">
        <w:rPr>
          <w:sz w:val="24"/>
        </w:rPr>
        <w:t xml:space="preserve"> Calling repeatedly with intent to annoy, abuse, or harass; or</w:t>
      </w:r>
    </w:p>
    <w:p w14:paraId="5AE2F4D8" w14:textId="77777777" w:rsidR="00A6503A" w:rsidRPr="00B079F1" w:rsidRDefault="00A6503A" w:rsidP="003E7B18">
      <w:pPr>
        <w:numPr>
          <w:ilvl w:val="0"/>
          <w:numId w:val="169"/>
        </w:numPr>
        <w:rPr>
          <w:sz w:val="24"/>
        </w:rPr>
      </w:pPr>
      <w:r w:rsidRPr="00B079F1">
        <w:rPr>
          <w:sz w:val="24"/>
        </w:rPr>
        <w:t xml:space="preserve"> Using an alias.</w:t>
      </w:r>
    </w:p>
    <w:p w14:paraId="4FD7E406" w14:textId="77777777" w:rsidR="004A0C95" w:rsidRDefault="004A0C95" w:rsidP="00943E84">
      <w:pPr>
        <w:rPr>
          <w:sz w:val="24"/>
        </w:rPr>
      </w:pPr>
    </w:p>
    <w:p w14:paraId="2853A70D" w14:textId="77777777" w:rsidR="00E32E0B" w:rsidRDefault="00E32E0B" w:rsidP="00943E84"/>
    <w:p w14:paraId="2C3C74A4" w14:textId="77777777" w:rsidR="00B36D82" w:rsidRPr="00364F41" w:rsidRDefault="00364F41" w:rsidP="00936FEE">
      <w:pPr>
        <w:pStyle w:val="Heading2"/>
      </w:pPr>
      <w:r w:rsidRPr="00364F41">
        <w:lastRenderedPageBreak/>
        <w:t>9.</w:t>
      </w:r>
      <w:r w:rsidR="00943E84">
        <w:t>12</w:t>
      </w:r>
      <w:r w:rsidRPr="00364F41">
        <w:t xml:space="preserve">   </w:t>
      </w:r>
      <w:r w:rsidR="00D3578D" w:rsidRPr="00364F41">
        <w:t xml:space="preserve">Electronic Communications   </w:t>
      </w:r>
    </w:p>
    <w:p w14:paraId="26538608" w14:textId="0C327C33" w:rsidR="00D3578D" w:rsidRDefault="00D3578D" w:rsidP="00943E84">
      <w:pPr>
        <w:rPr>
          <w:sz w:val="24"/>
        </w:rPr>
      </w:pPr>
      <w:r w:rsidRPr="00AD2BAC">
        <w:rPr>
          <w:sz w:val="24"/>
        </w:rPr>
        <w:t xml:space="preserve">The following procedures have been developed by the Company to ensure that communications with the public, which are initiated by </w:t>
      </w:r>
      <w:r w:rsidR="00131A5F">
        <w:rPr>
          <w:sz w:val="24"/>
        </w:rPr>
        <w:t>Associated Persons</w:t>
      </w:r>
      <w:r w:rsidRPr="00AD2BAC">
        <w:rPr>
          <w:sz w:val="24"/>
        </w:rPr>
        <w:t xml:space="preserve"> and disseminated through electronic media, comply with the approval, recordkeeping, and filing requirements of FINRA Rules.  </w:t>
      </w:r>
      <w:r w:rsidR="00131A5F">
        <w:rPr>
          <w:sz w:val="24"/>
        </w:rPr>
        <w:t>A</w:t>
      </w:r>
      <w:r w:rsidRPr="00AD2BAC">
        <w:rPr>
          <w:sz w:val="24"/>
        </w:rPr>
        <w:t>ll communication</w:t>
      </w:r>
      <w:r w:rsidR="00131A5F">
        <w:rPr>
          <w:sz w:val="24"/>
        </w:rPr>
        <w:t>s</w:t>
      </w:r>
      <w:r w:rsidRPr="00AD2BAC">
        <w:rPr>
          <w:sz w:val="24"/>
        </w:rPr>
        <w:t xml:space="preserve"> with the public (i.e. Internet Postings), regardless of the medium, are subject to the antifraud provisions of the federal securities laws, SEC rules, and FINRA Rules. Please note however that E-Mail directed only to an individual customer, like a piece of written correspondence sent to an individual and thus not subject to the higher standards established by FINRA Rule 2210 for such communications. </w:t>
      </w:r>
    </w:p>
    <w:p w14:paraId="07D36A00" w14:textId="549641B0" w:rsidR="006E238B" w:rsidRDefault="006E238B" w:rsidP="00943E84">
      <w:pPr>
        <w:rPr>
          <w:sz w:val="24"/>
        </w:rPr>
      </w:pPr>
    </w:p>
    <w:p w14:paraId="554E7C12" w14:textId="673C0844" w:rsidR="006E238B" w:rsidRPr="006E238B" w:rsidRDefault="006E238B" w:rsidP="006E238B">
      <w:pPr>
        <w:pStyle w:val="NormalWeb"/>
        <w:spacing w:before="0" w:beforeAutospacing="0" w:after="60" w:afterAutospacing="0" w:line="240" w:lineRule="atLeast"/>
        <w:rPr>
          <w:rFonts w:ascii="Times New Roman" w:eastAsia="Times New Roman" w:hAnsi="Times New Roman" w:cs="Times New Roman"/>
          <w:color w:val="FF0000"/>
          <w:spacing w:val="8"/>
        </w:rPr>
      </w:pPr>
      <w:r w:rsidRPr="006E238B">
        <w:rPr>
          <w:rFonts w:ascii="Times New Roman" w:hAnsi="Times New Roman" w:cs="Times New Roman"/>
          <w:color w:val="FF0000"/>
          <w:spacing w:val="8"/>
          <w:shd w:val="clear" w:color="auto" w:fill="FFFFFF"/>
        </w:rPr>
        <w:t xml:space="preserve">Communications relating to Company's business MUST be communicated through </w:t>
      </w:r>
      <w:r>
        <w:rPr>
          <w:rFonts w:ascii="Times New Roman" w:hAnsi="Times New Roman" w:cs="Times New Roman"/>
          <w:color w:val="FF0000"/>
          <w:spacing w:val="8"/>
          <w:shd w:val="clear" w:color="auto" w:fill="FFFFFF"/>
        </w:rPr>
        <w:t>Company</w:t>
      </w:r>
      <w:r w:rsidRPr="006E238B">
        <w:rPr>
          <w:rFonts w:ascii="Times New Roman" w:hAnsi="Times New Roman" w:cs="Times New Roman"/>
          <w:color w:val="FF0000"/>
          <w:spacing w:val="8"/>
          <w:shd w:val="clear" w:color="auto" w:fill="FFFFFF"/>
        </w:rPr>
        <w:t xml:space="preserve">-provided or </w:t>
      </w:r>
      <w:r>
        <w:rPr>
          <w:rFonts w:ascii="Times New Roman" w:hAnsi="Times New Roman" w:cs="Times New Roman"/>
          <w:color w:val="FF0000"/>
          <w:spacing w:val="8"/>
          <w:shd w:val="clear" w:color="auto" w:fill="FFFFFF"/>
        </w:rPr>
        <w:t>Company</w:t>
      </w:r>
      <w:r w:rsidRPr="006E238B">
        <w:rPr>
          <w:rFonts w:ascii="Times New Roman" w:hAnsi="Times New Roman" w:cs="Times New Roman"/>
          <w:color w:val="FF0000"/>
          <w:spacing w:val="8"/>
          <w:shd w:val="clear" w:color="auto" w:fill="FFFFFF"/>
        </w:rPr>
        <w:t>-approved systems, devices, and channels. Important federal and SRO regulations require the retention of copies of ALL business communications, and failure to comply has resulted in multi-million-dollar fines against firms and individuals.</w:t>
      </w:r>
      <w:r>
        <w:rPr>
          <w:rFonts w:ascii="Times New Roman" w:hAnsi="Times New Roman" w:cs="Times New Roman"/>
          <w:color w:val="FF0000"/>
          <w:spacing w:val="8"/>
          <w:shd w:val="clear" w:color="auto" w:fill="FFFFFF"/>
        </w:rPr>
        <w:t xml:space="preserve"> </w:t>
      </w:r>
      <w:r w:rsidRPr="006E238B">
        <w:rPr>
          <w:rFonts w:ascii="Times New Roman" w:hAnsi="Times New Roman" w:cs="Times New Roman"/>
          <w:color w:val="FF0000"/>
          <w:spacing w:val="8"/>
          <w:shd w:val="clear" w:color="auto" w:fill="FFFFFF"/>
        </w:rPr>
        <w:t xml:space="preserve"> Company has established procedures for retaining records of communications through its systems, devices, and channels.  </w:t>
      </w:r>
      <w:r w:rsidRPr="006E238B">
        <w:rPr>
          <w:rFonts w:ascii="Times New Roman" w:eastAsia="Times New Roman" w:hAnsi="Times New Roman" w:cs="Times New Roman"/>
          <w:color w:val="FF0000"/>
          <w:spacing w:val="8"/>
        </w:rPr>
        <w:t>This means:</w:t>
      </w:r>
    </w:p>
    <w:p w14:paraId="3EFAAA70" w14:textId="77777777" w:rsidR="006E238B" w:rsidRPr="006E238B" w:rsidRDefault="006E238B" w:rsidP="006E238B">
      <w:pPr>
        <w:numPr>
          <w:ilvl w:val="0"/>
          <w:numId w:val="408"/>
        </w:numPr>
        <w:spacing w:after="60"/>
        <w:rPr>
          <w:color w:val="FF0000"/>
          <w:spacing w:val="8"/>
          <w:sz w:val="24"/>
          <w:szCs w:val="24"/>
        </w:rPr>
      </w:pPr>
      <w:r w:rsidRPr="006E238B">
        <w:rPr>
          <w:color w:val="FF0000"/>
          <w:spacing w:val="8"/>
          <w:sz w:val="24"/>
          <w:szCs w:val="24"/>
        </w:rPr>
        <w:t>Personal phones or other personal devices may NOT be used for business communications.</w:t>
      </w:r>
    </w:p>
    <w:p w14:paraId="316953BE" w14:textId="77777777" w:rsidR="006E238B" w:rsidRPr="006E238B" w:rsidRDefault="006E238B" w:rsidP="006E238B">
      <w:pPr>
        <w:numPr>
          <w:ilvl w:val="0"/>
          <w:numId w:val="408"/>
        </w:numPr>
        <w:spacing w:before="100" w:beforeAutospacing="1" w:after="100" w:afterAutospacing="1"/>
        <w:rPr>
          <w:color w:val="FF0000"/>
          <w:spacing w:val="8"/>
          <w:sz w:val="24"/>
          <w:szCs w:val="24"/>
        </w:rPr>
      </w:pPr>
      <w:r w:rsidRPr="006E238B">
        <w:rPr>
          <w:color w:val="FF0000"/>
          <w:spacing w:val="8"/>
          <w:sz w:val="24"/>
          <w:szCs w:val="24"/>
        </w:rPr>
        <w:t>Outside channels such as Facebook, Twitter, and others may NOT be used for communicating with customers, prospects, broker-dealers, or anyone else regarding Firm-related business matters.</w:t>
      </w:r>
    </w:p>
    <w:p w14:paraId="30BE7DAF" w14:textId="77777777" w:rsidR="006E238B" w:rsidRPr="006E238B" w:rsidRDefault="006E238B" w:rsidP="006E238B">
      <w:pPr>
        <w:numPr>
          <w:ilvl w:val="0"/>
          <w:numId w:val="408"/>
        </w:numPr>
        <w:spacing w:before="100" w:beforeAutospacing="1" w:after="100" w:afterAutospacing="1"/>
        <w:rPr>
          <w:color w:val="FF0000"/>
          <w:spacing w:val="8"/>
          <w:sz w:val="24"/>
          <w:szCs w:val="24"/>
        </w:rPr>
      </w:pPr>
      <w:r w:rsidRPr="006E238B">
        <w:rPr>
          <w:color w:val="FF0000"/>
          <w:spacing w:val="8"/>
          <w:sz w:val="24"/>
          <w:szCs w:val="24"/>
        </w:rPr>
        <w:t>Violation of these requirements may result in termination.</w:t>
      </w:r>
    </w:p>
    <w:p w14:paraId="16E87E5D" w14:textId="77777777" w:rsidR="006E238B" w:rsidRPr="006E238B" w:rsidRDefault="006E238B" w:rsidP="006E238B">
      <w:pPr>
        <w:spacing w:before="15" w:after="100" w:afterAutospacing="1" w:line="240" w:lineRule="atLeast"/>
        <w:rPr>
          <w:color w:val="FF0000"/>
          <w:spacing w:val="8"/>
          <w:sz w:val="24"/>
          <w:szCs w:val="24"/>
        </w:rPr>
      </w:pPr>
      <w:r w:rsidRPr="006E238B">
        <w:rPr>
          <w:color w:val="FF0000"/>
          <w:spacing w:val="8"/>
          <w:sz w:val="24"/>
          <w:szCs w:val="24"/>
        </w:rPr>
        <w:t>Questions regarding allowable communications should be referred to Compliance.</w:t>
      </w:r>
    </w:p>
    <w:p w14:paraId="3BD3D981" w14:textId="77777777" w:rsidR="00FD1CF6" w:rsidRPr="00FD1CF6" w:rsidRDefault="00364F41" w:rsidP="00943E84">
      <w:pPr>
        <w:pStyle w:val="Heading3"/>
        <w:jc w:val="left"/>
      </w:pPr>
      <w:r>
        <w:t>9.</w:t>
      </w:r>
      <w:r w:rsidR="00943E84">
        <w:t>12</w:t>
      </w:r>
      <w:r>
        <w:t xml:space="preserve">.1 </w:t>
      </w:r>
      <w:r w:rsidR="00FD1CF6">
        <w:t>Email</w:t>
      </w:r>
    </w:p>
    <w:p w14:paraId="494C0BF2" w14:textId="588BD9FA" w:rsidR="00D3578D" w:rsidRPr="006815E3" w:rsidRDefault="00D3578D" w:rsidP="00943E84">
      <w:pPr>
        <w:ind w:left="270"/>
        <w:rPr>
          <w:sz w:val="36"/>
        </w:rPr>
      </w:pPr>
      <w:r>
        <w:rPr>
          <w:sz w:val="24"/>
        </w:rPr>
        <w:t xml:space="preserve">Just as with written correspondence as outlined previously under “Correspondence,” electronic communications must be reviewed and approved in writing by a designated principal.  </w:t>
      </w:r>
      <w:r w:rsidR="00BC3309">
        <w:rPr>
          <w:sz w:val="24"/>
        </w:rPr>
        <w:t>T</w:t>
      </w:r>
      <w:r>
        <w:rPr>
          <w:sz w:val="24"/>
        </w:rPr>
        <w:t xml:space="preserve">his review does not have to occur prior to sending to a client if a supervisory system is in place to assure </w:t>
      </w:r>
      <w:r w:rsidR="00943E84">
        <w:rPr>
          <w:sz w:val="24"/>
        </w:rPr>
        <w:t xml:space="preserve">random </w:t>
      </w:r>
      <w:r>
        <w:rPr>
          <w:sz w:val="24"/>
        </w:rPr>
        <w:t xml:space="preserve">principal review of such transmissions and that the registered individuals of the Company are educated regarding the appropriate procedures and rules governing such activity. </w:t>
      </w:r>
      <w:r w:rsidR="006D54CB">
        <w:rPr>
          <w:sz w:val="24"/>
        </w:rPr>
        <w:t xml:space="preserve"> </w:t>
      </w:r>
      <w:r w:rsidR="006D54CB" w:rsidRPr="006815E3">
        <w:rPr>
          <w:spacing w:val="8"/>
          <w:sz w:val="24"/>
          <w:szCs w:val="18"/>
          <w:shd w:val="clear" w:color="auto" w:fill="FFFFFF"/>
        </w:rPr>
        <w:t>The use of personal e-mail accounts for business communications is prohibited.</w:t>
      </w:r>
    </w:p>
    <w:p w14:paraId="057313D7" w14:textId="77777777" w:rsidR="00BC3309" w:rsidRDefault="00BC3309" w:rsidP="00943E84">
      <w:pPr>
        <w:ind w:left="270"/>
        <w:rPr>
          <w:sz w:val="24"/>
        </w:rPr>
      </w:pPr>
    </w:p>
    <w:p w14:paraId="2ACCD92D" w14:textId="77777777" w:rsidR="00BC3309" w:rsidRPr="00712B06" w:rsidRDefault="00BC3309" w:rsidP="00943E84">
      <w:pPr>
        <w:ind w:left="270"/>
        <w:rPr>
          <w:sz w:val="24"/>
        </w:rPr>
      </w:pPr>
      <w:r>
        <w:rPr>
          <w:sz w:val="24"/>
        </w:rPr>
        <w:t>Electronic correspondence is reco</w:t>
      </w:r>
      <w:r w:rsidR="00593EE9">
        <w:rPr>
          <w:sz w:val="24"/>
        </w:rPr>
        <w:t>rded and archived for retrieval</w:t>
      </w:r>
      <w:r w:rsidR="005262CC">
        <w:rPr>
          <w:sz w:val="24"/>
        </w:rPr>
        <w:t>. E</w:t>
      </w:r>
      <w:r w:rsidRPr="00712B06">
        <w:rPr>
          <w:sz w:val="24"/>
        </w:rPr>
        <w:t xml:space="preserve">mails related to securities business will be maintained for a period of three years.  All reviewed emails </w:t>
      </w:r>
      <w:r w:rsidR="00CA77F4" w:rsidRPr="00712B06">
        <w:rPr>
          <w:sz w:val="24"/>
        </w:rPr>
        <w:t xml:space="preserve">are maintained </w:t>
      </w:r>
      <w:r w:rsidRPr="00712B06">
        <w:rPr>
          <w:sz w:val="24"/>
        </w:rPr>
        <w:t xml:space="preserve">in </w:t>
      </w:r>
      <w:r w:rsidR="00820BDA" w:rsidRPr="00593EE9">
        <w:rPr>
          <w:sz w:val="24"/>
        </w:rPr>
        <w:t>the compliance portal</w:t>
      </w:r>
      <w:r w:rsidR="00CA77F4" w:rsidRPr="00593EE9">
        <w:rPr>
          <w:sz w:val="24"/>
        </w:rPr>
        <w:t xml:space="preserve"> </w:t>
      </w:r>
      <w:r w:rsidR="00CA77F4" w:rsidRPr="00712B06">
        <w:rPr>
          <w:sz w:val="24"/>
        </w:rPr>
        <w:t xml:space="preserve">and </w:t>
      </w:r>
      <w:r w:rsidRPr="00712B06">
        <w:rPr>
          <w:sz w:val="24"/>
        </w:rPr>
        <w:t xml:space="preserve">currently </w:t>
      </w:r>
      <w:r w:rsidR="00CA77F4" w:rsidRPr="00712B06">
        <w:rPr>
          <w:sz w:val="24"/>
        </w:rPr>
        <w:t xml:space="preserve">reviewed </w:t>
      </w:r>
      <w:r w:rsidRPr="00712B06">
        <w:rPr>
          <w:sz w:val="24"/>
        </w:rPr>
        <w:t xml:space="preserve">by Laura Hendricks at a minimum </w:t>
      </w:r>
      <w:r w:rsidR="00CA77F4" w:rsidRPr="00712B06">
        <w:rPr>
          <w:sz w:val="24"/>
        </w:rPr>
        <w:t xml:space="preserve">a random selection </w:t>
      </w:r>
      <w:r w:rsidRPr="00712B06">
        <w:rPr>
          <w:sz w:val="24"/>
        </w:rPr>
        <w:t xml:space="preserve">weekly, </w:t>
      </w:r>
      <w:r w:rsidR="00CA77F4" w:rsidRPr="00712B06">
        <w:rPr>
          <w:sz w:val="24"/>
        </w:rPr>
        <w:t>as evidenced as “Reviewed” in the database</w:t>
      </w:r>
      <w:r w:rsidRPr="00712B06">
        <w:rPr>
          <w:sz w:val="24"/>
        </w:rPr>
        <w:t xml:space="preserve">.  </w:t>
      </w:r>
    </w:p>
    <w:p w14:paraId="0FB4646C" w14:textId="77777777" w:rsidR="00BC3309" w:rsidRDefault="00BC3309" w:rsidP="00943E84">
      <w:pPr>
        <w:ind w:left="270"/>
        <w:rPr>
          <w:sz w:val="24"/>
        </w:rPr>
      </w:pPr>
    </w:p>
    <w:p w14:paraId="167D4B3E" w14:textId="1ABA2DA3" w:rsidR="00FD1CF6" w:rsidRPr="00AD2BAC" w:rsidRDefault="00FD1CF6" w:rsidP="00943E84">
      <w:pPr>
        <w:ind w:left="270"/>
        <w:rPr>
          <w:sz w:val="24"/>
        </w:rPr>
      </w:pPr>
      <w:r w:rsidRPr="00AD2BAC">
        <w:rPr>
          <w:sz w:val="24"/>
        </w:rPr>
        <w:t xml:space="preserve">If the reviewer feels that the correspondence may conflict with </w:t>
      </w:r>
      <w:r w:rsidR="00E429F5">
        <w:rPr>
          <w:sz w:val="24"/>
        </w:rPr>
        <w:t>regulatory</w:t>
      </w:r>
      <w:r w:rsidRPr="00AD2BAC">
        <w:rPr>
          <w:sz w:val="24"/>
        </w:rPr>
        <w:t xml:space="preserve"> standards, the reviewer shall consult with the representative, possibly take corrective </w:t>
      </w:r>
      <w:r w:rsidR="006815E3" w:rsidRPr="00AD2BAC">
        <w:rPr>
          <w:sz w:val="24"/>
        </w:rPr>
        <w:t>action,</w:t>
      </w:r>
      <w:r w:rsidRPr="00AD2BAC">
        <w:rPr>
          <w:sz w:val="24"/>
        </w:rPr>
        <w:t xml:space="preserve"> and contact </w:t>
      </w:r>
      <w:r w:rsidR="00E429F5">
        <w:rPr>
          <w:sz w:val="24"/>
        </w:rPr>
        <w:t xml:space="preserve">any applicable </w:t>
      </w:r>
      <w:r w:rsidRPr="00AD2BAC">
        <w:rPr>
          <w:sz w:val="24"/>
        </w:rPr>
        <w:t>customer either verbally or in writing, if appropriate, in order to clarify any possible misunderstandings.  Records of such actions and all approved e-mail correspondence will be retained for three (3) years, two (2) in an easily accessible location.</w:t>
      </w:r>
    </w:p>
    <w:p w14:paraId="5FBC525A" w14:textId="77777777" w:rsidR="00FD1CF6" w:rsidRDefault="00FD1CF6" w:rsidP="00943E84">
      <w:pPr>
        <w:ind w:left="270"/>
        <w:rPr>
          <w:sz w:val="24"/>
        </w:rPr>
      </w:pPr>
    </w:p>
    <w:p w14:paraId="56B035D0" w14:textId="77777777" w:rsidR="00FD1CF6" w:rsidRDefault="00AD230F" w:rsidP="00943E84">
      <w:pPr>
        <w:ind w:left="270"/>
        <w:rPr>
          <w:b/>
          <w:sz w:val="24"/>
        </w:rPr>
      </w:pPr>
      <w:r>
        <w:rPr>
          <w:sz w:val="24"/>
        </w:rPr>
        <w:t>All e</w:t>
      </w:r>
      <w:r w:rsidR="00FD1CF6">
        <w:rPr>
          <w:sz w:val="24"/>
        </w:rPr>
        <w:t xml:space="preserve">mails qualifying as </w:t>
      </w:r>
      <w:r w:rsidR="00943E84" w:rsidRPr="00B079F1">
        <w:rPr>
          <w:sz w:val="24"/>
        </w:rPr>
        <w:t>retail communications</w:t>
      </w:r>
      <w:r w:rsidR="00FD1CF6">
        <w:rPr>
          <w:sz w:val="24"/>
        </w:rPr>
        <w:t xml:space="preserve"> shall be approved by a designated principal prior to dissemination.  When the E-mails are sent, a list of recipients will be attached to an approved screen print and given to Morris Monroe or the designated principal</w:t>
      </w:r>
      <w:r w:rsidR="00943E84">
        <w:rPr>
          <w:sz w:val="24"/>
        </w:rPr>
        <w:t xml:space="preserve"> for review and approval and recordkeeping.</w:t>
      </w:r>
    </w:p>
    <w:p w14:paraId="410D54B7" w14:textId="77777777" w:rsidR="00FD1CF6" w:rsidRDefault="00FD1CF6" w:rsidP="00943E84">
      <w:pPr>
        <w:ind w:left="270"/>
        <w:rPr>
          <w:b/>
          <w:sz w:val="24"/>
        </w:rPr>
      </w:pPr>
    </w:p>
    <w:p w14:paraId="3777B664" w14:textId="77777777" w:rsidR="004616BE" w:rsidRDefault="001E4E0C" w:rsidP="00943E84">
      <w:pPr>
        <w:pStyle w:val="Heading3"/>
        <w:jc w:val="left"/>
      </w:pPr>
      <w:r>
        <w:t>9</w:t>
      </w:r>
      <w:r w:rsidR="004616BE">
        <w:t>.</w:t>
      </w:r>
      <w:r>
        <w:t>12</w:t>
      </w:r>
      <w:r w:rsidR="004616BE">
        <w:t>.</w:t>
      </w:r>
      <w:r>
        <w:t>2</w:t>
      </w:r>
      <w:r w:rsidR="004616BE">
        <w:t xml:space="preserve"> </w:t>
      </w:r>
      <w:r w:rsidR="00D3578D" w:rsidRPr="00AD2BAC">
        <w:t xml:space="preserve">Instant Messaging, Text Messaging, Blogs, </w:t>
      </w:r>
      <w:r w:rsidR="006C6029">
        <w:t>Social Networks</w:t>
      </w:r>
      <w:r w:rsidR="004616BE">
        <w:t>, etc.</w:t>
      </w:r>
      <w:r w:rsidR="006C6029">
        <w:t xml:space="preserve"> </w:t>
      </w:r>
    </w:p>
    <w:p w14:paraId="069CDFDE" w14:textId="77777777" w:rsidR="00D3578D" w:rsidRDefault="004616BE" w:rsidP="00BA100A">
      <w:pPr>
        <w:ind w:left="270"/>
        <w:rPr>
          <w:bCs/>
          <w:sz w:val="24"/>
          <w:szCs w:val="24"/>
        </w:rPr>
      </w:pPr>
      <w:r w:rsidRPr="00BA100A">
        <w:rPr>
          <w:sz w:val="24"/>
          <w:szCs w:val="24"/>
        </w:rPr>
        <w:t>These</w:t>
      </w:r>
      <w:r w:rsidRPr="00BA100A">
        <w:rPr>
          <w:b/>
          <w:sz w:val="24"/>
          <w:szCs w:val="24"/>
        </w:rPr>
        <w:t xml:space="preserve"> </w:t>
      </w:r>
      <w:r w:rsidR="00D3578D" w:rsidRPr="00BA100A">
        <w:rPr>
          <w:bCs/>
          <w:sz w:val="24"/>
          <w:szCs w:val="24"/>
        </w:rPr>
        <w:t>are strictly prohibited by the Company for securities business activities</w:t>
      </w:r>
      <w:r w:rsidRPr="00BA100A">
        <w:rPr>
          <w:bCs/>
          <w:sz w:val="24"/>
          <w:szCs w:val="24"/>
        </w:rPr>
        <w:t xml:space="preserve"> when conducted </w:t>
      </w:r>
      <w:r w:rsidRPr="002C26F2">
        <w:rPr>
          <w:bCs/>
          <w:sz w:val="24"/>
          <w:szCs w:val="24"/>
        </w:rPr>
        <w:t xml:space="preserve">outside </w:t>
      </w:r>
      <w:r w:rsidR="005262CC">
        <w:rPr>
          <w:bCs/>
          <w:sz w:val="24"/>
          <w:szCs w:val="24"/>
        </w:rPr>
        <w:t xml:space="preserve">of </w:t>
      </w:r>
      <w:r w:rsidR="005262CC" w:rsidRPr="00593EE9">
        <w:rPr>
          <w:bCs/>
          <w:sz w:val="24"/>
          <w:szCs w:val="24"/>
        </w:rPr>
        <w:t xml:space="preserve">Company or </w:t>
      </w:r>
      <w:r w:rsidR="00593EE9" w:rsidRPr="002C26F2">
        <w:rPr>
          <w:bCs/>
          <w:sz w:val="24"/>
          <w:szCs w:val="24"/>
        </w:rPr>
        <w:t>archival</w:t>
      </w:r>
      <w:r w:rsidRPr="002C26F2">
        <w:rPr>
          <w:bCs/>
          <w:sz w:val="24"/>
          <w:szCs w:val="24"/>
        </w:rPr>
        <w:t xml:space="preserve"> systems</w:t>
      </w:r>
      <w:r w:rsidR="005E359B" w:rsidRPr="002C26F2">
        <w:rPr>
          <w:bCs/>
          <w:sz w:val="24"/>
          <w:szCs w:val="24"/>
        </w:rPr>
        <w:t xml:space="preserve"> by Company</w:t>
      </w:r>
      <w:r w:rsidR="00E10349" w:rsidRPr="002C26F2">
        <w:rPr>
          <w:bCs/>
          <w:sz w:val="24"/>
          <w:szCs w:val="24"/>
        </w:rPr>
        <w:t xml:space="preserve">. However, the use of a </w:t>
      </w:r>
      <w:r w:rsidR="00D52E40" w:rsidRPr="002C26F2">
        <w:rPr>
          <w:bCs/>
          <w:sz w:val="24"/>
          <w:szCs w:val="24"/>
        </w:rPr>
        <w:t xml:space="preserve">mobile </w:t>
      </w:r>
      <w:r w:rsidR="00802D83" w:rsidRPr="002C26F2">
        <w:rPr>
          <w:bCs/>
          <w:sz w:val="24"/>
          <w:szCs w:val="24"/>
        </w:rPr>
        <w:t>device</w:t>
      </w:r>
      <w:r w:rsidR="00E10349" w:rsidRPr="002C26F2">
        <w:rPr>
          <w:bCs/>
          <w:sz w:val="24"/>
          <w:szCs w:val="24"/>
        </w:rPr>
        <w:t xml:space="preserve"> for securities related emails </w:t>
      </w:r>
      <w:r w:rsidR="00281B55" w:rsidRPr="002C26F2">
        <w:rPr>
          <w:bCs/>
          <w:sz w:val="24"/>
          <w:szCs w:val="24"/>
        </w:rPr>
        <w:t>and/</w:t>
      </w:r>
      <w:r w:rsidR="00E10349" w:rsidRPr="002C26F2">
        <w:rPr>
          <w:bCs/>
          <w:sz w:val="24"/>
          <w:szCs w:val="24"/>
        </w:rPr>
        <w:t xml:space="preserve">or the use of </w:t>
      </w:r>
      <w:r w:rsidR="00D52E40" w:rsidRPr="002C26F2">
        <w:rPr>
          <w:bCs/>
          <w:sz w:val="24"/>
          <w:szCs w:val="24"/>
        </w:rPr>
        <w:t xml:space="preserve">Company </w:t>
      </w:r>
      <w:r w:rsidR="00E10349" w:rsidRPr="002C26F2">
        <w:rPr>
          <w:bCs/>
          <w:sz w:val="24"/>
          <w:szCs w:val="24"/>
        </w:rPr>
        <w:t>social network</w:t>
      </w:r>
      <w:r w:rsidR="004455F8" w:rsidRPr="002C26F2">
        <w:rPr>
          <w:bCs/>
          <w:sz w:val="24"/>
          <w:szCs w:val="24"/>
        </w:rPr>
        <w:t>s</w:t>
      </w:r>
      <w:r w:rsidR="00E10349" w:rsidRPr="002C26F2">
        <w:rPr>
          <w:bCs/>
          <w:sz w:val="24"/>
          <w:szCs w:val="24"/>
        </w:rPr>
        <w:t xml:space="preserve"> </w:t>
      </w:r>
      <w:r w:rsidR="004455F8" w:rsidRPr="002C26F2">
        <w:rPr>
          <w:bCs/>
          <w:sz w:val="24"/>
          <w:szCs w:val="24"/>
        </w:rPr>
        <w:t>such as Facebook, LinkedIn, etc</w:t>
      </w:r>
      <w:r w:rsidR="00934AD6">
        <w:rPr>
          <w:bCs/>
          <w:sz w:val="24"/>
          <w:szCs w:val="24"/>
        </w:rPr>
        <w:t>.</w:t>
      </w:r>
      <w:r w:rsidR="004455F8" w:rsidRPr="002C26F2">
        <w:rPr>
          <w:bCs/>
          <w:sz w:val="24"/>
          <w:szCs w:val="24"/>
        </w:rPr>
        <w:t xml:space="preserve">, </w:t>
      </w:r>
      <w:r w:rsidRPr="002C26F2">
        <w:rPr>
          <w:bCs/>
          <w:sz w:val="24"/>
          <w:szCs w:val="24"/>
        </w:rPr>
        <w:t>are</w:t>
      </w:r>
      <w:r w:rsidR="00E10349" w:rsidRPr="002C26F2">
        <w:rPr>
          <w:bCs/>
          <w:sz w:val="24"/>
          <w:szCs w:val="24"/>
        </w:rPr>
        <w:t xml:space="preserve"> permitted only if </w:t>
      </w:r>
      <w:r w:rsidR="00CA56D5" w:rsidRPr="002C26F2">
        <w:rPr>
          <w:bCs/>
          <w:sz w:val="24"/>
          <w:szCs w:val="24"/>
        </w:rPr>
        <w:t xml:space="preserve">communications are </w:t>
      </w:r>
      <w:r w:rsidR="00E10349" w:rsidRPr="002C26F2">
        <w:rPr>
          <w:bCs/>
          <w:sz w:val="24"/>
          <w:szCs w:val="24"/>
        </w:rPr>
        <w:t>conducted through the Company email system</w:t>
      </w:r>
      <w:r w:rsidR="00CA56D5" w:rsidRPr="002C26F2">
        <w:rPr>
          <w:bCs/>
          <w:sz w:val="24"/>
          <w:szCs w:val="24"/>
        </w:rPr>
        <w:t xml:space="preserve"> and</w:t>
      </w:r>
      <w:r w:rsidR="00D52E40" w:rsidRPr="002C26F2">
        <w:rPr>
          <w:bCs/>
          <w:sz w:val="24"/>
          <w:szCs w:val="24"/>
        </w:rPr>
        <w:t>/or</w:t>
      </w:r>
      <w:r w:rsidR="00CA56D5" w:rsidRPr="002C26F2">
        <w:rPr>
          <w:bCs/>
          <w:sz w:val="24"/>
          <w:szCs w:val="24"/>
        </w:rPr>
        <w:t xml:space="preserve"> Company </w:t>
      </w:r>
      <w:r w:rsidR="00444D6D" w:rsidRPr="002C26F2">
        <w:rPr>
          <w:bCs/>
          <w:sz w:val="24"/>
          <w:szCs w:val="24"/>
        </w:rPr>
        <w:t>can</w:t>
      </w:r>
      <w:r w:rsidR="005E359B" w:rsidRPr="002C26F2">
        <w:rPr>
          <w:bCs/>
          <w:sz w:val="24"/>
          <w:szCs w:val="24"/>
        </w:rPr>
        <w:t xml:space="preserve"> maintain </w:t>
      </w:r>
      <w:r w:rsidR="00CA56D5" w:rsidRPr="002C26F2">
        <w:rPr>
          <w:bCs/>
          <w:sz w:val="24"/>
          <w:szCs w:val="24"/>
        </w:rPr>
        <w:t>a</w:t>
      </w:r>
      <w:r w:rsidR="00CA56D5" w:rsidRPr="00BA100A">
        <w:rPr>
          <w:bCs/>
          <w:sz w:val="24"/>
          <w:szCs w:val="24"/>
        </w:rPr>
        <w:t>ny profile or site pages.</w:t>
      </w:r>
      <w:r w:rsidR="004455F8" w:rsidRPr="00BA100A">
        <w:rPr>
          <w:bCs/>
          <w:sz w:val="24"/>
          <w:szCs w:val="24"/>
        </w:rPr>
        <w:t xml:space="preserve"> </w:t>
      </w:r>
      <w:r w:rsidR="00D3578D" w:rsidRPr="00BA100A">
        <w:rPr>
          <w:bCs/>
          <w:sz w:val="24"/>
          <w:szCs w:val="24"/>
        </w:rPr>
        <w:t xml:space="preserve">  </w:t>
      </w:r>
      <w:r w:rsidR="00BA100A" w:rsidRPr="00217738">
        <w:rPr>
          <w:bCs/>
          <w:sz w:val="24"/>
          <w:szCs w:val="24"/>
        </w:rPr>
        <w:t xml:space="preserve">In addition, Company </w:t>
      </w:r>
      <w:r w:rsidR="00BA100A" w:rsidRPr="00217738">
        <w:rPr>
          <w:sz w:val="24"/>
          <w:szCs w:val="24"/>
        </w:rPr>
        <w:t>and its employees are prohibited from sponsoring a social media site or using a communication device that includes technology which automatically erases or deletes content.</w:t>
      </w:r>
      <w:r w:rsidR="00BA100A">
        <w:rPr>
          <w:color w:val="FF0000"/>
          <w:sz w:val="24"/>
          <w:szCs w:val="24"/>
        </w:rPr>
        <w:t xml:space="preserve">  </w:t>
      </w:r>
      <w:r w:rsidR="00E10349" w:rsidRPr="00BA100A">
        <w:rPr>
          <w:bCs/>
          <w:sz w:val="24"/>
          <w:szCs w:val="24"/>
        </w:rPr>
        <w:t xml:space="preserve">Company Associated Persons certify annually their </w:t>
      </w:r>
      <w:r w:rsidR="00037096" w:rsidRPr="00BA100A">
        <w:rPr>
          <w:bCs/>
          <w:sz w:val="24"/>
          <w:szCs w:val="24"/>
        </w:rPr>
        <w:t>nonuse</w:t>
      </w:r>
      <w:r w:rsidR="00E10349" w:rsidRPr="00BA100A">
        <w:rPr>
          <w:bCs/>
          <w:sz w:val="24"/>
          <w:szCs w:val="24"/>
        </w:rPr>
        <w:t xml:space="preserve"> of </w:t>
      </w:r>
      <w:r w:rsidR="00F20C03" w:rsidRPr="00BA100A">
        <w:rPr>
          <w:bCs/>
          <w:sz w:val="24"/>
          <w:szCs w:val="24"/>
        </w:rPr>
        <w:t xml:space="preserve">securities related </w:t>
      </w:r>
      <w:r w:rsidR="00E10349" w:rsidRPr="00BA100A">
        <w:rPr>
          <w:bCs/>
          <w:sz w:val="24"/>
          <w:szCs w:val="24"/>
        </w:rPr>
        <w:t>outside electronic communications</w:t>
      </w:r>
      <w:r w:rsidR="00D3578D" w:rsidRPr="00BA100A">
        <w:rPr>
          <w:bCs/>
          <w:sz w:val="24"/>
          <w:szCs w:val="24"/>
        </w:rPr>
        <w:t xml:space="preserve">.  </w:t>
      </w:r>
      <w:r w:rsidR="004455F8" w:rsidRPr="00BA100A">
        <w:rPr>
          <w:bCs/>
          <w:sz w:val="24"/>
          <w:szCs w:val="24"/>
        </w:rPr>
        <w:t xml:space="preserve">First </w:t>
      </w:r>
      <w:r w:rsidR="00D3578D" w:rsidRPr="00BA100A">
        <w:rPr>
          <w:bCs/>
          <w:sz w:val="24"/>
          <w:szCs w:val="24"/>
        </w:rPr>
        <w:t xml:space="preserve">time violations will result in a warning.  Any violations subsequent to a Company warning </w:t>
      </w:r>
      <w:r w:rsidR="004455F8" w:rsidRPr="00BA100A">
        <w:rPr>
          <w:bCs/>
          <w:sz w:val="24"/>
          <w:szCs w:val="24"/>
        </w:rPr>
        <w:t>may</w:t>
      </w:r>
      <w:r w:rsidR="00D3578D" w:rsidRPr="00BA100A">
        <w:rPr>
          <w:bCs/>
          <w:sz w:val="24"/>
          <w:szCs w:val="24"/>
        </w:rPr>
        <w:t xml:space="preserve"> be grounds for </w:t>
      </w:r>
      <w:r w:rsidR="004455F8" w:rsidRPr="00BA100A">
        <w:rPr>
          <w:bCs/>
          <w:sz w:val="24"/>
          <w:szCs w:val="24"/>
        </w:rPr>
        <w:t xml:space="preserve">a fine or </w:t>
      </w:r>
      <w:r w:rsidR="00D3578D" w:rsidRPr="00BA100A">
        <w:rPr>
          <w:bCs/>
          <w:sz w:val="24"/>
          <w:szCs w:val="24"/>
        </w:rPr>
        <w:t>immediate</w:t>
      </w:r>
      <w:r w:rsidR="00D3578D" w:rsidRPr="00F20C03">
        <w:rPr>
          <w:bCs/>
        </w:rPr>
        <w:t xml:space="preserve"> </w:t>
      </w:r>
      <w:r w:rsidR="00D3578D" w:rsidRPr="00BA100A">
        <w:rPr>
          <w:bCs/>
          <w:sz w:val="24"/>
          <w:szCs w:val="24"/>
        </w:rPr>
        <w:t>termination.</w:t>
      </w:r>
    </w:p>
    <w:p w14:paraId="4B44EA57" w14:textId="77777777" w:rsidR="00BA100A" w:rsidRPr="00BA100A" w:rsidRDefault="00BA100A" w:rsidP="00BA100A">
      <w:pPr>
        <w:ind w:left="270"/>
        <w:rPr>
          <w:bCs/>
          <w:sz w:val="24"/>
          <w:szCs w:val="24"/>
        </w:rPr>
      </w:pPr>
    </w:p>
    <w:p w14:paraId="2DDEE944" w14:textId="77777777" w:rsidR="004616BE" w:rsidRDefault="004616BE" w:rsidP="00943E84">
      <w:pPr>
        <w:pStyle w:val="Heading3"/>
        <w:jc w:val="left"/>
      </w:pPr>
      <w:r>
        <w:t>9.</w:t>
      </w:r>
      <w:r w:rsidR="001E4E0C">
        <w:t>12</w:t>
      </w:r>
      <w:r>
        <w:t>.</w:t>
      </w:r>
      <w:r w:rsidR="001E4E0C">
        <w:t>3</w:t>
      </w:r>
      <w:r>
        <w:t xml:space="preserve"> </w:t>
      </w:r>
      <w:r w:rsidR="00FD1CF6">
        <w:t xml:space="preserve">Bulletin Boards </w:t>
      </w:r>
    </w:p>
    <w:p w14:paraId="5BA7B17D" w14:textId="77777777" w:rsidR="00FD1CF6" w:rsidRDefault="00FD1CF6" w:rsidP="00943E84">
      <w:pPr>
        <w:ind w:left="270"/>
        <w:rPr>
          <w:sz w:val="24"/>
        </w:rPr>
      </w:pPr>
      <w:r>
        <w:rPr>
          <w:sz w:val="24"/>
        </w:rPr>
        <w:t xml:space="preserve">With respect to communications posted by Associated Persons of the Company on electronic bulletin boards and/or message boards, such materials shall be considered </w:t>
      </w:r>
      <w:r w:rsidR="001E4E0C" w:rsidRPr="00B079F1">
        <w:rPr>
          <w:sz w:val="24"/>
        </w:rPr>
        <w:t xml:space="preserve">retail communications but do not have to be pre-approved and </w:t>
      </w:r>
      <w:r w:rsidRPr="00B079F1">
        <w:rPr>
          <w:sz w:val="24"/>
        </w:rPr>
        <w:t xml:space="preserve">shall be retained in </w:t>
      </w:r>
      <w:r w:rsidR="00D90611">
        <w:rPr>
          <w:sz w:val="24"/>
          <w:szCs w:val="24"/>
        </w:rPr>
        <w:t xml:space="preserve">the </w:t>
      </w:r>
      <w:r w:rsidR="00CD0BAC">
        <w:rPr>
          <w:sz w:val="24"/>
          <w:szCs w:val="24"/>
        </w:rPr>
        <w:t>Company</w:t>
      </w:r>
      <w:r w:rsidR="00CD0BAC" w:rsidRPr="00472765">
        <w:rPr>
          <w:sz w:val="24"/>
          <w:szCs w:val="24"/>
        </w:rPr>
        <w:t>’s books</w:t>
      </w:r>
      <w:r w:rsidRPr="00B079F1">
        <w:rPr>
          <w:sz w:val="24"/>
        </w:rPr>
        <w:t xml:space="preserve"> and records in accordance with SEC Rule 17a-3 and 17a-4. </w:t>
      </w:r>
    </w:p>
    <w:p w14:paraId="4B50F5CE" w14:textId="77777777" w:rsidR="00B079F1" w:rsidRPr="00B079F1" w:rsidRDefault="00B079F1" w:rsidP="00943E84">
      <w:pPr>
        <w:ind w:left="270"/>
        <w:rPr>
          <w:b/>
          <w:sz w:val="24"/>
        </w:rPr>
      </w:pPr>
    </w:p>
    <w:p w14:paraId="7BF2C12A" w14:textId="77777777" w:rsidR="00FD1CF6" w:rsidRPr="00FD1CF6" w:rsidRDefault="004616BE" w:rsidP="00943E84">
      <w:pPr>
        <w:pStyle w:val="Heading3"/>
        <w:jc w:val="left"/>
      </w:pPr>
      <w:r>
        <w:t>9.</w:t>
      </w:r>
      <w:r w:rsidR="001E4E0C">
        <w:t>12</w:t>
      </w:r>
      <w:r>
        <w:t>.</w:t>
      </w:r>
      <w:r w:rsidR="001E4E0C">
        <w:t>4</w:t>
      </w:r>
      <w:r>
        <w:t xml:space="preserve"> </w:t>
      </w:r>
      <w:r w:rsidR="00FD1CF6">
        <w:t>Facsimiles</w:t>
      </w:r>
    </w:p>
    <w:p w14:paraId="2AE96697" w14:textId="77777777" w:rsidR="00FD1CF6" w:rsidRDefault="00FD1CF6" w:rsidP="00943E84">
      <w:pPr>
        <w:ind w:left="270"/>
        <w:rPr>
          <w:sz w:val="24"/>
        </w:rPr>
      </w:pPr>
      <w:r>
        <w:rPr>
          <w:sz w:val="24"/>
        </w:rPr>
        <w:t xml:space="preserve">Any document that is to be sent via facsimile that qualifies as </w:t>
      </w:r>
      <w:r w:rsidR="001E4E0C" w:rsidRPr="00B079F1">
        <w:rPr>
          <w:sz w:val="24"/>
        </w:rPr>
        <w:t>retail communications</w:t>
      </w:r>
      <w:r>
        <w:rPr>
          <w:sz w:val="24"/>
        </w:rPr>
        <w:t xml:space="preserve"> or correspondence dealing with investment or securities business should be presented in hard copy form to a designated principal for review and approval. This copy will then be retained in the correspondence file along with the fax confirmation as evidence of the review and approval. The approved correspondence/fax will be retained for three (3) years, two (2) in an easily accessible location.</w:t>
      </w:r>
    </w:p>
    <w:p w14:paraId="57116BEC" w14:textId="77777777" w:rsidR="00D3578D" w:rsidRDefault="00D3578D" w:rsidP="00943E84">
      <w:pPr>
        <w:pStyle w:val="BodyText2"/>
        <w:widowControl/>
        <w:ind w:left="270"/>
        <w:rPr>
          <w:bCs/>
        </w:rPr>
      </w:pPr>
    </w:p>
    <w:p w14:paraId="526617FF" w14:textId="77777777" w:rsidR="004616BE" w:rsidRDefault="004616BE" w:rsidP="00943E84">
      <w:pPr>
        <w:pStyle w:val="Heading3"/>
        <w:jc w:val="left"/>
      </w:pPr>
      <w:r>
        <w:t>9.</w:t>
      </w:r>
      <w:r w:rsidR="001E4E0C">
        <w:t>12</w:t>
      </w:r>
      <w:r>
        <w:t>.</w:t>
      </w:r>
      <w:r w:rsidR="001E4E0C">
        <w:t>5</w:t>
      </w:r>
      <w:r>
        <w:t xml:space="preserve"> </w:t>
      </w:r>
      <w:r w:rsidR="00D3578D">
        <w:t>Website</w:t>
      </w:r>
      <w:r>
        <w:t>s</w:t>
      </w:r>
      <w:r w:rsidR="00D3578D">
        <w:t xml:space="preserve">  </w:t>
      </w:r>
    </w:p>
    <w:p w14:paraId="31B3749E" w14:textId="77777777" w:rsidR="00D3578D" w:rsidRDefault="004616BE" w:rsidP="00E4578F">
      <w:pPr>
        <w:pStyle w:val="BodyText2"/>
        <w:widowControl/>
        <w:ind w:left="270"/>
        <w:rPr>
          <w:bCs/>
        </w:rPr>
      </w:pPr>
      <w:r>
        <w:t xml:space="preserve">Websites are considered </w:t>
      </w:r>
      <w:r w:rsidR="001E4E0C" w:rsidRPr="00B079F1">
        <w:t>retail communications</w:t>
      </w:r>
      <w:r>
        <w:t xml:space="preserve"> due to general public accessibility.  </w:t>
      </w:r>
      <w:r w:rsidR="00D3578D">
        <w:rPr>
          <w:bCs/>
        </w:rPr>
        <w:t xml:space="preserve">It is the responsibility of Morris Monroe or Laura Hendricks to supervise the content of the Company’s </w:t>
      </w:r>
      <w:r>
        <w:rPr>
          <w:bCs/>
        </w:rPr>
        <w:t xml:space="preserve">and Associated Person’s </w:t>
      </w:r>
      <w:r w:rsidR="00D3578D">
        <w:rPr>
          <w:bCs/>
        </w:rPr>
        <w:t>website</w:t>
      </w:r>
      <w:r>
        <w:rPr>
          <w:bCs/>
        </w:rPr>
        <w:t>s</w:t>
      </w:r>
      <w:r w:rsidR="00D3578D">
        <w:rPr>
          <w:bCs/>
        </w:rPr>
        <w:t xml:space="preserve"> and to ensure </w:t>
      </w:r>
      <w:r w:rsidR="001E4E0C">
        <w:rPr>
          <w:bCs/>
        </w:rPr>
        <w:t>content</w:t>
      </w:r>
      <w:r w:rsidR="00D3578D">
        <w:rPr>
          <w:bCs/>
        </w:rPr>
        <w:t xml:space="preserve"> on the website </w:t>
      </w:r>
      <w:r w:rsidR="00E4578F">
        <w:rPr>
          <w:bCs/>
        </w:rPr>
        <w:t>complies</w:t>
      </w:r>
      <w:r w:rsidR="00D3578D">
        <w:rPr>
          <w:bCs/>
        </w:rPr>
        <w:t xml:space="preserve"> with the rules and regulations of the regulatory authorities.  Records of website </w:t>
      </w:r>
      <w:r w:rsidR="00A56826">
        <w:rPr>
          <w:bCs/>
        </w:rPr>
        <w:t>material</w:t>
      </w:r>
      <w:r w:rsidR="00D3578D">
        <w:rPr>
          <w:bCs/>
        </w:rPr>
        <w:t xml:space="preserve"> and evidence of review and approval shall be kept with the Company’s records for a period of three years (with 2 years readily </w:t>
      </w:r>
      <w:r w:rsidR="00D3578D" w:rsidRPr="009F0FC7">
        <w:rPr>
          <w:bCs/>
        </w:rPr>
        <w:t>acce</w:t>
      </w:r>
      <w:r w:rsidR="005434E8" w:rsidRPr="009F0FC7">
        <w:rPr>
          <w:bCs/>
        </w:rPr>
        <w:t>ssible</w:t>
      </w:r>
      <w:r w:rsidR="00D3578D">
        <w:rPr>
          <w:bCs/>
        </w:rPr>
        <w:t xml:space="preserve">).  Any </w:t>
      </w:r>
      <w:r>
        <w:rPr>
          <w:bCs/>
        </w:rPr>
        <w:t>A</w:t>
      </w:r>
      <w:r w:rsidR="00D3578D">
        <w:rPr>
          <w:bCs/>
        </w:rPr>
        <w:t xml:space="preserve">ssociated </w:t>
      </w:r>
      <w:r>
        <w:rPr>
          <w:bCs/>
        </w:rPr>
        <w:t>P</w:t>
      </w:r>
      <w:r w:rsidR="00D3578D">
        <w:rPr>
          <w:bCs/>
        </w:rPr>
        <w:t>erson intending to utilize a website other than the Company website must submit the website material for review and approval to Morris Monroe or Laura Hendricks prior to going live to the public.</w:t>
      </w:r>
      <w:r w:rsidR="00EF064E">
        <w:rPr>
          <w:bCs/>
        </w:rPr>
        <w:t xml:space="preserve">  </w:t>
      </w:r>
      <w:r w:rsidR="00EF064E" w:rsidRPr="006B1F12">
        <w:rPr>
          <w:bCs/>
        </w:rPr>
        <w:t>As part of Company’s annual examination, a review of applicable websites will be added.</w:t>
      </w:r>
    </w:p>
    <w:p w14:paraId="4C8DA937" w14:textId="77777777" w:rsidR="00E4578F" w:rsidRDefault="00E4578F" w:rsidP="00E4578F">
      <w:pPr>
        <w:rPr>
          <w:sz w:val="24"/>
          <w:szCs w:val="24"/>
        </w:rPr>
      </w:pPr>
    </w:p>
    <w:p w14:paraId="71A17852" w14:textId="77777777" w:rsidR="001F6B7C" w:rsidRPr="00217738" w:rsidRDefault="00E4578F" w:rsidP="00E4578F">
      <w:pPr>
        <w:ind w:left="270"/>
        <w:rPr>
          <w:sz w:val="24"/>
          <w:szCs w:val="24"/>
        </w:rPr>
      </w:pPr>
      <w:r w:rsidRPr="00217738">
        <w:rPr>
          <w:sz w:val="24"/>
          <w:szCs w:val="24"/>
        </w:rPr>
        <w:t xml:space="preserve">Any </w:t>
      </w:r>
      <w:r w:rsidR="003C7D84" w:rsidRPr="00217738">
        <w:rPr>
          <w:sz w:val="24"/>
          <w:szCs w:val="24"/>
        </w:rPr>
        <w:t>third-party</w:t>
      </w:r>
      <w:r w:rsidRPr="00217738">
        <w:rPr>
          <w:sz w:val="24"/>
          <w:szCs w:val="24"/>
        </w:rPr>
        <w:t xml:space="preserve"> data feeds tied to Company's or an RR's web site must be reviewed by Compliance prior to use.  Reviews will identify the proficiency of the data provider to feed accurate and timely information. Compliance will regularly review the data feeds for red flags indicating the data may not be </w:t>
      </w:r>
      <w:r w:rsidR="00037096" w:rsidRPr="00217738">
        <w:rPr>
          <w:sz w:val="24"/>
          <w:szCs w:val="24"/>
        </w:rPr>
        <w:t>accurate and</w:t>
      </w:r>
      <w:r w:rsidRPr="00217738">
        <w:rPr>
          <w:sz w:val="24"/>
          <w:szCs w:val="24"/>
        </w:rPr>
        <w:t xml:space="preserve"> will take corrective action as necessary.  </w:t>
      </w:r>
      <w:r w:rsidR="001F6B7C" w:rsidRPr="00217738">
        <w:rPr>
          <w:sz w:val="24"/>
          <w:szCs w:val="24"/>
        </w:rPr>
        <w:t>Currently, Company’s data feeds include:</w:t>
      </w:r>
    </w:p>
    <w:p w14:paraId="5A91DDB8" w14:textId="77777777" w:rsidR="00557BA9" w:rsidRPr="00217738" w:rsidRDefault="00557BA9" w:rsidP="00E4578F">
      <w:pPr>
        <w:ind w:left="270"/>
      </w:pPr>
    </w:p>
    <w:p w14:paraId="28F3C678" w14:textId="77777777" w:rsidR="001F6B7C" w:rsidRPr="00217738" w:rsidRDefault="001F6B7C" w:rsidP="003E7B18">
      <w:pPr>
        <w:numPr>
          <w:ilvl w:val="0"/>
          <w:numId w:val="217"/>
        </w:numPr>
        <w:rPr>
          <w:sz w:val="24"/>
          <w:szCs w:val="24"/>
        </w:rPr>
      </w:pPr>
      <w:r w:rsidRPr="00217738">
        <w:rPr>
          <w:sz w:val="24"/>
          <w:szCs w:val="24"/>
        </w:rPr>
        <w:t>A market snapshot; and</w:t>
      </w:r>
    </w:p>
    <w:p w14:paraId="2B11AF47" w14:textId="77777777" w:rsidR="001F6B7C" w:rsidRPr="00217738" w:rsidRDefault="001F6B7C" w:rsidP="003E7B18">
      <w:pPr>
        <w:numPr>
          <w:ilvl w:val="0"/>
          <w:numId w:val="217"/>
        </w:numPr>
        <w:rPr>
          <w:sz w:val="24"/>
          <w:szCs w:val="24"/>
        </w:rPr>
      </w:pPr>
      <w:r w:rsidRPr="00217738">
        <w:rPr>
          <w:sz w:val="24"/>
          <w:szCs w:val="24"/>
        </w:rPr>
        <w:t>Headline news.</w:t>
      </w:r>
    </w:p>
    <w:p w14:paraId="607E0DC8" w14:textId="77777777" w:rsidR="00557BA9" w:rsidRPr="00217738" w:rsidRDefault="00557BA9" w:rsidP="00E4578F">
      <w:pPr>
        <w:ind w:left="270"/>
      </w:pPr>
    </w:p>
    <w:p w14:paraId="5EE3AD70" w14:textId="77777777" w:rsidR="00E4578F" w:rsidRPr="00217738" w:rsidRDefault="00E4578F" w:rsidP="00E4578F">
      <w:pPr>
        <w:ind w:left="270"/>
        <w:rPr>
          <w:sz w:val="24"/>
          <w:szCs w:val="24"/>
        </w:rPr>
      </w:pPr>
      <w:r w:rsidRPr="00217738">
        <w:rPr>
          <w:sz w:val="24"/>
          <w:szCs w:val="24"/>
        </w:rPr>
        <w:lastRenderedPageBreak/>
        <w:t xml:space="preserve">Reviews of data feeds will be conducted on the same days as emails are reviewed in the archived system.  The log maintained for emails reviewed will also serve as the log for data feeds reviewed for those same days.  Any requests for new data providers will be advised by Compliance whether the data provider is approved and will retain records of its review.  </w:t>
      </w:r>
    </w:p>
    <w:p w14:paraId="5F817E39" w14:textId="77777777" w:rsidR="00E4578F" w:rsidRPr="00217738" w:rsidRDefault="00E4578F" w:rsidP="00943E84">
      <w:pPr>
        <w:pStyle w:val="BodyText2"/>
        <w:widowControl/>
        <w:ind w:left="270"/>
        <w:rPr>
          <w:bCs/>
        </w:rPr>
      </w:pPr>
    </w:p>
    <w:p w14:paraId="05D43710" w14:textId="77777777" w:rsidR="000C099C" w:rsidRDefault="00364F41" w:rsidP="00943E84">
      <w:pPr>
        <w:pStyle w:val="BodyText2"/>
        <w:widowControl/>
        <w:ind w:left="270"/>
      </w:pPr>
      <w:r>
        <w:rPr>
          <w:b/>
        </w:rPr>
        <w:br w:type="page"/>
      </w:r>
    </w:p>
    <w:p w14:paraId="395118EF" w14:textId="77777777" w:rsidR="00932F8D" w:rsidRDefault="00932F8D" w:rsidP="00932F8D">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137" w:name="Recordkeeping"/>
    </w:p>
    <w:p w14:paraId="77366489" w14:textId="77777777" w:rsidR="00932F8D" w:rsidRDefault="00700A8D" w:rsidP="00932F8D">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138" w:name="_Toc227820429"/>
      <w:bookmarkStart w:id="139" w:name="_Toc227821708"/>
      <w:bookmarkStart w:id="140" w:name="_Toc227821827"/>
      <w:bookmarkStart w:id="141" w:name="_Toc535916175"/>
      <w:r>
        <w:t>1</w:t>
      </w:r>
      <w:r w:rsidR="00DE3114">
        <w:t>0</w:t>
      </w:r>
      <w:r>
        <w:t>.</w:t>
      </w:r>
      <w:r w:rsidR="00FE3A30">
        <w:t xml:space="preserve">  </w:t>
      </w:r>
      <w:r w:rsidR="000C099C">
        <w:t>RECORD</w:t>
      </w:r>
      <w:r w:rsidR="00932F8D">
        <w:t>KEEPING</w:t>
      </w:r>
      <w:bookmarkEnd w:id="138"/>
      <w:bookmarkEnd w:id="139"/>
      <w:bookmarkEnd w:id="140"/>
      <w:r w:rsidR="008A130F">
        <w:t xml:space="preserve"> &amp; OPERATIONS</w:t>
      </w:r>
      <w:bookmarkEnd w:id="141"/>
    </w:p>
    <w:p w14:paraId="7CBBC231" w14:textId="77777777" w:rsidR="00932F8D" w:rsidRDefault="00932F8D" w:rsidP="00932F8D">
      <w:pPr>
        <w:pStyle w:val="Heading1"/>
        <w:pBdr>
          <w:top w:val="double" w:sz="12" w:space="1" w:color="000099"/>
          <w:left w:val="double" w:sz="12" w:space="4" w:color="000099"/>
          <w:bottom w:val="double" w:sz="12" w:space="1" w:color="000099"/>
          <w:right w:val="double" w:sz="12" w:space="4" w:color="000099"/>
        </w:pBdr>
        <w:shd w:val="pct10" w:color="0000FF" w:fill="auto"/>
        <w:jc w:val="center"/>
      </w:pPr>
    </w:p>
    <w:bookmarkEnd w:id="137"/>
    <w:p w14:paraId="4A15DDB1" w14:textId="77777777" w:rsidR="00932F8D" w:rsidRDefault="00932F8D" w:rsidP="00932F8D"/>
    <w:p w14:paraId="43E6ADEF" w14:textId="77777777" w:rsidR="00932F8D" w:rsidRPr="00932F8D" w:rsidRDefault="00932F8D" w:rsidP="00932F8D"/>
    <w:p w14:paraId="03AB937A" w14:textId="77777777" w:rsidR="00DE3114" w:rsidRPr="00C60727" w:rsidRDefault="00DE3114" w:rsidP="00936FEE">
      <w:pPr>
        <w:pStyle w:val="Heading2"/>
      </w:pPr>
      <w:r w:rsidRPr="00C60727">
        <w:t>10.1 Introduction</w:t>
      </w:r>
    </w:p>
    <w:p w14:paraId="68456724" w14:textId="7598CF60" w:rsidR="00DE3114" w:rsidRDefault="000C099C" w:rsidP="002D7AE4">
      <w:pPr>
        <w:pStyle w:val="Normal1"/>
        <w:shd w:val="clear" w:color="auto" w:fill="FFFFFF"/>
        <w:spacing w:before="0" w:after="0" w:afterAutospacing="0" w:line="240" w:lineRule="auto"/>
        <w:rPr>
          <w:sz w:val="24"/>
        </w:rPr>
      </w:pPr>
      <w:r w:rsidRPr="00944F04">
        <w:rPr>
          <w:rFonts w:ascii="Times New Roman" w:hAnsi="Times New Roman" w:cs="Times New Roman"/>
          <w:sz w:val="24"/>
          <w:szCs w:val="24"/>
        </w:rPr>
        <w:t xml:space="preserve">It is the Company's intent to conduct all recordkeeping </w:t>
      </w:r>
      <w:r w:rsidR="00D35E27">
        <w:rPr>
          <w:rFonts w:ascii="Times New Roman" w:hAnsi="Times New Roman" w:cs="Times New Roman"/>
          <w:sz w:val="24"/>
          <w:szCs w:val="24"/>
        </w:rPr>
        <w:t xml:space="preserve">and operations </w:t>
      </w:r>
      <w:r w:rsidRPr="00944F04">
        <w:rPr>
          <w:rFonts w:ascii="Times New Roman" w:hAnsi="Times New Roman" w:cs="Times New Roman"/>
          <w:sz w:val="24"/>
          <w:szCs w:val="24"/>
        </w:rPr>
        <w:t>in a highly sop</w:t>
      </w:r>
      <w:r w:rsidR="00C60727" w:rsidRPr="00944F04">
        <w:rPr>
          <w:rFonts w:ascii="Times New Roman" w:hAnsi="Times New Roman" w:cs="Times New Roman"/>
          <w:sz w:val="24"/>
          <w:szCs w:val="24"/>
        </w:rPr>
        <w:t xml:space="preserve">histicated and ethical manner and to comply with regulatory rules and requirements.  </w:t>
      </w:r>
      <w:r w:rsidR="00944F04" w:rsidRPr="00944F04">
        <w:rPr>
          <w:rFonts w:ascii="Times New Roman" w:hAnsi="Times New Roman" w:cs="Times New Roman"/>
          <w:color w:val="000000"/>
          <w:sz w:val="24"/>
          <w:szCs w:val="24"/>
        </w:rPr>
        <w:t xml:space="preserve">SEC Rule 17a-3 identifies the types of books and records to be retained by </w:t>
      </w:r>
      <w:r w:rsidR="00944F04">
        <w:rPr>
          <w:rFonts w:ascii="Times New Roman" w:hAnsi="Times New Roman" w:cs="Times New Roman"/>
          <w:color w:val="000000"/>
          <w:sz w:val="24"/>
          <w:szCs w:val="24"/>
        </w:rPr>
        <w:t>Company</w:t>
      </w:r>
      <w:r w:rsidR="00944F04" w:rsidRPr="00944F04">
        <w:rPr>
          <w:rFonts w:ascii="Times New Roman" w:hAnsi="Times New Roman" w:cs="Times New Roman"/>
          <w:color w:val="000000"/>
          <w:sz w:val="24"/>
          <w:szCs w:val="24"/>
        </w:rPr>
        <w:t xml:space="preserve"> and 17a-4 identifies the period these records are to be retained. SROs also specify certain record requirements. Designated supervisors are responsible for retaining required records for areas under their supervision.</w:t>
      </w:r>
      <w:r w:rsidR="00944F04">
        <w:rPr>
          <w:rFonts w:ascii="Times New Roman" w:hAnsi="Times New Roman" w:cs="Times New Roman"/>
          <w:color w:val="000000"/>
          <w:sz w:val="24"/>
          <w:szCs w:val="24"/>
        </w:rPr>
        <w:t xml:space="preserve">  </w:t>
      </w:r>
      <w:r w:rsidR="00944F04" w:rsidRPr="00944F04">
        <w:rPr>
          <w:rFonts w:ascii="Times New Roman" w:hAnsi="Times New Roman" w:cs="Times New Roman"/>
          <w:color w:val="000000"/>
          <w:sz w:val="24"/>
          <w:szCs w:val="24"/>
        </w:rPr>
        <w:t>Co</w:t>
      </w:r>
      <w:r w:rsidR="00944F04">
        <w:rPr>
          <w:rFonts w:ascii="Times New Roman" w:hAnsi="Times New Roman" w:cs="Times New Roman"/>
          <w:color w:val="000000"/>
          <w:sz w:val="24"/>
          <w:szCs w:val="24"/>
        </w:rPr>
        <w:t>m</w:t>
      </w:r>
      <w:r w:rsidR="00944F04" w:rsidRPr="00944F04">
        <w:rPr>
          <w:rFonts w:ascii="Times New Roman" w:hAnsi="Times New Roman" w:cs="Times New Roman"/>
          <w:color w:val="000000"/>
          <w:sz w:val="24"/>
          <w:szCs w:val="24"/>
        </w:rPr>
        <w:t>p</w:t>
      </w:r>
      <w:r w:rsidR="00944F04">
        <w:rPr>
          <w:rFonts w:ascii="Times New Roman" w:hAnsi="Times New Roman" w:cs="Times New Roman"/>
          <w:color w:val="000000"/>
          <w:sz w:val="24"/>
          <w:szCs w:val="24"/>
        </w:rPr>
        <w:t>any</w:t>
      </w:r>
      <w:r w:rsidR="00944F04" w:rsidRPr="00944F04">
        <w:rPr>
          <w:rFonts w:ascii="Times New Roman" w:hAnsi="Times New Roman" w:cs="Times New Roman"/>
          <w:color w:val="000000"/>
          <w:sz w:val="24"/>
          <w:szCs w:val="24"/>
        </w:rPr>
        <w:t xml:space="preserve"> introduces its transactions on a </w:t>
      </w:r>
      <w:r w:rsidR="0031215B" w:rsidRPr="00944F04">
        <w:rPr>
          <w:rFonts w:ascii="Times New Roman" w:hAnsi="Times New Roman" w:cs="Times New Roman"/>
          <w:color w:val="000000"/>
          <w:sz w:val="24"/>
          <w:szCs w:val="24"/>
        </w:rPr>
        <w:t>fully disclosed</w:t>
      </w:r>
      <w:r w:rsidR="00944F04" w:rsidRPr="00944F04">
        <w:rPr>
          <w:rFonts w:ascii="Times New Roman" w:hAnsi="Times New Roman" w:cs="Times New Roman"/>
          <w:color w:val="000000"/>
          <w:sz w:val="24"/>
          <w:szCs w:val="24"/>
        </w:rPr>
        <w:t xml:space="preserve"> basis to its clearing firm</w:t>
      </w:r>
      <w:r w:rsidR="00944F04">
        <w:rPr>
          <w:rFonts w:ascii="Times New Roman" w:hAnsi="Times New Roman" w:cs="Times New Roman"/>
          <w:color w:val="000000"/>
          <w:sz w:val="24"/>
          <w:szCs w:val="24"/>
        </w:rPr>
        <w:t xml:space="preserve"> and therefore</w:t>
      </w:r>
      <w:r w:rsidR="00944F04" w:rsidRPr="00944F04">
        <w:rPr>
          <w:rFonts w:ascii="Times New Roman" w:hAnsi="Times New Roman" w:cs="Times New Roman"/>
          <w:color w:val="000000"/>
          <w:sz w:val="24"/>
          <w:szCs w:val="24"/>
        </w:rPr>
        <w:t xml:space="preserve"> will rely on the clearing firm to retain certain records regarding </w:t>
      </w:r>
      <w:r w:rsidR="00944F04">
        <w:rPr>
          <w:rFonts w:ascii="Times New Roman" w:hAnsi="Times New Roman" w:cs="Times New Roman"/>
          <w:color w:val="000000"/>
          <w:sz w:val="24"/>
          <w:szCs w:val="24"/>
        </w:rPr>
        <w:t>Company’s</w:t>
      </w:r>
      <w:r w:rsidR="00944F04" w:rsidRPr="00944F04">
        <w:rPr>
          <w:rFonts w:ascii="Times New Roman" w:hAnsi="Times New Roman" w:cs="Times New Roman"/>
          <w:color w:val="000000"/>
          <w:sz w:val="24"/>
          <w:szCs w:val="24"/>
        </w:rPr>
        <w:t xml:space="preserve"> accounts and transactions.</w:t>
      </w:r>
    </w:p>
    <w:p w14:paraId="4992B648" w14:textId="77777777" w:rsidR="00C60727" w:rsidRDefault="00C60727">
      <w:pPr>
        <w:jc w:val="both"/>
        <w:rPr>
          <w:sz w:val="24"/>
        </w:rPr>
      </w:pPr>
    </w:p>
    <w:p w14:paraId="1C67B8B5" w14:textId="77777777" w:rsidR="00C60727" w:rsidRDefault="00C60727">
      <w:pPr>
        <w:jc w:val="both"/>
        <w:rPr>
          <w:sz w:val="24"/>
        </w:rPr>
      </w:pPr>
    </w:p>
    <w:p w14:paraId="5225B558" w14:textId="77777777" w:rsidR="00C60727" w:rsidRPr="00C60727" w:rsidRDefault="00C60727" w:rsidP="00936FEE">
      <w:pPr>
        <w:pStyle w:val="Heading2"/>
      </w:pPr>
      <w:r w:rsidRPr="00C60727">
        <w:t>10.2</w:t>
      </w:r>
      <w:r w:rsidR="00811B75">
        <w:t xml:space="preserve"> </w:t>
      </w:r>
      <w:r w:rsidRPr="00C60727">
        <w:t>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32"/>
        <w:gridCol w:w="7540"/>
      </w:tblGrid>
      <w:tr w:rsidR="00C60727" w:rsidRPr="00F20C03" w14:paraId="018EF721" w14:textId="77777777" w:rsidTr="005E25DD">
        <w:trPr>
          <w:tblCellSpacing w:w="0" w:type="dxa"/>
        </w:trPr>
        <w:tc>
          <w:tcPr>
            <w:tcW w:w="934" w:type="pct"/>
            <w:tcBorders>
              <w:top w:val="outset" w:sz="6" w:space="0" w:color="auto"/>
              <w:left w:val="outset" w:sz="6" w:space="0" w:color="auto"/>
              <w:bottom w:val="outset" w:sz="6" w:space="0" w:color="auto"/>
              <w:right w:val="outset" w:sz="6" w:space="0" w:color="auto"/>
            </w:tcBorders>
            <w:vAlign w:val="center"/>
          </w:tcPr>
          <w:p w14:paraId="0BAAD6A6" w14:textId="77777777" w:rsidR="00C60727" w:rsidRPr="00F20C03" w:rsidRDefault="00C60727" w:rsidP="00C60727">
            <w:pPr>
              <w:jc w:val="center"/>
              <w:rPr>
                <w:b/>
                <w:bCs/>
                <w:spacing w:val="8"/>
                <w:sz w:val="24"/>
                <w:szCs w:val="24"/>
              </w:rPr>
            </w:pPr>
            <w:r w:rsidRPr="00F20C03">
              <w:rPr>
                <w:b/>
                <w:bCs/>
                <w:spacing w:val="8"/>
                <w:sz w:val="24"/>
                <w:szCs w:val="24"/>
              </w:rPr>
              <w:t>Responsibility</w:t>
            </w:r>
          </w:p>
        </w:tc>
        <w:tc>
          <w:tcPr>
            <w:tcW w:w="4066" w:type="pct"/>
            <w:tcBorders>
              <w:top w:val="outset" w:sz="6" w:space="0" w:color="auto"/>
              <w:left w:val="outset" w:sz="6" w:space="0" w:color="auto"/>
              <w:bottom w:val="outset" w:sz="6" w:space="0" w:color="auto"/>
              <w:right w:val="outset" w:sz="6" w:space="0" w:color="auto"/>
            </w:tcBorders>
            <w:vAlign w:val="center"/>
          </w:tcPr>
          <w:p w14:paraId="33F96470" w14:textId="77777777" w:rsidR="00C60727" w:rsidRPr="00F20C03" w:rsidRDefault="00C60727" w:rsidP="00C1728B">
            <w:pPr>
              <w:numPr>
                <w:ilvl w:val="0"/>
                <w:numId w:val="59"/>
              </w:numPr>
              <w:rPr>
                <w:spacing w:val="8"/>
                <w:sz w:val="24"/>
                <w:szCs w:val="24"/>
              </w:rPr>
            </w:pPr>
            <w:r w:rsidRPr="00F20C03">
              <w:rPr>
                <w:spacing w:val="8"/>
                <w:sz w:val="24"/>
                <w:szCs w:val="24"/>
              </w:rPr>
              <w:t>Designated Supervisors or Principal</w:t>
            </w:r>
          </w:p>
        </w:tc>
      </w:tr>
      <w:tr w:rsidR="00C60727" w:rsidRPr="00F20C03" w14:paraId="2CC69FCA" w14:textId="77777777" w:rsidTr="005E25DD">
        <w:trPr>
          <w:tblCellSpacing w:w="0" w:type="dxa"/>
        </w:trPr>
        <w:tc>
          <w:tcPr>
            <w:tcW w:w="934" w:type="pct"/>
            <w:tcBorders>
              <w:top w:val="outset" w:sz="6" w:space="0" w:color="auto"/>
              <w:left w:val="outset" w:sz="6" w:space="0" w:color="auto"/>
              <w:bottom w:val="outset" w:sz="6" w:space="0" w:color="auto"/>
              <w:right w:val="outset" w:sz="6" w:space="0" w:color="auto"/>
            </w:tcBorders>
            <w:vAlign w:val="center"/>
          </w:tcPr>
          <w:p w14:paraId="64AB69AE" w14:textId="77777777" w:rsidR="00C60727" w:rsidRPr="00F20C03" w:rsidRDefault="00C60727" w:rsidP="00C60727">
            <w:pPr>
              <w:jc w:val="center"/>
              <w:rPr>
                <w:b/>
                <w:bCs/>
                <w:spacing w:val="8"/>
                <w:sz w:val="24"/>
                <w:szCs w:val="24"/>
              </w:rPr>
            </w:pPr>
            <w:r w:rsidRPr="00F20C03">
              <w:rPr>
                <w:b/>
                <w:bCs/>
                <w:spacing w:val="8"/>
                <w:sz w:val="24"/>
                <w:szCs w:val="24"/>
              </w:rPr>
              <w:t>Statutes</w:t>
            </w:r>
          </w:p>
        </w:tc>
        <w:tc>
          <w:tcPr>
            <w:tcW w:w="4066" w:type="pct"/>
            <w:tcBorders>
              <w:top w:val="outset" w:sz="6" w:space="0" w:color="auto"/>
              <w:left w:val="outset" w:sz="6" w:space="0" w:color="auto"/>
              <w:bottom w:val="outset" w:sz="6" w:space="0" w:color="auto"/>
              <w:right w:val="outset" w:sz="6" w:space="0" w:color="auto"/>
            </w:tcBorders>
            <w:vAlign w:val="center"/>
          </w:tcPr>
          <w:p w14:paraId="1F021700" w14:textId="77777777" w:rsidR="00C60727" w:rsidRPr="00F20C03" w:rsidRDefault="00C60727" w:rsidP="00C1728B">
            <w:pPr>
              <w:numPr>
                <w:ilvl w:val="0"/>
                <w:numId w:val="60"/>
              </w:numPr>
              <w:rPr>
                <w:spacing w:val="8"/>
                <w:sz w:val="24"/>
                <w:szCs w:val="24"/>
              </w:rPr>
            </w:pPr>
            <w:r w:rsidRPr="00F20C03">
              <w:rPr>
                <w:sz w:val="24"/>
                <w:szCs w:val="24"/>
              </w:rPr>
              <w:t>SEC Rule 17a-3 and 17a-4 – books and records</w:t>
            </w:r>
            <w:r w:rsidR="00AA6BE8" w:rsidRPr="00F20C03">
              <w:rPr>
                <w:sz w:val="24"/>
                <w:szCs w:val="24"/>
              </w:rPr>
              <w:t xml:space="preserve"> (34 Act Section 240)</w:t>
            </w:r>
          </w:p>
          <w:p w14:paraId="2E391153" w14:textId="77777777" w:rsidR="00C60727" w:rsidRPr="00F20C03" w:rsidRDefault="00C60727" w:rsidP="00C1728B">
            <w:pPr>
              <w:numPr>
                <w:ilvl w:val="0"/>
                <w:numId w:val="60"/>
              </w:numPr>
              <w:rPr>
                <w:spacing w:val="8"/>
                <w:sz w:val="24"/>
                <w:szCs w:val="24"/>
              </w:rPr>
            </w:pPr>
            <w:r w:rsidRPr="00F20C03">
              <w:rPr>
                <w:sz w:val="24"/>
                <w:szCs w:val="24"/>
              </w:rPr>
              <w:t>FINRA Rule 1150 – Executive Representative</w:t>
            </w:r>
          </w:p>
          <w:p w14:paraId="5E5A6B14" w14:textId="77777777" w:rsidR="00C60727" w:rsidRPr="00F20C03" w:rsidRDefault="00C60727" w:rsidP="00C1728B">
            <w:pPr>
              <w:numPr>
                <w:ilvl w:val="0"/>
                <w:numId w:val="60"/>
              </w:numPr>
              <w:rPr>
                <w:spacing w:val="8"/>
                <w:sz w:val="22"/>
                <w:szCs w:val="22"/>
              </w:rPr>
            </w:pPr>
            <w:r w:rsidRPr="00F20C03">
              <w:rPr>
                <w:sz w:val="24"/>
              </w:rPr>
              <w:t>SEC Rule 15c3-1, 15c3-3 (Rule 3140), 17a-11 – financial reporting</w:t>
            </w:r>
          </w:p>
          <w:p w14:paraId="4DCAB482" w14:textId="77777777" w:rsidR="00C60727" w:rsidRPr="00F20C03" w:rsidRDefault="00C60727" w:rsidP="00C1728B">
            <w:pPr>
              <w:numPr>
                <w:ilvl w:val="0"/>
                <w:numId w:val="60"/>
              </w:numPr>
              <w:rPr>
                <w:spacing w:val="8"/>
                <w:sz w:val="24"/>
                <w:szCs w:val="24"/>
              </w:rPr>
            </w:pPr>
            <w:r w:rsidRPr="00F20C03">
              <w:rPr>
                <w:sz w:val="24"/>
                <w:szCs w:val="24"/>
              </w:rPr>
              <w:t>FINRA Rule 2270 – Disclosing Company financial condition</w:t>
            </w:r>
          </w:p>
          <w:p w14:paraId="747BBBAF" w14:textId="77777777" w:rsidR="005438A9" w:rsidRPr="00F20C03" w:rsidRDefault="005438A9" w:rsidP="00C1728B">
            <w:pPr>
              <w:pStyle w:val="Heading3"/>
              <w:numPr>
                <w:ilvl w:val="0"/>
                <w:numId w:val="60"/>
              </w:numPr>
              <w:rPr>
                <w:b w:val="0"/>
              </w:rPr>
            </w:pPr>
            <w:r w:rsidRPr="00F20C03">
              <w:rPr>
                <w:b w:val="0"/>
              </w:rPr>
              <w:t>FINRA Rule 1010-Uniform Form Filing</w:t>
            </w:r>
          </w:p>
          <w:p w14:paraId="49DC2E52" w14:textId="77777777" w:rsidR="005438A9" w:rsidRPr="00F20C03" w:rsidRDefault="005438A9" w:rsidP="00C1728B">
            <w:pPr>
              <w:numPr>
                <w:ilvl w:val="0"/>
                <w:numId w:val="60"/>
              </w:numPr>
              <w:rPr>
                <w:rStyle w:val="us"/>
                <w:spacing w:val="8"/>
                <w:sz w:val="24"/>
                <w:szCs w:val="24"/>
              </w:rPr>
            </w:pPr>
            <w:r w:rsidRPr="00F20C03">
              <w:rPr>
                <w:rStyle w:val="us"/>
                <w:sz w:val="24"/>
                <w:szCs w:val="24"/>
              </w:rPr>
              <w:t>FINRA Rule 2263-Form U-4 Arbitration Disclosure</w:t>
            </w:r>
          </w:p>
          <w:p w14:paraId="1EE9E279" w14:textId="77777777" w:rsidR="005438A9" w:rsidRDefault="005438A9" w:rsidP="00C1728B">
            <w:pPr>
              <w:numPr>
                <w:ilvl w:val="0"/>
                <w:numId w:val="60"/>
              </w:numPr>
              <w:rPr>
                <w:sz w:val="24"/>
                <w:szCs w:val="24"/>
              </w:rPr>
            </w:pPr>
            <w:r w:rsidRPr="00F20C03">
              <w:rPr>
                <w:sz w:val="24"/>
                <w:szCs w:val="24"/>
              </w:rPr>
              <w:t>FINRA Rule 1122-Filing of Misleading Membership or Registration Information</w:t>
            </w:r>
          </w:p>
          <w:p w14:paraId="0DA1F7E7" w14:textId="77777777" w:rsidR="00FF6A52" w:rsidRDefault="00FF6A52" w:rsidP="00C1728B">
            <w:pPr>
              <w:numPr>
                <w:ilvl w:val="0"/>
                <w:numId w:val="60"/>
              </w:numPr>
              <w:rPr>
                <w:sz w:val="24"/>
                <w:szCs w:val="24"/>
              </w:rPr>
            </w:pPr>
            <w:r>
              <w:rPr>
                <w:sz w:val="24"/>
                <w:szCs w:val="24"/>
              </w:rPr>
              <w:t>FINRA Rule 4110 – Capital compliance</w:t>
            </w:r>
          </w:p>
          <w:p w14:paraId="19B01863" w14:textId="77777777" w:rsidR="00DB454A" w:rsidRDefault="00DB454A" w:rsidP="00C1728B">
            <w:pPr>
              <w:numPr>
                <w:ilvl w:val="0"/>
                <w:numId w:val="60"/>
              </w:numPr>
              <w:rPr>
                <w:sz w:val="24"/>
                <w:szCs w:val="24"/>
              </w:rPr>
            </w:pPr>
            <w:r>
              <w:rPr>
                <w:sz w:val="24"/>
                <w:szCs w:val="24"/>
              </w:rPr>
              <w:t xml:space="preserve">FINRA Rule 4140 </w:t>
            </w:r>
            <w:r w:rsidR="001D25AD">
              <w:rPr>
                <w:sz w:val="24"/>
                <w:szCs w:val="24"/>
              </w:rPr>
              <w:t>–</w:t>
            </w:r>
            <w:r>
              <w:rPr>
                <w:sz w:val="24"/>
                <w:szCs w:val="24"/>
              </w:rPr>
              <w:t xml:space="preserve"> Audit</w:t>
            </w:r>
          </w:p>
          <w:p w14:paraId="13A43BAD" w14:textId="77777777" w:rsidR="0017255E" w:rsidRPr="009F3F74" w:rsidRDefault="0017255E" w:rsidP="00C1728B">
            <w:pPr>
              <w:numPr>
                <w:ilvl w:val="0"/>
                <w:numId w:val="60"/>
              </w:numPr>
              <w:rPr>
                <w:sz w:val="24"/>
                <w:szCs w:val="24"/>
              </w:rPr>
            </w:pPr>
            <w:r w:rsidRPr="009F3F74">
              <w:rPr>
                <w:sz w:val="24"/>
                <w:szCs w:val="24"/>
              </w:rPr>
              <w:t>FINRA Rule 4150 – Guarantees by, or flow through benefits</w:t>
            </w:r>
          </w:p>
          <w:p w14:paraId="1E9207AF" w14:textId="77777777" w:rsidR="00D94504" w:rsidRPr="009F3F74" w:rsidRDefault="00D94504" w:rsidP="00C1728B">
            <w:pPr>
              <w:numPr>
                <w:ilvl w:val="0"/>
                <w:numId w:val="60"/>
              </w:numPr>
              <w:rPr>
                <w:sz w:val="24"/>
                <w:szCs w:val="24"/>
              </w:rPr>
            </w:pPr>
            <w:r w:rsidRPr="009F3F74">
              <w:rPr>
                <w:sz w:val="24"/>
                <w:szCs w:val="24"/>
              </w:rPr>
              <w:t>FINRA Rule 4160 – Verification of Assets</w:t>
            </w:r>
          </w:p>
          <w:p w14:paraId="633D8203" w14:textId="77777777" w:rsidR="001D25AD" w:rsidRPr="009F3F74" w:rsidRDefault="001D25AD" w:rsidP="00C1728B">
            <w:pPr>
              <w:numPr>
                <w:ilvl w:val="0"/>
                <w:numId w:val="60"/>
              </w:numPr>
              <w:rPr>
                <w:sz w:val="24"/>
                <w:szCs w:val="24"/>
              </w:rPr>
            </w:pPr>
            <w:r w:rsidRPr="009F3F74">
              <w:rPr>
                <w:sz w:val="24"/>
                <w:szCs w:val="24"/>
              </w:rPr>
              <w:t>SEC Rule 17a5(f) – Designation of Accountant</w:t>
            </w:r>
          </w:p>
          <w:p w14:paraId="49B1AB32" w14:textId="77777777" w:rsidR="005438A9" w:rsidRPr="009F3F74" w:rsidRDefault="00472992" w:rsidP="00C1728B">
            <w:pPr>
              <w:numPr>
                <w:ilvl w:val="0"/>
                <w:numId w:val="60"/>
              </w:numPr>
              <w:rPr>
                <w:spacing w:val="8"/>
                <w:sz w:val="24"/>
                <w:szCs w:val="24"/>
              </w:rPr>
            </w:pPr>
            <w:r w:rsidRPr="009F3F74">
              <w:rPr>
                <w:sz w:val="24"/>
              </w:rPr>
              <w:t>SEC Rule 17f-1 and 17f-2</w:t>
            </w:r>
            <w:r w:rsidR="00AA6BE8" w:rsidRPr="009F3F74">
              <w:rPr>
                <w:sz w:val="24"/>
              </w:rPr>
              <w:t xml:space="preserve"> – Lost, stolen, missing securities; and Fingerprint requirements.</w:t>
            </w:r>
          </w:p>
          <w:p w14:paraId="40016B8A" w14:textId="77777777" w:rsidR="00C60727" w:rsidRPr="009F3F74" w:rsidRDefault="00B905B6" w:rsidP="00C1728B">
            <w:pPr>
              <w:pStyle w:val="Heading3"/>
              <w:numPr>
                <w:ilvl w:val="0"/>
                <w:numId w:val="60"/>
              </w:numPr>
              <w:shd w:val="clear" w:color="auto" w:fill="FFFFFF"/>
              <w:spacing w:line="270" w:lineRule="atLeast"/>
              <w:rPr>
                <w:b w:val="0"/>
                <w:sz w:val="22"/>
                <w:szCs w:val="22"/>
              </w:rPr>
            </w:pPr>
            <w:r w:rsidRPr="009F3F74">
              <w:rPr>
                <w:b w:val="0"/>
                <w:sz w:val="22"/>
                <w:szCs w:val="22"/>
              </w:rPr>
              <w:t>FINRA Rule 8210 - Provision of Information and Testimony and Inspection and Copying of Books</w:t>
            </w:r>
          </w:p>
          <w:p w14:paraId="118766D3" w14:textId="77777777" w:rsidR="00CF10FC" w:rsidRPr="009F3F74" w:rsidRDefault="00CF10FC" w:rsidP="00C1728B">
            <w:pPr>
              <w:numPr>
                <w:ilvl w:val="0"/>
                <w:numId w:val="60"/>
              </w:numPr>
              <w:rPr>
                <w:sz w:val="24"/>
                <w:szCs w:val="24"/>
              </w:rPr>
            </w:pPr>
            <w:r w:rsidRPr="009F3F74">
              <w:rPr>
                <w:sz w:val="24"/>
                <w:szCs w:val="24"/>
              </w:rPr>
              <w:t>FINRA Rule 4511 – General Record Keeping Requirements</w:t>
            </w:r>
          </w:p>
          <w:p w14:paraId="12807064" w14:textId="77777777" w:rsidR="00CF10FC" w:rsidRPr="009F3F74" w:rsidRDefault="00CF10FC" w:rsidP="00C1728B">
            <w:pPr>
              <w:numPr>
                <w:ilvl w:val="0"/>
                <w:numId w:val="60"/>
              </w:numPr>
              <w:rPr>
                <w:sz w:val="24"/>
                <w:szCs w:val="24"/>
              </w:rPr>
            </w:pPr>
            <w:r w:rsidRPr="009F3F74">
              <w:rPr>
                <w:sz w:val="24"/>
                <w:szCs w:val="24"/>
              </w:rPr>
              <w:t>FINRA Rule 4512 – Customer Account Records</w:t>
            </w:r>
          </w:p>
          <w:p w14:paraId="64646798" w14:textId="77777777" w:rsidR="00CF10FC" w:rsidRPr="009F3F74" w:rsidRDefault="00CF10FC" w:rsidP="00C1728B">
            <w:pPr>
              <w:numPr>
                <w:ilvl w:val="0"/>
                <w:numId w:val="60"/>
              </w:numPr>
              <w:rPr>
                <w:sz w:val="24"/>
                <w:szCs w:val="24"/>
              </w:rPr>
            </w:pPr>
            <w:r w:rsidRPr="009F3F74">
              <w:rPr>
                <w:sz w:val="24"/>
                <w:szCs w:val="24"/>
              </w:rPr>
              <w:t>RINRA Rule 4513 – Customer Complaint Records</w:t>
            </w:r>
          </w:p>
          <w:p w14:paraId="7AE7260E" w14:textId="77777777" w:rsidR="00E93270" w:rsidRPr="009F3F74" w:rsidRDefault="00E93270" w:rsidP="00C1728B">
            <w:pPr>
              <w:numPr>
                <w:ilvl w:val="0"/>
                <w:numId w:val="60"/>
              </w:numPr>
              <w:rPr>
                <w:sz w:val="24"/>
                <w:szCs w:val="24"/>
              </w:rPr>
            </w:pPr>
            <w:r w:rsidRPr="009F3F74">
              <w:rPr>
                <w:sz w:val="24"/>
                <w:szCs w:val="24"/>
              </w:rPr>
              <w:t>FINRA Rule 4530 – Reporting Requirements</w:t>
            </w:r>
          </w:p>
          <w:p w14:paraId="10ABE040" w14:textId="77777777" w:rsidR="00E93270" w:rsidRPr="00E93270" w:rsidRDefault="00E93270" w:rsidP="00E93270"/>
        </w:tc>
      </w:tr>
      <w:tr w:rsidR="00C60727" w:rsidRPr="00F20C03" w14:paraId="1B443FA8" w14:textId="77777777" w:rsidTr="005E25DD">
        <w:trPr>
          <w:tblCellSpacing w:w="0" w:type="dxa"/>
        </w:trPr>
        <w:tc>
          <w:tcPr>
            <w:tcW w:w="934" w:type="pct"/>
            <w:tcBorders>
              <w:top w:val="outset" w:sz="6" w:space="0" w:color="auto"/>
              <w:left w:val="outset" w:sz="6" w:space="0" w:color="auto"/>
              <w:bottom w:val="outset" w:sz="6" w:space="0" w:color="auto"/>
              <w:right w:val="outset" w:sz="6" w:space="0" w:color="auto"/>
            </w:tcBorders>
            <w:vAlign w:val="center"/>
          </w:tcPr>
          <w:p w14:paraId="5AECC61F" w14:textId="77777777" w:rsidR="00C60727" w:rsidRPr="00F20C03" w:rsidRDefault="00C60727" w:rsidP="00C60727">
            <w:pPr>
              <w:jc w:val="center"/>
              <w:rPr>
                <w:b/>
                <w:bCs/>
                <w:spacing w:val="8"/>
                <w:sz w:val="24"/>
                <w:szCs w:val="24"/>
              </w:rPr>
            </w:pPr>
            <w:r w:rsidRPr="00F20C03">
              <w:rPr>
                <w:b/>
                <w:bCs/>
                <w:spacing w:val="8"/>
                <w:sz w:val="24"/>
                <w:szCs w:val="24"/>
              </w:rPr>
              <w:t>Frequency</w:t>
            </w:r>
          </w:p>
        </w:tc>
        <w:tc>
          <w:tcPr>
            <w:tcW w:w="4066" w:type="pct"/>
            <w:tcBorders>
              <w:top w:val="outset" w:sz="6" w:space="0" w:color="auto"/>
              <w:left w:val="outset" w:sz="6" w:space="0" w:color="auto"/>
              <w:bottom w:val="outset" w:sz="6" w:space="0" w:color="auto"/>
              <w:right w:val="outset" w:sz="6" w:space="0" w:color="auto"/>
            </w:tcBorders>
            <w:vAlign w:val="center"/>
          </w:tcPr>
          <w:p w14:paraId="487986E0" w14:textId="77777777" w:rsidR="00C60727" w:rsidRPr="00F20C03" w:rsidRDefault="00C60727" w:rsidP="00C1728B">
            <w:pPr>
              <w:numPr>
                <w:ilvl w:val="0"/>
                <w:numId w:val="60"/>
              </w:numPr>
              <w:rPr>
                <w:spacing w:val="8"/>
                <w:sz w:val="24"/>
                <w:szCs w:val="24"/>
              </w:rPr>
            </w:pPr>
            <w:r w:rsidRPr="00F20C03">
              <w:rPr>
                <w:spacing w:val="8"/>
                <w:sz w:val="24"/>
                <w:szCs w:val="24"/>
              </w:rPr>
              <w:t>As required</w:t>
            </w:r>
          </w:p>
          <w:p w14:paraId="793823A0" w14:textId="77777777" w:rsidR="00ED5519" w:rsidRPr="00F20C03" w:rsidRDefault="00ED5519" w:rsidP="00C1728B">
            <w:pPr>
              <w:numPr>
                <w:ilvl w:val="0"/>
                <w:numId w:val="60"/>
              </w:numPr>
              <w:rPr>
                <w:spacing w:val="8"/>
                <w:sz w:val="24"/>
                <w:szCs w:val="24"/>
              </w:rPr>
            </w:pPr>
            <w:r w:rsidRPr="00F20C03">
              <w:rPr>
                <w:spacing w:val="8"/>
                <w:sz w:val="24"/>
                <w:szCs w:val="24"/>
              </w:rPr>
              <w:t>Daily</w:t>
            </w:r>
          </w:p>
          <w:p w14:paraId="79BBB2AC" w14:textId="77777777" w:rsidR="00ED5519" w:rsidRPr="00F20C03" w:rsidRDefault="00ED5519" w:rsidP="00C1728B">
            <w:pPr>
              <w:numPr>
                <w:ilvl w:val="0"/>
                <w:numId w:val="60"/>
              </w:numPr>
              <w:rPr>
                <w:spacing w:val="8"/>
                <w:sz w:val="24"/>
                <w:szCs w:val="24"/>
              </w:rPr>
            </w:pPr>
            <w:r w:rsidRPr="00F20C03">
              <w:rPr>
                <w:spacing w:val="8"/>
                <w:sz w:val="24"/>
                <w:szCs w:val="24"/>
              </w:rPr>
              <w:t>Monthly preparation of reports, financials</w:t>
            </w:r>
          </w:p>
          <w:p w14:paraId="30C272F0" w14:textId="77777777" w:rsidR="00A968CE" w:rsidRPr="00F20C03" w:rsidRDefault="00A968CE" w:rsidP="00C1728B">
            <w:pPr>
              <w:numPr>
                <w:ilvl w:val="0"/>
                <w:numId w:val="60"/>
              </w:numPr>
              <w:rPr>
                <w:spacing w:val="8"/>
                <w:sz w:val="24"/>
                <w:szCs w:val="24"/>
              </w:rPr>
            </w:pPr>
            <w:proofErr w:type="spellStart"/>
            <w:r w:rsidRPr="00F20C03">
              <w:rPr>
                <w:spacing w:val="8"/>
                <w:sz w:val="24"/>
                <w:szCs w:val="24"/>
              </w:rPr>
              <w:t>Qtrly</w:t>
            </w:r>
            <w:proofErr w:type="spellEnd"/>
            <w:r w:rsidRPr="00F20C03">
              <w:rPr>
                <w:spacing w:val="8"/>
                <w:sz w:val="24"/>
                <w:szCs w:val="24"/>
              </w:rPr>
              <w:t xml:space="preserve"> Focus Reports</w:t>
            </w:r>
          </w:p>
          <w:p w14:paraId="2EC01DCE" w14:textId="77777777" w:rsidR="00ED5519" w:rsidRPr="00F20C03" w:rsidRDefault="00A968CE" w:rsidP="00C1728B">
            <w:pPr>
              <w:numPr>
                <w:ilvl w:val="0"/>
                <w:numId w:val="60"/>
              </w:numPr>
              <w:rPr>
                <w:spacing w:val="8"/>
                <w:sz w:val="24"/>
                <w:szCs w:val="24"/>
              </w:rPr>
            </w:pPr>
            <w:r w:rsidRPr="00F20C03">
              <w:rPr>
                <w:spacing w:val="8"/>
                <w:sz w:val="24"/>
                <w:szCs w:val="24"/>
              </w:rPr>
              <w:t>Annual Schedule I, Renewals</w:t>
            </w:r>
            <w:r w:rsidR="00690FA0">
              <w:rPr>
                <w:spacing w:val="8"/>
                <w:sz w:val="24"/>
                <w:szCs w:val="24"/>
              </w:rPr>
              <w:t xml:space="preserve">, </w:t>
            </w:r>
            <w:r w:rsidR="00690FA0" w:rsidRPr="00151877">
              <w:rPr>
                <w:spacing w:val="8"/>
                <w:sz w:val="24"/>
                <w:szCs w:val="24"/>
              </w:rPr>
              <w:t>Exemptions</w:t>
            </w:r>
            <w:r w:rsidR="00151877">
              <w:rPr>
                <w:spacing w:val="8"/>
                <w:sz w:val="24"/>
                <w:szCs w:val="24"/>
              </w:rPr>
              <w:t xml:space="preserve">, </w:t>
            </w:r>
            <w:r w:rsidR="00151877" w:rsidRPr="00767FD6">
              <w:rPr>
                <w:spacing w:val="8"/>
                <w:sz w:val="24"/>
                <w:szCs w:val="24"/>
              </w:rPr>
              <w:t>Certifications</w:t>
            </w:r>
          </w:p>
        </w:tc>
      </w:tr>
      <w:tr w:rsidR="00C60727" w:rsidRPr="00F20C03" w14:paraId="6450AFAA" w14:textId="77777777" w:rsidTr="005E25DD">
        <w:trPr>
          <w:tblCellSpacing w:w="0" w:type="dxa"/>
        </w:trPr>
        <w:tc>
          <w:tcPr>
            <w:tcW w:w="934" w:type="pct"/>
            <w:tcBorders>
              <w:top w:val="outset" w:sz="6" w:space="0" w:color="auto"/>
              <w:left w:val="outset" w:sz="6" w:space="0" w:color="auto"/>
              <w:bottom w:val="outset" w:sz="6" w:space="0" w:color="auto"/>
              <w:right w:val="outset" w:sz="6" w:space="0" w:color="auto"/>
            </w:tcBorders>
            <w:vAlign w:val="center"/>
          </w:tcPr>
          <w:p w14:paraId="244ABF03" w14:textId="77777777" w:rsidR="00C60727" w:rsidRPr="00F20C03" w:rsidRDefault="00C60727" w:rsidP="00C60727">
            <w:pPr>
              <w:jc w:val="center"/>
              <w:rPr>
                <w:b/>
                <w:bCs/>
                <w:spacing w:val="8"/>
                <w:sz w:val="24"/>
                <w:szCs w:val="24"/>
              </w:rPr>
            </w:pPr>
            <w:r w:rsidRPr="00F20C03">
              <w:rPr>
                <w:b/>
                <w:bCs/>
                <w:spacing w:val="8"/>
                <w:sz w:val="24"/>
                <w:szCs w:val="24"/>
              </w:rPr>
              <w:lastRenderedPageBreak/>
              <w:t>Actions</w:t>
            </w:r>
          </w:p>
        </w:tc>
        <w:tc>
          <w:tcPr>
            <w:tcW w:w="4066" w:type="pct"/>
            <w:tcBorders>
              <w:top w:val="outset" w:sz="6" w:space="0" w:color="auto"/>
              <w:left w:val="outset" w:sz="6" w:space="0" w:color="auto"/>
              <w:bottom w:val="outset" w:sz="6" w:space="0" w:color="auto"/>
              <w:right w:val="outset" w:sz="6" w:space="0" w:color="auto"/>
            </w:tcBorders>
            <w:vAlign w:val="center"/>
          </w:tcPr>
          <w:p w14:paraId="628EABA8" w14:textId="77777777" w:rsidR="00B73590" w:rsidRPr="009F3F74" w:rsidRDefault="00B73590" w:rsidP="00C1728B">
            <w:pPr>
              <w:numPr>
                <w:ilvl w:val="0"/>
                <w:numId w:val="94"/>
              </w:numPr>
              <w:rPr>
                <w:spacing w:val="8"/>
                <w:sz w:val="24"/>
                <w:szCs w:val="24"/>
              </w:rPr>
            </w:pPr>
            <w:r w:rsidRPr="009F3F74">
              <w:rPr>
                <w:spacing w:val="8"/>
                <w:sz w:val="24"/>
                <w:szCs w:val="24"/>
              </w:rPr>
              <w:t xml:space="preserve">Develop internal system or choose a vendor or other third party that meets rule requirements </w:t>
            </w:r>
          </w:p>
          <w:p w14:paraId="165C3682" w14:textId="77777777" w:rsidR="00B73590" w:rsidRPr="009F3F74" w:rsidRDefault="00B73590" w:rsidP="00C1728B">
            <w:pPr>
              <w:numPr>
                <w:ilvl w:val="0"/>
                <w:numId w:val="94"/>
              </w:numPr>
              <w:rPr>
                <w:spacing w:val="8"/>
                <w:sz w:val="24"/>
                <w:szCs w:val="24"/>
              </w:rPr>
            </w:pPr>
            <w:r w:rsidRPr="009F3F74">
              <w:rPr>
                <w:spacing w:val="8"/>
                <w:sz w:val="24"/>
                <w:szCs w:val="24"/>
              </w:rPr>
              <w:t xml:space="preserve">Contract with an independent </w:t>
            </w:r>
            <w:r w:rsidR="003C7D84" w:rsidRPr="009F3F74">
              <w:rPr>
                <w:spacing w:val="8"/>
                <w:sz w:val="24"/>
                <w:szCs w:val="24"/>
              </w:rPr>
              <w:t>third-party</w:t>
            </w:r>
            <w:r w:rsidRPr="009F3F74">
              <w:rPr>
                <w:spacing w:val="8"/>
                <w:sz w:val="24"/>
                <w:szCs w:val="24"/>
              </w:rPr>
              <w:t xml:space="preserve"> download partner, if appropriate </w:t>
            </w:r>
          </w:p>
          <w:p w14:paraId="6AA3D0F9" w14:textId="77777777" w:rsidR="00B73590" w:rsidRPr="009F3F74" w:rsidRDefault="00B73590" w:rsidP="00C1728B">
            <w:pPr>
              <w:numPr>
                <w:ilvl w:val="0"/>
                <w:numId w:val="94"/>
              </w:numPr>
              <w:rPr>
                <w:spacing w:val="8"/>
                <w:sz w:val="24"/>
                <w:szCs w:val="24"/>
              </w:rPr>
            </w:pPr>
            <w:r w:rsidRPr="009F3F74">
              <w:rPr>
                <w:spacing w:val="8"/>
                <w:sz w:val="24"/>
                <w:szCs w:val="24"/>
              </w:rPr>
              <w:t xml:space="preserve">Notify DEA when initiating electronic storage and provide third party representation </w:t>
            </w:r>
          </w:p>
          <w:p w14:paraId="2994BFB1" w14:textId="77777777" w:rsidR="00B73590" w:rsidRPr="009F3F74" w:rsidRDefault="00B73590" w:rsidP="00C1728B">
            <w:pPr>
              <w:numPr>
                <w:ilvl w:val="0"/>
                <w:numId w:val="94"/>
              </w:numPr>
              <w:rPr>
                <w:spacing w:val="8"/>
                <w:sz w:val="24"/>
                <w:szCs w:val="24"/>
              </w:rPr>
            </w:pPr>
            <w:r w:rsidRPr="009F3F74">
              <w:rPr>
                <w:spacing w:val="8"/>
                <w:sz w:val="24"/>
                <w:szCs w:val="24"/>
              </w:rPr>
              <w:t xml:space="preserve">Provide revised notifications to DEA if necessary </w:t>
            </w:r>
          </w:p>
          <w:p w14:paraId="4A8ABDF8" w14:textId="77777777" w:rsidR="00B73590" w:rsidRPr="009F3F74" w:rsidRDefault="00B73590" w:rsidP="00C1728B">
            <w:pPr>
              <w:numPr>
                <w:ilvl w:val="0"/>
                <w:numId w:val="94"/>
              </w:numPr>
              <w:rPr>
                <w:spacing w:val="8"/>
                <w:sz w:val="24"/>
                <w:szCs w:val="24"/>
              </w:rPr>
            </w:pPr>
            <w:r w:rsidRPr="009F3F74">
              <w:rPr>
                <w:spacing w:val="8"/>
                <w:sz w:val="24"/>
                <w:szCs w:val="24"/>
              </w:rPr>
              <w:t xml:space="preserve">Obtain senior management approval of system configuration to store records and subsequent changes </w:t>
            </w:r>
          </w:p>
          <w:p w14:paraId="47A6B6AC" w14:textId="77777777" w:rsidR="00360B63" w:rsidRDefault="00B73590" w:rsidP="00C1728B">
            <w:pPr>
              <w:numPr>
                <w:ilvl w:val="0"/>
                <w:numId w:val="94"/>
              </w:numPr>
              <w:rPr>
                <w:spacing w:val="8"/>
                <w:sz w:val="24"/>
                <w:szCs w:val="24"/>
              </w:rPr>
            </w:pPr>
            <w:r w:rsidRPr="009F3F74">
              <w:rPr>
                <w:spacing w:val="8"/>
                <w:sz w:val="24"/>
                <w:szCs w:val="24"/>
              </w:rPr>
              <w:t>Issue passwords to authorized personnel</w:t>
            </w:r>
            <w:r w:rsidR="00263610">
              <w:rPr>
                <w:spacing w:val="8"/>
                <w:sz w:val="24"/>
                <w:szCs w:val="24"/>
              </w:rPr>
              <w:t xml:space="preserve">. </w:t>
            </w:r>
            <w:r w:rsidRPr="009F3F74">
              <w:rPr>
                <w:spacing w:val="8"/>
                <w:sz w:val="24"/>
                <w:szCs w:val="24"/>
              </w:rPr>
              <w:t xml:space="preserve"> </w:t>
            </w:r>
          </w:p>
          <w:p w14:paraId="61BACDAF" w14:textId="1387FDAC" w:rsidR="00B73590" w:rsidRPr="00151877" w:rsidRDefault="00263610" w:rsidP="00C1728B">
            <w:pPr>
              <w:numPr>
                <w:ilvl w:val="0"/>
                <w:numId w:val="94"/>
              </w:numPr>
              <w:rPr>
                <w:spacing w:val="8"/>
                <w:sz w:val="24"/>
                <w:szCs w:val="24"/>
              </w:rPr>
            </w:pPr>
            <w:r w:rsidRPr="00263610">
              <w:rPr>
                <w:spacing w:val="8"/>
                <w:sz w:val="24"/>
                <w:szCs w:val="24"/>
              </w:rPr>
              <w:t>For terminated personnel, disable passwords for those no longer requiring access.</w:t>
            </w:r>
            <w:r>
              <w:rPr>
                <w:color w:val="FF0000"/>
                <w:spacing w:val="8"/>
                <w:sz w:val="24"/>
                <w:szCs w:val="24"/>
              </w:rPr>
              <w:t xml:space="preserve">  </w:t>
            </w:r>
            <w:r w:rsidRPr="00151877">
              <w:rPr>
                <w:spacing w:val="8"/>
                <w:sz w:val="24"/>
                <w:szCs w:val="24"/>
              </w:rPr>
              <w:t>Obtain office key(s)</w:t>
            </w:r>
            <w:r w:rsidR="00394DB5" w:rsidRPr="00151877">
              <w:rPr>
                <w:spacing w:val="8"/>
                <w:sz w:val="24"/>
                <w:szCs w:val="24"/>
              </w:rPr>
              <w:t xml:space="preserve"> and other Company materials</w:t>
            </w:r>
            <w:r w:rsidRPr="00151877">
              <w:rPr>
                <w:spacing w:val="8"/>
                <w:sz w:val="24"/>
                <w:szCs w:val="24"/>
              </w:rPr>
              <w:t>.  Change passwords to applicable sites known by all staff (i.e. Company website pw protected area).  Inspect Signature Guarantee STAMPS inventory to ensure all accounted for.</w:t>
            </w:r>
            <w:r w:rsidR="00360B63" w:rsidRPr="00151877">
              <w:rPr>
                <w:spacing w:val="8"/>
                <w:sz w:val="24"/>
                <w:szCs w:val="24"/>
              </w:rPr>
              <w:t xml:space="preserve">  Amend lists for employees or reps </w:t>
            </w:r>
            <w:r w:rsidR="006C7A4F" w:rsidRPr="00151877">
              <w:rPr>
                <w:spacing w:val="8"/>
                <w:sz w:val="24"/>
                <w:szCs w:val="24"/>
              </w:rPr>
              <w:t xml:space="preserve">in WSP and </w:t>
            </w:r>
            <w:r w:rsidR="009D521A" w:rsidRPr="00151877">
              <w:rPr>
                <w:spacing w:val="8"/>
                <w:sz w:val="24"/>
                <w:szCs w:val="24"/>
              </w:rPr>
              <w:t>where applicable</w:t>
            </w:r>
            <w:r w:rsidR="00394DB5" w:rsidRPr="00151877">
              <w:rPr>
                <w:spacing w:val="8"/>
                <w:sz w:val="24"/>
                <w:szCs w:val="24"/>
              </w:rPr>
              <w:t xml:space="preserve"> (i.e. CE, Compliance </w:t>
            </w:r>
            <w:r w:rsidR="004D7E79">
              <w:rPr>
                <w:spacing w:val="8"/>
                <w:sz w:val="24"/>
                <w:szCs w:val="24"/>
              </w:rPr>
              <w:t>documents</w:t>
            </w:r>
            <w:r w:rsidR="00394DB5" w:rsidRPr="00151877">
              <w:rPr>
                <w:spacing w:val="8"/>
                <w:sz w:val="24"/>
                <w:szCs w:val="24"/>
              </w:rPr>
              <w:t xml:space="preserve">, </w:t>
            </w:r>
            <w:r w:rsidR="009B6A34" w:rsidRPr="00151877">
              <w:rPr>
                <w:spacing w:val="8"/>
                <w:sz w:val="24"/>
                <w:szCs w:val="24"/>
              </w:rPr>
              <w:t xml:space="preserve">website, WinOps, </w:t>
            </w:r>
            <w:r w:rsidR="004D7E79" w:rsidRPr="00D43D24">
              <w:rPr>
                <w:spacing w:val="8"/>
                <w:sz w:val="24"/>
                <w:szCs w:val="24"/>
              </w:rPr>
              <w:t>the CRM</w:t>
            </w:r>
            <w:r w:rsidR="009B6A34" w:rsidRPr="00151877">
              <w:rPr>
                <w:spacing w:val="8"/>
                <w:sz w:val="24"/>
                <w:szCs w:val="24"/>
              </w:rPr>
              <w:t xml:space="preserve">, </w:t>
            </w:r>
            <w:r w:rsidR="00394DB5" w:rsidRPr="00151877">
              <w:rPr>
                <w:spacing w:val="8"/>
                <w:sz w:val="24"/>
                <w:szCs w:val="24"/>
              </w:rPr>
              <w:t>any lists for regulatory purposes)</w:t>
            </w:r>
            <w:r w:rsidR="00360B63" w:rsidRPr="00151877">
              <w:rPr>
                <w:spacing w:val="8"/>
                <w:sz w:val="24"/>
                <w:szCs w:val="24"/>
              </w:rPr>
              <w:t>.</w:t>
            </w:r>
            <w:r w:rsidR="009B6A34" w:rsidRPr="00151877">
              <w:rPr>
                <w:spacing w:val="8"/>
                <w:sz w:val="24"/>
                <w:szCs w:val="24"/>
              </w:rPr>
              <w:t xml:space="preserve"> File U-5 if applicable and send copy to individual within 30 days.</w:t>
            </w:r>
          </w:p>
          <w:p w14:paraId="56718D50" w14:textId="77777777" w:rsidR="00C60727" w:rsidRPr="009F3F74" w:rsidRDefault="00B73590" w:rsidP="00C1728B">
            <w:pPr>
              <w:numPr>
                <w:ilvl w:val="0"/>
                <w:numId w:val="94"/>
              </w:numPr>
              <w:rPr>
                <w:spacing w:val="8"/>
                <w:sz w:val="24"/>
                <w:szCs w:val="24"/>
              </w:rPr>
            </w:pPr>
            <w:r w:rsidRPr="009F3F74">
              <w:rPr>
                <w:spacing w:val="8"/>
                <w:sz w:val="24"/>
                <w:szCs w:val="24"/>
              </w:rPr>
              <w:t xml:space="preserve">Take corrective action internally or with outside vendor if anomalies are detected </w:t>
            </w:r>
          </w:p>
          <w:p w14:paraId="5D470EA0" w14:textId="77777777" w:rsidR="00E93270" w:rsidRDefault="00E93270" w:rsidP="00C1728B">
            <w:pPr>
              <w:numPr>
                <w:ilvl w:val="0"/>
                <w:numId w:val="94"/>
              </w:numPr>
              <w:rPr>
                <w:spacing w:val="8"/>
                <w:sz w:val="24"/>
                <w:szCs w:val="24"/>
              </w:rPr>
            </w:pPr>
            <w:r w:rsidRPr="009F3F74">
              <w:rPr>
                <w:spacing w:val="8"/>
                <w:sz w:val="24"/>
                <w:szCs w:val="24"/>
              </w:rPr>
              <w:t>File electronically Rule 4530 disclosures when deemed applicable</w:t>
            </w:r>
            <w:r w:rsidR="00874171" w:rsidRPr="009F3F74">
              <w:rPr>
                <w:spacing w:val="8"/>
                <w:sz w:val="24"/>
                <w:szCs w:val="24"/>
              </w:rPr>
              <w:t xml:space="preserve"> and within 30 calendar days of knowledge of such event</w:t>
            </w:r>
          </w:p>
          <w:p w14:paraId="0A0904CB" w14:textId="77777777" w:rsidR="00690FA0" w:rsidRPr="00151877" w:rsidRDefault="00690FA0" w:rsidP="00C1728B">
            <w:pPr>
              <w:numPr>
                <w:ilvl w:val="0"/>
                <w:numId w:val="94"/>
              </w:numPr>
              <w:rPr>
                <w:spacing w:val="8"/>
                <w:sz w:val="24"/>
                <w:szCs w:val="24"/>
              </w:rPr>
            </w:pPr>
            <w:r w:rsidRPr="00151877">
              <w:rPr>
                <w:spacing w:val="8"/>
                <w:sz w:val="24"/>
                <w:szCs w:val="24"/>
              </w:rPr>
              <w:t xml:space="preserve">File </w:t>
            </w:r>
            <w:r w:rsidR="00AF515A" w:rsidRPr="00151877">
              <w:rPr>
                <w:spacing w:val="8"/>
                <w:sz w:val="24"/>
                <w:szCs w:val="24"/>
              </w:rPr>
              <w:t xml:space="preserve">required </w:t>
            </w:r>
            <w:r w:rsidR="00394DB5" w:rsidRPr="00151877">
              <w:rPr>
                <w:spacing w:val="8"/>
                <w:sz w:val="24"/>
                <w:szCs w:val="24"/>
              </w:rPr>
              <w:t xml:space="preserve">regulatory </w:t>
            </w:r>
            <w:r w:rsidR="00AF515A" w:rsidRPr="00151877">
              <w:rPr>
                <w:spacing w:val="8"/>
                <w:sz w:val="24"/>
                <w:szCs w:val="24"/>
              </w:rPr>
              <w:t>reports</w:t>
            </w:r>
          </w:p>
          <w:p w14:paraId="17098C1B" w14:textId="77777777" w:rsidR="00B151EF" w:rsidRPr="00690FA0" w:rsidRDefault="00B151EF" w:rsidP="00C1728B">
            <w:pPr>
              <w:numPr>
                <w:ilvl w:val="0"/>
                <w:numId w:val="94"/>
              </w:numPr>
              <w:rPr>
                <w:color w:val="FF0000"/>
                <w:spacing w:val="8"/>
                <w:sz w:val="24"/>
                <w:szCs w:val="24"/>
              </w:rPr>
            </w:pPr>
            <w:r w:rsidRPr="00151877">
              <w:rPr>
                <w:spacing w:val="8"/>
                <w:sz w:val="24"/>
                <w:szCs w:val="24"/>
              </w:rPr>
              <w:t xml:space="preserve">Review FINRA </w:t>
            </w:r>
            <w:r w:rsidR="00D715C7" w:rsidRPr="002C26F2">
              <w:rPr>
                <w:spacing w:val="8"/>
                <w:sz w:val="24"/>
                <w:szCs w:val="24"/>
              </w:rPr>
              <w:t>Reports</w:t>
            </w:r>
            <w:r w:rsidR="00D715C7">
              <w:rPr>
                <w:spacing w:val="8"/>
                <w:sz w:val="24"/>
                <w:szCs w:val="24"/>
              </w:rPr>
              <w:t xml:space="preserve">, </w:t>
            </w:r>
            <w:r w:rsidRPr="00151877">
              <w:rPr>
                <w:spacing w:val="8"/>
                <w:sz w:val="24"/>
                <w:szCs w:val="24"/>
              </w:rPr>
              <w:t>Firm Profile</w:t>
            </w:r>
            <w:r w:rsidR="00151877" w:rsidRPr="00767FD6">
              <w:rPr>
                <w:spacing w:val="8"/>
                <w:sz w:val="24"/>
                <w:szCs w:val="24"/>
              </w:rPr>
              <w:t>, FCS</w:t>
            </w:r>
            <w:r w:rsidR="0060251A">
              <w:rPr>
                <w:spacing w:val="8"/>
                <w:sz w:val="24"/>
                <w:szCs w:val="24"/>
              </w:rPr>
              <w:t>,</w:t>
            </w:r>
            <w:r w:rsidR="00151877" w:rsidRPr="00767FD6">
              <w:rPr>
                <w:spacing w:val="8"/>
                <w:sz w:val="24"/>
                <w:szCs w:val="24"/>
              </w:rPr>
              <w:t xml:space="preserve"> SAA cert</w:t>
            </w:r>
            <w:r w:rsidR="003C7D84">
              <w:rPr>
                <w:spacing w:val="8"/>
                <w:sz w:val="24"/>
                <w:szCs w:val="24"/>
              </w:rPr>
              <w:t>i</w:t>
            </w:r>
            <w:r w:rsidR="00151877" w:rsidRPr="00767FD6">
              <w:rPr>
                <w:spacing w:val="8"/>
                <w:sz w:val="24"/>
                <w:szCs w:val="24"/>
              </w:rPr>
              <w:t>fication</w:t>
            </w:r>
          </w:p>
        </w:tc>
      </w:tr>
      <w:tr w:rsidR="00C60727" w:rsidRPr="00F20C03" w14:paraId="31C05DB8" w14:textId="77777777" w:rsidTr="005E25DD">
        <w:trPr>
          <w:tblCellSpacing w:w="0" w:type="dxa"/>
        </w:trPr>
        <w:tc>
          <w:tcPr>
            <w:tcW w:w="934" w:type="pct"/>
            <w:tcBorders>
              <w:top w:val="outset" w:sz="6" w:space="0" w:color="auto"/>
              <w:left w:val="outset" w:sz="6" w:space="0" w:color="auto"/>
              <w:bottom w:val="outset" w:sz="6" w:space="0" w:color="auto"/>
              <w:right w:val="outset" w:sz="6" w:space="0" w:color="auto"/>
            </w:tcBorders>
            <w:vAlign w:val="center"/>
          </w:tcPr>
          <w:p w14:paraId="066FEE05" w14:textId="77777777" w:rsidR="00C60727" w:rsidRPr="00F20C03" w:rsidRDefault="00C60727" w:rsidP="00C60727">
            <w:pPr>
              <w:jc w:val="center"/>
              <w:rPr>
                <w:b/>
                <w:bCs/>
                <w:spacing w:val="8"/>
                <w:sz w:val="24"/>
                <w:szCs w:val="24"/>
              </w:rPr>
            </w:pPr>
            <w:r w:rsidRPr="00F20C03">
              <w:rPr>
                <w:b/>
                <w:bCs/>
                <w:spacing w:val="8"/>
                <w:sz w:val="24"/>
                <w:szCs w:val="24"/>
              </w:rPr>
              <w:t>Record</w:t>
            </w:r>
            <w:r w:rsidR="00B73590" w:rsidRPr="00F20C03">
              <w:rPr>
                <w:b/>
                <w:bCs/>
                <w:spacing w:val="8"/>
                <w:sz w:val="24"/>
                <w:szCs w:val="24"/>
              </w:rPr>
              <w:t>s</w:t>
            </w:r>
          </w:p>
        </w:tc>
        <w:tc>
          <w:tcPr>
            <w:tcW w:w="4066" w:type="pct"/>
            <w:tcBorders>
              <w:top w:val="outset" w:sz="6" w:space="0" w:color="auto"/>
              <w:left w:val="outset" w:sz="6" w:space="0" w:color="auto"/>
              <w:bottom w:val="outset" w:sz="6" w:space="0" w:color="auto"/>
              <w:right w:val="outset" w:sz="6" w:space="0" w:color="auto"/>
            </w:tcBorders>
            <w:vAlign w:val="center"/>
          </w:tcPr>
          <w:p w14:paraId="0F0AE074" w14:textId="77777777" w:rsidR="00B73590" w:rsidRPr="009F3F74" w:rsidRDefault="00B73590" w:rsidP="00C1728B">
            <w:pPr>
              <w:numPr>
                <w:ilvl w:val="0"/>
                <w:numId w:val="95"/>
              </w:numPr>
              <w:rPr>
                <w:spacing w:val="8"/>
                <w:sz w:val="24"/>
                <w:szCs w:val="24"/>
              </w:rPr>
            </w:pPr>
            <w:r w:rsidRPr="009F3F74">
              <w:rPr>
                <w:spacing w:val="8"/>
                <w:sz w:val="24"/>
                <w:szCs w:val="24"/>
              </w:rPr>
              <w:t>Contracts with vendors or other third parties, if any</w:t>
            </w:r>
          </w:p>
          <w:p w14:paraId="2F51832E" w14:textId="77777777" w:rsidR="00941FF6" w:rsidRPr="009F3F74" w:rsidRDefault="00941FF6" w:rsidP="00C1728B">
            <w:pPr>
              <w:numPr>
                <w:ilvl w:val="0"/>
                <w:numId w:val="95"/>
              </w:numPr>
              <w:rPr>
                <w:spacing w:val="8"/>
                <w:sz w:val="24"/>
                <w:szCs w:val="24"/>
              </w:rPr>
            </w:pPr>
            <w:r w:rsidRPr="009F3F74">
              <w:rPr>
                <w:spacing w:val="8"/>
                <w:sz w:val="24"/>
                <w:szCs w:val="24"/>
              </w:rPr>
              <w:t>Fidelity Bond Policy</w:t>
            </w:r>
          </w:p>
          <w:p w14:paraId="652248A9" w14:textId="77777777" w:rsidR="00B73590" w:rsidRPr="009F3F74" w:rsidRDefault="00B73590" w:rsidP="00C1728B">
            <w:pPr>
              <w:numPr>
                <w:ilvl w:val="0"/>
                <w:numId w:val="95"/>
              </w:numPr>
              <w:rPr>
                <w:spacing w:val="8"/>
                <w:sz w:val="24"/>
                <w:szCs w:val="24"/>
              </w:rPr>
            </w:pPr>
            <w:r w:rsidRPr="009F3F74">
              <w:rPr>
                <w:spacing w:val="8"/>
                <w:sz w:val="24"/>
                <w:szCs w:val="24"/>
              </w:rPr>
              <w:t xml:space="preserve">Notification(s) to DEA </w:t>
            </w:r>
          </w:p>
          <w:p w14:paraId="6F4A6A23" w14:textId="77777777" w:rsidR="00B73590" w:rsidRPr="009F3F74" w:rsidRDefault="00B73590" w:rsidP="00C1728B">
            <w:pPr>
              <w:numPr>
                <w:ilvl w:val="0"/>
                <w:numId w:val="95"/>
              </w:numPr>
              <w:rPr>
                <w:spacing w:val="8"/>
                <w:sz w:val="24"/>
                <w:szCs w:val="24"/>
              </w:rPr>
            </w:pPr>
            <w:r w:rsidRPr="009F3F74">
              <w:rPr>
                <w:spacing w:val="8"/>
                <w:sz w:val="24"/>
                <w:szCs w:val="24"/>
              </w:rPr>
              <w:t xml:space="preserve">Archived Email </w:t>
            </w:r>
          </w:p>
          <w:p w14:paraId="14D6AC64" w14:textId="77777777" w:rsidR="00941FF6" w:rsidRPr="009F3F74" w:rsidRDefault="00B73590" w:rsidP="00C1728B">
            <w:pPr>
              <w:numPr>
                <w:ilvl w:val="0"/>
                <w:numId w:val="95"/>
              </w:numPr>
              <w:rPr>
                <w:spacing w:val="8"/>
                <w:sz w:val="24"/>
                <w:szCs w:val="24"/>
              </w:rPr>
            </w:pPr>
            <w:r w:rsidRPr="009F3F74">
              <w:rPr>
                <w:spacing w:val="8"/>
                <w:sz w:val="24"/>
                <w:szCs w:val="24"/>
              </w:rPr>
              <w:t xml:space="preserve">Applicable </w:t>
            </w:r>
            <w:r w:rsidR="00EF14AB" w:rsidRPr="00217738">
              <w:rPr>
                <w:spacing w:val="8"/>
                <w:sz w:val="24"/>
                <w:szCs w:val="24"/>
              </w:rPr>
              <w:t>employee and</w:t>
            </w:r>
            <w:r w:rsidR="00EF14AB">
              <w:rPr>
                <w:spacing w:val="8"/>
                <w:sz w:val="24"/>
                <w:szCs w:val="24"/>
              </w:rPr>
              <w:t xml:space="preserve"> </w:t>
            </w:r>
            <w:r w:rsidR="00B94CF1" w:rsidRPr="009F3F74">
              <w:rPr>
                <w:spacing w:val="8"/>
                <w:sz w:val="24"/>
                <w:szCs w:val="24"/>
              </w:rPr>
              <w:t>Rep files</w:t>
            </w:r>
            <w:r w:rsidR="00EF14AB">
              <w:rPr>
                <w:spacing w:val="8"/>
                <w:sz w:val="24"/>
                <w:szCs w:val="24"/>
              </w:rPr>
              <w:t xml:space="preserve"> </w:t>
            </w:r>
            <w:r w:rsidR="00941FF6" w:rsidRPr="009F3F74">
              <w:rPr>
                <w:spacing w:val="8"/>
                <w:sz w:val="24"/>
                <w:szCs w:val="24"/>
              </w:rPr>
              <w:t>records</w:t>
            </w:r>
            <w:r w:rsidR="00B94CF1" w:rsidRPr="009F3F74">
              <w:rPr>
                <w:spacing w:val="8"/>
                <w:sz w:val="24"/>
                <w:szCs w:val="24"/>
              </w:rPr>
              <w:t xml:space="preserve"> </w:t>
            </w:r>
          </w:p>
          <w:p w14:paraId="0AA02C8F" w14:textId="77777777" w:rsidR="00C60727" w:rsidRPr="009F3F74" w:rsidRDefault="00B94CF1" w:rsidP="00C1728B">
            <w:pPr>
              <w:numPr>
                <w:ilvl w:val="0"/>
                <w:numId w:val="95"/>
              </w:numPr>
              <w:rPr>
                <w:spacing w:val="8"/>
                <w:sz w:val="24"/>
                <w:szCs w:val="24"/>
              </w:rPr>
            </w:pPr>
            <w:r w:rsidRPr="009F3F74">
              <w:rPr>
                <w:spacing w:val="8"/>
                <w:sz w:val="24"/>
                <w:szCs w:val="24"/>
              </w:rPr>
              <w:t xml:space="preserve">financial </w:t>
            </w:r>
            <w:r w:rsidR="00B73590" w:rsidRPr="009F3F74">
              <w:rPr>
                <w:spacing w:val="8"/>
                <w:sz w:val="24"/>
                <w:szCs w:val="24"/>
              </w:rPr>
              <w:t>files and records</w:t>
            </w:r>
          </w:p>
          <w:p w14:paraId="3DDA0E37" w14:textId="77777777" w:rsidR="00B94CF1" w:rsidRPr="009F3F74" w:rsidRDefault="00B94CF1" w:rsidP="00C1728B">
            <w:pPr>
              <w:numPr>
                <w:ilvl w:val="0"/>
                <w:numId w:val="95"/>
              </w:numPr>
              <w:rPr>
                <w:spacing w:val="8"/>
                <w:sz w:val="24"/>
                <w:szCs w:val="24"/>
              </w:rPr>
            </w:pPr>
            <w:r w:rsidRPr="009F3F74">
              <w:rPr>
                <w:spacing w:val="8"/>
                <w:sz w:val="24"/>
                <w:szCs w:val="24"/>
              </w:rPr>
              <w:t>Reviews</w:t>
            </w:r>
          </w:p>
          <w:p w14:paraId="71602A85" w14:textId="77777777" w:rsidR="00E93270" w:rsidRDefault="00E93270" w:rsidP="00C1728B">
            <w:pPr>
              <w:numPr>
                <w:ilvl w:val="0"/>
                <w:numId w:val="95"/>
              </w:numPr>
              <w:rPr>
                <w:spacing w:val="8"/>
                <w:sz w:val="24"/>
                <w:szCs w:val="24"/>
              </w:rPr>
            </w:pPr>
            <w:r w:rsidRPr="009F3F74">
              <w:rPr>
                <w:spacing w:val="8"/>
                <w:sz w:val="24"/>
                <w:szCs w:val="24"/>
              </w:rPr>
              <w:t>Rule 4530 disclosures</w:t>
            </w:r>
          </w:p>
          <w:p w14:paraId="114C28A8" w14:textId="77777777" w:rsidR="00B151EF" w:rsidRPr="00B151EF" w:rsidRDefault="00B151EF" w:rsidP="00C1728B">
            <w:pPr>
              <w:numPr>
                <w:ilvl w:val="0"/>
                <w:numId w:val="95"/>
              </w:numPr>
              <w:rPr>
                <w:color w:val="FF0000"/>
                <w:spacing w:val="8"/>
                <w:sz w:val="24"/>
                <w:szCs w:val="24"/>
              </w:rPr>
            </w:pPr>
            <w:r w:rsidRPr="00151877">
              <w:rPr>
                <w:spacing w:val="8"/>
                <w:sz w:val="24"/>
                <w:szCs w:val="24"/>
              </w:rPr>
              <w:t>CRD Firm Profile Review</w:t>
            </w:r>
            <w:r w:rsidR="00151877">
              <w:rPr>
                <w:spacing w:val="8"/>
                <w:sz w:val="24"/>
                <w:szCs w:val="24"/>
              </w:rPr>
              <w:t xml:space="preserve">, </w:t>
            </w:r>
            <w:r w:rsidR="00151877" w:rsidRPr="00767FD6">
              <w:rPr>
                <w:spacing w:val="8"/>
                <w:sz w:val="24"/>
                <w:szCs w:val="24"/>
              </w:rPr>
              <w:t>FCS review &amp; SAA Certification</w:t>
            </w:r>
          </w:p>
        </w:tc>
      </w:tr>
    </w:tbl>
    <w:p w14:paraId="3BD82786" w14:textId="77777777" w:rsidR="00F13AC6" w:rsidRDefault="00F13AC6">
      <w:pPr>
        <w:jc w:val="both"/>
        <w:rPr>
          <w:sz w:val="24"/>
        </w:rPr>
      </w:pPr>
    </w:p>
    <w:p w14:paraId="6E7104B0" w14:textId="77777777" w:rsidR="00811B75" w:rsidRDefault="00811B75">
      <w:pPr>
        <w:jc w:val="both"/>
        <w:rPr>
          <w:sz w:val="24"/>
        </w:rPr>
      </w:pPr>
    </w:p>
    <w:p w14:paraId="00CDB8F2" w14:textId="77777777" w:rsidR="00F13AC6" w:rsidRDefault="00811B75" w:rsidP="00936FEE">
      <w:pPr>
        <w:pStyle w:val="Heading2"/>
      </w:pPr>
      <w:r>
        <w:t>10.3. Executive Representative</w:t>
      </w:r>
    </w:p>
    <w:p w14:paraId="6F3CC9B1" w14:textId="77777777" w:rsidR="00811B75" w:rsidRDefault="00811B75" w:rsidP="002D7AE4">
      <w:pPr>
        <w:rPr>
          <w:sz w:val="24"/>
        </w:rPr>
      </w:pPr>
      <w:r w:rsidRPr="000C099C">
        <w:rPr>
          <w:sz w:val="24"/>
        </w:rPr>
        <w:t>Morris Monroe is designated as the Executive Representative for FINRA.  Per Rule 1150, a review of the Executive Representative will be conducted quarterly and if necessary, any changes will be filed electronically within 17 business days after the calendar quarter-end with FINRA</w:t>
      </w:r>
      <w:r>
        <w:rPr>
          <w:sz w:val="24"/>
        </w:rPr>
        <w:t xml:space="preserve"> (effective 05/14/2004).  The first review and/or update must be filed within 17 business days after the June 30, </w:t>
      </w:r>
      <w:proofErr w:type="gramStart"/>
      <w:r>
        <w:rPr>
          <w:sz w:val="24"/>
        </w:rPr>
        <w:t>2004</w:t>
      </w:r>
      <w:proofErr w:type="gramEnd"/>
      <w:r>
        <w:rPr>
          <w:sz w:val="24"/>
        </w:rPr>
        <w:t xml:space="preserve"> quarter.  </w:t>
      </w:r>
    </w:p>
    <w:p w14:paraId="0A128AD5" w14:textId="77777777" w:rsidR="00811B75" w:rsidRDefault="00811B75" w:rsidP="002D7AE4">
      <w:pPr>
        <w:rPr>
          <w:sz w:val="24"/>
        </w:rPr>
      </w:pPr>
    </w:p>
    <w:p w14:paraId="0464D23E" w14:textId="77777777" w:rsidR="00811B75" w:rsidRPr="000C099C" w:rsidRDefault="00811B75" w:rsidP="002D7AE4">
      <w:pPr>
        <w:rPr>
          <w:sz w:val="24"/>
        </w:rPr>
      </w:pPr>
      <w:r>
        <w:rPr>
          <w:sz w:val="24"/>
        </w:rPr>
        <w:t xml:space="preserve">Morris Monroe and/or his designee, Laura Hendricks, are responsible for the electronic filing and supervision thereof.  Morris Monroe and Laura Hendricks are responsible for Form BD </w:t>
      </w:r>
      <w:r>
        <w:rPr>
          <w:sz w:val="24"/>
        </w:rPr>
        <w:lastRenderedPageBreak/>
        <w:t xml:space="preserve">amendments and the proper and timely filing of </w:t>
      </w:r>
      <w:r w:rsidRPr="000C099C">
        <w:rPr>
          <w:sz w:val="24"/>
        </w:rPr>
        <w:t xml:space="preserve">FINRA </w:t>
      </w:r>
      <w:r>
        <w:rPr>
          <w:sz w:val="24"/>
        </w:rPr>
        <w:t xml:space="preserve">and Regulatory </w:t>
      </w:r>
      <w:r w:rsidRPr="000C099C">
        <w:rPr>
          <w:sz w:val="24"/>
        </w:rPr>
        <w:t>fees and assessments and the record retention of such.</w:t>
      </w:r>
    </w:p>
    <w:p w14:paraId="2AE2453A" w14:textId="77777777" w:rsidR="00811B75" w:rsidRDefault="00811B75" w:rsidP="002D7AE4">
      <w:pPr>
        <w:rPr>
          <w:sz w:val="24"/>
        </w:rPr>
      </w:pPr>
    </w:p>
    <w:p w14:paraId="45869E75" w14:textId="77777777" w:rsidR="00811B75" w:rsidRDefault="00811B75" w:rsidP="002D7AE4">
      <w:pPr>
        <w:rPr>
          <w:sz w:val="24"/>
        </w:rPr>
      </w:pPr>
    </w:p>
    <w:p w14:paraId="5879C6EB" w14:textId="77777777" w:rsidR="00F13AC6" w:rsidRDefault="00F13AC6" w:rsidP="00936FEE">
      <w:pPr>
        <w:pStyle w:val="Heading2"/>
      </w:pPr>
      <w:bookmarkStart w:id="142" w:name="FinlRecords"/>
      <w:bookmarkEnd w:id="142"/>
      <w:r>
        <w:t>10.</w:t>
      </w:r>
      <w:r w:rsidR="00811B75">
        <w:t>4</w:t>
      </w:r>
      <w:r>
        <w:t xml:space="preserve">   </w:t>
      </w:r>
      <w:r w:rsidR="006E6E86">
        <w:t>Financial and Operational</w:t>
      </w:r>
      <w:r>
        <w:t xml:space="preserve"> Records</w:t>
      </w:r>
    </w:p>
    <w:p w14:paraId="52D10C19" w14:textId="77777777" w:rsidR="000C099C" w:rsidRDefault="000C099C" w:rsidP="002D7AE4">
      <w:pPr>
        <w:rPr>
          <w:sz w:val="24"/>
        </w:rPr>
      </w:pPr>
      <w:r>
        <w:rPr>
          <w:sz w:val="24"/>
        </w:rPr>
        <w:t xml:space="preserve">All accounting records will be maintained </w:t>
      </w:r>
      <w:r w:rsidR="00DC0E4D">
        <w:rPr>
          <w:sz w:val="24"/>
        </w:rPr>
        <w:t>daily</w:t>
      </w:r>
      <w:r>
        <w:rPr>
          <w:sz w:val="24"/>
        </w:rPr>
        <w:t xml:space="preserve"> in order to comply with the regulations relative to net capital requirements and other regulated practices in this area.  In accordance with Schedule C of the </w:t>
      </w:r>
      <w:r w:rsidRPr="000C099C">
        <w:rPr>
          <w:sz w:val="24"/>
        </w:rPr>
        <w:t xml:space="preserve">FINRA By-Laws the Company designates Morris Monroe as its Financial and Operations Principal responsible for the financial reporting duties specified in </w:t>
      </w:r>
      <w:bookmarkStart w:id="143" w:name="ReconciliationOfBooks"/>
      <w:bookmarkEnd w:id="143"/>
      <w:r w:rsidRPr="000C099C">
        <w:rPr>
          <w:sz w:val="24"/>
        </w:rPr>
        <w:t>SEC Rules 17a-3 and 17a-4 and with the primary responsibility for books and records under section (c)(v) contained therein.</w:t>
      </w:r>
    </w:p>
    <w:p w14:paraId="38C9F60C" w14:textId="77777777" w:rsidR="00942C4C" w:rsidRDefault="00942C4C" w:rsidP="002D7AE4">
      <w:pPr>
        <w:rPr>
          <w:sz w:val="24"/>
        </w:rPr>
      </w:pPr>
    </w:p>
    <w:p w14:paraId="36F0F178" w14:textId="77777777" w:rsidR="00942C4C" w:rsidRDefault="00942C4C" w:rsidP="002D7AE4">
      <w:pPr>
        <w:pStyle w:val="Heading3"/>
        <w:jc w:val="left"/>
      </w:pPr>
      <w:r>
        <w:t>10.4.1 Exemption from SEC Rule 15c3-3</w:t>
      </w:r>
    </w:p>
    <w:p w14:paraId="546C4A88" w14:textId="3760DDB2" w:rsidR="00942C4C" w:rsidRPr="009F3F74" w:rsidRDefault="00942C4C" w:rsidP="002D7AE4">
      <w:pPr>
        <w:pStyle w:val="Normal1"/>
        <w:spacing w:before="0" w:after="0" w:afterAutospacing="0" w:line="240" w:lineRule="auto"/>
        <w:ind w:left="274"/>
        <w:rPr>
          <w:rFonts w:ascii="Times New Roman" w:hAnsi="Times New Roman" w:cs="Times New Roman"/>
          <w:sz w:val="24"/>
          <w:szCs w:val="24"/>
        </w:rPr>
      </w:pPr>
      <w:r w:rsidRPr="009F3F74">
        <w:rPr>
          <w:rFonts w:ascii="Times New Roman" w:hAnsi="Times New Roman" w:cs="Times New Roman"/>
          <w:sz w:val="24"/>
          <w:szCs w:val="24"/>
        </w:rPr>
        <w:t xml:space="preserve">Because of the nature of Company’s business, it qualifies for an exemption under Rule 15c3-3(k) </w:t>
      </w:r>
      <w:r w:rsidR="00FC156F" w:rsidRPr="0086379E">
        <w:rPr>
          <w:rFonts w:ascii="Times New Roman" w:hAnsi="Times New Roman" w:cs="Times New Roman"/>
          <w:color w:val="000000" w:themeColor="text1"/>
          <w:sz w:val="24"/>
          <w:szCs w:val="24"/>
        </w:rPr>
        <w:t xml:space="preserve">or is a "Non-Covered Firm."  </w:t>
      </w:r>
      <w:r w:rsidRPr="009F3F74">
        <w:rPr>
          <w:rFonts w:ascii="Times New Roman" w:hAnsi="Times New Roman" w:cs="Times New Roman"/>
          <w:sz w:val="24"/>
          <w:szCs w:val="24"/>
        </w:rPr>
        <w:t>The FINOP is responsible for determining that the Company qualifies for one of the two following</w:t>
      </w:r>
      <w:r w:rsidRPr="009F3F74">
        <w:t xml:space="preserve"> </w:t>
      </w:r>
      <w:r w:rsidRPr="009F3F74">
        <w:rPr>
          <w:rFonts w:ascii="Times New Roman" w:hAnsi="Times New Roman" w:cs="Times New Roman"/>
          <w:sz w:val="24"/>
          <w:szCs w:val="24"/>
        </w:rPr>
        <w:t>exemptions:</w:t>
      </w:r>
    </w:p>
    <w:p w14:paraId="59741740" w14:textId="77777777" w:rsidR="00942C4C" w:rsidRPr="009F3F74" w:rsidRDefault="00942C4C" w:rsidP="002D7AE4">
      <w:pPr>
        <w:pStyle w:val="Normal1"/>
        <w:spacing w:before="0" w:after="0" w:afterAutospacing="0" w:line="240" w:lineRule="auto"/>
        <w:ind w:left="274"/>
        <w:rPr>
          <w:rFonts w:ascii="Times New Roman" w:hAnsi="Times New Roman" w:cs="Times New Roman"/>
          <w:sz w:val="24"/>
          <w:szCs w:val="24"/>
        </w:rPr>
      </w:pPr>
    </w:p>
    <w:p w14:paraId="55ACD5E7" w14:textId="77777777" w:rsidR="00942C4C" w:rsidRPr="009F3F74" w:rsidRDefault="00942C4C" w:rsidP="003E7B18">
      <w:pPr>
        <w:pStyle w:val="Normal1"/>
        <w:numPr>
          <w:ilvl w:val="0"/>
          <w:numId w:val="154"/>
        </w:numPr>
        <w:spacing w:before="0" w:after="0" w:afterAutospacing="0" w:line="240" w:lineRule="auto"/>
        <w:rPr>
          <w:rFonts w:ascii="Times New Roman" w:hAnsi="Times New Roman" w:cs="Times New Roman"/>
          <w:b/>
          <w:sz w:val="24"/>
          <w:szCs w:val="24"/>
        </w:rPr>
      </w:pPr>
      <w:r w:rsidRPr="009F3F74">
        <w:rPr>
          <w:rFonts w:ascii="Times New Roman" w:hAnsi="Times New Roman" w:cs="Times New Roman"/>
          <w:b/>
          <w:sz w:val="24"/>
          <w:szCs w:val="24"/>
        </w:rPr>
        <w:t>Exemption under (k)2(</w:t>
      </w:r>
      <w:proofErr w:type="spellStart"/>
      <w:r w:rsidRPr="009F3F74">
        <w:rPr>
          <w:rFonts w:ascii="Times New Roman" w:hAnsi="Times New Roman" w:cs="Times New Roman"/>
          <w:b/>
          <w:sz w:val="24"/>
          <w:szCs w:val="24"/>
        </w:rPr>
        <w:t>i</w:t>
      </w:r>
      <w:proofErr w:type="spellEnd"/>
      <w:r w:rsidRPr="009F3F74">
        <w:rPr>
          <w:rFonts w:ascii="Times New Roman" w:hAnsi="Times New Roman" w:cs="Times New Roman"/>
          <w:b/>
          <w:sz w:val="24"/>
          <w:szCs w:val="24"/>
        </w:rPr>
        <w:t>)</w:t>
      </w:r>
    </w:p>
    <w:p w14:paraId="6296EF15" w14:textId="77777777" w:rsidR="00942C4C" w:rsidRPr="009F3F74" w:rsidRDefault="007A157F" w:rsidP="002D7AE4">
      <w:pPr>
        <w:pStyle w:val="Normal1"/>
        <w:spacing w:before="0" w:after="0" w:afterAutospacing="0" w:line="240" w:lineRule="auto"/>
        <w:ind w:left="720"/>
        <w:rPr>
          <w:rFonts w:ascii="Times New Roman" w:hAnsi="Times New Roman" w:cs="Times New Roman"/>
          <w:sz w:val="24"/>
          <w:szCs w:val="24"/>
        </w:rPr>
      </w:pPr>
      <w:r>
        <w:rPr>
          <w:rFonts w:ascii="Times New Roman" w:hAnsi="Times New Roman" w:cs="Times New Roman"/>
          <w:sz w:val="24"/>
          <w:szCs w:val="24"/>
        </w:rPr>
        <w:t>Company</w:t>
      </w:r>
      <w:r w:rsidR="00942C4C" w:rsidRPr="009F3F74">
        <w:rPr>
          <w:rFonts w:ascii="Times New Roman" w:hAnsi="Times New Roman" w:cs="Times New Roman"/>
          <w:sz w:val="24"/>
          <w:szCs w:val="24"/>
        </w:rPr>
        <w:t xml:space="preserve"> carries no margin accounts and promptly transmits customer funds and securities to its clearing firm. </w:t>
      </w:r>
      <w:r>
        <w:rPr>
          <w:rFonts w:ascii="Times New Roman" w:hAnsi="Times New Roman" w:cs="Times New Roman"/>
          <w:sz w:val="24"/>
          <w:szCs w:val="24"/>
        </w:rPr>
        <w:t>Company</w:t>
      </w:r>
      <w:r w:rsidR="00942C4C" w:rsidRPr="009F3F74">
        <w:rPr>
          <w:rFonts w:ascii="Times New Roman" w:hAnsi="Times New Roman" w:cs="Times New Roman"/>
          <w:sz w:val="24"/>
          <w:szCs w:val="24"/>
        </w:rPr>
        <w:t xml:space="preserve"> does not hold funds or securities from, or owe money or securities to, customers and effects all fina</w:t>
      </w:r>
      <w:r w:rsidR="00D90611">
        <w:rPr>
          <w:rFonts w:ascii="Times New Roman" w:hAnsi="Times New Roman" w:cs="Times New Roman"/>
          <w:sz w:val="24"/>
          <w:szCs w:val="24"/>
        </w:rPr>
        <w:t>ncial transactions between the f</w:t>
      </w:r>
      <w:r w:rsidR="00942C4C" w:rsidRPr="009F3F74">
        <w:rPr>
          <w:rFonts w:ascii="Times New Roman" w:hAnsi="Times New Roman" w:cs="Times New Roman"/>
          <w:sz w:val="24"/>
          <w:szCs w:val="24"/>
        </w:rPr>
        <w:t xml:space="preserve">irm and its customers through one or more bank accounts, each designated as "Special Account for the Exclusive Benefit of Customers of the </w:t>
      </w:r>
      <w:r w:rsidR="00D90611">
        <w:rPr>
          <w:rFonts w:ascii="Times New Roman" w:hAnsi="Times New Roman" w:cs="Times New Roman"/>
          <w:sz w:val="24"/>
          <w:szCs w:val="24"/>
        </w:rPr>
        <w:t>f</w:t>
      </w:r>
      <w:r w:rsidR="00942C4C" w:rsidRPr="009F3F74">
        <w:rPr>
          <w:rFonts w:ascii="Times New Roman" w:hAnsi="Times New Roman" w:cs="Times New Roman"/>
          <w:sz w:val="24"/>
          <w:szCs w:val="24"/>
        </w:rPr>
        <w:t>irm."</w:t>
      </w:r>
    </w:p>
    <w:p w14:paraId="535EF59C" w14:textId="77777777" w:rsidR="00942C4C" w:rsidRPr="009F3F74" w:rsidRDefault="00942C4C" w:rsidP="002D7AE4">
      <w:pPr>
        <w:pStyle w:val="Normal1"/>
        <w:spacing w:before="0" w:after="0" w:afterAutospacing="0" w:line="240" w:lineRule="auto"/>
        <w:rPr>
          <w:rFonts w:ascii="Times New Roman" w:hAnsi="Times New Roman" w:cs="Times New Roman"/>
          <w:sz w:val="24"/>
          <w:szCs w:val="24"/>
        </w:rPr>
      </w:pPr>
    </w:p>
    <w:p w14:paraId="7D013A9C" w14:textId="77777777" w:rsidR="00942C4C" w:rsidRPr="009F3F74" w:rsidRDefault="00942C4C" w:rsidP="003E7B18">
      <w:pPr>
        <w:pStyle w:val="Normal1"/>
        <w:numPr>
          <w:ilvl w:val="0"/>
          <w:numId w:val="154"/>
        </w:numPr>
        <w:spacing w:before="0" w:after="0" w:afterAutospacing="0" w:line="240" w:lineRule="auto"/>
        <w:rPr>
          <w:rFonts w:ascii="Times New Roman" w:hAnsi="Times New Roman" w:cs="Times New Roman"/>
          <w:b/>
          <w:sz w:val="24"/>
          <w:szCs w:val="24"/>
        </w:rPr>
      </w:pPr>
      <w:r w:rsidRPr="009F3F74">
        <w:rPr>
          <w:rFonts w:ascii="Times New Roman" w:hAnsi="Times New Roman" w:cs="Times New Roman"/>
          <w:b/>
          <w:sz w:val="24"/>
          <w:szCs w:val="24"/>
        </w:rPr>
        <w:t>Exemption under (k)2(ii)</w:t>
      </w:r>
    </w:p>
    <w:p w14:paraId="333263D1" w14:textId="77777777" w:rsidR="00942C4C" w:rsidRPr="00593EE9" w:rsidRDefault="007A157F" w:rsidP="00FC03F5">
      <w:pPr>
        <w:pStyle w:val="Normal1"/>
        <w:spacing w:before="0" w:after="0" w:afterAutospacing="0" w:line="240" w:lineRule="auto"/>
        <w:ind w:left="720"/>
        <w:rPr>
          <w:rFonts w:ascii="Times New Roman" w:hAnsi="Times New Roman" w:cs="Times New Roman"/>
          <w:sz w:val="24"/>
          <w:szCs w:val="24"/>
        </w:rPr>
      </w:pPr>
      <w:r>
        <w:rPr>
          <w:rFonts w:ascii="Times New Roman" w:hAnsi="Times New Roman" w:cs="Times New Roman"/>
          <w:sz w:val="24"/>
          <w:szCs w:val="24"/>
        </w:rPr>
        <w:t>Company</w:t>
      </w:r>
      <w:r w:rsidR="00942C4C" w:rsidRPr="009F3F74">
        <w:rPr>
          <w:rFonts w:ascii="Times New Roman" w:hAnsi="Times New Roman" w:cs="Times New Roman"/>
          <w:sz w:val="24"/>
          <w:szCs w:val="24"/>
        </w:rPr>
        <w:t xml:space="preserve"> clears all transactions with and for customers on a fully disclosed basis with its clearing firm which carries </w:t>
      </w:r>
      <w:r w:rsidR="00F60C91" w:rsidRPr="009F3F74">
        <w:rPr>
          <w:rFonts w:ascii="Times New Roman" w:hAnsi="Times New Roman" w:cs="Times New Roman"/>
          <w:sz w:val="24"/>
          <w:szCs w:val="24"/>
        </w:rPr>
        <w:t>all</w:t>
      </w:r>
      <w:r w:rsidR="00942C4C" w:rsidRPr="009F3F74">
        <w:rPr>
          <w:rFonts w:ascii="Times New Roman" w:hAnsi="Times New Roman" w:cs="Times New Roman"/>
          <w:sz w:val="24"/>
          <w:szCs w:val="24"/>
        </w:rPr>
        <w:t xml:space="preserve"> the </w:t>
      </w:r>
      <w:r>
        <w:rPr>
          <w:rFonts w:ascii="Times New Roman" w:hAnsi="Times New Roman" w:cs="Times New Roman"/>
          <w:sz w:val="24"/>
          <w:szCs w:val="24"/>
        </w:rPr>
        <w:t>Company</w:t>
      </w:r>
      <w:r w:rsidR="00942C4C" w:rsidRPr="009F3F74">
        <w:rPr>
          <w:rFonts w:ascii="Times New Roman" w:hAnsi="Times New Roman" w:cs="Times New Roman"/>
          <w:sz w:val="24"/>
          <w:szCs w:val="24"/>
        </w:rPr>
        <w:t>'s customer accounts and maintains books and records related</w:t>
      </w:r>
      <w:r w:rsidR="00635237">
        <w:rPr>
          <w:rFonts w:ascii="Times New Roman" w:hAnsi="Times New Roman" w:cs="Times New Roman"/>
          <w:sz w:val="24"/>
          <w:szCs w:val="24"/>
        </w:rPr>
        <w:t xml:space="preserve"> to carrying the accounts. The </w:t>
      </w:r>
      <w:r>
        <w:rPr>
          <w:rFonts w:ascii="Times New Roman" w:hAnsi="Times New Roman" w:cs="Times New Roman"/>
          <w:sz w:val="24"/>
          <w:szCs w:val="24"/>
        </w:rPr>
        <w:t>Co</w:t>
      </w:r>
      <w:r w:rsidR="00942C4C" w:rsidRPr="009F3F74">
        <w:rPr>
          <w:rFonts w:ascii="Times New Roman" w:hAnsi="Times New Roman" w:cs="Times New Roman"/>
          <w:sz w:val="24"/>
          <w:szCs w:val="24"/>
        </w:rPr>
        <w:t>m</w:t>
      </w:r>
      <w:r>
        <w:rPr>
          <w:rFonts w:ascii="Times New Roman" w:hAnsi="Times New Roman" w:cs="Times New Roman"/>
          <w:sz w:val="24"/>
          <w:szCs w:val="24"/>
        </w:rPr>
        <w:t xml:space="preserve">pany </w:t>
      </w:r>
      <w:r w:rsidR="00942C4C" w:rsidRPr="009F3F74">
        <w:rPr>
          <w:rFonts w:ascii="Times New Roman" w:hAnsi="Times New Roman" w:cs="Times New Roman"/>
          <w:sz w:val="24"/>
          <w:szCs w:val="24"/>
        </w:rPr>
        <w:t>promptly transmits customer funds or securities to its clearing firm</w:t>
      </w:r>
      <w:r w:rsidR="0005021C">
        <w:rPr>
          <w:rFonts w:ascii="Times New Roman" w:hAnsi="Times New Roman" w:cs="Times New Roman"/>
          <w:sz w:val="24"/>
          <w:szCs w:val="24"/>
        </w:rPr>
        <w:t xml:space="preserve"> </w:t>
      </w:r>
      <w:r w:rsidR="0005021C" w:rsidRPr="00593EE9">
        <w:rPr>
          <w:rFonts w:ascii="Times New Roman" w:hAnsi="Times New Roman" w:cs="Times New Roman"/>
          <w:sz w:val="24"/>
          <w:szCs w:val="24"/>
        </w:rPr>
        <w:t>or intended recipient</w:t>
      </w:r>
      <w:r w:rsidR="00942C4C" w:rsidRPr="00593EE9">
        <w:rPr>
          <w:rFonts w:ascii="Times New Roman" w:hAnsi="Times New Roman" w:cs="Times New Roman"/>
          <w:sz w:val="24"/>
          <w:szCs w:val="24"/>
        </w:rPr>
        <w:t>.</w:t>
      </w:r>
    </w:p>
    <w:p w14:paraId="2F2C0731" w14:textId="77777777" w:rsidR="00FC03F5" w:rsidRDefault="00FC03F5" w:rsidP="00FC03F5">
      <w:pPr>
        <w:pStyle w:val="Normal1"/>
        <w:spacing w:before="0" w:after="0" w:afterAutospacing="0" w:line="240" w:lineRule="auto"/>
        <w:rPr>
          <w:rFonts w:ascii="Times New Roman" w:hAnsi="Times New Roman" w:cs="Times New Roman"/>
          <w:color w:val="FF0000"/>
          <w:sz w:val="24"/>
          <w:szCs w:val="24"/>
        </w:rPr>
      </w:pPr>
    </w:p>
    <w:p w14:paraId="342A5500" w14:textId="1A25B7D4" w:rsidR="00FC03F5" w:rsidRPr="00FC03F5" w:rsidRDefault="00FC03F5" w:rsidP="00FC156F">
      <w:pPr>
        <w:pStyle w:val="Normal46"/>
        <w:shd w:val="clear" w:color="auto" w:fill="FFFFFF"/>
        <w:spacing w:before="15" w:beforeAutospacing="0" w:line="240" w:lineRule="atLeast"/>
        <w:ind w:left="270"/>
        <w:rPr>
          <w:color w:val="FF0000"/>
        </w:rPr>
      </w:pPr>
      <w:r w:rsidRPr="00151877">
        <w:t xml:space="preserve">Company currently claims the (k)2(ii) exemption. </w:t>
      </w:r>
      <w:r w:rsidR="00FC156F">
        <w:t xml:space="preserve"> </w:t>
      </w:r>
    </w:p>
    <w:p w14:paraId="570BBECF" w14:textId="77777777" w:rsidR="00942C4C" w:rsidRPr="009F3F74" w:rsidRDefault="00942C4C" w:rsidP="001A587F">
      <w:pPr>
        <w:pStyle w:val="Heading4"/>
      </w:pPr>
      <w:r w:rsidRPr="009F3F74">
        <w:t>Receipt of Customer Funds or Securities</w:t>
      </w:r>
    </w:p>
    <w:p w14:paraId="78A3F4EB" w14:textId="45E04076" w:rsidR="00942C4C" w:rsidRPr="009F0FC7" w:rsidRDefault="00942C4C" w:rsidP="002D7AE4">
      <w:pPr>
        <w:pStyle w:val="Normal1"/>
        <w:spacing w:before="0" w:after="0" w:afterAutospacing="0" w:line="240" w:lineRule="auto"/>
        <w:ind w:left="270"/>
        <w:rPr>
          <w:rFonts w:ascii="Times New Roman" w:hAnsi="Times New Roman" w:cs="Times New Roman"/>
          <w:sz w:val="24"/>
          <w:szCs w:val="24"/>
        </w:rPr>
      </w:pPr>
      <w:r w:rsidRPr="009F3F74">
        <w:rPr>
          <w:rFonts w:ascii="Times New Roman" w:hAnsi="Times New Roman" w:cs="Times New Roman"/>
          <w:sz w:val="24"/>
          <w:szCs w:val="24"/>
        </w:rPr>
        <w:t xml:space="preserve">Company does not hold funds or securities </w:t>
      </w:r>
      <w:r w:rsidR="00037096" w:rsidRPr="009F3F74">
        <w:rPr>
          <w:rFonts w:ascii="Times New Roman" w:hAnsi="Times New Roman" w:cs="Times New Roman"/>
          <w:sz w:val="24"/>
          <w:szCs w:val="24"/>
        </w:rPr>
        <w:t>for or</w:t>
      </w:r>
      <w:r w:rsidRPr="009F3F74">
        <w:rPr>
          <w:rFonts w:ascii="Times New Roman" w:hAnsi="Times New Roman" w:cs="Times New Roman"/>
          <w:sz w:val="24"/>
          <w:szCs w:val="24"/>
        </w:rPr>
        <w:t xml:space="preserve"> owe money or securities to its customers.  In the event that funds or securities are </w:t>
      </w:r>
      <w:r w:rsidR="009C544B">
        <w:rPr>
          <w:rFonts w:ascii="Times New Roman" w:hAnsi="Times New Roman" w:cs="Times New Roman"/>
          <w:sz w:val="24"/>
          <w:szCs w:val="24"/>
        </w:rPr>
        <w:t>r</w:t>
      </w:r>
      <w:r w:rsidRPr="009F3F74">
        <w:rPr>
          <w:rFonts w:ascii="Times New Roman" w:hAnsi="Times New Roman" w:cs="Times New Roman"/>
          <w:sz w:val="24"/>
          <w:szCs w:val="24"/>
        </w:rPr>
        <w:t xml:space="preserve">eceived by Company, an entry will be made </w:t>
      </w:r>
      <w:r w:rsidR="008A10F3" w:rsidRPr="009F3F74">
        <w:rPr>
          <w:rFonts w:ascii="Times New Roman" w:hAnsi="Times New Roman" w:cs="Times New Roman"/>
          <w:sz w:val="24"/>
          <w:szCs w:val="24"/>
        </w:rPr>
        <w:t xml:space="preserve">in the WinOps Send/ </w:t>
      </w:r>
      <w:r w:rsidR="00F60C91" w:rsidRPr="009F3F74">
        <w:rPr>
          <w:rFonts w:ascii="Times New Roman" w:hAnsi="Times New Roman" w:cs="Times New Roman"/>
          <w:sz w:val="24"/>
          <w:szCs w:val="24"/>
        </w:rPr>
        <w:t>Received Log</w:t>
      </w:r>
      <w:r w:rsidR="008A10F3" w:rsidRPr="009F3F74">
        <w:rPr>
          <w:rFonts w:ascii="Times New Roman" w:hAnsi="Times New Roman" w:cs="Times New Roman"/>
          <w:sz w:val="24"/>
          <w:szCs w:val="24"/>
        </w:rPr>
        <w:t xml:space="preserve"> recording the date, amount, and, in the case of securities, a description of the securities received, and the action taken to return such funds or securities to their rightful owner. Instructions may be given to a customer to forward the securities directly to the clearing firm. No later than the next business day, Company will return the funds or securities to the </w:t>
      </w:r>
      <w:r w:rsidR="008A10F3" w:rsidRPr="00965432">
        <w:rPr>
          <w:rFonts w:ascii="Times New Roman" w:hAnsi="Times New Roman" w:cs="Times New Roman"/>
          <w:color w:val="000000" w:themeColor="text1"/>
          <w:sz w:val="24"/>
          <w:szCs w:val="24"/>
        </w:rPr>
        <w:t>sender</w:t>
      </w:r>
      <w:r w:rsidR="006029B5" w:rsidRPr="00965432">
        <w:rPr>
          <w:rFonts w:ascii="Times New Roman" w:hAnsi="Times New Roman" w:cs="Times New Roman"/>
          <w:color w:val="000000" w:themeColor="text1"/>
          <w:sz w:val="24"/>
          <w:szCs w:val="24"/>
        </w:rPr>
        <w:t xml:space="preserve"> (or at the customer’s request, the check may be shredded</w:t>
      </w:r>
      <w:r w:rsidR="00A33ADA" w:rsidRPr="00965432">
        <w:rPr>
          <w:rFonts w:ascii="Times New Roman" w:hAnsi="Times New Roman" w:cs="Times New Roman"/>
          <w:color w:val="000000" w:themeColor="text1"/>
          <w:sz w:val="24"/>
          <w:szCs w:val="24"/>
        </w:rPr>
        <w:t xml:space="preserve"> and noted in the S/R Log</w:t>
      </w:r>
      <w:r w:rsidR="006029B5" w:rsidRPr="00965432">
        <w:rPr>
          <w:rFonts w:ascii="Times New Roman" w:hAnsi="Times New Roman" w:cs="Times New Roman"/>
          <w:color w:val="000000" w:themeColor="text1"/>
          <w:sz w:val="24"/>
          <w:szCs w:val="24"/>
        </w:rPr>
        <w:t>)</w:t>
      </w:r>
      <w:r w:rsidR="008A10F3" w:rsidRPr="00965432">
        <w:rPr>
          <w:rFonts w:ascii="Times New Roman" w:hAnsi="Times New Roman" w:cs="Times New Roman"/>
          <w:color w:val="000000" w:themeColor="text1"/>
          <w:sz w:val="24"/>
          <w:szCs w:val="24"/>
        </w:rPr>
        <w:t xml:space="preserve">.  </w:t>
      </w:r>
      <w:r w:rsidR="008A10F3" w:rsidRPr="009F3F74">
        <w:rPr>
          <w:rFonts w:ascii="Times New Roman" w:hAnsi="Times New Roman" w:cs="Times New Roman"/>
          <w:sz w:val="24"/>
          <w:szCs w:val="24"/>
        </w:rPr>
        <w:t>If the sender cannot be immediately determined</w:t>
      </w:r>
      <w:r w:rsidR="003D4CE2">
        <w:rPr>
          <w:rFonts w:ascii="Times New Roman" w:hAnsi="Times New Roman" w:cs="Times New Roman"/>
          <w:sz w:val="24"/>
          <w:szCs w:val="24"/>
        </w:rPr>
        <w:t xml:space="preserve"> or other extenuating circumstances</w:t>
      </w:r>
      <w:r w:rsidR="008A10F3" w:rsidRPr="009F3F74">
        <w:rPr>
          <w:rFonts w:ascii="Times New Roman" w:hAnsi="Times New Roman" w:cs="Times New Roman"/>
          <w:sz w:val="24"/>
          <w:szCs w:val="24"/>
        </w:rPr>
        <w:t xml:space="preserve">, Company </w:t>
      </w:r>
      <w:r w:rsidR="008A10F3" w:rsidRPr="009F0FC7">
        <w:rPr>
          <w:rFonts w:ascii="Times New Roman" w:hAnsi="Times New Roman" w:cs="Times New Roman"/>
          <w:sz w:val="24"/>
          <w:szCs w:val="24"/>
        </w:rPr>
        <w:t xml:space="preserve">will </w:t>
      </w:r>
      <w:r w:rsidR="00FC2BD7" w:rsidRPr="009F0FC7">
        <w:rPr>
          <w:rFonts w:ascii="Times New Roman" w:hAnsi="Times New Roman" w:cs="Times New Roman"/>
          <w:sz w:val="24"/>
          <w:szCs w:val="24"/>
        </w:rPr>
        <w:t xml:space="preserve">either forward to the intended custodian or </w:t>
      </w:r>
      <w:r w:rsidR="008A10F3" w:rsidRPr="009F0FC7">
        <w:rPr>
          <w:rFonts w:ascii="Times New Roman" w:hAnsi="Times New Roman" w:cs="Times New Roman"/>
          <w:sz w:val="24"/>
          <w:szCs w:val="24"/>
        </w:rPr>
        <w:t>open a separate bank account, to be designated as “Special Account for the Exclusive Benefit of the Owner of Funds and Securities,” into which the funds or securities will be deposited and held until the rightful owner has been identified.</w:t>
      </w:r>
      <w:r w:rsidR="003D4CE2" w:rsidRPr="009F0FC7">
        <w:rPr>
          <w:rFonts w:ascii="Times New Roman" w:hAnsi="Times New Roman" w:cs="Times New Roman"/>
          <w:sz w:val="24"/>
          <w:szCs w:val="24"/>
        </w:rPr>
        <w:t xml:space="preserve">  </w:t>
      </w:r>
      <w:r w:rsidR="003D4CE2" w:rsidRPr="009F0FC7">
        <w:rPr>
          <w:rFonts w:ascii="Arial" w:hAnsi="Arial" w:cs="Arial"/>
          <w:sz w:val="21"/>
          <w:szCs w:val="21"/>
          <w:shd w:val="clear" w:color="auto" w:fill="FFFFFF"/>
        </w:rPr>
        <w:t> </w:t>
      </w:r>
      <w:r w:rsidR="003D4CE2" w:rsidRPr="009F0FC7">
        <w:rPr>
          <w:rFonts w:ascii="Times New Roman" w:hAnsi="Times New Roman" w:cs="Times New Roman"/>
          <w:sz w:val="24"/>
          <w:szCs w:val="24"/>
          <w:shd w:val="clear" w:color="auto" w:fill="FFFFFF"/>
        </w:rPr>
        <w:t xml:space="preserve">If funds are forwarded to the intended </w:t>
      </w:r>
      <w:r w:rsidR="003D4CE2" w:rsidRPr="009F0FC7">
        <w:rPr>
          <w:rFonts w:ascii="Times New Roman" w:hAnsi="Times New Roman" w:cs="Times New Roman"/>
          <w:sz w:val="24"/>
          <w:szCs w:val="24"/>
          <w:shd w:val="clear" w:color="auto" w:fill="FFFFFF"/>
        </w:rPr>
        <w:lastRenderedPageBreak/>
        <w:t>custodian, a review will be conducted to indicate the funds were correctly deposited into the customer's account and not any Company related account.  Such review will be included in the Cashiering file.</w:t>
      </w:r>
    </w:p>
    <w:p w14:paraId="44F7E6E3" w14:textId="77777777" w:rsidR="000C099C" w:rsidRPr="009F0FC7" w:rsidRDefault="000C099C" w:rsidP="002D7AE4">
      <w:pPr>
        <w:rPr>
          <w:sz w:val="24"/>
        </w:rPr>
      </w:pPr>
    </w:p>
    <w:p w14:paraId="756174B1" w14:textId="77777777" w:rsidR="003E1D6D" w:rsidRPr="009F3F74" w:rsidRDefault="003E1D6D" w:rsidP="002D7AE4">
      <w:pPr>
        <w:pStyle w:val="Heading3"/>
        <w:jc w:val="left"/>
      </w:pPr>
      <w:bookmarkStart w:id="144" w:name="FinancialReporting"/>
      <w:bookmarkEnd w:id="144"/>
      <w:r w:rsidRPr="009F3F74">
        <w:t>10.</w:t>
      </w:r>
      <w:r w:rsidR="00811B75" w:rsidRPr="009F3F74">
        <w:t>4</w:t>
      </w:r>
      <w:r w:rsidRPr="009F3F74">
        <w:t>.</w:t>
      </w:r>
      <w:r w:rsidR="008A10F3" w:rsidRPr="009F3F74">
        <w:t>2</w:t>
      </w:r>
      <w:r w:rsidRPr="009F3F74">
        <w:t xml:space="preserve"> Annual Audit</w:t>
      </w:r>
    </w:p>
    <w:p w14:paraId="36C6AF86" w14:textId="77777777" w:rsidR="00F12AAD" w:rsidRPr="00217738" w:rsidRDefault="003E1D6D" w:rsidP="002D7AE4">
      <w:pPr>
        <w:ind w:left="270"/>
        <w:rPr>
          <w:sz w:val="24"/>
          <w:szCs w:val="24"/>
        </w:rPr>
      </w:pPr>
      <w:r w:rsidRPr="009F3F74">
        <w:rPr>
          <w:sz w:val="24"/>
        </w:rPr>
        <w:t xml:space="preserve">On an annual basis, </w:t>
      </w:r>
      <w:r w:rsidR="00C22F70" w:rsidRPr="009F3F74">
        <w:rPr>
          <w:sz w:val="24"/>
        </w:rPr>
        <w:t xml:space="preserve">Company’s FINOP </w:t>
      </w:r>
      <w:r w:rsidR="00F12AAD" w:rsidRPr="00217738">
        <w:rPr>
          <w:sz w:val="24"/>
        </w:rPr>
        <w:t>is responsible</w:t>
      </w:r>
      <w:r w:rsidR="00F12AAD">
        <w:rPr>
          <w:sz w:val="24"/>
        </w:rPr>
        <w:t xml:space="preserve"> and </w:t>
      </w:r>
      <w:r w:rsidRPr="009F3F74">
        <w:rPr>
          <w:sz w:val="24"/>
        </w:rPr>
        <w:t xml:space="preserve">shall </w:t>
      </w:r>
      <w:r w:rsidR="00C22F70" w:rsidRPr="009F3F74">
        <w:rPr>
          <w:sz w:val="24"/>
        </w:rPr>
        <w:t>ensure an</w:t>
      </w:r>
      <w:r w:rsidRPr="009F3F74">
        <w:rPr>
          <w:sz w:val="24"/>
        </w:rPr>
        <w:t xml:space="preserve"> annual certified audit </w:t>
      </w:r>
      <w:r w:rsidR="00C22F70" w:rsidRPr="009F3F74">
        <w:rPr>
          <w:sz w:val="24"/>
        </w:rPr>
        <w:t xml:space="preserve">is conducted and review such audit </w:t>
      </w:r>
      <w:r w:rsidRPr="009F3F74">
        <w:rPr>
          <w:sz w:val="24"/>
        </w:rPr>
        <w:t>as to its accuracy and compliance with SEC and FINRA rules and regulations</w:t>
      </w:r>
      <w:r w:rsidR="00C22F70" w:rsidRPr="009F3F74">
        <w:rPr>
          <w:sz w:val="24"/>
        </w:rPr>
        <w:t>.  Company’s FINOP shall</w:t>
      </w:r>
      <w:r w:rsidRPr="009F3F74">
        <w:rPr>
          <w:sz w:val="24"/>
        </w:rPr>
        <w:t xml:space="preserve"> ensure it is filed</w:t>
      </w:r>
      <w:r w:rsidR="00C22F70" w:rsidRPr="009F3F74">
        <w:rPr>
          <w:sz w:val="24"/>
        </w:rPr>
        <w:t xml:space="preserve"> electronically through the CRD Filing System</w:t>
      </w:r>
      <w:r w:rsidRPr="009F3F74">
        <w:rPr>
          <w:sz w:val="24"/>
        </w:rPr>
        <w:t xml:space="preserve"> and received by the 60</w:t>
      </w:r>
      <w:r w:rsidRPr="009F3F74">
        <w:rPr>
          <w:sz w:val="24"/>
          <w:vertAlign w:val="superscript"/>
        </w:rPr>
        <w:t>th</w:t>
      </w:r>
      <w:r w:rsidRPr="009F3F74">
        <w:rPr>
          <w:sz w:val="24"/>
        </w:rPr>
        <w:t xml:space="preserve"> calendar day following year end</w:t>
      </w:r>
      <w:r w:rsidR="0001351A" w:rsidRPr="009F3F74">
        <w:rPr>
          <w:sz w:val="24"/>
        </w:rPr>
        <w:t xml:space="preserve"> and include the oath and affirmation page</w:t>
      </w:r>
      <w:r w:rsidRPr="009F3F74">
        <w:rPr>
          <w:sz w:val="24"/>
        </w:rPr>
        <w:t xml:space="preserve">.  </w:t>
      </w:r>
      <w:r w:rsidR="0001351A" w:rsidRPr="009F3F74">
        <w:rPr>
          <w:sz w:val="24"/>
        </w:rPr>
        <w:t>Electronic filing is made through the FINRA Firm Gateway, Regulatory Filing Application</w:t>
      </w:r>
      <w:r w:rsidR="001703F5">
        <w:rPr>
          <w:sz w:val="24"/>
        </w:rPr>
        <w:t xml:space="preserve">, </w:t>
      </w:r>
      <w:r w:rsidR="00A71AAD" w:rsidRPr="002C26F2">
        <w:rPr>
          <w:sz w:val="24"/>
        </w:rPr>
        <w:t>the SEC</w:t>
      </w:r>
      <w:r w:rsidR="001703F5">
        <w:rPr>
          <w:sz w:val="24"/>
        </w:rPr>
        <w:t xml:space="preserve">, </w:t>
      </w:r>
      <w:r w:rsidR="001703F5" w:rsidRPr="00037096">
        <w:rPr>
          <w:color w:val="000000" w:themeColor="text1"/>
          <w:sz w:val="24"/>
        </w:rPr>
        <w:t>and for SIPC</w:t>
      </w:r>
      <w:r w:rsidR="00A71AAD" w:rsidRPr="00037096">
        <w:rPr>
          <w:color w:val="000000" w:themeColor="text1"/>
          <w:sz w:val="24"/>
        </w:rPr>
        <w:t xml:space="preserve"> (</w:t>
      </w:r>
      <w:r w:rsidR="0001351A" w:rsidRPr="00037096">
        <w:rPr>
          <w:color w:val="000000" w:themeColor="text1"/>
          <w:sz w:val="24"/>
        </w:rPr>
        <w:t xml:space="preserve">hard copies </w:t>
      </w:r>
      <w:r w:rsidR="00A71AAD" w:rsidRPr="00037096">
        <w:rPr>
          <w:color w:val="000000" w:themeColor="text1"/>
          <w:sz w:val="24"/>
        </w:rPr>
        <w:t xml:space="preserve">if required will be </w:t>
      </w:r>
      <w:r w:rsidR="0001351A" w:rsidRPr="00037096">
        <w:rPr>
          <w:color w:val="000000" w:themeColor="text1"/>
          <w:sz w:val="24"/>
        </w:rPr>
        <w:t>filed with the SEC’s Washington office, Company’s regional SEC office, any state regulators who require paper filing</w:t>
      </w:r>
      <w:r w:rsidR="006C570D" w:rsidRPr="00037096">
        <w:rPr>
          <w:color w:val="000000" w:themeColor="text1"/>
          <w:sz w:val="24"/>
        </w:rPr>
        <w:t xml:space="preserve">, </w:t>
      </w:r>
      <w:r w:rsidR="006C570D" w:rsidRPr="00037096">
        <w:rPr>
          <w:color w:val="000000" w:themeColor="text1"/>
          <w:sz w:val="24"/>
          <w:szCs w:val="24"/>
          <w:shd w:val="clear" w:color="auto" w:fill="FFFFFF"/>
        </w:rPr>
        <w:t xml:space="preserve">and </w:t>
      </w:r>
      <w:r w:rsidR="001703F5" w:rsidRPr="00037096">
        <w:rPr>
          <w:color w:val="000000" w:themeColor="text1"/>
          <w:sz w:val="24"/>
          <w:szCs w:val="24"/>
          <w:shd w:val="clear" w:color="auto" w:fill="FFFFFF"/>
        </w:rPr>
        <w:t xml:space="preserve">the </w:t>
      </w:r>
      <w:r w:rsidR="001703F5" w:rsidRPr="00037096">
        <w:rPr>
          <w:color w:val="000000" w:themeColor="text1"/>
          <w:sz w:val="24"/>
          <w:szCs w:val="24"/>
        </w:rPr>
        <w:t>SIPC form 7 along with the Agreed-Upon Procedures Report from Company’s auditors</w:t>
      </w:r>
      <w:r w:rsidR="001703F5" w:rsidRPr="00037096">
        <w:rPr>
          <w:color w:val="000000" w:themeColor="text1"/>
        </w:rPr>
        <w:t xml:space="preserve"> </w:t>
      </w:r>
      <w:r w:rsidR="006C570D" w:rsidRPr="00037096">
        <w:rPr>
          <w:color w:val="000000" w:themeColor="text1"/>
          <w:sz w:val="24"/>
          <w:szCs w:val="24"/>
          <w:shd w:val="clear" w:color="auto" w:fill="FFFFFF"/>
        </w:rPr>
        <w:t xml:space="preserve">with the Securities Investor Protection </w:t>
      </w:r>
      <w:r w:rsidR="006C570D" w:rsidRPr="00E063CF">
        <w:rPr>
          <w:sz w:val="24"/>
          <w:szCs w:val="24"/>
          <w:shd w:val="clear" w:color="auto" w:fill="FFFFFF"/>
        </w:rPr>
        <w:t>Corporation (“SIPC”)</w:t>
      </w:r>
      <w:r w:rsidR="00F87E89" w:rsidRPr="00E063CF">
        <w:rPr>
          <w:sz w:val="24"/>
          <w:szCs w:val="24"/>
          <w:shd w:val="clear" w:color="auto" w:fill="FFFFFF"/>
        </w:rPr>
        <w:t xml:space="preserve"> pursuant to Rule 204.17-5(d)(6)</w:t>
      </w:r>
      <w:r w:rsidR="0001351A" w:rsidRPr="00E063CF">
        <w:rPr>
          <w:sz w:val="24"/>
          <w:szCs w:val="24"/>
        </w:rPr>
        <w:t>.</w:t>
      </w:r>
      <w:r w:rsidR="0001351A" w:rsidRPr="00E063CF">
        <w:rPr>
          <w:sz w:val="24"/>
        </w:rPr>
        <w:t xml:space="preserve"> </w:t>
      </w:r>
      <w:r w:rsidR="00F12AAD" w:rsidRPr="00E063CF">
        <w:rPr>
          <w:sz w:val="24"/>
        </w:rPr>
        <w:t xml:space="preserve"> </w:t>
      </w:r>
      <w:r w:rsidR="00F12AAD" w:rsidRPr="00217738">
        <w:rPr>
          <w:sz w:val="24"/>
          <w:szCs w:val="24"/>
        </w:rPr>
        <w:t>The FINOP will retain records of the filings including the filings themselves, names of regulators, and date of filing.  Reports will be as of the same fixed or determinable date each year, unless a change is approved in writing by FINRA. A copy of FINRA's written approval will be sent to Company's SEC regional office.</w:t>
      </w:r>
    </w:p>
    <w:p w14:paraId="7F488004" w14:textId="77777777" w:rsidR="0001351A" w:rsidRPr="009F3F74" w:rsidRDefault="0001351A" w:rsidP="002D7AE4">
      <w:pPr>
        <w:ind w:left="270"/>
        <w:rPr>
          <w:sz w:val="24"/>
        </w:rPr>
      </w:pPr>
    </w:p>
    <w:p w14:paraId="1B641F94" w14:textId="77777777" w:rsidR="003E1D6D" w:rsidRPr="000C099C" w:rsidRDefault="0001351A" w:rsidP="002D7AE4">
      <w:pPr>
        <w:ind w:left="270"/>
        <w:rPr>
          <w:sz w:val="24"/>
        </w:rPr>
      </w:pPr>
      <w:r w:rsidRPr="009F3F74">
        <w:rPr>
          <w:sz w:val="24"/>
        </w:rPr>
        <w:t>R</w:t>
      </w:r>
      <w:r w:rsidR="003E1D6D" w:rsidRPr="009F3F74">
        <w:rPr>
          <w:sz w:val="24"/>
        </w:rPr>
        <w:t xml:space="preserve">eview and approval </w:t>
      </w:r>
      <w:r w:rsidRPr="009F3F74">
        <w:rPr>
          <w:sz w:val="24"/>
        </w:rPr>
        <w:t xml:space="preserve">of the annual audit and filings </w:t>
      </w:r>
      <w:r w:rsidR="003E1D6D" w:rsidRPr="009F3F74">
        <w:rPr>
          <w:sz w:val="24"/>
        </w:rPr>
        <w:t>shall be evidenced by Morris Monroe’s, or his officer designee's dated execution of each annual audit report. Such audit shall be conducted by an independent, Public Company Accounting Oversight Board</w:t>
      </w:r>
      <w:r w:rsidR="003E1D6D" w:rsidRPr="006B1F12">
        <w:rPr>
          <w:sz w:val="24"/>
        </w:rPr>
        <w:t xml:space="preserve"> (PCAOB) member.  A copy of each year's executed annual audit report shall be made a part of</w:t>
      </w:r>
      <w:r w:rsidR="003E1D6D" w:rsidRPr="000C099C">
        <w:rPr>
          <w:sz w:val="24"/>
        </w:rPr>
        <w:t xml:space="preserve"> the Company's permanent files.</w:t>
      </w:r>
    </w:p>
    <w:p w14:paraId="6B1C29A2" w14:textId="77777777" w:rsidR="003E1D6D" w:rsidRPr="000C099C" w:rsidRDefault="003E1D6D" w:rsidP="002D7AE4">
      <w:pPr>
        <w:pStyle w:val="MRS"/>
        <w:jc w:val="left"/>
      </w:pPr>
    </w:p>
    <w:p w14:paraId="327626E3" w14:textId="77777777" w:rsidR="003E1D6D" w:rsidRDefault="003E1D6D" w:rsidP="002D7AE4">
      <w:pPr>
        <w:pStyle w:val="Heading3"/>
        <w:jc w:val="left"/>
      </w:pPr>
      <w:r>
        <w:t>10.</w:t>
      </w:r>
      <w:r w:rsidR="00811B75">
        <w:t>4</w:t>
      </w:r>
      <w:r>
        <w:t>.</w:t>
      </w:r>
      <w:r w:rsidR="008A10F3">
        <w:t>3</w:t>
      </w:r>
      <w:r>
        <w:t xml:space="preserve"> Focus Reports</w:t>
      </w:r>
      <w:r w:rsidR="009A28AD">
        <w:t>, Schedule I, Form Custody</w:t>
      </w:r>
      <w:r w:rsidR="00690FA0">
        <w:t>, Exemptions</w:t>
      </w:r>
    </w:p>
    <w:p w14:paraId="79BE8FD4" w14:textId="77777777" w:rsidR="003E1D6D" w:rsidRDefault="003E1D6D" w:rsidP="002D7AE4">
      <w:pPr>
        <w:ind w:left="270"/>
        <w:rPr>
          <w:sz w:val="24"/>
        </w:rPr>
      </w:pPr>
      <w:r w:rsidRPr="000C099C">
        <w:rPr>
          <w:sz w:val="24"/>
        </w:rPr>
        <w:t xml:space="preserve">On a quarterly basis, Morris Monroe shall review and/or prepare the FOCUS IIA Report, currently under exemption (k)(2)(ii) pursuant to </w:t>
      </w:r>
      <w:bookmarkStart w:id="145" w:name="CustProtectionRule"/>
      <w:bookmarkEnd w:id="145"/>
      <w:r w:rsidRPr="000C099C">
        <w:rPr>
          <w:sz w:val="24"/>
        </w:rPr>
        <w:t xml:space="preserve">SEC Rule 15c3-3 (Rule 3140), and such other financial reports as may be required to be filed with the SEC, FINRA or state regulatory agencies.  Such review and approval shall be evidenced by Morris Monroe’s dated initialed execution of each FOCUS IIA Report.  A copy of each quarter's executed FOCUS IIA Report shall be made a part of the Company's permanent files.  </w:t>
      </w:r>
    </w:p>
    <w:p w14:paraId="1EA0AF27" w14:textId="77777777" w:rsidR="009A28AD" w:rsidRDefault="009A28AD" w:rsidP="002D7AE4">
      <w:pPr>
        <w:ind w:left="270"/>
        <w:rPr>
          <w:sz w:val="24"/>
        </w:rPr>
      </w:pPr>
    </w:p>
    <w:p w14:paraId="156C3DD1" w14:textId="77777777" w:rsidR="009A28AD" w:rsidRPr="00E063CF" w:rsidRDefault="009A28AD" w:rsidP="002D7AE4">
      <w:pPr>
        <w:ind w:left="270"/>
        <w:rPr>
          <w:sz w:val="24"/>
        </w:rPr>
      </w:pPr>
      <w:r w:rsidRPr="00E063CF">
        <w:rPr>
          <w:sz w:val="24"/>
        </w:rPr>
        <w:t xml:space="preserve">Schedule I shall be filed electronically </w:t>
      </w:r>
      <w:r w:rsidR="009C617E" w:rsidRPr="00E063CF">
        <w:rPr>
          <w:sz w:val="24"/>
        </w:rPr>
        <w:t xml:space="preserve">within 17 business days </w:t>
      </w:r>
      <w:r w:rsidRPr="00E063CF">
        <w:rPr>
          <w:sz w:val="24"/>
        </w:rPr>
        <w:t>subsequent to each calendar year along with the fourth quarter Focus IIA filing.  A copy of said report will be maintained in Company records along with the Focus reports and reviewed by Morris Monroe.</w:t>
      </w:r>
      <w:r w:rsidR="00B55331" w:rsidRPr="00E063CF">
        <w:rPr>
          <w:sz w:val="24"/>
        </w:rPr>
        <w:t xml:space="preserve">  </w:t>
      </w:r>
    </w:p>
    <w:p w14:paraId="748C3BD0" w14:textId="77777777" w:rsidR="009A28AD" w:rsidRPr="00E063CF" w:rsidRDefault="009A28AD" w:rsidP="002D7AE4">
      <w:pPr>
        <w:ind w:left="270"/>
        <w:rPr>
          <w:sz w:val="24"/>
        </w:rPr>
      </w:pPr>
    </w:p>
    <w:p w14:paraId="42DF7FF1" w14:textId="77777777" w:rsidR="00036A73" w:rsidRPr="00E063CF" w:rsidRDefault="009A28AD" w:rsidP="002D7AE4">
      <w:pPr>
        <w:ind w:left="270"/>
        <w:rPr>
          <w:sz w:val="24"/>
        </w:rPr>
      </w:pPr>
      <w:r w:rsidRPr="00E063CF">
        <w:rPr>
          <w:sz w:val="24"/>
        </w:rPr>
        <w:t xml:space="preserve">Form Custody shall be filed electronically beginning with the January 2014 filing along with the Focus IIA and quarterly thereafter </w:t>
      </w:r>
      <w:r w:rsidR="00452526" w:rsidRPr="00E063CF">
        <w:rPr>
          <w:sz w:val="24"/>
          <w:szCs w:val="24"/>
        </w:rPr>
        <w:t xml:space="preserve">within 17 business days after the end of each calendar quarter and within 17 business days after the end of the fiscal year of the broker or dealer where that date is not the end of a calendar quarter. Said reports will be </w:t>
      </w:r>
      <w:r w:rsidRPr="00E063CF">
        <w:rPr>
          <w:sz w:val="24"/>
        </w:rPr>
        <w:t xml:space="preserve">maintained in the financial records of Company. </w:t>
      </w:r>
    </w:p>
    <w:p w14:paraId="133C1140" w14:textId="77777777" w:rsidR="00036A73" w:rsidRPr="00E063CF" w:rsidRDefault="00036A73" w:rsidP="002D7AE4">
      <w:pPr>
        <w:ind w:left="270"/>
        <w:rPr>
          <w:sz w:val="24"/>
        </w:rPr>
      </w:pPr>
    </w:p>
    <w:p w14:paraId="026E8FC8" w14:textId="77777777" w:rsidR="00036A73" w:rsidRPr="00E063CF" w:rsidRDefault="00036A73" w:rsidP="002D7AE4">
      <w:pPr>
        <w:ind w:left="270"/>
        <w:rPr>
          <w:sz w:val="24"/>
          <w:szCs w:val="24"/>
        </w:rPr>
      </w:pPr>
      <w:r w:rsidRPr="00E063CF">
        <w:rPr>
          <w:sz w:val="24"/>
          <w:szCs w:val="24"/>
        </w:rPr>
        <w:t>Company will annually file with the SEC the Exemption Report within 60 calendar days after the fiscal year-end as part of Company's annual compliance audit with the SEC.</w:t>
      </w:r>
    </w:p>
    <w:p w14:paraId="668EA2BA" w14:textId="77777777" w:rsidR="003E1D6D" w:rsidRPr="000C099C" w:rsidRDefault="003E1D6D" w:rsidP="002D7AE4">
      <w:pPr>
        <w:ind w:left="270"/>
        <w:rPr>
          <w:sz w:val="24"/>
        </w:rPr>
      </w:pPr>
    </w:p>
    <w:p w14:paraId="0905A6D2" w14:textId="77777777" w:rsidR="003E1D6D" w:rsidRDefault="003E1D6D" w:rsidP="002D7AE4">
      <w:pPr>
        <w:pStyle w:val="Heading3"/>
        <w:jc w:val="left"/>
      </w:pPr>
      <w:bookmarkStart w:id="146" w:name="NetCapital"/>
      <w:bookmarkEnd w:id="146"/>
      <w:r>
        <w:lastRenderedPageBreak/>
        <w:t>10.</w:t>
      </w:r>
      <w:r w:rsidR="00811B75">
        <w:t>4</w:t>
      </w:r>
      <w:r>
        <w:t>.</w:t>
      </w:r>
      <w:r w:rsidR="008A10F3">
        <w:t>4</w:t>
      </w:r>
      <w:r>
        <w:t xml:space="preserve"> Net Capital Computation</w:t>
      </w:r>
    </w:p>
    <w:p w14:paraId="38DD8A53" w14:textId="77777777" w:rsidR="002E4825" w:rsidRPr="00767FD6" w:rsidRDefault="003E1D6D" w:rsidP="002D7AE4">
      <w:pPr>
        <w:ind w:left="270"/>
        <w:rPr>
          <w:sz w:val="24"/>
          <w:szCs w:val="24"/>
        </w:rPr>
      </w:pPr>
      <w:r w:rsidRPr="000C099C">
        <w:rPr>
          <w:sz w:val="24"/>
        </w:rPr>
        <w:t xml:space="preserve">On a monthly basis (or more frequently if necessary), Morris Monroe, or his designee shall review and/or prepare a Net Capital Computation and Statement of Aggregate Indebtedness pursuant to SEC Rule 15c3-1, and such other financial reports as may be required to be filed with the SEC, FINRA or state regulatory agencies. Pursuant to </w:t>
      </w:r>
      <w:r w:rsidR="002E4825">
        <w:rPr>
          <w:sz w:val="24"/>
        </w:rPr>
        <w:t>Company’s</w:t>
      </w:r>
      <w:r w:rsidRPr="000C099C">
        <w:rPr>
          <w:sz w:val="24"/>
        </w:rPr>
        <w:t xml:space="preserve"> PAIB Agreement with </w:t>
      </w:r>
      <w:r w:rsidR="002E4825">
        <w:rPr>
          <w:sz w:val="24"/>
        </w:rPr>
        <w:t>the</w:t>
      </w:r>
      <w:r>
        <w:rPr>
          <w:sz w:val="24"/>
        </w:rPr>
        <w:t xml:space="preserve"> clearing firm, the Company may include </w:t>
      </w:r>
      <w:r w:rsidR="002E4825">
        <w:rPr>
          <w:sz w:val="24"/>
        </w:rPr>
        <w:t>its</w:t>
      </w:r>
      <w:r>
        <w:rPr>
          <w:sz w:val="24"/>
        </w:rPr>
        <w:t xml:space="preserve"> clearing deposit as an allowable asset for net capital computation purposes pursuant to SEC Rule 15c3-1 provisions.  </w:t>
      </w:r>
      <w:r w:rsidR="002E4825" w:rsidRPr="00767FD6">
        <w:rPr>
          <w:sz w:val="24"/>
        </w:rPr>
        <w:t xml:space="preserve">Pursuant to Company’s fidelity bond, </w:t>
      </w:r>
      <w:r w:rsidR="002E4825" w:rsidRPr="00DD5F80">
        <w:rPr>
          <w:sz w:val="24"/>
          <w:u w:val="single"/>
        </w:rPr>
        <w:t>a</w:t>
      </w:r>
      <w:r w:rsidR="002E4825" w:rsidRPr="00DD5F80">
        <w:rPr>
          <w:rStyle w:val="us"/>
          <w:sz w:val="24"/>
          <w:szCs w:val="24"/>
          <w:u w:val="single"/>
        </w:rPr>
        <w:t>ny deductible amount elected by the Company that is greater than 10% of the coverage purchased by the member must be deducted from its net worth in the calculation of net capital for purposes of SEA Rule 15c3-1</w:t>
      </w:r>
      <w:r w:rsidR="002E4825" w:rsidRPr="00767FD6">
        <w:rPr>
          <w:rStyle w:val="us"/>
          <w:sz w:val="24"/>
          <w:szCs w:val="24"/>
        </w:rPr>
        <w:t>.</w:t>
      </w:r>
    </w:p>
    <w:p w14:paraId="2610694C" w14:textId="77777777" w:rsidR="002E4825" w:rsidRDefault="002E4825" w:rsidP="002D7AE4">
      <w:pPr>
        <w:ind w:left="270"/>
        <w:rPr>
          <w:sz w:val="24"/>
        </w:rPr>
      </w:pPr>
    </w:p>
    <w:p w14:paraId="5EA44599" w14:textId="77777777" w:rsidR="003E1D6D" w:rsidRDefault="003E1D6D" w:rsidP="002D7AE4">
      <w:pPr>
        <w:ind w:left="270"/>
        <w:rPr>
          <w:sz w:val="24"/>
        </w:rPr>
      </w:pPr>
      <w:r>
        <w:rPr>
          <w:sz w:val="24"/>
        </w:rPr>
        <w:t>Such review and approval shall be evidenced by Morris Monroe’s initialing of each monthly Net Capital Computation with Statement of Aggregate Indebtedness.  A copy of each month's Net Capital Computation with Statement of Aggregate Indebtedness, reflecting evidence of review and approval by Morris Monroe shall be made a part of the Company's permanent files.</w:t>
      </w:r>
    </w:p>
    <w:p w14:paraId="5F0EF93D" w14:textId="77777777" w:rsidR="003E1D6D" w:rsidRDefault="003E1D6D" w:rsidP="002D7AE4">
      <w:pPr>
        <w:ind w:left="270"/>
        <w:rPr>
          <w:sz w:val="24"/>
        </w:rPr>
      </w:pPr>
    </w:p>
    <w:p w14:paraId="5C7C8043" w14:textId="77777777" w:rsidR="003E1D6D" w:rsidRDefault="003E1D6D" w:rsidP="002D7AE4">
      <w:pPr>
        <w:ind w:left="270"/>
        <w:rPr>
          <w:sz w:val="24"/>
        </w:rPr>
      </w:pPr>
      <w:r>
        <w:rPr>
          <w:sz w:val="24"/>
        </w:rPr>
        <w:t xml:space="preserve">If the Company’s net capital declines below the minimum amount required pursuant to S240.15c3-1, it shall give notice in accordance with </w:t>
      </w:r>
      <w:r>
        <w:rPr>
          <w:b/>
          <w:bCs/>
          <w:sz w:val="24"/>
        </w:rPr>
        <w:t>SEC Rule 17a-11</w:t>
      </w:r>
      <w:r>
        <w:rPr>
          <w:sz w:val="24"/>
        </w:rPr>
        <w:t xml:space="preserve"> by means of telegraphic or facsimile transmission of such deficiency that same day to the national and regional Commission offices and the DEA office. </w:t>
      </w:r>
    </w:p>
    <w:p w14:paraId="2F5161C8" w14:textId="77777777" w:rsidR="003E1D6D" w:rsidRDefault="003E1D6D" w:rsidP="002D7AE4">
      <w:pPr>
        <w:ind w:left="270"/>
        <w:rPr>
          <w:sz w:val="24"/>
        </w:rPr>
      </w:pPr>
    </w:p>
    <w:p w14:paraId="60210E85" w14:textId="77777777" w:rsidR="003E1D6D" w:rsidRPr="009F3F74" w:rsidRDefault="003E1D6D" w:rsidP="002D7AE4">
      <w:pPr>
        <w:ind w:left="270"/>
        <w:rPr>
          <w:sz w:val="24"/>
        </w:rPr>
      </w:pPr>
      <w:r>
        <w:rPr>
          <w:sz w:val="24"/>
        </w:rPr>
        <w:t>Pursuant to Rule 2270, the Company shall make available to inspection any bona fide regular customer, upon request, the information relative to the Company’s financial condition as disclosed in its most recent balance sheet prepared either in accordance with Company’s usual practice or as required by state and regulatory securities laws, or any rule or regulation thereunder.  (</w:t>
      </w:r>
      <w:r>
        <w:rPr>
          <w:i/>
          <w:iCs/>
          <w:sz w:val="24"/>
        </w:rPr>
        <w:t xml:space="preserve">Rule only applies to members who have possession of </w:t>
      </w:r>
      <w:r w:rsidR="007A157F">
        <w:rPr>
          <w:i/>
          <w:iCs/>
          <w:sz w:val="24"/>
        </w:rPr>
        <w:t>customers’</w:t>
      </w:r>
      <w:r>
        <w:rPr>
          <w:i/>
          <w:iCs/>
          <w:sz w:val="24"/>
        </w:rPr>
        <w:t xml:space="preserve"> cash and securities.)  </w:t>
      </w:r>
      <w:r>
        <w:rPr>
          <w:sz w:val="24"/>
        </w:rPr>
        <w:t xml:space="preserve">The Company is exempt from Rule 2280 (Investor Education and Protection) due to it does not carry customer funds or securities.  </w:t>
      </w:r>
      <w:r w:rsidRPr="009F3F74">
        <w:rPr>
          <w:sz w:val="24"/>
        </w:rPr>
        <w:t xml:space="preserve">In addition, Company will provide its financial condition or balance sheet to any member firm, upon request, that is a party to an open transaction or has on deposit Company clients’ funds or securities.  The information may be provided electronically, however, if to a customer, a Consent to Electronic Delivery must be received.  </w:t>
      </w:r>
    </w:p>
    <w:p w14:paraId="6F36EE7D" w14:textId="77777777" w:rsidR="003E1D6D" w:rsidRPr="009F3F74" w:rsidRDefault="003E1D6D" w:rsidP="002D7AE4">
      <w:pPr>
        <w:ind w:left="270"/>
        <w:rPr>
          <w:sz w:val="24"/>
        </w:rPr>
      </w:pPr>
    </w:p>
    <w:p w14:paraId="29681A03" w14:textId="77777777" w:rsidR="003E1D6D" w:rsidRPr="009F3F74" w:rsidRDefault="003E1D6D" w:rsidP="002D7AE4">
      <w:pPr>
        <w:ind w:left="270"/>
        <w:rPr>
          <w:sz w:val="24"/>
          <w:szCs w:val="24"/>
        </w:rPr>
      </w:pPr>
      <w:r w:rsidRPr="009F3F74">
        <w:rPr>
          <w:sz w:val="24"/>
          <w:szCs w:val="24"/>
        </w:rPr>
        <w:t xml:space="preserve">Morris Monroe or Laura Hendricks will review all FINRA assessments and fees when received and ensure that they are paid on a timely basis. </w:t>
      </w:r>
    </w:p>
    <w:p w14:paraId="19BAAE73" w14:textId="77777777" w:rsidR="003E1D6D" w:rsidRPr="009F3F74" w:rsidRDefault="003E1D6D" w:rsidP="002D7AE4">
      <w:pPr>
        <w:pStyle w:val="BodyText2"/>
        <w:keepNext/>
        <w:widowControl/>
        <w:rPr>
          <w:szCs w:val="24"/>
        </w:rPr>
      </w:pPr>
    </w:p>
    <w:p w14:paraId="29C31E96" w14:textId="77777777" w:rsidR="00CD66EF" w:rsidRPr="009F3F74" w:rsidRDefault="003E1D6D" w:rsidP="002D7AE4">
      <w:pPr>
        <w:pStyle w:val="Heading3"/>
        <w:jc w:val="left"/>
      </w:pPr>
      <w:r w:rsidRPr="009F3F74">
        <w:t>10.</w:t>
      </w:r>
      <w:r w:rsidR="00811B75" w:rsidRPr="009F3F74">
        <w:t>4</w:t>
      </w:r>
      <w:r w:rsidRPr="009F3F74">
        <w:t>.</w:t>
      </w:r>
      <w:r w:rsidR="008A10F3" w:rsidRPr="009F3F74">
        <w:t>5</w:t>
      </w:r>
      <w:r w:rsidRPr="009F3F74">
        <w:t xml:space="preserve"> </w:t>
      </w:r>
      <w:r w:rsidR="00CD66EF" w:rsidRPr="009F3F74">
        <w:t>Reconciliations and Bank Records</w:t>
      </w:r>
    </w:p>
    <w:p w14:paraId="3D792BCC" w14:textId="77777777" w:rsidR="00CD66EF" w:rsidRPr="009F3F74" w:rsidRDefault="00CD66EF" w:rsidP="002D7AE4">
      <w:pPr>
        <w:ind w:left="270"/>
        <w:rPr>
          <w:sz w:val="24"/>
          <w:szCs w:val="24"/>
        </w:rPr>
      </w:pPr>
      <w:r w:rsidRPr="009F3F74">
        <w:rPr>
          <w:sz w:val="24"/>
          <w:szCs w:val="24"/>
        </w:rPr>
        <w:t xml:space="preserve">Company’s FINOP is responsible for establishing procedures for the periodic reconciliation of bank statements, clearing and depository accounts, and other accounting and business records. </w:t>
      </w:r>
      <w:r w:rsidR="00111B7C" w:rsidRPr="009F3F74">
        <w:rPr>
          <w:sz w:val="24"/>
          <w:szCs w:val="24"/>
        </w:rPr>
        <w:t xml:space="preserve">Bank account reconciliations will be conducted on a monthly basis.  </w:t>
      </w:r>
      <w:r w:rsidRPr="009F3F74">
        <w:rPr>
          <w:sz w:val="24"/>
          <w:szCs w:val="24"/>
        </w:rPr>
        <w:t>Records of bank accounts and other reconciled accounts will be maintained in accordance with regulatory requirements.  Review of said records will be evidenced by FINOP’s initialed Focus reports and Net Capital Computations.</w:t>
      </w:r>
    </w:p>
    <w:p w14:paraId="6C91F9A3" w14:textId="77777777" w:rsidR="00CD66EF" w:rsidRPr="009F3F74" w:rsidRDefault="00CD66EF" w:rsidP="002D7AE4"/>
    <w:p w14:paraId="3722DBD3" w14:textId="77777777" w:rsidR="003E1D6D" w:rsidRPr="009F3F74" w:rsidRDefault="00811B75" w:rsidP="002D7AE4">
      <w:pPr>
        <w:pStyle w:val="Heading3"/>
        <w:jc w:val="left"/>
      </w:pPr>
      <w:r w:rsidRPr="009F3F74">
        <w:t>10.4</w:t>
      </w:r>
      <w:r w:rsidR="00CD66EF" w:rsidRPr="009F3F74">
        <w:t>.</w:t>
      </w:r>
      <w:r w:rsidR="008A10F3" w:rsidRPr="009F3F74">
        <w:t>6</w:t>
      </w:r>
      <w:r w:rsidR="00CD66EF" w:rsidRPr="009F3F74">
        <w:t xml:space="preserve"> </w:t>
      </w:r>
      <w:r w:rsidR="003E1D6D" w:rsidRPr="009F3F74">
        <w:t xml:space="preserve">FINRA Rule 4110(c)(1) – Withdrawal of Equity Capital </w:t>
      </w:r>
    </w:p>
    <w:p w14:paraId="4F57FFFF" w14:textId="77777777" w:rsidR="003E1D6D" w:rsidRPr="009F3F74" w:rsidRDefault="003E1D6D" w:rsidP="002D7AE4">
      <w:pPr>
        <w:ind w:left="270"/>
        <w:rPr>
          <w:sz w:val="24"/>
          <w:szCs w:val="24"/>
        </w:rPr>
      </w:pPr>
      <w:r w:rsidRPr="009F3F74">
        <w:rPr>
          <w:sz w:val="24"/>
          <w:szCs w:val="24"/>
        </w:rPr>
        <w:t xml:space="preserve">Company shall not withdraw equity for a period of one year from the date when equity capital is contributed, unless permitted in writing by FINRA.  However, Company is not precluded from withdrawing profits.  </w:t>
      </w:r>
    </w:p>
    <w:p w14:paraId="7E04CB60" w14:textId="77777777" w:rsidR="003E1D6D" w:rsidRPr="009F3F74" w:rsidRDefault="003E1D6D" w:rsidP="002D7AE4">
      <w:pPr>
        <w:ind w:left="270"/>
        <w:rPr>
          <w:sz w:val="24"/>
          <w:szCs w:val="24"/>
        </w:rPr>
      </w:pPr>
    </w:p>
    <w:p w14:paraId="18FB17BD" w14:textId="77777777" w:rsidR="003E1D6D" w:rsidRPr="009F3F74" w:rsidRDefault="003E1D6D" w:rsidP="002D7AE4">
      <w:pPr>
        <w:pStyle w:val="Heading3"/>
        <w:jc w:val="left"/>
      </w:pPr>
      <w:r w:rsidRPr="009F3F74">
        <w:t>10.</w:t>
      </w:r>
      <w:r w:rsidR="00811B75" w:rsidRPr="009F3F74">
        <w:t>4</w:t>
      </w:r>
      <w:r w:rsidRPr="009F3F74">
        <w:t>.</w:t>
      </w:r>
      <w:r w:rsidR="008A10F3" w:rsidRPr="009F3F74">
        <w:t>7</w:t>
      </w:r>
      <w:r w:rsidRPr="009F3F74">
        <w:t xml:space="preserve"> FINRA Rule 4110(d)(4) – Using Ready Market Securities for Loans</w:t>
      </w:r>
    </w:p>
    <w:p w14:paraId="73CA7CDB" w14:textId="77777777" w:rsidR="003E1D6D" w:rsidRPr="009F3F74" w:rsidRDefault="003E1D6D" w:rsidP="002D7AE4">
      <w:pPr>
        <w:tabs>
          <w:tab w:val="left" w:pos="180"/>
        </w:tabs>
        <w:ind w:left="270"/>
        <w:rPr>
          <w:rStyle w:val="us"/>
          <w:sz w:val="24"/>
          <w:szCs w:val="24"/>
        </w:rPr>
      </w:pPr>
      <w:r w:rsidRPr="009F3F74">
        <w:rPr>
          <w:sz w:val="24"/>
          <w:szCs w:val="24"/>
        </w:rPr>
        <w:t xml:space="preserve">Any agreement related to the determination of a ready market </w:t>
      </w:r>
      <w:r w:rsidRPr="009F3F74">
        <w:rPr>
          <w:rStyle w:val="us"/>
          <w:sz w:val="24"/>
          <w:szCs w:val="24"/>
        </w:rPr>
        <w:t>for securities based upon the securities being accepted as collateral for a loan by a bank under SEA Rule 15c3-1(c)(11)(ii), must be submitted to and be acceptable to FINRA before the securities may be deemed to have a "ready market."</w:t>
      </w:r>
    </w:p>
    <w:p w14:paraId="3A24DD89" w14:textId="77777777" w:rsidR="003E1D6D" w:rsidRPr="009F3F74" w:rsidRDefault="003E1D6D" w:rsidP="002D7AE4">
      <w:pPr>
        <w:tabs>
          <w:tab w:val="left" w:pos="180"/>
        </w:tabs>
        <w:ind w:left="270"/>
        <w:rPr>
          <w:rStyle w:val="us"/>
          <w:sz w:val="24"/>
          <w:szCs w:val="24"/>
        </w:rPr>
      </w:pPr>
    </w:p>
    <w:p w14:paraId="3353B3E7" w14:textId="77777777" w:rsidR="003E1D6D" w:rsidRPr="009F3F74" w:rsidRDefault="003E1D6D" w:rsidP="002D7AE4">
      <w:pPr>
        <w:pStyle w:val="Heading3"/>
        <w:jc w:val="left"/>
        <w:rPr>
          <w:rStyle w:val="us"/>
          <w:b w:val="0"/>
          <w:i/>
          <w:sz w:val="20"/>
          <w:szCs w:val="20"/>
        </w:rPr>
      </w:pPr>
      <w:r w:rsidRPr="009F3F74">
        <w:rPr>
          <w:rStyle w:val="us"/>
        </w:rPr>
        <w:t>10.</w:t>
      </w:r>
      <w:r w:rsidR="00811B75" w:rsidRPr="009F3F74">
        <w:rPr>
          <w:rStyle w:val="us"/>
        </w:rPr>
        <w:t>4</w:t>
      </w:r>
      <w:r w:rsidRPr="009F3F74">
        <w:rPr>
          <w:rStyle w:val="us"/>
        </w:rPr>
        <w:t>.</w:t>
      </w:r>
      <w:r w:rsidR="008A10F3" w:rsidRPr="009F3F74">
        <w:rPr>
          <w:rStyle w:val="us"/>
        </w:rPr>
        <w:t>8</w:t>
      </w:r>
      <w:r w:rsidRPr="009F3F74">
        <w:rPr>
          <w:rStyle w:val="us"/>
        </w:rPr>
        <w:t xml:space="preserve"> FINRA Rule 4140 – Audit  </w:t>
      </w:r>
    </w:p>
    <w:p w14:paraId="2D29644F" w14:textId="77777777" w:rsidR="003E1D6D" w:rsidRPr="009F3F74" w:rsidRDefault="003E1D6D" w:rsidP="002D7AE4">
      <w:pPr>
        <w:shd w:val="clear" w:color="auto" w:fill="FFFFFF"/>
        <w:ind w:left="274"/>
        <w:rPr>
          <w:sz w:val="24"/>
          <w:szCs w:val="24"/>
        </w:rPr>
      </w:pPr>
      <w:r w:rsidRPr="009F3F74">
        <w:rPr>
          <w:rStyle w:val="us"/>
          <w:sz w:val="24"/>
          <w:szCs w:val="24"/>
        </w:rPr>
        <w:t>Pursuant to Rule 4140, Company shall cooperate with any request from FINRA who may at any time, due to concerns regarding the accuracy or integrity of a member's financial statements, books and records or prior audited financial statements, direct any member to cause an audit to be made by an independent public accountant of its accounts, or cause an examination to be made in accordance with attestation, review or consultation standards prescribed by the AICPA. Such audit or examination shall be directed pursuant to authority exercised by FINRA's Executive Vice President charged with oversight for financial responsibility, or his or her written officer delegate, and shall be made in accordance with such requirements as FINRA may prescribe.</w:t>
      </w:r>
      <w:r w:rsidRPr="009F3F74">
        <w:rPr>
          <w:sz w:val="24"/>
          <w:szCs w:val="24"/>
        </w:rPr>
        <w:t xml:space="preserve">  </w:t>
      </w:r>
      <w:r w:rsidRPr="009F3F74">
        <w:rPr>
          <w:rStyle w:val="us"/>
          <w:sz w:val="24"/>
          <w:szCs w:val="24"/>
        </w:rPr>
        <w:t xml:space="preserve">Any member failing to file an audited financial and/or operational report or examination report under this Rule in the prescribed time shall be subject to a late fee as set forth in Schedule A </w:t>
      </w:r>
      <w:hyperlink r:id="rId77" w:tgtFrame="_blank" w:history="1">
        <w:r w:rsidRPr="009F3F74">
          <w:rPr>
            <w:rStyle w:val="Hyperlink"/>
            <w:color w:val="auto"/>
            <w:sz w:val="24"/>
            <w:szCs w:val="24"/>
          </w:rPr>
          <w:t>Section 4</w:t>
        </w:r>
      </w:hyperlink>
      <w:r w:rsidRPr="009F3F74">
        <w:rPr>
          <w:rStyle w:val="us"/>
          <w:sz w:val="24"/>
          <w:szCs w:val="24"/>
        </w:rPr>
        <w:t>(g)(1) to the FINRA By-Laws.</w:t>
      </w:r>
      <w:r w:rsidRPr="009F3F74">
        <w:rPr>
          <w:sz w:val="24"/>
          <w:szCs w:val="24"/>
        </w:rPr>
        <w:t xml:space="preserve"> </w:t>
      </w:r>
    </w:p>
    <w:p w14:paraId="27F9F7CD" w14:textId="77777777" w:rsidR="003E1D6D" w:rsidRPr="009F3F74" w:rsidRDefault="003E1D6D" w:rsidP="002D7AE4">
      <w:pPr>
        <w:shd w:val="clear" w:color="auto" w:fill="FFFFFF"/>
        <w:ind w:left="274"/>
        <w:rPr>
          <w:sz w:val="24"/>
          <w:szCs w:val="24"/>
        </w:rPr>
      </w:pPr>
    </w:p>
    <w:p w14:paraId="3BA449CA" w14:textId="77777777" w:rsidR="0017255E" w:rsidRPr="009F3F74" w:rsidRDefault="003E1D6D" w:rsidP="002D7AE4">
      <w:pPr>
        <w:pStyle w:val="Heading3"/>
        <w:jc w:val="left"/>
      </w:pPr>
      <w:r w:rsidRPr="009F3F74">
        <w:t>10.</w:t>
      </w:r>
      <w:r w:rsidR="00811B75" w:rsidRPr="009F3F74">
        <w:t>4</w:t>
      </w:r>
      <w:r w:rsidRPr="009F3F74">
        <w:t>.</w:t>
      </w:r>
      <w:r w:rsidR="008A10F3" w:rsidRPr="009F3F74">
        <w:t>9</w:t>
      </w:r>
      <w:r w:rsidRPr="009F3F74">
        <w:t xml:space="preserve"> </w:t>
      </w:r>
      <w:r w:rsidR="0017255E" w:rsidRPr="009F3F74">
        <w:t xml:space="preserve">Rule 4150 - Guarantees By, or Flow </w:t>
      </w:r>
      <w:r w:rsidR="00260A6A" w:rsidRPr="009F3F74">
        <w:t>through</w:t>
      </w:r>
      <w:r w:rsidR="0017255E" w:rsidRPr="009F3F74">
        <w:t xml:space="preserve"> Benefits for Members</w:t>
      </w:r>
    </w:p>
    <w:p w14:paraId="28AFADD0" w14:textId="77777777" w:rsidR="0017255E" w:rsidRPr="009F3F74" w:rsidRDefault="0017255E" w:rsidP="002D7AE4">
      <w:pPr>
        <w:ind w:left="270"/>
        <w:rPr>
          <w:sz w:val="24"/>
          <w:szCs w:val="24"/>
        </w:rPr>
      </w:pPr>
      <w:r w:rsidRPr="009F3F74">
        <w:rPr>
          <w:sz w:val="24"/>
          <w:szCs w:val="24"/>
        </w:rPr>
        <w:t>Whenever the Company guarantees, endorses, or assumes, directly or indirectly, the obligations or liabilities o</w:t>
      </w:r>
      <w:r w:rsidR="002D2695">
        <w:rPr>
          <w:sz w:val="24"/>
          <w:szCs w:val="24"/>
        </w:rPr>
        <w:t>f</w:t>
      </w:r>
      <w:r w:rsidRPr="009F3F74">
        <w:rPr>
          <w:sz w:val="24"/>
          <w:szCs w:val="24"/>
        </w:rPr>
        <w:t xml:space="preserve"> another person or entity, a written request will be made to FINRA.  Prior written approval from FINRA is required whenever the Company receives flow-through capital benefits in accordance with SEC Rule 15c3-1, Appendix C.  The FINOP is responsible for ensuring the filing of necessary requests for such arrangements, responding to subsequent FINRA requests for information, complying with FINRA rule requirements, and maintaining records regarding such arrangements.</w:t>
      </w:r>
    </w:p>
    <w:p w14:paraId="76ABDFD2" w14:textId="77777777" w:rsidR="004F4038" w:rsidRPr="009F3F74" w:rsidRDefault="004F4038" w:rsidP="002D7AE4">
      <w:pPr>
        <w:ind w:left="270"/>
        <w:rPr>
          <w:sz w:val="24"/>
          <w:szCs w:val="24"/>
        </w:rPr>
      </w:pPr>
    </w:p>
    <w:p w14:paraId="3AB684A2" w14:textId="77777777" w:rsidR="004F4038" w:rsidRPr="009F3F74" w:rsidRDefault="004F4038" w:rsidP="002D7AE4">
      <w:pPr>
        <w:ind w:left="270"/>
        <w:rPr>
          <w:sz w:val="24"/>
          <w:szCs w:val="24"/>
        </w:rPr>
      </w:pPr>
      <w:r w:rsidRPr="009F3F74">
        <w:rPr>
          <w:sz w:val="24"/>
          <w:szCs w:val="24"/>
        </w:rPr>
        <w:t>The requirements include the following:</w:t>
      </w:r>
    </w:p>
    <w:p w14:paraId="070B12BF" w14:textId="77777777" w:rsidR="004F4038" w:rsidRPr="009F3F74" w:rsidRDefault="004F4038" w:rsidP="003E7B18">
      <w:pPr>
        <w:numPr>
          <w:ilvl w:val="0"/>
          <w:numId w:val="138"/>
        </w:numPr>
        <w:ind w:left="900" w:hanging="270"/>
        <w:rPr>
          <w:sz w:val="24"/>
          <w:szCs w:val="24"/>
        </w:rPr>
      </w:pPr>
      <w:r w:rsidRPr="009F3F74">
        <w:rPr>
          <w:sz w:val="24"/>
          <w:szCs w:val="24"/>
        </w:rPr>
        <w:t xml:space="preserve">Company must have the authority to make available to FINRA the books and records of the other person or entity for inspection </w:t>
      </w:r>
      <w:r w:rsidR="00BB6AB8">
        <w:rPr>
          <w:sz w:val="24"/>
          <w:szCs w:val="24"/>
        </w:rPr>
        <w:t xml:space="preserve">in </w:t>
      </w:r>
      <w:r w:rsidRPr="009F3F74">
        <w:rPr>
          <w:sz w:val="24"/>
          <w:szCs w:val="24"/>
        </w:rPr>
        <w:t>the US.  The other person’s books and records must be kept separately from those of the Company.</w:t>
      </w:r>
    </w:p>
    <w:p w14:paraId="4EDADF56" w14:textId="77777777" w:rsidR="004F4038" w:rsidRPr="009F3F74" w:rsidRDefault="004F4038" w:rsidP="003E7B18">
      <w:pPr>
        <w:numPr>
          <w:ilvl w:val="0"/>
          <w:numId w:val="138"/>
        </w:numPr>
        <w:ind w:left="900" w:hanging="270"/>
        <w:rPr>
          <w:sz w:val="24"/>
          <w:szCs w:val="24"/>
        </w:rPr>
      </w:pPr>
      <w:r w:rsidRPr="009F3F74">
        <w:rPr>
          <w:sz w:val="24"/>
          <w:szCs w:val="24"/>
        </w:rPr>
        <w:t>Company is required to provide FINRA with the person’s FOCUS reports simultaneous with their being filed with the person’s designated examining authority (DEA), unless the person’s DEA is FINRA.  If the person is not a registered broker-dealer, the Company will submit financial and operational statements in a format and for time periods required by FINRA.</w:t>
      </w:r>
    </w:p>
    <w:p w14:paraId="3DB6B7B1" w14:textId="77777777" w:rsidR="004F4038" w:rsidRPr="009F3F74" w:rsidRDefault="004F4038" w:rsidP="003E7B18">
      <w:pPr>
        <w:numPr>
          <w:ilvl w:val="0"/>
          <w:numId w:val="138"/>
        </w:numPr>
        <w:ind w:left="900" w:hanging="270"/>
        <w:rPr>
          <w:sz w:val="24"/>
          <w:szCs w:val="24"/>
        </w:rPr>
      </w:pPr>
      <w:r w:rsidRPr="009F3F74">
        <w:rPr>
          <w:sz w:val="24"/>
          <w:szCs w:val="24"/>
        </w:rPr>
        <w:t xml:space="preserve">Guarantees executed in the normal course of business (trade guarantees, signature guarantees, endorsement of securities and the writing of options) are not subject to these requirements.  </w:t>
      </w:r>
      <w:r w:rsidR="00506F59" w:rsidRPr="009F3F74">
        <w:rPr>
          <w:sz w:val="24"/>
          <w:szCs w:val="24"/>
        </w:rPr>
        <w:t>Guarantees regarding the writing of options are not subject if appropriately recorded in the Company’s books and records and reflected in net capital computations.</w:t>
      </w:r>
    </w:p>
    <w:p w14:paraId="25B1C5CA" w14:textId="77777777" w:rsidR="0017255E" w:rsidRPr="009F3F74" w:rsidRDefault="0017255E" w:rsidP="002D7AE4"/>
    <w:p w14:paraId="2FFD8A9C" w14:textId="77777777" w:rsidR="003E1D6D" w:rsidRPr="009F3F74" w:rsidRDefault="0017255E" w:rsidP="002D7AE4">
      <w:pPr>
        <w:pStyle w:val="Heading3"/>
        <w:jc w:val="left"/>
      </w:pPr>
      <w:r w:rsidRPr="009F3F74">
        <w:t>10.</w:t>
      </w:r>
      <w:r w:rsidR="00811B75" w:rsidRPr="009F3F74">
        <w:t>4</w:t>
      </w:r>
      <w:r w:rsidRPr="009F3F74">
        <w:t>.</w:t>
      </w:r>
      <w:r w:rsidR="008A10F3" w:rsidRPr="009F3F74">
        <w:t>10</w:t>
      </w:r>
      <w:r w:rsidRPr="009F3F74">
        <w:t xml:space="preserve"> </w:t>
      </w:r>
      <w:r w:rsidR="003E1D6D" w:rsidRPr="009F3F74">
        <w:t>Designation of Accountant</w:t>
      </w:r>
      <w:r w:rsidR="00E235B3">
        <w:t>/ SEA Rule 17a-5(f)(2)</w:t>
      </w:r>
    </w:p>
    <w:p w14:paraId="2CBB4D4D" w14:textId="77777777" w:rsidR="00010DEF" w:rsidRPr="00910FAB" w:rsidRDefault="003E1D6D" w:rsidP="004F1872">
      <w:pPr>
        <w:shd w:val="clear" w:color="auto" w:fill="FFFFFF"/>
        <w:ind w:left="274"/>
        <w:rPr>
          <w:color w:val="FF0000"/>
          <w:sz w:val="24"/>
          <w:szCs w:val="24"/>
        </w:rPr>
      </w:pPr>
      <w:r w:rsidRPr="006B1F12">
        <w:rPr>
          <w:sz w:val="24"/>
          <w:szCs w:val="24"/>
        </w:rPr>
        <w:t xml:space="preserve">Morris Monroe is responsible for ensuring the filing of the notice of designation of accountant with the SEC principal office, SEC regional office, and FINRA by December 10 of each year for the following year’s audit unless the agreement is of a continuous nature providing for successive annual audits.  If such agreement should terminate, a notice filing to </w:t>
      </w:r>
      <w:r w:rsidRPr="006B1F12">
        <w:rPr>
          <w:sz w:val="24"/>
          <w:szCs w:val="24"/>
        </w:rPr>
        <w:lastRenderedPageBreak/>
        <w:t>FINRA and the two SEC offices must be filed within 15 days of termination or when a new accountant has been designated.  Company shall maintain a record of such notices as part of its books and records.</w:t>
      </w:r>
      <w:r w:rsidR="00010DEF">
        <w:rPr>
          <w:sz w:val="24"/>
          <w:szCs w:val="24"/>
        </w:rPr>
        <w:t xml:space="preserve">  </w:t>
      </w:r>
      <w:r w:rsidR="00010DEF" w:rsidRPr="00217738">
        <w:rPr>
          <w:sz w:val="24"/>
          <w:szCs w:val="24"/>
        </w:rPr>
        <w:t xml:space="preserve">In light of the recent rule changes to SEA Rule 17a-5, Company should continue to use the </w:t>
      </w:r>
      <w:hyperlink r:id="rId78" w:history="1">
        <w:r w:rsidR="00010DEF" w:rsidRPr="00217738">
          <w:rPr>
            <w:rStyle w:val="Hyperlink"/>
            <w:color w:val="auto"/>
            <w:sz w:val="24"/>
            <w:szCs w:val="24"/>
          </w:rPr>
          <w:t>Designation of Accountant</w:t>
        </w:r>
      </w:hyperlink>
      <w:r w:rsidR="00010DEF" w:rsidRPr="00217738">
        <w:rPr>
          <w:sz w:val="24"/>
          <w:szCs w:val="24"/>
        </w:rPr>
        <w:t xml:space="preserve"> form through May 31, 2014. The form titled “Statement regarding the independent public accountant under Rule 17a-5(f)(2)” discussed in SEA Release No. 34-70073 will be required beginning June 1, 2014.</w:t>
      </w:r>
      <w:r w:rsidR="00910FAB">
        <w:rPr>
          <w:sz w:val="24"/>
          <w:szCs w:val="24"/>
        </w:rPr>
        <w:t xml:space="preserve">  </w:t>
      </w:r>
      <w:r w:rsidR="00910FAB" w:rsidRPr="00E063CF">
        <w:rPr>
          <w:sz w:val="24"/>
          <w:szCs w:val="24"/>
        </w:rPr>
        <w:t>The amended Rule will require the form to be filed electronically, through FINRA’s Firm Gateway, using the new template (referred to as the Rule 17a-5(f)(2) Statement)</w:t>
      </w:r>
      <w:r w:rsidR="001E5C52" w:rsidRPr="00E063CF">
        <w:rPr>
          <w:sz w:val="24"/>
          <w:szCs w:val="24"/>
        </w:rPr>
        <w:t xml:space="preserve"> and available starting 11/24/14</w:t>
      </w:r>
      <w:r w:rsidR="00910FAB" w:rsidRPr="00E063CF">
        <w:rPr>
          <w:sz w:val="24"/>
          <w:szCs w:val="24"/>
        </w:rPr>
        <w:t xml:space="preserve">.  </w:t>
      </w:r>
      <w:r w:rsidR="004F1872" w:rsidRPr="00E063CF">
        <w:rPr>
          <w:sz w:val="24"/>
          <w:szCs w:val="24"/>
        </w:rPr>
        <w:t>Rule 17a-5(f)(2) Statements must also be filed with the SEC’s principal office in Washington, DC, and the regional office of the SEC for the region in which the Company’s principal place of business is located (or Fort Worth).</w:t>
      </w:r>
      <w:r w:rsidR="004F1872" w:rsidRPr="00E063CF">
        <w:rPr>
          <w:sz w:val="24"/>
          <w:szCs w:val="24"/>
        </w:rPr>
        <w:cr/>
      </w:r>
    </w:p>
    <w:p w14:paraId="28915984" w14:textId="77777777" w:rsidR="003E1D6D" w:rsidRPr="00DB454A" w:rsidRDefault="003E1D6D" w:rsidP="002D7AE4">
      <w:pPr>
        <w:ind w:left="270"/>
      </w:pPr>
    </w:p>
    <w:p w14:paraId="6B23EEEC" w14:textId="77777777" w:rsidR="003E1D6D" w:rsidRPr="00821F90" w:rsidRDefault="003E1D6D" w:rsidP="002D7AE4">
      <w:pPr>
        <w:pStyle w:val="Heading3"/>
        <w:jc w:val="left"/>
        <w:rPr>
          <w:rStyle w:val="us"/>
        </w:rPr>
      </w:pPr>
      <w:r w:rsidRPr="00821F90">
        <w:rPr>
          <w:rStyle w:val="us"/>
        </w:rPr>
        <w:t>10.</w:t>
      </w:r>
      <w:r w:rsidR="00811B75">
        <w:rPr>
          <w:rStyle w:val="us"/>
        </w:rPr>
        <w:t>4</w:t>
      </w:r>
      <w:r w:rsidRPr="00821F90">
        <w:rPr>
          <w:rStyle w:val="us"/>
        </w:rPr>
        <w:t>.</w:t>
      </w:r>
      <w:r w:rsidR="00C972E5">
        <w:rPr>
          <w:rStyle w:val="us"/>
        </w:rPr>
        <w:t>1</w:t>
      </w:r>
      <w:r w:rsidR="008A10F3">
        <w:rPr>
          <w:rStyle w:val="us"/>
        </w:rPr>
        <w:t>1</w:t>
      </w:r>
      <w:r w:rsidR="00E93270">
        <w:rPr>
          <w:rStyle w:val="us"/>
        </w:rPr>
        <w:t xml:space="preserve"> </w:t>
      </w:r>
      <w:r w:rsidRPr="00821F90">
        <w:rPr>
          <w:rStyle w:val="us"/>
        </w:rPr>
        <w:t>Expense Sharing Arrangements</w:t>
      </w:r>
    </w:p>
    <w:p w14:paraId="5C91C8FF" w14:textId="77777777" w:rsidR="003E1D6D" w:rsidRPr="00F20C03" w:rsidRDefault="003E1D6D" w:rsidP="002D7AE4">
      <w:pPr>
        <w:shd w:val="clear" w:color="auto" w:fill="FFFFFF"/>
        <w:ind w:left="270"/>
        <w:rPr>
          <w:spacing w:val="8"/>
          <w:sz w:val="24"/>
          <w:szCs w:val="24"/>
        </w:rPr>
      </w:pPr>
      <w:r w:rsidRPr="00F20C03">
        <w:rPr>
          <w:spacing w:val="8"/>
          <w:sz w:val="24"/>
          <w:szCs w:val="24"/>
        </w:rPr>
        <w:t>The SEC specifies requirements for incorporating an expense-sharing agreement into a broker-dealer's operations and how these agreements are recorded in the broker-dealer's financial records. Company’s FINOP is responsible for ensuring Company complies with the SEC's guidelines in the use of such agreements.</w:t>
      </w:r>
      <w:r w:rsidR="00A13474">
        <w:rPr>
          <w:spacing w:val="8"/>
          <w:sz w:val="24"/>
          <w:szCs w:val="24"/>
        </w:rPr>
        <w:t xml:space="preserve">  </w:t>
      </w:r>
    </w:p>
    <w:p w14:paraId="5FD8C2D0" w14:textId="77777777" w:rsidR="003E1D6D" w:rsidRPr="00F20C03" w:rsidRDefault="003E1D6D" w:rsidP="002D7AE4">
      <w:pPr>
        <w:shd w:val="clear" w:color="auto" w:fill="FFFFFF"/>
        <w:ind w:left="270"/>
        <w:rPr>
          <w:spacing w:val="8"/>
          <w:sz w:val="24"/>
          <w:szCs w:val="24"/>
        </w:rPr>
      </w:pPr>
    </w:p>
    <w:p w14:paraId="19B6A026" w14:textId="77777777" w:rsidR="003E1D6D" w:rsidRDefault="003E1D6D" w:rsidP="002D7AE4">
      <w:pPr>
        <w:shd w:val="clear" w:color="auto" w:fill="FFFFFF"/>
        <w:ind w:left="270"/>
        <w:rPr>
          <w:spacing w:val="8"/>
          <w:sz w:val="24"/>
          <w:szCs w:val="24"/>
        </w:rPr>
      </w:pPr>
      <w:r w:rsidRPr="00F20C03">
        <w:rPr>
          <w:spacing w:val="8"/>
          <w:sz w:val="24"/>
          <w:szCs w:val="24"/>
        </w:rPr>
        <w:t>In addition, Company’s FINOP is responsible for notifying its Designated Examining Authority (DEA) if any expense-sharing agreement does not record each of the expenses it incurs relating to its business on the reports it is required to file with the SEC or with the DEA. The notice will include the date of the agreement and the names of the parties to the agreement; a copy of the agreement will be provided to the DEA upon request.  Company will notify its DEA if it establishes a new agreement or amends any existing agreements.  Company will maintain as part of its books and records a copy of any such agreements</w:t>
      </w:r>
      <w:r w:rsidR="00894C1F">
        <w:rPr>
          <w:spacing w:val="8"/>
          <w:sz w:val="24"/>
          <w:szCs w:val="24"/>
        </w:rPr>
        <w:t xml:space="preserve"> </w:t>
      </w:r>
      <w:r w:rsidR="00894C1F" w:rsidRPr="00E063CF">
        <w:rPr>
          <w:spacing w:val="8"/>
          <w:sz w:val="24"/>
          <w:szCs w:val="24"/>
        </w:rPr>
        <w:t>and any supporting documents</w:t>
      </w:r>
      <w:r w:rsidRPr="00E063CF">
        <w:rPr>
          <w:spacing w:val="8"/>
          <w:sz w:val="24"/>
          <w:szCs w:val="24"/>
        </w:rPr>
        <w:t>.</w:t>
      </w:r>
    </w:p>
    <w:p w14:paraId="0E2A8B94" w14:textId="77777777" w:rsidR="008F5AB6" w:rsidRDefault="008F5AB6" w:rsidP="002D7AE4">
      <w:pPr>
        <w:shd w:val="clear" w:color="auto" w:fill="FFFFFF"/>
        <w:ind w:left="270"/>
        <w:rPr>
          <w:spacing w:val="8"/>
          <w:sz w:val="24"/>
          <w:szCs w:val="24"/>
        </w:rPr>
      </w:pPr>
    </w:p>
    <w:p w14:paraId="113961F8" w14:textId="77777777" w:rsidR="008F5AB6" w:rsidRPr="004A028B" w:rsidRDefault="008F5AB6" w:rsidP="002D7AE4">
      <w:pPr>
        <w:pStyle w:val="Heading3"/>
        <w:jc w:val="left"/>
        <w:rPr>
          <w:b w:val="0"/>
          <w:i/>
          <w:sz w:val="18"/>
          <w:szCs w:val="18"/>
        </w:rPr>
      </w:pPr>
      <w:r>
        <w:t>10.</w:t>
      </w:r>
      <w:r w:rsidR="00811B75">
        <w:t>4</w:t>
      </w:r>
      <w:r>
        <w:t>.1</w:t>
      </w:r>
      <w:r w:rsidR="008A10F3">
        <w:t>2</w:t>
      </w:r>
      <w:r>
        <w:t xml:space="preserve"> FINRA Rule 4160 – Verification of </w:t>
      </w:r>
      <w:r w:rsidR="00717534">
        <w:t>Assets (</w:t>
      </w:r>
      <w:proofErr w:type="gramStart"/>
      <w:r>
        <w:rPr>
          <w:i/>
          <w:sz w:val="18"/>
          <w:szCs w:val="18"/>
        </w:rPr>
        <w:t>eff</w:t>
      </w:r>
      <w:proofErr w:type="gramEnd"/>
      <w:r>
        <w:rPr>
          <w:i/>
          <w:sz w:val="18"/>
          <w:szCs w:val="18"/>
        </w:rPr>
        <w:t xml:space="preserve"> 02/01/11)</w:t>
      </w:r>
    </w:p>
    <w:p w14:paraId="61701938" w14:textId="77777777" w:rsidR="008F5AB6" w:rsidRPr="009F3F74" w:rsidRDefault="008E16E3" w:rsidP="002D7AE4">
      <w:pPr>
        <w:shd w:val="clear" w:color="auto" w:fill="FFFFFF"/>
        <w:ind w:left="274"/>
        <w:rPr>
          <w:sz w:val="24"/>
          <w:szCs w:val="24"/>
        </w:rPr>
      </w:pPr>
      <w:r w:rsidRPr="009F0FC7">
        <w:rPr>
          <w:sz w:val="24"/>
          <w:szCs w:val="24"/>
        </w:rPr>
        <w:t xml:space="preserve">If applicable, </w:t>
      </w:r>
      <w:r w:rsidR="00772C20" w:rsidRPr="009F3F74">
        <w:rPr>
          <w:sz w:val="24"/>
          <w:szCs w:val="24"/>
        </w:rPr>
        <w:t xml:space="preserve">Company </w:t>
      </w:r>
      <w:r w:rsidR="008F5AB6" w:rsidRPr="009F3F74">
        <w:rPr>
          <w:sz w:val="24"/>
          <w:szCs w:val="24"/>
        </w:rPr>
        <w:t>will comply with any request from FINRA to withdraw any of its assets</w:t>
      </w:r>
      <w:r w:rsidR="00D006EC">
        <w:rPr>
          <w:sz w:val="24"/>
          <w:szCs w:val="24"/>
        </w:rPr>
        <w:t xml:space="preserve"> </w:t>
      </w:r>
      <w:r w:rsidR="008F5AB6" w:rsidRPr="009F3F74">
        <w:rPr>
          <w:sz w:val="24"/>
          <w:szCs w:val="24"/>
        </w:rPr>
        <w:t>from a non-FINRA member institution after failing to provide verification of assets.  Morris Monroe will be responsible for ensuring the withdrawal of assets and transferring to another financial institution.</w:t>
      </w:r>
    </w:p>
    <w:p w14:paraId="2484670A" w14:textId="77777777" w:rsidR="008F5AB6" w:rsidRPr="009F3F74" w:rsidRDefault="008F5AB6" w:rsidP="002D7AE4">
      <w:pPr>
        <w:shd w:val="clear" w:color="auto" w:fill="FFFFFF"/>
        <w:ind w:left="270"/>
        <w:rPr>
          <w:spacing w:val="8"/>
          <w:sz w:val="24"/>
          <w:szCs w:val="24"/>
        </w:rPr>
      </w:pPr>
    </w:p>
    <w:p w14:paraId="0671C17B" w14:textId="77777777" w:rsidR="000C099C" w:rsidRPr="009F3F74" w:rsidRDefault="0001639F" w:rsidP="002D7AE4">
      <w:pPr>
        <w:pStyle w:val="Heading3"/>
        <w:jc w:val="left"/>
      </w:pPr>
      <w:r w:rsidRPr="009F3F74">
        <w:t>10.</w:t>
      </w:r>
      <w:r w:rsidR="00811B75" w:rsidRPr="009F3F74">
        <w:t>4</w:t>
      </w:r>
      <w:r w:rsidRPr="009F3F74">
        <w:t>.1</w:t>
      </w:r>
      <w:r w:rsidR="008A10F3" w:rsidRPr="009F3F74">
        <w:t>3</w:t>
      </w:r>
      <w:r w:rsidRPr="009F3F74">
        <w:t xml:space="preserve"> FINRA Contact System</w:t>
      </w:r>
      <w:r w:rsidR="004C0C06">
        <w:t xml:space="preserve"> &amp; Entitlement Program (SAA)</w:t>
      </w:r>
    </w:p>
    <w:p w14:paraId="55182CCD" w14:textId="77777777" w:rsidR="00B91AE2" w:rsidRDefault="0001639F" w:rsidP="002D7AE4">
      <w:pPr>
        <w:ind w:left="270"/>
        <w:rPr>
          <w:sz w:val="24"/>
        </w:rPr>
      </w:pPr>
      <w:r w:rsidRPr="009F3F74">
        <w:rPr>
          <w:sz w:val="24"/>
        </w:rPr>
        <w:t xml:space="preserve">Morris Monroe or Compliance will be responsible for reviewing the contacts in the FINRA contact system at least annually but within 17 business days of calendar year end.  </w:t>
      </w:r>
    </w:p>
    <w:p w14:paraId="1B7B9941" w14:textId="77777777" w:rsidR="00B91AE2" w:rsidRDefault="00B91AE2" w:rsidP="002D7AE4">
      <w:pPr>
        <w:ind w:left="270"/>
        <w:rPr>
          <w:sz w:val="24"/>
        </w:rPr>
      </w:pPr>
    </w:p>
    <w:p w14:paraId="6FB311DA" w14:textId="77777777" w:rsidR="00B91AE2" w:rsidRPr="00767FD6" w:rsidRDefault="00B91AE2" w:rsidP="00B91AE2">
      <w:pPr>
        <w:ind w:left="274"/>
        <w:rPr>
          <w:sz w:val="24"/>
          <w:szCs w:val="24"/>
        </w:rPr>
      </w:pPr>
      <w:r w:rsidRPr="00767FD6">
        <w:rPr>
          <w:sz w:val="24"/>
          <w:szCs w:val="24"/>
        </w:rPr>
        <w:t>Compliance will update the following information through FINRA's Contact System when necessary and will conduct the mandatory annual verification:</w:t>
      </w:r>
    </w:p>
    <w:p w14:paraId="43C0BDB9" w14:textId="77777777" w:rsidR="000B4451" w:rsidRDefault="00B91AE2" w:rsidP="003E7B18">
      <w:pPr>
        <w:numPr>
          <w:ilvl w:val="0"/>
          <w:numId w:val="280"/>
        </w:numPr>
        <w:spacing w:before="100" w:beforeAutospacing="1" w:after="100" w:afterAutospacing="1"/>
        <w:ind w:hanging="270"/>
        <w:rPr>
          <w:sz w:val="24"/>
          <w:szCs w:val="24"/>
        </w:rPr>
      </w:pPr>
      <w:r w:rsidRPr="00767FD6">
        <w:rPr>
          <w:sz w:val="24"/>
          <w:szCs w:val="24"/>
        </w:rPr>
        <w:t xml:space="preserve">Executive Representative </w:t>
      </w:r>
    </w:p>
    <w:p w14:paraId="543B40D7" w14:textId="77777777" w:rsidR="00B91AE2" w:rsidRPr="00767FD6" w:rsidRDefault="00B91AE2" w:rsidP="003E7B18">
      <w:pPr>
        <w:numPr>
          <w:ilvl w:val="0"/>
          <w:numId w:val="280"/>
        </w:numPr>
        <w:spacing w:before="100" w:beforeAutospacing="1" w:after="100" w:afterAutospacing="1"/>
        <w:ind w:hanging="270"/>
        <w:rPr>
          <w:sz w:val="24"/>
          <w:szCs w:val="24"/>
        </w:rPr>
      </w:pPr>
      <w:r w:rsidRPr="00767FD6">
        <w:rPr>
          <w:sz w:val="24"/>
          <w:szCs w:val="24"/>
        </w:rPr>
        <w:t>Regulatory Element Continuing Education Contact Person [FINRA Rule 1250]</w:t>
      </w:r>
    </w:p>
    <w:p w14:paraId="003361C2" w14:textId="77777777" w:rsidR="00B91AE2" w:rsidRPr="00767FD6" w:rsidRDefault="00B91AE2" w:rsidP="003E7B18">
      <w:pPr>
        <w:numPr>
          <w:ilvl w:val="0"/>
          <w:numId w:val="280"/>
        </w:numPr>
        <w:spacing w:before="100" w:beforeAutospacing="1" w:after="100" w:afterAutospacing="1"/>
        <w:ind w:hanging="270"/>
        <w:rPr>
          <w:sz w:val="24"/>
          <w:szCs w:val="24"/>
        </w:rPr>
      </w:pPr>
      <w:r w:rsidRPr="00767FD6">
        <w:rPr>
          <w:sz w:val="24"/>
          <w:szCs w:val="24"/>
        </w:rPr>
        <w:t>Emergency contact persons [FINRA Rule 4370]</w:t>
      </w:r>
    </w:p>
    <w:p w14:paraId="4E3A074C" w14:textId="77777777" w:rsidR="00B91AE2" w:rsidRPr="00767FD6" w:rsidRDefault="00B91AE2" w:rsidP="003E7B18">
      <w:pPr>
        <w:numPr>
          <w:ilvl w:val="0"/>
          <w:numId w:val="280"/>
        </w:numPr>
        <w:spacing w:before="100" w:beforeAutospacing="1" w:after="100" w:afterAutospacing="1"/>
        <w:ind w:hanging="270"/>
        <w:rPr>
          <w:sz w:val="24"/>
          <w:szCs w:val="24"/>
        </w:rPr>
      </w:pPr>
      <w:r w:rsidRPr="00767FD6">
        <w:rPr>
          <w:sz w:val="24"/>
          <w:szCs w:val="24"/>
        </w:rPr>
        <w:t>AML contact person(s) [FINRA Rule 3310.02]</w:t>
      </w:r>
    </w:p>
    <w:p w14:paraId="2336D4D1" w14:textId="77777777" w:rsidR="00B91AE2" w:rsidRPr="00767FD6" w:rsidRDefault="00B91AE2" w:rsidP="003E7B18">
      <w:pPr>
        <w:numPr>
          <w:ilvl w:val="0"/>
          <w:numId w:val="280"/>
        </w:numPr>
        <w:spacing w:before="100" w:beforeAutospacing="1" w:after="100" w:afterAutospacing="1"/>
        <w:ind w:hanging="270"/>
        <w:rPr>
          <w:sz w:val="24"/>
          <w:szCs w:val="24"/>
        </w:rPr>
      </w:pPr>
      <w:r w:rsidRPr="00767FD6">
        <w:rPr>
          <w:sz w:val="24"/>
          <w:szCs w:val="24"/>
        </w:rPr>
        <w:t>Other contacts mandated by FINRA rules</w:t>
      </w:r>
    </w:p>
    <w:p w14:paraId="098F0E80" w14:textId="77777777" w:rsidR="00B91AE2" w:rsidRPr="00767FD6" w:rsidRDefault="00B91AE2" w:rsidP="00B91AE2">
      <w:pPr>
        <w:ind w:left="270"/>
        <w:rPr>
          <w:sz w:val="24"/>
          <w:szCs w:val="24"/>
        </w:rPr>
      </w:pPr>
      <w:r w:rsidRPr="00767FD6">
        <w:rPr>
          <w:sz w:val="24"/>
          <w:szCs w:val="24"/>
        </w:rPr>
        <w:t>Contact information will be provided promptly to FINRA upon request, but no later than 15 days after the request.</w:t>
      </w:r>
    </w:p>
    <w:p w14:paraId="502BFD4C" w14:textId="77777777" w:rsidR="00B91AE2" w:rsidRDefault="00B91AE2" w:rsidP="002D7AE4">
      <w:pPr>
        <w:ind w:left="270"/>
        <w:rPr>
          <w:sz w:val="24"/>
        </w:rPr>
      </w:pPr>
    </w:p>
    <w:p w14:paraId="42A11A4F" w14:textId="77777777" w:rsidR="0001639F" w:rsidRDefault="00B91AE2" w:rsidP="002D7AE4">
      <w:pPr>
        <w:ind w:left="270"/>
        <w:rPr>
          <w:sz w:val="24"/>
        </w:rPr>
      </w:pPr>
      <w:r>
        <w:rPr>
          <w:sz w:val="24"/>
        </w:rPr>
        <w:t>E</w:t>
      </w:r>
      <w:r w:rsidR="0006474D" w:rsidRPr="009F3F74">
        <w:rPr>
          <w:sz w:val="24"/>
        </w:rPr>
        <w:t xml:space="preserve">mergency contact persons must </w:t>
      </w:r>
      <w:r>
        <w:rPr>
          <w:sz w:val="24"/>
        </w:rPr>
        <w:t>include one</w:t>
      </w:r>
      <w:r w:rsidR="0006474D" w:rsidRPr="009F3F74">
        <w:rPr>
          <w:sz w:val="24"/>
        </w:rPr>
        <w:t xml:space="preserve"> registered principal and senior management and the second one may be unregistered</w:t>
      </w:r>
      <w:r>
        <w:rPr>
          <w:sz w:val="24"/>
        </w:rPr>
        <w:t xml:space="preserve"> and</w:t>
      </w:r>
      <w:r w:rsidR="0006474D" w:rsidRPr="009F3F74">
        <w:rPr>
          <w:sz w:val="24"/>
        </w:rPr>
        <w:t xml:space="preserve"> who ha</w:t>
      </w:r>
      <w:r>
        <w:rPr>
          <w:sz w:val="24"/>
        </w:rPr>
        <w:t>ve</w:t>
      </w:r>
      <w:r w:rsidR="0006474D" w:rsidRPr="009F3F74">
        <w:rPr>
          <w:sz w:val="24"/>
        </w:rPr>
        <w:t xml:space="preserve"> knowledge of the Company’s business.  A written record of reviews will be retained.</w:t>
      </w:r>
    </w:p>
    <w:p w14:paraId="397B3067" w14:textId="77777777" w:rsidR="004C0C06" w:rsidRDefault="004C0C06" w:rsidP="002D7AE4">
      <w:pPr>
        <w:ind w:left="270"/>
        <w:rPr>
          <w:sz w:val="24"/>
        </w:rPr>
      </w:pPr>
    </w:p>
    <w:p w14:paraId="45FCA1E1" w14:textId="77777777" w:rsidR="004C0C06" w:rsidRPr="00593EE9" w:rsidRDefault="004C0C06" w:rsidP="009C38D0">
      <w:pPr>
        <w:ind w:left="270"/>
        <w:rPr>
          <w:sz w:val="24"/>
          <w:szCs w:val="24"/>
        </w:rPr>
      </w:pPr>
      <w:r w:rsidRPr="00593EE9">
        <w:rPr>
          <w:sz w:val="24"/>
          <w:szCs w:val="24"/>
        </w:rPr>
        <w:t>FINRA's Entitlement Program provides authorized personnel with access to FINRA Web Applications. Company has designated a Super Account Administrator (SAA) who is responsible for creating, editing, or deleting accounts for Account Administrators and users at Company. The designating criteria for the SAA are as follows:</w:t>
      </w:r>
    </w:p>
    <w:p w14:paraId="07DB1300" w14:textId="77777777" w:rsidR="009C38D0" w:rsidRPr="00593EE9" w:rsidRDefault="009C38D0" w:rsidP="009C38D0">
      <w:pPr>
        <w:ind w:left="270"/>
        <w:rPr>
          <w:sz w:val="14"/>
          <w:szCs w:val="24"/>
        </w:rPr>
      </w:pPr>
    </w:p>
    <w:p w14:paraId="7A74ADCE" w14:textId="77777777" w:rsidR="004C0C06" w:rsidRPr="00593EE9" w:rsidRDefault="004C0C06" w:rsidP="0005402C">
      <w:pPr>
        <w:numPr>
          <w:ilvl w:val="0"/>
          <w:numId w:val="336"/>
        </w:numPr>
        <w:ind w:hanging="270"/>
        <w:rPr>
          <w:sz w:val="24"/>
          <w:szCs w:val="24"/>
        </w:rPr>
      </w:pPr>
      <w:r w:rsidRPr="00593EE9">
        <w:rPr>
          <w:sz w:val="24"/>
          <w:szCs w:val="24"/>
        </w:rPr>
        <w:t>Must be formally delegated the authority by Company and as authorized in the New Organization Super Account Administrator (SAA) Form (or Update/Replace Super Account Administrator (SAA) Form) to perform the SAA responsibilities on its behalf.</w:t>
      </w:r>
    </w:p>
    <w:p w14:paraId="693CAAA0" w14:textId="77777777" w:rsidR="00EE2BB5" w:rsidRPr="00593EE9" w:rsidRDefault="004C0C06" w:rsidP="0005402C">
      <w:pPr>
        <w:numPr>
          <w:ilvl w:val="0"/>
          <w:numId w:val="336"/>
        </w:numPr>
        <w:spacing w:before="100" w:beforeAutospacing="1" w:after="100" w:afterAutospacing="1"/>
        <w:ind w:hanging="270"/>
        <w:rPr>
          <w:sz w:val="24"/>
          <w:szCs w:val="24"/>
        </w:rPr>
      </w:pPr>
      <w:r w:rsidRPr="00593EE9">
        <w:rPr>
          <w:sz w:val="24"/>
          <w:szCs w:val="24"/>
        </w:rPr>
        <w:t xml:space="preserve">The </w:t>
      </w:r>
      <w:r w:rsidR="00EE2BB5" w:rsidRPr="00593EE9">
        <w:rPr>
          <w:sz w:val="24"/>
          <w:szCs w:val="24"/>
        </w:rPr>
        <w:t>designation f</w:t>
      </w:r>
      <w:r w:rsidRPr="00593EE9">
        <w:rPr>
          <w:sz w:val="24"/>
          <w:szCs w:val="24"/>
        </w:rPr>
        <w:t>orm</w:t>
      </w:r>
      <w:r w:rsidR="00EE2BB5" w:rsidRPr="00593EE9">
        <w:rPr>
          <w:sz w:val="24"/>
          <w:szCs w:val="24"/>
        </w:rPr>
        <w:t>s</w:t>
      </w:r>
      <w:r w:rsidRPr="00593EE9">
        <w:rPr>
          <w:sz w:val="24"/>
          <w:szCs w:val="24"/>
        </w:rPr>
        <w:t xml:space="preserve"> </w:t>
      </w:r>
      <w:r w:rsidR="00EE2BB5" w:rsidRPr="00593EE9">
        <w:rPr>
          <w:sz w:val="24"/>
          <w:szCs w:val="24"/>
        </w:rPr>
        <w:t xml:space="preserve">must </w:t>
      </w:r>
      <w:r w:rsidRPr="00593EE9">
        <w:rPr>
          <w:sz w:val="24"/>
          <w:szCs w:val="24"/>
        </w:rPr>
        <w:t>be executed by an Authorized Signatory</w:t>
      </w:r>
    </w:p>
    <w:p w14:paraId="576AA074" w14:textId="77777777" w:rsidR="004C0C06" w:rsidRPr="00593EE9" w:rsidRDefault="004C0C06" w:rsidP="009C38D0">
      <w:pPr>
        <w:ind w:firstLine="274"/>
        <w:rPr>
          <w:sz w:val="24"/>
          <w:szCs w:val="24"/>
        </w:rPr>
      </w:pPr>
      <w:r w:rsidRPr="00593EE9">
        <w:rPr>
          <w:sz w:val="24"/>
          <w:szCs w:val="24"/>
        </w:rPr>
        <w:t>The SAA is responsible for the following:</w:t>
      </w:r>
    </w:p>
    <w:p w14:paraId="309A644C" w14:textId="77777777" w:rsidR="009C38D0" w:rsidRPr="00593EE9" w:rsidRDefault="009C38D0" w:rsidP="009C38D0">
      <w:pPr>
        <w:ind w:firstLine="274"/>
        <w:rPr>
          <w:sz w:val="16"/>
          <w:szCs w:val="24"/>
        </w:rPr>
      </w:pPr>
    </w:p>
    <w:p w14:paraId="2E068F80" w14:textId="77777777" w:rsidR="004C0C06" w:rsidRPr="00593EE9" w:rsidRDefault="004C0C06" w:rsidP="0005402C">
      <w:pPr>
        <w:numPr>
          <w:ilvl w:val="0"/>
          <w:numId w:val="337"/>
        </w:numPr>
        <w:ind w:hanging="270"/>
        <w:rPr>
          <w:sz w:val="24"/>
          <w:szCs w:val="24"/>
        </w:rPr>
      </w:pPr>
      <w:r w:rsidRPr="00593EE9">
        <w:rPr>
          <w:sz w:val="24"/>
          <w:szCs w:val="24"/>
        </w:rPr>
        <w:t>Designate Account Administrators and users;</w:t>
      </w:r>
    </w:p>
    <w:p w14:paraId="4CBBFDD0" w14:textId="77777777" w:rsidR="004C0C06" w:rsidRPr="00593EE9" w:rsidRDefault="004C0C06" w:rsidP="0005402C">
      <w:pPr>
        <w:numPr>
          <w:ilvl w:val="0"/>
          <w:numId w:val="337"/>
        </w:numPr>
        <w:spacing w:before="100" w:beforeAutospacing="1" w:after="100" w:afterAutospacing="1"/>
        <w:ind w:hanging="270"/>
        <w:rPr>
          <w:sz w:val="24"/>
          <w:szCs w:val="24"/>
        </w:rPr>
      </w:pPr>
      <w:r w:rsidRPr="00593EE9">
        <w:rPr>
          <w:sz w:val="24"/>
          <w:szCs w:val="24"/>
        </w:rPr>
        <w:t>Update authorized persons as required;</w:t>
      </w:r>
    </w:p>
    <w:p w14:paraId="6304E602" w14:textId="77777777" w:rsidR="004C0C06" w:rsidRPr="00593EE9" w:rsidRDefault="004C0C06" w:rsidP="0005402C">
      <w:pPr>
        <w:numPr>
          <w:ilvl w:val="0"/>
          <w:numId w:val="337"/>
        </w:numPr>
        <w:spacing w:before="100" w:beforeAutospacing="1" w:after="100" w:afterAutospacing="1"/>
        <w:ind w:hanging="270"/>
        <w:rPr>
          <w:sz w:val="24"/>
          <w:szCs w:val="24"/>
        </w:rPr>
      </w:pPr>
      <w:r w:rsidRPr="00593EE9">
        <w:rPr>
          <w:sz w:val="24"/>
          <w:szCs w:val="24"/>
        </w:rPr>
        <w:t>Certify annually to FINRA; and</w:t>
      </w:r>
    </w:p>
    <w:p w14:paraId="4DF8C593" w14:textId="77777777" w:rsidR="004C0C06" w:rsidRPr="00EE2BB5" w:rsidRDefault="004C0C06" w:rsidP="0005402C">
      <w:pPr>
        <w:numPr>
          <w:ilvl w:val="0"/>
          <w:numId w:val="337"/>
        </w:numPr>
        <w:ind w:left="274" w:firstLine="180"/>
        <w:rPr>
          <w:color w:val="FF0000"/>
          <w:sz w:val="24"/>
        </w:rPr>
      </w:pPr>
      <w:r w:rsidRPr="00593EE9">
        <w:rPr>
          <w:sz w:val="24"/>
          <w:szCs w:val="24"/>
        </w:rPr>
        <w:t>Retain information about authorized users, updates, and certifications.</w:t>
      </w:r>
    </w:p>
    <w:p w14:paraId="5BC072FD" w14:textId="77777777" w:rsidR="000545BD" w:rsidRDefault="000545BD" w:rsidP="004C0C06">
      <w:pPr>
        <w:ind w:left="274"/>
        <w:rPr>
          <w:sz w:val="24"/>
        </w:rPr>
      </w:pPr>
    </w:p>
    <w:p w14:paraId="010844E8" w14:textId="77777777" w:rsidR="000545BD" w:rsidRDefault="000545BD" w:rsidP="004C0C06">
      <w:pPr>
        <w:pStyle w:val="Heading3"/>
        <w:ind w:left="274"/>
        <w:jc w:val="left"/>
      </w:pPr>
      <w:r>
        <w:t>10.4.14 Subordination Agreements with Investors</w:t>
      </w:r>
    </w:p>
    <w:p w14:paraId="35482876" w14:textId="77777777" w:rsidR="000545BD" w:rsidRPr="00B079F1" w:rsidRDefault="000545BD" w:rsidP="002D7AE4">
      <w:pPr>
        <w:pStyle w:val="Normal1"/>
        <w:spacing w:before="0" w:after="0" w:afterAutospacing="0" w:line="240" w:lineRule="auto"/>
        <w:ind w:left="274"/>
        <w:rPr>
          <w:rFonts w:ascii="Times New Roman" w:hAnsi="Times New Roman" w:cs="Times New Roman"/>
          <w:sz w:val="24"/>
          <w:szCs w:val="24"/>
        </w:rPr>
      </w:pPr>
      <w:r w:rsidRPr="00B079F1">
        <w:rPr>
          <w:rFonts w:ascii="Times New Roman" w:hAnsi="Times New Roman" w:cs="Times New Roman"/>
          <w:sz w:val="24"/>
          <w:szCs w:val="24"/>
        </w:rPr>
        <w:t>If the Company enters into a subordination agreement with an investor, it will provide the investor with a copy of FINRA Subordination Agreement Investor Disclosure Document and obtain the investor's signature on a copy of the Document. A copy of the signed Disclosure Document will be submitted to FINRA with the subordination agreement, for approval.  The FINOP is responsible for obtaining and submitting the required documents for subordination agreements.</w:t>
      </w:r>
    </w:p>
    <w:p w14:paraId="2C4508D7" w14:textId="77777777" w:rsidR="000545BD" w:rsidRDefault="000545BD" w:rsidP="002D7AE4">
      <w:pPr>
        <w:ind w:left="270"/>
        <w:rPr>
          <w:sz w:val="24"/>
          <w:szCs w:val="24"/>
        </w:rPr>
      </w:pPr>
    </w:p>
    <w:p w14:paraId="6F70FA81" w14:textId="77777777" w:rsidR="00533BDE" w:rsidRDefault="00533BDE" w:rsidP="002D7AE4">
      <w:pPr>
        <w:pStyle w:val="Heading3"/>
        <w:ind w:left="274"/>
        <w:jc w:val="left"/>
      </w:pPr>
      <w:r>
        <w:t>10.4.15 Notification (“Early Warning”) Rule</w:t>
      </w:r>
    </w:p>
    <w:p w14:paraId="5C47199D" w14:textId="77777777" w:rsidR="00E57A23" w:rsidRDefault="00E57A23" w:rsidP="002D7AE4">
      <w:pPr>
        <w:ind w:left="274"/>
        <w:rPr>
          <w:sz w:val="24"/>
          <w:szCs w:val="24"/>
        </w:rPr>
      </w:pPr>
      <w:r w:rsidRPr="00217738">
        <w:rPr>
          <w:sz w:val="24"/>
          <w:szCs w:val="24"/>
        </w:rPr>
        <w:t>The FINOP is responsible for notifying (within 24 hours) the SEC and other securities regulators upon the occurrence of certain events (</w:t>
      </w:r>
      <w:r w:rsidR="00424FC2" w:rsidRPr="00217738">
        <w:rPr>
          <w:sz w:val="24"/>
          <w:szCs w:val="24"/>
        </w:rPr>
        <w:t xml:space="preserve">i.e. </w:t>
      </w:r>
      <w:r w:rsidRPr="00217738">
        <w:rPr>
          <w:sz w:val="24"/>
          <w:szCs w:val="24"/>
        </w:rPr>
        <w:t>insolvency, decrease of net</w:t>
      </w:r>
      <w:r w:rsidR="00424FC2" w:rsidRPr="00217738">
        <w:rPr>
          <w:sz w:val="24"/>
          <w:szCs w:val="24"/>
        </w:rPr>
        <w:t xml:space="preserve"> capital below required minimum</w:t>
      </w:r>
      <w:r w:rsidRPr="00217738">
        <w:rPr>
          <w:sz w:val="24"/>
          <w:szCs w:val="24"/>
        </w:rPr>
        <w:t>). The FINOP is responsible for maintaining records of any early warning notifications (or monthly reports</w:t>
      </w:r>
      <w:r w:rsidR="00424FC2" w:rsidRPr="00217738">
        <w:rPr>
          <w:sz w:val="24"/>
          <w:szCs w:val="24"/>
        </w:rPr>
        <w:t xml:space="preserve"> if applicable</w:t>
      </w:r>
      <w:r w:rsidRPr="00217738">
        <w:rPr>
          <w:sz w:val="24"/>
          <w:szCs w:val="24"/>
        </w:rPr>
        <w:t>).</w:t>
      </w:r>
    </w:p>
    <w:p w14:paraId="2EAE901A" w14:textId="77777777" w:rsidR="002D7AE4" w:rsidRDefault="002D7AE4" w:rsidP="002D7AE4">
      <w:pPr>
        <w:ind w:left="274"/>
        <w:rPr>
          <w:sz w:val="24"/>
          <w:szCs w:val="24"/>
        </w:rPr>
      </w:pPr>
    </w:p>
    <w:p w14:paraId="79DAF6C8" w14:textId="77777777" w:rsidR="002D7AE4" w:rsidRDefault="002D7AE4" w:rsidP="002D7AE4">
      <w:pPr>
        <w:pStyle w:val="Heading3"/>
      </w:pPr>
      <w:r>
        <w:t>10.4.16 SE</w:t>
      </w:r>
      <w:r w:rsidR="00910FAB">
        <w:t>C</w:t>
      </w:r>
      <w:r>
        <w:t xml:space="preserve"> Rule 17a-5</w:t>
      </w:r>
    </w:p>
    <w:p w14:paraId="603A3F7B" w14:textId="77777777" w:rsidR="002D7AE4" w:rsidRPr="00E063CF" w:rsidRDefault="002D7AE4" w:rsidP="00E063CF">
      <w:pPr>
        <w:ind w:left="270"/>
        <w:rPr>
          <w:sz w:val="24"/>
          <w:szCs w:val="24"/>
        </w:rPr>
      </w:pPr>
      <w:r w:rsidRPr="00E063CF">
        <w:rPr>
          <w:sz w:val="24"/>
          <w:szCs w:val="24"/>
        </w:rPr>
        <w:t xml:space="preserve">Company's FINOP has determined its obligation to provide financial statements to customers meets an exemption </w:t>
      </w:r>
      <w:r w:rsidR="000A6897" w:rsidRPr="00E063CF">
        <w:rPr>
          <w:sz w:val="24"/>
          <w:szCs w:val="24"/>
        </w:rPr>
        <w:t xml:space="preserve">discussed </w:t>
      </w:r>
      <w:r w:rsidRPr="00E063CF">
        <w:rPr>
          <w:sz w:val="24"/>
          <w:szCs w:val="24"/>
        </w:rPr>
        <w:t>below.  Rule 17a-5 should be consulted for details regarding the requirements especially if any exemption no longer exists.</w:t>
      </w:r>
      <w:r w:rsidR="00E61DC2">
        <w:rPr>
          <w:sz w:val="24"/>
          <w:szCs w:val="24"/>
        </w:rPr>
        <w:t xml:space="preserve">  </w:t>
      </w:r>
      <w:r w:rsidRPr="00E063CF">
        <w:rPr>
          <w:sz w:val="24"/>
          <w:szCs w:val="24"/>
        </w:rPr>
        <w:t>Broker-dealers are required to provide financial statements to their customers unless they qualify for an exemption, which includes: (1) an introducing broker or dealer; (2) a BD that promptly forwards subscriptions for securities to the issuer, underwriter, or other distributor and does not hold funds or securities; (3) a BD dealing with subscriptions of mutual funds, sale/redemption of savings and loan associations, or offering credit for loans to purchase insurance related to the sale of mutual funds; or (4) a BD that conducts business that is exempt under Rule 17a-3(a). These exemptions have further conditions and Rule 17a-5 should be consulted.</w:t>
      </w:r>
    </w:p>
    <w:p w14:paraId="35A23005" w14:textId="77777777" w:rsidR="002D7AE4" w:rsidRDefault="002D7AE4" w:rsidP="00E063CF">
      <w:pPr>
        <w:ind w:left="274"/>
        <w:rPr>
          <w:sz w:val="24"/>
          <w:szCs w:val="24"/>
        </w:rPr>
      </w:pPr>
    </w:p>
    <w:p w14:paraId="2A18FD98" w14:textId="77777777" w:rsidR="0001639F" w:rsidRPr="009F3F74" w:rsidRDefault="0001639F" w:rsidP="00E063CF">
      <w:pPr>
        <w:rPr>
          <w:sz w:val="24"/>
        </w:rPr>
      </w:pPr>
    </w:p>
    <w:p w14:paraId="1BC57887" w14:textId="77777777" w:rsidR="000C099C" w:rsidRPr="00F13AC6" w:rsidRDefault="00F13AC6" w:rsidP="00936FEE">
      <w:pPr>
        <w:pStyle w:val="Heading2"/>
        <w:rPr>
          <w:u w:val="single"/>
        </w:rPr>
      </w:pPr>
      <w:r w:rsidRPr="00F13AC6">
        <w:lastRenderedPageBreak/>
        <w:t>10.</w:t>
      </w:r>
      <w:r w:rsidR="00811B75">
        <w:t>5</w:t>
      </w:r>
      <w:r w:rsidRPr="00F13AC6">
        <w:t xml:space="preserve"> </w:t>
      </w:r>
      <w:r w:rsidR="00C37BEC">
        <w:t xml:space="preserve">Preparation and Processing </w:t>
      </w:r>
      <w:r w:rsidR="000C099C" w:rsidRPr="00F13AC6">
        <w:t>Corporate Records</w:t>
      </w:r>
    </w:p>
    <w:p w14:paraId="01AD9163" w14:textId="77777777" w:rsidR="000C099C" w:rsidRDefault="000C099C" w:rsidP="002D7AE4">
      <w:pPr>
        <w:rPr>
          <w:sz w:val="24"/>
        </w:rPr>
      </w:pPr>
      <w:r>
        <w:rPr>
          <w:sz w:val="24"/>
        </w:rPr>
        <w:t>The Company, or its clearing agent, as applicable, shall make and keep current the following books and records relating to the Company's business:</w:t>
      </w:r>
    </w:p>
    <w:p w14:paraId="7AAF3B3C" w14:textId="77777777" w:rsidR="000C099C" w:rsidRDefault="000C099C" w:rsidP="002D7AE4">
      <w:pPr>
        <w:rPr>
          <w:sz w:val="24"/>
        </w:rPr>
      </w:pPr>
    </w:p>
    <w:p w14:paraId="2F805673" w14:textId="77777777" w:rsidR="00924990" w:rsidRDefault="000C099C" w:rsidP="00C75B6E">
      <w:pPr>
        <w:ind w:left="1080" w:hanging="360"/>
        <w:rPr>
          <w:sz w:val="24"/>
        </w:rPr>
      </w:pPr>
      <w:r>
        <w:rPr>
          <w:sz w:val="24"/>
        </w:rPr>
        <w:t>1.</w:t>
      </w:r>
      <w:r>
        <w:rPr>
          <w:sz w:val="24"/>
        </w:rPr>
        <w:tab/>
        <w:t xml:space="preserve">Blotters (or other records of original entry) containing an itemized daily record of all purchases and sales of securities, all receipts and deliveries of securities (including certificate numbers), all receipts and disbursements of cash and all other debits and credits. Such records shall show the account for which each such transaction has been </w:t>
      </w:r>
      <w:r w:rsidR="004B17E8">
        <w:rPr>
          <w:sz w:val="24"/>
        </w:rPr>
        <w:t>affected</w:t>
      </w:r>
      <w:r>
        <w:rPr>
          <w:sz w:val="24"/>
        </w:rPr>
        <w:t xml:space="preserve">, the name and </w:t>
      </w:r>
      <w:proofErr w:type="gramStart"/>
      <w:r>
        <w:rPr>
          <w:sz w:val="24"/>
        </w:rPr>
        <w:t>amount</w:t>
      </w:r>
      <w:proofErr w:type="gramEnd"/>
      <w:r>
        <w:rPr>
          <w:sz w:val="24"/>
        </w:rPr>
        <w:t xml:space="preserve"> of securities, the unit and aggregate purchase or sale price (if any), the trade date and the name or other designation of the person from whom purchased or received or to whom sold or delivered;</w:t>
      </w:r>
    </w:p>
    <w:p w14:paraId="698148AD" w14:textId="77777777" w:rsidR="000C099C" w:rsidRDefault="000C099C" w:rsidP="00C75B6E">
      <w:pPr>
        <w:ind w:left="1080" w:hanging="360"/>
        <w:rPr>
          <w:sz w:val="24"/>
        </w:rPr>
      </w:pPr>
      <w:r>
        <w:rPr>
          <w:sz w:val="24"/>
        </w:rPr>
        <w:t>2.</w:t>
      </w:r>
      <w:r>
        <w:rPr>
          <w:sz w:val="24"/>
        </w:rPr>
        <w:tab/>
        <w:t>Ledgers (or other records) reflecting all assets and liabilities, income and expense and capital accounts;</w:t>
      </w:r>
    </w:p>
    <w:p w14:paraId="1FCDF8F4" w14:textId="77777777" w:rsidR="000C099C" w:rsidRDefault="000C099C" w:rsidP="00C75B6E">
      <w:pPr>
        <w:ind w:left="1080" w:hanging="360"/>
        <w:rPr>
          <w:sz w:val="24"/>
        </w:rPr>
      </w:pPr>
      <w:r>
        <w:rPr>
          <w:sz w:val="24"/>
        </w:rPr>
        <w:t>3.</w:t>
      </w:r>
      <w:r>
        <w:rPr>
          <w:sz w:val="24"/>
        </w:rPr>
        <w:tab/>
        <w:t xml:space="preserve">Ledger accounts, by its clearing firm, </w:t>
      </w:r>
      <w:r w:rsidR="00EC5133" w:rsidRPr="00C07F1D">
        <w:rPr>
          <w:sz w:val="24"/>
        </w:rPr>
        <w:t>Hilltop</w:t>
      </w:r>
      <w:r>
        <w:rPr>
          <w:sz w:val="24"/>
        </w:rPr>
        <w:t xml:space="preserve"> Securities, Inc., (or other records) itemizing separately as to each cash and margin account of every customer and of the Company, all purchases, sales receipts and deliveries of securities and commodities for such accounts and all other debits and credits to such accounts;</w:t>
      </w:r>
    </w:p>
    <w:p w14:paraId="3BD475E4" w14:textId="77777777" w:rsidR="000C099C" w:rsidRDefault="000C099C" w:rsidP="00C75B6E">
      <w:pPr>
        <w:ind w:left="1080" w:hanging="360"/>
        <w:rPr>
          <w:sz w:val="24"/>
        </w:rPr>
      </w:pPr>
      <w:r>
        <w:rPr>
          <w:sz w:val="24"/>
        </w:rPr>
        <w:t>4.</w:t>
      </w:r>
      <w:r>
        <w:rPr>
          <w:sz w:val="24"/>
        </w:rPr>
        <w:tab/>
        <w:t xml:space="preserve">Ledger, by its clearing firm, </w:t>
      </w:r>
      <w:r w:rsidR="00EC5133" w:rsidRPr="00C07F1D">
        <w:rPr>
          <w:sz w:val="24"/>
        </w:rPr>
        <w:t>Hilltop</w:t>
      </w:r>
      <w:r w:rsidRPr="00C07F1D">
        <w:rPr>
          <w:sz w:val="24"/>
        </w:rPr>
        <w:t xml:space="preserve"> </w:t>
      </w:r>
      <w:r>
        <w:rPr>
          <w:sz w:val="24"/>
        </w:rPr>
        <w:t>Securities, Inc., (or other records) reflecting the following as applicable:</w:t>
      </w:r>
    </w:p>
    <w:p w14:paraId="60BB9015" w14:textId="77777777" w:rsidR="000C099C" w:rsidRDefault="000C099C" w:rsidP="002D7AE4">
      <w:pPr>
        <w:ind w:left="1440" w:hanging="720"/>
        <w:rPr>
          <w:sz w:val="24"/>
        </w:rPr>
      </w:pPr>
    </w:p>
    <w:p w14:paraId="169350D2" w14:textId="77777777" w:rsidR="000C099C" w:rsidRDefault="000C099C" w:rsidP="00C75B6E">
      <w:pPr>
        <w:ind w:left="1800" w:hanging="360"/>
        <w:rPr>
          <w:sz w:val="24"/>
        </w:rPr>
      </w:pPr>
      <w:r>
        <w:rPr>
          <w:sz w:val="24"/>
        </w:rPr>
        <w:t>a.</w:t>
      </w:r>
      <w:r>
        <w:rPr>
          <w:sz w:val="24"/>
        </w:rPr>
        <w:tab/>
        <w:t>Securities in transfer;</w:t>
      </w:r>
    </w:p>
    <w:p w14:paraId="2C903DF0" w14:textId="77777777" w:rsidR="000C099C" w:rsidRDefault="000C099C" w:rsidP="00C75B6E">
      <w:pPr>
        <w:ind w:left="1800" w:hanging="360"/>
        <w:rPr>
          <w:sz w:val="24"/>
        </w:rPr>
      </w:pPr>
    </w:p>
    <w:p w14:paraId="34A4FC20" w14:textId="77777777" w:rsidR="000C099C" w:rsidRDefault="000C099C" w:rsidP="00C75B6E">
      <w:pPr>
        <w:ind w:left="1800" w:hanging="360"/>
        <w:rPr>
          <w:sz w:val="24"/>
        </w:rPr>
      </w:pPr>
      <w:r>
        <w:rPr>
          <w:sz w:val="24"/>
        </w:rPr>
        <w:t>b.</w:t>
      </w:r>
      <w:r>
        <w:rPr>
          <w:sz w:val="24"/>
        </w:rPr>
        <w:tab/>
        <w:t>Dividends and interest received;</w:t>
      </w:r>
    </w:p>
    <w:p w14:paraId="38692C98" w14:textId="77777777" w:rsidR="000C099C" w:rsidRDefault="000C099C" w:rsidP="00C75B6E">
      <w:pPr>
        <w:ind w:left="1800" w:hanging="360"/>
        <w:rPr>
          <w:sz w:val="24"/>
        </w:rPr>
      </w:pPr>
    </w:p>
    <w:p w14:paraId="35E09C4F" w14:textId="77777777" w:rsidR="000C099C" w:rsidRDefault="000C099C" w:rsidP="00C75B6E">
      <w:pPr>
        <w:ind w:left="1800" w:hanging="360"/>
        <w:rPr>
          <w:sz w:val="24"/>
        </w:rPr>
      </w:pPr>
      <w:r>
        <w:rPr>
          <w:sz w:val="24"/>
        </w:rPr>
        <w:t>c.</w:t>
      </w:r>
      <w:r>
        <w:rPr>
          <w:sz w:val="24"/>
        </w:rPr>
        <w:tab/>
        <w:t>Securities borrowed and securities loaned;</w:t>
      </w:r>
    </w:p>
    <w:p w14:paraId="04D95B6B" w14:textId="77777777" w:rsidR="000C099C" w:rsidRDefault="000C099C" w:rsidP="00C75B6E">
      <w:pPr>
        <w:ind w:left="1800" w:hanging="360"/>
        <w:rPr>
          <w:sz w:val="24"/>
        </w:rPr>
      </w:pPr>
    </w:p>
    <w:p w14:paraId="2194CDBF" w14:textId="77777777" w:rsidR="000C099C" w:rsidRDefault="000C099C" w:rsidP="00C75B6E">
      <w:pPr>
        <w:ind w:left="1800" w:hanging="360"/>
        <w:rPr>
          <w:sz w:val="24"/>
        </w:rPr>
      </w:pPr>
      <w:r>
        <w:rPr>
          <w:sz w:val="24"/>
        </w:rPr>
        <w:t>d.</w:t>
      </w:r>
      <w:r>
        <w:rPr>
          <w:sz w:val="24"/>
        </w:rPr>
        <w:tab/>
        <w:t>Monies borrowed and monies loaned (together with a record of the collateral and any substitutions in such collateral);</w:t>
      </w:r>
    </w:p>
    <w:p w14:paraId="64A5E2DD" w14:textId="77777777" w:rsidR="000C099C" w:rsidRDefault="000C099C" w:rsidP="00C75B6E">
      <w:pPr>
        <w:ind w:left="1800" w:hanging="360"/>
        <w:rPr>
          <w:sz w:val="24"/>
        </w:rPr>
      </w:pPr>
    </w:p>
    <w:p w14:paraId="4AFD2741" w14:textId="77777777" w:rsidR="000C099C" w:rsidRDefault="000C099C" w:rsidP="00C75B6E">
      <w:pPr>
        <w:ind w:left="1800" w:hanging="360"/>
        <w:rPr>
          <w:sz w:val="24"/>
        </w:rPr>
      </w:pPr>
      <w:r>
        <w:rPr>
          <w:sz w:val="24"/>
        </w:rPr>
        <w:t>e.</w:t>
      </w:r>
      <w:r>
        <w:rPr>
          <w:sz w:val="24"/>
        </w:rPr>
        <w:tab/>
        <w:t>Securities failed to receive and failed to deliver;</w:t>
      </w:r>
    </w:p>
    <w:p w14:paraId="6CD7C2D3" w14:textId="77777777" w:rsidR="000C099C" w:rsidRDefault="000C099C" w:rsidP="00C75B6E">
      <w:pPr>
        <w:ind w:left="1800" w:hanging="360"/>
        <w:rPr>
          <w:sz w:val="24"/>
        </w:rPr>
      </w:pPr>
    </w:p>
    <w:p w14:paraId="2C5A0D2B" w14:textId="02748F73" w:rsidR="000C099C" w:rsidRDefault="000C099C" w:rsidP="00C75B6E">
      <w:pPr>
        <w:ind w:left="1800" w:hanging="360"/>
        <w:rPr>
          <w:sz w:val="24"/>
        </w:rPr>
      </w:pPr>
      <w:r>
        <w:rPr>
          <w:sz w:val="24"/>
        </w:rPr>
        <w:t>f.</w:t>
      </w:r>
      <w:r>
        <w:rPr>
          <w:sz w:val="24"/>
        </w:rPr>
        <w:tab/>
        <w:t xml:space="preserve">All long and short securities record differences arising from the examination, verification, </w:t>
      </w:r>
      <w:r w:rsidR="00E83AA9">
        <w:rPr>
          <w:sz w:val="24"/>
        </w:rPr>
        <w:t>count,</w:t>
      </w:r>
      <w:r>
        <w:rPr>
          <w:sz w:val="24"/>
        </w:rPr>
        <w:t xml:space="preserve"> and comparison pursuant to 1934 Act Rule 17a-13 and Rule 17a-5; and </w:t>
      </w:r>
    </w:p>
    <w:p w14:paraId="15B7EF7C" w14:textId="77777777" w:rsidR="000C099C" w:rsidRDefault="000C099C" w:rsidP="002D7AE4">
      <w:pPr>
        <w:ind w:left="2160" w:hanging="720"/>
        <w:rPr>
          <w:sz w:val="24"/>
        </w:rPr>
      </w:pPr>
    </w:p>
    <w:p w14:paraId="4C6B18C0" w14:textId="77777777" w:rsidR="000C099C" w:rsidRDefault="000C099C" w:rsidP="00C75B6E">
      <w:pPr>
        <w:ind w:left="1800" w:hanging="360"/>
        <w:rPr>
          <w:sz w:val="24"/>
        </w:rPr>
      </w:pPr>
      <w:r>
        <w:rPr>
          <w:sz w:val="24"/>
        </w:rPr>
        <w:t>g.</w:t>
      </w:r>
      <w:r w:rsidR="00C75B6E">
        <w:rPr>
          <w:sz w:val="24"/>
        </w:rPr>
        <w:t xml:space="preserve">   </w:t>
      </w:r>
      <w:r>
        <w:rPr>
          <w:sz w:val="24"/>
        </w:rPr>
        <w:t>Repurchase agreements and securities subject thereto;</w:t>
      </w:r>
    </w:p>
    <w:p w14:paraId="43A15A23" w14:textId="77777777" w:rsidR="000C099C" w:rsidRDefault="000C099C" w:rsidP="002D7AE4">
      <w:pPr>
        <w:ind w:left="2160" w:hanging="720"/>
        <w:rPr>
          <w:sz w:val="24"/>
        </w:rPr>
      </w:pPr>
    </w:p>
    <w:p w14:paraId="200BC922" w14:textId="77777777" w:rsidR="000C099C" w:rsidRDefault="000C099C" w:rsidP="00BB7251">
      <w:pPr>
        <w:ind w:left="1170" w:hanging="450"/>
        <w:rPr>
          <w:sz w:val="24"/>
        </w:rPr>
      </w:pPr>
      <w:r>
        <w:rPr>
          <w:sz w:val="24"/>
        </w:rPr>
        <w:t>5.</w:t>
      </w:r>
      <w:r>
        <w:rPr>
          <w:sz w:val="24"/>
        </w:rPr>
        <w:tab/>
        <w:t xml:space="preserve">A securities record or ledger, through its clearing firm, </w:t>
      </w:r>
      <w:r w:rsidR="00EC5133" w:rsidRPr="00C07F1D">
        <w:rPr>
          <w:sz w:val="24"/>
        </w:rPr>
        <w:t>Hilltop</w:t>
      </w:r>
      <w:r>
        <w:rPr>
          <w:sz w:val="24"/>
        </w:rPr>
        <w:t xml:space="preserve"> Securities, Inc., reflecting separately for each security, as of the clearance dates, all "long" and "short" positions (including securities in safekeeping and securities that are the subject of repurchase or reverse repurchase agreements) carried by the Company for its account or that of its customers or others, and showing the location of all securities long and the offsetting position to all securities short, including long securities count differences and short securities count differences classified by the date of the physical count and verification in which they were discovered, and in all cases the name or designation of the account in which each position is carried;</w:t>
      </w:r>
    </w:p>
    <w:p w14:paraId="7F2FDDB6" w14:textId="0D54FA4D" w:rsidR="000C099C" w:rsidRDefault="000C099C" w:rsidP="00BB7251">
      <w:pPr>
        <w:ind w:left="1170" w:hanging="450"/>
        <w:rPr>
          <w:sz w:val="24"/>
        </w:rPr>
      </w:pPr>
      <w:r>
        <w:rPr>
          <w:sz w:val="24"/>
        </w:rPr>
        <w:t>6.</w:t>
      </w:r>
      <w:r>
        <w:rPr>
          <w:sz w:val="24"/>
        </w:rPr>
        <w:tab/>
        <w:t xml:space="preserve">A memorandum of each brokerage order, and any other instruction, given or received for the purchase or sale of securities, whether executed or unexecuted. Such memorandum shall show the terms and conditions of the order or instructions </w:t>
      </w:r>
      <w:r>
        <w:rPr>
          <w:sz w:val="24"/>
        </w:rPr>
        <w:lastRenderedPageBreak/>
        <w:t xml:space="preserve">and of any modification or cancellation, the account for which it was entered, the time of entry, the price at which executed and, to the extent feasible, the time of execution or cancellation. Orders entered pursuant to the exercise of discretionary power by the Company or any employee shall be so designated.  The </w:t>
      </w:r>
      <w:r w:rsidR="00E83AA9" w:rsidRPr="00D43D24">
        <w:rPr>
          <w:sz w:val="24"/>
        </w:rPr>
        <w:t>HT</w:t>
      </w:r>
      <w:r>
        <w:rPr>
          <w:sz w:val="24"/>
        </w:rPr>
        <w:t>S electronic report will be utilized for this recordkeeping requirement;</w:t>
      </w:r>
    </w:p>
    <w:p w14:paraId="6A599071" w14:textId="77777777" w:rsidR="000C099C" w:rsidRDefault="000C099C" w:rsidP="00BB7251">
      <w:pPr>
        <w:ind w:left="1170" w:hanging="450"/>
        <w:rPr>
          <w:sz w:val="24"/>
        </w:rPr>
      </w:pPr>
      <w:r>
        <w:rPr>
          <w:sz w:val="24"/>
        </w:rPr>
        <w:t>7.</w:t>
      </w:r>
      <w:r>
        <w:rPr>
          <w:sz w:val="24"/>
        </w:rPr>
        <w:tab/>
        <w:t>A memorandum of each purchase and sale for the account of the Company, showing the price, and to the extent feasible, the time of execution, and where such a purchase or sale is with a customer other than a broker or dealer, a memorandum of each order received, showing the time of receipt, the terms and conditions of the order and the account in which it was entered if ever applicable;</w:t>
      </w:r>
    </w:p>
    <w:p w14:paraId="09072CAD" w14:textId="53DFBB96" w:rsidR="000C099C" w:rsidRPr="008B6780" w:rsidRDefault="000C099C" w:rsidP="00BB7251">
      <w:pPr>
        <w:ind w:left="1170" w:hanging="450"/>
        <w:rPr>
          <w:sz w:val="24"/>
        </w:rPr>
      </w:pPr>
      <w:r>
        <w:rPr>
          <w:sz w:val="24"/>
        </w:rPr>
        <w:t>8.</w:t>
      </w:r>
      <w:r>
        <w:rPr>
          <w:sz w:val="24"/>
        </w:rPr>
        <w:tab/>
        <w:t xml:space="preserve">Copies of confirmations of all purchases and sales of securities, including copies of all repurchase and reverse repurchase agreements, and copies of notices of all other debits and credits for securities, </w:t>
      </w:r>
      <w:r w:rsidR="00E83AA9">
        <w:rPr>
          <w:sz w:val="24"/>
        </w:rPr>
        <w:t>cash,</w:t>
      </w:r>
      <w:r>
        <w:rPr>
          <w:sz w:val="24"/>
        </w:rPr>
        <w:t xml:space="preserve"> and other items for the account of customers and partners of the Company.  Copies of confirmations will be maintained electronically via the software system of </w:t>
      </w:r>
      <w:r w:rsidR="00EC5133" w:rsidRPr="008B6780">
        <w:rPr>
          <w:sz w:val="24"/>
        </w:rPr>
        <w:t>Hilltop</w:t>
      </w:r>
      <w:r w:rsidRPr="008B6780">
        <w:rPr>
          <w:sz w:val="24"/>
        </w:rPr>
        <w:t xml:space="preserve"> Securities, Inc. in each customer’s account;</w:t>
      </w:r>
    </w:p>
    <w:p w14:paraId="7349925B" w14:textId="77777777" w:rsidR="000C099C" w:rsidRPr="008B6780" w:rsidRDefault="000C099C" w:rsidP="00BB7251">
      <w:pPr>
        <w:ind w:left="1170" w:hanging="450"/>
        <w:rPr>
          <w:sz w:val="24"/>
        </w:rPr>
      </w:pPr>
      <w:r w:rsidRPr="008B6780">
        <w:rPr>
          <w:sz w:val="24"/>
        </w:rPr>
        <w:t>9.</w:t>
      </w:r>
      <w:r w:rsidRPr="008B6780">
        <w:rPr>
          <w:sz w:val="24"/>
        </w:rPr>
        <w:tab/>
        <w:t xml:space="preserve">A record of each cash and margin account with the Company, by its clearing firm, </w:t>
      </w:r>
      <w:r w:rsidR="00EC5133" w:rsidRPr="008B6780">
        <w:rPr>
          <w:sz w:val="24"/>
        </w:rPr>
        <w:t>Hilltop</w:t>
      </w:r>
      <w:r w:rsidRPr="008B6780">
        <w:rPr>
          <w:sz w:val="24"/>
        </w:rPr>
        <w:t xml:space="preserve"> Securities, Inc., indicating:</w:t>
      </w:r>
    </w:p>
    <w:p w14:paraId="68809F06" w14:textId="77777777" w:rsidR="000C099C" w:rsidRDefault="000C099C" w:rsidP="002D7AE4">
      <w:pPr>
        <w:rPr>
          <w:sz w:val="24"/>
        </w:rPr>
      </w:pPr>
    </w:p>
    <w:p w14:paraId="29618DA9" w14:textId="77777777" w:rsidR="000C099C" w:rsidRDefault="000C099C" w:rsidP="00BB7251">
      <w:pPr>
        <w:ind w:left="1710" w:hanging="270"/>
        <w:rPr>
          <w:sz w:val="24"/>
        </w:rPr>
      </w:pPr>
      <w:r>
        <w:rPr>
          <w:sz w:val="24"/>
        </w:rPr>
        <w:t>a.</w:t>
      </w:r>
      <w:r>
        <w:rPr>
          <w:sz w:val="24"/>
        </w:rPr>
        <w:tab/>
        <w:t>The name and address of the beneficial owner of the account;</w:t>
      </w:r>
    </w:p>
    <w:p w14:paraId="1E845620" w14:textId="77777777" w:rsidR="000C099C" w:rsidRDefault="000C099C" w:rsidP="00BB7251">
      <w:pPr>
        <w:ind w:left="1710" w:hanging="270"/>
        <w:rPr>
          <w:sz w:val="24"/>
        </w:rPr>
      </w:pPr>
    </w:p>
    <w:p w14:paraId="55E8D946" w14:textId="52D65FF9" w:rsidR="000C099C" w:rsidRDefault="000C099C" w:rsidP="00BB7251">
      <w:pPr>
        <w:ind w:left="1710" w:hanging="270"/>
        <w:rPr>
          <w:sz w:val="24"/>
        </w:rPr>
      </w:pPr>
      <w:r>
        <w:rPr>
          <w:sz w:val="24"/>
        </w:rPr>
        <w:t>b.</w:t>
      </w:r>
      <w:r>
        <w:rPr>
          <w:sz w:val="24"/>
        </w:rPr>
        <w:tab/>
        <w:t xml:space="preserve">Except with respect to exempt employee benefit plan securities (but only to the extent such securities are held by employee benefit plans established by the issuer of the securities), whether a beneficial owner of securities registered in a name other than that of such beneficial owner objects to disclosure to issuers of his or her identity, </w:t>
      </w:r>
      <w:r w:rsidR="00B66931">
        <w:rPr>
          <w:sz w:val="24"/>
        </w:rPr>
        <w:t>address,</w:t>
      </w:r>
      <w:r>
        <w:rPr>
          <w:sz w:val="24"/>
        </w:rPr>
        <w:t xml:space="preserve"> and securities positions; and</w:t>
      </w:r>
    </w:p>
    <w:p w14:paraId="60E42F7D" w14:textId="77777777" w:rsidR="000C099C" w:rsidRDefault="000C099C" w:rsidP="00BB7251">
      <w:pPr>
        <w:ind w:left="1710" w:hanging="270"/>
        <w:rPr>
          <w:sz w:val="24"/>
        </w:rPr>
      </w:pPr>
    </w:p>
    <w:p w14:paraId="2CFEBF2E" w14:textId="77777777" w:rsidR="000C099C" w:rsidRDefault="000C099C" w:rsidP="00BB7251">
      <w:pPr>
        <w:ind w:left="1710" w:hanging="270"/>
        <w:rPr>
          <w:sz w:val="24"/>
        </w:rPr>
      </w:pPr>
      <w:r>
        <w:rPr>
          <w:sz w:val="24"/>
        </w:rPr>
        <w:t>c.</w:t>
      </w:r>
      <w:r>
        <w:rPr>
          <w:sz w:val="24"/>
        </w:rPr>
        <w:tab/>
        <w:t>In the case of a margin account, the signature of such owner;</w:t>
      </w:r>
    </w:p>
    <w:p w14:paraId="43F90959" w14:textId="77777777" w:rsidR="000C099C" w:rsidRDefault="000C099C" w:rsidP="002D7AE4">
      <w:pPr>
        <w:ind w:left="2160" w:hanging="720"/>
        <w:rPr>
          <w:sz w:val="24"/>
        </w:rPr>
      </w:pPr>
    </w:p>
    <w:p w14:paraId="43E879AB" w14:textId="353AEDDD" w:rsidR="000C099C" w:rsidRDefault="000C099C" w:rsidP="00BB7251">
      <w:pPr>
        <w:ind w:left="1170" w:hanging="450"/>
        <w:rPr>
          <w:sz w:val="24"/>
        </w:rPr>
      </w:pPr>
      <w:r>
        <w:rPr>
          <w:sz w:val="24"/>
        </w:rPr>
        <w:t>10.</w:t>
      </w:r>
      <w:r>
        <w:rPr>
          <w:sz w:val="24"/>
        </w:rPr>
        <w:tab/>
        <w:t xml:space="preserve">A record of all puts, calls, </w:t>
      </w:r>
      <w:r w:rsidR="00B66931">
        <w:rPr>
          <w:sz w:val="24"/>
        </w:rPr>
        <w:t>spreads,</w:t>
      </w:r>
      <w:r>
        <w:rPr>
          <w:sz w:val="24"/>
        </w:rPr>
        <w:t xml:space="preserve"> and other options in which the Company has any direct or indirect interest or which the Company has granted or guaranteed, containing, at a minimum, an identification of the security and the number of units involved, if ever applicable;</w:t>
      </w:r>
    </w:p>
    <w:p w14:paraId="489062E5" w14:textId="77777777" w:rsidR="000C099C" w:rsidRDefault="000C099C" w:rsidP="00BB7251">
      <w:pPr>
        <w:ind w:left="1170" w:hanging="450"/>
        <w:rPr>
          <w:sz w:val="24"/>
        </w:rPr>
      </w:pPr>
      <w:r>
        <w:rPr>
          <w:sz w:val="24"/>
        </w:rPr>
        <w:t>11.</w:t>
      </w:r>
      <w:r>
        <w:rPr>
          <w:sz w:val="24"/>
        </w:rPr>
        <w:tab/>
        <w:t>A record of the proof of money balances of all ledger accounts in the form of trial balances, and a record of the computation of aggregate indebtedness and net capital, as of the trial balance date, pursuant to 1934 Act Rule 15c3-1;</w:t>
      </w:r>
    </w:p>
    <w:p w14:paraId="662ED9DC" w14:textId="77777777" w:rsidR="000C099C" w:rsidRDefault="000C099C" w:rsidP="00BB7251">
      <w:pPr>
        <w:ind w:left="1170" w:hanging="438"/>
        <w:rPr>
          <w:sz w:val="24"/>
        </w:rPr>
      </w:pPr>
      <w:r>
        <w:rPr>
          <w:sz w:val="24"/>
        </w:rPr>
        <w:t>12.</w:t>
      </w:r>
      <w:r>
        <w:rPr>
          <w:sz w:val="24"/>
        </w:rPr>
        <w:tab/>
        <w:t>A questionnaire or application (a Form U-4 may be used) for employment executed by each "associated person" of the Company, which shall be approved in writing by an authorized representative of the Company and shall contain, at a minimum, the following:</w:t>
      </w:r>
    </w:p>
    <w:p w14:paraId="2E68B1A0" w14:textId="77777777" w:rsidR="000C099C" w:rsidRDefault="000C099C" w:rsidP="002D7AE4">
      <w:pPr>
        <w:ind w:left="1440" w:hanging="708"/>
        <w:rPr>
          <w:sz w:val="24"/>
        </w:rPr>
      </w:pPr>
    </w:p>
    <w:p w14:paraId="017325C3" w14:textId="77777777" w:rsidR="000C099C" w:rsidRDefault="000C099C" w:rsidP="00BB7251">
      <w:pPr>
        <w:ind w:left="1800" w:hanging="360"/>
        <w:rPr>
          <w:sz w:val="24"/>
        </w:rPr>
      </w:pPr>
      <w:r>
        <w:rPr>
          <w:sz w:val="24"/>
        </w:rPr>
        <w:t>a.</w:t>
      </w:r>
      <w:r>
        <w:rPr>
          <w:sz w:val="24"/>
        </w:rPr>
        <w:tab/>
        <w:t>His or her name, address, social security number and the starting date of his or her employment or other association with the Company;</w:t>
      </w:r>
    </w:p>
    <w:p w14:paraId="397C6D20" w14:textId="77777777" w:rsidR="000C099C" w:rsidRDefault="000C099C" w:rsidP="00BB7251">
      <w:pPr>
        <w:ind w:left="1800" w:hanging="360"/>
        <w:rPr>
          <w:sz w:val="24"/>
        </w:rPr>
      </w:pPr>
    </w:p>
    <w:p w14:paraId="757342CF" w14:textId="77777777" w:rsidR="000C099C" w:rsidRDefault="000C099C" w:rsidP="00BB7251">
      <w:pPr>
        <w:ind w:left="1800" w:hanging="360"/>
        <w:rPr>
          <w:sz w:val="24"/>
        </w:rPr>
      </w:pPr>
      <w:r>
        <w:rPr>
          <w:sz w:val="24"/>
        </w:rPr>
        <w:t>b.</w:t>
      </w:r>
      <w:r>
        <w:rPr>
          <w:sz w:val="24"/>
        </w:rPr>
        <w:tab/>
        <w:t>His or her date of birth;</w:t>
      </w:r>
    </w:p>
    <w:p w14:paraId="61D6F0DD" w14:textId="77777777" w:rsidR="000C099C" w:rsidRDefault="000C099C" w:rsidP="00BB7251">
      <w:pPr>
        <w:ind w:left="1800" w:hanging="360"/>
        <w:rPr>
          <w:sz w:val="24"/>
        </w:rPr>
      </w:pPr>
    </w:p>
    <w:p w14:paraId="0DE33D42" w14:textId="77777777" w:rsidR="000C099C" w:rsidRDefault="000C099C" w:rsidP="00BB7251">
      <w:pPr>
        <w:ind w:left="1800" w:hanging="360"/>
        <w:rPr>
          <w:sz w:val="24"/>
        </w:rPr>
      </w:pPr>
      <w:r>
        <w:rPr>
          <w:sz w:val="24"/>
        </w:rPr>
        <w:t>c.</w:t>
      </w:r>
      <w:r>
        <w:rPr>
          <w:sz w:val="24"/>
        </w:rPr>
        <w:tab/>
        <w:t>A complete statement of his or her business connections for at least the preceding ten years, including whether such employment was part-time or full-time;</w:t>
      </w:r>
    </w:p>
    <w:p w14:paraId="61B1C0D3" w14:textId="77777777" w:rsidR="000C099C" w:rsidRDefault="000C099C" w:rsidP="00BB7251">
      <w:pPr>
        <w:ind w:left="1800" w:hanging="360"/>
        <w:rPr>
          <w:sz w:val="24"/>
        </w:rPr>
      </w:pPr>
    </w:p>
    <w:p w14:paraId="7B3F532A" w14:textId="77777777" w:rsidR="000C099C" w:rsidRDefault="000C099C" w:rsidP="00BB7251">
      <w:pPr>
        <w:ind w:left="1800" w:hanging="360"/>
        <w:rPr>
          <w:sz w:val="24"/>
        </w:rPr>
      </w:pPr>
      <w:r>
        <w:rPr>
          <w:sz w:val="24"/>
        </w:rPr>
        <w:t>d.</w:t>
      </w:r>
      <w:r>
        <w:rPr>
          <w:sz w:val="24"/>
        </w:rPr>
        <w:tab/>
        <w:t>A record of any denial of membership or registration, and of any disciplinary action taken, or sanction(s) imposed, upon him or her by any federal or state agency, or by any national securities exchange or national securities association, including any finding that he or she was a cause of any disciplinary action or had violated any law;</w:t>
      </w:r>
    </w:p>
    <w:p w14:paraId="47665D68" w14:textId="77777777" w:rsidR="000C099C" w:rsidRDefault="000C099C" w:rsidP="00BB7251">
      <w:pPr>
        <w:ind w:left="1800" w:hanging="360"/>
        <w:rPr>
          <w:sz w:val="24"/>
        </w:rPr>
      </w:pPr>
    </w:p>
    <w:p w14:paraId="3D1A2F08" w14:textId="77777777" w:rsidR="000C099C" w:rsidRDefault="000C099C" w:rsidP="00BB7251">
      <w:pPr>
        <w:ind w:left="1800" w:hanging="360"/>
        <w:rPr>
          <w:sz w:val="24"/>
        </w:rPr>
      </w:pPr>
      <w:r>
        <w:rPr>
          <w:sz w:val="24"/>
        </w:rPr>
        <w:t>e.</w:t>
      </w:r>
      <w:r>
        <w:rPr>
          <w:sz w:val="24"/>
        </w:rPr>
        <w:tab/>
        <w:t>A record of any denial, suspension, expulsion or revocation of membership or registration of any broker-dealer with which he or she was associated in any capacity when such action was taken;</w:t>
      </w:r>
    </w:p>
    <w:p w14:paraId="308B0DFD" w14:textId="77777777" w:rsidR="000C099C" w:rsidRDefault="000C099C" w:rsidP="00BB7251">
      <w:pPr>
        <w:ind w:left="1800" w:hanging="360"/>
        <w:rPr>
          <w:sz w:val="24"/>
        </w:rPr>
      </w:pPr>
    </w:p>
    <w:p w14:paraId="61A472B5" w14:textId="77777777" w:rsidR="000C099C" w:rsidRDefault="000C099C" w:rsidP="00BB7251">
      <w:pPr>
        <w:ind w:left="1800" w:hanging="360"/>
        <w:rPr>
          <w:sz w:val="24"/>
        </w:rPr>
      </w:pPr>
      <w:r>
        <w:rPr>
          <w:sz w:val="24"/>
        </w:rPr>
        <w:t>f.</w:t>
      </w:r>
      <w:r>
        <w:rPr>
          <w:sz w:val="24"/>
        </w:rPr>
        <w:tab/>
        <w:t>A record of any permanent or temporary injunction entered against him or her or any broker-dealer with which he or she was associated in any capacity at the time such injunction was entered;</w:t>
      </w:r>
    </w:p>
    <w:p w14:paraId="7CD174C0" w14:textId="77777777" w:rsidR="000C099C" w:rsidRDefault="000C099C" w:rsidP="00BB7251">
      <w:pPr>
        <w:ind w:left="1800" w:hanging="360"/>
        <w:rPr>
          <w:sz w:val="24"/>
        </w:rPr>
      </w:pPr>
    </w:p>
    <w:p w14:paraId="0A78D247" w14:textId="77777777" w:rsidR="000C099C" w:rsidRDefault="000C099C" w:rsidP="00BB7251">
      <w:pPr>
        <w:ind w:left="1800" w:hanging="360"/>
        <w:rPr>
          <w:sz w:val="24"/>
        </w:rPr>
      </w:pPr>
      <w:r>
        <w:rPr>
          <w:sz w:val="24"/>
        </w:rPr>
        <w:t>g.</w:t>
      </w:r>
      <w:r>
        <w:rPr>
          <w:sz w:val="24"/>
        </w:rPr>
        <w:tab/>
        <w:t>A record of any arrest or indictment for any felony, or any misdemeanor pertaining to securities, commodities, banking, insurance or real estate, fraud, false statements or omissions, wrongful taking of property or bribery, forgery or counterfeiting or extortion, and the disposition of the foregoing; and</w:t>
      </w:r>
    </w:p>
    <w:p w14:paraId="5827B041" w14:textId="77777777" w:rsidR="000C099C" w:rsidRDefault="000C099C" w:rsidP="002D7AE4">
      <w:pPr>
        <w:rPr>
          <w:sz w:val="24"/>
        </w:rPr>
      </w:pPr>
    </w:p>
    <w:p w14:paraId="05A18BE1" w14:textId="77777777" w:rsidR="000C099C" w:rsidRDefault="000C099C" w:rsidP="00BB7251">
      <w:pPr>
        <w:ind w:left="1800" w:hanging="362"/>
        <w:rPr>
          <w:sz w:val="24"/>
        </w:rPr>
      </w:pPr>
      <w:r>
        <w:rPr>
          <w:sz w:val="24"/>
        </w:rPr>
        <w:t>h.</w:t>
      </w:r>
      <w:r>
        <w:rPr>
          <w:sz w:val="24"/>
        </w:rPr>
        <w:tab/>
        <w:t>A record of any other name by which he or she has been known or which he or she has used.</w:t>
      </w:r>
    </w:p>
    <w:p w14:paraId="217FD72F" w14:textId="77777777" w:rsidR="000C099C" w:rsidRDefault="000C099C" w:rsidP="002D7AE4">
      <w:pPr>
        <w:ind w:left="722" w:hanging="722"/>
        <w:rPr>
          <w:sz w:val="24"/>
        </w:rPr>
      </w:pPr>
    </w:p>
    <w:p w14:paraId="406EF280" w14:textId="77777777" w:rsidR="000C099C" w:rsidRPr="000C099C" w:rsidRDefault="000C099C" w:rsidP="002D7AE4">
      <w:pPr>
        <w:ind w:left="1440"/>
        <w:rPr>
          <w:sz w:val="24"/>
        </w:rPr>
      </w:pPr>
      <w:r>
        <w:rPr>
          <w:sz w:val="24"/>
        </w:rPr>
        <w:t xml:space="preserve">If such "associated person" was or is a registered representative of the Company, or his or her employment had been approved by the </w:t>
      </w:r>
      <w:r w:rsidRPr="000C099C">
        <w:rPr>
          <w:sz w:val="24"/>
        </w:rPr>
        <w:t xml:space="preserve">FINRA or any stock exchange, then retention of a full, correct and complete copy of </w:t>
      </w:r>
      <w:r w:rsidR="008E107C" w:rsidRPr="000C099C">
        <w:rPr>
          <w:sz w:val="24"/>
        </w:rPr>
        <w:t>all</w:t>
      </w:r>
      <w:r w:rsidRPr="000C099C">
        <w:rPr>
          <w:sz w:val="24"/>
        </w:rPr>
        <w:t xml:space="preserve"> applications for such registration or approval shall satisfy these requirements.</w:t>
      </w:r>
    </w:p>
    <w:p w14:paraId="7B59FCD3" w14:textId="77777777" w:rsidR="000C099C" w:rsidRPr="000C099C" w:rsidRDefault="000C099C" w:rsidP="002D7AE4">
      <w:pPr>
        <w:ind w:left="1440"/>
        <w:rPr>
          <w:sz w:val="24"/>
        </w:rPr>
      </w:pPr>
    </w:p>
    <w:p w14:paraId="4645332C" w14:textId="77777777" w:rsidR="000C099C" w:rsidRPr="000C099C" w:rsidRDefault="000C099C" w:rsidP="00BB7251">
      <w:pPr>
        <w:ind w:left="1170" w:hanging="450"/>
        <w:rPr>
          <w:sz w:val="24"/>
        </w:rPr>
      </w:pPr>
      <w:r w:rsidRPr="000C099C">
        <w:rPr>
          <w:sz w:val="24"/>
        </w:rPr>
        <w:t>13.  A record of all FINRA and MSRB fees and assessments paid</w:t>
      </w:r>
    </w:p>
    <w:p w14:paraId="67C8F706" w14:textId="77777777" w:rsidR="000C099C" w:rsidRDefault="000C099C" w:rsidP="002D7AE4">
      <w:pPr>
        <w:ind w:left="1440"/>
        <w:rPr>
          <w:sz w:val="24"/>
        </w:rPr>
      </w:pPr>
    </w:p>
    <w:p w14:paraId="23B98B6E" w14:textId="77777777" w:rsidR="00930E3D" w:rsidRPr="000C099C" w:rsidRDefault="00930E3D" w:rsidP="002D7AE4">
      <w:pPr>
        <w:ind w:left="1440"/>
        <w:rPr>
          <w:sz w:val="24"/>
        </w:rPr>
      </w:pPr>
    </w:p>
    <w:p w14:paraId="2026C42B" w14:textId="77777777" w:rsidR="000C099C" w:rsidRPr="00F13AC6" w:rsidRDefault="00F13AC6" w:rsidP="00936FEE">
      <w:pPr>
        <w:pStyle w:val="Heading2"/>
      </w:pPr>
      <w:r w:rsidRPr="00F13AC6">
        <w:t>10.</w:t>
      </w:r>
      <w:r w:rsidR="00811B75">
        <w:t>6</w:t>
      </w:r>
      <w:r w:rsidRPr="00F13AC6">
        <w:t xml:space="preserve"> </w:t>
      </w:r>
      <w:r w:rsidR="00930E3D" w:rsidRPr="00F13AC6">
        <w:t>FINRA Rule 1010-Uniform Form Filing</w:t>
      </w:r>
    </w:p>
    <w:p w14:paraId="0A406ADC" w14:textId="77777777" w:rsidR="001B687D" w:rsidRPr="00F20C03" w:rsidRDefault="00930E3D" w:rsidP="002D7AE4">
      <w:pPr>
        <w:rPr>
          <w:sz w:val="24"/>
          <w:szCs w:val="24"/>
        </w:rPr>
      </w:pPr>
      <w:r w:rsidRPr="00F20C03">
        <w:rPr>
          <w:sz w:val="24"/>
          <w:szCs w:val="24"/>
        </w:rPr>
        <w:t xml:space="preserve">Company shall file all forms required by Article IV, Sections </w:t>
      </w:r>
      <w:hyperlink r:id="rId79" w:tgtFrame="_blank" w:history="1">
        <w:r w:rsidRPr="00F20C03">
          <w:rPr>
            <w:rStyle w:val="Hyperlink"/>
            <w:color w:val="auto"/>
            <w:sz w:val="24"/>
            <w:szCs w:val="24"/>
          </w:rPr>
          <w:t>1</w:t>
        </w:r>
      </w:hyperlink>
      <w:r w:rsidRPr="00F20C03">
        <w:rPr>
          <w:sz w:val="24"/>
          <w:szCs w:val="24"/>
        </w:rPr>
        <w:t xml:space="preserve">, </w:t>
      </w:r>
      <w:hyperlink r:id="rId80" w:tgtFrame="_blank" w:history="1">
        <w:r w:rsidRPr="00F20C03">
          <w:rPr>
            <w:rStyle w:val="Hyperlink"/>
            <w:color w:val="auto"/>
            <w:sz w:val="24"/>
            <w:szCs w:val="24"/>
          </w:rPr>
          <w:t>7</w:t>
        </w:r>
      </w:hyperlink>
      <w:r w:rsidRPr="00F20C03">
        <w:rPr>
          <w:sz w:val="24"/>
          <w:szCs w:val="24"/>
        </w:rPr>
        <w:t xml:space="preserve">, and </w:t>
      </w:r>
      <w:hyperlink r:id="rId81" w:tgtFrame="_blank" w:history="1">
        <w:r w:rsidRPr="00F20C03">
          <w:rPr>
            <w:rStyle w:val="Hyperlink"/>
            <w:color w:val="auto"/>
            <w:sz w:val="24"/>
            <w:szCs w:val="24"/>
          </w:rPr>
          <w:t>8</w:t>
        </w:r>
      </w:hyperlink>
      <w:r w:rsidRPr="00F20C03">
        <w:rPr>
          <w:sz w:val="24"/>
          <w:szCs w:val="24"/>
        </w:rPr>
        <w:t xml:space="preserve">, and Article V, Sections </w:t>
      </w:r>
      <w:hyperlink r:id="rId82" w:tgtFrame="_blank" w:history="1">
        <w:r w:rsidRPr="00F20C03">
          <w:rPr>
            <w:rStyle w:val="Hyperlink"/>
            <w:color w:val="auto"/>
            <w:sz w:val="24"/>
            <w:szCs w:val="24"/>
          </w:rPr>
          <w:t>2</w:t>
        </w:r>
      </w:hyperlink>
      <w:r w:rsidRPr="00F20C03">
        <w:rPr>
          <w:sz w:val="24"/>
          <w:szCs w:val="24"/>
        </w:rPr>
        <w:t xml:space="preserve"> and </w:t>
      </w:r>
      <w:hyperlink r:id="rId83" w:tgtFrame="_blank" w:history="1">
        <w:r w:rsidRPr="00F20C03">
          <w:rPr>
            <w:rStyle w:val="Hyperlink"/>
            <w:color w:val="auto"/>
            <w:sz w:val="24"/>
            <w:szCs w:val="24"/>
          </w:rPr>
          <w:t>3</w:t>
        </w:r>
      </w:hyperlink>
      <w:r w:rsidRPr="00F20C03">
        <w:rPr>
          <w:sz w:val="24"/>
          <w:szCs w:val="24"/>
        </w:rPr>
        <w:t xml:space="preserve">, of the </w:t>
      </w:r>
      <w:r w:rsidRPr="00F20C03">
        <w:rPr>
          <w:rStyle w:val="us"/>
          <w:sz w:val="24"/>
          <w:szCs w:val="24"/>
        </w:rPr>
        <w:t>FINRA</w:t>
      </w:r>
      <w:r w:rsidRPr="00F20C03">
        <w:rPr>
          <w:sz w:val="24"/>
          <w:szCs w:val="24"/>
        </w:rPr>
        <w:t xml:space="preserve"> By-Laws through the electronic process or such other process </w:t>
      </w:r>
      <w:r w:rsidRPr="00F20C03">
        <w:rPr>
          <w:rStyle w:val="us"/>
          <w:sz w:val="24"/>
          <w:szCs w:val="24"/>
        </w:rPr>
        <w:t>FINRA</w:t>
      </w:r>
      <w:r w:rsidRPr="00F20C03">
        <w:rPr>
          <w:sz w:val="24"/>
          <w:szCs w:val="24"/>
        </w:rPr>
        <w:t xml:space="preserve"> may prescribe to the Ce</w:t>
      </w:r>
      <w:r w:rsidR="00857610" w:rsidRPr="00F20C03">
        <w:rPr>
          <w:sz w:val="24"/>
          <w:szCs w:val="24"/>
        </w:rPr>
        <w:t xml:space="preserve">ntral Registration Depository.  </w:t>
      </w:r>
      <w:r w:rsidR="000A6E40" w:rsidRPr="00F20C03">
        <w:rPr>
          <w:sz w:val="24"/>
          <w:szCs w:val="24"/>
        </w:rPr>
        <w:t>Company identifies Laura Hendricks as the person authorized to make filings on behalf of Company, however another</w:t>
      </w:r>
      <w:r w:rsidR="00857610" w:rsidRPr="00F20C03">
        <w:rPr>
          <w:sz w:val="24"/>
          <w:szCs w:val="24"/>
        </w:rPr>
        <w:t xml:space="preserve"> designee (who need not be registered) </w:t>
      </w:r>
      <w:r w:rsidR="001B6FF7" w:rsidRPr="00F20C03">
        <w:rPr>
          <w:sz w:val="24"/>
          <w:szCs w:val="24"/>
        </w:rPr>
        <w:t xml:space="preserve">or third party by agreement, </w:t>
      </w:r>
      <w:r w:rsidR="000A6E40" w:rsidRPr="00F20C03">
        <w:rPr>
          <w:sz w:val="24"/>
          <w:szCs w:val="24"/>
        </w:rPr>
        <w:t>may</w:t>
      </w:r>
      <w:r w:rsidR="00857610" w:rsidRPr="00F20C03">
        <w:rPr>
          <w:sz w:val="24"/>
          <w:szCs w:val="24"/>
        </w:rPr>
        <w:t xml:space="preserve"> be </w:t>
      </w:r>
      <w:r w:rsidR="000A6E40" w:rsidRPr="00F20C03">
        <w:rPr>
          <w:sz w:val="24"/>
          <w:szCs w:val="24"/>
        </w:rPr>
        <w:t>issued authorization</w:t>
      </w:r>
      <w:r w:rsidR="00857610" w:rsidRPr="00F20C03">
        <w:rPr>
          <w:sz w:val="24"/>
          <w:szCs w:val="24"/>
        </w:rPr>
        <w:t xml:space="preserve"> for such filings.  Morris Monroe shall </w:t>
      </w:r>
      <w:r w:rsidR="001B6FF7" w:rsidRPr="00F20C03">
        <w:rPr>
          <w:sz w:val="24"/>
          <w:szCs w:val="24"/>
        </w:rPr>
        <w:t xml:space="preserve">ultimately </w:t>
      </w:r>
      <w:r w:rsidR="00857610" w:rsidRPr="00F20C03">
        <w:rPr>
          <w:sz w:val="24"/>
          <w:szCs w:val="24"/>
        </w:rPr>
        <w:t>be responsible for the supervision over such activities and that such filings are properly executed.</w:t>
      </w:r>
    </w:p>
    <w:p w14:paraId="6450271A" w14:textId="77777777" w:rsidR="001B687D" w:rsidRPr="00F20C03" w:rsidRDefault="001B687D" w:rsidP="002D7AE4">
      <w:pPr>
        <w:rPr>
          <w:sz w:val="24"/>
          <w:szCs w:val="24"/>
        </w:rPr>
      </w:pPr>
    </w:p>
    <w:p w14:paraId="71F8FE96" w14:textId="77777777" w:rsidR="001B687D" w:rsidRPr="00F20C03" w:rsidRDefault="00F13AC6" w:rsidP="002D7AE4">
      <w:pPr>
        <w:pStyle w:val="Heading3"/>
        <w:jc w:val="left"/>
      </w:pPr>
      <w:r w:rsidRPr="00F20C03">
        <w:t>10.</w:t>
      </w:r>
      <w:r w:rsidR="00811B75">
        <w:t>6</w:t>
      </w:r>
      <w:r w:rsidRPr="00F20C03">
        <w:t xml:space="preserve">.1 </w:t>
      </w:r>
      <w:r w:rsidR="001B687D" w:rsidRPr="00F20C03">
        <w:t>Form U-4 Filing Requirements</w:t>
      </w:r>
    </w:p>
    <w:p w14:paraId="784BC124" w14:textId="77777777" w:rsidR="00930E3D" w:rsidRPr="00F20C03" w:rsidRDefault="00930E3D" w:rsidP="002D7AE4">
      <w:pPr>
        <w:ind w:left="270"/>
        <w:rPr>
          <w:rStyle w:val="us"/>
          <w:sz w:val="24"/>
          <w:szCs w:val="24"/>
        </w:rPr>
      </w:pPr>
      <w:r w:rsidRPr="00F20C03">
        <w:rPr>
          <w:sz w:val="24"/>
          <w:szCs w:val="24"/>
        </w:rPr>
        <w:t xml:space="preserve">Company shall retain </w:t>
      </w:r>
      <w:r w:rsidR="00853A41" w:rsidRPr="00F20C03">
        <w:rPr>
          <w:sz w:val="24"/>
          <w:szCs w:val="24"/>
        </w:rPr>
        <w:t xml:space="preserve">individuals’ manual signature for each initial or transfer Form U-4 or changes to disclosure questions.  However, in lieu of manual signatures for amended disclosures, Company may forward </w:t>
      </w:r>
      <w:r w:rsidR="001B687D" w:rsidRPr="00F20C03">
        <w:rPr>
          <w:sz w:val="24"/>
          <w:szCs w:val="24"/>
        </w:rPr>
        <w:t xml:space="preserve">a copy of </w:t>
      </w:r>
      <w:r w:rsidR="00853A41" w:rsidRPr="00F20C03">
        <w:rPr>
          <w:sz w:val="24"/>
          <w:szCs w:val="24"/>
        </w:rPr>
        <w:t>any changes to Associated Persons, prior to filing, for their review and receive a</w:t>
      </w:r>
      <w:r w:rsidR="001B687D" w:rsidRPr="00F20C03">
        <w:rPr>
          <w:sz w:val="24"/>
          <w:szCs w:val="24"/>
        </w:rPr>
        <w:t xml:space="preserve"> written</w:t>
      </w:r>
      <w:r w:rsidR="00853A41" w:rsidRPr="00F20C03">
        <w:rPr>
          <w:sz w:val="24"/>
          <w:szCs w:val="24"/>
        </w:rPr>
        <w:t xml:space="preserve"> acknowledgement (may be electronic) from such persons </w:t>
      </w:r>
      <w:r w:rsidR="001B687D" w:rsidRPr="00F20C03">
        <w:rPr>
          <w:sz w:val="24"/>
          <w:szCs w:val="24"/>
        </w:rPr>
        <w:t>that the information to be filed has been received and reviewed.</w:t>
      </w:r>
      <w:r w:rsidR="00CA3F69" w:rsidRPr="00F20C03">
        <w:rPr>
          <w:sz w:val="24"/>
          <w:szCs w:val="24"/>
        </w:rPr>
        <w:t xml:space="preserve">  Any other administrative </w:t>
      </w:r>
      <w:r w:rsidR="009A2BDB" w:rsidRPr="00F20C03">
        <w:rPr>
          <w:sz w:val="24"/>
          <w:szCs w:val="24"/>
        </w:rPr>
        <w:t>amendments</w:t>
      </w:r>
      <w:r w:rsidR="00CA3F69" w:rsidRPr="00F20C03">
        <w:rPr>
          <w:sz w:val="24"/>
          <w:szCs w:val="24"/>
        </w:rPr>
        <w:t xml:space="preserve"> to Form U-4 </w:t>
      </w:r>
      <w:r w:rsidR="00AC232B" w:rsidRPr="00F20C03">
        <w:rPr>
          <w:sz w:val="24"/>
          <w:szCs w:val="24"/>
        </w:rPr>
        <w:t>(</w:t>
      </w:r>
      <w:r w:rsidR="00AC232B" w:rsidRPr="00F20C03">
        <w:rPr>
          <w:rStyle w:val="us"/>
          <w:sz w:val="24"/>
          <w:szCs w:val="24"/>
        </w:rPr>
        <w:t xml:space="preserve">such items as the addition of state or self-regulatory organization registrations, exam scheduling, and updates to residential, business and personal </w:t>
      </w:r>
      <w:r w:rsidR="00AC232B" w:rsidRPr="00F20C03">
        <w:rPr>
          <w:rStyle w:val="us"/>
          <w:sz w:val="24"/>
          <w:szCs w:val="24"/>
        </w:rPr>
        <w:lastRenderedPageBreak/>
        <w:t xml:space="preserve">history) </w:t>
      </w:r>
      <w:r w:rsidR="00CA3F69" w:rsidRPr="00F20C03">
        <w:rPr>
          <w:sz w:val="24"/>
          <w:szCs w:val="24"/>
        </w:rPr>
        <w:t xml:space="preserve">do not require a manual signature but Company will forward any copy of </w:t>
      </w:r>
      <w:r w:rsidR="00AC232B" w:rsidRPr="00F20C03">
        <w:rPr>
          <w:sz w:val="24"/>
          <w:szCs w:val="24"/>
        </w:rPr>
        <w:t>such</w:t>
      </w:r>
      <w:r w:rsidR="00CA3F69" w:rsidRPr="00F20C03">
        <w:rPr>
          <w:sz w:val="24"/>
          <w:szCs w:val="24"/>
        </w:rPr>
        <w:t xml:space="preserve"> change to applicable persons per their request.</w:t>
      </w:r>
      <w:r w:rsidR="00511E93" w:rsidRPr="00F20C03">
        <w:rPr>
          <w:sz w:val="24"/>
          <w:szCs w:val="24"/>
        </w:rPr>
        <w:t xml:space="preserve">  If for some reason, Company cannot obtain person’s manual signature due to </w:t>
      </w:r>
      <w:r w:rsidR="00511E93" w:rsidRPr="00F20C03">
        <w:rPr>
          <w:rStyle w:val="us"/>
          <w:sz w:val="24"/>
          <w:szCs w:val="24"/>
        </w:rPr>
        <w:t xml:space="preserve">the Associated Person’s refusal to acknowledge such information, is on active military service or otherwise is unavailable during the period provided for filing of such amendments under </w:t>
      </w:r>
      <w:hyperlink r:id="rId84" w:tgtFrame="_blank" w:history="1">
        <w:r w:rsidR="00511E93" w:rsidRPr="00F20C03">
          <w:rPr>
            <w:rStyle w:val="Hyperlink"/>
            <w:color w:val="auto"/>
            <w:sz w:val="24"/>
            <w:szCs w:val="24"/>
          </w:rPr>
          <w:t>Article V</w:t>
        </w:r>
      </w:hyperlink>
      <w:r w:rsidR="00511E93" w:rsidRPr="00F20C03">
        <w:rPr>
          <w:rStyle w:val="us"/>
          <w:sz w:val="24"/>
          <w:szCs w:val="24"/>
        </w:rPr>
        <w:t xml:space="preserve"> of the FINRA By-Laws), Company shall enter "Representative Refused to Sign/Acknowledge" or "Representative Not Available" or a substantially similar entry in the electronic Form U4 field for the Associated Person's signature.</w:t>
      </w:r>
    </w:p>
    <w:p w14:paraId="0D3D7DA3" w14:textId="77777777" w:rsidR="00A36F7D" w:rsidRPr="00F20C03" w:rsidRDefault="00A36F7D" w:rsidP="002D7AE4">
      <w:pPr>
        <w:ind w:left="360"/>
        <w:rPr>
          <w:rStyle w:val="us"/>
          <w:sz w:val="24"/>
          <w:szCs w:val="24"/>
        </w:rPr>
      </w:pPr>
    </w:p>
    <w:p w14:paraId="0B099DED" w14:textId="77777777" w:rsidR="00A36F7D" w:rsidRPr="00E7677C" w:rsidRDefault="00206B8E" w:rsidP="001A587F">
      <w:pPr>
        <w:pStyle w:val="Heading4"/>
        <w:rPr>
          <w:rStyle w:val="us"/>
        </w:rPr>
      </w:pPr>
      <w:r w:rsidRPr="00E7677C">
        <w:rPr>
          <w:rStyle w:val="us"/>
        </w:rPr>
        <w:t xml:space="preserve">10.6.1.1 </w:t>
      </w:r>
      <w:r w:rsidR="00A36F7D" w:rsidRPr="00E7677C">
        <w:rPr>
          <w:rStyle w:val="us"/>
        </w:rPr>
        <w:t>FINRA Rule 2263-Form U-4 Arbitration Disclosure</w:t>
      </w:r>
    </w:p>
    <w:p w14:paraId="0AFC3A0F" w14:textId="77777777" w:rsidR="00A36F7D" w:rsidRDefault="00A36F7D" w:rsidP="002D7AE4">
      <w:pPr>
        <w:tabs>
          <w:tab w:val="left" w:pos="270"/>
        </w:tabs>
        <w:ind w:left="720"/>
        <w:rPr>
          <w:rStyle w:val="us"/>
          <w:sz w:val="24"/>
          <w:szCs w:val="24"/>
        </w:rPr>
      </w:pPr>
      <w:r w:rsidRPr="00F20C03">
        <w:rPr>
          <w:rStyle w:val="us"/>
          <w:sz w:val="24"/>
          <w:szCs w:val="24"/>
        </w:rPr>
        <w:t>When Associated Persons file an initial or transfer Form U-4 that requires a manual signature, Company will provide the Arbitration Disclosure as mandated by Rule 2263 pertaining to the predispute arbitration clause to applicable Associated Person before they sign the Form U-4.</w:t>
      </w:r>
    </w:p>
    <w:p w14:paraId="094C0454" w14:textId="77777777" w:rsidR="00206B8E" w:rsidRDefault="00206B8E" w:rsidP="002D7AE4">
      <w:pPr>
        <w:tabs>
          <w:tab w:val="left" w:pos="270"/>
        </w:tabs>
        <w:ind w:left="720"/>
        <w:rPr>
          <w:rStyle w:val="us"/>
          <w:sz w:val="24"/>
          <w:szCs w:val="24"/>
        </w:rPr>
      </w:pPr>
    </w:p>
    <w:p w14:paraId="444ECACE" w14:textId="1BA89F91" w:rsidR="00206B8E" w:rsidRDefault="00206B8E" w:rsidP="001A587F">
      <w:pPr>
        <w:pStyle w:val="Heading4"/>
      </w:pPr>
      <w:r w:rsidRPr="00206B8E">
        <w:t xml:space="preserve">10.6.1.2 Employee Obligation </w:t>
      </w:r>
      <w:r w:rsidR="00C958EA" w:rsidRPr="00206B8E">
        <w:t>to</w:t>
      </w:r>
      <w:r w:rsidRPr="00206B8E">
        <w:t xml:space="preserve"> Notify </w:t>
      </w:r>
      <w:r w:rsidR="00D43D24">
        <w:t>t</w:t>
      </w:r>
      <w:r w:rsidRPr="00206B8E">
        <w:t xml:space="preserve">he </w:t>
      </w:r>
      <w:r w:rsidR="00AD230F">
        <w:t>Company a</w:t>
      </w:r>
      <w:r w:rsidRPr="00206B8E">
        <w:t xml:space="preserve">nd The </w:t>
      </w:r>
      <w:r w:rsidR="00AD230F">
        <w:t>Co</w:t>
      </w:r>
      <w:r w:rsidRPr="00206B8E">
        <w:t>m</w:t>
      </w:r>
      <w:r w:rsidR="00AD230F">
        <w:t>pany</w:t>
      </w:r>
      <w:r w:rsidRPr="00206B8E">
        <w:t xml:space="preserve">'s Obligation </w:t>
      </w:r>
      <w:r w:rsidR="00D43D24">
        <w:t>t</w:t>
      </w:r>
      <w:r w:rsidRPr="00206B8E">
        <w:t>o Report</w:t>
      </w:r>
    </w:p>
    <w:p w14:paraId="1DC714D5" w14:textId="750213E6" w:rsidR="00206B8E" w:rsidRPr="00B079F1" w:rsidRDefault="00206B8E" w:rsidP="002D7AE4">
      <w:pPr>
        <w:shd w:val="clear" w:color="auto" w:fill="FFFFFF"/>
        <w:ind w:left="720"/>
        <w:rPr>
          <w:b/>
          <w:bCs/>
          <w:spacing w:val="8"/>
          <w:sz w:val="24"/>
          <w:szCs w:val="24"/>
        </w:rPr>
      </w:pPr>
      <w:r w:rsidRPr="00B079F1">
        <w:rPr>
          <w:spacing w:val="8"/>
          <w:sz w:val="24"/>
          <w:szCs w:val="24"/>
        </w:rPr>
        <w:t xml:space="preserve">Company shall report certain events and update Forms U4 and U5 when </w:t>
      </w:r>
      <w:r w:rsidR="00D43D24" w:rsidRPr="00B079F1">
        <w:rPr>
          <w:spacing w:val="8"/>
          <w:sz w:val="24"/>
          <w:szCs w:val="24"/>
        </w:rPr>
        <w:t>previously filed</w:t>
      </w:r>
      <w:r w:rsidRPr="00B079F1">
        <w:rPr>
          <w:spacing w:val="8"/>
          <w:sz w:val="24"/>
          <w:szCs w:val="24"/>
        </w:rPr>
        <w:t xml:space="preserve"> information changes. </w:t>
      </w:r>
      <w:r w:rsidRPr="00B079F1">
        <w:rPr>
          <w:b/>
          <w:bCs/>
          <w:spacing w:val="8"/>
          <w:sz w:val="24"/>
          <w:szCs w:val="24"/>
        </w:rPr>
        <w:t xml:space="preserve">Employees are obligated to notify Compliance if there are changes to Form U4 responses and report other information required by rule or by </w:t>
      </w:r>
      <w:r w:rsidR="002D5102" w:rsidRPr="00B079F1">
        <w:rPr>
          <w:b/>
          <w:bCs/>
          <w:spacing w:val="8"/>
          <w:sz w:val="24"/>
          <w:szCs w:val="24"/>
        </w:rPr>
        <w:t>Company</w:t>
      </w:r>
      <w:r w:rsidRPr="00B079F1">
        <w:rPr>
          <w:b/>
          <w:bCs/>
          <w:spacing w:val="8"/>
          <w:sz w:val="24"/>
          <w:szCs w:val="24"/>
        </w:rPr>
        <w:t>.</w:t>
      </w:r>
    </w:p>
    <w:p w14:paraId="7976FA9B" w14:textId="77777777" w:rsidR="00B079F1" w:rsidRPr="00B079F1" w:rsidRDefault="00B079F1" w:rsidP="002D7AE4">
      <w:pPr>
        <w:shd w:val="clear" w:color="auto" w:fill="FFFFFF"/>
        <w:ind w:left="720"/>
        <w:rPr>
          <w:spacing w:val="8"/>
          <w:sz w:val="24"/>
          <w:szCs w:val="24"/>
        </w:rPr>
      </w:pPr>
    </w:p>
    <w:p w14:paraId="6478F43B" w14:textId="77777777" w:rsidR="00206B8E" w:rsidRPr="00B079F1" w:rsidRDefault="00206B8E" w:rsidP="002D7AE4">
      <w:pPr>
        <w:shd w:val="clear" w:color="auto" w:fill="FFFFFF"/>
        <w:ind w:left="720"/>
        <w:rPr>
          <w:spacing w:val="8"/>
          <w:sz w:val="24"/>
          <w:szCs w:val="24"/>
        </w:rPr>
      </w:pPr>
      <w:r w:rsidRPr="00B079F1">
        <w:rPr>
          <w:spacing w:val="8"/>
          <w:sz w:val="24"/>
          <w:szCs w:val="24"/>
        </w:rPr>
        <w:t>The following is an excerpt from FINRA Rule 4530 that outlines events that require reporting:</w:t>
      </w:r>
    </w:p>
    <w:p w14:paraId="0F3E793E" w14:textId="77777777" w:rsidR="00206B8E" w:rsidRPr="00B079F1" w:rsidRDefault="00206B8E" w:rsidP="003E7B18">
      <w:pPr>
        <w:numPr>
          <w:ilvl w:val="0"/>
          <w:numId w:val="176"/>
        </w:numPr>
        <w:shd w:val="clear" w:color="auto" w:fill="FFFFFF"/>
        <w:tabs>
          <w:tab w:val="clear" w:pos="720"/>
          <w:tab w:val="num" w:pos="1260"/>
        </w:tabs>
        <w:spacing w:before="100" w:beforeAutospacing="1" w:after="100" w:afterAutospacing="1" w:line="200" w:lineRule="atLeast"/>
        <w:ind w:left="1260" w:hanging="180"/>
        <w:rPr>
          <w:spacing w:val="8"/>
          <w:sz w:val="24"/>
          <w:szCs w:val="24"/>
        </w:rPr>
      </w:pPr>
      <w:r w:rsidRPr="00B079F1">
        <w:rPr>
          <w:spacing w:val="8"/>
          <w:sz w:val="24"/>
          <w:szCs w:val="24"/>
        </w:rPr>
        <w:t xml:space="preserve">The member or an associated person of the member: </w:t>
      </w:r>
    </w:p>
    <w:p w14:paraId="6ABDF206" w14:textId="52689701" w:rsidR="00206B8E" w:rsidRPr="00B079F1" w:rsidRDefault="00206B8E" w:rsidP="003E7B18">
      <w:pPr>
        <w:numPr>
          <w:ilvl w:val="0"/>
          <w:numId w:val="178"/>
        </w:numPr>
        <w:shd w:val="clear" w:color="auto" w:fill="FFFFFF"/>
        <w:spacing w:before="100" w:beforeAutospacing="1" w:after="100" w:afterAutospacing="1" w:line="200" w:lineRule="atLeast"/>
        <w:ind w:left="1710" w:hanging="270"/>
        <w:rPr>
          <w:spacing w:val="8"/>
          <w:sz w:val="24"/>
          <w:szCs w:val="24"/>
        </w:rPr>
      </w:pPr>
      <w:r w:rsidRPr="00B079F1">
        <w:rPr>
          <w:spacing w:val="8"/>
          <w:sz w:val="24"/>
          <w:szCs w:val="24"/>
        </w:rPr>
        <w:t xml:space="preserve">has been found to have violated any securities-, insurance-, commodities-, financial- or investment-related laws, rules, </w:t>
      </w:r>
      <w:r w:rsidR="00D43D24" w:rsidRPr="00B079F1">
        <w:rPr>
          <w:spacing w:val="8"/>
          <w:sz w:val="24"/>
          <w:szCs w:val="24"/>
        </w:rPr>
        <w:t>regulations,</w:t>
      </w:r>
      <w:r w:rsidRPr="00B079F1">
        <w:rPr>
          <w:spacing w:val="8"/>
          <w:sz w:val="24"/>
          <w:szCs w:val="24"/>
        </w:rPr>
        <w:t xml:space="preserve"> or standards of conduct of any domestic or foreign regulatory body, self-regulatory organization or business or professional organization; </w:t>
      </w:r>
    </w:p>
    <w:p w14:paraId="13FABA5B" w14:textId="77777777" w:rsidR="00206B8E" w:rsidRPr="00B079F1" w:rsidRDefault="00206B8E" w:rsidP="003E7B18">
      <w:pPr>
        <w:numPr>
          <w:ilvl w:val="0"/>
          <w:numId w:val="178"/>
        </w:numPr>
        <w:shd w:val="clear" w:color="auto" w:fill="FFFFFF"/>
        <w:spacing w:before="100" w:beforeAutospacing="1" w:after="100" w:afterAutospacing="1" w:line="200" w:lineRule="atLeast"/>
        <w:ind w:left="1710" w:hanging="270"/>
        <w:rPr>
          <w:spacing w:val="8"/>
          <w:sz w:val="24"/>
          <w:szCs w:val="24"/>
        </w:rPr>
      </w:pPr>
      <w:r w:rsidRPr="00B079F1">
        <w:rPr>
          <w:spacing w:val="8"/>
          <w:sz w:val="24"/>
          <w:szCs w:val="24"/>
        </w:rPr>
        <w:t xml:space="preserve">is the subject of any written customer complaint involving allegations of theft or misappropriation of funds or securities or of forgery; </w:t>
      </w:r>
    </w:p>
    <w:p w14:paraId="14CBF74C" w14:textId="77777777" w:rsidR="00206B8E" w:rsidRPr="00B079F1" w:rsidRDefault="00206B8E" w:rsidP="003E7B18">
      <w:pPr>
        <w:numPr>
          <w:ilvl w:val="0"/>
          <w:numId w:val="178"/>
        </w:numPr>
        <w:shd w:val="clear" w:color="auto" w:fill="FFFFFF"/>
        <w:spacing w:before="100" w:beforeAutospacing="1" w:after="100" w:afterAutospacing="1" w:line="200" w:lineRule="atLeast"/>
        <w:ind w:left="1710" w:hanging="270"/>
        <w:rPr>
          <w:spacing w:val="8"/>
          <w:sz w:val="24"/>
          <w:szCs w:val="24"/>
        </w:rPr>
      </w:pPr>
      <w:r w:rsidRPr="00B079F1">
        <w:rPr>
          <w:spacing w:val="8"/>
          <w:sz w:val="24"/>
          <w:szCs w:val="24"/>
        </w:rPr>
        <w:t xml:space="preserve">is named as a defendant or respondent in any proceeding brought by a domestic or foreign regulatory body or self-regulatory organization alleging the violation of any provision of the Exchange Act, or of any other federal, state or foreign securities, insurance or commodities statute, or of any rule or regulation thereunder, or of any provision of the by-laws, rules or similar governing instruments of any securities, insurance or commodities domestic or foreign regulatory body or self-regulatory organization; </w:t>
      </w:r>
    </w:p>
    <w:p w14:paraId="6FDAE7F6" w14:textId="77777777" w:rsidR="00206B8E" w:rsidRPr="00B079F1" w:rsidRDefault="00206B8E" w:rsidP="003E7B18">
      <w:pPr>
        <w:numPr>
          <w:ilvl w:val="0"/>
          <w:numId w:val="178"/>
        </w:numPr>
        <w:shd w:val="clear" w:color="auto" w:fill="FFFFFF"/>
        <w:spacing w:before="100" w:beforeAutospacing="1" w:after="100" w:afterAutospacing="1" w:line="200" w:lineRule="atLeast"/>
        <w:ind w:left="1710" w:hanging="270"/>
        <w:rPr>
          <w:spacing w:val="8"/>
          <w:sz w:val="24"/>
          <w:szCs w:val="24"/>
        </w:rPr>
      </w:pPr>
      <w:r w:rsidRPr="00B079F1">
        <w:rPr>
          <w:spacing w:val="8"/>
          <w:sz w:val="24"/>
          <w:szCs w:val="24"/>
        </w:rPr>
        <w:t xml:space="preserve">is denied registration or is expelled, enjoined, directed to cease and desist, suspended or otherwise disciplined by any securities, insurance or commodities industry domestic or foreign regulatory body or self-regulatory organization or is denied membership or continued membership in any such self-regulatory organization; or is barred from becoming associated with any member of any such self-regulatory organization; </w:t>
      </w:r>
    </w:p>
    <w:p w14:paraId="3C01C1E7" w14:textId="77777777" w:rsidR="00206B8E" w:rsidRPr="00B079F1" w:rsidRDefault="00206B8E" w:rsidP="003E7B18">
      <w:pPr>
        <w:numPr>
          <w:ilvl w:val="0"/>
          <w:numId w:val="178"/>
        </w:numPr>
        <w:shd w:val="clear" w:color="auto" w:fill="FFFFFF"/>
        <w:spacing w:before="100" w:beforeAutospacing="1" w:after="100" w:afterAutospacing="1" w:line="200" w:lineRule="atLeast"/>
        <w:ind w:left="1710" w:hanging="270"/>
        <w:rPr>
          <w:spacing w:val="8"/>
          <w:sz w:val="24"/>
          <w:szCs w:val="24"/>
        </w:rPr>
      </w:pPr>
      <w:r w:rsidRPr="00B079F1">
        <w:rPr>
          <w:spacing w:val="8"/>
          <w:sz w:val="24"/>
          <w:szCs w:val="24"/>
        </w:rPr>
        <w:lastRenderedPageBreak/>
        <w:t xml:space="preserve">is indicted, or convicted of, or pleads guilty to, or pleads no contest to, any felony; or any misdemeanor that involves the purchase or sale of any security, the taking of a false oath, the making of a false report, bribery, perjury, burglary, larceny, theft, robbery, extortion, forgery, counterfeiting, fraudulent concealment, embezzlement, fraudulent conversion, or misappropriation of funds, or securities, or a conspiracy to commit any of these offenses, or substantially equivalent activity in a domestic, military or foreign court; </w:t>
      </w:r>
    </w:p>
    <w:p w14:paraId="2A78865F" w14:textId="77777777" w:rsidR="00206B8E" w:rsidRPr="00B079F1" w:rsidRDefault="00206B8E" w:rsidP="003E7B18">
      <w:pPr>
        <w:numPr>
          <w:ilvl w:val="0"/>
          <w:numId w:val="178"/>
        </w:numPr>
        <w:shd w:val="clear" w:color="auto" w:fill="FFFFFF"/>
        <w:spacing w:before="100" w:beforeAutospacing="1" w:after="100" w:afterAutospacing="1" w:line="200" w:lineRule="atLeast"/>
        <w:ind w:left="1710" w:hanging="270"/>
        <w:rPr>
          <w:spacing w:val="8"/>
          <w:sz w:val="24"/>
          <w:szCs w:val="24"/>
        </w:rPr>
      </w:pPr>
      <w:r w:rsidRPr="00B079F1">
        <w:rPr>
          <w:spacing w:val="8"/>
          <w:sz w:val="24"/>
          <w:szCs w:val="24"/>
        </w:rPr>
        <w:t xml:space="preserve">is a director, controlling stockholder, partner, officer or sole proprietor of, or an associated person with, a broker, dealer, investment company, investment advisor, underwriter or insurance company that was suspended, expelled or had its registration denied or revoked by any domestic or foreign regulatory body, jurisdiction or organization or is associated in such a capacity with a bank, trust company or other financial institution that was convicted of or pleaded no contest to, any felony or misdemeanor in a domestic or foreign court; </w:t>
      </w:r>
    </w:p>
    <w:p w14:paraId="6CC7C0FA" w14:textId="77777777" w:rsidR="00206B8E" w:rsidRPr="00B079F1" w:rsidRDefault="00206B8E" w:rsidP="003E7B18">
      <w:pPr>
        <w:numPr>
          <w:ilvl w:val="0"/>
          <w:numId w:val="178"/>
        </w:numPr>
        <w:shd w:val="clear" w:color="auto" w:fill="FFFFFF"/>
        <w:spacing w:before="100" w:beforeAutospacing="1" w:after="100" w:afterAutospacing="1" w:line="200" w:lineRule="atLeast"/>
        <w:ind w:left="1710" w:hanging="270"/>
        <w:rPr>
          <w:spacing w:val="8"/>
          <w:sz w:val="24"/>
          <w:szCs w:val="24"/>
        </w:rPr>
      </w:pPr>
      <w:r w:rsidRPr="00B079F1">
        <w:rPr>
          <w:spacing w:val="8"/>
          <w:sz w:val="24"/>
          <w:szCs w:val="24"/>
        </w:rPr>
        <w:t xml:space="preserve">is a defendant or respondent in any securities- or commodities-related civil litigation or arbitration, is a defendant or respondent in any financial-related insurance civil litigation or arbitration, or is the subject of any claim for damages by a customer, broker or dealer that relates to the provision of financial services or relates to a financial transaction, and such civil litigation, arbitration or claim for damages has been disposed of by judgment, award or settlement for an amount exceeding $15,000. However, when the member is the defendant or respondent or is the subject of any claim for damages by a customer, broker or dealer, then the reporting to FINRA shall be required only when such judgment, award or settlement is for an amount exceeding $25,000; or </w:t>
      </w:r>
    </w:p>
    <w:p w14:paraId="46432830" w14:textId="77777777" w:rsidR="00206B8E" w:rsidRPr="00B079F1" w:rsidRDefault="00206B8E" w:rsidP="003E7B18">
      <w:pPr>
        <w:numPr>
          <w:ilvl w:val="0"/>
          <w:numId w:val="178"/>
        </w:numPr>
        <w:shd w:val="clear" w:color="auto" w:fill="FFFFFF"/>
        <w:spacing w:before="100" w:beforeAutospacing="1" w:after="100" w:afterAutospacing="1" w:line="200" w:lineRule="atLeast"/>
        <w:ind w:left="1710" w:hanging="270"/>
        <w:rPr>
          <w:spacing w:val="8"/>
          <w:sz w:val="24"/>
          <w:szCs w:val="24"/>
        </w:rPr>
      </w:pPr>
      <w:r w:rsidRPr="00B079F1">
        <w:rPr>
          <w:spacing w:val="8"/>
          <w:sz w:val="24"/>
          <w:szCs w:val="24"/>
        </w:rPr>
        <w:t xml:space="preserve">is, or is involved in the sale of any financial instrument, the provision of any investment advice or the financing of any such activities with any person who is, subject to a "statutory disqualification" as that term is defined in the Exchange Act. The report shall include the name of the person subject to the statutory disqualification and details concerning the disqualification; or </w:t>
      </w:r>
    </w:p>
    <w:p w14:paraId="19698C89" w14:textId="77777777" w:rsidR="00206B8E" w:rsidRPr="00B079F1" w:rsidRDefault="002D5102" w:rsidP="003E7B18">
      <w:pPr>
        <w:numPr>
          <w:ilvl w:val="0"/>
          <w:numId w:val="176"/>
        </w:numPr>
        <w:shd w:val="clear" w:color="auto" w:fill="FFFFFF"/>
        <w:tabs>
          <w:tab w:val="clear" w:pos="720"/>
          <w:tab w:val="num" w:pos="1440"/>
        </w:tabs>
        <w:spacing w:before="100" w:beforeAutospacing="1" w:after="100" w:afterAutospacing="1" w:line="200" w:lineRule="atLeast"/>
        <w:ind w:left="1440"/>
        <w:rPr>
          <w:spacing w:val="8"/>
          <w:sz w:val="24"/>
          <w:szCs w:val="24"/>
        </w:rPr>
      </w:pPr>
      <w:r w:rsidRPr="00B079F1">
        <w:rPr>
          <w:spacing w:val="8"/>
          <w:sz w:val="24"/>
          <w:szCs w:val="24"/>
        </w:rPr>
        <w:t>A</w:t>
      </w:r>
      <w:r w:rsidR="00206B8E" w:rsidRPr="00B079F1">
        <w:rPr>
          <w:spacing w:val="8"/>
          <w:sz w:val="24"/>
          <w:szCs w:val="24"/>
        </w:rPr>
        <w:t xml:space="preserve">n </w:t>
      </w:r>
      <w:r w:rsidRPr="00B079F1">
        <w:rPr>
          <w:spacing w:val="8"/>
          <w:sz w:val="24"/>
          <w:szCs w:val="24"/>
        </w:rPr>
        <w:t>A</w:t>
      </w:r>
      <w:r w:rsidR="00206B8E" w:rsidRPr="00B079F1">
        <w:rPr>
          <w:spacing w:val="8"/>
          <w:sz w:val="24"/>
          <w:szCs w:val="24"/>
        </w:rPr>
        <w:t xml:space="preserve">ssociated </w:t>
      </w:r>
      <w:r w:rsidRPr="00B079F1">
        <w:rPr>
          <w:spacing w:val="8"/>
          <w:sz w:val="24"/>
          <w:szCs w:val="24"/>
        </w:rPr>
        <w:t>P</w:t>
      </w:r>
      <w:r w:rsidR="00206B8E" w:rsidRPr="00B079F1">
        <w:rPr>
          <w:spacing w:val="8"/>
          <w:sz w:val="24"/>
          <w:szCs w:val="24"/>
        </w:rPr>
        <w:t xml:space="preserve">erson of the </w:t>
      </w:r>
      <w:r w:rsidRPr="00B079F1">
        <w:rPr>
          <w:spacing w:val="8"/>
          <w:sz w:val="24"/>
          <w:szCs w:val="24"/>
        </w:rPr>
        <w:t>Company</w:t>
      </w:r>
      <w:r w:rsidR="00206B8E" w:rsidRPr="00B079F1">
        <w:rPr>
          <w:spacing w:val="8"/>
          <w:sz w:val="24"/>
          <w:szCs w:val="24"/>
        </w:rPr>
        <w:t xml:space="preserve"> is the subject of any disciplinary action taken by the </w:t>
      </w:r>
      <w:r w:rsidRPr="00B079F1">
        <w:rPr>
          <w:spacing w:val="8"/>
          <w:sz w:val="24"/>
          <w:szCs w:val="24"/>
        </w:rPr>
        <w:t>Company</w:t>
      </w:r>
      <w:r w:rsidR="00206B8E" w:rsidRPr="00B079F1">
        <w:rPr>
          <w:spacing w:val="8"/>
          <w:sz w:val="24"/>
          <w:szCs w:val="24"/>
        </w:rPr>
        <w:t xml:space="preserve"> involving suspension, termination, the withholding of compensation or of any other remuneration in excess of $2,500, the imposition of fines in excess of $2,500 or is otherwise disciplined in any manner that would have a significant limitation on the individual's activities on a temporary or permanent basis.</w:t>
      </w:r>
    </w:p>
    <w:p w14:paraId="0141281C" w14:textId="77777777" w:rsidR="00206B8E" w:rsidRPr="00B079F1" w:rsidRDefault="00206B8E" w:rsidP="002D7AE4">
      <w:pPr>
        <w:shd w:val="clear" w:color="auto" w:fill="FFFFFF"/>
        <w:spacing w:before="13" w:after="100" w:afterAutospacing="1" w:line="200" w:lineRule="atLeast"/>
        <w:ind w:left="720"/>
        <w:rPr>
          <w:rFonts w:ascii="Tahoma" w:hAnsi="Tahoma" w:cs="Tahoma"/>
          <w:spacing w:val="8"/>
          <w:sz w:val="15"/>
          <w:szCs w:val="15"/>
        </w:rPr>
      </w:pPr>
      <w:r w:rsidRPr="00B079F1">
        <w:rPr>
          <w:spacing w:val="8"/>
          <w:sz w:val="24"/>
          <w:szCs w:val="24"/>
        </w:rPr>
        <w:t>In addition, employees are required to promptly report any of the following to Compliance</w:t>
      </w:r>
      <w:r w:rsidRPr="00B079F1">
        <w:rPr>
          <w:rFonts w:ascii="Tahoma" w:hAnsi="Tahoma" w:cs="Tahoma"/>
          <w:spacing w:val="8"/>
          <w:sz w:val="15"/>
          <w:szCs w:val="15"/>
        </w:rPr>
        <w:t>:</w:t>
      </w:r>
    </w:p>
    <w:p w14:paraId="3BAC6076" w14:textId="77777777" w:rsidR="00206B8E" w:rsidRPr="00B079F1" w:rsidRDefault="00206B8E" w:rsidP="003E7B18">
      <w:pPr>
        <w:numPr>
          <w:ilvl w:val="0"/>
          <w:numId w:val="177"/>
        </w:numPr>
        <w:shd w:val="clear" w:color="auto" w:fill="FFFFFF"/>
        <w:tabs>
          <w:tab w:val="clear" w:pos="720"/>
          <w:tab w:val="num" w:pos="1710"/>
        </w:tabs>
        <w:spacing w:before="100" w:beforeAutospacing="1" w:after="100" w:afterAutospacing="1" w:line="200" w:lineRule="atLeast"/>
        <w:ind w:left="1710" w:hanging="270"/>
        <w:rPr>
          <w:spacing w:val="8"/>
          <w:sz w:val="24"/>
          <w:szCs w:val="24"/>
        </w:rPr>
      </w:pPr>
      <w:r w:rsidRPr="00B079F1">
        <w:rPr>
          <w:spacing w:val="8"/>
          <w:sz w:val="24"/>
          <w:szCs w:val="24"/>
        </w:rPr>
        <w:t xml:space="preserve">A temporary or permanent injunction issued by any court and involving securities, commodities, insurance, or banking matters </w:t>
      </w:r>
    </w:p>
    <w:p w14:paraId="5EFD61BD" w14:textId="77777777" w:rsidR="00206B8E" w:rsidRPr="00B079F1" w:rsidRDefault="00206B8E" w:rsidP="003E7B18">
      <w:pPr>
        <w:numPr>
          <w:ilvl w:val="0"/>
          <w:numId w:val="177"/>
        </w:numPr>
        <w:shd w:val="clear" w:color="auto" w:fill="FFFFFF"/>
        <w:tabs>
          <w:tab w:val="clear" w:pos="720"/>
          <w:tab w:val="num" w:pos="1710"/>
        </w:tabs>
        <w:spacing w:before="100" w:beforeAutospacing="1" w:after="100" w:afterAutospacing="1" w:line="200" w:lineRule="atLeast"/>
        <w:ind w:left="1710" w:hanging="270"/>
        <w:rPr>
          <w:spacing w:val="8"/>
          <w:sz w:val="24"/>
          <w:szCs w:val="24"/>
        </w:rPr>
      </w:pPr>
      <w:r w:rsidRPr="00B079F1">
        <w:rPr>
          <w:spacing w:val="8"/>
          <w:sz w:val="24"/>
          <w:szCs w:val="24"/>
        </w:rPr>
        <w:t xml:space="preserve">Any customer complaint (securities or commodities) including a written complaint, civil litigation, or arbitration </w:t>
      </w:r>
    </w:p>
    <w:p w14:paraId="399B70EB" w14:textId="77777777" w:rsidR="00206B8E" w:rsidRPr="00B079F1" w:rsidRDefault="00206B8E" w:rsidP="003E7B18">
      <w:pPr>
        <w:numPr>
          <w:ilvl w:val="0"/>
          <w:numId w:val="177"/>
        </w:numPr>
        <w:shd w:val="clear" w:color="auto" w:fill="FFFFFF"/>
        <w:tabs>
          <w:tab w:val="clear" w:pos="720"/>
          <w:tab w:val="num" w:pos="1710"/>
        </w:tabs>
        <w:spacing w:before="100" w:beforeAutospacing="1" w:after="100" w:afterAutospacing="1" w:line="200" w:lineRule="atLeast"/>
        <w:ind w:left="1710" w:hanging="270"/>
        <w:rPr>
          <w:spacing w:val="8"/>
          <w:sz w:val="24"/>
          <w:szCs w:val="24"/>
        </w:rPr>
      </w:pPr>
      <w:r w:rsidRPr="00B079F1">
        <w:rPr>
          <w:spacing w:val="8"/>
          <w:sz w:val="24"/>
          <w:szCs w:val="24"/>
        </w:rPr>
        <w:lastRenderedPageBreak/>
        <w:t xml:space="preserve">An arrest, indictment, arraignment, conviction, pleading guilty or no contest to any felony or misdemeanor (other than misdemeanor traffic offenses) </w:t>
      </w:r>
    </w:p>
    <w:p w14:paraId="1B47B85F" w14:textId="77777777" w:rsidR="00206B8E" w:rsidRPr="00B079F1" w:rsidRDefault="00206B8E" w:rsidP="003E7B18">
      <w:pPr>
        <w:numPr>
          <w:ilvl w:val="0"/>
          <w:numId w:val="177"/>
        </w:numPr>
        <w:shd w:val="clear" w:color="auto" w:fill="FFFFFF"/>
        <w:tabs>
          <w:tab w:val="clear" w:pos="720"/>
          <w:tab w:val="num" w:pos="1710"/>
        </w:tabs>
        <w:spacing w:before="100" w:beforeAutospacing="1" w:after="100" w:afterAutospacing="1" w:line="200" w:lineRule="atLeast"/>
        <w:ind w:left="1710" w:hanging="270"/>
        <w:rPr>
          <w:spacing w:val="8"/>
          <w:sz w:val="24"/>
          <w:szCs w:val="24"/>
        </w:rPr>
      </w:pPr>
      <w:r w:rsidRPr="00B079F1">
        <w:rPr>
          <w:spacing w:val="8"/>
          <w:sz w:val="24"/>
          <w:szCs w:val="24"/>
        </w:rPr>
        <w:t>A bankruptcy proceeding or unsatisfied liens or judgments</w:t>
      </w:r>
      <w:r w:rsidR="005714CF" w:rsidRPr="00B079F1">
        <w:rPr>
          <w:spacing w:val="8"/>
          <w:sz w:val="24"/>
          <w:szCs w:val="24"/>
        </w:rPr>
        <w:t>.</w:t>
      </w:r>
    </w:p>
    <w:p w14:paraId="2978D58D" w14:textId="77777777" w:rsidR="00206B8E" w:rsidRPr="00206B8E" w:rsidRDefault="00206B8E" w:rsidP="002D7AE4"/>
    <w:p w14:paraId="1BA54F2D" w14:textId="77777777" w:rsidR="001B687D" w:rsidRPr="00F20C03" w:rsidRDefault="00C37BEC" w:rsidP="002D7AE4">
      <w:pPr>
        <w:pStyle w:val="Heading3"/>
        <w:jc w:val="left"/>
      </w:pPr>
      <w:r w:rsidRPr="00F20C03">
        <w:t>10.</w:t>
      </w:r>
      <w:r w:rsidR="00811B75">
        <w:t>6</w:t>
      </w:r>
      <w:r w:rsidRPr="00F20C03">
        <w:t xml:space="preserve">.2 </w:t>
      </w:r>
      <w:r w:rsidR="001B687D" w:rsidRPr="00F20C03">
        <w:t>Fingerprint Cards</w:t>
      </w:r>
    </w:p>
    <w:p w14:paraId="2FDB39BB" w14:textId="77777777" w:rsidR="001B687D" w:rsidRDefault="001B687D" w:rsidP="002D7AE4">
      <w:pPr>
        <w:ind w:left="270"/>
        <w:rPr>
          <w:sz w:val="24"/>
          <w:szCs w:val="24"/>
        </w:rPr>
      </w:pPr>
      <w:r w:rsidRPr="00F20C03">
        <w:rPr>
          <w:sz w:val="24"/>
          <w:szCs w:val="24"/>
        </w:rPr>
        <w:t xml:space="preserve">Company shall promptly submit fingerprint cards </w:t>
      </w:r>
      <w:r w:rsidR="00D43081" w:rsidRPr="00F20C03">
        <w:rPr>
          <w:sz w:val="24"/>
          <w:szCs w:val="24"/>
        </w:rPr>
        <w:t>within 30 days of</w:t>
      </w:r>
      <w:r w:rsidRPr="00F20C03">
        <w:rPr>
          <w:sz w:val="24"/>
          <w:szCs w:val="24"/>
        </w:rPr>
        <w:t xml:space="preserve"> filing an electronic Form U-4 for any person as required.</w:t>
      </w:r>
      <w:r w:rsidR="00D43081" w:rsidRPr="00F20C03">
        <w:rPr>
          <w:sz w:val="24"/>
          <w:szCs w:val="24"/>
        </w:rPr>
        <w:t xml:space="preserve">  No Associated Person may be actively engaged in any securities activities required by registration until such registration is effective and approved.  </w:t>
      </w:r>
    </w:p>
    <w:p w14:paraId="0842803F" w14:textId="77777777" w:rsidR="00207288" w:rsidRDefault="00207288" w:rsidP="002D7AE4">
      <w:pPr>
        <w:ind w:left="270"/>
        <w:rPr>
          <w:sz w:val="24"/>
          <w:szCs w:val="24"/>
        </w:rPr>
      </w:pPr>
    </w:p>
    <w:p w14:paraId="7A3EA509" w14:textId="77777777" w:rsidR="00207288" w:rsidRPr="00F20C03" w:rsidRDefault="00207288" w:rsidP="002D7AE4">
      <w:pPr>
        <w:pStyle w:val="Heading3"/>
        <w:jc w:val="left"/>
      </w:pPr>
      <w:r>
        <w:t>10.</w:t>
      </w:r>
      <w:r w:rsidR="00811B75">
        <w:t>6</w:t>
      </w:r>
      <w:r>
        <w:t>.3 Operations Personnel</w:t>
      </w:r>
    </w:p>
    <w:p w14:paraId="504E344B" w14:textId="77777777" w:rsidR="00BB5EEF" w:rsidRDefault="00207288" w:rsidP="002D7AE4">
      <w:pPr>
        <w:ind w:left="270"/>
        <w:rPr>
          <w:sz w:val="24"/>
          <w:szCs w:val="24"/>
        </w:rPr>
      </w:pPr>
      <w:r w:rsidRPr="00191405">
        <w:rPr>
          <w:sz w:val="24"/>
          <w:szCs w:val="24"/>
        </w:rPr>
        <w:t>Certain operations personnel are considered “covered persons” under FINRA Rule 1230 due to their responsibilities for “covered functions” as defined in the Rule.  These personnel are required to qualify as “Operations Professionals” by completing the Series 99 qualification examination or by qualifying for an exception because of the person’s other registration qualifications.  In gen</w:t>
      </w:r>
      <w:r w:rsidR="00617056">
        <w:rPr>
          <w:sz w:val="24"/>
          <w:szCs w:val="24"/>
        </w:rPr>
        <w:t xml:space="preserve">eral, “Covered Persons: </w:t>
      </w:r>
      <w:r w:rsidRPr="00191405">
        <w:rPr>
          <w:sz w:val="24"/>
          <w:szCs w:val="24"/>
        </w:rPr>
        <w:t>apply to</w:t>
      </w:r>
      <w:r w:rsidR="00BB5EEF">
        <w:rPr>
          <w:sz w:val="24"/>
          <w:szCs w:val="24"/>
        </w:rPr>
        <w:t>:</w:t>
      </w:r>
    </w:p>
    <w:p w14:paraId="6338FBFC" w14:textId="77777777" w:rsidR="00BB5EEF" w:rsidRDefault="00BB5EEF" w:rsidP="002D7AE4">
      <w:pPr>
        <w:ind w:left="270"/>
        <w:rPr>
          <w:sz w:val="24"/>
          <w:szCs w:val="24"/>
        </w:rPr>
      </w:pPr>
    </w:p>
    <w:p w14:paraId="1C27CB1D" w14:textId="77777777" w:rsidR="00BB5EEF" w:rsidRDefault="00BB5EEF" w:rsidP="003E7B18">
      <w:pPr>
        <w:numPr>
          <w:ilvl w:val="0"/>
          <w:numId w:val="174"/>
        </w:numPr>
        <w:ind w:left="900" w:hanging="270"/>
        <w:rPr>
          <w:sz w:val="24"/>
          <w:szCs w:val="24"/>
        </w:rPr>
      </w:pPr>
      <w:r>
        <w:rPr>
          <w:sz w:val="24"/>
          <w:szCs w:val="24"/>
        </w:rPr>
        <w:t>S</w:t>
      </w:r>
      <w:r w:rsidR="00207288" w:rsidRPr="00191405">
        <w:rPr>
          <w:sz w:val="24"/>
          <w:szCs w:val="24"/>
        </w:rPr>
        <w:t xml:space="preserve">enior management responsible for covered functions; </w:t>
      </w:r>
    </w:p>
    <w:p w14:paraId="3DA7E5D6" w14:textId="77777777" w:rsidR="00BB5EEF" w:rsidRDefault="00BB5EEF" w:rsidP="003E7B18">
      <w:pPr>
        <w:numPr>
          <w:ilvl w:val="0"/>
          <w:numId w:val="174"/>
        </w:numPr>
        <w:ind w:left="900" w:hanging="270"/>
        <w:rPr>
          <w:sz w:val="24"/>
          <w:szCs w:val="24"/>
        </w:rPr>
      </w:pPr>
      <w:r>
        <w:rPr>
          <w:sz w:val="24"/>
          <w:szCs w:val="24"/>
        </w:rPr>
        <w:t>P</w:t>
      </w:r>
      <w:r w:rsidR="00207288" w:rsidRPr="00191405">
        <w:rPr>
          <w:sz w:val="24"/>
          <w:szCs w:val="24"/>
        </w:rPr>
        <w:t>erson</w:t>
      </w:r>
      <w:r>
        <w:rPr>
          <w:sz w:val="24"/>
          <w:szCs w:val="24"/>
        </w:rPr>
        <w:t>s</w:t>
      </w:r>
      <w:r w:rsidR="00207288" w:rsidRPr="00191405">
        <w:rPr>
          <w:sz w:val="24"/>
          <w:szCs w:val="24"/>
        </w:rPr>
        <w:t xml:space="preserve"> designated by senior management to supervise, manage, or approve or authorize work relating to the covered functions; and </w:t>
      </w:r>
    </w:p>
    <w:p w14:paraId="6D291576" w14:textId="77777777" w:rsidR="007F4E0F" w:rsidRDefault="00BB5EEF" w:rsidP="003E7B18">
      <w:pPr>
        <w:numPr>
          <w:ilvl w:val="0"/>
          <w:numId w:val="174"/>
        </w:numPr>
        <w:ind w:left="900" w:hanging="270"/>
        <w:rPr>
          <w:sz w:val="24"/>
          <w:szCs w:val="24"/>
        </w:rPr>
      </w:pPr>
      <w:r>
        <w:rPr>
          <w:sz w:val="24"/>
          <w:szCs w:val="24"/>
        </w:rPr>
        <w:t>P</w:t>
      </w:r>
      <w:r w:rsidR="00207288" w:rsidRPr="00191405">
        <w:rPr>
          <w:sz w:val="24"/>
          <w:szCs w:val="24"/>
        </w:rPr>
        <w:t xml:space="preserve">ersons with authority or discretion to materially commit the Company’s capital relating to covered functions.  </w:t>
      </w:r>
      <w:r w:rsidR="00222EFF" w:rsidRPr="00191405">
        <w:rPr>
          <w:sz w:val="24"/>
          <w:szCs w:val="24"/>
        </w:rPr>
        <w:t>The Rule shall b</w:t>
      </w:r>
      <w:r w:rsidR="00617056">
        <w:rPr>
          <w:sz w:val="24"/>
          <w:szCs w:val="24"/>
        </w:rPr>
        <w:t>e consulted for definitions of Covered Persons and C</w:t>
      </w:r>
      <w:r w:rsidR="00222EFF" w:rsidRPr="00191405">
        <w:rPr>
          <w:sz w:val="24"/>
          <w:szCs w:val="24"/>
        </w:rPr>
        <w:t xml:space="preserve">overed </w:t>
      </w:r>
      <w:r w:rsidR="00617056">
        <w:rPr>
          <w:sz w:val="24"/>
          <w:szCs w:val="24"/>
        </w:rPr>
        <w:t>F</w:t>
      </w:r>
      <w:r w:rsidR="00222EFF" w:rsidRPr="00191405">
        <w:rPr>
          <w:sz w:val="24"/>
          <w:szCs w:val="24"/>
        </w:rPr>
        <w:t>unctions.</w:t>
      </w:r>
    </w:p>
    <w:p w14:paraId="5C293E16" w14:textId="77777777" w:rsidR="00BB5EEF" w:rsidRDefault="00BB5EEF" w:rsidP="002D7AE4">
      <w:pPr>
        <w:ind w:left="180"/>
        <w:rPr>
          <w:sz w:val="24"/>
          <w:szCs w:val="24"/>
        </w:rPr>
      </w:pPr>
    </w:p>
    <w:p w14:paraId="353FB353" w14:textId="77777777" w:rsidR="00BB5EEF" w:rsidRPr="00B079F1" w:rsidRDefault="00BB5EEF" w:rsidP="002D7AE4">
      <w:pPr>
        <w:ind w:left="270"/>
        <w:rPr>
          <w:sz w:val="24"/>
          <w:szCs w:val="24"/>
        </w:rPr>
      </w:pPr>
      <w:r w:rsidRPr="00B079F1">
        <w:rPr>
          <w:sz w:val="24"/>
          <w:szCs w:val="24"/>
        </w:rPr>
        <w:t xml:space="preserve">“Covered </w:t>
      </w:r>
      <w:r w:rsidR="00617056" w:rsidRPr="00B079F1">
        <w:rPr>
          <w:sz w:val="24"/>
          <w:szCs w:val="24"/>
        </w:rPr>
        <w:t>F</w:t>
      </w:r>
      <w:r w:rsidRPr="00B079F1">
        <w:rPr>
          <w:sz w:val="24"/>
          <w:szCs w:val="24"/>
        </w:rPr>
        <w:t>unctions” include:</w:t>
      </w:r>
    </w:p>
    <w:p w14:paraId="67CF4F1E" w14:textId="77777777" w:rsidR="00BB5EEF" w:rsidRPr="00B079F1" w:rsidRDefault="00BB5EEF" w:rsidP="002D7AE4">
      <w:pPr>
        <w:ind w:left="180"/>
        <w:rPr>
          <w:sz w:val="24"/>
          <w:szCs w:val="24"/>
        </w:rPr>
      </w:pPr>
    </w:p>
    <w:p w14:paraId="171B152E"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Client on-boarding (customer account data and document maintenance); </w:t>
      </w:r>
    </w:p>
    <w:p w14:paraId="0508530A"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Collection, maintenance, re-investment (</w:t>
      </w:r>
      <w:r w:rsidRPr="00B079F1">
        <w:rPr>
          <w:i/>
          <w:iCs/>
          <w:sz w:val="24"/>
          <w:szCs w:val="24"/>
        </w:rPr>
        <w:t>i.e.</w:t>
      </w:r>
      <w:r w:rsidRPr="00B079F1">
        <w:rPr>
          <w:sz w:val="24"/>
          <w:szCs w:val="24"/>
        </w:rPr>
        <w:t xml:space="preserve">, sweeps) and disbursement of funds;  </w:t>
      </w:r>
    </w:p>
    <w:p w14:paraId="2B666B7E"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Receipt and delivery of securities and funds, account transfers; </w:t>
      </w:r>
    </w:p>
    <w:p w14:paraId="133697D8"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Bank, custody, depository and firm account management and reconciliation; </w:t>
      </w:r>
    </w:p>
    <w:p w14:paraId="306BEF7E"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Settlement, fail control, buy ins, segregation, possession and control; </w:t>
      </w:r>
    </w:p>
    <w:p w14:paraId="37CF8D31"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Trade confirmation and account statements; </w:t>
      </w:r>
    </w:p>
    <w:p w14:paraId="3068512A"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Margin; </w:t>
      </w:r>
    </w:p>
    <w:p w14:paraId="2CFE9339"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Stock loan/securities lending; </w:t>
      </w:r>
    </w:p>
    <w:p w14:paraId="3D62B8D1"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Prime brokerage (services to other broker-dealers and financial institutions); </w:t>
      </w:r>
    </w:p>
    <w:p w14:paraId="0F58EBDE"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Approval of pricing models used for valuations; </w:t>
      </w:r>
    </w:p>
    <w:p w14:paraId="615D5121"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Financial control, including general ledger and treasury; </w:t>
      </w:r>
    </w:p>
    <w:p w14:paraId="53FE42A4"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Contributing to the process of preparing and filing financial regulatory reports; </w:t>
      </w:r>
    </w:p>
    <w:p w14:paraId="5C4F7DBF"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Defining and approving business requirements for sales and trading systems and any other systems related to the covered functions, and validation that these systems meet such business requirements; </w:t>
      </w:r>
    </w:p>
    <w:p w14:paraId="7097DF00"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Defining and approving business security requirements and policies for information technology, including, but not limited to, systems and data, in connection with the covered functions; Defining and approving information entitlement policies in connection with the covered functions; and </w:t>
      </w:r>
    </w:p>
    <w:p w14:paraId="0D53024E" w14:textId="77777777" w:rsidR="00BB5EEF" w:rsidRPr="00B079F1" w:rsidRDefault="00BB5EEF" w:rsidP="003E7B18">
      <w:pPr>
        <w:numPr>
          <w:ilvl w:val="0"/>
          <w:numId w:val="175"/>
        </w:numPr>
        <w:shd w:val="clear" w:color="auto" w:fill="FFFFFF"/>
        <w:spacing w:line="270" w:lineRule="atLeast"/>
        <w:ind w:left="900" w:hanging="270"/>
        <w:rPr>
          <w:sz w:val="24"/>
          <w:szCs w:val="24"/>
        </w:rPr>
      </w:pPr>
      <w:r w:rsidRPr="00B079F1">
        <w:rPr>
          <w:sz w:val="24"/>
          <w:szCs w:val="24"/>
        </w:rPr>
        <w:t xml:space="preserve">Posting entries to a member's books and records in connection with the covered functions to ensure integrity and compliance with the federal securities laws and regulations and FINRA rules. </w:t>
      </w:r>
    </w:p>
    <w:p w14:paraId="448C3530" w14:textId="77777777" w:rsidR="00BB5EEF" w:rsidRPr="00B079F1" w:rsidRDefault="00BB5EEF" w:rsidP="002D7AE4">
      <w:pPr>
        <w:ind w:left="180"/>
        <w:rPr>
          <w:sz w:val="24"/>
          <w:szCs w:val="24"/>
        </w:rPr>
      </w:pPr>
    </w:p>
    <w:p w14:paraId="51E15DE2" w14:textId="77777777" w:rsidR="00207288" w:rsidRPr="00191405" w:rsidRDefault="00617056" w:rsidP="002D7AE4">
      <w:pPr>
        <w:ind w:left="270"/>
        <w:rPr>
          <w:sz w:val="24"/>
          <w:szCs w:val="24"/>
        </w:rPr>
      </w:pPr>
      <w:r>
        <w:rPr>
          <w:sz w:val="24"/>
          <w:szCs w:val="24"/>
        </w:rPr>
        <w:t>In addition, C</w:t>
      </w:r>
      <w:r w:rsidR="00207288" w:rsidRPr="00191405">
        <w:rPr>
          <w:sz w:val="24"/>
          <w:szCs w:val="24"/>
        </w:rPr>
        <w:t xml:space="preserve">overed </w:t>
      </w:r>
      <w:r>
        <w:rPr>
          <w:sz w:val="24"/>
          <w:szCs w:val="24"/>
        </w:rPr>
        <w:t>P</w:t>
      </w:r>
      <w:r w:rsidR="00207288" w:rsidRPr="00191405">
        <w:rPr>
          <w:sz w:val="24"/>
          <w:szCs w:val="24"/>
        </w:rPr>
        <w:t>ersons are required to participate in Regulatory Element and Firm El</w:t>
      </w:r>
      <w:r w:rsidR="00222EFF" w:rsidRPr="00191405">
        <w:rPr>
          <w:sz w:val="24"/>
          <w:szCs w:val="24"/>
        </w:rPr>
        <w:t xml:space="preserve">ement continuing education.  </w:t>
      </w:r>
      <w:r w:rsidR="00857067" w:rsidRPr="00191405">
        <w:rPr>
          <w:sz w:val="24"/>
          <w:szCs w:val="24"/>
        </w:rPr>
        <w:t xml:space="preserve">Compliance is responsible for confirming that covered persons complete the necessary requirements for registration and continuing education and to restrict an employee’s activities if either requirement is not completed within required timeframes.  </w:t>
      </w:r>
    </w:p>
    <w:p w14:paraId="4DDB9313" w14:textId="77777777" w:rsidR="00807F98" w:rsidRPr="00191405" w:rsidRDefault="00807F98" w:rsidP="002D7AE4">
      <w:pPr>
        <w:ind w:left="270"/>
        <w:rPr>
          <w:sz w:val="24"/>
          <w:szCs w:val="24"/>
        </w:rPr>
      </w:pPr>
    </w:p>
    <w:p w14:paraId="7BA60FEC" w14:textId="77777777" w:rsidR="00807F98" w:rsidRPr="00191405" w:rsidRDefault="00807F98" w:rsidP="002D7AE4">
      <w:pPr>
        <w:shd w:val="clear" w:color="auto" w:fill="FFFFFF"/>
        <w:spacing w:line="270" w:lineRule="atLeast"/>
        <w:ind w:left="270"/>
        <w:rPr>
          <w:sz w:val="24"/>
          <w:szCs w:val="24"/>
        </w:rPr>
      </w:pPr>
      <w:r w:rsidRPr="00191405">
        <w:rPr>
          <w:sz w:val="24"/>
          <w:szCs w:val="24"/>
        </w:rPr>
        <w:t xml:space="preserve">Any person who is required to register as an Operations Professional as of October 17, </w:t>
      </w:r>
      <w:proofErr w:type="gramStart"/>
      <w:r w:rsidRPr="00191405">
        <w:rPr>
          <w:sz w:val="24"/>
          <w:szCs w:val="24"/>
        </w:rPr>
        <w:t>2011</w:t>
      </w:r>
      <w:proofErr w:type="gramEnd"/>
      <w:r w:rsidRPr="00191405">
        <w:rPr>
          <w:sz w:val="24"/>
          <w:szCs w:val="24"/>
        </w:rPr>
        <w:t xml:space="preserve"> shall request registration as an Operations Professional via Form U4 in CRD within 60 days after October 17, 2011. Any person who is required to register as an Operations Professional as of October 17, </w:t>
      </w:r>
      <w:proofErr w:type="gramStart"/>
      <w:r w:rsidRPr="00191405">
        <w:rPr>
          <w:sz w:val="24"/>
          <w:szCs w:val="24"/>
        </w:rPr>
        <w:t>2011</w:t>
      </w:r>
      <w:proofErr w:type="gramEnd"/>
      <w:r w:rsidRPr="00191405">
        <w:rPr>
          <w:sz w:val="24"/>
          <w:szCs w:val="24"/>
        </w:rPr>
        <w:t xml:space="preserve"> and must pass the Operations Professional qualification examination (or an eligible qualification examination) to qualify for Operations Professional registration shall be allowed a period of 12 months beginning on October 17, 2011 to pass such qualifying examination, during which time such person may function as an Operations Professional. </w:t>
      </w:r>
    </w:p>
    <w:p w14:paraId="2CBDD0A3" w14:textId="77777777" w:rsidR="00CA0E74" w:rsidRPr="00191405" w:rsidRDefault="00CA0E74" w:rsidP="002D7AE4">
      <w:pPr>
        <w:shd w:val="clear" w:color="auto" w:fill="FFFFFF"/>
        <w:spacing w:line="270" w:lineRule="atLeast"/>
        <w:ind w:left="270"/>
        <w:rPr>
          <w:sz w:val="24"/>
          <w:szCs w:val="24"/>
        </w:rPr>
      </w:pPr>
    </w:p>
    <w:p w14:paraId="08F9D975" w14:textId="77777777" w:rsidR="00CA0E74" w:rsidRPr="00191405" w:rsidRDefault="00CA0E74" w:rsidP="002D7AE4">
      <w:pPr>
        <w:pStyle w:val="Heading3"/>
        <w:jc w:val="left"/>
      </w:pPr>
      <w:r w:rsidRPr="00191405">
        <w:t>10.</w:t>
      </w:r>
      <w:r w:rsidR="00811B75" w:rsidRPr="00191405">
        <w:t>6</w:t>
      </w:r>
      <w:r w:rsidRPr="00191405">
        <w:t>.4 NRF Individuals</w:t>
      </w:r>
    </w:p>
    <w:p w14:paraId="7418019E" w14:textId="77777777" w:rsidR="00CA0E74" w:rsidRPr="00191405" w:rsidRDefault="00CA0E74" w:rsidP="002D7AE4">
      <w:pPr>
        <w:shd w:val="clear" w:color="auto" w:fill="FFFFFF"/>
        <w:spacing w:line="270" w:lineRule="atLeast"/>
        <w:ind w:left="270"/>
        <w:rPr>
          <w:sz w:val="24"/>
          <w:szCs w:val="24"/>
        </w:rPr>
      </w:pPr>
      <w:r w:rsidRPr="00191405">
        <w:rPr>
          <w:sz w:val="24"/>
          <w:szCs w:val="24"/>
        </w:rPr>
        <w:t xml:space="preserve">On at least an annual basis, Company shall review all Non-Registered Fingerprint individuals in the CRD system for accuracy of current information and/or any required amendments.  </w:t>
      </w:r>
      <w:r w:rsidR="00752D1F" w:rsidRPr="00191405">
        <w:rPr>
          <w:sz w:val="24"/>
          <w:szCs w:val="24"/>
        </w:rPr>
        <w:t xml:space="preserve">A list of submitted fingerprints will also be maintained as part of Company records with dates of submission and any termination date.  </w:t>
      </w:r>
      <w:r w:rsidRPr="00191405">
        <w:rPr>
          <w:sz w:val="24"/>
          <w:szCs w:val="24"/>
        </w:rPr>
        <w:t xml:space="preserve">A record of </w:t>
      </w:r>
      <w:r w:rsidR="00752D1F" w:rsidRPr="00191405">
        <w:rPr>
          <w:sz w:val="24"/>
          <w:szCs w:val="24"/>
        </w:rPr>
        <w:t>any</w:t>
      </w:r>
      <w:r w:rsidRPr="00191405">
        <w:rPr>
          <w:sz w:val="24"/>
          <w:szCs w:val="24"/>
        </w:rPr>
        <w:t xml:space="preserve"> review </w:t>
      </w:r>
      <w:r w:rsidR="00752D1F" w:rsidRPr="00191405">
        <w:rPr>
          <w:sz w:val="24"/>
          <w:szCs w:val="24"/>
        </w:rPr>
        <w:t xml:space="preserve">of such NRF individuals and list </w:t>
      </w:r>
      <w:r w:rsidRPr="00191405">
        <w:rPr>
          <w:sz w:val="24"/>
          <w:szCs w:val="24"/>
        </w:rPr>
        <w:t>will be conducted by Compliance and included on the Internal Exam.</w:t>
      </w:r>
    </w:p>
    <w:p w14:paraId="5802F95E" w14:textId="77777777" w:rsidR="00207288" w:rsidRPr="00191405" w:rsidRDefault="00207288" w:rsidP="002D7AE4">
      <w:pPr>
        <w:ind w:left="270"/>
        <w:rPr>
          <w:sz w:val="24"/>
          <w:szCs w:val="24"/>
        </w:rPr>
      </w:pPr>
    </w:p>
    <w:p w14:paraId="05256571" w14:textId="77777777" w:rsidR="007F4E0F" w:rsidRPr="00191405" w:rsidRDefault="00C37BEC" w:rsidP="002D7AE4">
      <w:pPr>
        <w:pStyle w:val="Heading3"/>
        <w:jc w:val="left"/>
      </w:pPr>
      <w:r w:rsidRPr="00191405">
        <w:t>10.</w:t>
      </w:r>
      <w:r w:rsidR="00811B75" w:rsidRPr="00191405">
        <w:t>6</w:t>
      </w:r>
      <w:r w:rsidRPr="00191405">
        <w:t>.</w:t>
      </w:r>
      <w:r w:rsidR="00472F04" w:rsidRPr="00191405">
        <w:t>5</w:t>
      </w:r>
      <w:r w:rsidRPr="00191405">
        <w:t xml:space="preserve"> </w:t>
      </w:r>
      <w:r w:rsidR="007F4E0F" w:rsidRPr="00191405">
        <w:t>Form U-5 Filing Requirements</w:t>
      </w:r>
    </w:p>
    <w:p w14:paraId="06B14ECF" w14:textId="77777777" w:rsidR="007F4E0F" w:rsidRPr="00191405" w:rsidRDefault="004359CE" w:rsidP="002D7AE4">
      <w:pPr>
        <w:ind w:left="270"/>
        <w:rPr>
          <w:sz w:val="24"/>
          <w:szCs w:val="24"/>
        </w:rPr>
      </w:pPr>
      <w:r w:rsidRPr="00191405">
        <w:rPr>
          <w:sz w:val="24"/>
          <w:szCs w:val="24"/>
        </w:rPr>
        <w:t>Company shall retain all initial and amended Form U-5s for a period of three years, the first two years readily accessible.</w:t>
      </w:r>
    </w:p>
    <w:p w14:paraId="5B291BDC" w14:textId="77777777" w:rsidR="00930E3D" w:rsidRPr="00191405" w:rsidRDefault="00930E3D" w:rsidP="002D7AE4">
      <w:pPr>
        <w:ind w:left="360"/>
        <w:rPr>
          <w:rFonts w:ascii="Arial" w:hAnsi="Arial" w:cs="Arial"/>
          <w:sz w:val="18"/>
          <w:szCs w:val="18"/>
        </w:rPr>
      </w:pPr>
    </w:p>
    <w:p w14:paraId="531EBDC2" w14:textId="77777777" w:rsidR="00930E3D" w:rsidRPr="00191405" w:rsidRDefault="00930E3D" w:rsidP="002D7AE4">
      <w:pPr>
        <w:rPr>
          <w:sz w:val="24"/>
          <w:szCs w:val="24"/>
        </w:rPr>
      </w:pPr>
    </w:p>
    <w:p w14:paraId="567A042D" w14:textId="39B3771F" w:rsidR="00D3275E" w:rsidRDefault="006A2C66" w:rsidP="00936FEE">
      <w:pPr>
        <w:pStyle w:val="Heading2"/>
      </w:pPr>
      <w:r w:rsidRPr="00191405">
        <w:t>10.</w:t>
      </w:r>
      <w:r w:rsidR="00811B75" w:rsidRPr="00191405">
        <w:t>7</w:t>
      </w:r>
      <w:r w:rsidRPr="00191405">
        <w:t xml:space="preserve"> </w:t>
      </w:r>
      <w:r w:rsidR="00D3275E" w:rsidRPr="00191405">
        <w:t>Membership or Registration Information</w:t>
      </w:r>
    </w:p>
    <w:p w14:paraId="34EDB1DC" w14:textId="77777777" w:rsidR="00D3275E" w:rsidRPr="00D3275E" w:rsidRDefault="00D3275E" w:rsidP="00D3275E"/>
    <w:p w14:paraId="5D629876" w14:textId="20E558DC" w:rsidR="009649F6" w:rsidRPr="00191405" w:rsidRDefault="00D3275E" w:rsidP="00D3275E">
      <w:pPr>
        <w:pStyle w:val="Heading3"/>
      </w:pPr>
      <w:r>
        <w:t xml:space="preserve">10.7.1 </w:t>
      </w:r>
      <w:r w:rsidR="009649F6" w:rsidRPr="00191405">
        <w:t>FINRA Rule 1122</w:t>
      </w:r>
      <w:r w:rsidR="00F47936">
        <w:t xml:space="preserve"> </w:t>
      </w:r>
      <w:r w:rsidR="009649F6" w:rsidRPr="00191405">
        <w:t>-</w:t>
      </w:r>
      <w:r w:rsidR="00F47936">
        <w:t xml:space="preserve"> </w:t>
      </w:r>
      <w:r w:rsidR="009649F6" w:rsidRPr="00191405">
        <w:t xml:space="preserve">Filing of Misleading </w:t>
      </w:r>
      <w:r w:rsidR="00F47936">
        <w:t>Information</w:t>
      </w:r>
    </w:p>
    <w:p w14:paraId="2A7FD0AB" w14:textId="1DCD1758" w:rsidR="009649F6" w:rsidRDefault="00EF6358" w:rsidP="00D3275E">
      <w:pPr>
        <w:shd w:val="clear" w:color="auto" w:fill="FFFFFF"/>
        <w:ind w:left="270"/>
        <w:rPr>
          <w:sz w:val="24"/>
          <w:szCs w:val="24"/>
        </w:rPr>
      </w:pPr>
      <w:r w:rsidRPr="00191405">
        <w:rPr>
          <w:sz w:val="24"/>
          <w:szCs w:val="24"/>
        </w:rPr>
        <w:t>Neither Company</w:t>
      </w:r>
      <w:r w:rsidR="009649F6" w:rsidRPr="00191405">
        <w:rPr>
          <w:sz w:val="24"/>
          <w:szCs w:val="24"/>
        </w:rPr>
        <w:t xml:space="preserve"> </w:t>
      </w:r>
      <w:r w:rsidR="00B06036" w:rsidRPr="00191405">
        <w:rPr>
          <w:sz w:val="24"/>
          <w:szCs w:val="24"/>
        </w:rPr>
        <w:t>n</w:t>
      </w:r>
      <w:r w:rsidR="009649F6" w:rsidRPr="00191405">
        <w:rPr>
          <w:sz w:val="24"/>
          <w:szCs w:val="24"/>
        </w:rPr>
        <w:t xml:space="preserve">or </w:t>
      </w:r>
      <w:r w:rsidR="00B06036" w:rsidRPr="00191405">
        <w:rPr>
          <w:sz w:val="24"/>
          <w:szCs w:val="24"/>
        </w:rPr>
        <w:t>any Associated P</w:t>
      </w:r>
      <w:r w:rsidR="009649F6" w:rsidRPr="00191405">
        <w:rPr>
          <w:sz w:val="24"/>
          <w:szCs w:val="24"/>
        </w:rPr>
        <w:t xml:space="preserve">erson shall file with FINRA information with respect to membership or registration which is incomplete or inaccurate so as to be misleading, or which could in any way tend to mislead, or fail to correct such filing after notice thereof. </w:t>
      </w:r>
    </w:p>
    <w:p w14:paraId="60055D50" w14:textId="48D9B7CE" w:rsidR="00D3275E" w:rsidRDefault="00D3275E" w:rsidP="00D3275E">
      <w:pPr>
        <w:shd w:val="clear" w:color="auto" w:fill="FFFFFF"/>
        <w:ind w:left="270"/>
        <w:rPr>
          <w:sz w:val="24"/>
          <w:szCs w:val="24"/>
        </w:rPr>
      </w:pPr>
    </w:p>
    <w:p w14:paraId="327BC569" w14:textId="29951655" w:rsidR="001119F6" w:rsidRDefault="00D3275E" w:rsidP="001119F6">
      <w:pPr>
        <w:pStyle w:val="Heading3"/>
        <w:spacing w:before="150" w:after="15"/>
      </w:pPr>
      <w:r>
        <w:t xml:space="preserve">10.7.2 </w:t>
      </w:r>
      <w:r w:rsidR="001119F6" w:rsidRPr="001119F6">
        <w:t xml:space="preserve">Member Application </w:t>
      </w:r>
      <w:r w:rsidR="001119F6">
        <w:t>a</w:t>
      </w:r>
      <w:r w:rsidR="001119F6" w:rsidRPr="001119F6">
        <w:t>nd Associated Person Registration (MAP Rules)</w:t>
      </w:r>
    </w:p>
    <w:p w14:paraId="7B9E68B5" w14:textId="5E1C404F" w:rsidR="001119F6" w:rsidRPr="00E31E45" w:rsidRDefault="001119F6" w:rsidP="001119F6">
      <w:pPr>
        <w:pStyle w:val="Normal46"/>
        <w:spacing w:before="15" w:beforeAutospacing="0" w:line="240" w:lineRule="atLeast"/>
        <w:ind w:left="270"/>
        <w:rPr>
          <w:color w:val="000000" w:themeColor="text1"/>
          <w:spacing w:val="8"/>
        </w:rPr>
      </w:pPr>
      <w:r w:rsidRPr="00E31E45">
        <w:rPr>
          <w:color w:val="000000" w:themeColor="text1"/>
        </w:rPr>
        <w:t xml:space="preserve">If Company </w:t>
      </w:r>
      <w:r w:rsidRPr="00E31E45">
        <w:rPr>
          <w:color w:val="000000" w:themeColor="text1"/>
          <w:spacing w:val="8"/>
          <w:shd w:val="clear" w:color="auto" w:fill="FFFFFF"/>
        </w:rPr>
        <w:t xml:space="preserve">anticipates a material change in its business, Compliance will file requests for approval by the appropriate SROs.  </w:t>
      </w:r>
      <w:r w:rsidRPr="00E31E45">
        <w:rPr>
          <w:color w:val="000000" w:themeColor="text1"/>
          <w:spacing w:val="8"/>
        </w:rPr>
        <w:t>Events that require approval include merger with or acquisition of another broker-dealer or acquisition of 25% or more of the assets of another dealer; a change in ownership or control; and a material change in business operations.  In addition, material changes include removing or modifying a membership agreement restriction; market making for the first time; adding business activities that require a higher level of minimum net capital; and engaging in activities beyond proprietary trading as defined in NASDAQ rules.</w:t>
      </w:r>
    </w:p>
    <w:p w14:paraId="0723ECAE" w14:textId="7CDC08A9" w:rsidR="001119F6" w:rsidRPr="00E31E45" w:rsidRDefault="001119F6" w:rsidP="001119F6">
      <w:pPr>
        <w:spacing w:before="15" w:after="100" w:afterAutospacing="1" w:line="240" w:lineRule="atLeast"/>
        <w:ind w:left="270"/>
        <w:rPr>
          <w:color w:val="000000" w:themeColor="text1"/>
          <w:spacing w:val="8"/>
          <w:sz w:val="24"/>
          <w:szCs w:val="24"/>
        </w:rPr>
      </w:pPr>
      <w:r w:rsidRPr="00E31E45">
        <w:rPr>
          <w:color w:val="000000" w:themeColor="text1"/>
          <w:spacing w:val="8"/>
          <w:sz w:val="24"/>
          <w:szCs w:val="24"/>
        </w:rPr>
        <w:t xml:space="preserve">Certain types of expansions are presumed to not be a "material change in business operations" and do not require FINRA approval.  However, this safe harbor is not available to firms that, among other things, have a "disciplinary history" as defined in </w:t>
      </w:r>
      <w:r w:rsidRPr="00E31E45">
        <w:rPr>
          <w:color w:val="000000" w:themeColor="text1"/>
          <w:spacing w:val="8"/>
          <w:sz w:val="24"/>
          <w:szCs w:val="24"/>
        </w:rPr>
        <w:lastRenderedPageBreak/>
        <w:t>IM-1011-1.  The interpretation must be consulted to determine what changes are not material and what constitutes disciplinary history precluding use of the safe harbor.</w:t>
      </w:r>
    </w:p>
    <w:p w14:paraId="636D2955" w14:textId="612735BD" w:rsidR="00D3275E" w:rsidRPr="00E31E45" w:rsidRDefault="001119F6" w:rsidP="001119F6">
      <w:pPr>
        <w:ind w:left="270"/>
        <w:rPr>
          <w:color w:val="000000" w:themeColor="text1"/>
          <w:sz w:val="24"/>
          <w:szCs w:val="24"/>
        </w:rPr>
      </w:pPr>
      <w:r w:rsidRPr="00E31E45">
        <w:rPr>
          <w:color w:val="000000" w:themeColor="text1"/>
          <w:spacing w:val="8"/>
          <w:sz w:val="24"/>
          <w:szCs w:val="24"/>
          <w:shd w:val="clear" w:color="auto" w:fill="FFFFFF"/>
        </w:rPr>
        <w:t>Company must file a Continuing Membership Application (CMA) when a person who, during the past five years, becomes subject to one or more "final criminal matters" or two or more "specified risk events" and seeks to become an owner, control person, principal or registered person of Company. As an alternative, Company may submit a written request to FINRA for a materiality consultation for the contemplated activity. This does not apply to an existing RR or principal of Company who seeks to add an additional RR- or Principal-level registration, respectively.</w:t>
      </w:r>
    </w:p>
    <w:p w14:paraId="0474F5E2" w14:textId="77777777" w:rsidR="009649F6" w:rsidRPr="00E31E45" w:rsidRDefault="009649F6" w:rsidP="002D7AE4">
      <w:pPr>
        <w:rPr>
          <w:color w:val="000000" w:themeColor="text1"/>
          <w:sz w:val="24"/>
          <w:szCs w:val="24"/>
        </w:rPr>
      </w:pPr>
    </w:p>
    <w:p w14:paraId="160996B4" w14:textId="77777777" w:rsidR="009649F6" w:rsidRPr="00191405" w:rsidRDefault="009649F6" w:rsidP="002D7AE4">
      <w:pPr>
        <w:rPr>
          <w:b/>
          <w:sz w:val="24"/>
          <w:szCs w:val="24"/>
        </w:rPr>
      </w:pPr>
    </w:p>
    <w:p w14:paraId="08E72254" w14:textId="77777777" w:rsidR="004C3171" w:rsidRPr="00191405" w:rsidRDefault="004C3171" w:rsidP="00936FEE">
      <w:pPr>
        <w:pStyle w:val="Heading2"/>
      </w:pPr>
      <w:bookmarkStart w:id="147" w:name="ClearingAgmt"/>
      <w:bookmarkStart w:id="148" w:name="_Toc153361389"/>
      <w:bookmarkStart w:id="149" w:name="_Toc153361623"/>
      <w:bookmarkEnd w:id="147"/>
      <w:r w:rsidRPr="00191405">
        <w:t>10.</w:t>
      </w:r>
      <w:r w:rsidR="00811B75" w:rsidRPr="00191405">
        <w:t>8</w:t>
      </w:r>
      <w:r w:rsidRPr="00191405">
        <w:t xml:space="preserve"> C</w:t>
      </w:r>
      <w:r w:rsidR="006676D9" w:rsidRPr="00191405">
        <w:t>arrying</w:t>
      </w:r>
      <w:r w:rsidRPr="00191405">
        <w:t xml:space="preserve"> Agreement</w:t>
      </w:r>
    </w:p>
    <w:p w14:paraId="261CA711" w14:textId="77777777" w:rsidR="004C3171" w:rsidRPr="00191405" w:rsidRDefault="004C3171" w:rsidP="002D7AE4">
      <w:pPr>
        <w:pStyle w:val="Normal1"/>
        <w:shd w:val="clear" w:color="auto" w:fill="FFFFFF"/>
        <w:spacing w:before="0" w:after="0" w:afterAutospacing="0" w:line="240" w:lineRule="auto"/>
        <w:rPr>
          <w:rFonts w:ascii="Times New Roman" w:hAnsi="Times New Roman" w:cs="Times New Roman"/>
          <w:sz w:val="24"/>
          <w:szCs w:val="24"/>
        </w:rPr>
      </w:pPr>
      <w:r w:rsidRPr="00191405">
        <w:rPr>
          <w:rFonts w:ascii="Times New Roman" w:hAnsi="Times New Roman" w:cs="Times New Roman"/>
          <w:sz w:val="24"/>
          <w:szCs w:val="24"/>
        </w:rPr>
        <w:t xml:space="preserve">Company introduces its accounts and customer transactions to </w:t>
      </w:r>
      <w:proofErr w:type="gramStart"/>
      <w:r w:rsidRPr="00191405">
        <w:rPr>
          <w:rFonts w:ascii="Times New Roman" w:hAnsi="Times New Roman" w:cs="Times New Roman"/>
          <w:sz w:val="24"/>
          <w:szCs w:val="24"/>
        </w:rPr>
        <w:t>its</w:t>
      </w:r>
      <w:proofErr w:type="gramEnd"/>
      <w:r w:rsidRPr="00191405">
        <w:rPr>
          <w:rFonts w:ascii="Times New Roman" w:hAnsi="Times New Roman" w:cs="Times New Roman"/>
          <w:sz w:val="24"/>
          <w:szCs w:val="24"/>
        </w:rPr>
        <w:t xml:space="preserve"> </w:t>
      </w:r>
      <w:r w:rsidR="006676D9" w:rsidRPr="00191405">
        <w:rPr>
          <w:rFonts w:ascii="Times New Roman" w:hAnsi="Times New Roman" w:cs="Times New Roman"/>
          <w:sz w:val="24"/>
          <w:szCs w:val="24"/>
        </w:rPr>
        <w:t>carrying</w:t>
      </w:r>
      <w:r w:rsidRPr="00191405">
        <w:rPr>
          <w:rFonts w:ascii="Times New Roman" w:hAnsi="Times New Roman" w:cs="Times New Roman"/>
          <w:sz w:val="24"/>
          <w:szCs w:val="24"/>
        </w:rPr>
        <w:t xml:space="preserve"> firm</w:t>
      </w:r>
      <w:r w:rsidR="00FD509D" w:rsidRPr="00191405">
        <w:rPr>
          <w:rFonts w:ascii="Times New Roman" w:hAnsi="Times New Roman" w:cs="Times New Roman"/>
          <w:sz w:val="24"/>
          <w:szCs w:val="24"/>
        </w:rPr>
        <w:t xml:space="preserve">, </w:t>
      </w:r>
      <w:r w:rsidR="00420D57" w:rsidRPr="008B6780">
        <w:rPr>
          <w:rFonts w:ascii="Times New Roman" w:hAnsi="Times New Roman" w:cs="Times New Roman"/>
          <w:sz w:val="24"/>
          <w:szCs w:val="24"/>
        </w:rPr>
        <w:t>Hilltop</w:t>
      </w:r>
      <w:r w:rsidR="00420D57">
        <w:rPr>
          <w:rFonts w:ascii="Times New Roman" w:hAnsi="Times New Roman" w:cs="Times New Roman"/>
          <w:color w:val="FF0000"/>
          <w:sz w:val="24"/>
          <w:szCs w:val="24"/>
        </w:rPr>
        <w:t xml:space="preserve"> </w:t>
      </w:r>
      <w:r w:rsidR="00FD509D" w:rsidRPr="00191405">
        <w:rPr>
          <w:rFonts w:ascii="Times New Roman" w:hAnsi="Times New Roman" w:cs="Times New Roman"/>
          <w:sz w:val="24"/>
          <w:szCs w:val="24"/>
        </w:rPr>
        <w:t>Securities, Inc, on a fully disclosed basis</w:t>
      </w:r>
      <w:r w:rsidRPr="00191405">
        <w:rPr>
          <w:rFonts w:ascii="Times New Roman" w:hAnsi="Times New Roman" w:cs="Times New Roman"/>
          <w:sz w:val="24"/>
          <w:szCs w:val="24"/>
        </w:rPr>
        <w:t xml:space="preserve">. </w:t>
      </w:r>
      <w:r w:rsidR="00FD509D" w:rsidRPr="00191405">
        <w:rPr>
          <w:rFonts w:ascii="Times New Roman" w:hAnsi="Times New Roman" w:cs="Times New Roman"/>
          <w:sz w:val="24"/>
          <w:szCs w:val="24"/>
        </w:rPr>
        <w:t xml:space="preserve">Customers receive a </w:t>
      </w:r>
      <w:r w:rsidR="006676D9" w:rsidRPr="00191405">
        <w:rPr>
          <w:rFonts w:ascii="Times New Roman" w:hAnsi="Times New Roman" w:cs="Times New Roman"/>
          <w:sz w:val="24"/>
          <w:szCs w:val="24"/>
        </w:rPr>
        <w:t>carrying</w:t>
      </w:r>
      <w:r w:rsidR="00FD509D" w:rsidRPr="00191405">
        <w:rPr>
          <w:rFonts w:ascii="Times New Roman" w:hAnsi="Times New Roman" w:cs="Times New Roman"/>
          <w:sz w:val="24"/>
          <w:szCs w:val="24"/>
        </w:rPr>
        <w:t xml:space="preserve"> firm Information Brochure that discusses the relationship and discloses certain account information.  Company</w:t>
      </w:r>
      <w:r w:rsidRPr="00191405">
        <w:rPr>
          <w:rFonts w:ascii="Times New Roman" w:hAnsi="Times New Roman" w:cs="Times New Roman"/>
          <w:sz w:val="24"/>
          <w:szCs w:val="24"/>
        </w:rPr>
        <w:t xml:space="preserve"> has executed a </w:t>
      </w:r>
      <w:r w:rsidR="006676D9" w:rsidRPr="00191405">
        <w:rPr>
          <w:rFonts w:ascii="Times New Roman" w:hAnsi="Times New Roman" w:cs="Times New Roman"/>
          <w:sz w:val="24"/>
          <w:szCs w:val="24"/>
        </w:rPr>
        <w:t>carrying</w:t>
      </w:r>
      <w:r w:rsidRPr="00191405">
        <w:rPr>
          <w:rFonts w:ascii="Times New Roman" w:hAnsi="Times New Roman" w:cs="Times New Roman"/>
          <w:sz w:val="24"/>
          <w:szCs w:val="24"/>
        </w:rPr>
        <w:t xml:space="preserve"> agreement consistent with regulators' requirements and will amend </w:t>
      </w:r>
      <w:proofErr w:type="gramStart"/>
      <w:r w:rsidRPr="00191405">
        <w:rPr>
          <w:rFonts w:ascii="Times New Roman" w:hAnsi="Times New Roman" w:cs="Times New Roman"/>
          <w:sz w:val="24"/>
          <w:szCs w:val="24"/>
        </w:rPr>
        <w:t>its</w:t>
      </w:r>
      <w:proofErr w:type="gramEnd"/>
      <w:r w:rsidRPr="00191405">
        <w:rPr>
          <w:rFonts w:ascii="Times New Roman" w:hAnsi="Times New Roman" w:cs="Times New Roman"/>
          <w:sz w:val="24"/>
          <w:szCs w:val="24"/>
        </w:rPr>
        <w:t xml:space="preserve"> </w:t>
      </w:r>
      <w:r w:rsidR="006676D9" w:rsidRPr="00191405">
        <w:rPr>
          <w:rFonts w:ascii="Times New Roman" w:hAnsi="Times New Roman" w:cs="Times New Roman"/>
          <w:sz w:val="24"/>
          <w:szCs w:val="24"/>
        </w:rPr>
        <w:t>carrying</w:t>
      </w:r>
      <w:r w:rsidRPr="00191405">
        <w:rPr>
          <w:rFonts w:ascii="Times New Roman" w:hAnsi="Times New Roman" w:cs="Times New Roman"/>
          <w:sz w:val="24"/>
          <w:szCs w:val="24"/>
        </w:rPr>
        <w:t xml:space="preserve"> agreement when necessary. Any new </w:t>
      </w:r>
      <w:r w:rsidR="006676D9" w:rsidRPr="00191405">
        <w:rPr>
          <w:rFonts w:ascii="Times New Roman" w:hAnsi="Times New Roman" w:cs="Times New Roman"/>
          <w:sz w:val="24"/>
          <w:szCs w:val="24"/>
        </w:rPr>
        <w:t>carrying</w:t>
      </w:r>
      <w:r w:rsidRPr="00191405">
        <w:rPr>
          <w:rFonts w:ascii="Times New Roman" w:hAnsi="Times New Roman" w:cs="Times New Roman"/>
          <w:sz w:val="24"/>
          <w:szCs w:val="24"/>
        </w:rPr>
        <w:t xml:space="preserve"> agreement or amendment will be submitted to its designated SRO for review and approval.</w:t>
      </w:r>
      <w:r w:rsidR="006676D9" w:rsidRPr="00191405">
        <w:rPr>
          <w:rFonts w:ascii="Times New Roman" w:hAnsi="Times New Roman" w:cs="Times New Roman"/>
          <w:sz w:val="24"/>
          <w:szCs w:val="24"/>
        </w:rPr>
        <w:t xml:space="preserve"> Morris Monroe or Laura Hendricks </w:t>
      </w:r>
      <w:r w:rsidR="008025CC" w:rsidRPr="00191405">
        <w:rPr>
          <w:rFonts w:ascii="Times New Roman" w:hAnsi="Times New Roman" w:cs="Times New Roman"/>
          <w:sz w:val="24"/>
          <w:szCs w:val="24"/>
        </w:rPr>
        <w:t>is</w:t>
      </w:r>
      <w:r w:rsidR="006676D9" w:rsidRPr="00191405">
        <w:rPr>
          <w:rFonts w:ascii="Times New Roman" w:hAnsi="Times New Roman" w:cs="Times New Roman"/>
          <w:sz w:val="24"/>
          <w:szCs w:val="24"/>
        </w:rPr>
        <w:t xml:space="preserve"> responsible for executing required carrying agreements or amendments and retaining such records.</w:t>
      </w:r>
    </w:p>
    <w:p w14:paraId="3441F3A5" w14:textId="77777777" w:rsidR="004C3171" w:rsidRPr="00191405" w:rsidRDefault="004C3171" w:rsidP="002D7AE4"/>
    <w:p w14:paraId="612CCAD2" w14:textId="77777777" w:rsidR="004C3171" w:rsidRPr="00191405" w:rsidRDefault="004C3171" w:rsidP="002D7AE4"/>
    <w:p w14:paraId="0E6DB7E1" w14:textId="77777777" w:rsidR="000C099C" w:rsidRDefault="006A2C66" w:rsidP="00936FEE">
      <w:pPr>
        <w:pStyle w:val="Heading2"/>
      </w:pPr>
      <w:bookmarkStart w:id="150" w:name="FidelityBond"/>
      <w:bookmarkEnd w:id="150"/>
      <w:r>
        <w:t>10.</w:t>
      </w:r>
      <w:r w:rsidR="00811B75">
        <w:t>9</w:t>
      </w:r>
      <w:r>
        <w:t xml:space="preserve"> </w:t>
      </w:r>
      <w:r w:rsidR="000C099C">
        <w:t>Fidelity Bond Coverage</w:t>
      </w:r>
      <w:bookmarkEnd w:id="148"/>
      <w:bookmarkEnd w:id="149"/>
    </w:p>
    <w:p w14:paraId="2233E132" w14:textId="77777777" w:rsidR="000C099C" w:rsidRDefault="000C099C" w:rsidP="002D7AE4">
      <w:pPr>
        <w:pStyle w:val="MRS"/>
        <w:jc w:val="left"/>
      </w:pPr>
      <w:r>
        <w:t>The Company maintains fidelity bond coverage as required and which covers at least the following:</w:t>
      </w:r>
    </w:p>
    <w:p w14:paraId="3B530651" w14:textId="77777777" w:rsidR="000C099C" w:rsidRDefault="000C099C" w:rsidP="002D7AE4">
      <w:pPr>
        <w:rPr>
          <w:sz w:val="24"/>
        </w:rPr>
      </w:pPr>
    </w:p>
    <w:p w14:paraId="7B263261" w14:textId="77777777" w:rsidR="000C099C" w:rsidRDefault="000C099C" w:rsidP="00216F83">
      <w:pPr>
        <w:numPr>
          <w:ilvl w:val="0"/>
          <w:numId w:val="25"/>
        </w:numPr>
        <w:rPr>
          <w:sz w:val="24"/>
        </w:rPr>
      </w:pPr>
      <w:r>
        <w:rPr>
          <w:sz w:val="24"/>
        </w:rPr>
        <w:t>Fidelity</w:t>
      </w:r>
    </w:p>
    <w:p w14:paraId="0367B518" w14:textId="77777777" w:rsidR="000C099C" w:rsidRDefault="000C099C" w:rsidP="00216F83">
      <w:pPr>
        <w:numPr>
          <w:ilvl w:val="0"/>
          <w:numId w:val="25"/>
        </w:numPr>
        <w:rPr>
          <w:sz w:val="24"/>
        </w:rPr>
      </w:pPr>
      <w:r>
        <w:rPr>
          <w:sz w:val="24"/>
        </w:rPr>
        <w:t>On premises</w:t>
      </w:r>
    </w:p>
    <w:p w14:paraId="3C9B04F4" w14:textId="77777777" w:rsidR="000C099C" w:rsidRDefault="000C099C" w:rsidP="00216F83">
      <w:pPr>
        <w:numPr>
          <w:ilvl w:val="0"/>
          <w:numId w:val="25"/>
        </w:numPr>
        <w:rPr>
          <w:sz w:val="24"/>
        </w:rPr>
      </w:pPr>
      <w:r>
        <w:rPr>
          <w:sz w:val="24"/>
        </w:rPr>
        <w:t>In transit</w:t>
      </w:r>
    </w:p>
    <w:p w14:paraId="2219D710" w14:textId="77777777" w:rsidR="000C099C" w:rsidRDefault="000C099C" w:rsidP="00216F83">
      <w:pPr>
        <w:numPr>
          <w:ilvl w:val="0"/>
          <w:numId w:val="25"/>
        </w:numPr>
        <w:rPr>
          <w:sz w:val="24"/>
        </w:rPr>
      </w:pPr>
      <w:r>
        <w:rPr>
          <w:sz w:val="24"/>
        </w:rPr>
        <w:t>Misplacement</w:t>
      </w:r>
    </w:p>
    <w:p w14:paraId="545C5328" w14:textId="77777777" w:rsidR="000C099C" w:rsidRDefault="000C099C" w:rsidP="00216F83">
      <w:pPr>
        <w:numPr>
          <w:ilvl w:val="0"/>
          <w:numId w:val="25"/>
        </w:numPr>
        <w:rPr>
          <w:sz w:val="24"/>
        </w:rPr>
      </w:pPr>
      <w:r>
        <w:rPr>
          <w:sz w:val="24"/>
        </w:rPr>
        <w:t>Forgery and alteration (including check forgery)</w:t>
      </w:r>
    </w:p>
    <w:p w14:paraId="74EF1745" w14:textId="77777777" w:rsidR="000C099C" w:rsidRDefault="000C099C" w:rsidP="00216F83">
      <w:pPr>
        <w:numPr>
          <w:ilvl w:val="0"/>
          <w:numId w:val="25"/>
        </w:numPr>
        <w:rPr>
          <w:sz w:val="24"/>
        </w:rPr>
      </w:pPr>
      <w:r>
        <w:rPr>
          <w:sz w:val="24"/>
        </w:rPr>
        <w:t>Securities loss (including securities forgery)</w:t>
      </w:r>
    </w:p>
    <w:p w14:paraId="135CA7EF" w14:textId="77777777" w:rsidR="000C099C" w:rsidRDefault="000C099C" w:rsidP="00216F83">
      <w:pPr>
        <w:numPr>
          <w:ilvl w:val="0"/>
          <w:numId w:val="25"/>
        </w:numPr>
        <w:rPr>
          <w:sz w:val="24"/>
        </w:rPr>
      </w:pPr>
      <w:r>
        <w:rPr>
          <w:sz w:val="24"/>
        </w:rPr>
        <w:t>Fraudulent trading</w:t>
      </w:r>
    </w:p>
    <w:p w14:paraId="64A324A9" w14:textId="220B0F0C" w:rsidR="000C099C" w:rsidRPr="000C099C" w:rsidRDefault="000C099C" w:rsidP="00216F83">
      <w:pPr>
        <w:numPr>
          <w:ilvl w:val="0"/>
          <w:numId w:val="25"/>
        </w:numPr>
        <w:rPr>
          <w:sz w:val="24"/>
        </w:rPr>
      </w:pPr>
      <w:r>
        <w:rPr>
          <w:sz w:val="24"/>
        </w:rPr>
        <w:t xml:space="preserve">Cancellation rider providing that the insurance carrier will use its best efforts to promptly notify the </w:t>
      </w:r>
      <w:r w:rsidRPr="000C099C">
        <w:rPr>
          <w:sz w:val="24"/>
        </w:rPr>
        <w:t xml:space="preserve">FINRA, Inc. in the event the bond is cancelled, </w:t>
      </w:r>
      <w:r w:rsidR="00D43D24" w:rsidRPr="000C099C">
        <w:rPr>
          <w:sz w:val="24"/>
        </w:rPr>
        <w:t>terminated,</w:t>
      </w:r>
      <w:r w:rsidRPr="000C099C">
        <w:rPr>
          <w:sz w:val="24"/>
        </w:rPr>
        <w:t xml:space="preserve"> or substantially modified.</w:t>
      </w:r>
    </w:p>
    <w:p w14:paraId="61C24102" w14:textId="77777777" w:rsidR="000C099C" w:rsidRPr="000C099C" w:rsidRDefault="000C099C" w:rsidP="002D7AE4">
      <w:pPr>
        <w:ind w:left="360"/>
        <w:rPr>
          <w:sz w:val="24"/>
        </w:rPr>
      </w:pPr>
    </w:p>
    <w:p w14:paraId="7444CCDB" w14:textId="77777777" w:rsidR="000C099C" w:rsidRDefault="000C099C" w:rsidP="002D7AE4">
      <w:pPr>
        <w:rPr>
          <w:sz w:val="24"/>
        </w:rPr>
      </w:pPr>
      <w:r w:rsidRPr="000C099C">
        <w:rPr>
          <w:sz w:val="24"/>
        </w:rPr>
        <w:t xml:space="preserve">The Company will review its coverage annually as of the anniversary date of the issuance of the bond (as evidenced on the WSC Internal </w:t>
      </w:r>
      <w:r w:rsidR="00181BA1" w:rsidRPr="008B6780">
        <w:rPr>
          <w:sz w:val="24"/>
        </w:rPr>
        <w:t>Review</w:t>
      </w:r>
      <w:r w:rsidRPr="000C099C">
        <w:rPr>
          <w:sz w:val="24"/>
        </w:rPr>
        <w:t xml:space="preserve"> report), the adequacy thereof by reference to the highest required net capital during the immediately </w:t>
      </w:r>
      <w:r w:rsidR="00EF6358" w:rsidRPr="000C099C">
        <w:rPr>
          <w:sz w:val="24"/>
        </w:rPr>
        <w:t>preceding</w:t>
      </w:r>
      <w:r w:rsidRPr="000C099C">
        <w:rPr>
          <w:sz w:val="24"/>
        </w:rPr>
        <w:t xml:space="preserve"> twelve-month period, which amount shall be used to determine minimum required coverage for the succeeding twelve-month period.  Any adjustments will be made not more than 60 days after the anniversary date of the issuance of the bond.  The Company will report any cancellation, termination, or substantial modification to FINRA within ten</w:t>
      </w:r>
      <w:r>
        <w:rPr>
          <w:sz w:val="24"/>
        </w:rPr>
        <w:t xml:space="preserve"> business days of such occurrence. </w:t>
      </w:r>
    </w:p>
    <w:p w14:paraId="0E73D351" w14:textId="77777777" w:rsidR="000C099C" w:rsidRDefault="000C099C" w:rsidP="002D7AE4">
      <w:pPr>
        <w:rPr>
          <w:b/>
          <w:sz w:val="24"/>
        </w:rPr>
      </w:pPr>
    </w:p>
    <w:p w14:paraId="0C7E7151" w14:textId="77777777" w:rsidR="000C099C" w:rsidRDefault="000C099C" w:rsidP="002D7AE4">
      <w:pPr>
        <w:rPr>
          <w:b/>
          <w:sz w:val="24"/>
        </w:rPr>
      </w:pPr>
    </w:p>
    <w:p w14:paraId="69CDEE50" w14:textId="77777777" w:rsidR="000C099C" w:rsidRDefault="006A2C66" w:rsidP="00936FEE">
      <w:pPr>
        <w:pStyle w:val="Heading2"/>
      </w:pPr>
      <w:r>
        <w:lastRenderedPageBreak/>
        <w:t>10.</w:t>
      </w:r>
      <w:r w:rsidR="00811B75">
        <w:t>10</w:t>
      </w:r>
      <w:r>
        <w:t xml:space="preserve"> </w:t>
      </w:r>
      <w:r w:rsidR="000C099C">
        <w:t>Preservation of Records</w:t>
      </w:r>
    </w:p>
    <w:p w14:paraId="1C3C749E" w14:textId="77777777" w:rsidR="000C099C" w:rsidRDefault="000C099C" w:rsidP="002D7AE4">
      <w:pPr>
        <w:rPr>
          <w:sz w:val="24"/>
        </w:rPr>
      </w:pPr>
      <w:r>
        <w:rPr>
          <w:sz w:val="24"/>
        </w:rPr>
        <w:t>The Company, or its clearing agent, as applicable, shall preserve for a period of not less than six (6) years, the first two (2) years in an easily accessible place, the following records:</w:t>
      </w:r>
    </w:p>
    <w:p w14:paraId="5652870C" w14:textId="77777777" w:rsidR="000C099C" w:rsidRDefault="000C099C" w:rsidP="002D7AE4">
      <w:pPr>
        <w:rPr>
          <w:sz w:val="24"/>
        </w:rPr>
      </w:pPr>
    </w:p>
    <w:p w14:paraId="3713B34C" w14:textId="77777777" w:rsidR="000C099C" w:rsidRDefault="000C099C" w:rsidP="00BB2760">
      <w:pPr>
        <w:ind w:left="1080" w:hanging="360"/>
        <w:rPr>
          <w:sz w:val="24"/>
        </w:rPr>
      </w:pPr>
      <w:r>
        <w:rPr>
          <w:sz w:val="24"/>
        </w:rPr>
        <w:t>1.</w:t>
      </w:r>
      <w:r>
        <w:rPr>
          <w:sz w:val="24"/>
        </w:rPr>
        <w:tab/>
        <w:t>Blotters (or other records of original entry);</w:t>
      </w:r>
    </w:p>
    <w:p w14:paraId="09D23F95" w14:textId="77777777" w:rsidR="000C099C" w:rsidRDefault="000C099C" w:rsidP="00BB2760">
      <w:pPr>
        <w:ind w:left="1080" w:hanging="360"/>
        <w:rPr>
          <w:sz w:val="24"/>
        </w:rPr>
      </w:pPr>
    </w:p>
    <w:p w14:paraId="61DDE9DB" w14:textId="77777777" w:rsidR="000C099C" w:rsidRDefault="000C099C" w:rsidP="00BB2760">
      <w:pPr>
        <w:ind w:left="1080" w:hanging="360"/>
        <w:rPr>
          <w:sz w:val="24"/>
        </w:rPr>
      </w:pPr>
      <w:r>
        <w:rPr>
          <w:sz w:val="24"/>
        </w:rPr>
        <w:t>2.</w:t>
      </w:r>
      <w:r>
        <w:rPr>
          <w:sz w:val="24"/>
        </w:rPr>
        <w:tab/>
        <w:t>Ledgers (or other records) reflecting all assets and liabilities, income and expense and capital accounts;</w:t>
      </w:r>
    </w:p>
    <w:p w14:paraId="19614F47" w14:textId="77777777" w:rsidR="000C099C" w:rsidRDefault="000C099C" w:rsidP="00BB2760">
      <w:pPr>
        <w:ind w:left="1080" w:hanging="360"/>
        <w:rPr>
          <w:sz w:val="24"/>
        </w:rPr>
      </w:pPr>
    </w:p>
    <w:p w14:paraId="452B0CAB" w14:textId="77777777" w:rsidR="000C099C" w:rsidRDefault="000C099C" w:rsidP="00BB2760">
      <w:pPr>
        <w:ind w:left="1080" w:hanging="360"/>
        <w:rPr>
          <w:sz w:val="24"/>
        </w:rPr>
      </w:pPr>
      <w:r>
        <w:rPr>
          <w:sz w:val="24"/>
        </w:rPr>
        <w:t>3.</w:t>
      </w:r>
      <w:r>
        <w:rPr>
          <w:sz w:val="24"/>
        </w:rPr>
        <w:tab/>
        <w:t>Ledger accounts (or other records) itemizing separately as to each cash and margin account of every customer and of the Company, all purchases, sales receipts and deliveries of securities and commodities for such accounts and all other debits and credits to such accounts; and</w:t>
      </w:r>
    </w:p>
    <w:p w14:paraId="1F91C69A" w14:textId="77777777" w:rsidR="000C099C" w:rsidRDefault="000C099C" w:rsidP="00BB2760">
      <w:pPr>
        <w:ind w:left="1080" w:hanging="360"/>
        <w:rPr>
          <w:sz w:val="24"/>
        </w:rPr>
      </w:pPr>
    </w:p>
    <w:p w14:paraId="367CCA8D" w14:textId="77777777" w:rsidR="000C099C" w:rsidRDefault="000C099C" w:rsidP="00BB2760">
      <w:pPr>
        <w:ind w:left="1080" w:hanging="360"/>
        <w:rPr>
          <w:sz w:val="24"/>
        </w:rPr>
      </w:pPr>
      <w:r>
        <w:rPr>
          <w:sz w:val="24"/>
        </w:rPr>
        <w:t>4.</w:t>
      </w:r>
      <w:r>
        <w:rPr>
          <w:sz w:val="24"/>
        </w:rPr>
        <w:tab/>
        <w:t>A securities record or ledger</w:t>
      </w:r>
      <w:r w:rsidR="00BB2760">
        <w:rPr>
          <w:sz w:val="24"/>
        </w:rPr>
        <w:t xml:space="preserve"> </w:t>
      </w:r>
      <w:r>
        <w:rPr>
          <w:sz w:val="24"/>
        </w:rPr>
        <w:t xml:space="preserve">reflecting separately for each security as of the clearance dates all "long" or "short" positions carried by the Company for its account or for the accounts of its customers or </w:t>
      </w:r>
      <w:r w:rsidR="00037096">
        <w:rPr>
          <w:sz w:val="24"/>
        </w:rPr>
        <w:t>others and</w:t>
      </w:r>
      <w:r>
        <w:rPr>
          <w:sz w:val="24"/>
        </w:rPr>
        <w:t xml:space="preserve"> showing the location of all securities long and the offsetting position to all securities short, and in all cases the name or designation of the account in which each position is carried.</w:t>
      </w:r>
    </w:p>
    <w:p w14:paraId="6C735D6F" w14:textId="77777777" w:rsidR="000C099C" w:rsidRDefault="000C099C" w:rsidP="002D7AE4">
      <w:pPr>
        <w:ind w:left="1440" w:hanging="720"/>
        <w:rPr>
          <w:sz w:val="24"/>
        </w:rPr>
      </w:pPr>
    </w:p>
    <w:p w14:paraId="20D45FD7" w14:textId="77777777" w:rsidR="000C099C" w:rsidRDefault="000C099C" w:rsidP="002D7AE4">
      <w:pPr>
        <w:rPr>
          <w:sz w:val="24"/>
        </w:rPr>
      </w:pPr>
      <w:r>
        <w:rPr>
          <w:sz w:val="24"/>
        </w:rPr>
        <w:t>The Company or its clearing agent, as applicable, shall preserve for a period of not less than three (3) years</w:t>
      </w:r>
      <w:r w:rsidR="00FD4D16">
        <w:rPr>
          <w:sz w:val="24"/>
        </w:rPr>
        <w:t xml:space="preserve"> </w:t>
      </w:r>
      <w:r w:rsidR="00FD4D16" w:rsidRPr="00B079F1">
        <w:rPr>
          <w:sz w:val="24"/>
        </w:rPr>
        <w:t>(municipal records 4 years)</w:t>
      </w:r>
      <w:r w:rsidRPr="00B079F1">
        <w:rPr>
          <w:sz w:val="24"/>
        </w:rPr>
        <w:t>,</w:t>
      </w:r>
      <w:r>
        <w:rPr>
          <w:sz w:val="24"/>
        </w:rPr>
        <w:t xml:space="preserve"> the first two (2) years in an accessible place, the following records:</w:t>
      </w:r>
    </w:p>
    <w:p w14:paraId="0E6D7FF8" w14:textId="77777777" w:rsidR="000C099C" w:rsidRDefault="000C099C" w:rsidP="002D7AE4">
      <w:pPr>
        <w:rPr>
          <w:sz w:val="24"/>
        </w:rPr>
      </w:pPr>
    </w:p>
    <w:p w14:paraId="19D2FDCD" w14:textId="77777777" w:rsidR="000C099C" w:rsidRDefault="000C099C" w:rsidP="00BB2760">
      <w:pPr>
        <w:ind w:left="1080" w:hanging="360"/>
        <w:rPr>
          <w:sz w:val="24"/>
        </w:rPr>
      </w:pPr>
      <w:r>
        <w:rPr>
          <w:sz w:val="24"/>
        </w:rPr>
        <w:t>1.</w:t>
      </w:r>
      <w:r>
        <w:rPr>
          <w:sz w:val="24"/>
        </w:rPr>
        <w:tab/>
        <w:t>Ledgers (or other records) required to be made pursuant to 1934 Act Rule 240.17a-3(a)(4);</w:t>
      </w:r>
    </w:p>
    <w:p w14:paraId="4E5F577F" w14:textId="77777777" w:rsidR="000C099C" w:rsidRDefault="000C099C" w:rsidP="00BB2760">
      <w:pPr>
        <w:ind w:left="1080" w:hanging="360"/>
        <w:rPr>
          <w:sz w:val="24"/>
        </w:rPr>
      </w:pPr>
    </w:p>
    <w:p w14:paraId="3AAC7B8E" w14:textId="3D16612E" w:rsidR="000C099C" w:rsidRPr="00D43D24" w:rsidRDefault="000C099C" w:rsidP="00BB2760">
      <w:pPr>
        <w:ind w:left="1080" w:hanging="360"/>
        <w:rPr>
          <w:sz w:val="24"/>
        </w:rPr>
      </w:pPr>
      <w:r>
        <w:rPr>
          <w:sz w:val="24"/>
        </w:rPr>
        <w:t>2.</w:t>
      </w:r>
      <w:r>
        <w:rPr>
          <w:sz w:val="24"/>
        </w:rPr>
        <w:tab/>
        <w:t xml:space="preserve">Memoranda of brokerage orders required to be made pursuant to 1934 Act Rule 240.17a-3(a)(6) through the </w:t>
      </w:r>
      <w:r w:rsidR="00B66931" w:rsidRPr="00D43D24">
        <w:rPr>
          <w:sz w:val="24"/>
        </w:rPr>
        <w:t>HT</w:t>
      </w:r>
      <w:r w:rsidRPr="00D43D24">
        <w:rPr>
          <w:sz w:val="24"/>
        </w:rPr>
        <w:t>S system</w:t>
      </w:r>
      <w:r w:rsidR="00B66931" w:rsidRPr="00D43D24">
        <w:rPr>
          <w:sz w:val="24"/>
        </w:rPr>
        <w:t xml:space="preserve"> and/or paper tickets</w:t>
      </w:r>
      <w:r w:rsidRPr="00D43D24">
        <w:rPr>
          <w:sz w:val="24"/>
        </w:rPr>
        <w:t>;</w:t>
      </w:r>
    </w:p>
    <w:p w14:paraId="060CB6F4" w14:textId="77777777" w:rsidR="000C099C" w:rsidRPr="00D43D24" w:rsidRDefault="000C099C" w:rsidP="00BB2760">
      <w:pPr>
        <w:ind w:left="1080" w:hanging="360"/>
        <w:rPr>
          <w:sz w:val="24"/>
        </w:rPr>
      </w:pPr>
    </w:p>
    <w:p w14:paraId="30D3633E" w14:textId="77777777" w:rsidR="000C099C" w:rsidRPr="00D43D24" w:rsidRDefault="000C099C" w:rsidP="00BB2760">
      <w:pPr>
        <w:ind w:left="1080" w:hanging="360"/>
        <w:rPr>
          <w:sz w:val="24"/>
        </w:rPr>
      </w:pPr>
      <w:r w:rsidRPr="00D43D24">
        <w:rPr>
          <w:sz w:val="24"/>
        </w:rPr>
        <w:t>3.</w:t>
      </w:r>
      <w:r w:rsidRPr="00D43D24">
        <w:rPr>
          <w:sz w:val="24"/>
        </w:rPr>
        <w:tab/>
        <w:t>Memoranda of purchases and sales required to be made pursuant to 1934 Act Rule 240.17a-3(a)(7);</w:t>
      </w:r>
    </w:p>
    <w:p w14:paraId="389308A2" w14:textId="77777777" w:rsidR="000C099C" w:rsidRPr="00D43D24" w:rsidRDefault="000C099C" w:rsidP="00BB2760">
      <w:pPr>
        <w:ind w:left="1080" w:hanging="360"/>
        <w:rPr>
          <w:sz w:val="24"/>
        </w:rPr>
      </w:pPr>
    </w:p>
    <w:p w14:paraId="7BBEF0C9" w14:textId="4D394F87" w:rsidR="000C099C" w:rsidRDefault="000C099C" w:rsidP="00BB2760">
      <w:pPr>
        <w:ind w:left="1080" w:hanging="360"/>
        <w:rPr>
          <w:sz w:val="24"/>
        </w:rPr>
      </w:pPr>
      <w:r w:rsidRPr="00D43D24">
        <w:rPr>
          <w:sz w:val="24"/>
        </w:rPr>
        <w:t>4.</w:t>
      </w:r>
      <w:r w:rsidRPr="00D43D24">
        <w:rPr>
          <w:sz w:val="24"/>
        </w:rPr>
        <w:tab/>
        <w:t xml:space="preserve">Copies of confirmations of all purchases and sales of securities required to be made pursuant to 1934 Act Rule 240.17a-3(a)(8) through the </w:t>
      </w:r>
      <w:r w:rsidR="000B54C0" w:rsidRPr="00D43D24">
        <w:rPr>
          <w:sz w:val="24"/>
        </w:rPr>
        <w:t>HT</w:t>
      </w:r>
      <w:r w:rsidRPr="00D43D24">
        <w:rPr>
          <w:sz w:val="24"/>
        </w:rPr>
        <w:t>S</w:t>
      </w:r>
      <w:r>
        <w:rPr>
          <w:sz w:val="24"/>
        </w:rPr>
        <w:t xml:space="preserve"> system;</w:t>
      </w:r>
    </w:p>
    <w:p w14:paraId="6728493A" w14:textId="77777777" w:rsidR="000C099C" w:rsidRDefault="000C099C" w:rsidP="00BB2760">
      <w:pPr>
        <w:ind w:left="1080" w:hanging="360"/>
        <w:rPr>
          <w:sz w:val="24"/>
        </w:rPr>
      </w:pPr>
    </w:p>
    <w:p w14:paraId="0F8E19CE" w14:textId="77777777" w:rsidR="000C099C" w:rsidRDefault="000C099C" w:rsidP="00BB2760">
      <w:pPr>
        <w:ind w:left="1080" w:hanging="360"/>
        <w:rPr>
          <w:sz w:val="24"/>
        </w:rPr>
      </w:pPr>
      <w:r>
        <w:rPr>
          <w:sz w:val="24"/>
        </w:rPr>
        <w:t>5.</w:t>
      </w:r>
      <w:r>
        <w:rPr>
          <w:sz w:val="24"/>
        </w:rPr>
        <w:tab/>
        <w:t>Records of each cash and margin account with the Company required to be made pursuant to 1934 Act Rule 17a-3(a)(9);</w:t>
      </w:r>
    </w:p>
    <w:p w14:paraId="59809E3E" w14:textId="77777777" w:rsidR="000C099C" w:rsidRDefault="000C099C" w:rsidP="00BB2760">
      <w:pPr>
        <w:ind w:left="1080" w:hanging="360"/>
        <w:rPr>
          <w:sz w:val="24"/>
        </w:rPr>
      </w:pPr>
    </w:p>
    <w:p w14:paraId="3643A962" w14:textId="77777777" w:rsidR="000C099C" w:rsidRDefault="000C099C" w:rsidP="00BB2760">
      <w:pPr>
        <w:ind w:left="1080" w:hanging="360"/>
        <w:rPr>
          <w:sz w:val="24"/>
        </w:rPr>
      </w:pPr>
      <w:r>
        <w:rPr>
          <w:sz w:val="24"/>
        </w:rPr>
        <w:t>6.</w:t>
      </w:r>
      <w:r>
        <w:rPr>
          <w:sz w:val="24"/>
        </w:rPr>
        <w:tab/>
        <w:t>Records of all puts, calls, spreads and other options required to be made pursuant to 1934 Act Rule 17a-3(a)(10);</w:t>
      </w:r>
    </w:p>
    <w:p w14:paraId="5CC5EDEA" w14:textId="77777777" w:rsidR="000C099C" w:rsidRDefault="000C099C" w:rsidP="00BB2760">
      <w:pPr>
        <w:ind w:left="1080" w:hanging="360"/>
        <w:rPr>
          <w:sz w:val="24"/>
        </w:rPr>
      </w:pPr>
    </w:p>
    <w:p w14:paraId="304517A1" w14:textId="77777777" w:rsidR="000C099C" w:rsidRDefault="000C099C" w:rsidP="00BB2760">
      <w:pPr>
        <w:ind w:left="1080" w:hanging="360"/>
        <w:rPr>
          <w:sz w:val="24"/>
        </w:rPr>
      </w:pPr>
      <w:r>
        <w:rPr>
          <w:sz w:val="24"/>
        </w:rPr>
        <w:t>7.</w:t>
      </w:r>
      <w:r>
        <w:rPr>
          <w:sz w:val="24"/>
        </w:rPr>
        <w:tab/>
        <w:t>All checkbooks, bank statements, canceled checks and cash reconciliations;</w:t>
      </w:r>
    </w:p>
    <w:p w14:paraId="65A84B5C" w14:textId="77777777" w:rsidR="000C099C" w:rsidRDefault="000C099C" w:rsidP="00BB2760">
      <w:pPr>
        <w:ind w:left="1080" w:hanging="360"/>
        <w:rPr>
          <w:sz w:val="24"/>
        </w:rPr>
      </w:pPr>
    </w:p>
    <w:p w14:paraId="045FFA64" w14:textId="77777777" w:rsidR="000C099C" w:rsidRDefault="000C099C" w:rsidP="00BB2760">
      <w:pPr>
        <w:ind w:left="1080" w:hanging="360"/>
        <w:rPr>
          <w:sz w:val="24"/>
        </w:rPr>
      </w:pPr>
      <w:r>
        <w:rPr>
          <w:sz w:val="24"/>
        </w:rPr>
        <w:t>8.</w:t>
      </w:r>
      <w:r>
        <w:rPr>
          <w:sz w:val="24"/>
        </w:rPr>
        <w:tab/>
        <w:t>All bills receivable or payable (or copies thereof), paid or unpaid, relating to the business of the Company;</w:t>
      </w:r>
    </w:p>
    <w:p w14:paraId="71158C5E" w14:textId="77777777" w:rsidR="000C099C" w:rsidRDefault="000C099C" w:rsidP="00BB2760">
      <w:pPr>
        <w:ind w:left="1080" w:hanging="360"/>
        <w:rPr>
          <w:sz w:val="24"/>
        </w:rPr>
      </w:pPr>
    </w:p>
    <w:p w14:paraId="62B6DB45" w14:textId="77777777" w:rsidR="000C099C" w:rsidRDefault="000C099C" w:rsidP="00BB2760">
      <w:pPr>
        <w:ind w:left="1080" w:hanging="360"/>
        <w:rPr>
          <w:sz w:val="24"/>
        </w:rPr>
      </w:pPr>
      <w:r>
        <w:rPr>
          <w:sz w:val="24"/>
        </w:rPr>
        <w:lastRenderedPageBreak/>
        <w:t>9.</w:t>
      </w:r>
      <w:r>
        <w:rPr>
          <w:sz w:val="24"/>
        </w:rPr>
        <w:tab/>
        <w:t xml:space="preserve">Originals of all communications </w:t>
      </w:r>
      <w:r w:rsidR="00037096">
        <w:rPr>
          <w:sz w:val="24"/>
        </w:rPr>
        <w:t>received,</w:t>
      </w:r>
      <w:r>
        <w:rPr>
          <w:sz w:val="24"/>
        </w:rPr>
        <w:t xml:space="preserve"> and copies of all communications sent by the Company relating to its business (including inter-office memoranda and communications);</w:t>
      </w:r>
    </w:p>
    <w:p w14:paraId="1C06E047" w14:textId="77777777" w:rsidR="000C099C" w:rsidRDefault="000C099C" w:rsidP="002D7AE4">
      <w:pPr>
        <w:ind w:left="1440" w:hanging="720"/>
        <w:rPr>
          <w:sz w:val="24"/>
        </w:rPr>
      </w:pPr>
    </w:p>
    <w:p w14:paraId="4ED6C115" w14:textId="77777777" w:rsidR="000C099C" w:rsidRDefault="000C099C" w:rsidP="00BB2760">
      <w:pPr>
        <w:ind w:left="1080" w:hanging="360"/>
        <w:rPr>
          <w:sz w:val="24"/>
        </w:rPr>
      </w:pPr>
      <w:r>
        <w:rPr>
          <w:sz w:val="24"/>
        </w:rPr>
        <w:t>10.</w:t>
      </w:r>
      <w:r>
        <w:rPr>
          <w:sz w:val="24"/>
        </w:rPr>
        <w:tab/>
        <w:t>All trial balances, computations of aggregate indebtedness and net capital (and accompanying working papers), financial statements, branch office reconciliations and internal audit working papers relating to its business;</w:t>
      </w:r>
    </w:p>
    <w:p w14:paraId="1FBA32CD" w14:textId="77777777" w:rsidR="000C099C" w:rsidRDefault="000C099C" w:rsidP="00BB2760">
      <w:pPr>
        <w:ind w:left="1080" w:hanging="360"/>
        <w:rPr>
          <w:sz w:val="24"/>
        </w:rPr>
      </w:pPr>
    </w:p>
    <w:p w14:paraId="453B92BA" w14:textId="77777777" w:rsidR="000C099C" w:rsidRDefault="000C099C" w:rsidP="00BB2760">
      <w:pPr>
        <w:ind w:left="1080" w:hanging="360"/>
        <w:rPr>
          <w:sz w:val="24"/>
        </w:rPr>
      </w:pPr>
      <w:r>
        <w:rPr>
          <w:sz w:val="24"/>
        </w:rPr>
        <w:t>11.</w:t>
      </w:r>
      <w:r>
        <w:rPr>
          <w:sz w:val="24"/>
        </w:rPr>
        <w:tab/>
        <w:t>All guarantees of accounts and all powers of attorney and other evidence of the granting of any discretionary authority given in respect of any account and copies of resolutions empowering an agent to act on behalf of a corporation;</w:t>
      </w:r>
    </w:p>
    <w:p w14:paraId="1978C283" w14:textId="77777777" w:rsidR="000C099C" w:rsidRDefault="000C099C" w:rsidP="00BB2760">
      <w:pPr>
        <w:ind w:left="1080" w:hanging="360"/>
        <w:rPr>
          <w:sz w:val="24"/>
        </w:rPr>
      </w:pPr>
    </w:p>
    <w:p w14:paraId="48CAE65E" w14:textId="77777777" w:rsidR="000C099C" w:rsidRDefault="000C099C" w:rsidP="00BB2760">
      <w:pPr>
        <w:ind w:left="1080" w:hanging="360"/>
        <w:rPr>
          <w:sz w:val="24"/>
        </w:rPr>
      </w:pPr>
      <w:r>
        <w:rPr>
          <w:sz w:val="24"/>
        </w:rPr>
        <w:t>12.</w:t>
      </w:r>
      <w:r>
        <w:rPr>
          <w:sz w:val="24"/>
        </w:rPr>
        <w:tab/>
        <w:t>All written agreements (or copies thereof) entered into by the Company relating to its business, including agreements with respect to any account;</w:t>
      </w:r>
    </w:p>
    <w:p w14:paraId="2AF488A1" w14:textId="77777777" w:rsidR="000C099C" w:rsidRDefault="000C099C" w:rsidP="00BB2760">
      <w:pPr>
        <w:ind w:left="1080" w:hanging="360"/>
        <w:rPr>
          <w:sz w:val="24"/>
        </w:rPr>
      </w:pPr>
    </w:p>
    <w:p w14:paraId="022A5239" w14:textId="77777777" w:rsidR="000C099C" w:rsidRDefault="000C099C" w:rsidP="00BB2760">
      <w:pPr>
        <w:ind w:left="1080" w:hanging="360"/>
        <w:rPr>
          <w:sz w:val="24"/>
        </w:rPr>
      </w:pPr>
      <w:r>
        <w:rPr>
          <w:sz w:val="24"/>
        </w:rPr>
        <w:t>13.</w:t>
      </w:r>
      <w:r>
        <w:rPr>
          <w:sz w:val="24"/>
        </w:rPr>
        <w:tab/>
        <w:t>Records which contain the information required by 1934 Act Rule 17a-4(b)(8) in support of amounts included in the report prepared as of the audit date on Form X-17A-5 Part II or Part IIA; and</w:t>
      </w:r>
    </w:p>
    <w:p w14:paraId="2CA0FDFE" w14:textId="77777777" w:rsidR="000C099C" w:rsidRDefault="000C099C" w:rsidP="00BB2760">
      <w:pPr>
        <w:ind w:left="1080" w:hanging="360"/>
        <w:rPr>
          <w:sz w:val="24"/>
        </w:rPr>
      </w:pPr>
    </w:p>
    <w:p w14:paraId="373CD656" w14:textId="77777777" w:rsidR="000C099C" w:rsidRDefault="000C099C" w:rsidP="00BB2760">
      <w:pPr>
        <w:ind w:left="1080" w:hanging="360"/>
        <w:rPr>
          <w:sz w:val="24"/>
        </w:rPr>
      </w:pPr>
      <w:r>
        <w:rPr>
          <w:sz w:val="24"/>
        </w:rPr>
        <w:t>14.</w:t>
      </w:r>
      <w:r>
        <w:rPr>
          <w:sz w:val="24"/>
        </w:rPr>
        <w:tab/>
        <w:t>With respect to broker-dealers subject to the requirements of 1934 Act Rule 15c3-3 concerning physical possession or control of fully paid and excess margin securities, a current and detailed description of the procedures followed by the Company to comply with the possession or control requirements of Rule 15c3-3.</w:t>
      </w:r>
    </w:p>
    <w:p w14:paraId="33F782A6" w14:textId="77777777" w:rsidR="000C099C" w:rsidRDefault="000C099C" w:rsidP="002D7AE4">
      <w:pPr>
        <w:ind w:left="1440" w:hanging="720"/>
        <w:rPr>
          <w:sz w:val="24"/>
        </w:rPr>
      </w:pPr>
    </w:p>
    <w:p w14:paraId="395BF93D" w14:textId="77777777" w:rsidR="000C099C" w:rsidRDefault="000C099C" w:rsidP="002D7AE4">
      <w:pPr>
        <w:rPr>
          <w:sz w:val="24"/>
        </w:rPr>
      </w:pPr>
      <w:r>
        <w:rPr>
          <w:sz w:val="24"/>
        </w:rPr>
        <w:t>The Company shall preserve, during its existence and that of any successor enterprise, all articles of incorporation or charter documents, minute books and stock certificate books.</w:t>
      </w:r>
    </w:p>
    <w:p w14:paraId="18757852" w14:textId="77777777" w:rsidR="000C099C" w:rsidRDefault="000C099C" w:rsidP="002D7AE4">
      <w:pPr>
        <w:rPr>
          <w:sz w:val="24"/>
        </w:rPr>
      </w:pPr>
    </w:p>
    <w:p w14:paraId="6D95AF7D" w14:textId="77777777" w:rsidR="000C099C" w:rsidRDefault="000C099C" w:rsidP="002D7AE4">
      <w:pPr>
        <w:rPr>
          <w:sz w:val="24"/>
        </w:rPr>
      </w:pPr>
      <w:r>
        <w:rPr>
          <w:sz w:val="24"/>
        </w:rPr>
        <w:t>The Company, or its clearing agent, as applicable, shall also preserve, for a period of not less than six (6) years after the closing of any customer's account, any account cards or records which relate to the terms and conditions with respect to the opening and maintenance of such account.</w:t>
      </w:r>
    </w:p>
    <w:p w14:paraId="227A361D" w14:textId="77777777" w:rsidR="000C099C" w:rsidRDefault="000C099C" w:rsidP="002D7AE4">
      <w:pPr>
        <w:rPr>
          <w:sz w:val="24"/>
        </w:rPr>
      </w:pPr>
    </w:p>
    <w:p w14:paraId="457AB8FF" w14:textId="77777777" w:rsidR="000C099C" w:rsidRDefault="000C099C" w:rsidP="002D7AE4">
      <w:pPr>
        <w:rPr>
          <w:sz w:val="24"/>
        </w:rPr>
      </w:pPr>
      <w:r>
        <w:rPr>
          <w:sz w:val="24"/>
        </w:rPr>
        <w:t>The Company shall also maintain and preserve in an easily accessible place:</w:t>
      </w:r>
    </w:p>
    <w:p w14:paraId="1017ECE6" w14:textId="77777777" w:rsidR="000C099C" w:rsidRDefault="000C099C" w:rsidP="002D7AE4">
      <w:pPr>
        <w:ind w:left="1440" w:hanging="720"/>
        <w:rPr>
          <w:sz w:val="24"/>
        </w:rPr>
      </w:pPr>
    </w:p>
    <w:p w14:paraId="00E7FA5E" w14:textId="77777777" w:rsidR="000C099C" w:rsidRDefault="000C099C" w:rsidP="001A046D">
      <w:pPr>
        <w:ind w:left="1080" w:hanging="360"/>
        <w:rPr>
          <w:sz w:val="24"/>
        </w:rPr>
      </w:pPr>
      <w:r>
        <w:rPr>
          <w:sz w:val="24"/>
        </w:rPr>
        <w:t>1.</w:t>
      </w:r>
      <w:r>
        <w:rPr>
          <w:sz w:val="24"/>
        </w:rPr>
        <w:tab/>
        <w:t>Questionnaires or applications for employment executed by each "associated person" of the Company, which questionnaires or applications shall be approved in writing by an authorized representative of the Company and contain at least the information required by 1934 Act Rule 17a-3(a)(12), until at least three (3) years after the "associated person" has terminated his or her employment and any other connection with the Company;</w:t>
      </w:r>
    </w:p>
    <w:p w14:paraId="5E7C8E36" w14:textId="77777777" w:rsidR="000C099C" w:rsidRDefault="000C099C" w:rsidP="001A046D">
      <w:pPr>
        <w:ind w:left="1080" w:hanging="360"/>
        <w:rPr>
          <w:sz w:val="24"/>
        </w:rPr>
      </w:pPr>
    </w:p>
    <w:p w14:paraId="6B6891F2" w14:textId="77777777" w:rsidR="000C099C" w:rsidRDefault="000C099C" w:rsidP="001A046D">
      <w:pPr>
        <w:ind w:left="1080" w:hanging="360"/>
        <w:rPr>
          <w:sz w:val="24"/>
        </w:rPr>
      </w:pPr>
      <w:r>
        <w:rPr>
          <w:sz w:val="24"/>
        </w:rPr>
        <w:t>2.</w:t>
      </w:r>
      <w:r>
        <w:rPr>
          <w:sz w:val="24"/>
        </w:rPr>
        <w:tab/>
        <w:t xml:space="preserve">All records required pursuant to 1934 Act Rule 17f-2(d) until at least three (3) years after the termination of employment or association of all persons required to be fingerprinted </w:t>
      </w:r>
      <w:r w:rsidR="00FD4D16">
        <w:rPr>
          <w:sz w:val="24"/>
        </w:rPr>
        <w:t>thereunder</w:t>
      </w:r>
      <w:r>
        <w:rPr>
          <w:sz w:val="24"/>
        </w:rPr>
        <w:t>;</w:t>
      </w:r>
    </w:p>
    <w:p w14:paraId="25B3DE89" w14:textId="77777777" w:rsidR="000C099C" w:rsidRDefault="000C099C" w:rsidP="001A046D">
      <w:pPr>
        <w:ind w:left="1080" w:hanging="360"/>
        <w:rPr>
          <w:sz w:val="24"/>
        </w:rPr>
      </w:pPr>
    </w:p>
    <w:p w14:paraId="006CFDB9" w14:textId="77777777" w:rsidR="000C099C" w:rsidRDefault="000C099C" w:rsidP="001A046D">
      <w:pPr>
        <w:ind w:left="1080" w:hanging="360"/>
        <w:rPr>
          <w:sz w:val="24"/>
        </w:rPr>
      </w:pPr>
      <w:r>
        <w:rPr>
          <w:sz w:val="24"/>
        </w:rPr>
        <w:t>3.</w:t>
      </w:r>
      <w:r>
        <w:rPr>
          <w:sz w:val="24"/>
        </w:rPr>
        <w:tab/>
        <w:t>All records required pursuant to 1934 Act Rule 17f-2(e) for the life of the enterprise; and</w:t>
      </w:r>
    </w:p>
    <w:p w14:paraId="704E4E69" w14:textId="77777777" w:rsidR="000C099C" w:rsidRDefault="000C099C" w:rsidP="001A046D">
      <w:pPr>
        <w:ind w:left="1080" w:hanging="360"/>
        <w:rPr>
          <w:sz w:val="24"/>
        </w:rPr>
      </w:pPr>
    </w:p>
    <w:p w14:paraId="072318CC" w14:textId="77777777" w:rsidR="000C099C" w:rsidRDefault="000C099C" w:rsidP="001A046D">
      <w:pPr>
        <w:ind w:left="1080" w:hanging="360"/>
        <w:rPr>
          <w:sz w:val="24"/>
        </w:rPr>
      </w:pPr>
      <w:r>
        <w:rPr>
          <w:sz w:val="24"/>
        </w:rPr>
        <w:lastRenderedPageBreak/>
        <w:t>4.</w:t>
      </w:r>
      <w:r>
        <w:rPr>
          <w:sz w:val="24"/>
        </w:rPr>
        <w:tab/>
        <w:t>Copies of all Forms X-17F-1A filed pursuant to 1934 Act Rule 17f-1 (Reporting and Inquiry for Missing, Lost, Counterfeit, Stolen Securities), all agreements between reporting institutions regarding registration or other aspects of Rule 17f-1, and all confirmations or other information received from the SEC or its designee as a result of any inquiry relating thereto, for three (3) years.</w:t>
      </w:r>
    </w:p>
    <w:p w14:paraId="687AF27E" w14:textId="77777777" w:rsidR="000C099C" w:rsidRDefault="000C099C" w:rsidP="002D7AE4">
      <w:pPr>
        <w:rPr>
          <w:sz w:val="24"/>
        </w:rPr>
      </w:pPr>
    </w:p>
    <w:p w14:paraId="4FB5C84E" w14:textId="77777777" w:rsidR="000C099C" w:rsidRDefault="000C099C" w:rsidP="002D7AE4">
      <w:pPr>
        <w:rPr>
          <w:sz w:val="24"/>
        </w:rPr>
      </w:pPr>
      <w:r>
        <w:rPr>
          <w:sz w:val="24"/>
        </w:rPr>
        <w:t>It shall be the responsibility of Morris Monroe to maintain the appropriate books and records as set forth herein and to retain said records in accordance with the provisions of SEC Rules 17a-3 and 17a-4.</w:t>
      </w:r>
    </w:p>
    <w:p w14:paraId="0BD22DD5" w14:textId="77777777" w:rsidR="000C099C" w:rsidRDefault="000C099C" w:rsidP="002D7AE4"/>
    <w:p w14:paraId="19350186" w14:textId="77777777" w:rsidR="00693D2A" w:rsidRPr="00693D2A" w:rsidRDefault="00872806" w:rsidP="002D7AE4">
      <w:pPr>
        <w:pStyle w:val="Heading3"/>
        <w:jc w:val="left"/>
      </w:pPr>
      <w:r>
        <w:t xml:space="preserve">10.10.1 </w:t>
      </w:r>
      <w:r w:rsidR="00693D2A">
        <w:t>Amendments to SEC Rule 17a-3 and 17a-4</w:t>
      </w:r>
    </w:p>
    <w:p w14:paraId="21882D8D" w14:textId="77777777" w:rsidR="000C099C" w:rsidRDefault="000C099C" w:rsidP="002D7AE4">
      <w:pPr>
        <w:ind w:left="270"/>
        <w:rPr>
          <w:sz w:val="24"/>
        </w:rPr>
      </w:pPr>
      <w:r>
        <w:rPr>
          <w:sz w:val="24"/>
        </w:rPr>
        <w:t>The Securities and Exchange Commission adopted amendments to Rules 17a-3 and 17a-4 [17 CFR 240.17a-3 and 240.17a-4] under the Securities Exchange Act of 1934 [17 U.S.C. 78, et seq.] on October 26, 2001. The amendments clarify and expand recordkeeping requirements with respect to purchase and sale documents, customer records, associated person records, customer complaints, and certain other matters, and require broker-dealers to maintain or promptly produce certain records at each office to which those records relate.  The effective date of the amendments to Exchange Act Rules 17a-3 and 17a-4 is May 2, 2003.</w:t>
      </w:r>
    </w:p>
    <w:p w14:paraId="004832B9" w14:textId="77777777" w:rsidR="000C099C" w:rsidRDefault="000C099C" w:rsidP="002D7AE4">
      <w:pPr>
        <w:ind w:left="270"/>
        <w:rPr>
          <w:sz w:val="24"/>
        </w:rPr>
      </w:pPr>
    </w:p>
    <w:p w14:paraId="6CCE9508" w14:textId="77777777" w:rsidR="000C099C" w:rsidRDefault="000C099C" w:rsidP="002D7AE4">
      <w:pPr>
        <w:ind w:left="270"/>
        <w:rPr>
          <w:sz w:val="24"/>
        </w:rPr>
      </w:pPr>
      <w:r>
        <w:rPr>
          <w:sz w:val="24"/>
        </w:rPr>
        <w:t>The amendments expand and specify minimum requirements with respect to the records that broker-dealers must make, and how long those records and other documents relating to a broker-dealer's business must be kept.  The amendments include the following:</w:t>
      </w:r>
    </w:p>
    <w:p w14:paraId="4C384C18" w14:textId="77777777" w:rsidR="000C099C" w:rsidRDefault="000C099C" w:rsidP="002D7AE4">
      <w:pPr>
        <w:rPr>
          <w:color w:val="454545"/>
          <w:sz w:val="24"/>
        </w:rPr>
      </w:pPr>
    </w:p>
    <w:p w14:paraId="26CC0412" w14:textId="77777777" w:rsidR="000C099C" w:rsidRDefault="000C099C" w:rsidP="00216F83">
      <w:pPr>
        <w:numPr>
          <w:ilvl w:val="0"/>
          <w:numId w:val="21"/>
        </w:numPr>
        <w:autoSpaceDE w:val="0"/>
        <w:autoSpaceDN w:val="0"/>
        <w:adjustRightInd w:val="0"/>
        <w:rPr>
          <w:sz w:val="24"/>
        </w:rPr>
      </w:pPr>
      <w:r>
        <w:rPr>
          <w:b/>
          <w:bCs/>
          <w:sz w:val="24"/>
        </w:rPr>
        <w:t>The definition of "office."</w:t>
      </w:r>
      <w:r>
        <w:rPr>
          <w:sz w:val="24"/>
        </w:rPr>
        <w:t xml:space="preserve"> The amended rules define "office" as locations where one or more associated persons regularly conduct a securities business. The final rules provide that instead of maintaining records at a particular office, a broker/dealer may choose to produce records promptly upon request at the office to which the records relate or at another place as agreed to by the regulator.   A broker/dealer is not required to maintain records at an office that is a private residence if only one associated person (or multiple associated persons if members of the same immediate family) regularly conducts business at office, the office is not held out to the public as an office, and neither customer funds nor securities are handled at the office. Instead, records pertaining to private residence offices may either be maintained at another location within the state of the office at the broker/dealer’s choosing or be produced promptly at an agreed upon location.  The records that broker/dealers must create as to each office include blotters, order tickets, customer account records, records with respect to associated persons, </w:t>
      </w:r>
      <w:r w:rsidR="00EF6358">
        <w:rPr>
          <w:sz w:val="24"/>
        </w:rPr>
        <w:t>customer complaints</w:t>
      </w:r>
      <w:r>
        <w:rPr>
          <w:sz w:val="24"/>
        </w:rPr>
        <w:t>, records evidencing compliance with SRO rules with regard to communications with the public, records of persons who can explain the information in the broker/dealer’s records, and records of each principal responsible for establishing record keeping compliance procedures.</w:t>
      </w:r>
    </w:p>
    <w:p w14:paraId="7BC4E7B9" w14:textId="55B26F5A" w:rsidR="000C099C" w:rsidRDefault="00872806" w:rsidP="002D7AE4">
      <w:pPr>
        <w:tabs>
          <w:tab w:val="num" w:pos="720"/>
        </w:tabs>
        <w:spacing w:before="100" w:beforeAutospacing="1" w:after="100" w:afterAutospacing="1" w:line="240" w:lineRule="atLeast"/>
        <w:ind w:left="720" w:hanging="360"/>
        <w:rPr>
          <w:sz w:val="24"/>
        </w:rPr>
      </w:pPr>
      <w:r>
        <w:rPr>
          <w:b/>
          <w:bCs/>
          <w:sz w:val="24"/>
        </w:rPr>
        <w:tab/>
      </w:r>
      <w:r w:rsidR="000C099C">
        <w:rPr>
          <w:b/>
          <w:bCs/>
          <w:sz w:val="24"/>
        </w:rPr>
        <w:t>Customer Account Records</w:t>
      </w:r>
      <w:r w:rsidR="00260A6A">
        <w:rPr>
          <w:b/>
          <w:bCs/>
          <w:sz w:val="24"/>
        </w:rPr>
        <w:t xml:space="preserve"> -</w:t>
      </w:r>
      <w:r w:rsidR="000C099C">
        <w:rPr>
          <w:sz w:val="24"/>
        </w:rPr>
        <w:t xml:space="preserve"> New Rule 17a-3(a)(17) requires the Company to create, for each account with a natural person as a customer or owner, an account record containing information prescribed by the rule. Broker/dealers have three years from May 2, 2003, to obtain and furnish customers with account record information for accounts in existence on May 2, 2003. This rule also states that the requirement does not apply in situations where: (1) accounts are not subject to </w:t>
      </w:r>
      <w:r w:rsidR="00812416" w:rsidRPr="00812416">
        <w:rPr>
          <w:color w:val="FF0000"/>
          <w:sz w:val="24"/>
        </w:rPr>
        <w:t>the</w:t>
      </w:r>
      <w:r w:rsidR="00812416">
        <w:rPr>
          <w:sz w:val="24"/>
        </w:rPr>
        <w:t xml:space="preserve"> </w:t>
      </w:r>
      <w:r w:rsidR="000C099C">
        <w:rPr>
          <w:sz w:val="24"/>
        </w:rPr>
        <w:t xml:space="preserve">SRO requirements; or (2) accounts have been inactive for 36 months.  Also effective May 2, 2003, each new customer of the Company must receive a copy of their new account information within 30 days after </w:t>
      </w:r>
      <w:r w:rsidR="000C099C">
        <w:rPr>
          <w:sz w:val="24"/>
        </w:rPr>
        <w:lastRenderedPageBreak/>
        <w:t>becoming a customer and every 3 years thereafter.  The Company will provide this via a letter (and/or email if customer disclosed their email address on the new account form) with the applicable merged fields from our customer database and maintain the date the letter was sent in the customer record of the database.  Returned forms will be updated in the system and filed in the customer file.</w:t>
      </w:r>
    </w:p>
    <w:p w14:paraId="4BFAA575" w14:textId="4CCFE656" w:rsidR="000C099C" w:rsidRDefault="00872806" w:rsidP="002D7AE4">
      <w:pPr>
        <w:tabs>
          <w:tab w:val="num" w:pos="720"/>
        </w:tabs>
        <w:spacing w:before="100" w:beforeAutospacing="1" w:after="100" w:afterAutospacing="1" w:line="240" w:lineRule="atLeast"/>
        <w:ind w:left="720" w:hanging="360"/>
        <w:rPr>
          <w:sz w:val="24"/>
        </w:rPr>
      </w:pPr>
      <w:bookmarkStart w:id="151" w:name="OrderTickets"/>
      <w:bookmarkEnd w:id="151"/>
      <w:r>
        <w:rPr>
          <w:b/>
          <w:bCs/>
          <w:sz w:val="24"/>
        </w:rPr>
        <w:tab/>
      </w:r>
      <w:r w:rsidR="000C099C">
        <w:rPr>
          <w:b/>
          <w:bCs/>
          <w:sz w:val="24"/>
        </w:rPr>
        <w:t>Order Tickets</w:t>
      </w:r>
      <w:r w:rsidR="00260A6A">
        <w:rPr>
          <w:b/>
          <w:bCs/>
          <w:sz w:val="24"/>
        </w:rPr>
        <w:t xml:space="preserve"> -</w:t>
      </w:r>
      <w:r w:rsidR="000C099C">
        <w:rPr>
          <w:sz w:val="24"/>
        </w:rPr>
        <w:t xml:space="preserve"> Rules 17a-3(a)(6) and 17a-3(a)(7) were amended to require that order tickets identify the time the order was received, even if subsequently executed; the identity of each associated person responsible for the account, if any; and any other person who entered or accepted the order on behalf of the customer, or, if applicable, a notation that a customer entered the order on an electronic system.   The Company’s order ticket information is generated by a report through the clearing firm’s </w:t>
      </w:r>
      <w:r w:rsidR="004A699A">
        <w:rPr>
          <w:sz w:val="24"/>
        </w:rPr>
        <w:t>s</w:t>
      </w:r>
      <w:r w:rsidR="000C099C">
        <w:rPr>
          <w:sz w:val="24"/>
        </w:rPr>
        <w:t xml:space="preserve">ystem and maintained in a ticket file.  The time the order is received is typically the time the order is entered, however, if there is a different time, it will be entered on the ticket report.  The person who entered the order is maintained electronically in the </w:t>
      </w:r>
      <w:r w:rsidR="004A699A" w:rsidRPr="00D43D24">
        <w:rPr>
          <w:sz w:val="24"/>
        </w:rPr>
        <w:t>HT</w:t>
      </w:r>
      <w:r w:rsidR="000C099C">
        <w:rPr>
          <w:sz w:val="24"/>
        </w:rPr>
        <w:t>S system.</w:t>
      </w:r>
    </w:p>
    <w:p w14:paraId="69AA6014" w14:textId="77777777" w:rsidR="000C099C" w:rsidRDefault="00872806" w:rsidP="002D7AE4">
      <w:pPr>
        <w:tabs>
          <w:tab w:val="num" w:pos="720"/>
        </w:tabs>
        <w:spacing w:before="100" w:beforeAutospacing="1" w:after="100" w:afterAutospacing="1" w:line="240" w:lineRule="atLeast"/>
        <w:ind w:left="720" w:hanging="360"/>
        <w:rPr>
          <w:sz w:val="24"/>
        </w:rPr>
      </w:pPr>
      <w:r>
        <w:rPr>
          <w:b/>
          <w:bCs/>
          <w:sz w:val="24"/>
        </w:rPr>
        <w:tab/>
      </w:r>
      <w:r w:rsidR="000C099C">
        <w:rPr>
          <w:b/>
          <w:bCs/>
          <w:sz w:val="24"/>
        </w:rPr>
        <w:t>Associated Persons Records</w:t>
      </w:r>
      <w:r w:rsidR="00260A6A">
        <w:rPr>
          <w:b/>
          <w:bCs/>
          <w:sz w:val="24"/>
        </w:rPr>
        <w:t xml:space="preserve"> - </w:t>
      </w:r>
      <w:r w:rsidR="000C099C">
        <w:rPr>
          <w:sz w:val="24"/>
        </w:rPr>
        <w:t>To help regulators identify associated persons and where they work, amendments to Rule 17a-3(a)(12) require broker/dealers to create records of all offices at which each associated person regularly conducts business as well as of all identification numbers assigned to the associated person.   All applicable information will be maintained at each branch office.</w:t>
      </w:r>
    </w:p>
    <w:p w14:paraId="4834D2A8" w14:textId="77777777" w:rsidR="000C099C" w:rsidRDefault="00872806" w:rsidP="002D7AE4">
      <w:pPr>
        <w:tabs>
          <w:tab w:val="num" w:pos="720"/>
        </w:tabs>
        <w:spacing w:before="100" w:beforeAutospacing="1" w:after="100" w:afterAutospacing="1" w:line="240" w:lineRule="atLeast"/>
        <w:ind w:left="720" w:hanging="360"/>
        <w:rPr>
          <w:sz w:val="24"/>
        </w:rPr>
      </w:pPr>
      <w:r>
        <w:rPr>
          <w:b/>
          <w:bCs/>
          <w:sz w:val="24"/>
        </w:rPr>
        <w:tab/>
      </w:r>
      <w:r w:rsidR="000C099C">
        <w:rPr>
          <w:b/>
          <w:bCs/>
          <w:sz w:val="24"/>
        </w:rPr>
        <w:t xml:space="preserve">Communications </w:t>
      </w:r>
      <w:r w:rsidR="00EF6358">
        <w:rPr>
          <w:b/>
          <w:bCs/>
          <w:sz w:val="24"/>
        </w:rPr>
        <w:t>with</w:t>
      </w:r>
      <w:r w:rsidR="000C099C">
        <w:rPr>
          <w:b/>
          <w:bCs/>
          <w:sz w:val="24"/>
        </w:rPr>
        <w:t xml:space="preserve"> the Public</w:t>
      </w:r>
      <w:r w:rsidR="00260A6A">
        <w:rPr>
          <w:b/>
          <w:bCs/>
          <w:sz w:val="24"/>
        </w:rPr>
        <w:t xml:space="preserve"> -</w:t>
      </w:r>
      <w:r w:rsidR="000C099C">
        <w:rPr>
          <w:sz w:val="24"/>
        </w:rPr>
        <w:t xml:space="preserve"> Under new Rule 17a-3(a)(20), broker/dealers are required to make records that demonstrate compliance with applicable federal regulations and SRO rules on communications with the public that require principal approval. </w:t>
      </w:r>
    </w:p>
    <w:p w14:paraId="2D824662" w14:textId="77777777" w:rsidR="000C099C" w:rsidRDefault="00872806" w:rsidP="002D7AE4">
      <w:pPr>
        <w:tabs>
          <w:tab w:val="num" w:pos="720"/>
        </w:tabs>
        <w:spacing w:before="100" w:beforeAutospacing="1" w:after="100" w:afterAutospacing="1" w:line="240" w:lineRule="atLeast"/>
        <w:ind w:left="720" w:hanging="360"/>
        <w:rPr>
          <w:sz w:val="24"/>
        </w:rPr>
      </w:pPr>
      <w:r>
        <w:rPr>
          <w:b/>
          <w:bCs/>
          <w:sz w:val="24"/>
        </w:rPr>
        <w:tab/>
      </w:r>
      <w:r w:rsidR="000C099C">
        <w:rPr>
          <w:b/>
          <w:bCs/>
          <w:sz w:val="24"/>
        </w:rPr>
        <w:t>Record Maintenance</w:t>
      </w:r>
      <w:r w:rsidR="00260A6A">
        <w:rPr>
          <w:b/>
          <w:bCs/>
          <w:sz w:val="24"/>
        </w:rPr>
        <w:t xml:space="preserve"> -</w:t>
      </w:r>
      <w:r w:rsidR="000C099C">
        <w:rPr>
          <w:sz w:val="24"/>
        </w:rPr>
        <w:t xml:space="preserve"> Amendments to Rule 17a-4 clarify the periods of time that records described in Rule 17a-3 must be maintained. The amended rules also require that broker/dealers maintain other information, including the following: </w:t>
      </w:r>
    </w:p>
    <w:p w14:paraId="79D2DEC9" w14:textId="77777777" w:rsidR="000C099C" w:rsidRDefault="000C099C" w:rsidP="002D7AE4">
      <w:pPr>
        <w:numPr>
          <w:ilvl w:val="1"/>
          <w:numId w:val="0"/>
        </w:numPr>
        <w:tabs>
          <w:tab w:val="num" w:pos="1440"/>
        </w:tabs>
        <w:spacing w:before="100" w:beforeAutospacing="1" w:after="100" w:afterAutospacing="1" w:line="240" w:lineRule="atLeast"/>
        <w:ind w:left="1440" w:hanging="360"/>
        <w:rPr>
          <w:sz w:val="24"/>
        </w:rPr>
      </w:pPr>
      <w:r>
        <w:rPr>
          <w:sz w:val="24"/>
        </w:rPr>
        <w:t xml:space="preserve">for the life of the entity, copies of Forms BD and all amendments thereto; </w:t>
      </w:r>
    </w:p>
    <w:p w14:paraId="29B9C646" w14:textId="77777777" w:rsidR="000C099C" w:rsidRDefault="000C099C" w:rsidP="002D7AE4">
      <w:pPr>
        <w:numPr>
          <w:ilvl w:val="1"/>
          <w:numId w:val="0"/>
        </w:numPr>
        <w:tabs>
          <w:tab w:val="num" w:pos="1440"/>
        </w:tabs>
        <w:spacing w:before="100" w:beforeAutospacing="1" w:after="100" w:afterAutospacing="1" w:line="240" w:lineRule="atLeast"/>
        <w:ind w:left="1440" w:hanging="360"/>
        <w:rPr>
          <w:sz w:val="24"/>
        </w:rPr>
      </w:pPr>
      <w:r>
        <w:rPr>
          <w:sz w:val="24"/>
        </w:rPr>
        <w:t xml:space="preserve">for three years after the date of the report, each examination report and all reports that a securities regulatory authority has requested or required a firm to create; </w:t>
      </w:r>
    </w:p>
    <w:p w14:paraId="56F82BA4" w14:textId="77777777" w:rsidR="000C099C" w:rsidRDefault="000C099C" w:rsidP="002D7AE4">
      <w:pPr>
        <w:numPr>
          <w:ilvl w:val="1"/>
          <w:numId w:val="0"/>
        </w:numPr>
        <w:tabs>
          <w:tab w:val="num" w:pos="1440"/>
        </w:tabs>
        <w:spacing w:before="100" w:beforeAutospacing="1" w:after="100" w:afterAutospacing="1" w:line="240" w:lineRule="atLeast"/>
        <w:ind w:left="1440" w:hanging="360"/>
        <w:rPr>
          <w:sz w:val="24"/>
        </w:rPr>
      </w:pPr>
      <w:r>
        <w:rPr>
          <w:sz w:val="24"/>
        </w:rPr>
        <w:t xml:space="preserve">for three years after the termination of use, all manuals describing the firm's policies and practices with respect to compliance and supervision; and </w:t>
      </w:r>
    </w:p>
    <w:p w14:paraId="09AF25F9" w14:textId="77777777" w:rsidR="000C099C" w:rsidRDefault="000C099C" w:rsidP="002D7AE4">
      <w:pPr>
        <w:numPr>
          <w:ilvl w:val="1"/>
          <w:numId w:val="0"/>
        </w:numPr>
        <w:tabs>
          <w:tab w:val="num" w:pos="1440"/>
        </w:tabs>
        <w:spacing w:before="100" w:beforeAutospacing="1" w:after="100" w:afterAutospacing="1" w:line="240" w:lineRule="atLeast"/>
        <w:ind w:left="1440" w:hanging="360"/>
        <w:rPr>
          <w:sz w:val="24"/>
        </w:rPr>
      </w:pPr>
      <w:r>
        <w:rPr>
          <w:sz w:val="24"/>
        </w:rPr>
        <w:t xml:space="preserve">for 18 months after the date the report was generated, reports created to review unusual activity in customer accounts. </w:t>
      </w:r>
    </w:p>
    <w:p w14:paraId="1F506A72" w14:textId="77777777" w:rsidR="00872806" w:rsidRPr="00872806" w:rsidRDefault="00872806" w:rsidP="002D7AE4">
      <w:pPr>
        <w:pStyle w:val="Heading3"/>
        <w:jc w:val="left"/>
        <w:rPr>
          <w:b w:val="0"/>
          <w:i/>
          <w:sz w:val="20"/>
          <w:szCs w:val="20"/>
        </w:rPr>
      </w:pPr>
      <w:r>
        <w:t xml:space="preserve">10.10.2 FINRA Rule 4511 – General Requirements </w:t>
      </w:r>
      <w:r>
        <w:rPr>
          <w:b w:val="0"/>
          <w:i/>
          <w:sz w:val="20"/>
          <w:szCs w:val="20"/>
        </w:rPr>
        <w:t>(</w:t>
      </w:r>
      <w:proofErr w:type="gramStart"/>
      <w:r>
        <w:rPr>
          <w:b w:val="0"/>
          <w:i/>
          <w:sz w:val="20"/>
          <w:szCs w:val="20"/>
        </w:rPr>
        <w:t>eff</w:t>
      </w:r>
      <w:proofErr w:type="gramEnd"/>
      <w:r>
        <w:rPr>
          <w:b w:val="0"/>
          <w:i/>
          <w:sz w:val="20"/>
          <w:szCs w:val="20"/>
        </w:rPr>
        <w:t xml:space="preserve"> 12/05/11)</w:t>
      </w:r>
    </w:p>
    <w:p w14:paraId="6B105899" w14:textId="77777777" w:rsidR="00872806" w:rsidRPr="00191405" w:rsidRDefault="00872806" w:rsidP="002D7AE4">
      <w:pPr>
        <w:autoSpaceDE w:val="0"/>
        <w:autoSpaceDN w:val="0"/>
        <w:adjustRightInd w:val="0"/>
        <w:ind w:left="270"/>
        <w:rPr>
          <w:sz w:val="24"/>
          <w:szCs w:val="24"/>
        </w:rPr>
      </w:pPr>
      <w:r w:rsidRPr="00191405">
        <w:rPr>
          <w:sz w:val="24"/>
          <w:szCs w:val="24"/>
        </w:rPr>
        <w:t>Pursuant to Rule 4511, Company shall 1) make and preserve books and records as required under the rules of FINRA, the Securities Exchange Act (SEA) and the applicable SEA rules; and (2) preserve the books and records required to be made pursuant to the FINRA rules in a format and media that complies with SEA Rule 17a-4.</w:t>
      </w:r>
    </w:p>
    <w:p w14:paraId="6D23E6D5" w14:textId="77777777" w:rsidR="00872806" w:rsidRPr="00191405" w:rsidRDefault="00872806" w:rsidP="002D7AE4">
      <w:pPr>
        <w:autoSpaceDE w:val="0"/>
        <w:autoSpaceDN w:val="0"/>
        <w:adjustRightInd w:val="0"/>
        <w:ind w:left="270"/>
        <w:rPr>
          <w:sz w:val="24"/>
          <w:szCs w:val="24"/>
        </w:rPr>
      </w:pPr>
    </w:p>
    <w:p w14:paraId="155B5FF5" w14:textId="77777777" w:rsidR="00872806" w:rsidRPr="00191405" w:rsidRDefault="00872806" w:rsidP="002D7AE4">
      <w:pPr>
        <w:autoSpaceDE w:val="0"/>
        <w:autoSpaceDN w:val="0"/>
        <w:adjustRightInd w:val="0"/>
        <w:ind w:left="270"/>
        <w:rPr>
          <w:sz w:val="24"/>
          <w:szCs w:val="24"/>
        </w:rPr>
      </w:pPr>
      <w:r w:rsidRPr="00191405">
        <w:rPr>
          <w:sz w:val="24"/>
          <w:szCs w:val="24"/>
        </w:rPr>
        <w:lastRenderedPageBreak/>
        <w:t>Additionally, Company shall preserve for a period of at least six years those FINRA books and records for which there is no specified retention period under the FINRA rules or applicable SEA rules.6 This six-year retention period is a default retention period for those FINRA rules that require firms to preserve certain books and records, but do not specify a retention period, and where there is no retention period specified under the SEA rules. In the absence of contrary guidance in a rule, if the books and records pertain to an account, the retention period is for six years after the date the account is closed; otherwise, the retention period is for six years after such books and records are made.</w:t>
      </w:r>
    </w:p>
    <w:p w14:paraId="6D7D071A" w14:textId="77777777" w:rsidR="00C62EA9" w:rsidRPr="00191405" w:rsidRDefault="00C62EA9" w:rsidP="002D7AE4">
      <w:pPr>
        <w:autoSpaceDE w:val="0"/>
        <w:autoSpaceDN w:val="0"/>
        <w:adjustRightInd w:val="0"/>
        <w:ind w:left="270"/>
        <w:rPr>
          <w:sz w:val="24"/>
          <w:szCs w:val="24"/>
        </w:rPr>
      </w:pPr>
    </w:p>
    <w:p w14:paraId="70866D20" w14:textId="77777777" w:rsidR="00C62EA9" w:rsidRPr="00191405" w:rsidRDefault="00C62EA9" w:rsidP="002D7AE4">
      <w:pPr>
        <w:pStyle w:val="Heading3"/>
        <w:jc w:val="left"/>
      </w:pPr>
      <w:r w:rsidRPr="00191405">
        <w:t xml:space="preserve">10.10.3 FINRA Rule 4512 – Customer Account Records </w:t>
      </w:r>
      <w:r w:rsidRPr="00191405">
        <w:rPr>
          <w:b w:val="0"/>
          <w:i/>
          <w:sz w:val="20"/>
          <w:szCs w:val="20"/>
        </w:rPr>
        <w:t>(</w:t>
      </w:r>
      <w:proofErr w:type="gramStart"/>
      <w:r w:rsidRPr="00191405">
        <w:rPr>
          <w:b w:val="0"/>
          <w:i/>
          <w:sz w:val="20"/>
          <w:szCs w:val="20"/>
        </w:rPr>
        <w:t>eff</w:t>
      </w:r>
      <w:proofErr w:type="gramEnd"/>
      <w:r w:rsidRPr="00191405">
        <w:rPr>
          <w:b w:val="0"/>
          <w:i/>
          <w:sz w:val="20"/>
          <w:szCs w:val="20"/>
        </w:rPr>
        <w:t xml:space="preserve"> 12/05/11)</w:t>
      </w:r>
    </w:p>
    <w:p w14:paraId="7015480D" w14:textId="77777777" w:rsidR="000C099C" w:rsidRPr="00191405" w:rsidRDefault="00C62EA9" w:rsidP="002D7AE4">
      <w:pPr>
        <w:autoSpaceDE w:val="0"/>
        <w:autoSpaceDN w:val="0"/>
        <w:adjustRightInd w:val="0"/>
        <w:ind w:left="270"/>
        <w:rPr>
          <w:sz w:val="24"/>
          <w:szCs w:val="24"/>
        </w:rPr>
      </w:pPr>
      <w:r w:rsidRPr="00191405">
        <w:rPr>
          <w:sz w:val="24"/>
          <w:szCs w:val="24"/>
        </w:rPr>
        <w:t xml:space="preserve">Company shall maintain the name of the Associated Person, if any, responsible for the account, rather than requiring the signature of the registered representative introducing the account. Where Company designates multiple individuals as being responsible for an account, Company shall maintain each of their names and a record indicating the scope of their responsibilities with respect to the account. </w:t>
      </w:r>
    </w:p>
    <w:p w14:paraId="7B7A1C6C" w14:textId="77777777" w:rsidR="00EA3C5E" w:rsidRPr="00191405" w:rsidRDefault="00EA3C5E" w:rsidP="002D7AE4">
      <w:pPr>
        <w:autoSpaceDE w:val="0"/>
        <w:autoSpaceDN w:val="0"/>
        <w:adjustRightInd w:val="0"/>
        <w:ind w:left="270"/>
        <w:rPr>
          <w:sz w:val="24"/>
          <w:szCs w:val="24"/>
        </w:rPr>
      </w:pPr>
    </w:p>
    <w:p w14:paraId="16A14543" w14:textId="77777777" w:rsidR="00EA3C5E" w:rsidRPr="00191405" w:rsidRDefault="00EA3C5E" w:rsidP="002D7AE4">
      <w:pPr>
        <w:autoSpaceDE w:val="0"/>
        <w:autoSpaceDN w:val="0"/>
        <w:adjustRightInd w:val="0"/>
        <w:ind w:left="270"/>
        <w:rPr>
          <w:sz w:val="24"/>
          <w:szCs w:val="24"/>
        </w:rPr>
      </w:pPr>
      <w:r w:rsidRPr="00191405">
        <w:rPr>
          <w:sz w:val="24"/>
          <w:szCs w:val="24"/>
        </w:rPr>
        <w:t>The following additional provisions shall apply:</w:t>
      </w:r>
    </w:p>
    <w:p w14:paraId="43EACFB7" w14:textId="77777777" w:rsidR="00EA3C5E" w:rsidRPr="00191405" w:rsidRDefault="00EA3C5E" w:rsidP="00216F83">
      <w:pPr>
        <w:numPr>
          <w:ilvl w:val="0"/>
          <w:numId w:val="21"/>
        </w:numPr>
        <w:autoSpaceDE w:val="0"/>
        <w:autoSpaceDN w:val="0"/>
        <w:adjustRightInd w:val="0"/>
        <w:rPr>
          <w:sz w:val="24"/>
          <w:szCs w:val="24"/>
        </w:rPr>
      </w:pPr>
      <w:r w:rsidRPr="00191405">
        <w:rPr>
          <w:sz w:val="24"/>
          <w:szCs w:val="24"/>
        </w:rPr>
        <w:t>To preserve: (1) any customer account information that subsequently is updated for at least six years after that update; and (2) the last update to any customer account information, or the original account information if there are no updates, for at least six years after the account is closed.</w:t>
      </w:r>
    </w:p>
    <w:p w14:paraId="222F780C" w14:textId="77777777" w:rsidR="00EA3C5E" w:rsidRPr="00191405" w:rsidRDefault="00EA3C5E" w:rsidP="00216F83">
      <w:pPr>
        <w:numPr>
          <w:ilvl w:val="0"/>
          <w:numId w:val="21"/>
        </w:numPr>
        <w:autoSpaceDE w:val="0"/>
        <w:autoSpaceDN w:val="0"/>
        <w:adjustRightInd w:val="0"/>
        <w:rPr>
          <w:sz w:val="24"/>
          <w:szCs w:val="24"/>
        </w:rPr>
      </w:pPr>
      <w:r w:rsidRPr="00191405">
        <w:rPr>
          <w:sz w:val="24"/>
          <w:szCs w:val="24"/>
        </w:rPr>
        <w:t>Company may be subject to additional recordkeeping requirements under the SEA.</w:t>
      </w:r>
    </w:p>
    <w:p w14:paraId="121D32AA" w14:textId="77777777" w:rsidR="00EA3C5E" w:rsidRPr="00191405" w:rsidRDefault="00EA3C5E" w:rsidP="00216F83">
      <w:pPr>
        <w:numPr>
          <w:ilvl w:val="0"/>
          <w:numId w:val="21"/>
        </w:numPr>
        <w:autoSpaceDE w:val="0"/>
        <w:autoSpaceDN w:val="0"/>
        <w:adjustRightInd w:val="0"/>
        <w:rPr>
          <w:sz w:val="24"/>
          <w:szCs w:val="24"/>
        </w:rPr>
      </w:pPr>
      <w:r w:rsidRPr="00191405">
        <w:rPr>
          <w:sz w:val="24"/>
          <w:szCs w:val="24"/>
        </w:rPr>
        <w:t>Company shall comply with the requirements of FINRA Rule 2070 (Transactions Involving FINRA Employees).</w:t>
      </w:r>
    </w:p>
    <w:p w14:paraId="052D501F" w14:textId="77777777" w:rsidR="00B41756" w:rsidRPr="00191405" w:rsidRDefault="00B41756" w:rsidP="002D7AE4">
      <w:pPr>
        <w:autoSpaceDE w:val="0"/>
        <w:autoSpaceDN w:val="0"/>
        <w:adjustRightInd w:val="0"/>
        <w:ind w:left="270"/>
        <w:rPr>
          <w:sz w:val="24"/>
          <w:szCs w:val="24"/>
        </w:rPr>
      </w:pPr>
    </w:p>
    <w:p w14:paraId="366756C1" w14:textId="77777777" w:rsidR="00EA3C5E" w:rsidRPr="00191405" w:rsidRDefault="00B41756" w:rsidP="002D7AE4">
      <w:pPr>
        <w:pStyle w:val="Heading3"/>
        <w:jc w:val="left"/>
        <w:rPr>
          <w:bCs/>
        </w:rPr>
      </w:pPr>
      <w:r w:rsidRPr="00191405">
        <w:t xml:space="preserve">10.10.4 FINRA Rule 4513 – Customer Complaint Records </w:t>
      </w:r>
      <w:r w:rsidRPr="00191405">
        <w:rPr>
          <w:b w:val="0"/>
          <w:i/>
          <w:sz w:val="20"/>
          <w:szCs w:val="20"/>
        </w:rPr>
        <w:t>(</w:t>
      </w:r>
      <w:proofErr w:type="gramStart"/>
      <w:r w:rsidRPr="00191405">
        <w:rPr>
          <w:b w:val="0"/>
          <w:i/>
          <w:sz w:val="20"/>
          <w:szCs w:val="20"/>
        </w:rPr>
        <w:t>eff</w:t>
      </w:r>
      <w:proofErr w:type="gramEnd"/>
      <w:r w:rsidRPr="00191405">
        <w:rPr>
          <w:b w:val="0"/>
          <w:i/>
          <w:sz w:val="20"/>
          <w:szCs w:val="20"/>
        </w:rPr>
        <w:t xml:space="preserve"> 12/05/11)</w:t>
      </w:r>
    </w:p>
    <w:p w14:paraId="35780B5F" w14:textId="77777777" w:rsidR="000C099C" w:rsidRPr="00191405" w:rsidRDefault="00B41756" w:rsidP="002D7AE4">
      <w:pPr>
        <w:autoSpaceDE w:val="0"/>
        <w:autoSpaceDN w:val="0"/>
        <w:adjustRightInd w:val="0"/>
        <w:ind w:left="270"/>
        <w:rPr>
          <w:sz w:val="24"/>
          <w:szCs w:val="24"/>
        </w:rPr>
      </w:pPr>
      <w:bookmarkStart w:id="152" w:name="_Toc152498551"/>
      <w:r w:rsidRPr="00191405">
        <w:rPr>
          <w:sz w:val="24"/>
          <w:szCs w:val="24"/>
        </w:rPr>
        <w:t>Company shall preserve records of written customer complaints at each office of supervisory jurisdiction (OSJ).  The customer complaint records in each OSJ applies only to complaints that relate to that office, including complaints that relate to activities supervised from that office. Company may maintain the required records at the OSJ or make them promptly available at such office upon FINRA’s request.</w:t>
      </w:r>
      <w:r w:rsidR="005317E3">
        <w:rPr>
          <w:sz w:val="24"/>
          <w:szCs w:val="24"/>
        </w:rPr>
        <w:t xml:space="preserve">  </w:t>
      </w:r>
      <w:r w:rsidRPr="00191405">
        <w:rPr>
          <w:sz w:val="24"/>
          <w:szCs w:val="24"/>
        </w:rPr>
        <w:t>Customer complaint records shall be preserved for a period of at least four years.</w:t>
      </w:r>
    </w:p>
    <w:p w14:paraId="59590C82" w14:textId="77777777" w:rsidR="00B41756" w:rsidRPr="00191405" w:rsidRDefault="00B41756" w:rsidP="002D7AE4"/>
    <w:p w14:paraId="4841BEA1" w14:textId="77777777" w:rsidR="00B41756" w:rsidRPr="00191405" w:rsidRDefault="00B41756" w:rsidP="002D7AE4"/>
    <w:p w14:paraId="1D3AF371" w14:textId="77777777" w:rsidR="000C099C" w:rsidRDefault="006A2C66" w:rsidP="002D7AE4">
      <w:pPr>
        <w:pStyle w:val="MRS"/>
        <w:jc w:val="left"/>
        <w:outlineLvl w:val="1"/>
      </w:pPr>
      <w:r>
        <w:rPr>
          <w:b/>
        </w:rPr>
        <w:t>10.</w:t>
      </w:r>
      <w:r w:rsidR="004C3171">
        <w:rPr>
          <w:b/>
        </w:rPr>
        <w:t>1</w:t>
      </w:r>
      <w:r w:rsidR="00811B75">
        <w:rPr>
          <w:b/>
        </w:rPr>
        <w:t>1</w:t>
      </w:r>
      <w:r>
        <w:rPr>
          <w:b/>
        </w:rPr>
        <w:t xml:space="preserve"> </w:t>
      </w:r>
      <w:r w:rsidR="000C099C">
        <w:rPr>
          <w:b/>
        </w:rPr>
        <w:t>Electronic Storage</w:t>
      </w:r>
      <w:bookmarkEnd w:id="152"/>
    </w:p>
    <w:p w14:paraId="7999FE6E" w14:textId="77777777" w:rsidR="000C099C" w:rsidRDefault="000C099C" w:rsidP="002D7AE4">
      <w:pPr>
        <w:tabs>
          <w:tab w:val="left" w:pos="360"/>
          <w:tab w:val="left" w:pos="720"/>
          <w:tab w:val="left" w:pos="2592"/>
          <w:tab w:val="left" w:pos="7200"/>
        </w:tabs>
        <w:rPr>
          <w:snapToGrid w:val="0"/>
          <w:sz w:val="24"/>
        </w:rPr>
      </w:pPr>
      <w:r>
        <w:rPr>
          <w:sz w:val="24"/>
        </w:rPr>
        <w:t xml:space="preserve">Morris Monroe </w:t>
      </w:r>
      <w:r>
        <w:rPr>
          <w:snapToGrid w:val="0"/>
          <w:sz w:val="24"/>
        </w:rPr>
        <w:t xml:space="preserve">will notify </w:t>
      </w:r>
      <w:r w:rsidRPr="000C099C">
        <w:rPr>
          <w:snapToGrid w:val="0"/>
          <w:sz w:val="24"/>
        </w:rPr>
        <w:t>FINRA</w:t>
      </w:r>
      <w:r>
        <w:rPr>
          <w:snapToGrid w:val="0"/>
          <w:sz w:val="24"/>
        </w:rPr>
        <w:t xml:space="preserve"> prior to employing electronic storage of the Company’s books and records in an electronic storage media.  </w:t>
      </w:r>
    </w:p>
    <w:p w14:paraId="23C2ADA3" w14:textId="77777777" w:rsidR="000C099C" w:rsidRDefault="000C099C" w:rsidP="002D7AE4">
      <w:pPr>
        <w:tabs>
          <w:tab w:val="left" w:pos="576"/>
          <w:tab w:val="left" w:pos="720"/>
          <w:tab w:val="left" w:pos="2592"/>
          <w:tab w:val="left" w:pos="7200"/>
        </w:tabs>
        <w:rPr>
          <w:snapToGrid w:val="0"/>
          <w:sz w:val="24"/>
        </w:rPr>
      </w:pPr>
    </w:p>
    <w:p w14:paraId="7E8BFA70" w14:textId="77777777" w:rsidR="000C099C" w:rsidRPr="006A2C66" w:rsidRDefault="006A2C66" w:rsidP="002D7AE4">
      <w:pPr>
        <w:pStyle w:val="Heading3"/>
        <w:jc w:val="left"/>
        <w:rPr>
          <w:snapToGrid w:val="0"/>
        </w:rPr>
      </w:pPr>
      <w:bookmarkStart w:id="153" w:name="_Toc152498552"/>
      <w:r>
        <w:rPr>
          <w:snapToGrid w:val="0"/>
        </w:rPr>
        <w:t>10.</w:t>
      </w:r>
      <w:r w:rsidR="004C3171">
        <w:rPr>
          <w:snapToGrid w:val="0"/>
        </w:rPr>
        <w:t>1</w:t>
      </w:r>
      <w:r w:rsidR="00811B75">
        <w:rPr>
          <w:snapToGrid w:val="0"/>
        </w:rPr>
        <w:t>1</w:t>
      </w:r>
      <w:r>
        <w:rPr>
          <w:snapToGrid w:val="0"/>
        </w:rPr>
        <w:t xml:space="preserve">.1 </w:t>
      </w:r>
      <w:r w:rsidR="000C099C" w:rsidRPr="006A2C66">
        <w:rPr>
          <w:snapToGrid w:val="0"/>
        </w:rPr>
        <w:t>Third Party Representation</w:t>
      </w:r>
      <w:bookmarkEnd w:id="153"/>
    </w:p>
    <w:p w14:paraId="5B138BAE" w14:textId="77777777" w:rsidR="000C099C" w:rsidRDefault="000C099C" w:rsidP="002D7AE4">
      <w:pPr>
        <w:tabs>
          <w:tab w:val="left" w:pos="360"/>
          <w:tab w:val="left" w:pos="720"/>
          <w:tab w:val="left" w:pos="2592"/>
          <w:tab w:val="left" w:pos="7200"/>
        </w:tabs>
        <w:ind w:left="270"/>
        <w:rPr>
          <w:snapToGrid w:val="0"/>
          <w:sz w:val="24"/>
        </w:rPr>
      </w:pPr>
      <w:r>
        <w:rPr>
          <w:sz w:val="24"/>
        </w:rPr>
        <w:t>Morris Monroe</w:t>
      </w:r>
      <w:r>
        <w:rPr>
          <w:snapToGrid w:val="0"/>
          <w:sz w:val="24"/>
        </w:rPr>
        <w:t xml:space="preserve"> will provide the representation or obtain the representation from the storage medium vendor or other third party with appropriate expertise that the selected storage media meets the following criterion. The electronic storage media must:</w:t>
      </w:r>
    </w:p>
    <w:p w14:paraId="17E268C2" w14:textId="77777777" w:rsidR="000C099C" w:rsidRDefault="000C099C" w:rsidP="002D7AE4">
      <w:pPr>
        <w:pStyle w:val="BodyTextIndent"/>
        <w:tabs>
          <w:tab w:val="left" w:pos="1080"/>
          <w:tab w:val="left" w:pos="1260"/>
          <w:tab w:val="left" w:pos="1440"/>
        </w:tabs>
        <w:jc w:val="left"/>
        <w:rPr>
          <w:snapToGrid w:val="0"/>
        </w:rPr>
      </w:pPr>
    </w:p>
    <w:p w14:paraId="63D98615" w14:textId="77777777" w:rsidR="000C099C" w:rsidRDefault="000C099C" w:rsidP="00D825C4">
      <w:pPr>
        <w:pStyle w:val="BodyTextIndent"/>
        <w:tabs>
          <w:tab w:val="left" w:pos="1080"/>
          <w:tab w:val="left" w:pos="1260"/>
        </w:tabs>
        <w:ind w:left="990"/>
        <w:jc w:val="left"/>
      </w:pPr>
      <w:r>
        <w:t>(A) Preserve the records exclusively in a non-rewriteable, non-erasable format;</w:t>
      </w:r>
    </w:p>
    <w:p w14:paraId="2AF9C8E5" w14:textId="77777777" w:rsidR="000C099C" w:rsidRDefault="000C099C" w:rsidP="00D825C4">
      <w:pPr>
        <w:pStyle w:val="BodyTextIndent"/>
        <w:tabs>
          <w:tab w:val="left" w:pos="1080"/>
          <w:tab w:val="left" w:pos="1260"/>
        </w:tabs>
        <w:ind w:left="990"/>
        <w:jc w:val="left"/>
      </w:pPr>
    </w:p>
    <w:p w14:paraId="4B9CB6EF" w14:textId="533C8A53" w:rsidR="000C099C" w:rsidRDefault="000C099C" w:rsidP="00D825C4">
      <w:pPr>
        <w:widowControl w:val="0"/>
        <w:tabs>
          <w:tab w:val="left" w:pos="1080"/>
          <w:tab w:val="left" w:pos="1350"/>
        </w:tabs>
        <w:ind w:left="990" w:hanging="360"/>
        <w:rPr>
          <w:snapToGrid w:val="0"/>
          <w:sz w:val="24"/>
        </w:rPr>
      </w:pPr>
      <w:r>
        <w:rPr>
          <w:snapToGrid w:val="0"/>
          <w:sz w:val="24"/>
        </w:rPr>
        <w:t xml:space="preserve">(B) </w:t>
      </w:r>
      <w:r w:rsidR="00D43D24">
        <w:rPr>
          <w:snapToGrid w:val="0"/>
          <w:sz w:val="24"/>
        </w:rPr>
        <w:t>Automatically verify</w:t>
      </w:r>
      <w:r>
        <w:rPr>
          <w:snapToGrid w:val="0"/>
          <w:sz w:val="24"/>
        </w:rPr>
        <w:t xml:space="preserve"> the quality and accuracy of the storage media recording process;</w:t>
      </w:r>
    </w:p>
    <w:p w14:paraId="5622BC13" w14:textId="77777777" w:rsidR="000C099C" w:rsidRDefault="000C099C" w:rsidP="00D825C4">
      <w:pPr>
        <w:widowControl w:val="0"/>
        <w:tabs>
          <w:tab w:val="left" w:pos="1080"/>
          <w:tab w:val="left" w:pos="1350"/>
        </w:tabs>
        <w:ind w:left="990" w:hanging="360"/>
        <w:rPr>
          <w:snapToGrid w:val="0"/>
          <w:sz w:val="24"/>
        </w:rPr>
      </w:pPr>
    </w:p>
    <w:p w14:paraId="0D960929" w14:textId="77777777" w:rsidR="000C099C" w:rsidRDefault="000C099C" w:rsidP="00D825C4">
      <w:pPr>
        <w:widowControl w:val="0"/>
        <w:tabs>
          <w:tab w:val="left" w:pos="1080"/>
          <w:tab w:val="left" w:pos="1350"/>
        </w:tabs>
        <w:ind w:left="990" w:hanging="360"/>
        <w:rPr>
          <w:snapToGrid w:val="0"/>
          <w:sz w:val="24"/>
        </w:rPr>
      </w:pPr>
      <w:r>
        <w:rPr>
          <w:snapToGrid w:val="0"/>
          <w:sz w:val="24"/>
        </w:rPr>
        <w:t xml:space="preserve">(C) Serialize the original and, if applicable, duplicate units of storage media, and time-date for the required period of retention the information placed on such electronic </w:t>
      </w:r>
      <w:r>
        <w:rPr>
          <w:snapToGrid w:val="0"/>
          <w:sz w:val="24"/>
        </w:rPr>
        <w:lastRenderedPageBreak/>
        <w:t>storage media; and</w:t>
      </w:r>
    </w:p>
    <w:p w14:paraId="4FEA1EB8" w14:textId="77777777" w:rsidR="000C099C" w:rsidRPr="000C099C" w:rsidRDefault="000C099C" w:rsidP="00D825C4">
      <w:pPr>
        <w:pStyle w:val="BodyTextIndent3"/>
        <w:keepNext/>
        <w:widowControl w:val="0"/>
        <w:tabs>
          <w:tab w:val="left" w:pos="1080"/>
          <w:tab w:val="left" w:pos="1350"/>
          <w:tab w:val="left" w:pos="9360"/>
        </w:tabs>
        <w:spacing w:after="0"/>
        <w:ind w:left="990" w:hanging="360"/>
        <w:jc w:val="left"/>
        <w:rPr>
          <w:snapToGrid w:val="0"/>
          <w:szCs w:val="24"/>
        </w:rPr>
      </w:pPr>
      <w:r>
        <w:rPr>
          <w:snapToGrid w:val="0"/>
          <w:szCs w:val="24"/>
        </w:rPr>
        <w:t xml:space="preserve">(D) Have the capacity to readily download indexes and records preserved on </w:t>
      </w:r>
      <w:r w:rsidR="00EF6358">
        <w:rPr>
          <w:snapToGrid w:val="0"/>
          <w:szCs w:val="24"/>
        </w:rPr>
        <w:t>the electronic</w:t>
      </w:r>
      <w:r>
        <w:rPr>
          <w:snapToGrid w:val="0"/>
          <w:szCs w:val="24"/>
        </w:rPr>
        <w:t xml:space="preserve"> storage media to any medium acceptable under as required by the Commission or the </w:t>
      </w:r>
      <w:r w:rsidRPr="000C099C">
        <w:rPr>
          <w:snapToGrid w:val="0"/>
          <w:szCs w:val="24"/>
        </w:rPr>
        <w:t>FINRA.</w:t>
      </w:r>
    </w:p>
    <w:p w14:paraId="63A954DB" w14:textId="77777777" w:rsidR="000C099C" w:rsidRPr="000C099C" w:rsidRDefault="000C099C" w:rsidP="002D7AE4">
      <w:pPr>
        <w:pStyle w:val="BodyTextIndent3"/>
        <w:widowControl w:val="0"/>
        <w:tabs>
          <w:tab w:val="left" w:pos="1350"/>
        </w:tabs>
        <w:spacing w:after="0"/>
        <w:jc w:val="left"/>
        <w:rPr>
          <w:snapToGrid w:val="0"/>
        </w:rPr>
      </w:pPr>
    </w:p>
    <w:p w14:paraId="7229317E" w14:textId="77777777" w:rsidR="006A2C66" w:rsidRDefault="006A2C66" w:rsidP="002D7AE4">
      <w:pPr>
        <w:pStyle w:val="Heading3"/>
        <w:jc w:val="left"/>
        <w:rPr>
          <w:snapToGrid w:val="0"/>
        </w:rPr>
      </w:pPr>
      <w:bookmarkStart w:id="154" w:name="_Toc152498553"/>
      <w:r>
        <w:rPr>
          <w:snapToGrid w:val="0"/>
        </w:rPr>
        <w:t>10.</w:t>
      </w:r>
      <w:r w:rsidR="004C3171">
        <w:rPr>
          <w:snapToGrid w:val="0"/>
        </w:rPr>
        <w:t>1</w:t>
      </w:r>
      <w:r w:rsidR="00811B75">
        <w:rPr>
          <w:snapToGrid w:val="0"/>
        </w:rPr>
        <w:t>1</w:t>
      </w:r>
      <w:r>
        <w:rPr>
          <w:snapToGrid w:val="0"/>
        </w:rPr>
        <w:t xml:space="preserve">.2 </w:t>
      </w:r>
      <w:r w:rsidR="000C099C" w:rsidRPr="000C099C">
        <w:rPr>
          <w:snapToGrid w:val="0"/>
        </w:rPr>
        <w:t>Requirements for the Use of Electronic Storage</w:t>
      </w:r>
      <w:bookmarkEnd w:id="154"/>
    </w:p>
    <w:p w14:paraId="315CAA1B" w14:textId="77777777" w:rsidR="000C099C" w:rsidRPr="006A2C66" w:rsidRDefault="000C099C" w:rsidP="002D7AE4">
      <w:pPr>
        <w:ind w:left="270"/>
        <w:rPr>
          <w:snapToGrid w:val="0"/>
          <w:sz w:val="24"/>
          <w:szCs w:val="24"/>
        </w:rPr>
      </w:pPr>
      <w:r w:rsidRPr="006A2C66">
        <w:rPr>
          <w:snapToGrid w:val="0"/>
          <w:sz w:val="24"/>
          <w:szCs w:val="24"/>
        </w:rPr>
        <w:t>The Company will comply with the following requirements in the use of electronic storage media:</w:t>
      </w:r>
    </w:p>
    <w:p w14:paraId="4AF6A70C" w14:textId="77777777" w:rsidR="000C099C" w:rsidRPr="000C099C" w:rsidRDefault="000C099C" w:rsidP="002D7AE4">
      <w:pPr>
        <w:widowControl w:val="0"/>
        <w:ind w:firstLine="720"/>
        <w:rPr>
          <w:snapToGrid w:val="0"/>
          <w:sz w:val="24"/>
        </w:rPr>
      </w:pPr>
    </w:p>
    <w:p w14:paraId="73735E02" w14:textId="77777777" w:rsidR="000C099C" w:rsidRDefault="000C099C" w:rsidP="00D825C4">
      <w:pPr>
        <w:widowControl w:val="0"/>
        <w:spacing w:before="20" w:after="20"/>
        <w:ind w:left="990" w:hanging="360"/>
        <w:rPr>
          <w:snapToGrid w:val="0"/>
          <w:sz w:val="24"/>
        </w:rPr>
      </w:pPr>
      <w:r w:rsidRPr="000C099C">
        <w:rPr>
          <w:snapToGrid w:val="0"/>
          <w:sz w:val="24"/>
        </w:rPr>
        <w:t>(</w:t>
      </w:r>
      <w:proofErr w:type="spellStart"/>
      <w:r w:rsidRPr="000C099C">
        <w:rPr>
          <w:snapToGrid w:val="0"/>
          <w:sz w:val="24"/>
        </w:rPr>
        <w:t>i</w:t>
      </w:r>
      <w:proofErr w:type="spellEnd"/>
      <w:r w:rsidRPr="000C099C">
        <w:rPr>
          <w:snapToGrid w:val="0"/>
          <w:sz w:val="24"/>
        </w:rPr>
        <w:t>) At all times have available, for examination by the staffs of the Commission and the FINRA, facilities for immediate, easily readable projection or production of micrographic media or electronic storage media images and for producing easily readable images.</w:t>
      </w:r>
    </w:p>
    <w:p w14:paraId="2BEA6D16" w14:textId="77777777" w:rsidR="002E2C99" w:rsidRPr="002E2C99" w:rsidRDefault="002E2C99" w:rsidP="00D825C4">
      <w:pPr>
        <w:widowControl w:val="0"/>
        <w:spacing w:before="20" w:after="20"/>
        <w:ind w:left="990" w:hanging="360"/>
        <w:rPr>
          <w:snapToGrid w:val="0"/>
          <w:sz w:val="16"/>
          <w:szCs w:val="16"/>
        </w:rPr>
      </w:pPr>
    </w:p>
    <w:p w14:paraId="5B67B04B" w14:textId="77777777" w:rsidR="000C099C" w:rsidRDefault="000C099C" w:rsidP="00D825C4">
      <w:pPr>
        <w:widowControl w:val="0"/>
        <w:spacing w:before="20" w:after="20"/>
        <w:ind w:left="990" w:hanging="360"/>
        <w:jc w:val="both"/>
        <w:rPr>
          <w:snapToGrid w:val="0"/>
          <w:sz w:val="24"/>
        </w:rPr>
      </w:pPr>
      <w:r w:rsidRPr="000C099C">
        <w:rPr>
          <w:snapToGrid w:val="0"/>
          <w:sz w:val="24"/>
        </w:rPr>
        <w:t>(ii) Be ready at all times to provide, and immediately provide, any facsimile enlargement which the Commission or its representatives may request.</w:t>
      </w:r>
    </w:p>
    <w:p w14:paraId="33E31C24" w14:textId="77777777" w:rsidR="002E2C99" w:rsidRPr="000C099C" w:rsidRDefault="002E2C99" w:rsidP="00D825C4">
      <w:pPr>
        <w:widowControl w:val="0"/>
        <w:spacing w:before="20" w:after="20"/>
        <w:ind w:left="990" w:hanging="360"/>
        <w:jc w:val="both"/>
        <w:rPr>
          <w:snapToGrid w:val="0"/>
          <w:sz w:val="24"/>
        </w:rPr>
      </w:pPr>
    </w:p>
    <w:p w14:paraId="2ABB6453" w14:textId="77777777" w:rsidR="000C099C" w:rsidRPr="000C099C" w:rsidRDefault="000C099C" w:rsidP="00D825C4">
      <w:pPr>
        <w:pStyle w:val="BodyTextIndent3"/>
        <w:widowControl w:val="0"/>
        <w:spacing w:before="20" w:after="20"/>
        <w:ind w:left="990" w:hanging="360"/>
        <w:rPr>
          <w:snapToGrid w:val="0"/>
          <w:szCs w:val="24"/>
        </w:rPr>
      </w:pPr>
      <w:r w:rsidRPr="000C099C">
        <w:rPr>
          <w:snapToGrid w:val="0"/>
          <w:szCs w:val="24"/>
        </w:rPr>
        <w:t>(iii) Store separately from the original, a duplicate copy of the record stored on any medium acceptable under 240.17a-4 for the time required.</w:t>
      </w:r>
    </w:p>
    <w:p w14:paraId="7204966C" w14:textId="77777777" w:rsidR="002E2C99" w:rsidRDefault="002E2C99" w:rsidP="00D825C4">
      <w:pPr>
        <w:widowControl w:val="0"/>
        <w:spacing w:before="40" w:after="40"/>
        <w:ind w:left="990" w:hanging="360"/>
        <w:jc w:val="both"/>
        <w:rPr>
          <w:snapToGrid w:val="0"/>
          <w:sz w:val="24"/>
        </w:rPr>
      </w:pPr>
    </w:p>
    <w:p w14:paraId="350B9802" w14:textId="77777777" w:rsidR="000C099C" w:rsidRPr="000C099C" w:rsidRDefault="000C099C" w:rsidP="00D825C4">
      <w:pPr>
        <w:widowControl w:val="0"/>
        <w:spacing w:before="40" w:after="40"/>
        <w:ind w:left="990" w:hanging="360"/>
        <w:jc w:val="both"/>
        <w:rPr>
          <w:snapToGrid w:val="0"/>
          <w:sz w:val="24"/>
        </w:rPr>
      </w:pPr>
      <w:r w:rsidRPr="000C099C">
        <w:rPr>
          <w:snapToGrid w:val="0"/>
          <w:sz w:val="24"/>
        </w:rPr>
        <w:t>(iv)</w:t>
      </w:r>
      <w:r w:rsidR="00B079F1">
        <w:rPr>
          <w:snapToGrid w:val="0"/>
          <w:sz w:val="24"/>
        </w:rPr>
        <w:t xml:space="preserve"> </w:t>
      </w:r>
      <w:r w:rsidRPr="000C099C">
        <w:rPr>
          <w:snapToGrid w:val="0"/>
          <w:sz w:val="24"/>
        </w:rPr>
        <w:t xml:space="preserve">Organize and index accurately all information maintained on both original and any duplicate storage media. </w:t>
      </w:r>
    </w:p>
    <w:p w14:paraId="18D3586D" w14:textId="77777777" w:rsidR="000C099C" w:rsidRPr="000C099C" w:rsidRDefault="000C099C" w:rsidP="00D825C4">
      <w:pPr>
        <w:pStyle w:val="BodyTextIndent3"/>
        <w:spacing w:before="40" w:after="40"/>
        <w:ind w:left="1800" w:right="540" w:hanging="450"/>
        <w:rPr>
          <w:szCs w:val="24"/>
        </w:rPr>
      </w:pPr>
      <w:r w:rsidRPr="000C099C">
        <w:rPr>
          <w:szCs w:val="24"/>
        </w:rPr>
        <w:t>(A) At all times, the Company will be able to have such indexes available for examination by the staffs of the Commission and the FINRA.</w:t>
      </w:r>
    </w:p>
    <w:p w14:paraId="7EF3FCF3" w14:textId="77777777" w:rsidR="000C099C" w:rsidRDefault="000C099C" w:rsidP="00D825C4">
      <w:pPr>
        <w:widowControl w:val="0"/>
        <w:ind w:left="1800" w:right="540" w:hanging="450"/>
        <w:jc w:val="both"/>
        <w:rPr>
          <w:snapToGrid w:val="0"/>
          <w:sz w:val="24"/>
        </w:rPr>
      </w:pPr>
      <w:r w:rsidRPr="000C099C">
        <w:rPr>
          <w:snapToGrid w:val="0"/>
          <w:sz w:val="24"/>
        </w:rPr>
        <w:t xml:space="preserve">(B) Each index must be </w:t>
      </w:r>
      <w:r w:rsidR="00037096" w:rsidRPr="000C099C">
        <w:rPr>
          <w:snapToGrid w:val="0"/>
          <w:sz w:val="24"/>
        </w:rPr>
        <w:t>duplicated,</w:t>
      </w:r>
      <w:r w:rsidRPr="000C099C">
        <w:rPr>
          <w:snapToGrid w:val="0"/>
          <w:sz w:val="24"/>
        </w:rPr>
        <w:t xml:space="preserve"> and the</w:t>
      </w:r>
      <w:r>
        <w:rPr>
          <w:snapToGrid w:val="0"/>
          <w:sz w:val="24"/>
        </w:rPr>
        <w:t xml:space="preserve"> duplicate copies must be stored separately from the original copy of each index. </w:t>
      </w:r>
    </w:p>
    <w:p w14:paraId="713BEEAF" w14:textId="77777777" w:rsidR="000C099C" w:rsidRDefault="000C099C" w:rsidP="00D825C4">
      <w:pPr>
        <w:widowControl w:val="0"/>
        <w:ind w:left="1800" w:right="540" w:hanging="450"/>
        <w:jc w:val="both"/>
        <w:rPr>
          <w:snapToGrid w:val="0"/>
        </w:rPr>
      </w:pPr>
      <w:r>
        <w:rPr>
          <w:snapToGrid w:val="0"/>
          <w:sz w:val="24"/>
        </w:rPr>
        <w:t>(C) Original and duplicate indexes must be preserved for the time required for the indexed records.</w:t>
      </w:r>
    </w:p>
    <w:p w14:paraId="2340ABE2" w14:textId="77777777" w:rsidR="000C099C" w:rsidRDefault="000C099C" w:rsidP="00D825C4">
      <w:pPr>
        <w:pStyle w:val="BodyTextIndent3"/>
        <w:widowControl w:val="0"/>
        <w:tabs>
          <w:tab w:val="left" w:pos="9360"/>
        </w:tabs>
        <w:spacing w:after="0"/>
        <w:ind w:left="990" w:hanging="360"/>
        <w:jc w:val="left"/>
        <w:rPr>
          <w:snapToGrid w:val="0"/>
        </w:rPr>
      </w:pPr>
      <w:r>
        <w:rPr>
          <w:snapToGrid w:val="0"/>
          <w:szCs w:val="24"/>
        </w:rPr>
        <w:t>(v) The company will have in place an audit system providing for accountability regarding inputting of records required to be maintained and preserved pursuant to 240.17a-3 and 240.17a-4 to electronic storage media and inputting of any changes made to every original and duplicate record maintained and preserved thereby.</w:t>
      </w:r>
    </w:p>
    <w:p w14:paraId="030EBDC5" w14:textId="77777777" w:rsidR="000C099C" w:rsidRDefault="000C099C" w:rsidP="00D825C4">
      <w:pPr>
        <w:widowControl w:val="0"/>
        <w:tabs>
          <w:tab w:val="num" w:pos="1440"/>
        </w:tabs>
        <w:ind w:left="1620" w:hanging="180"/>
        <w:rPr>
          <w:snapToGrid w:val="0"/>
          <w:sz w:val="24"/>
        </w:rPr>
      </w:pPr>
      <w:r>
        <w:rPr>
          <w:snapToGrid w:val="0"/>
          <w:sz w:val="24"/>
        </w:rPr>
        <w:t>(A) At all times, the Company will be able to have the results of such audit</w:t>
      </w:r>
    </w:p>
    <w:p w14:paraId="6792D8AD" w14:textId="77777777" w:rsidR="000C099C" w:rsidRPr="000C099C" w:rsidRDefault="000C099C" w:rsidP="00D825C4">
      <w:pPr>
        <w:widowControl w:val="0"/>
        <w:tabs>
          <w:tab w:val="num" w:pos="1800"/>
        </w:tabs>
        <w:ind w:left="1800" w:hanging="360"/>
        <w:rPr>
          <w:snapToGrid w:val="0"/>
          <w:sz w:val="24"/>
        </w:rPr>
      </w:pPr>
      <w:r>
        <w:rPr>
          <w:snapToGrid w:val="0"/>
          <w:sz w:val="24"/>
        </w:rPr>
        <w:tab/>
        <w:t>system</w:t>
      </w:r>
      <w:r w:rsidR="00B079F1">
        <w:rPr>
          <w:snapToGrid w:val="0"/>
          <w:sz w:val="24"/>
        </w:rPr>
        <w:t>s</w:t>
      </w:r>
      <w:r>
        <w:rPr>
          <w:snapToGrid w:val="0"/>
          <w:sz w:val="24"/>
        </w:rPr>
        <w:t xml:space="preserve"> available for examination by the staffs of the Commission </w:t>
      </w:r>
      <w:r w:rsidR="00260A6A">
        <w:rPr>
          <w:snapToGrid w:val="0"/>
          <w:sz w:val="24"/>
        </w:rPr>
        <w:t>and FINRA</w:t>
      </w:r>
      <w:r w:rsidRPr="000C099C">
        <w:rPr>
          <w:snapToGrid w:val="0"/>
          <w:sz w:val="24"/>
        </w:rPr>
        <w:t>.</w:t>
      </w:r>
    </w:p>
    <w:p w14:paraId="078F41D7" w14:textId="77777777" w:rsidR="000C099C" w:rsidRPr="000C099C" w:rsidRDefault="000C099C" w:rsidP="00D825C4">
      <w:pPr>
        <w:widowControl w:val="0"/>
        <w:tabs>
          <w:tab w:val="num" w:pos="1800"/>
        </w:tabs>
        <w:ind w:left="1800" w:hanging="360"/>
        <w:rPr>
          <w:snapToGrid w:val="0"/>
          <w:sz w:val="24"/>
        </w:rPr>
      </w:pPr>
      <w:r w:rsidRPr="000C099C">
        <w:rPr>
          <w:snapToGrid w:val="0"/>
          <w:sz w:val="24"/>
        </w:rPr>
        <w:t>(B) The audit results must be preserved for the time required for the audited records.</w:t>
      </w:r>
    </w:p>
    <w:p w14:paraId="1DDD892F" w14:textId="77777777" w:rsidR="000C099C" w:rsidRDefault="000C099C" w:rsidP="00D825C4">
      <w:pPr>
        <w:pStyle w:val="BodyTextIndent3"/>
        <w:widowControl w:val="0"/>
        <w:spacing w:after="0"/>
        <w:ind w:left="990" w:hanging="450"/>
        <w:jc w:val="left"/>
        <w:rPr>
          <w:snapToGrid w:val="0"/>
          <w:szCs w:val="24"/>
        </w:rPr>
      </w:pPr>
      <w:r w:rsidRPr="000C099C">
        <w:rPr>
          <w:snapToGrid w:val="0"/>
          <w:szCs w:val="24"/>
        </w:rPr>
        <w:t>(vi) The Company will maintain, keep current, and provide promptly upon request by the staffs of the Commission or FINRA</w:t>
      </w:r>
      <w:r>
        <w:rPr>
          <w:snapToGrid w:val="0"/>
          <w:szCs w:val="24"/>
        </w:rPr>
        <w:t>, all information necessary to access records and indexes stored on the electronic storage media; or place in escrow and keep current a copy of the physical and logical file format of</w:t>
      </w:r>
      <w:r>
        <w:rPr>
          <w:snapToGrid w:val="0"/>
        </w:rPr>
        <w:t xml:space="preserve"> </w:t>
      </w:r>
      <w:r>
        <w:rPr>
          <w:snapToGrid w:val="0"/>
          <w:szCs w:val="24"/>
        </w:rPr>
        <w:t>the electronic storage media, the field format of all different information types written on the electronic storage media and the source code, together with the appropriate documentation and information necessary to access records and indexes.</w:t>
      </w:r>
    </w:p>
    <w:p w14:paraId="56E48CC4" w14:textId="77777777" w:rsidR="000C099C" w:rsidRDefault="000C099C" w:rsidP="002D7AE4">
      <w:pPr>
        <w:widowControl w:val="0"/>
        <w:ind w:left="1440"/>
        <w:rPr>
          <w:snapToGrid w:val="0"/>
          <w:sz w:val="24"/>
        </w:rPr>
      </w:pPr>
    </w:p>
    <w:p w14:paraId="18F919FD" w14:textId="77777777" w:rsidR="000C099C" w:rsidRDefault="000C099C" w:rsidP="00D825C4">
      <w:pPr>
        <w:widowControl w:val="0"/>
        <w:ind w:left="1080" w:hanging="450"/>
        <w:rPr>
          <w:snapToGrid w:val="0"/>
          <w:sz w:val="24"/>
        </w:rPr>
      </w:pPr>
      <w:r>
        <w:rPr>
          <w:snapToGrid w:val="0"/>
          <w:sz w:val="24"/>
        </w:rPr>
        <w:t>(vii) Morris</w:t>
      </w:r>
      <w:r w:rsidR="00E93270">
        <w:rPr>
          <w:snapToGrid w:val="0"/>
          <w:sz w:val="24"/>
        </w:rPr>
        <w:t xml:space="preserve"> </w:t>
      </w:r>
      <w:r>
        <w:rPr>
          <w:snapToGrid w:val="0"/>
          <w:sz w:val="24"/>
        </w:rPr>
        <w:t xml:space="preserve">Monroe will ensure that at least one third party who has access to and the ability to download information from the Company’s electronic storage media to any </w:t>
      </w:r>
      <w:r>
        <w:rPr>
          <w:snapToGrid w:val="0"/>
          <w:sz w:val="24"/>
        </w:rPr>
        <w:lastRenderedPageBreak/>
        <w:t>acceptable medium, files the following with respect to the company’s records:</w:t>
      </w:r>
    </w:p>
    <w:p w14:paraId="2766D022" w14:textId="77777777" w:rsidR="000C099C" w:rsidRDefault="000C099C" w:rsidP="002D7AE4">
      <w:pPr>
        <w:widowControl w:val="0"/>
        <w:rPr>
          <w:snapToGrid w:val="0"/>
          <w:sz w:val="24"/>
        </w:rPr>
      </w:pPr>
    </w:p>
    <w:p w14:paraId="2E4B7E4C" w14:textId="77777777" w:rsidR="000C099C" w:rsidRDefault="000C099C" w:rsidP="00D825C4">
      <w:pPr>
        <w:pStyle w:val="BodyTextIndent3"/>
        <w:widowControl w:val="0"/>
        <w:spacing w:after="0"/>
        <w:ind w:left="1080"/>
        <w:jc w:val="left"/>
        <w:rPr>
          <w:snapToGrid w:val="0"/>
          <w:szCs w:val="24"/>
        </w:rPr>
      </w:pPr>
      <w:r>
        <w:rPr>
          <w:snapToGrid w:val="0"/>
          <w:szCs w:val="24"/>
        </w:rPr>
        <w:t>The undersigned hereby undertakes to furnish promptly to the U.S. Securities and Exchange Commission (''Commission''), its designees or representatives, upon reasonable request, such information as is deemed necessary by the Commission's or designee's staff to download information kept on the broker's or dealer's electronic storage media to any medium acceptable under Rule 17a-4.</w:t>
      </w:r>
    </w:p>
    <w:p w14:paraId="2138EA33" w14:textId="77777777" w:rsidR="000C099C" w:rsidRDefault="000C099C" w:rsidP="00D825C4">
      <w:pPr>
        <w:widowControl w:val="0"/>
        <w:ind w:left="1080"/>
        <w:rPr>
          <w:snapToGrid w:val="0"/>
          <w:sz w:val="24"/>
        </w:rPr>
      </w:pPr>
    </w:p>
    <w:p w14:paraId="1F7D7009" w14:textId="77777777" w:rsidR="000C099C" w:rsidRDefault="000C099C" w:rsidP="00D825C4">
      <w:pPr>
        <w:pStyle w:val="BodyTextIndent3"/>
        <w:widowControl w:val="0"/>
        <w:spacing w:after="0"/>
        <w:ind w:left="1080"/>
        <w:jc w:val="left"/>
        <w:rPr>
          <w:snapToGrid w:val="0"/>
          <w:szCs w:val="24"/>
        </w:rPr>
      </w:pPr>
      <w:r>
        <w:rPr>
          <w:snapToGrid w:val="0"/>
          <w:szCs w:val="24"/>
        </w:rPr>
        <w:t xml:space="preserve">Furthermore, the undersigned hereby undertakes to take reasonable steps to provide access to information contained on the broker's or dealer's electronic storage media, including, as appropriate, arrangements for the downloading of any record required to be maintained and preserved by the broker or dealer pursuant to Rules l7a-3 and l7a-4 under the Securities Exchange Act of 1934 in a format acceptable to the Commission's staff or its designee. Such arrangements will provide specifically that in the event of a failure on the part of a broker or dealer to download the record into a readable format and after reasonable notice to the broker or dealer, upon being provided with the appropriate electronic storage medium, the undersigned will undertake to do so, as the Commission's staff or its designee may request. </w:t>
      </w:r>
    </w:p>
    <w:p w14:paraId="2A3FC404" w14:textId="77777777" w:rsidR="000C099C" w:rsidRDefault="000C099C" w:rsidP="002D7AE4">
      <w:pPr>
        <w:pStyle w:val="BodyTextIndent3"/>
        <w:widowControl w:val="0"/>
        <w:spacing w:after="0"/>
        <w:ind w:left="1440"/>
        <w:jc w:val="left"/>
        <w:rPr>
          <w:snapToGrid w:val="0"/>
          <w:szCs w:val="24"/>
        </w:rPr>
      </w:pPr>
    </w:p>
    <w:p w14:paraId="6B4F9083" w14:textId="77777777" w:rsidR="000C099C" w:rsidRPr="000C099C" w:rsidRDefault="006A2C66" w:rsidP="002D7AE4">
      <w:pPr>
        <w:pStyle w:val="Heading3"/>
        <w:jc w:val="left"/>
        <w:rPr>
          <w:snapToGrid w:val="0"/>
        </w:rPr>
      </w:pPr>
      <w:bookmarkStart w:id="155" w:name="_Toc152498554"/>
      <w:r>
        <w:rPr>
          <w:snapToGrid w:val="0"/>
        </w:rPr>
        <w:t>10.</w:t>
      </w:r>
      <w:r w:rsidR="004C3171">
        <w:rPr>
          <w:snapToGrid w:val="0"/>
        </w:rPr>
        <w:t>1</w:t>
      </w:r>
      <w:r w:rsidR="00811B75">
        <w:rPr>
          <w:snapToGrid w:val="0"/>
        </w:rPr>
        <w:t>1</w:t>
      </w:r>
      <w:r w:rsidR="00E30E54">
        <w:rPr>
          <w:snapToGrid w:val="0"/>
        </w:rPr>
        <w:t xml:space="preserve">.3 </w:t>
      </w:r>
      <w:r w:rsidR="000C099C" w:rsidRPr="000C099C">
        <w:rPr>
          <w:snapToGrid w:val="0"/>
        </w:rPr>
        <w:t>FINRA Notification</w:t>
      </w:r>
      <w:bookmarkEnd w:id="155"/>
    </w:p>
    <w:p w14:paraId="6667E13B" w14:textId="77777777" w:rsidR="000C099C" w:rsidRPr="000C099C" w:rsidRDefault="000C099C" w:rsidP="002D7AE4">
      <w:pPr>
        <w:widowControl w:val="0"/>
        <w:ind w:left="270"/>
        <w:rPr>
          <w:snapToGrid w:val="0"/>
          <w:sz w:val="24"/>
        </w:rPr>
      </w:pPr>
      <w:r w:rsidRPr="000C099C">
        <w:rPr>
          <w:snapToGrid w:val="0"/>
          <w:sz w:val="24"/>
        </w:rPr>
        <w:t>Morris Monroe or Laura</w:t>
      </w:r>
      <w:r w:rsidR="00E93270">
        <w:rPr>
          <w:snapToGrid w:val="0"/>
          <w:sz w:val="24"/>
        </w:rPr>
        <w:t xml:space="preserve"> </w:t>
      </w:r>
      <w:r w:rsidRPr="000C099C">
        <w:rPr>
          <w:snapToGrid w:val="0"/>
          <w:sz w:val="24"/>
        </w:rPr>
        <w:t>Hendricks will obtain a copy of the above attestation and include it in the files of the Company and initial and date the attestation indicating review of the document.</w:t>
      </w:r>
    </w:p>
    <w:p w14:paraId="3A388726" w14:textId="77777777" w:rsidR="000C099C" w:rsidRPr="000C099C" w:rsidRDefault="000C099C" w:rsidP="002D7AE4">
      <w:pPr>
        <w:pStyle w:val="MRS"/>
        <w:widowControl w:val="0"/>
        <w:jc w:val="left"/>
        <w:rPr>
          <w:snapToGrid w:val="0"/>
        </w:rPr>
      </w:pPr>
    </w:p>
    <w:p w14:paraId="25A59A2B" w14:textId="77777777" w:rsidR="000C099C" w:rsidRPr="000C099C" w:rsidRDefault="000C099C" w:rsidP="002D7AE4">
      <w:pPr>
        <w:widowControl w:val="0"/>
        <w:ind w:firstLine="720"/>
        <w:rPr>
          <w:snapToGrid w:val="0"/>
          <w:sz w:val="24"/>
        </w:rPr>
      </w:pPr>
      <w:r w:rsidRPr="000C099C">
        <w:rPr>
          <w:snapToGrid w:val="0"/>
          <w:sz w:val="24"/>
        </w:rPr>
        <w:t>Notifications should be sent to:</w:t>
      </w:r>
    </w:p>
    <w:p w14:paraId="5D182389" w14:textId="77777777" w:rsidR="000C099C" w:rsidRPr="000C099C" w:rsidRDefault="000C099C" w:rsidP="002D7AE4">
      <w:pPr>
        <w:widowControl w:val="0"/>
        <w:rPr>
          <w:snapToGrid w:val="0"/>
          <w:sz w:val="24"/>
        </w:rPr>
      </w:pPr>
    </w:p>
    <w:p w14:paraId="0218164A" w14:textId="77777777" w:rsidR="000C099C" w:rsidRPr="000C099C" w:rsidRDefault="000C099C" w:rsidP="002E2C99">
      <w:pPr>
        <w:widowControl w:val="0"/>
        <w:ind w:left="720" w:firstLine="90"/>
        <w:rPr>
          <w:snapToGrid w:val="0"/>
          <w:sz w:val="24"/>
        </w:rPr>
      </w:pPr>
      <w:r w:rsidRPr="000C099C">
        <w:rPr>
          <w:snapToGrid w:val="0"/>
          <w:sz w:val="24"/>
        </w:rPr>
        <w:t>FINRA</w:t>
      </w:r>
    </w:p>
    <w:p w14:paraId="711BCE5A" w14:textId="77777777" w:rsidR="000C099C" w:rsidRDefault="000C099C" w:rsidP="002E2C99">
      <w:pPr>
        <w:widowControl w:val="0"/>
        <w:ind w:left="720" w:firstLine="90"/>
        <w:rPr>
          <w:snapToGrid w:val="0"/>
          <w:sz w:val="24"/>
        </w:rPr>
      </w:pPr>
      <w:r>
        <w:rPr>
          <w:snapToGrid w:val="0"/>
          <w:sz w:val="24"/>
        </w:rPr>
        <w:t>Member Regulation</w:t>
      </w:r>
    </w:p>
    <w:p w14:paraId="52C838C0" w14:textId="77777777" w:rsidR="000C099C" w:rsidRDefault="000C099C" w:rsidP="002E2C99">
      <w:pPr>
        <w:widowControl w:val="0"/>
        <w:ind w:left="720" w:firstLine="90"/>
        <w:rPr>
          <w:snapToGrid w:val="0"/>
          <w:sz w:val="24"/>
        </w:rPr>
      </w:pPr>
      <w:r>
        <w:rPr>
          <w:snapToGrid w:val="0"/>
          <w:sz w:val="24"/>
        </w:rPr>
        <w:t>1735 K Street NW, 6</w:t>
      </w:r>
      <w:r>
        <w:rPr>
          <w:snapToGrid w:val="0"/>
          <w:sz w:val="24"/>
          <w:vertAlign w:val="superscript"/>
        </w:rPr>
        <w:t>th</w:t>
      </w:r>
      <w:r>
        <w:rPr>
          <w:snapToGrid w:val="0"/>
          <w:sz w:val="24"/>
        </w:rPr>
        <w:t xml:space="preserve"> Floor</w:t>
      </w:r>
    </w:p>
    <w:p w14:paraId="6635F770" w14:textId="77777777" w:rsidR="00052FAF" w:rsidRDefault="000C099C" w:rsidP="00052FAF">
      <w:pPr>
        <w:widowControl w:val="0"/>
        <w:ind w:left="720" w:firstLine="90"/>
        <w:rPr>
          <w:snapToGrid w:val="0"/>
          <w:sz w:val="24"/>
        </w:rPr>
      </w:pPr>
      <w:r>
        <w:rPr>
          <w:snapToGrid w:val="0"/>
          <w:sz w:val="24"/>
        </w:rPr>
        <w:t>Washington, D.C. 20006-1500</w:t>
      </w:r>
    </w:p>
    <w:p w14:paraId="3F626DC9" w14:textId="77777777" w:rsidR="000C099C" w:rsidRDefault="000C099C" w:rsidP="002D7AE4">
      <w:pPr>
        <w:rPr>
          <w:b/>
          <w:bCs/>
          <w:sz w:val="24"/>
        </w:rPr>
      </w:pPr>
    </w:p>
    <w:p w14:paraId="3E1A99A7" w14:textId="77777777" w:rsidR="008636FD" w:rsidRDefault="00052FAF" w:rsidP="003E7B18">
      <w:pPr>
        <w:pStyle w:val="Heading3"/>
        <w:numPr>
          <w:ilvl w:val="2"/>
          <w:numId w:val="150"/>
        </w:numPr>
        <w:ind w:left="1080" w:hanging="810"/>
      </w:pPr>
      <w:r w:rsidRPr="00052FAF">
        <w:t>Change in Electronic Media Storage Vendor</w:t>
      </w:r>
    </w:p>
    <w:p w14:paraId="1D856925" w14:textId="77777777" w:rsidR="00AF5A8D" w:rsidRPr="00593EE9" w:rsidRDefault="00AF5A8D" w:rsidP="00AF5A8D">
      <w:pPr>
        <w:ind w:left="270"/>
        <w:rPr>
          <w:sz w:val="32"/>
        </w:rPr>
      </w:pPr>
      <w:r w:rsidRPr="00593EE9">
        <w:rPr>
          <w:sz w:val="24"/>
        </w:rPr>
        <w:t xml:space="preserve">In the event Company changes vendors for electronic storage media, the CCO will ensure Company makes the necessary FINRA electronic filing </w:t>
      </w:r>
      <w:r w:rsidR="00DB62D7" w:rsidRPr="00593EE9">
        <w:rPr>
          <w:sz w:val="24"/>
        </w:rPr>
        <w:t>in the Gateway/ Forms and Filings/ Financial Notifications.  Pursuant to SEC Rule 17a4(f)2(</w:t>
      </w:r>
      <w:proofErr w:type="spellStart"/>
      <w:r w:rsidR="00DB62D7" w:rsidRPr="00593EE9">
        <w:rPr>
          <w:sz w:val="24"/>
        </w:rPr>
        <w:t>i</w:t>
      </w:r>
      <w:proofErr w:type="spellEnd"/>
      <w:r w:rsidR="00DB62D7" w:rsidRPr="00593EE9">
        <w:rPr>
          <w:sz w:val="24"/>
        </w:rPr>
        <w:t xml:space="preserve">), Company will file such notice </w:t>
      </w:r>
      <w:r w:rsidR="00DB62D7" w:rsidRPr="00593EE9">
        <w:rPr>
          <w:sz w:val="24"/>
          <w:u w:val="single"/>
        </w:rPr>
        <w:t>90 days in advance</w:t>
      </w:r>
      <w:r w:rsidR="00DB62D7" w:rsidRPr="00593EE9">
        <w:rPr>
          <w:sz w:val="24"/>
        </w:rPr>
        <w:t xml:space="preserve"> of such change if the vendor </w:t>
      </w:r>
      <w:r w:rsidR="00DB62D7" w:rsidRPr="00593EE9">
        <w:rPr>
          <w:sz w:val="24"/>
          <w:szCs w:val="21"/>
        </w:rPr>
        <w:t xml:space="preserve">employs any electronic storage media other than optical disk technology (including CD-ROM).  </w:t>
      </w:r>
    </w:p>
    <w:p w14:paraId="221F833D" w14:textId="77777777" w:rsidR="00052FAF" w:rsidRPr="00593EE9" w:rsidRDefault="00052FAF" w:rsidP="00052FAF">
      <w:pPr>
        <w:pStyle w:val="ListParagraph"/>
        <w:ind w:left="1410"/>
      </w:pPr>
    </w:p>
    <w:p w14:paraId="2DFA89FC" w14:textId="77777777" w:rsidR="00052FAF" w:rsidRPr="00052FAF" w:rsidRDefault="00052FAF" w:rsidP="00052FAF">
      <w:pPr>
        <w:ind w:left="630"/>
        <w:rPr>
          <w:b/>
          <w:bCs/>
          <w:sz w:val="24"/>
        </w:rPr>
      </w:pPr>
    </w:p>
    <w:p w14:paraId="7F8C65AE" w14:textId="77777777" w:rsidR="008636FD" w:rsidRPr="008636FD" w:rsidRDefault="008636FD" w:rsidP="00936FEE">
      <w:pPr>
        <w:pStyle w:val="Heading2"/>
      </w:pPr>
      <w:r w:rsidRPr="008636FD">
        <w:t>10.1</w:t>
      </w:r>
      <w:r w:rsidR="00811B75">
        <w:t>2</w:t>
      </w:r>
      <w:r w:rsidRPr="008636FD">
        <w:t xml:space="preserve"> Routine Data Backup</w:t>
      </w:r>
    </w:p>
    <w:p w14:paraId="4825BBF2" w14:textId="77777777" w:rsidR="008636FD" w:rsidRDefault="008636FD" w:rsidP="002D7AE4">
      <w:pPr>
        <w:pStyle w:val="BodyText"/>
        <w:spacing w:before="0" w:after="0"/>
        <w:jc w:val="left"/>
      </w:pPr>
      <w:r>
        <w:t>These procedures have been developed to ensure the routine protection of data.  Morris Monroe will have responsibility for ensuring these procedures are followed and for the routine testing for effectiveness of the procedures.  Dennis McCullough, IT Manager, is responsible for the maintenance of these back-up books and records, copying, and storing to our back-up site.</w:t>
      </w:r>
    </w:p>
    <w:p w14:paraId="6AA816F1" w14:textId="77777777" w:rsidR="008636FD" w:rsidRDefault="008636FD" w:rsidP="002D7AE4"/>
    <w:p w14:paraId="4D850832" w14:textId="77777777" w:rsidR="008636FD" w:rsidRDefault="008636FD" w:rsidP="002D7AE4">
      <w:pPr>
        <w:pStyle w:val="Heading3"/>
        <w:jc w:val="left"/>
      </w:pPr>
      <w:r>
        <w:t>10.1</w:t>
      </w:r>
      <w:r w:rsidR="00811B75">
        <w:t>2</w:t>
      </w:r>
      <w:r>
        <w:t>.1 Onsite - Backup</w:t>
      </w:r>
    </w:p>
    <w:p w14:paraId="03984E8B" w14:textId="77777777" w:rsidR="008636FD" w:rsidRDefault="008636FD" w:rsidP="002D7AE4">
      <w:pPr>
        <w:ind w:left="360"/>
      </w:pPr>
      <w:r>
        <w:rPr>
          <w:sz w:val="24"/>
          <w:szCs w:val="24"/>
        </w:rPr>
        <w:t xml:space="preserve">On a daily basis, Company has a local Sonic Wall device that conducts onsite backup in real time through an agent tool installed on each server for critical data files and maintains all </w:t>
      </w:r>
      <w:r>
        <w:rPr>
          <w:sz w:val="24"/>
          <w:szCs w:val="24"/>
        </w:rPr>
        <w:lastRenderedPageBreak/>
        <w:t xml:space="preserve">revisions based on storage space.  This device represents the first line of defense for disaster recovery in the event a </w:t>
      </w:r>
      <w:r w:rsidR="006F7203">
        <w:rPr>
          <w:sz w:val="24"/>
          <w:szCs w:val="24"/>
        </w:rPr>
        <w:t>backup</w:t>
      </w:r>
      <w:r>
        <w:rPr>
          <w:sz w:val="24"/>
          <w:szCs w:val="24"/>
        </w:rPr>
        <w:t xml:space="preserve"> of data would need to be retrieved. In the event the device is not accessible due to an office disruption, the offsite data backup would be the second line of defense.</w:t>
      </w:r>
    </w:p>
    <w:p w14:paraId="0509DEF3" w14:textId="77777777" w:rsidR="008636FD" w:rsidRDefault="008636FD" w:rsidP="002D7AE4"/>
    <w:p w14:paraId="66BAC972" w14:textId="77777777" w:rsidR="008636FD" w:rsidRDefault="008636FD" w:rsidP="002D7AE4">
      <w:pPr>
        <w:pStyle w:val="Heading3"/>
        <w:jc w:val="left"/>
      </w:pPr>
      <w:r w:rsidRPr="0036477A">
        <w:t>1</w:t>
      </w:r>
      <w:r>
        <w:t>0</w:t>
      </w:r>
      <w:r w:rsidRPr="0036477A">
        <w:t>.</w:t>
      </w:r>
      <w:r>
        <w:t>1</w:t>
      </w:r>
      <w:r w:rsidR="00811B75">
        <w:t>2</w:t>
      </w:r>
      <w:r w:rsidRPr="0036477A">
        <w:t xml:space="preserve">.2 </w:t>
      </w:r>
      <w:r>
        <w:t>Offsite Data Backup</w:t>
      </w:r>
    </w:p>
    <w:p w14:paraId="26CF0AF5" w14:textId="77777777" w:rsidR="008636FD" w:rsidRDefault="008636FD" w:rsidP="002D7AE4">
      <w:pPr>
        <w:ind w:left="360"/>
        <w:rPr>
          <w:sz w:val="24"/>
          <w:szCs w:val="24"/>
        </w:rPr>
      </w:pPr>
      <w:r>
        <w:rPr>
          <w:sz w:val="24"/>
          <w:szCs w:val="24"/>
        </w:rPr>
        <w:t xml:space="preserve">Company has the following </w:t>
      </w:r>
      <w:r w:rsidR="00EF6358">
        <w:rPr>
          <w:sz w:val="24"/>
          <w:szCs w:val="24"/>
        </w:rPr>
        <w:t>offsite</w:t>
      </w:r>
      <w:r>
        <w:rPr>
          <w:sz w:val="24"/>
          <w:szCs w:val="24"/>
        </w:rPr>
        <w:t xml:space="preserve"> backup of data:</w:t>
      </w:r>
    </w:p>
    <w:p w14:paraId="6FE42C19" w14:textId="77777777" w:rsidR="008636FD" w:rsidRDefault="008636FD" w:rsidP="002D7AE4">
      <w:pPr>
        <w:ind w:left="360"/>
        <w:rPr>
          <w:sz w:val="24"/>
          <w:szCs w:val="24"/>
        </w:rPr>
      </w:pPr>
    </w:p>
    <w:p w14:paraId="1F7CA5C8" w14:textId="77777777" w:rsidR="008636FD" w:rsidRPr="00767FD6" w:rsidRDefault="008636FD" w:rsidP="002D7AE4">
      <w:pPr>
        <w:ind w:left="1080" w:hanging="360"/>
        <w:rPr>
          <w:sz w:val="24"/>
          <w:szCs w:val="24"/>
        </w:rPr>
      </w:pPr>
      <w:r w:rsidRPr="0036477A">
        <w:rPr>
          <w:sz w:val="24"/>
          <w:szCs w:val="24"/>
        </w:rPr>
        <w:t>1</w:t>
      </w:r>
      <w:r w:rsidR="00E93270">
        <w:rPr>
          <w:sz w:val="24"/>
          <w:szCs w:val="24"/>
        </w:rPr>
        <w:t>.</w:t>
      </w:r>
      <w:r>
        <w:rPr>
          <w:sz w:val="24"/>
          <w:szCs w:val="24"/>
        </w:rPr>
        <w:t xml:space="preserve"> </w:t>
      </w:r>
      <w:r w:rsidRPr="0036477A">
        <w:rPr>
          <w:sz w:val="24"/>
          <w:szCs w:val="24"/>
        </w:rPr>
        <w:t xml:space="preserve">WinOps:  </w:t>
      </w:r>
      <w:r>
        <w:rPr>
          <w:sz w:val="24"/>
          <w:szCs w:val="24"/>
        </w:rPr>
        <w:t>Data</w:t>
      </w:r>
      <w:r w:rsidRPr="0036477A">
        <w:rPr>
          <w:sz w:val="24"/>
          <w:szCs w:val="24"/>
        </w:rPr>
        <w:t xml:space="preserve"> is housed on an outside server located in Colorado via </w:t>
      </w:r>
      <w:r w:rsidR="0099059D" w:rsidRPr="00767FD6">
        <w:rPr>
          <w:sz w:val="24"/>
          <w:szCs w:val="24"/>
        </w:rPr>
        <w:t>Techmate</w:t>
      </w:r>
      <w:r w:rsidR="000320A3" w:rsidRPr="00767FD6">
        <w:rPr>
          <w:sz w:val="24"/>
          <w:szCs w:val="24"/>
        </w:rPr>
        <w:t xml:space="preserve"> Inc</w:t>
      </w:r>
      <w:r w:rsidRPr="00767FD6">
        <w:rPr>
          <w:sz w:val="24"/>
          <w:szCs w:val="24"/>
        </w:rPr>
        <w:t xml:space="preserve">.  </w:t>
      </w:r>
      <w:r w:rsidR="0099059D" w:rsidRPr="00767FD6">
        <w:rPr>
          <w:sz w:val="24"/>
          <w:szCs w:val="24"/>
        </w:rPr>
        <w:t xml:space="preserve">Techmate </w:t>
      </w:r>
      <w:r w:rsidRPr="00767FD6">
        <w:rPr>
          <w:sz w:val="24"/>
          <w:szCs w:val="24"/>
        </w:rPr>
        <w:t xml:space="preserve">conducts daily internal backup of data </w:t>
      </w:r>
      <w:r w:rsidR="00EF6358" w:rsidRPr="00767FD6">
        <w:rPr>
          <w:sz w:val="24"/>
          <w:szCs w:val="24"/>
        </w:rPr>
        <w:t>in-house</w:t>
      </w:r>
      <w:r w:rsidRPr="00767FD6">
        <w:rPr>
          <w:sz w:val="24"/>
          <w:szCs w:val="24"/>
        </w:rPr>
        <w:t xml:space="preserve"> as well as with </w:t>
      </w:r>
      <w:r w:rsidR="000320A3" w:rsidRPr="00767FD6">
        <w:rPr>
          <w:sz w:val="24"/>
          <w:szCs w:val="24"/>
        </w:rPr>
        <w:t>Symantec Backup Exec</w:t>
      </w:r>
      <w:r w:rsidRPr="00767FD6">
        <w:rPr>
          <w:sz w:val="24"/>
          <w:szCs w:val="24"/>
        </w:rPr>
        <w:t xml:space="preserve"> to another offsite location.</w:t>
      </w:r>
    </w:p>
    <w:p w14:paraId="0BF0B650" w14:textId="3996BEEF" w:rsidR="008636FD" w:rsidRPr="0036477A" w:rsidRDefault="008636FD" w:rsidP="002D7AE4">
      <w:pPr>
        <w:pStyle w:val="BodyText"/>
        <w:ind w:left="1080" w:hanging="360"/>
        <w:jc w:val="left"/>
      </w:pPr>
      <w:r w:rsidRPr="0036477A">
        <w:rPr>
          <w:szCs w:val="24"/>
        </w:rPr>
        <w:t xml:space="preserve">2. </w:t>
      </w:r>
      <w:r w:rsidRPr="0036477A">
        <w:t>Company utilizes Iron Mountain and their program called LiveVault for offsite backup of crucial files</w:t>
      </w:r>
      <w:r w:rsidR="0099059D">
        <w:t xml:space="preserve"> for e</w:t>
      </w:r>
      <w:r>
        <w:t>ach server</w:t>
      </w:r>
      <w:r w:rsidRPr="0036477A">
        <w:t xml:space="preserve">.  Backup is automatically processed every fifteen minutes with a </w:t>
      </w:r>
      <w:r w:rsidR="00D43D24" w:rsidRPr="0036477A">
        <w:t>30-day</w:t>
      </w:r>
      <w:r w:rsidRPr="0036477A">
        <w:t xml:space="preserve"> retention policy.  LiveVault has facilities on both coasts.  Company’s data is directed to one site with alternate duplication to the other site.  </w:t>
      </w:r>
      <w:r>
        <w:t xml:space="preserve">Company has access to portal to verify said backups and conducts a review each month at a minimum.  </w:t>
      </w:r>
    </w:p>
    <w:p w14:paraId="2C8EC792" w14:textId="77777777" w:rsidR="008636FD" w:rsidRDefault="008636FD" w:rsidP="002D7AE4">
      <w:pPr>
        <w:rPr>
          <w:b/>
          <w:bCs/>
          <w:sz w:val="24"/>
        </w:rPr>
      </w:pPr>
    </w:p>
    <w:p w14:paraId="7C8B01D4" w14:textId="77777777" w:rsidR="008636FD" w:rsidRDefault="008636FD" w:rsidP="002D7AE4">
      <w:pPr>
        <w:rPr>
          <w:b/>
          <w:bCs/>
          <w:sz w:val="24"/>
        </w:rPr>
      </w:pPr>
    </w:p>
    <w:p w14:paraId="7BD22164" w14:textId="77777777" w:rsidR="00732603" w:rsidRDefault="009B5A85" w:rsidP="00936FEE">
      <w:pPr>
        <w:pStyle w:val="Heading2"/>
      </w:pPr>
      <w:r>
        <w:t>10.1</w:t>
      </w:r>
      <w:r w:rsidR="00811B75">
        <w:t>3</w:t>
      </w:r>
      <w:r>
        <w:t xml:space="preserve"> </w:t>
      </w:r>
      <w:r w:rsidR="00732603">
        <w:t xml:space="preserve">Change </w:t>
      </w:r>
      <w:r w:rsidR="00260A6A">
        <w:t>in</w:t>
      </w:r>
      <w:r w:rsidR="00732603">
        <w:t xml:space="preserve"> Ownership, Control, </w:t>
      </w:r>
      <w:r w:rsidR="00191405">
        <w:t>o</w:t>
      </w:r>
      <w:r w:rsidR="00732603">
        <w:t xml:space="preserve">r Business Operations </w:t>
      </w:r>
    </w:p>
    <w:p w14:paraId="4757F170" w14:textId="77777777" w:rsidR="00693D2A" w:rsidRPr="008025CC" w:rsidRDefault="00732603" w:rsidP="002D7AE4">
      <w:pPr>
        <w:rPr>
          <w:sz w:val="24"/>
          <w:szCs w:val="24"/>
        </w:rPr>
      </w:pPr>
      <w:r w:rsidRPr="008025CC">
        <w:rPr>
          <w:sz w:val="24"/>
          <w:szCs w:val="24"/>
        </w:rPr>
        <w:t>When Company anticipates a material change in its business, Compliance will file requests for approval by the appropriate SROs. Events that require approval include merger with or acquisition of another broker-dealer or acquisition of 25% or more of the assets of another dealer; a change in ownership or control; and a material change in business operations.  In addition, material changes include removing or modifying a membership agreement restriction; market making for the first time, adding business activities that require a higher level of minimum net capital, and engaging in activities beyond proprietary trading as defined in NASAQ rules.</w:t>
      </w:r>
    </w:p>
    <w:p w14:paraId="13D63620" w14:textId="77777777" w:rsidR="00F27FF4" w:rsidRPr="008025CC" w:rsidRDefault="00F27FF4" w:rsidP="002D7AE4">
      <w:pPr>
        <w:rPr>
          <w:sz w:val="24"/>
          <w:szCs w:val="24"/>
        </w:rPr>
      </w:pPr>
    </w:p>
    <w:p w14:paraId="1BE71456" w14:textId="77777777" w:rsidR="00F27FF4" w:rsidRPr="00FD4D16" w:rsidRDefault="00F27FF4" w:rsidP="00FD4D16">
      <w:pPr>
        <w:rPr>
          <w:sz w:val="24"/>
          <w:szCs w:val="24"/>
        </w:rPr>
      </w:pPr>
      <w:r w:rsidRPr="00FD4D16">
        <w:rPr>
          <w:sz w:val="24"/>
          <w:szCs w:val="24"/>
        </w:rPr>
        <w:t>Certain types of expansions are presumed not to be a "material change in business operations" and do not require FINRA approval. However, this safe harbor is not available to firms that, among other things, have a "disciplinary history" as defined in IM-1011-1. The interpretation must be consulted to determine what changes are not material and what constitutes disciplinary history precluding use of the safe harbor.  If the Company operates under a Restriction Letter, it will conduct business consistent with the Letter and Compliance will contact FINRA if a change is necessary.</w:t>
      </w:r>
    </w:p>
    <w:p w14:paraId="0B03EF40" w14:textId="77777777" w:rsidR="004C635F" w:rsidRDefault="004C635F" w:rsidP="00F27FF4">
      <w:pPr>
        <w:pStyle w:val="Normal1"/>
        <w:spacing w:before="0" w:after="0" w:afterAutospacing="0" w:line="240" w:lineRule="auto"/>
        <w:jc w:val="both"/>
        <w:rPr>
          <w:rFonts w:ascii="Times New Roman" w:hAnsi="Times New Roman" w:cs="Times New Roman"/>
          <w:color w:val="FF0000"/>
          <w:sz w:val="24"/>
          <w:szCs w:val="24"/>
        </w:rPr>
      </w:pPr>
    </w:p>
    <w:p w14:paraId="30FE3315" w14:textId="77777777" w:rsidR="004C635F" w:rsidRDefault="004C635F" w:rsidP="00F27FF4">
      <w:pPr>
        <w:pStyle w:val="Normal1"/>
        <w:spacing w:before="0" w:after="0" w:afterAutospacing="0" w:line="240" w:lineRule="auto"/>
        <w:jc w:val="both"/>
        <w:rPr>
          <w:rFonts w:ascii="Times New Roman" w:hAnsi="Times New Roman" w:cs="Times New Roman"/>
          <w:color w:val="FF0000"/>
          <w:sz w:val="24"/>
          <w:szCs w:val="24"/>
        </w:rPr>
      </w:pPr>
    </w:p>
    <w:p w14:paraId="22FA7563" w14:textId="77777777" w:rsidR="004C635F" w:rsidRDefault="004C635F" w:rsidP="00936FEE">
      <w:pPr>
        <w:pStyle w:val="Heading2"/>
      </w:pPr>
      <w:r>
        <w:t>10.1</w:t>
      </w:r>
      <w:r w:rsidR="00811B75">
        <w:t>4</w:t>
      </w:r>
      <w:r w:rsidR="00E93270">
        <w:t xml:space="preserve"> </w:t>
      </w:r>
      <w:r w:rsidR="00B905B6">
        <w:t xml:space="preserve">FINRA Rule 8210 &amp; </w:t>
      </w:r>
      <w:r>
        <w:t>Regulatory Requests</w:t>
      </w:r>
    </w:p>
    <w:p w14:paraId="7D7618C0" w14:textId="77777777" w:rsidR="004C635F" w:rsidRPr="00FD4D16" w:rsidRDefault="00B330B1" w:rsidP="00FD4D16">
      <w:pPr>
        <w:rPr>
          <w:sz w:val="24"/>
          <w:szCs w:val="24"/>
        </w:rPr>
      </w:pPr>
      <w:r w:rsidRPr="00FD4D16">
        <w:rPr>
          <w:sz w:val="24"/>
          <w:szCs w:val="24"/>
        </w:rPr>
        <w:t xml:space="preserve">Responses to regulatory requests may be made only by Morris Monroe or the Compliance Department.  Requests received by any other Associated Persons must be directed to Compliance.  Pursuant to Rule 8210, </w:t>
      </w:r>
      <w:r w:rsidR="00DA16DD" w:rsidRPr="00FD4D16">
        <w:rPr>
          <w:sz w:val="24"/>
          <w:szCs w:val="24"/>
        </w:rPr>
        <w:t xml:space="preserve">when </w:t>
      </w:r>
      <w:r w:rsidRPr="00FD4D16">
        <w:rPr>
          <w:sz w:val="24"/>
          <w:szCs w:val="24"/>
        </w:rPr>
        <w:t xml:space="preserve">information </w:t>
      </w:r>
      <w:r w:rsidR="00DA16DD" w:rsidRPr="00FD4D16">
        <w:rPr>
          <w:sz w:val="24"/>
          <w:szCs w:val="24"/>
        </w:rPr>
        <w:t xml:space="preserve">is </w:t>
      </w:r>
      <w:r w:rsidRPr="00FD4D16">
        <w:rPr>
          <w:sz w:val="24"/>
          <w:szCs w:val="24"/>
        </w:rPr>
        <w:t>provided to FINRA by portable media device</w:t>
      </w:r>
      <w:r w:rsidR="00DA16DD" w:rsidRPr="00FD4D16">
        <w:rPr>
          <w:sz w:val="24"/>
          <w:szCs w:val="24"/>
        </w:rPr>
        <w:t>, it</w:t>
      </w:r>
      <w:r w:rsidRPr="00FD4D16">
        <w:rPr>
          <w:sz w:val="24"/>
          <w:szCs w:val="24"/>
        </w:rPr>
        <w:t xml:space="preserve"> will be encrypted by using a method that meets industry standards for strong encryption</w:t>
      </w:r>
      <w:r w:rsidR="00DA16DD" w:rsidRPr="00FD4D16">
        <w:rPr>
          <w:sz w:val="24"/>
          <w:szCs w:val="24"/>
        </w:rPr>
        <w:t xml:space="preserve"> as ensured by </w:t>
      </w:r>
      <w:r w:rsidR="00E61C6A" w:rsidRPr="00FD4D16">
        <w:rPr>
          <w:sz w:val="24"/>
          <w:szCs w:val="24"/>
        </w:rPr>
        <w:t>Compliance</w:t>
      </w:r>
      <w:r w:rsidR="000C3E31" w:rsidRPr="00FD4D16">
        <w:rPr>
          <w:sz w:val="24"/>
          <w:szCs w:val="24"/>
        </w:rPr>
        <w:t xml:space="preserve">.  FINRA staff will be provided with the confidential process or key </w:t>
      </w:r>
      <w:r w:rsidR="00F440AE" w:rsidRPr="00FD4D16">
        <w:rPr>
          <w:sz w:val="24"/>
          <w:szCs w:val="24"/>
        </w:rPr>
        <w:t>regarding the encryption in a communication that is separate from the encrypted information itself (via fax, email, letter, etc.).</w:t>
      </w:r>
    </w:p>
    <w:p w14:paraId="36A06A06" w14:textId="77777777" w:rsidR="001C6769" w:rsidRPr="00260A6A" w:rsidRDefault="001C6769" w:rsidP="00F27FF4">
      <w:pPr>
        <w:pStyle w:val="Normal1"/>
        <w:spacing w:before="0" w:after="0" w:afterAutospacing="0" w:line="240" w:lineRule="auto"/>
        <w:jc w:val="both"/>
        <w:rPr>
          <w:rFonts w:ascii="Times New Roman" w:hAnsi="Times New Roman" w:cs="Times New Roman"/>
          <w:sz w:val="24"/>
          <w:szCs w:val="24"/>
        </w:rPr>
      </w:pPr>
    </w:p>
    <w:p w14:paraId="43102DCA" w14:textId="77777777" w:rsidR="001C6769" w:rsidRDefault="001C6769" w:rsidP="00F27FF4">
      <w:pPr>
        <w:pStyle w:val="Normal1"/>
        <w:spacing w:before="0" w:after="0" w:afterAutospacing="0" w:line="240" w:lineRule="auto"/>
        <w:jc w:val="both"/>
        <w:rPr>
          <w:rFonts w:ascii="Times New Roman" w:hAnsi="Times New Roman" w:cs="Times New Roman"/>
          <w:color w:val="0000FF"/>
          <w:sz w:val="24"/>
          <w:szCs w:val="24"/>
        </w:rPr>
      </w:pPr>
    </w:p>
    <w:p w14:paraId="5EB96E68" w14:textId="77777777" w:rsidR="001C6769" w:rsidRPr="00260A6A" w:rsidRDefault="001C6769" w:rsidP="00936FEE">
      <w:pPr>
        <w:pStyle w:val="Heading2"/>
        <w:rPr>
          <w:i/>
        </w:rPr>
      </w:pPr>
      <w:r>
        <w:t>10.1</w:t>
      </w:r>
      <w:r w:rsidR="00811B75">
        <w:t>5</w:t>
      </w:r>
      <w:r>
        <w:t xml:space="preserve"> FINRA Rule 4530 - Regulatory Disclosure </w:t>
      </w:r>
      <w:r w:rsidR="00260A6A">
        <w:t xml:space="preserve">Requirements </w:t>
      </w:r>
      <w:r w:rsidR="00260A6A" w:rsidRPr="00191405">
        <w:t>(</w:t>
      </w:r>
      <w:proofErr w:type="gramStart"/>
      <w:r w:rsidR="001D000A" w:rsidRPr="00191405">
        <w:rPr>
          <w:i/>
          <w:sz w:val="20"/>
          <w:szCs w:val="20"/>
        </w:rPr>
        <w:t>eff</w:t>
      </w:r>
      <w:proofErr w:type="gramEnd"/>
      <w:r w:rsidR="001D000A" w:rsidRPr="00191405">
        <w:rPr>
          <w:i/>
          <w:sz w:val="20"/>
          <w:szCs w:val="20"/>
        </w:rPr>
        <w:t xml:space="preserve"> 7/1/11)</w:t>
      </w:r>
    </w:p>
    <w:p w14:paraId="0ACD6553" w14:textId="77777777" w:rsidR="00EE71F3" w:rsidRPr="00191405" w:rsidRDefault="00EE71F3" w:rsidP="00810A73">
      <w:pPr>
        <w:shd w:val="clear" w:color="auto" w:fill="FFFFFF"/>
        <w:spacing w:line="270" w:lineRule="atLeast"/>
        <w:rPr>
          <w:sz w:val="24"/>
          <w:szCs w:val="24"/>
        </w:rPr>
      </w:pPr>
      <w:r w:rsidRPr="00191405">
        <w:rPr>
          <w:sz w:val="24"/>
          <w:szCs w:val="24"/>
        </w:rPr>
        <w:t>Company has adopted these procedures to comply with FINRA Rule 4530 to promptly disclose any events that fall within the requirements.</w:t>
      </w:r>
      <w:r w:rsidR="00244A33" w:rsidRPr="00191405">
        <w:rPr>
          <w:sz w:val="24"/>
          <w:szCs w:val="24"/>
        </w:rPr>
        <w:t xml:space="preserve">  Company will report specified events involving the Company or an Associated Person to FINRA via the Regulatory Filings Application on the FIMRA Firm Gateway.  This is in addition to any obligation to update an Associated Person’s U-4 or U-5 or Company’s Form BD.</w:t>
      </w:r>
    </w:p>
    <w:p w14:paraId="04B4D6F4" w14:textId="77777777" w:rsidR="00EE71F3" w:rsidRPr="00191405" w:rsidRDefault="00EE71F3" w:rsidP="00810A73">
      <w:pPr>
        <w:shd w:val="clear" w:color="auto" w:fill="FFFFFF"/>
        <w:spacing w:line="270" w:lineRule="atLeast"/>
        <w:rPr>
          <w:sz w:val="24"/>
          <w:szCs w:val="24"/>
        </w:rPr>
      </w:pPr>
    </w:p>
    <w:p w14:paraId="28A71227" w14:textId="77777777" w:rsidR="00810A73" w:rsidRPr="00191405" w:rsidRDefault="00C97E80" w:rsidP="00C1728B">
      <w:pPr>
        <w:numPr>
          <w:ilvl w:val="1"/>
          <w:numId w:val="94"/>
        </w:numPr>
        <w:shd w:val="clear" w:color="auto" w:fill="FFFFFF"/>
        <w:spacing w:line="270" w:lineRule="atLeast"/>
        <w:ind w:left="270" w:hanging="270"/>
        <w:rPr>
          <w:sz w:val="24"/>
          <w:szCs w:val="24"/>
        </w:rPr>
      </w:pPr>
      <w:r w:rsidRPr="00191405">
        <w:rPr>
          <w:sz w:val="24"/>
          <w:szCs w:val="24"/>
        </w:rPr>
        <w:t xml:space="preserve">Company </w:t>
      </w:r>
      <w:r w:rsidR="00810A73" w:rsidRPr="00191405">
        <w:rPr>
          <w:sz w:val="24"/>
          <w:szCs w:val="24"/>
        </w:rPr>
        <w:t>shall promptly report to FINRA, but in any event not later than 30 calendar days, after know</w:t>
      </w:r>
      <w:r w:rsidRPr="00191405">
        <w:rPr>
          <w:sz w:val="24"/>
          <w:szCs w:val="24"/>
        </w:rPr>
        <w:t>ing</w:t>
      </w:r>
      <w:r w:rsidR="00810A73" w:rsidRPr="00191405">
        <w:rPr>
          <w:sz w:val="24"/>
          <w:szCs w:val="24"/>
        </w:rPr>
        <w:t xml:space="preserve"> or should have known of the existence of any of the following: </w:t>
      </w:r>
    </w:p>
    <w:p w14:paraId="2C702EE5" w14:textId="77777777" w:rsidR="00566E05" w:rsidRPr="00191405" w:rsidRDefault="00566E05" w:rsidP="00810A73">
      <w:pPr>
        <w:shd w:val="clear" w:color="auto" w:fill="FFFFFF"/>
        <w:spacing w:line="270" w:lineRule="atLeast"/>
        <w:rPr>
          <w:sz w:val="24"/>
          <w:szCs w:val="24"/>
        </w:rPr>
      </w:pPr>
    </w:p>
    <w:p w14:paraId="66C3E107" w14:textId="77777777" w:rsidR="00810A73" w:rsidRPr="00191405" w:rsidRDefault="00C97E80" w:rsidP="00C1728B">
      <w:pPr>
        <w:numPr>
          <w:ilvl w:val="0"/>
          <w:numId w:val="131"/>
        </w:numPr>
        <w:shd w:val="clear" w:color="auto" w:fill="FFFFFF"/>
        <w:spacing w:line="270" w:lineRule="atLeast"/>
        <w:rPr>
          <w:sz w:val="24"/>
          <w:szCs w:val="24"/>
        </w:rPr>
      </w:pPr>
      <w:r w:rsidRPr="00191405">
        <w:rPr>
          <w:sz w:val="24"/>
          <w:szCs w:val="24"/>
        </w:rPr>
        <w:t xml:space="preserve">  Company</w:t>
      </w:r>
      <w:r w:rsidR="00810A73" w:rsidRPr="00191405">
        <w:rPr>
          <w:sz w:val="24"/>
          <w:szCs w:val="24"/>
        </w:rPr>
        <w:t xml:space="preserve"> or an </w:t>
      </w:r>
      <w:r w:rsidRPr="00191405">
        <w:rPr>
          <w:sz w:val="24"/>
          <w:szCs w:val="24"/>
        </w:rPr>
        <w:t>A</w:t>
      </w:r>
      <w:r w:rsidR="00810A73" w:rsidRPr="00191405">
        <w:rPr>
          <w:sz w:val="24"/>
          <w:szCs w:val="24"/>
        </w:rPr>
        <w:t xml:space="preserve">ssociated </w:t>
      </w:r>
      <w:r w:rsidRPr="00191405">
        <w:rPr>
          <w:sz w:val="24"/>
          <w:szCs w:val="24"/>
        </w:rPr>
        <w:t>Person</w:t>
      </w:r>
      <w:r w:rsidR="00810A73" w:rsidRPr="00191405">
        <w:rPr>
          <w:sz w:val="24"/>
          <w:szCs w:val="24"/>
        </w:rPr>
        <w:t xml:space="preserve">: </w:t>
      </w:r>
    </w:p>
    <w:p w14:paraId="039CC195" w14:textId="1B1FED1D" w:rsidR="00810A73" w:rsidRPr="00191405" w:rsidRDefault="00244A33" w:rsidP="00C1728B">
      <w:pPr>
        <w:numPr>
          <w:ilvl w:val="0"/>
          <w:numId w:val="132"/>
        </w:numPr>
        <w:shd w:val="clear" w:color="auto" w:fill="FFFFFF"/>
        <w:spacing w:line="270" w:lineRule="atLeast"/>
        <w:ind w:left="1170" w:hanging="450"/>
        <w:rPr>
          <w:sz w:val="24"/>
          <w:szCs w:val="24"/>
        </w:rPr>
      </w:pPr>
      <w:r w:rsidRPr="00191405">
        <w:rPr>
          <w:sz w:val="24"/>
          <w:szCs w:val="24"/>
        </w:rPr>
        <w:t>Has</w:t>
      </w:r>
      <w:r w:rsidR="00810A73" w:rsidRPr="00191405">
        <w:rPr>
          <w:sz w:val="24"/>
          <w:szCs w:val="24"/>
        </w:rPr>
        <w:t xml:space="preserve"> been found to have violated any securities-, insurance-, commodities-, financial- or investment-related laws, rules, </w:t>
      </w:r>
      <w:r w:rsidR="00D43D24" w:rsidRPr="00191405">
        <w:rPr>
          <w:sz w:val="24"/>
          <w:szCs w:val="24"/>
        </w:rPr>
        <w:t>regulations,</w:t>
      </w:r>
      <w:r w:rsidR="00810A73" w:rsidRPr="00191405">
        <w:rPr>
          <w:sz w:val="24"/>
          <w:szCs w:val="24"/>
        </w:rPr>
        <w:t xml:space="preserve"> or standards of conduct of any domestic or foreign regulatory body, self-regulatory organization or business or professional organization</w:t>
      </w:r>
      <w:r w:rsidRPr="00191405">
        <w:rPr>
          <w:sz w:val="24"/>
          <w:szCs w:val="24"/>
        </w:rPr>
        <w:t>.  Conduct reported will be conduct that a significant monetary result with respect the Company, customers, markets, or multiple instances of any violations</w:t>
      </w:r>
      <w:r w:rsidR="00810A73" w:rsidRPr="00191405">
        <w:rPr>
          <w:sz w:val="24"/>
          <w:szCs w:val="24"/>
        </w:rPr>
        <w:t xml:space="preserve">; </w:t>
      </w:r>
    </w:p>
    <w:p w14:paraId="2FBB2428" w14:textId="77777777" w:rsidR="00C97E80" w:rsidRPr="00191405" w:rsidRDefault="00244A33" w:rsidP="00C1728B">
      <w:pPr>
        <w:numPr>
          <w:ilvl w:val="0"/>
          <w:numId w:val="132"/>
        </w:numPr>
        <w:shd w:val="clear" w:color="auto" w:fill="FFFFFF"/>
        <w:spacing w:line="270" w:lineRule="atLeast"/>
        <w:ind w:left="1170" w:hanging="450"/>
        <w:rPr>
          <w:sz w:val="24"/>
          <w:szCs w:val="24"/>
        </w:rPr>
      </w:pPr>
      <w:r w:rsidRPr="00191405">
        <w:rPr>
          <w:sz w:val="24"/>
          <w:szCs w:val="24"/>
        </w:rPr>
        <w:t>I</w:t>
      </w:r>
      <w:r w:rsidR="00C97E80" w:rsidRPr="00191405">
        <w:rPr>
          <w:sz w:val="24"/>
          <w:szCs w:val="24"/>
        </w:rPr>
        <w:t xml:space="preserve">s the subject of any written customer complaint involving allegations of theft or misappropriation of funds or securities or of forgery; </w:t>
      </w:r>
    </w:p>
    <w:p w14:paraId="3966E0C2" w14:textId="77777777" w:rsidR="00566E05" w:rsidRPr="00191405" w:rsidRDefault="00244A33" w:rsidP="00C1728B">
      <w:pPr>
        <w:numPr>
          <w:ilvl w:val="0"/>
          <w:numId w:val="132"/>
        </w:numPr>
        <w:shd w:val="clear" w:color="auto" w:fill="FFFFFF"/>
        <w:spacing w:line="270" w:lineRule="atLeast"/>
        <w:ind w:left="1170" w:hanging="450"/>
        <w:rPr>
          <w:sz w:val="24"/>
          <w:szCs w:val="24"/>
        </w:rPr>
      </w:pPr>
      <w:r w:rsidRPr="00191405">
        <w:rPr>
          <w:sz w:val="24"/>
          <w:szCs w:val="24"/>
        </w:rPr>
        <w:t>I</w:t>
      </w:r>
      <w:r w:rsidR="00810A73" w:rsidRPr="00191405">
        <w:rPr>
          <w:sz w:val="24"/>
          <w:szCs w:val="24"/>
        </w:rPr>
        <w:t xml:space="preserve">s named as a defendant or respondent in any proceeding brought by a domestic or foreign regulatory body or self-regulatory organization alleging the violation of any provision of the Exchange Act, or of any other federal, state or foreign securities, insurance or commodities statute, or of any rule or regulation thereunder, or of any provision of the by-laws, rules or similar governing instruments of any securities, insurance or commodities domestic or foreign regulatory body or self-regulatory organization; </w:t>
      </w:r>
    </w:p>
    <w:p w14:paraId="3AC93E3B" w14:textId="6F02E5CC" w:rsidR="00566E05" w:rsidRPr="00191405" w:rsidRDefault="00244A33" w:rsidP="00C1728B">
      <w:pPr>
        <w:numPr>
          <w:ilvl w:val="0"/>
          <w:numId w:val="132"/>
        </w:numPr>
        <w:shd w:val="clear" w:color="auto" w:fill="FFFFFF"/>
        <w:spacing w:line="270" w:lineRule="atLeast"/>
        <w:ind w:left="1170" w:hanging="450"/>
        <w:rPr>
          <w:sz w:val="24"/>
          <w:szCs w:val="24"/>
        </w:rPr>
      </w:pPr>
      <w:r w:rsidRPr="00191405">
        <w:rPr>
          <w:sz w:val="24"/>
          <w:szCs w:val="24"/>
        </w:rPr>
        <w:t>I</w:t>
      </w:r>
      <w:r w:rsidR="00810A73" w:rsidRPr="00191405">
        <w:rPr>
          <w:sz w:val="24"/>
          <w:szCs w:val="24"/>
        </w:rPr>
        <w:t xml:space="preserve">s denied registration or is expelled, enjoined, directed to </w:t>
      </w:r>
      <w:r w:rsidR="00D43D24" w:rsidRPr="00191405">
        <w:rPr>
          <w:sz w:val="24"/>
          <w:szCs w:val="24"/>
        </w:rPr>
        <w:t>cease,</w:t>
      </w:r>
      <w:r w:rsidR="00810A73" w:rsidRPr="00191405">
        <w:rPr>
          <w:sz w:val="24"/>
          <w:szCs w:val="24"/>
        </w:rPr>
        <w:t xml:space="preserve"> and desist, suspended or otherwise disciplined by any securities, insurance or commodities industry domestic or foreign regulatory body or self-regulatory organization or is denied membership or continued membership in any such self-regulatory organization; or is barred from becoming associated with any member of any such self-regulatory organization; </w:t>
      </w:r>
    </w:p>
    <w:p w14:paraId="55652969" w14:textId="77777777" w:rsidR="00566E05" w:rsidRPr="00191405" w:rsidRDefault="00244A33" w:rsidP="00C1728B">
      <w:pPr>
        <w:numPr>
          <w:ilvl w:val="0"/>
          <w:numId w:val="132"/>
        </w:numPr>
        <w:shd w:val="clear" w:color="auto" w:fill="FFFFFF"/>
        <w:spacing w:line="270" w:lineRule="atLeast"/>
        <w:ind w:left="1170" w:hanging="450"/>
        <w:rPr>
          <w:sz w:val="24"/>
          <w:szCs w:val="24"/>
        </w:rPr>
      </w:pPr>
      <w:r w:rsidRPr="00191405">
        <w:rPr>
          <w:sz w:val="24"/>
          <w:szCs w:val="24"/>
        </w:rPr>
        <w:t>I</w:t>
      </w:r>
      <w:r w:rsidR="00810A73" w:rsidRPr="00191405">
        <w:rPr>
          <w:sz w:val="24"/>
          <w:szCs w:val="24"/>
        </w:rPr>
        <w:t xml:space="preserve">s indicted, or convicted of, or pleads guilty to, or pleads no contest to, any felony; or any misdemeanor that involves the purchase or sale of any security, the taking of a false oath, the making of a false report, bribery, perjury, burglary, larceny, theft, robbery, extortion, forgery, counterfeiting, fraudulent concealment, embezzlement, fraudulent conversion, or misappropriation of funds, or securities, or a conspiracy to commit any of these offenses, or substantially equivalent activity in a domestic, military or foreign court; </w:t>
      </w:r>
    </w:p>
    <w:p w14:paraId="24F28207" w14:textId="77777777" w:rsidR="00566E05" w:rsidRPr="00191405" w:rsidRDefault="00244A33" w:rsidP="00C1728B">
      <w:pPr>
        <w:numPr>
          <w:ilvl w:val="0"/>
          <w:numId w:val="132"/>
        </w:numPr>
        <w:shd w:val="clear" w:color="auto" w:fill="FFFFFF"/>
        <w:spacing w:line="270" w:lineRule="atLeast"/>
        <w:ind w:left="1170" w:hanging="450"/>
        <w:rPr>
          <w:sz w:val="24"/>
          <w:szCs w:val="24"/>
        </w:rPr>
      </w:pPr>
      <w:r w:rsidRPr="00191405">
        <w:rPr>
          <w:sz w:val="24"/>
          <w:szCs w:val="24"/>
        </w:rPr>
        <w:t>I</w:t>
      </w:r>
      <w:r w:rsidR="00810A73" w:rsidRPr="00191405">
        <w:rPr>
          <w:sz w:val="24"/>
          <w:szCs w:val="24"/>
        </w:rPr>
        <w:t xml:space="preserve">s a director, controlling stockholder, partner, officer or sole proprietor of, or an associated person with, a broker, dealer, investment company, investment advisor, underwriter or insurance company that was suspended, expelled or had its registration denied or revoked by any domestic or foreign regulatory body, jurisdiction or organization or is associated in such a capacity with a bank, trust company or other financial institution that was convicted of or pleaded no contest to, any felony or misdemeanor in a domestic or foreign court; </w:t>
      </w:r>
    </w:p>
    <w:p w14:paraId="06731B11" w14:textId="03F9A673" w:rsidR="00566E05" w:rsidRPr="00191405" w:rsidRDefault="00244A33" w:rsidP="00C1728B">
      <w:pPr>
        <w:numPr>
          <w:ilvl w:val="0"/>
          <w:numId w:val="132"/>
        </w:numPr>
        <w:shd w:val="clear" w:color="auto" w:fill="FFFFFF"/>
        <w:spacing w:line="270" w:lineRule="atLeast"/>
        <w:ind w:left="1170" w:hanging="450"/>
        <w:rPr>
          <w:sz w:val="24"/>
          <w:szCs w:val="24"/>
        </w:rPr>
      </w:pPr>
      <w:r w:rsidRPr="00191405">
        <w:rPr>
          <w:sz w:val="24"/>
          <w:szCs w:val="24"/>
        </w:rPr>
        <w:lastRenderedPageBreak/>
        <w:t>I</w:t>
      </w:r>
      <w:r w:rsidR="00810A73" w:rsidRPr="00191405">
        <w:rPr>
          <w:sz w:val="24"/>
          <w:szCs w:val="24"/>
        </w:rPr>
        <w:t xml:space="preserve">s a defendant or respondent in any securities- or commodities-related civil litigation or arbitration, is a defendant or respondent in any financial-related insurance civil litigation or arbitration, or is the subject of any claim for damages by a customer, broker or dealer that relates to the provision of financial services or relates to a financial transaction, and such civil litigation, arbitration or claim for damages has been disposed of by judgment, award or settlement for an amount exceeding $15,000. However, when the member is the defendant or respondent or is the subject of any claim for damages by a customer, </w:t>
      </w:r>
      <w:r w:rsidR="00D43D24" w:rsidRPr="00191405">
        <w:rPr>
          <w:sz w:val="24"/>
          <w:szCs w:val="24"/>
        </w:rPr>
        <w:t>broker,</w:t>
      </w:r>
      <w:r w:rsidR="00810A73" w:rsidRPr="00191405">
        <w:rPr>
          <w:sz w:val="24"/>
          <w:szCs w:val="24"/>
        </w:rPr>
        <w:t xml:space="preserve"> or dealer, then the reporting to FINRA shall be required only when such judgment, award or settlement is for an amount exceeding $25,000; or </w:t>
      </w:r>
    </w:p>
    <w:p w14:paraId="08E20A76" w14:textId="77777777" w:rsidR="00810A73" w:rsidRPr="00191405" w:rsidRDefault="00244A33" w:rsidP="00C1728B">
      <w:pPr>
        <w:numPr>
          <w:ilvl w:val="0"/>
          <w:numId w:val="132"/>
        </w:numPr>
        <w:shd w:val="clear" w:color="auto" w:fill="FFFFFF"/>
        <w:spacing w:line="270" w:lineRule="atLeast"/>
        <w:ind w:left="1170" w:hanging="450"/>
        <w:rPr>
          <w:sz w:val="24"/>
          <w:szCs w:val="24"/>
        </w:rPr>
      </w:pPr>
      <w:r w:rsidRPr="00191405">
        <w:rPr>
          <w:sz w:val="24"/>
          <w:szCs w:val="24"/>
        </w:rPr>
        <w:t>I</w:t>
      </w:r>
      <w:r w:rsidR="00810A73" w:rsidRPr="00191405">
        <w:rPr>
          <w:sz w:val="24"/>
          <w:szCs w:val="24"/>
        </w:rPr>
        <w:t xml:space="preserve">s, or is involved in the sale of any financial instrument, the provision of any investment advice or the financing of any such activities with any person who is, subject to a "statutory disqualification" as that term is defined in the Exchange Act. The report shall include the name of the person subject to the statutory disqualification and details concerning the disqualification; or </w:t>
      </w:r>
    </w:p>
    <w:p w14:paraId="62B7F595" w14:textId="77777777" w:rsidR="00566E05" w:rsidRPr="00191405" w:rsidRDefault="00566E05" w:rsidP="00566E05">
      <w:pPr>
        <w:shd w:val="clear" w:color="auto" w:fill="FFFFFF"/>
        <w:spacing w:line="270" w:lineRule="atLeast"/>
        <w:ind w:left="1080"/>
        <w:rPr>
          <w:sz w:val="24"/>
          <w:szCs w:val="24"/>
        </w:rPr>
      </w:pPr>
    </w:p>
    <w:p w14:paraId="46552F1E" w14:textId="77777777" w:rsidR="00810A73" w:rsidRPr="00191405" w:rsidRDefault="00566E05" w:rsidP="00C1728B">
      <w:pPr>
        <w:numPr>
          <w:ilvl w:val="0"/>
          <w:numId w:val="131"/>
        </w:numPr>
        <w:shd w:val="clear" w:color="auto" w:fill="FFFFFF"/>
        <w:spacing w:line="270" w:lineRule="atLeast"/>
        <w:rPr>
          <w:sz w:val="24"/>
          <w:szCs w:val="24"/>
        </w:rPr>
      </w:pPr>
      <w:r w:rsidRPr="00191405">
        <w:rPr>
          <w:sz w:val="24"/>
          <w:szCs w:val="24"/>
        </w:rPr>
        <w:t xml:space="preserve">   An A</w:t>
      </w:r>
      <w:r w:rsidR="00810A73" w:rsidRPr="00191405">
        <w:rPr>
          <w:sz w:val="24"/>
          <w:szCs w:val="24"/>
        </w:rPr>
        <w:t xml:space="preserve">ssociated </w:t>
      </w:r>
      <w:r w:rsidRPr="00191405">
        <w:rPr>
          <w:sz w:val="24"/>
          <w:szCs w:val="24"/>
        </w:rPr>
        <w:t>P</w:t>
      </w:r>
      <w:r w:rsidR="00810A73" w:rsidRPr="00191405">
        <w:rPr>
          <w:sz w:val="24"/>
          <w:szCs w:val="24"/>
        </w:rPr>
        <w:t xml:space="preserve">erson is the subject of any disciplinary action taken by </w:t>
      </w:r>
      <w:r w:rsidRPr="00191405">
        <w:rPr>
          <w:sz w:val="24"/>
          <w:szCs w:val="24"/>
        </w:rPr>
        <w:t>the Company</w:t>
      </w:r>
      <w:r w:rsidR="00810A73" w:rsidRPr="00191405">
        <w:rPr>
          <w:sz w:val="24"/>
          <w:szCs w:val="24"/>
        </w:rPr>
        <w:t xml:space="preserve"> involving suspension, termination, the withholding of compensation or of any other remuneration in excess of $2,500, the imposition of fines in excess of $2,500 or is otherwise disciplined in any manner that would have a significant limitation on the individual's activities on a temporary or permanent basis. </w:t>
      </w:r>
    </w:p>
    <w:p w14:paraId="4CFD7182" w14:textId="77777777" w:rsidR="00DE7E86" w:rsidRPr="00191405" w:rsidRDefault="00DE7E86" w:rsidP="00DE7E86">
      <w:pPr>
        <w:shd w:val="clear" w:color="auto" w:fill="FFFFFF"/>
        <w:spacing w:line="270" w:lineRule="atLeast"/>
        <w:rPr>
          <w:sz w:val="24"/>
          <w:szCs w:val="24"/>
        </w:rPr>
      </w:pPr>
    </w:p>
    <w:p w14:paraId="31F85960" w14:textId="295F83B0" w:rsidR="00810A73" w:rsidRPr="00191405" w:rsidRDefault="00EE71F3" w:rsidP="00DE7E86">
      <w:pPr>
        <w:shd w:val="clear" w:color="auto" w:fill="FFFFFF"/>
        <w:spacing w:line="270" w:lineRule="atLeast"/>
        <w:rPr>
          <w:sz w:val="24"/>
          <w:szCs w:val="24"/>
        </w:rPr>
      </w:pPr>
      <w:r w:rsidRPr="00191405">
        <w:rPr>
          <w:sz w:val="24"/>
          <w:szCs w:val="24"/>
        </w:rPr>
        <w:t xml:space="preserve">(b) </w:t>
      </w:r>
      <w:r w:rsidR="00566E05" w:rsidRPr="00191405">
        <w:rPr>
          <w:sz w:val="24"/>
          <w:szCs w:val="24"/>
        </w:rPr>
        <w:t>Company</w:t>
      </w:r>
      <w:r w:rsidR="00810A73" w:rsidRPr="00191405">
        <w:rPr>
          <w:sz w:val="24"/>
          <w:szCs w:val="24"/>
        </w:rPr>
        <w:t xml:space="preserve"> shall promptly report to FINRA, but in any event not lat</w:t>
      </w:r>
      <w:r w:rsidR="00A402A7" w:rsidRPr="00191405">
        <w:rPr>
          <w:sz w:val="24"/>
          <w:szCs w:val="24"/>
        </w:rPr>
        <w:t>er than 30 calendar days, after concluding</w:t>
      </w:r>
      <w:r w:rsidR="00810A73" w:rsidRPr="00191405">
        <w:rPr>
          <w:sz w:val="24"/>
          <w:szCs w:val="24"/>
        </w:rPr>
        <w:t xml:space="preserve"> or reasonably should have concluded that an </w:t>
      </w:r>
      <w:r w:rsidR="00A402A7" w:rsidRPr="00191405">
        <w:rPr>
          <w:sz w:val="24"/>
          <w:szCs w:val="24"/>
        </w:rPr>
        <w:t>A</w:t>
      </w:r>
      <w:r w:rsidR="00810A73" w:rsidRPr="00191405">
        <w:rPr>
          <w:sz w:val="24"/>
          <w:szCs w:val="24"/>
        </w:rPr>
        <w:t xml:space="preserve">ssociated </w:t>
      </w:r>
      <w:r w:rsidR="00A402A7" w:rsidRPr="00191405">
        <w:rPr>
          <w:sz w:val="24"/>
          <w:szCs w:val="24"/>
        </w:rPr>
        <w:t>P</w:t>
      </w:r>
      <w:r w:rsidR="00810A73" w:rsidRPr="00191405">
        <w:rPr>
          <w:sz w:val="24"/>
          <w:szCs w:val="24"/>
        </w:rPr>
        <w:t xml:space="preserve">erson or the </w:t>
      </w:r>
      <w:r w:rsidR="00A402A7" w:rsidRPr="00191405">
        <w:rPr>
          <w:sz w:val="24"/>
          <w:szCs w:val="24"/>
        </w:rPr>
        <w:t>Company</w:t>
      </w:r>
      <w:r w:rsidR="00810A73" w:rsidRPr="00191405">
        <w:rPr>
          <w:sz w:val="24"/>
          <w:szCs w:val="24"/>
        </w:rPr>
        <w:t xml:space="preserve"> itself has violated any securities-, insurance-, commodities-, financial- or investment-related laws, rules, </w:t>
      </w:r>
      <w:r w:rsidR="00D43D24" w:rsidRPr="00191405">
        <w:rPr>
          <w:sz w:val="24"/>
          <w:szCs w:val="24"/>
        </w:rPr>
        <w:t>regulations,</w:t>
      </w:r>
      <w:r w:rsidR="00810A73" w:rsidRPr="00191405">
        <w:rPr>
          <w:sz w:val="24"/>
          <w:szCs w:val="24"/>
        </w:rPr>
        <w:t xml:space="preserve"> or standards of conduct of any domestic or foreign regulatory body or self-regulatory organization. </w:t>
      </w:r>
    </w:p>
    <w:p w14:paraId="1F8986DA" w14:textId="77777777" w:rsidR="00EE71F3" w:rsidRPr="00191405" w:rsidRDefault="00EE71F3" w:rsidP="00DE7E86">
      <w:pPr>
        <w:shd w:val="clear" w:color="auto" w:fill="FFFFFF"/>
        <w:spacing w:line="270" w:lineRule="atLeast"/>
        <w:rPr>
          <w:sz w:val="24"/>
          <w:szCs w:val="24"/>
        </w:rPr>
      </w:pPr>
    </w:p>
    <w:p w14:paraId="7A071DE7" w14:textId="77777777" w:rsidR="00810A73" w:rsidRPr="00191405" w:rsidRDefault="00810A73" w:rsidP="00810A73">
      <w:pPr>
        <w:shd w:val="clear" w:color="auto" w:fill="FFFFFF"/>
        <w:spacing w:line="270" w:lineRule="atLeast"/>
        <w:rPr>
          <w:sz w:val="24"/>
          <w:szCs w:val="24"/>
        </w:rPr>
      </w:pPr>
      <w:r w:rsidRPr="00191405">
        <w:rPr>
          <w:sz w:val="24"/>
          <w:szCs w:val="24"/>
        </w:rPr>
        <w:t xml:space="preserve">(c) Each </w:t>
      </w:r>
      <w:r w:rsidR="00EE71F3" w:rsidRPr="00191405">
        <w:rPr>
          <w:sz w:val="24"/>
          <w:szCs w:val="24"/>
        </w:rPr>
        <w:t>A</w:t>
      </w:r>
      <w:r w:rsidRPr="00191405">
        <w:rPr>
          <w:sz w:val="24"/>
          <w:szCs w:val="24"/>
        </w:rPr>
        <w:t xml:space="preserve">ssociated </w:t>
      </w:r>
      <w:r w:rsidR="00EE71F3" w:rsidRPr="00191405">
        <w:rPr>
          <w:sz w:val="24"/>
          <w:szCs w:val="24"/>
        </w:rPr>
        <w:t xml:space="preserve">Person </w:t>
      </w:r>
      <w:r w:rsidRPr="00191405">
        <w:rPr>
          <w:sz w:val="24"/>
          <w:szCs w:val="24"/>
        </w:rPr>
        <w:t xml:space="preserve">shall promptly report to the </w:t>
      </w:r>
      <w:r w:rsidR="00EE71F3" w:rsidRPr="00191405">
        <w:rPr>
          <w:sz w:val="24"/>
          <w:szCs w:val="24"/>
        </w:rPr>
        <w:t>Company</w:t>
      </w:r>
      <w:r w:rsidRPr="00191405">
        <w:rPr>
          <w:sz w:val="24"/>
          <w:szCs w:val="24"/>
        </w:rPr>
        <w:t xml:space="preserve"> the existence of any of the events set forth in paragraph (a)(1) of this Rule. </w:t>
      </w:r>
    </w:p>
    <w:p w14:paraId="7E131668" w14:textId="77777777" w:rsidR="00EE71F3" w:rsidRPr="00191405" w:rsidRDefault="00EE71F3" w:rsidP="00810A73">
      <w:pPr>
        <w:shd w:val="clear" w:color="auto" w:fill="FFFFFF"/>
        <w:spacing w:line="270" w:lineRule="atLeast"/>
        <w:rPr>
          <w:sz w:val="24"/>
          <w:szCs w:val="24"/>
        </w:rPr>
      </w:pPr>
    </w:p>
    <w:p w14:paraId="3D4F9EC6" w14:textId="77777777" w:rsidR="00810A73" w:rsidRPr="00191405" w:rsidRDefault="00810A73" w:rsidP="00810A73">
      <w:pPr>
        <w:shd w:val="clear" w:color="auto" w:fill="FFFFFF"/>
        <w:spacing w:line="270" w:lineRule="atLeast"/>
        <w:rPr>
          <w:sz w:val="24"/>
          <w:szCs w:val="24"/>
        </w:rPr>
      </w:pPr>
      <w:r w:rsidRPr="00191405">
        <w:rPr>
          <w:sz w:val="24"/>
          <w:szCs w:val="24"/>
        </w:rPr>
        <w:t xml:space="preserve">(d) </w:t>
      </w:r>
      <w:r w:rsidR="00EE71F3" w:rsidRPr="00191405">
        <w:rPr>
          <w:sz w:val="24"/>
          <w:szCs w:val="24"/>
        </w:rPr>
        <w:t>Company</w:t>
      </w:r>
      <w:r w:rsidRPr="00191405">
        <w:rPr>
          <w:sz w:val="24"/>
          <w:szCs w:val="24"/>
        </w:rPr>
        <w:t xml:space="preserve"> shall report to FINRA statistical and summary information regarding written customer complaints in such detail as FINRA shall specify by the 15th day of the month following the calendar quarter in which customer complaints are received by the</w:t>
      </w:r>
      <w:r w:rsidR="00EE71F3" w:rsidRPr="00191405">
        <w:rPr>
          <w:sz w:val="24"/>
          <w:szCs w:val="24"/>
        </w:rPr>
        <w:t xml:space="preserve"> Company</w:t>
      </w:r>
      <w:r w:rsidRPr="00191405">
        <w:rPr>
          <w:sz w:val="24"/>
          <w:szCs w:val="24"/>
        </w:rPr>
        <w:t xml:space="preserve">. </w:t>
      </w:r>
    </w:p>
    <w:p w14:paraId="328AE9AC" w14:textId="77777777" w:rsidR="00EE71F3" w:rsidRPr="00191405" w:rsidRDefault="00EE71F3" w:rsidP="00810A73">
      <w:pPr>
        <w:shd w:val="clear" w:color="auto" w:fill="FFFFFF"/>
        <w:spacing w:line="270" w:lineRule="atLeast"/>
        <w:rPr>
          <w:sz w:val="24"/>
          <w:szCs w:val="24"/>
        </w:rPr>
      </w:pPr>
    </w:p>
    <w:p w14:paraId="163339DD" w14:textId="68E077F7" w:rsidR="00810A73" w:rsidRPr="00191405" w:rsidRDefault="00810A73" w:rsidP="00810A73">
      <w:pPr>
        <w:shd w:val="clear" w:color="auto" w:fill="FFFFFF"/>
        <w:spacing w:line="270" w:lineRule="atLeast"/>
        <w:rPr>
          <w:sz w:val="24"/>
          <w:szCs w:val="24"/>
        </w:rPr>
      </w:pPr>
      <w:r w:rsidRPr="00191405">
        <w:rPr>
          <w:sz w:val="24"/>
          <w:szCs w:val="24"/>
        </w:rPr>
        <w:t xml:space="preserve">(e) Nothing contained in this Rule shall eliminate, </w:t>
      </w:r>
      <w:r w:rsidR="00D43D24" w:rsidRPr="00191405">
        <w:rPr>
          <w:sz w:val="24"/>
          <w:szCs w:val="24"/>
        </w:rPr>
        <w:t>reduce,</w:t>
      </w:r>
      <w:r w:rsidRPr="00191405">
        <w:rPr>
          <w:sz w:val="24"/>
          <w:szCs w:val="24"/>
        </w:rPr>
        <w:t xml:space="preserve"> or otherwise abrogate the responsibilities of </w:t>
      </w:r>
      <w:r w:rsidR="00EE71F3" w:rsidRPr="00191405">
        <w:rPr>
          <w:sz w:val="24"/>
          <w:szCs w:val="24"/>
        </w:rPr>
        <w:t>the Company</w:t>
      </w:r>
      <w:r w:rsidRPr="00191405">
        <w:rPr>
          <w:sz w:val="24"/>
          <w:szCs w:val="24"/>
        </w:rPr>
        <w:t xml:space="preserve"> or </w:t>
      </w:r>
      <w:r w:rsidR="00EE71F3" w:rsidRPr="00191405">
        <w:rPr>
          <w:sz w:val="24"/>
          <w:szCs w:val="24"/>
        </w:rPr>
        <w:t>A</w:t>
      </w:r>
      <w:r w:rsidRPr="00191405">
        <w:rPr>
          <w:sz w:val="24"/>
          <w:szCs w:val="24"/>
        </w:rPr>
        <w:t xml:space="preserve">ssociated </w:t>
      </w:r>
      <w:r w:rsidR="00EE71F3" w:rsidRPr="00191405">
        <w:rPr>
          <w:sz w:val="24"/>
          <w:szCs w:val="24"/>
        </w:rPr>
        <w:t>Persons</w:t>
      </w:r>
      <w:r w:rsidRPr="00191405">
        <w:rPr>
          <w:sz w:val="24"/>
          <w:szCs w:val="24"/>
        </w:rPr>
        <w:t xml:space="preserve"> to promptly disclose required information on the Forms BD, U4 or U5, as applicable, to make any other required filings or to respond to FINRA with respect to any customer complaint, examination or inquiry. In addition, </w:t>
      </w:r>
      <w:r w:rsidR="00EE71F3" w:rsidRPr="00191405">
        <w:rPr>
          <w:sz w:val="24"/>
          <w:szCs w:val="24"/>
        </w:rPr>
        <w:t xml:space="preserve">Company is </w:t>
      </w:r>
      <w:r w:rsidRPr="00191405">
        <w:rPr>
          <w:sz w:val="24"/>
          <w:szCs w:val="24"/>
        </w:rPr>
        <w:t xml:space="preserve"> required to comply with the reporting obligations under paragraphs (a), (b) and (d) of this Rule, regardless of whether the information is reported or disclosed pursuant to any other rule or requirement, including the requirements of the Forms BD or U4. However, </w:t>
      </w:r>
      <w:r w:rsidR="00EE71F3" w:rsidRPr="00191405">
        <w:rPr>
          <w:sz w:val="24"/>
          <w:szCs w:val="24"/>
        </w:rPr>
        <w:t>Company</w:t>
      </w:r>
      <w:r w:rsidRPr="00191405">
        <w:rPr>
          <w:sz w:val="24"/>
          <w:szCs w:val="24"/>
        </w:rPr>
        <w:t xml:space="preserve"> need not report an event otherwise required to be reported under paragraphs (a) or (b) of this Rule if the </w:t>
      </w:r>
      <w:r w:rsidR="00EE71F3" w:rsidRPr="00191405">
        <w:rPr>
          <w:sz w:val="24"/>
          <w:szCs w:val="24"/>
        </w:rPr>
        <w:t>Company</w:t>
      </w:r>
      <w:r w:rsidRPr="00191405">
        <w:rPr>
          <w:sz w:val="24"/>
          <w:szCs w:val="24"/>
        </w:rPr>
        <w:t xml:space="preserve"> discloses the event on the Form U5, consistent with the requirements of that form. </w:t>
      </w:r>
    </w:p>
    <w:p w14:paraId="463F869C" w14:textId="77777777" w:rsidR="00EE71F3" w:rsidRPr="00191405" w:rsidRDefault="00EE71F3" w:rsidP="00810A73">
      <w:pPr>
        <w:shd w:val="clear" w:color="auto" w:fill="FFFFFF"/>
        <w:spacing w:line="270" w:lineRule="atLeast"/>
        <w:rPr>
          <w:sz w:val="24"/>
          <w:szCs w:val="24"/>
        </w:rPr>
      </w:pPr>
    </w:p>
    <w:p w14:paraId="0E1BF8C6" w14:textId="77777777" w:rsidR="00810A73" w:rsidRPr="00217738" w:rsidRDefault="00810A73" w:rsidP="00810A73">
      <w:pPr>
        <w:shd w:val="clear" w:color="auto" w:fill="FFFFFF"/>
        <w:spacing w:line="270" w:lineRule="atLeast"/>
        <w:rPr>
          <w:sz w:val="24"/>
          <w:szCs w:val="24"/>
        </w:rPr>
      </w:pPr>
      <w:r w:rsidRPr="00191405">
        <w:rPr>
          <w:sz w:val="24"/>
          <w:szCs w:val="24"/>
        </w:rPr>
        <w:t xml:space="preserve">(f) </w:t>
      </w:r>
      <w:r w:rsidR="00EE71F3" w:rsidRPr="00191405">
        <w:rPr>
          <w:sz w:val="24"/>
          <w:szCs w:val="24"/>
        </w:rPr>
        <w:t>Company</w:t>
      </w:r>
      <w:r w:rsidRPr="00191405">
        <w:rPr>
          <w:sz w:val="24"/>
          <w:szCs w:val="24"/>
        </w:rPr>
        <w:t xml:space="preserve"> shall promptly file with FINRA copies of</w:t>
      </w:r>
      <w:r w:rsidR="000E02EB">
        <w:rPr>
          <w:sz w:val="24"/>
          <w:szCs w:val="24"/>
        </w:rPr>
        <w:t xml:space="preserve"> the following </w:t>
      </w:r>
      <w:r w:rsidR="000E02EB" w:rsidRPr="00217738">
        <w:rPr>
          <w:sz w:val="24"/>
          <w:szCs w:val="24"/>
        </w:rPr>
        <w:t xml:space="preserve">(events already reported on Form U-4 with an affirmative request to satisfy Rule 4530 reporting requirements and FINRA findings and actions will not be reported </w:t>
      </w:r>
      <w:r w:rsidR="00217738" w:rsidRPr="00217738">
        <w:rPr>
          <w:sz w:val="24"/>
          <w:szCs w:val="24"/>
        </w:rPr>
        <w:t>separately</w:t>
      </w:r>
      <w:r w:rsidR="000E02EB" w:rsidRPr="00217738">
        <w:rPr>
          <w:sz w:val="24"/>
          <w:szCs w:val="24"/>
        </w:rPr>
        <w:t>)</w:t>
      </w:r>
      <w:r w:rsidRPr="00217738">
        <w:rPr>
          <w:sz w:val="24"/>
          <w:szCs w:val="24"/>
        </w:rPr>
        <w:t xml:space="preserve">: </w:t>
      </w:r>
    </w:p>
    <w:p w14:paraId="62237F32" w14:textId="77777777" w:rsidR="000E2D7C" w:rsidRPr="00191405" w:rsidRDefault="000E2D7C" w:rsidP="00C1728B">
      <w:pPr>
        <w:numPr>
          <w:ilvl w:val="2"/>
          <w:numId w:val="94"/>
        </w:numPr>
        <w:shd w:val="clear" w:color="auto" w:fill="FFFFFF"/>
        <w:spacing w:line="270" w:lineRule="atLeast"/>
        <w:ind w:left="630" w:hanging="270"/>
        <w:rPr>
          <w:sz w:val="24"/>
          <w:szCs w:val="24"/>
        </w:rPr>
      </w:pPr>
      <w:r w:rsidRPr="00191405">
        <w:rPr>
          <w:sz w:val="24"/>
          <w:szCs w:val="24"/>
        </w:rPr>
        <w:lastRenderedPageBreak/>
        <w:t xml:space="preserve"> </w:t>
      </w:r>
      <w:r w:rsidR="00810A73" w:rsidRPr="00191405">
        <w:rPr>
          <w:sz w:val="24"/>
          <w:szCs w:val="24"/>
        </w:rPr>
        <w:t xml:space="preserve">any indictment, information or other criminal complaint or plea agreement for conduct reportable under paragraph (a)(1)(E) of this Rule; </w:t>
      </w:r>
    </w:p>
    <w:p w14:paraId="06D39502" w14:textId="77777777" w:rsidR="000E2D7C" w:rsidRPr="00191405" w:rsidRDefault="000E2D7C" w:rsidP="00C1728B">
      <w:pPr>
        <w:numPr>
          <w:ilvl w:val="2"/>
          <w:numId w:val="94"/>
        </w:numPr>
        <w:shd w:val="clear" w:color="auto" w:fill="FFFFFF"/>
        <w:spacing w:line="270" w:lineRule="atLeast"/>
        <w:ind w:left="630" w:hanging="270"/>
        <w:rPr>
          <w:sz w:val="24"/>
          <w:szCs w:val="24"/>
        </w:rPr>
      </w:pPr>
      <w:r w:rsidRPr="00191405">
        <w:rPr>
          <w:sz w:val="24"/>
          <w:szCs w:val="24"/>
        </w:rPr>
        <w:t xml:space="preserve"> </w:t>
      </w:r>
      <w:r w:rsidR="00810A73" w:rsidRPr="00191405">
        <w:rPr>
          <w:sz w:val="24"/>
          <w:szCs w:val="24"/>
        </w:rPr>
        <w:t xml:space="preserve">any complaint in which </w:t>
      </w:r>
      <w:r w:rsidRPr="00191405">
        <w:rPr>
          <w:sz w:val="24"/>
          <w:szCs w:val="24"/>
        </w:rPr>
        <w:t>Company</w:t>
      </w:r>
      <w:r w:rsidR="00810A73" w:rsidRPr="00191405">
        <w:rPr>
          <w:sz w:val="24"/>
          <w:szCs w:val="24"/>
        </w:rPr>
        <w:t xml:space="preserve"> is named as a defendant or respondent in any securities- or commodities-related private civil litigation, or is named as a defendant or respondent in any financial-related insurance private civil litigation; </w:t>
      </w:r>
    </w:p>
    <w:p w14:paraId="7E081A28" w14:textId="77777777" w:rsidR="000E2D7C" w:rsidRPr="00191405" w:rsidRDefault="000E2D7C" w:rsidP="00C1728B">
      <w:pPr>
        <w:numPr>
          <w:ilvl w:val="2"/>
          <w:numId w:val="94"/>
        </w:numPr>
        <w:shd w:val="clear" w:color="auto" w:fill="FFFFFF"/>
        <w:spacing w:line="270" w:lineRule="atLeast"/>
        <w:ind w:left="630" w:hanging="270"/>
        <w:rPr>
          <w:sz w:val="24"/>
          <w:szCs w:val="24"/>
        </w:rPr>
      </w:pPr>
      <w:r w:rsidRPr="00191405">
        <w:rPr>
          <w:sz w:val="24"/>
          <w:szCs w:val="24"/>
        </w:rPr>
        <w:t xml:space="preserve"> </w:t>
      </w:r>
      <w:r w:rsidR="00810A73" w:rsidRPr="00191405">
        <w:rPr>
          <w:sz w:val="24"/>
          <w:szCs w:val="24"/>
        </w:rPr>
        <w:t xml:space="preserve">any securities- or commodities-related arbitration claim, or financial-related insurance arbitration claim, filed against </w:t>
      </w:r>
      <w:r w:rsidRPr="00191405">
        <w:rPr>
          <w:sz w:val="24"/>
          <w:szCs w:val="24"/>
        </w:rPr>
        <w:t>Company</w:t>
      </w:r>
      <w:r w:rsidR="00810A73" w:rsidRPr="00191405">
        <w:rPr>
          <w:sz w:val="24"/>
          <w:szCs w:val="24"/>
        </w:rPr>
        <w:t xml:space="preserve"> in any forum other than the FINRA Dispute Resolution forum; </w:t>
      </w:r>
    </w:p>
    <w:p w14:paraId="17E065B9" w14:textId="77777777" w:rsidR="00810A73" w:rsidRPr="00191405" w:rsidRDefault="000E2D7C" w:rsidP="00C1728B">
      <w:pPr>
        <w:numPr>
          <w:ilvl w:val="2"/>
          <w:numId w:val="94"/>
        </w:numPr>
        <w:shd w:val="clear" w:color="auto" w:fill="FFFFFF"/>
        <w:spacing w:line="270" w:lineRule="atLeast"/>
        <w:ind w:left="630" w:hanging="270"/>
        <w:rPr>
          <w:sz w:val="24"/>
          <w:szCs w:val="24"/>
        </w:rPr>
      </w:pPr>
      <w:r w:rsidRPr="00191405">
        <w:rPr>
          <w:sz w:val="24"/>
          <w:szCs w:val="24"/>
        </w:rPr>
        <w:t xml:space="preserve"> </w:t>
      </w:r>
      <w:r w:rsidR="00810A73" w:rsidRPr="00191405">
        <w:rPr>
          <w:sz w:val="24"/>
          <w:szCs w:val="24"/>
        </w:rPr>
        <w:t>any indictment, information or other criminal complaint, any plea agreement, or any private civil complaint or arbitration claim against a</w:t>
      </w:r>
      <w:r w:rsidRPr="00191405">
        <w:rPr>
          <w:sz w:val="24"/>
          <w:szCs w:val="24"/>
        </w:rPr>
        <w:t>n Associated</w:t>
      </w:r>
      <w:r w:rsidR="00810A73" w:rsidRPr="00191405">
        <w:rPr>
          <w:sz w:val="24"/>
          <w:szCs w:val="24"/>
        </w:rPr>
        <w:t xml:space="preserve"> </w:t>
      </w:r>
      <w:r w:rsidRPr="00191405">
        <w:rPr>
          <w:sz w:val="24"/>
          <w:szCs w:val="24"/>
        </w:rPr>
        <w:t>P</w:t>
      </w:r>
      <w:r w:rsidR="00810A73" w:rsidRPr="00191405">
        <w:rPr>
          <w:sz w:val="24"/>
          <w:szCs w:val="24"/>
        </w:rPr>
        <w:t xml:space="preserve">erson that is reportable under question 14 on Form U4, irrespective of any dollar thresholds Form U4 imposes for notification, unless, in the case of an arbitration claim, the claim has been filed in the FINRA Dispute Resolution forum. </w:t>
      </w:r>
    </w:p>
    <w:p w14:paraId="16AB20FC" w14:textId="77777777" w:rsidR="000E2D7C" w:rsidRPr="00191405" w:rsidRDefault="000E2D7C" w:rsidP="00810A73">
      <w:pPr>
        <w:shd w:val="clear" w:color="auto" w:fill="FFFFFF"/>
        <w:spacing w:line="270" w:lineRule="atLeast"/>
        <w:rPr>
          <w:sz w:val="24"/>
          <w:szCs w:val="24"/>
        </w:rPr>
      </w:pPr>
    </w:p>
    <w:p w14:paraId="3E1D0E8E" w14:textId="77777777" w:rsidR="000C099C" w:rsidRDefault="00810A73" w:rsidP="00810A73">
      <w:pPr>
        <w:shd w:val="clear" w:color="auto" w:fill="FFFFFF"/>
        <w:spacing w:line="270" w:lineRule="atLeast"/>
        <w:rPr>
          <w:sz w:val="24"/>
          <w:szCs w:val="24"/>
        </w:rPr>
      </w:pPr>
      <w:r w:rsidRPr="00191405">
        <w:rPr>
          <w:sz w:val="24"/>
          <w:szCs w:val="24"/>
        </w:rPr>
        <w:t xml:space="preserve">(g) </w:t>
      </w:r>
      <w:r w:rsidR="004D62BC" w:rsidRPr="00191405">
        <w:rPr>
          <w:sz w:val="24"/>
          <w:szCs w:val="24"/>
        </w:rPr>
        <w:t>Company</w:t>
      </w:r>
      <w:r w:rsidRPr="00191405">
        <w:rPr>
          <w:sz w:val="24"/>
          <w:szCs w:val="24"/>
        </w:rPr>
        <w:t xml:space="preserve"> shall not be required to comply separately with paragraph (f) in the event that any of the documents required by paragraph (f) have been the subject of a request by FINRA's Registration and Disclosure staff, provided that the member produces those requested documents to the Registration and Disclosure staff not later than 30 days after receipt of such request. This paragraph does not supersede any FINRA rule or policy that requires production of documents specified in paragraph (f) sooner than 30 days after receipt of a request by the Registration and Disclosure staff. </w:t>
      </w:r>
    </w:p>
    <w:p w14:paraId="7BC44176" w14:textId="77777777" w:rsidR="00C00E88" w:rsidRDefault="00C00E88" w:rsidP="00810A73">
      <w:pPr>
        <w:shd w:val="clear" w:color="auto" w:fill="FFFFFF"/>
        <w:spacing w:line="270" w:lineRule="atLeast"/>
        <w:rPr>
          <w:sz w:val="24"/>
          <w:szCs w:val="24"/>
        </w:rPr>
      </w:pPr>
    </w:p>
    <w:p w14:paraId="331050F1" w14:textId="77777777" w:rsidR="00C00E88" w:rsidRDefault="00C00E88" w:rsidP="00810A73">
      <w:pPr>
        <w:shd w:val="clear" w:color="auto" w:fill="FFFFFF"/>
        <w:spacing w:line="270" w:lineRule="atLeast"/>
        <w:rPr>
          <w:sz w:val="24"/>
          <w:szCs w:val="24"/>
        </w:rPr>
      </w:pPr>
    </w:p>
    <w:p w14:paraId="13FDF7CF" w14:textId="77777777" w:rsidR="00C00E88" w:rsidRPr="00191405" w:rsidRDefault="00C00E88" w:rsidP="00936FEE">
      <w:pPr>
        <w:pStyle w:val="Heading2"/>
      </w:pPr>
      <w:r>
        <w:t>10.16 Outsourcing</w:t>
      </w:r>
    </w:p>
    <w:p w14:paraId="111873E7" w14:textId="77777777" w:rsidR="00C00E88" w:rsidRPr="00767FD6" w:rsidRDefault="00C00E88" w:rsidP="005E09A0">
      <w:pPr>
        <w:shd w:val="clear" w:color="auto" w:fill="FFFFFF"/>
        <w:rPr>
          <w:sz w:val="24"/>
          <w:szCs w:val="24"/>
        </w:rPr>
      </w:pPr>
      <w:r w:rsidRPr="00767FD6">
        <w:rPr>
          <w:sz w:val="24"/>
          <w:szCs w:val="24"/>
        </w:rPr>
        <w:t>Some services may be outsourced to third parties (vendors). While third parties are responsible for providing agreed-upon services in an accurate manner, regulators have stated that firms remain responsible for ultimate compliance with rules governing the outsourced activity.</w:t>
      </w:r>
    </w:p>
    <w:p w14:paraId="72232521" w14:textId="77777777" w:rsidR="00C00E88" w:rsidRPr="00767FD6" w:rsidRDefault="00C00E88" w:rsidP="00C00E88">
      <w:pPr>
        <w:shd w:val="clear" w:color="auto" w:fill="FFFFFF"/>
        <w:spacing w:before="100" w:beforeAutospacing="1" w:after="100" w:afterAutospacing="1"/>
        <w:rPr>
          <w:sz w:val="24"/>
          <w:szCs w:val="24"/>
        </w:rPr>
      </w:pPr>
      <w:r w:rsidRPr="00767FD6">
        <w:rPr>
          <w:sz w:val="24"/>
          <w:szCs w:val="24"/>
        </w:rPr>
        <w:t>When choosing an outside vendor, a number of factors will be considered depending on the type of service provided. Factors that may be considered when engaging a third party include:</w:t>
      </w:r>
    </w:p>
    <w:p w14:paraId="49545661" w14:textId="77777777" w:rsidR="00C00E88" w:rsidRPr="00767FD6" w:rsidRDefault="00C00E88" w:rsidP="003E7B18">
      <w:pPr>
        <w:numPr>
          <w:ilvl w:val="0"/>
          <w:numId w:val="281"/>
        </w:numPr>
        <w:shd w:val="clear" w:color="auto" w:fill="FFFFFF"/>
        <w:spacing w:before="100" w:beforeAutospacing="1" w:after="100" w:afterAutospacing="1"/>
        <w:rPr>
          <w:sz w:val="24"/>
          <w:szCs w:val="24"/>
        </w:rPr>
      </w:pPr>
      <w:r w:rsidRPr="00767FD6">
        <w:rPr>
          <w:sz w:val="24"/>
          <w:szCs w:val="24"/>
        </w:rPr>
        <w:t xml:space="preserve">Length of time in business </w:t>
      </w:r>
    </w:p>
    <w:p w14:paraId="43829696" w14:textId="77777777" w:rsidR="00C00E88" w:rsidRPr="00767FD6" w:rsidRDefault="00C00E88" w:rsidP="003E7B18">
      <w:pPr>
        <w:numPr>
          <w:ilvl w:val="0"/>
          <w:numId w:val="281"/>
        </w:numPr>
        <w:shd w:val="clear" w:color="auto" w:fill="FFFFFF"/>
        <w:spacing w:before="100" w:beforeAutospacing="1" w:after="100" w:afterAutospacing="1"/>
        <w:rPr>
          <w:sz w:val="24"/>
          <w:szCs w:val="24"/>
        </w:rPr>
      </w:pPr>
      <w:r w:rsidRPr="00767FD6">
        <w:rPr>
          <w:sz w:val="24"/>
          <w:szCs w:val="24"/>
        </w:rPr>
        <w:t xml:space="preserve">Financial stability </w:t>
      </w:r>
    </w:p>
    <w:p w14:paraId="03D7E00C" w14:textId="77777777" w:rsidR="00C00E88" w:rsidRPr="00767FD6" w:rsidRDefault="00C00E88" w:rsidP="003E7B18">
      <w:pPr>
        <w:numPr>
          <w:ilvl w:val="0"/>
          <w:numId w:val="281"/>
        </w:numPr>
        <w:shd w:val="clear" w:color="auto" w:fill="FFFFFF"/>
        <w:spacing w:before="100" w:beforeAutospacing="1" w:after="100" w:afterAutospacing="1"/>
        <w:rPr>
          <w:sz w:val="24"/>
          <w:szCs w:val="24"/>
        </w:rPr>
      </w:pPr>
      <w:r w:rsidRPr="00767FD6">
        <w:rPr>
          <w:sz w:val="24"/>
          <w:szCs w:val="24"/>
        </w:rPr>
        <w:t xml:space="preserve">Prior knowledge of the vendor </w:t>
      </w:r>
    </w:p>
    <w:p w14:paraId="0BBAE0E3" w14:textId="77777777" w:rsidR="00C00E88" w:rsidRPr="00767FD6" w:rsidRDefault="00C00E88" w:rsidP="003E7B18">
      <w:pPr>
        <w:numPr>
          <w:ilvl w:val="0"/>
          <w:numId w:val="281"/>
        </w:numPr>
        <w:shd w:val="clear" w:color="auto" w:fill="FFFFFF"/>
        <w:spacing w:before="100" w:beforeAutospacing="1" w:after="100" w:afterAutospacing="1"/>
        <w:rPr>
          <w:sz w:val="24"/>
          <w:szCs w:val="24"/>
        </w:rPr>
      </w:pPr>
      <w:r w:rsidRPr="00767FD6">
        <w:rPr>
          <w:sz w:val="24"/>
          <w:szCs w:val="24"/>
        </w:rPr>
        <w:t>Other users of the vendor's services</w:t>
      </w:r>
    </w:p>
    <w:p w14:paraId="1B52249B" w14:textId="77777777" w:rsidR="00C00E88" w:rsidRPr="00767FD6" w:rsidRDefault="00C00E88" w:rsidP="003E7B18">
      <w:pPr>
        <w:numPr>
          <w:ilvl w:val="0"/>
          <w:numId w:val="281"/>
        </w:numPr>
        <w:shd w:val="clear" w:color="auto" w:fill="FFFFFF"/>
        <w:spacing w:before="100" w:beforeAutospacing="1" w:after="100" w:afterAutospacing="1"/>
        <w:rPr>
          <w:sz w:val="24"/>
          <w:szCs w:val="24"/>
        </w:rPr>
      </w:pPr>
      <w:r w:rsidRPr="00767FD6">
        <w:rPr>
          <w:sz w:val="24"/>
          <w:szCs w:val="24"/>
        </w:rPr>
        <w:t xml:space="preserve">Technology and ability to deliver services </w:t>
      </w:r>
    </w:p>
    <w:p w14:paraId="3953145E" w14:textId="7C30573C" w:rsidR="00C00E88" w:rsidRPr="00E31E45" w:rsidRDefault="00C00E88" w:rsidP="003E7B18">
      <w:pPr>
        <w:numPr>
          <w:ilvl w:val="0"/>
          <w:numId w:val="281"/>
        </w:numPr>
        <w:shd w:val="clear" w:color="auto" w:fill="FFFFFF"/>
        <w:spacing w:before="100" w:beforeAutospacing="1" w:after="100" w:afterAutospacing="1"/>
        <w:rPr>
          <w:color w:val="000000" w:themeColor="text1"/>
          <w:sz w:val="24"/>
          <w:szCs w:val="24"/>
        </w:rPr>
      </w:pPr>
      <w:r w:rsidRPr="00767FD6">
        <w:rPr>
          <w:sz w:val="24"/>
          <w:szCs w:val="24"/>
        </w:rPr>
        <w:t>Security of customer or other financial information</w:t>
      </w:r>
      <w:r w:rsidR="007667C3">
        <w:rPr>
          <w:sz w:val="24"/>
          <w:szCs w:val="24"/>
        </w:rPr>
        <w:t xml:space="preserve"> </w:t>
      </w:r>
      <w:r w:rsidR="007667C3" w:rsidRPr="00E31E45">
        <w:rPr>
          <w:color w:val="000000" w:themeColor="text1"/>
          <w:sz w:val="24"/>
          <w:szCs w:val="24"/>
        </w:rPr>
        <w:t>and cybersecurity controls</w:t>
      </w:r>
      <w:r w:rsidRPr="00E31E45">
        <w:rPr>
          <w:color w:val="000000" w:themeColor="text1"/>
          <w:sz w:val="24"/>
          <w:szCs w:val="24"/>
        </w:rPr>
        <w:t xml:space="preserve">, if applicable </w:t>
      </w:r>
    </w:p>
    <w:p w14:paraId="658FA00A" w14:textId="1CD7C06E" w:rsidR="007667C3" w:rsidRPr="00E31E45" w:rsidRDefault="007667C3" w:rsidP="007667C3">
      <w:pPr>
        <w:numPr>
          <w:ilvl w:val="0"/>
          <w:numId w:val="281"/>
        </w:numPr>
        <w:spacing w:before="100" w:beforeAutospacing="1" w:after="100" w:afterAutospacing="1"/>
        <w:rPr>
          <w:color w:val="000000" w:themeColor="text1"/>
          <w:spacing w:val="8"/>
          <w:sz w:val="24"/>
          <w:szCs w:val="24"/>
        </w:rPr>
      </w:pPr>
      <w:r w:rsidRPr="00E31E45">
        <w:rPr>
          <w:color w:val="000000" w:themeColor="text1"/>
          <w:spacing w:val="8"/>
          <w:sz w:val="24"/>
          <w:szCs w:val="24"/>
        </w:rPr>
        <w:t>Vendor's ability to retain firm records in accordance with regulatory requirements, if applicable</w:t>
      </w:r>
    </w:p>
    <w:p w14:paraId="43412D9E" w14:textId="77777777" w:rsidR="00C00E88" w:rsidRPr="00E31E45" w:rsidRDefault="009003F7" w:rsidP="003E7B18">
      <w:pPr>
        <w:numPr>
          <w:ilvl w:val="0"/>
          <w:numId w:val="281"/>
        </w:numPr>
        <w:shd w:val="clear" w:color="auto" w:fill="FFFFFF"/>
        <w:spacing w:before="100" w:beforeAutospacing="1" w:after="100" w:afterAutospacing="1"/>
        <w:rPr>
          <w:color w:val="000000" w:themeColor="text1"/>
          <w:sz w:val="24"/>
          <w:szCs w:val="24"/>
        </w:rPr>
      </w:pPr>
      <w:r w:rsidRPr="00E31E45">
        <w:rPr>
          <w:color w:val="000000" w:themeColor="text1"/>
          <w:sz w:val="24"/>
          <w:szCs w:val="24"/>
        </w:rPr>
        <w:t>Company management and Compliance</w:t>
      </w:r>
      <w:r w:rsidR="00C00E88" w:rsidRPr="00E31E45">
        <w:rPr>
          <w:color w:val="000000" w:themeColor="text1"/>
          <w:sz w:val="24"/>
          <w:szCs w:val="24"/>
        </w:rPr>
        <w:t xml:space="preserve"> is responsible for monitoring the vendor's services</w:t>
      </w:r>
    </w:p>
    <w:p w14:paraId="367FED93" w14:textId="77777777" w:rsidR="00C00E88" w:rsidRPr="00E31E45" w:rsidRDefault="00C451E0" w:rsidP="005E09A0">
      <w:pPr>
        <w:shd w:val="clear" w:color="auto" w:fill="FFFFFF"/>
        <w:rPr>
          <w:color w:val="000000" w:themeColor="text1"/>
          <w:sz w:val="24"/>
          <w:szCs w:val="24"/>
        </w:rPr>
      </w:pPr>
      <w:r w:rsidRPr="00E31E45">
        <w:rPr>
          <w:color w:val="000000" w:themeColor="text1"/>
          <w:sz w:val="24"/>
          <w:szCs w:val="24"/>
        </w:rPr>
        <w:t>Company management and/or Compli</w:t>
      </w:r>
      <w:r w:rsidR="00037096" w:rsidRPr="00E31E45">
        <w:rPr>
          <w:color w:val="000000" w:themeColor="text1"/>
          <w:sz w:val="24"/>
          <w:szCs w:val="24"/>
        </w:rPr>
        <w:t>a</w:t>
      </w:r>
      <w:r w:rsidRPr="00E31E45">
        <w:rPr>
          <w:color w:val="000000" w:themeColor="text1"/>
          <w:sz w:val="24"/>
          <w:szCs w:val="24"/>
        </w:rPr>
        <w:t>nce shall</w:t>
      </w:r>
      <w:r w:rsidR="005E09A0" w:rsidRPr="00E31E45">
        <w:rPr>
          <w:color w:val="000000" w:themeColor="text1"/>
          <w:sz w:val="24"/>
          <w:szCs w:val="24"/>
        </w:rPr>
        <w:t xml:space="preserve"> review O</w:t>
      </w:r>
      <w:r w:rsidR="00C00E88" w:rsidRPr="00E31E45">
        <w:rPr>
          <w:color w:val="000000" w:themeColor="text1"/>
          <w:sz w:val="24"/>
          <w:szCs w:val="24"/>
        </w:rPr>
        <w:t xml:space="preserve">utsourcing </w:t>
      </w:r>
      <w:r w:rsidR="005E09A0" w:rsidRPr="00E31E45">
        <w:rPr>
          <w:color w:val="000000" w:themeColor="text1"/>
          <w:sz w:val="24"/>
          <w:szCs w:val="24"/>
        </w:rPr>
        <w:t>contracts</w:t>
      </w:r>
      <w:r w:rsidR="00C00E88" w:rsidRPr="00E31E45">
        <w:rPr>
          <w:color w:val="000000" w:themeColor="text1"/>
          <w:sz w:val="24"/>
          <w:szCs w:val="24"/>
        </w:rPr>
        <w:t xml:space="preserve"> </w:t>
      </w:r>
      <w:r w:rsidR="005E09A0" w:rsidRPr="00E31E45">
        <w:rPr>
          <w:color w:val="000000" w:themeColor="text1"/>
          <w:sz w:val="24"/>
          <w:szCs w:val="24"/>
        </w:rPr>
        <w:t xml:space="preserve">and </w:t>
      </w:r>
      <w:r w:rsidR="00C00E88" w:rsidRPr="00E31E45">
        <w:rPr>
          <w:color w:val="000000" w:themeColor="text1"/>
          <w:sz w:val="24"/>
          <w:szCs w:val="24"/>
        </w:rPr>
        <w:t>completed</w:t>
      </w:r>
      <w:r w:rsidR="005E09A0" w:rsidRPr="00E31E45">
        <w:rPr>
          <w:color w:val="000000" w:themeColor="text1"/>
          <w:sz w:val="24"/>
          <w:szCs w:val="24"/>
        </w:rPr>
        <w:t xml:space="preserve"> contracts will be maintained as part of Company’s records and for three years after their termination.</w:t>
      </w:r>
    </w:p>
    <w:p w14:paraId="64C9FECF" w14:textId="176703FF" w:rsidR="00732603" w:rsidRPr="00E31E45" w:rsidRDefault="00732603" w:rsidP="005E09A0">
      <w:pPr>
        <w:pStyle w:val="BodyText2"/>
        <w:widowControl/>
        <w:rPr>
          <w:color w:val="000000" w:themeColor="text1"/>
          <w:szCs w:val="24"/>
        </w:rPr>
      </w:pPr>
    </w:p>
    <w:p w14:paraId="66110B13" w14:textId="33C443FD" w:rsidR="00AC5F14" w:rsidRPr="00E31E45" w:rsidRDefault="00FA4891" w:rsidP="00FA4891">
      <w:pPr>
        <w:pStyle w:val="Heading3"/>
        <w:rPr>
          <w:color w:val="000000" w:themeColor="text1"/>
        </w:rPr>
      </w:pPr>
      <w:r w:rsidRPr="00E31E45">
        <w:rPr>
          <w:color w:val="000000" w:themeColor="text1"/>
        </w:rPr>
        <w:lastRenderedPageBreak/>
        <w:t xml:space="preserve">10.16.1 Cybersecurity </w:t>
      </w:r>
    </w:p>
    <w:p w14:paraId="1DD497F9" w14:textId="19756EC2" w:rsidR="00FA4891" w:rsidRPr="00E31E45" w:rsidRDefault="00FA4891" w:rsidP="00FA4891">
      <w:pPr>
        <w:spacing w:before="15" w:after="100" w:afterAutospacing="1" w:line="240" w:lineRule="atLeast"/>
        <w:ind w:left="270"/>
        <w:rPr>
          <w:color w:val="000000" w:themeColor="text1"/>
          <w:spacing w:val="8"/>
          <w:sz w:val="24"/>
          <w:szCs w:val="24"/>
        </w:rPr>
      </w:pPr>
      <w:r w:rsidRPr="00E31E45">
        <w:rPr>
          <w:color w:val="000000" w:themeColor="text1"/>
          <w:spacing w:val="8"/>
          <w:sz w:val="24"/>
          <w:szCs w:val="24"/>
        </w:rPr>
        <w:t>Company will confirm that a vendor that will have access to customer and Company records has a viable cybersecurity program to protect such information and take corrective action when there are cybersecurity breaches. Cybersecurity considerations include:</w:t>
      </w:r>
    </w:p>
    <w:p w14:paraId="7FD6E752" w14:textId="77777777" w:rsidR="00FA4891" w:rsidRPr="00E31E45" w:rsidRDefault="00FA4891" w:rsidP="0005402C">
      <w:pPr>
        <w:numPr>
          <w:ilvl w:val="0"/>
          <w:numId w:val="387"/>
        </w:numPr>
        <w:spacing w:before="100" w:beforeAutospacing="1" w:after="100" w:afterAutospacing="1"/>
        <w:ind w:left="900" w:hanging="270"/>
        <w:rPr>
          <w:color w:val="000000" w:themeColor="text1"/>
          <w:spacing w:val="8"/>
          <w:sz w:val="24"/>
          <w:szCs w:val="24"/>
        </w:rPr>
      </w:pPr>
      <w:r w:rsidRPr="00E31E45">
        <w:rPr>
          <w:color w:val="000000" w:themeColor="text1"/>
          <w:spacing w:val="8"/>
          <w:sz w:val="24"/>
          <w:szCs w:val="24"/>
        </w:rPr>
        <w:t>Review of a vendor's cybersecurity program and confirmation of continuing controls and technology changes to critical systems</w:t>
      </w:r>
    </w:p>
    <w:p w14:paraId="72753A02" w14:textId="77777777" w:rsidR="00FA4891" w:rsidRPr="00E31E45" w:rsidRDefault="00FA4891" w:rsidP="0005402C">
      <w:pPr>
        <w:numPr>
          <w:ilvl w:val="0"/>
          <w:numId w:val="387"/>
        </w:numPr>
        <w:spacing w:before="100" w:beforeAutospacing="1" w:after="100" w:afterAutospacing="1"/>
        <w:ind w:left="900" w:hanging="270"/>
        <w:rPr>
          <w:color w:val="000000" w:themeColor="text1"/>
          <w:spacing w:val="8"/>
          <w:sz w:val="24"/>
          <w:szCs w:val="24"/>
        </w:rPr>
      </w:pPr>
      <w:r w:rsidRPr="00E31E45">
        <w:rPr>
          <w:color w:val="000000" w:themeColor="text1"/>
          <w:spacing w:val="8"/>
          <w:sz w:val="24"/>
          <w:szCs w:val="24"/>
        </w:rPr>
        <w:t>Testing of system changes and capacity to detect underlying malfunctions or capacity constraints</w:t>
      </w:r>
    </w:p>
    <w:p w14:paraId="163F5D6F" w14:textId="77777777" w:rsidR="00FA4891" w:rsidRPr="00E31E45" w:rsidRDefault="00FA4891" w:rsidP="0005402C">
      <w:pPr>
        <w:numPr>
          <w:ilvl w:val="0"/>
          <w:numId w:val="387"/>
        </w:numPr>
        <w:spacing w:before="100" w:beforeAutospacing="1" w:after="100" w:afterAutospacing="1"/>
        <w:ind w:left="900" w:hanging="270"/>
        <w:rPr>
          <w:color w:val="000000" w:themeColor="text1"/>
          <w:spacing w:val="8"/>
          <w:sz w:val="24"/>
          <w:szCs w:val="24"/>
        </w:rPr>
      </w:pPr>
      <w:r w:rsidRPr="00E31E45">
        <w:rPr>
          <w:color w:val="000000" w:themeColor="text1"/>
          <w:spacing w:val="8"/>
          <w:sz w:val="24"/>
          <w:szCs w:val="24"/>
        </w:rPr>
        <w:t>Encryption of confidential firm and customer data stored at the vendor or in transit between Company and vendors</w:t>
      </w:r>
    </w:p>
    <w:p w14:paraId="17F024CC" w14:textId="77777777" w:rsidR="00FA4891" w:rsidRPr="00E31E45" w:rsidRDefault="00FA4891" w:rsidP="0005402C">
      <w:pPr>
        <w:numPr>
          <w:ilvl w:val="0"/>
          <w:numId w:val="387"/>
        </w:numPr>
        <w:spacing w:before="100" w:beforeAutospacing="1" w:after="100" w:afterAutospacing="1"/>
        <w:ind w:left="900" w:hanging="270"/>
        <w:rPr>
          <w:color w:val="000000" w:themeColor="text1"/>
          <w:spacing w:val="8"/>
          <w:sz w:val="24"/>
          <w:szCs w:val="24"/>
        </w:rPr>
      </w:pPr>
      <w:r w:rsidRPr="00E31E45">
        <w:rPr>
          <w:color w:val="000000" w:themeColor="text1"/>
          <w:spacing w:val="8"/>
          <w:sz w:val="24"/>
          <w:szCs w:val="24"/>
        </w:rPr>
        <w:t>Disposal of customer non-public information</w:t>
      </w:r>
    </w:p>
    <w:p w14:paraId="72C065CC" w14:textId="77777777" w:rsidR="00FA4891" w:rsidRPr="00E31E45" w:rsidRDefault="00FA4891" w:rsidP="0005402C">
      <w:pPr>
        <w:numPr>
          <w:ilvl w:val="0"/>
          <w:numId w:val="387"/>
        </w:numPr>
        <w:spacing w:before="100" w:beforeAutospacing="1" w:after="100" w:afterAutospacing="1"/>
        <w:ind w:left="900" w:hanging="270"/>
        <w:rPr>
          <w:color w:val="000000" w:themeColor="text1"/>
          <w:spacing w:val="8"/>
          <w:sz w:val="24"/>
          <w:szCs w:val="24"/>
        </w:rPr>
      </w:pPr>
      <w:r w:rsidRPr="00E31E45">
        <w:rPr>
          <w:color w:val="000000" w:themeColor="text1"/>
          <w:spacing w:val="8"/>
          <w:sz w:val="24"/>
          <w:szCs w:val="24"/>
        </w:rPr>
        <w:t>Retention or transfer of data upon termination of vendor agreement</w:t>
      </w:r>
    </w:p>
    <w:p w14:paraId="0B7109D2" w14:textId="539CD5A0" w:rsidR="00FA4891" w:rsidRPr="00E31E45" w:rsidRDefault="00FA4891" w:rsidP="00FA4891">
      <w:pPr>
        <w:pStyle w:val="Heading3"/>
        <w:rPr>
          <w:color w:val="000000" w:themeColor="text1"/>
        </w:rPr>
      </w:pPr>
      <w:r w:rsidRPr="00E31E45">
        <w:rPr>
          <w:color w:val="000000" w:themeColor="text1"/>
        </w:rPr>
        <w:t>10.16.2 Books and Records</w:t>
      </w:r>
    </w:p>
    <w:p w14:paraId="17E334CB" w14:textId="77777777" w:rsidR="00FA4891" w:rsidRPr="00E31E45" w:rsidRDefault="00FA4891" w:rsidP="00FA4891">
      <w:pPr>
        <w:shd w:val="clear" w:color="auto" w:fill="FFFFFF"/>
        <w:spacing w:before="15" w:after="100" w:afterAutospacing="1" w:line="240" w:lineRule="atLeast"/>
        <w:ind w:firstLine="270"/>
        <w:rPr>
          <w:color w:val="000000" w:themeColor="text1"/>
          <w:spacing w:val="8"/>
          <w:sz w:val="24"/>
          <w:szCs w:val="24"/>
        </w:rPr>
      </w:pPr>
      <w:r w:rsidRPr="00E31E45">
        <w:rPr>
          <w:color w:val="000000" w:themeColor="text1"/>
          <w:spacing w:val="8"/>
          <w:sz w:val="24"/>
          <w:szCs w:val="24"/>
        </w:rPr>
        <w:t>Company's records are a critical part of any outsourced vendor agreement.</w:t>
      </w:r>
    </w:p>
    <w:p w14:paraId="026CFCA2" w14:textId="77717A02" w:rsidR="00FA4891" w:rsidRPr="00E31E45" w:rsidRDefault="005B3E70" w:rsidP="0005402C">
      <w:pPr>
        <w:numPr>
          <w:ilvl w:val="0"/>
          <w:numId w:val="388"/>
        </w:numPr>
        <w:shd w:val="clear" w:color="auto" w:fill="FFFFFF"/>
        <w:tabs>
          <w:tab w:val="clear" w:pos="720"/>
          <w:tab w:val="num" w:pos="900"/>
        </w:tabs>
        <w:spacing w:before="100" w:beforeAutospacing="1" w:after="100" w:afterAutospacing="1"/>
        <w:ind w:left="900" w:hanging="270"/>
        <w:rPr>
          <w:color w:val="000000" w:themeColor="text1"/>
          <w:spacing w:val="8"/>
          <w:sz w:val="24"/>
          <w:szCs w:val="24"/>
        </w:rPr>
      </w:pPr>
      <w:r w:rsidRPr="00E31E45">
        <w:rPr>
          <w:color w:val="000000" w:themeColor="text1"/>
          <w:spacing w:val="8"/>
          <w:sz w:val="24"/>
          <w:szCs w:val="24"/>
        </w:rPr>
        <w:t>If applicable, a</w:t>
      </w:r>
      <w:r w:rsidR="00FA4891" w:rsidRPr="00E31E45">
        <w:rPr>
          <w:color w:val="000000" w:themeColor="text1"/>
          <w:spacing w:val="8"/>
          <w:sz w:val="24"/>
          <w:szCs w:val="24"/>
        </w:rPr>
        <w:t>ffirm the vendor will maintain books and records in accordance with Exchange Act Rules 17a-3, 17a-4, FINRA Rule 3110(b)(4), and FINRA Rule 4510.</w:t>
      </w:r>
    </w:p>
    <w:p w14:paraId="2A247EC3" w14:textId="77777777" w:rsidR="00FA4891" w:rsidRPr="00E31E45" w:rsidRDefault="00FA4891" w:rsidP="0005402C">
      <w:pPr>
        <w:numPr>
          <w:ilvl w:val="0"/>
          <w:numId w:val="388"/>
        </w:numPr>
        <w:shd w:val="clear" w:color="auto" w:fill="FFFFFF"/>
        <w:tabs>
          <w:tab w:val="clear" w:pos="720"/>
          <w:tab w:val="num" w:pos="900"/>
        </w:tabs>
        <w:spacing w:before="100" w:beforeAutospacing="1" w:after="100" w:afterAutospacing="1"/>
        <w:ind w:left="900" w:hanging="270"/>
        <w:rPr>
          <w:color w:val="000000" w:themeColor="text1"/>
          <w:spacing w:val="8"/>
          <w:sz w:val="24"/>
          <w:szCs w:val="24"/>
        </w:rPr>
      </w:pPr>
      <w:r w:rsidRPr="00E31E45">
        <w:rPr>
          <w:color w:val="000000" w:themeColor="text1"/>
          <w:spacing w:val="8"/>
          <w:sz w:val="24"/>
          <w:szCs w:val="24"/>
        </w:rPr>
        <w:t>Confirm records will not be deleted upon termination of the vendor's contract with Company.</w:t>
      </w:r>
    </w:p>
    <w:p w14:paraId="551FC340" w14:textId="77777777" w:rsidR="00FA4891" w:rsidRPr="00E31E45" w:rsidRDefault="00FA4891" w:rsidP="0005402C">
      <w:pPr>
        <w:numPr>
          <w:ilvl w:val="0"/>
          <w:numId w:val="388"/>
        </w:numPr>
        <w:shd w:val="clear" w:color="auto" w:fill="FFFFFF"/>
        <w:tabs>
          <w:tab w:val="clear" w:pos="720"/>
          <w:tab w:val="num" w:pos="900"/>
        </w:tabs>
        <w:spacing w:before="100" w:beforeAutospacing="1" w:after="100" w:afterAutospacing="1"/>
        <w:ind w:left="900" w:hanging="270"/>
        <w:rPr>
          <w:color w:val="000000" w:themeColor="text1"/>
          <w:spacing w:val="8"/>
          <w:sz w:val="24"/>
          <w:szCs w:val="24"/>
        </w:rPr>
      </w:pPr>
      <w:r w:rsidRPr="00E31E45">
        <w:rPr>
          <w:color w:val="000000" w:themeColor="text1"/>
          <w:spacing w:val="8"/>
          <w:sz w:val="24"/>
          <w:szCs w:val="24"/>
        </w:rPr>
        <w:t>Review vendor's recordkeeping in audit programs for compliance with regulatory requirements.</w:t>
      </w:r>
    </w:p>
    <w:p w14:paraId="42BC2F92" w14:textId="77777777" w:rsidR="00FA4891" w:rsidRPr="00FA4891" w:rsidRDefault="00FA4891" w:rsidP="00FA4891"/>
    <w:p w14:paraId="473308E2" w14:textId="77777777" w:rsidR="00732603" w:rsidRDefault="00732603" w:rsidP="00936FEE">
      <w:pPr>
        <w:pStyle w:val="Heading2"/>
      </w:pPr>
      <w:r>
        <w:t>10.1</w:t>
      </w:r>
      <w:r w:rsidR="00C00E88">
        <w:t>7</w:t>
      </w:r>
      <w:r>
        <w:t xml:space="preserve"> Record Retention/Destruction Chart</w:t>
      </w:r>
    </w:p>
    <w:p w14:paraId="0BE8AB2F" w14:textId="77777777" w:rsidR="000C099C" w:rsidRDefault="000C099C">
      <w:pPr>
        <w:pStyle w:val="BodyText2"/>
        <w:widowControl/>
      </w:pPr>
      <w:r>
        <w:t>It shall be the Company’s policy to follow the record retention requirements outlined below.  All such records will then be destroyed upon expiration of such holding periods.</w:t>
      </w:r>
    </w:p>
    <w:p w14:paraId="77FBDED2" w14:textId="77777777" w:rsidR="000C099C" w:rsidRDefault="000C099C">
      <w:pPr>
        <w:rPr>
          <w:sz w:val="24"/>
        </w:rPr>
      </w:pPr>
    </w:p>
    <w:p w14:paraId="14A019B3" w14:textId="77777777" w:rsidR="00217738" w:rsidRDefault="00217738">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2"/>
        <w:gridCol w:w="961"/>
        <w:gridCol w:w="1046"/>
        <w:gridCol w:w="1081"/>
      </w:tblGrid>
      <w:tr w:rsidR="000C099C" w14:paraId="101C7B88" w14:textId="77777777">
        <w:tc>
          <w:tcPr>
            <w:tcW w:w="6342" w:type="dxa"/>
            <w:tcBorders>
              <w:bottom w:val="single" w:sz="4" w:space="0" w:color="auto"/>
            </w:tcBorders>
          </w:tcPr>
          <w:p w14:paraId="5D06A1CC" w14:textId="77777777" w:rsidR="000C099C" w:rsidRDefault="000C099C">
            <w:pPr>
              <w:jc w:val="center"/>
              <w:rPr>
                <w:b/>
                <w:bCs/>
                <w:sz w:val="24"/>
              </w:rPr>
            </w:pPr>
            <w:r>
              <w:rPr>
                <w:b/>
                <w:bCs/>
                <w:sz w:val="24"/>
              </w:rPr>
              <w:t>Description</w:t>
            </w:r>
          </w:p>
        </w:tc>
        <w:tc>
          <w:tcPr>
            <w:tcW w:w="985" w:type="dxa"/>
            <w:tcBorders>
              <w:bottom w:val="single" w:sz="4" w:space="0" w:color="auto"/>
            </w:tcBorders>
          </w:tcPr>
          <w:p w14:paraId="6279EAAC" w14:textId="77777777" w:rsidR="000C099C" w:rsidRDefault="000C099C">
            <w:pPr>
              <w:jc w:val="center"/>
              <w:rPr>
                <w:b/>
                <w:bCs/>
                <w:sz w:val="24"/>
              </w:rPr>
            </w:pPr>
            <w:r>
              <w:rPr>
                <w:b/>
                <w:bCs/>
                <w:sz w:val="24"/>
              </w:rPr>
              <w:t>IRS</w:t>
            </w:r>
          </w:p>
          <w:p w14:paraId="7A2CA0F9" w14:textId="77777777" w:rsidR="000C099C" w:rsidRDefault="000C099C">
            <w:pPr>
              <w:jc w:val="center"/>
              <w:rPr>
                <w:b/>
                <w:bCs/>
                <w:sz w:val="24"/>
              </w:rPr>
            </w:pPr>
            <w:r>
              <w:rPr>
                <w:b/>
                <w:bCs/>
                <w:sz w:val="24"/>
              </w:rPr>
              <w:t xml:space="preserve"># </w:t>
            </w:r>
            <w:r w:rsidR="005B7E49">
              <w:rPr>
                <w:b/>
                <w:bCs/>
                <w:sz w:val="24"/>
              </w:rPr>
              <w:t>Yrs.</w:t>
            </w:r>
          </w:p>
        </w:tc>
        <w:tc>
          <w:tcPr>
            <w:tcW w:w="1046" w:type="dxa"/>
            <w:tcBorders>
              <w:bottom w:val="single" w:sz="4" w:space="0" w:color="auto"/>
            </w:tcBorders>
          </w:tcPr>
          <w:p w14:paraId="1D285E28" w14:textId="77777777" w:rsidR="000C099C" w:rsidRDefault="000C099C">
            <w:pPr>
              <w:jc w:val="center"/>
              <w:rPr>
                <w:b/>
                <w:bCs/>
                <w:sz w:val="24"/>
              </w:rPr>
            </w:pPr>
            <w:r>
              <w:rPr>
                <w:b/>
                <w:bCs/>
                <w:sz w:val="24"/>
              </w:rPr>
              <w:t>SEC</w:t>
            </w:r>
          </w:p>
          <w:p w14:paraId="30B0D503" w14:textId="77777777" w:rsidR="000C099C" w:rsidRDefault="000C099C">
            <w:pPr>
              <w:jc w:val="center"/>
              <w:rPr>
                <w:b/>
                <w:bCs/>
                <w:sz w:val="24"/>
              </w:rPr>
            </w:pPr>
            <w:r>
              <w:rPr>
                <w:b/>
                <w:bCs/>
                <w:sz w:val="24"/>
              </w:rPr>
              <w:t xml:space="preserve"># </w:t>
            </w:r>
            <w:r w:rsidR="005B7E49">
              <w:rPr>
                <w:b/>
                <w:bCs/>
                <w:sz w:val="24"/>
              </w:rPr>
              <w:t>Yrs.</w:t>
            </w:r>
          </w:p>
        </w:tc>
        <w:tc>
          <w:tcPr>
            <w:tcW w:w="1095" w:type="dxa"/>
            <w:tcBorders>
              <w:bottom w:val="single" w:sz="4" w:space="0" w:color="auto"/>
            </w:tcBorders>
          </w:tcPr>
          <w:p w14:paraId="0AE89B93" w14:textId="77777777" w:rsidR="000C099C" w:rsidRDefault="000C099C">
            <w:pPr>
              <w:jc w:val="center"/>
              <w:rPr>
                <w:b/>
                <w:bCs/>
                <w:sz w:val="24"/>
              </w:rPr>
            </w:pPr>
            <w:r>
              <w:rPr>
                <w:b/>
                <w:bCs/>
                <w:sz w:val="24"/>
              </w:rPr>
              <w:t>Ready</w:t>
            </w:r>
          </w:p>
          <w:p w14:paraId="18A514D2" w14:textId="77777777" w:rsidR="000C099C" w:rsidRDefault="000C099C">
            <w:pPr>
              <w:jc w:val="center"/>
              <w:rPr>
                <w:b/>
                <w:bCs/>
                <w:sz w:val="24"/>
              </w:rPr>
            </w:pPr>
            <w:r>
              <w:rPr>
                <w:b/>
                <w:bCs/>
                <w:sz w:val="24"/>
              </w:rPr>
              <w:t>Access</w:t>
            </w:r>
          </w:p>
        </w:tc>
      </w:tr>
      <w:tr w:rsidR="000C099C" w14:paraId="5316F299" w14:textId="77777777">
        <w:trPr>
          <w:cantSplit/>
        </w:trPr>
        <w:tc>
          <w:tcPr>
            <w:tcW w:w="9468" w:type="dxa"/>
            <w:gridSpan w:val="4"/>
            <w:shd w:val="clear" w:color="auto" w:fill="E6E6E6"/>
          </w:tcPr>
          <w:p w14:paraId="2FBBCF92" w14:textId="77777777" w:rsidR="00693D2A" w:rsidRPr="00693D2A" w:rsidRDefault="00693D2A" w:rsidP="00693D2A">
            <w:pPr>
              <w:rPr>
                <w:b/>
                <w:sz w:val="24"/>
                <w:szCs w:val="24"/>
              </w:rPr>
            </w:pPr>
            <w:r>
              <w:rPr>
                <w:b/>
                <w:sz w:val="24"/>
                <w:szCs w:val="24"/>
              </w:rPr>
              <w:t>Accounting Records</w:t>
            </w:r>
          </w:p>
        </w:tc>
      </w:tr>
      <w:tr w:rsidR="000C099C" w14:paraId="415FE169" w14:textId="77777777">
        <w:tc>
          <w:tcPr>
            <w:tcW w:w="6342" w:type="dxa"/>
          </w:tcPr>
          <w:p w14:paraId="3265BA44" w14:textId="77777777" w:rsidR="000C099C" w:rsidRDefault="000C099C">
            <w:pPr>
              <w:rPr>
                <w:sz w:val="24"/>
              </w:rPr>
            </w:pPr>
            <w:r>
              <w:rPr>
                <w:sz w:val="24"/>
              </w:rPr>
              <w:t>Bank Statements, deposit slips</w:t>
            </w:r>
          </w:p>
        </w:tc>
        <w:tc>
          <w:tcPr>
            <w:tcW w:w="985" w:type="dxa"/>
          </w:tcPr>
          <w:p w14:paraId="03A77EA6" w14:textId="77777777" w:rsidR="000C099C" w:rsidRDefault="000C099C">
            <w:pPr>
              <w:jc w:val="center"/>
              <w:rPr>
                <w:sz w:val="24"/>
              </w:rPr>
            </w:pPr>
            <w:r>
              <w:rPr>
                <w:sz w:val="24"/>
              </w:rPr>
              <w:t>4</w:t>
            </w:r>
          </w:p>
        </w:tc>
        <w:tc>
          <w:tcPr>
            <w:tcW w:w="1046" w:type="dxa"/>
          </w:tcPr>
          <w:p w14:paraId="4BB265C5" w14:textId="77777777" w:rsidR="000C099C" w:rsidRDefault="000C099C">
            <w:pPr>
              <w:jc w:val="center"/>
              <w:rPr>
                <w:sz w:val="24"/>
              </w:rPr>
            </w:pPr>
            <w:r>
              <w:rPr>
                <w:sz w:val="24"/>
              </w:rPr>
              <w:t>3</w:t>
            </w:r>
          </w:p>
        </w:tc>
        <w:tc>
          <w:tcPr>
            <w:tcW w:w="1095" w:type="dxa"/>
          </w:tcPr>
          <w:p w14:paraId="15F70AA4" w14:textId="77777777" w:rsidR="000C099C" w:rsidRDefault="000C099C">
            <w:pPr>
              <w:jc w:val="center"/>
              <w:rPr>
                <w:sz w:val="24"/>
              </w:rPr>
            </w:pPr>
            <w:r>
              <w:rPr>
                <w:sz w:val="24"/>
              </w:rPr>
              <w:t>2</w:t>
            </w:r>
          </w:p>
        </w:tc>
      </w:tr>
      <w:tr w:rsidR="000C099C" w14:paraId="6F125695" w14:textId="77777777">
        <w:tc>
          <w:tcPr>
            <w:tcW w:w="6342" w:type="dxa"/>
          </w:tcPr>
          <w:p w14:paraId="16575CF4" w14:textId="77777777" w:rsidR="000C099C" w:rsidRDefault="000C099C">
            <w:pPr>
              <w:rPr>
                <w:sz w:val="24"/>
              </w:rPr>
            </w:pPr>
            <w:r>
              <w:rPr>
                <w:sz w:val="24"/>
              </w:rPr>
              <w:t>Commission Records and 1099s</w:t>
            </w:r>
          </w:p>
        </w:tc>
        <w:tc>
          <w:tcPr>
            <w:tcW w:w="985" w:type="dxa"/>
          </w:tcPr>
          <w:p w14:paraId="3095AE05" w14:textId="77777777" w:rsidR="000C099C" w:rsidRDefault="000C099C">
            <w:pPr>
              <w:jc w:val="center"/>
              <w:rPr>
                <w:sz w:val="24"/>
              </w:rPr>
            </w:pPr>
            <w:r>
              <w:rPr>
                <w:sz w:val="24"/>
              </w:rPr>
              <w:t>4</w:t>
            </w:r>
          </w:p>
        </w:tc>
        <w:tc>
          <w:tcPr>
            <w:tcW w:w="1046" w:type="dxa"/>
          </w:tcPr>
          <w:p w14:paraId="7941C430" w14:textId="77777777" w:rsidR="000C099C" w:rsidRDefault="000C099C">
            <w:pPr>
              <w:jc w:val="center"/>
              <w:rPr>
                <w:sz w:val="24"/>
              </w:rPr>
            </w:pPr>
            <w:r>
              <w:rPr>
                <w:sz w:val="24"/>
              </w:rPr>
              <w:t>3</w:t>
            </w:r>
          </w:p>
        </w:tc>
        <w:tc>
          <w:tcPr>
            <w:tcW w:w="1095" w:type="dxa"/>
          </w:tcPr>
          <w:p w14:paraId="6B10657D" w14:textId="77777777" w:rsidR="000C099C" w:rsidRDefault="000C099C">
            <w:pPr>
              <w:jc w:val="center"/>
              <w:rPr>
                <w:sz w:val="24"/>
              </w:rPr>
            </w:pPr>
            <w:r>
              <w:rPr>
                <w:sz w:val="24"/>
              </w:rPr>
              <w:t>2</w:t>
            </w:r>
          </w:p>
        </w:tc>
      </w:tr>
      <w:tr w:rsidR="000C099C" w14:paraId="4D601F81" w14:textId="77777777">
        <w:tc>
          <w:tcPr>
            <w:tcW w:w="6342" w:type="dxa"/>
          </w:tcPr>
          <w:p w14:paraId="2D907ACE" w14:textId="77777777" w:rsidR="000C099C" w:rsidRDefault="000C099C">
            <w:pPr>
              <w:rPr>
                <w:sz w:val="24"/>
              </w:rPr>
            </w:pPr>
            <w:r>
              <w:rPr>
                <w:sz w:val="24"/>
              </w:rPr>
              <w:t>Trial Balances</w:t>
            </w:r>
          </w:p>
        </w:tc>
        <w:tc>
          <w:tcPr>
            <w:tcW w:w="985" w:type="dxa"/>
          </w:tcPr>
          <w:p w14:paraId="1AC4013D" w14:textId="77777777" w:rsidR="000C099C" w:rsidRDefault="000C099C">
            <w:pPr>
              <w:jc w:val="center"/>
              <w:rPr>
                <w:sz w:val="24"/>
              </w:rPr>
            </w:pPr>
            <w:r>
              <w:rPr>
                <w:sz w:val="24"/>
              </w:rPr>
              <w:t>3</w:t>
            </w:r>
          </w:p>
        </w:tc>
        <w:tc>
          <w:tcPr>
            <w:tcW w:w="1046" w:type="dxa"/>
          </w:tcPr>
          <w:p w14:paraId="6C7030D0" w14:textId="77777777" w:rsidR="000C099C" w:rsidRDefault="000C099C">
            <w:pPr>
              <w:jc w:val="center"/>
              <w:rPr>
                <w:sz w:val="24"/>
              </w:rPr>
            </w:pPr>
            <w:r>
              <w:rPr>
                <w:sz w:val="24"/>
              </w:rPr>
              <w:t>3</w:t>
            </w:r>
          </w:p>
        </w:tc>
        <w:tc>
          <w:tcPr>
            <w:tcW w:w="1095" w:type="dxa"/>
          </w:tcPr>
          <w:p w14:paraId="270D897C" w14:textId="77777777" w:rsidR="000C099C" w:rsidRDefault="000C099C">
            <w:pPr>
              <w:jc w:val="center"/>
              <w:rPr>
                <w:sz w:val="24"/>
              </w:rPr>
            </w:pPr>
            <w:r>
              <w:rPr>
                <w:sz w:val="24"/>
              </w:rPr>
              <w:t>2</w:t>
            </w:r>
          </w:p>
        </w:tc>
      </w:tr>
      <w:tr w:rsidR="000C099C" w14:paraId="0E700580" w14:textId="77777777">
        <w:tc>
          <w:tcPr>
            <w:tcW w:w="6342" w:type="dxa"/>
          </w:tcPr>
          <w:p w14:paraId="7BA5804F" w14:textId="77777777" w:rsidR="000C099C" w:rsidRDefault="000C099C">
            <w:pPr>
              <w:rPr>
                <w:sz w:val="24"/>
              </w:rPr>
            </w:pPr>
            <w:r>
              <w:rPr>
                <w:sz w:val="24"/>
              </w:rPr>
              <w:t>Checks and reconciliations</w:t>
            </w:r>
          </w:p>
        </w:tc>
        <w:tc>
          <w:tcPr>
            <w:tcW w:w="985" w:type="dxa"/>
          </w:tcPr>
          <w:p w14:paraId="17385ED9" w14:textId="77777777" w:rsidR="000C099C" w:rsidRDefault="000C099C">
            <w:pPr>
              <w:jc w:val="center"/>
              <w:rPr>
                <w:sz w:val="24"/>
              </w:rPr>
            </w:pPr>
            <w:r>
              <w:rPr>
                <w:sz w:val="24"/>
              </w:rPr>
              <w:t>8</w:t>
            </w:r>
          </w:p>
        </w:tc>
        <w:tc>
          <w:tcPr>
            <w:tcW w:w="1046" w:type="dxa"/>
          </w:tcPr>
          <w:p w14:paraId="689B5FF4" w14:textId="77777777" w:rsidR="000C099C" w:rsidRDefault="000C099C">
            <w:pPr>
              <w:jc w:val="center"/>
              <w:rPr>
                <w:sz w:val="24"/>
              </w:rPr>
            </w:pPr>
            <w:r>
              <w:rPr>
                <w:sz w:val="24"/>
              </w:rPr>
              <w:t>3</w:t>
            </w:r>
          </w:p>
        </w:tc>
        <w:tc>
          <w:tcPr>
            <w:tcW w:w="1095" w:type="dxa"/>
          </w:tcPr>
          <w:p w14:paraId="2BBD0B87" w14:textId="77777777" w:rsidR="000C099C" w:rsidRDefault="000C099C">
            <w:pPr>
              <w:jc w:val="center"/>
              <w:rPr>
                <w:sz w:val="24"/>
              </w:rPr>
            </w:pPr>
            <w:r>
              <w:rPr>
                <w:sz w:val="24"/>
              </w:rPr>
              <w:t>2</w:t>
            </w:r>
          </w:p>
        </w:tc>
      </w:tr>
      <w:tr w:rsidR="000C099C" w14:paraId="10EB70F6" w14:textId="77777777">
        <w:tc>
          <w:tcPr>
            <w:tcW w:w="6342" w:type="dxa"/>
          </w:tcPr>
          <w:p w14:paraId="7A8FAF9A" w14:textId="77777777" w:rsidR="000C099C" w:rsidRDefault="000C099C">
            <w:pPr>
              <w:rPr>
                <w:sz w:val="24"/>
              </w:rPr>
            </w:pPr>
            <w:r>
              <w:rPr>
                <w:sz w:val="24"/>
              </w:rPr>
              <w:t>Payroll Reports (individual reports and earnings records)</w:t>
            </w:r>
          </w:p>
        </w:tc>
        <w:tc>
          <w:tcPr>
            <w:tcW w:w="985" w:type="dxa"/>
          </w:tcPr>
          <w:p w14:paraId="7550984F" w14:textId="77777777" w:rsidR="000C099C" w:rsidRDefault="000C099C">
            <w:pPr>
              <w:jc w:val="center"/>
              <w:rPr>
                <w:sz w:val="24"/>
              </w:rPr>
            </w:pPr>
            <w:r>
              <w:rPr>
                <w:sz w:val="24"/>
              </w:rPr>
              <w:t>8</w:t>
            </w:r>
          </w:p>
        </w:tc>
        <w:tc>
          <w:tcPr>
            <w:tcW w:w="1046" w:type="dxa"/>
          </w:tcPr>
          <w:p w14:paraId="2FF00829" w14:textId="77777777" w:rsidR="000C099C" w:rsidRDefault="000C099C">
            <w:pPr>
              <w:jc w:val="center"/>
              <w:rPr>
                <w:sz w:val="24"/>
              </w:rPr>
            </w:pPr>
            <w:r>
              <w:rPr>
                <w:sz w:val="24"/>
              </w:rPr>
              <w:t>3</w:t>
            </w:r>
          </w:p>
        </w:tc>
        <w:tc>
          <w:tcPr>
            <w:tcW w:w="1095" w:type="dxa"/>
          </w:tcPr>
          <w:p w14:paraId="2675D14E" w14:textId="77777777" w:rsidR="000C099C" w:rsidRDefault="000C099C">
            <w:pPr>
              <w:jc w:val="center"/>
              <w:rPr>
                <w:sz w:val="24"/>
              </w:rPr>
            </w:pPr>
            <w:r>
              <w:rPr>
                <w:sz w:val="24"/>
              </w:rPr>
              <w:t>2</w:t>
            </w:r>
          </w:p>
        </w:tc>
      </w:tr>
      <w:tr w:rsidR="000C099C" w14:paraId="674CAFE4" w14:textId="77777777">
        <w:tc>
          <w:tcPr>
            <w:tcW w:w="6342" w:type="dxa"/>
          </w:tcPr>
          <w:p w14:paraId="335935C1" w14:textId="77777777" w:rsidR="000C099C" w:rsidRDefault="000C099C">
            <w:pPr>
              <w:rPr>
                <w:sz w:val="24"/>
              </w:rPr>
            </w:pPr>
            <w:r>
              <w:rPr>
                <w:sz w:val="24"/>
              </w:rPr>
              <w:t>Payroll Records (1099s, W-4s, W-2s)</w:t>
            </w:r>
          </w:p>
        </w:tc>
        <w:tc>
          <w:tcPr>
            <w:tcW w:w="985" w:type="dxa"/>
          </w:tcPr>
          <w:p w14:paraId="00700349" w14:textId="77777777" w:rsidR="000C099C" w:rsidRDefault="000C099C">
            <w:pPr>
              <w:jc w:val="center"/>
              <w:rPr>
                <w:sz w:val="24"/>
              </w:rPr>
            </w:pPr>
            <w:r>
              <w:rPr>
                <w:sz w:val="24"/>
              </w:rPr>
              <w:t>4</w:t>
            </w:r>
          </w:p>
        </w:tc>
        <w:tc>
          <w:tcPr>
            <w:tcW w:w="1046" w:type="dxa"/>
          </w:tcPr>
          <w:p w14:paraId="643AB6A6" w14:textId="77777777" w:rsidR="000C099C" w:rsidRDefault="000C099C">
            <w:pPr>
              <w:jc w:val="center"/>
              <w:rPr>
                <w:sz w:val="24"/>
              </w:rPr>
            </w:pPr>
            <w:r>
              <w:rPr>
                <w:sz w:val="24"/>
              </w:rPr>
              <w:t>3</w:t>
            </w:r>
          </w:p>
        </w:tc>
        <w:tc>
          <w:tcPr>
            <w:tcW w:w="1095" w:type="dxa"/>
          </w:tcPr>
          <w:p w14:paraId="3B7DE1D0" w14:textId="77777777" w:rsidR="000C099C" w:rsidRDefault="000C099C">
            <w:pPr>
              <w:jc w:val="center"/>
              <w:rPr>
                <w:sz w:val="24"/>
              </w:rPr>
            </w:pPr>
            <w:r>
              <w:rPr>
                <w:sz w:val="24"/>
              </w:rPr>
              <w:t>2</w:t>
            </w:r>
          </w:p>
        </w:tc>
      </w:tr>
      <w:tr w:rsidR="000C099C" w14:paraId="4C870478" w14:textId="77777777">
        <w:tc>
          <w:tcPr>
            <w:tcW w:w="6342" w:type="dxa"/>
          </w:tcPr>
          <w:p w14:paraId="0404BB0A" w14:textId="77777777" w:rsidR="000C099C" w:rsidRDefault="000C099C">
            <w:pPr>
              <w:rPr>
                <w:sz w:val="24"/>
              </w:rPr>
            </w:pPr>
            <w:r>
              <w:rPr>
                <w:sz w:val="24"/>
              </w:rPr>
              <w:t>Vouchers (for payment to vendors, employees, bills rec</w:t>
            </w:r>
            <w:r w:rsidR="00037096">
              <w:rPr>
                <w:sz w:val="24"/>
              </w:rPr>
              <w:t>’</w:t>
            </w:r>
            <w:r>
              <w:rPr>
                <w:sz w:val="24"/>
              </w:rPr>
              <w:t>d &amp; pd)</w:t>
            </w:r>
          </w:p>
        </w:tc>
        <w:tc>
          <w:tcPr>
            <w:tcW w:w="985" w:type="dxa"/>
          </w:tcPr>
          <w:p w14:paraId="44880FC0" w14:textId="77777777" w:rsidR="000C099C" w:rsidRDefault="000C099C">
            <w:pPr>
              <w:jc w:val="center"/>
              <w:rPr>
                <w:sz w:val="24"/>
              </w:rPr>
            </w:pPr>
            <w:r>
              <w:rPr>
                <w:sz w:val="24"/>
              </w:rPr>
              <w:t>8</w:t>
            </w:r>
          </w:p>
        </w:tc>
        <w:tc>
          <w:tcPr>
            <w:tcW w:w="1046" w:type="dxa"/>
          </w:tcPr>
          <w:p w14:paraId="32D11D88" w14:textId="77777777" w:rsidR="000C099C" w:rsidRDefault="000C099C">
            <w:pPr>
              <w:jc w:val="center"/>
              <w:rPr>
                <w:sz w:val="24"/>
              </w:rPr>
            </w:pPr>
            <w:r>
              <w:rPr>
                <w:sz w:val="24"/>
              </w:rPr>
              <w:t>3</w:t>
            </w:r>
          </w:p>
        </w:tc>
        <w:tc>
          <w:tcPr>
            <w:tcW w:w="1095" w:type="dxa"/>
          </w:tcPr>
          <w:p w14:paraId="1B66A9A6" w14:textId="77777777" w:rsidR="000C099C" w:rsidRDefault="000C099C">
            <w:pPr>
              <w:jc w:val="center"/>
              <w:rPr>
                <w:sz w:val="24"/>
              </w:rPr>
            </w:pPr>
            <w:r>
              <w:rPr>
                <w:sz w:val="24"/>
              </w:rPr>
              <w:t>2</w:t>
            </w:r>
          </w:p>
        </w:tc>
      </w:tr>
      <w:tr w:rsidR="000C099C" w14:paraId="418A5575" w14:textId="77777777">
        <w:tc>
          <w:tcPr>
            <w:tcW w:w="6342" w:type="dxa"/>
          </w:tcPr>
          <w:p w14:paraId="72C34E27" w14:textId="77777777" w:rsidR="000C099C" w:rsidRDefault="000C099C">
            <w:pPr>
              <w:rPr>
                <w:sz w:val="24"/>
              </w:rPr>
            </w:pPr>
            <w:r>
              <w:rPr>
                <w:sz w:val="24"/>
              </w:rPr>
              <w:t>Audit Reports and Financial Statements</w:t>
            </w:r>
          </w:p>
        </w:tc>
        <w:tc>
          <w:tcPr>
            <w:tcW w:w="985" w:type="dxa"/>
          </w:tcPr>
          <w:p w14:paraId="499A10D9" w14:textId="77777777" w:rsidR="000C099C" w:rsidRDefault="000C099C">
            <w:pPr>
              <w:jc w:val="center"/>
              <w:rPr>
                <w:sz w:val="24"/>
              </w:rPr>
            </w:pPr>
            <w:r>
              <w:rPr>
                <w:sz w:val="24"/>
              </w:rPr>
              <w:t>P</w:t>
            </w:r>
          </w:p>
        </w:tc>
        <w:tc>
          <w:tcPr>
            <w:tcW w:w="1046" w:type="dxa"/>
          </w:tcPr>
          <w:p w14:paraId="36853737" w14:textId="77777777" w:rsidR="000C099C" w:rsidRDefault="000C099C">
            <w:pPr>
              <w:jc w:val="center"/>
              <w:rPr>
                <w:sz w:val="24"/>
              </w:rPr>
            </w:pPr>
            <w:r>
              <w:rPr>
                <w:sz w:val="24"/>
              </w:rPr>
              <w:t>3</w:t>
            </w:r>
          </w:p>
        </w:tc>
        <w:tc>
          <w:tcPr>
            <w:tcW w:w="1095" w:type="dxa"/>
          </w:tcPr>
          <w:p w14:paraId="2FA3FF6A" w14:textId="77777777" w:rsidR="000C099C" w:rsidRDefault="000C099C">
            <w:pPr>
              <w:jc w:val="center"/>
              <w:rPr>
                <w:sz w:val="24"/>
              </w:rPr>
            </w:pPr>
            <w:r>
              <w:rPr>
                <w:sz w:val="24"/>
              </w:rPr>
              <w:t>2</w:t>
            </w:r>
          </w:p>
        </w:tc>
      </w:tr>
      <w:tr w:rsidR="000C099C" w14:paraId="29886083" w14:textId="77777777">
        <w:tc>
          <w:tcPr>
            <w:tcW w:w="6342" w:type="dxa"/>
          </w:tcPr>
          <w:p w14:paraId="72FD3C12" w14:textId="77777777" w:rsidR="000C099C" w:rsidRDefault="000C099C">
            <w:pPr>
              <w:rPr>
                <w:sz w:val="24"/>
              </w:rPr>
            </w:pPr>
            <w:r>
              <w:rPr>
                <w:sz w:val="24"/>
              </w:rPr>
              <w:t>General Ledgers and Journals</w:t>
            </w:r>
          </w:p>
        </w:tc>
        <w:tc>
          <w:tcPr>
            <w:tcW w:w="985" w:type="dxa"/>
          </w:tcPr>
          <w:p w14:paraId="77F6852F" w14:textId="77777777" w:rsidR="000C099C" w:rsidRDefault="000C099C">
            <w:pPr>
              <w:jc w:val="center"/>
              <w:rPr>
                <w:sz w:val="24"/>
              </w:rPr>
            </w:pPr>
            <w:r>
              <w:rPr>
                <w:sz w:val="24"/>
              </w:rPr>
              <w:t>P</w:t>
            </w:r>
          </w:p>
        </w:tc>
        <w:tc>
          <w:tcPr>
            <w:tcW w:w="1046" w:type="dxa"/>
          </w:tcPr>
          <w:p w14:paraId="476045A6" w14:textId="77777777" w:rsidR="000C099C" w:rsidRDefault="000C099C">
            <w:pPr>
              <w:jc w:val="center"/>
              <w:rPr>
                <w:sz w:val="24"/>
              </w:rPr>
            </w:pPr>
            <w:r>
              <w:rPr>
                <w:sz w:val="24"/>
              </w:rPr>
              <w:t>6</w:t>
            </w:r>
          </w:p>
        </w:tc>
        <w:tc>
          <w:tcPr>
            <w:tcW w:w="1095" w:type="dxa"/>
          </w:tcPr>
          <w:p w14:paraId="535CC898" w14:textId="77777777" w:rsidR="000C099C" w:rsidRDefault="000C099C">
            <w:pPr>
              <w:jc w:val="center"/>
              <w:rPr>
                <w:sz w:val="24"/>
              </w:rPr>
            </w:pPr>
            <w:r>
              <w:rPr>
                <w:sz w:val="24"/>
              </w:rPr>
              <w:t>2</w:t>
            </w:r>
          </w:p>
        </w:tc>
      </w:tr>
      <w:tr w:rsidR="000C099C" w14:paraId="3EF53D64" w14:textId="77777777">
        <w:tc>
          <w:tcPr>
            <w:tcW w:w="6342" w:type="dxa"/>
          </w:tcPr>
          <w:p w14:paraId="6FEB4DA4" w14:textId="77777777" w:rsidR="000C099C" w:rsidRDefault="000C099C">
            <w:pPr>
              <w:rPr>
                <w:sz w:val="24"/>
              </w:rPr>
            </w:pPr>
            <w:r>
              <w:rPr>
                <w:sz w:val="24"/>
              </w:rPr>
              <w:t>Records in support of audit (Focus IIA, e</w:t>
            </w:r>
            <w:r w:rsidR="00037096">
              <w:rPr>
                <w:sz w:val="24"/>
              </w:rPr>
              <w:t>tc.</w:t>
            </w:r>
            <w:r>
              <w:rPr>
                <w:sz w:val="24"/>
              </w:rPr>
              <w:t>)</w:t>
            </w:r>
          </w:p>
        </w:tc>
        <w:tc>
          <w:tcPr>
            <w:tcW w:w="985" w:type="dxa"/>
          </w:tcPr>
          <w:p w14:paraId="310E746E" w14:textId="77777777" w:rsidR="000C099C" w:rsidRDefault="000C099C">
            <w:pPr>
              <w:jc w:val="center"/>
              <w:rPr>
                <w:sz w:val="24"/>
              </w:rPr>
            </w:pPr>
          </w:p>
        </w:tc>
        <w:tc>
          <w:tcPr>
            <w:tcW w:w="1046" w:type="dxa"/>
          </w:tcPr>
          <w:p w14:paraId="12957083" w14:textId="77777777" w:rsidR="000C099C" w:rsidRDefault="000C099C">
            <w:pPr>
              <w:jc w:val="center"/>
              <w:rPr>
                <w:sz w:val="24"/>
              </w:rPr>
            </w:pPr>
            <w:r>
              <w:rPr>
                <w:sz w:val="24"/>
              </w:rPr>
              <w:t>3</w:t>
            </w:r>
          </w:p>
        </w:tc>
        <w:tc>
          <w:tcPr>
            <w:tcW w:w="1095" w:type="dxa"/>
          </w:tcPr>
          <w:p w14:paraId="0A0A0F2F" w14:textId="77777777" w:rsidR="000C099C" w:rsidRDefault="000C099C">
            <w:pPr>
              <w:jc w:val="center"/>
              <w:rPr>
                <w:sz w:val="24"/>
              </w:rPr>
            </w:pPr>
            <w:r>
              <w:rPr>
                <w:sz w:val="24"/>
              </w:rPr>
              <w:t>2</w:t>
            </w:r>
          </w:p>
        </w:tc>
      </w:tr>
      <w:tr w:rsidR="000C099C" w14:paraId="60B1ABC1" w14:textId="77777777">
        <w:tc>
          <w:tcPr>
            <w:tcW w:w="6342" w:type="dxa"/>
          </w:tcPr>
          <w:p w14:paraId="6140EB76" w14:textId="77777777" w:rsidR="000C099C" w:rsidRDefault="000C099C">
            <w:pPr>
              <w:rPr>
                <w:sz w:val="24"/>
              </w:rPr>
            </w:pPr>
            <w:r>
              <w:rPr>
                <w:sz w:val="24"/>
              </w:rPr>
              <w:t>Aggregate Indebtedness computation</w:t>
            </w:r>
          </w:p>
        </w:tc>
        <w:tc>
          <w:tcPr>
            <w:tcW w:w="985" w:type="dxa"/>
          </w:tcPr>
          <w:p w14:paraId="1295E84F" w14:textId="77777777" w:rsidR="000C099C" w:rsidRDefault="000C099C">
            <w:pPr>
              <w:jc w:val="center"/>
              <w:rPr>
                <w:sz w:val="24"/>
              </w:rPr>
            </w:pPr>
          </w:p>
        </w:tc>
        <w:tc>
          <w:tcPr>
            <w:tcW w:w="1046" w:type="dxa"/>
          </w:tcPr>
          <w:p w14:paraId="1BFDDB65" w14:textId="77777777" w:rsidR="000C099C" w:rsidRDefault="000C099C">
            <w:pPr>
              <w:jc w:val="center"/>
              <w:rPr>
                <w:sz w:val="24"/>
              </w:rPr>
            </w:pPr>
            <w:r>
              <w:rPr>
                <w:sz w:val="24"/>
              </w:rPr>
              <w:t>3</w:t>
            </w:r>
          </w:p>
        </w:tc>
        <w:tc>
          <w:tcPr>
            <w:tcW w:w="1095" w:type="dxa"/>
          </w:tcPr>
          <w:p w14:paraId="74D66A1C" w14:textId="77777777" w:rsidR="000C099C" w:rsidRDefault="000C099C">
            <w:pPr>
              <w:jc w:val="center"/>
              <w:rPr>
                <w:sz w:val="24"/>
              </w:rPr>
            </w:pPr>
            <w:r>
              <w:rPr>
                <w:sz w:val="24"/>
              </w:rPr>
              <w:t>2</w:t>
            </w:r>
          </w:p>
        </w:tc>
      </w:tr>
      <w:tr w:rsidR="000C099C" w14:paraId="55A663A3" w14:textId="77777777">
        <w:tc>
          <w:tcPr>
            <w:tcW w:w="6342" w:type="dxa"/>
          </w:tcPr>
          <w:p w14:paraId="1B17076C" w14:textId="77777777" w:rsidR="000C099C" w:rsidRDefault="000C099C">
            <w:pPr>
              <w:rPr>
                <w:sz w:val="24"/>
              </w:rPr>
            </w:pPr>
            <w:r>
              <w:rPr>
                <w:sz w:val="24"/>
              </w:rPr>
              <w:t>Net Capital computation (and working papers)</w:t>
            </w:r>
          </w:p>
        </w:tc>
        <w:tc>
          <w:tcPr>
            <w:tcW w:w="985" w:type="dxa"/>
          </w:tcPr>
          <w:p w14:paraId="5D847AD2" w14:textId="77777777" w:rsidR="000C099C" w:rsidRDefault="000C099C">
            <w:pPr>
              <w:jc w:val="center"/>
              <w:rPr>
                <w:sz w:val="24"/>
              </w:rPr>
            </w:pPr>
          </w:p>
        </w:tc>
        <w:tc>
          <w:tcPr>
            <w:tcW w:w="1046" w:type="dxa"/>
          </w:tcPr>
          <w:p w14:paraId="3E68BA28" w14:textId="77777777" w:rsidR="000C099C" w:rsidRDefault="000C099C">
            <w:pPr>
              <w:jc w:val="center"/>
              <w:rPr>
                <w:sz w:val="24"/>
              </w:rPr>
            </w:pPr>
            <w:r>
              <w:rPr>
                <w:sz w:val="24"/>
              </w:rPr>
              <w:t>3</w:t>
            </w:r>
          </w:p>
        </w:tc>
        <w:tc>
          <w:tcPr>
            <w:tcW w:w="1095" w:type="dxa"/>
          </w:tcPr>
          <w:p w14:paraId="52BA71A3" w14:textId="77777777" w:rsidR="000C099C" w:rsidRDefault="000C099C">
            <w:pPr>
              <w:jc w:val="center"/>
              <w:rPr>
                <w:sz w:val="24"/>
              </w:rPr>
            </w:pPr>
            <w:r>
              <w:rPr>
                <w:sz w:val="24"/>
              </w:rPr>
              <w:t>2</w:t>
            </w:r>
          </w:p>
        </w:tc>
      </w:tr>
      <w:tr w:rsidR="000C099C" w14:paraId="3EF5B444" w14:textId="77777777">
        <w:tc>
          <w:tcPr>
            <w:tcW w:w="6342" w:type="dxa"/>
          </w:tcPr>
          <w:p w14:paraId="6B4953DB" w14:textId="77777777" w:rsidR="000C099C" w:rsidRDefault="000C099C">
            <w:pPr>
              <w:rPr>
                <w:sz w:val="24"/>
              </w:rPr>
            </w:pPr>
            <w:r>
              <w:rPr>
                <w:sz w:val="24"/>
              </w:rPr>
              <w:lastRenderedPageBreak/>
              <w:t>Internal Audit working papers</w:t>
            </w:r>
          </w:p>
        </w:tc>
        <w:tc>
          <w:tcPr>
            <w:tcW w:w="985" w:type="dxa"/>
          </w:tcPr>
          <w:p w14:paraId="7722EB1F" w14:textId="77777777" w:rsidR="000C099C" w:rsidRDefault="000C099C">
            <w:pPr>
              <w:jc w:val="center"/>
              <w:rPr>
                <w:sz w:val="24"/>
              </w:rPr>
            </w:pPr>
          </w:p>
        </w:tc>
        <w:tc>
          <w:tcPr>
            <w:tcW w:w="1046" w:type="dxa"/>
          </w:tcPr>
          <w:p w14:paraId="11A2FA21" w14:textId="77777777" w:rsidR="000C099C" w:rsidRDefault="000C099C">
            <w:pPr>
              <w:jc w:val="center"/>
              <w:rPr>
                <w:sz w:val="24"/>
              </w:rPr>
            </w:pPr>
            <w:r>
              <w:rPr>
                <w:sz w:val="24"/>
              </w:rPr>
              <w:t>3</w:t>
            </w:r>
          </w:p>
        </w:tc>
        <w:tc>
          <w:tcPr>
            <w:tcW w:w="1095" w:type="dxa"/>
          </w:tcPr>
          <w:p w14:paraId="34626CD3" w14:textId="77777777" w:rsidR="000C099C" w:rsidRDefault="000C099C">
            <w:pPr>
              <w:jc w:val="center"/>
              <w:rPr>
                <w:sz w:val="24"/>
              </w:rPr>
            </w:pPr>
            <w:r>
              <w:rPr>
                <w:sz w:val="24"/>
              </w:rPr>
              <w:t>2</w:t>
            </w:r>
          </w:p>
        </w:tc>
      </w:tr>
      <w:tr w:rsidR="000C099C" w14:paraId="465EAF1A" w14:textId="77777777">
        <w:tc>
          <w:tcPr>
            <w:tcW w:w="6342" w:type="dxa"/>
          </w:tcPr>
          <w:p w14:paraId="731177D5" w14:textId="77777777" w:rsidR="000C099C" w:rsidRDefault="000C099C">
            <w:pPr>
              <w:rPr>
                <w:sz w:val="24"/>
              </w:rPr>
            </w:pPr>
            <w:r>
              <w:rPr>
                <w:sz w:val="24"/>
              </w:rPr>
              <w:t>Subordinated Loans</w:t>
            </w:r>
          </w:p>
        </w:tc>
        <w:tc>
          <w:tcPr>
            <w:tcW w:w="985" w:type="dxa"/>
          </w:tcPr>
          <w:p w14:paraId="002F0C23" w14:textId="77777777" w:rsidR="000C099C" w:rsidRDefault="000C099C">
            <w:pPr>
              <w:jc w:val="center"/>
              <w:rPr>
                <w:sz w:val="24"/>
              </w:rPr>
            </w:pPr>
          </w:p>
        </w:tc>
        <w:tc>
          <w:tcPr>
            <w:tcW w:w="1046" w:type="dxa"/>
          </w:tcPr>
          <w:p w14:paraId="27F1419B" w14:textId="77777777" w:rsidR="000C099C" w:rsidRDefault="000C099C">
            <w:pPr>
              <w:jc w:val="center"/>
              <w:rPr>
                <w:sz w:val="24"/>
              </w:rPr>
            </w:pPr>
            <w:r>
              <w:rPr>
                <w:sz w:val="24"/>
              </w:rPr>
              <w:t>3</w:t>
            </w:r>
          </w:p>
        </w:tc>
        <w:tc>
          <w:tcPr>
            <w:tcW w:w="1095" w:type="dxa"/>
          </w:tcPr>
          <w:p w14:paraId="6D6E9533" w14:textId="77777777" w:rsidR="000C099C" w:rsidRDefault="000C099C">
            <w:pPr>
              <w:jc w:val="center"/>
              <w:rPr>
                <w:sz w:val="24"/>
              </w:rPr>
            </w:pPr>
            <w:r>
              <w:rPr>
                <w:sz w:val="24"/>
              </w:rPr>
              <w:t>2</w:t>
            </w:r>
          </w:p>
        </w:tc>
      </w:tr>
      <w:tr w:rsidR="000C099C" w14:paraId="1A6640C1" w14:textId="77777777">
        <w:tc>
          <w:tcPr>
            <w:tcW w:w="6342" w:type="dxa"/>
          </w:tcPr>
          <w:p w14:paraId="39704FBD" w14:textId="77777777" w:rsidR="000C099C" w:rsidRDefault="000C099C">
            <w:pPr>
              <w:rPr>
                <w:sz w:val="24"/>
              </w:rPr>
            </w:pPr>
            <w:r>
              <w:rPr>
                <w:sz w:val="24"/>
              </w:rPr>
              <w:t>Focus Reports</w:t>
            </w:r>
          </w:p>
        </w:tc>
        <w:tc>
          <w:tcPr>
            <w:tcW w:w="985" w:type="dxa"/>
          </w:tcPr>
          <w:p w14:paraId="24AFD097" w14:textId="77777777" w:rsidR="000C099C" w:rsidRDefault="000C099C">
            <w:pPr>
              <w:jc w:val="center"/>
              <w:rPr>
                <w:sz w:val="24"/>
              </w:rPr>
            </w:pPr>
          </w:p>
        </w:tc>
        <w:tc>
          <w:tcPr>
            <w:tcW w:w="1046" w:type="dxa"/>
          </w:tcPr>
          <w:p w14:paraId="07E1FCE9" w14:textId="77777777" w:rsidR="000C099C" w:rsidRDefault="000C099C">
            <w:pPr>
              <w:jc w:val="center"/>
              <w:rPr>
                <w:sz w:val="24"/>
              </w:rPr>
            </w:pPr>
            <w:r>
              <w:rPr>
                <w:sz w:val="24"/>
              </w:rPr>
              <w:t>3</w:t>
            </w:r>
          </w:p>
        </w:tc>
        <w:tc>
          <w:tcPr>
            <w:tcW w:w="1095" w:type="dxa"/>
          </w:tcPr>
          <w:p w14:paraId="03B03823" w14:textId="77777777" w:rsidR="000C099C" w:rsidRDefault="000C099C">
            <w:pPr>
              <w:jc w:val="center"/>
              <w:rPr>
                <w:sz w:val="24"/>
              </w:rPr>
            </w:pPr>
            <w:r>
              <w:rPr>
                <w:sz w:val="24"/>
              </w:rPr>
              <w:t>2</w:t>
            </w:r>
          </w:p>
        </w:tc>
      </w:tr>
      <w:tr w:rsidR="000C099C" w14:paraId="2883B228" w14:textId="77777777">
        <w:tc>
          <w:tcPr>
            <w:tcW w:w="6342" w:type="dxa"/>
          </w:tcPr>
          <w:p w14:paraId="5FCEDBC4" w14:textId="77777777" w:rsidR="000C099C" w:rsidRDefault="000C099C">
            <w:pPr>
              <w:rPr>
                <w:sz w:val="24"/>
              </w:rPr>
            </w:pPr>
            <w:r>
              <w:rPr>
                <w:sz w:val="24"/>
              </w:rPr>
              <w:t xml:space="preserve">SIPC, </w:t>
            </w:r>
            <w:r w:rsidRPr="000C099C">
              <w:rPr>
                <w:sz w:val="24"/>
              </w:rPr>
              <w:t>FINRA</w:t>
            </w:r>
            <w:r>
              <w:rPr>
                <w:sz w:val="24"/>
              </w:rPr>
              <w:t>, MSRB Assessments</w:t>
            </w:r>
          </w:p>
        </w:tc>
        <w:tc>
          <w:tcPr>
            <w:tcW w:w="985" w:type="dxa"/>
          </w:tcPr>
          <w:p w14:paraId="1DD1DC20" w14:textId="77777777" w:rsidR="000C099C" w:rsidRDefault="000C099C">
            <w:pPr>
              <w:jc w:val="center"/>
              <w:rPr>
                <w:sz w:val="24"/>
              </w:rPr>
            </w:pPr>
          </w:p>
        </w:tc>
        <w:tc>
          <w:tcPr>
            <w:tcW w:w="1046" w:type="dxa"/>
          </w:tcPr>
          <w:p w14:paraId="16F67D03" w14:textId="77777777" w:rsidR="000C099C" w:rsidRDefault="000C099C">
            <w:pPr>
              <w:jc w:val="center"/>
              <w:rPr>
                <w:sz w:val="24"/>
              </w:rPr>
            </w:pPr>
            <w:r>
              <w:rPr>
                <w:sz w:val="24"/>
              </w:rPr>
              <w:t>3</w:t>
            </w:r>
          </w:p>
        </w:tc>
        <w:tc>
          <w:tcPr>
            <w:tcW w:w="1095" w:type="dxa"/>
          </w:tcPr>
          <w:p w14:paraId="09269736" w14:textId="77777777" w:rsidR="000C099C" w:rsidRDefault="000C099C">
            <w:pPr>
              <w:jc w:val="center"/>
              <w:rPr>
                <w:sz w:val="24"/>
              </w:rPr>
            </w:pPr>
            <w:r>
              <w:rPr>
                <w:sz w:val="24"/>
              </w:rPr>
              <w:t>2</w:t>
            </w:r>
          </w:p>
        </w:tc>
      </w:tr>
      <w:tr w:rsidR="000C099C" w14:paraId="11D66D2A" w14:textId="77777777">
        <w:tc>
          <w:tcPr>
            <w:tcW w:w="6342" w:type="dxa"/>
            <w:tcBorders>
              <w:bottom w:val="single" w:sz="4" w:space="0" w:color="auto"/>
            </w:tcBorders>
          </w:tcPr>
          <w:p w14:paraId="5F568391" w14:textId="77777777" w:rsidR="000C099C" w:rsidRDefault="000C099C">
            <w:pPr>
              <w:rPr>
                <w:sz w:val="24"/>
              </w:rPr>
            </w:pPr>
            <w:r>
              <w:rPr>
                <w:sz w:val="24"/>
              </w:rPr>
              <w:t>Monies borrowed and monies loaned</w:t>
            </w:r>
          </w:p>
        </w:tc>
        <w:tc>
          <w:tcPr>
            <w:tcW w:w="985" w:type="dxa"/>
            <w:tcBorders>
              <w:bottom w:val="single" w:sz="4" w:space="0" w:color="auto"/>
            </w:tcBorders>
          </w:tcPr>
          <w:p w14:paraId="1502461E" w14:textId="77777777" w:rsidR="000C099C" w:rsidRDefault="000C099C">
            <w:pPr>
              <w:jc w:val="center"/>
              <w:rPr>
                <w:sz w:val="24"/>
              </w:rPr>
            </w:pPr>
            <w:r>
              <w:rPr>
                <w:sz w:val="24"/>
              </w:rPr>
              <w:t>6</w:t>
            </w:r>
          </w:p>
        </w:tc>
        <w:tc>
          <w:tcPr>
            <w:tcW w:w="1046" w:type="dxa"/>
            <w:tcBorders>
              <w:bottom w:val="single" w:sz="4" w:space="0" w:color="auto"/>
            </w:tcBorders>
          </w:tcPr>
          <w:p w14:paraId="1348AAB8" w14:textId="77777777" w:rsidR="000C099C" w:rsidRDefault="000C099C">
            <w:pPr>
              <w:jc w:val="center"/>
              <w:rPr>
                <w:sz w:val="24"/>
              </w:rPr>
            </w:pPr>
            <w:r>
              <w:rPr>
                <w:sz w:val="24"/>
              </w:rPr>
              <w:t>3</w:t>
            </w:r>
          </w:p>
        </w:tc>
        <w:tc>
          <w:tcPr>
            <w:tcW w:w="1095" w:type="dxa"/>
            <w:tcBorders>
              <w:bottom w:val="single" w:sz="4" w:space="0" w:color="auto"/>
            </w:tcBorders>
          </w:tcPr>
          <w:p w14:paraId="65CA02B3" w14:textId="77777777" w:rsidR="000C099C" w:rsidRDefault="000C099C">
            <w:pPr>
              <w:jc w:val="center"/>
              <w:rPr>
                <w:sz w:val="24"/>
              </w:rPr>
            </w:pPr>
            <w:r>
              <w:rPr>
                <w:sz w:val="24"/>
              </w:rPr>
              <w:t>2</w:t>
            </w:r>
          </w:p>
        </w:tc>
      </w:tr>
      <w:tr w:rsidR="000C099C" w14:paraId="65D9F5FE" w14:textId="77777777">
        <w:trPr>
          <w:cantSplit/>
        </w:trPr>
        <w:tc>
          <w:tcPr>
            <w:tcW w:w="9468" w:type="dxa"/>
            <w:gridSpan w:val="4"/>
            <w:shd w:val="clear" w:color="auto" w:fill="E6E6E6"/>
          </w:tcPr>
          <w:p w14:paraId="6A269974" w14:textId="77777777" w:rsidR="000C099C" w:rsidRPr="001803F3" w:rsidRDefault="001803F3" w:rsidP="001803F3">
            <w:pPr>
              <w:pStyle w:val="Caption"/>
            </w:pPr>
            <w:r>
              <w:rPr>
                <w:sz w:val="24"/>
              </w:rPr>
              <w:t>Corporate Records</w:t>
            </w:r>
          </w:p>
        </w:tc>
      </w:tr>
      <w:tr w:rsidR="000C099C" w14:paraId="06B0470D" w14:textId="77777777">
        <w:tc>
          <w:tcPr>
            <w:tcW w:w="6342" w:type="dxa"/>
          </w:tcPr>
          <w:p w14:paraId="75BEFEF7" w14:textId="77777777" w:rsidR="000C099C" w:rsidRDefault="000C099C">
            <w:pPr>
              <w:rPr>
                <w:sz w:val="24"/>
              </w:rPr>
            </w:pPr>
            <w:r>
              <w:rPr>
                <w:sz w:val="24"/>
              </w:rPr>
              <w:t>Bylaws, charters and minute books</w:t>
            </w:r>
          </w:p>
        </w:tc>
        <w:tc>
          <w:tcPr>
            <w:tcW w:w="985" w:type="dxa"/>
          </w:tcPr>
          <w:p w14:paraId="3B4846F0" w14:textId="77777777" w:rsidR="000C099C" w:rsidRDefault="000C099C">
            <w:pPr>
              <w:jc w:val="center"/>
              <w:rPr>
                <w:sz w:val="24"/>
              </w:rPr>
            </w:pPr>
            <w:r>
              <w:rPr>
                <w:sz w:val="24"/>
              </w:rPr>
              <w:t>P</w:t>
            </w:r>
          </w:p>
        </w:tc>
        <w:tc>
          <w:tcPr>
            <w:tcW w:w="1046" w:type="dxa"/>
          </w:tcPr>
          <w:p w14:paraId="5ED62CBE" w14:textId="77777777" w:rsidR="000C099C" w:rsidRDefault="000C099C">
            <w:pPr>
              <w:jc w:val="center"/>
              <w:rPr>
                <w:sz w:val="24"/>
              </w:rPr>
            </w:pPr>
            <w:r>
              <w:rPr>
                <w:sz w:val="24"/>
              </w:rPr>
              <w:t>P</w:t>
            </w:r>
          </w:p>
        </w:tc>
        <w:tc>
          <w:tcPr>
            <w:tcW w:w="1095" w:type="dxa"/>
          </w:tcPr>
          <w:p w14:paraId="597F60C5" w14:textId="77777777" w:rsidR="000C099C" w:rsidRDefault="000C099C">
            <w:pPr>
              <w:jc w:val="center"/>
              <w:rPr>
                <w:sz w:val="24"/>
              </w:rPr>
            </w:pPr>
            <w:r>
              <w:rPr>
                <w:sz w:val="24"/>
              </w:rPr>
              <w:t>P</w:t>
            </w:r>
          </w:p>
        </w:tc>
      </w:tr>
      <w:tr w:rsidR="000C099C" w14:paraId="568B707C" w14:textId="77777777">
        <w:tc>
          <w:tcPr>
            <w:tcW w:w="6342" w:type="dxa"/>
          </w:tcPr>
          <w:p w14:paraId="33A27D43" w14:textId="77777777" w:rsidR="000C099C" w:rsidRDefault="000C099C">
            <w:pPr>
              <w:rPr>
                <w:sz w:val="24"/>
              </w:rPr>
            </w:pPr>
            <w:r>
              <w:rPr>
                <w:sz w:val="24"/>
              </w:rPr>
              <w:t>Capital Stock and Bond records</w:t>
            </w:r>
          </w:p>
        </w:tc>
        <w:tc>
          <w:tcPr>
            <w:tcW w:w="985" w:type="dxa"/>
          </w:tcPr>
          <w:p w14:paraId="7BAC4E60" w14:textId="77777777" w:rsidR="000C099C" w:rsidRDefault="000C099C">
            <w:pPr>
              <w:jc w:val="center"/>
              <w:rPr>
                <w:sz w:val="24"/>
              </w:rPr>
            </w:pPr>
            <w:r>
              <w:rPr>
                <w:sz w:val="24"/>
              </w:rPr>
              <w:t>P</w:t>
            </w:r>
          </w:p>
        </w:tc>
        <w:tc>
          <w:tcPr>
            <w:tcW w:w="1046" w:type="dxa"/>
          </w:tcPr>
          <w:p w14:paraId="1C47AD51" w14:textId="77777777" w:rsidR="000C099C" w:rsidRDefault="000C099C">
            <w:pPr>
              <w:jc w:val="center"/>
              <w:rPr>
                <w:sz w:val="24"/>
              </w:rPr>
            </w:pPr>
            <w:r>
              <w:rPr>
                <w:sz w:val="24"/>
              </w:rPr>
              <w:t>P</w:t>
            </w:r>
          </w:p>
        </w:tc>
        <w:tc>
          <w:tcPr>
            <w:tcW w:w="1095" w:type="dxa"/>
          </w:tcPr>
          <w:p w14:paraId="04D0BA65" w14:textId="77777777" w:rsidR="000C099C" w:rsidRDefault="000C099C">
            <w:pPr>
              <w:jc w:val="center"/>
              <w:rPr>
                <w:sz w:val="24"/>
              </w:rPr>
            </w:pPr>
            <w:r>
              <w:rPr>
                <w:sz w:val="24"/>
              </w:rPr>
              <w:t>P</w:t>
            </w:r>
          </w:p>
        </w:tc>
      </w:tr>
      <w:tr w:rsidR="000C099C" w14:paraId="797BFB6D" w14:textId="77777777">
        <w:tc>
          <w:tcPr>
            <w:tcW w:w="6342" w:type="dxa"/>
          </w:tcPr>
          <w:p w14:paraId="3E671CF0" w14:textId="77777777" w:rsidR="000C099C" w:rsidRDefault="000C099C">
            <w:pPr>
              <w:rPr>
                <w:sz w:val="24"/>
              </w:rPr>
            </w:pPr>
            <w:r>
              <w:rPr>
                <w:sz w:val="24"/>
              </w:rPr>
              <w:t>Expired mortgages, notes, and leases</w:t>
            </w:r>
          </w:p>
        </w:tc>
        <w:tc>
          <w:tcPr>
            <w:tcW w:w="985" w:type="dxa"/>
          </w:tcPr>
          <w:p w14:paraId="14CDFF81" w14:textId="77777777" w:rsidR="000C099C" w:rsidRDefault="000C099C">
            <w:pPr>
              <w:jc w:val="center"/>
              <w:rPr>
                <w:sz w:val="24"/>
              </w:rPr>
            </w:pPr>
            <w:r>
              <w:rPr>
                <w:sz w:val="24"/>
              </w:rPr>
              <w:t>8</w:t>
            </w:r>
          </w:p>
        </w:tc>
        <w:tc>
          <w:tcPr>
            <w:tcW w:w="1046" w:type="dxa"/>
          </w:tcPr>
          <w:p w14:paraId="3DCFA2F3" w14:textId="77777777" w:rsidR="000C099C" w:rsidRDefault="000C099C">
            <w:pPr>
              <w:jc w:val="center"/>
              <w:rPr>
                <w:sz w:val="24"/>
              </w:rPr>
            </w:pPr>
            <w:r>
              <w:rPr>
                <w:sz w:val="24"/>
              </w:rPr>
              <w:t>3</w:t>
            </w:r>
          </w:p>
        </w:tc>
        <w:tc>
          <w:tcPr>
            <w:tcW w:w="1095" w:type="dxa"/>
          </w:tcPr>
          <w:p w14:paraId="61AB08C3" w14:textId="77777777" w:rsidR="000C099C" w:rsidRDefault="000C099C">
            <w:pPr>
              <w:jc w:val="center"/>
              <w:rPr>
                <w:sz w:val="24"/>
              </w:rPr>
            </w:pPr>
            <w:r>
              <w:rPr>
                <w:sz w:val="24"/>
              </w:rPr>
              <w:t>2</w:t>
            </w:r>
          </w:p>
        </w:tc>
      </w:tr>
      <w:tr w:rsidR="000C099C" w14:paraId="45832CF9" w14:textId="77777777">
        <w:tc>
          <w:tcPr>
            <w:tcW w:w="6342" w:type="dxa"/>
          </w:tcPr>
          <w:p w14:paraId="24697597" w14:textId="77777777" w:rsidR="000C099C" w:rsidRDefault="000C099C">
            <w:pPr>
              <w:rPr>
                <w:sz w:val="24"/>
              </w:rPr>
            </w:pPr>
            <w:r>
              <w:rPr>
                <w:sz w:val="24"/>
              </w:rPr>
              <w:t>Checks (taxes, property and fulfillment of important contracts)</w:t>
            </w:r>
          </w:p>
        </w:tc>
        <w:tc>
          <w:tcPr>
            <w:tcW w:w="985" w:type="dxa"/>
          </w:tcPr>
          <w:p w14:paraId="7CD0F865" w14:textId="77777777" w:rsidR="000C099C" w:rsidRDefault="000C099C">
            <w:pPr>
              <w:jc w:val="center"/>
              <w:rPr>
                <w:sz w:val="24"/>
              </w:rPr>
            </w:pPr>
            <w:r>
              <w:rPr>
                <w:sz w:val="24"/>
              </w:rPr>
              <w:t>P</w:t>
            </w:r>
          </w:p>
        </w:tc>
        <w:tc>
          <w:tcPr>
            <w:tcW w:w="1046" w:type="dxa"/>
          </w:tcPr>
          <w:p w14:paraId="77D63306" w14:textId="77777777" w:rsidR="000C099C" w:rsidRDefault="000C099C">
            <w:pPr>
              <w:jc w:val="center"/>
              <w:rPr>
                <w:sz w:val="24"/>
              </w:rPr>
            </w:pPr>
            <w:r>
              <w:rPr>
                <w:sz w:val="24"/>
              </w:rPr>
              <w:t>3</w:t>
            </w:r>
          </w:p>
        </w:tc>
        <w:tc>
          <w:tcPr>
            <w:tcW w:w="1095" w:type="dxa"/>
          </w:tcPr>
          <w:p w14:paraId="6F706297" w14:textId="77777777" w:rsidR="000C099C" w:rsidRDefault="000C099C">
            <w:pPr>
              <w:jc w:val="center"/>
              <w:rPr>
                <w:sz w:val="24"/>
              </w:rPr>
            </w:pPr>
            <w:r>
              <w:rPr>
                <w:sz w:val="24"/>
              </w:rPr>
              <w:t>2</w:t>
            </w:r>
          </w:p>
        </w:tc>
      </w:tr>
      <w:tr w:rsidR="000C099C" w14:paraId="65F25AD9" w14:textId="77777777">
        <w:tc>
          <w:tcPr>
            <w:tcW w:w="6342" w:type="dxa"/>
          </w:tcPr>
          <w:p w14:paraId="54611882" w14:textId="77777777" w:rsidR="000C099C" w:rsidRDefault="000C099C">
            <w:pPr>
              <w:rPr>
                <w:sz w:val="24"/>
              </w:rPr>
            </w:pPr>
            <w:r>
              <w:rPr>
                <w:sz w:val="24"/>
              </w:rPr>
              <w:t>Contracts and Agreements</w:t>
            </w:r>
          </w:p>
        </w:tc>
        <w:tc>
          <w:tcPr>
            <w:tcW w:w="985" w:type="dxa"/>
          </w:tcPr>
          <w:p w14:paraId="2BF61B14" w14:textId="77777777" w:rsidR="000C099C" w:rsidRDefault="000C099C">
            <w:pPr>
              <w:jc w:val="center"/>
              <w:rPr>
                <w:sz w:val="24"/>
              </w:rPr>
            </w:pPr>
            <w:r>
              <w:rPr>
                <w:sz w:val="24"/>
              </w:rPr>
              <w:t>P</w:t>
            </w:r>
          </w:p>
        </w:tc>
        <w:tc>
          <w:tcPr>
            <w:tcW w:w="1046" w:type="dxa"/>
          </w:tcPr>
          <w:p w14:paraId="1B799EAB" w14:textId="77777777" w:rsidR="000C099C" w:rsidRDefault="000C099C">
            <w:pPr>
              <w:jc w:val="center"/>
              <w:rPr>
                <w:sz w:val="24"/>
              </w:rPr>
            </w:pPr>
            <w:r>
              <w:rPr>
                <w:sz w:val="24"/>
              </w:rPr>
              <w:t>3</w:t>
            </w:r>
          </w:p>
        </w:tc>
        <w:tc>
          <w:tcPr>
            <w:tcW w:w="1095" w:type="dxa"/>
          </w:tcPr>
          <w:p w14:paraId="23C8B5C7" w14:textId="77777777" w:rsidR="000C099C" w:rsidRDefault="000C099C">
            <w:pPr>
              <w:jc w:val="center"/>
              <w:rPr>
                <w:sz w:val="24"/>
              </w:rPr>
            </w:pPr>
            <w:r>
              <w:rPr>
                <w:sz w:val="24"/>
              </w:rPr>
              <w:t>2</w:t>
            </w:r>
          </w:p>
        </w:tc>
      </w:tr>
      <w:tr w:rsidR="000C099C" w14:paraId="14943050" w14:textId="77777777">
        <w:tc>
          <w:tcPr>
            <w:tcW w:w="6342" w:type="dxa"/>
          </w:tcPr>
          <w:p w14:paraId="1D942295" w14:textId="77777777" w:rsidR="000C099C" w:rsidRDefault="000C099C">
            <w:pPr>
              <w:rPr>
                <w:sz w:val="24"/>
              </w:rPr>
            </w:pPr>
            <w:r>
              <w:rPr>
                <w:sz w:val="24"/>
              </w:rPr>
              <w:t>Retirement and Pension records</w:t>
            </w:r>
          </w:p>
        </w:tc>
        <w:tc>
          <w:tcPr>
            <w:tcW w:w="985" w:type="dxa"/>
          </w:tcPr>
          <w:p w14:paraId="56FF693F" w14:textId="77777777" w:rsidR="000C099C" w:rsidRDefault="000C099C">
            <w:pPr>
              <w:jc w:val="center"/>
              <w:rPr>
                <w:sz w:val="24"/>
              </w:rPr>
            </w:pPr>
            <w:r>
              <w:rPr>
                <w:sz w:val="24"/>
              </w:rPr>
              <w:t>P</w:t>
            </w:r>
          </w:p>
        </w:tc>
        <w:tc>
          <w:tcPr>
            <w:tcW w:w="1046" w:type="dxa"/>
          </w:tcPr>
          <w:p w14:paraId="1F757BCB" w14:textId="77777777" w:rsidR="000C099C" w:rsidRDefault="000C099C">
            <w:pPr>
              <w:jc w:val="center"/>
              <w:rPr>
                <w:sz w:val="24"/>
              </w:rPr>
            </w:pPr>
            <w:r>
              <w:rPr>
                <w:sz w:val="24"/>
              </w:rPr>
              <w:t>3</w:t>
            </w:r>
          </w:p>
        </w:tc>
        <w:tc>
          <w:tcPr>
            <w:tcW w:w="1095" w:type="dxa"/>
          </w:tcPr>
          <w:p w14:paraId="791ACF6B" w14:textId="77777777" w:rsidR="000C099C" w:rsidRDefault="000C099C">
            <w:pPr>
              <w:jc w:val="center"/>
              <w:rPr>
                <w:sz w:val="24"/>
              </w:rPr>
            </w:pPr>
            <w:r>
              <w:rPr>
                <w:sz w:val="24"/>
              </w:rPr>
              <w:t>2</w:t>
            </w:r>
          </w:p>
        </w:tc>
      </w:tr>
      <w:tr w:rsidR="000C099C" w14:paraId="152D0CE5" w14:textId="77777777">
        <w:tc>
          <w:tcPr>
            <w:tcW w:w="6342" w:type="dxa"/>
          </w:tcPr>
          <w:p w14:paraId="140E2B08" w14:textId="77777777" w:rsidR="000C099C" w:rsidRDefault="000C099C">
            <w:pPr>
              <w:rPr>
                <w:sz w:val="24"/>
              </w:rPr>
            </w:pPr>
            <w:r>
              <w:rPr>
                <w:sz w:val="24"/>
              </w:rPr>
              <w:t>Tax returns and supporting documents</w:t>
            </w:r>
          </w:p>
        </w:tc>
        <w:tc>
          <w:tcPr>
            <w:tcW w:w="985" w:type="dxa"/>
          </w:tcPr>
          <w:p w14:paraId="7E958DB2" w14:textId="77777777" w:rsidR="000C099C" w:rsidRDefault="000C099C">
            <w:pPr>
              <w:jc w:val="center"/>
              <w:rPr>
                <w:sz w:val="24"/>
              </w:rPr>
            </w:pPr>
            <w:r>
              <w:rPr>
                <w:sz w:val="24"/>
              </w:rPr>
              <w:t>P</w:t>
            </w:r>
          </w:p>
        </w:tc>
        <w:tc>
          <w:tcPr>
            <w:tcW w:w="1046" w:type="dxa"/>
          </w:tcPr>
          <w:p w14:paraId="4A69E3EB" w14:textId="77777777" w:rsidR="000C099C" w:rsidRDefault="000C099C">
            <w:pPr>
              <w:jc w:val="center"/>
              <w:rPr>
                <w:sz w:val="24"/>
              </w:rPr>
            </w:pPr>
            <w:r>
              <w:rPr>
                <w:sz w:val="24"/>
              </w:rPr>
              <w:t>3</w:t>
            </w:r>
          </w:p>
        </w:tc>
        <w:tc>
          <w:tcPr>
            <w:tcW w:w="1095" w:type="dxa"/>
          </w:tcPr>
          <w:p w14:paraId="5B598AC2" w14:textId="77777777" w:rsidR="000C099C" w:rsidRDefault="000C099C">
            <w:pPr>
              <w:jc w:val="center"/>
              <w:rPr>
                <w:sz w:val="24"/>
              </w:rPr>
            </w:pPr>
            <w:r>
              <w:rPr>
                <w:sz w:val="24"/>
              </w:rPr>
              <w:t>2</w:t>
            </w:r>
          </w:p>
        </w:tc>
      </w:tr>
      <w:tr w:rsidR="000C099C" w14:paraId="4DFBBB8C" w14:textId="77777777">
        <w:trPr>
          <w:cantSplit/>
        </w:trPr>
        <w:tc>
          <w:tcPr>
            <w:tcW w:w="9468" w:type="dxa"/>
            <w:gridSpan w:val="4"/>
            <w:shd w:val="clear" w:color="auto" w:fill="E6E6E6"/>
          </w:tcPr>
          <w:p w14:paraId="7C546D8D" w14:textId="77777777" w:rsidR="000C099C" w:rsidRDefault="000C099C">
            <w:pPr>
              <w:rPr>
                <w:sz w:val="24"/>
              </w:rPr>
            </w:pPr>
            <w:r>
              <w:rPr>
                <w:b/>
                <w:bCs/>
                <w:sz w:val="24"/>
              </w:rPr>
              <w:t>Compliance Records</w:t>
            </w:r>
          </w:p>
        </w:tc>
      </w:tr>
      <w:tr w:rsidR="000C099C" w14:paraId="1AA53241" w14:textId="77777777">
        <w:tc>
          <w:tcPr>
            <w:tcW w:w="6342" w:type="dxa"/>
          </w:tcPr>
          <w:p w14:paraId="4D56D77B" w14:textId="77777777" w:rsidR="000C099C" w:rsidRDefault="000C099C">
            <w:r>
              <w:rPr>
                <w:sz w:val="24"/>
              </w:rPr>
              <w:t xml:space="preserve">New Account Forms     </w:t>
            </w:r>
            <w:r>
              <w:t>(must be kept 6 years after closing date)</w:t>
            </w:r>
          </w:p>
        </w:tc>
        <w:tc>
          <w:tcPr>
            <w:tcW w:w="985" w:type="dxa"/>
          </w:tcPr>
          <w:p w14:paraId="1795598F" w14:textId="77777777" w:rsidR="000C099C" w:rsidRDefault="000C099C">
            <w:pPr>
              <w:jc w:val="center"/>
              <w:rPr>
                <w:sz w:val="24"/>
              </w:rPr>
            </w:pPr>
          </w:p>
        </w:tc>
        <w:tc>
          <w:tcPr>
            <w:tcW w:w="1046" w:type="dxa"/>
          </w:tcPr>
          <w:p w14:paraId="57998E8D" w14:textId="77777777" w:rsidR="000C099C" w:rsidRDefault="000C099C">
            <w:pPr>
              <w:jc w:val="center"/>
              <w:rPr>
                <w:sz w:val="24"/>
              </w:rPr>
            </w:pPr>
            <w:r>
              <w:rPr>
                <w:sz w:val="24"/>
              </w:rPr>
              <w:t>6</w:t>
            </w:r>
          </w:p>
        </w:tc>
        <w:tc>
          <w:tcPr>
            <w:tcW w:w="1095" w:type="dxa"/>
          </w:tcPr>
          <w:p w14:paraId="38FE9BA1" w14:textId="77777777" w:rsidR="000C099C" w:rsidRDefault="000C099C">
            <w:pPr>
              <w:jc w:val="center"/>
              <w:rPr>
                <w:sz w:val="24"/>
              </w:rPr>
            </w:pPr>
            <w:r>
              <w:rPr>
                <w:sz w:val="24"/>
              </w:rPr>
              <w:t>6</w:t>
            </w:r>
          </w:p>
        </w:tc>
      </w:tr>
      <w:tr w:rsidR="000C099C" w14:paraId="7A4A0895" w14:textId="77777777">
        <w:tc>
          <w:tcPr>
            <w:tcW w:w="6342" w:type="dxa"/>
          </w:tcPr>
          <w:p w14:paraId="4E859505" w14:textId="77777777" w:rsidR="000C099C" w:rsidRDefault="000C099C">
            <w:pPr>
              <w:rPr>
                <w:sz w:val="24"/>
              </w:rPr>
            </w:pPr>
            <w:r>
              <w:rPr>
                <w:sz w:val="24"/>
              </w:rPr>
              <w:t>Lost and Stolen Security Agreement</w:t>
            </w:r>
          </w:p>
        </w:tc>
        <w:tc>
          <w:tcPr>
            <w:tcW w:w="985" w:type="dxa"/>
          </w:tcPr>
          <w:p w14:paraId="75B2BD80" w14:textId="77777777" w:rsidR="000C099C" w:rsidRDefault="000C099C">
            <w:pPr>
              <w:jc w:val="center"/>
              <w:rPr>
                <w:sz w:val="24"/>
              </w:rPr>
            </w:pPr>
          </w:p>
        </w:tc>
        <w:tc>
          <w:tcPr>
            <w:tcW w:w="1046" w:type="dxa"/>
          </w:tcPr>
          <w:p w14:paraId="651CCBC9" w14:textId="77777777" w:rsidR="000C099C" w:rsidRDefault="000C099C">
            <w:pPr>
              <w:jc w:val="center"/>
              <w:rPr>
                <w:sz w:val="24"/>
              </w:rPr>
            </w:pPr>
            <w:r>
              <w:rPr>
                <w:sz w:val="24"/>
              </w:rPr>
              <w:t>3 (P)</w:t>
            </w:r>
          </w:p>
        </w:tc>
        <w:tc>
          <w:tcPr>
            <w:tcW w:w="1095" w:type="dxa"/>
          </w:tcPr>
          <w:p w14:paraId="1CC2DAA1" w14:textId="77777777" w:rsidR="000C099C" w:rsidRDefault="000C099C">
            <w:pPr>
              <w:jc w:val="center"/>
              <w:rPr>
                <w:sz w:val="24"/>
              </w:rPr>
            </w:pPr>
            <w:r>
              <w:rPr>
                <w:sz w:val="24"/>
              </w:rPr>
              <w:t>3 (P)</w:t>
            </w:r>
          </w:p>
        </w:tc>
      </w:tr>
      <w:tr w:rsidR="000C099C" w14:paraId="09B07888" w14:textId="77777777">
        <w:tc>
          <w:tcPr>
            <w:tcW w:w="6342" w:type="dxa"/>
          </w:tcPr>
          <w:p w14:paraId="053841E1" w14:textId="77777777" w:rsidR="000C099C" w:rsidRDefault="000C099C">
            <w:pPr>
              <w:rPr>
                <w:sz w:val="24"/>
              </w:rPr>
            </w:pPr>
            <w:r>
              <w:rPr>
                <w:sz w:val="24"/>
              </w:rPr>
              <w:t>Confirmations</w:t>
            </w:r>
          </w:p>
        </w:tc>
        <w:tc>
          <w:tcPr>
            <w:tcW w:w="985" w:type="dxa"/>
          </w:tcPr>
          <w:p w14:paraId="5A44110E" w14:textId="77777777" w:rsidR="000C099C" w:rsidRDefault="000C099C">
            <w:pPr>
              <w:jc w:val="center"/>
              <w:rPr>
                <w:sz w:val="24"/>
              </w:rPr>
            </w:pPr>
          </w:p>
        </w:tc>
        <w:tc>
          <w:tcPr>
            <w:tcW w:w="1046" w:type="dxa"/>
          </w:tcPr>
          <w:p w14:paraId="004F2865" w14:textId="77777777" w:rsidR="000C099C" w:rsidRDefault="000C099C">
            <w:pPr>
              <w:jc w:val="center"/>
              <w:rPr>
                <w:sz w:val="24"/>
              </w:rPr>
            </w:pPr>
            <w:r>
              <w:rPr>
                <w:sz w:val="24"/>
              </w:rPr>
              <w:t>3</w:t>
            </w:r>
          </w:p>
          <w:p w14:paraId="77CD6A27" w14:textId="77777777" w:rsidR="00FD4D16" w:rsidRPr="00B079F1" w:rsidRDefault="00FD4D16">
            <w:pPr>
              <w:jc w:val="center"/>
              <w:rPr>
                <w:sz w:val="24"/>
              </w:rPr>
            </w:pPr>
            <w:r w:rsidRPr="00B079F1">
              <w:rPr>
                <w:sz w:val="24"/>
              </w:rPr>
              <w:t>Muni 4</w:t>
            </w:r>
          </w:p>
        </w:tc>
        <w:tc>
          <w:tcPr>
            <w:tcW w:w="1095" w:type="dxa"/>
          </w:tcPr>
          <w:p w14:paraId="1E6E549B" w14:textId="77777777" w:rsidR="000C099C" w:rsidRDefault="000C099C">
            <w:pPr>
              <w:jc w:val="center"/>
              <w:rPr>
                <w:sz w:val="24"/>
              </w:rPr>
            </w:pPr>
            <w:r>
              <w:rPr>
                <w:sz w:val="24"/>
              </w:rPr>
              <w:t>2</w:t>
            </w:r>
          </w:p>
        </w:tc>
      </w:tr>
      <w:tr w:rsidR="000C099C" w14:paraId="3CD66DAB" w14:textId="77777777">
        <w:tc>
          <w:tcPr>
            <w:tcW w:w="6342" w:type="dxa"/>
          </w:tcPr>
          <w:p w14:paraId="520CB20D" w14:textId="7EAC1A2F" w:rsidR="000C099C" w:rsidRDefault="000C099C">
            <w:pPr>
              <w:rPr>
                <w:sz w:val="24"/>
              </w:rPr>
            </w:pPr>
            <w:r>
              <w:rPr>
                <w:sz w:val="24"/>
              </w:rPr>
              <w:t>Cash and Margin Acct Records</w:t>
            </w:r>
            <w:r w:rsidR="00CE1C7F">
              <w:rPr>
                <w:sz w:val="24"/>
              </w:rPr>
              <w:t xml:space="preserve"> (cash receipts and disbursements)</w:t>
            </w:r>
          </w:p>
        </w:tc>
        <w:tc>
          <w:tcPr>
            <w:tcW w:w="985" w:type="dxa"/>
          </w:tcPr>
          <w:p w14:paraId="4C1782D9" w14:textId="77777777" w:rsidR="000C099C" w:rsidRDefault="000C099C">
            <w:pPr>
              <w:jc w:val="center"/>
              <w:rPr>
                <w:sz w:val="24"/>
              </w:rPr>
            </w:pPr>
          </w:p>
        </w:tc>
        <w:tc>
          <w:tcPr>
            <w:tcW w:w="1046" w:type="dxa"/>
          </w:tcPr>
          <w:p w14:paraId="3D03AEC7" w14:textId="73E229C6" w:rsidR="000C099C" w:rsidRDefault="00CE1C7F">
            <w:pPr>
              <w:jc w:val="center"/>
              <w:rPr>
                <w:sz w:val="24"/>
              </w:rPr>
            </w:pPr>
            <w:r w:rsidRPr="00CE1C7F">
              <w:rPr>
                <w:color w:val="FF0000"/>
                <w:sz w:val="24"/>
              </w:rPr>
              <w:t>6</w:t>
            </w:r>
          </w:p>
        </w:tc>
        <w:tc>
          <w:tcPr>
            <w:tcW w:w="1095" w:type="dxa"/>
          </w:tcPr>
          <w:p w14:paraId="5154CA01" w14:textId="77777777" w:rsidR="000C099C" w:rsidRDefault="000C099C">
            <w:pPr>
              <w:jc w:val="center"/>
              <w:rPr>
                <w:sz w:val="24"/>
              </w:rPr>
            </w:pPr>
            <w:r>
              <w:rPr>
                <w:sz w:val="24"/>
              </w:rPr>
              <w:t>2</w:t>
            </w:r>
          </w:p>
        </w:tc>
      </w:tr>
      <w:tr w:rsidR="000C099C" w14:paraId="58690BD4" w14:textId="77777777">
        <w:tc>
          <w:tcPr>
            <w:tcW w:w="6342" w:type="dxa"/>
          </w:tcPr>
          <w:p w14:paraId="093A02C7" w14:textId="77777777" w:rsidR="000C099C" w:rsidRDefault="000C099C">
            <w:pPr>
              <w:rPr>
                <w:sz w:val="24"/>
              </w:rPr>
            </w:pPr>
            <w:r>
              <w:rPr>
                <w:sz w:val="24"/>
              </w:rPr>
              <w:t>Branch Office Exam Reports</w:t>
            </w:r>
          </w:p>
        </w:tc>
        <w:tc>
          <w:tcPr>
            <w:tcW w:w="985" w:type="dxa"/>
          </w:tcPr>
          <w:p w14:paraId="118954FA" w14:textId="77777777" w:rsidR="000C099C" w:rsidRDefault="000C099C">
            <w:pPr>
              <w:jc w:val="center"/>
              <w:rPr>
                <w:sz w:val="24"/>
              </w:rPr>
            </w:pPr>
          </w:p>
        </w:tc>
        <w:tc>
          <w:tcPr>
            <w:tcW w:w="1046" w:type="dxa"/>
          </w:tcPr>
          <w:p w14:paraId="5C8DB5A3" w14:textId="77777777" w:rsidR="000C099C" w:rsidRDefault="000C099C">
            <w:pPr>
              <w:jc w:val="center"/>
              <w:rPr>
                <w:sz w:val="24"/>
              </w:rPr>
            </w:pPr>
            <w:r>
              <w:rPr>
                <w:sz w:val="24"/>
              </w:rPr>
              <w:t>P</w:t>
            </w:r>
          </w:p>
        </w:tc>
        <w:tc>
          <w:tcPr>
            <w:tcW w:w="1095" w:type="dxa"/>
          </w:tcPr>
          <w:p w14:paraId="437E1E9B" w14:textId="77777777" w:rsidR="000C099C" w:rsidRDefault="000C099C">
            <w:pPr>
              <w:jc w:val="center"/>
              <w:rPr>
                <w:sz w:val="24"/>
              </w:rPr>
            </w:pPr>
            <w:r>
              <w:rPr>
                <w:sz w:val="24"/>
              </w:rPr>
              <w:t>2</w:t>
            </w:r>
          </w:p>
        </w:tc>
      </w:tr>
      <w:tr w:rsidR="000C099C" w14:paraId="3859201B" w14:textId="77777777">
        <w:tc>
          <w:tcPr>
            <w:tcW w:w="6342" w:type="dxa"/>
          </w:tcPr>
          <w:p w14:paraId="50F7B6F4" w14:textId="77777777" w:rsidR="000C099C" w:rsidRDefault="000C099C">
            <w:pPr>
              <w:rPr>
                <w:sz w:val="24"/>
              </w:rPr>
            </w:pPr>
            <w:r>
              <w:rPr>
                <w:sz w:val="24"/>
              </w:rPr>
              <w:t>Customer Complaint File</w:t>
            </w:r>
          </w:p>
        </w:tc>
        <w:tc>
          <w:tcPr>
            <w:tcW w:w="985" w:type="dxa"/>
          </w:tcPr>
          <w:p w14:paraId="4A32A0E8" w14:textId="77777777" w:rsidR="000C099C" w:rsidRDefault="000C099C">
            <w:pPr>
              <w:jc w:val="center"/>
              <w:rPr>
                <w:sz w:val="24"/>
              </w:rPr>
            </w:pPr>
          </w:p>
        </w:tc>
        <w:tc>
          <w:tcPr>
            <w:tcW w:w="1046" w:type="dxa"/>
          </w:tcPr>
          <w:p w14:paraId="1353BE33" w14:textId="77777777" w:rsidR="000C099C" w:rsidRPr="00B079F1" w:rsidRDefault="00D56B9B">
            <w:pPr>
              <w:jc w:val="center"/>
              <w:rPr>
                <w:sz w:val="24"/>
              </w:rPr>
            </w:pPr>
            <w:r w:rsidRPr="00B079F1">
              <w:rPr>
                <w:sz w:val="24"/>
              </w:rPr>
              <w:t>4</w:t>
            </w:r>
          </w:p>
        </w:tc>
        <w:tc>
          <w:tcPr>
            <w:tcW w:w="1095" w:type="dxa"/>
          </w:tcPr>
          <w:p w14:paraId="0EB45CCF" w14:textId="77777777" w:rsidR="000C099C" w:rsidRPr="00B079F1" w:rsidRDefault="00D56B9B">
            <w:pPr>
              <w:jc w:val="center"/>
              <w:rPr>
                <w:sz w:val="24"/>
              </w:rPr>
            </w:pPr>
            <w:r w:rsidRPr="00B079F1">
              <w:rPr>
                <w:sz w:val="24"/>
              </w:rPr>
              <w:t>4</w:t>
            </w:r>
          </w:p>
        </w:tc>
      </w:tr>
      <w:tr w:rsidR="000C099C" w14:paraId="190A03E0" w14:textId="77777777">
        <w:tc>
          <w:tcPr>
            <w:tcW w:w="6342" w:type="dxa"/>
          </w:tcPr>
          <w:p w14:paraId="4E317A68" w14:textId="77777777" w:rsidR="000C099C" w:rsidRDefault="000C099C">
            <w:pPr>
              <w:rPr>
                <w:sz w:val="24"/>
              </w:rPr>
            </w:pPr>
            <w:r>
              <w:rPr>
                <w:sz w:val="24"/>
              </w:rPr>
              <w:t>General Correspondence</w:t>
            </w:r>
          </w:p>
        </w:tc>
        <w:tc>
          <w:tcPr>
            <w:tcW w:w="985" w:type="dxa"/>
          </w:tcPr>
          <w:p w14:paraId="5B31D660" w14:textId="77777777" w:rsidR="000C099C" w:rsidRDefault="000C099C">
            <w:pPr>
              <w:jc w:val="center"/>
              <w:rPr>
                <w:sz w:val="24"/>
              </w:rPr>
            </w:pPr>
          </w:p>
        </w:tc>
        <w:tc>
          <w:tcPr>
            <w:tcW w:w="1046" w:type="dxa"/>
          </w:tcPr>
          <w:p w14:paraId="21F9FE9D" w14:textId="77777777" w:rsidR="000C099C" w:rsidRDefault="000C099C">
            <w:pPr>
              <w:jc w:val="center"/>
              <w:rPr>
                <w:sz w:val="24"/>
              </w:rPr>
            </w:pPr>
            <w:r>
              <w:rPr>
                <w:sz w:val="24"/>
              </w:rPr>
              <w:t>3</w:t>
            </w:r>
          </w:p>
        </w:tc>
        <w:tc>
          <w:tcPr>
            <w:tcW w:w="1095" w:type="dxa"/>
          </w:tcPr>
          <w:p w14:paraId="0EA9896E" w14:textId="77777777" w:rsidR="000C099C" w:rsidRDefault="000C099C">
            <w:pPr>
              <w:jc w:val="center"/>
              <w:rPr>
                <w:sz w:val="24"/>
              </w:rPr>
            </w:pPr>
            <w:r>
              <w:rPr>
                <w:sz w:val="24"/>
              </w:rPr>
              <w:t>2</w:t>
            </w:r>
          </w:p>
        </w:tc>
      </w:tr>
      <w:tr w:rsidR="000C099C" w14:paraId="317F577F" w14:textId="77777777">
        <w:tc>
          <w:tcPr>
            <w:tcW w:w="6342" w:type="dxa"/>
          </w:tcPr>
          <w:p w14:paraId="304363B8" w14:textId="77777777" w:rsidR="000C099C" w:rsidRDefault="000C099C">
            <w:pPr>
              <w:rPr>
                <w:sz w:val="24"/>
              </w:rPr>
            </w:pPr>
            <w:r>
              <w:rPr>
                <w:sz w:val="24"/>
              </w:rPr>
              <w:t>Legal and Tax</w:t>
            </w:r>
          </w:p>
        </w:tc>
        <w:tc>
          <w:tcPr>
            <w:tcW w:w="985" w:type="dxa"/>
          </w:tcPr>
          <w:p w14:paraId="24555E4A" w14:textId="77777777" w:rsidR="000C099C" w:rsidRDefault="000C099C">
            <w:pPr>
              <w:jc w:val="center"/>
              <w:rPr>
                <w:sz w:val="24"/>
              </w:rPr>
            </w:pPr>
            <w:r>
              <w:rPr>
                <w:sz w:val="24"/>
              </w:rPr>
              <w:t>P</w:t>
            </w:r>
          </w:p>
        </w:tc>
        <w:tc>
          <w:tcPr>
            <w:tcW w:w="1046" w:type="dxa"/>
          </w:tcPr>
          <w:p w14:paraId="7A0F0B8E" w14:textId="77777777" w:rsidR="000C099C" w:rsidRDefault="000C099C">
            <w:pPr>
              <w:jc w:val="center"/>
              <w:rPr>
                <w:sz w:val="24"/>
              </w:rPr>
            </w:pPr>
            <w:r>
              <w:rPr>
                <w:sz w:val="24"/>
              </w:rPr>
              <w:t>P</w:t>
            </w:r>
          </w:p>
        </w:tc>
        <w:tc>
          <w:tcPr>
            <w:tcW w:w="1095" w:type="dxa"/>
          </w:tcPr>
          <w:p w14:paraId="2E3B3C26" w14:textId="77777777" w:rsidR="000C099C" w:rsidRDefault="000C099C">
            <w:pPr>
              <w:jc w:val="center"/>
              <w:rPr>
                <w:sz w:val="24"/>
              </w:rPr>
            </w:pPr>
            <w:r>
              <w:rPr>
                <w:sz w:val="24"/>
              </w:rPr>
              <w:t>2</w:t>
            </w:r>
          </w:p>
        </w:tc>
      </w:tr>
      <w:tr w:rsidR="000C099C" w14:paraId="789AE14A" w14:textId="77777777">
        <w:tc>
          <w:tcPr>
            <w:tcW w:w="6342" w:type="dxa"/>
          </w:tcPr>
          <w:p w14:paraId="7D4C66DE" w14:textId="77777777" w:rsidR="000C099C" w:rsidRDefault="000C099C">
            <w:pPr>
              <w:rPr>
                <w:sz w:val="24"/>
              </w:rPr>
            </w:pPr>
            <w:r>
              <w:rPr>
                <w:sz w:val="24"/>
              </w:rPr>
              <w:t>Order Tickets</w:t>
            </w:r>
          </w:p>
        </w:tc>
        <w:tc>
          <w:tcPr>
            <w:tcW w:w="985" w:type="dxa"/>
          </w:tcPr>
          <w:p w14:paraId="77135AA4" w14:textId="77777777" w:rsidR="000C099C" w:rsidRDefault="000C099C">
            <w:pPr>
              <w:jc w:val="center"/>
              <w:rPr>
                <w:sz w:val="24"/>
              </w:rPr>
            </w:pPr>
          </w:p>
        </w:tc>
        <w:tc>
          <w:tcPr>
            <w:tcW w:w="1046" w:type="dxa"/>
          </w:tcPr>
          <w:p w14:paraId="3C89397E" w14:textId="77777777" w:rsidR="000C099C" w:rsidRDefault="000C099C">
            <w:pPr>
              <w:jc w:val="center"/>
              <w:rPr>
                <w:sz w:val="24"/>
              </w:rPr>
            </w:pPr>
            <w:r>
              <w:rPr>
                <w:sz w:val="24"/>
              </w:rPr>
              <w:t>3</w:t>
            </w:r>
          </w:p>
          <w:p w14:paraId="776F709C" w14:textId="77777777" w:rsidR="00FD4D16" w:rsidRPr="00B079F1" w:rsidRDefault="00FD4D16">
            <w:pPr>
              <w:jc w:val="center"/>
              <w:rPr>
                <w:sz w:val="24"/>
              </w:rPr>
            </w:pPr>
            <w:r w:rsidRPr="00B079F1">
              <w:rPr>
                <w:sz w:val="24"/>
              </w:rPr>
              <w:t>Muni 4</w:t>
            </w:r>
          </w:p>
        </w:tc>
        <w:tc>
          <w:tcPr>
            <w:tcW w:w="1095" w:type="dxa"/>
          </w:tcPr>
          <w:p w14:paraId="094008B6" w14:textId="77777777" w:rsidR="000C099C" w:rsidRDefault="000C099C">
            <w:pPr>
              <w:jc w:val="center"/>
              <w:rPr>
                <w:sz w:val="24"/>
              </w:rPr>
            </w:pPr>
            <w:r>
              <w:rPr>
                <w:sz w:val="24"/>
              </w:rPr>
              <w:t>2</w:t>
            </w:r>
          </w:p>
        </w:tc>
      </w:tr>
      <w:tr w:rsidR="000C099C" w14:paraId="14BFC33F" w14:textId="77777777">
        <w:tc>
          <w:tcPr>
            <w:tcW w:w="6342" w:type="dxa"/>
          </w:tcPr>
          <w:p w14:paraId="68C1D668" w14:textId="77777777" w:rsidR="000C099C" w:rsidRDefault="000C099C">
            <w:pPr>
              <w:rPr>
                <w:sz w:val="24"/>
              </w:rPr>
            </w:pPr>
            <w:r>
              <w:rPr>
                <w:sz w:val="24"/>
              </w:rPr>
              <w:t>Extensions and Requests</w:t>
            </w:r>
          </w:p>
        </w:tc>
        <w:tc>
          <w:tcPr>
            <w:tcW w:w="985" w:type="dxa"/>
          </w:tcPr>
          <w:p w14:paraId="6F4B3DCD" w14:textId="77777777" w:rsidR="000C099C" w:rsidRDefault="000C099C">
            <w:pPr>
              <w:jc w:val="center"/>
              <w:rPr>
                <w:sz w:val="24"/>
              </w:rPr>
            </w:pPr>
          </w:p>
        </w:tc>
        <w:tc>
          <w:tcPr>
            <w:tcW w:w="1046" w:type="dxa"/>
          </w:tcPr>
          <w:p w14:paraId="348EE280" w14:textId="77777777" w:rsidR="000C099C" w:rsidRDefault="000C099C">
            <w:pPr>
              <w:jc w:val="center"/>
              <w:rPr>
                <w:sz w:val="24"/>
              </w:rPr>
            </w:pPr>
            <w:r>
              <w:rPr>
                <w:sz w:val="24"/>
              </w:rPr>
              <w:t>3</w:t>
            </w:r>
          </w:p>
        </w:tc>
        <w:tc>
          <w:tcPr>
            <w:tcW w:w="1095" w:type="dxa"/>
          </w:tcPr>
          <w:p w14:paraId="68941A3F" w14:textId="77777777" w:rsidR="000C099C" w:rsidRDefault="000C099C">
            <w:pPr>
              <w:jc w:val="center"/>
              <w:rPr>
                <w:sz w:val="24"/>
              </w:rPr>
            </w:pPr>
            <w:r>
              <w:rPr>
                <w:sz w:val="24"/>
              </w:rPr>
              <w:t>2</w:t>
            </w:r>
          </w:p>
        </w:tc>
      </w:tr>
      <w:tr w:rsidR="000C099C" w14:paraId="7CA30235" w14:textId="77777777">
        <w:tc>
          <w:tcPr>
            <w:tcW w:w="6342" w:type="dxa"/>
          </w:tcPr>
          <w:p w14:paraId="1BB211FE" w14:textId="77777777" w:rsidR="000C099C" w:rsidRDefault="000C099C">
            <w:pPr>
              <w:rPr>
                <w:sz w:val="24"/>
              </w:rPr>
            </w:pPr>
            <w:r>
              <w:rPr>
                <w:sz w:val="24"/>
              </w:rPr>
              <w:t>List of Personnel, RRs, and assigned Principal</w:t>
            </w:r>
          </w:p>
        </w:tc>
        <w:tc>
          <w:tcPr>
            <w:tcW w:w="985" w:type="dxa"/>
          </w:tcPr>
          <w:p w14:paraId="19690967" w14:textId="77777777" w:rsidR="000C099C" w:rsidRDefault="000C099C">
            <w:pPr>
              <w:jc w:val="center"/>
              <w:rPr>
                <w:sz w:val="24"/>
              </w:rPr>
            </w:pPr>
          </w:p>
        </w:tc>
        <w:tc>
          <w:tcPr>
            <w:tcW w:w="1046" w:type="dxa"/>
          </w:tcPr>
          <w:p w14:paraId="6D9A7CDF" w14:textId="77777777" w:rsidR="000C099C" w:rsidRDefault="000C099C">
            <w:pPr>
              <w:jc w:val="center"/>
              <w:rPr>
                <w:sz w:val="24"/>
              </w:rPr>
            </w:pPr>
            <w:r>
              <w:rPr>
                <w:sz w:val="24"/>
              </w:rPr>
              <w:t>3</w:t>
            </w:r>
          </w:p>
        </w:tc>
        <w:tc>
          <w:tcPr>
            <w:tcW w:w="1095" w:type="dxa"/>
          </w:tcPr>
          <w:p w14:paraId="5AB569A7" w14:textId="77777777" w:rsidR="000C099C" w:rsidRDefault="000C099C">
            <w:pPr>
              <w:jc w:val="center"/>
              <w:rPr>
                <w:sz w:val="24"/>
              </w:rPr>
            </w:pPr>
            <w:r>
              <w:rPr>
                <w:sz w:val="24"/>
              </w:rPr>
              <w:t>2</w:t>
            </w:r>
          </w:p>
        </w:tc>
      </w:tr>
      <w:tr w:rsidR="000C099C" w14:paraId="4DB4A6E1" w14:textId="77777777">
        <w:tc>
          <w:tcPr>
            <w:tcW w:w="6342" w:type="dxa"/>
          </w:tcPr>
          <w:p w14:paraId="1498A397" w14:textId="77777777" w:rsidR="000C099C" w:rsidRDefault="000C099C">
            <w:pPr>
              <w:rPr>
                <w:sz w:val="24"/>
              </w:rPr>
            </w:pPr>
            <w:r>
              <w:rPr>
                <w:sz w:val="24"/>
              </w:rPr>
              <w:t>List of branch offices and OSJs</w:t>
            </w:r>
          </w:p>
        </w:tc>
        <w:tc>
          <w:tcPr>
            <w:tcW w:w="985" w:type="dxa"/>
          </w:tcPr>
          <w:p w14:paraId="3EC8A6E8" w14:textId="77777777" w:rsidR="000C099C" w:rsidRDefault="000C099C">
            <w:pPr>
              <w:jc w:val="center"/>
              <w:rPr>
                <w:sz w:val="24"/>
              </w:rPr>
            </w:pPr>
          </w:p>
        </w:tc>
        <w:tc>
          <w:tcPr>
            <w:tcW w:w="1046" w:type="dxa"/>
          </w:tcPr>
          <w:p w14:paraId="32B7DDF6" w14:textId="77777777" w:rsidR="000C099C" w:rsidRDefault="000C099C">
            <w:pPr>
              <w:jc w:val="center"/>
              <w:rPr>
                <w:sz w:val="24"/>
              </w:rPr>
            </w:pPr>
            <w:r>
              <w:rPr>
                <w:sz w:val="24"/>
              </w:rPr>
              <w:t>3</w:t>
            </w:r>
          </w:p>
        </w:tc>
        <w:tc>
          <w:tcPr>
            <w:tcW w:w="1095" w:type="dxa"/>
          </w:tcPr>
          <w:p w14:paraId="52CAEB60" w14:textId="77777777" w:rsidR="000C099C" w:rsidRDefault="000C099C">
            <w:pPr>
              <w:jc w:val="center"/>
              <w:rPr>
                <w:sz w:val="24"/>
              </w:rPr>
            </w:pPr>
            <w:r>
              <w:rPr>
                <w:sz w:val="24"/>
              </w:rPr>
              <w:t>2</w:t>
            </w:r>
          </w:p>
        </w:tc>
      </w:tr>
      <w:tr w:rsidR="000C099C" w14:paraId="60D1727B" w14:textId="77777777">
        <w:tc>
          <w:tcPr>
            <w:tcW w:w="6342" w:type="dxa"/>
          </w:tcPr>
          <w:p w14:paraId="2672D9E2" w14:textId="77777777" w:rsidR="000C099C" w:rsidRDefault="000C099C">
            <w:pPr>
              <w:rPr>
                <w:sz w:val="24"/>
              </w:rPr>
            </w:pPr>
            <w:r>
              <w:rPr>
                <w:sz w:val="24"/>
              </w:rPr>
              <w:t>Litigation File</w:t>
            </w:r>
          </w:p>
        </w:tc>
        <w:tc>
          <w:tcPr>
            <w:tcW w:w="985" w:type="dxa"/>
          </w:tcPr>
          <w:p w14:paraId="1F1D8C45" w14:textId="77777777" w:rsidR="000C099C" w:rsidRDefault="000C099C">
            <w:pPr>
              <w:jc w:val="center"/>
              <w:rPr>
                <w:sz w:val="24"/>
              </w:rPr>
            </w:pPr>
          </w:p>
        </w:tc>
        <w:tc>
          <w:tcPr>
            <w:tcW w:w="1046" w:type="dxa"/>
          </w:tcPr>
          <w:p w14:paraId="4B9AEC63" w14:textId="77777777" w:rsidR="000C099C" w:rsidRDefault="000C099C">
            <w:pPr>
              <w:jc w:val="center"/>
              <w:rPr>
                <w:sz w:val="24"/>
              </w:rPr>
            </w:pPr>
            <w:r>
              <w:rPr>
                <w:sz w:val="24"/>
              </w:rPr>
              <w:t>P</w:t>
            </w:r>
          </w:p>
        </w:tc>
        <w:tc>
          <w:tcPr>
            <w:tcW w:w="1095" w:type="dxa"/>
          </w:tcPr>
          <w:p w14:paraId="116B6A15" w14:textId="77777777" w:rsidR="000C099C" w:rsidRDefault="000C099C">
            <w:pPr>
              <w:jc w:val="center"/>
              <w:rPr>
                <w:sz w:val="24"/>
              </w:rPr>
            </w:pPr>
            <w:r>
              <w:rPr>
                <w:sz w:val="24"/>
              </w:rPr>
              <w:t>P</w:t>
            </w:r>
          </w:p>
        </w:tc>
      </w:tr>
      <w:tr w:rsidR="000C099C" w14:paraId="4210ABCF" w14:textId="77777777">
        <w:tc>
          <w:tcPr>
            <w:tcW w:w="6342" w:type="dxa"/>
          </w:tcPr>
          <w:p w14:paraId="5E21C421" w14:textId="77777777" w:rsidR="000C099C" w:rsidRDefault="000C099C">
            <w:pPr>
              <w:rPr>
                <w:sz w:val="24"/>
              </w:rPr>
            </w:pPr>
            <w:r>
              <w:rPr>
                <w:sz w:val="24"/>
              </w:rPr>
              <w:t>Fidelity Bond</w:t>
            </w:r>
          </w:p>
        </w:tc>
        <w:tc>
          <w:tcPr>
            <w:tcW w:w="985" w:type="dxa"/>
          </w:tcPr>
          <w:p w14:paraId="506E11F6" w14:textId="77777777" w:rsidR="000C099C" w:rsidRDefault="000C099C">
            <w:pPr>
              <w:jc w:val="center"/>
              <w:rPr>
                <w:sz w:val="24"/>
              </w:rPr>
            </w:pPr>
          </w:p>
        </w:tc>
        <w:tc>
          <w:tcPr>
            <w:tcW w:w="1046" w:type="dxa"/>
          </w:tcPr>
          <w:p w14:paraId="29B3DA64" w14:textId="77777777" w:rsidR="000C099C" w:rsidRDefault="000C099C">
            <w:pPr>
              <w:jc w:val="center"/>
              <w:rPr>
                <w:sz w:val="24"/>
              </w:rPr>
            </w:pPr>
            <w:r>
              <w:rPr>
                <w:sz w:val="24"/>
              </w:rPr>
              <w:t>P</w:t>
            </w:r>
          </w:p>
        </w:tc>
        <w:tc>
          <w:tcPr>
            <w:tcW w:w="1095" w:type="dxa"/>
          </w:tcPr>
          <w:p w14:paraId="73CE07DD" w14:textId="77777777" w:rsidR="000C099C" w:rsidRDefault="000C099C">
            <w:pPr>
              <w:jc w:val="center"/>
              <w:rPr>
                <w:sz w:val="24"/>
              </w:rPr>
            </w:pPr>
            <w:r>
              <w:rPr>
                <w:sz w:val="24"/>
              </w:rPr>
              <w:t>P</w:t>
            </w:r>
          </w:p>
        </w:tc>
      </w:tr>
      <w:tr w:rsidR="000C099C" w14:paraId="04DA7292" w14:textId="77777777">
        <w:tc>
          <w:tcPr>
            <w:tcW w:w="6342" w:type="dxa"/>
          </w:tcPr>
          <w:p w14:paraId="149C0E3A" w14:textId="77777777" w:rsidR="000C099C" w:rsidRDefault="000C099C">
            <w:pPr>
              <w:rPr>
                <w:sz w:val="24"/>
              </w:rPr>
            </w:pPr>
            <w:r>
              <w:rPr>
                <w:sz w:val="24"/>
              </w:rPr>
              <w:t>144 Sales File</w:t>
            </w:r>
          </w:p>
        </w:tc>
        <w:tc>
          <w:tcPr>
            <w:tcW w:w="985" w:type="dxa"/>
          </w:tcPr>
          <w:p w14:paraId="41DA7B5F" w14:textId="77777777" w:rsidR="000C099C" w:rsidRDefault="000C099C">
            <w:pPr>
              <w:jc w:val="center"/>
              <w:rPr>
                <w:sz w:val="24"/>
              </w:rPr>
            </w:pPr>
          </w:p>
        </w:tc>
        <w:tc>
          <w:tcPr>
            <w:tcW w:w="1046" w:type="dxa"/>
          </w:tcPr>
          <w:p w14:paraId="75BBBD1B" w14:textId="77777777" w:rsidR="000C099C" w:rsidRDefault="000C099C">
            <w:pPr>
              <w:jc w:val="center"/>
              <w:rPr>
                <w:sz w:val="24"/>
              </w:rPr>
            </w:pPr>
            <w:r>
              <w:rPr>
                <w:sz w:val="24"/>
              </w:rPr>
              <w:t>3</w:t>
            </w:r>
          </w:p>
        </w:tc>
        <w:tc>
          <w:tcPr>
            <w:tcW w:w="1095" w:type="dxa"/>
          </w:tcPr>
          <w:p w14:paraId="3E52AD98" w14:textId="77777777" w:rsidR="000C099C" w:rsidRDefault="000C099C">
            <w:pPr>
              <w:jc w:val="center"/>
              <w:rPr>
                <w:sz w:val="24"/>
              </w:rPr>
            </w:pPr>
            <w:r>
              <w:rPr>
                <w:sz w:val="24"/>
              </w:rPr>
              <w:t>2</w:t>
            </w:r>
          </w:p>
        </w:tc>
      </w:tr>
      <w:tr w:rsidR="000C099C" w14:paraId="4A81D63F" w14:textId="77777777">
        <w:tc>
          <w:tcPr>
            <w:tcW w:w="6342" w:type="dxa"/>
          </w:tcPr>
          <w:p w14:paraId="4B69F00E" w14:textId="77777777" w:rsidR="000C099C" w:rsidRPr="00217738" w:rsidRDefault="00CF05E5">
            <w:pPr>
              <w:rPr>
                <w:sz w:val="24"/>
              </w:rPr>
            </w:pPr>
            <w:r w:rsidRPr="00217738">
              <w:rPr>
                <w:sz w:val="24"/>
              </w:rPr>
              <w:t>Retail &amp; Institutional Communication, Correspondence</w:t>
            </w:r>
          </w:p>
        </w:tc>
        <w:tc>
          <w:tcPr>
            <w:tcW w:w="985" w:type="dxa"/>
          </w:tcPr>
          <w:p w14:paraId="3A2B1896" w14:textId="77777777" w:rsidR="000C099C" w:rsidRDefault="000C099C">
            <w:pPr>
              <w:jc w:val="center"/>
              <w:rPr>
                <w:sz w:val="24"/>
              </w:rPr>
            </w:pPr>
          </w:p>
        </w:tc>
        <w:tc>
          <w:tcPr>
            <w:tcW w:w="1046" w:type="dxa"/>
          </w:tcPr>
          <w:p w14:paraId="225B019E" w14:textId="77777777" w:rsidR="000C099C" w:rsidRDefault="000C099C">
            <w:pPr>
              <w:jc w:val="center"/>
              <w:rPr>
                <w:sz w:val="24"/>
              </w:rPr>
            </w:pPr>
            <w:r>
              <w:rPr>
                <w:sz w:val="24"/>
              </w:rPr>
              <w:t>3</w:t>
            </w:r>
          </w:p>
        </w:tc>
        <w:tc>
          <w:tcPr>
            <w:tcW w:w="1095" w:type="dxa"/>
          </w:tcPr>
          <w:p w14:paraId="1859DD0C" w14:textId="77777777" w:rsidR="000C099C" w:rsidRDefault="000C099C">
            <w:pPr>
              <w:jc w:val="center"/>
              <w:rPr>
                <w:sz w:val="24"/>
              </w:rPr>
            </w:pPr>
            <w:r>
              <w:rPr>
                <w:sz w:val="24"/>
              </w:rPr>
              <w:t>2</w:t>
            </w:r>
          </w:p>
        </w:tc>
      </w:tr>
      <w:tr w:rsidR="000C099C" w14:paraId="1DF4D361" w14:textId="77777777">
        <w:tc>
          <w:tcPr>
            <w:tcW w:w="6342" w:type="dxa"/>
          </w:tcPr>
          <w:p w14:paraId="72051443" w14:textId="77777777" w:rsidR="000C099C" w:rsidRDefault="000C099C">
            <w:pPr>
              <w:rPr>
                <w:sz w:val="24"/>
              </w:rPr>
            </w:pPr>
            <w:r>
              <w:rPr>
                <w:sz w:val="24"/>
              </w:rPr>
              <w:t>Underwriting/Distribution Files</w:t>
            </w:r>
          </w:p>
        </w:tc>
        <w:tc>
          <w:tcPr>
            <w:tcW w:w="985" w:type="dxa"/>
          </w:tcPr>
          <w:p w14:paraId="47E74553" w14:textId="77777777" w:rsidR="000C099C" w:rsidRDefault="000C099C">
            <w:pPr>
              <w:jc w:val="center"/>
              <w:rPr>
                <w:sz w:val="24"/>
              </w:rPr>
            </w:pPr>
          </w:p>
        </w:tc>
        <w:tc>
          <w:tcPr>
            <w:tcW w:w="1046" w:type="dxa"/>
          </w:tcPr>
          <w:p w14:paraId="0E5B6C14" w14:textId="77777777" w:rsidR="000C099C" w:rsidRDefault="000C099C">
            <w:pPr>
              <w:jc w:val="center"/>
              <w:rPr>
                <w:sz w:val="24"/>
              </w:rPr>
            </w:pPr>
            <w:r>
              <w:rPr>
                <w:sz w:val="24"/>
              </w:rPr>
              <w:t>3</w:t>
            </w:r>
          </w:p>
        </w:tc>
        <w:tc>
          <w:tcPr>
            <w:tcW w:w="1095" w:type="dxa"/>
          </w:tcPr>
          <w:p w14:paraId="644DF675" w14:textId="77777777" w:rsidR="000C099C" w:rsidRDefault="000C099C">
            <w:pPr>
              <w:jc w:val="center"/>
              <w:rPr>
                <w:sz w:val="24"/>
              </w:rPr>
            </w:pPr>
            <w:r>
              <w:rPr>
                <w:sz w:val="24"/>
              </w:rPr>
              <w:t>2</w:t>
            </w:r>
          </w:p>
        </w:tc>
      </w:tr>
      <w:tr w:rsidR="000C099C" w14:paraId="3F7908B6" w14:textId="77777777">
        <w:tc>
          <w:tcPr>
            <w:tcW w:w="6342" w:type="dxa"/>
          </w:tcPr>
          <w:p w14:paraId="545DE0CA" w14:textId="77777777" w:rsidR="000C099C" w:rsidRDefault="000C099C">
            <w:pPr>
              <w:rPr>
                <w:sz w:val="24"/>
              </w:rPr>
            </w:pPr>
            <w:r>
              <w:rPr>
                <w:sz w:val="24"/>
              </w:rPr>
              <w:t xml:space="preserve"> Selling Agreements</w:t>
            </w:r>
          </w:p>
        </w:tc>
        <w:tc>
          <w:tcPr>
            <w:tcW w:w="985" w:type="dxa"/>
          </w:tcPr>
          <w:p w14:paraId="30859A33" w14:textId="77777777" w:rsidR="000C099C" w:rsidRDefault="000C099C">
            <w:pPr>
              <w:jc w:val="center"/>
              <w:rPr>
                <w:sz w:val="24"/>
              </w:rPr>
            </w:pPr>
          </w:p>
        </w:tc>
        <w:tc>
          <w:tcPr>
            <w:tcW w:w="1046" w:type="dxa"/>
          </w:tcPr>
          <w:p w14:paraId="107950D3" w14:textId="77777777" w:rsidR="000C099C" w:rsidRDefault="000C099C">
            <w:pPr>
              <w:jc w:val="center"/>
              <w:rPr>
                <w:sz w:val="24"/>
              </w:rPr>
            </w:pPr>
            <w:r>
              <w:rPr>
                <w:sz w:val="24"/>
              </w:rPr>
              <w:t>3</w:t>
            </w:r>
          </w:p>
        </w:tc>
        <w:tc>
          <w:tcPr>
            <w:tcW w:w="1095" w:type="dxa"/>
          </w:tcPr>
          <w:p w14:paraId="191E6E45" w14:textId="77777777" w:rsidR="000C099C" w:rsidRDefault="000C099C">
            <w:pPr>
              <w:jc w:val="center"/>
              <w:rPr>
                <w:sz w:val="24"/>
              </w:rPr>
            </w:pPr>
            <w:r>
              <w:rPr>
                <w:sz w:val="24"/>
              </w:rPr>
              <w:t>2</w:t>
            </w:r>
          </w:p>
        </w:tc>
      </w:tr>
      <w:tr w:rsidR="000C099C" w14:paraId="79CC067D" w14:textId="77777777">
        <w:tc>
          <w:tcPr>
            <w:tcW w:w="6342" w:type="dxa"/>
          </w:tcPr>
          <w:p w14:paraId="214FF813" w14:textId="77777777" w:rsidR="000C099C" w:rsidRDefault="000C099C">
            <w:pPr>
              <w:rPr>
                <w:sz w:val="24"/>
              </w:rPr>
            </w:pPr>
            <w:r>
              <w:rPr>
                <w:sz w:val="24"/>
              </w:rPr>
              <w:t>Clearing Agreements</w:t>
            </w:r>
          </w:p>
        </w:tc>
        <w:tc>
          <w:tcPr>
            <w:tcW w:w="985" w:type="dxa"/>
          </w:tcPr>
          <w:p w14:paraId="13ECAF19" w14:textId="77777777" w:rsidR="000C099C" w:rsidRDefault="000C099C">
            <w:pPr>
              <w:jc w:val="center"/>
              <w:rPr>
                <w:sz w:val="24"/>
              </w:rPr>
            </w:pPr>
          </w:p>
        </w:tc>
        <w:tc>
          <w:tcPr>
            <w:tcW w:w="1046" w:type="dxa"/>
          </w:tcPr>
          <w:p w14:paraId="7A05FC6A" w14:textId="77777777" w:rsidR="000C099C" w:rsidRDefault="000C099C">
            <w:pPr>
              <w:jc w:val="center"/>
              <w:rPr>
                <w:sz w:val="24"/>
              </w:rPr>
            </w:pPr>
            <w:r>
              <w:rPr>
                <w:sz w:val="24"/>
              </w:rPr>
              <w:t>P</w:t>
            </w:r>
          </w:p>
        </w:tc>
        <w:tc>
          <w:tcPr>
            <w:tcW w:w="1095" w:type="dxa"/>
          </w:tcPr>
          <w:p w14:paraId="52B16066" w14:textId="77777777" w:rsidR="000C099C" w:rsidRDefault="000C099C">
            <w:pPr>
              <w:jc w:val="center"/>
              <w:rPr>
                <w:sz w:val="24"/>
              </w:rPr>
            </w:pPr>
            <w:r>
              <w:rPr>
                <w:sz w:val="24"/>
              </w:rPr>
              <w:t>P</w:t>
            </w:r>
          </w:p>
        </w:tc>
      </w:tr>
      <w:tr w:rsidR="000C099C" w14:paraId="27C5FAED" w14:textId="77777777">
        <w:tc>
          <w:tcPr>
            <w:tcW w:w="6342" w:type="dxa"/>
          </w:tcPr>
          <w:p w14:paraId="2321D6A8" w14:textId="77777777" w:rsidR="000C099C" w:rsidRDefault="000C099C">
            <w:pPr>
              <w:rPr>
                <w:sz w:val="24"/>
              </w:rPr>
            </w:pPr>
            <w:r>
              <w:rPr>
                <w:sz w:val="24"/>
              </w:rPr>
              <w:t>Written Supervisory Procedures</w:t>
            </w:r>
          </w:p>
        </w:tc>
        <w:tc>
          <w:tcPr>
            <w:tcW w:w="985" w:type="dxa"/>
          </w:tcPr>
          <w:p w14:paraId="6434BE93" w14:textId="77777777" w:rsidR="000C099C" w:rsidRDefault="000C099C">
            <w:pPr>
              <w:jc w:val="center"/>
              <w:rPr>
                <w:sz w:val="24"/>
              </w:rPr>
            </w:pPr>
          </w:p>
        </w:tc>
        <w:tc>
          <w:tcPr>
            <w:tcW w:w="1046" w:type="dxa"/>
          </w:tcPr>
          <w:p w14:paraId="567FFB8C" w14:textId="77777777" w:rsidR="000C099C" w:rsidRDefault="000C099C">
            <w:pPr>
              <w:jc w:val="center"/>
              <w:rPr>
                <w:sz w:val="24"/>
              </w:rPr>
            </w:pPr>
            <w:r>
              <w:rPr>
                <w:sz w:val="24"/>
              </w:rPr>
              <w:t>P</w:t>
            </w:r>
          </w:p>
        </w:tc>
        <w:tc>
          <w:tcPr>
            <w:tcW w:w="1095" w:type="dxa"/>
          </w:tcPr>
          <w:p w14:paraId="06E20427" w14:textId="77777777" w:rsidR="000C099C" w:rsidRDefault="000C099C">
            <w:pPr>
              <w:jc w:val="center"/>
              <w:rPr>
                <w:sz w:val="24"/>
              </w:rPr>
            </w:pPr>
            <w:r>
              <w:rPr>
                <w:sz w:val="24"/>
              </w:rPr>
              <w:t>P</w:t>
            </w:r>
          </w:p>
        </w:tc>
      </w:tr>
      <w:tr w:rsidR="000C099C" w14:paraId="49EF2995" w14:textId="77777777">
        <w:tc>
          <w:tcPr>
            <w:tcW w:w="6342" w:type="dxa"/>
          </w:tcPr>
          <w:p w14:paraId="713816C2" w14:textId="77777777" w:rsidR="000C099C" w:rsidRDefault="000C099C">
            <w:pPr>
              <w:rPr>
                <w:sz w:val="24"/>
              </w:rPr>
            </w:pPr>
            <w:r>
              <w:rPr>
                <w:sz w:val="24"/>
              </w:rPr>
              <w:t>Designation of Accountant 17a-5 and Amendments</w:t>
            </w:r>
          </w:p>
        </w:tc>
        <w:tc>
          <w:tcPr>
            <w:tcW w:w="985" w:type="dxa"/>
          </w:tcPr>
          <w:p w14:paraId="0FCE0751" w14:textId="77777777" w:rsidR="000C099C" w:rsidRDefault="000C099C">
            <w:pPr>
              <w:jc w:val="center"/>
              <w:rPr>
                <w:sz w:val="24"/>
              </w:rPr>
            </w:pPr>
          </w:p>
        </w:tc>
        <w:tc>
          <w:tcPr>
            <w:tcW w:w="1046" w:type="dxa"/>
          </w:tcPr>
          <w:p w14:paraId="6DFB6532" w14:textId="77777777" w:rsidR="000C099C" w:rsidRDefault="000C099C">
            <w:pPr>
              <w:jc w:val="center"/>
              <w:rPr>
                <w:sz w:val="24"/>
              </w:rPr>
            </w:pPr>
            <w:r>
              <w:rPr>
                <w:sz w:val="24"/>
              </w:rPr>
              <w:t>P</w:t>
            </w:r>
          </w:p>
        </w:tc>
        <w:tc>
          <w:tcPr>
            <w:tcW w:w="1095" w:type="dxa"/>
          </w:tcPr>
          <w:p w14:paraId="606626E6" w14:textId="77777777" w:rsidR="000C099C" w:rsidRDefault="000C099C">
            <w:pPr>
              <w:jc w:val="center"/>
              <w:rPr>
                <w:sz w:val="24"/>
              </w:rPr>
            </w:pPr>
            <w:r>
              <w:rPr>
                <w:sz w:val="24"/>
              </w:rPr>
              <w:t>P</w:t>
            </w:r>
          </w:p>
        </w:tc>
      </w:tr>
      <w:tr w:rsidR="000C099C" w14:paraId="4B0A26AD" w14:textId="77777777">
        <w:tc>
          <w:tcPr>
            <w:tcW w:w="6342" w:type="dxa"/>
          </w:tcPr>
          <w:p w14:paraId="771B25C6" w14:textId="77777777" w:rsidR="000C099C" w:rsidRDefault="000C099C">
            <w:pPr>
              <w:rPr>
                <w:sz w:val="24"/>
              </w:rPr>
            </w:pPr>
            <w:r>
              <w:rPr>
                <w:sz w:val="24"/>
              </w:rPr>
              <w:t xml:space="preserve">Private Securities Transactions (approvals, correspondence, </w:t>
            </w:r>
            <w:proofErr w:type="spellStart"/>
            <w:r>
              <w:rPr>
                <w:sz w:val="24"/>
              </w:rPr>
              <w:t>etc</w:t>
            </w:r>
            <w:proofErr w:type="spellEnd"/>
            <w:r>
              <w:rPr>
                <w:sz w:val="24"/>
              </w:rPr>
              <w:t>)</w:t>
            </w:r>
          </w:p>
        </w:tc>
        <w:tc>
          <w:tcPr>
            <w:tcW w:w="985" w:type="dxa"/>
          </w:tcPr>
          <w:p w14:paraId="6785054D" w14:textId="77777777" w:rsidR="000C099C" w:rsidRDefault="000C099C">
            <w:pPr>
              <w:jc w:val="center"/>
              <w:rPr>
                <w:sz w:val="24"/>
              </w:rPr>
            </w:pPr>
          </w:p>
        </w:tc>
        <w:tc>
          <w:tcPr>
            <w:tcW w:w="1046" w:type="dxa"/>
          </w:tcPr>
          <w:p w14:paraId="75295C39" w14:textId="77777777" w:rsidR="000C099C" w:rsidRDefault="000C099C">
            <w:pPr>
              <w:jc w:val="center"/>
              <w:rPr>
                <w:sz w:val="24"/>
              </w:rPr>
            </w:pPr>
            <w:r>
              <w:rPr>
                <w:sz w:val="24"/>
              </w:rPr>
              <w:t>3</w:t>
            </w:r>
          </w:p>
        </w:tc>
        <w:tc>
          <w:tcPr>
            <w:tcW w:w="1095" w:type="dxa"/>
          </w:tcPr>
          <w:p w14:paraId="4EC3DD35" w14:textId="77777777" w:rsidR="000C099C" w:rsidRDefault="000C099C">
            <w:pPr>
              <w:jc w:val="center"/>
              <w:rPr>
                <w:sz w:val="24"/>
              </w:rPr>
            </w:pPr>
            <w:r>
              <w:rPr>
                <w:sz w:val="24"/>
              </w:rPr>
              <w:t>2</w:t>
            </w:r>
          </w:p>
        </w:tc>
      </w:tr>
      <w:tr w:rsidR="000C099C" w14:paraId="1FD30006" w14:textId="77777777">
        <w:tc>
          <w:tcPr>
            <w:tcW w:w="6342" w:type="dxa"/>
          </w:tcPr>
          <w:p w14:paraId="5F7A8E51" w14:textId="77777777" w:rsidR="000C099C" w:rsidRDefault="000C099C">
            <w:pPr>
              <w:rPr>
                <w:sz w:val="24"/>
              </w:rPr>
            </w:pPr>
            <w:r>
              <w:rPr>
                <w:sz w:val="24"/>
              </w:rPr>
              <w:t>Transactions with employees of other broker/dealers</w:t>
            </w:r>
          </w:p>
        </w:tc>
        <w:tc>
          <w:tcPr>
            <w:tcW w:w="985" w:type="dxa"/>
          </w:tcPr>
          <w:p w14:paraId="7BB2A099" w14:textId="77777777" w:rsidR="000C099C" w:rsidRDefault="000C099C">
            <w:pPr>
              <w:jc w:val="center"/>
              <w:rPr>
                <w:sz w:val="24"/>
              </w:rPr>
            </w:pPr>
          </w:p>
        </w:tc>
        <w:tc>
          <w:tcPr>
            <w:tcW w:w="1046" w:type="dxa"/>
          </w:tcPr>
          <w:p w14:paraId="0EC8125C" w14:textId="77777777" w:rsidR="000C099C" w:rsidRDefault="000C099C">
            <w:pPr>
              <w:jc w:val="center"/>
              <w:rPr>
                <w:sz w:val="24"/>
              </w:rPr>
            </w:pPr>
            <w:r>
              <w:rPr>
                <w:sz w:val="24"/>
              </w:rPr>
              <w:t>3</w:t>
            </w:r>
          </w:p>
        </w:tc>
        <w:tc>
          <w:tcPr>
            <w:tcW w:w="1095" w:type="dxa"/>
          </w:tcPr>
          <w:p w14:paraId="2C7501CE" w14:textId="77777777" w:rsidR="000C099C" w:rsidRDefault="000C099C">
            <w:pPr>
              <w:jc w:val="center"/>
              <w:rPr>
                <w:sz w:val="24"/>
              </w:rPr>
            </w:pPr>
            <w:r>
              <w:rPr>
                <w:sz w:val="24"/>
              </w:rPr>
              <w:t>2</w:t>
            </w:r>
          </w:p>
        </w:tc>
      </w:tr>
      <w:tr w:rsidR="000C099C" w14:paraId="44D68A34" w14:textId="77777777">
        <w:tc>
          <w:tcPr>
            <w:tcW w:w="6342" w:type="dxa"/>
          </w:tcPr>
          <w:p w14:paraId="7CB4A4E4" w14:textId="77777777" w:rsidR="000C099C" w:rsidRDefault="000C099C">
            <w:pPr>
              <w:rPr>
                <w:sz w:val="24"/>
              </w:rPr>
            </w:pPr>
            <w:r>
              <w:rPr>
                <w:sz w:val="24"/>
              </w:rPr>
              <w:t>Customer account reviews</w:t>
            </w:r>
          </w:p>
        </w:tc>
        <w:tc>
          <w:tcPr>
            <w:tcW w:w="985" w:type="dxa"/>
          </w:tcPr>
          <w:p w14:paraId="3926C04E" w14:textId="77777777" w:rsidR="000C099C" w:rsidRDefault="000C099C">
            <w:pPr>
              <w:jc w:val="center"/>
              <w:rPr>
                <w:sz w:val="24"/>
              </w:rPr>
            </w:pPr>
          </w:p>
        </w:tc>
        <w:tc>
          <w:tcPr>
            <w:tcW w:w="1046" w:type="dxa"/>
          </w:tcPr>
          <w:p w14:paraId="1EAC4562" w14:textId="77777777" w:rsidR="000C099C" w:rsidRDefault="000C099C">
            <w:pPr>
              <w:jc w:val="center"/>
              <w:rPr>
                <w:sz w:val="24"/>
              </w:rPr>
            </w:pPr>
            <w:r>
              <w:rPr>
                <w:sz w:val="24"/>
              </w:rPr>
              <w:t>3</w:t>
            </w:r>
          </w:p>
        </w:tc>
        <w:tc>
          <w:tcPr>
            <w:tcW w:w="1095" w:type="dxa"/>
          </w:tcPr>
          <w:p w14:paraId="51EE7A4C" w14:textId="77777777" w:rsidR="000C099C" w:rsidRDefault="000C099C">
            <w:pPr>
              <w:jc w:val="center"/>
              <w:rPr>
                <w:sz w:val="24"/>
              </w:rPr>
            </w:pPr>
            <w:r>
              <w:rPr>
                <w:sz w:val="24"/>
              </w:rPr>
              <w:t>2</w:t>
            </w:r>
          </w:p>
        </w:tc>
      </w:tr>
      <w:tr w:rsidR="000C099C" w14:paraId="7ED154E8" w14:textId="77777777">
        <w:tc>
          <w:tcPr>
            <w:tcW w:w="6342" w:type="dxa"/>
          </w:tcPr>
          <w:p w14:paraId="7580C980" w14:textId="77777777" w:rsidR="000C099C" w:rsidRDefault="000C099C">
            <w:pPr>
              <w:rPr>
                <w:sz w:val="24"/>
              </w:rPr>
            </w:pPr>
            <w:r>
              <w:rPr>
                <w:sz w:val="24"/>
              </w:rPr>
              <w:t>Reports for Unusual Activity in Customer Accounts</w:t>
            </w:r>
          </w:p>
        </w:tc>
        <w:tc>
          <w:tcPr>
            <w:tcW w:w="985" w:type="dxa"/>
          </w:tcPr>
          <w:p w14:paraId="68BF20D1" w14:textId="77777777" w:rsidR="000C099C" w:rsidRDefault="000C099C">
            <w:pPr>
              <w:jc w:val="center"/>
              <w:rPr>
                <w:sz w:val="24"/>
              </w:rPr>
            </w:pPr>
          </w:p>
        </w:tc>
        <w:tc>
          <w:tcPr>
            <w:tcW w:w="1046" w:type="dxa"/>
          </w:tcPr>
          <w:p w14:paraId="075AF2BB" w14:textId="77777777" w:rsidR="000C099C" w:rsidRDefault="000C099C">
            <w:pPr>
              <w:jc w:val="center"/>
              <w:rPr>
                <w:sz w:val="24"/>
              </w:rPr>
            </w:pPr>
            <w:r>
              <w:rPr>
                <w:sz w:val="24"/>
              </w:rPr>
              <w:t>18  mo.</w:t>
            </w:r>
          </w:p>
        </w:tc>
        <w:tc>
          <w:tcPr>
            <w:tcW w:w="1095" w:type="dxa"/>
          </w:tcPr>
          <w:p w14:paraId="471EACA0" w14:textId="77777777" w:rsidR="000C099C" w:rsidRDefault="000C099C">
            <w:pPr>
              <w:jc w:val="center"/>
              <w:rPr>
                <w:sz w:val="24"/>
              </w:rPr>
            </w:pPr>
            <w:r>
              <w:rPr>
                <w:sz w:val="24"/>
              </w:rPr>
              <w:t>18 mo.</w:t>
            </w:r>
          </w:p>
        </w:tc>
      </w:tr>
      <w:tr w:rsidR="000C099C" w14:paraId="371BA080" w14:textId="77777777">
        <w:tc>
          <w:tcPr>
            <w:tcW w:w="6342" w:type="dxa"/>
          </w:tcPr>
          <w:p w14:paraId="3FB33FDE" w14:textId="77777777" w:rsidR="000C099C" w:rsidRDefault="000C099C">
            <w:pPr>
              <w:rPr>
                <w:sz w:val="24"/>
              </w:rPr>
            </w:pPr>
            <w:r>
              <w:rPr>
                <w:sz w:val="24"/>
              </w:rPr>
              <w:t>Gifts &amp; Gratuities</w:t>
            </w:r>
          </w:p>
        </w:tc>
        <w:tc>
          <w:tcPr>
            <w:tcW w:w="985" w:type="dxa"/>
          </w:tcPr>
          <w:p w14:paraId="5AA5FD97" w14:textId="77777777" w:rsidR="000C099C" w:rsidRDefault="000C099C">
            <w:pPr>
              <w:jc w:val="center"/>
              <w:rPr>
                <w:sz w:val="24"/>
              </w:rPr>
            </w:pPr>
          </w:p>
        </w:tc>
        <w:tc>
          <w:tcPr>
            <w:tcW w:w="1046" w:type="dxa"/>
          </w:tcPr>
          <w:p w14:paraId="2CFE70CF" w14:textId="77777777" w:rsidR="000C099C" w:rsidRDefault="000C099C">
            <w:pPr>
              <w:jc w:val="center"/>
              <w:rPr>
                <w:sz w:val="24"/>
              </w:rPr>
            </w:pPr>
            <w:r>
              <w:rPr>
                <w:sz w:val="24"/>
              </w:rPr>
              <w:t>6</w:t>
            </w:r>
          </w:p>
        </w:tc>
        <w:tc>
          <w:tcPr>
            <w:tcW w:w="1095" w:type="dxa"/>
          </w:tcPr>
          <w:p w14:paraId="383A7EB4" w14:textId="77777777" w:rsidR="000C099C" w:rsidRDefault="000C099C">
            <w:pPr>
              <w:jc w:val="center"/>
              <w:rPr>
                <w:sz w:val="24"/>
              </w:rPr>
            </w:pPr>
            <w:r>
              <w:rPr>
                <w:sz w:val="24"/>
              </w:rPr>
              <w:t>2</w:t>
            </w:r>
          </w:p>
        </w:tc>
      </w:tr>
      <w:tr w:rsidR="000C099C" w14:paraId="36497E8D" w14:textId="77777777">
        <w:tc>
          <w:tcPr>
            <w:tcW w:w="6342" w:type="dxa"/>
          </w:tcPr>
          <w:p w14:paraId="39E91190" w14:textId="77777777" w:rsidR="000C099C" w:rsidRDefault="000C099C">
            <w:pPr>
              <w:rPr>
                <w:sz w:val="24"/>
              </w:rPr>
            </w:pPr>
            <w:r>
              <w:rPr>
                <w:sz w:val="24"/>
              </w:rPr>
              <w:t>AML and related records</w:t>
            </w:r>
          </w:p>
        </w:tc>
        <w:tc>
          <w:tcPr>
            <w:tcW w:w="985" w:type="dxa"/>
          </w:tcPr>
          <w:p w14:paraId="3D538A98" w14:textId="77777777" w:rsidR="000C099C" w:rsidRDefault="000C099C">
            <w:pPr>
              <w:jc w:val="center"/>
              <w:rPr>
                <w:sz w:val="24"/>
              </w:rPr>
            </w:pPr>
          </w:p>
        </w:tc>
        <w:tc>
          <w:tcPr>
            <w:tcW w:w="1046" w:type="dxa"/>
          </w:tcPr>
          <w:p w14:paraId="48F8B56C" w14:textId="77777777" w:rsidR="000C099C" w:rsidRDefault="000C099C">
            <w:pPr>
              <w:jc w:val="center"/>
              <w:rPr>
                <w:sz w:val="24"/>
              </w:rPr>
            </w:pPr>
            <w:r>
              <w:rPr>
                <w:sz w:val="24"/>
              </w:rPr>
              <w:t>5</w:t>
            </w:r>
          </w:p>
        </w:tc>
        <w:tc>
          <w:tcPr>
            <w:tcW w:w="1095" w:type="dxa"/>
          </w:tcPr>
          <w:p w14:paraId="0854BFA9" w14:textId="77777777" w:rsidR="000C099C" w:rsidRDefault="000C099C">
            <w:pPr>
              <w:jc w:val="center"/>
              <w:rPr>
                <w:sz w:val="24"/>
              </w:rPr>
            </w:pPr>
          </w:p>
        </w:tc>
      </w:tr>
      <w:tr w:rsidR="00E93270" w14:paraId="2BE4DEA2" w14:textId="77777777">
        <w:tc>
          <w:tcPr>
            <w:tcW w:w="6342" w:type="dxa"/>
          </w:tcPr>
          <w:p w14:paraId="3C88BDFD" w14:textId="29C88068" w:rsidR="00E93270" w:rsidRPr="00E31E45" w:rsidRDefault="00712CD5">
            <w:pPr>
              <w:rPr>
                <w:color w:val="000000" w:themeColor="text1"/>
                <w:sz w:val="24"/>
              </w:rPr>
            </w:pPr>
            <w:r w:rsidRPr="00E31E45">
              <w:rPr>
                <w:color w:val="000000" w:themeColor="text1"/>
                <w:sz w:val="24"/>
              </w:rPr>
              <w:t>Clock Synchronization records</w:t>
            </w:r>
          </w:p>
        </w:tc>
        <w:tc>
          <w:tcPr>
            <w:tcW w:w="985" w:type="dxa"/>
          </w:tcPr>
          <w:p w14:paraId="64ED79C9" w14:textId="77777777" w:rsidR="00E93270" w:rsidRPr="00712CD5" w:rsidRDefault="00E93270">
            <w:pPr>
              <w:jc w:val="center"/>
              <w:rPr>
                <w:color w:val="FF0000"/>
                <w:sz w:val="24"/>
              </w:rPr>
            </w:pPr>
          </w:p>
        </w:tc>
        <w:tc>
          <w:tcPr>
            <w:tcW w:w="1046" w:type="dxa"/>
          </w:tcPr>
          <w:p w14:paraId="0565FCEC" w14:textId="0BF2D39A" w:rsidR="00E93270" w:rsidRPr="00E31E45" w:rsidRDefault="00712CD5">
            <w:pPr>
              <w:jc w:val="center"/>
              <w:rPr>
                <w:color w:val="000000" w:themeColor="text1"/>
                <w:sz w:val="24"/>
              </w:rPr>
            </w:pPr>
            <w:r w:rsidRPr="00E31E45">
              <w:rPr>
                <w:color w:val="000000" w:themeColor="text1"/>
                <w:sz w:val="24"/>
              </w:rPr>
              <w:t>3</w:t>
            </w:r>
          </w:p>
        </w:tc>
        <w:tc>
          <w:tcPr>
            <w:tcW w:w="1095" w:type="dxa"/>
          </w:tcPr>
          <w:p w14:paraId="34A4A89A" w14:textId="7FAFF5F1" w:rsidR="00E93270" w:rsidRPr="00E31E45" w:rsidRDefault="00712CD5">
            <w:pPr>
              <w:jc w:val="center"/>
              <w:rPr>
                <w:color w:val="000000" w:themeColor="text1"/>
                <w:sz w:val="24"/>
              </w:rPr>
            </w:pPr>
            <w:r w:rsidRPr="00E31E45">
              <w:rPr>
                <w:color w:val="000000" w:themeColor="text1"/>
                <w:sz w:val="24"/>
              </w:rPr>
              <w:t>2</w:t>
            </w:r>
          </w:p>
        </w:tc>
      </w:tr>
      <w:tr w:rsidR="000C099C" w14:paraId="09081C7B" w14:textId="77777777">
        <w:trPr>
          <w:cantSplit/>
        </w:trPr>
        <w:tc>
          <w:tcPr>
            <w:tcW w:w="9468" w:type="dxa"/>
            <w:gridSpan w:val="4"/>
            <w:shd w:val="clear" w:color="auto" w:fill="E6E6E6"/>
          </w:tcPr>
          <w:p w14:paraId="063DB9A8" w14:textId="285FFE58" w:rsidR="000C099C" w:rsidRPr="001803F3" w:rsidRDefault="000C099C" w:rsidP="001803F3">
            <w:pPr>
              <w:pStyle w:val="Caption"/>
              <w:rPr>
                <w:sz w:val="24"/>
                <w:szCs w:val="24"/>
              </w:rPr>
            </w:pPr>
            <w:bookmarkStart w:id="156" w:name="_Toc153361394"/>
            <w:bookmarkStart w:id="157" w:name="_Toc153361628"/>
            <w:bookmarkStart w:id="158" w:name="_Toc153373423"/>
            <w:bookmarkStart w:id="159" w:name="_Toc227660765"/>
            <w:bookmarkStart w:id="160" w:name="_Toc227675981"/>
            <w:bookmarkStart w:id="161" w:name="_Toc227820434"/>
            <w:r w:rsidRPr="001803F3">
              <w:rPr>
                <w:sz w:val="24"/>
                <w:szCs w:val="24"/>
              </w:rPr>
              <w:lastRenderedPageBreak/>
              <w:t>Personnel Records</w:t>
            </w:r>
            <w:bookmarkEnd w:id="156"/>
            <w:bookmarkEnd w:id="157"/>
            <w:bookmarkEnd w:id="158"/>
            <w:bookmarkEnd w:id="159"/>
            <w:bookmarkEnd w:id="160"/>
            <w:bookmarkEnd w:id="161"/>
          </w:p>
        </w:tc>
      </w:tr>
      <w:tr w:rsidR="000C099C" w14:paraId="1725A4A8" w14:textId="77777777">
        <w:tc>
          <w:tcPr>
            <w:tcW w:w="6342" w:type="dxa"/>
          </w:tcPr>
          <w:p w14:paraId="173941E0" w14:textId="77777777" w:rsidR="000C099C" w:rsidRDefault="000C099C">
            <w:pPr>
              <w:rPr>
                <w:sz w:val="24"/>
              </w:rPr>
            </w:pPr>
            <w:r>
              <w:rPr>
                <w:sz w:val="24"/>
              </w:rPr>
              <w:t>U-4, U-5,  Employee  and RR Agreements</w:t>
            </w:r>
          </w:p>
        </w:tc>
        <w:tc>
          <w:tcPr>
            <w:tcW w:w="985" w:type="dxa"/>
          </w:tcPr>
          <w:p w14:paraId="0AA0E1C8" w14:textId="77777777" w:rsidR="000C099C" w:rsidRDefault="000C099C">
            <w:pPr>
              <w:jc w:val="center"/>
              <w:rPr>
                <w:sz w:val="24"/>
              </w:rPr>
            </w:pPr>
          </w:p>
        </w:tc>
        <w:tc>
          <w:tcPr>
            <w:tcW w:w="1046" w:type="dxa"/>
          </w:tcPr>
          <w:p w14:paraId="590259FF" w14:textId="06816010" w:rsidR="000C099C" w:rsidRDefault="000C099C">
            <w:pPr>
              <w:rPr>
                <w:sz w:val="18"/>
              </w:rPr>
            </w:pPr>
            <w:r>
              <w:rPr>
                <w:sz w:val="18"/>
              </w:rPr>
              <w:t xml:space="preserve">3 </w:t>
            </w:r>
            <w:r w:rsidR="0012671D">
              <w:rPr>
                <w:sz w:val="18"/>
              </w:rPr>
              <w:t>yrs.</w:t>
            </w:r>
            <w:r>
              <w:rPr>
                <w:sz w:val="18"/>
              </w:rPr>
              <w:t xml:space="preserve"> after termination</w:t>
            </w:r>
          </w:p>
        </w:tc>
        <w:tc>
          <w:tcPr>
            <w:tcW w:w="1095" w:type="dxa"/>
          </w:tcPr>
          <w:p w14:paraId="4A436926" w14:textId="77777777" w:rsidR="000C099C" w:rsidRDefault="000C099C">
            <w:pPr>
              <w:jc w:val="center"/>
              <w:rPr>
                <w:sz w:val="18"/>
              </w:rPr>
            </w:pPr>
            <w:r>
              <w:rPr>
                <w:sz w:val="18"/>
              </w:rPr>
              <w:t>Access now</w:t>
            </w:r>
          </w:p>
        </w:tc>
      </w:tr>
      <w:tr w:rsidR="000C099C" w14:paraId="2E35D8BB" w14:textId="77777777">
        <w:tc>
          <w:tcPr>
            <w:tcW w:w="6342" w:type="dxa"/>
          </w:tcPr>
          <w:p w14:paraId="1A2A904F" w14:textId="77777777" w:rsidR="000C099C" w:rsidRDefault="000C099C">
            <w:pPr>
              <w:rPr>
                <w:sz w:val="24"/>
              </w:rPr>
            </w:pPr>
            <w:r>
              <w:rPr>
                <w:sz w:val="24"/>
              </w:rPr>
              <w:t>Fingerprints or CRD notices</w:t>
            </w:r>
          </w:p>
        </w:tc>
        <w:tc>
          <w:tcPr>
            <w:tcW w:w="985" w:type="dxa"/>
          </w:tcPr>
          <w:p w14:paraId="6DEEE0EB" w14:textId="77777777" w:rsidR="000C099C" w:rsidRDefault="000C099C">
            <w:pPr>
              <w:jc w:val="center"/>
              <w:rPr>
                <w:sz w:val="24"/>
              </w:rPr>
            </w:pPr>
          </w:p>
        </w:tc>
        <w:tc>
          <w:tcPr>
            <w:tcW w:w="1046" w:type="dxa"/>
          </w:tcPr>
          <w:p w14:paraId="00377662" w14:textId="7827BEFA" w:rsidR="000C099C" w:rsidRDefault="000C099C">
            <w:pPr>
              <w:rPr>
                <w:sz w:val="18"/>
              </w:rPr>
            </w:pPr>
            <w:r>
              <w:rPr>
                <w:sz w:val="18"/>
              </w:rPr>
              <w:t xml:space="preserve">3 </w:t>
            </w:r>
            <w:r w:rsidR="0012671D">
              <w:rPr>
                <w:sz w:val="18"/>
              </w:rPr>
              <w:t>yrs.</w:t>
            </w:r>
            <w:r>
              <w:rPr>
                <w:sz w:val="18"/>
              </w:rPr>
              <w:t xml:space="preserve"> after terminat</w:t>
            </w:r>
            <w:r w:rsidR="00202CD9">
              <w:rPr>
                <w:sz w:val="18"/>
              </w:rPr>
              <w:t>io</w:t>
            </w:r>
            <w:r>
              <w:rPr>
                <w:sz w:val="18"/>
              </w:rPr>
              <w:t>n</w:t>
            </w:r>
          </w:p>
        </w:tc>
        <w:tc>
          <w:tcPr>
            <w:tcW w:w="1095" w:type="dxa"/>
          </w:tcPr>
          <w:p w14:paraId="6AC54D5D" w14:textId="77777777" w:rsidR="000C099C" w:rsidRDefault="000C099C">
            <w:r>
              <w:rPr>
                <w:sz w:val="18"/>
              </w:rPr>
              <w:t>Access now</w:t>
            </w:r>
          </w:p>
        </w:tc>
      </w:tr>
      <w:tr w:rsidR="000C099C" w14:paraId="6F474360" w14:textId="77777777">
        <w:tc>
          <w:tcPr>
            <w:tcW w:w="6342" w:type="dxa"/>
          </w:tcPr>
          <w:p w14:paraId="62C84E08" w14:textId="77777777" w:rsidR="000C099C" w:rsidRDefault="000C099C">
            <w:pPr>
              <w:rPr>
                <w:sz w:val="24"/>
              </w:rPr>
            </w:pPr>
            <w:r>
              <w:rPr>
                <w:sz w:val="24"/>
              </w:rPr>
              <w:t>All claimed fingerprint exemptions</w:t>
            </w:r>
          </w:p>
        </w:tc>
        <w:tc>
          <w:tcPr>
            <w:tcW w:w="985" w:type="dxa"/>
          </w:tcPr>
          <w:p w14:paraId="3966696A" w14:textId="77777777" w:rsidR="000C099C" w:rsidRDefault="000C099C">
            <w:pPr>
              <w:jc w:val="center"/>
              <w:rPr>
                <w:sz w:val="24"/>
              </w:rPr>
            </w:pPr>
          </w:p>
        </w:tc>
        <w:tc>
          <w:tcPr>
            <w:tcW w:w="1046" w:type="dxa"/>
          </w:tcPr>
          <w:p w14:paraId="28E6DF8D" w14:textId="412F687E" w:rsidR="000C099C" w:rsidRDefault="000C099C">
            <w:pPr>
              <w:rPr>
                <w:sz w:val="18"/>
              </w:rPr>
            </w:pPr>
            <w:r>
              <w:rPr>
                <w:sz w:val="18"/>
              </w:rPr>
              <w:t xml:space="preserve">3 </w:t>
            </w:r>
            <w:r w:rsidR="0012671D">
              <w:rPr>
                <w:sz w:val="18"/>
              </w:rPr>
              <w:t>yrs.</w:t>
            </w:r>
            <w:r>
              <w:rPr>
                <w:sz w:val="18"/>
              </w:rPr>
              <w:t xml:space="preserve"> after terminat</w:t>
            </w:r>
            <w:r w:rsidR="00202CD9">
              <w:rPr>
                <w:sz w:val="18"/>
              </w:rPr>
              <w:t>io</w:t>
            </w:r>
            <w:r>
              <w:rPr>
                <w:sz w:val="18"/>
              </w:rPr>
              <w:t>n</w:t>
            </w:r>
          </w:p>
        </w:tc>
        <w:tc>
          <w:tcPr>
            <w:tcW w:w="1095" w:type="dxa"/>
          </w:tcPr>
          <w:p w14:paraId="3C1AE81C" w14:textId="77777777" w:rsidR="000C099C" w:rsidRDefault="000C099C">
            <w:r>
              <w:rPr>
                <w:sz w:val="18"/>
              </w:rPr>
              <w:t>Access now</w:t>
            </w:r>
          </w:p>
        </w:tc>
      </w:tr>
      <w:tr w:rsidR="000C099C" w14:paraId="5878AA4B" w14:textId="77777777">
        <w:tc>
          <w:tcPr>
            <w:tcW w:w="6342" w:type="dxa"/>
          </w:tcPr>
          <w:p w14:paraId="1BF0A579" w14:textId="77777777" w:rsidR="000C099C" w:rsidRDefault="000C099C">
            <w:pPr>
              <w:rPr>
                <w:sz w:val="24"/>
              </w:rPr>
            </w:pPr>
            <w:r>
              <w:rPr>
                <w:sz w:val="24"/>
              </w:rPr>
              <w:t>CRD U-4 Status Report</w:t>
            </w:r>
          </w:p>
        </w:tc>
        <w:tc>
          <w:tcPr>
            <w:tcW w:w="985" w:type="dxa"/>
          </w:tcPr>
          <w:p w14:paraId="7A08E680" w14:textId="77777777" w:rsidR="000C099C" w:rsidRDefault="000C099C">
            <w:pPr>
              <w:jc w:val="center"/>
              <w:rPr>
                <w:sz w:val="24"/>
              </w:rPr>
            </w:pPr>
          </w:p>
        </w:tc>
        <w:tc>
          <w:tcPr>
            <w:tcW w:w="1046" w:type="dxa"/>
          </w:tcPr>
          <w:p w14:paraId="427FAAA5" w14:textId="13C51B46" w:rsidR="000C099C" w:rsidRDefault="000C099C">
            <w:pPr>
              <w:rPr>
                <w:sz w:val="18"/>
              </w:rPr>
            </w:pPr>
            <w:r>
              <w:rPr>
                <w:sz w:val="18"/>
              </w:rPr>
              <w:t xml:space="preserve">3 </w:t>
            </w:r>
            <w:r w:rsidR="0012671D">
              <w:rPr>
                <w:sz w:val="18"/>
              </w:rPr>
              <w:t>yrs.</w:t>
            </w:r>
            <w:r>
              <w:rPr>
                <w:sz w:val="18"/>
              </w:rPr>
              <w:t xml:space="preserve"> after terminat</w:t>
            </w:r>
            <w:r w:rsidR="00202CD9">
              <w:rPr>
                <w:sz w:val="18"/>
              </w:rPr>
              <w:t>io</w:t>
            </w:r>
            <w:r>
              <w:rPr>
                <w:sz w:val="18"/>
              </w:rPr>
              <w:t>n</w:t>
            </w:r>
          </w:p>
        </w:tc>
        <w:tc>
          <w:tcPr>
            <w:tcW w:w="1095" w:type="dxa"/>
          </w:tcPr>
          <w:p w14:paraId="36C25661" w14:textId="77777777" w:rsidR="000C099C" w:rsidRDefault="000C099C">
            <w:r>
              <w:rPr>
                <w:sz w:val="18"/>
              </w:rPr>
              <w:t>Access now</w:t>
            </w:r>
          </w:p>
        </w:tc>
      </w:tr>
      <w:tr w:rsidR="000C099C" w14:paraId="340DEA03" w14:textId="77777777">
        <w:tc>
          <w:tcPr>
            <w:tcW w:w="6342" w:type="dxa"/>
          </w:tcPr>
          <w:p w14:paraId="2829DE08" w14:textId="77777777" w:rsidR="000C099C" w:rsidRDefault="000C099C">
            <w:pPr>
              <w:rPr>
                <w:sz w:val="24"/>
              </w:rPr>
            </w:pPr>
            <w:r>
              <w:rPr>
                <w:sz w:val="24"/>
              </w:rPr>
              <w:t>U-5 Status Report</w:t>
            </w:r>
          </w:p>
        </w:tc>
        <w:tc>
          <w:tcPr>
            <w:tcW w:w="985" w:type="dxa"/>
          </w:tcPr>
          <w:p w14:paraId="6937AA20" w14:textId="77777777" w:rsidR="000C099C" w:rsidRDefault="000C099C">
            <w:pPr>
              <w:jc w:val="center"/>
              <w:rPr>
                <w:sz w:val="24"/>
              </w:rPr>
            </w:pPr>
          </w:p>
        </w:tc>
        <w:tc>
          <w:tcPr>
            <w:tcW w:w="1046" w:type="dxa"/>
          </w:tcPr>
          <w:p w14:paraId="178689EF" w14:textId="44D39A7F" w:rsidR="000C099C" w:rsidRDefault="000C099C">
            <w:pPr>
              <w:rPr>
                <w:sz w:val="18"/>
              </w:rPr>
            </w:pPr>
            <w:r>
              <w:rPr>
                <w:sz w:val="18"/>
              </w:rPr>
              <w:t xml:space="preserve">3 </w:t>
            </w:r>
            <w:r w:rsidR="0012671D">
              <w:rPr>
                <w:sz w:val="18"/>
              </w:rPr>
              <w:t>yrs.</w:t>
            </w:r>
            <w:r>
              <w:rPr>
                <w:sz w:val="18"/>
              </w:rPr>
              <w:t xml:space="preserve"> after terminat</w:t>
            </w:r>
            <w:r w:rsidR="00202CD9">
              <w:rPr>
                <w:sz w:val="18"/>
              </w:rPr>
              <w:t>io</w:t>
            </w:r>
            <w:r>
              <w:rPr>
                <w:sz w:val="18"/>
              </w:rPr>
              <w:t>n</w:t>
            </w:r>
          </w:p>
        </w:tc>
        <w:tc>
          <w:tcPr>
            <w:tcW w:w="1095" w:type="dxa"/>
          </w:tcPr>
          <w:p w14:paraId="1F66566A" w14:textId="77777777" w:rsidR="000C099C" w:rsidRDefault="000C099C">
            <w:r>
              <w:rPr>
                <w:sz w:val="18"/>
              </w:rPr>
              <w:t>Access now</w:t>
            </w:r>
          </w:p>
        </w:tc>
      </w:tr>
      <w:tr w:rsidR="000C099C" w14:paraId="6C8F1BDE" w14:textId="77777777">
        <w:tc>
          <w:tcPr>
            <w:tcW w:w="6342" w:type="dxa"/>
          </w:tcPr>
          <w:p w14:paraId="14D75633" w14:textId="77777777" w:rsidR="000C099C" w:rsidRDefault="000C099C">
            <w:pPr>
              <w:rPr>
                <w:sz w:val="24"/>
              </w:rPr>
            </w:pPr>
            <w:r>
              <w:rPr>
                <w:sz w:val="24"/>
              </w:rPr>
              <w:t>Employment Applications</w:t>
            </w:r>
          </w:p>
        </w:tc>
        <w:tc>
          <w:tcPr>
            <w:tcW w:w="985" w:type="dxa"/>
          </w:tcPr>
          <w:p w14:paraId="2412A597" w14:textId="77777777" w:rsidR="000C099C" w:rsidRDefault="000C099C">
            <w:pPr>
              <w:jc w:val="center"/>
              <w:rPr>
                <w:sz w:val="24"/>
              </w:rPr>
            </w:pPr>
          </w:p>
        </w:tc>
        <w:tc>
          <w:tcPr>
            <w:tcW w:w="1046" w:type="dxa"/>
          </w:tcPr>
          <w:p w14:paraId="7A675B22" w14:textId="7D147373" w:rsidR="000C099C" w:rsidRDefault="000C099C">
            <w:pPr>
              <w:rPr>
                <w:sz w:val="18"/>
              </w:rPr>
            </w:pPr>
            <w:r>
              <w:rPr>
                <w:sz w:val="18"/>
              </w:rPr>
              <w:t xml:space="preserve">3 </w:t>
            </w:r>
            <w:r w:rsidR="0012671D">
              <w:rPr>
                <w:sz w:val="18"/>
              </w:rPr>
              <w:t>yrs.</w:t>
            </w:r>
            <w:r>
              <w:rPr>
                <w:sz w:val="18"/>
              </w:rPr>
              <w:t xml:space="preserve"> after terminati</w:t>
            </w:r>
            <w:r w:rsidR="00202CD9">
              <w:rPr>
                <w:sz w:val="18"/>
              </w:rPr>
              <w:t>on</w:t>
            </w:r>
          </w:p>
        </w:tc>
        <w:tc>
          <w:tcPr>
            <w:tcW w:w="1095" w:type="dxa"/>
          </w:tcPr>
          <w:p w14:paraId="6A2019EA" w14:textId="77777777" w:rsidR="000C099C" w:rsidRDefault="000C099C">
            <w:r>
              <w:rPr>
                <w:sz w:val="18"/>
              </w:rPr>
              <w:t>Access now</w:t>
            </w:r>
          </w:p>
        </w:tc>
      </w:tr>
      <w:tr w:rsidR="000C099C" w14:paraId="5FC4565C" w14:textId="77777777">
        <w:trPr>
          <w:cantSplit/>
        </w:trPr>
        <w:tc>
          <w:tcPr>
            <w:tcW w:w="9468" w:type="dxa"/>
            <w:gridSpan w:val="4"/>
            <w:shd w:val="clear" w:color="auto" w:fill="E6E6E6"/>
          </w:tcPr>
          <w:p w14:paraId="492D0923" w14:textId="28F87958" w:rsidR="000C099C" w:rsidRPr="001803F3" w:rsidRDefault="000C099C" w:rsidP="001803F3">
            <w:pPr>
              <w:pStyle w:val="Caption"/>
              <w:rPr>
                <w:sz w:val="24"/>
                <w:szCs w:val="24"/>
              </w:rPr>
            </w:pPr>
            <w:bookmarkStart w:id="162" w:name="_Toc153361395"/>
            <w:bookmarkStart w:id="163" w:name="_Toc153361629"/>
            <w:bookmarkStart w:id="164" w:name="_Toc153373424"/>
            <w:bookmarkStart w:id="165" w:name="_Toc227660766"/>
            <w:bookmarkStart w:id="166" w:name="_Toc227675982"/>
            <w:bookmarkStart w:id="167" w:name="_Toc227820435"/>
            <w:r w:rsidRPr="001803F3">
              <w:rPr>
                <w:sz w:val="24"/>
                <w:szCs w:val="24"/>
              </w:rPr>
              <w:t>Regulatory</w:t>
            </w:r>
            <w:bookmarkEnd w:id="162"/>
            <w:bookmarkEnd w:id="163"/>
            <w:bookmarkEnd w:id="164"/>
            <w:bookmarkEnd w:id="165"/>
            <w:bookmarkEnd w:id="166"/>
            <w:bookmarkEnd w:id="167"/>
          </w:p>
        </w:tc>
      </w:tr>
      <w:tr w:rsidR="000C099C" w14:paraId="3905C273" w14:textId="77777777">
        <w:tc>
          <w:tcPr>
            <w:tcW w:w="6342" w:type="dxa"/>
          </w:tcPr>
          <w:p w14:paraId="0A31EEAD" w14:textId="77777777" w:rsidR="000C099C" w:rsidRPr="000C099C" w:rsidRDefault="000C099C">
            <w:pPr>
              <w:rPr>
                <w:b/>
                <w:bCs/>
                <w:sz w:val="24"/>
              </w:rPr>
            </w:pPr>
            <w:r w:rsidRPr="000C099C">
              <w:rPr>
                <w:b/>
                <w:bCs/>
                <w:sz w:val="24"/>
              </w:rPr>
              <w:t>FINRA:</w:t>
            </w:r>
          </w:p>
        </w:tc>
        <w:tc>
          <w:tcPr>
            <w:tcW w:w="985" w:type="dxa"/>
          </w:tcPr>
          <w:p w14:paraId="389E21DD" w14:textId="77777777" w:rsidR="000C099C" w:rsidRDefault="000C099C">
            <w:pPr>
              <w:jc w:val="center"/>
              <w:rPr>
                <w:sz w:val="24"/>
              </w:rPr>
            </w:pPr>
          </w:p>
        </w:tc>
        <w:tc>
          <w:tcPr>
            <w:tcW w:w="1046" w:type="dxa"/>
          </w:tcPr>
          <w:p w14:paraId="2585EBE9" w14:textId="77777777" w:rsidR="000C099C" w:rsidRDefault="000C099C">
            <w:pPr>
              <w:jc w:val="center"/>
              <w:rPr>
                <w:sz w:val="24"/>
              </w:rPr>
            </w:pPr>
          </w:p>
        </w:tc>
        <w:tc>
          <w:tcPr>
            <w:tcW w:w="1095" w:type="dxa"/>
          </w:tcPr>
          <w:p w14:paraId="1DB80E35" w14:textId="77777777" w:rsidR="000C099C" w:rsidRDefault="000C099C">
            <w:pPr>
              <w:jc w:val="center"/>
              <w:rPr>
                <w:sz w:val="24"/>
              </w:rPr>
            </w:pPr>
          </w:p>
        </w:tc>
      </w:tr>
      <w:tr w:rsidR="000C099C" w14:paraId="640A13A3" w14:textId="77777777">
        <w:tc>
          <w:tcPr>
            <w:tcW w:w="6342" w:type="dxa"/>
          </w:tcPr>
          <w:p w14:paraId="2D017C49" w14:textId="77777777" w:rsidR="000C099C" w:rsidRPr="000C099C" w:rsidRDefault="000C099C" w:rsidP="001A587F">
            <w:pPr>
              <w:pStyle w:val="Heading4"/>
            </w:pPr>
            <w:r w:rsidRPr="000C099C">
              <w:t xml:space="preserve">    </w:t>
            </w:r>
            <w:bookmarkStart w:id="168" w:name="_Toc153361396"/>
            <w:r w:rsidRPr="000C099C">
              <w:t>Restriction Letter</w:t>
            </w:r>
            <w:bookmarkEnd w:id="168"/>
          </w:p>
        </w:tc>
        <w:tc>
          <w:tcPr>
            <w:tcW w:w="985" w:type="dxa"/>
          </w:tcPr>
          <w:p w14:paraId="2D09D370" w14:textId="77777777" w:rsidR="000C099C" w:rsidRDefault="000C099C">
            <w:pPr>
              <w:jc w:val="center"/>
              <w:rPr>
                <w:sz w:val="24"/>
              </w:rPr>
            </w:pPr>
          </w:p>
        </w:tc>
        <w:tc>
          <w:tcPr>
            <w:tcW w:w="1046" w:type="dxa"/>
          </w:tcPr>
          <w:p w14:paraId="6D013E23" w14:textId="77777777" w:rsidR="000C099C" w:rsidRDefault="000C099C">
            <w:pPr>
              <w:jc w:val="center"/>
              <w:rPr>
                <w:sz w:val="24"/>
              </w:rPr>
            </w:pPr>
            <w:r>
              <w:rPr>
                <w:sz w:val="24"/>
              </w:rPr>
              <w:t>P</w:t>
            </w:r>
          </w:p>
        </w:tc>
        <w:tc>
          <w:tcPr>
            <w:tcW w:w="1095" w:type="dxa"/>
          </w:tcPr>
          <w:p w14:paraId="63B9A55F" w14:textId="77777777" w:rsidR="000C099C" w:rsidRDefault="000C099C">
            <w:pPr>
              <w:jc w:val="center"/>
              <w:rPr>
                <w:sz w:val="24"/>
              </w:rPr>
            </w:pPr>
            <w:r>
              <w:rPr>
                <w:sz w:val="24"/>
              </w:rPr>
              <w:t>P</w:t>
            </w:r>
          </w:p>
        </w:tc>
      </w:tr>
      <w:tr w:rsidR="000C099C" w14:paraId="010021E0" w14:textId="77777777">
        <w:tc>
          <w:tcPr>
            <w:tcW w:w="6342" w:type="dxa"/>
          </w:tcPr>
          <w:p w14:paraId="71A04428" w14:textId="77777777" w:rsidR="000C099C" w:rsidRPr="000C099C" w:rsidRDefault="000C099C">
            <w:pPr>
              <w:rPr>
                <w:sz w:val="24"/>
              </w:rPr>
            </w:pPr>
            <w:r w:rsidRPr="000C099C">
              <w:rPr>
                <w:sz w:val="24"/>
              </w:rPr>
              <w:t xml:space="preserve">     Exit Interview</w:t>
            </w:r>
          </w:p>
        </w:tc>
        <w:tc>
          <w:tcPr>
            <w:tcW w:w="985" w:type="dxa"/>
          </w:tcPr>
          <w:p w14:paraId="2C639A9C" w14:textId="77777777" w:rsidR="000C099C" w:rsidRDefault="000C099C">
            <w:pPr>
              <w:jc w:val="center"/>
              <w:rPr>
                <w:sz w:val="24"/>
              </w:rPr>
            </w:pPr>
          </w:p>
        </w:tc>
        <w:tc>
          <w:tcPr>
            <w:tcW w:w="1046" w:type="dxa"/>
          </w:tcPr>
          <w:p w14:paraId="042F11B1" w14:textId="77777777" w:rsidR="000C099C" w:rsidRDefault="000C099C">
            <w:pPr>
              <w:jc w:val="center"/>
              <w:rPr>
                <w:sz w:val="24"/>
              </w:rPr>
            </w:pPr>
            <w:r>
              <w:rPr>
                <w:sz w:val="24"/>
              </w:rPr>
              <w:t>P</w:t>
            </w:r>
          </w:p>
        </w:tc>
        <w:tc>
          <w:tcPr>
            <w:tcW w:w="1095" w:type="dxa"/>
          </w:tcPr>
          <w:p w14:paraId="1CC65D90" w14:textId="77777777" w:rsidR="000C099C" w:rsidRDefault="000C099C">
            <w:pPr>
              <w:jc w:val="center"/>
              <w:rPr>
                <w:sz w:val="24"/>
              </w:rPr>
            </w:pPr>
            <w:r>
              <w:rPr>
                <w:sz w:val="24"/>
              </w:rPr>
              <w:t>2</w:t>
            </w:r>
          </w:p>
        </w:tc>
      </w:tr>
      <w:tr w:rsidR="000C099C" w14:paraId="49C18BBC" w14:textId="77777777">
        <w:tc>
          <w:tcPr>
            <w:tcW w:w="6342" w:type="dxa"/>
          </w:tcPr>
          <w:p w14:paraId="7D204991" w14:textId="77777777" w:rsidR="000C099C" w:rsidRPr="000C099C" w:rsidRDefault="000C099C">
            <w:pPr>
              <w:rPr>
                <w:sz w:val="24"/>
              </w:rPr>
            </w:pPr>
            <w:r w:rsidRPr="000C099C">
              <w:rPr>
                <w:sz w:val="24"/>
              </w:rPr>
              <w:t xml:space="preserve">     Exam Letters</w:t>
            </w:r>
          </w:p>
        </w:tc>
        <w:tc>
          <w:tcPr>
            <w:tcW w:w="985" w:type="dxa"/>
          </w:tcPr>
          <w:p w14:paraId="5AB32C8C" w14:textId="77777777" w:rsidR="000C099C" w:rsidRDefault="000C099C">
            <w:pPr>
              <w:jc w:val="center"/>
              <w:rPr>
                <w:sz w:val="24"/>
              </w:rPr>
            </w:pPr>
          </w:p>
        </w:tc>
        <w:tc>
          <w:tcPr>
            <w:tcW w:w="1046" w:type="dxa"/>
          </w:tcPr>
          <w:p w14:paraId="26C0D964" w14:textId="77777777" w:rsidR="000C099C" w:rsidRDefault="000C099C">
            <w:pPr>
              <w:jc w:val="center"/>
              <w:rPr>
                <w:sz w:val="24"/>
              </w:rPr>
            </w:pPr>
            <w:r>
              <w:rPr>
                <w:sz w:val="24"/>
              </w:rPr>
              <w:t>P</w:t>
            </w:r>
          </w:p>
        </w:tc>
        <w:tc>
          <w:tcPr>
            <w:tcW w:w="1095" w:type="dxa"/>
          </w:tcPr>
          <w:p w14:paraId="4F60A5B2" w14:textId="77777777" w:rsidR="000C099C" w:rsidRDefault="000C099C">
            <w:pPr>
              <w:jc w:val="center"/>
              <w:rPr>
                <w:sz w:val="24"/>
              </w:rPr>
            </w:pPr>
            <w:r>
              <w:rPr>
                <w:sz w:val="24"/>
              </w:rPr>
              <w:t>2</w:t>
            </w:r>
          </w:p>
        </w:tc>
      </w:tr>
      <w:tr w:rsidR="000C099C" w14:paraId="0FC2E43F" w14:textId="77777777">
        <w:tc>
          <w:tcPr>
            <w:tcW w:w="6342" w:type="dxa"/>
          </w:tcPr>
          <w:p w14:paraId="211A7E9F" w14:textId="77777777" w:rsidR="000C099C" w:rsidRDefault="000C099C">
            <w:pPr>
              <w:rPr>
                <w:sz w:val="24"/>
              </w:rPr>
            </w:pPr>
            <w:r>
              <w:rPr>
                <w:sz w:val="24"/>
              </w:rPr>
              <w:t xml:space="preserve">     Disciplinary Action </w:t>
            </w:r>
          </w:p>
        </w:tc>
        <w:tc>
          <w:tcPr>
            <w:tcW w:w="985" w:type="dxa"/>
          </w:tcPr>
          <w:p w14:paraId="10784CA4" w14:textId="77777777" w:rsidR="000C099C" w:rsidRDefault="000C099C">
            <w:pPr>
              <w:jc w:val="center"/>
              <w:rPr>
                <w:sz w:val="24"/>
              </w:rPr>
            </w:pPr>
          </w:p>
        </w:tc>
        <w:tc>
          <w:tcPr>
            <w:tcW w:w="1046" w:type="dxa"/>
          </w:tcPr>
          <w:p w14:paraId="7220EFDD" w14:textId="77777777" w:rsidR="000C099C" w:rsidRDefault="000C099C">
            <w:pPr>
              <w:jc w:val="center"/>
              <w:rPr>
                <w:sz w:val="24"/>
              </w:rPr>
            </w:pPr>
            <w:r>
              <w:rPr>
                <w:sz w:val="24"/>
              </w:rPr>
              <w:t>P</w:t>
            </w:r>
          </w:p>
        </w:tc>
        <w:tc>
          <w:tcPr>
            <w:tcW w:w="1095" w:type="dxa"/>
          </w:tcPr>
          <w:p w14:paraId="749EEBA4" w14:textId="77777777" w:rsidR="000C099C" w:rsidRDefault="000C099C">
            <w:pPr>
              <w:jc w:val="center"/>
              <w:rPr>
                <w:sz w:val="24"/>
              </w:rPr>
            </w:pPr>
            <w:r>
              <w:rPr>
                <w:sz w:val="24"/>
              </w:rPr>
              <w:t>P</w:t>
            </w:r>
          </w:p>
        </w:tc>
      </w:tr>
      <w:tr w:rsidR="000C099C" w14:paraId="1433BBAF" w14:textId="77777777">
        <w:tc>
          <w:tcPr>
            <w:tcW w:w="6342" w:type="dxa"/>
          </w:tcPr>
          <w:p w14:paraId="42BB0D7E" w14:textId="77777777" w:rsidR="000C099C" w:rsidRDefault="000C099C">
            <w:pPr>
              <w:rPr>
                <w:sz w:val="24"/>
              </w:rPr>
            </w:pPr>
            <w:r>
              <w:rPr>
                <w:sz w:val="24"/>
              </w:rPr>
              <w:t xml:space="preserve">     Original Application</w:t>
            </w:r>
          </w:p>
        </w:tc>
        <w:tc>
          <w:tcPr>
            <w:tcW w:w="985" w:type="dxa"/>
          </w:tcPr>
          <w:p w14:paraId="1D0174FD" w14:textId="77777777" w:rsidR="000C099C" w:rsidRDefault="000C099C">
            <w:pPr>
              <w:jc w:val="center"/>
              <w:rPr>
                <w:sz w:val="24"/>
              </w:rPr>
            </w:pPr>
          </w:p>
        </w:tc>
        <w:tc>
          <w:tcPr>
            <w:tcW w:w="1046" w:type="dxa"/>
          </w:tcPr>
          <w:p w14:paraId="5BF1DC0F" w14:textId="77777777" w:rsidR="000C099C" w:rsidRDefault="000C099C">
            <w:pPr>
              <w:jc w:val="center"/>
              <w:rPr>
                <w:sz w:val="24"/>
              </w:rPr>
            </w:pPr>
            <w:r>
              <w:rPr>
                <w:sz w:val="24"/>
              </w:rPr>
              <w:t>P</w:t>
            </w:r>
          </w:p>
        </w:tc>
        <w:tc>
          <w:tcPr>
            <w:tcW w:w="1095" w:type="dxa"/>
          </w:tcPr>
          <w:p w14:paraId="68941698" w14:textId="77777777" w:rsidR="000C099C" w:rsidRDefault="000C099C">
            <w:pPr>
              <w:jc w:val="center"/>
              <w:rPr>
                <w:sz w:val="24"/>
              </w:rPr>
            </w:pPr>
            <w:r>
              <w:rPr>
                <w:sz w:val="24"/>
              </w:rPr>
              <w:t>2</w:t>
            </w:r>
          </w:p>
        </w:tc>
      </w:tr>
      <w:tr w:rsidR="000C099C" w14:paraId="6DBF1026" w14:textId="77777777">
        <w:tc>
          <w:tcPr>
            <w:tcW w:w="6342" w:type="dxa"/>
          </w:tcPr>
          <w:p w14:paraId="1FB3E2B9" w14:textId="77777777" w:rsidR="000C099C" w:rsidRDefault="000C099C">
            <w:pPr>
              <w:rPr>
                <w:sz w:val="24"/>
              </w:rPr>
            </w:pPr>
            <w:r>
              <w:rPr>
                <w:sz w:val="24"/>
              </w:rPr>
              <w:t xml:space="preserve">     Assessment File</w:t>
            </w:r>
          </w:p>
        </w:tc>
        <w:tc>
          <w:tcPr>
            <w:tcW w:w="985" w:type="dxa"/>
          </w:tcPr>
          <w:p w14:paraId="530D84E2" w14:textId="77777777" w:rsidR="000C099C" w:rsidRDefault="000C099C">
            <w:pPr>
              <w:jc w:val="center"/>
              <w:rPr>
                <w:sz w:val="24"/>
              </w:rPr>
            </w:pPr>
          </w:p>
        </w:tc>
        <w:tc>
          <w:tcPr>
            <w:tcW w:w="1046" w:type="dxa"/>
          </w:tcPr>
          <w:p w14:paraId="48AFBC5A" w14:textId="77777777" w:rsidR="000C099C" w:rsidRDefault="000C099C">
            <w:pPr>
              <w:jc w:val="center"/>
              <w:rPr>
                <w:sz w:val="24"/>
              </w:rPr>
            </w:pPr>
            <w:r>
              <w:rPr>
                <w:sz w:val="24"/>
              </w:rPr>
              <w:t>P</w:t>
            </w:r>
          </w:p>
        </w:tc>
        <w:tc>
          <w:tcPr>
            <w:tcW w:w="1095" w:type="dxa"/>
          </w:tcPr>
          <w:p w14:paraId="18D991E7" w14:textId="77777777" w:rsidR="000C099C" w:rsidRDefault="000C099C">
            <w:pPr>
              <w:jc w:val="center"/>
              <w:rPr>
                <w:sz w:val="24"/>
              </w:rPr>
            </w:pPr>
            <w:r>
              <w:rPr>
                <w:sz w:val="24"/>
              </w:rPr>
              <w:t>2</w:t>
            </w:r>
          </w:p>
        </w:tc>
      </w:tr>
      <w:tr w:rsidR="000C099C" w14:paraId="519DE589" w14:textId="77777777">
        <w:tc>
          <w:tcPr>
            <w:tcW w:w="6342" w:type="dxa"/>
          </w:tcPr>
          <w:p w14:paraId="55DB7BB6" w14:textId="77777777" w:rsidR="000C099C" w:rsidRDefault="000C099C">
            <w:pPr>
              <w:rPr>
                <w:sz w:val="24"/>
              </w:rPr>
            </w:pPr>
            <w:r>
              <w:rPr>
                <w:sz w:val="24"/>
              </w:rPr>
              <w:t xml:space="preserve">     Correspondence</w:t>
            </w:r>
          </w:p>
        </w:tc>
        <w:tc>
          <w:tcPr>
            <w:tcW w:w="985" w:type="dxa"/>
          </w:tcPr>
          <w:p w14:paraId="6025E356" w14:textId="77777777" w:rsidR="000C099C" w:rsidRDefault="000C099C">
            <w:pPr>
              <w:jc w:val="center"/>
              <w:rPr>
                <w:sz w:val="24"/>
              </w:rPr>
            </w:pPr>
          </w:p>
        </w:tc>
        <w:tc>
          <w:tcPr>
            <w:tcW w:w="1046" w:type="dxa"/>
          </w:tcPr>
          <w:p w14:paraId="288F3B80" w14:textId="77777777" w:rsidR="000C099C" w:rsidRDefault="000C099C">
            <w:pPr>
              <w:jc w:val="center"/>
              <w:rPr>
                <w:sz w:val="24"/>
              </w:rPr>
            </w:pPr>
            <w:r>
              <w:rPr>
                <w:sz w:val="24"/>
              </w:rPr>
              <w:t>P</w:t>
            </w:r>
          </w:p>
        </w:tc>
        <w:tc>
          <w:tcPr>
            <w:tcW w:w="1095" w:type="dxa"/>
          </w:tcPr>
          <w:p w14:paraId="19EA6E80" w14:textId="77777777" w:rsidR="000C099C" w:rsidRDefault="000C099C">
            <w:pPr>
              <w:jc w:val="center"/>
              <w:rPr>
                <w:sz w:val="24"/>
              </w:rPr>
            </w:pPr>
            <w:r>
              <w:rPr>
                <w:sz w:val="24"/>
              </w:rPr>
              <w:t>2</w:t>
            </w:r>
          </w:p>
        </w:tc>
      </w:tr>
      <w:tr w:rsidR="000C099C" w14:paraId="4D54AD63" w14:textId="77777777">
        <w:tc>
          <w:tcPr>
            <w:tcW w:w="6342" w:type="dxa"/>
          </w:tcPr>
          <w:p w14:paraId="317BAC16" w14:textId="77777777" w:rsidR="000C099C" w:rsidRDefault="000C099C">
            <w:pPr>
              <w:rPr>
                <w:b/>
                <w:bCs/>
                <w:sz w:val="24"/>
              </w:rPr>
            </w:pPr>
            <w:r>
              <w:rPr>
                <w:b/>
                <w:bCs/>
                <w:sz w:val="24"/>
              </w:rPr>
              <w:t>SEC:</w:t>
            </w:r>
          </w:p>
        </w:tc>
        <w:tc>
          <w:tcPr>
            <w:tcW w:w="985" w:type="dxa"/>
          </w:tcPr>
          <w:p w14:paraId="7085905F" w14:textId="77777777" w:rsidR="000C099C" w:rsidRDefault="000C099C">
            <w:pPr>
              <w:jc w:val="center"/>
              <w:rPr>
                <w:sz w:val="24"/>
              </w:rPr>
            </w:pPr>
          </w:p>
        </w:tc>
        <w:tc>
          <w:tcPr>
            <w:tcW w:w="1046" w:type="dxa"/>
          </w:tcPr>
          <w:p w14:paraId="4F00782F" w14:textId="77777777" w:rsidR="000C099C" w:rsidRDefault="000C099C">
            <w:pPr>
              <w:jc w:val="center"/>
              <w:rPr>
                <w:sz w:val="24"/>
              </w:rPr>
            </w:pPr>
          </w:p>
        </w:tc>
        <w:tc>
          <w:tcPr>
            <w:tcW w:w="1095" w:type="dxa"/>
          </w:tcPr>
          <w:p w14:paraId="600F7DA9" w14:textId="77777777" w:rsidR="000C099C" w:rsidRDefault="000C099C">
            <w:pPr>
              <w:jc w:val="center"/>
              <w:rPr>
                <w:sz w:val="24"/>
              </w:rPr>
            </w:pPr>
          </w:p>
        </w:tc>
      </w:tr>
      <w:tr w:rsidR="000C099C" w14:paraId="4F35DCA4" w14:textId="77777777">
        <w:tc>
          <w:tcPr>
            <w:tcW w:w="6342" w:type="dxa"/>
          </w:tcPr>
          <w:p w14:paraId="448C8582" w14:textId="77777777" w:rsidR="000C099C" w:rsidRDefault="000C099C">
            <w:pPr>
              <w:rPr>
                <w:sz w:val="24"/>
              </w:rPr>
            </w:pPr>
            <w:r>
              <w:rPr>
                <w:sz w:val="24"/>
              </w:rPr>
              <w:t xml:space="preserve">     Order granting registrations</w:t>
            </w:r>
          </w:p>
        </w:tc>
        <w:tc>
          <w:tcPr>
            <w:tcW w:w="985" w:type="dxa"/>
          </w:tcPr>
          <w:p w14:paraId="5DEA9E32" w14:textId="77777777" w:rsidR="000C099C" w:rsidRDefault="000C099C">
            <w:pPr>
              <w:jc w:val="center"/>
              <w:rPr>
                <w:sz w:val="24"/>
              </w:rPr>
            </w:pPr>
          </w:p>
        </w:tc>
        <w:tc>
          <w:tcPr>
            <w:tcW w:w="1046" w:type="dxa"/>
          </w:tcPr>
          <w:p w14:paraId="0CC3D96E" w14:textId="77777777" w:rsidR="000C099C" w:rsidRDefault="000C099C">
            <w:pPr>
              <w:jc w:val="center"/>
              <w:rPr>
                <w:sz w:val="24"/>
              </w:rPr>
            </w:pPr>
            <w:r>
              <w:rPr>
                <w:sz w:val="24"/>
              </w:rPr>
              <w:t>P</w:t>
            </w:r>
          </w:p>
        </w:tc>
        <w:tc>
          <w:tcPr>
            <w:tcW w:w="1095" w:type="dxa"/>
          </w:tcPr>
          <w:p w14:paraId="50790EB4" w14:textId="77777777" w:rsidR="000C099C" w:rsidRDefault="000C099C">
            <w:pPr>
              <w:jc w:val="center"/>
              <w:rPr>
                <w:sz w:val="24"/>
              </w:rPr>
            </w:pPr>
            <w:r>
              <w:rPr>
                <w:sz w:val="24"/>
              </w:rPr>
              <w:t>P</w:t>
            </w:r>
          </w:p>
        </w:tc>
      </w:tr>
      <w:tr w:rsidR="000C099C" w14:paraId="478A4C58" w14:textId="77777777">
        <w:tc>
          <w:tcPr>
            <w:tcW w:w="6342" w:type="dxa"/>
          </w:tcPr>
          <w:p w14:paraId="605E63D5" w14:textId="77777777" w:rsidR="000C099C" w:rsidRDefault="000C099C">
            <w:pPr>
              <w:rPr>
                <w:sz w:val="24"/>
              </w:rPr>
            </w:pPr>
            <w:r>
              <w:rPr>
                <w:sz w:val="24"/>
              </w:rPr>
              <w:t xml:space="preserve">     Original Application</w:t>
            </w:r>
          </w:p>
        </w:tc>
        <w:tc>
          <w:tcPr>
            <w:tcW w:w="985" w:type="dxa"/>
          </w:tcPr>
          <w:p w14:paraId="2028BD92" w14:textId="77777777" w:rsidR="000C099C" w:rsidRDefault="000C099C">
            <w:pPr>
              <w:jc w:val="center"/>
              <w:rPr>
                <w:sz w:val="24"/>
              </w:rPr>
            </w:pPr>
          </w:p>
        </w:tc>
        <w:tc>
          <w:tcPr>
            <w:tcW w:w="1046" w:type="dxa"/>
          </w:tcPr>
          <w:p w14:paraId="55FD3FB0" w14:textId="77777777" w:rsidR="000C099C" w:rsidRDefault="000C099C">
            <w:pPr>
              <w:jc w:val="center"/>
              <w:rPr>
                <w:sz w:val="24"/>
              </w:rPr>
            </w:pPr>
            <w:r>
              <w:rPr>
                <w:sz w:val="24"/>
              </w:rPr>
              <w:t>P</w:t>
            </w:r>
          </w:p>
        </w:tc>
        <w:tc>
          <w:tcPr>
            <w:tcW w:w="1095" w:type="dxa"/>
          </w:tcPr>
          <w:p w14:paraId="6F811EDF" w14:textId="77777777" w:rsidR="000C099C" w:rsidRDefault="000C099C">
            <w:pPr>
              <w:jc w:val="center"/>
              <w:rPr>
                <w:sz w:val="24"/>
              </w:rPr>
            </w:pPr>
            <w:r>
              <w:rPr>
                <w:sz w:val="24"/>
              </w:rPr>
              <w:t>2</w:t>
            </w:r>
          </w:p>
        </w:tc>
      </w:tr>
      <w:tr w:rsidR="000C099C" w14:paraId="01BA3ABF" w14:textId="77777777">
        <w:tc>
          <w:tcPr>
            <w:tcW w:w="6342" w:type="dxa"/>
          </w:tcPr>
          <w:p w14:paraId="1F9FA536" w14:textId="77777777" w:rsidR="000C099C" w:rsidRDefault="000C099C">
            <w:pPr>
              <w:rPr>
                <w:sz w:val="24"/>
              </w:rPr>
            </w:pPr>
            <w:r>
              <w:rPr>
                <w:sz w:val="24"/>
              </w:rPr>
              <w:t xml:space="preserve">     SEC Form BD and Amendments</w:t>
            </w:r>
          </w:p>
        </w:tc>
        <w:tc>
          <w:tcPr>
            <w:tcW w:w="985" w:type="dxa"/>
          </w:tcPr>
          <w:p w14:paraId="4A91C8E8" w14:textId="77777777" w:rsidR="000C099C" w:rsidRDefault="000C099C">
            <w:pPr>
              <w:jc w:val="center"/>
              <w:rPr>
                <w:sz w:val="24"/>
              </w:rPr>
            </w:pPr>
          </w:p>
        </w:tc>
        <w:tc>
          <w:tcPr>
            <w:tcW w:w="1046" w:type="dxa"/>
          </w:tcPr>
          <w:p w14:paraId="55D54046" w14:textId="77777777" w:rsidR="000C099C" w:rsidRDefault="000C099C">
            <w:pPr>
              <w:jc w:val="center"/>
              <w:rPr>
                <w:sz w:val="24"/>
              </w:rPr>
            </w:pPr>
            <w:r>
              <w:rPr>
                <w:sz w:val="24"/>
              </w:rPr>
              <w:t>P</w:t>
            </w:r>
          </w:p>
        </w:tc>
        <w:tc>
          <w:tcPr>
            <w:tcW w:w="1095" w:type="dxa"/>
          </w:tcPr>
          <w:p w14:paraId="710FAF05" w14:textId="77777777" w:rsidR="000C099C" w:rsidRDefault="000C099C">
            <w:pPr>
              <w:jc w:val="center"/>
              <w:rPr>
                <w:sz w:val="24"/>
              </w:rPr>
            </w:pPr>
            <w:r>
              <w:rPr>
                <w:sz w:val="24"/>
              </w:rPr>
              <w:t>2</w:t>
            </w:r>
          </w:p>
        </w:tc>
      </w:tr>
      <w:tr w:rsidR="000C099C" w14:paraId="21DDA2C0" w14:textId="77777777">
        <w:tc>
          <w:tcPr>
            <w:tcW w:w="6342" w:type="dxa"/>
          </w:tcPr>
          <w:p w14:paraId="606C6277" w14:textId="77777777" w:rsidR="000C099C" w:rsidRDefault="000C099C">
            <w:pPr>
              <w:rPr>
                <w:sz w:val="24"/>
              </w:rPr>
            </w:pPr>
            <w:r>
              <w:rPr>
                <w:sz w:val="24"/>
              </w:rPr>
              <w:t xml:space="preserve">     17 A-11 violations</w:t>
            </w:r>
          </w:p>
        </w:tc>
        <w:tc>
          <w:tcPr>
            <w:tcW w:w="985" w:type="dxa"/>
          </w:tcPr>
          <w:p w14:paraId="390A4819" w14:textId="77777777" w:rsidR="000C099C" w:rsidRDefault="000C099C">
            <w:pPr>
              <w:jc w:val="center"/>
              <w:rPr>
                <w:sz w:val="24"/>
              </w:rPr>
            </w:pPr>
          </w:p>
        </w:tc>
        <w:tc>
          <w:tcPr>
            <w:tcW w:w="1046" w:type="dxa"/>
          </w:tcPr>
          <w:p w14:paraId="5A7CC1E5" w14:textId="77777777" w:rsidR="000C099C" w:rsidRDefault="000C099C">
            <w:pPr>
              <w:jc w:val="center"/>
              <w:rPr>
                <w:sz w:val="24"/>
              </w:rPr>
            </w:pPr>
            <w:r>
              <w:rPr>
                <w:sz w:val="24"/>
              </w:rPr>
              <w:t>P</w:t>
            </w:r>
          </w:p>
        </w:tc>
        <w:tc>
          <w:tcPr>
            <w:tcW w:w="1095" w:type="dxa"/>
          </w:tcPr>
          <w:p w14:paraId="7F274DB9" w14:textId="77777777" w:rsidR="000C099C" w:rsidRDefault="000C099C">
            <w:pPr>
              <w:jc w:val="center"/>
              <w:rPr>
                <w:sz w:val="24"/>
              </w:rPr>
            </w:pPr>
            <w:r>
              <w:rPr>
                <w:sz w:val="24"/>
              </w:rPr>
              <w:t>2</w:t>
            </w:r>
          </w:p>
        </w:tc>
      </w:tr>
      <w:tr w:rsidR="000C099C" w14:paraId="64C24B80" w14:textId="77777777">
        <w:tc>
          <w:tcPr>
            <w:tcW w:w="6342" w:type="dxa"/>
          </w:tcPr>
          <w:p w14:paraId="4EB972FF" w14:textId="77777777" w:rsidR="000C099C" w:rsidRDefault="000C099C">
            <w:pPr>
              <w:rPr>
                <w:sz w:val="24"/>
              </w:rPr>
            </w:pPr>
            <w:r>
              <w:rPr>
                <w:sz w:val="24"/>
              </w:rPr>
              <w:t xml:space="preserve">     Correspondence</w:t>
            </w:r>
          </w:p>
        </w:tc>
        <w:tc>
          <w:tcPr>
            <w:tcW w:w="985" w:type="dxa"/>
          </w:tcPr>
          <w:p w14:paraId="3B7D72E9" w14:textId="77777777" w:rsidR="000C099C" w:rsidRDefault="000C099C">
            <w:pPr>
              <w:jc w:val="center"/>
              <w:rPr>
                <w:sz w:val="24"/>
              </w:rPr>
            </w:pPr>
          </w:p>
        </w:tc>
        <w:tc>
          <w:tcPr>
            <w:tcW w:w="1046" w:type="dxa"/>
          </w:tcPr>
          <w:p w14:paraId="56AE190E" w14:textId="77777777" w:rsidR="000C099C" w:rsidRDefault="000C099C">
            <w:pPr>
              <w:jc w:val="center"/>
              <w:rPr>
                <w:sz w:val="24"/>
              </w:rPr>
            </w:pPr>
            <w:r>
              <w:rPr>
                <w:sz w:val="24"/>
              </w:rPr>
              <w:t>P</w:t>
            </w:r>
          </w:p>
        </w:tc>
        <w:tc>
          <w:tcPr>
            <w:tcW w:w="1095" w:type="dxa"/>
          </w:tcPr>
          <w:p w14:paraId="700401B4" w14:textId="77777777" w:rsidR="000C099C" w:rsidRDefault="000C099C">
            <w:pPr>
              <w:jc w:val="center"/>
              <w:rPr>
                <w:sz w:val="24"/>
              </w:rPr>
            </w:pPr>
            <w:r>
              <w:rPr>
                <w:sz w:val="24"/>
              </w:rPr>
              <w:t>2</w:t>
            </w:r>
          </w:p>
        </w:tc>
      </w:tr>
      <w:tr w:rsidR="000C099C" w14:paraId="7BAFE8F0" w14:textId="77777777">
        <w:tc>
          <w:tcPr>
            <w:tcW w:w="6342" w:type="dxa"/>
          </w:tcPr>
          <w:p w14:paraId="0CD76A1C" w14:textId="77777777" w:rsidR="000C099C" w:rsidRDefault="000C099C">
            <w:pPr>
              <w:rPr>
                <w:b/>
                <w:bCs/>
                <w:sz w:val="24"/>
              </w:rPr>
            </w:pPr>
            <w:r>
              <w:rPr>
                <w:b/>
                <w:bCs/>
                <w:sz w:val="24"/>
              </w:rPr>
              <w:t>State (by State Registration):</w:t>
            </w:r>
          </w:p>
        </w:tc>
        <w:tc>
          <w:tcPr>
            <w:tcW w:w="985" w:type="dxa"/>
          </w:tcPr>
          <w:p w14:paraId="3F0E6A45" w14:textId="77777777" w:rsidR="000C099C" w:rsidRDefault="000C099C">
            <w:pPr>
              <w:jc w:val="center"/>
              <w:rPr>
                <w:sz w:val="24"/>
              </w:rPr>
            </w:pPr>
          </w:p>
        </w:tc>
        <w:tc>
          <w:tcPr>
            <w:tcW w:w="1046" w:type="dxa"/>
          </w:tcPr>
          <w:p w14:paraId="270FB874" w14:textId="77777777" w:rsidR="000C099C" w:rsidRDefault="000C099C">
            <w:pPr>
              <w:jc w:val="center"/>
              <w:rPr>
                <w:sz w:val="24"/>
              </w:rPr>
            </w:pPr>
          </w:p>
        </w:tc>
        <w:tc>
          <w:tcPr>
            <w:tcW w:w="1095" w:type="dxa"/>
          </w:tcPr>
          <w:p w14:paraId="2123F663" w14:textId="77777777" w:rsidR="000C099C" w:rsidRDefault="000C099C">
            <w:pPr>
              <w:jc w:val="center"/>
              <w:rPr>
                <w:sz w:val="24"/>
              </w:rPr>
            </w:pPr>
          </w:p>
        </w:tc>
      </w:tr>
      <w:tr w:rsidR="000C099C" w14:paraId="3B900F3A" w14:textId="77777777">
        <w:tc>
          <w:tcPr>
            <w:tcW w:w="6342" w:type="dxa"/>
          </w:tcPr>
          <w:p w14:paraId="26882923" w14:textId="77777777" w:rsidR="000C099C" w:rsidRDefault="000C099C">
            <w:pPr>
              <w:rPr>
                <w:sz w:val="24"/>
              </w:rPr>
            </w:pPr>
            <w:r>
              <w:rPr>
                <w:sz w:val="24"/>
              </w:rPr>
              <w:t xml:space="preserve">     Original Paperwork</w:t>
            </w:r>
          </w:p>
        </w:tc>
        <w:tc>
          <w:tcPr>
            <w:tcW w:w="985" w:type="dxa"/>
          </w:tcPr>
          <w:p w14:paraId="509EF78F" w14:textId="77777777" w:rsidR="000C099C" w:rsidRDefault="000C099C">
            <w:pPr>
              <w:jc w:val="center"/>
              <w:rPr>
                <w:sz w:val="24"/>
              </w:rPr>
            </w:pPr>
          </w:p>
        </w:tc>
        <w:tc>
          <w:tcPr>
            <w:tcW w:w="1046" w:type="dxa"/>
          </w:tcPr>
          <w:p w14:paraId="7D8C0C9A" w14:textId="77777777" w:rsidR="000C099C" w:rsidRDefault="000C099C">
            <w:pPr>
              <w:jc w:val="center"/>
              <w:rPr>
                <w:sz w:val="24"/>
              </w:rPr>
            </w:pPr>
            <w:r>
              <w:rPr>
                <w:sz w:val="24"/>
              </w:rPr>
              <w:t>P</w:t>
            </w:r>
          </w:p>
        </w:tc>
        <w:tc>
          <w:tcPr>
            <w:tcW w:w="1095" w:type="dxa"/>
          </w:tcPr>
          <w:p w14:paraId="00CC601E" w14:textId="77777777" w:rsidR="000C099C" w:rsidRDefault="000C099C">
            <w:pPr>
              <w:jc w:val="center"/>
              <w:rPr>
                <w:sz w:val="24"/>
              </w:rPr>
            </w:pPr>
            <w:r>
              <w:rPr>
                <w:sz w:val="24"/>
              </w:rPr>
              <w:t>P</w:t>
            </w:r>
          </w:p>
        </w:tc>
      </w:tr>
      <w:tr w:rsidR="000C099C" w14:paraId="44534CB4" w14:textId="77777777">
        <w:tc>
          <w:tcPr>
            <w:tcW w:w="6342" w:type="dxa"/>
          </w:tcPr>
          <w:p w14:paraId="20A503FB" w14:textId="77777777" w:rsidR="000C099C" w:rsidRDefault="000C099C">
            <w:pPr>
              <w:rPr>
                <w:sz w:val="24"/>
              </w:rPr>
            </w:pPr>
            <w:r>
              <w:rPr>
                <w:sz w:val="24"/>
              </w:rPr>
              <w:t xml:space="preserve">     Correspondence with States</w:t>
            </w:r>
          </w:p>
        </w:tc>
        <w:tc>
          <w:tcPr>
            <w:tcW w:w="985" w:type="dxa"/>
          </w:tcPr>
          <w:p w14:paraId="7596864D" w14:textId="77777777" w:rsidR="000C099C" w:rsidRDefault="000C099C">
            <w:pPr>
              <w:jc w:val="center"/>
              <w:rPr>
                <w:sz w:val="24"/>
              </w:rPr>
            </w:pPr>
          </w:p>
        </w:tc>
        <w:tc>
          <w:tcPr>
            <w:tcW w:w="1046" w:type="dxa"/>
          </w:tcPr>
          <w:p w14:paraId="2AAB3B2C" w14:textId="77777777" w:rsidR="000C099C" w:rsidRDefault="000C099C">
            <w:pPr>
              <w:jc w:val="center"/>
              <w:rPr>
                <w:sz w:val="24"/>
              </w:rPr>
            </w:pPr>
            <w:r>
              <w:rPr>
                <w:sz w:val="24"/>
              </w:rPr>
              <w:t>P</w:t>
            </w:r>
          </w:p>
        </w:tc>
        <w:tc>
          <w:tcPr>
            <w:tcW w:w="1095" w:type="dxa"/>
          </w:tcPr>
          <w:p w14:paraId="0609E2ED" w14:textId="77777777" w:rsidR="000C099C" w:rsidRDefault="000C099C">
            <w:pPr>
              <w:jc w:val="center"/>
              <w:rPr>
                <w:sz w:val="24"/>
              </w:rPr>
            </w:pPr>
            <w:r>
              <w:rPr>
                <w:sz w:val="24"/>
              </w:rPr>
              <w:t>2</w:t>
            </w:r>
          </w:p>
        </w:tc>
      </w:tr>
      <w:tr w:rsidR="000C099C" w14:paraId="3159712D" w14:textId="77777777">
        <w:tc>
          <w:tcPr>
            <w:tcW w:w="6342" w:type="dxa"/>
          </w:tcPr>
          <w:p w14:paraId="4AB26E7B" w14:textId="77777777" w:rsidR="000C099C" w:rsidRDefault="000C099C">
            <w:pPr>
              <w:rPr>
                <w:sz w:val="24"/>
              </w:rPr>
            </w:pPr>
            <w:r>
              <w:rPr>
                <w:sz w:val="24"/>
              </w:rPr>
              <w:t xml:space="preserve">     State License or CRD Notice granting registration</w:t>
            </w:r>
          </w:p>
        </w:tc>
        <w:tc>
          <w:tcPr>
            <w:tcW w:w="985" w:type="dxa"/>
          </w:tcPr>
          <w:p w14:paraId="3A453D66" w14:textId="77777777" w:rsidR="000C099C" w:rsidRDefault="000C099C">
            <w:pPr>
              <w:jc w:val="center"/>
              <w:rPr>
                <w:sz w:val="24"/>
              </w:rPr>
            </w:pPr>
          </w:p>
        </w:tc>
        <w:tc>
          <w:tcPr>
            <w:tcW w:w="1046" w:type="dxa"/>
          </w:tcPr>
          <w:p w14:paraId="0D514E4B" w14:textId="77777777" w:rsidR="000C099C" w:rsidRDefault="000C099C">
            <w:pPr>
              <w:jc w:val="center"/>
              <w:rPr>
                <w:sz w:val="24"/>
              </w:rPr>
            </w:pPr>
            <w:r>
              <w:rPr>
                <w:sz w:val="24"/>
              </w:rPr>
              <w:t>P</w:t>
            </w:r>
          </w:p>
        </w:tc>
        <w:tc>
          <w:tcPr>
            <w:tcW w:w="1095" w:type="dxa"/>
          </w:tcPr>
          <w:p w14:paraId="03355DBB" w14:textId="77777777" w:rsidR="000C099C" w:rsidRDefault="000C099C">
            <w:pPr>
              <w:jc w:val="center"/>
              <w:rPr>
                <w:sz w:val="24"/>
              </w:rPr>
            </w:pPr>
            <w:r>
              <w:rPr>
                <w:sz w:val="24"/>
              </w:rPr>
              <w:t>P</w:t>
            </w:r>
          </w:p>
        </w:tc>
      </w:tr>
      <w:tr w:rsidR="000C099C" w14:paraId="7E03BDD9" w14:textId="77777777">
        <w:tc>
          <w:tcPr>
            <w:tcW w:w="6342" w:type="dxa"/>
          </w:tcPr>
          <w:p w14:paraId="4F57A590" w14:textId="77777777" w:rsidR="000C099C" w:rsidRDefault="000C099C">
            <w:pPr>
              <w:rPr>
                <w:sz w:val="24"/>
              </w:rPr>
            </w:pPr>
            <w:r>
              <w:rPr>
                <w:sz w:val="24"/>
              </w:rPr>
              <w:t xml:space="preserve">     Disciplinary Actions</w:t>
            </w:r>
          </w:p>
        </w:tc>
        <w:tc>
          <w:tcPr>
            <w:tcW w:w="985" w:type="dxa"/>
          </w:tcPr>
          <w:p w14:paraId="70776A77" w14:textId="77777777" w:rsidR="000C099C" w:rsidRDefault="000C099C">
            <w:pPr>
              <w:jc w:val="center"/>
              <w:rPr>
                <w:sz w:val="24"/>
              </w:rPr>
            </w:pPr>
          </w:p>
        </w:tc>
        <w:tc>
          <w:tcPr>
            <w:tcW w:w="1046" w:type="dxa"/>
          </w:tcPr>
          <w:p w14:paraId="303C3950" w14:textId="77777777" w:rsidR="000C099C" w:rsidRDefault="000C099C">
            <w:pPr>
              <w:jc w:val="center"/>
              <w:rPr>
                <w:sz w:val="24"/>
              </w:rPr>
            </w:pPr>
            <w:r>
              <w:rPr>
                <w:sz w:val="24"/>
              </w:rPr>
              <w:t>P</w:t>
            </w:r>
          </w:p>
        </w:tc>
        <w:tc>
          <w:tcPr>
            <w:tcW w:w="1095" w:type="dxa"/>
          </w:tcPr>
          <w:p w14:paraId="116F8310" w14:textId="77777777" w:rsidR="000C099C" w:rsidRDefault="000C099C">
            <w:pPr>
              <w:jc w:val="center"/>
              <w:rPr>
                <w:sz w:val="24"/>
              </w:rPr>
            </w:pPr>
            <w:r>
              <w:rPr>
                <w:sz w:val="24"/>
              </w:rPr>
              <w:t>P</w:t>
            </w:r>
          </w:p>
        </w:tc>
      </w:tr>
      <w:tr w:rsidR="000C099C" w14:paraId="70DF7742" w14:textId="77777777">
        <w:trPr>
          <w:cantSplit/>
        </w:trPr>
        <w:tc>
          <w:tcPr>
            <w:tcW w:w="9468" w:type="dxa"/>
            <w:gridSpan w:val="4"/>
            <w:shd w:val="clear" w:color="auto" w:fill="E6E6E6"/>
          </w:tcPr>
          <w:p w14:paraId="70972125" w14:textId="77777777" w:rsidR="000C099C" w:rsidRDefault="000C099C">
            <w:pPr>
              <w:rPr>
                <w:sz w:val="24"/>
              </w:rPr>
            </w:pPr>
            <w:r>
              <w:rPr>
                <w:b/>
                <w:bCs/>
                <w:sz w:val="24"/>
              </w:rPr>
              <w:t xml:space="preserve">Market Making </w:t>
            </w:r>
            <w:r>
              <w:rPr>
                <w:sz w:val="24"/>
              </w:rPr>
              <w:t>(currently Not/Applicable)</w:t>
            </w:r>
          </w:p>
        </w:tc>
      </w:tr>
      <w:tr w:rsidR="000C099C" w14:paraId="370D271D" w14:textId="77777777">
        <w:tc>
          <w:tcPr>
            <w:tcW w:w="6342" w:type="dxa"/>
          </w:tcPr>
          <w:p w14:paraId="47EF11B1" w14:textId="77777777" w:rsidR="000C099C" w:rsidRDefault="000C099C" w:rsidP="00F55208">
            <w:pPr>
              <w:rPr>
                <w:sz w:val="24"/>
              </w:rPr>
            </w:pPr>
            <w:r>
              <w:rPr>
                <w:sz w:val="24"/>
              </w:rPr>
              <w:t xml:space="preserve">15c2-11 files </w:t>
            </w:r>
            <w:r>
              <w:rPr>
                <w:sz w:val="18"/>
              </w:rPr>
              <w:t xml:space="preserve">(current financial information on stocks </w:t>
            </w:r>
            <w:r w:rsidR="00F55208">
              <w:rPr>
                <w:sz w:val="18"/>
              </w:rPr>
              <w:t>a</w:t>
            </w:r>
            <w:r>
              <w:rPr>
                <w:sz w:val="18"/>
              </w:rPr>
              <w:t xml:space="preserve"> firm has market in)</w:t>
            </w:r>
          </w:p>
        </w:tc>
        <w:tc>
          <w:tcPr>
            <w:tcW w:w="985" w:type="dxa"/>
          </w:tcPr>
          <w:p w14:paraId="398690BD" w14:textId="77777777" w:rsidR="000C099C" w:rsidRDefault="000C099C">
            <w:pPr>
              <w:jc w:val="center"/>
              <w:rPr>
                <w:sz w:val="24"/>
              </w:rPr>
            </w:pPr>
          </w:p>
        </w:tc>
        <w:tc>
          <w:tcPr>
            <w:tcW w:w="1046" w:type="dxa"/>
          </w:tcPr>
          <w:p w14:paraId="7A6B698A" w14:textId="77777777" w:rsidR="000C099C" w:rsidRDefault="000C099C">
            <w:pPr>
              <w:jc w:val="center"/>
              <w:rPr>
                <w:sz w:val="24"/>
              </w:rPr>
            </w:pPr>
            <w:r>
              <w:rPr>
                <w:sz w:val="24"/>
              </w:rPr>
              <w:t>3</w:t>
            </w:r>
          </w:p>
        </w:tc>
        <w:tc>
          <w:tcPr>
            <w:tcW w:w="1095" w:type="dxa"/>
          </w:tcPr>
          <w:p w14:paraId="05BCCCE5" w14:textId="77777777" w:rsidR="000C099C" w:rsidRDefault="000C099C">
            <w:pPr>
              <w:jc w:val="center"/>
              <w:rPr>
                <w:sz w:val="24"/>
              </w:rPr>
            </w:pPr>
            <w:r>
              <w:rPr>
                <w:sz w:val="24"/>
              </w:rPr>
              <w:t>2</w:t>
            </w:r>
          </w:p>
        </w:tc>
      </w:tr>
      <w:tr w:rsidR="000C099C" w14:paraId="6A155845" w14:textId="77777777">
        <w:tc>
          <w:tcPr>
            <w:tcW w:w="6342" w:type="dxa"/>
          </w:tcPr>
          <w:p w14:paraId="0EA246AD" w14:textId="77777777" w:rsidR="000C099C" w:rsidRDefault="000C099C">
            <w:pPr>
              <w:rPr>
                <w:sz w:val="24"/>
              </w:rPr>
            </w:pPr>
            <w:r>
              <w:rPr>
                <w:sz w:val="24"/>
              </w:rPr>
              <w:t>15c2-6 Letters and authorizations</w:t>
            </w:r>
          </w:p>
        </w:tc>
        <w:tc>
          <w:tcPr>
            <w:tcW w:w="985" w:type="dxa"/>
          </w:tcPr>
          <w:p w14:paraId="027E04BD" w14:textId="77777777" w:rsidR="000C099C" w:rsidRDefault="000C099C">
            <w:pPr>
              <w:jc w:val="center"/>
              <w:rPr>
                <w:sz w:val="24"/>
              </w:rPr>
            </w:pPr>
          </w:p>
        </w:tc>
        <w:tc>
          <w:tcPr>
            <w:tcW w:w="1046" w:type="dxa"/>
          </w:tcPr>
          <w:p w14:paraId="37886861" w14:textId="77777777" w:rsidR="000C099C" w:rsidRDefault="000C099C">
            <w:pPr>
              <w:jc w:val="center"/>
              <w:rPr>
                <w:sz w:val="24"/>
              </w:rPr>
            </w:pPr>
            <w:r>
              <w:rPr>
                <w:sz w:val="24"/>
              </w:rPr>
              <w:t>3</w:t>
            </w:r>
          </w:p>
        </w:tc>
        <w:tc>
          <w:tcPr>
            <w:tcW w:w="1095" w:type="dxa"/>
          </w:tcPr>
          <w:p w14:paraId="0719210B" w14:textId="77777777" w:rsidR="000C099C" w:rsidRDefault="000C099C">
            <w:pPr>
              <w:jc w:val="center"/>
              <w:rPr>
                <w:sz w:val="24"/>
              </w:rPr>
            </w:pPr>
            <w:r>
              <w:rPr>
                <w:sz w:val="24"/>
              </w:rPr>
              <w:t>2</w:t>
            </w:r>
          </w:p>
        </w:tc>
      </w:tr>
      <w:tr w:rsidR="000C099C" w14:paraId="077224C8" w14:textId="77777777">
        <w:tc>
          <w:tcPr>
            <w:tcW w:w="6342" w:type="dxa"/>
          </w:tcPr>
          <w:p w14:paraId="4FE82E86" w14:textId="77777777" w:rsidR="000C099C" w:rsidRDefault="000C099C">
            <w:pPr>
              <w:rPr>
                <w:sz w:val="24"/>
              </w:rPr>
            </w:pPr>
            <w:r>
              <w:rPr>
                <w:sz w:val="24"/>
              </w:rPr>
              <w:t>SOES Registration</w:t>
            </w:r>
          </w:p>
        </w:tc>
        <w:tc>
          <w:tcPr>
            <w:tcW w:w="985" w:type="dxa"/>
          </w:tcPr>
          <w:p w14:paraId="194DB442" w14:textId="77777777" w:rsidR="000C099C" w:rsidRDefault="000C099C">
            <w:pPr>
              <w:jc w:val="center"/>
              <w:rPr>
                <w:sz w:val="24"/>
              </w:rPr>
            </w:pPr>
          </w:p>
        </w:tc>
        <w:tc>
          <w:tcPr>
            <w:tcW w:w="1046" w:type="dxa"/>
          </w:tcPr>
          <w:p w14:paraId="5508F8D4" w14:textId="77777777" w:rsidR="000C099C" w:rsidRDefault="000C099C">
            <w:pPr>
              <w:jc w:val="center"/>
              <w:rPr>
                <w:sz w:val="24"/>
              </w:rPr>
            </w:pPr>
            <w:r>
              <w:rPr>
                <w:sz w:val="24"/>
              </w:rPr>
              <w:t>P</w:t>
            </w:r>
          </w:p>
        </w:tc>
        <w:tc>
          <w:tcPr>
            <w:tcW w:w="1095" w:type="dxa"/>
          </w:tcPr>
          <w:p w14:paraId="543EC757" w14:textId="77777777" w:rsidR="000C099C" w:rsidRDefault="000C099C">
            <w:pPr>
              <w:jc w:val="center"/>
              <w:rPr>
                <w:sz w:val="24"/>
              </w:rPr>
            </w:pPr>
            <w:r>
              <w:rPr>
                <w:sz w:val="24"/>
              </w:rPr>
              <w:t>P</w:t>
            </w:r>
          </w:p>
        </w:tc>
      </w:tr>
      <w:tr w:rsidR="000C099C" w14:paraId="4A57D27C" w14:textId="77777777">
        <w:trPr>
          <w:cantSplit/>
        </w:trPr>
        <w:tc>
          <w:tcPr>
            <w:tcW w:w="9468" w:type="dxa"/>
            <w:gridSpan w:val="4"/>
            <w:shd w:val="clear" w:color="auto" w:fill="E6E6E6"/>
          </w:tcPr>
          <w:p w14:paraId="40F9CDC5" w14:textId="77777777" w:rsidR="000C099C" w:rsidRDefault="000C099C">
            <w:pPr>
              <w:rPr>
                <w:sz w:val="24"/>
              </w:rPr>
            </w:pPr>
            <w:r>
              <w:rPr>
                <w:b/>
                <w:bCs/>
                <w:sz w:val="24"/>
              </w:rPr>
              <w:t>Municipals</w:t>
            </w:r>
          </w:p>
        </w:tc>
      </w:tr>
      <w:tr w:rsidR="000C099C" w14:paraId="5ABD07AD" w14:textId="77777777">
        <w:tc>
          <w:tcPr>
            <w:tcW w:w="6342" w:type="dxa"/>
          </w:tcPr>
          <w:p w14:paraId="2632C9AC" w14:textId="77777777" w:rsidR="000C099C" w:rsidRDefault="000C099C" w:rsidP="001A587F">
            <w:pPr>
              <w:pStyle w:val="Heading4"/>
            </w:pPr>
            <w:bookmarkStart w:id="169" w:name="_Toc153361398"/>
            <w:r>
              <w:t>Designation of supervisory principal under MSRB rules</w:t>
            </w:r>
            <w:bookmarkEnd w:id="169"/>
          </w:p>
        </w:tc>
        <w:tc>
          <w:tcPr>
            <w:tcW w:w="985" w:type="dxa"/>
          </w:tcPr>
          <w:p w14:paraId="056F912C" w14:textId="77777777" w:rsidR="000C099C" w:rsidRDefault="000C099C">
            <w:pPr>
              <w:jc w:val="center"/>
              <w:rPr>
                <w:sz w:val="24"/>
              </w:rPr>
            </w:pPr>
          </w:p>
        </w:tc>
        <w:tc>
          <w:tcPr>
            <w:tcW w:w="1046" w:type="dxa"/>
          </w:tcPr>
          <w:p w14:paraId="2420F59D" w14:textId="77777777" w:rsidR="000C099C" w:rsidRDefault="000C099C">
            <w:pPr>
              <w:jc w:val="center"/>
              <w:rPr>
                <w:sz w:val="24"/>
              </w:rPr>
            </w:pPr>
            <w:r>
              <w:rPr>
                <w:sz w:val="24"/>
              </w:rPr>
              <w:t>P</w:t>
            </w:r>
          </w:p>
        </w:tc>
        <w:tc>
          <w:tcPr>
            <w:tcW w:w="1095" w:type="dxa"/>
          </w:tcPr>
          <w:p w14:paraId="1F7B5D75" w14:textId="77777777" w:rsidR="000C099C" w:rsidRDefault="000C099C">
            <w:pPr>
              <w:jc w:val="center"/>
              <w:rPr>
                <w:sz w:val="24"/>
              </w:rPr>
            </w:pPr>
            <w:r>
              <w:rPr>
                <w:sz w:val="24"/>
              </w:rPr>
              <w:t>P</w:t>
            </w:r>
          </w:p>
        </w:tc>
      </w:tr>
      <w:tr w:rsidR="000C099C" w14:paraId="79FD4E01" w14:textId="77777777">
        <w:tc>
          <w:tcPr>
            <w:tcW w:w="6342" w:type="dxa"/>
          </w:tcPr>
          <w:p w14:paraId="20DC5E34" w14:textId="77777777" w:rsidR="000C099C" w:rsidRDefault="000C099C">
            <w:pPr>
              <w:rPr>
                <w:sz w:val="24"/>
              </w:rPr>
            </w:pPr>
            <w:r>
              <w:rPr>
                <w:sz w:val="24"/>
              </w:rPr>
              <w:t>Payment of Initial MSRB fees and all renewals</w:t>
            </w:r>
          </w:p>
        </w:tc>
        <w:tc>
          <w:tcPr>
            <w:tcW w:w="985" w:type="dxa"/>
          </w:tcPr>
          <w:p w14:paraId="4116A903" w14:textId="77777777" w:rsidR="000C099C" w:rsidRDefault="000C099C">
            <w:pPr>
              <w:jc w:val="center"/>
              <w:rPr>
                <w:sz w:val="24"/>
              </w:rPr>
            </w:pPr>
          </w:p>
        </w:tc>
        <w:tc>
          <w:tcPr>
            <w:tcW w:w="1046" w:type="dxa"/>
          </w:tcPr>
          <w:p w14:paraId="1D5EB3CE" w14:textId="77777777" w:rsidR="000C099C" w:rsidRDefault="000C099C">
            <w:pPr>
              <w:jc w:val="center"/>
              <w:rPr>
                <w:sz w:val="24"/>
              </w:rPr>
            </w:pPr>
            <w:r>
              <w:rPr>
                <w:sz w:val="24"/>
              </w:rPr>
              <w:t>P</w:t>
            </w:r>
          </w:p>
        </w:tc>
        <w:tc>
          <w:tcPr>
            <w:tcW w:w="1095" w:type="dxa"/>
          </w:tcPr>
          <w:p w14:paraId="5524A5E6" w14:textId="77777777" w:rsidR="000C099C" w:rsidRDefault="000C099C">
            <w:pPr>
              <w:jc w:val="center"/>
              <w:rPr>
                <w:sz w:val="24"/>
              </w:rPr>
            </w:pPr>
            <w:r>
              <w:rPr>
                <w:sz w:val="24"/>
              </w:rPr>
              <w:t>P</w:t>
            </w:r>
          </w:p>
        </w:tc>
      </w:tr>
      <w:tr w:rsidR="000C099C" w14:paraId="68716B35" w14:textId="77777777">
        <w:tc>
          <w:tcPr>
            <w:tcW w:w="6342" w:type="dxa"/>
          </w:tcPr>
          <w:p w14:paraId="05A67A52" w14:textId="77777777" w:rsidR="000C099C" w:rsidRDefault="000C099C">
            <w:pPr>
              <w:rPr>
                <w:sz w:val="24"/>
              </w:rPr>
            </w:pPr>
            <w:r>
              <w:rPr>
                <w:sz w:val="24"/>
              </w:rPr>
              <w:t>Customer Complaints</w:t>
            </w:r>
          </w:p>
        </w:tc>
        <w:tc>
          <w:tcPr>
            <w:tcW w:w="985" w:type="dxa"/>
          </w:tcPr>
          <w:p w14:paraId="5EAF5C4D" w14:textId="77777777" w:rsidR="000C099C" w:rsidRDefault="000C099C">
            <w:pPr>
              <w:jc w:val="center"/>
              <w:rPr>
                <w:sz w:val="24"/>
              </w:rPr>
            </w:pPr>
          </w:p>
        </w:tc>
        <w:tc>
          <w:tcPr>
            <w:tcW w:w="1046" w:type="dxa"/>
          </w:tcPr>
          <w:p w14:paraId="0874DEE0" w14:textId="77777777" w:rsidR="000C099C" w:rsidRDefault="000C099C">
            <w:pPr>
              <w:jc w:val="center"/>
              <w:rPr>
                <w:sz w:val="24"/>
              </w:rPr>
            </w:pPr>
            <w:r>
              <w:rPr>
                <w:sz w:val="24"/>
              </w:rPr>
              <w:t>6</w:t>
            </w:r>
          </w:p>
        </w:tc>
        <w:tc>
          <w:tcPr>
            <w:tcW w:w="1095" w:type="dxa"/>
          </w:tcPr>
          <w:p w14:paraId="0696F63E" w14:textId="77777777" w:rsidR="000C099C" w:rsidRDefault="000C099C">
            <w:pPr>
              <w:jc w:val="center"/>
              <w:rPr>
                <w:sz w:val="24"/>
              </w:rPr>
            </w:pPr>
            <w:r>
              <w:rPr>
                <w:sz w:val="24"/>
              </w:rPr>
              <w:t>2</w:t>
            </w:r>
          </w:p>
        </w:tc>
      </w:tr>
      <w:tr w:rsidR="000C099C" w14:paraId="1D97C0AE" w14:textId="77777777">
        <w:trPr>
          <w:cantSplit/>
        </w:trPr>
        <w:tc>
          <w:tcPr>
            <w:tcW w:w="9468" w:type="dxa"/>
            <w:gridSpan w:val="4"/>
            <w:shd w:val="clear" w:color="auto" w:fill="E6E6E6"/>
          </w:tcPr>
          <w:p w14:paraId="622AC36B" w14:textId="41F1092F" w:rsidR="000C099C" w:rsidRDefault="000C099C">
            <w:pPr>
              <w:rPr>
                <w:sz w:val="24"/>
              </w:rPr>
            </w:pPr>
            <w:bookmarkStart w:id="170" w:name="OptionsRecords"/>
            <w:r>
              <w:rPr>
                <w:b/>
                <w:bCs/>
                <w:sz w:val="24"/>
              </w:rPr>
              <w:t>Options</w:t>
            </w:r>
            <w:bookmarkEnd w:id="170"/>
          </w:p>
        </w:tc>
      </w:tr>
      <w:tr w:rsidR="000C099C" w14:paraId="6C0ED8CB" w14:textId="77777777">
        <w:tc>
          <w:tcPr>
            <w:tcW w:w="6342" w:type="dxa"/>
          </w:tcPr>
          <w:p w14:paraId="61C7A0C3" w14:textId="77777777" w:rsidR="000C099C" w:rsidRPr="00AE3AB3" w:rsidRDefault="00AE3AB3" w:rsidP="001A587F">
            <w:pPr>
              <w:pStyle w:val="Heading4"/>
            </w:pPr>
            <w:bookmarkStart w:id="171" w:name="_Toc153361399"/>
            <w:r w:rsidRPr="00AE3AB3">
              <w:t>Retail Communication</w:t>
            </w:r>
            <w:r w:rsidR="000C099C" w:rsidRPr="00AE3AB3">
              <w:t xml:space="preserve"> </w:t>
            </w:r>
            <w:bookmarkEnd w:id="171"/>
          </w:p>
        </w:tc>
        <w:tc>
          <w:tcPr>
            <w:tcW w:w="985" w:type="dxa"/>
          </w:tcPr>
          <w:p w14:paraId="426F329B" w14:textId="77777777" w:rsidR="000C099C" w:rsidRDefault="000C099C">
            <w:pPr>
              <w:jc w:val="center"/>
              <w:rPr>
                <w:sz w:val="24"/>
              </w:rPr>
            </w:pPr>
          </w:p>
        </w:tc>
        <w:tc>
          <w:tcPr>
            <w:tcW w:w="1046" w:type="dxa"/>
          </w:tcPr>
          <w:p w14:paraId="3EF52F03" w14:textId="77777777" w:rsidR="000C099C" w:rsidRDefault="000C099C">
            <w:pPr>
              <w:jc w:val="center"/>
              <w:rPr>
                <w:sz w:val="24"/>
              </w:rPr>
            </w:pPr>
            <w:r>
              <w:rPr>
                <w:sz w:val="24"/>
              </w:rPr>
              <w:t>3</w:t>
            </w:r>
          </w:p>
        </w:tc>
        <w:tc>
          <w:tcPr>
            <w:tcW w:w="1095" w:type="dxa"/>
          </w:tcPr>
          <w:p w14:paraId="5F196399" w14:textId="77777777" w:rsidR="000C099C" w:rsidRDefault="000C099C">
            <w:pPr>
              <w:jc w:val="center"/>
              <w:rPr>
                <w:sz w:val="24"/>
              </w:rPr>
            </w:pPr>
            <w:r>
              <w:rPr>
                <w:sz w:val="24"/>
              </w:rPr>
              <w:t>2</w:t>
            </w:r>
          </w:p>
        </w:tc>
      </w:tr>
      <w:tr w:rsidR="000C099C" w14:paraId="27762E77" w14:textId="77777777">
        <w:tc>
          <w:tcPr>
            <w:tcW w:w="6342" w:type="dxa"/>
          </w:tcPr>
          <w:p w14:paraId="109FD963" w14:textId="77777777" w:rsidR="000C099C" w:rsidRDefault="000C099C">
            <w:pPr>
              <w:rPr>
                <w:sz w:val="24"/>
              </w:rPr>
            </w:pPr>
            <w:r>
              <w:rPr>
                <w:sz w:val="24"/>
              </w:rPr>
              <w:t>Customer Complaint file or log</w:t>
            </w:r>
          </w:p>
        </w:tc>
        <w:tc>
          <w:tcPr>
            <w:tcW w:w="985" w:type="dxa"/>
          </w:tcPr>
          <w:p w14:paraId="5F636555" w14:textId="77777777" w:rsidR="000C099C" w:rsidRDefault="000C099C">
            <w:pPr>
              <w:jc w:val="center"/>
              <w:rPr>
                <w:sz w:val="24"/>
              </w:rPr>
            </w:pPr>
          </w:p>
        </w:tc>
        <w:tc>
          <w:tcPr>
            <w:tcW w:w="1046" w:type="dxa"/>
          </w:tcPr>
          <w:p w14:paraId="03335AD4" w14:textId="77777777" w:rsidR="000C099C" w:rsidRDefault="000C099C">
            <w:pPr>
              <w:jc w:val="center"/>
              <w:rPr>
                <w:sz w:val="24"/>
              </w:rPr>
            </w:pPr>
            <w:r>
              <w:rPr>
                <w:sz w:val="24"/>
              </w:rPr>
              <w:t>P</w:t>
            </w:r>
          </w:p>
        </w:tc>
        <w:tc>
          <w:tcPr>
            <w:tcW w:w="1095" w:type="dxa"/>
          </w:tcPr>
          <w:p w14:paraId="64302E89" w14:textId="77777777" w:rsidR="000C099C" w:rsidRDefault="000C099C">
            <w:pPr>
              <w:jc w:val="center"/>
              <w:rPr>
                <w:sz w:val="24"/>
              </w:rPr>
            </w:pPr>
            <w:r>
              <w:rPr>
                <w:sz w:val="24"/>
              </w:rPr>
              <w:t>P</w:t>
            </w:r>
          </w:p>
        </w:tc>
      </w:tr>
      <w:tr w:rsidR="000C099C" w14:paraId="6A0CC710" w14:textId="77777777">
        <w:tc>
          <w:tcPr>
            <w:tcW w:w="6342" w:type="dxa"/>
          </w:tcPr>
          <w:p w14:paraId="7BE15CE6" w14:textId="77777777" w:rsidR="000C099C" w:rsidRDefault="000C099C">
            <w:pPr>
              <w:rPr>
                <w:sz w:val="24"/>
              </w:rPr>
            </w:pPr>
            <w:r>
              <w:rPr>
                <w:sz w:val="24"/>
              </w:rPr>
              <w:t>Option exercise procedure (carried by clearing firm)</w:t>
            </w:r>
          </w:p>
        </w:tc>
        <w:tc>
          <w:tcPr>
            <w:tcW w:w="985" w:type="dxa"/>
          </w:tcPr>
          <w:p w14:paraId="0FB5E350" w14:textId="77777777" w:rsidR="000C099C" w:rsidRDefault="000C099C">
            <w:pPr>
              <w:jc w:val="center"/>
              <w:rPr>
                <w:sz w:val="24"/>
              </w:rPr>
            </w:pPr>
          </w:p>
        </w:tc>
        <w:tc>
          <w:tcPr>
            <w:tcW w:w="1046" w:type="dxa"/>
          </w:tcPr>
          <w:p w14:paraId="4FDE1C00" w14:textId="77777777" w:rsidR="000C099C" w:rsidRDefault="000C099C">
            <w:pPr>
              <w:jc w:val="center"/>
              <w:rPr>
                <w:sz w:val="24"/>
              </w:rPr>
            </w:pPr>
            <w:r>
              <w:rPr>
                <w:sz w:val="24"/>
              </w:rPr>
              <w:t>P</w:t>
            </w:r>
          </w:p>
        </w:tc>
        <w:tc>
          <w:tcPr>
            <w:tcW w:w="1095" w:type="dxa"/>
          </w:tcPr>
          <w:p w14:paraId="16E4FEB9" w14:textId="77777777" w:rsidR="000C099C" w:rsidRDefault="000C099C">
            <w:pPr>
              <w:jc w:val="center"/>
              <w:rPr>
                <w:sz w:val="24"/>
              </w:rPr>
            </w:pPr>
            <w:r>
              <w:rPr>
                <w:sz w:val="24"/>
              </w:rPr>
              <w:t>P</w:t>
            </w:r>
          </w:p>
        </w:tc>
      </w:tr>
      <w:tr w:rsidR="000C099C" w14:paraId="60198D89" w14:textId="77777777">
        <w:trPr>
          <w:cantSplit/>
        </w:trPr>
        <w:tc>
          <w:tcPr>
            <w:tcW w:w="9468" w:type="dxa"/>
            <w:gridSpan w:val="4"/>
            <w:shd w:val="clear" w:color="auto" w:fill="E6E6E6"/>
          </w:tcPr>
          <w:p w14:paraId="073D9213" w14:textId="77777777" w:rsidR="000C099C" w:rsidRDefault="000C099C">
            <w:pPr>
              <w:rPr>
                <w:sz w:val="24"/>
              </w:rPr>
            </w:pPr>
            <w:r>
              <w:rPr>
                <w:b/>
                <w:bCs/>
                <w:sz w:val="24"/>
              </w:rPr>
              <w:t>Private Placements</w:t>
            </w:r>
          </w:p>
        </w:tc>
      </w:tr>
      <w:tr w:rsidR="000C099C" w14:paraId="174C5197" w14:textId="77777777">
        <w:tc>
          <w:tcPr>
            <w:tcW w:w="6342" w:type="dxa"/>
          </w:tcPr>
          <w:p w14:paraId="4F57A82C" w14:textId="77777777" w:rsidR="000C099C" w:rsidRDefault="000C099C" w:rsidP="001A587F">
            <w:pPr>
              <w:pStyle w:val="Heading4"/>
            </w:pPr>
            <w:bookmarkStart w:id="172" w:name="_Toc153361400"/>
            <w:r>
              <w:lastRenderedPageBreak/>
              <w:t>Subscription Documents</w:t>
            </w:r>
            <w:bookmarkEnd w:id="172"/>
          </w:p>
        </w:tc>
        <w:tc>
          <w:tcPr>
            <w:tcW w:w="985" w:type="dxa"/>
          </w:tcPr>
          <w:p w14:paraId="70DB6CEF" w14:textId="77777777" w:rsidR="000C099C" w:rsidRDefault="000C099C">
            <w:pPr>
              <w:jc w:val="center"/>
              <w:rPr>
                <w:sz w:val="24"/>
              </w:rPr>
            </w:pPr>
          </w:p>
        </w:tc>
        <w:tc>
          <w:tcPr>
            <w:tcW w:w="1046" w:type="dxa"/>
          </w:tcPr>
          <w:p w14:paraId="2CEEFB92" w14:textId="77777777" w:rsidR="000C099C" w:rsidRDefault="000C099C">
            <w:pPr>
              <w:jc w:val="center"/>
              <w:rPr>
                <w:sz w:val="24"/>
              </w:rPr>
            </w:pPr>
            <w:r>
              <w:rPr>
                <w:sz w:val="24"/>
              </w:rPr>
              <w:t>6</w:t>
            </w:r>
          </w:p>
        </w:tc>
        <w:tc>
          <w:tcPr>
            <w:tcW w:w="1095" w:type="dxa"/>
          </w:tcPr>
          <w:p w14:paraId="6735D57F" w14:textId="77777777" w:rsidR="000C099C" w:rsidRDefault="000C099C">
            <w:pPr>
              <w:jc w:val="center"/>
              <w:rPr>
                <w:sz w:val="24"/>
              </w:rPr>
            </w:pPr>
            <w:r>
              <w:rPr>
                <w:sz w:val="24"/>
              </w:rPr>
              <w:t>2</w:t>
            </w:r>
          </w:p>
        </w:tc>
      </w:tr>
      <w:tr w:rsidR="000C099C" w14:paraId="15F68535" w14:textId="77777777">
        <w:tc>
          <w:tcPr>
            <w:tcW w:w="6342" w:type="dxa"/>
          </w:tcPr>
          <w:p w14:paraId="65E2C946" w14:textId="77777777" w:rsidR="000C099C" w:rsidRDefault="000C099C">
            <w:pPr>
              <w:rPr>
                <w:sz w:val="24"/>
              </w:rPr>
            </w:pPr>
            <w:r>
              <w:rPr>
                <w:sz w:val="24"/>
              </w:rPr>
              <w:t>Subscription Log</w:t>
            </w:r>
          </w:p>
        </w:tc>
        <w:tc>
          <w:tcPr>
            <w:tcW w:w="985" w:type="dxa"/>
          </w:tcPr>
          <w:p w14:paraId="48505DD8" w14:textId="77777777" w:rsidR="000C099C" w:rsidRDefault="000C099C">
            <w:pPr>
              <w:jc w:val="center"/>
              <w:rPr>
                <w:sz w:val="24"/>
              </w:rPr>
            </w:pPr>
          </w:p>
        </w:tc>
        <w:tc>
          <w:tcPr>
            <w:tcW w:w="1046" w:type="dxa"/>
          </w:tcPr>
          <w:p w14:paraId="4E2CF206" w14:textId="77777777" w:rsidR="000C099C" w:rsidRDefault="000C099C">
            <w:pPr>
              <w:jc w:val="center"/>
              <w:rPr>
                <w:sz w:val="24"/>
              </w:rPr>
            </w:pPr>
            <w:r>
              <w:rPr>
                <w:sz w:val="24"/>
              </w:rPr>
              <w:t>6</w:t>
            </w:r>
          </w:p>
        </w:tc>
        <w:tc>
          <w:tcPr>
            <w:tcW w:w="1095" w:type="dxa"/>
          </w:tcPr>
          <w:p w14:paraId="2D4D9FC1" w14:textId="77777777" w:rsidR="000C099C" w:rsidRDefault="000C099C">
            <w:pPr>
              <w:jc w:val="center"/>
              <w:rPr>
                <w:sz w:val="24"/>
              </w:rPr>
            </w:pPr>
            <w:r>
              <w:rPr>
                <w:sz w:val="24"/>
              </w:rPr>
              <w:t>2</w:t>
            </w:r>
          </w:p>
        </w:tc>
      </w:tr>
      <w:tr w:rsidR="000C099C" w14:paraId="25109D51" w14:textId="77777777">
        <w:tc>
          <w:tcPr>
            <w:tcW w:w="6342" w:type="dxa"/>
          </w:tcPr>
          <w:p w14:paraId="2D6110C8" w14:textId="77777777" w:rsidR="000C099C" w:rsidRDefault="000C099C">
            <w:pPr>
              <w:rPr>
                <w:sz w:val="24"/>
              </w:rPr>
            </w:pPr>
            <w:r>
              <w:rPr>
                <w:sz w:val="24"/>
              </w:rPr>
              <w:t>Offering Memorandum</w:t>
            </w:r>
          </w:p>
        </w:tc>
        <w:tc>
          <w:tcPr>
            <w:tcW w:w="985" w:type="dxa"/>
          </w:tcPr>
          <w:p w14:paraId="7FCD89EA" w14:textId="77777777" w:rsidR="000C099C" w:rsidRDefault="000C099C">
            <w:pPr>
              <w:jc w:val="center"/>
              <w:rPr>
                <w:sz w:val="24"/>
              </w:rPr>
            </w:pPr>
          </w:p>
        </w:tc>
        <w:tc>
          <w:tcPr>
            <w:tcW w:w="1046" w:type="dxa"/>
          </w:tcPr>
          <w:p w14:paraId="0B30DE3B" w14:textId="77777777" w:rsidR="000C099C" w:rsidRDefault="000C099C">
            <w:pPr>
              <w:jc w:val="center"/>
              <w:rPr>
                <w:sz w:val="24"/>
              </w:rPr>
            </w:pPr>
            <w:r>
              <w:rPr>
                <w:sz w:val="24"/>
              </w:rPr>
              <w:t>6</w:t>
            </w:r>
          </w:p>
        </w:tc>
        <w:tc>
          <w:tcPr>
            <w:tcW w:w="1095" w:type="dxa"/>
          </w:tcPr>
          <w:p w14:paraId="6CCA3999" w14:textId="77777777" w:rsidR="000C099C" w:rsidRDefault="000C099C">
            <w:pPr>
              <w:jc w:val="center"/>
              <w:rPr>
                <w:sz w:val="24"/>
              </w:rPr>
            </w:pPr>
            <w:r>
              <w:rPr>
                <w:sz w:val="24"/>
              </w:rPr>
              <w:t>2</w:t>
            </w:r>
          </w:p>
        </w:tc>
      </w:tr>
      <w:tr w:rsidR="000C099C" w14:paraId="7B04DFA7" w14:textId="77777777">
        <w:tc>
          <w:tcPr>
            <w:tcW w:w="6342" w:type="dxa"/>
          </w:tcPr>
          <w:p w14:paraId="096FF449" w14:textId="77777777" w:rsidR="000C099C" w:rsidRDefault="000C099C">
            <w:pPr>
              <w:rPr>
                <w:sz w:val="24"/>
              </w:rPr>
            </w:pPr>
            <w:r>
              <w:rPr>
                <w:sz w:val="24"/>
              </w:rPr>
              <w:t>Escrow Account Agreement</w:t>
            </w:r>
          </w:p>
        </w:tc>
        <w:tc>
          <w:tcPr>
            <w:tcW w:w="985" w:type="dxa"/>
          </w:tcPr>
          <w:p w14:paraId="26FB4F6A" w14:textId="77777777" w:rsidR="000C099C" w:rsidRDefault="000C099C">
            <w:pPr>
              <w:jc w:val="center"/>
              <w:rPr>
                <w:sz w:val="24"/>
              </w:rPr>
            </w:pPr>
          </w:p>
        </w:tc>
        <w:tc>
          <w:tcPr>
            <w:tcW w:w="1046" w:type="dxa"/>
          </w:tcPr>
          <w:p w14:paraId="12226682" w14:textId="77777777" w:rsidR="000C099C" w:rsidRDefault="000C099C">
            <w:pPr>
              <w:jc w:val="center"/>
              <w:rPr>
                <w:sz w:val="24"/>
              </w:rPr>
            </w:pPr>
            <w:r>
              <w:rPr>
                <w:sz w:val="24"/>
              </w:rPr>
              <w:t>6</w:t>
            </w:r>
          </w:p>
        </w:tc>
        <w:tc>
          <w:tcPr>
            <w:tcW w:w="1095" w:type="dxa"/>
          </w:tcPr>
          <w:p w14:paraId="4CC34A44" w14:textId="77777777" w:rsidR="000C099C" w:rsidRDefault="000C099C">
            <w:pPr>
              <w:jc w:val="center"/>
              <w:rPr>
                <w:sz w:val="24"/>
              </w:rPr>
            </w:pPr>
            <w:r>
              <w:rPr>
                <w:sz w:val="24"/>
              </w:rPr>
              <w:t>2</w:t>
            </w:r>
          </w:p>
        </w:tc>
      </w:tr>
      <w:tr w:rsidR="000C099C" w14:paraId="51FEB22F" w14:textId="77777777">
        <w:tc>
          <w:tcPr>
            <w:tcW w:w="6342" w:type="dxa"/>
          </w:tcPr>
          <w:p w14:paraId="0504F86A" w14:textId="77777777" w:rsidR="000C099C" w:rsidRDefault="000C099C">
            <w:pPr>
              <w:rPr>
                <w:sz w:val="24"/>
              </w:rPr>
            </w:pPr>
            <w:r>
              <w:rPr>
                <w:sz w:val="24"/>
              </w:rPr>
              <w:t>Copy of Escrow Bank Account Statements</w:t>
            </w:r>
          </w:p>
        </w:tc>
        <w:tc>
          <w:tcPr>
            <w:tcW w:w="985" w:type="dxa"/>
          </w:tcPr>
          <w:p w14:paraId="2ABABFF8" w14:textId="77777777" w:rsidR="000C099C" w:rsidRDefault="000C099C">
            <w:pPr>
              <w:jc w:val="center"/>
              <w:rPr>
                <w:sz w:val="24"/>
              </w:rPr>
            </w:pPr>
          </w:p>
        </w:tc>
        <w:tc>
          <w:tcPr>
            <w:tcW w:w="1046" w:type="dxa"/>
          </w:tcPr>
          <w:p w14:paraId="59634F2E" w14:textId="77777777" w:rsidR="000C099C" w:rsidRDefault="000C099C">
            <w:pPr>
              <w:jc w:val="center"/>
              <w:rPr>
                <w:sz w:val="24"/>
              </w:rPr>
            </w:pPr>
            <w:r>
              <w:rPr>
                <w:sz w:val="24"/>
              </w:rPr>
              <w:t>6</w:t>
            </w:r>
          </w:p>
        </w:tc>
        <w:tc>
          <w:tcPr>
            <w:tcW w:w="1095" w:type="dxa"/>
          </w:tcPr>
          <w:p w14:paraId="51E1797E" w14:textId="77777777" w:rsidR="000C099C" w:rsidRDefault="000C099C">
            <w:pPr>
              <w:jc w:val="center"/>
              <w:rPr>
                <w:sz w:val="24"/>
              </w:rPr>
            </w:pPr>
            <w:r>
              <w:rPr>
                <w:sz w:val="24"/>
              </w:rPr>
              <w:t>2</w:t>
            </w:r>
          </w:p>
        </w:tc>
      </w:tr>
      <w:tr w:rsidR="000C099C" w14:paraId="27F23F64" w14:textId="77777777">
        <w:tc>
          <w:tcPr>
            <w:tcW w:w="6342" w:type="dxa"/>
          </w:tcPr>
          <w:p w14:paraId="3306A5FE" w14:textId="77777777" w:rsidR="000C099C" w:rsidRDefault="000C099C">
            <w:pPr>
              <w:rPr>
                <w:sz w:val="24"/>
              </w:rPr>
            </w:pPr>
            <w:r>
              <w:rPr>
                <w:sz w:val="24"/>
              </w:rPr>
              <w:t>Correspondence</w:t>
            </w:r>
          </w:p>
        </w:tc>
        <w:tc>
          <w:tcPr>
            <w:tcW w:w="985" w:type="dxa"/>
          </w:tcPr>
          <w:p w14:paraId="211AD0D9" w14:textId="77777777" w:rsidR="000C099C" w:rsidRDefault="000C099C">
            <w:pPr>
              <w:jc w:val="center"/>
              <w:rPr>
                <w:sz w:val="24"/>
              </w:rPr>
            </w:pPr>
          </w:p>
        </w:tc>
        <w:tc>
          <w:tcPr>
            <w:tcW w:w="1046" w:type="dxa"/>
          </w:tcPr>
          <w:p w14:paraId="1CCAEAED" w14:textId="77777777" w:rsidR="000C099C" w:rsidRDefault="000C099C">
            <w:pPr>
              <w:jc w:val="center"/>
              <w:rPr>
                <w:sz w:val="24"/>
              </w:rPr>
            </w:pPr>
            <w:r>
              <w:rPr>
                <w:sz w:val="24"/>
              </w:rPr>
              <w:t>6</w:t>
            </w:r>
          </w:p>
        </w:tc>
        <w:tc>
          <w:tcPr>
            <w:tcW w:w="1095" w:type="dxa"/>
          </w:tcPr>
          <w:p w14:paraId="2FA354A0" w14:textId="77777777" w:rsidR="000C099C" w:rsidRDefault="000C099C">
            <w:pPr>
              <w:jc w:val="center"/>
              <w:rPr>
                <w:sz w:val="24"/>
              </w:rPr>
            </w:pPr>
            <w:r>
              <w:rPr>
                <w:sz w:val="24"/>
              </w:rPr>
              <w:t>2</w:t>
            </w:r>
          </w:p>
        </w:tc>
      </w:tr>
      <w:tr w:rsidR="000C099C" w14:paraId="0F2D0F5D" w14:textId="77777777">
        <w:tc>
          <w:tcPr>
            <w:tcW w:w="6342" w:type="dxa"/>
          </w:tcPr>
          <w:p w14:paraId="13769AD3" w14:textId="77777777" w:rsidR="000C099C" w:rsidRDefault="000C099C">
            <w:pPr>
              <w:rPr>
                <w:sz w:val="24"/>
              </w:rPr>
            </w:pPr>
            <w:r>
              <w:rPr>
                <w:sz w:val="24"/>
              </w:rPr>
              <w:t>Offering (Issuer) files</w:t>
            </w:r>
          </w:p>
        </w:tc>
        <w:tc>
          <w:tcPr>
            <w:tcW w:w="985" w:type="dxa"/>
          </w:tcPr>
          <w:p w14:paraId="481E4CAB" w14:textId="77777777" w:rsidR="000C099C" w:rsidRDefault="000C099C">
            <w:pPr>
              <w:jc w:val="center"/>
              <w:rPr>
                <w:sz w:val="24"/>
              </w:rPr>
            </w:pPr>
          </w:p>
        </w:tc>
        <w:tc>
          <w:tcPr>
            <w:tcW w:w="1046" w:type="dxa"/>
          </w:tcPr>
          <w:p w14:paraId="4D7028EB" w14:textId="77777777" w:rsidR="000C099C" w:rsidRDefault="000C099C">
            <w:pPr>
              <w:jc w:val="center"/>
              <w:rPr>
                <w:sz w:val="24"/>
              </w:rPr>
            </w:pPr>
            <w:r>
              <w:rPr>
                <w:sz w:val="24"/>
              </w:rPr>
              <w:t>6</w:t>
            </w:r>
          </w:p>
        </w:tc>
        <w:tc>
          <w:tcPr>
            <w:tcW w:w="1095" w:type="dxa"/>
          </w:tcPr>
          <w:p w14:paraId="62DE8F51" w14:textId="77777777" w:rsidR="000C099C" w:rsidRDefault="000C099C">
            <w:pPr>
              <w:jc w:val="center"/>
              <w:rPr>
                <w:sz w:val="24"/>
              </w:rPr>
            </w:pPr>
            <w:r>
              <w:rPr>
                <w:sz w:val="24"/>
              </w:rPr>
              <w:t>2</w:t>
            </w:r>
          </w:p>
        </w:tc>
      </w:tr>
      <w:tr w:rsidR="000C099C" w14:paraId="5A66CA21" w14:textId="77777777">
        <w:tc>
          <w:tcPr>
            <w:tcW w:w="6342" w:type="dxa"/>
          </w:tcPr>
          <w:p w14:paraId="4EB31CB4" w14:textId="77777777" w:rsidR="000C099C" w:rsidRDefault="000C099C">
            <w:pPr>
              <w:rPr>
                <w:sz w:val="24"/>
              </w:rPr>
            </w:pPr>
            <w:r>
              <w:rPr>
                <w:sz w:val="24"/>
              </w:rPr>
              <w:t>Due Diligence</w:t>
            </w:r>
          </w:p>
        </w:tc>
        <w:tc>
          <w:tcPr>
            <w:tcW w:w="985" w:type="dxa"/>
          </w:tcPr>
          <w:p w14:paraId="48610EE4" w14:textId="77777777" w:rsidR="000C099C" w:rsidRDefault="000C099C">
            <w:pPr>
              <w:jc w:val="center"/>
              <w:rPr>
                <w:sz w:val="24"/>
              </w:rPr>
            </w:pPr>
          </w:p>
        </w:tc>
        <w:tc>
          <w:tcPr>
            <w:tcW w:w="1046" w:type="dxa"/>
          </w:tcPr>
          <w:p w14:paraId="4E851113" w14:textId="77777777" w:rsidR="000C099C" w:rsidRDefault="000C099C">
            <w:pPr>
              <w:jc w:val="center"/>
              <w:rPr>
                <w:sz w:val="24"/>
              </w:rPr>
            </w:pPr>
            <w:r>
              <w:rPr>
                <w:sz w:val="24"/>
              </w:rPr>
              <w:t>6</w:t>
            </w:r>
          </w:p>
        </w:tc>
        <w:tc>
          <w:tcPr>
            <w:tcW w:w="1095" w:type="dxa"/>
          </w:tcPr>
          <w:p w14:paraId="61ECF458" w14:textId="77777777" w:rsidR="000C099C" w:rsidRDefault="000C099C">
            <w:pPr>
              <w:jc w:val="center"/>
              <w:rPr>
                <w:sz w:val="24"/>
              </w:rPr>
            </w:pPr>
            <w:r>
              <w:rPr>
                <w:sz w:val="24"/>
              </w:rPr>
              <w:t>2</w:t>
            </w:r>
          </w:p>
        </w:tc>
      </w:tr>
      <w:tr w:rsidR="000C099C" w14:paraId="0EBFAC47" w14:textId="77777777">
        <w:tc>
          <w:tcPr>
            <w:tcW w:w="6342" w:type="dxa"/>
          </w:tcPr>
          <w:p w14:paraId="34653EFD" w14:textId="77777777" w:rsidR="000C099C" w:rsidRDefault="000C099C">
            <w:pPr>
              <w:rPr>
                <w:sz w:val="24"/>
              </w:rPr>
            </w:pPr>
            <w:r>
              <w:rPr>
                <w:sz w:val="24"/>
              </w:rPr>
              <w:t>Selling Agreement</w:t>
            </w:r>
          </w:p>
        </w:tc>
        <w:tc>
          <w:tcPr>
            <w:tcW w:w="985" w:type="dxa"/>
          </w:tcPr>
          <w:p w14:paraId="2B2E3213" w14:textId="77777777" w:rsidR="000C099C" w:rsidRDefault="000C099C">
            <w:pPr>
              <w:jc w:val="center"/>
              <w:rPr>
                <w:sz w:val="24"/>
              </w:rPr>
            </w:pPr>
          </w:p>
        </w:tc>
        <w:tc>
          <w:tcPr>
            <w:tcW w:w="1046" w:type="dxa"/>
          </w:tcPr>
          <w:p w14:paraId="2643C54A" w14:textId="77777777" w:rsidR="000C099C" w:rsidRDefault="000C099C">
            <w:pPr>
              <w:jc w:val="center"/>
              <w:rPr>
                <w:sz w:val="24"/>
              </w:rPr>
            </w:pPr>
            <w:r>
              <w:rPr>
                <w:sz w:val="24"/>
              </w:rPr>
              <w:t>6</w:t>
            </w:r>
          </w:p>
        </w:tc>
        <w:tc>
          <w:tcPr>
            <w:tcW w:w="1095" w:type="dxa"/>
          </w:tcPr>
          <w:p w14:paraId="10F47F2D" w14:textId="77777777" w:rsidR="000C099C" w:rsidRDefault="000C099C">
            <w:pPr>
              <w:jc w:val="center"/>
              <w:rPr>
                <w:sz w:val="24"/>
              </w:rPr>
            </w:pPr>
            <w:r>
              <w:rPr>
                <w:sz w:val="24"/>
              </w:rPr>
              <w:t>2</w:t>
            </w:r>
          </w:p>
        </w:tc>
      </w:tr>
      <w:tr w:rsidR="000C099C" w14:paraId="75757E0F" w14:textId="77777777">
        <w:tc>
          <w:tcPr>
            <w:tcW w:w="6342" w:type="dxa"/>
          </w:tcPr>
          <w:p w14:paraId="6A40EBD8" w14:textId="77777777" w:rsidR="000C099C" w:rsidRDefault="000C099C">
            <w:pPr>
              <w:rPr>
                <w:sz w:val="24"/>
              </w:rPr>
            </w:pPr>
            <w:r>
              <w:rPr>
                <w:sz w:val="24"/>
              </w:rPr>
              <w:t>Dealer/Manager Agreement</w:t>
            </w:r>
          </w:p>
        </w:tc>
        <w:tc>
          <w:tcPr>
            <w:tcW w:w="985" w:type="dxa"/>
          </w:tcPr>
          <w:p w14:paraId="57A4A551" w14:textId="77777777" w:rsidR="000C099C" w:rsidRDefault="000C099C">
            <w:pPr>
              <w:jc w:val="center"/>
              <w:rPr>
                <w:sz w:val="24"/>
              </w:rPr>
            </w:pPr>
          </w:p>
        </w:tc>
        <w:tc>
          <w:tcPr>
            <w:tcW w:w="1046" w:type="dxa"/>
          </w:tcPr>
          <w:p w14:paraId="62670B2F" w14:textId="77777777" w:rsidR="000C099C" w:rsidRDefault="000C099C">
            <w:pPr>
              <w:jc w:val="center"/>
              <w:rPr>
                <w:sz w:val="24"/>
              </w:rPr>
            </w:pPr>
            <w:r>
              <w:rPr>
                <w:sz w:val="24"/>
              </w:rPr>
              <w:t>6</w:t>
            </w:r>
          </w:p>
        </w:tc>
        <w:tc>
          <w:tcPr>
            <w:tcW w:w="1095" w:type="dxa"/>
          </w:tcPr>
          <w:p w14:paraId="26250675" w14:textId="77777777" w:rsidR="000C099C" w:rsidRDefault="000C099C">
            <w:pPr>
              <w:jc w:val="center"/>
              <w:rPr>
                <w:sz w:val="24"/>
              </w:rPr>
            </w:pPr>
            <w:r>
              <w:rPr>
                <w:sz w:val="24"/>
              </w:rPr>
              <w:t>2</w:t>
            </w:r>
          </w:p>
        </w:tc>
      </w:tr>
      <w:tr w:rsidR="000C099C" w14:paraId="6A2411C8" w14:textId="77777777">
        <w:tc>
          <w:tcPr>
            <w:tcW w:w="6342" w:type="dxa"/>
          </w:tcPr>
          <w:p w14:paraId="3771F132" w14:textId="77777777" w:rsidR="000C099C" w:rsidRDefault="000C099C">
            <w:pPr>
              <w:rPr>
                <w:sz w:val="24"/>
              </w:rPr>
            </w:pPr>
            <w:r>
              <w:rPr>
                <w:sz w:val="24"/>
              </w:rPr>
              <w:t>Blue Sky Information</w:t>
            </w:r>
          </w:p>
        </w:tc>
        <w:tc>
          <w:tcPr>
            <w:tcW w:w="985" w:type="dxa"/>
          </w:tcPr>
          <w:p w14:paraId="293EECCC" w14:textId="77777777" w:rsidR="000C099C" w:rsidRDefault="000C099C">
            <w:pPr>
              <w:jc w:val="center"/>
              <w:rPr>
                <w:sz w:val="24"/>
              </w:rPr>
            </w:pPr>
          </w:p>
        </w:tc>
        <w:tc>
          <w:tcPr>
            <w:tcW w:w="1046" w:type="dxa"/>
          </w:tcPr>
          <w:p w14:paraId="6E0F1B95" w14:textId="77777777" w:rsidR="000C099C" w:rsidRDefault="000C099C">
            <w:pPr>
              <w:jc w:val="center"/>
              <w:rPr>
                <w:sz w:val="24"/>
              </w:rPr>
            </w:pPr>
            <w:r>
              <w:rPr>
                <w:sz w:val="24"/>
              </w:rPr>
              <w:t>6</w:t>
            </w:r>
          </w:p>
        </w:tc>
        <w:tc>
          <w:tcPr>
            <w:tcW w:w="1095" w:type="dxa"/>
          </w:tcPr>
          <w:p w14:paraId="54A21C49" w14:textId="77777777" w:rsidR="000C099C" w:rsidRDefault="000C099C">
            <w:pPr>
              <w:jc w:val="center"/>
              <w:rPr>
                <w:sz w:val="24"/>
              </w:rPr>
            </w:pPr>
            <w:r>
              <w:rPr>
                <w:sz w:val="24"/>
              </w:rPr>
              <w:t>2</w:t>
            </w:r>
          </w:p>
        </w:tc>
      </w:tr>
      <w:tr w:rsidR="000C099C" w14:paraId="5A53FFAD" w14:textId="77777777">
        <w:tc>
          <w:tcPr>
            <w:tcW w:w="6342" w:type="dxa"/>
          </w:tcPr>
          <w:p w14:paraId="04CB09C4" w14:textId="77777777" w:rsidR="000C099C" w:rsidRDefault="000C099C">
            <w:pPr>
              <w:rPr>
                <w:sz w:val="24"/>
              </w:rPr>
            </w:pPr>
            <w:r>
              <w:rPr>
                <w:sz w:val="24"/>
              </w:rPr>
              <w:t>Form D</w:t>
            </w:r>
          </w:p>
        </w:tc>
        <w:tc>
          <w:tcPr>
            <w:tcW w:w="985" w:type="dxa"/>
          </w:tcPr>
          <w:p w14:paraId="7C424B16" w14:textId="77777777" w:rsidR="000C099C" w:rsidRDefault="000C099C">
            <w:pPr>
              <w:jc w:val="center"/>
              <w:rPr>
                <w:sz w:val="24"/>
              </w:rPr>
            </w:pPr>
          </w:p>
        </w:tc>
        <w:tc>
          <w:tcPr>
            <w:tcW w:w="1046" w:type="dxa"/>
          </w:tcPr>
          <w:p w14:paraId="1647959D" w14:textId="77777777" w:rsidR="000C099C" w:rsidRDefault="000C099C">
            <w:pPr>
              <w:jc w:val="center"/>
              <w:rPr>
                <w:sz w:val="24"/>
              </w:rPr>
            </w:pPr>
            <w:r>
              <w:rPr>
                <w:sz w:val="24"/>
              </w:rPr>
              <w:t>6</w:t>
            </w:r>
          </w:p>
        </w:tc>
        <w:tc>
          <w:tcPr>
            <w:tcW w:w="1095" w:type="dxa"/>
          </w:tcPr>
          <w:p w14:paraId="53435D02" w14:textId="77777777" w:rsidR="000C099C" w:rsidRDefault="000C099C">
            <w:pPr>
              <w:jc w:val="center"/>
              <w:rPr>
                <w:sz w:val="24"/>
              </w:rPr>
            </w:pPr>
            <w:r>
              <w:rPr>
                <w:sz w:val="24"/>
              </w:rPr>
              <w:t>2</w:t>
            </w:r>
          </w:p>
        </w:tc>
      </w:tr>
    </w:tbl>
    <w:p w14:paraId="68EBA136" w14:textId="77777777" w:rsidR="0006122A" w:rsidRDefault="0006122A">
      <w:pPr>
        <w:rPr>
          <w:sz w:val="24"/>
        </w:rPr>
      </w:pPr>
      <w:r>
        <w:rPr>
          <w:sz w:val="24"/>
        </w:rPr>
        <w:br w:type="page"/>
      </w:r>
    </w:p>
    <w:p w14:paraId="32948D07" w14:textId="77777777" w:rsidR="00423A3E" w:rsidRDefault="00423A3E" w:rsidP="00423A3E">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173" w:name="InvestmentCoSalesAct"/>
    </w:p>
    <w:p w14:paraId="07F31B6A" w14:textId="77777777" w:rsidR="00423A3E" w:rsidRDefault="00700A8D" w:rsidP="00423A3E">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174" w:name="_Toc227820439"/>
      <w:bookmarkStart w:id="175" w:name="_Toc227821710"/>
      <w:bookmarkStart w:id="176" w:name="_Toc227821829"/>
      <w:bookmarkStart w:id="177" w:name="_Toc535916176"/>
      <w:r>
        <w:t>1</w:t>
      </w:r>
      <w:r w:rsidR="00831651">
        <w:t>1</w:t>
      </w:r>
      <w:r>
        <w:t>.</w:t>
      </w:r>
      <w:r w:rsidR="00FE3A30">
        <w:t xml:space="preserve">  </w:t>
      </w:r>
      <w:r w:rsidR="000C099C">
        <w:t xml:space="preserve">INVESTMENT COMPANY SALES </w:t>
      </w:r>
      <w:r w:rsidR="00423A3E">
        <w:t>ACTIVITIES</w:t>
      </w:r>
      <w:bookmarkEnd w:id="174"/>
      <w:bookmarkEnd w:id="175"/>
      <w:bookmarkEnd w:id="176"/>
      <w:bookmarkEnd w:id="177"/>
    </w:p>
    <w:p w14:paraId="146F6B21" w14:textId="77777777" w:rsidR="00423A3E" w:rsidRDefault="00423A3E" w:rsidP="00423A3E">
      <w:pPr>
        <w:pStyle w:val="Heading1"/>
        <w:pBdr>
          <w:top w:val="double" w:sz="12" w:space="1" w:color="000099"/>
          <w:left w:val="double" w:sz="12" w:space="4" w:color="000099"/>
          <w:bottom w:val="double" w:sz="12" w:space="1" w:color="000099"/>
          <w:right w:val="double" w:sz="12" w:space="4" w:color="000099"/>
        </w:pBdr>
        <w:shd w:val="pct10" w:color="0000FF" w:fill="auto"/>
        <w:jc w:val="center"/>
      </w:pPr>
    </w:p>
    <w:bookmarkEnd w:id="173"/>
    <w:p w14:paraId="116D9E9E" w14:textId="77777777" w:rsidR="000C099C" w:rsidRDefault="000C099C">
      <w:pPr>
        <w:jc w:val="both"/>
        <w:rPr>
          <w:sz w:val="24"/>
        </w:rPr>
      </w:pPr>
    </w:p>
    <w:p w14:paraId="356ACDC5" w14:textId="77777777" w:rsidR="000C099C" w:rsidRDefault="000C099C">
      <w:pPr>
        <w:jc w:val="both"/>
        <w:rPr>
          <w:sz w:val="24"/>
        </w:rPr>
      </w:pPr>
    </w:p>
    <w:p w14:paraId="5D64C526" w14:textId="77777777" w:rsidR="00831651" w:rsidRDefault="00831651" w:rsidP="00936FEE">
      <w:pPr>
        <w:pStyle w:val="Heading2"/>
      </w:pPr>
      <w:bookmarkStart w:id="178" w:name="_11.1_Introduction"/>
      <w:bookmarkEnd w:id="178"/>
      <w:r>
        <w:t>11.1 Introduction</w:t>
      </w:r>
    </w:p>
    <w:p w14:paraId="7DEC20B0" w14:textId="548F26B2" w:rsidR="00E344DB" w:rsidRDefault="009C5F25" w:rsidP="00E344DB">
      <w:pPr>
        <w:jc w:val="both"/>
        <w:rPr>
          <w:bCs/>
          <w:sz w:val="24"/>
        </w:rPr>
      </w:pPr>
      <w:r w:rsidRPr="00767FD6">
        <w:rPr>
          <w:sz w:val="24"/>
          <w:szCs w:val="24"/>
        </w:rPr>
        <w:t xml:space="preserve">This chapter includes policies and procedures for investment company products (mutual funds, closed-end funds, unit investment trusts (UITs), exchange-traded funds, </w:t>
      </w:r>
      <w:r w:rsidRPr="00767FD6">
        <w:rPr>
          <w:iCs/>
          <w:sz w:val="24"/>
          <w:szCs w:val="24"/>
        </w:rPr>
        <w:t>etc.</w:t>
      </w:r>
      <w:r w:rsidRPr="00767FD6">
        <w:rPr>
          <w:sz w:val="24"/>
          <w:szCs w:val="24"/>
        </w:rPr>
        <w:t>)</w:t>
      </w:r>
      <w:r w:rsidR="00831651" w:rsidRPr="00767FD6">
        <w:rPr>
          <w:spacing w:val="8"/>
          <w:sz w:val="24"/>
          <w:szCs w:val="24"/>
        </w:rPr>
        <w:t xml:space="preserve">. </w:t>
      </w:r>
      <w:r w:rsidR="009F7437" w:rsidRPr="00767FD6">
        <w:rPr>
          <w:spacing w:val="8"/>
          <w:sz w:val="24"/>
          <w:szCs w:val="24"/>
        </w:rPr>
        <w:t xml:space="preserve">The initial section includes mutual funds.  The initial section addresses mutual funds.  </w:t>
      </w:r>
      <w:r w:rsidR="00E344DB" w:rsidRPr="00767FD6">
        <w:rPr>
          <w:bCs/>
          <w:sz w:val="24"/>
        </w:rPr>
        <w:t xml:space="preserve">It shall be the responsibility of Morris Monroe and/or his designee to conduct a review, no less than annually, of </w:t>
      </w:r>
      <w:r w:rsidRPr="00767FD6">
        <w:rPr>
          <w:bCs/>
          <w:sz w:val="24"/>
        </w:rPr>
        <w:t>these</w:t>
      </w:r>
      <w:r w:rsidR="00E344DB" w:rsidRPr="00767FD6">
        <w:rPr>
          <w:bCs/>
          <w:sz w:val="24"/>
        </w:rPr>
        <w:t xml:space="preserve"> procedures </w:t>
      </w:r>
      <w:r w:rsidR="00E344DB">
        <w:rPr>
          <w:bCs/>
          <w:sz w:val="24"/>
        </w:rPr>
        <w:t xml:space="preserve">to ensure regulatory compliance as well as to </w:t>
      </w:r>
      <w:r w:rsidR="00202CD9">
        <w:rPr>
          <w:bCs/>
          <w:sz w:val="24"/>
        </w:rPr>
        <w:t>ensure proper</w:t>
      </w:r>
      <w:r w:rsidR="00E344DB">
        <w:rPr>
          <w:bCs/>
          <w:sz w:val="24"/>
        </w:rPr>
        <w:t xml:space="preserve"> procedures are being followed.  </w:t>
      </w:r>
    </w:p>
    <w:p w14:paraId="12CC612B" w14:textId="45B874AE" w:rsidR="00E20878" w:rsidRDefault="00E20878" w:rsidP="00E344DB">
      <w:pPr>
        <w:jc w:val="both"/>
        <w:rPr>
          <w:bCs/>
          <w:sz w:val="24"/>
        </w:rPr>
      </w:pPr>
    </w:p>
    <w:p w14:paraId="35E39C63" w14:textId="77777777" w:rsidR="00E20878" w:rsidRPr="0012671D" w:rsidRDefault="00E20878" w:rsidP="00E20878">
      <w:pPr>
        <w:jc w:val="both"/>
        <w:rPr>
          <w:sz w:val="24"/>
          <w:szCs w:val="24"/>
        </w:rPr>
      </w:pPr>
      <w:r w:rsidRPr="0012671D">
        <w:rPr>
          <w:spacing w:val="8"/>
          <w:sz w:val="24"/>
          <w:szCs w:val="24"/>
          <w:shd w:val="clear" w:color="auto" w:fill="FFFFFF"/>
        </w:rPr>
        <w:t>References to "suitability" apply only to those recommendations NOT subject to Regulation Best Interest (BI) which applies to retail customers and is addressed in a separate chapter by that name. Suitability requirements apply to entities and institutions (</w:t>
      </w:r>
      <w:r w:rsidRPr="0012671D">
        <w:rPr>
          <w:i/>
          <w:iCs/>
          <w:spacing w:val="8"/>
          <w:sz w:val="24"/>
          <w:szCs w:val="24"/>
          <w:shd w:val="clear" w:color="auto" w:fill="FFFFFF"/>
        </w:rPr>
        <w:t>e.g.,</w:t>
      </w:r>
      <w:r w:rsidRPr="0012671D">
        <w:rPr>
          <w:spacing w:val="8"/>
          <w:sz w:val="24"/>
          <w:szCs w:val="24"/>
          <w:shd w:val="clear" w:color="auto" w:fill="FFFFFF"/>
        </w:rPr>
        <w:t> pension funds) and natural persons who will not use recommendations primarily for personal, family, or household purposes (</w:t>
      </w:r>
      <w:r w:rsidRPr="0012671D">
        <w:rPr>
          <w:i/>
          <w:iCs/>
          <w:spacing w:val="8"/>
          <w:sz w:val="24"/>
          <w:szCs w:val="24"/>
          <w:shd w:val="clear" w:color="auto" w:fill="FFFFFF"/>
        </w:rPr>
        <w:t>e.g.,</w:t>
      </w:r>
      <w:r w:rsidRPr="0012671D">
        <w:rPr>
          <w:spacing w:val="8"/>
          <w:sz w:val="24"/>
          <w:szCs w:val="24"/>
          <w:shd w:val="clear" w:color="auto" w:fill="FFFFFF"/>
        </w:rPr>
        <w:t> small business owners and charitable trusts). Refer to the Section 5.7 </w:t>
      </w:r>
      <w:r w:rsidRPr="0012671D">
        <w:rPr>
          <w:i/>
          <w:iCs/>
          <w:spacing w:val="8"/>
          <w:sz w:val="24"/>
          <w:szCs w:val="24"/>
          <w:shd w:val="clear" w:color="auto" w:fill="FFFFFF"/>
        </w:rPr>
        <w:t>REGULATION BEST INTEREST (BI)</w:t>
      </w:r>
      <w:r w:rsidRPr="0012671D">
        <w:rPr>
          <w:spacing w:val="8"/>
          <w:sz w:val="24"/>
          <w:szCs w:val="24"/>
          <w:shd w:val="clear" w:color="auto" w:fill="FFFFFF"/>
        </w:rPr>
        <w:t> for requirements when dealing with retail customers.</w:t>
      </w:r>
    </w:p>
    <w:p w14:paraId="66AEF0A1" w14:textId="77777777" w:rsidR="00E344DB" w:rsidRDefault="00E344DB" w:rsidP="00831651">
      <w:pPr>
        <w:shd w:val="clear" w:color="auto" w:fill="FFFFFF"/>
        <w:jc w:val="both"/>
        <w:rPr>
          <w:color w:val="000000"/>
          <w:spacing w:val="8"/>
          <w:sz w:val="24"/>
          <w:szCs w:val="24"/>
        </w:rPr>
      </w:pPr>
    </w:p>
    <w:p w14:paraId="60523185" w14:textId="77777777" w:rsidR="00831651" w:rsidRPr="00831651" w:rsidRDefault="00831651" w:rsidP="00831651">
      <w:pPr>
        <w:shd w:val="clear" w:color="auto" w:fill="FFFFFF"/>
        <w:jc w:val="both"/>
        <w:rPr>
          <w:color w:val="000000"/>
          <w:spacing w:val="8"/>
          <w:sz w:val="24"/>
          <w:szCs w:val="24"/>
        </w:rPr>
      </w:pPr>
      <w:r w:rsidRPr="00831651">
        <w:rPr>
          <w:color w:val="000000"/>
          <w:spacing w:val="8"/>
          <w:sz w:val="24"/>
          <w:szCs w:val="24"/>
        </w:rPr>
        <w:t>Key points for consideration when offering mutual funds include the following:</w:t>
      </w:r>
    </w:p>
    <w:p w14:paraId="4C429DC6" w14:textId="77777777" w:rsidR="00831651" w:rsidRPr="00831651" w:rsidRDefault="00831651" w:rsidP="00C1728B">
      <w:pPr>
        <w:numPr>
          <w:ilvl w:val="0"/>
          <w:numId w:val="96"/>
        </w:numPr>
        <w:shd w:val="clear" w:color="auto" w:fill="FFFFFF"/>
        <w:spacing w:before="100" w:beforeAutospacing="1" w:after="100" w:afterAutospacing="1" w:line="240" w:lineRule="atLeast"/>
        <w:jc w:val="both"/>
        <w:rPr>
          <w:color w:val="000000"/>
          <w:spacing w:val="8"/>
          <w:sz w:val="24"/>
          <w:szCs w:val="24"/>
        </w:rPr>
      </w:pPr>
      <w:r w:rsidRPr="00831651">
        <w:rPr>
          <w:color w:val="000000"/>
          <w:spacing w:val="8"/>
          <w:sz w:val="24"/>
          <w:szCs w:val="24"/>
        </w:rPr>
        <w:t xml:space="preserve">RRs must consider sales charges when recommending mutual funds and determine the most advantageous cost structure for the customer including class types. </w:t>
      </w:r>
    </w:p>
    <w:p w14:paraId="32AB8255" w14:textId="45436F08" w:rsidR="00831651" w:rsidRPr="00831651" w:rsidRDefault="00831651" w:rsidP="00C1728B">
      <w:pPr>
        <w:numPr>
          <w:ilvl w:val="0"/>
          <w:numId w:val="96"/>
        </w:numPr>
        <w:shd w:val="clear" w:color="auto" w:fill="FFFFFF"/>
        <w:spacing w:before="100" w:beforeAutospacing="1" w:after="100" w:afterAutospacing="1" w:line="240" w:lineRule="atLeast"/>
        <w:jc w:val="both"/>
        <w:rPr>
          <w:color w:val="000000"/>
          <w:spacing w:val="8"/>
          <w:sz w:val="24"/>
          <w:szCs w:val="24"/>
        </w:rPr>
      </w:pPr>
      <w:r w:rsidRPr="00831651">
        <w:rPr>
          <w:color w:val="000000"/>
          <w:spacing w:val="8"/>
          <w:sz w:val="24"/>
          <w:szCs w:val="24"/>
        </w:rPr>
        <w:t xml:space="preserve">Customer </w:t>
      </w:r>
      <w:r w:rsidR="00812416" w:rsidRPr="00812416">
        <w:rPr>
          <w:color w:val="FF0000"/>
          <w:spacing w:val="8"/>
          <w:sz w:val="24"/>
          <w:szCs w:val="24"/>
        </w:rPr>
        <w:t>BI</w:t>
      </w:r>
      <w:r w:rsidRPr="00831651">
        <w:rPr>
          <w:color w:val="000000"/>
          <w:spacing w:val="8"/>
          <w:sz w:val="24"/>
          <w:szCs w:val="24"/>
        </w:rPr>
        <w:t xml:space="preserve"> determination includes consideration of investment objectives, other investments held, financial and tax status, and risk tolerance. </w:t>
      </w:r>
    </w:p>
    <w:p w14:paraId="78B3C2B4" w14:textId="77777777" w:rsidR="00831651" w:rsidRPr="00831651" w:rsidRDefault="00831651" w:rsidP="00C1728B">
      <w:pPr>
        <w:numPr>
          <w:ilvl w:val="0"/>
          <w:numId w:val="96"/>
        </w:numPr>
        <w:shd w:val="clear" w:color="auto" w:fill="FFFFFF"/>
        <w:spacing w:before="100" w:beforeAutospacing="1" w:after="100" w:afterAutospacing="1" w:line="240" w:lineRule="atLeast"/>
        <w:jc w:val="both"/>
        <w:rPr>
          <w:color w:val="000000"/>
          <w:spacing w:val="8"/>
          <w:sz w:val="24"/>
          <w:szCs w:val="24"/>
        </w:rPr>
      </w:pPr>
      <w:r w:rsidRPr="00831651">
        <w:rPr>
          <w:color w:val="000000"/>
          <w:spacing w:val="8"/>
          <w:sz w:val="24"/>
          <w:szCs w:val="24"/>
        </w:rPr>
        <w:t xml:space="preserve">Fund characteristics to consider include investment objectives, risk, cost structure, and underlying investments and strategies. </w:t>
      </w:r>
    </w:p>
    <w:p w14:paraId="23416CB4" w14:textId="77777777" w:rsidR="00831651" w:rsidRPr="00831651" w:rsidRDefault="00831651" w:rsidP="00C1728B">
      <w:pPr>
        <w:numPr>
          <w:ilvl w:val="0"/>
          <w:numId w:val="96"/>
        </w:numPr>
        <w:shd w:val="clear" w:color="auto" w:fill="FFFFFF"/>
        <w:spacing w:before="100" w:beforeAutospacing="1" w:after="100" w:afterAutospacing="1" w:line="240" w:lineRule="atLeast"/>
        <w:jc w:val="both"/>
        <w:rPr>
          <w:color w:val="000000"/>
          <w:spacing w:val="8"/>
          <w:sz w:val="24"/>
          <w:szCs w:val="24"/>
        </w:rPr>
      </w:pPr>
      <w:r w:rsidRPr="00831651">
        <w:rPr>
          <w:color w:val="000000"/>
          <w:spacing w:val="8"/>
          <w:sz w:val="24"/>
          <w:szCs w:val="24"/>
        </w:rPr>
        <w:t xml:space="preserve">RRs cannot "sell dividends" or facilitate customer "late trading" or "market timing." </w:t>
      </w:r>
    </w:p>
    <w:p w14:paraId="1FF3EBDE" w14:textId="19DAEEE5" w:rsidR="00831651" w:rsidRDefault="00831651" w:rsidP="00C1728B">
      <w:pPr>
        <w:numPr>
          <w:ilvl w:val="0"/>
          <w:numId w:val="96"/>
        </w:numPr>
        <w:shd w:val="clear" w:color="auto" w:fill="FFFFFF"/>
        <w:spacing w:before="100" w:beforeAutospacing="1" w:after="100" w:afterAutospacing="1" w:line="240" w:lineRule="atLeast"/>
        <w:jc w:val="both"/>
        <w:rPr>
          <w:color w:val="000000"/>
          <w:spacing w:val="8"/>
          <w:sz w:val="24"/>
          <w:szCs w:val="24"/>
        </w:rPr>
      </w:pPr>
      <w:r w:rsidRPr="00831651">
        <w:rPr>
          <w:color w:val="000000"/>
          <w:spacing w:val="8"/>
          <w:sz w:val="24"/>
          <w:szCs w:val="24"/>
        </w:rPr>
        <w:t>Required disclosures are included in prospectuses or summary prospectuses (open-end funds only) which must be provided to purchasers.</w:t>
      </w:r>
    </w:p>
    <w:p w14:paraId="7F0B94E3" w14:textId="301EF935" w:rsidR="00631293" w:rsidRPr="00631293" w:rsidRDefault="00631293" w:rsidP="00C1728B">
      <w:pPr>
        <w:numPr>
          <w:ilvl w:val="0"/>
          <w:numId w:val="96"/>
        </w:numPr>
        <w:shd w:val="clear" w:color="auto" w:fill="FFFFFF"/>
        <w:spacing w:before="100" w:beforeAutospacing="1" w:after="100" w:afterAutospacing="1" w:line="240" w:lineRule="atLeast"/>
        <w:jc w:val="both"/>
        <w:rPr>
          <w:color w:val="FF0000"/>
          <w:spacing w:val="8"/>
          <w:sz w:val="36"/>
          <w:szCs w:val="36"/>
        </w:rPr>
      </w:pPr>
      <w:r w:rsidRPr="00631293">
        <w:rPr>
          <w:color w:val="FF0000"/>
          <w:spacing w:val="8"/>
          <w:sz w:val="24"/>
          <w:szCs w:val="24"/>
          <w:shd w:val="clear" w:color="auto" w:fill="FFFFFF"/>
        </w:rPr>
        <w:t>Some mutual funds may be purchased via "check and app" that are held by mutual fund companies. RRs are responsible for making Reg BI-compliant recommendations and confirming discounted sales charges are applied.</w:t>
      </w:r>
    </w:p>
    <w:p w14:paraId="4DE4D4CE" w14:textId="77777777" w:rsidR="000C099C" w:rsidRDefault="000C099C">
      <w:pPr>
        <w:jc w:val="both"/>
        <w:rPr>
          <w:sz w:val="24"/>
        </w:rPr>
      </w:pPr>
      <w:r>
        <w:rPr>
          <w:sz w:val="24"/>
        </w:rPr>
        <w:t xml:space="preserve">It is the Company's position that trading in mutual fund shares, on a short- term basis is an improper sales practice.  </w:t>
      </w:r>
    </w:p>
    <w:p w14:paraId="5EC4C01F" w14:textId="77777777" w:rsidR="000C099C" w:rsidRDefault="000C099C">
      <w:pPr>
        <w:jc w:val="both"/>
        <w:rPr>
          <w:sz w:val="24"/>
        </w:rPr>
      </w:pPr>
    </w:p>
    <w:p w14:paraId="3D0B4492" w14:textId="77777777" w:rsidR="000C099C" w:rsidRPr="00612826" w:rsidRDefault="000C099C">
      <w:pPr>
        <w:jc w:val="both"/>
        <w:rPr>
          <w:sz w:val="24"/>
        </w:rPr>
      </w:pPr>
      <w:r>
        <w:rPr>
          <w:sz w:val="24"/>
        </w:rPr>
        <w:t xml:space="preserve">It shall be a policy of the Company that since mutual funds are designated as </w:t>
      </w:r>
      <w:r w:rsidR="00612826">
        <w:rPr>
          <w:sz w:val="24"/>
        </w:rPr>
        <w:t>long-term</w:t>
      </w:r>
      <w:r>
        <w:rPr>
          <w:sz w:val="24"/>
        </w:rPr>
        <w:t xml:space="preserve"> investments rather than vehicles for quick, speculative </w:t>
      </w:r>
      <w:r w:rsidR="00612826">
        <w:rPr>
          <w:sz w:val="24"/>
        </w:rPr>
        <w:t>profit making</w:t>
      </w:r>
      <w:r>
        <w:rPr>
          <w:sz w:val="24"/>
        </w:rPr>
        <w:t xml:space="preserve">, </w:t>
      </w:r>
      <w:r w:rsidR="00831651">
        <w:rPr>
          <w:sz w:val="24"/>
        </w:rPr>
        <w:t>A</w:t>
      </w:r>
      <w:r>
        <w:rPr>
          <w:sz w:val="24"/>
        </w:rPr>
        <w:t xml:space="preserve">ssociated </w:t>
      </w:r>
      <w:r w:rsidR="00831651">
        <w:rPr>
          <w:sz w:val="24"/>
        </w:rPr>
        <w:t>P</w:t>
      </w:r>
      <w:r w:rsidR="00B8011C">
        <w:rPr>
          <w:sz w:val="24"/>
        </w:rPr>
        <w:t>e</w:t>
      </w:r>
      <w:r>
        <w:rPr>
          <w:sz w:val="24"/>
        </w:rPr>
        <w:t xml:space="preserve">rsons are to be discouraged from switching a customer from one mutual fund </w:t>
      </w:r>
      <w:r w:rsidR="00FF7BEA">
        <w:rPr>
          <w:sz w:val="24"/>
        </w:rPr>
        <w:t xml:space="preserve">family </w:t>
      </w:r>
      <w:r>
        <w:rPr>
          <w:sz w:val="24"/>
        </w:rPr>
        <w:t xml:space="preserve">to another.  However, in an effort to better monitor investment company activity, the Company is promoting the use </w:t>
      </w:r>
      <w:r w:rsidR="00DD720D">
        <w:rPr>
          <w:sz w:val="24"/>
        </w:rPr>
        <w:t>of selected</w:t>
      </w:r>
      <w:r>
        <w:rPr>
          <w:sz w:val="24"/>
        </w:rPr>
        <w:t xml:space="preserve"> funds th</w:t>
      </w:r>
      <w:r w:rsidR="005966C3">
        <w:rPr>
          <w:sz w:val="24"/>
        </w:rPr>
        <w:t>at can be accessed via DSTVision</w:t>
      </w:r>
      <w:r w:rsidR="00FF7BEA">
        <w:rPr>
          <w:sz w:val="24"/>
        </w:rPr>
        <w:t xml:space="preserve"> </w:t>
      </w:r>
      <w:r w:rsidR="00FF7BEA" w:rsidRPr="00612826">
        <w:rPr>
          <w:sz w:val="24"/>
        </w:rPr>
        <w:t>wh</w:t>
      </w:r>
      <w:r w:rsidR="009560F9" w:rsidRPr="00612826">
        <w:rPr>
          <w:sz w:val="24"/>
        </w:rPr>
        <w:t xml:space="preserve">ere </w:t>
      </w:r>
      <w:r w:rsidR="00FF7BEA" w:rsidRPr="00612826">
        <w:rPr>
          <w:sz w:val="24"/>
        </w:rPr>
        <w:t>redemptions and purchases</w:t>
      </w:r>
      <w:r w:rsidR="009560F9" w:rsidRPr="00612826">
        <w:rPr>
          <w:sz w:val="24"/>
        </w:rPr>
        <w:t xml:space="preserve"> can be viewed</w:t>
      </w:r>
      <w:r w:rsidR="00FF7BEA" w:rsidRPr="00612826">
        <w:rPr>
          <w:sz w:val="24"/>
        </w:rPr>
        <w:t>.  In addition, further monitoring is conducted when reviewing the daily blotters</w:t>
      </w:r>
      <w:r w:rsidRPr="00612826">
        <w:rPr>
          <w:sz w:val="24"/>
        </w:rPr>
        <w:t xml:space="preserve">.  </w:t>
      </w:r>
    </w:p>
    <w:p w14:paraId="745270AC" w14:textId="77777777" w:rsidR="000C099C" w:rsidRPr="00612826" w:rsidRDefault="000C099C">
      <w:pPr>
        <w:rPr>
          <w:sz w:val="24"/>
        </w:rPr>
      </w:pPr>
    </w:p>
    <w:p w14:paraId="19B97C4F" w14:textId="77777777" w:rsidR="000C099C" w:rsidRDefault="000C099C">
      <w:pPr>
        <w:jc w:val="both"/>
        <w:rPr>
          <w:sz w:val="24"/>
        </w:rPr>
      </w:pPr>
      <w:bookmarkStart w:id="179" w:name="Switching"/>
      <w:bookmarkEnd w:id="179"/>
      <w:r>
        <w:rPr>
          <w:sz w:val="24"/>
        </w:rPr>
        <w:t xml:space="preserve">In addition, no </w:t>
      </w:r>
      <w:r w:rsidR="00F35C81">
        <w:rPr>
          <w:sz w:val="24"/>
        </w:rPr>
        <w:t>Associated P</w:t>
      </w:r>
      <w:r>
        <w:rPr>
          <w:sz w:val="24"/>
        </w:rPr>
        <w:t xml:space="preserve">erson may recommend that a customer switch from one mutual fund to another except in rare circumstances where there has been a change in the customer's </w:t>
      </w:r>
      <w:r>
        <w:rPr>
          <w:sz w:val="24"/>
        </w:rPr>
        <w:lastRenderedPageBreak/>
        <w:t>investment objectives and the investment objectives of the fund into which the customer is switching meets his ch</w:t>
      </w:r>
      <w:r w:rsidR="00ED085D">
        <w:rPr>
          <w:sz w:val="24"/>
        </w:rPr>
        <w:t>anged needs and objectives. An Associated P</w:t>
      </w:r>
      <w:r>
        <w:rPr>
          <w:sz w:val="24"/>
        </w:rPr>
        <w:t>erson should not recommend a "switch" just on the basis of individual fund performance or management capabilities.  Further, Morris Monroe</w:t>
      </w:r>
      <w:r w:rsidR="00ED085D">
        <w:rPr>
          <w:sz w:val="24"/>
        </w:rPr>
        <w:t xml:space="preserve"> </w:t>
      </w:r>
      <w:r>
        <w:rPr>
          <w:sz w:val="24"/>
        </w:rPr>
        <w:t xml:space="preserve">or the designated principal or their designee shall review mutual fund transactions on a daily basis to ensure no sales of mutual funds are made based upon dividend expectation.   </w:t>
      </w:r>
    </w:p>
    <w:p w14:paraId="7BE2A60E" w14:textId="77777777" w:rsidR="000C099C" w:rsidRDefault="000C099C">
      <w:pPr>
        <w:rPr>
          <w:sz w:val="24"/>
        </w:rPr>
      </w:pPr>
    </w:p>
    <w:p w14:paraId="4109729A" w14:textId="77777777" w:rsidR="000C099C" w:rsidRDefault="000C099C">
      <w:pPr>
        <w:jc w:val="both"/>
        <w:rPr>
          <w:sz w:val="24"/>
        </w:rPr>
      </w:pPr>
      <w:r>
        <w:rPr>
          <w:sz w:val="24"/>
        </w:rPr>
        <w:t xml:space="preserve">Where a customer, on his own initiative, and without any solicitation by the </w:t>
      </w:r>
      <w:r w:rsidR="005F6AB4">
        <w:rPr>
          <w:sz w:val="24"/>
        </w:rPr>
        <w:t>A</w:t>
      </w:r>
      <w:r>
        <w:rPr>
          <w:sz w:val="24"/>
        </w:rPr>
        <w:t xml:space="preserve">ssociated </w:t>
      </w:r>
      <w:r w:rsidR="005F6AB4">
        <w:rPr>
          <w:sz w:val="24"/>
        </w:rPr>
        <w:t>P</w:t>
      </w:r>
      <w:r>
        <w:rPr>
          <w:sz w:val="24"/>
        </w:rPr>
        <w:t xml:space="preserve">erson, decides to effect a change of investment, such transaction will be processed </w:t>
      </w:r>
      <w:r w:rsidR="004D7E99">
        <w:rPr>
          <w:sz w:val="24"/>
        </w:rPr>
        <w:t xml:space="preserve">in a </w:t>
      </w:r>
      <w:r>
        <w:rPr>
          <w:sz w:val="24"/>
        </w:rPr>
        <w:t>non-solicited nature of the request. S</w:t>
      </w:r>
      <w:r w:rsidR="005F6AB4">
        <w:rPr>
          <w:sz w:val="24"/>
        </w:rPr>
        <w:t>hould multiple customers of an A</w:t>
      </w:r>
      <w:r>
        <w:rPr>
          <w:sz w:val="24"/>
        </w:rPr>
        <w:t xml:space="preserve">ssociated </w:t>
      </w:r>
      <w:r w:rsidR="005F6AB4">
        <w:rPr>
          <w:sz w:val="24"/>
        </w:rPr>
        <w:t>P</w:t>
      </w:r>
      <w:r>
        <w:rPr>
          <w:sz w:val="24"/>
        </w:rPr>
        <w:t>erson make such a request within a 60-day period, Morris Monroe or designated principal shall be responsible for contacting such customers to assure that the transactions were in fact unsolicited.</w:t>
      </w:r>
    </w:p>
    <w:p w14:paraId="227E602E" w14:textId="77777777" w:rsidR="000C099C" w:rsidRDefault="000C099C">
      <w:pPr>
        <w:jc w:val="both"/>
        <w:rPr>
          <w:sz w:val="24"/>
        </w:rPr>
      </w:pPr>
    </w:p>
    <w:p w14:paraId="653C7D34" w14:textId="77777777" w:rsidR="000C099C" w:rsidRDefault="000C099C">
      <w:pPr>
        <w:jc w:val="both"/>
        <w:rPr>
          <w:sz w:val="24"/>
        </w:rPr>
      </w:pPr>
      <w:r>
        <w:rPr>
          <w:sz w:val="24"/>
        </w:rPr>
        <w:t>Any transaction that is found not to comply with the foregoing requirements will be reversed, with a full charge</w:t>
      </w:r>
      <w:r>
        <w:rPr>
          <w:sz w:val="24"/>
        </w:rPr>
        <w:noBreakHyphen/>
        <w:t>b</w:t>
      </w:r>
      <w:r w:rsidR="005F6AB4">
        <w:rPr>
          <w:sz w:val="24"/>
        </w:rPr>
        <w:t>ack of commissions against the Associated P</w:t>
      </w:r>
      <w:r>
        <w:rPr>
          <w:sz w:val="24"/>
        </w:rPr>
        <w:t>erson's commissions earned.</w:t>
      </w:r>
    </w:p>
    <w:p w14:paraId="5C9C3271" w14:textId="77777777" w:rsidR="000C099C" w:rsidRDefault="000C099C">
      <w:pPr>
        <w:jc w:val="both"/>
        <w:rPr>
          <w:sz w:val="24"/>
        </w:rPr>
      </w:pPr>
    </w:p>
    <w:p w14:paraId="6F48113C" w14:textId="77777777" w:rsidR="000C099C" w:rsidRDefault="000C099C" w:rsidP="00831651">
      <w:bookmarkStart w:id="180" w:name="AdvAndSalesLitMF"/>
      <w:bookmarkStart w:id="181" w:name="_Toc153361407"/>
      <w:bookmarkStart w:id="182" w:name="_Toc153361635"/>
      <w:bookmarkEnd w:id="180"/>
    </w:p>
    <w:p w14:paraId="3ACA1220" w14:textId="77777777" w:rsidR="00831651" w:rsidRDefault="00831651" w:rsidP="00936FEE">
      <w:pPr>
        <w:pStyle w:val="Heading2"/>
      </w:pPr>
      <w:r>
        <w:t>11.2 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86"/>
        <w:gridCol w:w="7586"/>
      </w:tblGrid>
      <w:tr w:rsidR="00831651" w:rsidRPr="00DB4679" w14:paraId="06067953" w14:textId="77777777" w:rsidTr="004A07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5261BAE" w14:textId="77777777" w:rsidR="00831651" w:rsidRPr="00DB4679" w:rsidRDefault="00831651" w:rsidP="004A071F">
            <w:pPr>
              <w:jc w:val="center"/>
              <w:rPr>
                <w:b/>
                <w:bCs/>
                <w:color w:val="000000"/>
                <w:spacing w:val="8"/>
                <w:sz w:val="24"/>
                <w:szCs w:val="24"/>
              </w:rPr>
            </w:pPr>
            <w:r w:rsidRPr="00DB4679">
              <w:rPr>
                <w:b/>
                <w:bCs/>
                <w:color w:val="000000"/>
                <w:spacing w:val="8"/>
                <w:sz w:val="24"/>
                <w:szCs w:val="24"/>
              </w:rPr>
              <w:t>Responsibility</w:t>
            </w:r>
          </w:p>
        </w:tc>
        <w:tc>
          <w:tcPr>
            <w:tcW w:w="0" w:type="auto"/>
            <w:tcBorders>
              <w:top w:val="outset" w:sz="6" w:space="0" w:color="auto"/>
              <w:left w:val="outset" w:sz="6" w:space="0" w:color="auto"/>
              <w:bottom w:val="outset" w:sz="6" w:space="0" w:color="auto"/>
              <w:right w:val="outset" w:sz="6" w:space="0" w:color="auto"/>
            </w:tcBorders>
            <w:vAlign w:val="center"/>
          </w:tcPr>
          <w:p w14:paraId="5200DC0B" w14:textId="77777777" w:rsidR="00831651" w:rsidRPr="00DB4679" w:rsidRDefault="00831651" w:rsidP="00C1728B">
            <w:pPr>
              <w:numPr>
                <w:ilvl w:val="0"/>
                <w:numId w:val="59"/>
              </w:numPr>
              <w:rPr>
                <w:color w:val="000000"/>
                <w:spacing w:val="8"/>
                <w:sz w:val="24"/>
                <w:szCs w:val="24"/>
              </w:rPr>
            </w:pPr>
            <w:r w:rsidRPr="00DB4679">
              <w:rPr>
                <w:color w:val="000000"/>
                <w:spacing w:val="8"/>
                <w:sz w:val="24"/>
                <w:szCs w:val="24"/>
              </w:rPr>
              <w:t>Designated Supervisors or Principal</w:t>
            </w:r>
          </w:p>
        </w:tc>
      </w:tr>
      <w:tr w:rsidR="00831651" w:rsidRPr="00DB4679" w14:paraId="4BC3A61E" w14:textId="77777777" w:rsidTr="004A07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1692B23" w14:textId="77777777" w:rsidR="00831651" w:rsidRPr="00DB4679" w:rsidRDefault="00831651" w:rsidP="004A071F">
            <w:pPr>
              <w:jc w:val="center"/>
              <w:rPr>
                <w:b/>
                <w:bCs/>
                <w:color w:val="000000"/>
                <w:spacing w:val="8"/>
                <w:sz w:val="24"/>
                <w:szCs w:val="24"/>
              </w:rPr>
            </w:pPr>
            <w:r w:rsidRPr="00DB4679">
              <w:rPr>
                <w:b/>
                <w:bCs/>
                <w:color w:val="000000"/>
                <w:spacing w:val="8"/>
                <w:sz w:val="24"/>
                <w:szCs w:val="24"/>
              </w:rPr>
              <w:t>Statutes</w:t>
            </w:r>
          </w:p>
        </w:tc>
        <w:tc>
          <w:tcPr>
            <w:tcW w:w="0" w:type="auto"/>
            <w:tcBorders>
              <w:top w:val="outset" w:sz="6" w:space="0" w:color="auto"/>
              <w:left w:val="outset" w:sz="6" w:space="0" w:color="auto"/>
              <w:bottom w:val="outset" w:sz="6" w:space="0" w:color="auto"/>
              <w:right w:val="outset" w:sz="6" w:space="0" w:color="auto"/>
            </w:tcBorders>
            <w:vAlign w:val="center"/>
          </w:tcPr>
          <w:p w14:paraId="7AA8AA37" w14:textId="77777777" w:rsidR="00831651" w:rsidRPr="00DB4679" w:rsidRDefault="00831651" w:rsidP="00C1728B">
            <w:pPr>
              <w:numPr>
                <w:ilvl w:val="0"/>
                <w:numId w:val="60"/>
              </w:numPr>
              <w:rPr>
                <w:color w:val="000000"/>
                <w:spacing w:val="8"/>
                <w:sz w:val="24"/>
                <w:szCs w:val="24"/>
              </w:rPr>
            </w:pPr>
            <w:r w:rsidRPr="00DB4679">
              <w:rPr>
                <w:color w:val="000000"/>
                <w:sz w:val="24"/>
                <w:szCs w:val="24"/>
              </w:rPr>
              <w:t>SEC Rule 17a-3 and 17a-4 – books and records (34 Act Section 240)</w:t>
            </w:r>
          </w:p>
          <w:p w14:paraId="3396EB47" w14:textId="77777777" w:rsidR="00831651" w:rsidRPr="00DB4679" w:rsidRDefault="00831651" w:rsidP="00C1728B">
            <w:pPr>
              <w:numPr>
                <w:ilvl w:val="0"/>
                <w:numId w:val="60"/>
              </w:numPr>
              <w:rPr>
                <w:color w:val="000000"/>
                <w:spacing w:val="8"/>
                <w:sz w:val="24"/>
                <w:szCs w:val="24"/>
              </w:rPr>
            </w:pPr>
            <w:r w:rsidRPr="00DB4679">
              <w:rPr>
                <w:color w:val="000000"/>
                <w:sz w:val="24"/>
                <w:szCs w:val="24"/>
              </w:rPr>
              <w:t xml:space="preserve">FINRA Rule </w:t>
            </w:r>
            <w:r w:rsidR="00A52F93" w:rsidRPr="00DB4679">
              <w:rPr>
                <w:color w:val="000000"/>
                <w:sz w:val="24"/>
                <w:szCs w:val="24"/>
              </w:rPr>
              <w:t>2830(k) and SEC Rule 12b-1</w:t>
            </w:r>
            <w:r w:rsidRPr="00DB4679">
              <w:rPr>
                <w:color w:val="000000"/>
                <w:sz w:val="24"/>
                <w:szCs w:val="24"/>
              </w:rPr>
              <w:t xml:space="preserve"> – </w:t>
            </w:r>
            <w:r w:rsidR="00A52F93" w:rsidRPr="00DB4679">
              <w:rPr>
                <w:color w:val="000000"/>
                <w:sz w:val="24"/>
                <w:szCs w:val="24"/>
              </w:rPr>
              <w:t>Anti-Reciprocal Rule</w:t>
            </w:r>
          </w:p>
          <w:p w14:paraId="3FCCE0D4" w14:textId="77777777" w:rsidR="00831651" w:rsidRPr="00DB4679" w:rsidRDefault="00831651" w:rsidP="00C1728B">
            <w:pPr>
              <w:numPr>
                <w:ilvl w:val="0"/>
                <w:numId w:val="60"/>
              </w:numPr>
              <w:rPr>
                <w:color w:val="000000"/>
                <w:spacing w:val="8"/>
                <w:sz w:val="24"/>
                <w:szCs w:val="24"/>
              </w:rPr>
            </w:pPr>
            <w:r w:rsidRPr="00DB4679">
              <w:rPr>
                <w:color w:val="000000"/>
                <w:sz w:val="24"/>
                <w:szCs w:val="24"/>
              </w:rPr>
              <w:t>FINRA Rule 2</w:t>
            </w:r>
            <w:r w:rsidR="00A52F93" w:rsidRPr="00DB4679">
              <w:rPr>
                <w:color w:val="000000"/>
                <w:sz w:val="24"/>
                <w:szCs w:val="24"/>
              </w:rPr>
              <w:t>83</w:t>
            </w:r>
            <w:r w:rsidRPr="00DB4679">
              <w:rPr>
                <w:color w:val="000000"/>
                <w:sz w:val="24"/>
                <w:szCs w:val="24"/>
              </w:rPr>
              <w:t>0</w:t>
            </w:r>
            <w:r w:rsidR="00A52F93" w:rsidRPr="00DB4679">
              <w:rPr>
                <w:color w:val="000000"/>
                <w:sz w:val="24"/>
                <w:szCs w:val="24"/>
              </w:rPr>
              <w:t>(d)</w:t>
            </w:r>
            <w:r w:rsidRPr="00DB4679">
              <w:rPr>
                <w:color w:val="000000"/>
                <w:sz w:val="24"/>
                <w:szCs w:val="24"/>
              </w:rPr>
              <w:t xml:space="preserve"> – </w:t>
            </w:r>
            <w:r w:rsidR="00A52F93" w:rsidRPr="00DB4679">
              <w:rPr>
                <w:color w:val="000000"/>
                <w:sz w:val="24"/>
                <w:szCs w:val="24"/>
              </w:rPr>
              <w:t>Sales Charges, ROA</w:t>
            </w:r>
          </w:p>
          <w:p w14:paraId="31D9FD48" w14:textId="77777777" w:rsidR="00AA781D" w:rsidRPr="00DB4679" w:rsidRDefault="00AA781D" w:rsidP="00C1728B">
            <w:pPr>
              <w:numPr>
                <w:ilvl w:val="0"/>
                <w:numId w:val="60"/>
              </w:numPr>
              <w:rPr>
                <w:color w:val="000000"/>
                <w:spacing w:val="8"/>
                <w:sz w:val="24"/>
                <w:szCs w:val="24"/>
              </w:rPr>
            </w:pPr>
            <w:r w:rsidRPr="00DB4679">
              <w:rPr>
                <w:color w:val="000000"/>
                <w:sz w:val="24"/>
                <w:szCs w:val="24"/>
              </w:rPr>
              <w:t>FINRA Rule 2830(m) – Prompt transmission of applications and pmt</w:t>
            </w:r>
            <w:r w:rsidR="00BD2579">
              <w:rPr>
                <w:color w:val="000000"/>
                <w:sz w:val="24"/>
                <w:szCs w:val="24"/>
              </w:rPr>
              <w:t>.</w:t>
            </w:r>
          </w:p>
          <w:p w14:paraId="12D68BF3" w14:textId="77777777" w:rsidR="00831651" w:rsidRPr="00DB4679" w:rsidRDefault="00831651" w:rsidP="00C1728B">
            <w:pPr>
              <w:pStyle w:val="Heading3"/>
              <w:numPr>
                <w:ilvl w:val="0"/>
                <w:numId w:val="60"/>
              </w:numPr>
              <w:rPr>
                <w:b w:val="0"/>
                <w:color w:val="000000"/>
              </w:rPr>
            </w:pPr>
            <w:r w:rsidRPr="00DB4679">
              <w:rPr>
                <w:b w:val="0"/>
                <w:color w:val="000000"/>
              </w:rPr>
              <w:t xml:space="preserve">FINRA Rule </w:t>
            </w:r>
            <w:r w:rsidR="00A52F93" w:rsidRPr="00DB4679">
              <w:rPr>
                <w:b w:val="0"/>
                <w:color w:val="000000"/>
              </w:rPr>
              <w:t>2342 - Breakpoints</w:t>
            </w:r>
          </w:p>
        </w:tc>
      </w:tr>
      <w:tr w:rsidR="00831651" w:rsidRPr="00DB4679" w14:paraId="0EAE7AFD" w14:textId="77777777" w:rsidTr="004A07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C8B99F" w14:textId="77777777" w:rsidR="00831651" w:rsidRPr="00DB4679" w:rsidRDefault="00831651" w:rsidP="004A071F">
            <w:pPr>
              <w:jc w:val="center"/>
              <w:rPr>
                <w:b/>
                <w:bCs/>
                <w:color w:val="000000"/>
                <w:spacing w:val="8"/>
                <w:sz w:val="24"/>
                <w:szCs w:val="24"/>
              </w:rPr>
            </w:pPr>
            <w:r w:rsidRPr="00DB4679">
              <w:rPr>
                <w:b/>
                <w:bCs/>
                <w:color w:val="000000"/>
                <w:spacing w:val="8"/>
                <w:sz w:val="24"/>
                <w:szCs w:val="24"/>
              </w:rPr>
              <w:t>Frequency</w:t>
            </w:r>
          </w:p>
        </w:tc>
        <w:tc>
          <w:tcPr>
            <w:tcW w:w="0" w:type="auto"/>
            <w:tcBorders>
              <w:top w:val="outset" w:sz="6" w:space="0" w:color="auto"/>
              <w:left w:val="outset" w:sz="6" w:space="0" w:color="auto"/>
              <w:bottom w:val="outset" w:sz="6" w:space="0" w:color="auto"/>
              <w:right w:val="outset" w:sz="6" w:space="0" w:color="auto"/>
            </w:tcBorders>
            <w:vAlign w:val="center"/>
          </w:tcPr>
          <w:p w14:paraId="4E85D1BE" w14:textId="77777777" w:rsidR="00831651" w:rsidRPr="00DB4679" w:rsidRDefault="00831651" w:rsidP="00C1728B">
            <w:pPr>
              <w:numPr>
                <w:ilvl w:val="0"/>
                <w:numId w:val="60"/>
              </w:numPr>
              <w:rPr>
                <w:color w:val="000000"/>
                <w:spacing w:val="8"/>
                <w:sz w:val="24"/>
                <w:szCs w:val="24"/>
              </w:rPr>
            </w:pPr>
            <w:r w:rsidRPr="00DB4679">
              <w:rPr>
                <w:color w:val="000000"/>
                <w:spacing w:val="8"/>
                <w:sz w:val="24"/>
                <w:szCs w:val="24"/>
              </w:rPr>
              <w:t>As required</w:t>
            </w:r>
          </w:p>
          <w:p w14:paraId="7ECC3CB6" w14:textId="77777777" w:rsidR="004A2D8D" w:rsidRPr="00DB4679" w:rsidRDefault="00831651" w:rsidP="00C1728B">
            <w:pPr>
              <w:numPr>
                <w:ilvl w:val="0"/>
                <w:numId w:val="60"/>
              </w:numPr>
              <w:rPr>
                <w:color w:val="000000"/>
                <w:spacing w:val="8"/>
                <w:sz w:val="24"/>
                <w:szCs w:val="24"/>
              </w:rPr>
            </w:pPr>
            <w:r w:rsidRPr="00DB4679">
              <w:rPr>
                <w:color w:val="000000"/>
                <w:spacing w:val="8"/>
                <w:sz w:val="24"/>
                <w:szCs w:val="24"/>
              </w:rPr>
              <w:t>Daily trade blotters</w:t>
            </w:r>
          </w:p>
          <w:p w14:paraId="7C421863" w14:textId="77777777" w:rsidR="00831651" w:rsidRPr="00DB4679" w:rsidRDefault="00831651" w:rsidP="00C1728B">
            <w:pPr>
              <w:numPr>
                <w:ilvl w:val="0"/>
                <w:numId w:val="60"/>
              </w:numPr>
              <w:rPr>
                <w:color w:val="000000"/>
                <w:spacing w:val="8"/>
                <w:sz w:val="24"/>
                <w:szCs w:val="24"/>
              </w:rPr>
            </w:pPr>
            <w:r w:rsidRPr="00DB4679">
              <w:rPr>
                <w:color w:val="000000"/>
                <w:spacing w:val="8"/>
                <w:sz w:val="24"/>
                <w:szCs w:val="24"/>
              </w:rPr>
              <w:t>Annual training</w:t>
            </w:r>
          </w:p>
        </w:tc>
      </w:tr>
      <w:tr w:rsidR="00831651" w:rsidRPr="00DB4679" w14:paraId="2A393661" w14:textId="77777777" w:rsidTr="004A07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6B0FA79" w14:textId="77777777" w:rsidR="00831651" w:rsidRPr="00DB4679" w:rsidRDefault="00831651" w:rsidP="004A071F">
            <w:pPr>
              <w:jc w:val="center"/>
              <w:rPr>
                <w:b/>
                <w:bCs/>
                <w:color w:val="000000"/>
                <w:spacing w:val="8"/>
                <w:sz w:val="24"/>
                <w:szCs w:val="24"/>
              </w:rPr>
            </w:pPr>
            <w:r w:rsidRPr="00DB4679">
              <w:rPr>
                <w:b/>
                <w:bCs/>
                <w:color w:val="000000"/>
                <w:spacing w:val="8"/>
                <w:sz w:val="24"/>
                <w:szCs w:val="24"/>
              </w:rPr>
              <w:t>Actions</w:t>
            </w:r>
          </w:p>
        </w:tc>
        <w:tc>
          <w:tcPr>
            <w:tcW w:w="0" w:type="auto"/>
            <w:tcBorders>
              <w:top w:val="outset" w:sz="6" w:space="0" w:color="auto"/>
              <w:left w:val="outset" w:sz="6" w:space="0" w:color="auto"/>
              <w:bottom w:val="outset" w:sz="6" w:space="0" w:color="auto"/>
              <w:right w:val="outset" w:sz="6" w:space="0" w:color="auto"/>
            </w:tcBorders>
            <w:vAlign w:val="center"/>
          </w:tcPr>
          <w:p w14:paraId="5E85E77F" w14:textId="77777777" w:rsidR="004A071F" w:rsidRPr="00DB4679" w:rsidRDefault="004A071F" w:rsidP="00C1728B">
            <w:pPr>
              <w:numPr>
                <w:ilvl w:val="0"/>
                <w:numId w:val="97"/>
              </w:numPr>
              <w:rPr>
                <w:color w:val="000000"/>
                <w:spacing w:val="8"/>
                <w:sz w:val="24"/>
                <w:szCs w:val="24"/>
              </w:rPr>
            </w:pPr>
            <w:r w:rsidRPr="00DB4679">
              <w:rPr>
                <w:color w:val="000000"/>
                <w:spacing w:val="8"/>
                <w:sz w:val="24"/>
                <w:szCs w:val="24"/>
              </w:rPr>
              <w:t xml:space="preserve">Review information on mutual funds </w:t>
            </w:r>
          </w:p>
          <w:p w14:paraId="520ED06C" w14:textId="77777777" w:rsidR="004A071F" w:rsidRPr="00DB4679" w:rsidRDefault="004A071F" w:rsidP="00C1728B">
            <w:pPr>
              <w:numPr>
                <w:ilvl w:val="0"/>
                <w:numId w:val="97"/>
              </w:numPr>
              <w:rPr>
                <w:color w:val="000000"/>
                <w:spacing w:val="8"/>
                <w:sz w:val="24"/>
                <w:szCs w:val="24"/>
              </w:rPr>
            </w:pPr>
            <w:r w:rsidRPr="00DB4679">
              <w:rPr>
                <w:color w:val="000000"/>
                <w:spacing w:val="8"/>
                <w:sz w:val="24"/>
                <w:szCs w:val="24"/>
              </w:rPr>
              <w:t xml:space="preserve">Determine which fund companies' products to offer </w:t>
            </w:r>
          </w:p>
          <w:p w14:paraId="1D5E9E8C" w14:textId="77777777" w:rsidR="004A071F" w:rsidRPr="00DB4679" w:rsidRDefault="004A071F" w:rsidP="00C1728B">
            <w:pPr>
              <w:numPr>
                <w:ilvl w:val="0"/>
                <w:numId w:val="97"/>
              </w:numPr>
              <w:rPr>
                <w:color w:val="000000"/>
                <w:spacing w:val="8"/>
                <w:sz w:val="24"/>
                <w:szCs w:val="24"/>
              </w:rPr>
            </w:pPr>
            <w:r w:rsidRPr="00DB4679">
              <w:rPr>
                <w:color w:val="000000"/>
                <w:spacing w:val="8"/>
                <w:sz w:val="24"/>
                <w:szCs w:val="24"/>
              </w:rPr>
              <w:t xml:space="preserve">Execute dealer agreements with mutual fund companies </w:t>
            </w:r>
          </w:p>
          <w:p w14:paraId="51F51622" w14:textId="77777777" w:rsidR="00573B5D" w:rsidRPr="00DB4679" w:rsidRDefault="00573B5D" w:rsidP="00C1728B">
            <w:pPr>
              <w:numPr>
                <w:ilvl w:val="0"/>
                <w:numId w:val="97"/>
              </w:numPr>
              <w:rPr>
                <w:color w:val="000000"/>
                <w:spacing w:val="8"/>
                <w:sz w:val="24"/>
                <w:szCs w:val="24"/>
              </w:rPr>
            </w:pPr>
            <w:r w:rsidRPr="00DB4679">
              <w:rPr>
                <w:color w:val="000000"/>
                <w:spacing w:val="8"/>
                <w:sz w:val="24"/>
                <w:szCs w:val="24"/>
              </w:rPr>
              <w:t>Review any applicable advertising or sales literature</w:t>
            </w:r>
          </w:p>
          <w:p w14:paraId="425EF5CF" w14:textId="77777777" w:rsidR="004A071F" w:rsidRPr="00DB4679" w:rsidRDefault="004A071F" w:rsidP="00C1728B">
            <w:pPr>
              <w:numPr>
                <w:ilvl w:val="0"/>
                <w:numId w:val="97"/>
              </w:numPr>
              <w:rPr>
                <w:color w:val="000000"/>
                <w:spacing w:val="8"/>
                <w:sz w:val="24"/>
                <w:szCs w:val="24"/>
              </w:rPr>
            </w:pPr>
            <w:r w:rsidRPr="00DB4679">
              <w:rPr>
                <w:color w:val="000000"/>
                <w:spacing w:val="8"/>
                <w:sz w:val="24"/>
                <w:szCs w:val="24"/>
              </w:rPr>
              <w:t xml:space="preserve">Provide education regarding mutual fund sales including prohibitions under the anti-reciprocal rule </w:t>
            </w:r>
            <w:r w:rsidR="008B494A" w:rsidRPr="00DB4679">
              <w:rPr>
                <w:color w:val="000000"/>
                <w:spacing w:val="8"/>
                <w:sz w:val="24"/>
                <w:szCs w:val="24"/>
              </w:rPr>
              <w:t>and review for violations</w:t>
            </w:r>
          </w:p>
          <w:p w14:paraId="5008EFC6" w14:textId="77777777" w:rsidR="004A071F" w:rsidRPr="00DB4679" w:rsidRDefault="004A071F" w:rsidP="00C1728B">
            <w:pPr>
              <w:numPr>
                <w:ilvl w:val="0"/>
                <w:numId w:val="97"/>
              </w:numPr>
              <w:rPr>
                <w:color w:val="000000"/>
                <w:spacing w:val="8"/>
                <w:sz w:val="24"/>
                <w:szCs w:val="24"/>
              </w:rPr>
            </w:pPr>
            <w:r w:rsidRPr="00DB4679">
              <w:rPr>
                <w:color w:val="000000"/>
                <w:spacing w:val="8"/>
                <w:sz w:val="24"/>
                <w:szCs w:val="24"/>
              </w:rPr>
              <w:t xml:space="preserve">Develop and provide </w:t>
            </w:r>
            <w:r w:rsidR="008B494A" w:rsidRPr="00DB4679">
              <w:rPr>
                <w:color w:val="000000"/>
                <w:spacing w:val="8"/>
                <w:sz w:val="24"/>
                <w:szCs w:val="24"/>
              </w:rPr>
              <w:t xml:space="preserve">applicable </w:t>
            </w:r>
            <w:r w:rsidRPr="00DB4679">
              <w:rPr>
                <w:color w:val="000000"/>
                <w:spacing w:val="8"/>
                <w:sz w:val="24"/>
                <w:szCs w:val="24"/>
              </w:rPr>
              <w:t>disclosure</w:t>
            </w:r>
            <w:r w:rsidR="008B494A" w:rsidRPr="00DB4679">
              <w:rPr>
                <w:color w:val="000000"/>
                <w:spacing w:val="8"/>
                <w:sz w:val="24"/>
                <w:szCs w:val="24"/>
              </w:rPr>
              <w:t>s</w:t>
            </w:r>
            <w:r w:rsidRPr="00DB4679">
              <w:rPr>
                <w:color w:val="000000"/>
                <w:spacing w:val="8"/>
                <w:sz w:val="24"/>
                <w:szCs w:val="24"/>
              </w:rPr>
              <w:t xml:space="preserve"> to customers regarding </w:t>
            </w:r>
            <w:r w:rsidR="008B494A" w:rsidRPr="00DB4679">
              <w:rPr>
                <w:color w:val="000000"/>
                <w:spacing w:val="8"/>
                <w:sz w:val="24"/>
                <w:szCs w:val="24"/>
              </w:rPr>
              <w:t>mutual fund purchases</w:t>
            </w:r>
          </w:p>
          <w:p w14:paraId="01E35626" w14:textId="77777777" w:rsidR="00831651" w:rsidRPr="00612826" w:rsidRDefault="00021AA9" w:rsidP="00C1728B">
            <w:pPr>
              <w:numPr>
                <w:ilvl w:val="0"/>
                <w:numId w:val="94"/>
              </w:numPr>
              <w:rPr>
                <w:spacing w:val="8"/>
                <w:sz w:val="24"/>
                <w:szCs w:val="24"/>
              </w:rPr>
            </w:pPr>
            <w:r w:rsidRPr="00DB4679">
              <w:rPr>
                <w:color w:val="000000"/>
                <w:spacing w:val="8"/>
                <w:sz w:val="24"/>
                <w:szCs w:val="24"/>
              </w:rPr>
              <w:t>Review order records</w:t>
            </w:r>
            <w:r w:rsidR="008440BB">
              <w:rPr>
                <w:color w:val="000000"/>
                <w:spacing w:val="8"/>
                <w:sz w:val="24"/>
                <w:szCs w:val="24"/>
              </w:rPr>
              <w:t xml:space="preserve">, </w:t>
            </w:r>
            <w:r w:rsidR="008440BB" w:rsidRPr="00612826">
              <w:rPr>
                <w:spacing w:val="8"/>
                <w:sz w:val="24"/>
                <w:szCs w:val="24"/>
              </w:rPr>
              <w:t>including charges and discounts</w:t>
            </w:r>
          </w:p>
          <w:p w14:paraId="096CB3C5" w14:textId="77777777" w:rsidR="00021AA9" w:rsidRPr="00DB4679" w:rsidRDefault="00021AA9" w:rsidP="00C1728B">
            <w:pPr>
              <w:numPr>
                <w:ilvl w:val="0"/>
                <w:numId w:val="94"/>
              </w:numPr>
              <w:rPr>
                <w:color w:val="000000"/>
                <w:spacing w:val="8"/>
                <w:sz w:val="24"/>
                <w:szCs w:val="24"/>
              </w:rPr>
            </w:pPr>
            <w:r w:rsidRPr="00DB4679">
              <w:rPr>
                <w:color w:val="000000"/>
                <w:spacing w:val="8"/>
                <w:sz w:val="24"/>
                <w:szCs w:val="24"/>
              </w:rPr>
              <w:t>Provide training to Associated Persons on mutual fund purchases</w:t>
            </w:r>
          </w:p>
        </w:tc>
      </w:tr>
      <w:tr w:rsidR="00831651" w:rsidRPr="00DB4679" w14:paraId="1A1E6A6B" w14:textId="77777777" w:rsidTr="004A07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FE7FF58" w14:textId="77777777" w:rsidR="00831651" w:rsidRPr="00DB4679" w:rsidRDefault="00831651" w:rsidP="004A071F">
            <w:pPr>
              <w:jc w:val="center"/>
              <w:rPr>
                <w:b/>
                <w:bCs/>
                <w:color w:val="000000"/>
                <w:spacing w:val="8"/>
                <w:sz w:val="24"/>
                <w:szCs w:val="24"/>
              </w:rPr>
            </w:pPr>
            <w:r w:rsidRPr="00DB4679">
              <w:rPr>
                <w:b/>
                <w:bCs/>
                <w:color w:val="000000"/>
                <w:spacing w:val="8"/>
                <w:sz w:val="24"/>
                <w:szCs w:val="24"/>
              </w:rPr>
              <w:t>Records</w:t>
            </w:r>
          </w:p>
        </w:tc>
        <w:tc>
          <w:tcPr>
            <w:tcW w:w="0" w:type="auto"/>
            <w:tcBorders>
              <w:top w:val="outset" w:sz="6" w:space="0" w:color="auto"/>
              <w:left w:val="outset" w:sz="6" w:space="0" w:color="auto"/>
              <w:bottom w:val="outset" w:sz="6" w:space="0" w:color="auto"/>
              <w:right w:val="outset" w:sz="6" w:space="0" w:color="auto"/>
            </w:tcBorders>
            <w:vAlign w:val="center"/>
          </w:tcPr>
          <w:p w14:paraId="323BB4F0" w14:textId="77777777" w:rsidR="00831651" w:rsidRPr="00DB4679" w:rsidRDefault="008B494A" w:rsidP="00C1728B">
            <w:pPr>
              <w:numPr>
                <w:ilvl w:val="0"/>
                <w:numId w:val="95"/>
              </w:numPr>
              <w:rPr>
                <w:color w:val="000000"/>
                <w:spacing w:val="8"/>
                <w:sz w:val="24"/>
                <w:szCs w:val="24"/>
              </w:rPr>
            </w:pPr>
            <w:r w:rsidRPr="00DB4679">
              <w:rPr>
                <w:color w:val="000000"/>
                <w:spacing w:val="8"/>
                <w:sz w:val="24"/>
                <w:szCs w:val="24"/>
              </w:rPr>
              <w:t>Selling Agreements</w:t>
            </w:r>
          </w:p>
          <w:p w14:paraId="379934E1" w14:textId="77777777" w:rsidR="00831651" w:rsidRPr="00DB4679" w:rsidRDefault="008B494A" w:rsidP="00C1728B">
            <w:pPr>
              <w:numPr>
                <w:ilvl w:val="0"/>
                <w:numId w:val="95"/>
              </w:numPr>
              <w:rPr>
                <w:color w:val="000000"/>
                <w:spacing w:val="8"/>
                <w:sz w:val="24"/>
                <w:szCs w:val="24"/>
              </w:rPr>
            </w:pPr>
            <w:r w:rsidRPr="00DB4679">
              <w:rPr>
                <w:color w:val="000000"/>
                <w:spacing w:val="8"/>
                <w:sz w:val="24"/>
                <w:szCs w:val="24"/>
              </w:rPr>
              <w:t>Trade blotters</w:t>
            </w:r>
          </w:p>
          <w:p w14:paraId="0B8E5F7A" w14:textId="77777777" w:rsidR="004A2D8D" w:rsidRPr="00DB4679" w:rsidRDefault="004A2D8D" w:rsidP="00C1728B">
            <w:pPr>
              <w:numPr>
                <w:ilvl w:val="0"/>
                <w:numId w:val="95"/>
              </w:numPr>
              <w:rPr>
                <w:color w:val="000000"/>
                <w:spacing w:val="8"/>
                <w:sz w:val="24"/>
                <w:szCs w:val="24"/>
              </w:rPr>
            </w:pPr>
            <w:r w:rsidRPr="00DB4679">
              <w:rPr>
                <w:color w:val="000000"/>
                <w:spacing w:val="8"/>
                <w:sz w:val="24"/>
                <w:szCs w:val="24"/>
              </w:rPr>
              <w:t>Checks received and forwarded blotter</w:t>
            </w:r>
          </w:p>
          <w:p w14:paraId="6FF18696" w14:textId="77777777" w:rsidR="008B494A" w:rsidRPr="00DB4679" w:rsidRDefault="00C744C4" w:rsidP="00C1728B">
            <w:pPr>
              <w:numPr>
                <w:ilvl w:val="0"/>
                <w:numId w:val="95"/>
              </w:numPr>
              <w:rPr>
                <w:color w:val="000000"/>
                <w:spacing w:val="8"/>
                <w:sz w:val="24"/>
                <w:szCs w:val="24"/>
              </w:rPr>
            </w:pPr>
            <w:r w:rsidRPr="00DB4679">
              <w:rPr>
                <w:color w:val="000000"/>
                <w:spacing w:val="8"/>
                <w:sz w:val="24"/>
                <w:szCs w:val="24"/>
              </w:rPr>
              <w:t xml:space="preserve">Customer </w:t>
            </w:r>
            <w:r w:rsidR="00021AA9" w:rsidRPr="00DB4679">
              <w:rPr>
                <w:color w:val="000000"/>
                <w:spacing w:val="8"/>
                <w:sz w:val="24"/>
                <w:szCs w:val="24"/>
              </w:rPr>
              <w:t xml:space="preserve">account </w:t>
            </w:r>
            <w:r w:rsidRPr="00DB4679">
              <w:rPr>
                <w:color w:val="000000"/>
                <w:spacing w:val="8"/>
                <w:sz w:val="24"/>
                <w:szCs w:val="24"/>
              </w:rPr>
              <w:t>documents</w:t>
            </w:r>
          </w:p>
          <w:p w14:paraId="1FC51C55" w14:textId="77777777" w:rsidR="00C744C4" w:rsidRPr="00DB4679" w:rsidRDefault="00573B5D" w:rsidP="00C1728B">
            <w:pPr>
              <w:numPr>
                <w:ilvl w:val="0"/>
                <w:numId w:val="95"/>
              </w:numPr>
              <w:rPr>
                <w:color w:val="000000"/>
                <w:spacing w:val="8"/>
                <w:sz w:val="24"/>
                <w:szCs w:val="24"/>
              </w:rPr>
            </w:pPr>
            <w:r w:rsidRPr="00DB4679">
              <w:rPr>
                <w:color w:val="000000"/>
                <w:spacing w:val="8"/>
                <w:sz w:val="24"/>
                <w:szCs w:val="24"/>
              </w:rPr>
              <w:t xml:space="preserve">Any </w:t>
            </w:r>
            <w:r w:rsidR="00682F7A" w:rsidRPr="00217738">
              <w:rPr>
                <w:spacing w:val="8"/>
                <w:sz w:val="24"/>
                <w:szCs w:val="24"/>
              </w:rPr>
              <w:t>retail com</w:t>
            </w:r>
            <w:r w:rsidR="00BD2579">
              <w:rPr>
                <w:spacing w:val="8"/>
                <w:sz w:val="24"/>
                <w:szCs w:val="24"/>
              </w:rPr>
              <w:t>m</w:t>
            </w:r>
            <w:r w:rsidR="00682F7A" w:rsidRPr="00217738">
              <w:rPr>
                <w:spacing w:val="8"/>
                <w:sz w:val="24"/>
                <w:szCs w:val="24"/>
              </w:rPr>
              <w:t>unications</w:t>
            </w:r>
            <w:r w:rsidR="0047183A" w:rsidRPr="00DB4679">
              <w:rPr>
                <w:color w:val="000000"/>
                <w:spacing w:val="8"/>
                <w:sz w:val="24"/>
                <w:szCs w:val="24"/>
              </w:rPr>
              <w:t>, and correspondence</w:t>
            </w:r>
          </w:p>
          <w:p w14:paraId="67DCBBD3" w14:textId="77777777" w:rsidR="00831651" w:rsidRPr="00DB4679" w:rsidRDefault="00573B5D" w:rsidP="00C1728B">
            <w:pPr>
              <w:numPr>
                <w:ilvl w:val="0"/>
                <w:numId w:val="95"/>
              </w:numPr>
              <w:rPr>
                <w:color w:val="000000"/>
                <w:spacing w:val="8"/>
                <w:sz w:val="24"/>
                <w:szCs w:val="24"/>
              </w:rPr>
            </w:pPr>
            <w:r w:rsidRPr="00DB4679">
              <w:rPr>
                <w:color w:val="000000"/>
                <w:spacing w:val="8"/>
                <w:sz w:val="24"/>
                <w:szCs w:val="24"/>
              </w:rPr>
              <w:t>Training records</w:t>
            </w:r>
          </w:p>
        </w:tc>
      </w:tr>
    </w:tbl>
    <w:p w14:paraId="1BE53967" w14:textId="77777777" w:rsidR="00831651" w:rsidRDefault="00831651" w:rsidP="00831651"/>
    <w:p w14:paraId="43D7F68A" w14:textId="77777777" w:rsidR="00831651" w:rsidRDefault="00831651" w:rsidP="00755CA0"/>
    <w:p w14:paraId="4F19E8F8" w14:textId="77777777" w:rsidR="00A52F93" w:rsidRDefault="00A52F93" w:rsidP="00A52F93"/>
    <w:p w14:paraId="300B4DF5" w14:textId="77777777" w:rsidR="00755CA0" w:rsidRDefault="006B12F1" w:rsidP="00936FEE">
      <w:pPr>
        <w:pStyle w:val="Heading2"/>
      </w:pPr>
      <w:r>
        <w:lastRenderedPageBreak/>
        <w:t xml:space="preserve">11.3 </w:t>
      </w:r>
      <w:r w:rsidR="00755CA0">
        <w:t>Dealer Agreements</w:t>
      </w:r>
    </w:p>
    <w:p w14:paraId="3CBA7E01" w14:textId="77777777" w:rsidR="00755CA0" w:rsidRPr="00DB4679" w:rsidRDefault="00755CA0" w:rsidP="00755CA0">
      <w:pPr>
        <w:jc w:val="both"/>
        <w:rPr>
          <w:color w:val="000000"/>
          <w:sz w:val="24"/>
          <w:szCs w:val="24"/>
        </w:rPr>
      </w:pPr>
      <w:r w:rsidRPr="00DB4679">
        <w:rPr>
          <w:color w:val="000000"/>
          <w:sz w:val="24"/>
          <w:szCs w:val="24"/>
        </w:rPr>
        <w:t>Company executes dealer agreements with mutual fund underwriters. Many agreements include restrictions against activities such as late trading or market timing, which are discussed later in this chapter. Any special requirements or restrictions included in dealer agreements and not already covered in this chapter will be communicated to sales personnel.  Company maintains records of dealer agreement arrangements.  Associated Persons may only sell mutual funds in which the Company has such agreement or through its clearing firm who maintains such agreements.</w:t>
      </w:r>
    </w:p>
    <w:p w14:paraId="5980C993" w14:textId="77777777" w:rsidR="00755CA0" w:rsidRPr="00DB4679" w:rsidRDefault="00755CA0" w:rsidP="00573B5D">
      <w:pPr>
        <w:rPr>
          <w:color w:val="000000"/>
        </w:rPr>
      </w:pPr>
    </w:p>
    <w:p w14:paraId="3CC1E4BE" w14:textId="77777777" w:rsidR="00755CA0" w:rsidRPr="00DB4679" w:rsidRDefault="00755CA0" w:rsidP="00573B5D">
      <w:pPr>
        <w:rPr>
          <w:color w:val="000000"/>
        </w:rPr>
      </w:pPr>
    </w:p>
    <w:p w14:paraId="75712CC7" w14:textId="77777777" w:rsidR="00A52F93" w:rsidRPr="00DB4679" w:rsidRDefault="00755CA0" w:rsidP="00936FEE">
      <w:pPr>
        <w:pStyle w:val="Heading2"/>
      </w:pPr>
      <w:r w:rsidRPr="00DB4679">
        <w:t xml:space="preserve">11.4 </w:t>
      </w:r>
      <w:r w:rsidR="00A52F93" w:rsidRPr="00DB4679">
        <w:t>Anti-Reciprocal Rule</w:t>
      </w:r>
    </w:p>
    <w:p w14:paraId="11CFD3BE" w14:textId="77777777" w:rsidR="00755CA0" w:rsidRPr="00DB4679" w:rsidRDefault="00755CA0" w:rsidP="00755CA0">
      <w:pPr>
        <w:pStyle w:val="fmtsstext"/>
        <w:shd w:val="clear" w:color="auto" w:fill="FFFFFF"/>
        <w:jc w:val="both"/>
        <w:rPr>
          <w:rFonts w:ascii="Times New Roman" w:hAnsi="Times New Roman" w:cs="Times New Roman"/>
          <w:color w:val="000000"/>
          <w:sz w:val="24"/>
          <w:szCs w:val="24"/>
        </w:rPr>
      </w:pPr>
      <w:r w:rsidRPr="00DB4679">
        <w:rPr>
          <w:rFonts w:ascii="Times New Roman" w:hAnsi="Times New Roman" w:cs="Times New Roman"/>
          <w:color w:val="000000"/>
          <w:sz w:val="24"/>
          <w:szCs w:val="24"/>
        </w:rPr>
        <w:t>Company is prohibited from favoring the sale of mutual funds based on revenues earned (directly or indirectly) from the investment company issuing the mutual fund. This includes:</w:t>
      </w:r>
    </w:p>
    <w:p w14:paraId="6CFAE6D4" w14:textId="77777777" w:rsidR="00755CA0" w:rsidRPr="00DB4679" w:rsidRDefault="00755CA0" w:rsidP="00C1728B">
      <w:pPr>
        <w:numPr>
          <w:ilvl w:val="0"/>
          <w:numId w:val="98"/>
        </w:numPr>
        <w:shd w:val="clear" w:color="auto" w:fill="FFFFFF"/>
        <w:spacing w:before="100" w:beforeAutospacing="1" w:after="100" w:afterAutospacing="1" w:line="240" w:lineRule="atLeast"/>
        <w:jc w:val="both"/>
        <w:rPr>
          <w:color w:val="000000"/>
          <w:spacing w:val="8"/>
          <w:sz w:val="24"/>
          <w:szCs w:val="24"/>
        </w:rPr>
      </w:pPr>
      <w:r w:rsidRPr="00DB4679">
        <w:rPr>
          <w:i/>
          <w:iCs/>
          <w:color w:val="000000"/>
          <w:spacing w:val="8"/>
          <w:sz w:val="24"/>
          <w:szCs w:val="24"/>
        </w:rPr>
        <w:t>Directed brokerage,</w:t>
      </w:r>
      <w:r w:rsidRPr="00DB4679">
        <w:rPr>
          <w:color w:val="000000"/>
          <w:spacing w:val="8"/>
          <w:sz w:val="24"/>
          <w:szCs w:val="24"/>
        </w:rPr>
        <w:t xml:space="preserve"> which is a practice where the investment company directs brokerage business to a broker-dealer to reward or compensate the dealer for selling its funds. This includes, directly referring brokerage transactions to the dealer that sells its funds and also "step-out" arrangements where brokerage is directed to another firm and then revenue is shared with the dealer selling the funds. </w:t>
      </w:r>
    </w:p>
    <w:p w14:paraId="707645CE" w14:textId="77777777" w:rsidR="00755CA0" w:rsidRPr="00DB4679" w:rsidRDefault="00755CA0" w:rsidP="00C1728B">
      <w:pPr>
        <w:numPr>
          <w:ilvl w:val="0"/>
          <w:numId w:val="98"/>
        </w:numPr>
        <w:shd w:val="clear" w:color="auto" w:fill="FFFFFF"/>
        <w:spacing w:before="100" w:beforeAutospacing="1" w:after="100" w:afterAutospacing="1" w:line="240" w:lineRule="atLeast"/>
        <w:jc w:val="both"/>
        <w:rPr>
          <w:color w:val="000000"/>
          <w:spacing w:val="8"/>
          <w:sz w:val="24"/>
          <w:szCs w:val="24"/>
        </w:rPr>
      </w:pPr>
      <w:r w:rsidRPr="00DB4679">
        <w:rPr>
          <w:i/>
          <w:iCs/>
          <w:color w:val="000000"/>
          <w:spacing w:val="8"/>
          <w:sz w:val="24"/>
          <w:szCs w:val="24"/>
        </w:rPr>
        <w:t>Undisclosed revenue sharing,</w:t>
      </w:r>
      <w:r w:rsidRPr="00DB4679">
        <w:rPr>
          <w:color w:val="000000"/>
          <w:spacing w:val="8"/>
          <w:sz w:val="24"/>
          <w:szCs w:val="24"/>
        </w:rPr>
        <w:t xml:space="preserve"> where the mutual fund company pays incentives to the broker-dealer to secure a prominent place in the selling dealer's distribution network ("shelf space"). </w:t>
      </w:r>
    </w:p>
    <w:p w14:paraId="0460D42B" w14:textId="77777777" w:rsidR="00755CA0" w:rsidRPr="00DB4679" w:rsidRDefault="00755CA0" w:rsidP="00755CA0">
      <w:pPr>
        <w:shd w:val="clear" w:color="auto" w:fill="FFFFFF"/>
        <w:spacing w:before="15" w:after="100" w:afterAutospacing="1" w:line="240" w:lineRule="atLeast"/>
        <w:jc w:val="both"/>
        <w:rPr>
          <w:color w:val="000000"/>
          <w:spacing w:val="8"/>
          <w:sz w:val="24"/>
          <w:szCs w:val="24"/>
        </w:rPr>
      </w:pPr>
      <w:r w:rsidRPr="00DB4679">
        <w:rPr>
          <w:color w:val="000000"/>
          <w:spacing w:val="8"/>
          <w:sz w:val="24"/>
          <w:szCs w:val="24"/>
        </w:rPr>
        <w:t>If any Company person becomes aware of a prohibited activity, it should be reported immediately to Compliance.</w:t>
      </w:r>
    </w:p>
    <w:p w14:paraId="11B8317E" w14:textId="77777777" w:rsidR="00755CA0" w:rsidRPr="00DB4679" w:rsidRDefault="00755CA0" w:rsidP="00755CA0">
      <w:pPr>
        <w:shd w:val="clear" w:color="auto" w:fill="FFFFFF"/>
        <w:spacing w:before="15" w:after="100" w:afterAutospacing="1" w:line="240" w:lineRule="atLeast"/>
        <w:jc w:val="both"/>
        <w:rPr>
          <w:color w:val="000000"/>
          <w:spacing w:val="8"/>
          <w:sz w:val="24"/>
          <w:szCs w:val="24"/>
        </w:rPr>
      </w:pPr>
      <w:r w:rsidRPr="00DB4679">
        <w:rPr>
          <w:color w:val="000000"/>
          <w:spacing w:val="8"/>
          <w:sz w:val="24"/>
          <w:szCs w:val="24"/>
        </w:rPr>
        <w:t xml:space="preserve">The selection and offer of mutual funds will comply with anti-reciprocal prohibitions. Specifically, </w:t>
      </w:r>
      <w:r w:rsidR="00011EA4" w:rsidRPr="00DB4679">
        <w:rPr>
          <w:color w:val="000000"/>
          <w:spacing w:val="8"/>
          <w:sz w:val="24"/>
          <w:szCs w:val="24"/>
        </w:rPr>
        <w:t>Company</w:t>
      </w:r>
      <w:r w:rsidRPr="00DB4679">
        <w:rPr>
          <w:color w:val="000000"/>
          <w:spacing w:val="8"/>
          <w:sz w:val="24"/>
          <w:szCs w:val="24"/>
        </w:rPr>
        <w:t xml:space="preserve"> will not:</w:t>
      </w:r>
    </w:p>
    <w:p w14:paraId="624F6745" w14:textId="77777777" w:rsidR="00755CA0" w:rsidRPr="00DB4679" w:rsidRDefault="00755CA0" w:rsidP="00C1728B">
      <w:pPr>
        <w:numPr>
          <w:ilvl w:val="0"/>
          <w:numId w:val="99"/>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Sell shares of, or act as underwriter for, any investment company where Co</w:t>
      </w:r>
      <w:r w:rsidR="00011EA4" w:rsidRPr="00DB4679">
        <w:rPr>
          <w:color w:val="000000"/>
          <w:spacing w:val="8"/>
          <w:sz w:val="24"/>
          <w:szCs w:val="24"/>
        </w:rPr>
        <w:t>m</w:t>
      </w:r>
      <w:r w:rsidRPr="00DB4679">
        <w:rPr>
          <w:color w:val="000000"/>
          <w:spacing w:val="8"/>
          <w:sz w:val="24"/>
          <w:szCs w:val="24"/>
        </w:rPr>
        <w:t>p</w:t>
      </w:r>
      <w:r w:rsidR="00011EA4" w:rsidRPr="00DB4679">
        <w:rPr>
          <w:color w:val="000000"/>
          <w:spacing w:val="8"/>
          <w:sz w:val="24"/>
          <w:szCs w:val="24"/>
        </w:rPr>
        <w:t>any</w:t>
      </w:r>
      <w:r w:rsidRPr="00DB4679">
        <w:rPr>
          <w:color w:val="000000"/>
          <w:spacing w:val="8"/>
          <w:sz w:val="24"/>
          <w:szCs w:val="24"/>
        </w:rPr>
        <w:t xml:space="preserve"> is aware that the investment company or its investment adviser or underwriter have directed brokerage arrangements in place that are intended to promote the sale of investment company securities. </w:t>
      </w:r>
    </w:p>
    <w:p w14:paraId="1B399A42" w14:textId="77777777" w:rsidR="00755CA0" w:rsidRPr="00DB4679" w:rsidRDefault="00755CA0" w:rsidP="00C1728B">
      <w:pPr>
        <w:numPr>
          <w:ilvl w:val="0"/>
          <w:numId w:val="99"/>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Favor or disfavor sales of investment companies based on commissions received or expected and tied to sales</w:t>
      </w:r>
      <w:r w:rsidR="00011EA4" w:rsidRPr="00DB4679">
        <w:rPr>
          <w:color w:val="000000"/>
          <w:spacing w:val="8"/>
          <w:sz w:val="24"/>
          <w:szCs w:val="24"/>
        </w:rPr>
        <w:t>;</w:t>
      </w:r>
      <w:r w:rsidRPr="00DB4679">
        <w:rPr>
          <w:color w:val="000000"/>
          <w:spacing w:val="8"/>
          <w:sz w:val="24"/>
          <w:szCs w:val="24"/>
        </w:rPr>
        <w:t xml:space="preserve"> </w:t>
      </w:r>
    </w:p>
    <w:p w14:paraId="0BDFA7CD" w14:textId="77777777" w:rsidR="00755CA0" w:rsidRPr="00DB4679" w:rsidRDefault="00755CA0" w:rsidP="00C1728B">
      <w:pPr>
        <w:numPr>
          <w:ilvl w:val="0"/>
          <w:numId w:val="99"/>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Require such commissions to sell the funds or offer commission to another broker-dealer relating to their sale of funds</w:t>
      </w:r>
      <w:r w:rsidR="00011EA4" w:rsidRPr="00DB4679">
        <w:rPr>
          <w:color w:val="000000"/>
          <w:spacing w:val="8"/>
          <w:sz w:val="24"/>
          <w:szCs w:val="24"/>
        </w:rPr>
        <w:t>;</w:t>
      </w:r>
      <w:r w:rsidRPr="00DB4679">
        <w:rPr>
          <w:color w:val="000000"/>
          <w:spacing w:val="8"/>
          <w:sz w:val="24"/>
          <w:szCs w:val="24"/>
        </w:rPr>
        <w:t xml:space="preserve"> </w:t>
      </w:r>
    </w:p>
    <w:p w14:paraId="1E352470" w14:textId="77777777" w:rsidR="00755CA0" w:rsidRPr="00DB4679" w:rsidRDefault="00755CA0" w:rsidP="00C1728B">
      <w:pPr>
        <w:numPr>
          <w:ilvl w:val="0"/>
          <w:numId w:val="99"/>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Circulate information about commissions received from an investment company, other than to senior managers for purposes of managing Co</w:t>
      </w:r>
      <w:r w:rsidR="00011EA4" w:rsidRPr="00DB4679">
        <w:rPr>
          <w:color w:val="000000"/>
          <w:spacing w:val="8"/>
          <w:sz w:val="24"/>
          <w:szCs w:val="24"/>
        </w:rPr>
        <w:t>m</w:t>
      </w:r>
      <w:r w:rsidRPr="00DB4679">
        <w:rPr>
          <w:color w:val="000000"/>
          <w:spacing w:val="8"/>
          <w:sz w:val="24"/>
          <w:szCs w:val="24"/>
        </w:rPr>
        <w:t>p</w:t>
      </w:r>
      <w:r w:rsidR="00011EA4" w:rsidRPr="00DB4679">
        <w:rPr>
          <w:color w:val="000000"/>
          <w:spacing w:val="8"/>
          <w:sz w:val="24"/>
          <w:szCs w:val="24"/>
        </w:rPr>
        <w:t>any</w:t>
      </w:r>
      <w:r w:rsidRPr="00DB4679">
        <w:rPr>
          <w:color w:val="000000"/>
          <w:spacing w:val="8"/>
          <w:sz w:val="24"/>
          <w:szCs w:val="24"/>
        </w:rPr>
        <w:t>'s business</w:t>
      </w:r>
      <w:r w:rsidR="00011EA4" w:rsidRPr="00DB4679">
        <w:rPr>
          <w:color w:val="000000"/>
          <w:spacing w:val="8"/>
          <w:sz w:val="24"/>
          <w:szCs w:val="24"/>
        </w:rPr>
        <w:t>;</w:t>
      </w:r>
      <w:r w:rsidRPr="00DB4679">
        <w:rPr>
          <w:color w:val="000000"/>
          <w:spacing w:val="8"/>
          <w:sz w:val="24"/>
          <w:szCs w:val="24"/>
        </w:rPr>
        <w:t xml:space="preserve"> </w:t>
      </w:r>
    </w:p>
    <w:p w14:paraId="77C3A2AB" w14:textId="77777777" w:rsidR="00755CA0" w:rsidRPr="00DB4679" w:rsidRDefault="00755CA0" w:rsidP="00C1728B">
      <w:pPr>
        <w:numPr>
          <w:ilvl w:val="0"/>
          <w:numId w:val="99"/>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Sponsor or encourage an incentive campaign or special sales effort of another dealer financed by commissions received related to the sale of the funds</w:t>
      </w:r>
      <w:r w:rsidR="00011EA4" w:rsidRPr="00DB4679">
        <w:rPr>
          <w:color w:val="000000"/>
          <w:spacing w:val="8"/>
          <w:sz w:val="24"/>
          <w:szCs w:val="24"/>
        </w:rPr>
        <w:t>;</w:t>
      </w:r>
      <w:r w:rsidRPr="00DB4679">
        <w:rPr>
          <w:color w:val="000000"/>
          <w:spacing w:val="8"/>
          <w:sz w:val="24"/>
          <w:szCs w:val="24"/>
        </w:rPr>
        <w:t xml:space="preserve"> </w:t>
      </w:r>
    </w:p>
    <w:p w14:paraId="27446CFD" w14:textId="77777777" w:rsidR="00755CA0" w:rsidRPr="00DB4679" w:rsidRDefault="00755CA0" w:rsidP="00C1728B">
      <w:pPr>
        <w:numPr>
          <w:ilvl w:val="0"/>
          <w:numId w:val="99"/>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For retail sales, provide incentive or special compensation based on the </w:t>
      </w:r>
      <w:proofErr w:type="gramStart"/>
      <w:r w:rsidRPr="00DB4679">
        <w:rPr>
          <w:color w:val="000000"/>
          <w:spacing w:val="8"/>
          <w:sz w:val="24"/>
          <w:szCs w:val="24"/>
        </w:rPr>
        <w:t>amount</w:t>
      </w:r>
      <w:proofErr w:type="gramEnd"/>
      <w:r w:rsidRPr="00DB4679">
        <w:rPr>
          <w:color w:val="000000"/>
          <w:spacing w:val="8"/>
          <w:sz w:val="24"/>
          <w:szCs w:val="24"/>
        </w:rPr>
        <w:t xml:space="preserve"> of commissions expected to be received from the fund or another source</w:t>
      </w:r>
      <w:r w:rsidR="00011EA4" w:rsidRPr="00DB4679">
        <w:rPr>
          <w:color w:val="000000"/>
          <w:spacing w:val="8"/>
          <w:sz w:val="24"/>
          <w:szCs w:val="24"/>
        </w:rPr>
        <w:t>;</w:t>
      </w:r>
      <w:r w:rsidRPr="00DB4679">
        <w:rPr>
          <w:color w:val="000000"/>
          <w:spacing w:val="8"/>
          <w:sz w:val="24"/>
          <w:szCs w:val="24"/>
        </w:rPr>
        <w:t xml:space="preserve"> </w:t>
      </w:r>
    </w:p>
    <w:p w14:paraId="0715EAEC" w14:textId="77777777" w:rsidR="00755CA0" w:rsidRPr="00DB4679" w:rsidRDefault="00755CA0" w:rsidP="00C1728B">
      <w:pPr>
        <w:numPr>
          <w:ilvl w:val="0"/>
          <w:numId w:val="99"/>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Establish recommended, selected, or similar preferred lists of investment companies if based on brokerage commissions</w:t>
      </w:r>
      <w:r w:rsidR="00011EA4" w:rsidRPr="00DB4679">
        <w:rPr>
          <w:color w:val="000000"/>
          <w:spacing w:val="8"/>
          <w:sz w:val="24"/>
          <w:szCs w:val="24"/>
        </w:rPr>
        <w:t>;</w:t>
      </w:r>
      <w:r w:rsidRPr="00DB4679">
        <w:rPr>
          <w:color w:val="000000"/>
          <w:spacing w:val="8"/>
          <w:sz w:val="24"/>
          <w:szCs w:val="24"/>
        </w:rPr>
        <w:t xml:space="preserve"> </w:t>
      </w:r>
    </w:p>
    <w:p w14:paraId="6EE21E5F" w14:textId="77777777" w:rsidR="00755CA0" w:rsidRPr="00DB4679" w:rsidRDefault="00755CA0" w:rsidP="00C1728B">
      <w:pPr>
        <w:numPr>
          <w:ilvl w:val="0"/>
          <w:numId w:val="99"/>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Allow </w:t>
      </w:r>
      <w:r w:rsidR="00011EA4" w:rsidRPr="00DB4679">
        <w:rPr>
          <w:color w:val="000000"/>
          <w:spacing w:val="8"/>
          <w:sz w:val="24"/>
          <w:szCs w:val="24"/>
        </w:rPr>
        <w:t>Associated Person</w:t>
      </w:r>
      <w:r w:rsidRPr="00DB4679">
        <w:rPr>
          <w:color w:val="000000"/>
          <w:spacing w:val="8"/>
          <w:sz w:val="24"/>
          <w:szCs w:val="24"/>
        </w:rPr>
        <w:t>s and other sales personnel to participate in commissions received from investment company portfolio transactions</w:t>
      </w:r>
      <w:r w:rsidR="00011EA4" w:rsidRPr="00DB4679">
        <w:rPr>
          <w:color w:val="000000"/>
          <w:spacing w:val="8"/>
          <w:sz w:val="24"/>
          <w:szCs w:val="24"/>
        </w:rPr>
        <w:t>; and</w:t>
      </w:r>
      <w:r w:rsidRPr="00DB4679">
        <w:rPr>
          <w:color w:val="000000"/>
          <w:spacing w:val="8"/>
          <w:sz w:val="24"/>
          <w:szCs w:val="24"/>
        </w:rPr>
        <w:t xml:space="preserve"> </w:t>
      </w:r>
    </w:p>
    <w:p w14:paraId="73B41D04" w14:textId="77777777" w:rsidR="00755CA0" w:rsidRPr="00DB4679" w:rsidRDefault="00755CA0" w:rsidP="00C1728B">
      <w:pPr>
        <w:numPr>
          <w:ilvl w:val="0"/>
          <w:numId w:val="99"/>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lastRenderedPageBreak/>
        <w:t>Use the sale of investment company shares to negotiate the price or amount of brokerage commissions paid on investment company portfolio transactions</w:t>
      </w:r>
      <w:r w:rsidR="00011EA4" w:rsidRPr="00DB4679">
        <w:rPr>
          <w:color w:val="000000"/>
          <w:spacing w:val="8"/>
          <w:sz w:val="24"/>
          <w:szCs w:val="24"/>
        </w:rPr>
        <w:t>.</w:t>
      </w:r>
    </w:p>
    <w:p w14:paraId="5FCA220E" w14:textId="77777777" w:rsidR="00755CA0" w:rsidRPr="00DB4679" w:rsidRDefault="00755CA0" w:rsidP="00755CA0">
      <w:pPr>
        <w:shd w:val="clear" w:color="auto" w:fill="FFFFFF"/>
        <w:spacing w:before="15" w:after="100" w:afterAutospacing="1" w:line="240" w:lineRule="atLeast"/>
        <w:jc w:val="both"/>
        <w:rPr>
          <w:color w:val="000000"/>
          <w:spacing w:val="8"/>
          <w:sz w:val="24"/>
          <w:szCs w:val="24"/>
        </w:rPr>
      </w:pPr>
      <w:r w:rsidRPr="00DB4679">
        <w:rPr>
          <w:color w:val="000000"/>
          <w:spacing w:val="8"/>
          <w:sz w:val="24"/>
          <w:szCs w:val="24"/>
        </w:rPr>
        <w:t xml:space="preserve">These prohibitions do not prevent execution of investment company portfolio transactions that are not tied to sales of the investment company's shares. </w:t>
      </w:r>
      <w:r w:rsidR="00011EA4" w:rsidRPr="00DB4679">
        <w:rPr>
          <w:color w:val="000000"/>
          <w:spacing w:val="8"/>
          <w:sz w:val="24"/>
          <w:szCs w:val="24"/>
        </w:rPr>
        <w:t>Associated Person</w:t>
      </w:r>
      <w:r w:rsidRPr="00DB4679">
        <w:rPr>
          <w:color w:val="000000"/>
          <w:spacing w:val="8"/>
          <w:sz w:val="24"/>
          <w:szCs w:val="24"/>
        </w:rPr>
        <w:t>s and managers may be compensated for sales attributable to them including the use of overrides, accounting credits, or other compensation, provided the extra compensation does not violate anti-reciprocal prohibitions.</w:t>
      </w:r>
    </w:p>
    <w:p w14:paraId="688959CF" w14:textId="77777777" w:rsidR="00755CA0" w:rsidRPr="00DB4679" w:rsidRDefault="00755CA0" w:rsidP="00755CA0">
      <w:pPr>
        <w:rPr>
          <w:color w:val="000000"/>
          <w:sz w:val="24"/>
          <w:szCs w:val="24"/>
        </w:rPr>
      </w:pPr>
    </w:p>
    <w:p w14:paraId="78475B86" w14:textId="77777777" w:rsidR="00A52F93" w:rsidRPr="00DB4679" w:rsidRDefault="00A52F93" w:rsidP="00A52F93">
      <w:pPr>
        <w:rPr>
          <w:color w:val="000000"/>
        </w:rPr>
      </w:pPr>
    </w:p>
    <w:p w14:paraId="648F1126" w14:textId="77777777" w:rsidR="000C099C" w:rsidRPr="00DB4679" w:rsidRDefault="006B12F1" w:rsidP="00936FEE">
      <w:pPr>
        <w:pStyle w:val="Heading2"/>
      </w:pPr>
      <w:bookmarkStart w:id="183" w:name="_11.5_Retail_Communications"/>
      <w:bookmarkEnd w:id="183"/>
      <w:r>
        <w:t xml:space="preserve">11.5 </w:t>
      </w:r>
      <w:bookmarkEnd w:id="181"/>
      <w:bookmarkEnd w:id="182"/>
      <w:r w:rsidR="00682F7A">
        <w:t>Retail Communications</w:t>
      </w:r>
      <w:r w:rsidR="000C099C" w:rsidRPr="00DB4679">
        <w:t xml:space="preserve"> </w:t>
      </w:r>
    </w:p>
    <w:p w14:paraId="5F91C72E" w14:textId="77777777" w:rsidR="000C099C" w:rsidRPr="00DB4679" w:rsidRDefault="005F6AB4" w:rsidP="003B4461">
      <w:pPr>
        <w:pStyle w:val="BodyText2"/>
        <w:widowControl/>
        <w:jc w:val="both"/>
        <w:rPr>
          <w:color w:val="000000"/>
        </w:rPr>
      </w:pPr>
      <w:r w:rsidRPr="00DB4679">
        <w:rPr>
          <w:color w:val="000000"/>
        </w:rPr>
        <w:t xml:space="preserve">All </w:t>
      </w:r>
      <w:r w:rsidR="00DC6869" w:rsidRPr="00DB4679">
        <w:rPr>
          <w:color w:val="000000"/>
        </w:rPr>
        <w:t>Investment Company</w:t>
      </w:r>
      <w:r w:rsidR="000C099C" w:rsidRPr="00DB4679">
        <w:rPr>
          <w:color w:val="000000"/>
        </w:rPr>
        <w:t xml:space="preserve"> </w:t>
      </w:r>
      <w:r w:rsidR="00682F7A" w:rsidRPr="00217738">
        <w:t>retail communications</w:t>
      </w:r>
      <w:r w:rsidR="000C099C" w:rsidRPr="00217738">
        <w:t xml:space="preserve"> must be reviewed and approved by Morris Monroe or the designated supervisor prior to use.  Typically investment company </w:t>
      </w:r>
      <w:r w:rsidR="00682F7A" w:rsidRPr="00217738">
        <w:t>retail communication</w:t>
      </w:r>
      <w:r w:rsidR="000C099C" w:rsidRPr="00217738">
        <w:t xml:space="preserve"> will have to be filed with FINRA along with the applicable filing fee.</w:t>
      </w:r>
      <w:r w:rsidR="003B4461" w:rsidRPr="00217738">
        <w:t xml:space="preserve">  Associated Persons may use materials provided by the fund or Company approved materials. Any other </w:t>
      </w:r>
      <w:r w:rsidR="00682F7A" w:rsidRPr="00217738">
        <w:t>retail communications</w:t>
      </w:r>
      <w:r w:rsidR="003B4461" w:rsidRPr="00217738">
        <w:t xml:space="preserve"> must be approved</w:t>
      </w:r>
      <w:r w:rsidR="003B4461" w:rsidRPr="00DB4679">
        <w:rPr>
          <w:color w:val="000000"/>
        </w:rPr>
        <w:t xml:space="preserve"> by the designated supervisor or Compliance prior to use.</w:t>
      </w:r>
    </w:p>
    <w:p w14:paraId="76930A85" w14:textId="77777777" w:rsidR="003B4461" w:rsidRPr="00DB4679" w:rsidRDefault="003B4461" w:rsidP="003B4461">
      <w:pPr>
        <w:rPr>
          <w:color w:val="000000"/>
        </w:rPr>
      </w:pPr>
      <w:bookmarkStart w:id="184" w:name="BreakpointsAndSC"/>
      <w:bookmarkStart w:id="185" w:name="_Toc153361408"/>
      <w:bookmarkStart w:id="186" w:name="_Toc153361636"/>
      <w:bookmarkEnd w:id="184"/>
    </w:p>
    <w:p w14:paraId="02079638" w14:textId="77777777" w:rsidR="00752802" w:rsidRPr="00DB4679" w:rsidRDefault="00682F7A" w:rsidP="00752802">
      <w:pPr>
        <w:shd w:val="clear" w:color="auto" w:fill="FFFFFF"/>
        <w:spacing w:before="15" w:after="100" w:afterAutospacing="1" w:line="240" w:lineRule="atLeast"/>
        <w:jc w:val="both"/>
        <w:rPr>
          <w:color w:val="000000"/>
          <w:spacing w:val="8"/>
          <w:sz w:val="24"/>
          <w:szCs w:val="24"/>
        </w:rPr>
      </w:pPr>
      <w:r>
        <w:rPr>
          <w:color w:val="000000"/>
          <w:spacing w:val="8"/>
          <w:sz w:val="24"/>
          <w:szCs w:val="24"/>
        </w:rPr>
        <w:t>Ma</w:t>
      </w:r>
      <w:r w:rsidR="00752802" w:rsidRPr="00DB4679">
        <w:rPr>
          <w:color w:val="000000"/>
          <w:spacing w:val="8"/>
          <w:sz w:val="24"/>
          <w:szCs w:val="24"/>
        </w:rPr>
        <w:t xml:space="preserve">terial provided by outside (third) parties such as newspaper or magazine articles, books or pamphlets, handouts, and other third-party provided material </w:t>
      </w:r>
      <w:r w:rsidR="00752802" w:rsidRPr="00DB4679">
        <w:rPr>
          <w:b/>
          <w:bCs/>
          <w:color w:val="000000"/>
          <w:spacing w:val="8"/>
          <w:sz w:val="24"/>
          <w:szCs w:val="24"/>
        </w:rPr>
        <w:t>must be reviewed and approved by Compliance prior to use</w:t>
      </w:r>
      <w:r w:rsidR="00752802" w:rsidRPr="00DB4679">
        <w:rPr>
          <w:color w:val="000000"/>
          <w:spacing w:val="8"/>
          <w:sz w:val="24"/>
          <w:szCs w:val="24"/>
        </w:rPr>
        <w:t xml:space="preserve">. Materials made available by Company may be presumed to have been reviewed and approved. Some sales material requires the prior approval of FINRA. </w:t>
      </w:r>
    </w:p>
    <w:p w14:paraId="781A863B" w14:textId="77777777" w:rsidR="00752802" w:rsidRPr="00DB4679" w:rsidRDefault="00752802" w:rsidP="00752802">
      <w:pPr>
        <w:shd w:val="clear" w:color="auto" w:fill="FFFFFF"/>
        <w:spacing w:before="15" w:after="100" w:afterAutospacing="1" w:line="240" w:lineRule="atLeast"/>
        <w:jc w:val="both"/>
        <w:rPr>
          <w:color w:val="000000"/>
          <w:spacing w:val="8"/>
          <w:sz w:val="24"/>
          <w:szCs w:val="24"/>
        </w:rPr>
      </w:pPr>
      <w:r w:rsidRPr="00DB4679">
        <w:rPr>
          <w:color w:val="000000"/>
          <w:spacing w:val="8"/>
          <w:sz w:val="24"/>
          <w:szCs w:val="24"/>
        </w:rPr>
        <w:t>The following guidelines apply when using third-party material:</w:t>
      </w:r>
    </w:p>
    <w:p w14:paraId="2C9C85DD" w14:textId="77777777" w:rsidR="00752802" w:rsidRPr="00DB4679" w:rsidRDefault="00752802" w:rsidP="00C1728B">
      <w:pPr>
        <w:numPr>
          <w:ilvl w:val="0"/>
          <w:numId w:val="100"/>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Associated Persons may </w:t>
      </w:r>
      <w:r w:rsidRPr="00DB4679">
        <w:rPr>
          <w:b/>
          <w:bCs/>
          <w:color w:val="000000"/>
          <w:spacing w:val="8"/>
          <w:sz w:val="24"/>
          <w:szCs w:val="24"/>
        </w:rPr>
        <w:t>not</w:t>
      </w:r>
      <w:r w:rsidRPr="00DB4679">
        <w:rPr>
          <w:color w:val="000000"/>
          <w:spacing w:val="8"/>
          <w:sz w:val="24"/>
          <w:szCs w:val="24"/>
        </w:rPr>
        <w:t xml:space="preserve"> suggest or infer that they authored investment-related books, articles, or other sales material not written by them. </w:t>
      </w:r>
    </w:p>
    <w:p w14:paraId="0BC84695" w14:textId="77777777" w:rsidR="00752802" w:rsidRPr="00DB4679" w:rsidRDefault="00752802" w:rsidP="00C1728B">
      <w:pPr>
        <w:numPr>
          <w:ilvl w:val="0"/>
          <w:numId w:val="100"/>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If Company or Associated Person has paid for the publication, production, or distribution of any communication that appears to be a magazine, article or interview, then the communication must be clearly identified as an advertisement. </w:t>
      </w:r>
    </w:p>
    <w:p w14:paraId="1D4866B2" w14:textId="77777777" w:rsidR="00752802" w:rsidRPr="00DB4679" w:rsidRDefault="00682F7A" w:rsidP="00C1728B">
      <w:pPr>
        <w:numPr>
          <w:ilvl w:val="0"/>
          <w:numId w:val="100"/>
        </w:numPr>
        <w:shd w:val="clear" w:color="auto" w:fill="FFFFFF"/>
        <w:spacing w:before="100" w:beforeAutospacing="1" w:after="100" w:afterAutospacing="1" w:line="240" w:lineRule="atLeast"/>
        <w:jc w:val="both"/>
        <w:rPr>
          <w:rFonts w:ascii="Tahoma" w:hAnsi="Tahoma" w:cs="Tahoma"/>
          <w:color w:val="000000"/>
          <w:spacing w:val="8"/>
          <w:sz w:val="18"/>
          <w:szCs w:val="18"/>
        </w:rPr>
      </w:pPr>
      <w:r>
        <w:rPr>
          <w:color w:val="000000"/>
          <w:spacing w:val="8"/>
          <w:sz w:val="24"/>
          <w:szCs w:val="24"/>
        </w:rPr>
        <w:t>M</w:t>
      </w:r>
      <w:r w:rsidR="00752802" w:rsidRPr="00DB4679">
        <w:rPr>
          <w:color w:val="000000"/>
          <w:spacing w:val="8"/>
          <w:sz w:val="24"/>
          <w:szCs w:val="24"/>
        </w:rPr>
        <w:t xml:space="preserve">aterial may </w:t>
      </w:r>
      <w:r w:rsidR="00752802" w:rsidRPr="00DB4679">
        <w:rPr>
          <w:b/>
          <w:bCs/>
          <w:color w:val="000000"/>
          <w:spacing w:val="8"/>
          <w:sz w:val="24"/>
          <w:szCs w:val="24"/>
        </w:rPr>
        <w:t>not</w:t>
      </w:r>
      <w:r w:rsidR="00752802" w:rsidRPr="00DB4679">
        <w:rPr>
          <w:color w:val="000000"/>
          <w:spacing w:val="8"/>
          <w:sz w:val="24"/>
          <w:szCs w:val="24"/>
        </w:rPr>
        <w:t xml:space="preserve"> include titles other than those normally conferred by Company (account executive, financial consultant, </w:t>
      </w:r>
      <w:r w:rsidR="00752802" w:rsidRPr="00DB4679">
        <w:rPr>
          <w:i/>
          <w:iCs/>
          <w:color w:val="000000"/>
          <w:spacing w:val="8"/>
          <w:sz w:val="24"/>
          <w:szCs w:val="24"/>
        </w:rPr>
        <w:t>etc.</w:t>
      </w:r>
      <w:r w:rsidR="00752802" w:rsidRPr="00DB4679">
        <w:rPr>
          <w:color w:val="000000"/>
          <w:spacing w:val="8"/>
          <w:sz w:val="24"/>
          <w:szCs w:val="24"/>
        </w:rPr>
        <w:t xml:space="preserve">) unless previously approved by Compliance. Associated Persons particularly may </w:t>
      </w:r>
      <w:r w:rsidR="00752802" w:rsidRPr="00DB4679">
        <w:rPr>
          <w:b/>
          <w:bCs/>
          <w:color w:val="000000"/>
          <w:spacing w:val="8"/>
          <w:sz w:val="24"/>
          <w:szCs w:val="24"/>
        </w:rPr>
        <w:t>not</w:t>
      </w:r>
      <w:r w:rsidR="00752802" w:rsidRPr="00DB4679">
        <w:rPr>
          <w:color w:val="000000"/>
          <w:spacing w:val="8"/>
          <w:sz w:val="24"/>
          <w:szCs w:val="24"/>
        </w:rPr>
        <w:t xml:space="preserve"> use titles inferring expertise in dealing with senior investors.</w:t>
      </w:r>
    </w:p>
    <w:p w14:paraId="7D9886B6" w14:textId="77777777" w:rsidR="00DC73F6" w:rsidRPr="00DB4679" w:rsidRDefault="00DC73F6" w:rsidP="003B4461">
      <w:pPr>
        <w:rPr>
          <w:color w:val="000000"/>
        </w:rPr>
      </w:pPr>
    </w:p>
    <w:p w14:paraId="5F750254" w14:textId="77777777" w:rsidR="00DC73F6" w:rsidRPr="00217738" w:rsidRDefault="00361BD0" w:rsidP="00361BD0">
      <w:pPr>
        <w:rPr>
          <w:b/>
          <w:sz w:val="24"/>
          <w:szCs w:val="24"/>
        </w:rPr>
      </w:pPr>
      <w:r w:rsidRPr="00217738">
        <w:rPr>
          <w:b/>
          <w:sz w:val="24"/>
          <w:szCs w:val="24"/>
        </w:rPr>
        <w:t>Disclosure of Material Facts</w:t>
      </w:r>
    </w:p>
    <w:p w14:paraId="26E7476E" w14:textId="77777777" w:rsidR="00361BD0" w:rsidRPr="00217738" w:rsidRDefault="00361BD0" w:rsidP="00361BD0">
      <w:pPr>
        <w:rPr>
          <w:sz w:val="24"/>
          <w:szCs w:val="24"/>
        </w:rPr>
      </w:pPr>
      <w:r w:rsidRPr="00217738">
        <w:rPr>
          <w:sz w:val="24"/>
          <w:szCs w:val="24"/>
        </w:rPr>
        <w:t>FINRA has stated that there are material facts that should be disclosed to a customer when recommending a mutual fund. Items to be disclosed, if applicable or appropriate, include:</w:t>
      </w:r>
    </w:p>
    <w:p w14:paraId="11AC048E" w14:textId="77777777" w:rsidR="00361BD0" w:rsidRPr="00217738" w:rsidRDefault="00361BD0" w:rsidP="003E7B18">
      <w:pPr>
        <w:numPr>
          <w:ilvl w:val="0"/>
          <w:numId w:val="221"/>
        </w:numPr>
        <w:rPr>
          <w:sz w:val="24"/>
          <w:szCs w:val="24"/>
        </w:rPr>
      </w:pPr>
      <w:r w:rsidRPr="00217738">
        <w:rPr>
          <w:sz w:val="24"/>
          <w:szCs w:val="24"/>
        </w:rPr>
        <w:t xml:space="preserve">the fund's investment objective </w:t>
      </w:r>
    </w:p>
    <w:p w14:paraId="0F377AE7" w14:textId="77777777" w:rsidR="00361BD0" w:rsidRPr="00217738" w:rsidRDefault="00361BD0" w:rsidP="003E7B18">
      <w:pPr>
        <w:numPr>
          <w:ilvl w:val="0"/>
          <w:numId w:val="221"/>
        </w:numPr>
        <w:rPr>
          <w:sz w:val="24"/>
          <w:szCs w:val="24"/>
        </w:rPr>
      </w:pPr>
      <w:r w:rsidRPr="00217738">
        <w:rPr>
          <w:sz w:val="24"/>
          <w:szCs w:val="24"/>
        </w:rPr>
        <w:t xml:space="preserve">the fund's portfolio </w:t>
      </w:r>
    </w:p>
    <w:p w14:paraId="5E72B60D" w14:textId="77777777" w:rsidR="00361BD0" w:rsidRPr="00217738" w:rsidRDefault="00361BD0" w:rsidP="003E7B18">
      <w:pPr>
        <w:numPr>
          <w:ilvl w:val="0"/>
          <w:numId w:val="221"/>
        </w:numPr>
        <w:rPr>
          <w:sz w:val="24"/>
          <w:szCs w:val="24"/>
        </w:rPr>
      </w:pPr>
      <w:r w:rsidRPr="00217738">
        <w:rPr>
          <w:sz w:val="24"/>
          <w:szCs w:val="24"/>
        </w:rPr>
        <w:t xml:space="preserve">historical income or capital appreciation </w:t>
      </w:r>
    </w:p>
    <w:p w14:paraId="71BEEB29" w14:textId="77777777" w:rsidR="00361BD0" w:rsidRPr="00217738" w:rsidRDefault="00361BD0" w:rsidP="003E7B18">
      <w:pPr>
        <w:numPr>
          <w:ilvl w:val="0"/>
          <w:numId w:val="221"/>
        </w:numPr>
        <w:rPr>
          <w:sz w:val="24"/>
          <w:szCs w:val="24"/>
        </w:rPr>
      </w:pPr>
      <w:r w:rsidRPr="00217738">
        <w:rPr>
          <w:sz w:val="24"/>
          <w:szCs w:val="24"/>
        </w:rPr>
        <w:t xml:space="preserve">the fund's expense ratio and sales charges </w:t>
      </w:r>
    </w:p>
    <w:p w14:paraId="445066F3" w14:textId="77777777" w:rsidR="00361BD0" w:rsidRPr="00217738" w:rsidRDefault="00361BD0" w:rsidP="003E7B18">
      <w:pPr>
        <w:numPr>
          <w:ilvl w:val="0"/>
          <w:numId w:val="221"/>
        </w:numPr>
        <w:rPr>
          <w:sz w:val="24"/>
          <w:szCs w:val="24"/>
        </w:rPr>
      </w:pPr>
      <w:r w:rsidRPr="00217738">
        <w:rPr>
          <w:sz w:val="24"/>
          <w:szCs w:val="24"/>
        </w:rPr>
        <w:t xml:space="preserve">risks of investing in the fund relative to other investments </w:t>
      </w:r>
    </w:p>
    <w:p w14:paraId="5B8A5736" w14:textId="77777777" w:rsidR="00361BD0" w:rsidRPr="00217738" w:rsidRDefault="00361BD0" w:rsidP="003E7B18">
      <w:pPr>
        <w:numPr>
          <w:ilvl w:val="0"/>
          <w:numId w:val="221"/>
        </w:numPr>
        <w:rPr>
          <w:sz w:val="24"/>
          <w:szCs w:val="24"/>
        </w:rPr>
      </w:pPr>
      <w:r w:rsidRPr="00217738">
        <w:rPr>
          <w:sz w:val="24"/>
          <w:szCs w:val="24"/>
        </w:rPr>
        <w:t xml:space="preserve">the fund's hedging or risk management strategy </w:t>
      </w:r>
    </w:p>
    <w:p w14:paraId="654091C6" w14:textId="77777777" w:rsidR="00361BD0" w:rsidRPr="00217738" w:rsidRDefault="00361BD0" w:rsidP="003E7B18">
      <w:pPr>
        <w:numPr>
          <w:ilvl w:val="0"/>
          <w:numId w:val="221"/>
        </w:numPr>
        <w:rPr>
          <w:sz w:val="24"/>
          <w:szCs w:val="24"/>
        </w:rPr>
      </w:pPr>
      <w:r w:rsidRPr="00217738">
        <w:rPr>
          <w:sz w:val="24"/>
          <w:szCs w:val="24"/>
        </w:rPr>
        <w:t xml:space="preserve">information regarding the structure of multi-class and master-feeder funds sufficient so the customer may understand and evaluate the structure </w:t>
      </w:r>
    </w:p>
    <w:p w14:paraId="79254CFE" w14:textId="77777777" w:rsidR="00361BD0" w:rsidRPr="00217738" w:rsidRDefault="00361BD0" w:rsidP="003E7B18">
      <w:pPr>
        <w:numPr>
          <w:ilvl w:val="0"/>
          <w:numId w:val="221"/>
        </w:numPr>
        <w:rPr>
          <w:sz w:val="24"/>
          <w:szCs w:val="24"/>
        </w:rPr>
      </w:pPr>
      <w:r w:rsidRPr="00217738">
        <w:rPr>
          <w:sz w:val="24"/>
          <w:szCs w:val="24"/>
        </w:rPr>
        <w:t xml:space="preserve">potential tax consequences including tax on distributions and capital gains subject to tax </w:t>
      </w:r>
    </w:p>
    <w:p w14:paraId="270793FA" w14:textId="77777777" w:rsidR="00361BD0" w:rsidRPr="00217738" w:rsidRDefault="00361BD0" w:rsidP="003E7B18">
      <w:pPr>
        <w:numPr>
          <w:ilvl w:val="0"/>
          <w:numId w:val="221"/>
        </w:numPr>
        <w:rPr>
          <w:sz w:val="24"/>
          <w:szCs w:val="24"/>
        </w:rPr>
      </w:pPr>
      <w:r w:rsidRPr="00217738">
        <w:rPr>
          <w:sz w:val="24"/>
          <w:szCs w:val="24"/>
        </w:rPr>
        <w:lastRenderedPageBreak/>
        <w:t xml:space="preserve">potential risks if a fund invests in financial derivatives </w:t>
      </w:r>
    </w:p>
    <w:p w14:paraId="68C4A048" w14:textId="77777777" w:rsidR="00361BD0" w:rsidRPr="00217738" w:rsidRDefault="00361BD0" w:rsidP="003E7B18">
      <w:pPr>
        <w:numPr>
          <w:ilvl w:val="0"/>
          <w:numId w:val="221"/>
        </w:numPr>
        <w:rPr>
          <w:sz w:val="24"/>
          <w:szCs w:val="24"/>
        </w:rPr>
      </w:pPr>
      <w:r w:rsidRPr="00217738">
        <w:rPr>
          <w:sz w:val="24"/>
          <w:szCs w:val="24"/>
        </w:rPr>
        <w:t>if an expense ratio is represented as an advantage of a particular fund, it is explained in the context of and compared with other mutual fund expense ratios</w:t>
      </w:r>
    </w:p>
    <w:p w14:paraId="5A45C86A" w14:textId="77777777" w:rsidR="00361BD0" w:rsidRPr="00217738" w:rsidRDefault="00361BD0" w:rsidP="003B4461">
      <w:pPr>
        <w:rPr>
          <w:sz w:val="24"/>
          <w:szCs w:val="24"/>
        </w:rPr>
      </w:pPr>
    </w:p>
    <w:p w14:paraId="422677AE" w14:textId="77777777" w:rsidR="00361BD0" w:rsidRPr="00217738" w:rsidRDefault="00361BD0" w:rsidP="003B4461">
      <w:pPr>
        <w:rPr>
          <w:sz w:val="24"/>
          <w:szCs w:val="24"/>
        </w:rPr>
      </w:pPr>
      <w:r w:rsidRPr="00217738">
        <w:rPr>
          <w:sz w:val="24"/>
          <w:szCs w:val="24"/>
        </w:rPr>
        <w:t xml:space="preserve">The mutual fund’s prospectus generally includes many if not </w:t>
      </w:r>
      <w:r w:rsidR="00217738">
        <w:rPr>
          <w:sz w:val="24"/>
          <w:szCs w:val="24"/>
        </w:rPr>
        <w:t>all</w:t>
      </w:r>
      <w:r w:rsidRPr="00217738">
        <w:rPr>
          <w:sz w:val="24"/>
          <w:szCs w:val="24"/>
        </w:rPr>
        <w:t xml:space="preserve"> of these disclosures</w:t>
      </w:r>
      <w:r w:rsidR="00D708D5" w:rsidRPr="00217738">
        <w:rPr>
          <w:sz w:val="24"/>
          <w:szCs w:val="24"/>
        </w:rPr>
        <w:t>.</w:t>
      </w:r>
    </w:p>
    <w:p w14:paraId="58CA1AA3" w14:textId="77777777" w:rsidR="00361BD0" w:rsidRPr="00217738" w:rsidRDefault="00361BD0" w:rsidP="003B4461">
      <w:pPr>
        <w:rPr>
          <w:sz w:val="24"/>
          <w:szCs w:val="24"/>
        </w:rPr>
      </w:pPr>
    </w:p>
    <w:p w14:paraId="5C6CC38B" w14:textId="77777777" w:rsidR="00361BD0" w:rsidRPr="00361BD0" w:rsidRDefault="00361BD0" w:rsidP="003B4461">
      <w:pPr>
        <w:rPr>
          <w:sz w:val="24"/>
          <w:szCs w:val="24"/>
        </w:rPr>
      </w:pPr>
    </w:p>
    <w:p w14:paraId="53968DA7" w14:textId="77777777" w:rsidR="00DC73F6" w:rsidRDefault="006B12F1" w:rsidP="00936FEE">
      <w:pPr>
        <w:pStyle w:val="Heading2"/>
      </w:pPr>
      <w:r>
        <w:t xml:space="preserve">11.6 </w:t>
      </w:r>
      <w:r w:rsidR="00DC73F6">
        <w:t>Prompt Transmission of Applications and Payment</w:t>
      </w:r>
    </w:p>
    <w:p w14:paraId="51C5178F" w14:textId="643C6434" w:rsidR="00DC73F6" w:rsidRPr="00DB4679" w:rsidRDefault="00B9311D" w:rsidP="00CB5E0E">
      <w:pPr>
        <w:pStyle w:val="fmtstext"/>
        <w:shd w:val="clear" w:color="auto" w:fill="FFFFFF"/>
        <w:spacing w:before="0" w:after="0" w:afterAutospacing="0" w:line="240" w:lineRule="auto"/>
        <w:jc w:val="both"/>
        <w:rPr>
          <w:rFonts w:ascii="Times New Roman" w:hAnsi="Times New Roman" w:cs="Times New Roman"/>
          <w:color w:val="000000"/>
          <w:sz w:val="24"/>
          <w:szCs w:val="24"/>
        </w:rPr>
      </w:pPr>
      <w:r w:rsidRPr="00767FD6">
        <w:rPr>
          <w:rFonts w:ascii="Times New Roman" w:hAnsi="Times New Roman" w:cs="Times New Roman"/>
          <w:sz w:val="24"/>
          <w:szCs w:val="24"/>
        </w:rPr>
        <w:t xml:space="preserve">For applications on a subscription-way basis, </w:t>
      </w:r>
      <w:r w:rsidR="00DC73F6" w:rsidRPr="00767FD6">
        <w:rPr>
          <w:rFonts w:ascii="Times New Roman" w:hAnsi="Times New Roman" w:cs="Times New Roman"/>
          <w:sz w:val="24"/>
          <w:szCs w:val="24"/>
        </w:rPr>
        <w:t xml:space="preserve">Associated Persons are obligated to </w:t>
      </w:r>
      <w:r w:rsidR="004364E6" w:rsidRPr="00767FD6">
        <w:rPr>
          <w:rFonts w:ascii="Times New Roman" w:hAnsi="Times New Roman" w:cs="Times New Roman"/>
          <w:sz w:val="24"/>
          <w:szCs w:val="24"/>
        </w:rPr>
        <w:t xml:space="preserve">promptly </w:t>
      </w:r>
      <w:r w:rsidR="00DC73F6" w:rsidRPr="00767FD6">
        <w:rPr>
          <w:rFonts w:ascii="Times New Roman" w:hAnsi="Times New Roman" w:cs="Times New Roman"/>
          <w:sz w:val="24"/>
          <w:szCs w:val="24"/>
        </w:rPr>
        <w:t>transmit mutual fund (and variable annuity) applications and customer payments to the designated office/</w:t>
      </w:r>
      <w:r w:rsidRPr="00767FD6">
        <w:rPr>
          <w:rFonts w:ascii="Times New Roman" w:hAnsi="Times New Roman" w:cs="Times New Roman"/>
          <w:sz w:val="24"/>
          <w:szCs w:val="24"/>
        </w:rPr>
        <w:t xml:space="preserve">principal.  Principal shall perform a review and issue an approval (or disapproval) within 7 business days after receipt of a complete and correct package at the OSJ.  Subsequently, the application and check shall be forwarded </w:t>
      </w:r>
      <w:r w:rsidR="00DC73F6" w:rsidRPr="00767FD6">
        <w:rPr>
          <w:rFonts w:ascii="Times New Roman" w:hAnsi="Times New Roman" w:cs="Times New Roman"/>
          <w:b/>
          <w:bCs/>
          <w:sz w:val="24"/>
          <w:szCs w:val="24"/>
        </w:rPr>
        <w:t xml:space="preserve">on the same day as </w:t>
      </w:r>
      <w:r w:rsidR="004364E6" w:rsidRPr="00767FD6">
        <w:rPr>
          <w:rFonts w:ascii="Times New Roman" w:hAnsi="Times New Roman" w:cs="Times New Roman"/>
          <w:b/>
          <w:bCs/>
          <w:sz w:val="24"/>
          <w:szCs w:val="24"/>
        </w:rPr>
        <w:t xml:space="preserve">they are </w:t>
      </w:r>
      <w:r w:rsidRPr="00767FD6">
        <w:rPr>
          <w:rFonts w:ascii="Times New Roman" w:hAnsi="Times New Roman" w:cs="Times New Roman"/>
          <w:b/>
          <w:bCs/>
          <w:sz w:val="24"/>
          <w:szCs w:val="24"/>
        </w:rPr>
        <w:t>approved</w:t>
      </w:r>
      <w:r w:rsidR="00DC73F6" w:rsidRPr="00767FD6">
        <w:rPr>
          <w:rFonts w:ascii="Times New Roman" w:hAnsi="Times New Roman" w:cs="Times New Roman"/>
          <w:b/>
          <w:bCs/>
          <w:sz w:val="24"/>
          <w:szCs w:val="24"/>
        </w:rPr>
        <w:t xml:space="preserve"> or </w:t>
      </w:r>
      <w:r w:rsidR="00DC73F6" w:rsidRPr="00DB4679">
        <w:rPr>
          <w:rFonts w:ascii="Times New Roman" w:hAnsi="Times New Roman" w:cs="Times New Roman"/>
          <w:b/>
          <w:bCs/>
          <w:color w:val="000000"/>
          <w:sz w:val="24"/>
          <w:szCs w:val="24"/>
        </w:rPr>
        <w:t>by noon the following business day when accompanied with a payment</w:t>
      </w:r>
      <w:r w:rsidR="00DC73F6" w:rsidRPr="00DB4679">
        <w:rPr>
          <w:rFonts w:ascii="Times New Roman" w:hAnsi="Times New Roman" w:cs="Times New Roman"/>
          <w:color w:val="000000"/>
          <w:sz w:val="24"/>
          <w:szCs w:val="24"/>
        </w:rPr>
        <w:t>. Failure to transmit applications and payments promptly is a violation of FINRA rules. Associated Persons who do not comply with prompt transmission requirements may be subject to disciplinary action.  All applications and payments must be forwarded to the respective back office for handling and processing.</w:t>
      </w:r>
    </w:p>
    <w:p w14:paraId="1125A544" w14:textId="77777777" w:rsidR="00DC73F6" w:rsidRDefault="00DC73F6" w:rsidP="00CB5E0E">
      <w:pPr>
        <w:rPr>
          <w:sz w:val="24"/>
          <w:szCs w:val="24"/>
        </w:rPr>
      </w:pPr>
    </w:p>
    <w:p w14:paraId="6C41CCC9" w14:textId="77777777" w:rsidR="00DC73F6" w:rsidRDefault="00DC73F6" w:rsidP="00CB5E0E">
      <w:pPr>
        <w:rPr>
          <w:sz w:val="24"/>
          <w:szCs w:val="24"/>
        </w:rPr>
      </w:pPr>
    </w:p>
    <w:p w14:paraId="335A25DE" w14:textId="77777777" w:rsidR="0027494B" w:rsidRDefault="0027494B" w:rsidP="00936FEE">
      <w:pPr>
        <w:pStyle w:val="Heading2"/>
      </w:pPr>
      <w:r>
        <w:t>11.7 Closed End Funds</w:t>
      </w:r>
    </w:p>
    <w:p w14:paraId="246B9063" w14:textId="747B4A94" w:rsidR="0027494B" w:rsidRPr="00DB4679" w:rsidRDefault="0027494B" w:rsidP="00563C5E">
      <w:pPr>
        <w:pStyle w:val="Normal1"/>
        <w:shd w:val="clear" w:color="auto" w:fill="FFFFFF"/>
        <w:spacing w:before="0" w:after="0" w:afterAutospacing="0" w:line="240" w:lineRule="auto"/>
        <w:jc w:val="both"/>
        <w:rPr>
          <w:rFonts w:ascii="Times New Roman" w:hAnsi="Times New Roman" w:cs="Times New Roman"/>
          <w:color w:val="000000"/>
          <w:sz w:val="24"/>
          <w:szCs w:val="24"/>
        </w:rPr>
      </w:pPr>
      <w:r w:rsidRPr="00DB4679">
        <w:rPr>
          <w:rFonts w:ascii="Times New Roman" w:hAnsi="Times New Roman" w:cs="Times New Roman"/>
          <w:color w:val="000000"/>
          <w:sz w:val="24"/>
          <w:szCs w:val="24"/>
        </w:rPr>
        <w:t xml:space="preserve">Closed-end funds are investment companies that issue a finite number of shares that trade in the open market, usually on a stock exchange. Because they trade like other stocks, requirements that apply to open-end mutual funds such as switch letters and prospectuses provided to all purchasers generally do not apply to closed-end funds. Certain features of mutual funds such as breakpoints, letters of intent, and rights of accumulation are not features of closed-end funds.  As for all security recommendations, however, Associated Persons are responsible for making </w:t>
      </w:r>
      <w:r w:rsidR="00BB5226" w:rsidRPr="00BB5226">
        <w:rPr>
          <w:rFonts w:ascii="Times New Roman" w:hAnsi="Times New Roman" w:cs="Times New Roman"/>
          <w:color w:val="FF0000"/>
          <w:sz w:val="24"/>
          <w:szCs w:val="24"/>
        </w:rPr>
        <w:t>BI</w:t>
      </w:r>
      <w:r w:rsidRPr="00DB4679">
        <w:rPr>
          <w:rFonts w:ascii="Times New Roman" w:hAnsi="Times New Roman" w:cs="Times New Roman"/>
          <w:color w:val="000000"/>
          <w:sz w:val="24"/>
          <w:szCs w:val="24"/>
        </w:rPr>
        <w:t xml:space="preserve"> determinations prior to making a recommendation to a customer.</w:t>
      </w:r>
    </w:p>
    <w:p w14:paraId="4D8EFE88" w14:textId="77777777" w:rsidR="0027494B" w:rsidRPr="00DB4679" w:rsidRDefault="0027494B" w:rsidP="00563C5E">
      <w:pPr>
        <w:rPr>
          <w:color w:val="000000"/>
        </w:rPr>
      </w:pPr>
    </w:p>
    <w:p w14:paraId="01C775B6" w14:textId="77777777" w:rsidR="0027494B" w:rsidRPr="00DB4679" w:rsidRDefault="0027494B" w:rsidP="00563C5E">
      <w:pPr>
        <w:rPr>
          <w:color w:val="000000"/>
        </w:rPr>
      </w:pPr>
    </w:p>
    <w:p w14:paraId="5BFB7379" w14:textId="77777777" w:rsidR="0027494B" w:rsidRPr="00DB4679" w:rsidRDefault="0027494B" w:rsidP="00936FEE">
      <w:pPr>
        <w:pStyle w:val="Heading2"/>
      </w:pPr>
      <w:r w:rsidRPr="00DB4679">
        <w:t xml:space="preserve">11.8 Unit Investment </w:t>
      </w:r>
      <w:r w:rsidR="003D27C7" w:rsidRPr="00DB4679">
        <w:t>Trusts (UITs)</w:t>
      </w:r>
    </w:p>
    <w:p w14:paraId="5889D72D" w14:textId="77777777" w:rsidR="003D27C7" w:rsidRPr="00DC3128" w:rsidRDefault="003D27C7" w:rsidP="00DC3128">
      <w:pPr>
        <w:pStyle w:val="Normal1"/>
        <w:shd w:val="clear" w:color="auto" w:fill="FFFFFF"/>
        <w:spacing w:before="0" w:after="0" w:afterAutospacing="0" w:line="240" w:lineRule="auto"/>
        <w:jc w:val="both"/>
        <w:rPr>
          <w:rFonts w:ascii="Times New Roman" w:hAnsi="Times New Roman" w:cs="Times New Roman"/>
          <w:color w:val="000000"/>
          <w:sz w:val="24"/>
          <w:szCs w:val="24"/>
        </w:rPr>
      </w:pPr>
      <w:r w:rsidRPr="00DB4679">
        <w:rPr>
          <w:rFonts w:ascii="Times New Roman" w:hAnsi="Times New Roman" w:cs="Times New Roman"/>
          <w:color w:val="000000"/>
          <w:sz w:val="24"/>
          <w:szCs w:val="24"/>
        </w:rPr>
        <w:t>UITs are investment company securities that invest in a fixed portfolio of securities such as corporate, municipal, or government bonds, mortgage-backed securities, common or preferred stock, or other investment company shares. Unit holders receive an undivided interest in both the principal and the income portion of the portfolio in proportion to the amount of money invested.</w:t>
      </w:r>
      <w:r w:rsidR="00736D31" w:rsidRPr="00DB4679">
        <w:rPr>
          <w:rFonts w:ascii="Times New Roman" w:hAnsi="Times New Roman" w:cs="Times New Roman"/>
          <w:color w:val="000000"/>
          <w:sz w:val="24"/>
          <w:szCs w:val="24"/>
        </w:rPr>
        <w:t xml:space="preserve">  UITs</w:t>
      </w:r>
      <w:r w:rsidRPr="00DB4679">
        <w:rPr>
          <w:rFonts w:ascii="Times New Roman" w:hAnsi="Times New Roman" w:cs="Times New Roman"/>
          <w:color w:val="000000"/>
          <w:sz w:val="24"/>
          <w:szCs w:val="24"/>
        </w:rPr>
        <w:t xml:space="preserve"> have a finite life that ends when all securities in the portfolio have matured or are liquidated per the terms of the trust.</w:t>
      </w:r>
    </w:p>
    <w:p w14:paraId="3B10D19C" w14:textId="77777777" w:rsidR="00DC3128" w:rsidRPr="00DC3128" w:rsidRDefault="00DC3128" w:rsidP="00DC3128">
      <w:pPr>
        <w:pStyle w:val="Normal1"/>
        <w:shd w:val="clear" w:color="auto" w:fill="FFFFFF"/>
        <w:spacing w:before="0" w:after="0" w:afterAutospacing="0" w:line="240" w:lineRule="auto"/>
        <w:jc w:val="both"/>
        <w:rPr>
          <w:rFonts w:ascii="Times New Roman" w:hAnsi="Times New Roman" w:cs="Times New Roman"/>
          <w:color w:val="000000"/>
          <w:sz w:val="24"/>
          <w:szCs w:val="24"/>
        </w:rPr>
      </w:pPr>
    </w:p>
    <w:p w14:paraId="0F46159B" w14:textId="36973ABD" w:rsidR="001F6E1C" w:rsidRPr="001F6E1C" w:rsidRDefault="001F6E1C" w:rsidP="001F6E1C">
      <w:pPr>
        <w:pStyle w:val="Normal1"/>
        <w:spacing w:before="0" w:after="0" w:afterAutospacing="0" w:line="240" w:lineRule="auto"/>
        <w:jc w:val="both"/>
        <w:rPr>
          <w:rFonts w:ascii="Times New Roman" w:hAnsi="Times New Roman" w:cs="Times New Roman"/>
          <w:sz w:val="24"/>
          <w:szCs w:val="24"/>
        </w:rPr>
      </w:pPr>
      <w:r w:rsidRPr="001F6E1C">
        <w:rPr>
          <w:rFonts w:ascii="Times New Roman" w:hAnsi="Times New Roman" w:cs="Times New Roman"/>
          <w:sz w:val="24"/>
          <w:szCs w:val="24"/>
        </w:rPr>
        <w:t xml:space="preserve">RRs are responsible to making a </w:t>
      </w:r>
      <w:r w:rsidR="00BB5226" w:rsidRPr="00BB5226">
        <w:rPr>
          <w:rFonts w:ascii="Times New Roman" w:hAnsi="Times New Roman" w:cs="Times New Roman"/>
          <w:color w:val="FF0000"/>
          <w:sz w:val="24"/>
          <w:szCs w:val="24"/>
        </w:rPr>
        <w:t>BI</w:t>
      </w:r>
      <w:r w:rsidRPr="00BB5226">
        <w:rPr>
          <w:rFonts w:ascii="Times New Roman" w:hAnsi="Times New Roman" w:cs="Times New Roman"/>
          <w:color w:val="FF0000"/>
          <w:sz w:val="24"/>
          <w:szCs w:val="24"/>
        </w:rPr>
        <w:t xml:space="preserve"> </w:t>
      </w:r>
      <w:r w:rsidRPr="001F6E1C">
        <w:rPr>
          <w:rFonts w:ascii="Times New Roman" w:hAnsi="Times New Roman" w:cs="Times New Roman"/>
          <w:sz w:val="24"/>
          <w:szCs w:val="24"/>
        </w:rPr>
        <w:t xml:space="preserve">determination prior to recommending a UIT to a customer. Considerations include the types and safety of securities in the UIT, call features of the trust, and the maturity date for the trust. The length of time the investor intends to hold the investment should be considered when recommending a UIT, since a secondary market for the UIT may not be assured and prices available in the secondary market may vary considerably from the liquidation value of the trust.  </w:t>
      </w:r>
    </w:p>
    <w:p w14:paraId="0EB79D2D" w14:textId="77777777" w:rsidR="001F6E1C" w:rsidRPr="001F6E1C" w:rsidRDefault="001F6E1C" w:rsidP="001F6E1C">
      <w:pPr>
        <w:pStyle w:val="Normal1"/>
        <w:spacing w:before="0" w:after="0" w:afterAutospacing="0" w:line="240" w:lineRule="auto"/>
        <w:jc w:val="both"/>
        <w:rPr>
          <w:rFonts w:ascii="Times New Roman" w:hAnsi="Times New Roman" w:cs="Times New Roman"/>
          <w:sz w:val="24"/>
          <w:szCs w:val="24"/>
        </w:rPr>
      </w:pPr>
    </w:p>
    <w:p w14:paraId="35156DDD" w14:textId="77777777" w:rsidR="001F6E1C" w:rsidRPr="001F6E1C" w:rsidRDefault="001F6E1C" w:rsidP="001F6E1C">
      <w:pPr>
        <w:pStyle w:val="Normal1"/>
        <w:spacing w:before="0" w:after="0" w:afterAutospacing="0" w:line="240" w:lineRule="auto"/>
        <w:jc w:val="both"/>
        <w:rPr>
          <w:rFonts w:ascii="Times New Roman" w:hAnsi="Times New Roman" w:cs="Times New Roman"/>
          <w:sz w:val="24"/>
          <w:szCs w:val="24"/>
        </w:rPr>
      </w:pPr>
      <w:r w:rsidRPr="001F6E1C">
        <w:rPr>
          <w:rFonts w:ascii="Times New Roman" w:hAnsi="Times New Roman" w:cs="Times New Roman"/>
          <w:sz w:val="24"/>
          <w:szCs w:val="24"/>
        </w:rPr>
        <w:t xml:space="preserve">UITs impose sales charges including front-end and back-end loads and management fees.  In addition, like mutual funds, discounts may be available through breakpoints, letters of </w:t>
      </w:r>
      <w:r w:rsidRPr="001F6E1C">
        <w:rPr>
          <w:rFonts w:ascii="Times New Roman" w:hAnsi="Times New Roman" w:cs="Times New Roman"/>
          <w:sz w:val="24"/>
          <w:szCs w:val="24"/>
        </w:rPr>
        <w:lastRenderedPageBreak/>
        <w:t>intent, and rights of accumulation.  Some UIT sponsors offer rollover and exchange discounts for purchases made with the proceeds from a UIT originally purchased from the same sponsor as well as UITs purchased from a different sponsor.  RRs are required to consider charges and discounts available to determine that the customer will receive the best available price.</w:t>
      </w:r>
    </w:p>
    <w:p w14:paraId="122478B3" w14:textId="77777777" w:rsidR="001F6E1C" w:rsidRPr="001F6E1C" w:rsidRDefault="001F6E1C" w:rsidP="001F6E1C">
      <w:pPr>
        <w:pStyle w:val="Normal1"/>
        <w:shd w:val="clear" w:color="auto" w:fill="FFFFFF"/>
        <w:spacing w:before="0" w:after="0" w:afterAutospacing="0" w:line="240" w:lineRule="auto"/>
        <w:jc w:val="both"/>
        <w:rPr>
          <w:rFonts w:ascii="Times New Roman" w:hAnsi="Times New Roman" w:cs="Times New Roman"/>
          <w:sz w:val="24"/>
          <w:szCs w:val="24"/>
        </w:rPr>
      </w:pPr>
    </w:p>
    <w:p w14:paraId="1C373476" w14:textId="0AB1C248" w:rsidR="001F6E1C" w:rsidRDefault="001F6E1C" w:rsidP="001F6E1C">
      <w:pPr>
        <w:pStyle w:val="Normal1"/>
        <w:spacing w:before="0" w:after="0" w:afterAutospacing="0" w:line="240" w:lineRule="auto"/>
        <w:jc w:val="both"/>
        <w:rPr>
          <w:rFonts w:ascii="Times New Roman" w:hAnsi="Times New Roman" w:cs="Times New Roman"/>
          <w:sz w:val="24"/>
          <w:szCs w:val="24"/>
        </w:rPr>
      </w:pPr>
      <w:r w:rsidRPr="001F6E1C">
        <w:rPr>
          <w:rFonts w:ascii="Times New Roman" w:hAnsi="Times New Roman" w:cs="Times New Roman"/>
          <w:sz w:val="24"/>
          <w:szCs w:val="24"/>
        </w:rPr>
        <w:t xml:space="preserve">While UITs are not "mutual funds," they have some features similar to mutual funds, particularly in the initial offering of a UIT. The purchaser of a new UIT pays a load or other charges as described in the prospectus. Purchasers are provided a prospectus describing the UIT.  A secondary market exists for many UITs. Investors may liquidate or purchase a UIT by placing an order to sell or buy it in the secondary </w:t>
      </w:r>
      <w:r w:rsidR="0012671D" w:rsidRPr="001F6E1C">
        <w:rPr>
          <w:rFonts w:ascii="Times New Roman" w:hAnsi="Times New Roman" w:cs="Times New Roman"/>
          <w:sz w:val="24"/>
          <w:szCs w:val="24"/>
        </w:rPr>
        <w:t>market if</w:t>
      </w:r>
      <w:r w:rsidRPr="001F6E1C">
        <w:rPr>
          <w:rFonts w:ascii="Times New Roman" w:hAnsi="Times New Roman" w:cs="Times New Roman"/>
          <w:sz w:val="24"/>
          <w:szCs w:val="24"/>
        </w:rPr>
        <w:t xml:space="preserve"> one exists. The price the investor pays to purchase in the secondary market may include a premium based on the market value of the securities in the portfolio. The customer may not recover that amount when the trust matures or is called.</w:t>
      </w:r>
      <w:r w:rsidR="008438C5">
        <w:rPr>
          <w:rFonts w:ascii="Times New Roman" w:hAnsi="Times New Roman" w:cs="Times New Roman"/>
          <w:sz w:val="24"/>
          <w:szCs w:val="24"/>
        </w:rPr>
        <w:t xml:space="preserve"> </w:t>
      </w:r>
    </w:p>
    <w:p w14:paraId="0CE446A5" w14:textId="77777777" w:rsidR="008438C5" w:rsidRDefault="008438C5" w:rsidP="001F6E1C">
      <w:pPr>
        <w:pStyle w:val="Normal1"/>
        <w:spacing w:before="0" w:after="0" w:afterAutospacing="0" w:line="240" w:lineRule="auto"/>
        <w:jc w:val="both"/>
        <w:rPr>
          <w:rFonts w:ascii="Times New Roman" w:hAnsi="Times New Roman" w:cs="Times New Roman"/>
          <w:sz w:val="24"/>
          <w:szCs w:val="24"/>
        </w:rPr>
      </w:pPr>
    </w:p>
    <w:p w14:paraId="2C76EF20" w14:textId="77777777" w:rsidR="008438C5" w:rsidRPr="001F6E1C" w:rsidRDefault="008438C5" w:rsidP="008438C5">
      <w:pPr>
        <w:pStyle w:val="Normal1"/>
        <w:spacing w:before="0" w:after="0" w:afterAutospacing="0" w:line="240" w:lineRule="auto"/>
        <w:jc w:val="both"/>
        <w:rPr>
          <w:rFonts w:ascii="Times New Roman" w:hAnsi="Times New Roman" w:cs="Times New Roman"/>
          <w:sz w:val="24"/>
          <w:szCs w:val="24"/>
        </w:rPr>
      </w:pPr>
      <w:r w:rsidRPr="001F6E1C">
        <w:rPr>
          <w:rFonts w:ascii="Times New Roman" w:hAnsi="Times New Roman" w:cs="Times New Roman"/>
          <w:sz w:val="24"/>
          <w:szCs w:val="24"/>
        </w:rPr>
        <w:t xml:space="preserve">Prospective UIT investors must not be misled regarding the potential return of UITs purchased in the secondary market. Any communication regarding the estimated current return should be accompanied by a quotation of the UIT's long-term yield or internal rate of return.  Secondary market purchasers </w:t>
      </w:r>
      <w:r>
        <w:rPr>
          <w:rFonts w:ascii="Times New Roman" w:hAnsi="Times New Roman" w:cs="Times New Roman"/>
          <w:sz w:val="24"/>
          <w:szCs w:val="24"/>
        </w:rPr>
        <w:t>will be</w:t>
      </w:r>
      <w:r w:rsidRPr="001F6E1C">
        <w:rPr>
          <w:rFonts w:ascii="Times New Roman" w:hAnsi="Times New Roman" w:cs="Times New Roman"/>
          <w:sz w:val="24"/>
          <w:szCs w:val="24"/>
        </w:rPr>
        <w:t xml:space="preserve"> provided a copy of the UIT prospectus at time of purchase</w:t>
      </w:r>
      <w:r w:rsidRPr="001F6E1C">
        <w:t>.</w:t>
      </w:r>
    </w:p>
    <w:p w14:paraId="69C06787" w14:textId="77777777" w:rsidR="0096195A" w:rsidRPr="002C26F2" w:rsidRDefault="0096195A" w:rsidP="0096195A">
      <w:pPr>
        <w:pStyle w:val="Normal25"/>
      </w:pPr>
      <w:r w:rsidRPr="002C26F2">
        <w:rPr>
          <w:b/>
        </w:rPr>
        <w:t>Sales Charges and Discounts</w:t>
      </w:r>
      <w:r w:rsidRPr="002C26F2">
        <w:t xml:space="preserve"> </w:t>
      </w:r>
      <w:r w:rsidRPr="002C26F2">
        <w:rPr>
          <w:b/>
        </w:rPr>
        <w:t xml:space="preserve">- </w:t>
      </w:r>
      <w:r w:rsidRPr="002C26F2">
        <w:t>RRs are responsible for understanding the proposed investment and related sales charges and available discounts and inform customers. There is an initial sales charge applied to the purchase and many UITs assess a deferred sales charge. The deferred sales charge is generally deducted in periodic installments following the end of the initial offering period. Many UITs assess a creation and development fee that compensates the UIT sponsor for creating and developing each UIT, including determining the UIT's investment objectives, selecting portfolio securities and other administrative functions. This fee is deducted at the end of the initial offering period.</w:t>
      </w:r>
    </w:p>
    <w:p w14:paraId="15509C22" w14:textId="77777777" w:rsidR="0096195A" w:rsidRPr="002C26F2" w:rsidRDefault="0096195A" w:rsidP="0096195A">
      <w:pPr>
        <w:rPr>
          <w:sz w:val="24"/>
          <w:szCs w:val="24"/>
        </w:rPr>
      </w:pPr>
      <w:r w:rsidRPr="002C26F2">
        <w:rPr>
          <w:sz w:val="24"/>
          <w:szCs w:val="24"/>
        </w:rPr>
        <w:t>Typical discounts include:</w:t>
      </w:r>
    </w:p>
    <w:p w14:paraId="50828204" w14:textId="77777777" w:rsidR="0096195A" w:rsidRPr="002C26F2" w:rsidRDefault="0096195A" w:rsidP="003E7B18">
      <w:pPr>
        <w:numPr>
          <w:ilvl w:val="0"/>
          <w:numId w:val="297"/>
        </w:numPr>
        <w:rPr>
          <w:sz w:val="24"/>
          <w:szCs w:val="24"/>
        </w:rPr>
      </w:pPr>
      <w:r w:rsidRPr="002C26F2">
        <w:rPr>
          <w:sz w:val="24"/>
          <w:szCs w:val="24"/>
        </w:rPr>
        <w:t>Discounts based on the size of a single transaction (price breaks or breakpoints)</w:t>
      </w:r>
    </w:p>
    <w:p w14:paraId="39C2C01A" w14:textId="77777777" w:rsidR="0096195A" w:rsidRPr="002C26F2" w:rsidRDefault="0096195A" w:rsidP="003E7B18">
      <w:pPr>
        <w:numPr>
          <w:ilvl w:val="0"/>
          <w:numId w:val="297"/>
        </w:numPr>
        <w:spacing w:before="100" w:beforeAutospacing="1" w:after="100" w:afterAutospacing="1"/>
        <w:rPr>
          <w:sz w:val="24"/>
          <w:szCs w:val="24"/>
        </w:rPr>
      </w:pPr>
      <w:r w:rsidRPr="002C26F2">
        <w:rPr>
          <w:sz w:val="24"/>
          <w:szCs w:val="24"/>
        </w:rPr>
        <w:t>Rights of accumulation</w:t>
      </w:r>
    </w:p>
    <w:p w14:paraId="7F506774" w14:textId="77777777" w:rsidR="0096195A" w:rsidRPr="002C26F2" w:rsidRDefault="0096195A" w:rsidP="003E7B18">
      <w:pPr>
        <w:numPr>
          <w:ilvl w:val="0"/>
          <w:numId w:val="297"/>
        </w:numPr>
        <w:rPr>
          <w:sz w:val="24"/>
          <w:szCs w:val="24"/>
        </w:rPr>
      </w:pPr>
      <w:r w:rsidRPr="002C26F2">
        <w:rPr>
          <w:sz w:val="24"/>
          <w:szCs w:val="24"/>
        </w:rPr>
        <w:t>Rollover or exchange discounts that provide a reduced sales charge</w:t>
      </w:r>
    </w:p>
    <w:p w14:paraId="4A9DCE51" w14:textId="77777777" w:rsidR="008438C5" w:rsidRDefault="008438C5" w:rsidP="008438C5"/>
    <w:p w14:paraId="2300D8F6" w14:textId="77777777" w:rsidR="008438C5" w:rsidRDefault="008438C5" w:rsidP="008438C5"/>
    <w:p w14:paraId="72901F8B" w14:textId="77777777" w:rsidR="004F201E" w:rsidRPr="00DB4679" w:rsidRDefault="00583350" w:rsidP="00936FEE">
      <w:pPr>
        <w:pStyle w:val="Heading2"/>
      </w:pPr>
      <w:r w:rsidRPr="00DB4679">
        <w:t>11.9</w:t>
      </w:r>
      <w:r w:rsidR="004F201E" w:rsidRPr="00DB4679">
        <w:t xml:space="preserve"> Exchange Traded Funds (ETFs)</w:t>
      </w:r>
    </w:p>
    <w:p w14:paraId="1E1710F5" w14:textId="77777777" w:rsidR="00612E9E" w:rsidRPr="00767FD6" w:rsidRDefault="00612E9E" w:rsidP="005164BC">
      <w:pPr>
        <w:shd w:val="clear" w:color="auto" w:fill="FFFFFF"/>
        <w:spacing w:before="15" w:after="100" w:afterAutospacing="1" w:line="240" w:lineRule="atLeast"/>
        <w:jc w:val="both"/>
        <w:rPr>
          <w:spacing w:val="8"/>
          <w:sz w:val="24"/>
          <w:szCs w:val="24"/>
        </w:rPr>
      </w:pPr>
      <w:r w:rsidRPr="00767FD6">
        <w:rPr>
          <w:sz w:val="24"/>
          <w:szCs w:val="24"/>
        </w:rPr>
        <w:t>An ETF is a type of exchange-traded investment product that must be registered as an investment company under the Investment Company Act of 1940 and as a security under the Securities Act of 1933. An ETF is a method for investors to pool their money in a fund that makes investments in stocks, bonds, or other assets. Retail investors may purchase and sell ETF shares only in market transactions (</w:t>
      </w:r>
      <w:r w:rsidRPr="00767FD6">
        <w:rPr>
          <w:i/>
          <w:iCs/>
          <w:sz w:val="24"/>
          <w:szCs w:val="24"/>
        </w:rPr>
        <w:t>i.e.,</w:t>
      </w:r>
      <w:r w:rsidRPr="00767FD6">
        <w:rPr>
          <w:sz w:val="24"/>
          <w:szCs w:val="24"/>
        </w:rPr>
        <w:t xml:space="preserve"> they may not purchase from the sponsor). ETF sponsors enter into contractual relationships with one or more financial institutions known as "Authorized Participants" (APs) which typically are large broker-dealers. Only APs may purchase and redeem shares directly from the ETF, and they do so in large aggregations or blocks (</w:t>
      </w:r>
      <w:r w:rsidRPr="00767FD6">
        <w:rPr>
          <w:i/>
          <w:iCs/>
          <w:sz w:val="24"/>
          <w:szCs w:val="24"/>
        </w:rPr>
        <w:t>e.g.,</w:t>
      </w:r>
      <w:r w:rsidRPr="00767FD6">
        <w:rPr>
          <w:sz w:val="24"/>
          <w:szCs w:val="24"/>
        </w:rPr>
        <w:t xml:space="preserve"> 50,000 ETF shares) called "Creation Units."</w:t>
      </w:r>
      <w:r w:rsidR="00A93F65" w:rsidRPr="00767FD6">
        <w:rPr>
          <w:spacing w:val="8"/>
          <w:sz w:val="24"/>
          <w:szCs w:val="24"/>
        </w:rPr>
        <w:t xml:space="preserve"> </w:t>
      </w:r>
    </w:p>
    <w:p w14:paraId="75F24B69" w14:textId="77777777" w:rsidR="00A93F65" w:rsidRPr="00767FD6" w:rsidRDefault="00A93F65" w:rsidP="005164BC">
      <w:pPr>
        <w:shd w:val="clear" w:color="auto" w:fill="FFFFFF"/>
        <w:spacing w:before="15" w:after="100" w:afterAutospacing="1" w:line="240" w:lineRule="atLeast"/>
        <w:jc w:val="both"/>
        <w:rPr>
          <w:spacing w:val="8"/>
          <w:sz w:val="24"/>
          <w:szCs w:val="24"/>
        </w:rPr>
      </w:pPr>
      <w:r w:rsidRPr="00DB4679">
        <w:rPr>
          <w:color w:val="000000"/>
          <w:spacing w:val="8"/>
          <w:sz w:val="24"/>
          <w:szCs w:val="24"/>
        </w:rPr>
        <w:t xml:space="preserve">A typical ETF is based on specific domestic and foreign market indexes. An index-based ETF tracks the performance of an index by holding in its portfolio either securities </w:t>
      </w:r>
      <w:r w:rsidRPr="00DB4679">
        <w:rPr>
          <w:color w:val="000000"/>
          <w:spacing w:val="8"/>
          <w:sz w:val="24"/>
          <w:szCs w:val="24"/>
        </w:rPr>
        <w:lastRenderedPageBreak/>
        <w:t>replicating the index or a representative sample of the securities in the index. ETFs also track non-traditional investments such as commodities and currencies. Some ETFs track indexes inversely (</w:t>
      </w:r>
      <w:r w:rsidRPr="00DB4679">
        <w:rPr>
          <w:i/>
          <w:iCs/>
          <w:color w:val="000000"/>
          <w:spacing w:val="8"/>
          <w:sz w:val="24"/>
          <w:szCs w:val="24"/>
        </w:rPr>
        <w:t>i.e.,</w:t>
      </w:r>
      <w:r w:rsidRPr="00DB4679">
        <w:rPr>
          <w:color w:val="000000"/>
          <w:spacing w:val="8"/>
          <w:sz w:val="24"/>
          <w:szCs w:val="24"/>
        </w:rPr>
        <w:t xml:space="preserve"> the ETF rises when the index falls) and new ETFs are continually evolving.</w:t>
      </w:r>
      <w:r w:rsidR="00612E9E">
        <w:rPr>
          <w:color w:val="000000"/>
          <w:spacing w:val="8"/>
          <w:sz w:val="24"/>
          <w:szCs w:val="24"/>
        </w:rPr>
        <w:t xml:space="preserve">  </w:t>
      </w:r>
      <w:r w:rsidR="00612E9E" w:rsidRPr="00767FD6">
        <w:rPr>
          <w:sz w:val="24"/>
          <w:szCs w:val="24"/>
        </w:rPr>
        <w:t>Some ETFs are actively managed and not based on a market index.</w:t>
      </w:r>
      <w:r w:rsidRPr="00767FD6">
        <w:rPr>
          <w:spacing w:val="8"/>
          <w:sz w:val="24"/>
          <w:szCs w:val="24"/>
        </w:rPr>
        <w:t xml:space="preserve"> </w:t>
      </w:r>
    </w:p>
    <w:p w14:paraId="6B43F520" w14:textId="77777777" w:rsidR="00A93F65" w:rsidRPr="00DB4679" w:rsidRDefault="00A93F65" w:rsidP="005164BC">
      <w:pPr>
        <w:shd w:val="clear" w:color="auto" w:fill="FFFFFF"/>
        <w:spacing w:before="15" w:after="100" w:afterAutospacing="1" w:line="240" w:lineRule="atLeast"/>
        <w:jc w:val="both"/>
        <w:rPr>
          <w:color w:val="000000"/>
          <w:spacing w:val="8"/>
          <w:sz w:val="24"/>
          <w:szCs w:val="24"/>
        </w:rPr>
      </w:pPr>
      <w:r w:rsidRPr="00DB4679">
        <w:rPr>
          <w:color w:val="000000"/>
          <w:spacing w:val="8"/>
          <w:sz w:val="24"/>
          <w:szCs w:val="24"/>
        </w:rPr>
        <w:t>Following are considerations when recommending ETFs:</w:t>
      </w:r>
    </w:p>
    <w:p w14:paraId="291FC1BD" w14:textId="2BEE83AC"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Recommendations must consider what the ETF tracks to determine </w:t>
      </w:r>
      <w:r w:rsidR="00CF56F7" w:rsidRPr="00CF56F7">
        <w:rPr>
          <w:color w:val="FF0000"/>
          <w:spacing w:val="8"/>
          <w:sz w:val="24"/>
          <w:szCs w:val="24"/>
        </w:rPr>
        <w:t>BI</w:t>
      </w:r>
      <w:r w:rsidRPr="00DB4679">
        <w:rPr>
          <w:color w:val="000000"/>
          <w:spacing w:val="8"/>
          <w:sz w:val="24"/>
          <w:szCs w:val="24"/>
        </w:rPr>
        <w:t xml:space="preserve"> for the proposed investor. </w:t>
      </w:r>
    </w:p>
    <w:p w14:paraId="425845E7" w14:textId="77777777" w:rsidR="00A93F65" w:rsidRPr="00DB4679" w:rsidRDefault="00A93F65" w:rsidP="00C1728B">
      <w:pPr>
        <w:numPr>
          <w:ilvl w:val="1"/>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Where a commodity such as oil underlies the fund, it is important that the customer understands how the ETF is impacted by changes in price of the underlying commodity. </w:t>
      </w:r>
    </w:p>
    <w:p w14:paraId="4F7E8B61" w14:textId="77777777" w:rsidR="00A93F65" w:rsidRPr="00DB4679" w:rsidRDefault="00A93F65" w:rsidP="00C1728B">
      <w:pPr>
        <w:numPr>
          <w:ilvl w:val="1"/>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ETFs that track narrow sector or foreign market indexes can be highly concentrated and highly volatile or might fail to track their indexes properly. They also may have higher fees than ETFs based on broader indexes. </w:t>
      </w:r>
    </w:p>
    <w:p w14:paraId="44B5E79F" w14:textId="77777777" w:rsidR="00A93F65" w:rsidRPr="00DB4679" w:rsidRDefault="00A93F65" w:rsidP="00C1728B">
      <w:pPr>
        <w:numPr>
          <w:ilvl w:val="1"/>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An ETF that invests in a sampling of the tracked index may not perform consistent with the index.</w:t>
      </w:r>
    </w:p>
    <w:p w14:paraId="1183A15F" w14:textId="77777777"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Some ETFs sell short, others use leverage, and others use a combination of the two. Some ETFs are more complex financial instruments that offer leverage or are designed to perform inversely to the index or benchmark they track, or both. Leveraged ETFs amplify daily index moves; short selling provides the inverse daily return of market indexes. Targeted leverage levels don't necessarily meet targets over long periods due to compounding returns. Investors in these types of ETFs must be willing to assume higher risk. </w:t>
      </w:r>
    </w:p>
    <w:p w14:paraId="01D26E7D" w14:textId="77777777"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Some inverse ETFs track broad indices, some are sector-specific, and still others are linked to commodities or currencies. </w:t>
      </w:r>
    </w:p>
    <w:p w14:paraId="00E57500" w14:textId="77777777"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Most leveraged and inverse ETFs "reset" daily, meaning that they are designed to achieve their stated objectives on a daily basis. The effect of compounding affects their performance over longer periods of time when their performance can differ significantly from the underlying index or benchmark during the same time period. Volatile markets can magnify this effect. </w:t>
      </w:r>
    </w:p>
    <w:p w14:paraId="7DC62E55" w14:textId="77777777"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ETFs are not suitable for a customer who wants to make regular periodic investments since each transaction will generate a commission cost. ETFs are more appropriate for larger lump-sum investments. </w:t>
      </w:r>
    </w:p>
    <w:p w14:paraId="36EC5F98" w14:textId="77777777"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Some ETFs allow investors to cash out their investment with the issuer. </w:t>
      </w:r>
    </w:p>
    <w:p w14:paraId="251C2675" w14:textId="77777777"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ETFs may be subject to temporary price disparities during times of highly volatile markets when ETF shares may trade for significantly less than the value of underlying assets. This risk is of particular concern to short-term traders. </w:t>
      </w:r>
    </w:p>
    <w:p w14:paraId="43FC20FC" w14:textId="77777777"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ETF shares can be sold short and bought on margin. </w:t>
      </w:r>
    </w:p>
    <w:p w14:paraId="3A8A2C27" w14:textId="5D8F267E"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For most ETFs, holdings are transparent, </w:t>
      </w:r>
      <w:r w:rsidRPr="00DB4679">
        <w:rPr>
          <w:i/>
          <w:iCs/>
          <w:color w:val="000000"/>
          <w:spacing w:val="8"/>
          <w:sz w:val="24"/>
          <w:szCs w:val="24"/>
        </w:rPr>
        <w:t>i.e.,</w:t>
      </w:r>
      <w:r w:rsidRPr="00DB4679">
        <w:rPr>
          <w:color w:val="000000"/>
          <w:spacing w:val="8"/>
          <w:sz w:val="24"/>
          <w:szCs w:val="24"/>
        </w:rPr>
        <w:t xml:space="preserve"> an investor will know what is being held by the ETF by the makeup of the tracked index. However, in the case of an </w:t>
      </w:r>
      <w:r w:rsidR="0012671D" w:rsidRPr="00DB4679">
        <w:rPr>
          <w:color w:val="000000"/>
          <w:spacing w:val="8"/>
          <w:sz w:val="24"/>
          <w:szCs w:val="24"/>
        </w:rPr>
        <w:t>actively managed</w:t>
      </w:r>
      <w:r w:rsidRPr="00DB4679">
        <w:rPr>
          <w:color w:val="000000"/>
          <w:spacing w:val="8"/>
          <w:sz w:val="24"/>
          <w:szCs w:val="24"/>
        </w:rPr>
        <w:t xml:space="preserve"> ETF, knowledge of investments may not be available to investors. </w:t>
      </w:r>
    </w:p>
    <w:p w14:paraId="61CCAE61" w14:textId="77777777"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ETFs may have lower annual expenses than traditional funds; however, investors incur commission costs for each purchase and sale in the market. </w:t>
      </w:r>
    </w:p>
    <w:p w14:paraId="044AB3C1" w14:textId="77777777"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t xml:space="preserve">ETFs may be more tax efficient than regular mutual funds. Since shares are traded in the secondary market, the ETF is not required to liquidate its portfolio to satisfy fund sales and therefore reduces generation of capital gains distributions to investors that result in tax liabilities each year. </w:t>
      </w:r>
    </w:p>
    <w:p w14:paraId="40DEB7E6" w14:textId="77777777" w:rsidR="00A93F65" w:rsidRPr="00DB4679" w:rsidRDefault="00A93F65" w:rsidP="00C1728B">
      <w:pPr>
        <w:numPr>
          <w:ilvl w:val="0"/>
          <w:numId w:val="101"/>
        </w:numPr>
        <w:shd w:val="clear" w:color="auto" w:fill="FFFFFF"/>
        <w:spacing w:before="100" w:beforeAutospacing="1" w:after="100" w:afterAutospacing="1" w:line="240" w:lineRule="atLeast"/>
        <w:jc w:val="both"/>
        <w:rPr>
          <w:color w:val="000000"/>
          <w:spacing w:val="8"/>
          <w:sz w:val="24"/>
          <w:szCs w:val="24"/>
        </w:rPr>
      </w:pPr>
      <w:r w:rsidRPr="00DB4679">
        <w:rPr>
          <w:color w:val="000000"/>
          <w:spacing w:val="8"/>
          <w:sz w:val="24"/>
          <w:szCs w:val="24"/>
        </w:rPr>
        <w:lastRenderedPageBreak/>
        <w:t>ETFs do not offer dividend reinvestment plans which are available from regular mutual funds.</w:t>
      </w:r>
    </w:p>
    <w:p w14:paraId="3B41C2A7" w14:textId="77777777" w:rsidR="003D27C7" w:rsidRPr="00DB4679" w:rsidRDefault="003D27C7" w:rsidP="005164BC">
      <w:pPr>
        <w:jc w:val="both"/>
        <w:rPr>
          <w:color w:val="000000"/>
          <w:sz w:val="24"/>
          <w:szCs w:val="24"/>
        </w:rPr>
      </w:pPr>
    </w:p>
    <w:p w14:paraId="64D5612C" w14:textId="77777777" w:rsidR="000C099C" w:rsidRDefault="00F869E0" w:rsidP="00936FEE">
      <w:pPr>
        <w:pStyle w:val="Heading2"/>
      </w:pPr>
      <w:bookmarkStart w:id="187" w:name="_11.10_FINRA_Rule"/>
      <w:bookmarkEnd w:id="187"/>
      <w:r w:rsidRPr="00B54B60">
        <w:t>11</w:t>
      </w:r>
      <w:r w:rsidR="00583350" w:rsidRPr="00B54B60">
        <w:t>.10</w:t>
      </w:r>
      <w:r w:rsidRPr="00B54B60">
        <w:t xml:space="preserve"> </w:t>
      </w:r>
      <w:r w:rsidR="00ED4F42" w:rsidRPr="00B54B60">
        <w:t>FINRA Rule 2342</w:t>
      </w:r>
      <w:r w:rsidR="00ED4F42">
        <w:t>-</w:t>
      </w:r>
      <w:r w:rsidR="000C099C">
        <w:t>Breakpoints and Sales Charges</w:t>
      </w:r>
      <w:bookmarkEnd w:id="185"/>
      <w:bookmarkEnd w:id="186"/>
    </w:p>
    <w:p w14:paraId="68FDD363" w14:textId="1F05A22F" w:rsidR="000C099C" w:rsidRDefault="000C099C">
      <w:pPr>
        <w:jc w:val="both"/>
        <w:rPr>
          <w:sz w:val="24"/>
        </w:rPr>
      </w:pPr>
      <w:r>
        <w:rPr>
          <w:sz w:val="24"/>
        </w:rPr>
        <w:t>Further, it shall</w:t>
      </w:r>
      <w:r>
        <w:rPr>
          <w:b/>
          <w:sz w:val="24"/>
        </w:rPr>
        <w:t xml:space="preserve"> </w:t>
      </w:r>
      <w:r>
        <w:rPr>
          <w:sz w:val="24"/>
        </w:rPr>
        <w:t xml:space="preserve">be a policy of the Company </w:t>
      </w:r>
      <w:r w:rsidR="00ED4F42">
        <w:rPr>
          <w:sz w:val="24"/>
        </w:rPr>
        <w:t>to</w:t>
      </w:r>
      <w:r>
        <w:rPr>
          <w:sz w:val="24"/>
        </w:rPr>
        <w:t xml:space="preserve"> prohibit the sale of mutual fund shares or UITs to prospective investors for an amount just below the point at which sales charges are reduced on quantity transactions unless the customer has been made aware of the economic consequences </w:t>
      </w:r>
      <w:r w:rsidR="005F6AB4">
        <w:rPr>
          <w:sz w:val="24"/>
        </w:rPr>
        <w:t>of such a purchase. Associated P</w:t>
      </w:r>
      <w:r>
        <w:rPr>
          <w:sz w:val="24"/>
        </w:rPr>
        <w:t xml:space="preserve">ersons are required to advise customers of the savings available in a purchase above the breakpoint. </w:t>
      </w:r>
    </w:p>
    <w:p w14:paraId="362B988D" w14:textId="41882AE5" w:rsidR="0008545C" w:rsidRDefault="0008545C">
      <w:pPr>
        <w:jc w:val="both"/>
        <w:rPr>
          <w:sz w:val="24"/>
        </w:rPr>
      </w:pPr>
    </w:p>
    <w:p w14:paraId="1FE26C95" w14:textId="471C180B" w:rsidR="0008545C" w:rsidRPr="00E31E45" w:rsidRDefault="0008545C">
      <w:pPr>
        <w:jc w:val="both"/>
        <w:rPr>
          <w:color w:val="000000" w:themeColor="text1"/>
          <w:sz w:val="24"/>
          <w:szCs w:val="24"/>
        </w:rPr>
      </w:pPr>
      <w:r w:rsidRPr="00E31E45">
        <w:rPr>
          <w:color w:val="000000" w:themeColor="text1"/>
          <w:spacing w:val="8"/>
          <w:sz w:val="24"/>
          <w:szCs w:val="24"/>
          <w:shd w:val="clear" w:color="auto" w:fill="FFFFFF"/>
        </w:rPr>
        <w:t>Mutual funds allow investors to purchase funds directly (sometimes called "application way" or "wire order" purchases or accounts). In these instances RRs may complete paper account forms and the customer signs the form, writes the check, and sends the application and payment to the investment company. RRs may also use Firm (or clearing firm) systems to send customer funds electronically to the investment company. RRs are responsible for ensuring available discounts/fee waivers are applied to the purchase.</w:t>
      </w:r>
    </w:p>
    <w:p w14:paraId="6CA36736" w14:textId="77777777" w:rsidR="000C099C" w:rsidRPr="00E31E45" w:rsidRDefault="000C099C">
      <w:pPr>
        <w:rPr>
          <w:color w:val="000000" w:themeColor="text1"/>
          <w:sz w:val="24"/>
        </w:rPr>
      </w:pPr>
    </w:p>
    <w:p w14:paraId="53BB722F" w14:textId="40EBFFF9" w:rsidR="000C099C" w:rsidRPr="00E31E45" w:rsidRDefault="000C099C">
      <w:pPr>
        <w:jc w:val="both"/>
        <w:rPr>
          <w:color w:val="000000" w:themeColor="text1"/>
          <w:sz w:val="24"/>
        </w:rPr>
      </w:pPr>
      <w:r w:rsidRPr="00E31E45">
        <w:rPr>
          <w:color w:val="000000" w:themeColor="text1"/>
          <w:sz w:val="24"/>
        </w:rPr>
        <w:t xml:space="preserve">Where an application for a purchase is submitted which may raise a breakpoint question either with respect to the current purchase itself, or in conjunction with prior purchases, and in all cases </w:t>
      </w:r>
      <w:r w:rsidR="00AD5EDE" w:rsidRPr="00E31E45">
        <w:rPr>
          <w:color w:val="000000" w:themeColor="text1"/>
          <w:sz w:val="24"/>
        </w:rPr>
        <w:t>purchases that are</w:t>
      </w:r>
      <w:r w:rsidRPr="00E31E45">
        <w:rPr>
          <w:color w:val="000000" w:themeColor="text1"/>
          <w:sz w:val="24"/>
        </w:rPr>
        <w:t xml:space="preserve"> $50,000</w:t>
      </w:r>
      <w:r w:rsidR="00AD5EDE" w:rsidRPr="00E31E45">
        <w:rPr>
          <w:color w:val="000000" w:themeColor="text1"/>
          <w:sz w:val="24"/>
        </w:rPr>
        <w:t xml:space="preserve"> or greater</w:t>
      </w:r>
      <w:r w:rsidRPr="00E31E45">
        <w:rPr>
          <w:color w:val="000000" w:themeColor="text1"/>
          <w:sz w:val="24"/>
        </w:rPr>
        <w:t xml:space="preserve">, the designated principal at each OSJ shall be responsible for making an investigation, based on the information available from the prospectus, the customer's client file, account statements, and if through the clearing firm, the status and history to review the circumstances of such sale(s), including, where necessary, communication with the customer. Should the situation warrant, Morris Monroe shall take remedial action on behalf of the Company. </w:t>
      </w:r>
    </w:p>
    <w:p w14:paraId="38C7BE3C" w14:textId="61D9E846" w:rsidR="009645D4" w:rsidRPr="00E31E45" w:rsidRDefault="009645D4">
      <w:pPr>
        <w:jc w:val="both"/>
        <w:rPr>
          <w:color w:val="000000" w:themeColor="text1"/>
          <w:sz w:val="24"/>
        </w:rPr>
      </w:pPr>
    </w:p>
    <w:p w14:paraId="7FB0B585" w14:textId="3B5980EE" w:rsidR="009645D4" w:rsidRPr="00E31E45" w:rsidRDefault="009645D4">
      <w:pPr>
        <w:jc w:val="both"/>
        <w:rPr>
          <w:color w:val="000000" w:themeColor="text1"/>
          <w:sz w:val="24"/>
          <w:szCs w:val="24"/>
        </w:rPr>
      </w:pPr>
      <w:r w:rsidRPr="00E31E45">
        <w:rPr>
          <w:color w:val="000000" w:themeColor="text1"/>
          <w:spacing w:val="8"/>
          <w:sz w:val="24"/>
          <w:szCs w:val="24"/>
          <w:shd w:val="clear" w:color="auto" w:fill="FFFFFF"/>
        </w:rPr>
        <w:t>Mutual funds follow different rules to determine the value of existing holdings and when a customer qualifies for a breakpoint discount. Most funds use current net asset value (NAV) of existing holdings, and a small number of funds use historical cost (cost of the initial purchase). If historical cost is used, it may be necessary for the investor to provide account records to qualify for the breakpoint discount.</w:t>
      </w:r>
    </w:p>
    <w:p w14:paraId="591860BF" w14:textId="3F6915FD" w:rsidR="000C099C" w:rsidRPr="00E31E45" w:rsidRDefault="000C099C">
      <w:pPr>
        <w:rPr>
          <w:color w:val="000000" w:themeColor="text1"/>
          <w:sz w:val="24"/>
        </w:rPr>
      </w:pPr>
    </w:p>
    <w:p w14:paraId="6E749392" w14:textId="312E4B8D" w:rsidR="009645D4" w:rsidRPr="00E31E45" w:rsidRDefault="009645D4">
      <w:pPr>
        <w:rPr>
          <w:color w:val="000000" w:themeColor="text1"/>
          <w:spacing w:val="8"/>
          <w:sz w:val="24"/>
          <w:szCs w:val="24"/>
          <w:shd w:val="clear" w:color="auto" w:fill="FFFFFF"/>
        </w:rPr>
      </w:pPr>
      <w:r w:rsidRPr="00E31E45">
        <w:rPr>
          <w:color w:val="000000" w:themeColor="text1"/>
          <w:spacing w:val="8"/>
          <w:sz w:val="24"/>
          <w:szCs w:val="24"/>
          <w:shd w:val="clear" w:color="auto" w:fill="FFFFFF"/>
        </w:rPr>
        <w:t>A Breakpoint Search Tool is available from FINRA online. The tool provides breakpoint schedules and linkage rules for mutual funds with sales charges [</w:t>
      </w:r>
      <w:hyperlink r:id="rId85" w:tgtFrame="_blank" w:history="1">
        <w:r w:rsidRPr="00E31E45">
          <w:rPr>
            <w:rStyle w:val="Hyperlink"/>
            <w:color w:val="000000" w:themeColor="text1"/>
            <w:spacing w:val="8"/>
            <w:sz w:val="24"/>
            <w:szCs w:val="24"/>
            <w:shd w:val="clear" w:color="auto" w:fill="FFFFFF"/>
          </w:rPr>
          <w:t>http://www.finra.org/fundsearch</w:t>
        </w:r>
      </w:hyperlink>
      <w:r w:rsidRPr="00E31E45">
        <w:rPr>
          <w:color w:val="000000" w:themeColor="text1"/>
          <w:spacing w:val="8"/>
          <w:sz w:val="24"/>
          <w:szCs w:val="24"/>
          <w:shd w:val="clear" w:color="auto" w:fill="FFFFFF"/>
        </w:rPr>
        <w:t>]</w:t>
      </w:r>
    </w:p>
    <w:p w14:paraId="58152262" w14:textId="77777777" w:rsidR="009645D4" w:rsidRPr="00E31E45" w:rsidRDefault="009645D4">
      <w:pPr>
        <w:rPr>
          <w:color w:val="000000" w:themeColor="text1"/>
          <w:sz w:val="24"/>
        </w:rPr>
      </w:pPr>
    </w:p>
    <w:p w14:paraId="174459E7" w14:textId="77777777" w:rsidR="000C099C" w:rsidRPr="00E31E45" w:rsidRDefault="000C099C">
      <w:pPr>
        <w:rPr>
          <w:color w:val="000000" w:themeColor="text1"/>
          <w:sz w:val="24"/>
        </w:rPr>
      </w:pPr>
      <w:r w:rsidRPr="00E31E45">
        <w:rPr>
          <w:color w:val="000000" w:themeColor="text1"/>
          <w:sz w:val="24"/>
          <w:u w:val="single"/>
        </w:rPr>
        <w:t>General Guidelines</w:t>
      </w:r>
      <w:r w:rsidRPr="00E31E45">
        <w:rPr>
          <w:color w:val="000000" w:themeColor="text1"/>
          <w:sz w:val="24"/>
        </w:rPr>
        <w:t>:</w:t>
      </w:r>
    </w:p>
    <w:p w14:paraId="3439B694" w14:textId="77777777" w:rsidR="000C099C" w:rsidRDefault="000C099C">
      <w:pPr>
        <w:jc w:val="both"/>
        <w:rPr>
          <w:sz w:val="24"/>
        </w:rPr>
      </w:pPr>
      <w:r>
        <w:rPr>
          <w:sz w:val="24"/>
        </w:rPr>
        <w:t>It shall be a policy of the Company for representatives to disclose to customers the breaks in sales charges or price breaks and to ascertain the proper sales charge applied due to:</w:t>
      </w:r>
    </w:p>
    <w:p w14:paraId="251E266E" w14:textId="77777777" w:rsidR="005F6AB4" w:rsidRDefault="005F6AB4">
      <w:pPr>
        <w:jc w:val="both"/>
        <w:rPr>
          <w:sz w:val="24"/>
        </w:rPr>
      </w:pPr>
    </w:p>
    <w:p w14:paraId="10B51B90" w14:textId="77777777" w:rsidR="000C099C" w:rsidRDefault="00B079F1" w:rsidP="00216F83">
      <w:pPr>
        <w:numPr>
          <w:ilvl w:val="0"/>
          <w:numId w:val="18"/>
        </w:numPr>
        <w:jc w:val="both"/>
        <w:rPr>
          <w:sz w:val="24"/>
        </w:rPr>
      </w:pPr>
      <w:r>
        <w:rPr>
          <w:sz w:val="24"/>
        </w:rPr>
        <w:t>L</w:t>
      </w:r>
      <w:r w:rsidR="000C099C">
        <w:rPr>
          <w:sz w:val="24"/>
        </w:rPr>
        <w:t>etters of intent;</w:t>
      </w:r>
    </w:p>
    <w:p w14:paraId="0EEF0F60" w14:textId="77777777" w:rsidR="000C099C" w:rsidRDefault="00B079F1" w:rsidP="00216F83">
      <w:pPr>
        <w:numPr>
          <w:ilvl w:val="0"/>
          <w:numId w:val="18"/>
        </w:numPr>
        <w:jc w:val="both"/>
        <w:rPr>
          <w:sz w:val="24"/>
        </w:rPr>
      </w:pPr>
      <w:r>
        <w:rPr>
          <w:sz w:val="24"/>
        </w:rPr>
        <w:t>R</w:t>
      </w:r>
      <w:r w:rsidR="000C099C">
        <w:rPr>
          <w:sz w:val="24"/>
        </w:rPr>
        <w:t>ights of accumulation;</w:t>
      </w:r>
    </w:p>
    <w:p w14:paraId="042D81DD" w14:textId="77777777" w:rsidR="000C099C" w:rsidRDefault="00B079F1" w:rsidP="00216F83">
      <w:pPr>
        <w:numPr>
          <w:ilvl w:val="0"/>
          <w:numId w:val="18"/>
        </w:numPr>
        <w:jc w:val="both"/>
        <w:rPr>
          <w:sz w:val="24"/>
        </w:rPr>
      </w:pPr>
      <w:r>
        <w:rPr>
          <w:sz w:val="24"/>
        </w:rPr>
        <w:t>M</w:t>
      </w:r>
      <w:r w:rsidR="000C099C">
        <w:rPr>
          <w:sz w:val="24"/>
        </w:rPr>
        <w:t>ultiple purchases by the customer in the same fund family on the same day;</w:t>
      </w:r>
    </w:p>
    <w:p w14:paraId="60DBA04C" w14:textId="77777777" w:rsidR="000C099C" w:rsidRDefault="00B079F1" w:rsidP="00216F83">
      <w:pPr>
        <w:numPr>
          <w:ilvl w:val="0"/>
          <w:numId w:val="18"/>
        </w:numPr>
        <w:jc w:val="both"/>
        <w:rPr>
          <w:sz w:val="24"/>
        </w:rPr>
      </w:pPr>
      <w:r>
        <w:rPr>
          <w:sz w:val="24"/>
        </w:rPr>
        <w:t>P</w:t>
      </w:r>
      <w:r w:rsidR="000C099C">
        <w:rPr>
          <w:sz w:val="24"/>
        </w:rPr>
        <w:t>urchases of shares of different, but similar funds;</w:t>
      </w:r>
    </w:p>
    <w:p w14:paraId="64A17978" w14:textId="77777777" w:rsidR="000C099C" w:rsidRDefault="00B079F1" w:rsidP="00216F83">
      <w:pPr>
        <w:numPr>
          <w:ilvl w:val="0"/>
          <w:numId w:val="18"/>
        </w:numPr>
        <w:jc w:val="both"/>
        <w:rPr>
          <w:sz w:val="24"/>
        </w:rPr>
      </w:pPr>
      <w:r>
        <w:rPr>
          <w:sz w:val="24"/>
        </w:rPr>
        <w:t>A</w:t>
      </w:r>
      <w:r w:rsidR="000C099C">
        <w:rPr>
          <w:sz w:val="24"/>
        </w:rPr>
        <w:t>ggregation of prior purchases of the same fund in the same account;</w:t>
      </w:r>
    </w:p>
    <w:p w14:paraId="21BDE615" w14:textId="77777777" w:rsidR="000C099C" w:rsidRDefault="00B079F1" w:rsidP="00216F83">
      <w:pPr>
        <w:numPr>
          <w:ilvl w:val="0"/>
          <w:numId w:val="18"/>
        </w:numPr>
        <w:jc w:val="both"/>
        <w:rPr>
          <w:sz w:val="24"/>
        </w:rPr>
      </w:pPr>
      <w:r>
        <w:rPr>
          <w:sz w:val="24"/>
        </w:rPr>
        <w:t>W</w:t>
      </w:r>
      <w:r w:rsidR="000C099C">
        <w:rPr>
          <w:sz w:val="24"/>
        </w:rPr>
        <w:t>aivers available for repurchasing fund shares;</w:t>
      </w:r>
    </w:p>
    <w:p w14:paraId="0D308647" w14:textId="77777777" w:rsidR="000C099C" w:rsidRDefault="00B079F1" w:rsidP="00216F83">
      <w:pPr>
        <w:numPr>
          <w:ilvl w:val="0"/>
          <w:numId w:val="18"/>
        </w:numPr>
        <w:jc w:val="both"/>
        <w:rPr>
          <w:sz w:val="24"/>
        </w:rPr>
      </w:pPr>
      <w:r>
        <w:rPr>
          <w:sz w:val="24"/>
        </w:rPr>
        <w:t>E</w:t>
      </w:r>
      <w:r w:rsidR="000C099C">
        <w:rPr>
          <w:sz w:val="24"/>
        </w:rPr>
        <w:t>xchanging shares for another fund in the same fund family; and</w:t>
      </w:r>
    </w:p>
    <w:p w14:paraId="199C12AF" w14:textId="77777777" w:rsidR="000C099C" w:rsidRDefault="00B079F1" w:rsidP="00216F83">
      <w:pPr>
        <w:numPr>
          <w:ilvl w:val="0"/>
          <w:numId w:val="18"/>
        </w:numPr>
        <w:jc w:val="both"/>
        <w:rPr>
          <w:sz w:val="24"/>
        </w:rPr>
      </w:pPr>
      <w:r>
        <w:rPr>
          <w:sz w:val="24"/>
        </w:rPr>
        <w:lastRenderedPageBreak/>
        <w:t>Amounts</w:t>
      </w:r>
      <w:r w:rsidR="000C099C">
        <w:rPr>
          <w:sz w:val="24"/>
        </w:rPr>
        <w:t xml:space="preserve"> just below the breakpoint </w:t>
      </w:r>
      <w:proofErr w:type="gramStart"/>
      <w:r w:rsidR="000C099C">
        <w:rPr>
          <w:sz w:val="24"/>
        </w:rPr>
        <w:t>level, when</w:t>
      </w:r>
      <w:proofErr w:type="gramEnd"/>
      <w:r w:rsidR="000C099C">
        <w:rPr>
          <w:sz w:val="24"/>
        </w:rPr>
        <w:t xml:space="preserve"> funds are available to meet the breakpoint discount.</w:t>
      </w:r>
    </w:p>
    <w:p w14:paraId="13858298" w14:textId="77777777" w:rsidR="000C099C" w:rsidRDefault="000C099C">
      <w:pPr>
        <w:ind w:left="420"/>
        <w:jc w:val="both"/>
        <w:rPr>
          <w:sz w:val="24"/>
        </w:rPr>
      </w:pPr>
    </w:p>
    <w:p w14:paraId="03EFAB7B" w14:textId="77777777" w:rsidR="000C099C" w:rsidRDefault="000C099C">
      <w:pPr>
        <w:pStyle w:val="MRS"/>
      </w:pPr>
    </w:p>
    <w:p w14:paraId="1C92523F" w14:textId="77777777" w:rsidR="00E344DB" w:rsidRDefault="00B369F0" w:rsidP="00936FEE">
      <w:pPr>
        <w:pStyle w:val="Heading2"/>
      </w:pPr>
      <w:bookmarkStart w:id="188" w:name="_11.11_Letters_of"/>
      <w:bookmarkEnd w:id="188"/>
      <w:r>
        <w:t xml:space="preserve">11.11 </w:t>
      </w:r>
      <w:r w:rsidR="000C099C">
        <w:t>Letter</w:t>
      </w:r>
      <w:r w:rsidR="00E344DB">
        <w:t>s</w:t>
      </w:r>
      <w:r w:rsidR="000C099C">
        <w:t xml:space="preserve"> of Intent   </w:t>
      </w:r>
    </w:p>
    <w:p w14:paraId="3469F615" w14:textId="77777777" w:rsidR="000C099C" w:rsidRDefault="000C099C">
      <w:pPr>
        <w:pStyle w:val="MRS"/>
      </w:pPr>
      <w:r>
        <w:t xml:space="preserve">Most mutual fund companies allow a sales charge discount if the investor states his intent to purchase a specified minimum number of shares over a period of time (letter of intent).  Associated Persons must explain the term LOI to the customer and ascertain whether the customer wishes to participate in this option.  Fund applications, direct or electronic, provide a section for this option to be completed if applicable.  In addition, most companies allow customers to aggregate purchases made, looking back 90 days to achieve quantity discounts (Retroactive Letter of Intent).  Associated Persons must also ascertain from the customer if this option is applicable to their transaction(s). </w:t>
      </w:r>
    </w:p>
    <w:p w14:paraId="60124A23" w14:textId="77777777" w:rsidR="00E344DB" w:rsidRDefault="00E344DB">
      <w:pPr>
        <w:pStyle w:val="MRS"/>
        <w:rPr>
          <w:b/>
          <w:bCs/>
        </w:rPr>
      </w:pPr>
    </w:p>
    <w:p w14:paraId="38B2F7A2" w14:textId="77777777" w:rsidR="00AF2B51" w:rsidRDefault="00AF2B51">
      <w:pPr>
        <w:pStyle w:val="MRS"/>
        <w:rPr>
          <w:b/>
          <w:bCs/>
        </w:rPr>
      </w:pPr>
    </w:p>
    <w:p w14:paraId="44D2D04D" w14:textId="77777777" w:rsidR="00E344DB" w:rsidRDefault="00E344DB" w:rsidP="00936FEE">
      <w:pPr>
        <w:pStyle w:val="Heading2"/>
      </w:pPr>
      <w:r>
        <w:t>11.1</w:t>
      </w:r>
      <w:r w:rsidR="00B369F0">
        <w:t>2</w:t>
      </w:r>
      <w:r>
        <w:t xml:space="preserve"> </w:t>
      </w:r>
      <w:r w:rsidR="000C099C">
        <w:t xml:space="preserve">Rights of Accumulation   </w:t>
      </w:r>
    </w:p>
    <w:p w14:paraId="668DFAA1" w14:textId="1941EDD9" w:rsidR="000C099C" w:rsidRDefault="000C099C">
      <w:pPr>
        <w:pStyle w:val="MRS"/>
        <w:rPr>
          <w:rFonts w:ascii="TimesNewRomanPSMT" w:hAnsi="TimesNewRomanPSMT"/>
          <w:sz w:val="16"/>
          <w:szCs w:val="16"/>
        </w:rPr>
      </w:pPr>
      <w:r>
        <w:t xml:space="preserve">Most mutual fund companies permit an investor to aggregate shares owned in related accounts in some or all funds in the fund family to reach a breakpoint discount. Funds typically allow investors to aggregate fund shares owned by a person or a group of </w:t>
      </w:r>
      <w:r>
        <w:rPr>
          <w:rFonts w:ascii="TimesNewRomanPSMT" w:hAnsi="TimesNewRomanPSMT"/>
          <w:szCs w:val="24"/>
        </w:rPr>
        <w:t xml:space="preserve">persons related to the investor (family </w:t>
      </w:r>
      <w:r w:rsidR="00A50F67" w:rsidRPr="00E31E45">
        <w:rPr>
          <w:rFonts w:ascii="TimesNewRomanPSMT" w:hAnsi="TimesNewRomanPSMT"/>
          <w:color w:val="000000" w:themeColor="text1"/>
          <w:szCs w:val="24"/>
        </w:rPr>
        <w:t xml:space="preserve">or same household </w:t>
      </w:r>
      <w:r w:rsidR="00A50F67">
        <w:rPr>
          <w:rFonts w:ascii="TimesNewRomanPSMT" w:hAnsi="TimesNewRomanPSMT"/>
          <w:szCs w:val="24"/>
        </w:rPr>
        <w:t xml:space="preserve">or </w:t>
      </w:r>
      <w:r>
        <w:rPr>
          <w:rFonts w:ascii="TimesNewRomanPSMT" w:hAnsi="TimesNewRomanPSMT"/>
          <w:szCs w:val="24"/>
        </w:rPr>
        <w:t xml:space="preserve">members or members of certain organizations).  This option also gives a fund shareholder the ability to have earlier purchases of shares of funds in his/her accounts and in related accounts count towards the reduction of the sales charge on a current purchase. Note that some customers may decline to divulge such </w:t>
      </w:r>
      <w:r w:rsidR="00612826">
        <w:rPr>
          <w:rFonts w:ascii="TimesNewRomanPSMT" w:hAnsi="TimesNewRomanPSMT"/>
          <w:szCs w:val="24"/>
        </w:rPr>
        <w:t>information;</w:t>
      </w:r>
      <w:r>
        <w:rPr>
          <w:rFonts w:ascii="TimesNewRomanPSMT" w:hAnsi="TimesNewRomanPSMT"/>
          <w:szCs w:val="24"/>
        </w:rPr>
        <w:t xml:space="preserve"> however, the Associated Person must make a reasonable effort to obtain such information.  Some examples of ways that funds allow share purchases to be combined include:</w:t>
      </w:r>
    </w:p>
    <w:p w14:paraId="6FD4D877" w14:textId="77777777" w:rsidR="000C099C" w:rsidRDefault="000C099C">
      <w:pPr>
        <w:autoSpaceDE w:val="0"/>
        <w:autoSpaceDN w:val="0"/>
        <w:adjustRightInd w:val="0"/>
        <w:rPr>
          <w:rFonts w:ascii="TimesNewRomanPSMT" w:hAnsi="TimesNewRomanPSMT"/>
          <w:sz w:val="16"/>
          <w:szCs w:val="16"/>
        </w:rPr>
      </w:pPr>
    </w:p>
    <w:p w14:paraId="53812F3C" w14:textId="77777777" w:rsidR="000C099C" w:rsidRDefault="000C099C" w:rsidP="00216F83">
      <w:pPr>
        <w:numPr>
          <w:ilvl w:val="0"/>
          <w:numId w:val="19"/>
        </w:numPr>
        <w:autoSpaceDE w:val="0"/>
        <w:autoSpaceDN w:val="0"/>
        <w:adjustRightInd w:val="0"/>
        <w:rPr>
          <w:rFonts w:ascii="TimesNewRomanPSMT" w:hAnsi="TimesNewRomanPSMT"/>
          <w:sz w:val="24"/>
          <w:szCs w:val="24"/>
        </w:rPr>
      </w:pPr>
      <w:r>
        <w:rPr>
          <w:rFonts w:ascii="TimesNewRomanPSMT" w:hAnsi="TimesNewRomanPSMT"/>
          <w:sz w:val="24"/>
          <w:szCs w:val="24"/>
        </w:rPr>
        <w:t>aggregation with prior A share purchases;</w:t>
      </w:r>
    </w:p>
    <w:p w14:paraId="1DFE011E" w14:textId="77777777" w:rsidR="000C099C" w:rsidRDefault="000C099C" w:rsidP="00216F83">
      <w:pPr>
        <w:numPr>
          <w:ilvl w:val="0"/>
          <w:numId w:val="19"/>
        </w:numPr>
        <w:autoSpaceDE w:val="0"/>
        <w:autoSpaceDN w:val="0"/>
        <w:adjustRightInd w:val="0"/>
        <w:rPr>
          <w:rFonts w:ascii="TimesNewRomanPSMT" w:hAnsi="TimesNewRomanPSMT"/>
          <w:sz w:val="24"/>
          <w:szCs w:val="24"/>
        </w:rPr>
      </w:pPr>
      <w:r>
        <w:rPr>
          <w:rFonts w:ascii="TimesNewRomanPSMT" w:hAnsi="TimesNewRomanPSMT"/>
          <w:sz w:val="24"/>
          <w:szCs w:val="24"/>
        </w:rPr>
        <w:t>aggregation with prior purchases of all share classes;</w:t>
      </w:r>
    </w:p>
    <w:p w14:paraId="347D9A17" w14:textId="77777777" w:rsidR="000C099C" w:rsidRDefault="000C099C" w:rsidP="00216F83">
      <w:pPr>
        <w:numPr>
          <w:ilvl w:val="0"/>
          <w:numId w:val="19"/>
        </w:numPr>
        <w:autoSpaceDE w:val="0"/>
        <w:autoSpaceDN w:val="0"/>
        <w:adjustRightInd w:val="0"/>
        <w:rPr>
          <w:rFonts w:ascii="TimesNewRomanPSMT" w:hAnsi="TimesNewRomanPSMT"/>
          <w:sz w:val="24"/>
          <w:szCs w:val="24"/>
        </w:rPr>
      </w:pPr>
      <w:r>
        <w:rPr>
          <w:rFonts w:ascii="TimesNewRomanPSMT" w:hAnsi="TimesNewRomanPSMT"/>
          <w:sz w:val="24"/>
          <w:szCs w:val="24"/>
        </w:rPr>
        <w:t>aggregation with holdings of a spouse and minor children;</w:t>
      </w:r>
    </w:p>
    <w:p w14:paraId="518D350D" w14:textId="77777777" w:rsidR="000C099C" w:rsidRDefault="000C099C" w:rsidP="00216F83">
      <w:pPr>
        <w:numPr>
          <w:ilvl w:val="0"/>
          <w:numId w:val="19"/>
        </w:numPr>
        <w:autoSpaceDE w:val="0"/>
        <w:autoSpaceDN w:val="0"/>
        <w:adjustRightInd w:val="0"/>
        <w:rPr>
          <w:rFonts w:ascii="TimesNewRomanPSMT" w:hAnsi="TimesNewRomanPSMT"/>
          <w:sz w:val="24"/>
          <w:szCs w:val="24"/>
        </w:rPr>
      </w:pPr>
      <w:r>
        <w:rPr>
          <w:rFonts w:ascii="TimesNewRomanPSMT" w:hAnsi="TimesNewRomanPSMT"/>
          <w:sz w:val="24"/>
          <w:szCs w:val="24"/>
        </w:rPr>
        <w:t>aggregation with holdings of others (including one’s grandchildren or domestic</w:t>
      </w:r>
    </w:p>
    <w:p w14:paraId="3139259D" w14:textId="77777777" w:rsidR="000C099C" w:rsidRDefault="000C099C">
      <w:pPr>
        <w:autoSpaceDE w:val="0"/>
        <w:autoSpaceDN w:val="0"/>
        <w:adjustRightInd w:val="0"/>
        <w:ind w:left="810" w:hanging="810"/>
        <w:rPr>
          <w:rFonts w:ascii="Symbol" w:hAnsi="Symbol"/>
        </w:rPr>
      </w:pPr>
      <w:r>
        <w:rPr>
          <w:rFonts w:ascii="TimesNewRomanPSMT" w:hAnsi="TimesNewRomanPSMT"/>
          <w:sz w:val="24"/>
          <w:szCs w:val="24"/>
        </w:rPr>
        <w:t xml:space="preserve">              partner);</w:t>
      </w:r>
    </w:p>
    <w:p w14:paraId="7864D578" w14:textId="77777777" w:rsidR="000C099C" w:rsidRDefault="000C099C" w:rsidP="00216F83">
      <w:pPr>
        <w:numPr>
          <w:ilvl w:val="0"/>
          <w:numId w:val="20"/>
        </w:numPr>
        <w:autoSpaceDE w:val="0"/>
        <w:autoSpaceDN w:val="0"/>
        <w:adjustRightInd w:val="0"/>
        <w:rPr>
          <w:rFonts w:ascii="TimesNewRomanPSMT" w:hAnsi="TimesNewRomanPSMT"/>
          <w:sz w:val="24"/>
        </w:rPr>
      </w:pPr>
      <w:r>
        <w:rPr>
          <w:rFonts w:ascii="TimesNewRomanPSMT" w:hAnsi="TimesNewRomanPSMT"/>
          <w:sz w:val="24"/>
        </w:rPr>
        <w:t>aggregation with purchases in certain trust accounts;</w:t>
      </w:r>
    </w:p>
    <w:p w14:paraId="4F5E49D7" w14:textId="77777777" w:rsidR="000C099C" w:rsidRDefault="000C099C" w:rsidP="00216F83">
      <w:pPr>
        <w:numPr>
          <w:ilvl w:val="0"/>
          <w:numId w:val="20"/>
        </w:numPr>
        <w:autoSpaceDE w:val="0"/>
        <w:autoSpaceDN w:val="0"/>
        <w:adjustRightInd w:val="0"/>
        <w:rPr>
          <w:rFonts w:ascii="TimesNewRomanPSMT" w:hAnsi="TimesNewRomanPSMT"/>
          <w:sz w:val="24"/>
        </w:rPr>
      </w:pPr>
      <w:r>
        <w:rPr>
          <w:rFonts w:ascii="TimesNewRomanPSMT" w:hAnsi="TimesNewRomanPSMT"/>
          <w:sz w:val="24"/>
        </w:rPr>
        <w:t>aggregation with the purchase of variable annuities; and</w:t>
      </w:r>
    </w:p>
    <w:p w14:paraId="6F4390A6" w14:textId="77777777" w:rsidR="000C099C" w:rsidRDefault="000C099C" w:rsidP="00216F83">
      <w:pPr>
        <w:numPr>
          <w:ilvl w:val="0"/>
          <w:numId w:val="20"/>
        </w:numPr>
        <w:autoSpaceDE w:val="0"/>
        <w:autoSpaceDN w:val="0"/>
        <w:adjustRightInd w:val="0"/>
        <w:rPr>
          <w:rFonts w:ascii="TimesNewRomanPSMT" w:hAnsi="TimesNewRomanPSMT"/>
          <w:sz w:val="24"/>
        </w:rPr>
      </w:pPr>
      <w:r>
        <w:rPr>
          <w:rFonts w:ascii="TimesNewRomanPSMT" w:hAnsi="TimesNewRomanPSMT"/>
          <w:sz w:val="24"/>
        </w:rPr>
        <w:t>aggregation with holdings in other accounts, such as IRA accounts and 529</w:t>
      </w:r>
    </w:p>
    <w:p w14:paraId="0E111E74" w14:textId="77777777" w:rsidR="000C099C" w:rsidRDefault="000C099C">
      <w:pPr>
        <w:autoSpaceDE w:val="0"/>
        <w:autoSpaceDN w:val="0"/>
        <w:adjustRightInd w:val="0"/>
        <w:ind w:left="810" w:hanging="810"/>
        <w:rPr>
          <w:rFonts w:ascii="TimesNewRomanPSMT" w:hAnsi="TimesNewRomanPSMT"/>
          <w:sz w:val="24"/>
        </w:rPr>
      </w:pPr>
      <w:r>
        <w:rPr>
          <w:rFonts w:ascii="TimesNewRomanPSMT" w:hAnsi="TimesNewRomanPSMT"/>
          <w:sz w:val="24"/>
        </w:rPr>
        <w:t xml:space="preserve">             </w:t>
      </w:r>
      <w:r w:rsidR="00485242">
        <w:rPr>
          <w:rFonts w:ascii="TimesNewRomanPSMT" w:hAnsi="TimesNewRomanPSMT"/>
          <w:sz w:val="24"/>
        </w:rPr>
        <w:t>Plans</w:t>
      </w:r>
      <w:r>
        <w:rPr>
          <w:rFonts w:ascii="TimesNewRomanPSMT" w:hAnsi="TimesNewRomanPSMT"/>
          <w:sz w:val="24"/>
        </w:rPr>
        <w:t>.</w:t>
      </w:r>
    </w:p>
    <w:p w14:paraId="41C9FC37" w14:textId="77777777" w:rsidR="000C099C" w:rsidRDefault="000C099C">
      <w:pPr>
        <w:autoSpaceDE w:val="0"/>
        <w:autoSpaceDN w:val="0"/>
        <w:adjustRightInd w:val="0"/>
        <w:rPr>
          <w:rFonts w:ascii="TimesNewRomanPSMT" w:hAnsi="TimesNewRomanPSMT"/>
          <w:sz w:val="24"/>
        </w:rPr>
      </w:pPr>
    </w:p>
    <w:p w14:paraId="7CDDAD08" w14:textId="77777777" w:rsidR="000C099C" w:rsidRDefault="000C099C">
      <w:pPr>
        <w:pStyle w:val="BodyText"/>
        <w:autoSpaceDE w:val="0"/>
        <w:autoSpaceDN w:val="0"/>
        <w:adjustRightInd w:val="0"/>
        <w:spacing w:before="0" w:after="0"/>
        <w:rPr>
          <w:rFonts w:ascii="TimesNewRomanPSMT" w:hAnsi="TimesNewRomanPSMT"/>
        </w:rPr>
      </w:pPr>
      <w:r>
        <w:rPr>
          <w:rFonts w:ascii="TimesNewRomanPSMT" w:hAnsi="TimesNewRomanPSMT"/>
        </w:rPr>
        <w:t>Letters of intent and rights of accumulation may be combined for further benefits.  A customer may also receive a breakpoint discount on a single transaction that meets a breakpoint.</w:t>
      </w:r>
    </w:p>
    <w:p w14:paraId="5F44110D" w14:textId="77777777" w:rsidR="000C099C" w:rsidRDefault="000C099C">
      <w:pPr>
        <w:pStyle w:val="MRS"/>
        <w:rPr>
          <w:b/>
          <w:bCs/>
        </w:rPr>
      </w:pPr>
    </w:p>
    <w:p w14:paraId="514F1762" w14:textId="77777777" w:rsidR="00E344DB" w:rsidRDefault="00E344DB">
      <w:pPr>
        <w:pStyle w:val="MRS"/>
        <w:rPr>
          <w:b/>
          <w:bCs/>
        </w:rPr>
      </w:pPr>
    </w:p>
    <w:p w14:paraId="6240E783" w14:textId="77777777" w:rsidR="000C099C" w:rsidRDefault="00E344DB" w:rsidP="00936FEE">
      <w:pPr>
        <w:pStyle w:val="Heading2"/>
      </w:pPr>
      <w:r>
        <w:t xml:space="preserve">11.13 </w:t>
      </w:r>
      <w:r w:rsidR="000C099C">
        <w:t>Exchange Transactions</w:t>
      </w:r>
    </w:p>
    <w:p w14:paraId="6EFE6F6B" w14:textId="77777777" w:rsidR="000C099C" w:rsidRDefault="000C099C">
      <w:pPr>
        <w:pStyle w:val="MRS"/>
      </w:pPr>
      <w:r>
        <w:t>Most fund families also offer investors a right to exchange their holdings of a fund within the fund family for another fund within the fund family, without an additional sales charge. Various conditions and restrictions may apply, depending on the fund family.  The prospectus will outline the terms governing whether an investor can avoid paying a sales charge on an exchange.  Some of those conditions and restrictions relate to:</w:t>
      </w:r>
    </w:p>
    <w:p w14:paraId="32054C1D" w14:textId="77777777" w:rsidR="000C099C" w:rsidRDefault="00B143BE">
      <w:pPr>
        <w:pStyle w:val="MRS"/>
        <w:tabs>
          <w:tab w:val="num" w:pos="780"/>
        </w:tabs>
        <w:ind w:left="780" w:hanging="360"/>
      </w:pPr>
      <w:r>
        <w:t>Time</w:t>
      </w:r>
      <w:r w:rsidR="000C099C">
        <w:t xml:space="preserve"> frame (i.e. shares must be held for at least one day prior to the exchange);</w:t>
      </w:r>
    </w:p>
    <w:p w14:paraId="1045D246" w14:textId="77777777" w:rsidR="000C099C" w:rsidRDefault="00B143BE">
      <w:pPr>
        <w:pStyle w:val="MRS"/>
        <w:tabs>
          <w:tab w:val="num" w:pos="780"/>
        </w:tabs>
        <w:ind w:left="780" w:hanging="360"/>
      </w:pPr>
      <w:r>
        <w:lastRenderedPageBreak/>
        <w:t>Exchanges</w:t>
      </w:r>
      <w:r w:rsidR="00561A95">
        <w:t xml:space="preserve"> </w:t>
      </w:r>
      <w:r w:rsidR="000C099C">
        <w:t>may be limited to the same class of fund previously held;</w:t>
      </w:r>
    </w:p>
    <w:p w14:paraId="61A083D2" w14:textId="77777777" w:rsidR="000C099C" w:rsidRDefault="00B143BE">
      <w:pPr>
        <w:pStyle w:val="MRS"/>
        <w:tabs>
          <w:tab w:val="num" w:pos="780"/>
        </w:tabs>
        <w:ind w:left="780" w:hanging="360"/>
      </w:pPr>
      <w:r>
        <w:t>Exchanges</w:t>
      </w:r>
      <w:r w:rsidR="000C099C">
        <w:t xml:space="preserve"> may be limited to a maximum number per year; and</w:t>
      </w:r>
    </w:p>
    <w:p w14:paraId="65EDF890" w14:textId="77777777" w:rsidR="000C099C" w:rsidRDefault="00B143BE">
      <w:pPr>
        <w:pStyle w:val="MRS"/>
        <w:tabs>
          <w:tab w:val="num" w:pos="780"/>
        </w:tabs>
        <w:ind w:left="780" w:hanging="360"/>
      </w:pPr>
      <w:r>
        <w:t>Fees</w:t>
      </w:r>
      <w:r w:rsidR="000C099C">
        <w:t xml:space="preserve"> may be charged for certain exchanges.</w:t>
      </w:r>
    </w:p>
    <w:p w14:paraId="75658E04" w14:textId="77777777" w:rsidR="000C099C" w:rsidRDefault="000C099C">
      <w:pPr>
        <w:pStyle w:val="MRS"/>
        <w:rPr>
          <w:b/>
          <w:bCs/>
        </w:rPr>
      </w:pPr>
    </w:p>
    <w:p w14:paraId="54062A42" w14:textId="77777777" w:rsidR="000C099C" w:rsidRDefault="000C099C">
      <w:pPr>
        <w:pStyle w:val="MRS"/>
      </w:pPr>
      <w:r>
        <w:t>Associated Persons must ascertain whether a transaction meets any of the above conditions to determine whether a waiver of any sales charge is applicable.</w:t>
      </w:r>
    </w:p>
    <w:p w14:paraId="0B901B18" w14:textId="77777777" w:rsidR="000C099C" w:rsidRDefault="000C099C">
      <w:pPr>
        <w:pStyle w:val="MRS"/>
      </w:pPr>
    </w:p>
    <w:p w14:paraId="326C1786" w14:textId="77777777" w:rsidR="00E344DB" w:rsidRDefault="00E344DB">
      <w:pPr>
        <w:pStyle w:val="MRS"/>
        <w:rPr>
          <w:b/>
          <w:bCs/>
        </w:rPr>
      </w:pPr>
    </w:p>
    <w:p w14:paraId="77CF452B" w14:textId="77777777" w:rsidR="000C099C" w:rsidRDefault="00E344DB" w:rsidP="00936FEE">
      <w:pPr>
        <w:pStyle w:val="Heading2"/>
      </w:pPr>
      <w:r>
        <w:t xml:space="preserve">11.14 </w:t>
      </w:r>
      <w:r w:rsidR="000C099C">
        <w:t>Same Day Transactions</w:t>
      </w:r>
    </w:p>
    <w:p w14:paraId="659D8C7D" w14:textId="77777777" w:rsidR="000C099C" w:rsidRDefault="000C099C">
      <w:pPr>
        <w:pStyle w:val="MRS"/>
      </w:pPr>
      <w:r>
        <w:t>A review of transactions on the same day must be reviewed by the Associated Person to ascertain the sum of those transactions toward a possible breakpoint.</w:t>
      </w:r>
    </w:p>
    <w:p w14:paraId="682379A4" w14:textId="77777777" w:rsidR="000C099C" w:rsidRDefault="000C099C">
      <w:pPr>
        <w:pStyle w:val="MRS"/>
      </w:pPr>
      <w:r>
        <w:t xml:space="preserve">   </w:t>
      </w:r>
    </w:p>
    <w:p w14:paraId="33FE6770" w14:textId="05E46FA5" w:rsidR="000C099C" w:rsidRDefault="000C099C">
      <w:pPr>
        <w:pStyle w:val="MRS"/>
      </w:pPr>
      <w:r>
        <w:t>Further it shall be the responsibility of the designated principal at each OSJ to review mutual fund transactions to make sure that such notifications have been made by registered representatives and review such transactions to ensure proper break points are credited to a customer's account(s) in the event they are applicable.</w:t>
      </w:r>
    </w:p>
    <w:p w14:paraId="279BCAE9" w14:textId="77777777" w:rsidR="002E309C" w:rsidRDefault="002E309C">
      <w:pPr>
        <w:pStyle w:val="MRS"/>
      </w:pPr>
    </w:p>
    <w:p w14:paraId="41D30BE1" w14:textId="77777777" w:rsidR="000C099C" w:rsidRDefault="000C099C" w:rsidP="00E344DB"/>
    <w:p w14:paraId="587B888F" w14:textId="77777777" w:rsidR="000C099C" w:rsidRDefault="00E344DB" w:rsidP="00936FEE">
      <w:pPr>
        <w:pStyle w:val="Heading2"/>
      </w:pPr>
      <w:bookmarkStart w:id="189" w:name="SellingDividends"/>
      <w:bookmarkStart w:id="190" w:name="_11.15_Selling_Dividends"/>
      <w:bookmarkStart w:id="191" w:name="_Toc153361409"/>
      <w:bookmarkStart w:id="192" w:name="_Toc153361637"/>
      <w:bookmarkEnd w:id="189"/>
      <w:bookmarkEnd w:id="190"/>
      <w:r>
        <w:t xml:space="preserve">11.15 </w:t>
      </w:r>
      <w:r w:rsidR="000C099C">
        <w:t>Selling Dividends</w:t>
      </w:r>
      <w:bookmarkEnd w:id="191"/>
      <w:bookmarkEnd w:id="192"/>
    </w:p>
    <w:p w14:paraId="1632BD47" w14:textId="77777777" w:rsidR="000C099C" w:rsidRDefault="000C099C">
      <w:pPr>
        <w:tabs>
          <w:tab w:val="left" w:pos="576"/>
          <w:tab w:val="left" w:pos="720"/>
          <w:tab w:val="left" w:pos="1584"/>
          <w:tab w:val="left" w:pos="2592"/>
          <w:tab w:val="left" w:pos="7200"/>
        </w:tabs>
        <w:jc w:val="both"/>
        <w:rPr>
          <w:sz w:val="24"/>
        </w:rPr>
      </w:pPr>
      <w:r>
        <w:rPr>
          <w:sz w:val="24"/>
        </w:rPr>
        <w:t xml:space="preserve">In presenting investment recommendations to clients, the </w:t>
      </w:r>
      <w:r w:rsidR="00561A95">
        <w:rPr>
          <w:sz w:val="24"/>
        </w:rPr>
        <w:t>Associated Person</w:t>
      </w:r>
      <w:r>
        <w:rPr>
          <w:sz w:val="24"/>
        </w:rPr>
        <w:t xml:space="preserve"> will be careful not to “sell dividends.”  This is the practice whereby a representative uses the fact that the fund in question is about to pay a dividend as a selling point.  In reality, the majority of the dividend is already reflected in the fund’s price and will only be a return of principal to the investor when paid because the fund’s Net Asset Value will be reduced by the amount of the dividend.  In addition, the dividend payment will be a taxable event for the client, even though he/she received no economic benefit from it.  </w:t>
      </w:r>
    </w:p>
    <w:p w14:paraId="339412C7" w14:textId="77777777" w:rsidR="000C099C" w:rsidRDefault="000C099C">
      <w:pPr>
        <w:jc w:val="both"/>
        <w:rPr>
          <w:sz w:val="24"/>
        </w:rPr>
      </w:pPr>
    </w:p>
    <w:p w14:paraId="52A128CB" w14:textId="77777777" w:rsidR="00E344DB" w:rsidRDefault="00E344DB" w:rsidP="00E344DB">
      <w:bookmarkStart w:id="193" w:name="_Toc153361410"/>
      <w:bookmarkStart w:id="194" w:name="_Toc153361638"/>
    </w:p>
    <w:p w14:paraId="0BA6DF0C" w14:textId="77777777" w:rsidR="000C099C" w:rsidRDefault="00E344DB" w:rsidP="00936FEE">
      <w:pPr>
        <w:pStyle w:val="Heading2"/>
      </w:pPr>
      <w:r>
        <w:t xml:space="preserve">11.16 </w:t>
      </w:r>
      <w:r w:rsidR="000C099C">
        <w:t>Processing Orders</w:t>
      </w:r>
      <w:bookmarkEnd w:id="193"/>
      <w:bookmarkEnd w:id="194"/>
    </w:p>
    <w:p w14:paraId="1BC78709" w14:textId="7F4167BD" w:rsidR="000C099C" w:rsidRDefault="000C099C">
      <w:pPr>
        <w:jc w:val="both"/>
        <w:rPr>
          <w:sz w:val="24"/>
        </w:rPr>
      </w:pPr>
      <w:r>
        <w:rPr>
          <w:sz w:val="24"/>
        </w:rPr>
        <w:t>All mutual funds orders, whether through the clearing firm or direct, subscription-based purchases, must go through the trading/</w:t>
      </w:r>
      <w:proofErr w:type="gramStart"/>
      <w:r>
        <w:rPr>
          <w:sz w:val="24"/>
        </w:rPr>
        <w:t>back office</w:t>
      </w:r>
      <w:proofErr w:type="gramEnd"/>
      <w:r>
        <w:rPr>
          <w:sz w:val="24"/>
        </w:rPr>
        <w:t xml:space="preserve"> department.  No </w:t>
      </w:r>
      <w:r w:rsidR="00632436">
        <w:rPr>
          <w:sz w:val="24"/>
        </w:rPr>
        <w:t>Associated Person</w:t>
      </w:r>
      <w:r>
        <w:rPr>
          <w:sz w:val="24"/>
        </w:rPr>
        <w:t xml:space="preserve"> may enter an order directly unless authorized to do so as a backoffice function or by the principal.  No clearing firm order may be entered through </w:t>
      </w:r>
      <w:r w:rsidR="002E309C" w:rsidRPr="0012671D">
        <w:rPr>
          <w:sz w:val="24"/>
        </w:rPr>
        <w:t>HTS</w:t>
      </w:r>
      <w:r w:rsidRPr="0012671D">
        <w:rPr>
          <w:sz w:val="24"/>
        </w:rPr>
        <w:t xml:space="preserve"> after 3:00 pm central time to avoid market timing and violation of FINRA Rule 20</w:t>
      </w:r>
      <w:r w:rsidR="000A5CA9" w:rsidRPr="0012671D">
        <w:rPr>
          <w:sz w:val="24"/>
        </w:rPr>
        <w:t>10</w:t>
      </w:r>
      <w:r w:rsidRPr="0012671D">
        <w:rPr>
          <w:sz w:val="24"/>
        </w:rPr>
        <w:t xml:space="preserve">.  In addition, the </w:t>
      </w:r>
      <w:r w:rsidR="004A699A" w:rsidRPr="0012671D">
        <w:rPr>
          <w:sz w:val="24"/>
        </w:rPr>
        <w:t>HT</w:t>
      </w:r>
      <w:r w:rsidRPr="0012671D">
        <w:rPr>
          <w:sz w:val="24"/>
        </w:rPr>
        <w:t xml:space="preserve">S </w:t>
      </w:r>
      <w:r>
        <w:rPr>
          <w:sz w:val="24"/>
        </w:rPr>
        <w:t>system prohibits a trade from being entered after that time as an additional prevention</w:t>
      </w:r>
      <w:r w:rsidR="00632436">
        <w:rPr>
          <w:sz w:val="24"/>
        </w:rPr>
        <w:t>, or if entered will be conducted the next business day</w:t>
      </w:r>
      <w:r>
        <w:rPr>
          <w:sz w:val="24"/>
        </w:rPr>
        <w:t xml:space="preserve">.  However, any violation of such after-market orders is reason for immediate termination.  Additionally, it shall be a policy of the Company that where a mutual fund is handled on a subscription basis, all applications and customer checks shall be forwarded by the following business day to the Issuer. The designated principal at each OSJ shall be responsible for reviewing their respective cash receipts and delivered blotter </w:t>
      </w:r>
      <w:r w:rsidR="00BD2579">
        <w:rPr>
          <w:sz w:val="24"/>
        </w:rPr>
        <w:t>to ensure that</w:t>
      </w:r>
      <w:r>
        <w:rPr>
          <w:sz w:val="24"/>
        </w:rPr>
        <w:t xml:space="preserve"> all customer checks are promptly forwarded to their recipients and that all customer mutual fund applications are promptly forwarded to their respective Issuer.</w:t>
      </w:r>
    </w:p>
    <w:p w14:paraId="5094162C" w14:textId="77777777" w:rsidR="000C099C" w:rsidRDefault="000C099C">
      <w:pPr>
        <w:jc w:val="both"/>
        <w:rPr>
          <w:sz w:val="24"/>
        </w:rPr>
      </w:pPr>
    </w:p>
    <w:p w14:paraId="5C236EC6" w14:textId="77777777" w:rsidR="00E344DB" w:rsidRDefault="00E344DB">
      <w:pPr>
        <w:jc w:val="both"/>
        <w:rPr>
          <w:b/>
          <w:sz w:val="24"/>
        </w:rPr>
      </w:pPr>
      <w:bookmarkStart w:id="195" w:name="CDSC"/>
      <w:bookmarkEnd w:id="195"/>
    </w:p>
    <w:p w14:paraId="565D8522" w14:textId="77777777" w:rsidR="000C099C" w:rsidRDefault="00E344DB" w:rsidP="00936FEE">
      <w:pPr>
        <w:pStyle w:val="Heading2"/>
      </w:pPr>
      <w:bookmarkStart w:id="196" w:name="_11.17_Contingent_Deferred"/>
      <w:bookmarkEnd w:id="196"/>
      <w:r>
        <w:t xml:space="preserve">11.17 </w:t>
      </w:r>
      <w:r w:rsidR="000C099C">
        <w:t>Contingent Deferred Sales Charge</w:t>
      </w:r>
      <w:r w:rsidR="00D85C59">
        <w:t xml:space="preserve"> (“CDSC)</w:t>
      </w:r>
    </w:p>
    <w:p w14:paraId="5CC95612" w14:textId="77777777" w:rsidR="000C099C" w:rsidRDefault="000C099C">
      <w:pPr>
        <w:jc w:val="both"/>
        <w:rPr>
          <w:sz w:val="24"/>
        </w:rPr>
      </w:pPr>
      <w:r>
        <w:rPr>
          <w:sz w:val="24"/>
        </w:rPr>
        <w:t xml:space="preserve">In addition to the requirements for disclosure on written confirmations of transactions contained in Rule 2230, if the transaction involves the purchase of shares of an investment company that </w:t>
      </w:r>
      <w:r>
        <w:rPr>
          <w:sz w:val="24"/>
        </w:rPr>
        <w:lastRenderedPageBreak/>
        <w:t xml:space="preserve">imposes a deferred sales charge on redemption, such written confirmation shall also include the following </w:t>
      </w:r>
      <w:r w:rsidR="00B143BE">
        <w:rPr>
          <w:sz w:val="24"/>
        </w:rPr>
        <w:t xml:space="preserve">or similar </w:t>
      </w:r>
      <w:r>
        <w:rPr>
          <w:sz w:val="24"/>
        </w:rPr>
        <w:t xml:space="preserve">legend: “On selling your shares, you may pay a sales charge.  For the charge and other fees, see the prospectus.”  Consistent with the confirmations generated by </w:t>
      </w:r>
      <w:r w:rsidR="00E631DD" w:rsidRPr="00E4165F">
        <w:rPr>
          <w:sz w:val="24"/>
        </w:rPr>
        <w:t>Hilltop</w:t>
      </w:r>
      <w:r w:rsidRPr="00E4165F">
        <w:rPr>
          <w:sz w:val="24"/>
        </w:rPr>
        <w:t xml:space="preserve"> </w:t>
      </w:r>
      <w:r>
        <w:rPr>
          <w:sz w:val="24"/>
        </w:rPr>
        <w:t>Securities, the legend shall appear on the front of the client confirmation.</w:t>
      </w:r>
    </w:p>
    <w:p w14:paraId="32F7DFE2" w14:textId="77777777" w:rsidR="000C099C" w:rsidRDefault="000C099C">
      <w:pPr>
        <w:jc w:val="both"/>
        <w:rPr>
          <w:sz w:val="24"/>
        </w:rPr>
      </w:pPr>
    </w:p>
    <w:p w14:paraId="6A54B7CB" w14:textId="77777777" w:rsidR="00E344DB" w:rsidRDefault="00E344DB" w:rsidP="00E344DB">
      <w:bookmarkStart w:id="197" w:name="_Toc153361411"/>
      <w:bookmarkStart w:id="198" w:name="_Toc153361639"/>
    </w:p>
    <w:p w14:paraId="4F1BC6A7" w14:textId="77777777" w:rsidR="000C099C" w:rsidRDefault="00E344DB" w:rsidP="00936FEE">
      <w:pPr>
        <w:pStyle w:val="Heading2"/>
      </w:pPr>
      <w:r>
        <w:t xml:space="preserve">11.18 </w:t>
      </w:r>
      <w:r w:rsidR="000C099C">
        <w:t xml:space="preserve">Sales of Mutual Funds </w:t>
      </w:r>
      <w:r w:rsidR="00612826">
        <w:t>under</w:t>
      </w:r>
      <w:r w:rsidR="000C099C">
        <w:t xml:space="preserve"> Multiple Class Pricing</w:t>
      </w:r>
      <w:bookmarkEnd w:id="197"/>
      <w:bookmarkEnd w:id="198"/>
    </w:p>
    <w:p w14:paraId="77A0E1B0" w14:textId="77777777" w:rsidR="000C099C" w:rsidRDefault="000C099C">
      <w:pPr>
        <w:pStyle w:val="BodyText"/>
        <w:spacing w:before="0" w:after="0"/>
        <w:rPr>
          <w:bCs/>
        </w:rPr>
      </w:pPr>
      <w:r>
        <w:rPr>
          <w:bCs/>
        </w:rPr>
        <w:t>As mutual funds are being offered pursuant to an increasing variety of sales charges and distribution/service fees, it is important for the associated person and the customer to not only choose a mutual fund that best suits the customer’s investment objectives, but also to choose the sales financing method which best suits his/her particular situation.  Typically, fund families offer three classes of shares which are described below:</w:t>
      </w:r>
    </w:p>
    <w:p w14:paraId="71FF01CA" w14:textId="77777777" w:rsidR="000C099C" w:rsidRDefault="000C099C">
      <w:pPr>
        <w:jc w:val="both"/>
        <w:rPr>
          <w:bCs/>
          <w:sz w:val="24"/>
        </w:rPr>
      </w:pPr>
    </w:p>
    <w:p w14:paraId="5EF48F1A" w14:textId="77777777" w:rsidR="000C099C" w:rsidRDefault="000C099C">
      <w:pPr>
        <w:jc w:val="both"/>
        <w:rPr>
          <w:bCs/>
          <w:sz w:val="24"/>
        </w:rPr>
      </w:pPr>
      <w:r w:rsidRPr="00DE731C">
        <w:rPr>
          <w:bCs/>
          <w:sz w:val="24"/>
          <w:u w:val="single"/>
        </w:rPr>
        <w:t>Class A Shares</w:t>
      </w:r>
      <w:r>
        <w:rPr>
          <w:bCs/>
          <w:sz w:val="24"/>
        </w:rPr>
        <w:t>:  Subject to front-end load and, for most funds, a distribution/service fee of up to 0.50% per annum of the fund’s daily net assets attributable to Class A shares.  Purchases of $1 million or more and purchases by certain retirement plans are at net asset value (“NAV”) subject to one year, 1.00% CDSC.</w:t>
      </w:r>
    </w:p>
    <w:p w14:paraId="6722C7DD" w14:textId="77777777" w:rsidR="000C099C" w:rsidRDefault="000C099C">
      <w:pPr>
        <w:jc w:val="both"/>
        <w:rPr>
          <w:bCs/>
          <w:sz w:val="24"/>
        </w:rPr>
      </w:pPr>
    </w:p>
    <w:p w14:paraId="3C5A46F2" w14:textId="77777777" w:rsidR="000C099C" w:rsidRPr="00AD2BAC" w:rsidRDefault="000C099C">
      <w:pPr>
        <w:pStyle w:val="BodyText"/>
        <w:spacing w:before="0" w:after="0"/>
        <w:rPr>
          <w:b/>
          <w:bCs/>
        </w:rPr>
      </w:pPr>
      <w:r w:rsidRPr="00DE731C">
        <w:rPr>
          <w:bCs/>
          <w:u w:val="single"/>
        </w:rPr>
        <w:t>Class B Shares</w:t>
      </w:r>
      <w:r>
        <w:rPr>
          <w:bCs/>
        </w:rPr>
        <w:t xml:space="preserve">:  Are typically subject to a declining CDSC for six years and a distribution /service fee of up to 1.00% per annum of the fund’s average daily net assets attributable to Class B shares.  In some cases, Class B shares convert into Class A shares after a specific time period.  Thereafter, ongoing charges are equal to Class A.  </w:t>
      </w:r>
      <w:r w:rsidRPr="00AD2BAC">
        <w:rPr>
          <w:b/>
          <w:bCs/>
        </w:rPr>
        <w:t>The Company has a policy that no Associated Person will sell a B share without prior approval by Morris Monroe.  Any violation will result in a cancellation of the order with full recourse to the customer, a possible fine and/or termination of the Associated Person</w:t>
      </w:r>
      <w:r w:rsidR="004D7E99">
        <w:rPr>
          <w:b/>
          <w:bCs/>
        </w:rPr>
        <w:t xml:space="preserve"> </w:t>
      </w:r>
      <w:r w:rsidR="004D7E99" w:rsidRPr="004D7E99">
        <w:rPr>
          <w:bCs/>
          <w:i/>
          <w:sz w:val="20"/>
        </w:rPr>
        <w:t>(</w:t>
      </w:r>
      <w:proofErr w:type="gramStart"/>
      <w:r w:rsidR="004D7E99" w:rsidRPr="004D7E99">
        <w:rPr>
          <w:bCs/>
          <w:i/>
          <w:sz w:val="20"/>
        </w:rPr>
        <w:t>eff</w:t>
      </w:r>
      <w:proofErr w:type="gramEnd"/>
      <w:r w:rsidR="004D7E99" w:rsidRPr="004D7E99">
        <w:rPr>
          <w:bCs/>
          <w:i/>
          <w:sz w:val="20"/>
        </w:rPr>
        <w:t xml:space="preserve"> 12/20/07)</w:t>
      </w:r>
      <w:r w:rsidRPr="00AD2BAC">
        <w:rPr>
          <w:b/>
          <w:bCs/>
        </w:rPr>
        <w:t>.</w:t>
      </w:r>
    </w:p>
    <w:p w14:paraId="6E608DB3" w14:textId="77777777" w:rsidR="000C099C" w:rsidRDefault="000C099C">
      <w:pPr>
        <w:jc w:val="both"/>
        <w:rPr>
          <w:bCs/>
          <w:sz w:val="24"/>
        </w:rPr>
      </w:pPr>
    </w:p>
    <w:p w14:paraId="0928F96D" w14:textId="77777777" w:rsidR="000C099C" w:rsidRDefault="000C099C" w:rsidP="00DE731C">
      <w:pPr>
        <w:jc w:val="both"/>
        <w:rPr>
          <w:bCs/>
          <w:sz w:val="24"/>
        </w:rPr>
      </w:pPr>
      <w:r w:rsidRPr="00DE731C">
        <w:rPr>
          <w:bCs/>
          <w:sz w:val="24"/>
          <w:u w:val="single"/>
        </w:rPr>
        <w:t>Class C Shares</w:t>
      </w:r>
      <w:r>
        <w:rPr>
          <w:bCs/>
          <w:sz w:val="24"/>
        </w:rPr>
        <w:t>:  Subject to a one year, 1% CDSC and an ongoing distribution/service fee of up to 1.00% per annum of the fund’s daily net assets attributable to Class C shares.  Class C shares do not convert into Class A shares and are therefore subject to the Class C distribution/service fee indefinitely.</w:t>
      </w:r>
    </w:p>
    <w:p w14:paraId="03F58592" w14:textId="77777777" w:rsidR="00DE731C" w:rsidRDefault="00DE731C" w:rsidP="00DE731C">
      <w:pPr>
        <w:jc w:val="both"/>
        <w:rPr>
          <w:bCs/>
          <w:sz w:val="24"/>
        </w:rPr>
      </w:pPr>
    </w:p>
    <w:p w14:paraId="7D11E3A3" w14:textId="77777777" w:rsidR="00DE731C" w:rsidRPr="002C26F2" w:rsidRDefault="00DE731C" w:rsidP="00DE731C">
      <w:pPr>
        <w:jc w:val="both"/>
        <w:rPr>
          <w:bCs/>
          <w:sz w:val="24"/>
          <w:szCs w:val="24"/>
        </w:rPr>
      </w:pPr>
      <w:r w:rsidRPr="002C26F2">
        <w:rPr>
          <w:bCs/>
          <w:sz w:val="24"/>
          <w:u w:val="single"/>
        </w:rPr>
        <w:t>Class D Shares</w:t>
      </w:r>
      <w:r w:rsidRPr="002C26F2">
        <w:rPr>
          <w:bCs/>
          <w:sz w:val="24"/>
        </w:rPr>
        <w:t xml:space="preserve">: </w:t>
      </w:r>
      <w:r w:rsidRPr="002C26F2">
        <w:rPr>
          <w:sz w:val="24"/>
          <w:szCs w:val="24"/>
        </w:rPr>
        <w:t>Usually no-load shares available through mutual fund supermarkets with possible transaction and other fees.</w:t>
      </w:r>
    </w:p>
    <w:p w14:paraId="3256EDDC" w14:textId="77777777" w:rsidR="00DE731C" w:rsidRPr="002C26F2" w:rsidRDefault="00DE731C" w:rsidP="00DE731C">
      <w:pPr>
        <w:pStyle w:val="Normal23"/>
        <w:spacing w:before="0" w:beforeAutospacing="0" w:after="0" w:afterAutospacing="0"/>
        <w:rPr>
          <w:bCs/>
          <w:u w:val="single"/>
        </w:rPr>
      </w:pPr>
    </w:p>
    <w:p w14:paraId="4BEFDE53" w14:textId="77777777" w:rsidR="00DE731C" w:rsidRPr="002C26F2" w:rsidRDefault="00DE731C" w:rsidP="00DE731C">
      <w:pPr>
        <w:pStyle w:val="Normal23"/>
        <w:spacing w:before="0" w:beforeAutospacing="0" w:after="0" w:afterAutospacing="0"/>
      </w:pPr>
      <w:r w:rsidRPr="002C26F2">
        <w:rPr>
          <w:bCs/>
          <w:u w:val="single"/>
        </w:rPr>
        <w:t>Class R shares</w:t>
      </w:r>
      <w:r w:rsidRPr="002C26F2">
        <w:rPr>
          <w:bCs/>
        </w:rPr>
        <w:t>:</w:t>
      </w:r>
      <w:r w:rsidRPr="002C26F2">
        <w:t xml:space="preserve"> Created for retirement plans and available through an employer-sponsored retirement plan and with a wide range of fees.</w:t>
      </w:r>
    </w:p>
    <w:p w14:paraId="4C30E1FB" w14:textId="77777777" w:rsidR="00DE731C" w:rsidRDefault="00DE731C" w:rsidP="00DE731C">
      <w:pPr>
        <w:pStyle w:val="Normal23"/>
      </w:pPr>
      <w:r>
        <w:t xml:space="preserve">In addition, some mutual funds offer other classes that impose no front-end or back-end sales charges and relatively low asset-based fees. These may be offered to limited types of purchasers such as retirement plans or institutional investors. </w:t>
      </w:r>
    </w:p>
    <w:p w14:paraId="0A5A2D22" w14:textId="77777777" w:rsidR="000C099C" w:rsidRDefault="000C099C">
      <w:pPr>
        <w:jc w:val="both"/>
        <w:rPr>
          <w:bCs/>
          <w:sz w:val="24"/>
        </w:rPr>
      </w:pPr>
      <w:r>
        <w:rPr>
          <w:bCs/>
          <w:sz w:val="24"/>
        </w:rPr>
        <w:t xml:space="preserve">Associated persons, in assisting a customer in choosing a particular class of shares, should consider all relevant facts and circumstances, including, but not limited to:  (a) the amount of money to be invested initially and over a period of time;  (b) the current level of front-end sales load, CDSC and distribution/service fees imposed with respect to a particular class by the fund;  and  (c) any other relevant circumstances, such as the availability of purchases under letter of intent or pursuant to rights of accumulation or the availability of CDSC waivers upon redemptions of shares.  </w:t>
      </w:r>
    </w:p>
    <w:p w14:paraId="408227C0" w14:textId="77777777" w:rsidR="000C099C" w:rsidRDefault="000C099C">
      <w:pPr>
        <w:jc w:val="both"/>
        <w:rPr>
          <w:bCs/>
          <w:sz w:val="24"/>
        </w:rPr>
      </w:pPr>
    </w:p>
    <w:p w14:paraId="5C3BC5A4" w14:textId="77777777" w:rsidR="000C099C" w:rsidRDefault="000C099C">
      <w:pPr>
        <w:jc w:val="both"/>
        <w:rPr>
          <w:bCs/>
          <w:sz w:val="24"/>
        </w:rPr>
      </w:pPr>
      <w:r>
        <w:rPr>
          <w:bCs/>
          <w:sz w:val="24"/>
          <w:u w:val="single"/>
        </w:rPr>
        <w:lastRenderedPageBreak/>
        <w:t>General Guidelines</w:t>
      </w:r>
      <w:r>
        <w:rPr>
          <w:bCs/>
          <w:sz w:val="24"/>
        </w:rPr>
        <w:t>:  There are instances where one method may be more advantageous than other alternative methods.  For example, investors who would qualify for significant discount on a front-end sales load may determine that a Class A purchase is preferable to payment of either (</w:t>
      </w:r>
      <w:proofErr w:type="spellStart"/>
      <w:r>
        <w:rPr>
          <w:bCs/>
          <w:sz w:val="24"/>
        </w:rPr>
        <w:t>i</w:t>
      </w:r>
      <w:proofErr w:type="spellEnd"/>
      <w:r>
        <w:rPr>
          <w:bCs/>
          <w:sz w:val="24"/>
        </w:rPr>
        <w:t>) any applicable CDSC imposed upon the redemption of Class B shares and the higher Class B distribution/service fees (which are imposed during the period prior to the conversion of Class B shares to Class A shares) or (ii) any applicable CDSC imposed upon the redemption of Class C shares and the higher Class C distribution/service fees (which are imposed indefinitely).</w:t>
      </w:r>
    </w:p>
    <w:p w14:paraId="7C1A1D0F" w14:textId="77777777" w:rsidR="000C099C" w:rsidRDefault="000C099C">
      <w:pPr>
        <w:jc w:val="both"/>
        <w:rPr>
          <w:bCs/>
          <w:sz w:val="24"/>
        </w:rPr>
      </w:pPr>
    </w:p>
    <w:p w14:paraId="10D9CBA7" w14:textId="77777777" w:rsidR="000C099C" w:rsidRDefault="000C099C">
      <w:pPr>
        <w:jc w:val="both"/>
        <w:rPr>
          <w:bCs/>
          <w:sz w:val="24"/>
        </w:rPr>
      </w:pPr>
      <w:r>
        <w:rPr>
          <w:bCs/>
          <w:sz w:val="24"/>
        </w:rPr>
        <w:t>On the other hand, a customer whose order would not qualify for such a discount may wish to defer the sales load and have all his funds invested in Class B or Class C shares initially.  If such a customer anticipates that he or she will redeem his or her shares within the first six years, the customer may determine that a Class C share purchase is preferable since there is no front-end sales load or CDSC after the first year.</w:t>
      </w:r>
    </w:p>
    <w:p w14:paraId="0E667B3F" w14:textId="77777777" w:rsidR="000C099C" w:rsidRDefault="000C099C">
      <w:pPr>
        <w:jc w:val="both"/>
        <w:rPr>
          <w:bCs/>
          <w:sz w:val="24"/>
        </w:rPr>
      </w:pPr>
    </w:p>
    <w:p w14:paraId="0C92CE7F" w14:textId="77777777" w:rsidR="000C099C" w:rsidRPr="002C26F2" w:rsidRDefault="000C099C">
      <w:pPr>
        <w:jc w:val="both"/>
        <w:rPr>
          <w:bCs/>
          <w:sz w:val="24"/>
        </w:rPr>
      </w:pPr>
      <w:r>
        <w:rPr>
          <w:bCs/>
          <w:sz w:val="24"/>
        </w:rPr>
        <w:t xml:space="preserve">In addition, customers who intend to hold their shares for a significant period of time </w:t>
      </w:r>
      <w:r>
        <w:rPr>
          <w:bCs/>
          <w:sz w:val="24"/>
          <w:u w:val="single"/>
        </w:rPr>
        <w:t>should consider</w:t>
      </w:r>
      <w:r>
        <w:rPr>
          <w:bCs/>
          <w:sz w:val="24"/>
        </w:rPr>
        <w:t xml:space="preserve"> purchasing Class A shares since Class C shares pay ongoing distribution/service fees and do not convert into Class A shares</w:t>
      </w:r>
      <w:r w:rsidR="00DE731C">
        <w:rPr>
          <w:bCs/>
          <w:sz w:val="24"/>
        </w:rPr>
        <w:t xml:space="preserve"> </w:t>
      </w:r>
      <w:r w:rsidR="00DE731C" w:rsidRPr="002C26F2">
        <w:rPr>
          <w:bCs/>
          <w:sz w:val="24"/>
        </w:rPr>
        <w:t>(</w:t>
      </w:r>
      <w:r w:rsidR="00592035" w:rsidRPr="002C26F2">
        <w:rPr>
          <w:bCs/>
          <w:sz w:val="24"/>
        </w:rPr>
        <w:t xml:space="preserve">with the </w:t>
      </w:r>
      <w:r w:rsidR="00DE731C" w:rsidRPr="002C26F2">
        <w:rPr>
          <w:bCs/>
          <w:sz w:val="24"/>
        </w:rPr>
        <w:t xml:space="preserve">exception </w:t>
      </w:r>
      <w:r w:rsidR="00592035" w:rsidRPr="002C26F2">
        <w:rPr>
          <w:bCs/>
          <w:sz w:val="24"/>
        </w:rPr>
        <w:t>of</w:t>
      </w:r>
      <w:r w:rsidR="00DE731C" w:rsidRPr="002C26F2">
        <w:rPr>
          <w:bCs/>
          <w:sz w:val="24"/>
        </w:rPr>
        <w:t xml:space="preserve"> American Funds</w:t>
      </w:r>
      <w:r w:rsidR="00592035" w:rsidRPr="002C26F2">
        <w:rPr>
          <w:bCs/>
          <w:sz w:val="24"/>
        </w:rPr>
        <w:t xml:space="preserve"> and their F1 shares which are converted C Shares</w:t>
      </w:r>
      <w:r w:rsidR="00DE731C" w:rsidRPr="002C26F2">
        <w:rPr>
          <w:bCs/>
          <w:sz w:val="24"/>
        </w:rPr>
        <w:t xml:space="preserve"> after holding for 10 years)</w:t>
      </w:r>
      <w:r w:rsidRPr="002C26F2">
        <w:rPr>
          <w:bCs/>
          <w:sz w:val="24"/>
        </w:rPr>
        <w:t>.</w:t>
      </w:r>
    </w:p>
    <w:p w14:paraId="770890DC" w14:textId="77777777" w:rsidR="000C099C" w:rsidRDefault="000C099C">
      <w:pPr>
        <w:jc w:val="both"/>
        <w:rPr>
          <w:bCs/>
          <w:sz w:val="24"/>
        </w:rPr>
      </w:pPr>
    </w:p>
    <w:p w14:paraId="1EAA4701" w14:textId="77777777" w:rsidR="000C099C" w:rsidRDefault="000C099C">
      <w:pPr>
        <w:jc w:val="both"/>
        <w:rPr>
          <w:bCs/>
          <w:sz w:val="24"/>
        </w:rPr>
      </w:pPr>
      <w:r>
        <w:rPr>
          <w:bCs/>
          <w:sz w:val="24"/>
        </w:rPr>
        <w:t xml:space="preserve">Be advised that customers investing $1 million or more and certain retirement plans may </w:t>
      </w:r>
      <w:r>
        <w:rPr>
          <w:bCs/>
          <w:sz w:val="24"/>
          <w:u w:val="single"/>
        </w:rPr>
        <w:t>not</w:t>
      </w:r>
      <w:r>
        <w:rPr>
          <w:bCs/>
          <w:sz w:val="24"/>
        </w:rPr>
        <w:t xml:space="preserve"> be permitted by the Fund Company to purchase Class C shares.  In addition, orders to purchase Class B shares for customers investing $1 million or more may be rejected by a fund company.</w:t>
      </w:r>
    </w:p>
    <w:p w14:paraId="0572A73E" w14:textId="77777777" w:rsidR="000C099C" w:rsidRDefault="000C099C">
      <w:pPr>
        <w:jc w:val="both"/>
        <w:rPr>
          <w:bCs/>
          <w:sz w:val="24"/>
        </w:rPr>
      </w:pPr>
    </w:p>
    <w:p w14:paraId="1A8699A4" w14:textId="77777777" w:rsidR="000C099C" w:rsidRDefault="000C099C">
      <w:pPr>
        <w:jc w:val="both"/>
        <w:rPr>
          <w:bCs/>
          <w:sz w:val="24"/>
        </w:rPr>
      </w:pPr>
      <w:r>
        <w:rPr>
          <w:bCs/>
          <w:sz w:val="24"/>
        </w:rPr>
        <w:t>Class A shares may be sold at NAV (no front-end sales load) to certain persons and in certain instances as noted in the prospectus.  Because these Class A shares are sold at NAV and because the expenses of Class A shares will be lower than those of Class B and Class C shares, any purchaser eligible to purchase Class A shares at NAV should be advised.</w:t>
      </w:r>
    </w:p>
    <w:p w14:paraId="38C0F12F" w14:textId="77777777" w:rsidR="000C099C" w:rsidRDefault="000C099C">
      <w:pPr>
        <w:jc w:val="both"/>
        <w:rPr>
          <w:bCs/>
          <w:sz w:val="24"/>
        </w:rPr>
      </w:pPr>
    </w:p>
    <w:p w14:paraId="5CF17249" w14:textId="77777777" w:rsidR="000C099C" w:rsidRDefault="000C099C">
      <w:pPr>
        <w:jc w:val="both"/>
        <w:rPr>
          <w:bCs/>
          <w:sz w:val="24"/>
        </w:rPr>
      </w:pPr>
      <w:r>
        <w:rPr>
          <w:bCs/>
          <w:sz w:val="24"/>
        </w:rPr>
        <w:t xml:space="preserve">Because the CDSC on Class B shares is reduced for each year the shares are held, </w:t>
      </w:r>
      <w:r w:rsidR="005C4D8D">
        <w:rPr>
          <w:bCs/>
          <w:sz w:val="24"/>
        </w:rPr>
        <w:t>a redemption</w:t>
      </w:r>
      <w:r>
        <w:rPr>
          <w:bCs/>
          <w:sz w:val="24"/>
        </w:rPr>
        <w:t xml:space="preserve"> of Class B shares just before the date the CDSC declines (“the anniversary date”) is in some ways analogous to a breakpoint sale.  However, a customer might wish to redeem just before the anniversary date for tax or other reasons, and a customer who chose to wait would continue to be at market risk.  Nevertheless, </w:t>
      </w:r>
      <w:r w:rsidR="00014B0A">
        <w:rPr>
          <w:bCs/>
          <w:sz w:val="24"/>
        </w:rPr>
        <w:t>Associated P</w:t>
      </w:r>
      <w:r>
        <w:rPr>
          <w:bCs/>
          <w:sz w:val="24"/>
        </w:rPr>
        <w:t>ersons should inform customers intending to redeem Class B or C shares near an anniversary date that if the redemption were delayed, the CDSC may be reduced or eliminated.</w:t>
      </w:r>
    </w:p>
    <w:p w14:paraId="35BA4F09" w14:textId="77777777" w:rsidR="000C099C" w:rsidRDefault="000C099C">
      <w:pPr>
        <w:jc w:val="both"/>
        <w:rPr>
          <w:bCs/>
          <w:sz w:val="24"/>
        </w:rPr>
      </w:pPr>
    </w:p>
    <w:p w14:paraId="4776D10E" w14:textId="77777777" w:rsidR="000C099C" w:rsidRDefault="000C099C">
      <w:pPr>
        <w:jc w:val="both"/>
        <w:rPr>
          <w:sz w:val="24"/>
        </w:rPr>
      </w:pPr>
      <w:r w:rsidRPr="00EC333E">
        <w:rPr>
          <w:sz w:val="24"/>
        </w:rPr>
        <w:t>FINRA’s</w:t>
      </w:r>
      <w:r>
        <w:rPr>
          <w:sz w:val="24"/>
        </w:rPr>
        <w:t xml:space="preserve"> or the SEC’s expense analyzer are tool</w:t>
      </w:r>
      <w:r w:rsidR="00CB7687">
        <w:rPr>
          <w:sz w:val="24"/>
        </w:rPr>
        <w:t>s that can be utilized by both A</w:t>
      </w:r>
      <w:r>
        <w:rPr>
          <w:sz w:val="24"/>
        </w:rPr>
        <w:t xml:space="preserve">ssociated </w:t>
      </w:r>
      <w:r w:rsidR="00CB7687">
        <w:rPr>
          <w:sz w:val="24"/>
        </w:rPr>
        <w:t>P</w:t>
      </w:r>
      <w:r>
        <w:rPr>
          <w:sz w:val="24"/>
        </w:rPr>
        <w:t>ersons and supervisors to evaluate the recommendation of a share class. The expense analyzers can be accessed at:</w:t>
      </w:r>
    </w:p>
    <w:p w14:paraId="343ED62F" w14:textId="77777777" w:rsidR="000C099C" w:rsidRDefault="000C099C">
      <w:pPr>
        <w:ind w:left="360"/>
        <w:jc w:val="both"/>
      </w:pPr>
    </w:p>
    <w:bookmarkStart w:id="199" w:name="_Hlt63754697"/>
    <w:bookmarkEnd w:id="199"/>
    <w:p w14:paraId="7995912B" w14:textId="7DEC59D1" w:rsidR="000C099C" w:rsidRPr="00E31E45" w:rsidRDefault="009645D4" w:rsidP="009645D4">
      <w:pPr>
        <w:ind w:left="720" w:hanging="180"/>
        <w:jc w:val="both"/>
        <w:rPr>
          <w:color w:val="0000FF"/>
          <w:sz w:val="24"/>
        </w:rPr>
      </w:pPr>
      <w:r w:rsidRPr="00E31E45">
        <w:rPr>
          <w:color w:val="0000FF"/>
          <w:spacing w:val="8"/>
          <w:sz w:val="24"/>
          <w:szCs w:val="24"/>
          <w:shd w:val="clear" w:color="auto" w:fill="FFFFFF"/>
        </w:rPr>
        <w:fldChar w:fldCharType="begin"/>
      </w:r>
      <w:r w:rsidRPr="00E31E45">
        <w:rPr>
          <w:color w:val="0000FF"/>
          <w:spacing w:val="8"/>
          <w:sz w:val="24"/>
          <w:szCs w:val="24"/>
          <w:shd w:val="clear" w:color="auto" w:fill="FFFFFF"/>
        </w:rPr>
        <w:instrText xml:space="preserve"> HYPERLINK "http://www.finra.org/fundsearch" </w:instrText>
      </w:r>
      <w:r w:rsidRPr="00E31E45">
        <w:rPr>
          <w:color w:val="0000FF"/>
          <w:spacing w:val="8"/>
          <w:sz w:val="24"/>
          <w:szCs w:val="24"/>
          <w:shd w:val="clear" w:color="auto" w:fill="FFFFFF"/>
        </w:rPr>
      </w:r>
      <w:r w:rsidRPr="00E31E45">
        <w:rPr>
          <w:color w:val="0000FF"/>
          <w:spacing w:val="8"/>
          <w:sz w:val="24"/>
          <w:szCs w:val="24"/>
          <w:shd w:val="clear" w:color="auto" w:fill="FFFFFF"/>
        </w:rPr>
        <w:fldChar w:fldCharType="separate"/>
      </w:r>
      <w:r w:rsidRPr="00E31E45">
        <w:rPr>
          <w:rStyle w:val="Hyperlink"/>
          <w:spacing w:val="8"/>
          <w:sz w:val="24"/>
          <w:szCs w:val="24"/>
          <w:shd w:val="clear" w:color="auto" w:fill="FFFFFF"/>
        </w:rPr>
        <w:t>http://www.finra.org/fundsearch</w:t>
      </w:r>
      <w:r w:rsidRPr="00E31E45">
        <w:rPr>
          <w:color w:val="0000FF"/>
          <w:spacing w:val="8"/>
          <w:sz w:val="24"/>
          <w:szCs w:val="24"/>
          <w:shd w:val="clear" w:color="auto" w:fill="FFFFFF"/>
        </w:rPr>
        <w:fldChar w:fldCharType="end"/>
      </w:r>
    </w:p>
    <w:p w14:paraId="79EF08DE" w14:textId="77777777" w:rsidR="000C099C" w:rsidRDefault="00D6319C" w:rsidP="0012671D">
      <w:pPr>
        <w:ind w:left="1170" w:hanging="630"/>
        <w:jc w:val="both"/>
        <w:rPr>
          <w:color w:val="0000FF"/>
        </w:rPr>
      </w:pPr>
      <w:hyperlink r:id="rId86" w:history="1">
        <w:r w:rsidR="000C099C">
          <w:rPr>
            <w:rStyle w:val="Hyperlink"/>
            <w:sz w:val="24"/>
          </w:rPr>
          <w:t>http://www.sec.gov/investor/tools/mfcc/get-started.htm</w:t>
        </w:r>
      </w:hyperlink>
    </w:p>
    <w:p w14:paraId="62341C5D" w14:textId="77777777" w:rsidR="000C099C" w:rsidRDefault="000C099C">
      <w:pPr>
        <w:jc w:val="both"/>
        <w:rPr>
          <w:bCs/>
          <w:sz w:val="24"/>
        </w:rPr>
      </w:pPr>
    </w:p>
    <w:p w14:paraId="04311566" w14:textId="16A48BF3" w:rsidR="000C099C" w:rsidRPr="00E344DB" w:rsidRDefault="00CB7687" w:rsidP="00E344DB">
      <w:pPr>
        <w:rPr>
          <w:b/>
          <w:sz w:val="24"/>
          <w:szCs w:val="24"/>
        </w:rPr>
      </w:pPr>
      <w:bookmarkStart w:id="200" w:name="_Toc153361412"/>
      <w:bookmarkStart w:id="201" w:name="_Toc153361640"/>
      <w:r w:rsidRPr="00E344DB">
        <w:rPr>
          <w:b/>
          <w:sz w:val="24"/>
          <w:szCs w:val="24"/>
        </w:rPr>
        <w:t>Associated P</w:t>
      </w:r>
      <w:r w:rsidR="000C099C" w:rsidRPr="00E344DB">
        <w:rPr>
          <w:b/>
          <w:sz w:val="24"/>
          <w:szCs w:val="24"/>
        </w:rPr>
        <w:t>ersons must advise customers of all available sales financing methods offered by a fund company and the impact of choosing one method over another.   The WSC Investment Products Receipt and Disclosure – Mutual Funds form will be used to inform customers of the investments features of a particular mutual fund, the applicable class structure, breakpoint, and other pertinent disclosures.  In some cases, it may be appropriate for the Supervisor to discuss the purchase directly with the customer.</w:t>
      </w:r>
      <w:bookmarkEnd w:id="200"/>
      <w:bookmarkEnd w:id="201"/>
    </w:p>
    <w:p w14:paraId="6A0E95F6" w14:textId="77777777" w:rsidR="00856867" w:rsidRDefault="00856867" w:rsidP="00856867"/>
    <w:p w14:paraId="4C9BE924" w14:textId="77777777" w:rsidR="00E344DB" w:rsidRDefault="00E344DB" w:rsidP="00856867">
      <w:pPr>
        <w:rPr>
          <w:b/>
          <w:sz w:val="24"/>
          <w:szCs w:val="24"/>
        </w:rPr>
      </w:pPr>
    </w:p>
    <w:p w14:paraId="144BDDB3" w14:textId="2E0F252C" w:rsidR="00856867" w:rsidRPr="00856867" w:rsidRDefault="00E344DB" w:rsidP="00936FEE">
      <w:pPr>
        <w:pStyle w:val="Heading2"/>
      </w:pPr>
      <w:r>
        <w:t xml:space="preserve">11.19 </w:t>
      </w:r>
      <w:r w:rsidR="00856867" w:rsidRPr="00856867">
        <w:t>NAV Transfers</w:t>
      </w:r>
      <w:r w:rsidR="002E0F30">
        <w:t xml:space="preserve"> &amp; Reinstatement Privileges </w:t>
      </w:r>
    </w:p>
    <w:p w14:paraId="3D84EAC7" w14:textId="0567D849" w:rsidR="000C099C" w:rsidRDefault="00ED37EC" w:rsidP="007D59F6">
      <w:pPr>
        <w:keepNext/>
        <w:rPr>
          <w:sz w:val="24"/>
        </w:rPr>
      </w:pPr>
      <w:r w:rsidRPr="00AF3D2D">
        <w:rPr>
          <w:sz w:val="24"/>
          <w:szCs w:val="24"/>
        </w:rPr>
        <w:t xml:space="preserve">Some mutual funds waive fees for eligible retirement plans and charities. RRs are obligated to apply waivers where they are available. </w:t>
      </w:r>
      <w:r w:rsidR="000C099C">
        <w:rPr>
          <w:sz w:val="24"/>
        </w:rPr>
        <w:t xml:space="preserve">Through a NAV transfer, certain mutual fund families allow the investor to purchase Class A shares of a mutual fund without paying a front-end sales charge, if the investor is using proceeds from the sale of a mutual fund in another mutual fund family for which a front-end or contingent deferred sales charge has already been paid.  </w:t>
      </w:r>
      <w:r w:rsidRPr="00AF3D2D">
        <w:rPr>
          <w:sz w:val="24"/>
          <w:szCs w:val="24"/>
        </w:rPr>
        <w:t>The period when the discount is available is generally 30 to 90 days from the date the investor purchased the other fund.</w:t>
      </w:r>
      <w:r w:rsidRPr="00AF3D2D">
        <w:rPr>
          <w:sz w:val="24"/>
        </w:rPr>
        <w:t xml:space="preserve">  </w:t>
      </w:r>
      <w:r w:rsidR="000C099C" w:rsidRPr="00AF3D2D">
        <w:rPr>
          <w:sz w:val="24"/>
        </w:rPr>
        <w:t>These sales charge reductions are not available on all funds and can only be determined by reading the prospectus</w:t>
      </w:r>
      <w:r w:rsidR="007057D9" w:rsidRPr="00AF3D2D">
        <w:rPr>
          <w:sz w:val="24"/>
        </w:rPr>
        <w:t xml:space="preserve"> and Statement of Additional Information</w:t>
      </w:r>
      <w:r w:rsidR="000C099C" w:rsidRPr="00AF3D2D">
        <w:rPr>
          <w:sz w:val="24"/>
        </w:rPr>
        <w:t xml:space="preserve">.  </w:t>
      </w:r>
      <w:r w:rsidRPr="00AF3D2D">
        <w:rPr>
          <w:sz w:val="24"/>
          <w:szCs w:val="24"/>
        </w:rPr>
        <w:t>Generally, customers will not make short-term sales of mutual funds. In those unusual circumstances, where the customer is making such a sale, the RR should investigate whether a waiver is available on the new purchase</w:t>
      </w:r>
      <w:r w:rsidRPr="00AF3D2D">
        <w:t>.</w:t>
      </w:r>
      <w:r w:rsidR="000C099C" w:rsidRPr="00AF3D2D">
        <w:rPr>
          <w:sz w:val="24"/>
        </w:rPr>
        <w:t xml:space="preserve">   Supervisor reviews will be evidenced by signing the new account form or initialing the mutual fund application or the order ticket if a new account </w:t>
      </w:r>
      <w:r w:rsidR="000C099C">
        <w:rPr>
          <w:sz w:val="24"/>
        </w:rPr>
        <w:t>form is not obtained on an established account.</w:t>
      </w:r>
    </w:p>
    <w:p w14:paraId="7BE11480" w14:textId="39ABE5D7" w:rsidR="002E0F30" w:rsidRPr="00E31E45" w:rsidRDefault="002E0F30" w:rsidP="007D59F6">
      <w:pPr>
        <w:keepNext/>
        <w:rPr>
          <w:sz w:val="24"/>
        </w:rPr>
      </w:pPr>
    </w:p>
    <w:p w14:paraId="129D3B4E" w14:textId="42D8B3D1" w:rsidR="002E0F30" w:rsidRPr="00E31E45" w:rsidRDefault="002E0F30" w:rsidP="007D59F6">
      <w:pPr>
        <w:keepNext/>
        <w:rPr>
          <w:sz w:val="24"/>
          <w:szCs w:val="24"/>
        </w:rPr>
      </w:pPr>
      <w:r w:rsidRPr="00E31E45">
        <w:rPr>
          <w:spacing w:val="8"/>
          <w:sz w:val="24"/>
          <w:szCs w:val="24"/>
          <w:shd w:val="clear" w:color="auto" w:fill="FFFFFF"/>
        </w:rPr>
        <w:t>In addition, some funds offer shareholders a "reinstatement privilege" allowing the shareholder to reinvest some or all of the proceeds from a prior liquidation of the fund within a specified period of time (for example, 180 days) at a reduced sales load or no sales load. The RR should determine whether the customer qualifies for a reinvestment privilege and, if he or she qualifies, note this on the order at time of entry.</w:t>
      </w:r>
    </w:p>
    <w:p w14:paraId="2F2FAA76" w14:textId="77777777" w:rsidR="001803F3" w:rsidRDefault="001803F3" w:rsidP="007D59F6">
      <w:pPr>
        <w:keepNext/>
        <w:rPr>
          <w:sz w:val="24"/>
        </w:rPr>
      </w:pPr>
    </w:p>
    <w:p w14:paraId="52AB465C" w14:textId="77777777" w:rsidR="00E344DB" w:rsidRDefault="00E344DB" w:rsidP="007D59F6">
      <w:pPr>
        <w:rPr>
          <w:b/>
          <w:bCs/>
          <w:sz w:val="24"/>
        </w:rPr>
      </w:pPr>
    </w:p>
    <w:p w14:paraId="0FB71AEE" w14:textId="77777777" w:rsidR="000C099C" w:rsidRDefault="00E344DB" w:rsidP="00936FEE">
      <w:pPr>
        <w:pStyle w:val="Heading2"/>
      </w:pPr>
      <w:r>
        <w:t xml:space="preserve">11.20 </w:t>
      </w:r>
      <w:r w:rsidR="001803F3">
        <w:t>Late Trading</w:t>
      </w:r>
    </w:p>
    <w:p w14:paraId="7E90D853" w14:textId="77777777" w:rsidR="000C099C" w:rsidRDefault="000C099C" w:rsidP="007D59F6">
      <w:pPr>
        <w:rPr>
          <w:i/>
          <w:iCs/>
          <w:sz w:val="24"/>
        </w:rPr>
      </w:pPr>
      <w:r w:rsidRPr="00EC333E">
        <w:rPr>
          <w:sz w:val="24"/>
        </w:rPr>
        <w:t>FINRA Notice to Members 03-50 states in part:</w:t>
      </w:r>
      <w:r w:rsidRPr="00EC333E">
        <w:rPr>
          <w:i/>
          <w:iCs/>
          <w:sz w:val="24"/>
        </w:rPr>
        <w:t xml:space="preserve">  “It is a violation of FINRA Rule </w:t>
      </w:r>
      <w:r w:rsidR="00BD2579" w:rsidRPr="00126568">
        <w:rPr>
          <w:i/>
          <w:iCs/>
          <w:sz w:val="24"/>
        </w:rPr>
        <w:t>2010</w:t>
      </w:r>
      <w:r w:rsidR="00BD2579" w:rsidRPr="00EC333E">
        <w:rPr>
          <w:i/>
          <w:iCs/>
          <w:sz w:val="24"/>
        </w:rPr>
        <w:t xml:space="preserve"> and</w:t>
      </w:r>
      <w:r w:rsidRPr="00EC333E">
        <w:rPr>
          <w:i/>
          <w:iCs/>
          <w:sz w:val="24"/>
        </w:rPr>
        <w:t xml:space="preserve"> may be a violation of the federal securities laws and FINRA Rule </w:t>
      </w:r>
      <w:r w:rsidR="000A5CA9" w:rsidRPr="00126568">
        <w:rPr>
          <w:i/>
          <w:iCs/>
          <w:sz w:val="24"/>
        </w:rPr>
        <w:t>2020</w:t>
      </w:r>
      <w:r w:rsidRPr="00EC333E">
        <w:rPr>
          <w:i/>
          <w:iCs/>
          <w:sz w:val="24"/>
        </w:rPr>
        <w:t xml:space="preserve">, for member firms and their associated persons to knowingly or recklessly effect mutual fund transactions that are priced based on NAV that is computed prior to the time the order to purchase or redeem was given by the customer. Furthermore, it may be a violation of FINRA Rule </w:t>
      </w:r>
      <w:r w:rsidR="000A5CA9" w:rsidRPr="00126568">
        <w:rPr>
          <w:i/>
          <w:iCs/>
          <w:sz w:val="24"/>
        </w:rPr>
        <w:t>2010</w:t>
      </w:r>
      <w:r w:rsidRPr="00EC333E">
        <w:rPr>
          <w:i/>
          <w:iCs/>
          <w:sz w:val="24"/>
        </w:rPr>
        <w:t xml:space="preserve"> and the federal securities laws to knowingly or recklessly facilitate certain mutual fund transactions, such</w:t>
      </w:r>
      <w:r>
        <w:rPr>
          <w:i/>
          <w:iCs/>
          <w:sz w:val="24"/>
        </w:rPr>
        <w:t xml:space="preserve"> as market timing transactions, in conjunction with, or with the acquiescence of, a mutual fund sponsor, fund administrator, investment adviser, underwriter, or any other affiliated personnel where those other parties acted contrary to a representation made in the prospectus or statement of additional information pursuant to which the mutual fund shares are offered.”</w:t>
      </w:r>
    </w:p>
    <w:p w14:paraId="15C7ED61" w14:textId="77777777" w:rsidR="000C099C" w:rsidRDefault="000C099C" w:rsidP="007D59F6">
      <w:pPr>
        <w:rPr>
          <w:sz w:val="24"/>
        </w:rPr>
      </w:pPr>
    </w:p>
    <w:p w14:paraId="31EA5437" w14:textId="0B35ACDB" w:rsidR="000C099C" w:rsidRDefault="000C099C" w:rsidP="007D59F6">
      <w:pPr>
        <w:rPr>
          <w:sz w:val="24"/>
        </w:rPr>
      </w:pPr>
      <w:r>
        <w:rPr>
          <w:sz w:val="24"/>
        </w:rPr>
        <w:t xml:space="preserve">The clearing firm system does not allow for a late trade input.  The system has internal controls that if a trade is input after the market close, an ALERT message appears stating that the trade has been entered after the close of the market and the trade will be entered the next business day.  </w:t>
      </w:r>
    </w:p>
    <w:p w14:paraId="05ADA1BE" w14:textId="77777777" w:rsidR="000C099C" w:rsidRDefault="000C099C" w:rsidP="007D59F6">
      <w:pPr>
        <w:rPr>
          <w:sz w:val="24"/>
        </w:rPr>
      </w:pPr>
    </w:p>
    <w:p w14:paraId="7122AEBE" w14:textId="1A3D00BF" w:rsidR="000C099C" w:rsidRDefault="000C099C" w:rsidP="007D59F6">
      <w:pPr>
        <w:rPr>
          <w:b/>
          <w:bCs/>
          <w:sz w:val="24"/>
        </w:rPr>
      </w:pPr>
      <w:r>
        <w:rPr>
          <w:sz w:val="24"/>
        </w:rPr>
        <w:t xml:space="preserve">On a daily basis, </w:t>
      </w:r>
      <w:r w:rsidR="00F77EB7" w:rsidRPr="00E94830">
        <w:rPr>
          <w:sz w:val="24"/>
        </w:rPr>
        <w:t xml:space="preserve">Trading/Operations </w:t>
      </w:r>
      <w:r>
        <w:rPr>
          <w:sz w:val="24"/>
        </w:rPr>
        <w:t>reviews mutual fund cancellations and corrections</w:t>
      </w:r>
      <w:r w:rsidR="00485242">
        <w:rPr>
          <w:sz w:val="24"/>
        </w:rPr>
        <w:t>.</w:t>
      </w:r>
      <w:r>
        <w:rPr>
          <w:sz w:val="24"/>
        </w:rPr>
        <w:t xml:space="preserve">  Any questionable activity will be brought to the attention of Morris Monroe and he shall investigate further with said review documented</w:t>
      </w:r>
      <w:r>
        <w:t xml:space="preserve"> </w:t>
      </w:r>
      <w:r>
        <w:rPr>
          <w:sz w:val="24"/>
        </w:rPr>
        <w:t>and initialed.</w:t>
      </w:r>
    </w:p>
    <w:p w14:paraId="5A969C1E" w14:textId="77777777" w:rsidR="000C099C" w:rsidRDefault="000C099C" w:rsidP="007D59F6">
      <w:pPr>
        <w:rPr>
          <w:b/>
          <w:bCs/>
        </w:rPr>
      </w:pPr>
    </w:p>
    <w:p w14:paraId="5EF016B8" w14:textId="77777777" w:rsidR="00E344DB" w:rsidRDefault="00E344DB" w:rsidP="007D59F6">
      <w:pPr>
        <w:tabs>
          <w:tab w:val="left" w:pos="0"/>
        </w:tabs>
        <w:rPr>
          <w:b/>
          <w:bCs/>
          <w:sz w:val="24"/>
        </w:rPr>
      </w:pPr>
    </w:p>
    <w:p w14:paraId="3BA4794B" w14:textId="77777777" w:rsidR="000C099C" w:rsidRDefault="00E344DB" w:rsidP="00936FEE">
      <w:pPr>
        <w:pStyle w:val="Heading2"/>
      </w:pPr>
      <w:r>
        <w:t xml:space="preserve">11.21 </w:t>
      </w:r>
      <w:r w:rsidR="000C099C">
        <w:t>Market Timing</w:t>
      </w:r>
    </w:p>
    <w:p w14:paraId="2FCE1407" w14:textId="77777777" w:rsidR="000C099C" w:rsidRDefault="000C099C" w:rsidP="007D59F6">
      <w:pPr>
        <w:rPr>
          <w:sz w:val="24"/>
        </w:rPr>
      </w:pPr>
      <w:r w:rsidRPr="00EC333E">
        <w:rPr>
          <w:sz w:val="24"/>
        </w:rPr>
        <w:t>FINRA</w:t>
      </w:r>
      <w:r>
        <w:rPr>
          <w:sz w:val="24"/>
        </w:rPr>
        <w:t xml:space="preserve"> Notice to Members 03-50 states the following regarding market timing:</w:t>
      </w:r>
    </w:p>
    <w:p w14:paraId="0FE32BF5" w14:textId="77777777" w:rsidR="000C099C" w:rsidRDefault="000C099C" w:rsidP="007D59F6">
      <w:pPr>
        <w:pStyle w:val="BodyText2"/>
        <w:keepNext/>
        <w:widowControl/>
        <w:rPr>
          <w:i/>
          <w:szCs w:val="24"/>
        </w:rPr>
      </w:pPr>
      <w:r>
        <w:rPr>
          <w:i/>
          <w:szCs w:val="24"/>
        </w:rPr>
        <w:lastRenderedPageBreak/>
        <w:t>“...certain mutual fund companies represent in their prospectuses or SAIs that they engage in practices that are intended to prevent or control market timing transactions. Market timing transactions include mutual fund trades that occur when the purchaser or seller believes that the mutual fund's NAV does not fully reflect the value of the fund's holdings for example, when the fund has in its portfolio particular holdings, such as foreign or thinly traded securities, which are priced on a basis that does not include the most updated information possible. In order to retard the efforts of investors who seek to profit on these pricing inefficiencies by executing mutual fund trades on a day when the NAV likely will not fully reflect the value of a fund's holdings and realizing the profit by trading the next day, some mutual fund companies have implemented measures to counteract the efforts of timers and have represented in their prospectuses or SAIs that they are conducting these measures. Consequently, where the mutual fund company and/or its affiliated persons have represented that they have taken steps to protect investors from market timers, a member firm and its associated persons may not knowingly or recklessly act in conjunction with, or with the acquiescence of, the fund and/or its affiliated persons to undertake, effect, or facilitate a market timing transaction.”</w:t>
      </w:r>
    </w:p>
    <w:p w14:paraId="191A208F" w14:textId="77777777" w:rsidR="000C099C" w:rsidRDefault="000C099C" w:rsidP="007D59F6">
      <w:pPr>
        <w:ind w:right="720"/>
        <w:rPr>
          <w:sz w:val="24"/>
        </w:rPr>
      </w:pPr>
    </w:p>
    <w:p w14:paraId="1A5FDD87" w14:textId="77777777" w:rsidR="000C099C" w:rsidRDefault="000C099C" w:rsidP="007D59F6">
      <w:r>
        <w:rPr>
          <w:sz w:val="24"/>
        </w:rPr>
        <w:t xml:space="preserve">Neither the Company nor its associated persons are permitted to collude with mutual funds and their affiliated persons to circumvent the mutual funds stated procedures. Designated principals or designees will attempt to detect such by reviewing correspondence (including e-mails). Large mutual fund transactions ($1,000,000 and over) will also be reviewed and if the fund experiences a large price change the day following the transaction, the designated principal shall investigate the trade.  The results of the investigation shall be noted on the order ticket, trade journal, or via a memo.  The reviewer shall initial the document that was reviewed and on which a notation was made to evidence their review. If the investigation does not yield a satisfactory answer for the reason and timing of the trade, Morris Monroe shall take appropriate disciplinary action that includes any or a combination </w:t>
      </w:r>
      <w:proofErr w:type="gramStart"/>
      <w:r>
        <w:rPr>
          <w:sz w:val="24"/>
        </w:rPr>
        <w:t>of:</w:t>
      </w:r>
      <w:proofErr w:type="gramEnd"/>
      <w:r>
        <w:rPr>
          <w:sz w:val="24"/>
        </w:rPr>
        <w:t xml:space="preserve">  verbal warning, written warning, fine, suspension, loss of commissions for the trades in question, </w:t>
      </w:r>
      <w:r w:rsidR="007D59F6">
        <w:rPr>
          <w:sz w:val="24"/>
        </w:rPr>
        <w:t xml:space="preserve">or </w:t>
      </w:r>
      <w:r>
        <w:rPr>
          <w:sz w:val="24"/>
        </w:rPr>
        <w:t xml:space="preserve">termination. </w:t>
      </w:r>
    </w:p>
    <w:p w14:paraId="6AC233C5" w14:textId="77777777" w:rsidR="000C099C" w:rsidRDefault="000C099C" w:rsidP="007D59F6">
      <w:pPr>
        <w:tabs>
          <w:tab w:val="left" w:pos="0"/>
        </w:tabs>
        <w:rPr>
          <w:b/>
          <w:bCs/>
          <w:color w:val="FF0000"/>
          <w:sz w:val="24"/>
        </w:rPr>
      </w:pPr>
    </w:p>
    <w:p w14:paraId="37490175" w14:textId="77777777" w:rsidR="00E344DB" w:rsidRDefault="00E344DB" w:rsidP="007D59F6">
      <w:pPr>
        <w:rPr>
          <w:b/>
          <w:sz w:val="24"/>
        </w:rPr>
      </w:pPr>
      <w:bookmarkStart w:id="202" w:name="RedemptionProcMF"/>
      <w:bookmarkEnd w:id="202"/>
    </w:p>
    <w:p w14:paraId="06C9A6C5" w14:textId="77777777" w:rsidR="000C099C" w:rsidRDefault="00E344DB" w:rsidP="00936FEE">
      <w:pPr>
        <w:pStyle w:val="Heading2"/>
      </w:pPr>
      <w:bookmarkStart w:id="203" w:name="_11.22_Redemption_Procedures"/>
      <w:bookmarkEnd w:id="203"/>
      <w:r>
        <w:t xml:space="preserve">11.22 </w:t>
      </w:r>
      <w:r w:rsidR="000C099C">
        <w:t>Redemption Procedures</w:t>
      </w:r>
    </w:p>
    <w:p w14:paraId="010F8F10" w14:textId="77777777" w:rsidR="000C099C" w:rsidRPr="00671FC0" w:rsidRDefault="000C099C" w:rsidP="007D59F6">
      <w:pPr>
        <w:rPr>
          <w:color w:val="000000"/>
          <w:sz w:val="24"/>
        </w:rPr>
      </w:pPr>
      <w:r>
        <w:rPr>
          <w:sz w:val="24"/>
        </w:rPr>
        <w:t xml:space="preserve">Clients whose accounts are held at the fund can redeem shares directly with the mutual </w:t>
      </w:r>
      <w:r w:rsidR="00E5331E">
        <w:rPr>
          <w:sz w:val="24"/>
        </w:rPr>
        <w:t>fund company</w:t>
      </w:r>
      <w:r>
        <w:rPr>
          <w:sz w:val="24"/>
        </w:rPr>
        <w:t xml:space="preserve"> otherwise, if held at </w:t>
      </w:r>
      <w:r w:rsidR="00EB3C96" w:rsidRPr="00E4165F">
        <w:rPr>
          <w:sz w:val="24"/>
        </w:rPr>
        <w:t>Hilltop</w:t>
      </w:r>
      <w:r>
        <w:rPr>
          <w:sz w:val="24"/>
        </w:rPr>
        <w:t xml:space="preserve"> Securities, they may incur a ticket charge for the handling of their redemption transaction.</w:t>
      </w:r>
      <w:r w:rsidR="00E5331E">
        <w:rPr>
          <w:sz w:val="24"/>
        </w:rPr>
        <w:t xml:space="preserve">  </w:t>
      </w:r>
      <w:r w:rsidR="00E5331E" w:rsidRPr="00671FC0">
        <w:rPr>
          <w:color w:val="000000"/>
          <w:sz w:val="24"/>
        </w:rPr>
        <w:t>Redemptions are reviewed daily with all other orders.</w:t>
      </w:r>
    </w:p>
    <w:p w14:paraId="4CF014D4" w14:textId="77777777" w:rsidR="000C099C" w:rsidRDefault="000C099C" w:rsidP="007D59F6"/>
    <w:p w14:paraId="315BF5D0" w14:textId="77777777" w:rsidR="00E344DB" w:rsidRDefault="00E344DB" w:rsidP="007D59F6">
      <w:bookmarkStart w:id="204" w:name="ProspectusDeliveryMF"/>
      <w:bookmarkStart w:id="205" w:name="_Toc153361415"/>
      <w:bookmarkStart w:id="206" w:name="_Toc153361643"/>
      <w:bookmarkEnd w:id="204"/>
    </w:p>
    <w:p w14:paraId="2FF207FA" w14:textId="77777777" w:rsidR="000C099C" w:rsidRDefault="00E344DB" w:rsidP="00936FEE">
      <w:pPr>
        <w:pStyle w:val="Heading2"/>
      </w:pPr>
      <w:bookmarkStart w:id="207" w:name="_11.23_Prospectus_Reviews"/>
      <w:bookmarkEnd w:id="207"/>
      <w:r>
        <w:t xml:space="preserve">11.23 </w:t>
      </w:r>
      <w:r w:rsidR="000C099C">
        <w:t>Prospectus Reviews and Delivery</w:t>
      </w:r>
      <w:bookmarkEnd w:id="205"/>
      <w:bookmarkEnd w:id="206"/>
    </w:p>
    <w:p w14:paraId="7328CC5F" w14:textId="77777777" w:rsidR="000C099C" w:rsidRPr="00E344DB" w:rsidRDefault="000C099C" w:rsidP="007D59F6">
      <w:pPr>
        <w:rPr>
          <w:sz w:val="24"/>
          <w:szCs w:val="24"/>
        </w:rPr>
      </w:pPr>
      <w:bookmarkStart w:id="208" w:name="_Toc153361416"/>
      <w:bookmarkStart w:id="209" w:name="_Toc153361644"/>
      <w:r w:rsidRPr="00E344DB">
        <w:rPr>
          <w:sz w:val="24"/>
          <w:szCs w:val="24"/>
        </w:rPr>
        <w:t>Most mutual funds are "open ended" which means that new shares are continuously being issued by the fund company at the public offering price.  Consequently, these mutual fund shares are considered new issue securities and a prospectus must be delivered to all customers buying shares of the fund before the transactions settle.  Morris Monroe or the designated supervisor will review prospectuses on an ongoing basis to ensure current issues are being delivered and outdated prospectuses are destroyed</w:t>
      </w:r>
      <w:r w:rsidR="0030169F">
        <w:rPr>
          <w:sz w:val="24"/>
          <w:szCs w:val="24"/>
        </w:rPr>
        <w:t xml:space="preserve"> </w:t>
      </w:r>
      <w:r w:rsidR="0030169F" w:rsidRPr="00217738">
        <w:rPr>
          <w:sz w:val="24"/>
          <w:szCs w:val="24"/>
        </w:rPr>
        <w:t>that may be maintained at the home office</w:t>
      </w:r>
      <w:r w:rsidRPr="00E344DB">
        <w:rPr>
          <w:sz w:val="24"/>
          <w:szCs w:val="24"/>
        </w:rPr>
        <w:t>.</w:t>
      </w:r>
      <w:bookmarkEnd w:id="208"/>
      <w:bookmarkEnd w:id="209"/>
    </w:p>
    <w:p w14:paraId="7F354E72" w14:textId="77777777" w:rsidR="000C099C" w:rsidRPr="00E344DB" w:rsidRDefault="000C099C" w:rsidP="007D59F6">
      <w:pPr>
        <w:rPr>
          <w:sz w:val="24"/>
          <w:szCs w:val="24"/>
        </w:rPr>
      </w:pPr>
    </w:p>
    <w:p w14:paraId="3B0F6805" w14:textId="77777777" w:rsidR="00E344DB" w:rsidRPr="00E344DB" w:rsidRDefault="00E344DB" w:rsidP="007D59F6">
      <w:pPr>
        <w:rPr>
          <w:sz w:val="24"/>
          <w:szCs w:val="24"/>
        </w:rPr>
      </w:pPr>
      <w:bookmarkStart w:id="210" w:name="MFReviews"/>
      <w:bookmarkStart w:id="211" w:name="_Toc153361417"/>
      <w:bookmarkStart w:id="212" w:name="_Toc153361645"/>
      <w:bookmarkEnd w:id="210"/>
    </w:p>
    <w:p w14:paraId="5916645A" w14:textId="77777777" w:rsidR="000C099C" w:rsidRDefault="00E344DB" w:rsidP="00936FEE">
      <w:pPr>
        <w:pStyle w:val="Heading2"/>
      </w:pPr>
      <w:r>
        <w:t xml:space="preserve">11.24 </w:t>
      </w:r>
      <w:r w:rsidR="000C099C">
        <w:t>Non-Cash Compensation</w:t>
      </w:r>
      <w:bookmarkEnd w:id="211"/>
      <w:bookmarkEnd w:id="212"/>
      <w:r w:rsidR="000C099C">
        <w:t xml:space="preserve">  </w:t>
      </w:r>
    </w:p>
    <w:p w14:paraId="4B14B70C" w14:textId="77777777" w:rsidR="000C099C" w:rsidRDefault="000C099C" w:rsidP="007D59F6">
      <w:pPr>
        <w:tabs>
          <w:tab w:val="left" w:pos="576"/>
          <w:tab w:val="left" w:pos="720"/>
          <w:tab w:val="left" w:pos="1584"/>
          <w:tab w:val="left" w:pos="2592"/>
          <w:tab w:val="left" w:pos="7200"/>
        </w:tabs>
        <w:rPr>
          <w:sz w:val="24"/>
        </w:rPr>
      </w:pPr>
      <w:r>
        <w:rPr>
          <w:sz w:val="24"/>
        </w:rPr>
        <w:t xml:space="preserve">It shall be the responsibility of Morris Monroe to review all compensation arrangements with mutual fund sponsors </w:t>
      </w:r>
      <w:r w:rsidR="00BD2579">
        <w:rPr>
          <w:sz w:val="24"/>
        </w:rPr>
        <w:t>to ensure that</w:t>
      </w:r>
      <w:r>
        <w:rPr>
          <w:sz w:val="24"/>
        </w:rPr>
        <w:t xml:space="preserve"> they meet the following compensation requirements and restrictions on non-cash compensation arrangements.</w:t>
      </w:r>
    </w:p>
    <w:p w14:paraId="74BF25D7" w14:textId="77777777" w:rsidR="000C099C" w:rsidRDefault="000C099C" w:rsidP="007D59F6">
      <w:pPr>
        <w:spacing w:before="60" w:after="60"/>
        <w:ind w:left="864"/>
        <w:rPr>
          <w:snapToGrid w:val="0"/>
          <w:sz w:val="24"/>
        </w:rPr>
      </w:pPr>
      <w:r>
        <w:rPr>
          <w:snapToGrid w:val="0"/>
          <w:sz w:val="24"/>
        </w:rPr>
        <w:lastRenderedPageBreak/>
        <w:t xml:space="preserve">(1) Except as described below, no associated person of the Company shall accept any compensation from anyone other than the Company. This requirement will not prohibit arrangements where </w:t>
      </w:r>
      <w:r w:rsidR="00B143BE">
        <w:rPr>
          <w:snapToGrid w:val="0"/>
          <w:sz w:val="24"/>
        </w:rPr>
        <w:t>non</w:t>
      </w:r>
      <w:r>
        <w:rPr>
          <w:snapToGrid w:val="0"/>
          <w:sz w:val="24"/>
        </w:rPr>
        <w:t xml:space="preserve">-member company pays compensation directly to </w:t>
      </w:r>
      <w:r w:rsidR="00234ABC">
        <w:rPr>
          <w:snapToGrid w:val="0"/>
          <w:sz w:val="24"/>
        </w:rPr>
        <w:t>A</w:t>
      </w:r>
      <w:r>
        <w:rPr>
          <w:snapToGrid w:val="0"/>
          <w:sz w:val="24"/>
        </w:rPr>
        <w:t xml:space="preserve">ssociated </w:t>
      </w:r>
      <w:r w:rsidR="00234ABC">
        <w:rPr>
          <w:snapToGrid w:val="0"/>
          <w:sz w:val="24"/>
        </w:rPr>
        <w:t>P</w:t>
      </w:r>
      <w:r>
        <w:rPr>
          <w:snapToGrid w:val="0"/>
          <w:sz w:val="24"/>
        </w:rPr>
        <w:t xml:space="preserve">ersons of the </w:t>
      </w:r>
      <w:r w:rsidR="00E5331E">
        <w:rPr>
          <w:snapToGrid w:val="0"/>
          <w:sz w:val="24"/>
        </w:rPr>
        <w:t>Company,</w:t>
      </w:r>
      <w:r>
        <w:rPr>
          <w:snapToGrid w:val="0"/>
          <w:sz w:val="24"/>
        </w:rPr>
        <w:t xml:space="preserve"> provided that:</w:t>
      </w:r>
    </w:p>
    <w:p w14:paraId="641BAB2E" w14:textId="77777777" w:rsidR="000C099C" w:rsidRDefault="00B143BE" w:rsidP="007D59F6">
      <w:pPr>
        <w:spacing w:before="60" w:after="60"/>
        <w:ind w:left="1296"/>
        <w:rPr>
          <w:snapToGrid w:val="0"/>
          <w:sz w:val="24"/>
        </w:rPr>
      </w:pPr>
      <w:r>
        <w:rPr>
          <w:snapToGrid w:val="0"/>
          <w:sz w:val="24"/>
        </w:rPr>
        <w:t>(A) T</w:t>
      </w:r>
      <w:r w:rsidR="000C099C">
        <w:rPr>
          <w:snapToGrid w:val="0"/>
          <w:sz w:val="24"/>
        </w:rPr>
        <w:t xml:space="preserve">he arrangement is agreed to by the </w:t>
      </w:r>
      <w:r w:rsidR="00E5331E">
        <w:rPr>
          <w:snapToGrid w:val="0"/>
          <w:sz w:val="24"/>
        </w:rPr>
        <w:t>Company;</w:t>
      </w:r>
      <w:r w:rsidR="000C099C">
        <w:rPr>
          <w:snapToGrid w:val="0"/>
          <w:sz w:val="24"/>
        </w:rPr>
        <w:t xml:space="preserve"> </w:t>
      </w:r>
    </w:p>
    <w:p w14:paraId="1482EA24" w14:textId="77777777" w:rsidR="000C099C" w:rsidRDefault="000C099C" w:rsidP="007D59F6">
      <w:pPr>
        <w:spacing w:before="60" w:after="60"/>
        <w:ind w:left="1296"/>
        <w:rPr>
          <w:snapToGrid w:val="0"/>
          <w:sz w:val="24"/>
        </w:rPr>
      </w:pPr>
      <w:r>
        <w:rPr>
          <w:snapToGrid w:val="0"/>
          <w:sz w:val="24"/>
        </w:rPr>
        <w:t xml:space="preserve">(B) </w:t>
      </w:r>
      <w:r w:rsidR="00B143BE">
        <w:rPr>
          <w:snapToGrid w:val="0"/>
          <w:sz w:val="24"/>
        </w:rPr>
        <w:t>The</w:t>
      </w:r>
      <w:r>
        <w:rPr>
          <w:snapToGrid w:val="0"/>
          <w:sz w:val="24"/>
        </w:rPr>
        <w:t xml:space="preserve"> </w:t>
      </w:r>
      <w:r w:rsidR="00E5331E">
        <w:rPr>
          <w:snapToGrid w:val="0"/>
          <w:sz w:val="24"/>
        </w:rPr>
        <w:t>Company relies</w:t>
      </w:r>
      <w:r>
        <w:rPr>
          <w:snapToGrid w:val="0"/>
          <w:sz w:val="24"/>
        </w:rPr>
        <w:t xml:space="preserve"> on an appropriate rule, regulation, interpretive release, interpretive letter, or "no-action" letter issued by the Commission or its staff that applies to the specific fact situation of the arrangement;</w:t>
      </w:r>
    </w:p>
    <w:p w14:paraId="7D5D262A" w14:textId="77777777" w:rsidR="000C099C" w:rsidRDefault="00B143BE" w:rsidP="007D59F6">
      <w:pPr>
        <w:spacing w:before="60" w:after="60"/>
        <w:ind w:left="1296"/>
        <w:rPr>
          <w:snapToGrid w:val="0"/>
          <w:sz w:val="24"/>
        </w:rPr>
      </w:pPr>
      <w:r>
        <w:rPr>
          <w:snapToGrid w:val="0"/>
          <w:sz w:val="24"/>
        </w:rPr>
        <w:t>(C) The</w:t>
      </w:r>
      <w:r w:rsidR="000C099C">
        <w:rPr>
          <w:snapToGrid w:val="0"/>
          <w:sz w:val="24"/>
        </w:rPr>
        <w:t xml:space="preserve"> receipt</w:t>
      </w:r>
      <w:r w:rsidR="00234ABC">
        <w:rPr>
          <w:snapToGrid w:val="0"/>
          <w:sz w:val="24"/>
        </w:rPr>
        <w:t xml:space="preserve"> by Associated P</w:t>
      </w:r>
      <w:r w:rsidR="000C099C">
        <w:rPr>
          <w:snapToGrid w:val="0"/>
          <w:sz w:val="24"/>
        </w:rPr>
        <w:t xml:space="preserve">ersons of such compensation is treated as compensation received by the </w:t>
      </w:r>
      <w:r w:rsidR="00E5331E">
        <w:rPr>
          <w:snapToGrid w:val="0"/>
          <w:sz w:val="24"/>
        </w:rPr>
        <w:t>Company for</w:t>
      </w:r>
      <w:r w:rsidR="000C099C">
        <w:rPr>
          <w:snapToGrid w:val="0"/>
          <w:sz w:val="24"/>
        </w:rPr>
        <w:t xml:space="preserve"> purposes of the Rules of the Association; and</w:t>
      </w:r>
    </w:p>
    <w:p w14:paraId="798E1736" w14:textId="77777777" w:rsidR="000C099C" w:rsidRDefault="000C099C" w:rsidP="007D59F6">
      <w:pPr>
        <w:spacing w:before="60" w:after="60"/>
        <w:ind w:left="1296"/>
        <w:rPr>
          <w:snapToGrid w:val="0"/>
          <w:sz w:val="24"/>
        </w:rPr>
      </w:pPr>
      <w:r>
        <w:rPr>
          <w:snapToGrid w:val="0"/>
          <w:sz w:val="24"/>
        </w:rPr>
        <w:t xml:space="preserve">(D) </w:t>
      </w:r>
      <w:r w:rsidR="00B143BE">
        <w:rPr>
          <w:snapToGrid w:val="0"/>
          <w:sz w:val="24"/>
        </w:rPr>
        <w:t>The</w:t>
      </w:r>
      <w:r>
        <w:rPr>
          <w:snapToGrid w:val="0"/>
          <w:sz w:val="24"/>
        </w:rPr>
        <w:t xml:space="preserve"> record keeping requirement in paragraph (3) is satisfied.</w:t>
      </w:r>
    </w:p>
    <w:p w14:paraId="5B1D597E" w14:textId="77777777" w:rsidR="000C099C" w:rsidRDefault="000C099C" w:rsidP="007D59F6">
      <w:pPr>
        <w:spacing w:before="60" w:after="60"/>
        <w:ind w:left="864"/>
        <w:rPr>
          <w:snapToGrid w:val="0"/>
          <w:sz w:val="24"/>
        </w:rPr>
      </w:pPr>
      <w:r>
        <w:rPr>
          <w:snapToGrid w:val="0"/>
          <w:sz w:val="24"/>
        </w:rPr>
        <w:t xml:space="preserve">(2) No member or person associated with the Company shall accept any compensation from an offeror which is in the form of securities of any kind. </w:t>
      </w:r>
    </w:p>
    <w:p w14:paraId="0FFF1FC0" w14:textId="77777777" w:rsidR="000C099C" w:rsidRDefault="000C099C" w:rsidP="007D59F6">
      <w:pPr>
        <w:spacing w:before="60" w:after="60"/>
        <w:ind w:left="864"/>
        <w:rPr>
          <w:snapToGrid w:val="0"/>
          <w:sz w:val="24"/>
        </w:rPr>
      </w:pPr>
      <w:r>
        <w:rPr>
          <w:snapToGrid w:val="0"/>
          <w:sz w:val="24"/>
        </w:rPr>
        <w:t xml:space="preserve">(3) Except for items described in subparagraphs (5)(A) and (B), the Company  shall maintain records of all compensation received by the Company  or its </w:t>
      </w:r>
      <w:r w:rsidR="00234ABC">
        <w:rPr>
          <w:snapToGrid w:val="0"/>
          <w:sz w:val="24"/>
        </w:rPr>
        <w:t>A</w:t>
      </w:r>
      <w:r>
        <w:rPr>
          <w:snapToGrid w:val="0"/>
          <w:sz w:val="24"/>
        </w:rPr>
        <w:t xml:space="preserve">ssociated </w:t>
      </w:r>
      <w:r w:rsidR="00234ABC">
        <w:rPr>
          <w:snapToGrid w:val="0"/>
          <w:sz w:val="24"/>
        </w:rPr>
        <w:t>P</w:t>
      </w:r>
      <w:r>
        <w:rPr>
          <w:snapToGrid w:val="0"/>
          <w:sz w:val="24"/>
        </w:rPr>
        <w:t xml:space="preserve">ersons from offerors. The records shall include the names of the offerors, the names of the </w:t>
      </w:r>
      <w:r w:rsidR="00234ABC">
        <w:rPr>
          <w:snapToGrid w:val="0"/>
          <w:sz w:val="24"/>
        </w:rPr>
        <w:t>A</w:t>
      </w:r>
      <w:r>
        <w:rPr>
          <w:snapToGrid w:val="0"/>
          <w:sz w:val="24"/>
        </w:rPr>
        <w:t xml:space="preserve">ssociated </w:t>
      </w:r>
      <w:r w:rsidR="00234ABC">
        <w:rPr>
          <w:snapToGrid w:val="0"/>
          <w:sz w:val="24"/>
        </w:rPr>
        <w:t>P</w:t>
      </w:r>
      <w:r>
        <w:rPr>
          <w:snapToGrid w:val="0"/>
          <w:sz w:val="24"/>
        </w:rPr>
        <w:t>ersons, the amount of cash, the nature and, if known, the value of non-cash compensation received.</w:t>
      </w:r>
    </w:p>
    <w:p w14:paraId="4971CE95" w14:textId="77777777" w:rsidR="000C099C" w:rsidRDefault="000C099C" w:rsidP="007D59F6">
      <w:pPr>
        <w:spacing w:before="60" w:after="60"/>
        <w:ind w:left="864"/>
        <w:rPr>
          <w:snapToGrid w:val="0"/>
          <w:sz w:val="24"/>
        </w:rPr>
      </w:pPr>
      <w:r>
        <w:rPr>
          <w:snapToGrid w:val="0"/>
          <w:sz w:val="24"/>
        </w:rPr>
        <w:t>(4) The Company shall not accept any cash compensation from an offeror unless such compensation is described in a current prospectus of the investment company. When special cash compensation arrangements are made available by an offeror to the Company, which arrangements are not made available on the same terms to all members who distribute the investment company securities of the offeror, the Company shall not enter into such arrangements unless the name of the Company and the details of the arrangements are disclosed in the prospectus. Prospectus disclosure requirements shall not apply to cash compensation arrangements between:</w:t>
      </w:r>
    </w:p>
    <w:p w14:paraId="2E0F0F0F" w14:textId="77777777" w:rsidR="000C099C" w:rsidRDefault="000C099C" w:rsidP="007D59F6">
      <w:pPr>
        <w:spacing w:before="60" w:after="60"/>
        <w:ind w:left="1296"/>
        <w:rPr>
          <w:snapToGrid w:val="0"/>
          <w:sz w:val="24"/>
        </w:rPr>
      </w:pPr>
      <w:r>
        <w:rPr>
          <w:snapToGrid w:val="0"/>
          <w:sz w:val="24"/>
        </w:rPr>
        <w:t xml:space="preserve">(A) </w:t>
      </w:r>
      <w:r w:rsidR="0043267C">
        <w:rPr>
          <w:snapToGrid w:val="0"/>
          <w:sz w:val="24"/>
        </w:rPr>
        <w:t>Principal</w:t>
      </w:r>
      <w:r>
        <w:rPr>
          <w:snapToGrid w:val="0"/>
          <w:sz w:val="24"/>
        </w:rPr>
        <w:t xml:space="preserve"> underwriters of the same security; and</w:t>
      </w:r>
    </w:p>
    <w:p w14:paraId="12C17FA1" w14:textId="77777777" w:rsidR="000C099C" w:rsidRDefault="000C099C" w:rsidP="007D59F6">
      <w:pPr>
        <w:spacing w:before="60" w:after="60"/>
        <w:ind w:left="1296"/>
        <w:rPr>
          <w:snapToGrid w:val="0"/>
          <w:sz w:val="24"/>
        </w:rPr>
      </w:pPr>
      <w:r>
        <w:rPr>
          <w:snapToGrid w:val="0"/>
          <w:sz w:val="24"/>
        </w:rPr>
        <w:t xml:space="preserve">(B) </w:t>
      </w:r>
      <w:r w:rsidR="0043267C">
        <w:rPr>
          <w:snapToGrid w:val="0"/>
          <w:sz w:val="24"/>
        </w:rPr>
        <w:t>The</w:t>
      </w:r>
      <w:r>
        <w:rPr>
          <w:snapToGrid w:val="0"/>
          <w:sz w:val="24"/>
        </w:rPr>
        <w:t xml:space="preserve"> principal underwriter of a security and the sponsor of a unit investment trust which utilizes such security as its underlying investment.</w:t>
      </w:r>
    </w:p>
    <w:p w14:paraId="2449FA6A" w14:textId="77777777" w:rsidR="000C099C" w:rsidRDefault="000C099C" w:rsidP="007D59F6">
      <w:pPr>
        <w:spacing w:before="60" w:after="60"/>
        <w:ind w:left="864"/>
        <w:rPr>
          <w:snapToGrid w:val="0"/>
          <w:sz w:val="24"/>
        </w:rPr>
      </w:pPr>
      <w:r>
        <w:rPr>
          <w:snapToGrid w:val="0"/>
          <w:sz w:val="24"/>
        </w:rPr>
        <w:t>(5) No member or person associated with the Company shall directly or indirectly accept or make payments or offers of payments of any non-cash compensation, except as provided in this provision. Notwithstanding the provisions of subparagraph (1), the following non-cash compensation arrangements are permitted:</w:t>
      </w:r>
    </w:p>
    <w:p w14:paraId="45186D74" w14:textId="77777777" w:rsidR="000C099C" w:rsidRDefault="000C099C" w:rsidP="007D59F6">
      <w:pPr>
        <w:spacing w:before="60" w:after="60"/>
        <w:ind w:left="1296"/>
        <w:rPr>
          <w:snapToGrid w:val="0"/>
          <w:sz w:val="24"/>
        </w:rPr>
      </w:pPr>
      <w:r>
        <w:rPr>
          <w:snapToGrid w:val="0"/>
          <w:sz w:val="24"/>
        </w:rPr>
        <w:t>(A) Gifts that do not exceed an annual amount per person fixed periodically by the Association</w:t>
      </w:r>
      <w:r>
        <w:rPr>
          <w:snapToGrid w:val="0"/>
          <w:sz w:val="24"/>
          <w:vertAlign w:val="superscript"/>
        </w:rPr>
        <w:t xml:space="preserve"> </w:t>
      </w:r>
      <w:r>
        <w:rPr>
          <w:snapToGrid w:val="0"/>
          <w:sz w:val="24"/>
        </w:rPr>
        <w:t>and are not preconditioned on achievement of a sales target.</w:t>
      </w:r>
    </w:p>
    <w:p w14:paraId="552BD6C7" w14:textId="77777777" w:rsidR="000C099C" w:rsidRDefault="000C099C" w:rsidP="007D59F6">
      <w:pPr>
        <w:spacing w:before="60" w:after="60"/>
        <w:ind w:left="1296"/>
        <w:rPr>
          <w:snapToGrid w:val="0"/>
          <w:sz w:val="24"/>
        </w:rPr>
      </w:pPr>
      <w:r>
        <w:rPr>
          <w:snapToGrid w:val="0"/>
          <w:sz w:val="24"/>
        </w:rPr>
        <w:t>(B) An occasional meal, a ticket to a sporting event or the theater, or comparable entertainment which is neither so frequent nor so extensive as to raise any question of propriety and is not preconditioned on achievement of a sales target.</w:t>
      </w:r>
    </w:p>
    <w:p w14:paraId="0DDB6FC1" w14:textId="77777777" w:rsidR="000C099C" w:rsidRDefault="000C099C" w:rsidP="007D59F6">
      <w:pPr>
        <w:spacing w:before="60" w:after="60"/>
        <w:ind w:left="1296"/>
        <w:rPr>
          <w:snapToGrid w:val="0"/>
          <w:sz w:val="24"/>
        </w:rPr>
      </w:pPr>
      <w:r>
        <w:rPr>
          <w:snapToGrid w:val="0"/>
          <w:sz w:val="24"/>
        </w:rPr>
        <w:t xml:space="preserve">(C) Payment or reimbursement by offerors in connection with meetings held by an offeror or by the Company for the purpose of training or education of </w:t>
      </w:r>
      <w:r w:rsidR="00234ABC">
        <w:rPr>
          <w:snapToGrid w:val="0"/>
          <w:sz w:val="24"/>
        </w:rPr>
        <w:t>A</w:t>
      </w:r>
      <w:r>
        <w:rPr>
          <w:snapToGrid w:val="0"/>
          <w:sz w:val="24"/>
        </w:rPr>
        <w:t xml:space="preserve">ssociated </w:t>
      </w:r>
      <w:r w:rsidR="00234ABC">
        <w:rPr>
          <w:snapToGrid w:val="0"/>
          <w:sz w:val="24"/>
        </w:rPr>
        <w:t>P</w:t>
      </w:r>
      <w:r>
        <w:rPr>
          <w:snapToGrid w:val="0"/>
          <w:sz w:val="24"/>
        </w:rPr>
        <w:t>ersons of the Company, provided that:</w:t>
      </w:r>
    </w:p>
    <w:p w14:paraId="365B0253" w14:textId="77777777" w:rsidR="000C099C" w:rsidRDefault="0038489F" w:rsidP="007D59F6">
      <w:pPr>
        <w:spacing w:before="60" w:after="60"/>
        <w:rPr>
          <w:snapToGrid w:val="0"/>
          <w:sz w:val="24"/>
        </w:rPr>
      </w:pPr>
      <w:r>
        <w:rPr>
          <w:snapToGrid w:val="0"/>
          <w:sz w:val="24"/>
        </w:rPr>
        <w:t xml:space="preserve">                             </w:t>
      </w:r>
      <w:r w:rsidR="000C099C">
        <w:rPr>
          <w:snapToGrid w:val="0"/>
          <w:sz w:val="24"/>
        </w:rPr>
        <w:t>(</w:t>
      </w:r>
      <w:proofErr w:type="spellStart"/>
      <w:r w:rsidR="000C099C">
        <w:rPr>
          <w:snapToGrid w:val="0"/>
          <w:sz w:val="24"/>
        </w:rPr>
        <w:t>i</w:t>
      </w:r>
      <w:proofErr w:type="spellEnd"/>
      <w:r w:rsidR="000C099C">
        <w:rPr>
          <w:snapToGrid w:val="0"/>
          <w:sz w:val="24"/>
        </w:rPr>
        <w:t xml:space="preserve">) </w:t>
      </w:r>
      <w:r w:rsidR="0043267C">
        <w:rPr>
          <w:snapToGrid w:val="0"/>
          <w:sz w:val="24"/>
        </w:rPr>
        <w:t>The</w:t>
      </w:r>
      <w:r w:rsidR="000C099C">
        <w:rPr>
          <w:snapToGrid w:val="0"/>
          <w:sz w:val="24"/>
        </w:rPr>
        <w:t xml:space="preserve"> record keeping requirement in paragraph (l)(3) is satisfied;</w:t>
      </w:r>
    </w:p>
    <w:p w14:paraId="5C75015E" w14:textId="77777777" w:rsidR="000C099C" w:rsidRDefault="0038489F" w:rsidP="007D59F6">
      <w:pPr>
        <w:spacing w:before="60" w:after="60"/>
        <w:ind w:left="2070"/>
        <w:rPr>
          <w:snapToGrid w:val="0"/>
          <w:sz w:val="24"/>
        </w:rPr>
      </w:pPr>
      <w:r>
        <w:rPr>
          <w:snapToGrid w:val="0"/>
          <w:sz w:val="24"/>
        </w:rPr>
        <w:t>(ii) A</w:t>
      </w:r>
      <w:r w:rsidR="000C099C">
        <w:rPr>
          <w:snapToGrid w:val="0"/>
          <w:sz w:val="24"/>
        </w:rPr>
        <w:t xml:space="preserve">ssociated </w:t>
      </w:r>
      <w:r>
        <w:rPr>
          <w:snapToGrid w:val="0"/>
          <w:sz w:val="24"/>
        </w:rPr>
        <w:t>P</w:t>
      </w:r>
      <w:r w:rsidR="000C099C">
        <w:rPr>
          <w:snapToGrid w:val="0"/>
          <w:sz w:val="24"/>
        </w:rPr>
        <w:t xml:space="preserve">ersons obtain the Company's prior approval to attend the meeting and attendance by the Company's </w:t>
      </w:r>
      <w:r>
        <w:rPr>
          <w:snapToGrid w:val="0"/>
          <w:sz w:val="24"/>
        </w:rPr>
        <w:t>Associated P</w:t>
      </w:r>
      <w:r w:rsidR="000C099C">
        <w:rPr>
          <w:snapToGrid w:val="0"/>
          <w:sz w:val="24"/>
        </w:rPr>
        <w:t xml:space="preserve">ersons is not preconditioned by the Company  on the achievement of a sales target or </w:t>
      </w:r>
      <w:r w:rsidR="000C099C">
        <w:rPr>
          <w:snapToGrid w:val="0"/>
          <w:sz w:val="24"/>
        </w:rPr>
        <w:lastRenderedPageBreak/>
        <w:t>any other incentives pursuant to a non-cash compensation arrangement permitted by paragraph (l)(5)(D);</w:t>
      </w:r>
    </w:p>
    <w:p w14:paraId="0FC25D7A" w14:textId="77777777" w:rsidR="000C099C" w:rsidRDefault="000C099C" w:rsidP="007D59F6">
      <w:pPr>
        <w:spacing w:before="60" w:after="60"/>
        <w:ind w:left="2070"/>
        <w:rPr>
          <w:snapToGrid w:val="0"/>
          <w:sz w:val="24"/>
        </w:rPr>
      </w:pPr>
      <w:r>
        <w:rPr>
          <w:snapToGrid w:val="0"/>
          <w:sz w:val="24"/>
        </w:rPr>
        <w:t xml:space="preserve">(iii) </w:t>
      </w:r>
      <w:r w:rsidR="0043267C">
        <w:rPr>
          <w:snapToGrid w:val="0"/>
          <w:sz w:val="24"/>
        </w:rPr>
        <w:t>The</w:t>
      </w:r>
      <w:r>
        <w:rPr>
          <w:snapToGrid w:val="0"/>
          <w:sz w:val="24"/>
        </w:rPr>
        <w:t xml:space="preserve"> location is appropriate to the purpose of the meeting, which shall mean an office of the offeror or the Company, or a facility located in the vicinity of such office, or a regional location with respect to regional meetings; </w:t>
      </w:r>
    </w:p>
    <w:p w14:paraId="2E88BB22" w14:textId="77777777" w:rsidR="000C099C" w:rsidRDefault="000C099C" w:rsidP="007D59F6">
      <w:pPr>
        <w:spacing w:before="60" w:after="60"/>
        <w:ind w:left="2070"/>
        <w:rPr>
          <w:snapToGrid w:val="0"/>
          <w:sz w:val="24"/>
        </w:rPr>
      </w:pPr>
      <w:r>
        <w:rPr>
          <w:snapToGrid w:val="0"/>
          <w:sz w:val="24"/>
        </w:rPr>
        <w:t xml:space="preserve">(iv) </w:t>
      </w:r>
      <w:r w:rsidR="0043267C">
        <w:rPr>
          <w:snapToGrid w:val="0"/>
          <w:sz w:val="24"/>
        </w:rPr>
        <w:t>The</w:t>
      </w:r>
      <w:r>
        <w:rPr>
          <w:snapToGrid w:val="0"/>
          <w:sz w:val="24"/>
        </w:rPr>
        <w:t xml:space="preserve"> payment or reimbursement is not applied to the expenses of guests of the associated person; and</w:t>
      </w:r>
    </w:p>
    <w:p w14:paraId="4E7FC877" w14:textId="77777777" w:rsidR="000C099C" w:rsidRDefault="000C099C" w:rsidP="007D59F6">
      <w:pPr>
        <w:spacing w:before="60" w:after="60"/>
        <w:ind w:left="2070"/>
        <w:rPr>
          <w:snapToGrid w:val="0"/>
          <w:sz w:val="24"/>
        </w:rPr>
      </w:pPr>
      <w:r>
        <w:rPr>
          <w:snapToGrid w:val="0"/>
          <w:sz w:val="24"/>
        </w:rPr>
        <w:t xml:space="preserve">(v) </w:t>
      </w:r>
      <w:r w:rsidR="0043267C">
        <w:rPr>
          <w:snapToGrid w:val="0"/>
          <w:sz w:val="24"/>
        </w:rPr>
        <w:t>The</w:t>
      </w:r>
      <w:r>
        <w:rPr>
          <w:snapToGrid w:val="0"/>
          <w:sz w:val="24"/>
        </w:rPr>
        <w:t xml:space="preserve"> payment or reimbursement by the offeror is not preconditioned by the offeror on the achievement of a sales target or any other non-cash compensation arrangement permitted by paragraph (5)(D).</w:t>
      </w:r>
    </w:p>
    <w:p w14:paraId="173A5127" w14:textId="77777777" w:rsidR="000C099C" w:rsidRDefault="000C099C" w:rsidP="007D59F6">
      <w:pPr>
        <w:spacing w:before="60" w:after="60"/>
        <w:ind w:left="1296"/>
        <w:rPr>
          <w:snapToGrid w:val="0"/>
          <w:sz w:val="24"/>
        </w:rPr>
      </w:pPr>
      <w:r>
        <w:rPr>
          <w:snapToGrid w:val="0"/>
          <w:sz w:val="24"/>
        </w:rPr>
        <w:t xml:space="preserve">(D) Non-cash compensation arrangements between the Company and its </w:t>
      </w:r>
      <w:r w:rsidR="00427DF0">
        <w:rPr>
          <w:snapToGrid w:val="0"/>
          <w:sz w:val="24"/>
        </w:rPr>
        <w:t>A</w:t>
      </w:r>
      <w:r>
        <w:rPr>
          <w:snapToGrid w:val="0"/>
          <w:sz w:val="24"/>
        </w:rPr>
        <w:t xml:space="preserve">ssociated </w:t>
      </w:r>
      <w:r w:rsidR="00427DF0">
        <w:rPr>
          <w:snapToGrid w:val="0"/>
          <w:sz w:val="24"/>
        </w:rPr>
        <w:t>P</w:t>
      </w:r>
      <w:r>
        <w:rPr>
          <w:snapToGrid w:val="0"/>
          <w:sz w:val="24"/>
        </w:rPr>
        <w:t>ersons or a non-member company and its sales personnel who are associated persons of an affiliated member, provided that:</w:t>
      </w:r>
    </w:p>
    <w:p w14:paraId="3348096E" w14:textId="77777777" w:rsidR="000C099C" w:rsidRDefault="000C099C" w:rsidP="007D59F6">
      <w:pPr>
        <w:spacing w:before="60" w:after="60"/>
        <w:ind w:left="1728"/>
        <w:rPr>
          <w:snapToGrid w:val="0"/>
          <w:sz w:val="24"/>
        </w:rPr>
      </w:pPr>
      <w:r>
        <w:rPr>
          <w:snapToGrid w:val="0"/>
          <w:sz w:val="24"/>
        </w:rPr>
        <w:t>(</w:t>
      </w:r>
      <w:proofErr w:type="spellStart"/>
      <w:r>
        <w:rPr>
          <w:snapToGrid w:val="0"/>
          <w:sz w:val="24"/>
        </w:rPr>
        <w:t>i</w:t>
      </w:r>
      <w:proofErr w:type="spellEnd"/>
      <w:r>
        <w:rPr>
          <w:snapToGrid w:val="0"/>
          <w:sz w:val="24"/>
        </w:rPr>
        <w:t xml:space="preserve">) </w:t>
      </w:r>
      <w:r w:rsidR="0043267C">
        <w:rPr>
          <w:snapToGrid w:val="0"/>
          <w:sz w:val="24"/>
        </w:rPr>
        <w:t>The</w:t>
      </w:r>
      <w:r>
        <w:rPr>
          <w:snapToGrid w:val="0"/>
          <w:sz w:val="24"/>
        </w:rPr>
        <w:t xml:space="preserve"> </w:t>
      </w:r>
      <w:r w:rsidR="00965C46">
        <w:rPr>
          <w:snapToGrid w:val="0"/>
          <w:sz w:val="24"/>
        </w:rPr>
        <w:t>Company’s</w:t>
      </w:r>
      <w:r>
        <w:rPr>
          <w:snapToGrid w:val="0"/>
          <w:sz w:val="24"/>
        </w:rPr>
        <w:t xml:space="preserve"> or non-member's non-cash compensation arrangement, if it includes investment company securities, is based on the total production of associated persons with respect to all investment company securities distributed by the </w:t>
      </w:r>
      <w:r w:rsidR="00612826">
        <w:rPr>
          <w:snapToGrid w:val="0"/>
          <w:sz w:val="24"/>
        </w:rPr>
        <w:t>Company;</w:t>
      </w:r>
    </w:p>
    <w:p w14:paraId="6D9E86A4" w14:textId="77777777" w:rsidR="000C099C" w:rsidRDefault="000C099C" w:rsidP="007D59F6">
      <w:pPr>
        <w:spacing w:before="60" w:after="60"/>
        <w:ind w:left="1728"/>
        <w:rPr>
          <w:snapToGrid w:val="0"/>
          <w:sz w:val="24"/>
        </w:rPr>
      </w:pPr>
      <w:r>
        <w:rPr>
          <w:snapToGrid w:val="0"/>
          <w:sz w:val="24"/>
        </w:rPr>
        <w:t xml:space="preserve">(ii) </w:t>
      </w:r>
      <w:r w:rsidR="0043267C">
        <w:rPr>
          <w:snapToGrid w:val="0"/>
          <w:sz w:val="24"/>
        </w:rPr>
        <w:t>The</w:t>
      </w:r>
      <w:r>
        <w:rPr>
          <w:snapToGrid w:val="0"/>
          <w:sz w:val="24"/>
        </w:rPr>
        <w:t xml:space="preserve"> non-cash compensation arrangement requires that the credit received for each investment company security is equally weighted;</w:t>
      </w:r>
    </w:p>
    <w:p w14:paraId="75A03EEE" w14:textId="77777777" w:rsidR="000C099C" w:rsidRDefault="000C099C" w:rsidP="007D59F6">
      <w:pPr>
        <w:spacing w:before="60" w:after="60"/>
        <w:ind w:left="1728"/>
        <w:rPr>
          <w:snapToGrid w:val="0"/>
          <w:sz w:val="24"/>
        </w:rPr>
      </w:pPr>
      <w:r>
        <w:rPr>
          <w:snapToGrid w:val="0"/>
          <w:sz w:val="24"/>
        </w:rPr>
        <w:t>(iii)</w:t>
      </w:r>
      <w:r w:rsidR="007D59F6">
        <w:rPr>
          <w:snapToGrid w:val="0"/>
          <w:sz w:val="24"/>
        </w:rPr>
        <w:t xml:space="preserve"> </w:t>
      </w:r>
      <w:r w:rsidR="0043267C">
        <w:rPr>
          <w:snapToGrid w:val="0"/>
          <w:sz w:val="24"/>
        </w:rPr>
        <w:t>No</w:t>
      </w:r>
      <w:r>
        <w:rPr>
          <w:snapToGrid w:val="0"/>
          <w:sz w:val="24"/>
        </w:rPr>
        <w:t xml:space="preserve"> unaffiliated non-member company or other unaffiliated member directly or indirectly participates in the Company's or non-member's organization of a permissible non-cash compensation arrangement; and</w:t>
      </w:r>
    </w:p>
    <w:p w14:paraId="1F9B2C52" w14:textId="77777777" w:rsidR="000C099C" w:rsidRDefault="000C099C" w:rsidP="007D59F6">
      <w:pPr>
        <w:spacing w:before="60" w:after="60"/>
        <w:ind w:left="1728"/>
        <w:rPr>
          <w:snapToGrid w:val="0"/>
          <w:sz w:val="24"/>
        </w:rPr>
      </w:pPr>
      <w:r>
        <w:rPr>
          <w:snapToGrid w:val="0"/>
          <w:sz w:val="24"/>
        </w:rPr>
        <w:t xml:space="preserve">(iv) </w:t>
      </w:r>
      <w:r w:rsidR="0043267C">
        <w:rPr>
          <w:snapToGrid w:val="0"/>
          <w:sz w:val="24"/>
        </w:rPr>
        <w:t>The</w:t>
      </w:r>
      <w:r>
        <w:rPr>
          <w:snapToGrid w:val="0"/>
          <w:sz w:val="24"/>
        </w:rPr>
        <w:t xml:space="preserve"> record keeping requirement in paragraph (3) is satisfied.</w:t>
      </w:r>
    </w:p>
    <w:p w14:paraId="1F000302" w14:textId="77777777" w:rsidR="000C099C" w:rsidRDefault="000C099C" w:rsidP="007D59F6">
      <w:pPr>
        <w:spacing w:before="60" w:after="60"/>
        <w:ind w:left="1296"/>
        <w:rPr>
          <w:snapToGrid w:val="0"/>
          <w:sz w:val="24"/>
        </w:rPr>
      </w:pPr>
      <w:r>
        <w:rPr>
          <w:snapToGrid w:val="0"/>
          <w:sz w:val="24"/>
        </w:rPr>
        <w:t>(E) Contributions by a non-member company or other member to a non-cash compensation arrangement between the Company and its associated persons, provided that the arrangement meets the criteria in paragraph (5)(D).</w:t>
      </w:r>
    </w:p>
    <w:p w14:paraId="5E802690" w14:textId="77777777" w:rsidR="001803F3" w:rsidRDefault="001803F3" w:rsidP="007D59F6">
      <w:pPr>
        <w:spacing w:before="60" w:after="60"/>
        <w:ind w:left="1296"/>
        <w:rPr>
          <w:rFonts w:ascii="Arial" w:hAnsi="Arial"/>
          <w:snapToGrid w:val="0"/>
        </w:rPr>
      </w:pPr>
    </w:p>
    <w:p w14:paraId="75543D0C" w14:textId="77777777" w:rsidR="00E344DB" w:rsidRPr="00E344DB" w:rsidRDefault="00E344DB" w:rsidP="007D59F6">
      <w:pPr>
        <w:rPr>
          <w:sz w:val="24"/>
          <w:szCs w:val="24"/>
        </w:rPr>
      </w:pPr>
    </w:p>
    <w:p w14:paraId="3BB6F44A" w14:textId="77777777" w:rsidR="00E344DB" w:rsidRDefault="00E344DB" w:rsidP="00936FEE">
      <w:pPr>
        <w:pStyle w:val="Heading2"/>
      </w:pPr>
      <w:bookmarkStart w:id="213" w:name="_11.25_Reviews"/>
      <w:bookmarkEnd w:id="213"/>
      <w:r>
        <w:t>11.25 Reviews</w:t>
      </w:r>
    </w:p>
    <w:p w14:paraId="74C68954" w14:textId="77777777" w:rsidR="00E344DB" w:rsidRDefault="00E344DB" w:rsidP="007D59F6">
      <w:pPr>
        <w:rPr>
          <w:sz w:val="24"/>
        </w:rPr>
      </w:pPr>
      <w:r>
        <w:rPr>
          <w:sz w:val="24"/>
        </w:rPr>
        <w:t xml:space="preserve">The </w:t>
      </w:r>
      <w:r w:rsidR="008025CC">
        <w:rPr>
          <w:sz w:val="24"/>
        </w:rPr>
        <w:t>Company</w:t>
      </w:r>
      <w:r>
        <w:rPr>
          <w:sz w:val="24"/>
        </w:rPr>
        <w:t xml:space="preserve"> reviews accounts for switching, order splitting, letters of intent and rights of accumulation by the following methods:</w:t>
      </w:r>
    </w:p>
    <w:p w14:paraId="7F8F6288" w14:textId="77777777" w:rsidR="00E344DB" w:rsidRDefault="00E344DB" w:rsidP="007D59F6">
      <w:pPr>
        <w:rPr>
          <w:sz w:val="24"/>
        </w:rPr>
      </w:pPr>
    </w:p>
    <w:p w14:paraId="3AC407E6" w14:textId="77777777" w:rsidR="00E344DB" w:rsidRDefault="00026A80" w:rsidP="007D59F6">
      <w:pPr>
        <w:tabs>
          <w:tab w:val="left" w:pos="1440"/>
        </w:tabs>
        <w:ind w:left="1440" w:hanging="720"/>
        <w:rPr>
          <w:sz w:val="24"/>
        </w:rPr>
      </w:pPr>
      <w:r>
        <w:rPr>
          <w:sz w:val="24"/>
        </w:rPr>
        <w:t>(a)</w:t>
      </w:r>
      <w:r>
        <w:rPr>
          <w:sz w:val="24"/>
        </w:rPr>
        <w:tab/>
      </w:r>
      <w:r w:rsidR="00E344DB">
        <w:rPr>
          <w:sz w:val="24"/>
        </w:rPr>
        <w:t>Blotter Reports will be reviewed for any account that has two or more mutual fund transactions to detect any of the above-mentioned practices.</w:t>
      </w:r>
    </w:p>
    <w:p w14:paraId="0D6FCC36" w14:textId="77777777" w:rsidR="00E344DB" w:rsidRDefault="00E344DB" w:rsidP="007D59F6">
      <w:pPr>
        <w:ind w:left="1440" w:hanging="720"/>
        <w:rPr>
          <w:sz w:val="24"/>
        </w:rPr>
      </w:pPr>
    </w:p>
    <w:p w14:paraId="14F9FC4D" w14:textId="77777777" w:rsidR="00E344DB" w:rsidRDefault="00026A80" w:rsidP="007D59F6">
      <w:pPr>
        <w:pStyle w:val="BodyTextIndent"/>
        <w:tabs>
          <w:tab w:val="clear" w:pos="1800"/>
          <w:tab w:val="left" w:pos="1440"/>
        </w:tabs>
        <w:ind w:left="1440" w:hanging="720"/>
        <w:jc w:val="left"/>
      </w:pPr>
      <w:r>
        <w:t xml:space="preserve">(b)   </w:t>
      </w:r>
      <w:r>
        <w:tab/>
        <w:t xml:space="preserve">A </w:t>
      </w:r>
      <w:r w:rsidR="00E344DB">
        <w:t xml:space="preserve">review of mutual fund liquidations is performed.  Any liquidating transaction will result in a Principal of </w:t>
      </w:r>
      <w:r w:rsidR="00F55208">
        <w:t>Company</w:t>
      </w:r>
      <w:r w:rsidR="00E344DB">
        <w:t xml:space="preserve"> monitoring the account for a period of time to determine whether the client is reinvesting in another mutual fund.  Also, the account holdings will be reviewed to see if multiple fund families are present, which may indicate that the client is missing the opportunity to receive lower load fees by combining funds into one fund family.  This review takes place </w:t>
      </w:r>
      <w:r>
        <w:t>when blotters are reviewed by</w:t>
      </w:r>
      <w:r w:rsidR="00E344DB">
        <w:t xml:space="preserve"> Morris Monroe or his designee and evidenced by signed EOD reports from WinOps.  Questioned account activity will be investigated promptly and appropriate action will be taken.</w:t>
      </w:r>
    </w:p>
    <w:p w14:paraId="5550D0CA" w14:textId="77777777" w:rsidR="00E344DB" w:rsidRDefault="00E344DB" w:rsidP="007D59F6">
      <w:pPr>
        <w:ind w:left="1440" w:hanging="720"/>
        <w:rPr>
          <w:rFonts w:ascii="Century Schoolbook" w:hAnsi="Century Schoolbook"/>
          <w:sz w:val="24"/>
        </w:rPr>
      </w:pPr>
    </w:p>
    <w:p w14:paraId="1866C5C7" w14:textId="77777777" w:rsidR="00E344DB" w:rsidRDefault="00E344DB" w:rsidP="007D59F6">
      <w:pPr>
        <w:tabs>
          <w:tab w:val="num" w:pos="810"/>
        </w:tabs>
        <w:ind w:left="720"/>
        <w:rPr>
          <w:sz w:val="24"/>
        </w:rPr>
      </w:pPr>
      <w:r>
        <w:rPr>
          <w:sz w:val="24"/>
        </w:rPr>
        <w:lastRenderedPageBreak/>
        <w:t>During account reviews, the presence of holdings within an account of multiple load mutual fund families will be also investigated.  Account reviews will be evidenced by the reviewer’s initials and date of review in Win</w:t>
      </w:r>
      <w:r w:rsidR="007D59F6">
        <w:rPr>
          <w:sz w:val="24"/>
        </w:rPr>
        <w:t>O</w:t>
      </w:r>
      <w:r>
        <w:rPr>
          <w:sz w:val="24"/>
        </w:rPr>
        <w:t>ps.</w:t>
      </w:r>
    </w:p>
    <w:p w14:paraId="39BE2874" w14:textId="77777777" w:rsidR="00E344DB" w:rsidRDefault="00E344DB" w:rsidP="007D59F6">
      <w:pPr>
        <w:tabs>
          <w:tab w:val="num" w:pos="810"/>
        </w:tabs>
        <w:ind w:left="720"/>
        <w:rPr>
          <w:sz w:val="24"/>
        </w:rPr>
      </w:pPr>
    </w:p>
    <w:p w14:paraId="4F22B6B7" w14:textId="77777777" w:rsidR="00E344DB" w:rsidRDefault="00E344DB" w:rsidP="007D59F6">
      <w:pPr>
        <w:tabs>
          <w:tab w:val="num" w:pos="810"/>
        </w:tabs>
        <w:ind w:left="720"/>
        <w:rPr>
          <w:sz w:val="24"/>
        </w:rPr>
      </w:pPr>
      <w:r>
        <w:rPr>
          <w:sz w:val="24"/>
        </w:rPr>
        <w:t>In addition, mutual fund correspondence is also reviewed at the same time that all correspondence is reviewed.</w:t>
      </w:r>
    </w:p>
    <w:p w14:paraId="01C87CC0" w14:textId="77777777" w:rsidR="000C099C" w:rsidRPr="00E344DB" w:rsidRDefault="000C099C" w:rsidP="007D59F6">
      <w:pPr>
        <w:rPr>
          <w:sz w:val="24"/>
          <w:szCs w:val="24"/>
        </w:rPr>
      </w:pPr>
    </w:p>
    <w:p w14:paraId="0366854E" w14:textId="77777777" w:rsidR="00E344DB" w:rsidRDefault="00E344DB" w:rsidP="007D59F6">
      <w:pPr>
        <w:rPr>
          <w:b/>
          <w:sz w:val="24"/>
          <w:szCs w:val="24"/>
        </w:rPr>
      </w:pPr>
    </w:p>
    <w:p w14:paraId="0F14B39E" w14:textId="77777777" w:rsidR="001803F3" w:rsidRPr="001803F3" w:rsidRDefault="00E344DB" w:rsidP="00936FEE">
      <w:pPr>
        <w:pStyle w:val="Heading2"/>
      </w:pPr>
      <w:r>
        <w:t xml:space="preserve">11.26 </w:t>
      </w:r>
      <w:r w:rsidR="001803F3" w:rsidRPr="001803F3">
        <w:t>Training</w:t>
      </w:r>
    </w:p>
    <w:p w14:paraId="283B7A4D" w14:textId="142DF3BE" w:rsidR="000C099C" w:rsidRDefault="000C099C" w:rsidP="007D59F6">
      <w:pPr>
        <w:rPr>
          <w:sz w:val="24"/>
        </w:rPr>
      </w:pPr>
      <w:r>
        <w:rPr>
          <w:sz w:val="24"/>
        </w:rPr>
        <w:t xml:space="preserve">The Company will provide ongoing training to its employees and Associated Persons as long as it offers mutual funds shares to the public.  This training will typically be conducted annually at the compliance meeting and/or through the Firm Element continuing </w:t>
      </w:r>
      <w:r w:rsidR="00E94830">
        <w:rPr>
          <w:sz w:val="24"/>
        </w:rPr>
        <w:t>education but</w:t>
      </w:r>
      <w:r>
        <w:rPr>
          <w:sz w:val="24"/>
        </w:rPr>
        <w:t xml:space="preserve"> may be conducted in the interim should the need arise.  Training will include, but not limited to:</w:t>
      </w:r>
    </w:p>
    <w:p w14:paraId="0CCF9243" w14:textId="77777777" w:rsidR="000C099C" w:rsidRDefault="000C099C" w:rsidP="007D59F6">
      <w:pPr>
        <w:rPr>
          <w:sz w:val="24"/>
        </w:rPr>
      </w:pPr>
    </w:p>
    <w:p w14:paraId="122ACB9A" w14:textId="77777777" w:rsidR="000C099C" w:rsidRDefault="00346B3A" w:rsidP="007D59F6">
      <w:pPr>
        <w:tabs>
          <w:tab w:val="num" w:pos="720"/>
        </w:tabs>
        <w:ind w:left="720" w:hanging="360"/>
      </w:pPr>
      <w:r>
        <w:rPr>
          <w:sz w:val="24"/>
        </w:rPr>
        <w:t>Advertising</w:t>
      </w:r>
      <w:r w:rsidR="000C099C">
        <w:rPr>
          <w:sz w:val="24"/>
        </w:rPr>
        <w:t xml:space="preserve"> and sales literature</w:t>
      </w:r>
    </w:p>
    <w:p w14:paraId="0ED19812" w14:textId="77777777" w:rsidR="000C099C" w:rsidRDefault="00346B3A" w:rsidP="007D59F6">
      <w:pPr>
        <w:tabs>
          <w:tab w:val="num" w:pos="720"/>
        </w:tabs>
        <w:ind w:left="720" w:hanging="360"/>
      </w:pPr>
      <w:r>
        <w:rPr>
          <w:sz w:val="24"/>
        </w:rPr>
        <w:t>Prospectus</w:t>
      </w:r>
      <w:r w:rsidR="000C099C">
        <w:rPr>
          <w:sz w:val="24"/>
        </w:rPr>
        <w:t xml:space="preserve"> delivery</w:t>
      </w:r>
    </w:p>
    <w:p w14:paraId="19C3A074" w14:textId="77777777" w:rsidR="000C099C" w:rsidRDefault="00346B3A" w:rsidP="007D59F6">
      <w:pPr>
        <w:tabs>
          <w:tab w:val="num" w:pos="720"/>
        </w:tabs>
        <w:ind w:left="720" w:hanging="360"/>
      </w:pPr>
      <w:r>
        <w:rPr>
          <w:sz w:val="24"/>
        </w:rPr>
        <w:t>Proper</w:t>
      </w:r>
      <w:r w:rsidR="000C099C">
        <w:rPr>
          <w:sz w:val="24"/>
        </w:rPr>
        <w:t xml:space="preserve"> breakpoints being issued</w:t>
      </w:r>
    </w:p>
    <w:p w14:paraId="00EF3CED" w14:textId="77777777" w:rsidR="000C099C" w:rsidRDefault="00346B3A" w:rsidP="007D59F6">
      <w:pPr>
        <w:tabs>
          <w:tab w:val="num" w:pos="720"/>
        </w:tabs>
        <w:ind w:left="720" w:hanging="360"/>
      </w:pPr>
      <w:r>
        <w:rPr>
          <w:sz w:val="24"/>
        </w:rPr>
        <w:t>Reviewing</w:t>
      </w:r>
      <w:r w:rsidR="000C099C">
        <w:rPr>
          <w:sz w:val="24"/>
        </w:rPr>
        <w:t xml:space="preserve"> transactions and accounts</w:t>
      </w:r>
    </w:p>
    <w:p w14:paraId="75010375" w14:textId="77777777" w:rsidR="000C099C" w:rsidRDefault="00346B3A" w:rsidP="007D59F6">
      <w:pPr>
        <w:tabs>
          <w:tab w:val="num" w:pos="720"/>
        </w:tabs>
        <w:ind w:left="720" w:hanging="360"/>
      </w:pPr>
      <w:r>
        <w:rPr>
          <w:sz w:val="24"/>
        </w:rPr>
        <w:t>Regulatory</w:t>
      </w:r>
      <w:r w:rsidR="000C099C">
        <w:rPr>
          <w:sz w:val="24"/>
        </w:rPr>
        <w:t xml:space="preserve"> news and updates</w:t>
      </w:r>
    </w:p>
    <w:p w14:paraId="42EEA045" w14:textId="77777777" w:rsidR="000C099C" w:rsidRDefault="00346B3A" w:rsidP="007D59F6">
      <w:pPr>
        <w:tabs>
          <w:tab w:val="num" w:pos="720"/>
        </w:tabs>
        <w:ind w:left="720" w:hanging="360"/>
      </w:pPr>
      <w:r>
        <w:rPr>
          <w:sz w:val="24"/>
        </w:rPr>
        <w:t>Supervisory</w:t>
      </w:r>
      <w:r w:rsidR="000C099C">
        <w:rPr>
          <w:sz w:val="24"/>
        </w:rPr>
        <w:t xml:space="preserve"> procedures</w:t>
      </w:r>
    </w:p>
    <w:p w14:paraId="57874EF5" w14:textId="77777777" w:rsidR="000C099C" w:rsidRDefault="00346B3A" w:rsidP="007D59F6">
      <w:pPr>
        <w:tabs>
          <w:tab w:val="num" w:pos="720"/>
        </w:tabs>
        <w:ind w:left="720" w:hanging="360"/>
        <w:rPr>
          <w:sz w:val="24"/>
        </w:rPr>
      </w:pPr>
      <w:r>
        <w:rPr>
          <w:sz w:val="24"/>
        </w:rPr>
        <w:t>Disclosures</w:t>
      </w:r>
      <w:r w:rsidR="000C099C">
        <w:rPr>
          <w:sz w:val="24"/>
        </w:rPr>
        <w:t xml:space="preserve"> to customers</w:t>
      </w:r>
    </w:p>
    <w:p w14:paraId="7CECE950" w14:textId="77777777" w:rsidR="000C099C" w:rsidRDefault="000C099C" w:rsidP="007D59F6">
      <w:pPr>
        <w:rPr>
          <w:sz w:val="24"/>
        </w:rPr>
      </w:pPr>
    </w:p>
    <w:p w14:paraId="27BF99E0" w14:textId="77777777" w:rsidR="000C099C" w:rsidRDefault="000C099C" w:rsidP="007D59F6">
      <w:pPr>
        <w:rPr>
          <w:sz w:val="24"/>
        </w:rPr>
      </w:pPr>
      <w:r>
        <w:rPr>
          <w:sz w:val="24"/>
        </w:rPr>
        <w:t>Any training conducted will be evidenced by a log and/or description of the training and those in attendance.  This log will be maintained as part of the Company’s books and records for a period of three years.</w:t>
      </w:r>
    </w:p>
    <w:p w14:paraId="7C7EEAEE" w14:textId="77777777" w:rsidR="000C099C" w:rsidRDefault="000C099C" w:rsidP="007D59F6"/>
    <w:p w14:paraId="2C07B462" w14:textId="77777777" w:rsidR="000C099C" w:rsidRDefault="00E344DB" w:rsidP="007D59F6">
      <w:pPr>
        <w:ind w:left="360"/>
      </w:pPr>
      <w:r>
        <w:rPr>
          <w:b/>
          <w:sz w:val="24"/>
          <w:szCs w:val="24"/>
        </w:rPr>
        <w:br w:type="page"/>
      </w:r>
    </w:p>
    <w:p w14:paraId="3E9FDA42" w14:textId="77777777" w:rsidR="00031AFF" w:rsidRDefault="00031AFF" w:rsidP="00031AFF">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214" w:name="FixedIncomeAndGovtSec"/>
    </w:p>
    <w:p w14:paraId="1584FAD5" w14:textId="77777777" w:rsidR="00031AFF" w:rsidRDefault="00700A8D" w:rsidP="00031AFF">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215" w:name="_Toc227820444"/>
      <w:bookmarkStart w:id="216" w:name="_Toc227821712"/>
      <w:bookmarkStart w:id="217" w:name="_Toc227821830"/>
      <w:bookmarkStart w:id="218" w:name="_Toc535916177"/>
      <w:r>
        <w:t>1</w:t>
      </w:r>
      <w:r w:rsidR="00E34E59">
        <w:t>2</w:t>
      </w:r>
      <w:r>
        <w:t>.</w:t>
      </w:r>
      <w:r w:rsidR="00FE3A30">
        <w:t xml:space="preserve">  </w:t>
      </w:r>
      <w:r w:rsidR="00637286">
        <w:t>FIXED INCOME,</w:t>
      </w:r>
      <w:r w:rsidR="000C099C">
        <w:t xml:space="preserve"> GOVERNMENT </w:t>
      </w:r>
      <w:r w:rsidR="00031AFF">
        <w:t>SECURITIES</w:t>
      </w:r>
      <w:bookmarkEnd w:id="215"/>
      <w:bookmarkEnd w:id="216"/>
      <w:bookmarkEnd w:id="217"/>
      <w:r w:rsidR="004F7318">
        <w:t>, CMOs</w:t>
      </w:r>
      <w:bookmarkEnd w:id="218"/>
    </w:p>
    <w:p w14:paraId="29978397" w14:textId="77777777" w:rsidR="00031AFF" w:rsidRDefault="00031AFF" w:rsidP="00031AFF">
      <w:pPr>
        <w:pStyle w:val="Heading1"/>
        <w:pBdr>
          <w:top w:val="double" w:sz="12" w:space="1" w:color="000099"/>
          <w:left w:val="double" w:sz="12" w:space="4" w:color="000099"/>
          <w:bottom w:val="double" w:sz="12" w:space="1" w:color="000099"/>
          <w:right w:val="double" w:sz="12" w:space="4" w:color="000099"/>
        </w:pBdr>
        <w:shd w:val="pct10" w:color="0000FF" w:fill="auto"/>
        <w:jc w:val="center"/>
      </w:pPr>
    </w:p>
    <w:bookmarkEnd w:id="214"/>
    <w:p w14:paraId="349FF2E6" w14:textId="77777777" w:rsidR="000C099C" w:rsidRDefault="000C099C">
      <w:pPr>
        <w:rPr>
          <w:sz w:val="24"/>
        </w:rPr>
      </w:pPr>
    </w:p>
    <w:p w14:paraId="7736407C" w14:textId="77777777" w:rsidR="000C099C" w:rsidRDefault="000C099C">
      <w:pPr>
        <w:rPr>
          <w:sz w:val="24"/>
        </w:rPr>
      </w:pPr>
    </w:p>
    <w:p w14:paraId="7754DA91" w14:textId="77777777" w:rsidR="00DA35AE" w:rsidRDefault="00DA35AE" w:rsidP="00936FEE">
      <w:pPr>
        <w:pStyle w:val="Heading2"/>
      </w:pPr>
      <w:r>
        <w:t>12.1 Introduction</w:t>
      </w:r>
    </w:p>
    <w:p w14:paraId="0D51E0E5" w14:textId="2B4BDF6E" w:rsidR="000C099C" w:rsidRDefault="000C099C">
      <w:pPr>
        <w:rPr>
          <w:sz w:val="24"/>
        </w:rPr>
      </w:pPr>
      <w:r>
        <w:rPr>
          <w:sz w:val="24"/>
        </w:rPr>
        <w:t>These procedures apply to corporate debt securities and government securities.  Morris Monroe will have responsibility for supervising fixed income securities transactions in the home office and the applicable supervisor will be responsible for the OSJs.</w:t>
      </w:r>
    </w:p>
    <w:p w14:paraId="18C73BF5" w14:textId="2E53D3F0" w:rsidR="002669A2" w:rsidRDefault="002669A2">
      <w:pPr>
        <w:rPr>
          <w:sz w:val="24"/>
        </w:rPr>
      </w:pPr>
    </w:p>
    <w:p w14:paraId="66A48189" w14:textId="77777777" w:rsidR="002669A2" w:rsidRPr="00E94830" w:rsidRDefault="002669A2" w:rsidP="002669A2">
      <w:pPr>
        <w:jc w:val="both"/>
        <w:rPr>
          <w:sz w:val="24"/>
          <w:szCs w:val="24"/>
        </w:rPr>
      </w:pPr>
      <w:r w:rsidRPr="00E94830">
        <w:rPr>
          <w:spacing w:val="8"/>
          <w:sz w:val="24"/>
          <w:szCs w:val="24"/>
          <w:shd w:val="clear" w:color="auto" w:fill="FFFFFF"/>
        </w:rPr>
        <w:t>References to "suitability" apply only to those recommendations NOT subject to Regulation Best Interest (BI) which applies to retail customers and is addressed in a separate chapter by that name. Suitability requirements apply to entities and institutions (</w:t>
      </w:r>
      <w:r w:rsidRPr="00E94830">
        <w:rPr>
          <w:i/>
          <w:iCs/>
          <w:spacing w:val="8"/>
          <w:sz w:val="24"/>
          <w:szCs w:val="24"/>
          <w:shd w:val="clear" w:color="auto" w:fill="FFFFFF"/>
        </w:rPr>
        <w:t>e.g.,</w:t>
      </w:r>
      <w:r w:rsidRPr="00E94830">
        <w:rPr>
          <w:spacing w:val="8"/>
          <w:sz w:val="24"/>
          <w:szCs w:val="24"/>
          <w:shd w:val="clear" w:color="auto" w:fill="FFFFFF"/>
        </w:rPr>
        <w:t> pension funds) and natural persons who will not use recommendations primarily for personal, family, or household purposes (</w:t>
      </w:r>
      <w:r w:rsidRPr="00E94830">
        <w:rPr>
          <w:i/>
          <w:iCs/>
          <w:spacing w:val="8"/>
          <w:sz w:val="24"/>
          <w:szCs w:val="24"/>
          <w:shd w:val="clear" w:color="auto" w:fill="FFFFFF"/>
        </w:rPr>
        <w:t>e.g.,</w:t>
      </w:r>
      <w:r w:rsidRPr="00E94830">
        <w:rPr>
          <w:spacing w:val="8"/>
          <w:sz w:val="24"/>
          <w:szCs w:val="24"/>
          <w:shd w:val="clear" w:color="auto" w:fill="FFFFFF"/>
        </w:rPr>
        <w:t> small business owners and charitable trusts). Refer to the Section 5.7 </w:t>
      </w:r>
      <w:r w:rsidRPr="00E94830">
        <w:rPr>
          <w:i/>
          <w:iCs/>
          <w:spacing w:val="8"/>
          <w:sz w:val="24"/>
          <w:szCs w:val="24"/>
          <w:shd w:val="clear" w:color="auto" w:fill="FFFFFF"/>
        </w:rPr>
        <w:t>REGULATION BEST INTEREST (BI)</w:t>
      </w:r>
      <w:r w:rsidRPr="00E94830">
        <w:rPr>
          <w:spacing w:val="8"/>
          <w:sz w:val="24"/>
          <w:szCs w:val="24"/>
          <w:shd w:val="clear" w:color="auto" w:fill="FFFFFF"/>
        </w:rPr>
        <w:t> for requirements when dealing with retail customers.</w:t>
      </w:r>
    </w:p>
    <w:p w14:paraId="192D5A2E" w14:textId="77777777" w:rsidR="000C099C" w:rsidRPr="00E94830" w:rsidRDefault="000C099C">
      <w:pPr>
        <w:rPr>
          <w:sz w:val="24"/>
        </w:rPr>
      </w:pPr>
    </w:p>
    <w:p w14:paraId="7BE957E5" w14:textId="77777777" w:rsidR="00DA35AE" w:rsidRDefault="00DA35AE" w:rsidP="00140C02">
      <w:bookmarkStart w:id="219" w:name="MarkupMarkdown"/>
      <w:bookmarkStart w:id="220" w:name="_Toc153361420"/>
      <w:bookmarkStart w:id="221" w:name="_Toc153361648"/>
      <w:bookmarkEnd w:id="219"/>
    </w:p>
    <w:p w14:paraId="41DDED71" w14:textId="77777777" w:rsidR="008562D8" w:rsidRDefault="006B12F1" w:rsidP="00936FEE">
      <w:pPr>
        <w:pStyle w:val="Heading2"/>
      </w:pPr>
      <w:r>
        <w:t xml:space="preserve">12.2 </w:t>
      </w:r>
      <w:r w:rsidR="008562D8">
        <w:t>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89"/>
        <w:gridCol w:w="7583"/>
      </w:tblGrid>
      <w:tr w:rsidR="008562D8" w:rsidRPr="00671FC0" w14:paraId="2FE38E4E" w14:textId="77777777" w:rsidTr="00856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EAEEA0" w14:textId="77777777" w:rsidR="008562D8" w:rsidRPr="00671FC0" w:rsidRDefault="008562D8" w:rsidP="008562D8">
            <w:pPr>
              <w:jc w:val="center"/>
              <w:rPr>
                <w:b/>
                <w:bCs/>
                <w:color w:val="000000"/>
                <w:spacing w:val="8"/>
                <w:sz w:val="24"/>
                <w:szCs w:val="24"/>
              </w:rPr>
            </w:pPr>
            <w:r w:rsidRPr="00671FC0">
              <w:rPr>
                <w:b/>
                <w:bCs/>
                <w:color w:val="000000"/>
                <w:spacing w:val="8"/>
                <w:sz w:val="24"/>
                <w:szCs w:val="24"/>
              </w:rPr>
              <w:t>Responsibility</w:t>
            </w:r>
          </w:p>
        </w:tc>
        <w:tc>
          <w:tcPr>
            <w:tcW w:w="0" w:type="auto"/>
            <w:tcBorders>
              <w:top w:val="outset" w:sz="6" w:space="0" w:color="auto"/>
              <w:left w:val="outset" w:sz="6" w:space="0" w:color="auto"/>
              <w:bottom w:val="outset" w:sz="6" w:space="0" w:color="auto"/>
              <w:right w:val="outset" w:sz="6" w:space="0" w:color="auto"/>
            </w:tcBorders>
            <w:vAlign w:val="center"/>
          </w:tcPr>
          <w:p w14:paraId="44D16384" w14:textId="77777777" w:rsidR="008562D8" w:rsidRPr="00671FC0" w:rsidRDefault="008562D8" w:rsidP="00C1728B">
            <w:pPr>
              <w:numPr>
                <w:ilvl w:val="0"/>
                <w:numId w:val="59"/>
              </w:numPr>
              <w:rPr>
                <w:color w:val="000000"/>
                <w:spacing w:val="8"/>
                <w:sz w:val="24"/>
                <w:szCs w:val="24"/>
              </w:rPr>
            </w:pPr>
            <w:r w:rsidRPr="00671FC0">
              <w:rPr>
                <w:color w:val="000000"/>
                <w:spacing w:val="8"/>
                <w:sz w:val="24"/>
                <w:szCs w:val="24"/>
              </w:rPr>
              <w:t>Designated Supervisors or Principal</w:t>
            </w:r>
          </w:p>
        </w:tc>
      </w:tr>
      <w:tr w:rsidR="008562D8" w:rsidRPr="00671FC0" w14:paraId="2452E60A" w14:textId="77777777" w:rsidTr="00856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7D70786" w14:textId="77777777" w:rsidR="008562D8" w:rsidRPr="00671FC0" w:rsidRDefault="008562D8" w:rsidP="008562D8">
            <w:pPr>
              <w:jc w:val="center"/>
              <w:rPr>
                <w:b/>
                <w:bCs/>
                <w:color w:val="000000"/>
                <w:spacing w:val="8"/>
                <w:sz w:val="24"/>
                <w:szCs w:val="24"/>
              </w:rPr>
            </w:pPr>
            <w:r w:rsidRPr="00671FC0">
              <w:rPr>
                <w:b/>
                <w:bCs/>
                <w:color w:val="000000"/>
                <w:spacing w:val="8"/>
                <w:sz w:val="24"/>
                <w:szCs w:val="24"/>
              </w:rPr>
              <w:t>Statutes</w:t>
            </w:r>
          </w:p>
        </w:tc>
        <w:tc>
          <w:tcPr>
            <w:tcW w:w="0" w:type="auto"/>
            <w:tcBorders>
              <w:top w:val="outset" w:sz="6" w:space="0" w:color="auto"/>
              <w:left w:val="outset" w:sz="6" w:space="0" w:color="auto"/>
              <w:bottom w:val="outset" w:sz="6" w:space="0" w:color="auto"/>
              <w:right w:val="outset" w:sz="6" w:space="0" w:color="auto"/>
            </w:tcBorders>
            <w:vAlign w:val="center"/>
          </w:tcPr>
          <w:p w14:paraId="1F487A92" w14:textId="77777777" w:rsidR="008562D8" w:rsidRPr="0062075F" w:rsidRDefault="008562D8" w:rsidP="00C1728B">
            <w:pPr>
              <w:numPr>
                <w:ilvl w:val="0"/>
                <w:numId w:val="60"/>
              </w:numPr>
              <w:rPr>
                <w:color w:val="FF0000"/>
                <w:spacing w:val="8"/>
                <w:sz w:val="24"/>
                <w:szCs w:val="24"/>
              </w:rPr>
            </w:pPr>
            <w:r w:rsidRPr="00671FC0">
              <w:rPr>
                <w:color w:val="000000"/>
                <w:sz w:val="24"/>
                <w:szCs w:val="24"/>
              </w:rPr>
              <w:t>FINRA Rule 2</w:t>
            </w:r>
            <w:r w:rsidR="00F53963">
              <w:rPr>
                <w:color w:val="000000"/>
                <w:sz w:val="24"/>
                <w:szCs w:val="24"/>
              </w:rPr>
              <w:t>12</w:t>
            </w:r>
            <w:r w:rsidRPr="00671FC0">
              <w:rPr>
                <w:color w:val="000000"/>
                <w:sz w:val="24"/>
                <w:szCs w:val="24"/>
              </w:rPr>
              <w:t>0</w:t>
            </w:r>
            <w:r w:rsidR="0062075F">
              <w:rPr>
                <w:color w:val="000000"/>
                <w:sz w:val="24"/>
                <w:szCs w:val="24"/>
              </w:rPr>
              <w:t xml:space="preserve">, </w:t>
            </w:r>
            <w:r w:rsidR="0062075F" w:rsidRPr="00593EE9">
              <w:rPr>
                <w:sz w:val="24"/>
                <w:szCs w:val="24"/>
              </w:rPr>
              <w:t>2121, 2232</w:t>
            </w:r>
            <w:r w:rsidRPr="00593EE9">
              <w:rPr>
                <w:sz w:val="24"/>
                <w:szCs w:val="24"/>
              </w:rPr>
              <w:t xml:space="preserve"> – Mark ups and downs</w:t>
            </w:r>
            <w:r w:rsidR="0062075F" w:rsidRPr="00593EE9">
              <w:rPr>
                <w:sz w:val="24"/>
                <w:szCs w:val="24"/>
              </w:rPr>
              <w:t>, Confirmations</w:t>
            </w:r>
          </w:p>
          <w:p w14:paraId="3A92F32E" w14:textId="77777777" w:rsidR="008562D8" w:rsidRPr="00671FC0" w:rsidRDefault="008562D8" w:rsidP="00C1728B">
            <w:pPr>
              <w:numPr>
                <w:ilvl w:val="0"/>
                <w:numId w:val="60"/>
              </w:numPr>
              <w:rPr>
                <w:color w:val="000000"/>
                <w:spacing w:val="8"/>
                <w:sz w:val="24"/>
                <w:szCs w:val="24"/>
              </w:rPr>
            </w:pPr>
            <w:r w:rsidRPr="00671FC0">
              <w:rPr>
                <w:color w:val="000000"/>
                <w:sz w:val="24"/>
                <w:szCs w:val="24"/>
              </w:rPr>
              <w:t>FINRA Rule 6700 series – TRACE reporting</w:t>
            </w:r>
          </w:p>
          <w:p w14:paraId="3287F1C5" w14:textId="77777777" w:rsidR="008E46DF" w:rsidRPr="00671FC0" w:rsidRDefault="008E46DF" w:rsidP="00C1728B">
            <w:pPr>
              <w:numPr>
                <w:ilvl w:val="0"/>
                <w:numId w:val="60"/>
              </w:numPr>
              <w:rPr>
                <w:color w:val="000000"/>
                <w:spacing w:val="8"/>
                <w:sz w:val="24"/>
                <w:szCs w:val="24"/>
              </w:rPr>
            </w:pPr>
            <w:r w:rsidRPr="00671FC0">
              <w:rPr>
                <w:color w:val="000000"/>
                <w:sz w:val="24"/>
                <w:szCs w:val="24"/>
              </w:rPr>
              <w:t>Government Securities Act Amendments Of 1993</w:t>
            </w:r>
          </w:p>
        </w:tc>
      </w:tr>
      <w:tr w:rsidR="008562D8" w:rsidRPr="00671FC0" w14:paraId="7078FA63" w14:textId="77777777" w:rsidTr="00856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B4FCE73" w14:textId="77777777" w:rsidR="008562D8" w:rsidRPr="00671FC0" w:rsidRDefault="008562D8" w:rsidP="008562D8">
            <w:pPr>
              <w:jc w:val="center"/>
              <w:rPr>
                <w:b/>
                <w:bCs/>
                <w:color w:val="000000"/>
                <w:spacing w:val="8"/>
                <w:sz w:val="24"/>
                <w:szCs w:val="24"/>
              </w:rPr>
            </w:pPr>
            <w:r w:rsidRPr="00671FC0">
              <w:rPr>
                <w:b/>
                <w:bCs/>
                <w:color w:val="000000"/>
                <w:spacing w:val="8"/>
                <w:sz w:val="24"/>
                <w:szCs w:val="24"/>
              </w:rPr>
              <w:t>Frequency</w:t>
            </w:r>
          </w:p>
        </w:tc>
        <w:tc>
          <w:tcPr>
            <w:tcW w:w="0" w:type="auto"/>
            <w:tcBorders>
              <w:top w:val="outset" w:sz="6" w:space="0" w:color="auto"/>
              <w:left w:val="outset" w:sz="6" w:space="0" w:color="auto"/>
              <w:bottom w:val="outset" w:sz="6" w:space="0" w:color="auto"/>
              <w:right w:val="outset" w:sz="6" w:space="0" w:color="auto"/>
            </w:tcBorders>
            <w:vAlign w:val="center"/>
          </w:tcPr>
          <w:p w14:paraId="5FAFC9D2" w14:textId="77777777" w:rsidR="008562D8" w:rsidRPr="00671FC0" w:rsidRDefault="008562D8" w:rsidP="00C1728B">
            <w:pPr>
              <w:numPr>
                <w:ilvl w:val="0"/>
                <w:numId w:val="60"/>
              </w:numPr>
              <w:rPr>
                <w:color w:val="000000"/>
                <w:spacing w:val="8"/>
                <w:sz w:val="24"/>
                <w:szCs w:val="24"/>
              </w:rPr>
            </w:pPr>
            <w:r w:rsidRPr="00671FC0">
              <w:rPr>
                <w:color w:val="000000"/>
                <w:spacing w:val="8"/>
                <w:sz w:val="24"/>
                <w:szCs w:val="24"/>
              </w:rPr>
              <w:t>As required</w:t>
            </w:r>
          </w:p>
          <w:p w14:paraId="75DE7865" w14:textId="77777777" w:rsidR="008562D8" w:rsidRPr="00671FC0" w:rsidRDefault="008562D8" w:rsidP="00C1728B">
            <w:pPr>
              <w:numPr>
                <w:ilvl w:val="0"/>
                <w:numId w:val="60"/>
              </w:numPr>
              <w:rPr>
                <w:color w:val="000000"/>
                <w:spacing w:val="8"/>
                <w:sz w:val="24"/>
                <w:szCs w:val="24"/>
              </w:rPr>
            </w:pPr>
            <w:r w:rsidRPr="00671FC0">
              <w:rPr>
                <w:color w:val="000000"/>
                <w:spacing w:val="8"/>
                <w:sz w:val="24"/>
                <w:szCs w:val="24"/>
              </w:rPr>
              <w:t>Daily trade blotters</w:t>
            </w:r>
          </w:p>
          <w:p w14:paraId="72BDA53D" w14:textId="77777777" w:rsidR="008562D8" w:rsidRPr="00671FC0" w:rsidRDefault="008562D8" w:rsidP="00C1728B">
            <w:pPr>
              <w:numPr>
                <w:ilvl w:val="0"/>
                <w:numId w:val="60"/>
              </w:numPr>
              <w:rPr>
                <w:color w:val="000000"/>
                <w:spacing w:val="8"/>
                <w:sz w:val="24"/>
                <w:szCs w:val="24"/>
              </w:rPr>
            </w:pPr>
            <w:r w:rsidRPr="00671FC0">
              <w:rPr>
                <w:color w:val="000000"/>
                <w:spacing w:val="8"/>
                <w:sz w:val="24"/>
                <w:szCs w:val="24"/>
              </w:rPr>
              <w:t>Annual training</w:t>
            </w:r>
          </w:p>
        </w:tc>
      </w:tr>
      <w:tr w:rsidR="008562D8" w:rsidRPr="00671FC0" w14:paraId="7B77E133" w14:textId="77777777" w:rsidTr="00856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C2A9116" w14:textId="77777777" w:rsidR="008562D8" w:rsidRPr="00671FC0" w:rsidRDefault="008562D8" w:rsidP="008562D8">
            <w:pPr>
              <w:jc w:val="center"/>
              <w:rPr>
                <w:b/>
                <w:bCs/>
                <w:color w:val="000000"/>
                <w:spacing w:val="8"/>
                <w:sz w:val="24"/>
                <w:szCs w:val="24"/>
              </w:rPr>
            </w:pPr>
            <w:r w:rsidRPr="00671FC0">
              <w:rPr>
                <w:b/>
                <w:bCs/>
                <w:color w:val="000000"/>
                <w:spacing w:val="8"/>
                <w:sz w:val="24"/>
                <w:szCs w:val="24"/>
              </w:rPr>
              <w:t>Actions</w:t>
            </w:r>
          </w:p>
        </w:tc>
        <w:tc>
          <w:tcPr>
            <w:tcW w:w="0" w:type="auto"/>
            <w:tcBorders>
              <w:top w:val="outset" w:sz="6" w:space="0" w:color="auto"/>
              <w:left w:val="outset" w:sz="6" w:space="0" w:color="auto"/>
              <w:bottom w:val="outset" w:sz="6" w:space="0" w:color="auto"/>
              <w:right w:val="outset" w:sz="6" w:space="0" w:color="auto"/>
            </w:tcBorders>
            <w:vAlign w:val="center"/>
          </w:tcPr>
          <w:p w14:paraId="380CF333" w14:textId="77777777" w:rsidR="008562D8" w:rsidRPr="00612826" w:rsidRDefault="008562D8" w:rsidP="00C1728B">
            <w:pPr>
              <w:numPr>
                <w:ilvl w:val="0"/>
                <w:numId w:val="97"/>
              </w:numPr>
              <w:rPr>
                <w:spacing w:val="8"/>
                <w:sz w:val="24"/>
                <w:szCs w:val="24"/>
              </w:rPr>
            </w:pPr>
            <w:r w:rsidRPr="00612826">
              <w:rPr>
                <w:spacing w:val="8"/>
                <w:sz w:val="24"/>
                <w:szCs w:val="24"/>
              </w:rPr>
              <w:t xml:space="preserve">Review </w:t>
            </w:r>
            <w:r w:rsidR="00F16D51" w:rsidRPr="00612826">
              <w:rPr>
                <w:spacing w:val="8"/>
                <w:sz w:val="24"/>
                <w:szCs w:val="24"/>
              </w:rPr>
              <w:t>of order information</w:t>
            </w:r>
            <w:r w:rsidRPr="00612826">
              <w:rPr>
                <w:spacing w:val="8"/>
                <w:sz w:val="24"/>
                <w:szCs w:val="24"/>
              </w:rPr>
              <w:t xml:space="preserve"> </w:t>
            </w:r>
          </w:p>
          <w:p w14:paraId="63DACF41" w14:textId="77777777" w:rsidR="00F16D51" w:rsidRPr="00612826" w:rsidRDefault="00F16D51" w:rsidP="00C1728B">
            <w:pPr>
              <w:numPr>
                <w:ilvl w:val="0"/>
                <w:numId w:val="97"/>
              </w:numPr>
              <w:rPr>
                <w:spacing w:val="8"/>
                <w:sz w:val="24"/>
                <w:szCs w:val="24"/>
              </w:rPr>
            </w:pPr>
            <w:r w:rsidRPr="00612826">
              <w:rPr>
                <w:spacing w:val="8"/>
                <w:sz w:val="24"/>
                <w:szCs w:val="24"/>
              </w:rPr>
              <w:t>Review of TRACE reporting</w:t>
            </w:r>
          </w:p>
          <w:p w14:paraId="5C4DE7BF" w14:textId="77777777" w:rsidR="00205198" w:rsidRPr="00612826" w:rsidRDefault="00205198" w:rsidP="00C1728B">
            <w:pPr>
              <w:numPr>
                <w:ilvl w:val="0"/>
                <w:numId w:val="97"/>
              </w:numPr>
              <w:rPr>
                <w:spacing w:val="8"/>
                <w:sz w:val="24"/>
                <w:szCs w:val="24"/>
              </w:rPr>
            </w:pPr>
            <w:r w:rsidRPr="00612826">
              <w:rPr>
                <w:spacing w:val="8"/>
                <w:sz w:val="24"/>
                <w:szCs w:val="24"/>
              </w:rPr>
              <w:t>Review of TRACE Entitlement and Contact Report</w:t>
            </w:r>
          </w:p>
          <w:p w14:paraId="33C0833F" w14:textId="77777777" w:rsidR="008562D8" w:rsidRPr="00612826" w:rsidRDefault="008562D8" w:rsidP="00C1728B">
            <w:pPr>
              <w:numPr>
                <w:ilvl w:val="0"/>
                <w:numId w:val="94"/>
              </w:numPr>
              <w:rPr>
                <w:spacing w:val="8"/>
                <w:sz w:val="24"/>
                <w:szCs w:val="24"/>
              </w:rPr>
            </w:pPr>
            <w:r w:rsidRPr="00612826">
              <w:rPr>
                <w:spacing w:val="8"/>
                <w:sz w:val="24"/>
                <w:szCs w:val="24"/>
              </w:rPr>
              <w:t>Provide training to Associated Persons</w:t>
            </w:r>
          </w:p>
        </w:tc>
      </w:tr>
      <w:tr w:rsidR="008562D8" w:rsidRPr="00671FC0" w14:paraId="48A0C9B2" w14:textId="77777777" w:rsidTr="008562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1074F26" w14:textId="77777777" w:rsidR="008562D8" w:rsidRPr="00671FC0" w:rsidRDefault="008562D8" w:rsidP="008562D8">
            <w:pPr>
              <w:jc w:val="center"/>
              <w:rPr>
                <w:b/>
                <w:bCs/>
                <w:color w:val="000000"/>
                <w:spacing w:val="8"/>
                <w:sz w:val="24"/>
                <w:szCs w:val="24"/>
              </w:rPr>
            </w:pPr>
            <w:r w:rsidRPr="00671FC0">
              <w:rPr>
                <w:b/>
                <w:bCs/>
                <w:color w:val="000000"/>
                <w:spacing w:val="8"/>
                <w:sz w:val="24"/>
                <w:szCs w:val="24"/>
              </w:rPr>
              <w:t>Records</w:t>
            </w:r>
          </w:p>
        </w:tc>
        <w:tc>
          <w:tcPr>
            <w:tcW w:w="0" w:type="auto"/>
            <w:tcBorders>
              <w:top w:val="outset" w:sz="6" w:space="0" w:color="auto"/>
              <w:left w:val="outset" w:sz="6" w:space="0" w:color="auto"/>
              <w:bottom w:val="outset" w:sz="6" w:space="0" w:color="auto"/>
              <w:right w:val="outset" w:sz="6" w:space="0" w:color="auto"/>
            </w:tcBorders>
            <w:vAlign w:val="center"/>
          </w:tcPr>
          <w:p w14:paraId="507434C1" w14:textId="77777777" w:rsidR="008562D8" w:rsidRPr="00612826" w:rsidRDefault="008562D8" w:rsidP="00C1728B">
            <w:pPr>
              <w:numPr>
                <w:ilvl w:val="0"/>
                <w:numId w:val="95"/>
              </w:numPr>
              <w:rPr>
                <w:spacing w:val="8"/>
                <w:sz w:val="24"/>
                <w:szCs w:val="24"/>
              </w:rPr>
            </w:pPr>
            <w:r w:rsidRPr="00612826">
              <w:rPr>
                <w:spacing w:val="8"/>
                <w:sz w:val="24"/>
                <w:szCs w:val="24"/>
              </w:rPr>
              <w:t>Trade blotters</w:t>
            </w:r>
          </w:p>
          <w:p w14:paraId="1518A2B0" w14:textId="77777777" w:rsidR="008562D8" w:rsidRPr="00612826" w:rsidRDefault="00F16D51" w:rsidP="00C1728B">
            <w:pPr>
              <w:numPr>
                <w:ilvl w:val="0"/>
                <w:numId w:val="95"/>
              </w:numPr>
              <w:rPr>
                <w:spacing w:val="8"/>
                <w:sz w:val="24"/>
                <w:szCs w:val="24"/>
              </w:rPr>
            </w:pPr>
            <w:r w:rsidRPr="00612826">
              <w:rPr>
                <w:spacing w:val="8"/>
                <w:sz w:val="24"/>
                <w:szCs w:val="24"/>
              </w:rPr>
              <w:t>Order tickets</w:t>
            </w:r>
          </w:p>
          <w:p w14:paraId="6D25F3DB" w14:textId="77777777" w:rsidR="008562D8" w:rsidRPr="00612826" w:rsidRDefault="008562D8" w:rsidP="00C1728B">
            <w:pPr>
              <w:numPr>
                <w:ilvl w:val="0"/>
                <w:numId w:val="95"/>
              </w:numPr>
              <w:rPr>
                <w:spacing w:val="8"/>
                <w:sz w:val="24"/>
                <w:szCs w:val="24"/>
              </w:rPr>
            </w:pPr>
            <w:r w:rsidRPr="00612826">
              <w:rPr>
                <w:spacing w:val="8"/>
                <w:sz w:val="24"/>
                <w:szCs w:val="24"/>
              </w:rPr>
              <w:t>Training records</w:t>
            </w:r>
          </w:p>
          <w:p w14:paraId="6409020E" w14:textId="77777777" w:rsidR="00B704C5" w:rsidRPr="00612826" w:rsidRDefault="00B704C5" w:rsidP="00C1728B">
            <w:pPr>
              <w:numPr>
                <w:ilvl w:val="0"/>
                <w:numId w:val="95"/>
              </w:numPr>
              <w:rPr>
                <w:spacing w:val="8"/>
                <w:sz w:val="24"/>
                <w:szCs w:val="24"/>
              </w:rPr>
            </w:pPr>
            <w:r w:rsidRPr="00612826">
              <w:rPr>
                <w:spacing w:val="8"/>
                <w:sz w:val="24"/>
                <w:szCs w:val="24"/>
              </w:rPr>
              <w:t>TRACE review records</w:t>
            </w:r>
          </w:p>
        </w:tc>
      </w:tr>
    </w:tbl>
    <w:p w14:paraId="5B66A01B" w14:textId="77777777" w:rsidR="008562D8" w:rsidRPr="008562D8" w:rsidRDefault="008562D8" w:rsidP="008562D8"/>
    <w:p w14:paraId="0B1921F9" w14:textId="77777777" w:rsidR="008562D8" w:rsidRDefault="008562D8" w:rsidP="00140C02"/>
    <w:p w14:paraId="5E391217" w14:textId="77777777" w:rsidR="00AA08E3" w:rsidRDefault="00AA08E3" w:rsidP="00140C02"/>
    <w:p w14:paraId="4E77E4E1" w14:textId="77777777" w:rsidR="000C099C" w:rsidRDefault="00AA08E3" w:rsidP="00936FEE">
      <w:pPr>
        <w:pStyle w:val="Heading2"/>
      </w:pPr>
      <w:bookmarkStart w:id="222" w:name="_12.3_Markups/Markdowns"/>
      <w:bookmarkEnd w:id="222"/>
      <w:r>
        <w:t xml:space="preserve">12.3 </w:t>
      </w:r>
      <w:r w:rsidR="000C099C">
        <w:t>Markup</w:t>
      </w:r>
      <w:r>
        <w:t>s</w:t>
      </w:r>
      <w:r w:rsidR="000C099C">
        <w:t>/Markdown</w:t>
      </w:r>
      <w:bookmarkEnd w:id="220"/>
      <w:bookmarkEnd w:id="221"/>
      <w:r>
        <w:t>s</w:t>
      </w:r>
    </w:p>
    <w:p w14:paraId="6894747C" w14:textId="77777777" w:rsidR="00451D78" w:rsidRDefault="000C099C">
      <w:pPr>
        <w:tabs>
          <w:tab w:val="left" w:pos="720"/>
        </w:tabs>
        <w:jc w:val="both"/>
        <w:rPr>
          <w:sz w:val="24"/>
          <w:szCs w:val="24"/>
        </w:rPr>
      </w:pPr>
      <w:r>
        <w:rPr>
          <w:sz w:val="24"/>
        </w:rPr>
        <w:t>All executed orders should be reviewed by the designated principal at each OSJ. The Company shall not charge any principal markups/markdowns, whether riskless or at risk, greater than 5%. Any exceptions would be required to be approved by Morris Monroe and the conditions precedent to the exception must be noted in the Company's records to document the basis of granting of such exception.</w:t>
      </w:r>
      <w:r w:rsidR="00A31807">
        <w:rPr>
          <w:sz w:val="24"/>
        </w:rPr>
        <w:t xml:space="preserve">  </w:t>
      </w:r>
      <w:r w:rsidR="00A31807" w:rsidRPr="00AF3D2D">
        <w:rPr>
          <w:sz w:val="24"/>
          <w:szCs w:val="24"/>
        </w:rPr>
        <w:t>Following is FINRA's Mark-Up Policy in Rule 2121.</w:t>
      </w:r>
      <w:r w:rsidR="00193F67">
        <w:rPr>
          <w:sz w:val="24"/>
          <w:szCs w:val="24"/>
        </w:rPr>
        <w:t xml:space="preserve"> </w:t>
      </w:r>
    </w:p>
    <w:p w14:paraId="2245B6B4" w14:textId="77777777" w:rsidR="00451D78" w:rsidRDefault="00451D78">
      <w:pPr>
        <w:tabs>
          <w:tab w:val="left" w:pos="720"/>
        </w:tabs>
        <w:jc w:val="both"/>
        <w:rPr>
          <w:sz w:val="24"/>
          <w:szCs w:val="24"/>
        </w:rPr>
      </w:pPr>
    </w:p>
    <w:p w14:paraId="677EE251" w14:textId="77777777" w:rsidR="000C099C" w:rsidRPr="00593EE9" w:rsidRDefault="00193F67">
      <w:pPr>
        <w:tabs>
          <w:tab w:val="left" w:pos="720"/>
        </w:tabs>
        <w:jc w:val="both"/>
        <w:rPr>
          <w:sz w:val="24"/>
        </w:rPr>
      </w:pPr>
      <w:bookmarkStart w:id="223" w:name="_Hlk17902090"/>
      <w:r w:rsidRPr="00593EE9">
        <w:rPr>
          <w:sz w:val="24"/>
          <w:szCs w:val="24"/>
        </w:rPr>
        <w:lastRenderedPageBreak/>
        <w:t xml:space="preserve">Effective 5/18/18, </w:t>
      </w:r>
      <w:r w:rsidR="00451D78" w:rsidRPr="00593EE9">
        <w:rPr>
          <w:sz w:val="24"/>
          <w:szCs w:val="24"/>
        </w:rPr>
        <w:t xml:space="preserve">pursuant to FINRA Rules 2232 and 2121, the </w:t>
      </w:r>
      <w:proofErr w:type="gramStart"/>
      <w:r w:rsidR="00451D78" w:rsidRPr="00593EE9">
        <w:rPr>
          <w:sz w:val="24"/>
          <w:szCs w:val="24"/>
        </w:rPr>
        <w:t>amount</w:t>
      </w:r>
      <w:proofErr w:type="gramEnd"/>
      <w:r w:rsidR="00451D78" w:rsidRPr="00593EE9">
        <w:rPr>
          <w:sz w:val="24"/>
          <w:szCs w:val="24"/>
        </w:rPr>
        <w:t xml:space="preserve"> of mark-ups and mark-downs will be disclosed on retail customer confirmation from the custodian </w:t>
      </w:r>
      <w:r w:rsidR="00451D78" w:rsidRPr="00593EE9">
        <w:rPr>
          <w:i/>
          <w:sz w:val="24"/>
          <w:szCs w:val="24"/>
        </w:rPr>
        <w:t>(eff 05/14/18)</w:t>
      </w:r>
      <w:r w:rsidR="00451D78" w:rsidRPr="00593EE9">
        <w:rPr>
          <w:sz w:val="24"/>
          <w:szCs w:val="24"/>
        </w:rPr>
        <w:t>. Two additional disclosures include: (1) a reference (or hyperlink if the confirmation is electronic) to a FINRA web page containing publicly available trading data for the security traded; and (2) the execution time expressed to the second.  Disclosure is required if Company executes one or more offsetting principal trades in the same security on the same trading day which, in aggregate, meet or exceed the size of the customer trade.  Disclosure may also be required because of an offsetting principal trade executed by an affiliate that did not occur at arm's length [defined in FINRA Rule 2232(f)(3)].  Disclosure is not required for principal trades executed on a trading desk functionally separate from a trading desk that executes customer trades.  It is also not required for bonds acquired in a fixed-priced offering and sold to non-institutional customers at the same offering price the same day Company acquires the bonds.</w:t>
      </w:r>
      <w:r w:rsidR="00525988" w:rsidRPr="00593EE9">
        <w:rPr>
          <w:sz w:val="24"/>
          <w:szCs w:val="24"/>
        </w:rPr>
        <w:t xml:space="preserve">  Trades will be reviewed post trade by Compliance to ensure </w:t>
      </w:r>
      <w:r w:rsidR="00593EE9" w:rsidRPr="00593EE9">
        <w:rPr>
          <w:sz w:val="24"/>
          <w:szCs w:val="24"/>
        </w:rPr>
        <w:t>markup</w:t>
      </w:r>
      <w:r w:rsidR="00525988" w:rsidRPr="00593EE9">
        <w:rPr>
          <w:sz w:val="24"/>
          <w:szCs w:val="24"/>
        </w:rPr>
        <w:t xml:space="preserve"> is disclosed on the confirmation and if not, Operations will initiate a cancel and rebill to generate a corrected confirm.</w:t>
      </w:r>
    </w:p>
    <w:bookmarkEnd w:id="223"/>
    <w:p w14:paraId="09BD2FD8" w14:textId="77777777" w:rsidR="000C099C" w:rsidRPr="00593EE9" w:rsidRDefault="000C099C">
      <w:pPr>
        <w:tabs>
          <w:tab w:val="left" w:pos="720"/>
        </w:tabs>
        <w:jc w:val="both"/>
        <w:rPr>
          <w:sz w:val="24"/>
        </w:rPr>
      </w:pPr>
    </w:p>
    <w:p w14:paraId="39E132F5" w14:textId="77777777" w:rsidR="00A31807" w:rsidRPr="00AF3D2D" w:rsidRDefault="00A31807" w:rsidP="00A31807">
      <w:pPr>
        <w:tabs>
          <w:tab w:val="left" w:pos="720"/>
        </w:tabs>
        <w:jc w:val="both"/>
        <w:rPr>
          <w:b/>
          <w:sz w:val="24"/>
        </w:rPr>
      </w:pPr>
      <w:r w:rsidRPr="00AF3D2D">
        <w:rPr>
          <w:b/>
          <w:sz w:val="24"/>
        </w:rPr>
        <w:t>General Considerations</w:t>
      </w:r>
    </w:p>
    <w:p w14:paraId="0F6CB168" w14:textId="77777777" w:rsidR="00A31807" w:rsidRPr="00AF3D2D" w:rsidRDefault="00A31807" w:rsidP="003E7B18">
      <w:pPr>
        <w:numPr>
          <w:ilvl w:val="0"/>
          <w:numId w:val="258"/>
        </w:numPr>
        <w:shd w:val="clear" w:color="auto" w:fill="FFFFFF"/>
        <w:rPr>
          <w:sz w:val="24"/>
          <w:szCs w:val="24"/>
        </w:rPr>
      </w:pPr>
      <w:r w:rsidRPr="00AF3D2D">
        <w:rPr>
          <w:sz w:val="24"/>
          <w:szCs w:val="24"/>
        </w:rPr>
        <w:t>The historical "5% Policy" is a guide, not a rule.</w:t>
      </w:r>
    </w:p>
    <w:p w14:paraId="57DE926F" w14:textId="77777777" w:rsidR="00A31807" w:rsidRPr="00AF3D2D" w:rsidRDefault="00A31807" w:rsidP="003E7B18">
      <w:pPr>
        <w:numPr>
          <w:ilvl w:val="0"/>
          <w:numId w:val="258"/>
        </w:numPr>
        <w:shd w:val="clear" w:color="auto" w:fill="FFFFFF"/>
        <w:rPr>
          <w:sz w:val="24"/>
          <w:szCs w:val="24"/>
        </w:rPr>
      </w:pPr>
      <w:r w:rsidRPr="00AF3D2D">
        <w:rPr>
          <w:sz w:val="24"/>
          <w:szCs w:val="24"/>
        </w:rPr>
        <w:t>A member may not justify mark-ups on the basis of expenses which are excessive.</w:t>
      </w:r>
    </w:p>
    <w:p w14:paraId="10A49A3F" w14:textId="77777777" w:rsidR="00A31807" w:rsidRPr="00AF3D2D" w:rsidRDefault="00A31807" w:rsidP="003E7B18">
      <w:pPr>
        <w:numPr>
          <w:ilvl w:val="0"/>
          <w:numId w:val="258"/>
        </w:numPr>
        <w:shd w:val="clear" w:color="auto" w:fill="FFFFFF"/>
        <w:rPr>
          <w:sz w:val="24"/>
          <w:szCs w:val="24"/>
        </w:rPr>
      </w:pPr>
      <w:r w:rsidRPr="00AF3D2D">
        <w:rPr>
          <w:sz w:val="24"/>
          <w:szCs w:val="24"/>
        </w:rPr>
        <w:t>The mark-up over the prevailing market price is the significant spread from the point of view of fairness of dealings with customers in principal transactions. In the absence of other bona fide evidence of the prevailing market, a member's own contemporaneous cost is the best indication of the prevailing market price of a security.</w:t>
      </w:r>
    </w:p>
    <w:p w14:paraId="15BE2846" w14:textId="77777777" w:rsidR="00A31807" w:rsidRPr="00AF3D2D" w:rsidRDefault="00A31807" w:rsidP="003E7B18">
      <w:pPr>
        <w:numPr>
          <w:ilvl w:val="0"/>
          <w:numId w:val="258"/>
        </w:numPr>
        <w:shd w:val="clear" w:color="auto" w:fill="FFFFFF"/>
        <w:rPr>
          <w:sz w:val="24"/>
          <w:szCs w:val="24"/>
        </w:rPr>
      </w:pPr>
      <w:r w:rsidRPr="00AF3D2D">
        <w:rPr>
          <w:sz w:val="24"/>
          <w:szCs w:val="24"/>
        </w:rPr>
        <w:t>A mark-up pattern of 5% or even less may be considered unfair or unreasonable under the "5% Policy."</w:t>
      </w:r>
    </w:p>
    <w:p w14:paraId="3B1BC08C" w14:textId="77777777" w:rsidR="00A31807" w:rsidRPr="00AF3D2D" w:rsidRDefault="00A31807" w:rsidP="003E7B18">
      <w:pPr>
        <w:numPr>
          <w:ilvl w:val="0"/>
          <w:numId w:val="258"/>
        </w:numPr>
        <w:shd w:val="clear" w:color="auto" w:fill="FFFFFF"/>
        <w:rPr>
          <w:sz w:val="24"/>
          <w:szCs w:val="24"/>
        </w:rPr>
      </w:pPr>
      <w:r w:rsidRPr="00AF3D2D">
        <w:rPr>
          <w:sz w:val="24"/>
          <w:szCs w:val="24"/>
        </w:rPr>
        <w:t>Determination of the fairness of mark-ups must be based on a consideration of all the relevant factors, of which the percentage of mark-up is only one.</w:t>
      </w:r>
    </w:p>
    <w:p w14:paraId="32B6A0C3" w14:textId="77777777" w:rsidR="00A31807" w:rsidRPr="00AF3D2D" w:rsidRDefault="00A31807">
      <w:pPr>
        <w:tabs>
          <w:tab w:val="left" w:pos="720"/>
        </w:tabs>
        <w:jc w:val="both"/>
        <w:rPr>
          <w:b/>
          <w:sz w:val="24"/>
        </w:rPr>
      </w:pPr>
    </w:p>
    <w:p w14:paraId="234233E1" w14:textId="77777777" w:rsidR="008A7A5E" w:rsidRPr="00AF3D2D" w:rsidRDefault="008A7A5E" w:rsidP="008A7A5E">
      <w:pPr>
        <w:rPr>
          <w:b/>
          <w:sz w:val="24"/>
          <w:szCs w:val="24"/>
        </w:rPr>
      </w:pPr>
      <w:r w:rsidRPr="00AF3D2D">
        <w:rPr>
          <w:b/>
          <w:sz w:val="24"/>
          <w:szCs w:val="24"/>
        </w:rPr>
        <w:t xml:space="preserve">Prevailing Market Price </w:t>
      </w:r>
    </w:p>
    <w:p w14:paraId="3DCD0CD0" w14:textId="77777777" w:rsidR="008A7A5E" w:rsidRPr="00AF3D2D" w:rsidRDefault="008A7A5E" w:rsidP="008A7A5E">
      <w:pPr>
        <w:pStyle w:val="Normal3"/>
        <w:shd w:val="clear" w:color="auto" w:fill="FFFFFF"/>
        <w:spacing w:before="0" w:beforeAutospacing="0" w:after="0" w:afterAutospacing="0"/>
      </w:pPr>
      <w:r w:rsidRPr="00AF3D2D">
        <w:rPr>
          <w:b/>
          <w:bCs/>
        </w:rPr>
        <w:t>(1)</w:t>
      </w:r>
      <w:r w:rsidRPr="00AF3D2D">
        <w:t xml:space="preserve"> A dealer that is acting in a principal capacity in a transaction with a customer and is charging a mark-up or mark-down must mark-up or mark-down the transaction from the prevailing market price. The presumptive prevailing market price for a debt security is established by referring to the dealer's contemporaneous cost as incurred, or contemporaneous proceeds as obtained, consistent with FINRA pricing rules. (See Rule 5310).</w:t>
      </w:r>
    </w:p>
    <w:p w14:paraId="7E716BBD" w14:textId="77777777" w:rsidR="00B00543" w:rsidRPr="00AF3D2D" w:rsidRDefault="00B00543" w:rsidP="008A7A5E">
      <w:pPr>
        <w:pStyle w:val="Normal3"/>
        <w:shd w:val="clear" w:color="auto" w:fill="FFFFFF"/>
        <w:spacing w:before="0" w:beforeAutospacing="0" w:after="0" w:afterAutospacing="0"/>
        <w:rPr>
          <w:sz w:val="16"/>
          <w:szCs w:val="16"/>
        </w:rPr>
      </w:pPr>
    </w:p>
    <w:p w14:paraId="603F2C3E" w14:textId="77777777" w:rsidR="008A7A5E" w:rsidRPr="00AF3D2D" w:rsidRDefault="008A7A5E" w:rsidP="00B00543">
      <w:pPr>
        <w:pStyle w:val="Normal3"/>
        <w:shd w:val="clear" w:color="auto" w:fill="FFFFFF"/>
        <w:spacing w:before="0" w:beforeAutospacing="0" w:after="0" w:afterAutospacing="0"/>
      </w:pPr>
      <w:r w:rsidRPr="00AF3D2D">
        <w:rPr>
          <w:b/>
          <w:bCs/>
        </w:rPr>
        <w:t>(2)</w:t>
      </w:r>
      <w:r w:rsidRPr="00AF3D2D">
        <w:t xml:space="preserve"> When the dealer is </w:t>
      </w:r>
      <w:r w:rsidRPr="00AF3D2D">
        <w:rPr>
          <w:i/>
          <w:iCs/>
        </w:rPr>
        <w:t>selling</w:t>
      </w:r>
      <w:r w:rsidRPr="00AF3D2D">
        <w:t xml:space="preserve"> the security to a customer, countervailing evidence of the prevailing market price may be considered only where the dealer made no contemporaneous purchases in the security or can show that in the particular circumstances the dealer's </w:t>
      </w:r>
      <w:r w:rsidRPr="00AF3D2D">
        <w:rPr>
          <w:i/>
          <w:iCs/>
        </w:rPr>
        <w:t>contemporaneous cost</w:t>
      </w:r>
      <w:r w:rsidRPr="00AF3D2D">
        <w:t xml:space="preserve"> is not indicative of the prevailing market price. When the dealer is buying the security from a customer, countervailing evidence of the prevailing market price may be considered only where the dealer made no contemporaneous sales in the security or can show that in the particular circumstances the dealer's </w:t>
      </w:r>
      <w:r w:rsidRPr="00AF3D2D">
        <w:rPr>
          <w:i/>
          <w:iCs/>
        </w:rPr>
        <w:t>contemporaneous proceeds</w:t>
      </w:r>
      <w:r w:rsidRPr="00AF3D2D">
        <w:t xml:space="preserve"> are not indicative of the prevailing market price.</w:t>
      </w:r>
    </w:p>
    <w:p w14:paraId="729126A7" w14:textId="77777777" w:rsidR="00B00543" w:rsidRPr="00AF3D2D" w:rsidRDefault="00B00543" w:rsidP="00B00543">
      <w:pPr>
        <w:pStyle w:val="Normal3"/>
        <w:shd w:val="clear" w:color="auto" w:fill="FFFFFF"/>
        <w:spacing w:before="0" w:beforeAutospacing="0" w:after="0" w:afterAutospacing="0"/>
        <w:rPr>
          <w:sz w:val="16"/>
          <w:szCs w:val="16"/>
        </w:rPr>
      </w:pPr>
    </w:p>
    <w:p w14:paraId="4584D698" w14:textId="77777777" w:rsidR="008A7A5E" w:rsidRPr="00AF3D2D" w:rsidRDefault="008A7A5E" w:rsidP="009B248B">
      <w:pPr>
        <w:pStyle w:val="Normal3"/>
        <w:shd w:val="clear" w:color="auto" w:fill="FFFFFF"/>
        <w:spacing w:before="0" w:beforeAutospacing="0" w:after="0" w:afterAutospacing="0"/>
      </w:pPr>
      <w:r w:rsidRPr="00AF3D2D">
        <w:rPr>
          <w:b/>
          <w:bCs/>
        </w:rPr>
        <w:t>(3)</w:t>
      </w:r>
      <w:r w:rsidRPr="00AF3D2D">
        <w:t xml:space="preserve"> A dealer's cost is considered contemporaneous if the transaction occurs close enough in time to the subject transaction that it would reasonably be expected to reflect the current market price for the security. (Where a mark-down is being calculated, a dealer's proceeds would be considered contemporaneous if the transaction from which the proceeds result occurs close enough in time to the subject transaction that such proceeds would reasonably be expected to reflect the current market price for the security.)</w:t>
      </w:r>
    </w:p>
    <w:p w14:paraId="14295DDD" w14:textId="77777777" w:rsidR="009B248B" w:rsidRPr="00AF3D2D" w:rsidRDefault="009B248B" w:rsidP="009B248B">
      <w:pPr>
        <w:pStyle w:val="Normal3"/>
        <w:shd w:val="clear" w:color="auto" w:fill="FFFFFF"/>
        <w:spacing w:before="0" w:beforeAutospacing="0" w:after="0" w:afterAutospacing="0"/>
        <w:rPr>
          <w:sz w:val="16"/>
          <w:szCs w:val="16"/>
        </w:rPr>
      </w:pPr>
    </w:p>
    <w:p w14:paraId="12029632" w14:textId="77777777" w:rsidR="008A7A5E" w:rsidRPr="00AF3D2D" w:rsidRDefault="008A7A5E" w:rsidP="009B248B">
      <w:pPr>
        <w:pStyle w:val="Normal3"/>
        <w:shd w:val="clear" w:color="auto" w:fill="FFFFFF"/>
        <w:spacing w:before="0" w:beforeAutospacing="0" w:after="0" w:afterAutospacing="0"/>
      </w:pPr>
      <w:r w:rsidRPr="00AF3D2D">
        <w:rPr>
          <w:b/>
          <w:bCs/>
        </w:rPr>
        <w:lastRenderedPageBreak/>
        <w:t>(4)</w:t>
      </w:r>
      <w:r w:rsidRPr="00AF3D2D">
        <w:t xml:space="preserve"> A dealer that effects a transaction in debt securities with a customer and identifies the prevailing market price using a measure other than the dealer's own contemporaneous cost (or, in a mark-down, the dealer's own proceeds) must be prepared to provide evidence that is sufficient to overcome the presumption that the dealer's contemporaneous cost (or, the dealer's proceeds) provides the best measure of the prevailing market price. A dealer may be able to show that its contemporaneous cost is (or proceeds are) not indicative of prevailing market price, and thus overcome the presumption, in instances where:</w:t>
      </w:r>
    </w:p>
    <w:p w14:paraId="0848A467" w14:textId="77777777" w:rsidR="008A7A5E" w:rsidRPr="00AF3D2D" w:rsidRDefault="008A7A5E" w:rsidP="003E7B18">
      <w:pPr>
        <w:numPr>
          <w:ilvl w:val="0"/>
          <w:numId w:val="262"/>
        </w:numPr>
        <w:shd w:val="clear" w:color="auto" w:fill="FFFFFF"/>
        <w:spacing w:before="100" w:beforeAutospacing="1" w:after="100" w:afterAutospacing="1"/>
        <w:rPr>
          <w:sz w:val="24"/>
          <w:szCs w:val="24"/>
        </w:rPr>
      </w:pPr>
      <w:r w:rsidRPr="00AF3D2D">
        <w:rPr>
          <w:sz w:val="24"/>
          <w:szCs w:val="24"/>
        </w:rPr>
        <w:t>interest rates changed after the dealer's contemporaneous transaction to a degree that such change would reasonably cause a change in debt securities pricing;</w:t>
      </w:r>
    </w:p>
    <w:p w14:paraId="65D7CBA6" w14:textId="77777777" w:rsidR="008A7A5E" w:rsidRPr="00AF3D2D" w:rsidRDefault="008A7A5E" w:rsidP="003E7B18">
      <w:pPr>
        <w:numPr>
          <w:ilvl w:val="0"/>
          <w:numId w:val="262"/>
        </w:numPr>
        <w:shd w:val="clear" w:color="auto" w:fill="FFFFFF"/>
        <w:spacing w:before="100" w:beforeAutospacing="1" w:after="100" w:afterAutospacing="1"/>
        <w:rPr>
          <w:sz w:val="24"/>
          <w:szCs w:val="24"/>
        </w:rPr>
      </w:pPr>
      <w:r w:rsidRPr="00AF3D2D">
        <w:rPr>
          <w:sz w:val="24"/>
          <w:szCs w:val="24"/>
        </w:rPr>
        <w:t>the credit quality of the debt security changed significantly after the dealer's contemporaneous transaction; or</w:t>
      </w:r>
    </w:p>
    <w:p w14:paraId="22AC7D0B" w14:textId="77777777" w:rsidR="008A7A5E" w:rsidRPr="00AF3D2D" w:rsidRDefault="008A7A5E" w:rsidP="003E7B18">
      <w:pPr>
        <w:numPr>
          <w:ilvl w:val="0"/>
          <w:numId w:val="262"/>
        </w:numPr>
        <w:shd w:val="clear" w:color="auto" w:fill="FFFFFF"/>
        <w:spacing w:before="100" w:beforeAutospacing="1" w:after="100" w:afterAutospacing="1"/>
        <w:rPr>
          <w:sz w:val="24"/>
          <w:szCs w:val="24"/>
        </w:rPr>
      </w:pPr>
      <w:r w:rsidRPr="00AF3D2D">
        <w:rPr>
          <w:sz w:val="24"/>
          <w:szCs w:val="24"/>
        </w:rPr>
        <w:t>news was issued or otherwise distributed and known to the marketplace that had an effect on the perceived value of the debt security after the dealer's contemporaneous transaction.</w:t>
      </w:r>
    </w:p>
    <w:p w14:paraId="4E45CB63" w14:textId="77777777" w:rsidR="008A7A5E" w:rsidRPr="00AF3D2D" w:rsidRDefault="008A7A5E" w:rsidP="009B248B">
      <w:pPr>
        <w:shd w:val="clear" w:color="auto" w:fill="FFFFFF"/>
        <w:rPr>
          <w:sz w:val="24"/>
          <w:szCs w:val="24"/>
        </w:rPr>
      </w:pPr>
      <w:r w:rsidRPr="00AF3D2D">
        <w:rPr>
          <w:b/>
          <w:bCs/>
          <w:sz w:val="24"/>
          <w:szCs w:val="24"/>
        </w:rPr>
        <w:t>(5)</w:t>
      </w:r>
      <w:r w:rsidRPr="00AF3D2D">
        <w:rPr>
          <w:sz w:val="24"/>
          <w:szCs w:val="24"/>
        </w:rPr>
        <w:t xml:space="preserve"> In instances where the dealer has established that the dealer's cost is (or, in a mark-down, proceeds are) no longer contemporaneous, or where the dealer has presented evidence that is sufficient to overcome the presumption that the dealer's contemporaneous cost (or proceeds) provides the best measure of the prevailing market price, such as those instances described under </w:t>
      </w:r>
      <w:r w:rsidRPr="00AF3D2D">
        <w:rPr>
          <w:i/>
          <w:iCs/>
          <w:sz w:val="24"/>
          <w:szCs w:val="24"/>
        </w:rPr>
        <w:t>Prevailing Market Price</w:t>
      </w:r>
      <w:r w:rsidRPr="00AF3D2D">
        <w:rPr>
          <w:sz w:val="24"/>
          <w:szCs w:val="24"/>
        </w:rPr>
        <w:t>, sub-paragraph (4), a member must consider, in the order listed, the following types of pricing information to determine prevailing market price:</w:t>
      </w:r>
    </w:p>
    <w:p w14:paraId="66987E3D" w14:textId="77777777" w:rsidR="008A7A5E" w:rsidRPr="00AF3D2D" w:rsidRDefault="008A7A5E" w:rsidP="003E7B18">
      <w:pPr>
        <w:numPr>
          <w:ilvl w:val="0"/>
          <w:numId w:val="263"/>
        </w:numPr>
        <w:shd w:val="clear" w:color="auto" w:fill="FFFFFF"/>
        <w:spacing w:before="100" w:beforeAutospacing="1" w:after="100" w:afterAutospacing="1"/>
        <w:rPr>
          <w:sz w:val="24"/>
          <w:szCs w:val="24"/>
        </w:rPr>
      </w:pPr>
      <w:r w:rsidRPr="00AF3D2D">
        <w:rPr>
          <w:sz w:val="24"/>
          <w:szCs w:val="24"/>
        </w:rPr>
        <w:t>Prices of any contemporaneous inter-dealer transactions in the security in question;</w:t>
      </w:r>
    </w:p>
    <w:p w14:paraId="032FCBDF" w14:textId="77777777" w:rsidR="008A7A5E" w:rsidRPr="00AF3D2D" w:rsidRDefault="008A7A5E" w:rsidP="003E7B18">
      <w:pPr>
        <w:numPr>
          <w:ilvl w:val="0"/>
          <w:numId w:val="263"/>
        </w:numPr>
        <w:shd w:val="clear" w:color="auto" w:fill="FFFFFF"/>
        <w:spacing w:before="100" w:beforeAutospacing="1" w:after="100" w:afterAutospacing="1"/>
        <w:rPr>
          <w:sz w:val="24"/>
          <w:szCs w:val="24"/>
        </w:rPr>
      </w:pPr>
      <w:r w:rsidRPr="00AF3D2D">
        <w:rPr>
          <w:sz w:val="24"/>
          <w:szCs w:val="24"/>
        </w:rPr>
        <w:t>In the absence of transactions described in (a), prices of contemporaneous dealer purchases (sales) in the security in question from (to) institutional accounts with which any dealer regularly effects transactions in the same security; or</w:t>
      </w:r>
    </w:p>
    <w:p w14:paraId="5BACD817" w14:textId="77777777" w:rsidR="008A7A5E" w:rsidRPr="00AF3D2D" w:rsidRDefault="008A7A5E" w:rsidP="003E7B18">
      <w:pPr>
        <w:numPr>
          <w:ilvl w:val="0"/>
          <w:numId w:val="263"/>
        </w:numPr>
        <w:shd w:val="clear" w:color="auto" w:fill="FFFFFF"/>
        <w:spacing w:before="100" w:beforeAutospacing="1" w:after="100" w:afterAutospacing="1"/>
        <w:rPr>
          <w:sz w:val="24"/>
          <w:szCs w:val="24"/>
        </w:rPr>
      </w:pPr>
      <w:r w:rsidRPr="00AF3D2D">
        <w:rPr>
          <w:sz w:val="24"/>
          <w:szCs w:val="24"/>
        </w:rPr>
        <w:t>In the absence of transactions described in (a) and (b), for actively traded securities, contemporaneous bid (offer) quotations for the security in question made through an inter-dealer mechanism, through which transactions generally occur at the displayed quotations.</w:t>
      </w:r>
    </w:p>
    <w:p w14:paraId="10EADF66" w14:textId="77777777" w:rsidR="008A7A5E" w:rsidRPr="00AF3D2D" w:rsidRDefault="008A7A5E" w:rsidP="008A7A5E">
      <w:pPr>
        <w:shd w:val="clear" w:color="auto" w:fill="FFFFFF"/>
        <w:spacing w:before="100" w:beforeAutospacing="1" w:after="100" w:afterAutospacing="1"/>
        <w:rPr>
          <w:sz w:val="24"/>
          <w:szCs w:val="24"/>
        </w:rPr>
      </w:pPr>
      <w:r w:rsidRPr="00AF3D2D">
        <w:rPr>
          <w:sz w:val="24"/>
          <w:szCs w:val="24"/>
        </w:rPr>
        <w:t>[A member may consider a succeeding category of pricing information only when the prior category does not generate relevant pricing information (</w:t>
      </w:r>
      <w:r w:rsidRPr="00AF3D2D">
        <w:rPr>
          <w:i/>
          <w:iCs/>
          <w:sz w:val="24"/>
          <w:szCs w:val="24"/>
        </w:rPr>
        <w:t>e.g.,</w:t>
      </w:r>
      <w:r w:rsidRPr="00AF3D2D">
        <w:rPr>
          <w:sz w:val="24"/>
          <w:szCs w:val="24"/>
        </w:rPr>
        <w:t xml:space="preserve"> a member may consider pricing information under (b) only after the member has determined, after applying (a), that there are no contemporaneous inter-dealer transactions in the same security). In reviewing the pricing information available within each category, the relative weight, for purposes of identifying prevailing market price, of such information (</w:t>
      </w:r>
      <w:r w:rsidRPr="00AF3D2D">
        <w:rPr>
          <w:i/>
          <w:iCs/>
          <w:sz w:val="24"/>
          <w:szCs w:val="24"/>
        </w:rPr>
        <w:t>i.e.,</w:t>
      </w:r>
      <w:r w:rsidRPr="00AF3D2D">
        <w:rPr>
          <w:sz w:val="24"/>
          <w:szCs w:val="24"/>
        </w:rPr>
        <w:t xml:space="preserve"> either a particular transaction price, or, in (c) above, a particular quotation) depends on the facts and circumstances of the comparison transaction or quotation (</w:t>
      </w:r>
      <w:r w:rsidRPr="00AF3D2D">
        <w:rPr>
          <w:i/>
          <w:iCs/>
          <w:sz w:val="24"/>
          <w:szCs w:val="24"/>
        </w:rPr>
        <w:t>i.e.,</w:t>
      </w:r>
      <w:r w:rsidRPr="00AF3D2D">
        <w:rPr>
          <w:sz w:val="24"/>
          <w:szCs w:val="24"/>
        </w:rPr>
        <w:t xml:space="preserve"> such as whether the dealer in the comparison transaction was on the same side of the market as the dealer is in the subject transaction and timeliness of the information).] </w:t>
      </w:r>
    </w:p>
    <w:p w14:paraId="1D890BE5" w14:textId="77777777" w:rsidR="008A7A5E" w:rsidRPr="00AF3D2D" w:rsidRDefault="008A7A5E" w:rsidP="009B248B">
      <w:pPr>
        <w:shd w:val="clear" w:color="auto" w:fill="FFFFFF"/>
        <w:rPr>
          <w:sz w:val="24"/>
          <w:szCs w:val="24"/>
        </w:rPr>
      </w:pPr>
      <w:r w:rsidRPr="00AF3D2D">
        <w:rPr>
          <w:b/>
          <w:bCs/>
          <w:sz w:val="24"/>
          <w:szCs w:val="24"/>
        </w:rPr>
        <w:t>(6)</w:t>
      </w:r>
      <w:r w:rsidRPr="00AF3D2D">
        <w:rPr>
          <w:sz w:val="24"/>
          <w:szCs w:val="24"/>
        </w:rPr>
        <w:t xml:space="preserve"> In the event that, in particular circumstances, the above factors are not available, other factors that may be taken into consideration for the purpose of establishing the price from which a customer mark-up (mark-down) may be calculated, include but are not limited to:</w:t>
      </w:r>
    </w:p>
    <w:p w14:paraId="2D9A20BE" w14:textId="77777777" w:rsidR="008A7A5E" w:rsidRPr="00AF3D2D" w:rsidRDefault="008A7A5E" w:rsidP="003E7B18">
      <w:pPr>
        <w:numPr>
          <w:ilvl w:val="0"/>
          <w:numId w:val="264"/>
        </w:numPr>
        <w:shd w:val="clear" w:color="auto" w:fill="FFFFFF"/>
        <w:spacing w:before="100" w:beforeAutospacing="1" w:after="100" w:afterAutospacing="1"/>
        <w:rPr>
          <w:sz w:val="24"/>
          <w:szCs w:val="24"/>
        </w:rPr>
      </w:pPr>
      <w:r w:rsidRPr="00AF3D2D">
        <w:rPr>
          <w:sz w:val="24"/>
          <w:szCs w:val="24"/>
        </w:rPr>
        <w:t xml:space="preserve">Prices of contemporaneous inter-dealer transactions in a "similar" security, as defined below, or prices of contemporaneous dealer purchase (sale) transactions in a "similar" </w:t>
      </w:r>
      <w:r w:rsidRPr="00AF3D2D">
        <w:rPr>
          <w:sz w:val="24"/>
          <w:szCs w:val="24"/>
        </w:rPr>
        <w:lastRenderedPageBreak/>
        <w:t>security with institutional accounts with which any dealer regularly effects transactions in the "similar" security with respect to customer mark-ups (mark-downs);</w:t>
      </w:r>
    </w:p>
    <w:p w14:paraId="0CE6D69E" w14:textId="77777777" w:rsidR="008A7A5E" w:rsidRPr="00AF3D2D" w:rsidRDefault="008A7A5E" w:rsidP="003E7B18">
      <w:pPr>
        <w:numPr>
          <w:ilvl w:val="0"/>
          <w:numId w:val="264"/>
        </w:numPr>
        <w:shd w:val="clear" w:color="auto" w:fill="FFFFFF"/>
        <w:spacing w:before="100" w:beforeAutospacing="1" w:after="100" w:afterAutospacing="1"/>
        <w:rPr>
          <w:sz w:val="24"/>
          <w:szCs w:val="24"/>
        </w:rPr>
      </w:pPr>
      <w:r w:rsidRPr="00AF3D2D">
        <w:rPr>
          <w:sz w:val="24"/>
          <w:szCs w:val="24"/>
        </w:rPr>
        <w:t>Yields calculated from prices of contemporaneous inter-dealer transactions in "similar" securities;</w:t>
      </w:r>
    </w:p>
    <w:p w14:paraId="0EC42AB7" w14:textId="77777777" w:rsidR="008A7A5E" w:rsidRPr="00AF3D2D" w:rsidRDefault="008A7A5E" w:rsidP="003E7B18">
      <w:pPr>
        <w:numPr>
          <w:ilvl w:val="0"/>
          <w:numId w:val="264"/>
        </w:numPr>
        <w:shd w:val="clear" w:color="auto" w:fill="FFFFFF"/>
        <w:spacing w:before="100" w:beforeAutospacing="1" w:after="100" w:afterAutospacing="1"/>
        <w:rPr>
          <w:sz w:val="24"/>
          <w:szCs w:val="24"/>
        </w:rPr>
      </w:pPr>
      <w:r w:rsidRPr="00AF3D2D">
        <w:rPr>
          <w:sz w:val="24"/>
          <w:szCs w:val="24"/>
        </w:rPr>
        <w:t>Yields calculated from prices of contemporaneous dealer purchase (sale) transactions with institutional accounts with which any dealer regularly effects transactions in "similar" securities with respect to customer mark-ups (mark-downs); and</w:t>
      </w:r>
    </w:p>
    <w:p w14:paraId="16A7749E" w14:textId="77777777" w:rsidR="008A7A5E" w:rsidRPr="00AF3D2D" w:rsidRDefault="008A7A5E" w:rsidP="003E7B18">
      <w:pPr>
        <w:numPr>
          <w:ilvl w:val="0"/>
          <w:numId w:val="264"/>
        </w:numPr>
        <w:shd w:val="clear" w:color="auto" w:fill="FFFFFF"/>
        <w:spacing w:before="100" w:beforeAutospacing="1" w:after="100" w:afterAutospacing="1"/>
        <w:rPr>
          <w:sz w:val="24"/>
          <w:szCs w:val="24"/>
        </w:rPr>
      </w:pPr>
      <w:r w:rsidRPr="00AF3D2D">
        <w:rPr>
          <w:sz w:val="24"/>
          <w:szCs w:val="24"/>
        </w:rPr>
        <w:t>Yields calculated from validated contemporaneous inter-dealer bid (offer) quotations in "similar" securities for customer mark-ups (mark-downs).</w:t>
      </w:r>
    </w:p>
    <w:p w14:paraId="3131857A" w14:textId="77777777" w:rsidR="008A7A5E" w:rsidRPr="00AF3D2D" w:rsidRDefault="008A7A5E" w:rsidP="008A7A5E">
      <w:pPr>
        <w:shd w:val="clear" w:color="auto" w:fill="FFFFFF"/>
        <w:spacing w:before="100" w:beforeAutospacing="1" w:after="100" w:afterAutospacing="1"/>
        <w:rPr>
          <w:sz w:val="24"/>
          <w:szCs w:val="24"/>
        </w:rPr>
      </w:pPr>
      <w:r w:rsidRPr="00AF3D2D">
        <w:rPr>
          <w:sz w:val="24"/>
          <w:szCs w:val="24"/>
        </w:rPr>
        <w:t>The relative weight, for purposes of identifying prevailing market price, of the pricing information obtained from the factors set forth above depends on the facts and circumstances surrounding the comparison transaction (</w:t>
      </w:r>
      <w:r w:rsidRPr="00AF3D2D">
        <w:rPr>
          <w:i/>
          <w:iCs/>
          <w:sz w:val="24"/>
          <w:szCs w:val="24"/>
        </w:rPr>
        <w:t>i.e.,</w:t>
      </w:r>
      <w:r w:rsidRPr="00AF3D2D">
        <w:rPr>
          <w:sz w:val="24"/>
          <w:szCs w:val="24"/>
        </w:rPr>
        <w:t xml:space="preserve"> whether the dealer in the comparison transaction was on the same side of the market as the dealer is in the subject transaction, timeliness of the information, and, with respect to the final factor listed above, the relative spread of the quotations in the similar security to the quotations in the subject security). </w:t>
      </w:r>
    </w:p>
    <w:p w14:paraId="53DA5603" w14:textId="77777777" w:rsidR="008A7A5E" w:rsidRPr="00AF3D2D" w:rsidRDefault="008A7A5E" w:rsidP="009B248B">
      <w:pPr>
        <w:shd w:val="clear" w:color="auto" w:fill="FFFFFF"/>
        <w:rPr>
          <w:sz w:val="24"/>
          <w:szCs w:val="24"/>
        </w:rPr>
      </w:pPr>
      <w:r w:rsidRPr="00AF3D2D">
        <w:rPr>
          <w:b/>
          <w:bCs/>
          <w:sz w:val="24"/>
          <w:szCs w:val="24"/>
        </w:rPr>
        <w:t>(7)</w:t>
      </w:r>
      <w:r w:rsidRPr="00AF3D2D">
        <w:rPr>
          <w:sz w:val="24"/>
          <w:szCs w:val="24"/>
        </w:rPr>
        <w:t xml:space="preserve"> Finally, if information concerning the prevailing market price of the subject security cannot be obtained by applying any of the above factors, FINRA or its members may consider as a factor in assessing the prevailing market price of a debt security the prices or yields derived from economic models (</w:t>
      </w:r>
      <w:r w:rsidRPr="00AF3D2D">
        <w:rPr>
          <w:i/>
          <w:iCs/>
          <w:sz w:val="24"/>
          <w:szCs w:val="24"/>
        </w:rPr>
        <w:t>e.g.,</w:t>
      </w:r>
      <w:r w:rsidRPr="00AF3D2D">
        <w:rPr>
          <w:sz w:val="24"/>
          <w:szCs w:val="24"/>
        </w:rPr>
        <w:t xml:space="preserve"> discounted cash flow models) that take into account measures such as credit quality, interest rates, industry sector, time to maturity, call provisions and any other embedded options, coupon rate, and face value; and consider all applicable pricing terms and conventions (</w:t>
      </w:r>
      <w:r w:rsidRPr="00AF3D2D">
        <w:rPr>
          <w:i/>
          <w:iCs/>
          <w:sz w:val="24"/>
          <w:szCs w:val="24"/>
        </w:rPr>
        <w:t>e.g.,</w:t>
      </w:r>
      <w:r w:rsidRPr="00AF3D2D">
        <w:rPr>
          <w:sz w:val="24"/>
          <w:szCs w:val="24"/>
        </w:rPr>
        <w:t xml:space="preserve"> coupon frequency and accrual methods). Such models currently may be in use by bond dealers or may be specifically developed by regulators for surveillance purposes.</w:t>
      </w:r>
    </w:p>
    <w:p w14:paraId="7A228FDF" w14:textId="77777777" w:rsidR="008A7A5E" w:rsidRPr="00AF3D2D" w:rsidRDefault="008A7A5E" w:rsidP="008A7A5E">
      <w:pPr>
        <w:shd w:val="clear" w:color="auto" w:fill="FFFFFF"/>
        <w:spacing w:before="100" w:beforeAutospacing="1" w:after="100" w:afterAutospacing="1"/>
        <w:rPr>
          <w:sz w:val="24"/>
          <w:szCs w:val="24"/>
        </w:rPr>
      </w:pPr>
      <w:r w:rsidRPr="00AF3D2D">
        <w:rPr>
          <w:b/>
          <w:bCs/>
          <w:sz w:val="24"/>
          <w:szCs w:val="24"/>
        </w:rPr>
        <w:t>(8)</w:t>
      </w:r>
      <w:r w:rsidRPr="00AF3D2D">
        <w:rPr>
          <w:sz w:val="24"/>
          <w:szCs w:val="24"/>
        </w:rPr>
        <w:t xml:space="preserve"> Because the ultimate evidentiary issue is the prevailing market price, isolated transactions or isolated quotations generally will have little or no weight or relevance in establishing prevailing market price. For example, in considering yields of "similar" securities, except in extraordinary circumstances, members may not rely exclusively on isolated transactions or a limited number of transactions that are not fairly representative of the yields of transactions in "similar" securities taken as a whole.</w:t>
      </w:r>
    </w:p>
    <w:p w14:paraId="1AF6559A" w14:textId="77777777" w:rsidR="008A7A5E" w:rsidRPr="00AF3D2D" w:rsidRDefault="008A7A5E" w:rsidP="008A7A5E">
      <w:pPr>
        <w:shd w:val="clear" w:color="auto" w:fill="FFFFFF"/>
        <w:spacing w:before="100" w:beforeAutospacing="1" w:after="100" w:afterAutospacing="1"/>
        <w:rPr>
          <w:sz w:val="24"/>
          <w:szCs w:val="24"/>
        </w:rPr>
      </w:pPr>
      <w:r w:rsidRPr="00AF3D2D">
        <w:rPr>
          <w:b/>
          <w:bCs/>
          <w:sz w:val="24"/>
          <w:szCs w:val="24"/>
        </w:rPr>
        <w:t>(9)</w:t>
      </w:r>
      <w:r w:rsidRPr="00AF3D2D">
        <w:rPr>
          <w:sz w:val="24"/>
          <w:szCs w:val="24"/>
        </w:rPr>
        <w:t xml:space="preserve"> "Customer" does not include a qualified institutional buyer ("QIB") as defined in Rule 144A under the Securities Act of 1933 that is purchasing or selling a non-investment grade debt security when the dealer has determined, after considering the factors set forth in Rule 2111(b), that the QIB has the capacity to evaluate independently the investment risk and in fact is exercising independent judgment in deciding to enter into the transaction. "Non-investment grade debt security" means a debt security that:</w:t>
      </w:r>
    </w:p>
    <w:p w14:paraId="773EA486" w14:textId="77777777" w:rsidR="008A7A5E" w:rsidRPr="00AF3D2D" w:rsidRDefault="008A7A5E" w:rsidP="003E7B18">
      <w:pPr>
        <w:numPr>
          <w:ilvl w:val="0"/>
          <w:numId w:val="265"/>
        </w:numPr>
        <w:shd w:val="clear" w:color="auto" w:fill="FFFFFF"/>
        <w:spacing w:before="100" w:beforeAutospacing="1" w:after="100" w:afterAutospacing="1"/>
        <w:rPr>
          <w:sz w:val="24"/>
          <w:szCs w:val="24"/>
        </w:rPr>
      </w:pPr>
      <w:r w:rsidRPr="00AF3D2D">
        <w:rPr>
          <w:sz w:val="24"/>
          <w:szCs w:val="24"/>
        </w:rPr>
        <w:t>if rated by only one nationally recognized statistical rating organization ("NRSRO"), is rated lower than one of the four highest generic rating categories;</w:t>
      </w:r>
    </w:p>
    <w:p w14:paraId="393A8FA2" w14:textId="77777777" w:rsidR="008A7A5E" w:rsidRPr="00AF3D2D" w:rsidRDefault="008A7A5E" w:rsidP="003E7B18">
      <w:pPr>
        <w:numPr>
          <w:ilvl w:val="0"/>
          <w:numId w:val="265"/>
        </w:numPr>
        <w:shd w:val="clear" w:color="auto" w:fill="FFFFFF"/>
        <w:spacing w:before="100" w:beforeAutospacing="1" w:after="100" w:afterAutospacing="1"/>
        <w:rPr>
          <w:sz w:val="24"/>
          <w:szCs w:val="24"/>
        </w:rPr>
      </w:pPr>
      <w:r w:rsidRPr="00AF3D2D">
        <w:rPr>
          <w:sz w:val="24"/>
          <w:szCs w:val="24"/>
        </w:rPr>
        <w:t>if rated by more than one NRSRO, is rated lower than one of the four highest generic rating categories by any of the NRSROs; or</w:t>
      </w:r>
    </w:p>
    <w:p w14:paraId="16A50382" w14:textId="77777777" w:rsidR="008A7A5E" w:rsidRPr="00AF3D2D" w:rsidRDefault="008A7A5E" w:rsidP="003E7B18">
      <w:pPr>
        <w:numPr>
          <w:ilvl w:val="0"/>
          <w:numId w:val="265"/>
        </w:numPr>
        <w:shd w:val="clear" w:color="auto" w:fill="FFFFFF"/>
        <w:spacing w:before="100" w:beforeAutospacing="1" w:after="100" w:afterAutospacing="1"/>
        <w:rPr>
          <w:sz w:val="24"/>
          <w:szCs w:val="24"/>
        </w:rPr>
      </w:pPr>
      <w:r w:rsidRPr="00AF3D2D">
        <w:rPr>
          <w:sz w:val="24"/>
          <w:szCs w:val="24"/>
        </w:rPr>
        <w:t xml:space="preserve">if unrated, either was analyzed as a non-investment grade debt security by the dealer and the dealer retains credit evaluation documentation and demonstrates to FINRA (using credit evaluation or other demonstrable criteria) that the credit quality of the security is, in fact, equivalent to a non-investment grade debt security, or was initially offered and </w:t>
      </w:r>
      <w:r w:rsidRPr="00AF3D2D">
        <w:rPr>
          <w:sz w:val="24"/>
          <w:szCs w:val="24"/>
        </w:rPr>
        <w:lastRenderedPageBreak/>
        <w:t xml:space="preserve">sold and continues to be offered and sold pursuant to an exemption from registration under the Securities Act of 1933. </w:t>
      </w:r>
    </w:p>
    <w:p w14:paraId="53845AE8" w14:textId="77777777" w:rsidR="008A7A5E" w:rsidRPr="00AF3D2D" w:rsidRDefault="008A7A5E" w:rsidP="00B44C9A">
      <w:pPr>
        <w:rPr>
          <w:b/>
          <w:sz w:val="24"/>
          <w:szCs w:val="24"/>
        </w:rPr>
      </w:pPr>
    </w:p>
    <w:p w14:paraId="17A05777" w14:textId="77777777" w:rsidR="005454C2" w:rsidRPr="00AF3D2D" w:rsidRDefault="009B248B" w:rsidP="005454C2">
      <w:pPr>
        <w:rPr>
          <w:b/>
          <w:sz w:val="24"/>
          <w:szCs w:val="24"/>
        </w:rPr>
      </w:pPr>
      <w:r w:rsidRPr="00AF3D2D">
        <w:rPr>
          <w:b/>
          <w:sz w:val="24"/>
          <w:szCs w:val="24"/>
        </w:rPr>
        <w:t>“</w:t>
      </w:r>
      <w:r w:rsidR="005454C2" w:rsidRPr="00AF3D2D">
        <w:rPr>
          <w:b/>
          <w:sz w:val="24"/>
          <w:szCs w:val="24"/>
        </w:rPr>
        <w:t xml:space="preserve">Similar" Securities </w:t>
      </w:r>
    </w:p>
    <w:p w14:paraId="7D483A42" w14:textId="77777777" w:rsidR="005454C2" w:rsidRPr="00AF3D2D" w:rsidRDefault="005454C2" w:rsidP="005454C2">
      <w:pPr>
        <w:pStyle w:val="Normal3"/>
        <w:spacing w:before="0" w:beforeAutospacing="0" w:after="0" w:afterAutospacing="0"/>
      </w:pPr>
      <w:r w:rsidRPr="00AF3D2D">
        <w:rPr>
          <w:b/>
          <w:bCs/>
        </w:rPr>
        <w:t>(1)</w:t>
      </w:r>
      <w:r w:rsidRPr="00AF3D2D">
        <w:t xml:space="preserve"> A "similar" security should be sufficiently similar to the subject security that it would serve as a reasonable alternative investment to the investor. At a minimum, the security or securities should be sufficiently similar that a market yield for the subject security can be fairly estimated from the yields of the "similar" security or securities. Where a security has several components, appropriate consideration may also be given to the prices or yields of the various components of the security.</w:t>
      </w:r>
    </w:p>
    <w:p w14:paraId="56EFE17F" w14:textId="77777777" w:rsidR="005454C2" w:rsidRPr="00AF3D2D" w:rsidRDefault="005454C2" w:rsidP="005454C2">
      <w:pPr>
        <w:pStyle w:val="Normal3"/>
      </w:pPr>
      <w:r w:rsidRPr="00AF3D2D">
        <w:rPr>
          <w:b/>
          <w:bCs/>
        </w:rPr>
        <w:t>(2)</w:t>
      </w:r>
      <w:r w:rsidRPr="00AF3D2D">
        <w:t xml:space="preserve"> The degree to which a security is "similar" to the subject security may be determined by factors that include but are not limited to the following: </w:t>
      </w:r>
    </w:p>
    <w:p w14:paraId="4BAAB827" w14:textId="77777777" w:rsidR="005454C2" w:rsidRPr="00AF3D2D" w:rsidRDefault="005454C2" w:rsidP="003E7B18">
      <w:pPr>
        <w:numPr>
          <w:ilvl w:val="0"/>
          <w:numId w:val="266"/>
        </w:numPr>
        <w:spacing w:before="100" w:beforeAutospacing="1" w:after="100" w:afterAutospacing="1"/>
        <w:rPr>
          <w:sz w:val="24"/>
          <w:szCs w:val="24"/>
        </w:rPr>
      </w:pPr>
      <w:r w:rsidRPr="00AF3D2D">
        <w:rPr>
          <w:sz w:val="24"/>
          <w:szCs w:val="24"/>
        </w:rPr>
        <w:t>Credit quality considerations, such as whether the security is issued by the same or similar entity, bears the same or similar credit rating, or is supported by a similarly strong guarantee or collateral as the subject security (to the extent securities of other issuers are designated as "similar" securities, significant recent information of either issuer that is not yet incorporated in credit ratings should be considered (</w:t>
      </w:r>
      <w:r w:rsidRPr="00AF3D2D">
        <w:rPr>
          <w:i/>
          <w:iCs/>
          <w:sz w:val="24"/>
          <w:szCs w:val="24"/>
        </w:rPr>
        <w:t>e.g.,</w:t>
      </w:r>
      <w:r w:rsidRPr="00AF3D2D">
        <w:rPr>
          <w:sz w:val="24"/>
          <w:szCs w:val="24"/>
        </w:rPr>
        <w:t xml:space="preserve"> changes to ratings outlooks));</w:t>
      </w:r>
    </w:p>
    <w:p w14:paraId="6F678309" w14:textId="77777777" w:rsidR="005454C2" w:rsidRPr="00AF3D2D" w:rsidRDefault="005454C2" w:rsidP="003E7B18">
      <w:pPr>
        <w:numPr>
          <w:ilvl w:val="0"/>
          <w:numId w:val="266"/>
        </w:numPr>
        <w:spacing w:before="100" w:beforeAutospacing="1" w:after="100" w:afterAutospacing="1"/>
        <w:rPr>
          <w:sz w:val="24"/>
          <w:szCs w:val="24"/>
        </w:rPr>
      </w:pPr>
      <w:r w:rsidRPr="00AF3D2D">
        <w:rPr>
          <w:sz w:val="24"/>
          <w:szCs w:val="24"/>
        </w:rPr>
        <w:t>The extent to which the spread (</w:t>
      </w:r>
      <w:r w:rsidRPr="00AF3D2D">
        <w:rPr>
          <w:i/>
          <w:iCs/>
          <w:sz w:val="24"/>
          <w:szCs w:val="24"/>
        </w:rPr>
        <w:t>i.e.,</w:t>
      </w:r>
      <w:r w:rsidRPr="00AF3D2D">
        <w:rPr>
          <w:sz w:val="24"/>
          <w:szCs w:val="24"/>
        </w:rPr>
        <w:t xml:space="preserve"> the spread over U.S. Treasury securities of a similar duration) at which the "similar" security trades is comparable to the spread at which the subject security trades;</w:t>
      </w:r>
    </w:p>
    <w:p w14:paraId="711AEC6C" w14:textId="77777777" w:rsidR="005454C2" w:rsidRPr="00AF3D2D" w:rsidRDefault="005454C2" w:rsidP="003E7B18">
      <w:pPr>
        <w:numPr>
          <w:ilvl w:val="0"/>
          <w:numId w:val="266"/>
        </w:numPr>
        <w:spacing w:before="100" w:beforeAutospacing="1" w:after="100" w:afterAutospacing="1"/>
        <w:rPr>
          <w:sz w:val="24"/>
          <w:szCs w:val="24"/>
        </w:rPr>
      </w:pPr>
      <w:r w:rsidRPr="00AF3D2D">
        <w:rPr>
          <w:sz w:val="24"/>
          <w:szCs w:val="24"/>
        </w:rPr>
        <w:t xml:space="preserve">General structural characteristics and provisions of the issue, such as coupon, maturity, duration, complexity or uniqueness of the structure, </w:t>
      </w:r>
      <w:r w:rsidR="00593EE9" w:rsidRPr="00AF3D2D">
        <w:rPr>
          <w:sz w:val="24"/>
          <w:szCs w:val="24"/>
        </w:rPr>
        <w:t>call ability</w:t>
      </w:r>
      <w:r w:rsidRPr="00AF3D2D">
        <w:rPr>
          <w:sz w:val="24"/>
          <w:szCs w:val="24"/>
        </w:rPr>
        <w:t>, the likelihood that the security will be called, tendered or exchanged, and other embedded options, as compared with the characteristics of the subject security; and</w:t>
      </w:r>
    </w:p>
    <w:p w14:paraId="30ECEAB0" w14:textId="77777777" w:rsidR="005454C2" w:rsidRPr="00AF3D2D" w:rsidRDefault="005454C2" w:rsidP="003E7B18">
      <w:pPr>
        <w:numPr>
          <w:ilvl w:val="0"/>
          <w:numId w:val="266"/>
        </w:numPr>
        <w:spacing w:before="100" w:beforeAutospacing="1" w:after="100" w:afterAutospacing="1"/>
        <w:rPr>
          <w:sz w:val="24"/>
          <w:szCs w:val="24"/>
        </w:rPr>
      </w:pPr>
      <w:r w:rsidRPr="00AF3D2D">
        <w:rPr>
          <w:sz w:val="24"/>
          <w:szCs w:val="24"/>
        </w:rPr>
        <w:t>Technical factors such as the size of the issue, the float and recent turnover of the issue, and legal restrictions on transferability as compared with the subject security.</w:t>
      </w:r>
    </w:p>
    <w:p w14:paraId="0BF43ABB" w14:textId="77777777" w:rsidR="005454C2" w:rsidRPr="00AF3D2D" w:rsidRDefault="005454C2" w:rsidP="005454C2">
      <w:pPr>
        <w:pStyle w:val="Normal3"/>
      </w:pPr>
      <w:r w:rsidRPr="00AF3D2D">
        <w:rPr>
          <w:b/>
          <w:bCs/>
        </w:rPr>
        <w:t>(3)</w:t>
      </w:r>
      <w:r w:rsidRPr="00AF3D2D">
        <w:t xml:space="preserve"> When a debt security's value and pricing is based substantially on, and is highly dependent on, the particular circumstances of the issuer, including creditworthiness and the ability and willingness of the issuer to meet the specific obligations of the security, in most cases other securities will not be sufficiently similar, and therefore, other securities may not be used to establish the prevailing market price.</w:t>
      </w:r>
    </w:p>
    <w:p w14:paraId="337DD4C7" w14:textId="77777777" w:rsidR="005454C2" w:rsidRPr="00AF3D2D" w:rsidRDefault="005454C2" w:rsidP="00B44C9A">
      <w:pPr>
        <w:rPr>
          <w:b/>
          <w:sz w:val="24"/>
          <w:szCs w:val="24"/>
        </w:rPr>
      </w:pPr>
    </w:p>
    <w:p w14:paraId="7D589CA6" w14:textId="77777777" w:rsidR="00A31807" w:rsidRPr="00AF3D2D" w:rsidRDefault="00A31807" w:rsidP="00B44C9A">
      <w:pPr>
        <w:rPr>
          <w:b/>
          <w:sz w:val="24"/>
          <w:szCs w:val="24"/>
        </w:rPr>
      </w:pPr>
      <w:r w:rsidRPr="00AF3D2D">
        <w:rPr>
          <w:b/>
          <w:sz w:val="24"/>
          <w:szCs w:val="24"/>
        </w:rPr>
        <w:t xml:space="preserve">Relevant Factors </w:t>
      </w:r>
    </w:p>
    <w:p w14:paraId="4B7E7BA6" w14:textId="77777777" w:rsidR="00A31807" w:rsidRPr="00AF3D2D" w:rsidRDefault="00A31807" w:rsidP="00A31807">
      <w:pPr>
        <w:pStyle w:val="Normal2"/>
        <w:spacing w:before="0" w:beforeAutospacing="0" w:after="0" w:afterAutospacing="0"/>
      </w:pPr>
      <w:r w:rsidRPr="00AF3D2D">
        <w:t xml:space="preserve">Relevant factors to consider when determining the fairness of a mark-up are as follows: </w:t>
      </w:r>
    </w:p>
    <w:p w14:paraId="4E5A6625" w14:textId="77777777" w:rsidR="00A31807" w:rsidRPr="00AF3D2D" w:rsidRDefault="00A31807" w:rsidP="003E7B18">
      <w:pPr>
        <w:numPr>
          <w:ilvl w:val="0"/>
          <w:numId w:val="259"/>
        </w:numPr>
        <w:rPr>
          <w:sz w:val="24"/>
          <w:szCs w:val="24"/>
        </w:rPr>
      </w:pPr>
      <w:r w:rsidRPr="00AF3D2D">
        <w:rPr>
          <w:b/>
          <w:bCs/>
          <w:sz w:val="24"/>
          <w:szCs w:val="24"/>
        </w:rPr>
        <w:t>The Type of Security Involved:</w:t>
      </w:r>
      <w:r w:rsidRPr="00AF3D2D">
        <w:rPr>
          <w:sz w:val="24"/>
          <w:szCs w:val="24"/>
        </w:rPr>
        <w:t xml:space="preserve"> Some securities customarily carry a higher mark-up than others. For example, a higher percentage of mark-up customarily applies to a common stock transaction than to a bond transaction of the same size. Likewise, a higher percentage applies to sales of units of direct participation programs and condominium securities than to sales of common stock.</w:t>
      </w:r>
    </w:p>
    <w:p w14:paraId="7D0D8748" w14:textId="77777777" w:rsidR="00A31807" w:rsidRPr="00AF3D2D" w:rsidRDefault="00A31807" w:rsidP="003E7B18">
      <w:pPr>
        <w:numPr>
          <w:ilvl w:val="0"/>
          <w:numId w:val="259"/>
        </w:numPr>
        <w:rPr>
          <w:sz w:val="24"/>
          <w:szCs w:val="24"/>
        </w:rPr>
      </w:pPr>
      <w:r w:rsidRPr="00AF3D2D">
        <w:rPr>
          <w:b/>
          <w:bCs/>
          <w:sz w:val="24"/>
          <w:szCs w:val="24"/>
        </w:rPr>
        <w:t>The Availability of the Security in the Market:</w:t>
      </w:r>
      <w:r w:rsidRPr="00AF3D2D">
        <w:rPr>
          <w:sz w:val="24"/>
          <w:szCs w:val="24"/>
        </w:rPr>
        <w:t xml:space="preserve"> In the case of an inactive security, the effort and cost of buying or selling the security, or any other unusual circumstances connected with its acquisition or sale, may have a bearing on the amount of mark-up justified.</w:t>
      </w:r>
    </w:p>
    <w:p w14:paraId="0B0BE04D" w14:textId="77777777" w:rsidR="00A31807" w:rsidRPr="00AF3D2D" w:rsidRDefault="00A31807" w:rsidP="003E7B18">
      <w:pPr>
        <w:numPr>
          <w:ilvl w:val="0"/>
          <w:numId w:val="259"/>
        </w:numPr>
        <w:rPr>
          <w:sz w:val="24"/>
          <w:szCs w:val="24"/>
        </w:rPr>
      </w:pPr>
      <w:r w:rsidRPr="00AF3D2D">
        <w:rPr>
          <w:b/>
          <w:bCs/>
          <w:sz w:val="24"/>
          <w:szCs w:val="24"/>
        </w:rPr>
        <w:lastRenderedPageBreak/>
        <w:t>The Price of the Security:</w:t>
      </w:r>
      <w:r w:rsidRPr="00AF3D2D">
        <w:rPr>
          <w:sz w:val="24"/>
          <w:szCs w:val="24"/>
        </w:rPr>
        <w:t xml:space="preserve"> While there is no direct correlation, the percentage of mark-up or rate of commission generally increases as the price of the security decreases. Even where the amount of money is substantial, transactions in lower priced securities may require more handling and expense and may warrant a wider spread.</w:t>
      </w:r>
    </w:p>
    <w:p w14:paraId="61A8A949" w14:textId="77777777" w:rsidR="0097110B" w:rsidRPr="0097110B" w:rsidRDefault="00A31807" w:rsidP="003E7B18">
      <w:pPr>
        <w:numPr>
          <w:ilvl w:val="0"/>
          <w:numId w:val="259"/>
        </w:numPr>
      </w:pPr>
      <w:r w:rsidRPr="0097110B">
        <w:rPr>
          <w:b/>
          <w:bCs/>
          <w:sz w:val="24"/>
          <w:szCs w:val="24"/>
        </w:rPr>
        <w:t>The Amount of Money Involved in a Transaction:</w:t>
      </w:r>
      <w:r w:rsidRPr="00AF3D2D">
        <w:rPr>
          <w:sz w:val="24"/>
          <w:szCs w:val="24"/>
        </w:rPr>
        <w:t xml:space="preserve"> A transaction which involves a small amount of money may warrant a higher percentage of mark-up to cover the expenses of handling.</w:t>
      </w:r>
      <w:r w:rsidR="0097110B">
        <w:rPr>
          <w:sz w:val="24"/>
          <w:szCs w:val="24"/>
        </w:rPr>
        <w:t xml:space="preserve">  </w:t>
      </w:r>
    </w:p>
    <w:p w14:paraId="1E734205" w14:textId="77777777" w:rsidR="0097110B" w:rsidRPr="0097110B" w:rsidRDefault="00A31807" w:rsidP="003E7B18">
      <w:pPr>
        <w:numPr>
          <w:ilvl w:val="0"/>
          <w:numId w:val="259"/>
        </w:numPr>
      </w:pPr>
      <w:r w:rsidRPr="0097110B">
        <w:rPr>
          <w:b/>
          <w:bCs/>
          <w:sz w:val="24"/>
          <w:szCs w:val="24"/>
        </w:rPr>
        <w:t>Disclosure:</w:t>
      </w:r>
      <w:r w:rsidRPr="00AF3D2D">
        <w:rPr>
          <w:sz w:val="24"/>
          <w:szCs w:val="24"/>
        </w:rPr>
        <w:t xml:space="preserve"> Any disclosure to the customer, before the transaction is </w:t>
      </w:r>
      <w:r w:rsidR="0097110B" w:rsidRPr="00AF3D2D">
        <w:rPr>
          <w:sz w:val="24"/>
          <w:szCs w:val="24"/>
        </w:rPr>
        <w:t>affected</w:t>
      </w:r>
      <w:r w:rsidRPr="00AF3D2D">
        <w:rPr>
          <w:sz w:val="24"/>
          <w:szCs w:val="24"/>
        </w:rPr>
        <w:t>, of information which would indicate (A) the amount of commission charged in an agency transaction or (B) mark-up made in a principal transaction is a factor to be considered. Disclosure itself, however, does not justify a commission or mark-up which is unfair or excessive in light of all other relevant circumstances.</w:t>
      </w:r>
      <w:r w:rsidR="0097110B">
        <w:rPr>
          <w:sz w:val="24"/>
          <w:szCs w:val="24"/>
        </w:rPr>
        <w:t xml:space="preserve">  </w:t>
      </w:r>
    </w:p>
    <w:p w14:paraId="46B86DE4" w14:textId="77777777" w:rsidR="0097110B" w:rsidRDefault="0097110B" w:rsidP="0097110B">
      <w:pPr>
        <w:ind w:left="720"/>
        <w:rPr>
          <w:b/>
          <w:bCs/>
          <w:sz w:val="24"/>
          <w:szCs w:val="24"/>
        </w:rPr>
      </w:pPr>
    </w:p>
    <w:p w14:paraId="2C5CA6E3" w14:textId="77777777" w:rsidR="00A31807" w:rsidRPr="00BD2579" w:rsidRDefault="0097110B" w:rsidP="0097110B">
      <w:pPr>
        <w:ind w:left="720"/>
        <w:rPr>
          <w:color w:val="000000" w:themeColor="text1"/>
          <w:sz w:val="24"/>
          <w:szCs w:val="24"/>
        </w:rPr>
      </w:pPr>
      <w:r w:rsidRPr="00BD2579">
        <w:rPr>
          <w:color w:val="000000" w:themeColor="text1"/>
          <w:sz w:val="24"/>
          <w:szCs w:val="24"/>
        </w:rPr>
        <w:t xml:space="preserve">The </w:t>
      </w:r>
      <w:proofErr w:type="gramStart"/>
      <w:r w:rsidRPr="00BD2579">
        <w:rPr>
          <w:color w:val="000000" w:themeColor="text1"/>
          <w:sz w:val="24"/>
          <w:szCs w:val="24"/>
        </w:rPr>
        <w:t>amount</w:t>
      </w:r>
      <w:proofErr w:type="gramEnd"/>
      <w:r w:rsidRPr="00BD2579">
        <w:rPr>
          <w:color w:val="000000" w:themeColor="text1"/>
          <w:sz w:val="24"/>
          <w:szCs w:val="24"/>
        </w:rPr>
        <w:t xml:space="preserve"> of mark-ups and mark-downs will be disclosed on retail customer confirmation from the custodian. Two additional disclosures include: (1) a reference (or hyperlink if the confirmation is electronic) to a FINRA web page containing </w:t>
      </w:r>
      <w:r w:rsidR="004C7C18" w:rsidRPr="00BD2579">
        <w:rPr>
          <w:color w:val="000000" w:themeColor="text1"/>
          <w:sz w:val="24"/>
          <w:szCs w:val="24"/>
        </w:rPr>
        <w:t>publicly available</w:t>
      </w:r>
      <w:r w:rsidRPr="00BD2579">
        <w:rPr>
          <w:color w:val="000000" w:themeColor="text1"/>
          <w:sz w:val="24"/>
          <w:szCs w:val="24"/>
        </w:rPr>
        <w:t xml:space="preserve"> trading data for the security traded; and (2) the execution time expressed to the second.  Disclosure is required if Company executes one or more offsetting principal trades in the same security on the same trading day which, in aggregate, meet or exceed the size of the customer trade.  Disclosure may also be required because of an offsetting principal trade executed by an affiliate that did not occur at arm's length [defined in FINRA Rule 2232(f)(3)].  Disclosure is not required for principal trades executed on a trading desk functionally separate from a trading desk that executes customer trades.  It is also not required for bonds acquired in a fixed-priced offering and sold to non-institutional customers at the same offering price the same day Woodlands Securities Corp acquires the bonds.</w:t>
      </w:r>
    </w:p>
    <w:p w14:paraId="797B0AE2" w14:textId="77777777" w:rsidR="00A31807" w:rsidRPr="00AF3D2D" w:rsidRDefault="00A31807" w:rsidP="003E7B18">
      <w:pPr>
        <w:numPr>
          <w:ilvl w:val="0"/>
          <w:numId w:val="259"/>
        </w:numPr>
        <w:rPr>
          <w:sz w:val="24"/>
          <w:szCs w:val="24"/>
        </w:rPr>
      </w:pPr>
      <w:r w:rsidRPr="00AF3D2D">
        <w:rPr>
          <w:b/>
          <w:bCs/>
          <w:sz w:val="24"/>
          <w:szCs w:val="24"/>
        </w:rPr>
        <w:t>The Pattern of Mark-Ups:</w:t>
      </w:r>
      <w:r w:rsidRPr="00AF3D2D">
        <w:rPr>
          <w:sz w:val="24"/>
          <w:szCs w:val="24"/>
        </w:rPr>
        <w:t xml:space="preserve"> While each transaction must meet the test of fairness, FINRA believes that particular attention should be given to the pattern of a member's mark-ups.</w:t>
      </w:r>
    </w:p>
    <w:p w14:paraId="005D77B1" w14:textId="77777777" w:rsidR="00A31807" w:rsidRPr="00AF3D2D" w:rsidRDefault="00A31807" w:rsidP="003E7B18">
      <w:pPr>
        <w:numPr>
          <w:ilvl w:val="0"/>
          <w:numId w:val="259"/>
        </w:numPr>
        <w:rPr>
          <w:sz w:val="24"/>
          <w:szCs w:val="24"/>
        </w:rPr>
      </w:pPr>
      <w:r w:rsidRPr="00AF3D2D">
        <w:rPr>
          <w:b/>
          <w:bCs/>
          <w:sz w:val="24"/>
          <w:szCs w:val="24"/>
        </w:rPr>
        <w:t>The Nature of the Member's Business:</w:t>
      </w:r>
      <w:r w:rsidRPr="00AF3D2D">
        <w:rPr>
          <w:sz w:val="24"/>
          <w:szCs w:val="24"/>
        </w:rPr>
        <w:t xml:space="preserve"> FINRA recognizes there are differences in the services and facilities which are needed by, and provided for, customers of members. If not excessive, the cost of providing such services and facilities, particularly when they are of a continuing nature, may properly be considered in determining the fairness of a member's mark-ups.</w:t>
      </w:r>
    </w:p>
    <w:p w14:paraId="1CC570E2" w14:textId="77777777" w:rsidR="00A31807" w:rsidRPr="00AF3D2D" w:rsidRDefault="00A31807" w:rsidP="00A31807">
      <w:pPr>
        <w:rPr>
          <w:sz w:val="24"/>
          <w:szCs w:val="24"/>
        </w:rPr>
      </w:pPr>
    </w:p>
    <w:p w14:paraId="5D884EB1" w14:textId="77777777" w:rsidR="00A13D93" w:rsidRPr="00AF3D2D" w:rsidRDefault="00A13D93" w:rsidP="00B44C9A">
      <w:pPr>
        <w:rPr>
          <w:b/>
          <w:sz w:val="24"/>
          <w:szCs w:val="24"/>
        </w:rPr>
      </w:pPr>
      <w:r w:rsidRPr="00AF3D2D">
        <w:rPr>
          <w:b/>
          <w:sz w:val="24"/>
          <w:szCs w:val="24"/>
        </w:rPr>
        <w:t xml:space="preserve">Applicability of Policy </w:t>
      </w:r>
    </w:p>
    <w:p w14:paraId="513FB431" w14:textId="77777777" w:rsidR="00A13D93" w:rsidRPr="00AF3D2D" w:rsidRDefault="00A13D93" w:rsidP="00A13D93">
      <w:pPr>
        <w:pStyle w:val="Normal2"/>
        <w:spacing w:before="0" w:beforeAutospacing="0" w:after="0" w:afterAutospacing="0"/>
      </w:pPr>
      <w:r w:rsidRPr="00AF3D2D">
        <w:t>The Policy applies to all securities, whether oil royalties or any other security, in the following types of transactions:</w:t>
      </w:r>
    </w:p>
    <w:p w14:paraId="13F0981E" w14:textId="77777777" w:rsidR="00A13D93" w:rsidRPr="00AF3D2D" w:rsidRDefault="00A13D93" w:rsidP="003E7B18">
      <w:pPr>
        <w:numPr>
          <w:ilvl w:val="0"/>
          <w:numId w:val="260"/>
        </w:numPr>
        <w:rPr>
          <w:sz w:val="24"/>
          <w:szCs w:val="24"/>
        </w:rPr>
      </w:pPr>
      <w:r w:rsidRPr="00AF3D2D">
        <w:rPr>
          <w:sz w:val="24"/>
          <w:szCs w:val="24"/>
        </w:rPr>
        <w:t>A transaction in which a member buys a security to fill an order for the same security previously received from a customer. This transaction would include the so-called "riskless" or "simultaneous" transaction.</w:t>
      </w:r>
    </w:p>
    <w:p w14:paraId="100861FC" w14:textId="77777777" w:rsidR="00A13D93" w:rsidRPr="00AF3D2D" w:rsidRDefault="00A13D93" w:rsidP="003E7B18">
      <w:pPr>
        <w:numPr>
          <w:ilvl w:val="0"/>
          <w:numId w:val="260"/>
        </w:numPr>
        <w:rPr>
          <w:sz w:val="24"/>
          <w:szCs w:val="24"/>
        </w:rPr>
      </w:pPr>
      <w:r w:rsidRPr="00AF3D2D">
        <w:rPr>
          <w:sz w:val="24"/>
          <w:szCs w:val="24"/>
        </w:rPr>
        <w:t>A transaction in which the member sells a security to a customer from inventory. In such a case the amount of the mark-up would be determined on the basis of the mark-up over the bona fide representative current market. The amount of profit or loss to the member from market appreciation or depreciation before, or after, the date of the transaction with the customer would not ordinarily enter into the determination of the amount or fairness of the mark-up.</w:t>
      </w:r>
    </w:p>
    <w:p w14:paraId="2CA3C508" w14:textId="77777777" w:rsidR="00A13D93" w:rsidRPr="00AF3D2D" w:rsidRDefault="00A13D93" w:rsidP="003E7B18">
      <w:pPr>
        <w:numPr>
          <w:ilvl w:val="0"/>
          <w:numId w:val="260"/>
        </w:numPr>
        <w:rPr>
          <w:sz w:val="24"/>
          <w:szCs w:val="24"/>
        </w:rPr>
      </w:pPr>
      <w:r w:rsidRPr="00AF3D2D">
        <w:rPr>
          <w:sz w:val="24"/>
          <w:szCs w:val="24"/>
        </w:rPr>
        <w:lastRenderedPageBreak/>
        <w:t>A transaction in which a member purchases a security from a customer. The price paid to the customer or the mark-down applied by the member must be reasonably related to the prevailing market price of the security.</w:t>
      </w:r>
    </w:p>
    <w:p w14:paraId="21CA9E7F" w14:textId="77777777" w:rsidR="00A13D93" w:rsidRPr="00AF3D2D" w:rsidRDefault="00A13D93" w:rsidP="003E7B18">
      <w:pPr>
        <w:numPr>
          <w:ilvl w:val="0"/>
          <w:numId w:val="260"/>
        </w:numPr>
        <w:rPr>
          <w:sz w:val="24"/>
          <w:szCs w:val="24"/>
        </w:rPr>
      </w:pPr>
      <w:r w:rsidRPr="00AF3D2D">
        <w:rPr>
          <w:sz w:val="24"/>
          <w:szCs w:val="24"/>
        </w:rPr>
        <w:t>A transaction in which the member acts as agent. In such a case, the commission charged the customer must be fair in light of all relevant circumstances.</w:t>
      </w:r>
    </w:p>
    <w:p w14:paraId="752F38C3" w14:textId="77777777" w:rsidR="00A13D93" w:rsidRPr="00AF3D2D" w:rsidRDefault="00A13D93" w:rsidP="003E7B18">
      <w:pPr>
        <w:numPr>
          <w:ilvl w:val="0"/>
          <w:numId w:val="260"/>
        </w:numPr>
        <w:rPr>
          <w:sz w:val="24"/>
          <w:szCs w:val="24"/>
        </w:rPr>
      </w:pPr>
      <w:r w:rsidRPr="00AF3D2D">
        <w:rPr>
          <w:sz w:val="24"/>
          <w:szCs w:val="24"/>
        </w:rPr>
        <w:t>Transactions wherein a customer sells securities to, or through, a broker/dealer, the proceeds from which are utilized to pay for other securities purchased from, or through, the broker/dealer at or about the same time. In such instances, the mark-up shall be computed in the same way as if the customer had purchased for cash and in computing the mark-up there shall be included any profit or commission realized by the dealer on the securities being liquidated, the proceeds of which are used to pay for securities being purchased.</w:t>
      </w:r>
    </w:p>
    <w:p w14:paraId="2FA18DBF" w14:textId="77777777" w:rsidR="00A13D93" w:rsidRPr="00AF3D2D" w:rsidRDefault="00A13D93" w:rsidP="00A13D93">
      <w:pPr>
        <w:pStyle w:val="Normal2"/>
        <w:spacing w:before="0" w:beforeAutospacing="0" w:after="0" w:afterAutospacing="0"/>
      </w:pPr>
    </w:p>
    <w:p w14:paraId="63C7AA6E" w14:textId="77777777" w:rsidR="00A13D93" w:rsidRPr="00AF3D2D" w:rsidRDefault="00A13D93" w:rsidP="00A13D93">
      <w:pPr>
        <w:pStyle w:val="Normal2"/>
        <w:spacing w:before="0" w:beforeAutospacing="0" w:after="0" w:afterAutospacing="0"/>
      </w:pPr>
      <w:r w:rsidRPr="00AF3D2D">
        <w:t xml:space="preserve">The Mark-Up Policy is not applicable to the sale of securities where a prospectus or offering circular is required to be delivered and the securities are sold at the specific public offering price. </w:t>
      </w:r>
    </w:p>
    <w:p w14:paraId="7DE23A30" w14:textId="77777777" w:rsidR="00A13D93" w:rsidRPr="00AF3D2D" w:rsidRDefault="00A13D93" w:rsidP="00A13D93">
      <w:bookmarkStart w:id="224" w:name="sction_id_Sec_Chp_050310120047310_050311"/>
      <w:bookmarkEnd w:id="224"/>
    </w:p>
    <w:p w14:paraId="6ADF49C8" w14:textId="77777777" w:rsidR="00A31807" w:rsidRPr="00AF3D2D" w:rsidRDefault="00A31807">
      <w:pPr>
        <w:tabs>
          <w:tab w:val="left" w:pos="720"/>
        </w:tabs>
        <w:jc w:val="both"/>
        <w:rPr>
          <w:b/>
          <w:sz w:val="24"/>
        </w:rPr>
      </w:pPr>
    </w:p>
    <w:p w14:paraId="131E71B9" w14:textId="77777777" w:rsidR="000C099C" w:rsidRPr="001803F3" w:rsidRDefault="00140C02" w:rsidP="00936FEE">
      <w:pPr>
        <w:pStyle w:val="Heading2"/>
      </w:pPr>
      <w:r>
        <w:t>12.</w:t>
      </w:r>
      <w:r w:rsidR="00A31807">
        <w:t>4</w:t>
      </w:r>
      <w:r>
        <w:t xml:space="preserve"> </w:t>
      </w:r>
      <w:r w:rsidR="00A31807">
        <w:t xml:space="preserve">Treasury’s </w:t>
      </w:r>
      <w:r w:rsidR="001803F3">
        <w:t>Risk Assessment Rules</w:t>
      </w:r>
    </w:p>
    <w:p w14:paraId="11FD879F" w14:textId="77777777" w:rsidR="000C099C" w:rsidRPr="006B12F1" w:rsidRDefault="000C099C" w:rsidP="006B12F1">
      <w:pPr>
        <w:rPr>
          <w:sz w:val="24"/>
          <w:szCs w:val="24"/>
        </w:rPr>
      </w:pPr>
      <w:bookmarkStart w:id="225" w:name="_Toc153361422"/>
      <w:r w:rsidRPr="006B12F1">
        <w:rPr>
          <w:sz w:val="24"/>
          <w:szCs w:val="24"/>
        </w:rPr>
        <w:t>An exemption is claimed under the risk assessment rule due to one of the following:</w:t>
      </w:r>
      <w:bookmarkEnd w:id="225"/>
    </w:p>
    <w:p w14:paraId="4648A831" w14:textId="77777777" w:rsidR="00140C02" w:rsidRDefault="00140C02" w:rsidP="00140C02">
      <w:pPr>
        <w:rPr>
          <w:b/>
          <w:sz w:val="24"/>
        </w:rPr>
      </w:pPr>
    </w:p>
    <w:p w14:paraId="6C6939F0" w14:textId="77777777" w:rsidR="000C099C" w:rsidRDefault="00140C02" w:rsidP="00140C02">
      <w:pPr>
        <w:jc w:val="both"/>
        <w:rPr>
          <w:sz w:val="24"/>
        </w:rPr>
      </w:pPr>
      <w:r>
        <w:rPr>
          <w:sz w:val="24"/>
        </w:rPr>
        <w:t>Tr</w:t>
      </w:r>
      <w:r w:rsidR="000C099C">
        <w:rPr>
          <w:sz w:val="24"/>
        </w:rPr>
        <w:t>easury's rules exempt a Section 15C broker/dealer if it:</w:t>
      </w:r>
    </w:p>
    <w:p w14:paraId="1BE099BC" w14:textId="77777777" w:rsidR="000C099C" w:rsidRDefault="0043267C" w:rsidP="003E7B18">
      <w:pPr>
        <w:pStyle w:val="BodyTextIndent3"/>
        <w:numPr>
          <w:ilvl w:val="0"/>
          <w:numId w:val="148"/>
        </w:numPr>
        <w:spacing w:before="0" w:after="0"/>
      </w:pPr>
      <w:r>
        <w:t>Does</w:t>
      </w:r>
      <w:r w:rsidR="000C099C">
        <w:t xml:space="preserve"> not carry customer accounts and maintains capital (equity capital plus subordinated debt) of less than $20 million;</w:t>
      </w:r>
    </w:p>
    <w:p w14:paraId="12768A5B" w14:textId="77777777" w:rsidR="000C099C" w:rsidRDefault="0043267C" w:rsidP="003E7B18">
      <w:pPr>
        <w:pStyle w:val="BodyTextIndent3"/>
        <w:numPr>
          <w:ilvl w:val="0"/>
          <w:numId w:val="148"/>
        </w:numPr>
        <w:spacing w:before="0" w:after="0"/>
      </w:pPr>
      <w:r>
        <w:t>Maintains</w:t>
      </w:r>
      <w:r w:rsidR="000C099C">
        <w:t xml:space="preserve"> capital of less than $250,000 (regardless of whether it carries customer accounts or not); and</w:t>
      </w:r>
    </w:p>
    <w:p w14:paraId="68A67C5B" w14:textId="77777777" w:rsidR="000C099C" w:rsidRDefault="000C099C" w:rsidP="003E7B18">
      <w:pPr>
        <w:pStyle w:val="BodyText"/>
        <w:numPr>
          <w:ilvl w:val="0"/>
          <w:numId w:val="148"/>
        </w:numPr>
        <w:spacing w:before="0" w:after="0"/>
      </w:pPr>
      <w:r>
        <w:t>has an affiliated registered broker/dealer that is subject to, and in compliance with, the SEC’s risk assessment rules, provided that all of the MAPs of the Section 15C broker/dealer are also MAPs of the registered broker/dealer.</w:t>
      </w:r>
    </w:p>
    <w:p w14:paraId="55FD8AD8" w14:textId="77777777" w:rsidR="0043267C" w:rsidRDefault="0043267C" w:rsidP="0043267C">
      <w:pPr>
        <w:jc w:val="both"/>
        <w:rPr>
          <w:sz w:val="24"/>
        </w:rPr>
      </w:pPr>
    </w:p>
    <w:p w14:paraId="7AC46DDC" w14:textId="77777777" w:rsidR="000C099C" w:rsidRDefault="000C099C" w:rsidP="0043267C">
      <w:pPr>
        <w:jc w:val="both"/>
        <w:rPr>
          <w:sz w:val="24"/>
        </w:rPr>
      </w:pPr>
      <w:r>
        <w:rPr>
          <w:sz w:val="24"/>
        </w:rPr>
        <w:t>A Section 15C broker/dealer that has no affiliates or holding company is not subject to Treasury’s risk assessment rules.</w:t>
      </w:r>
    </w:p>
    <w:p w14:paraId="5CB7989E" w14:textId="77777777" w:rsidR="000C099C" w:rsidRDefault="000C099C">
      <w:pPr>
        <w:rPr>
          <w:sz w:val="24"/>
        </w:rPr>
      </w:pPr>
    </w:p>
    <w:p w14:paraId="0A66BD71" w14:textId="77777777" w:rsidR="00363751" w:rsidRDefault="00363751" w:rsidP="001803F3">
      <w:pPr>
        <w:rPr>
          <w:b/>
          <w:sz w:val="24"/>
        </w:rPr>
      </w:pPr>
    </w:p>
    <w:p w14:paraId="227E5BF0" w14:textId="77777777" w:rsidR="000C099C" w:rsidRPr="001803F3" w:rsidRDefault="00363751" w:rsidP="00936FEE">
      <w:pPr>
        <w:pStyle w:val="Heading2"/>
      </w:pPr>
      <w:r>
        <w:t>12.</w:t>
      </w:r>
      <w:r w:rsidR="00A31807">
        <w:t>5</w:t>
      </w:r>
      <w:r>
        <w:t xml:space="preserve"> </w:t>
      </w:r>
      <w:r w:rsidR="001803F3">
        <w:t>Parking</w:t>
      </w:r>
      <w:bookmarkStart w:id="226" w:name="Parking"/>
    </w:p>
    <w:bookmarkEnd w:id="226"/>
    <w:p w14:paraId="6499CF64" w14:textId="77777777" w:rsidR="000C099C" w:rsidRDefault="000C099C">
      <w:pPr>
        <w:pStyle w:val="BodyTextIndent"/>
        <w:widowControl/>
        <w:ind w:left="0" w:firstLine="0"/>
        <w:rPr>
          <w:snapToGrid w:val="0"/>
        </w:rPr>
      </w:pPr>
      <w:r>
        <w:rPr>
          <w:snapToGrid w:val="0"/>
        </w:rPr>
        <w:t xml:space="preserve">“Parking” which refers to scheme to conceal beneficial ownership of securities by transferring securities to another person with the understanding that they will be reacquired by the original owner in the future with no loss to the person accommodating the parking scheme is strictly forbidden.  </w:t>
      </w:r>
    </w:p>
    <w:p w14:paraId="7BB61AEC" w14:textId="77777777" w:rsidR="000C099C" w:rsidRDefault="000C099C">
      <w:pPr>
        <w:pStyle w:val="BodyTextIndent"/>
        <w:widowControl/>
        <w:ind w:left="0" w:firstLine="0"/>
        <w:rPr>
          <w:snapToGrid w:val="0"/>
        </w:rPr>
      </w:pPr>
    </w:p>
    <w:p w14:paraId="1433C9A5" w14:textId="77777777" w:rsidR="0019040C" w:rsidRDefault="0019040C">
      <w:pPr>
        <w:pStyle w:val="BodyTextIndent"/>
        <w:widowControl/>
        <w:ind w:left="90" w:hanging="90"/>
        <w:rPr>
          <w:b/>
          <w:snapToGrid w:val="0"/>
        </w:rPr>
      </w:pPr>
      <w:bookmarkStart w:id="227" w:name="AdjustedTrading"/>
    </w:p>
    <w:p w14:paraId="21CB86CD" w14:textId="77777777" w:rsidR="000C099C" w:rsidRDefault="0019040C" w:rsidP="00936FEE">
      <w:pPr>
        <w:pStyle w:val="Heading2"/>
        <w:rPr>
          <w:snapToGrid w:val="0"/>
        </w:rPr>
      </w:pPr>
      <w:r>
        <w:rPr>
          <w:snapToGrid w:val="0"/>
        </w:rPr>
        <w:t>12.</w:t>
      </w:r>
      <w:r w:rsidR="00A31807">
        <w:rPr>
          <w:snapToGrid w:val="0"/>
        </w:rPr>
        <w:t>6</w:t>
      </w:r>
      <w:r>
        <w:rPr>
          <w:snapToGrid w:val="0"/>
        </w:rPr>
        <w:t xml:space="preserve"> </w:t>
      </w:r>
      <w:r w:rsidR="000C099C">
        <w:rPr>
          <w:snapToGrid w:val="0"/>
        </w:rPr>
        <w:t>Adjusted Trading</w:t>
      </w:r>
    </w:p>
    <w:bookmarkEnd w:id="227"/>
    <w:p w14:paraId="17FF215E" w14:textId="77777777" w:rsidR="000C099C" w:rsidRDefault="000C099C">
      <w:pPr>
        <w:pStyle w:val="BodyTextIndent2"/>
        <w:spacing w:after="0"/>
        <w:ind w:left="0"/>
      </w:pPr>
      <w:r>
        <w:t xml:space="preserve">Adjusted trading or overtrading which refers to an inappropriate practice involving the sale by a customer, usually a bank or fiduciary for an institutional or trust account, of a security to a broker/dealer at a price above the prevailing market value and the simultaneous purchase and booking of a different security at a price greater than its market value is strictly prohibited.  </w:t>
      </w:r>
    </w:p>
    <w:p w14:paraId="31AFE426" w14:textId="77777777" w:rsidR="000C099C" w:rsidRDefault="000C099C">
      <w:pPr>
        <w:jc w:val="both"/>
        <w:rPr>
          <w:b/>
          <w:sz w:val="24"/>
        </w:rPr>
      </w:pPr>
    </w:p>
    <w:p w14:paraId="43D046D8" w14:textId="77777777" w:rsidR="00063663" w:rsidRDefault="00063663" w:rsidP="00063663">
      <w:bookmarkStart w:id="228" w:name="Churning"/>
    </w:p>
    <w:p w14:paraId="283A996C" w14:textId="77777777" w:rsidR="000C099C" w:rsidRDefault="00063663" w:rsidP="00936FEE">
      <w:pPr>
        <w:pStyle w:val="Heading2"/>
      </w:pPr>
      <w:r>
        <w:lastRenderedPageBreak/>
        <w:t>12.</w:t>
      </w:r>
      <w:r w:rsidR="00A31807">
        <w:t>7</w:t>
      </w:r>
      <w:r>
        <w:t xml:space="preserve"> </w:t>
      </w:r>
      <w:r w:rsidR="000C099C">
        <w:t>Churning</w:t>
      </w:r>
    </w:p>
    <w:bookmarkEnd w:id="228"/>
    <w:p w14:paraId="6B1C8C9D" w14:textId="77777777" w:rsidR="000C099C" w:rsidRDefault="000C099C">
      <w:pPr>
        <w:jc w:val="both"/>
        <w:rPr>
          <w:sz w:val="24"/>
        </w:rPr>
      </w:pPr>
      <w:r>
        <w:rPr>
          <w:sz w:val="24"/>
        </w:rPr>
        <w:t>"Churning", which refers to executing trades in a client's account for the primary purpose of generating commissions, is forbidden by the Company.</w:t>
      </w:r>
    </w:p>
    <w:p w14:paraId="414B4EB5" w14:textId="77777777" w:rsidR="000C099C" w:rsidRDefault="000C099C">
      <w:pPr>
        <w:jc w:val="both"/>
        <w:rPr>
          <w:sz w:val="24"/>
        </w:rPr>
      </w:pPr>
    </w:p>
    <w:p w14:paraId="01175059" w14:textId="77777777" w:rsidR="00063663" w:rsidRDefault="00063663" w:rsidP="00063663">
      <w:pPr>
        <w:rPr>
          <w:snapToGrid w:val="0"/>
        </w:rPr>
      </w:pPr>
      <w:bookmarkStart w:id="229" w:name="HighYieldDebt"/>
      <w:bookmarkStart w:id="230" w:name="_Toc153361424"/>
      <w:bookmarkStart w:id="231" w:name="_Toc153361651"/>
    </w:p>
    <w:p w14:paraId="76720A98" w14:textId="77777777" w:rsidR="000C099C" w:rsidRDefault="00063663" w:rsidP="00936FEE">
      <w:pPr>
        <w:pStyle w:val="Heading2"/>
        <w:rPr>
          <w:snapToGrid w:val="0"/>
        </w:rPr>
      </w:pPr>
      <w:r>
        <w:rPr>
          <w:snapToGrid w:val="0"/>
        </w:rPr>
        <w:t>12.</w:t>
      </w:r>
      <w:r w:rsidR="00A31807">
        <w:rPr>
          <w:snapToGrid w:val="0"/>
        </w:rPr>
        <w:t>8</w:t>
      </w:r>
      <w:r>
        <w:rPr>
          <w:snapToGrid w:val="0"/>
        </w:rPr>
        <w:t xml:space="preserve"> </w:t>
      </w:r>
      <w:r w:rsidR="000C099C">
        <w:rPr>
          <w:snapToGrid w:val="0"/>
        </w:rPr>
        <w:t>High</w:t>
      </w:r>
      <w:r w:rsidR="00F04F03">
        <w:rPr>
          <w:snapToGrid w:val="0"/>
        </w:rPr>
        <w:t xml:space="preserve"> </w:t>
      </w:r>
      <w:r w:rsidR="000C099C">
        <w:rPr>
          <w:snapToGrid w:val="0"/>
        </w:rPr>
        <w:t>Yield Deb</w:t>
      </w:r>
      <w:bookmarkEnd w:id="229"/>
      <w:r w:rsidR="000C099C">
        <w:rPr>
          <w:snapToGrid w:val="0"/>
        </w:rPr>
        <w:t>t</w:t>
      </w:r>
      <w:bookmarkEnd w:id="230"/>
      <w:bookmarkEnd w:id="231"/>
    </w:p>
    <w:p w14:paraId="100D6621" w14:textId="77777777" w:rsidR="000C099C" w:rsidRDefault="000C099C">
      <w:pPr>
        <w:pStyle w:val="BodyTextIndent"/>
        <w:tabs>
          <w:tab w:val="clear" w:pos="1800"/>
          <w:tab w:val="left" w:pos="0"/>
        </w:tabs>
        <w:ind w:left="0" w:firstLine="0"/>
        <w:rPr>
          <w:b/>
        </w:rPr>
      </w:pPr>
      <w:r>
        <w:t>High yield debt, due to the high risk and volatility of these securities, markups/markdowns may be allowed up to 5% or slightly higher.  However, any markups/markdowns higher than 5% must be approved by Morris Monroe.  Morris Monroe shall document the conditions precedent to the exception in support of granting of such exception.</w:t>
      </w:r>
    </w:p>
    <w:p w14:paraId="6D13B735" w14:textId="77777777" w:rsidR="000C099C" w:rsidRDefault="000C099C">
      <w:pPr>
        <w:ind w:hanging="90"/>
        <w:jc w:val="both"/>
        <w:rPr>
          <w:sz w:val="24"/>
        </w:rPr>
      </w:pPr>
    </w:p>
    <w:p w14:paraId="28686770" w14:textId="77777777" w:rsidR="00BC70A1" w:rsidRPr="00BC70A1" w:rsidRDefault="0043267C" w:rsidP="00936FEE">
      <w:pPr>
        <w:pStyle w:val="Heading2"/>
        <w:rPr>
          <w:i/>
          <w:snapToGrid w:val="0"/>
        </w:rPr>
      </w:pPr>
      <w:bookmarkStart w:id="232" w:name="TRACE"/>
      <w:bookmarkEnd w:id="232"/>
      <w:r>
        <w:rPr>
          <w:snapToGrid w:val="0"/>
        </w:rPr>
        <w:t>12.</w:t>
      </w:r>
      <w:r w:rsidR="00A31807">
        <w:rPr>
          <w:snapToGrid w:val="0"/>
        </w:rPr>
        <w:t>9</w:t>
      </w:r>
      <w:r>
        <w:rPr>
          <w:snapToGrid w:val="0"/>
        </w:rPr>
        <w:t xml:space="preserve"> </w:t>
      </w:r>
      <w:r w:rsidR="00BC70A1">
        <w:rPr>
          <w:snapToGrid w:val="0"/>
        </w:rPr>
        <w:t>Trade Reporting Compliance Engin</w:t>
      </w:r>
      <w:r w:rsidR="00965C46">
        <w:rPr>
          <w:snapToGrid w:val="0"/>
        </w:rPr>
        <w:t>e</w:t>
      </w:r>
      <w:r w:rsidR="00BC70A1">
        <w:rPr>
          <w:snapToGrid w:val="0"/>
        </w:rPr>
        <w:t xml:space="preserve"> (TRACE) </w:t>
      </w:r>
      <w:r w:rsidR="00BC70A1">
        <w:rPr>
          <w:i/>
          <w:snapToGrid w:val="0"/>
        </w:rPr>
        <w:t xml:space="preserve">FIPS Rule </w:t>
      </w:r>
      <w:r w:rsidR="00965C46">
        <w:rPr>
          <w:i/>
          <w:snapToGrid w:val="0"/>
        </w:rPr>
        <w:t>Rescission</w:t>
      </w:r>
    </w:p>
    <w:p w14:paraId="4854FED7" w14:textId="29BB48C8" w:rsidR="00BC70A1" w:rsidRPr="001E23AB" w:rsidRDefault="00BC70A1" w:rsidP="00BC70A1">
      <w:pPr>
        <w:pStyle w:val="MRS"/>
      </w:pPr>
      <w:r>
        <w:t xml:space="preserve">On January 23, 2001, the Securities and Exchange Commission approved proposed </w:t>
      </w:r>
      <w:r w:rsidR="00965C46">
        <w:t>rules that</w:t>
      </w:r>
      <w:r>
        <w:t xml:space="preserve"> will require </w:t>
      </w:r>
      <w:r w:rsidRPr="001E23AB">
        <w:t xml:space="preserve">FINRA members to report </w:t>
      </w:r>
      <w:r w:rsidR="00E94830" w:rsidRPr="001E23AB">
        <w:t>over the counter</w:t>
      </w:r>
      <w:r w:rsidRPr="001E23AB">
        <w:t xml:space="preserve"> (OTC) secondary market transactions </w:t>
      </w:r>
      <w:r w:rsidR="00E62801" w:rsidRPr="001E23AB">
        <w:t>in eligible</w:t>
      </w:r>
      <w:r w:rsidRPr="001E23AB">
        <w:t xml:space="preserve"> fixed income securities to FINRA </w:t>
      </w:r>
      <w:r w:rsidR="007D52B5" w:rsidRPr="005D0F44">
        <w:t>(within 15 minutes)</w:t>
      </w:r>
      <w:r w:rsidR="007D52B5">
        <w:t xml:space="preserve"> </w:t>
      </w:r>
      <w:r w:rsidRPr="001E23AB">
        <w:t xml:space="preserve">and subject certain transaction </w:t>
      </w:r>
      <w:r w:rsidR="00B53ECC" w:rsidRPr="001E23AB">
        <w:t>reports to</w:t>
      </w:r>
      <w:r w:rsidRPr="001E23AB">
        <w:t xml:space="preserve"> dissemination.  Prices on these trades are then shown to the investing public, subject to certain restrictions and limitations </w:t>
      </w:r>
      <w:r w:rsidR="00E62801" w:rsidRPr="001E23AB">
        <w:t>for purposes</w:t>
      </w:r>
      <w:r w:rsidRPr="001E23AB">
        <w:t xml:space="preserve"> of ascertaining comparability.</w:t>
      </w:r>
    </w:p>
    <w:p w14:paraId="7FC15F0F" w14:textId="77777777" w:rsidR="00BC70A1" w:rsidRPr="001E23AB" w:rsidRDefault="00BC70A1" w:rsidP="00BC70A1">
      <w:pPr>
        <w:jc w:val="both"/>
        <w:rPr>
          <w:sz w:val="24"/>
        </w:rPr>
      </w:pPr>
    </w:p>
    <w:p w14:paraId="3868C44D" w14:textId="77777777" w:rsidR="00BC70A1" w:rsidRDefault="00BC70A1" w:rsidP="00BC70A1">
      <w:pPr>
        <w:jc w:val="both"/>
        <w:rPr>
          <w:sz w:val="24"/>
        </w:rPr>
      </w:pPr>
      <w:r w:rsidRPr="001E23AB">
        <w:rPr>
          <w:sz w:val="24"/>
        </w:rPr>
        <w:t>The Trade Reporting and Compliance Engine (TRACE) is the FINRA-developed vehicle that facilitates this mandatory reporting.   All broker/dealers who are FINRA member firms have an obligation to report eligible secondary market, over-the-counter transactions</w:t>
      </w:r>
      <w:r>
        <w:rPr>
          <w:sz w:val="24"/>
        </w:rPr>
        <w:t xml:space="preserve"> in </w:t>
      </w:r>
      <w:r w:rsidR="00965C46">
        <w:rPr>
          <w:sz w:val="24"/>
        </w:rPr>
        <w:t>corporate bonds</w:t>
      </w:r>
      <w:r>
        <w:rPr>
          <w:sz w:val="24"/>
        </w:rPr>
        <w:t xml:space="preserve"> to TRACE under SEC rules.  The implementation date for TRACE is July 1, 2002.</w:t>
      </w:r>
    </w:p>
    <w:p w14:paraId="263F8F92" w14:textId="77777777" w:rsidR="00BC70A1" w:rsidRDefault="00BC70A1" w:rsidP="00BC70A1">
      <w:pPr>
        <w:jc w:val="both"/>
        <w:rPr>
          <w:sz w:val="24"/>
        </w:rPr>
      </w:pPr>
    </w:p>
    <w:p w14:paraId="6F73A675" w14:textId="77777777" w:rsidR="00BC70A1" w:rsidRDefault="00BC70A1" w:rsidP="00BC70A1">
      <w:pPr>
        <w:jc w:val="both"/>
        <w:rPr>
          <w:sz w:val="24"/>
        </w:rPr>
      </w:pPr>
      <w:r>
        <w:rPr>
          <w:sz w:val="24"/>
        </w:rPr>
        <w:t xml:space="preserve">Morris Monroe has the responsibility for ensuring </w:t>
      </w:r>
      <w:r w:rsidR="00965C46">
        <w:rPr>
          <w:sz w:val="24"/>
        </w:rPr>
        <w:t>that TRACE</w:t>
      </w:r>
      <w:r>
        <w:rPr>
          <w:sz w:val="24"/>
        </w:rPr>
        <w:t xml:space="preserve"> reports are submitted timely and accurately.  Currently, the Company has engaged its clearing firm, </w:t>
      </w:r>
      <w:r w:rsidR="007B502C" w:rsidRPr="00E4165F">
        <w:rPr>
          <w:sz w:val="24"/>
        </w:rPr>
        <w:t>Hilltop</w:t>
      </w:r>
      <w:r w:rsidRPr="00E4165F">
        <w:rPr>
          <w:sz w:val="24"/>
        </w:rPr>
        <w:t xml:space="preserve"> Securities, Inc. (</w:t>
      </w:r>
      <w:r w:rsidR="007B502C" w:rsidRPr="00E4165F">
        <w:rPr>
          <w:sz w:val="24"/>
        </w:rPr>
        <w:t>HT</w:t>
      </w:r>
      <w:r w:rsidRPr="00E4165F">
        <w:rPr>
          <w:sz w:val="24"/>
        </w:rPr>
        <w:t xml:space="preserve">S) to submit TRACE order information on its behalf.  The Company has submitted the proper TRACE Participation Agreement with Attachment B completed, with </w:t>
      </w:r>
      <w:r w:rsidR="007B502C" w:rsidRPr="00E4165F">
        <w:rPr>
          <w:sz w:val="24"/>
        </w:rPr>
        <w:t>HT</w:t>
      </w:r>
      <w:r w:rsidRPr="00E4165F">
        <w:rPr>
          <w:sz w:val="24"/>
        </w:rPr>
        <w:t xml:space="preserve">S noted </w:t>
      </w:r>
      <w:r>
        <w:rPr>
          <w:sz w:val="24"/>
        </w:rPr>
        <w:t xml:space="preserve">as </w:t>
      </w:r>
      <w:r w:rsidR="00965C46">
        <w:rPr>
          <w:sz w:val="24"/>
        </w:rPr>
        <w:t>the named</w:t>
      </w:r>
      <w:r>
        <w:rPr>
          <w:sz w:val="24"/>
        </w:rPr>
        <w:t xml:space="preserve"> Service Bureau, and the TRACE Order Form.</w:t>
      </w:r>
    </w:p>
    <w:p w14:paraId="42C5CF37" w14:textId="77777777" w:rsidR="00BC70A1" w:rsidRPr="00FA2FAA" w:rsidRDefault="00BC70A1" w:rsidP="00BC70A1">
      <w:pPr>
        <w:pStyle w:val="NormalWeb"/>
        <w:rPr>
          <w:rFonts w:ascii="Times New Roman" w:hAnsi="Times New Roman" w:cs="Times New Roman"/>
          <w:color w:val="auto"/>
        </w:rPr>
      </w:pPr>
      <w:r w:rsidRPr="00FA2FAA">
        <w:rPr>
          <w:rFonts w:ascii="Times New Roman" w:hAnsi="Times New Roman" w:cs="Times New Roman"/>
          <w:color w:val="auto"/>
        </w:rPr>
        <w:t xml:space="preserve">The TRACE Rules provide the following: </w:t>
      </w:r>
    </w:p>
    <w:p w14:paraId="39AB3C6F" w14:textId="77777777" w:rsidR="009F24CB" w:rsidRDefault="00DA1223" w:rsidP="009F24CB">
      <w:pPr>
        <w:numPr>
          <w:ilvl w:val="0"/>
          <w:numId w:val="13"/>
        </w:numPr>
        <w:jc w:val="both"/>
        <w:rPr>
          <w:sz w:val="24"/>
        </w:rPr>
      </w:pPr>
      <w:r>
        <w:rPr>
          <w:sz w:val="24"/>
        </w:rPr>
        <w:t>F</w:t>
      </w:r>
      <w:r w:rsidR="00BC70A1">
        <w:rPr>
          <w:sz w:val="24"/>
        </w:rPr>
        <w:t>ixed income transactions that must be reported under the new TRACE Rules are those OTC secondary market transactions involving a "TRACE-eligible security</w:t>
      </w:r>
      <w:r w:rsidR="009F24CB">
        <w:rPr>
          <w:sz w:val="24"/>
        </w:rPr>
        <w:t>;"</w:t>
      </w:r>
    </w:p>
    <w:p w14:paraId="793A44CA" w14:textId="77777777" w:rsidR="009F24CB" w:rsidRPr="009F24CB" w:rsidRDefault="009F24CB" w:rsidP="009F24CB">
      <w:pPr>
        <w:ind w:left="720"/>
        <w:jc w:val="both"/>
        <w:rPr>
          <w:sz w:val="24"/>
        </w:rPr>
      </w:pPr>
    </w:p>
    <w:p w14:paraId="4B6DEAC0" w14:textId="77777777" w:rsidR="00376F92" w:rsidRDefault="00DA1223" w:rsidP="009F24CB">
      <w:pPr>
        <w:numPr>
          <w:ilvl w:val="0"/>
          <w:numId w:val="13"/>
        </w:numPr>
        <w:jc w:val="both"/>
        <w:rPr>
          <w:sz w:val="24"/>
        </w:rPr>
      </w:pPr>
      <w:r>
        <w:rPr>
          <w:sz w:val="24"/>
        </w:rPr>
        <w:t>T</w:t>
      </w:r>
      <w:r w:rsidR="00BC70A1" w:rsidRPr="0038556B">
        <w:rPr>
          <w:sz w:val="24"/>
        </w:rPr>
        <w:t>he term "TRACE-eligible security" means</w:t>
      </w:r>
    </w:p>
    <w:p w14:paraId="52D39AD8" w14:textId="77777777" w:rsidR="00095CEC" w:rsidRPr="00E4165F" w:rsidRDefault="00BC70A1" w:rsidP="003E7B18">
      <w:pPr>
        <w:numPr>
          <w:ilvl w:val="0"/>
          <w:numId w:val="141"/>
        </w:numPr>
        <w:spacing w:before="100" w:beforeAutospacing="1" w:after="100" w:afterAutospacing="1"/>
        <w:ind w:left="900" w:hanging="180"/>
        <w:jc w:val="both"/>
        <w:rPr>
          <w:sz w:val="24"/>
        </w:rPr>
      </w:pPr>
      <w:r w:rsidRPr="0038556B">
        <w:rPr>
          <w:sz w:val="24"/>
        </w:rPr>
        <w:t xml:space="preserve">all US </w:t>
      </w:r>
      <w:r w:rsidR="00095CEC" w:rsidRPr="00E4165F">
        <w:rPr>
          <w:sz w:val="24"/>
        </w:rPr>
        <w:t>Treasury securities (</w:t>
      </w:r>
      <w:r w:rsidR="00095CEC" w:rsidRPr="00E4165F">
        <w:rPr>
          <w:sz w:val="24"/>
          <w:szCs w:val="24"/>
        </w:rPr>
        <w:t xml:space="preserve">all securities issued by the Treasury Dept. including separate principal and interest components; savings bonds and U.S. Treasury securities bought in an auction are NOT included); </w:t>
      </w:r>
    </w:p>
    <w:p w14:paraId="1AE83B2B" w14:textId="77777777" w:rsidR="00376F92" w:rsidRPr="00612826" w:rsidRDefault="00095CEC" w:rsidP="003E7B18">
      <w:pPr>
        <w:numPr>
          <w:ilvl w:val="0"/>
          <w:numId w:val="141"/>
        </w:numPr>
        <w:spacing w:before="100" w:beforeAutospacing="1" w:after="100" w:afterAutospacing="1"/>
        <w:ind w:left="900" w:hanging="180"/>
        <w:jc w:val="both"/>
        <w:rPr>
          <w:sz w:val="24"/>
        </w:rPr>
      </w:pPr>
      <w:r w:rsidRPr="00E4165F">
        <w:rPr>
          <w:sz w:val="24"/>
          <w:szCs w:val="24"/>
        </w:rPr>
        <w:t xml:space="preserve">US </w:t>
      </w:r>
      <w:r w:rsidR="00BC70A1" w:rsidRPr="00E4165F">
        <w:rPr>
          <w:sz w:val="24"/>
        </w:rPr>
        <w:t xml:space="preserve">dollar denominated debt securities </w:t>
      </w:r>
      <w:r w:rsidR="00376F92">
        <w:rPr>
          <w:sz w:val="24"/>
        </w:rPr>
        <w:t>issued by a US or foreign private issuer</w:t>
      </w:r>
      <w:r w:rsidR="009766CE">
        <w:rPr>
          <w:sz w:val="24"/>
        </w:rPr>
        <w:t xml:space="preserve"> </w:t>
      </w:r>
      <w:r w:rsidR="009766CE" w:rsidRPr="00612826">
        <w:rPr>
          <w:sz w:val="24"/>
        </w:rPr>
        <w:t>(and if a restricted security, sold under Rule 144A)</w:t>
      </w:r>
      <w:r w:rsidR="00376F92" w:rsidRPr="00612826">
        <w:rPr>
          <w:sz w:val="24"/>
        </w:rPr>
        <w:t>;</w:t>
      </w:r>
    </w:p>
    <w:p w14:paraId="5A32AD45" w14:textId="77777777" w:rsidR="009766CE" w:rsidRDefault="009766CE" w:rsidP="003E7B18">
      <w:pPr>
        <w:numPr>
          <w:ilvl w:val="0"/>
          <w:numId w:val="141"/>
        </w:numPr>
        <w:spacing w:before="100" w:beforeAutospacing="1" w:after="100" w:afterAutospacing="1"/>
        <w:ind w:left="900" w:hanging="180"/>
        <w:jc w:val="both"/>
        <w:rPr>
          <w:sz w:val="24"/>
        </w:rPr>
      </w:pPr>
      <w:r w:rsidRPr="00612826">
        <w:rPr>
          <w:sz w:val="24"/>
        </w:rPr>
        <w:t>A debt security that is US dollar-denominated and issued or guaranteed by an Agency or a Government-Sponsored Enterprise (as defined in Rule 6710);</w:t>
      </w:r>
    </w:p>
    <w:p w14:paraId="652E294C" w14:textId="77777777" w:rsidR="00095CEC" w:rsidRPr="00E4165F" w:rsidRDefault="00095CEC" w:rsidP="003E7B18">
      <w:pPr>
        <w:numPr>
          <w:ilvl w:val="0"/>
          <w:numId w:val="141"/>
        </w:numPr>
        <w:spacing w:before="100" w:beforeAutospacing="1" w:after="100" w:afterAutospacing="1"/>
        <w:ind w:left="900" w:hanging="180"/>
        <w:jc w:val="both"/>
        <w:rPr>
          <w:sz w:val="24"/>
        </w:rPr>
      </w:pPr>
      <w:r w:rsidRPr="00E4165F">
        <w:rPr>
          <w:sz w:val="24"/>
          <w:szCs w:val="24"/>
        </w:rPr>
        <w:t>Hybrid securities (both debt- and equity-like features) as specified by FINRA</w:t>
      </w:r>
      <w:r w:rsidRPr="00E4165F">
        <w:t>;</w:t>
      </w:r>
    </w:p>
    <w:p w14:paraId="36F344C4" w14:textId="77777777" w:rsidR="00376F92" w:rsidRPr="00612826" w:rsidRDefault="00376F92" w:rsidP="003E7B18">
      <w:pPr>
        <w:numPr>
          <w:ilvl w:val="0"/>
          <w:numId w:val="141"/>
        </w:numPr>
        <w:spacing w:before="100" w:beforeAutospacing="1" w:after="100" w:afterAutospacing="1"/>
        <w:ind w:left="900" w:hanging="180"/>
        <w:jc w:val="both"/>
        <w:rPr>
          <w:sz w:val="24"/>
        </w:rPr>
      </w:pPr>
      <w:r w:rsidRPr="00612826">
        <w:rPr>
          <w:sz w:val="24"/>
        </w:rPr>
        <w:t>FDIC-guaranteed debt securities under the federal “Temporary Liquidity Guarantee Program’”</w:t>
      </w:r>
    </w:p>
    <w:p w14:paraId="2DA1EC38" w14:textId="77777777" w:rsidR="00376F92" w:rsidRPr="00612826" w:rsidRDefault="00376F92" w:rsidP="003E7B18">
      <w:pPr>
        <w:numPr>
          <w:ilvl w:val="0"/>
          <w:numId w:val="141"/>
        </w:numPr>
        <w:spacing w:before="100" w:beforeAutospacing="1" w:after="100" w:afterAutospacing="1"/>
        <w:ind w:left="900" w:hanging="180"/>
        <w:jc w:val="both"/>
        <w:rPr>
          <w:sz w:val="24"/>
        </w:rPr>
      </w:pPr>
      <w:r w:rsidRPr="00612826">
        <w:rPr>
          <w:sz w:val="24"/>
        </w:rPr>
        <w:t>Asset- and mortgage-backed securities (as broadly defined in FINRA Rule 6710(a) including CMOs, CDOs,</w:t>
      </w:r>
      <w:r w:rsidR="00095CEC">
        <w:rPr>
          <w:sz w:val="24"/>
        </w:rPr>
        <w:t xml:space="preserve"> </w:t>
      </w:r>
      <w:r w:rsidR="00095CEC" w:rsidRPr="00E4165F">
        <w:rPr>
          <w:sz w:val="24"/>
        </w:rPr>
        <w:t>CBOs</w:t>
      </w:r>
      <w:r w:rsidRPr="00E4165F">
        <w:rPr>
          <w:sz w:val="24"/>
        </w:rPr>
        <w:t xml:space="preserve"> </w:t>
      </w:r>
      <w:r w:rsidRPr="00612826">
        <w:rPr>
          <w:sz w:val="24"/>
        </w:rPr>
        <w:t xml:space="preserve">and other asset-backed securities; </w:t>
      </w:r>
    </w:p>
    <w:p w14:paraId="5A24E40E" w14:textId="77777777" w:rsidR="00FA6BC7" w:rsidRPr="00E31E45" w:rsidRDefault="00376F92" w:rsidP="00376F92">
      <w:pPr>
        <w:spacing w:before="100" w:beforeAutospacing="1" w:after="100" w:afterAutospacing="1"/>
        <w:ind w:left="720"/>
        <w:jc w:val="both"/>
        <w:rPr>
          <w:sz w:val="24"/>
          <w:szCs w:val="24"/>
        </w:rPr>
      </w:pPr>
      <w:r>
        <w:rPr>
          <w:sz w:val="24"/>
        </w:rPr>
        <w:lastRenderedPageBreak/>
        <w:t>TRACE eligible securities include unlisted convertible debt, unlisted equity-li</w:t>
      </w:r>
      <w:r w:rsidR="0038556B" w:rsidRPr="00376F92">
        <w:rPr>
          <w:sz w:val="24"/>
          <w:szCs w:val="24"/>
        </w:rPr>
        <w:t>nked notes and similar securities (those that are listed on a national securities exchange must be reported to the appropriate equity trade reporting facility). A "foreign private issuer" is a foreign issuer that is not eligible to use the SEC's Schedule B for registering a debt offering in the U.S</w:t>
      </w:r>
      <w:r w:rsidR="00FA6BC7">
        <w:rPr>
          <w:sz w:val="24"/>
          <w:szCs w:val="24"/>
        </w:rPr>
        <w:t>.</w:t>
      </w:r>
    </w:p>
    <w:p w14:paraId="1D9DC68A" w14:textId="2F5DC36D" w:rsidR="00FA6BC7" w:rsidRPr="00E31E45" w:rsidRDefault="00FA6BC7" w:rsidP="00311E9C">
      <w:pPr>
        <w:pStyle w:val="ListParagraph"/>
        <w:numPr>
          <w:ilvl w:val="0"/>
          <w:numId w:val="131"/>
        </w:numPr>
        <w:rPr>
          <w:spacing w:val="8"/>
          <w:sz w:val="24"/>
          <w:szCs w:val="24"/>
        </w:rPr>
      </w:pPr>
      <w:r w:rsidRPr="00E31E45">
        <w:rPr>
          <w:spacing w:val="8"/>
          <w:sz w:val="24"/>
          <w:szCs w:val="24"/>
        </w:rPr>
        <w:t>Reporting obligations also include:</w:t>
      </w:r>
    </w:p>
    <w:p w14:paraId="3B1EF19C" w14:textId="77777777" w:rsidR="00FA6BC7" w:rsidRPr="00E31E45" w:rsidRDefault="00FA6BC7" w:rsidP="00FA6BC7">
      <w:pPr>
        <w:ind w:left="720"/>
        <w:rPr>
          <w:spacing w:val="8"/>
          <w:sz w:val="12"/>
          <w:szCs w:val="12"/>
        </w:rPr>
      </w:pPr>
    </w:p>
    <w:p w14:paraId="48D66EA1" w14:textId="697CC580" w:rsidR="00FA6BC7" w:rsidRPr="00E31E45" w:rsidRDefault="00FA6BC7" w:rsidP="0005402C">
      <w:pPr>
        <w:numPr>
          <w:ilvl w:val="0"/>
          <w:numId w:val="383"/>
        </w:numPr>
        <w:tabs>
          <w:tab w:val="clear" w:pos="720"/>
          <w:tab w:val="num" w:pos="1170"/>
        </w:tabs>
        <w:ind w:left="1170" w:hanging="270"/>
        <w:rPr>
          <w:spacing w:val="8"/>
          <w:sz w:val="24"/>
          <w:szCs w:val="24"/>
        </w:rPr>
      </w:pPr>
      <w:r w:rsidRPr="00E31E45">
        <w:rPr>
          <w:spacing w:val="8"/>
          <w:sz w:val="24"/>
          <w:szCs w:val="24"/>
        </w:rPr>
        <w:t>primary market transactions in TRACE eligible securities;</w:t>
      </w:r>
    </w:p>
    <w:p w14:paraId="655EEFCD" w14:textId="25D72476" w:rsidR="00FA6BC7" w:rsidRPr="00E31E45" w:rsidRDefault="00FA6BC7" w:rsidP="0005402C">
      <w:pPr>
        <w:numPr>
          <w:ilvl w:val="0"/>
          <w:numId w:val="383"/>
        </w:numPr>
        <w:tabs>
          <w:tab w:val="clear" w:pos="720"/>
          <w:tab w:val="num" w:pos="1170"/>
        </w:tabs>
        <w:spacing w:before="100" w:beforeAutospacing="1" w:after="100" w:afterAutospacing="1"/>
        <w:ind w:left="1170" w:hanging="270"/>
        <w:rPr>
          <w:spacing w:val="8"/>
          <w:sz w:val="24"/>
          <w:szCs w:val="24"/>
        </w:rPr>
      </w:pPr>
      <w:r w:rsidRPr="00E31E45">
        <w:rPr>
          <w:spacing w:val="8"/>
          <w:sz w:val="24"/>
          <w:szCs w:val="24"/>
        </w:rPr>
        <w:t>identification of corporate bond trades where the price of the trade is based on a spread to a benchmark Treasury security that was agreed upon earlier in the day (</w:t>
      </w:r>
      <w:r w:rsidRPr="00E31E45">
        <w:rPr>
          <w:i/>
          <w:iCs/>
          <w:spacing w:val="8"/>
          <w:sz w:val="24"/>
          <w:szCs w:val="24"/>
        </w:rPr>
        <w:t>i.e.,</w:t>
      </w:r>
      <w:r w:rsidRPr="00E31E45">
        <w:rPr>
          <w:spacing w:val="8"/>
          <w:sz w:val="24"/>
          <w:szCs w:val="24"/>
        </w:rPr>
        <w:t xml:space="preserve"> a "delayed Treasury spot trade") and report the time at which the spread was agreed upon; and </w:t>
      </w:r>
    </w:p>
    <w:p w14:paraId="06227919" w14:textId="2D27C351" w:rsidR="00FA6BC7" w:rsidRPr="00E31E45" w:rsidRDefault="00FA6BC7" w:rsidP="0005402C">
      <w:pPr>
        <w:numPr>
          <w:ilvl w:val="0"/>
          <w:numId w:val="383"/>
        </w:numPr>
        <w:tabs>
          <w:tab w:val="clear" w:pos="720"/>
          <w:tab w:val="num" w:pos="1170"/>
        </w:tabs>
        <w:spacing w:before="100" w:beforeAutospacing="1" w:after="100" w:afterAutospacing="1"/>
        <w:ind w:left="1170" w:hanging="270"/>
        <w:rPr>
          <w:spacing w:val="8"/>
          <w:sz w:val="24"/>
          <w:szCs w:val="24"/>
        </w:rPr>
      </w:pPr>
      <w:r w:rsidRPr="00E31E45">
        <w:rPr>
          <w:spacing w:val="8"/>
          <w:sz w:val="24"/>
          <w:szCs w:val="24"/>
        </w:rPr>
        <w:t>identification of corporate bond trades that are a part of a larger portfolio trade.</w:t>
      </w:r>
    </w:p>
    <w:p w14:paraId="0B273CB8" w14:textId="77777777" w:rsidR="009B3DCF" w:rsidRDefault="00DA1223" w:rsidP="0005402C">
      <w:pPr>
        <w:numPr>
          <w:ilvl w:val="0"/>
          <w:numId w:val="384"/>
        </w:numPr>
        <w:spacing w:before="100" w:beforeAutospacing="1" w:after="100" w:afterAutospacing="1"/>
        <w:jc w:val="both"/>
        <w:rPr>
          <w:sz w:val="24"/>
        </w:rPr>
      </w:pPr>
      <w:r>
        <w:rPr>
          <w:sz w:val="24"/>
        </w:rPr>
        <w:t>T</w:t>
      </w:r>
      <w:r w:rsidR="00BC70A1">
        <w:rPr>
          <w:sz w:val="24"/>
        </w:rPr>
        <w:t xml:space="preserve">he term "TRACE-eligible security" specifically </w:t>
      </w:r>
      <w:r w:rsidR="0038556B">
        <w:rPr>
          <w:sz w:val="24"/>
        </w:rPr>
        <w:t xml:space="preserve">excludes </w:t>
      </w:r>
    </w:p>
    <w:p w14:paraId="7B510295" w14:textId="77777777" w:rsidR="00483BA8" w:rsidRDefault="009F24CB" w:rsidP="003E7B18">
      <w:pPr>
        <w:numPr>
          <w:ilvl w:val="2"/>
          <w:numId w:val="142"/>
        </w:numPr>
        <w:spacing w:before="100" w:beforeAutospacing="1" w:after="100" w:afterAutospacing="1"/>
        <w:ind w:left="990" w:hanging="270"/>
        <w:jc w:val="both"/>
        <w:rPr>
          <w:sz w:val="24"/>
        </w:rPr>
      </w:pPr>
      <w:r>
        <w:rPr>
          <w:sz w:val="24"/>
        </w:rPr>
        <w:t>M</w:t>
      </w:r>
      <w:r w:rsidR="00BC70A1" w:rsidRPr="00483BA8">
        <w:rPr>
          <w:sz w:val="24"/>
        </w:rPr>
        <w:t>oney market instruments</w:t>
      </w:r>
      <w:r>
        <w:rPr>
          <w:sz w:val="24"/>
        </w:rPr>
        <w:t>;</w:t>
      </w:r>
      <w:r w:rsidR="00BC70A1" w:rsidRPr="00483BA8">
        <w:rPr>
          <w:sz w:val="24"/>
        </w:rPr>
        <w:t xml:space="preserve"> </w:t>
      </w:r>
    </w:p>
    <w:p w14:paraId="526D9C37" w14:textId="4E0C49B1" w:rsidR="00BC70A1" w:rsidRDefault="009F24CB" w:rsidP="003E7B18">
      <w:pPr>
        <w:numPr>
          <w:ilvl w:val="2"/>
          <w:numId w:val="142"/>
        </w:numPr>
        <w:spacing w:before="100" w:beforeAutospacing="1" w:after="100" w:afterAutospacing="1"/>
        <w:ind w:left="990" w:hanging="270"/>
        <w:jc w:val="both"/>
        <w:rPr>
          <w:sz w:val="24"/>
        </w:rPr>
      </w:pPr>
      <w:r>
        <w:rPr>
          <w:sz w:val="24"/>
        </w:rPr>
        <w:t>D</w:t>
      </w:r>
      <w:r w:rsidR="00BC70A1" w:rsidRPr="00612826">
        <w:rPr>
          <w:sz w:val="24"/>
        </w:rPr>
        <w:t xml:space="preserve">ebt </w:t>
      </w:r>
      <w:r w:rsidR="00FA2FAA" w:rsidRPr="00612826">
        <w:rPr>
          <w:sz w:val="24"/>
        </w:rPr>
        <w:t>issued by a foreign sovereign</w:t>
      </w:r>
      <w:r w:rsidR="00BC70A1" w:rsidRPr="00612826">
        <w:rPr>
          <w:sz w:val="24"/>
        </w:rPr>
        <w:t xml:space="preserve">; </w:t>
      </w:r>
      <w:r w:rsidR="00BE4B45" w:rsidRPr="00BE4B45">
        <w:rPr>
          <w:color w:val="FF0000"/>
          <w:sz w:val="24"/>
        </w:rPr>
        <w:t>and</w:t>
      </w:r>
    </w:p>
    <w:p w14:paraId="18858D21" w14:textId="5AE95717" w:rsidR="00BE4B45" w:rsidRPr="00BE4B45" w:rsidRDefault="00BE4B45" w:rsidP="00BE4B45">
      <w:pPr>
        <w:numPr>
          <w:ilvl w:val="0"/>
          <w:numId w:val="142"/>
        </w:numPr>
        <w:spacing w:before="100" w:beforeAutospacing="1" w:after="100" w:afterAutospacing="1"/>
        <w:ind w:left="990" w:hanging="270"/>
        <w:rPr>
          <w:color w:val="FF0000"/>
          <w:spacing w:val="8"/>
          <w:sz w:val="24"/>
          <w:szCs w:val="24"/>
        </w:rPr>
      </w:pPr>
      <w:r w:rsidRPr="00BE4B45">
        <w:rPr>
          <w:color w:val="FF0000"/>
          <w:spacing w:val="8"/>
          <w:sz w:val="24"/>
          <w:szCs w:val="24"/>
        </w:rPr>
        <w:t>eligible ATS transactions that involve only one FINRA member (other than the ATS)</w:t>
      </w:r>
    </w:p>
    <w:p w14:paraId="520EDCB2" w14:textId="13951CC1" w:rsidR="009F24CB" w:rsidRPr="00E4165F" w:rsidRDefault="00DA1223" w:rsidP="0005402C">
      <w:pPr>
        <w:numPr>
          <w:ilvl w:val="0"/>
          <w:numId w:val="384"/>
        </w:numPr>
        <w:jc w:val="both"/>
        <w:rPr>
          <w:sz w:val="24"/>
        </w:rPr>
      </w:pPr>
      <w:r>
        <w:rPr>
          <w:sz w:val="24"/>
        </w:rPr>
        <w:t>A</w:t>
      </w:r>
      <w:r w:rsidR="00BC70A1">
        <w:rPr>
          <w:sz w:val="24"/>
        </w:rPr>
        <w:t xml:space="preserve"> member that is a party to a transaction involving a member and a non-member, including a customer, in a fixed income security that is a TRACE-eligible security must report the transaction to </w:t>
      </w:r>
      <w:r w:rsidR="00BC70A1" w:rsidRPr="001E23AB">
        <w:rPr>
          <w:sz w:val="24"/>
        </w:rPr>
        <w:t>FINRA</w:t>
      </w:r>
      <w:r w:rsidR="004E6C0E">
        <w:rPr>
          <w:sz w:val="24"/>
        </w:rPr>
        <w:t xml:space="preserve"> </w:t>
      </w:r>
      <w:r w:rsidR="004E6C0E" w:rsidRPr="00E4165F">
        <w:rPr>
          <w:sz w:val="24"/>
        </w:rPr>
        <w:t>and at the time all order information is available to the Company</w:t>
      </w:r>
      <w:r w:rsidR="00784015" w:rsidRPr="00E4165F">
        <w:rPr>
          <w:sz w:val="24"/>
        </w:rPr>
        <w:t xml:space="preserve"> (which for the customer side is typically after the </w:t>
      </w:r>
      <w:r w:rsidR="00E94830" w:rsidRPr="00E4165F">
        <w:rPr>
          <w:sz w:val="24"/>
        </w:rPr>
        <w:t>inter-dealer</w:t>
      </w:r>
      <w:r w:rsidR="00784015" w:rsidRPr="00E4165F">
        <w:rPr>
          <w:sz w:val="24"/>
        </w:rPr>
        <w:t xml:space="preserve"> transaction)</w:t>
      </w:r>
      <w:r w:rsidR="00BC70A1" w:rsidRPr="00E4165F">
        <w:rPr>
          <w:sz w:val="24"/>
        </w:rPr>
        <w:t xml:space="preserve">; </w:t>
      </w:r>
    </w:p>
    <w:p w14:paraId="1F357607" w14:textId="77777777" w:rsidR="009F24CB" w:rsidRPr="009F24CB" w:rsidRDefault="009F24CB" w:rsidP="009F24CB">
      <w:pPr>
        <w:ind w:left="720"/>
        <w:jc w:val="both"/>
        <w:rPr>
          <w:sz w:val="24"/>
        </w:rPr>
      </w:pPr>
    </w:p>
    <w:p w14:paraId="60FDAA75" w14:textId="77777777" w:rsidR="00BC70A1" w:rsidRDefault="00DA1223" w:rsidP="0005402C">
      <w:pPr>
        <w:numPr>
          <w:ilvl w:val="0"/>
          <w:numId w:val="384"/>
        </w:numPr>
        <w:jc w:val="both"/>
        <w:rPr>
          <w:sz w:val="24"/>
        </w:rPr>
      </w:pPr>
      <w:r>
        <w:rPr>
          <w:sz w:val="24"/>
        </w:rPr>
        <w:t>W</w:t>
      </w:r>
      <w:r w:rsidR="00BC70A1" w:rsidRPr="001E23AB">
        <w:rPr>
          <w:sz w:val="24"/>
        </w:rPr>
        <w:t>hen the party on the sell side and the party on the buy side of a transaction in a TRACE-eligible security are both members, both members mus</w:t>
      </w:r>
      <w:r w:rsidR="009F24CB">
        <w:rPr>
          <w:sz w:val="24"/>
        </w:rPr>
        <w:t xml:space="preserve">t report the transaction to </w:t>
      </w:r>
      <w:r w:rsidR="00BC70A1" w:rsidRPr="001E23AB">
        <w:rPr>
          <w:sz w:val="24"/>
        </w:rPr>
        <w:t xml:space="preserve">FINRA; </w:t>
      </w:r>
    </w:p>
    <w:p w14:paraId="7E812204" w14:textId="77777777" w:rsidR="009F24CB" w:rsidRPr="001E23AB" w:rsidRDefault="009F24CB" w:rsidP="009F24CB">
      <w:pPr>
        <w:jc w:val="both"/>
        <w:rPr>
          <w:sz w:val="24"/>
        </w:rPr>
      </w:pPr>
    </w:p>
    <w:p w14:paraId="3B02F9A6" w14:textId="77777777" w:rsidR="00BC70A1" w:rsidRPr="001E23AB" w:rsidRDefault="00BC70A1" w:rsidP="0005402C">
      <w:pPr>
        <w:numPr>
          <w:ilvl w:val="0"/>
          <w:numId w:val="384"/>
        </w:numPr>
        <w:rPr>
          <w:sz w:val="24"/>
        </w:rPr>
      </w:pPr>
      <w:r w:rsidRPr="001E23AB">
        <w:rPr>
          <w:sz w:val="24"/>
        </w:rPr>
        <w:t xml:space="preserve">FINRA will disseminate transaction information relating to transactions in the following two types of securities: </w:t>
      </w:r>
    </w:p>
    <w:p w14:paraId="7C303B6E" w14:textId="77777777" w:rsidR="00BC70A1" w:rsidRDefault="00BC70A1" w:rsidP="0005402C">
      <w:pPr>
        <w:numPr>
          <w:ilvl w:val="1"/>
          <w:numId w:val="384"/>
        </w:numPr>
        <w:spacing w:before="100" w:beforeAutospacing="1" w:after="100" w:afterAutospacing="1"/>
        <w:rPr>
          <w:sz w:val="24"/>
        </w:rPr>
      </w:pPr>
      <w:r>
        <w:rPr>
          <w:sz w:val="24"/>
        </w:rPr>
        <w:t xml:space="preserve">a TRACE-eligible security having an initial issuance size of $1 billion or greater that is Investment Grade at the time of receipt of the transaction report (except those securities that are issued pursuant to Section 4(2) of the Securities Act and purchased or sold pursuant to Rule 144A under the Securities Act); and </w:t>
      </w:r>
    </w:p>
    <w:p w14:paraId="6164DAE7" w14:textId="77777777" w:rsidR="009F24CB" w:rsidRDefault="00BC70A1" w:rsidP="0005402C">
      <w:pPr>
        <w:numPr>
          <w:ilvl w:val="1"/>
          <w:numId w:val="384"/>
        </w:numPr>
        <w:rPr>
          <w:sz w:val="24"/>
        </w:rPr>
      </w:pPr>
      <w:r>
        <w:rPr>
          <w:sz w:val="24"/>
        </w:rPr>
        <w:t xml:space="preserve">a TRACE-eligible security that is designated as a Fixed Income Pricing </w:t>
      </w:r>
      <w:proofErr w:type="spellStart"/>
      <w:r>
        <w:rPr>
          <w:sz w:val="24"/>
        </w:rPr>
        <w:t>System</w:t>
      </w:r>
      <w:r>
        <w:rPr>
          <w:sz w:val="24"/>
          <w:vertAlign w:val="superscript"/>
        </w:rPr>
        <w:t>SM</w:t>
      </w:r>
      <w:proofErr w:type="spellEnd"/>
      <w:r>
        <w:rPr>
          <w:sz w:val="24"/>
        </w:rPr>
        <w:t xml:space="preserve"> (FIPS</w:t>
      </w:r>
      <w:r>
        <w:rPr>
          <w:sz w:val="24"/>
          <w:vertAlign w:val="superscript"/>
        </w:rPr>
        <w:t>®</w:t>
      </w:r>
      <w:r>
        <w:rPr>
          <w:sz w:val="24"/>
        </w:rPr>
        <w:t>) Mandatory Bond ("FIPS 50 security") immediately prior to the time that the FIPS rules (the current Rule 6200 Series) are rescinded</w:t>
      </w:r>
      <w:r w:rsidR="009F24CB">
        <w:rPr>
          <w:sz w:val="24"/>
        </w:rPr>
        <w:t>.</w:t>
      </w:r>
    </w:p>
    <w:p w14:paraId="752EB824" w14:textId="77777777" w:rsidR="00BC70A1" w:rsidRDefault="00BC70A1" w:rsidP="009F24CB">
      <w:pPr>
        <w:ind w:left="1440"/>
        <w:rPr>
          <w:sz w:val="24"/>
        </w:rPr>
      </w:pPr>
      <w:r>
        <w:rPr>
          <w:sz w:val="24"/>
        </w:rPr>
        <w:t xml:space="preserve"> </w:t>
      </w:r>
    </w:p>
    <w:p w14:paraId="1C5B3052" w14:textId="77777777" w:rsidR="00BC70A1" w:rsidRPr="00EB5FB0" w:rsidRDefault="001563F6" w:rsidP="0005402C">
      <w:pPr>
        <w:numPr>
          <w:ilvl w:val="0"/>
          <w:numId w:val="384"/>
        </w:numPr>
        <w:rPr>
          <w:sz w:val="24"/>
        </w:rPr>
      </w:pPr>
      <w:r>
        <w:rPr>
          <w:sz w:val="24"/>
        </w:rPr>
        <w:t>Dissemination</w:t>
      </w:r>
      <w:r w:rsidR="00BC70A1">
        <w:rPr>
          <w:sz w:val="24"/>
        </w:rPr>
        <w:t xml:space="preserve"> in the securities transactions referenced in 6 above will occur immediately after the transaction information is received by </w:t>
      </w:r>
      <w:r w:rsidR="00BC70A1" w:rsidRPr="00EB5FB0">
        <w:rPr>
          <w:sz w:val="24"/>
        </w:rPr>
        <w:t xml:space="preserve">FINRA. </w:t>
      </w:r>
    </w:p>
    <w:p w14:paraId="71597B59" w14:textId="77777777" w:rsidR="00BC70A1" w:rsidRDefault="001563F6" w:rsidP="0005402C">
      <w:pPr>
        <w:numPr>
          <w:ilvl w:val="0"/>
          <w:numId w:val="384"/>
        </w:numPr>
        <w:autoSpaceDE w:val="0"/>
        <w:autoSpaceDN w:val="0"/>
        <w:adjustRightInd w:val="0"/>
        <w:spacing w:before="120"/>
        <w:rPr>
          <w:sz w:val="24"/>
          <w:szCs w:val="24"/>
        </w:rPr>
      </w:pPr>
      <w:r>
        <w:rPr>
          <w:sz w:val="24"/>
          <w:szCs w:val="24"/>
        </w:rPr>
        <w:t>I</w:t>
      </w:r>
      <w:r w:rsidR="00BC70A1" w:rsidRPr="00EB5FB0">
        <w:rPr>
          <w:sz w:val="24"/>
          <w:szCs w:val="24"/>
        </w:rPr>
        <w:t xml:space="preserve">nformation on </w:t>
      </w:r>
      <w:r w:rsidR="00BC70A1" w:rsidRPr="00EB5FB0">
        <w:rPr>
          <w:i/>
          <w:iCs/>
          <w:sz w:val="24"/>
          <w:szCs w:val="24"/>
        </w:rPr>
        <w:t xml:space="preserve">all </w:t>
      </w:r>
      <w:r w:rsidR="00BC70A1" w:rsidRPr="00EB5FB0">
        <w:rPr>
          <w:sz w:val="24"/>
          <w:szCs w:val="24"/>
        </w:rPr>
        <w:t>transactions in TRACE-eligible securities must be disseminated immediately upon receipt, except those transactions in TRACE-eligible securities that are purchased or sold pursuant to Rule 144A under the Securities Act of 1933 (Securities Act) (Rule144A transactions).</w:t>
      </w:r>
    </w:p>
    <w:p w14:paraId="10DE0311" w14:textId="77777777" w:rsidR="009B3DCF" w:rsidRPr="00767FD6" w:rsidRDefault="009B3DCF" w:rsidP="0005402C">
      <w:pPr>
        <w:numPr>
          <w:ilvl w:val="0"/>
          <w:numId w:val="384"/>
        </w:numPr>
        <w:autoSpaceDE w:val="0"/>
        <w:autoSpaceDN w:val="0"/>
        <w:adjustRightInd w:val="0"/>
        <w:spacing w:before="120"/>
        <w:rPr>
          <w:sz w:val="24"/>
          <w:szCs w:val="24"/>
        </w:rPr>
      </w:pPr>
      <w:r w:rsidRPr="00612826">
        <w:rPr>
          <w:sz w:val="24"/>
          <w:szCs w:val="24"/>
        </w:rPr>
        <w:t>The following transactions are not reportable:</w:t>
      </w:r>
    </w:p>
    <w:p w14:paraId="30284EDC" w14:textId="77777777" w:rsidR="00C94FD3" w:rsidRPr="00767FD6" w:rsidRDefault="00C94FD3" w:rsidP="003E7B18">
      <w:pPr>
        <w:numPr>
          <w:ilvl w:val="2"/>
          <w:numId w:val="143"/>
        </w:numPr>
        <w:autoSpaceDE w:val="0"/>
        <w:autoSpaceDN w:val="0"/>
        <w:adjustRightInd w:val="0"/>
        <w:spacing w:before="120"/>
        <w:ind w:left="900" w:hanging="180"/>
        <w:rPr>
          <w:sz w:val="24"/>
          <w:szCs w:val="24"/>
        </w:rPr>
      </w:pPr>
      <w:r w:rsidRPr="00767FD6">
        <w:rPr>
          <w:sz w:val="24"/>
          <w:szCs w:val="24"/>
        </w:rPr>
        <w:lastRenderedPageBreak/>
        <w:t>Transfers of TRACE-Eligible Securities for the sole purpose of creating or redeeming an instrument that evidences ownership of or otherwise tracks the underlying securities transferred (</w:t>
      </w:r>
      <w:r w:rsidRPr="00767FD6">
        <w:rPr>
          <w:i/>
          <w:iCs/>
          <w:sz w:val="24"/>
          <w:szCs w:val="24"/>
        </w:rPr>
        <w:t>e.g.,</w:t>
      </w:r>
      <w:r w:rsidRPr="00767FD6">
        <w:rPr>
          <w:sz w:val="24"/>
          <w:szCs w:val="24"/>
        </w:rPr>
        <w:t xml:space="preserve"> an exchange-traded fund).</w:t>
      </w:r>
    </w:p>
    <w:p w14:paraId="156623CB" w14:textId="28138291" w:rsidR="009B3DCF" w:rsidRPr="00612826" w:rsidRDefault="009B3DCF" w:rsidP="003E7B18">
      <w:pPr>
        <w:numPr>
          <w:ilvl w:val="2"/>
          <w:numId w:val="143"/>
        </w:numPr>
        <w:autoSpaceDE w:val="0"/>
        <w:autoSpaceDN w:val="0"/>
        <w:adjustRightInd w:val="0"/>
        <w:spacing w:before="120"/>
        <w:ind w:left="900" w:hanging="180"/>
        <w:rPr>
          <w:sz w:val="24"/>
          <w:szCs w:val="24"/>
        </w:rPr>
      </w:pPr>
      <w:r w:rsidRPr="00767FD6">
        <w:rPr>
          <w:sz w:val="24"/>
          <w:szCs w:val="24"/>
        </w:rPr>
        <w:t xml:space="preserve">Transactions in TRACE-eligible securities that are listed on </w:t>
      </w:r>
      <w:r w:rsidRPr="00612826">
        <w:rPr>
          <w:sz w:val="24"/>
          <w:szCs w:val="24"/>
        </w:rPr>
        <w:t xml:space="preserve">a national </w:t>
      </w:r>
      <w:r w:rsidR="00015BD7" w:rsidRPr="00612826">
        <w:rPr>
          <w:sz w:val="24"/>
          <w:szCs w:val="24"/>
        </w:rPr>
        <w:t>securities exchange when</w:t>
      </w:r>
      <w:r w:rsidRPr="00612826">
        <w:rPr>
          <w:sz w:val="24"/>
          <w:szCs w:val="24"/>
        </w:rPr>
        <w:t xml:space="preserve"> such transactions are executed on a</w:t>
      </w:r>
      <w:r w:rsidR="00C94FD3">
        <w:rPr>
          <w:sz w:val="24"/>
          <w:szCs w:val="24"/>
        </w:rPr>
        <w:t>nd</w:t>
      </w:r>
      <w:r w:rsidRPr="00612826">
        <w:rPr>
          <w:sz w:val="24"/>
          <w:szCs w:val="24"/>
        </w:rPr>
        <w:t xml:space="preserve"> reported to the exchange and the transaction information is disseminated publicly.</w:t>
      </w:r>
    </w:p>
    <w:p w14:paraId="0A77DC5F" w14:textId="77777777" w:rsidR="009B3DCF" w:rsidRPr="00612826" w:rsidRDefault="009B3DCF" w:rsidP="003E7B18">
      <w:pPr>
        <w:numPr>
          <w:ilvl w:val="2"/>
          <w:numId w:val="143"/>
        </w:numPr>
        <w:autoSpaceDE w:val="0"/>
        <w:autoSpaceDN w:val="0"/>
        <w:adjustRightInd w:val="0"/>
        <w:spacing w:before="120"/>
        <w:ind w:left="900" w:hanging="180"/>
        <w:rPr>
          <w:sz w:val="24"/>
          <w:szCs w:val="24"/>
        </w:rPr>
      </w:pPr>
      <w:r w:rsidRPr="00612826">
        <w:rPr>
          <w:sz w:val="24"/>
          <w:szCs w:val="24"/>
        </w:rPr>
        <w:t>Transaction where the buyer and the seller have agreed to trade at a price substantially unrelated to the current market for the TRACE-eligible security (i.e. to allow the seller to make a gift).</w:t>
      </w:r>
    </w:p>
    <w:p w14:paraId="334DCFC6" w14:textId="77777777" w:rsidR="003900A2" w:rsidRPr="00612826" w:rsidRDefault="009B3DCF" w:rsidP="003E7B18">
      <w:pPr>
        <w:numPr>
          <w:ilvl w:val="2"/>
          <w:numId w:val="143"/>
        </w:numPr>
        <w:autoSpaceDE w:val="0"/>
        <w:autoSpaceDN w:val="0"/>
        <w:adjustRightInd w:val="0"/>
        <w:spacing w:before="120"/>
        <w:ind w:left="900" w:hanging="180"/>
        <w:rPr>
          <w:sz w:val="24"/>
          <w:szCs w:val="24"/>
        </w:rPr>
      </w:pPr>
      <w:r w:rsidRPr="00612826">
        <w:rPr>
          <w:sz w:val="24"/>
          <w:szCs w:val="24"/>
        </w:rPr>
        <w:t>Provided that a data sharing agreement between FINRA and NYSE related to transactions covered by this Rule remains in effect, transactions in TRACE-eligible securities that are executed on a facility of NYSE in accordance with NYSE Rule 1400, 1401 and 86 and reported to NYSE</w:t>
      </w:r>
      <w:r w:rsidR="003900A2" w:rsidRPr="00612826">
        <w:rPr>
          <w:sz w:val="24"/>
          <w:szCs w:val="24"/>
        </w:rPr>
        <w:t xml:space="preserve"> in accordance with NYSE’s applicable trade reporting rules and disseminated publicly by NYSE.</w:t>
      </w:r>
    </w:p>
    <w:p w14:paraId="4B28BFA9" w14:textId="77777777" w:rsidR="003900A2" w:rsidRPr="00612826" w:rsidRDefault="003900A2" w:rsidP="003E7B18">
      <w:pPr>
        <w:numPr>
          <w:ilvl w:val="2"/>
          <w:numId w:val="143"/>
        </w:numPr>
        <w:autoSpaceDE w:val="0"/>
        <w:autoSpaceDN w:val="0"/>
        <w:adjustRightInd w:val="0"/>
        <w:spacing w:before="120"/>
        <w:ind w:left="900" w:hanging="180"/>
        <w:rPr>
          <w:sz w:val="24"/>
          <w:szCs w:val="24"/>
        </w:rPr>
      </w:pPr>
      <w:r w:rsidRPr="00612826">
        <w:rPr>
          <w:sz w:val="24"/>
          <w:szCs w:val="24"/>
        </w:rPr>
        <w:t>Transactions resulting from the exercise or settlement of an option or similar instrument, or the termination or settlement of a credit default swap, other type of swap, or a similar instrument.</w:t>
      </w:r>
    </w:p>
    <w:p w14:paraId="754DA356" w14:textId="77777777" w:rsidR="00AC09FC" w:rsidRPr="002C26F2" w:rsidRDefault="003900A2" w:rsidP="003E7B18">
      <w:pPr>
        <w:numPr>
          <w:ilvl w:val="2"/>
          <w:numId w:val="143"/>
        </w:numPr>
        <w:autoSpaceDE w:val="0"/>
        <w:autoSpaceDN w:val="0"/>
        <w:adjustRightInd w:val="0"/>
        <w:ind w:left="907" w:hanging="180"/>
        <w:rPr>
          <w:sz w:val="24"/>
          <w:szCs w:val="24"/>
        </w:rPr>
      </w:pPr>
      <w:r w:rsidRPr="00612826">
        <w:rPr>
          <w:sz w:val="24"/>
          <w:szCs w:val="24"/>
        </w:rPr>
        <w:t>Transfers of securities made pursuant to an asset purchase agreement (APA) that is subject to the jurisdiction and approval of a court of competent jurisdiction in insolvency matters, provided that the purchase price under the APA is not based on, and cannot be adjusted to reflect, the current market prices of the securities on or following the effective date of the APA.</w:t>
      </w:r>
      <w:r w:rsidR="009B3DCF" w:rsidRPr="00612826">
        <w:rPr>
          <w:sz w:val="24"/>
          <w:szCs w:val="24"/>
        </w:rPr>
        <w:t xml:space="preserve"> </w:t>
      </w:r>
    </w:p>
    <w:p w14:paraId="3E801E7E" w14:textId="77777777" w:rsidR="00AC09FC" w:rsidRPr="002C26F2" w:rsidRDefault="00AC09FC" w:rsidP="00AC09FC">
      <w:pPr>
        <w:autoSpaceDE w:val="0"/>
        <w:autoSpaceDN w:val="0"/>
        <w:adjustRightInd w:val="0"/>
        <w:ind w:left="907"/>
        <w:rPr>
          <w:sz w:val="16"/>
          <w:szCs w:val="16"/>
        </w:rPr>
      </w:pPr>
    </w:p>
    <w:p w14:paraId="541E922D" w14:textId="77777777" w:rsidR="00AC09FC" w:rsidRPr="002C26F2" w:rsidRDefault="00AC09FC" w:rsidP="003E7B18">
      <w:pPr>
        <w:numPr>
          <w:ilvl w:val="0"/>
          <w:numId w:val="143"/>
        </w:numPr>
        <w:ind w:left="907" w:hanging="180"/>
        <w:rPr>
          <w:sz w:val="24"/>
          <w:szCs w:val="24"/>
        </w:rPr>
      </w:pPr>
      <w:r w:rsidRPr="002C26F2">
        <w:rPr>
          <w:sz w:val="24"/>
          <w:szCs w:val="24"/>
        </w:rPr>
        <w:t>Transfers of TRACE eligible securities to create or redeem instruments such as ETFs.</w:t>
      </w:r>
    </w:p>
    <w:p w14:paraId="33DAB059" w14:textId="77777777" w:rsidR="00AC09FC" w:rsidRPr="002C26F2" w:rsidRDefault="00AC09FC" w:rsidP="003E7B18">
      <w:pPr>
        <w:numPr>
          <w:ilvl w:val="0"/>
          <w:numId w:val="143"/>
        </w:numPr>
        <w:spacing w:before="120"/>
        <w:ind w:left="907" w:hanging="187"/>
        <w:rPr>
          <w:sz w:val="24"/>
          <w:szCs w:val="24"/>
        </w:rPr>
      </w:pPr>
      <w:r w:rsidRPr="002C26F2">
        <w:rPr>
          <w:sz w:val="24"/>
          <w:szCs w:val="24"/>
        </w:rPr>
        <w:t xml:space="preserve">A sale from an issuer to an underwriter(s) or initial purchaser(s) as part of an offering, except a sale of an Agency Pass-Through Mortgage-Backed Security from a </w:t>
      </w:r>
      <w:proofErr w:type="spellStart"/>
      <w:r w:rsidRPr="002C26F2">
        <w:rPr>
          <w:sz w:val="24"/>
          <w:szCs w:val="24"/>
        </w:rPr>
        <w:t>securitizer</w:t>
      </w:r>
      <w:proofErr w:type="spellEnd"/>
      <w:r w:rsidRPr="002C26F2">
        <w:rPr>
          <w:sz w:val="24"/>
          <w:szCs w:val="24"/>
        </w:rPr>
        <w:t xml:space="preserve"> (Rule 6710(c)).</w:t>
      </w:r>
    </w:p>
    <w:p w14:paraId="67AC24AA" w14:textId="77777777" w:rsidR="00AC09FC" w:rsidRPr="002C26F2" w:rsidRDefault="00AC09FC" w:rsidP="003E7B18">
      <w:pPr>
        <w:numPr>
          <w:ilvl w:val="0"/>
          <w:numId w:val="143"/>
        </w:numPr>
        <w:spacing w:before="120"/>
        <w:ind w:left="907" w:hanging="187"/>
        <w:rPr>
          <w:sz w:val="24"/>
          <w:szCs w:val="24"/>
        </w:rPr>
      </w:pPr>
      <w:r w:rsidRPr="002C26F2">
        <w:rPr>
          <w:sz w:val="24"/>
          <w:szCs w:val="24"/>
        </w:rPr>
        <w:t>Alternative Trading System (ATS) transactions exempted by FINRA (FINRA Rules 6731 and 6732).</w:t>
      </w:r>
    </w:p>
    <w:p w14:paraId="520781E5" w14:textId="77777777" w:rsidR="00BC70A1" w:rsidRPr="00767FD6" w:rsidRDefault="00C6623A" w:rsidP="0005402C">
      <w:pPr>
        <w:pStyle w:val="ListParagraph"/>
        <w:numPr>
          <w:ilvl w:val="0"/>
          <w:numId w:val="384"/>
        </w:numPr>
        <w:autoSpaceDE w:val="0"/>
        <w:autoSpaceDN w:val="0"/>
        <w:adjustRightInd w:val="0"/>
        <w:spacing w:before="120"/>
        <w:rPr>
          <w:sz w:val="24"/>
          <w:szCs w:val="24"/>
        </w:rPr>
      </w:pPr>
      <w:r w:rsidRPr="00767FD6">
        <w:rPr>
          <w:sz w:val="24"/>
          <w:szCs w:val="24"/>
        </w:rPr>
        <w:t>The managing underwriter or group of underwriters of a distribution or offering (excluding a secondary distribution or offering) of a TRACE-eligible debt security must obtain the CUSIP number and report required information to FINRA Operations. Information must be provided to FINRA prior to the execution of the first transaction with exceptions under Rule 6760(c) including same-day pricing/trading and CMO issues.</w:t>
      </w:r>
    </w:p>
    <w:p w14:paraId="050F1CDD" w14:textId="77777777" w:rsidR="00BC70A1" w:rsidRPr="00612826" w:rsidRDefault="00BC70A1" w:rsidP="00BC70A1">
      <w:pPr>
        <w:pStyle w:val="NormalWeb"/>
        <w:spacing w:before="0" w:beforeAutospacing="0" w:after="0" w:afterAutospacing="0"/>
        <w:rPr>
          <w:rFonts w:ascii="Times New Roman" w:hAnsi="Times New Roman" w:cs="Times New Roman"/>
          <w:b/>
          <w:bCs/>
          <w:color w:val="auto"/>
        </w:rPr>
      </w:pPr>
    </w:p>
    <w:p w14:paraId="2FD308A0" w14:textId="77777777" w:rsidR="00BC70A1" w:rsidRPr="00612826" w:rsidRDefault="00063663" w:rsidP="001A7509">
      <w:pPr>
        <w:pStyle w:val="Heading3"/>
      </w:pPr>
      <w:r w:rsidRPr="00612826">
        <w:t>12.</w:t>
      </w:r>
      <w:r w:rsidR="00A31807">
        <w:t>9</w:t>
      </w:r>
      <w:r w:rsidRPr="00612826">
        <w:t xml:space="preserve">.1 </w:t>
      </w:r>
      <w:r w:rsidR="00BC70A1" w:rsidRPr="00612826">
        <w:t>TRACE Reporting</w:t>
      </w:r>
    </w:p>
    <w:p w14:paraId="4DFEC0C2" w14:textId="77777777" w:rsidR="00BC70A1" w:rsidRPr="00EB5FB0" w:rsidRDefault="00BC70A1" w:rsidP="00063663">
      <w:pPr>
        <w:ind w:left="270"/>
        <w:jc w:val="both"/>
        <w:rPr>
          <w:sz w:val="24"/>
        </w:rPr>
      </w:pPr>
      <w:r w:rsidRPr="00612826">
        <w:rPr>
          <w:sz w:val="24"/>
        </w:rPr>
        <w:t>Fixed income transactions that must be reported under the TRACE</w:t>
      </w:r>
      <w:r w:rsidRPr="00EB5FB0">
        <w:rPr>
          <w:sz w:val="24"/>
        </w:rPr>
        <w:t xml:space="preserve"> rules (“TRACE-eligible security") are those secondary market transactions in United States dollar denominated debt securities that are depository-eligible securities; Investment Grade and Non-Investment Grade issued by United States and/or foreign private corporations; and: (1) registered with the SEC; or (2) issued pursuant to Section 4(2) of the Securities Act of 1933 (Securities Act) and purchased or sold pursuant to Rule 144A under the Securities Act and are DTC eligible, including certain PORTAL debt securities.</w:t>
      </w:r>
    </w:p>
    <w:p w14:paraId="4135BC20" w14:textId="77777777" w:rsidR="00505CC1" w:rsidRPr="00AF3D2D" w:rsidRDefault="00505CC1" w:rsidP="00505CC1">
      <w:pPr>
        <w:spacing w:before="100" w:beforeAutospacing="1" w:after="100" w:afterAutospacing="1"/>
        <w:ind w:firstLine="270"/>
        <w:rPr>
          <w:sz w:val="24"/>
          <w:szCs w:val="24"/>
        </w:rPr>
      </w:pPr>
      <w:r w:rsidRPr="00AF3D2D">
        <w:rPr>
          <w:sz w:val="24"/>
          <w:szCs w:val="24"/>
        </w:rPr>
        <w:t>"TRACE-eligible securities" include securities that are:</w:t>
      </w:r>
    </w:p>
    <w:p w14:paraId="457EF5CF" w14:textId="77777777" w:rsidR="00505CC1" w:rsidRPr="00AF3D2D" w:rsidRDefault="00505CC1" w:rsidP="003E7B18">
      <w:pPr>
        <w:numPr>
          <w:ilvl w:val="0"/>
          <w:numId w:val="267"/>
        </w:numPr>
        <w:spacing w:before="100" w:beforeAutospacing="1" w:after="100" w:afterAutospacing="1"/>
        <w:rPr>
          <w:sz w:val="24"/>
          <w:szCs w:val="24"/>
        </w:rPr>
      </w:pPr>
      <w:r w:rsidRPr="00AF3D2D">
        <w:rPr>
          <w:sz w:val="24"/>
          <w:szCs w:val="24"/>
        </w:rPr>
        <w:lastRenderedPageBreak/>
        <w:t>U.S. dollar denominated debt securities issued by a U.S. or foreign private issuer (and, if a restricted security, sold under Rule 144A);</w:t>
      </w:r>
    </w:p>
    <w:p w14:paraId="32A8EC67" w14:textId="77777777" w:rsidR="00505CC1" w:rsidRPr="00AF3D2D" w:rsidRDefault="00505CC1" w:rsidP="003E7B18">
      <w:pPr>
        <w:numPr>
          <w:ilvl w:val="0"/>
          <w:numId w:val="267"/>
        </w:numPr>
        <w:spacing w:before="100" w:beforeAutospacing="1" w:after="100" w:afterAutospacing="1"/>
        <w:rPr>
          <w:sz w:val="24"/>
          <w:szCs w:val="24"/>
        </w:rPr>
      </w:pPr>
      <w:r w:rsidRPr="00AF3D2D">
        <w:rPr>
          <w:sz w:val="24"/>
          <w:szCs w:val="24"/>
        </w:rPr>
        <w:t>Hybrid securities (both debt- and equity-like features) as specified by FINRA;</w:t>
      </w:r>
    </w:p>
    <w:p w14:paraId="1581FBF8" w14:textId="77777777" w:rsidR="00505CC1" w:rsidRPr="00AF3D2D" w:rsidRDefault="00505CC1" w:rsidP="003E7B18">
      <w:pPr>
        <w:numPr>
          <w:ilvl w:val="0"/>
          <w:numId w:val="267"/>
        </w:numPr>
        <w:spacing w:before="100" w:beforeAutospacing="1" w:after="100" w:afterAutospacing="1"/>
        <w:rPr>
          <w:sz w:val="24"/>
          <w:szCs w:val="24"/>
        </w:rPr>
      </w:pPr>
      <w:r w:rsidRPr="00AF3D2D">
        <w:rPr>
          <w:sz w:val="24"/>
          <w:szCs w:val="24"/>
        </w:rPr>
        <w:t>A debt security that is U.S. dollar-denominated and issued or guaranteed by an Agency or a Government-Sponsored Enterprise (as defined in Rule 6710);</w:t>
      </w:r>
    </w:p>
    <w:p w14:paraId="36AC16B0" w14:textId="77777777" w:rsidR="00505CC1" w:rsidRPr="00AF3D2D" w:rsidRDefault="00505CC1" w:rsidP="003E7B18">
      <w:pPr>
        <w:numPr>
          <w:ilvl w:val="0"/>
          <w:numId w:val="267"/>
        </w:numPr>
        <w:spacing w:before="100" w:beforeAutospacing="1" w:after="100" w:afterAutospacing="1"/>
        <w:rPr>
          <w:sz w:val="24"/>
          <w:szCs w:val="24"/>
        </w:rPr>
      </w:pPr>
      <w:r w:rsidRPr="00AF3D2D">
        <w:rPr>
          <w:sz w:val="24"/>
          <w:szCs w:val="24"/>
        </w:rPr>
        <w:t xml:space="preserve">FDIC-guaranteed debt securities under the federal "Temporary Liquidity Guarantee Program;" </w:t>
      </w:r>
      <w:r w:rsidRPr="00AF3D2D">
        <w:rPr>
          <w:b/>
          <w:bCs/>
          <w:sz w:val="24"/>
          <w:szCs w:val="24"/>
        </w:rPr>
        <w:t>and</w:t>
      </w:r>
    </w:p>
    <w:p w14:paraId="02EF1D42" w14:textId="77777777" w:rsidR="00505CC1" w:rsidRPr="00AF3D2D" w:rsidRDefault="00505CC1" w:rsidP="003E7B18">
      <w:pPr>
        <w:numPr>
          <w:ilvl w:val="0"/>
          <w:numId w:val="267"/>
        </w:numPr>
        <w:spacing w:before="100" w:beforeAutospacing="1" w:after="100" w:afterAutospacing="1"/>
        <w:rPr>
          <w:sz w:val="24"/>
          <w:szCs w:val="24"/>
        </w:rPr>
      </w:pPr>
      <w:r w:rsidRPr="00AF3D2D">
        <w:rPr>
          <w:sz w:val="24"/>
          <w:szCs w:val="24"/>
        </w:rPr>
        <w:t>Asset- and mortgage-backed securities (as broadly defined in FINRA Rule 6710(a) including CMOs, CDOs, CBOs, and other asset-backed securities) [FINRA Rule 6730(a)(3)].</w:t>
      </w:r>
    </w:p>
    <w:p w14:paraId="2A420CBF" w14:textId="77777777" w:rsidR="00505CC1" w:rsidRPr="00AF3D2D" w:rsidRDefault="00505CC1" w:rsidP="00505CC1">
      <w:pPr>
        <w:spacing w:before="100" w:beforeAutospacing="1" w:after="100" w:afterAutospacing="1"/>
        <w:ind w:left="270"/>
        <w:rPr>
          <w:sz w:val="24"/>
          <w:szCs w:val="24"/>
        </w:rPr>
      </w:pPr>
      <w:r w:rsidRPr="00AF3D2D">
        <w:rPr>
          <w:sz w:val="24"/>
          <w:szCs w:val="24"/>
        </w:rPr>
        <w:t>TRACE eligible securities include unlisted convertible debt, unlisted equity-linked notes and similar securities (those that are listed on a national securities exchange must be reported to the appropriate equity trade reporting facility). A "foreign private issuer" is a foreign issuer that is not eligible to use the SEC's Schedule B for registering a debt offering in the U.S.</w:t>
      </w:r>
    </w:p>
    <w:p w14:paraId="42EFD5D4" w14:textId="77777777" w:rsidR="00505CC1" w:rsidRPr="00AF3D2D" w:rsidRDefault="00505CC1" w:rsidP="00D27948">
      <w:pPr>
        <w:ind w:left="270"/>
        <w:rPr>
          <w:sz w:val="24"/>
          <w:szCs w:val="24"/>
        </w:rPr>
      </w:pPr>
      <w:r w:rsidRPr="00AF3D2D">
        <w:rPr>
          <w:sz w:val="24"/>
          <w:szCs w:val="24"/>
        </w:rPr>
        <w:t>Reporting obligations include primary market transactions in TRACE eligible securities.</w:t>
      </w:r>
    </w:p>
    <w:p w14:paraId="05EAF9B7" w14:textId="77777777" w:rsidR="00D27948" w:rsidRPr="00AF3D2D" w:rsidRDefault="00D27948" w:rsidP="00D27948">
      <w:pPr>
        <w:shd w:val="clear" w:color="auto" w:fill="FFFFFF"/>
        <w:ind w:firstLine="270"/>
        <w:rPr>
          <w:sz w:val="24"/>
          <w:szCs w:val="24"/>
        </w:rPr>
      </w:pPr>
    </w:p>
    <w:p w14:paraId="227A90D6" w14:textId="77777777" w:rsidR="00D27948" w:rsidRPr="00AF3D2D" w:rsidRDefault="00D27948" w:rsidP="00D27948">
      <w:pPr>
        <w:shd w:val="clear" w:color="auto" w:fill="FFFFFF"/>
        <w:ind w:firstLine="270"/>
        <w:rPr>
          <w:sz w:val="24"/>
          <w:szCs w:val="24"/>
        </w:rPr>
      </w:pPr>
      <w:r w:rsidRPr="00AF3D2D">
        <w:rPr>
          <w:sz w:val="24"/>
          <w:szCs w:val="24"/>
        </w:rPr>
        <w:t xml:space="preserve">"TRACE-eligible securities" </w:t>
      </w:r>
      <w:r w:rsidRPr="00AF3D2D">
        <w:rPr>
          <w:b/>
          <w:sz w:val="24"/>
          <w:szCs w:val="24"/>
        </w:rPr>
        <w:t>exclude</w:t>
      </w:r>
      <w:r w:rsidRPr="00AF3D2D">
        <w:rPr>
          <w:sz w:val="24"/>
          <w:szCs w:val="24"/>
        </w:rPr>
        <w:t>:</w:t>
      </w:r>
    </w:p>
    <w:p w14:paraId="531333CA" w14:textId="77777777" w:rsidR="00D27948" w:rsidRPr="00AF3D2D" w:rsidRDefault="00D27948" w:rsidP="003E7B18">
      <w:pPr>
        <w:numPr>
          <w:ilvl w:val="0"/>
          <w:numId w:val="268"/>
        </w:numPr>
        <w:shd w:val="clear" w:color="auto" w:fill="FFFFFF"/>
        <w:rPr>
          <w:sz w:val="24"/>
          <w:szCs w:val="24"/>
        </w:rPr>
      </w:pPr>
      <w:r w:rsidRPr="00AF3D2D">
        <w:rPr>
          <w:sz w:val="24"/>
          <w:szCs w:val="24"/>
        </w:rPr>
        <w:t>debt issued by government-sponsored entities</w:t>
      </w:r>
    </w:p>
    <w:p w14:paraId="22B6A241" w14:textId="77777777" w:rsidR="00D27948" w:rsidRPr="00AF3D2D" w:rsidRDefault="00D27948" w:rsidP="003E7B18">
      <w:pPr>
        <w:numPr>
          <w:ilvl w:val="0"/>
          <w:numId w:val="268"/>
        </w:numPr>
        <w:shd w:val="clear" w:color="auto" w:fill="FFFFFF"/>
        <w:rPr>
          <w:sz w:val="24"/>
          <w:szCs w:val="24"/>
        </w:rPr>
      </w:pPr>
      <w:r w:rsidRPr="00AF3D2D">
        <w:rPr>
          <w:sz w:val="24"/>
          <w:szCs w:val="24"/>
        </w:rPr>
        <w:t>mortgage- or asset-backed securities</w:t>
      </w:r>
    </w:p>
    <w:p w14:paraId="537B513B" w14:textId="77777777" w:rsidR="00D27948" w:rsidRPr="00AF3D2D" w:rsidRDefault="00D27948" w:rsidP="003E7B18">
      <w:pPr>
        <w:numPr>
          <w:ilvl w:val="0"/>
          <w:numId w:val="268"/>
        </w:numPr>
        <w:shd w:val="clear" w:color="auto" w:fill="FFFFFF"/>
        <w:rPr>
          <w:sz w:val="24"/>
          <w:szCs w:val="24"/>
        </w:rPr>
      </w:pPr>
      <w:r w:rsidRPr="00AF3D2D">
        <w:rPr>
          <w:sz w:val="24"/>
          <w:szCs w:val="24"/>
        </w:rPr>
        <w:t>CMOs</w:t>
      </w:r>
    </w:p>
    <w:p w14:paraId="3CE8386C" w14:textId="77777777" w:rsidR="00D27948" w:rsidRPr="00AF3D2D" w:rsidRDefault="00D27948" w:rsidP="003E7B18">
      <w:pPr>
        <w:numPr>
          <w:ilvl w:val="0"/>
          <w:numId w:val="268"/>
        </w:numPr>
        <w:shd w:val="clear" w:color="auto" w:fill="FFFFFF"/>
        <w:rPr>
          <w:sz w:val="24"/>
          <w:szCs w:val="24"/>
        </w:rPr>
      </w:pPr>
      <w:r w:rsidRPr="00AF3D2D">
        <w:rPr>
          <w:sz w:val="24"/>
          <w:szCs w:val="24"/>
        </w:rPr>
        <w:t>money market instruments (debt securities with a maturity of one year or less)</w:t>
      </w:r>
    </w:p>
    <w:p w14:paraId="33C967F8" w14:textId="77777777" w:rsidR="00BC70A1" w:rsidRDefault="00BC70A1" w:rsidP="00D27948">
      <w:pPr>
        <w:pStyle w:val="NormalWeb"/>
        <w:tabs>
          <w:tab w:val="left" w:pos="720"/>
          <w:tab w:val="left" w:pos="1260"/>
        </w:tabs>
        <w:spacing w:before="0" w:beforeAutospacing="0" w:after="0" w:afterAutospacing="0"/>
        <w:ind w:left="274"/>
        <w:jc w:val="both"/>
        <w:rPr>
          <w:rFonts w:ascii="Times New Roman" w:eastAsia="Times New Roman" w:hAnsi="Times New Roman" w:cs="Times New Roman"/>
        </w:rPr>
      </w:pPr>
    </w:p>
    <w:p w14:paraId="50A65BAD" w14:textId="77777777" w:rsidR="00BC70A1" w:rsidRPr="00E4165F" w:rsidRDefault="00BC70A1" w:rsidP="00063663">
      <w:pPr>
        <w:ind w:left="270"/>
        <w:jc w:val="both"/>
        <w:rPr>
          <w:sz w:val="24"/>
        </w:rPr>
      </w:pPr>
      <w:r>
        <w:rPr>
          <w:sz w:val="24"/>
        </w:rPr>
        <w:t xml:space="preserve">If the Company is a party to a transaction involving a non-member, including a customer, in a "TRACE-eligible security" it must report the transaction to the </w:t>
      </w:r>
      <w:r w:rsidRPr="00EB5FB0">
        <w:rPr>
          <w:sz w:val="24"/>
        </w:rPr>
        <w:t>FINRA</w:t>
      </w:r>
      <w:r>
        <w:rPr>
          <w:sz w:val="24"/>
        </w:rPr>
        <w:t xml:space="preserve"> within 15 minutes of the time of execution.  If the Company is a party to a transaction involving another-member, both companies must report the transaction to the </w:t>
      </w:r>
      <w:r w:rsidRPr="00EB5FB0">
        <w:rPr>
          <w:sz w:val="24"/>
        </w:rPr>
        <w:t xml:space="preserve">FINRA within 15 minutes of the time of execution </w:t>
      </w:r>
      <w:r w:rsidR="00331E02" w:rsidRPr="00E4165F">
        <w:rPr>
          <w:sz w:val="24"/>
        </w:rPr>
        <w:t xml:space="preserve">and at the time all order information is available to the Company (which for the customer side is typically after the </w:t>
      </w:r>
      <w:r w:rsidR="00BD2579" w:rsidRPr="00E4165F">
        <w:rPr>
          <w:sz w:val="24"/>
        </w:rPr>
        <w:t>inter-dealer</w:t>
      </w:r>
      <w:r w:rsidR="00331E02" w:rsidRPr="00E4165F">
        <w:rPr>
          <w:sz w:val="24"/>
        </w:rPr>
        <w:t xml:space="preserve"> transaction).</w:t>
      </w:r>
    </w:p>
    <w:p w14:paraId="1917D9BC" w14:textId="77777777" w:rsidR="00BC70A1" w:rsidRPr="00EB5FB0" w:rsidRDefault="00BC70A1" w:rsidP="00BC70A1">
      <w:pPr>
        <w:jc w:val="both"/>
        <w:rPr>
          <w:sz w:val="24"/>
        </w:rPr>
      </w:pPr>
    </w:p>
    <w:p w14:paraId="4308CBA0" w14:textId="77777777" w:rsidR="00BC70A1" w:rsidRPr="00EB5FB0" w:rsidRDefault="00063663" w:rsidP="001A7509">
      <w:pPr>
        <w:pStyle w:val="Heading3"/>
      </w:pPr>
      <w:r>
        <w:t>12.</w:t>
      </w:r>
      <w:r w:rsidR="00A31807">
        <w:t>9</w:t>
      </w:r>
      <w:r>
        <w:t xml:space="preserve">.2 </w:t>
      </w:r>
      <w:r w:rsidR="00BC70A1" w:rsidRPr="00EB5FB0">
        <w:t>Dissemination</w:t>
      </w:r>
    </w:p>
    <w:p w14:paraId="43789A28" w14:textId="77777777" w:rsidR="00BC70A1" w:rsidRPr="00EB5FB0" w:rsidRDefault="00BC70A1" w:rsidP="00965C46">
      <w:pPr>
        <w:pStyle w:val="NormalWeb"/>
        <w:spacing w:before="0" w:beforeAutospacing="0" w:after="0" w:afterAutospacing="0"/>
        <w:ind w:left="270"/>
        <w:jc w:val="both"/>
        <w:rPr>
          <w:rFonts w:ascii="Times New Roman" w:hAnsi="Times New Roman" w:cs="Times New Roman"/>
          <w:color w:val="auto"/>
        </w:rPr>
      </w:pPr>
      <w:r w:rsidRPr="00EB5FB0">
        <w:rPr>
          <w:rFonts w:ascii="Times New Roman" w:hAnsi="Times New Roman" w:cs="Times New Roman"/>
          <w:color w:val="auto"/>
        </w:rPr>
        <w:t xml:space="preserve">The TRACE Rules provide that the Association will disseminate transaction information relating to transactions in two types of securities: (1) a TRACE-eligible security having an initial issuance size of $1 billion or greater that is Investment Grade at the time of receipt of the transaction report (except those securities that are issued pursuant to Section 4(2) of the Securities Act and purchased or sold pursuant to Rule 144A under the Securities Act); and  (2) a TRACE-eligible security that is designated a FIPS Mandatory Bond immediately prior to the rescission of the FIPS rules. </w:t>
      </w:r>
    </w:p>
    <w:p w14:paraId="04BED2FE" w14:textId="77777777" w:rsidR="00BC70A1" w:rsidRDefault="00BC70A1" w:rsidP="00965C46">
      <w:pPr>
        <w:pStyle w:val="NormalWeb"/>
        <w:ind w:left="270"/>
        <w:jc w:val="both"/>
        <w:rPr>
          <w:rFonts w:ascii="Times New Roman" w:hAnsi="Times New Roman" w:cs="Times New Roman"/>
        </w:rPr>
      </w:pPr>
      <w:r w:rsidRPr="00EB5FB0">
        <w:rPr>
          <w:rFonts w:ascii="Times New Roman" w:hAnsi="Times New Roman" w:cs="Times New Roman"/>
          <w:color w:val="auto"/>
        </w:rPr>
        <w:t>Not all of the information that is reported will be disseminated.  For each transaction, the FINRA will disseminate, or supply to vendors to disseminate, the following information: (a) the FINRA</w:t>
      </w:r>
      <w:r>
        <w:rPr>
          <w:rFonts w:ascii="Times New Roman" w:hAnsi="Times New Roman" w:cs="Times New Roman"/>
        </w:rPr>
        <w:t xml:space="preserve"> symbol for the fixed income security; (b) the CUSIP; (c) the date and time of trade execution; (d) price; (e) yield; and (f) quantity of bonds, subject to the following limitations. For a TRACE-eligible security having an initial issuance size of $1 billion or greater that is Investment Grade as referenced above, the actual quantity of the transaction (the total par value of the bonds purchased or sold) will be disseminated if the total par value of the reported transaction is $5 million or less; if the reported amount is greater than $5 million, a large</w:t>
      </w:r>
      <w:r w:rsidR="009F24CB">
        <w:rPr>
          <w:rFonts w:ascii="Times New Roman" w:hAnsi="Times New Roman" w:cs="Times New Roman"/>
        </w:rPr>
        <w:t xml:space="preserve"> </w:t>
      </w:r>
      <w:r>
        <w:rPr>
          <w:rFonts w:ascii="Times New Roman" w:hAnsi="Times New Roman" w:cs="Times New Roman"/>
        </w:rPr>
        <w:t xml:space="preserve">volume trade dissemination cap identifier of "5MM+ will be disseminated instead of the actual </w:t>
      </w:r>
      <w:r>
        <w:rPr>
          <w:rFonts w:ascii="Times New Roman" w:hAnsi="Times New Roman" w:cs="Times New Roman"/>
        </w:rPr>
        <w:lastRenderedPageBreak/>
        <w:t xml:space="preserve">quantity. For a TRACE-eligible security that is designated as a FIPS Mandatory Bond as referenced above, the actual quantity of the transaction will be disseminated if the total par value of the reported transaction is $1 million or less; if the reported amount is greater than $1 million, a large volume trade dissemination cap identifier of "1MM+" will be disseminated instead of the actual quantity. </w:t>
      </w:r>
    </w:p>
    <w:p w14:paraId="27B10150" w14:textId="77777777" w:rsidR="00BC70A1" w:rsidRDefault="00BC70A1" w:rsidP="00965C46">
      <w:pPr>
        <w:pStyle w:val="NormalWeb"/>
        <w:ind w:left="270"/>
        <w:jc w:val="both"/>
        <w:rPr>
          <w:rFonts w:ascii="Times New Roman" w:hAnsi="Times New Roman" w:cs="Times New Roman"/>
        </w:rPr>
      </w:pPr>
      <w:r>
        <w:rPr>
          <w:rFonts w:ascii="Times New Roman" w:hAnsi="Times New Roman" w:cs="Times New Roman"/>
        </w:rPr>
        <w:t xml:space="preserve">For each security, the highest price of the day, the lowest price of the day, and the "last sale" price of the day will be flagged with indicators for dissemination, when applicable. Certain modifiers may also be part of the information disseminated. </w:t>
      </w:r>
    </w:p>
    <w:p w14:paraId="4C8C25E4" w14:textId="77777777" w:rsidR="00BC70A1" w:rsidRDefault="00BC70A1" w:rsidP="00965C46">
      <w:pPr>
        <w:pStyle w:val="NormalWeb"/>
        <w:ind w:left="270"/>
        <w:jc w:val="both"/>
        <w:rPr>
          <w:rFonts w:ascii="Times New Roman" w:hAnsi="Times New Roman" w:cs="Times New Roman"/>
        </w:rPr>
      </w:pPr>
      <w:r>
        <w:rPr>
          <w:rFonts w:ascii="Times New Roman" w:hAnsi="Times New Roman" w:cs="Times New Roman"/>
        </w:rPr>
        <w:t xml:space="preserve">Immediately upon receipt of transaction reports between 8:00 a.m. and 6:30 p.m., Eastern Time, the Association will disseminate the transaction information. (Reports received earlier or later than the times set forth above are also subject to dissemination as set forth in greater detail in TRACE Rule 6250(c) and (d)). </w:t>
      </w:r>
    </w:p>
    <w:p w14:paraId="37966EC6" w14:textId="77777777" w:rsidR="00BC70A1" w:rsidRDefault="00BC70A1" w:rsidP="00965C46">
      <w:pPr>
        <w:pStyle w:val="NormalWeb"/>
        <w:ind w:left="270"/>
        <w:jc w:val="both"/>
        <w:rPr>
          <w:rFonts w:ascii="Times New Roman" w:hAnsi="Times New Roman" w:cs="Times New Roman"/>
        </w:rPr>
      </w:pPr>
      <w:r>
        <w:rPr>
          <w:rFonts w:ascii="Times New Roman" w:hAnsi="Times New Roman" w:cs="Times New Roman"/>
        </w:rPr>
        <w:t xml:space="preserve">The Association expects that more fixed income securities transactions will become subject to dissemination in the future.  In order to expand the classes and types of fixed income securities that would become subject to dissemination, the Association will work with the Bond Transaction Reporting Committee (BTRC), a special committee of the </w:t>
      </w:r>
      <w:r w:rsidRPr="00EB5FB0">
        <w:rPr>
          <w:rFonts w:ascii="Times New Roman" w:hAnsi="Times New Roman" w:cs="Times New Roman"/>
          <w:color w:val="auto"/>
        </w:rPr>
        <w:t>FINRA</w:t>
      </w:r>
      <w:r>
        <w:rPr>
          <w:rFonts w:ascii="Times New Roman" w:hAnsi="Times New Roman" w:cs="Times New Roman"/>
        </w:rPr>
        <w:t xml:space="preserve"> that will be formed to analyze the effect that the dissemination of price and other information in certain TRACE-eligible securities transactions has upon the liquidity of those markets.  Based in part on those results, the Association will determine a schedule for the dissemination of additional TRACE-eligible debt securities. </w:t>
      </w:r>
    </w:p>
    <w:p w14:paraId="21247EB1" w14:textId="77777777" w:rsidR="00BC70A1" w:rsidRDefault="00BC70A1" w:rsidP="00BC70A1">
      <w:pPr>
        <w:pStyle w:val="NormalWeb"/>
        <w:spacing w:before="0" w:beforeAutospacing="0" w:after="0" w:afterAutospacing="0"/>
        <w:rPr>
          <w:rFonts w:ascii="Times New Roman" w:hAnsi="Times New Roman" w:cs="Times New Roman"/>
          <w:b/>
          <w:bCs/>
        </w:rPr>
      </w:pPr>
    </w:p>
    <w:p w14:paraId="101D2133" w14:textId="77777777" w:rsidR="00BC70A1" w:rsidRPr="00063663" w:rsidRDefault="00063663" w:rsidP="001A7509">
      <w:pPr>
        <w:pStyle w:val="Heading3"/>
      </w:pPr>
      <w:r w:rsidRPr="00063663">
        <w:t>12.</w:t>
      </w:r>
      <w:r w:rsidR="00A31807">
        <w:t>9</w:t>
      </w:r>
      <w:r w:rsidRPr="00063663">
        <w:t xml:space="preserve">.3 </w:t>
      </w:r>
      <w:r w:rsidR="00BC70A1" w:rsidRPr="00063663">
        <w:t xml:space="preserve">Order Tickets  </w:t>
      </w:r>
    </w:p>
    <w:p w14:paraId="488F4D49" w14:textId="67195D14" w:rsidR="00BC70A1" w:rsidRDefault="00BC70A1" w:rsidP="00063663">
      <w:pPr>
        <w:ind w:left="270"/>
        <w:jc w:val="both"/>
        <w:rPr>
          <w:sz w:val="24"/>
        </w:rPr>
      </w:pPr>
      <w:r>
        <w:rPr>
          <w:sz w:val="24"/>
        </w:rPr>
        <w:t xml:space="preserve">Order tickets must be either scanned and emailed or called into </w:t>
      </w:r>
      <w:r w:rsidR="007804C0" w:rsidRPr="00E4165F">
        <w:rPr>
          <w:sz w:val="24"/>
        </w:rPr>
        <w:t>HTS</w:t>
      </w:r>
      <w:r w:rsidRPr="00E4165F">
        <w:rPr>
          <w:sz w:val="24"/>
        </w:rPr>
        <w:t xml:space="preserve"> </w:t>
      </w:r>
      <w:r>
        <w:rPr>
          <w:sz w:val="24"/>
        </w:rPr>
        <w:t xml:space="preserve">(or entered directly into </w:t>
      </w:r>
      <w:r w:rsidR="00AE703E">
        <w:rPr>
          <w:sz w:val="24"/>
        </w:rPr>
        <w:t xml:space="preserve">the </w:t>
      </w:r>
      <w:r>
        <w:rPr>
          <w:sz w:val="24"/>
        </w:rPr>
        <w:t xml:space="preserve">Trade Entry module).  Only the home office </w:t>
      </w:r>
      <w:r w:rsidR="00F77EB7" w:rsidRPr="00015BD7">
        <w:rPr>
          <w:sz w:val="24"/>
        </w:rPr>
        <w:t xml:space="preserve">Trading/Operations </w:t>
      </w:r>
      <w:r w:rsidR="00F77EB7" w:rsidRPr="00F77EB7">
        <w:rPr>
          <w:sz w:val="24"/>
        </w:rPr>
        <w:t>personnel</w:t>
      </w:r>
      <w:r w:rsidRPr="00F77EB7">
        <w:rPr>
          <w:sz w:val="24"/>
        </w:rPr>
        <w:t xml:space="preserve"> </w:t>
      </w:r>
      <w:r>
        <w:rPr>
          <w:sz w:val="24"/>
        </w:rPr>
        <w:t xml:space="preserve">may process these orders.  All TRACE orders must be reported in </w:t>
      </w:r>
      <w:r>
        <w:rPr>
          <w:b/>
          <w:sz w:val="24"/>
          <w:u w:val="single"/>
        </w:rPr>
        <w:t>Eastern Standard Time</w:t>
      </w:r>
      <w:r>
        <w:rPr>
          <w:sz w:val="24"/>
        </w:rPr>
        <w:t xml:space="preserve"> to </w:t>
      </w:r>
      <w:r w:rsidR="007804C0" w:rsidRPr="00E4165F">
        <w:rPr>
          <w:sz w:val="24"/>
        </w:rPr>
        <w:t>HT</w:t>
      </w:r>
      <w:r>
        <w:rPr>
          <w:sz w:val="24"/>
        </w:rPr>
        <w:t xml:space="preserve">S for processing.  </w:t>
      </w:r>
    </w:p>
    <w:p w14:paraId="3C94C65B" w14:textId="77777777" w:rsidR="00BC70A1" w:rsidRDefault="00BC70A1" w:rsidP="00BC70A1">
      <w:pPr>
        <w:jc w:val="both"/>
        <w:rPr>
          <w:b/>
          <w:sz w:val="24"/>
        </w:rPr>
      </w:pPr>
    </w:p>
    <w:p w14:paraId="328A6CEC" w14:textId="77777777" w:rsidR="00BC70A1" w:rsidRDefault="00063663" w:rsidP="009F5051">
      <w:pPr>
        <w:pStyle w:val="Heading3"/>
      </w:pPr>
      <w:r w:rsidRPr="007D52B5">
        <w:t>12.</w:t>
      </w:r>
      <w:r w:rsidR="00A31807">
        <w:t>9</w:t>
      </w:r>
      <w:r w:rsidR="009F5051" w:rsidRPr="007D52B5">
        <w:t xml:space="preserve">.4 </w:t>
      </w:r>
      <w:r w:rsidR="00BC70A1" w:rsidRPr="007D52B5">
        <w:t>TRACE Reviews</w:t>
      </w:r>
      <w:r w:rsidR="00BC70A1">
        <w:t xml:space="preserve"> </w:t>
      </w:r>
    </w:p>
    <w:p w14:paraId="038167BD" w14:textId="77777777" w:rsidR="00BC70A1" w:rsidRPr="00EB5FB0" w:rsidRDefault="00BC70A1" w:rsidP="009F5051">
      <w:pPr>
        <w:pStyle w:val="MRS"/>
        <w:ind w:left="270"/>
      </w:pPr>
      <w:r>
        <w:t xml:space="preserve">Morris Monroe will ensure that all Trace eligible securities are reported as required by </w:t>
      </w:r>
      <w:r w:rsidRPr="00EB5FB0">
        <w:t xml:space="preserve">FINRA Rule </w:t>
      </w:r>
      <w:r w:rsidR="00E9288A" w:rsidRPr="00F04F03">
        <w:t>6700</w:t>
      </w:r>
      <w:r w:rsidRPr="00EB5FB0">
        <w:t xml:space="preserve"> by the Company’s clearing broker.  Morris Monroe or Laura Hendricks will review the clearing broker’s Trace reporting on a weekly basis (or sooner if needed) through the FINRA TRACE website and indicate review by initialing the report.  Discrepancies will be brought to the attention of the clearing broker and the correction will be reviewed on the subsequent day after being reported.  </w:t>
      </w:r>
    </w:p>
    <w:p w14:paraId="16757483" w14:textId="77777777" w:rsidR="00BC70A1" w:rsidRPr="00EB5FB0" w:rsidRDefault="00BC70A1" w:rsidP="009F5051">
      <w:pPr>
        <w:tabs>
          <w:tab w:val="left" w:pos="720"/>
          <w:tab w:val="left" w:pos="1260"/>
        </w:tabs>
        <w:ind w:left="270"/>
        <w:jc w:val="both"/>
        <w:rPr>
          <w:sz w:val="24"/>
        </w:rPr>
      </w:pPr>
    </w:p>
    <w:p w14:paraId="33037791" w14:textId="77777777" w:rsidR="00BC70A1" w:rsidRPr="00612826" w:rsidRDefault="00BC70A1" w:rsidP="009F5051">
      <w:pPr>
        <w:ind w:left="270"/>
        <w:jc w:val="both"/>
        <w:rPr>
          <w:sz w:val="24"/>
        </w:rPr>
      </w:pPr>
      <w:r w:rsidRPr="00EB5FB0">
        <w:rPr>
          <w:sz w:val="24"/>
        </w:rPr>
        <w:t xml:space="preserve">On a monthly basis, when applicable reports are available, Morris Monroe or Laura Hendricks will access the FINRA Report Center and obtain a copy of </w:t>
      </w:r>
      <w:r w:rsidR="00F55208">
        <w:rPr>
          <w:sz w:val="24"/>
          <w:szCs w:val="24"/>
        </w:rPr>
        <w:t>the Company</w:t>
      </w:r>
      <w:r w:rsidR="00F55208" w:rsidRPr="00472765">
        <w:rPr>
          <w:sz w:val="24"/>
          <w:szCs w:val="24"/>
        </w:rPr>
        <w:t>'s</w:t>
      </w:r>
      <w:r w:rsidRPr="00EB5FB0">
        <w:rPr>
          <w:sz w:val="24"/>
        </w:rPr>
        <w:t xml:space="preserve"> “TRACE Quality of Markets Report Card” and of its “TRACE Operations Report Card” (report is not available if</w:t>
      </w:r>
      <w:r>
        <w:rPr>
          <w:sz w:val="24"/>
        </w:rPr>
        <w:t xml:space="preserve"> there is no TRACE activity). If the reports indicate reporting problems, an investigation of same will be made and make any necessary adjustments.  Review of the applicable monthly reports will be evidenced by initialing the report.</w:t>
      </w:r>
      <w:r w:rsidR="00330856">
        <w:rPr>
          <w:sz w:val="24"/>
        </w:rPr>
        <w:t xml:space="preserve">  </w:t>
      </w:r>
      <w:r w:rsidR="00330856" w:rsidRPr="00612826">
        <w:rPr>
          <w:sz w:val="24"/>
        </w:rPr>
        <w:t xml:space="preserve">In addition, Company will review, as part of its internal exam process, the TRACE Entitlements and Contact Report </w:t>
      </w:r>
      <w:r w:rsidR="00B53ECC" w:rsidRPr="00612826">
        <w:rPr>
          <w:sz w:val="24"/>
        </w:rPr>
        <w:t xml:space="preserve">at least </w:t>
      </w:r>
      <w:r w:rsidR="00330856" w:rsidRPr="00612826">
        <w:rPr>
          <w:sz w:val="24"/>
        </w:rPr>
        <w:t>annually to ensure current authorized users and accurate information.</w:t>
      </w:r>
    </w:p>
    <w:p w14:paraId="270ED570" w14:textId="77777777" w:rsidR="004F7318" w:rsidRDefault="004F7318" w:rsidP="008E46DF"/>
    <w:p w14:paraId="7F1EE268" w14:textId="77777777" w:rsidR="004F7318" w:rsidRDefault="004F7318" w:rsidP="008E46DF"/>
    <w:p w14:paraId="5EE09CE0" w14:textId="77777777" w:rsidR="004F7318" w:rsidRDefault="004F7318" w:rsidP="00936FEE">
      <w:pPr>
        <w:pStyle w:val="Heading2"/>
      </w:pPr>
      <w:r>
        <w:lastRenderedPageBreak/>
        <w:t>12.</w:t>
      </w:r>
      <w:r w:rsidR="00A31807">
        <w:t>10</w:t>
      </w:r>
      <w:r>
        <w:t xml:space="preserve"> Collateralized Mortgage Obligations</w:t>
      </w:r>
    </w:p>
    <w:p w14:paraId="69EF2932" w14:textId="29F38B36" w:rsidR="004F7318" w:rsidRPr="005D0F44" w:rsidRDefault="004F7318" w:rsidP="004F7318">
      <w:pPr>
        <w:rPr>
          <w:spacing w:val="8"/>
          <w:sz w:val="24"/>
          <w:szCs w:val="24"/>
        </w:rPr>
      </w:pPr>
      <w:r w:rsidRPr="005D0F44">
        <w:rPr>
          <w:spacing w:val="8"/>
          <w:sz w:val="24"/>
          <w:szCs w:val="24"/>
        </w:rPr>
        <w:t xml:space="preserve">As for all recommendations, RRs have an obligation to determine </w:t>
      </w:r>
      <w:r w:rsidR="00CF56F7" w:rsidRPr="00CF56F7">
        <w:rPr>
          <w:color w:val="FF0000"/>
          <w:spacing w:val="8"/>
          <w:sz w:val="24"/>
          <w:szCs w:val="24"/>
        </w:rPr>
        <w:t>BI</w:t>
      </w:r>
      <w:r w:rsidRPr="005D0F44">
        <w:rPr>
          <w:spacing w:val="8"/>
          <w:sz w:val="24"/>
          <w:szCs w:val="24"/>
        </w:rPr>
        <w:t xml:space="preserve"> when recommending CMOs to individuals. The RR has the obligation to understand the features of CMOs before recommending them. Because of the wide range of features and potential complexity of some CMOs, the following must be considered:</w:t>
      </w:r>
    </w:p>
    <w:p w14:paraId="170C4B9E" w14:textId="77777777" w:rsidR="004F7318" w:rsidRPr="005D0F44" w:rsidRDefault="004F7318" w:rsidP="003E7B18">
      <w:pPr>
        <w:numPr>
          <w:ilvl w:val="0"/>
          <w:numId w:val="210"/>
        </w:numPr>
        <w:spacing w:before="100" w:beforeAutospacing="1" w:after="100" w:afterAutospacing="1"/>
        <w:ind w:left="783"/>
        <w:rPr>
          <w:spacing w:val="8"/>
          <w:sz w:val="24"/>
          <w:szCs w:val="24"/>
        </w:rPr>
      </w:pPr>
      <w:r w:rsidRPr="005D0F44">
        <w:rPr>
          <w:spacing w:val="8"/>
          <w:sz w:val="24"/>
          <w:szCs w:val="24"/>
        </w:rPr>
        <w:t xml:space="preserve">Customer's financial status including liquid net worth and income </w:t>
      </w:r>
    </w:p>
    <w:p w14:paraId="4DBDA7D1" w14:textId="77777777" w:rsidR="004F7318" w:rsidRPr="005D0F44" w:rsidRDefault="004F7318" w:rsidP="003E7B18">
      <w:pPr>
        <w:numPr>
          <w:ilvl w:val="0"/>
          <w:numId w:val="210"/>
        </w:numPr>
        <w:spacing w:before="100" w:beforeAutospacing="1" w:after="100" w:afterAutospacing="1"/>
        <w:ind w:left="783"/>
        <w:rPr>
          <w:spacing w:val="8"/>
          <w:sz w:val="24"/>
          <w:szCs w:val="24"/>
        </w:rPr>
      </w:pPr>
      <w:r w:rsidRPr="005D0F44">
        <w:rPr>
          <w:spacing w:val="8"/>
          <w:sz w:val="24"/>
          <w:szCs w:val="24"/>
        </w:rPr>
        <w:t xml:space="preserve">Customer's experience in investing in CMOs and his or her ability to understand the features including prepayment risk </w:t>
      </w:r>
    </w:p>
    <w:p w14:paraId="7FDBD856" w14:textId="77777777" w:rsidR="004F7318" w:rsidRPr="005D0F44" w:rsidRDefault="004F7318" w:rsidP="003E7B18">
      <w:pPr>
        <w:numPr>
          <w:ilvl w:val="0"/>
          <w:numId w:val="210"/>
        </w:numPr>
        <w:spacing w:before="100" w:beforeAutospacing="1" w:after="100" w:afterAutospacing="1"/>
        <w:ind w:left="783"/>
        <w:rPr>
          <w:spacing w:val="8"/>
          <w:sz w:val="24"/>
          <w:szCs w:val="24"/>
        </w:rPr>
      </w:pPr>
      <w:r w:rsidRPr="005D0F44">
        <w:rPr>
          <w:spacing w:val="8"/>
          <w:sz w:val="24"/>
          <w:szCs w:val="24"/>
        </w:rPr>
        <w:t xml:space="preserve">Customer's risk profile </w:t>
      </w:r>
    </w:p>
    <w:p w14:paraId="30074C29" w14:textId="77777777" w:rsidR="004F7318" w:rsidRPr="005D0F44" w:rsidRDefault="004F7318" w:rsidP="003E7B18">
      <w:pPr>
        <w:numPr>
          <w:ilvl w:val="0"/>
          <w:numId w:val="210"/>
        </w:numPr>
        <w:spacing w:before="100" w:beforeAutospacing="1" w:after="100" w:afterAutospacing="1"/>
        <w:ind w:left="783"/>
        <w:rPr>
          <w:spacing w:val="8"/>
          <w:sz w:val="24"/>
          <w:szCs w:val="24"/>
        </w:rPr>
      </w:pPr>
      <w:r w:rsidRPr="005D0F44">
        <w:rPr>
          <w:spacing w:val="8"/>
          <w:sz w:val="24"/>
          <w:szCs w:val="24"/>
        </w:rPr>
        <w:t xml:space="preserve">Customer's investment objectives, particularly the need for cash flow </w:t>
      </w:r>
    </w:p>
    <w:p w14:paraId="2301908C" w14:textId="77777777" w:rsidR="004F7318" w:rsidRPr="005D0F44" w:rsidRDefault="004F7318" w:rsidP="003E7B18">
      <w:pPr>
        <w:numPr>
          <w:ilvl w:val="0"/>
          <w:numId w:val="210"/>
        </w:numPr>
        <w:spacing w:before="100" w:beforeAutospacing="1" w:after="100" w:afterAutospacing="1"/>
        <w:ind w:left="783"/>
        <w:rPr>
          <w:spacing w:val="8"/>
          <w:sz w:val="24"/>
          <w:szCs w:val="24"/>
        </w:rPr>
      </w:pPr>
      <w:r w:rsidRPr="005D0F44">
        <w:rPr>
          <w:spacing w:val="8"/>
          <w:sz w:val="24"/>
          <w:szCs w:val="24"/>
        </w:rPr>
        <w:t xml:space="preserve">Features of the CMO and how they fit the customer's needs </w:t>
      </w:r>
    </w:p>
    <w:p w14:paraId="0E13018F" w14:textId="77777777" w:rsidR="004F7318" w:rsidRPr="005D0F44" w:rsidRDefault="004F7318" w:rsidP="003E7B18">
      <w:pPr>
        <w:numPr>
          <w:ilvl w:val="0"/>
          <w:numId w:val="210"/>
        </w:numPr>
        <w:spacing w:before="100" w:beforeAutospacing="1" w:after="100" w:afterAutospacing="1"/>
        <w:ind w:left="783"/>
        <w:rPr>
          <w:spacing w:val="8"/>
          <w:sz w:val="24"/>
          <w:szCs w:val="24"/>
        </w:rPr>
      </w:pPr>
      <w:r w:rsidRPr="005D0F44">
        <w:rPr>
          <w:spacing w:val="8"/>
          <w:sz w:val="24"/>
          <w:szCs w:val="24"/>
        </w:rPr>
        <w:t>Disclosure of risks (see below)</w:t>
      </w:r>
    </w:p>
    <w:p w14:paraId="0A2F955B" w14:textId="77777777" w:rsidR="004F7318" w:rsidRPr="005D0F44" w:rsidRDefault="004F7318" w:rsidP="004F7318">
      <w:pPr>
        <w:rPr>
          <w:spacing w:val="8"/>
          <w:sz w:val="24"/>
          <w:szCs w:val="24"/>
        </w:rPr>
      </w:pPr>
      <w:r w:rsidRPr="005D0F44">
        <w:rPr>
          <w:spacing w:val="8"/>
          <w:sz w:val="24"/>
          <w:szCs w:val="24"/>
        </w:rPr>
        <w:t>In addition, RRs must consider market factors affecting CMOs at the time they are recommended. For example, in a low-interest, low-yield environment there may be a considerable compression of risk premium where investors bid up prices and drive down yields while default rates remain high compared to historical norms.</w:t>
      </w:r>
    </w:p>
    <w:p w14:paraId="5E8185B2" w14:textId="77777777" w:rsidR="004F7318" w:rsidRPr="005D0F44" w:rsidRDefault="004F7318" w:rsidP="004F7318">
      <w:pPr>
        <w:rPr>
          <w:spacing w:val="8"/>
          <w:sz w:val="24"/>
          <w:szCs w:val="24"/>
        </w:rPr>
      </w:pPr>
    </w:p>
    <w:p w14:paraId="29F2DC00" w14:textId="77777777" w:rsidR="009A0B36" w:rsidRPr="005D0F44" w:rsidRDefault="009A0B36" w:rsidP="009A0B36">
      <w:pPr>
        <w:pStyle w:val="Heading3"/>
      </w:pPr>
      <w:r w:rsidRPr="005D0F44">
        <w:t>12.</w:t>
      </w:r>
      <w:r w:rsidR="00A31807">
        <w:t>10</w:t>
      </w:r>
      <w:r w:rsidRPr="005D0F44">
        <w:t>.1 Characteristics and Risks</w:t>
      </w:r>
    </w:p>
    <w:p w14:paraId="64EEB9C6" w14:textId="71ABA4D4" w:rsidR="009A0B36" w:rsidRPr="005D0F44" w:rsidRDefault="009A0B36" w:rsidP="009A0B36">
      <w:pPr>
        <w:ind w:left="270"/>
        <w:rPr>
          <w:spacing w:val="8"/>
          <w:sz w:val="24"/>
          <w:szCs w:val="24"/>
        </w:rPr>
      </w:pPr>
      <w:r w:rsidRPr="005D0F44">
        <w:rPr>
          <w:spacing w:val="8"/>
          <w:sz w:val="24"/>
          <w:szCs w:val="24"/>
        </w:rPr>
        <w:t xml:space="preserve">CMOs have characteristics that RRs must be acquainted with in order to assess the </w:t>
      </w:r>
      <w:r w:rsidR="0046026C">
        <w:rPr>
          <w:spacing w:val="8"/>
          <w:sz w:val="24"/>
          <w:szCs w:val="24"/>
        </w:rPr>
        <w:t>BI</w:t>
      </w:r>
      <w:r w:rsidRPr="005D0F44">
        <w:rPr>
          <w:spacing w:val="8"/>
          <w:sz w:val="24"/>
          <w:szCs w:val="24"/>
        </w:rPr>
        <w:t xml:space="preserve"> of them for investors who also should be aware of these characteristics prior to investing. Following is a list of key characteristics, which are different among various CMO issues.</w:t>
      </w:r>
    </w:p>
    <w:p w14:paraId="3559CF9A" w14:textId="77777777" w:rsidR="009A0B36" w:rsidRPr="005D0F44" w:rsidRDefault="009A0B36" w:rsidP="003E7B18">
      <w:pPr>
        <w:numPr>
          <w:ilvl w:val="0"/>
          <w:numId w:val="211"/>
        </w:numPr>
        <w:spacing w:before="100" w:beforeAutospacing="1" w:after="100" w:afterAutospacing="1"/>
        <w:ind w:left="783"/>
        <w:rPr>
          <w:spacing w:val="8"/>
          <w:sz w:val="24"/>
          <w:szCs w:val="24"/>
        </w:rPr>
      </w:pPr>
      <w:r w:rsidRPr="005D0F44">
        <w:rPr>
          <w:spacing w:val="8"/>
          <w:sz w:val="24"/>
          <w:szCs w:val="24"/>
        </w:rPr>
        <w:t xml:space="preserve">Underlying mortgage payments may be unpredictable and variable which may cause either an earlier than anticipated return of principal or a holding period longer than anticipated. </w:t>
      </w:r>
    </w:p>
    <w:p w14:paraId="517E0549" w14:textId="77777777" w:rsidR="009A0B36" w:rsidRPr="005D0F44" w:rsidRDefault="009A0B36" w:rsidP="003E7B18">
      <w:pPr>
        <w:numPr>
          <w:ilvl w:val="0"/>
          <w:numId w:val="211"/>
        </w:numPr>
        <w:spacing w:before="100" w:beforeAutospacing="1" w:after="100" w:afterAutospacing="1"/>
        <w:ind w:left="783"/>
        <w:rPr>
          <w:spacing w:val="8"/>
          <w:sz w:val="24"/>
          <w:szCs w:val="24"/>
        </w:rPr>
      </w:pPr>
      <w:r w:rsidRPr="005D0F44">
        <w:rPr>
          <w:spacing w:val="8"/>
          <w:sz w:val="24"/>
          <w:szCs w:val="24"/>
        </w:rPr>
        <w:t xml:space="preserve">There is reinvestment risk associated with early prepayments and various tranches of the same issue have different risk profiles. </w:t>
      </w:r>
    </w:p>
    <w:p w14:paraId="6A9DA027" w14:textId="77777777" w:rsidR="009A0B36" w:rsidRPr="005D0F44" w:rsidRDefault="009A0B36" w:rsidP="003E7B18">
      <w:pPr>
        <w:numPr>
          <w:ilvl w:val="0"/>
          <w:numId w:val="211"/>
        </w:numPr>
        <w:spacing w:before="100" w:beforeAutospacing="1" w:after="100" w:afterAutospacing="1"/>
        <w:ind w:left="783"/>
        <w:rPr>
          <w:spacing w:val="8"/>
          <w:sz w:val="24"/>
          <w:szCs w:val="24"/>
        </w:rPr>
      </w:pPr>
      <w:r w:rsidRPr="005D0F44">
        <w:rPr>
          <w:spacing w:val="8"/>
          <w:sz w:val="24"/>
          <w:szCs w:val="24"/>
        </w:rPr>
        <w:t xml:space="preserve">There is significant risk associated with less predictable tranches which subject customers to the possibility of losing their entire principal. </w:t>
      </w:r>
    </w:p>
    <w:p w14:paraId="3C15E1D1" w14:textId="77777777" w:rsidR="009A0B36" w:rsidRPr="005D0F44" w:rsidRDefault="009A0B36" w:rsidP="003E7B18">
      <w:pPr>
        <w:numPr>
          <w:ilvl w:val="0"/>
          <w:numId w:val="211"/>
        </w:numPr>
        <w:spacing w:before="100" w:beforeAutospacing="1" w:after="100" w:afterAutospacing="1"/>
        <w:ind w:left="783"/>
        <w:rPr>
          <w:spacing w:val="8"/>
          <w:sz w:val="24"/>
          <w:szCs w:val="24"/>
        </w:rPr>
      </w:pPr>
      <w:r w:rsidRPr="005D0F44">
        <w:rPr>
          <w:spacing w:val="8"/>
          <w:sz w:val="24"/>
          <w:szCs w:val="24"/>
        </w:rPr>
        <w:t xml:space="preserve">The time to maturity, as well as the amount of principal returned, will vary based on the accuracy of prepayment assumptions. </w:t>
      </w:r>
    </w:p>
    <w:p w14:paraId="2E84ED1D" w14:textId="77777777" w:rsidR="009A0B36" w:rsidRPr="005D0F44" w:rsidRDefault="009A0B36" w:rsidP="003E7B18">
      <w:pPr>
        <w:numPr>
          <w:ilvl w:val="0"/>
          <w:numId w:val="211"/>
        </w:numPr>
        <w:spacing w:before="100" w:beforeAutospacing="1" w:after="100" w:afterAutospacing="1"/>
        <w:ind w:left="783"/>
        <w:rPr>
          <w:spacing w:val="8"/>
          <w:sz w:val="24"/>
          <w:szCs w:val="24"/>
        </w:rPr>
      </w:pPr>
      <w:r w:rsidRPr="005D0F44">
        <w:rPr>
          <w:spacing w:val="8"/>
          <w:sz w:val="24"/>
          <w:szCs w:val="24"/>
        </w:rPr>
        <w:t xml:space="preserve">Prepayment assumptions are estimates based on historical prepayment rates and are factored into the price, yield and market value of a CMO. </w:t>
      </w:r>
    </w:p>
    <w:p w14:paraId="3C893160" w14:textId="77777777" w:rsidR="009A0B36" w:rsidRPr="005D0F44" w:rsidRDefault="009A0B36" w:rsidP="003E7B18">
      <w:pPr>
        <w:numPr>
          <w:ilvl w:val="0"/>
          <w:numId w:val="211"/>
        </w:numPr>
        <w:spacing w:before="100" w:beforeAutospacing="1" w:after="100" w:afterAutospacing="1"/>
        <w:ind w:left="783"/>
      </w:pPr>
      <w:r w:rsidRPr="005D0F44">
        <w:rPr>
          <w:spacing w:val="8"/>
          <w:sz w:val="24"/>
          <w:szCs w:val="24"/>
        </w:rPr>
        <w:t>The more complex and esoteric the issue, the less likely it is that there will be current pricing information available or a ready market for the security.</w:t>
      </w:r>
    </w:p>
    <w:p w14:paraId="7638006C" w14:textId="77777777" w:rsidR="009A0B36" w:rsidRPr="005D0F44" w:rsidRDefault="009A0B36" w:rsidP="009A0B36"/>
    <w:p w14:paraId="5D751330" w14:textId="77777777" w:rsidR="004F7318" w:rsidRPr="005D0F44" w:rsidRDefault="004F7318" w:rsidP="004F7318">
      <w:pPr>
        <w:pStyle w:val="Heading3"/>
      </w:pPr>
      <w:r w:rsidRPr="005D0F44">
        <w:t>12.</w:t>
      </w:r>
      <w:r w:rsidR="00A31807">
        <w:t>10</w:t>
      </w:r>
      <w:r w:rsidRPr="005D0F44">
        <w:t>.</w:t>
      </w:r>
      <w:r w:rsidR="009A0B36" w:rsidRPr="005D0F44">
        <w:t>2</w:t>
      </w:r>
      <w:r w:rsidRPr="005D0F44">
        <w:t xml:space="preserve"> CMO Disclosures</w:t>
      </w:r>
    </w:p>
    <w:p w14:paraId="6F6DFE43" w14:textId="77777777" w:rsidR="004F7318" w:rsidRPr="005D0F44" w:rsidRDefault="004F7318" w:rsidP="004F7318">
      <w:pPr>
        <w:ind w:left="270"/>
        <w:rPr>
          <w:sz w:val="24"/>
          <w:szCs w:val="24"/>
        </w:rPr>
      </w:pPr>
      <w:r w:rsidRPr="005D0F44">
        <w:rPr>
          <w:sz w:val="24"/>
          <w:szCs w:val="24"/>
        </w:rPr>
        <w:t>Any communication dealing with Collateralized Mortgage Obligations must disclose the following and may not disclose certain statements:</w:t>
      </w:r>
    </w:p>
    <w:p w14:paraId="69C04AC5" w14:textId="77777777" w:rsidR="004F7318" w:rsidRPr="005D0F44" w:rsidRDefault="004F7318" w:rsidP="003E7B18">
      <w:pPr>
        <w:numPr>
          <w:ilvl w:val="0"/>
          <w:numId w:val="209"/>
        </w:numPr>
        <w:tabs>
          <w:tab w:val="clear" w:pos="720"/>
          <w:tab w:val="num" w:pos="900"/>
        </w:tabs>
        <w:spacing w:before="100" w:beforeAutospacing="1" w:after="100" w:afterAutospacing="1"/>
        <w:ind w:left="900" w:hanging="180"/>
        <w:rPr>
          <w:sz w:val="24"/>
          <w:szCs w:val="24"/>
        </w:rPr>
      </w:pPr>
      <w:r w:rsidRPr="005D0F44">
        <w:rPr>
          <w:sz w:val="24"/>
          <w:szCs w:val="24"/>
        </w:rPr>
        <w:t>Communications must include, within the name of the product, the term "Collateralized Mortgage Obligation;"</w:t>
      </w:r>
    </w:p>
    <w:p w14:paraId="11016047" w14:textId="77777777" w:rsidR="004F7318" w:rsidRPr="005D0F44" w:rsidRDefault="004F7318" w:rsidP="003E7B18">
      <w:pPr>
        <w:numPr>
          <w:ilvl w:val="0"/>
          <w:numId w:val="209"/>
        </w:numPr>
        <w:tabs>
          <w:tab w:val="clear" w:pos="720"/>
          <w:tab w:val="num" w:pos="900"/>
        </w:tabs>
        <w:spacing w:before="100" w:beforeAutospacing="1" w:after="100" w:afterAutospacing="1"/>
        <w:ind w:left="900" w:hanging="180"/>
        <w:rPr>
          <w:sz w:val="24"/>
          <w:szCs w:val="24"/>
        </w:rPr>
      </w:pPr>
      <w:r w:rsidRPr="005D0F44">
        <w:rPr>
          <w:sz w:val="24"/>
          <w:szCs w:val="24"/>
        </w:rPr>
        <w:t>CMOs must not be compared to CDs, treasury bonds, or other securities with fixed interest rates and stated maturities;</w:t>
      </w:r>
    </w:p>
    <w:p w14:paraId="7CD74F2B" w14:textId="77777777" w:rsidR="004F7318" w:rsidRPr="005D0F44" w:rsidRDefault="004F7318" w:rsidP="003E7B18">
      <w:pPr>
        <w:numPr>
          <w:ilvl w:val="0"/>
          <w:numId w:val="209"/>
        </w:numPr>
        <w:tabs>
          <w:tab w:val="clear" w:pos="720"/>
          <w:tab w:val="num" w:pos="900"/>
        </w:tabs>
        <w:spacing w:before="100" w:beforeAutospacing="1" w:after="100" w:afterAutospacing="1"/>
        <w:ind w:left="900" w:hanging="180"/>
        <w:rPr>
          <w:sz w:val="24"/>
          <w:szCs w:val="24"/>
        </w:rPr>
      </w:pPr>
      <w:r w:rsidRPr="005D0F44">
        <w:rPr>
          <w:sz w:val="24"/>
          <w:szCs w:val="24"/>
        </w:rPr>
        <w:lastRenderedPageBreak/>
        <w:t>Communications must disclose, as applicable, that a government agency backing applies only to the face value of the CMO and not to any premium paid; and,</w:t>
      </w:r>
    </w:p>
    <w:p w14:paraId="6B051A7B" w14:textId="77777777" w:rsidR="004F7318" w:rsidRPr="005D0F44" w:rsidRDefault="004F7318" w:rsidP="003E7B18">
      <w:pPr>
        <w:numPr>
          <w:ilvl w:val="0"/>
          <w:numId w:val="209"/>
        </w:numPr>
        <w:tabs>
          <w:tab w:val="clear" w:pos="720"/>
          <w:tab w:val="num" w:pos="900"/>
        </w:tabs>
        <w:spacing w:before="100" w:beforeAutospacing="1" w:after="100" w:afterAutospacing="1"/>
        <w:ind w:left="900" w:hanging="180"/>
        <w:rPr>
          <w:sz w:val="24"/>
          <w:szCs w:val="24"/>
        </w:rPr>
      </w:pPr>
      <w:r w:rsidRPr="005D0F44">
        <w:rPr>
          <w:sz w:val="24"/>
          <w:szCs w:val="24"/>
        </w:rPr>
        <w:t>Communications must disclose that a CMO's yield and average life will fluctuate depending on the actual rate at which mortgage holders prepay the mortgages underlying the CMO and changes in current interest rates.</w:t>
      </w:r>
    </w:p>
    <w:p w14:paraId="3DD5D63F" w14:textId="77777777" w:rsidR="004F7318" w:rsidRPr="005D0F44" w:rsidRDefault="004F7318" w:rsidP="003E7B18">
      <w:pPr>
        <w:numPr>
          <w:ilvl w:val="0"/>
          <w:numId w:val="209"/>
        </w:numPr>
        <w:tabs>
          <w:tab w:val="clear" w:pos="720"/>
          <w:tab w:val="num" w:pos="900"/>
        </w:tabs>
        <w:spacing w:before="100" w:beforeAutospacing="1" w:after="100" w:afterAutospacing="1"/>
        <w:ind w:left="900" w:hanging="180"/>
        <w:rPr>
          <w:sz w:val="24"/>
          <w:szCs w:val="24"/>
        </w:rPr>
      </w:pPr>
      <w:r w:rsidRPr="005D0F44">
        <w:rPr>
          <w:sz w:val="24"/>
          <w:szCs w:val="24"/>
        </w:rPr>
        <w:t>There should be no assurance that the CMO will prepay principal at the current assumed rate; timing may vary significantly.</w:t>
      </w:r>
    </w:p>
    <w:p w14:paraId="4F890893" w14:textId="77777777" w:rsidR="00D40929" w:rsidRPr="00612826" w:rsidRDefault="004F7318" w:rsidP="00EA0A5B">
      <w:pPr>
        <w:pStyle w:val="Normal10"/>
        <w:ind w:left="540"/>
        <w:rPr>
          <w:rFonts w:ascii="Tahoma" w:hAnsi="Tahoma" w:cs="Tahoma"/>
          <w:spacing w:val="8"/>
          <w:sz w:val="18"/>
          <w:szCs w:val="18"/>
        </w:rPr>
      </w:pPr>
      <w:r w:rsidRPr="005D0F44">
        <w:t>In addition to the above, FINRA has established standards for communications that promote a specific security or contain yield information. These requirements are complex and Compliance should be consulted when preparing this type of communication.</w:t>
      </w:r>
      <w:r w:rsidR="008E46DF" w:rsidRPr="00612826">
        <w:br w:type="page"/>
      </w:r>
    </w:p>
    <w:p w14:paraId="571AD980" w14:textId="77777777" w:rsidR="00654E75" w:rsidRDefault="00654E75" w:rsidP="00654E75">
      <w:pPr>
        <w:pStyle w:val="Heading1"/>
        <w:pBdr>
          <w:top w:val="double" w:sz="12" w:space="1" w:color="000099"/>
          <w:left w:val="double" w:sz="12" w:space="4" w:color="000099"/>
          <w:bottom w:val="double" w:sz="12" w:space="1" w:color="000099"/>
          <w:right w:val="double" w:sz="12" w:space="4" w:color="000099"/>
        </w:pBdr>
        <w:shd w:val="pct10" w:color="0000FF" w:fill="auto"/>
        <w:jc w:val="center"/>
      </w:pPr>
    </w:p>
    <w:p w14:paraId="3C16E522" w14:textId="77777777" w:rsidR="00654E75" w:rsidRDefault="00654E75" w:rsidP="00654E75">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233" w:name="_Toc251405843"/>
      <w:bookmarkStart w:id="234" w:name="_Toc535916178"/>
      <w:r>
        <w:t>1</w:t>
      </w:r>
      <w:r w:rsidR="00220A6B">
        <w:t>3</w:t>
      </w:r>
      <w:r>
        <w:t xml:space="preserve">.  </w:t>
      </w:r>
      <w:bookmarkEnd w:id="233"/>
      <w:r w:rsidR="00174005">
        <w:t>MUNICIPAL</w:t>
      </w:r>
      <w:r w:rsidR="00174005" w:rsidRPr="00512B61">
        <w:t xml:space="preserve"> </w:t>
      </w:r>
      <w:r w:rsidR="00174005">
        <w:t>SECURITIES ACTVITIES</w:t>
      </w:r>
      <w:bookmarkEnd w:id="234"/>
    </w:p>
    <w:p w14:paraId="556116D4" w14:textId="77777777" w:rsidR="00654E75" w:rsidRDefault="00654E75" w:rsidP="00654E75">
      <w:pPr>
        <w:pStyle w:val="Heading1"/>
        <w:pBdr>
          <w:top w:val="double" w:sz="12" w:space="1" w:color="000099"/>
          <w:left w:val="double" w:sz="12" w:space="4" w:color="000099"/>
          <w:bottom w:val="double" w:sz="12" w:space="1" w:color="000099"/>
          <w:right w:val="double" w:sz="12" w:space="4" w:color="000099"/>
        </w:pBdr>
        <w:shd w:val="pct10" w:color="0000FF" w:fill="auto"/>
        <w:jc w:val="center"/>
      </w:pPr>
    </w:p>
    <w:p w14:paraId="08B595D1" w14:textId="77777777" w:rsidR="000C099C" w:rsidRDefault="000C099C">
      <w:pPr>
        <w:jc w:val="both"/>
        <w:rPr>
          <w:sz w:val="24"/>
        </w:rPr>
      </w:pPr>
    </w:p>
    <w:p w14:paraId="39411B63" w14:textId="77777777" w:rsidR="00512B61" w:rsidRDefault="00512B61" w:rsidP="00502357"/>
    <w:p w14:paraId="11C4821B" w14:textId="77777777" w:rsidR="00502357" w:rsidRPr="00502357" w:rsidRDefault="00502357" w:rsidP="00936FEE">
      <w:pPr>
        <w:pStyle w:val="Heading2"/>
      </w:pPr>
      <w:r w:rsidRPr="00502357">
        <w:t>1</w:t>
      </w:r>
      <w:r w:rsidR="00174005">
        <w:t>3</w:t>
      </w:r>
      <w:r w:rsidRPr="00502357">
        <w:t>.1 Introduction</w:t>
      </w:r>
    </w:p>
    <w:p w14:paraId="3ABFF0D1" w14:textId="44E5FD43" w:rsidR="000C5830" w:rsidRDefault="00502357" w:rsidP="000C5830">
      <w:pPr>
        <w:pStyle w:val="Normal1"/>
        <w:shd w:val="clear" w:color="auto" w:fill="FFFFFF"/>
        <w:spacing w:before="0" w:after="0" w:afterAutospacing="0" w:line="240" w:lineRule="auto"/>
        <w:rPr>
          <w:rFonts w:ascii="Times New Roman" w:hAnsi="Times New Roman" w:cs="Times New Roman"/>
          <w:sz w:val="24"/>
          <w:szCs w:val="24"/>
        </w:rPr>
      </w:pPr>
      <w:r w:rsidRPr="00671FC0">
        <w:rPr>
          <w:rFonts w:ascii="Times New Roman" w:hAnsi="Times New Roman" w:cs="Times New Roman"/>
          <w:color w:val="000000"/>
          <w:sz w:val="24"/>
          <w:szCs w:val="24"/>
        </w:rPr>
        <w:t xml:space="preserve">These procedures outline requirements for complying with Company and regulatory obligations, including the MSRB (Municipal Securities Rulemaking Board) that apply to municipal securities transactions and their supervision.  </w:t>
      </w:r>
      <w:r w:rsidR="000C099C" w:rsidRPr="00671FC0">
        <w:rPr>
          <w:rFonts w:ascii="Times New Roman" w:hAnsi="Times New Roman" w:cs="Times New Roman"/>
          <w:color w:val="000000"/>
          <w:sz w:val="24"/>
          <w:szCs w:val="24"/>
        </w:rPr>
        <w:t>Morris Monroe shall have overall responsibility for the supervision of all municipal securities transactions</w:t>
      </w:r>
      <w:r w:rsidR="00B1099B" w:rsidRPr="00671FC0">
        <w:rPr>
          <w:rFonts w:ascii="Times New Roman" w:hAnsi="Times New Roman" w:cs="Times New Roman"/>
          <w:color w:val="000000"/>
          <w:sz w:val="24"/>
          <w:szCs w:val="24"/>
        </w:rPr>
        <w:t xml:space="preserve"> as the Designated Municipal Principal (DMP)</w:t>
      </w:r>
      <w:r w:rsidR="000C099C" w:rsidRPr="00671FC0">
        <w:rPr>
          <w:rFonts w:ascii="Times New Roman" w:hAnsi="Times New Roman" w:cs="Times New Roman"/>
          <w:color w:val="000000"/>
          <w:sz w:val="24"/>
          <w:szCs w:val="24"/>
        </w:rPr>
        <w:t xml:space="preserve">.  </w:t>
      </w:r>
      <w:r w:rsidR="0089401B" w:rsidRPr="00671FC0">
        <w:rPr>
          <w:rFonts w:ascii="Times New Roman" w:hAnsi="Times New Roman" w:cs="Times New Roman"/>
          <w:color w:val="000000"/>
          <w:sz w:val="24"/>
          <w:szCs w:val="24"/>
        </w:rPr>
        <w:t>All RRs who solicit orders or sell municipal securities will be qualified as municipal securities representatives.</w:t>
      </w:r>
      <w:r w:rsidR="000C5830">
        <w:rPr>
          <w:rFonts w:ascii="Times New Roman" w:hAnsi="Times New Roman" w:cs="Times New Roman"/>
          <w:color w:val="000000"/>
          <w:sz w:val="24"/>
          <w:szCs w:val="24"/>
        </w:rPr>
        <w:t xml:space="preserve"> </w:t>
      </w:r>
      <w:r w:rsidR="0089401B" w:rsidRPr="00671FC0">
        <w:rPr>
          <w:rFonts w:ascii="Times New Roman" w:hAnsi="Times New Roman" w:cs="Times New Roman"/>
          <w:color w:val="000000"/>
          <w:sz w:val="24"/>
          <w:szCs w:val="24"/>
        </w:rPr>
        <w:t xml:space="preserve"> </w:t>
      </w:r>
      <w:r w:rsidR="000C5830" w:rsidRPr="00671FC0">
        <w:rPr>
          <w:rFonts w:ascii="Times New Roman" w:hAnsi="Times New Roman" w:cs="Times New Roman"/>
          <w:color w:val="000000"/>
          <w:sz w:val="24"/>
          <w:szCs w:val="24"/>
        </w:rPr>
        <w:t>Generally, individuals who successfully complete the Series 7 General Securities Sales examination will satisfy this requirement.</w:t>
      </w:r>
      <w:r w:rsidR="000C5830">
        <w:rPr>
          <w:rFonts w:ascii="Times New Roman" w:hAnsi="Times New Roman" w:cs="Times New Roman"/>
          <w:color w:val="000000"/>
          <w:sz w:val="24"/>
          <w:szCs w:val="24"/>
        </w:rPr>
        <w:t xml:space="preserve">  </w:t>
      </w:r>
      <w:r w:rsidR="000C5830" w:rsidRPr="007D59F6">
        <w:rPr>
          <w:rFonts w:ascii="Times New Roman" w:hAnsi="Times New Roman" w:cs="Times New Roman"/>
          <w:sz w:val="24"/>
          <w:szCs w:val="24"/>
        </w:rPr>
        <w:t>After November 7, 2011, individuals who pass a Series 7 exam will be limited exclusively to customer sales and purchases of municipal securities and their designated supervisor is responsible for ensuring they do not exceed those limited activities.  An individual seeking to engage in a wider range of transactions in municipal securities, including sales, trading, underwriting, and other non-supervisory municipal activities will be required to pass the Series 52 exam</w:t>
      </w:r>
      <w:r w:rsidR="000C5830">
        <w:rPr>
          <w:rFonts w:ascii="Times New Roman" w:hAnsi="Times New Roman" w:cs="Times New Roman"/>
          <w:sz w:val="24"/>
          <w:szCs w:val="24"/>
        </w:rPr>
        <w:t>.</w:t>
      </w:r>
    </w:p>
    <w:p w14:paraId="4631C59C" w14:textId="7E76DC71" w:rsidR="00BC3F9E" w:rsidRDefault="00BC3F9E" w:rsidP="000C5830">
      <w:pPr>
        <w:pStyle w:val="Normal1"/>
        <w:shd w:val="clear" w:color="auto" w:fill="FFFFFF"/>
        <w:spacing w:before="0" w:after="0" w:afterAutospacing="0" w:line="240" w:lineRule="auto"/>
        <w:rPr>
          <w:rFonts w:ascii="Times New Roman" w:hAnsi="Times New Roman" w:cs="Times New Roman"/>
          <w:sz w:val="24"/>
          <w:szCs w:val="24"/>
        </w:rPr>
      </w:pPr>
    </w:p>
    <w:p w14:paraId="15408906" w14:textId="49C8DDAB" w:rsidR="00BC3F9E" w:rsidRPr="007D29D7" w:rsidRDefault="00BC3F9E" w:rsidP="00BC3F9E">
      <w:pPr>
        <w:jc w:val="both"/>
        <w:rPr>
          <w:sz w:val="24"/>
          <w:szCs w:val="24"/>
        </w:rPr>
      </w:pPr>
      <w:r w:rsidRPr="007D29D7">
        <w:rPr>
          <w:spacing w:val="8"/>
          <w:sz w:val="24"/>
          <w:szCs w:val="24"/>
          <w:shd w:val="clear" w:color="auto" w:fill="FFFFFF"/>
        </w:rPr>
        <w:t xml:space="preserve">References to "suitability" apply only to those recommendations NOT subject to Regulation Best Interest (BI) which applies to retail customers and is addressed in a separate chapter by that name. </w:t>
      </w:r>
      <w:r w:rsidR="00D560D2" w:rsidRPr="007D29D7">
        <w:rPr>
          <w:spacing w:val="8"/>
          <w:sz w:val="24"/>
          <w:szCs w:val="24"/>
          <w:shd w:val="clear" w:color="auto" w:fill="FFFFFF"/>
        </w:rPr>
        <w:t xml:space="preserve">MSRB Rule G-19 (Suitability) only applies in circumstances where Regulation BI does not apply and applies to recommendations to customers by bank dealers.  </w:t>
      </w:r>
      <w:r w:rsidRPr="007D29D7">
        <w:rPr>
          <w:spacing w:val="8"/>
          <w:sz w:val="24"/>
          <w:szCs w:val="24"/>
          <w:shd w:val="clear" w:color="auto" w:fill="FFFFFF"/>
        </w:rPr>
        <w:t>Suitability requirements apply to entities and institutions (</w:t>
      </w:r>
      <w:r w:rsidRPr="007D29D7">
        <w:rPr>
          <w:i/>
          <w:iCs/>
          <w:spacing w:val="8"/>
          <w:sz w:val="24"/>
          <w:szCs w:val="24"/>
          <w:shd w:val="clear" w:color="auto" w:fill="FFFFFF"/>
        </w:rPr>
        <w:t>e.g.,</w:t>
      </w:r>
      <w:r w:rsidRPr="007D29D7">
        <w:rPr>
          <w:spacing w:val="8"/>
          <w:sz w:val="24"/>
          <w:szCs w:val="24"/>
          <w:shd w:val="clear" w:color="auto" w:fill="FFFFFF"/>
        </w:rPr>
        <w:t> pension funds) and natural persons who will not use recommendations primarily for personal, family, or household purposes (</w:t>
      </w:r>
      <w:r w:rsidRPr="007D29D7">
        <w:rPr>
          <w:i/>
          <w:iCs/>
          <w:spacing w:val="8"/>
          <w:sz w:val="24"/>
          <w:szCs w:val="24"/>
          <w:shd w:val="clear" w:color="auto" w:fill="FFFFFF"/>
        </w:rPr>
        <w:t>e.g.,</w:t>
      </w:r>
      <w:r w:rsidRPr="007D29D7">
        <w:rPr>
          <w:spacing w:val="8"/>
          <w:sz w:val="24"/>
          <w:szCs w:val="24"/>
          <w:shd w:val="clear" w:color="auto" w:fill="FFFFFF"/>
        </w:rPr>
        <w:t> small business owners and charitable trusts). Refer to the Section 5.7 </w:t>
      </w:r>
      <w:r w:rsidRPr="007D29D7">
        <w:rPr>
          <w:i/>
          <w:iCs/>
          <w:spacing w:val="8"/>
          <w:sz w:val="24"/>
          <w:szCs w:val="24"/>
          <w:shd w:val="clear" w:color="auto" w:fill="FFFFFF"/>
        </w:rPr>
        <w:t>REGULATION BEST INTEREST (BI)</w:t>
      </w:r>
      <w:r w:rsidRPr="007D29D7">
        <w:rPr>
          <w:spacing w:val="8"/>
          <w:sz w:val="24"/>
          <w:szCs w:val="24"/>
          <w:shd w:val="clear" w:color="auto" w:fill="FFFFFF"/>
        </w:rPr>
        <w:t> for requirements when dealing with retail customers.</w:t>
      </w:r>
    </w:p>
    <w:p w14:paraId="708665CD" w14:textId="77777777" w:rsidR="000C5830" w:rsidRDefault="000C5830" w:rsidP="000C5830">
      <w:pPr>
        <w:pStyle w:val="Normal1"/>
        <w:shd w:val="clear" w:color="auto" w:fill="FFFFFF"/>
        <w:spacing w:before="0" w:after="0" w:afterAutospacing="0" w:line="240" w:lineRule="auto"/>
        <w:rPr>
          <w:rFonts w:ascii="Times New Roman" w:hAnsi="Times New Roman" w:cs="Times New Roman"/>
          <w:color w:val="000000"/>
          <w:sz w:val="24"/>
          <w:szCs w:val="24"/>
        </w:rPr>
      </w:pPr>
    </w:p>
    <w:p w14:paraId="6EFC6E8B" w14:textId="77777777" w:rsidR="000C5830" w:rsidRDefault="000C5830" w:rsidP="000C5830">
      <w:pPr>
        <w:pStyle w:val="Heading3"/>
      </w:pPr>
      <w:r>
        <w:t>1</w:t>
      </w:r>
      <w:r w:rsidR="00174005">
        <w:t>3</w:t>
      </w:r>
      <w:r>
        <w:t>.1.1 Qualifications</w:t>
      </w:r>
    </w:p>
    <w:p w14:paraId="6529BB1D" w14:textId="77777777" w:rsidR="000C5830" w:rsidRPr="00174005" w:rsidRDefault="004D02D6" w:rsidP="000C5830">
      <w:pPr>
        <w:ind w:left="270"/>
        <w:rPr>
          <w:sz w:val="24"/>
          <w:szCs w:val="24"/>
        </w:rPr>
      </w:pPr>
      <w:r w:rsidRPr="00AF3D2D">
        <w:rPr>
          <w:sz w:val="24"/>
          <w:szCs w:val="24"/>
        </w:rPr>
        <w:t xml:space="preserve">Pursuant to </w:t>
      </w:r>
      <w:r w:rsidRPr="00AF3D2D">
        <w:rPr>
          <w:b/>
          <w:sz w:val="24"/>
          <w:szCs w:val="24"/>
        </w:rPr>
        <w:t>Rule G-3</w:t>
      </w:r>
      <w:r w:rsidR="00C40B09" w:rsidRPr="00AF3D2D">
        <w:rPr>
          <w:b/>
          <w:sz w:val="24"/>
          <w:szCs w:val="24"/>
        </w:rPr>
        <w:t xml:space="preserve"> </w:t>
      </w:r>
      <w:r w:rsidR="00C40B09" w:rsidRPr="00AF3D2D">
        <w:rPr>
          <w:b/>
          <w:i/>
        </w:rPr>
        <w:t>(</w:t>
      </w:r>
      <w:proofErr w:type="gramStart"/>
      <w:r w:rsidR="00C40B09" w:rsidRPr="00AF3D2D">
        <w:rPr>
          <w:b/>
          <w:i/>
        </w:rPr>
        <w:t>eff</w:t>
      </w:r>
      <w:proofErr w:type="gramEnd"/>
      <w:r w:rsidR="00C40B09" w:rsidRPr="00AF3D2D">
        <w:rPr>
          <w:b/>
          <w:i/>
        </w:rPr>
        <w:t xml:space="preserve"> 09/30/14)</w:t>
      </w:r>
      <w:r w:rsidRPr="00AF3D2D">
        <w:rPr>
          <w:sz w:val="24"/>
          <w:szCs w:val="24"/>
        </w:rPr>
        <w:t>, e</w:t>
      </w:r>
      <w:r w:rsidR="000C5830" w:rsidRPr="00AF3D2D">
        <w:rPr>
          <w:sz w:val="24"/>
          <w:szCs w:val="24"/>
        </w:rPr>
        <w:t>mployees engaged in municipal activities must be registered as outlined in this section. References to "sales" also include the solicitation of sales to and/or purchases from customers.</w:t>
      </w:r>
      <w:r w:rsidR="0086052B">
        <w:rPr>
          <w:sz w:val="24"/>
          <w:szCs w:val="24"/>
        </w:rPr>
        <w:t xml:space="preserve">  </w:t>
      </w:r>
      <w:r w:rsidR="0086052B" w:rsidRPr="00174005">
        <w:rPr>
          <w:sz w:val="24"/>
          <w:szCs w:val="24"/>
        </w:rPr>
        <w:t>Company is not required to have two municipal securities principals since it is engaged in general securities business and is a member of FINRA.</w:t>
      </w:r>
    </w:p>
    <w:p w14:paraId="0CFC21AD" w14:textId="77777777" w:rsidR="000C5830" w:rsidRPr="00174005" w:rsidRDefault="000C5830" w:rsidP="000C5830">
      <w:pPr>
        <w:ind w:left="270"/>
        <w:rPr>
          <w:sz w:val="24"/>
          <w:szCs w:val="24"/>
        </w:rPr>
      </w:pPr>
    </w:p>
    <w:p w14:paraId="3FA4B108" w14:textId="77777777" w:rsidR="000C5830" w:rsidRPr="00AF3D2D" w:rsidRDefault="000C5830" w:rsidP="000C5830">
      <w:pPr>
        <w:pStyle w:val="Normal1"/>
        <w:shd w:val="clear" w:color="auto" w:fill="FFFFFF"/>
        <w:spacing w:before="0" w:after="0" w:afterAutospacing="0" w:line="240" w:lineRule="auto"/>
        <w:ind w:left="270"/>
        <w:rPr>
          <w:rFonts w:ascii="Times New Roman" w:hAnsi="Times New Roman" w:cs="Times New Roman"/>
          <w:b/>
          <w:sz w:val="24"/>
          <w:szCs w:val="24"/>
        </w:rPr>
      </w:pPr>
      <w:r w:rsidRPr="00AF3D2D">
        <w:rPr>
          <w:rFonts w:ascii="Times New Roman" w:hAnsi="Times New Roman" w:cs="Times New Roman"/>
          <w:b/>
          <w:sz w:val="24"/>
          <w:szCs w:val="24"/>
        </w:rPr>
        <w:t>Municipal Securities Representative</w:t>
      </w:r>
    </w:p>
    <w:p w14:paraId="2C2848D0" w14:textId="77777777" w:rsidR="000C5830" w:rsidRPr="00E63519" w:rsidRDefault="000C5830" w:rsidP="000C5830">
      <w:pPr>
        <w:pStyle w:val="Normal1"/>
        <w:shd w:val="clear" w:color="auto" w:fill="FFFFFF"/>
        <w:spacing w:before="0" w:after="0" w:afterAutospacing="0" w:line="240" w:lineRule="auto"/>
        <w:ind w:left="270"/>
        <w:rPr>
          <w:rFonts w:ascii="Times New Roman" w:hAnsi="Times New Roman" w:cs="Times New Roman"/>
          <w:b/>
          <w:color w:val="FF0000"/>
          <w:sz w:val="24"/>
          <w:szCs w:val="24"/>
        </w:rPr>
      </w:pPr>
      <w:r w:rsidRPr="00AF3D2D">
        <w:rPr>
          <w:rFonts w:ascii="Times New Roman" w:hAnsi="Times New Roman" w:cs="Times New Roman"/>
          <w:sz w:val="24"/>
          <w:szCs w:val="24"/>
        </w:rPr>
        <w:t xml:space="preserve">All RRs who solicit orders or sell municipal securities will be qualified as municipal securities representatives. Generally, individuals who successfully complete the Series 7 General Securities Sales examination </w:t>
      </w:r>
      <w:r w:rsidR="00600FB5" w:rsidRPr="00174005">
        <w:rPr>
          <w:rFonts w:ascii="Times New Roman" w:hAnsi="Times New Roman" w:cs="Times New Roman"/>
          <w:sz w:val="24"/>
          <w:szCs w:val="24"/>
        </w:rPr>
        <w:t xml:space="preserve">or </w:t>
      </w:r>
      <w:r w:rsidR="00E63519" w:rsidRPr="00174005">
        <w:rPr>
          <w:rFonts w:ascii="Times New Roman" w:hAnsi="Times New Roman" w:cs="Times New Roman"/>
          <w:sz w:val="24"/>
          <w:szCs w:val="24"/>
        </w:rPr>
        <w:t xml:space="preserve">the Securities Industry Essentials Exam (SIE) and the Series 52 Municipal Securities Representative exam </w:t>
      </w:r>
      <w:r w:rsidR="00E63519" w:rsidRPr="00AF3D2D">
        <w:rPr>
          <w:rFonts w:ascii="Times New Roman" w:hAnsi="Times New Roman" w:cs="Times New Roman"/>
          <w:sz w:val="24"/>
          <w:szCs w:val="24"/>
        </w:rPr>
        <w:t>will satisfy this requirement</w:t>
      </w:r>
      <w:r w:rsidR="00E63519">
        <w:rPr>
          <w:rFonts w:ascii="Times New Roman" w:hAnsi="Times New Roman" w:cs="Times New Roman"/>
          <w:sz w:val="24"/>
          <w:szCs w:val="24"/>
        </w:rPr>
        <w:t>.</w:t>
      </w:r>
    </w:p>
    <w:p w14:paraId="207E234A" w14:textId="77777777" w:rsidR="00DF5084" w:rsidRPr="00AF3D2D" w:rsidRDefault="00DF5084" w:rsidP="000C5830">
      <w:pPr>
        <w:pStyle w:val="Normal1"/>
        <w:shd w:val="clear" w:color="auto" w:fill="FFFFFF"/>
        <w:spacing w:before="0" w:after="0" w:afterAutospacing="0" w:line="240" w:lineRule="auto"/>
        <w:ind w:left="270"/>
        <w:jc w:val="both"/>
        <w:rPr>
          <w:rFonts w:ascii="Times New Roman" w:hAnsi="Times New Roman" w:cs="Times New Roman"/>
          <w:sz w:val="24"/>
          <w:szCs w:val="24"/>
        </w:rPr>
      </w:pPr>
    </w:p>
    <w:p w14:paraId="221C8B8D" w14:textId="77777777" w:rsidR="00DF5084" w:rsidRPr="00AF3D2D" w:rsidRDefault="000C5830" w:rsidP="000C5830">
      <w:pPr>
        <w:pStyle w:val="Normal1"/>
        <w:shd w:val="clear" w:color="auto" w:fill="FFFFFF"/>
        <w:spacing w:before="0" w:after="0" w:afterAutospacing="0" w:line="240" w:lineRule="auto"/>
        <w:ind w:left="270"/>
        <w:jc w:val="both"/>
        <w:rPr>
          <w:rFonts w:ascii="Times New Roman" w:hAnsi="Times New Roman" w:cs="Times New Roman"/>
          <w:b/>
          <w:sz w:val="24"/>
          <w:szCs w:val="24"/>
        </w:rPr>
      </w:pPr>
      <w:r w:rsidRPr="00AF3D2D">
        <w:rPr>
          <w:rFonts w:ascii="Times New Roman" w:hAnsi="Times New Roman" w:cs="Times New Roman"/>
          <w:b/>
          <w:sz w:val="24"/>
          <w:szCs w:val="24"/>
        </w:rPr>
        <w:t>Limited Representative</w:t>
      </w:r>
    </w:p>
    <w:p w14:paraId="3C226682" w14:textId="77777777" w:rsidR="000C5830" w:rsidRPr="00AF3D2D" w:rsidRDefault="000C5830" w:rsidP="000C5830">
      <w:pPr>
        <w:pStyle w:val="Normal5"/>
        <w:spacing w:before="0" w:beforeAutospacing="0" w:after="0" w:afterAutospacing="0"/>
        <w:ind w:left="270"/>
      </w:pPr>
      <w:r w:rsidRPr="00AF3D2D">
        <w:t xml:space="preserve">Municipal Securities Sales Limited Representatives are limited exclusively to handling customer sales and purchases of municipal securities. The term "limited representative - investment company and variable contracts products" means a municipal securities </w:t>
      </w:r>
      <w:r w:rsidRPr="00AF3D2D">
        <w:lastRenderedPageBreak/>
        <w:t>representative limited exclusively to the sale and purchase of municipal fund securities. Limited representatives may not engage in other municipal activities such as trading or underwriting. For offices where RRs are qualified as Limited Representatives, the designated supervisor is responsible for determining that those RRs do not exceed the limited activities permitted under this registration status.</w:t>
      </w:r>
    </w:p>
    <w:p w14:paraId="0EC34B3E" w14:textId="77777777" w:rsidR="000C5830" w:rsidRPr="00AF3D2D" w:rsidRDefault="000C5830" w:rsidP="000C5830">
      <w:pPr>
        <w:pStyle w:val="Normal5"/>
        <w:ind w:left="270"/>
      </w:pPr>
      <w:r w:rsidRPr="00AF3D2D">
        <w:t xml:space="preserve">The </w:t>
      </w:r>
      <w:r w:rsidR="00E63519" w:rsidRPr="00174005">
        <w:t xml:space="preserve">SIE and </w:t>
      </w:r>
      <w:r w:rsidRPr="00AF3D2D">
        <w:t>Series 7 examination qualifies a Municipal Securities Sales Limited Representative.</w:t>
      </w:r>
    </w:p>
    <w:p w14:paraId="752A3DF8" w14:textId="77777777" w:rsidR="000C5830" w:rsidRPr="00AF3D2D" w:rsidRDefault="000C5830" w:rsidP="000C5830">
      <w:pPr>
        <w:pStyle w:val="Normal5"/>
        <w:ind w:left="270"/>
      </w:pPr>
      <w:r w:rsidRPr="00AF3D2D">
        <w:t xml:space="preserve">The </w:t>
      </w:r>
      <w:r w:rsidR="00E63519" w:rsidRPr="00174005">
        <w:t xml:space="preserve">SIE and </w:t>
      </w:r>
      <w:r w:rsidRPr="00AF3D2D">
        <w:t>Series 6 examination qualifies an Investment Company/Variable Contracts Limited Representative.</w:t>
      </w:r>
    </w:p>
    <w:p w14:paraId="2ACF5542" w14:textId="77777777" w:rsidR="00D1624D" w:rsidRDefault="00D1624D" w:rsidP="00D1624D">
      <w:pPr>
        <w:pStyle w:val="Normal5"/>
        <w:shd w:val="clear" w:color="auto" w:fill="FFFFFF"/>
        <w:spacing w:before="0" w:beforeAutospacing="0" w:after="0" w:afterAutospacing="0"/>
        <w:ind w:left="274"/>
        <w:rPr>
          <w:b/>
        </w:rPr>
      </w:pPr>
      <w:r>
        <w:rPr>
          <w:b/>
        </w:rPr>
        <w:t>Municipal Advisors</w:t>
      </w:r>
    </w:p>
    <w:p w14:paraId="6F068DE1" w14:textId="77777777" w:rsidR="00D1624D" w:rsidRPr="00767FD6" w:rsidRDefault="005451F2" w:rsidP="00D1624D">
      <w:pPr>
        <w:pStyle w:val="Normal5"/>
        <w:shd w:val="clear" w:color="auto" w:fill="FFFFFF"/>
        <w:spacing w:before="0" w:beforeAutospacing="0" w:after="0" w:afterAutospacing="0"/>
        <w:ind w:left="274"/>
        <w:rPr>
          <w:b/>
        </w:rPr>
      </w:pPr>
      <w:r w:rsidRPr="00767FD6">
        <w:rPr>
          <w:lang w:val="en"/>
        </w:rPr>
        <w:t>Municipal Advisors must be regi</w:t>
      </w:r>
      <w:r w:rsidR="003F5B25">
        <w:rPr>
          <w:lang w:val="en"/>
        </w:rPr>
        <w:t>s</w:t>
      </w:r>
      <w:r w:rsidRPr="00767FD6">
        <w:rPr>
          <w:lang w:val="en"/>
        </w:rPr>
        <w:t>tered with a qualifying exam as well.  These are n</w:t>
      </w:r>
      <w:r w:rsidR="00D1624D" w:rsidRPr="00767FD6">
        <w:rPr>
          <w:lang w:val="en"/>
        </w:rPr>
        <w:t>atural person</w:t>
      </w:r>
      <w:r w:rsidRPr="00767FD6">
        <w:rPr>
          <w:lang w:val="en"/>
        </w:rPr>
        <w:t>s</w:t>
      </w:r>
      <w:r w:rsidR="00D1624D" w:rsidRPr="00767FD6">
        <w:rPr>
          <w:lang w:val="en"/>
        </w:rPr>
        <w:t xml:space="preserve"> associated with a municipal advisor who engages in </w:t>
      </w:r>
      <w:r w:rsidR="00EC6BAF" w:rsidRPr="00767FD6">
        <w:rPr>
          <w:lang w:val="en"/>
        </w:rPr>
        <w:t>provid</w:t>
      </w:r>
      <w:r w:rsidR="00E93191" w:rsidRPr="00767FD6">
        <w:rPr>
          <w:lang w:val="en"/>
        </w:rPr>
        <w:t>ing</w:t>
      </w:r>
      <w:r w:rsidR="00EC6BAF" w:rsidRPr="00767FD6">
        <w:rPr>
          <w:lang w:val="en"/>
        </w:rPr>
        <w:t xml:space="preserve"> advice to a munic</w:t>
      </w:r>
      <w:r w:rsidR="003F5B25">
        <w:rPr>
          <w:lang w:val="en"/>
        </w:rPr>
        <w:t>i</w:t>
      </w:r>
      <w:r w:rsidR="00EC6BAF" w:rsidRPr="00767FD6">
        <w:rPr>
          <w:lang w:val="en"/>
        </w:rPr>
        <w:t>pal entity or obli</w:t>
      </w:r>
      <w:r w:rsidR="003F5B25">
        <w:rPr>
          <w:lang w:val="en"/>
        </w:rPr>
        <w:t>g</w:t>
      </w:r>
      <w:r w:rsidR="00EC6BAF" w:rsidRPr="00767FD6">
        <w:rPr>
          <w:lang w:val="en"/>
        </w:rPr>
        <w:t>ated person regarding munic</w:t>
      </w:r>
      <w:r w:rsidR="003F5B25">
        <w:rPr>
          <w:lang w:val="en"/>
        </w:rPr>
        <w:t>i</w:t>
      </w:r>
      <w:r w:rsidR="00EC6BAF" w:rsidRPr="00767FD6">
        <w:rPr>
          <w:lang w:val="en"/>
        </w:rPr>
        <w:t>pal financial products</w:t>
      </w:r>
      <w:r w:rsidR="003F5B25">
        <w:rPr>
          <w:lang w:val="en"/>
        </w:rPr>
        <w:t xml:space="preserve"> </w:t>
      </w:r>
      <w:r w:rsidR="00EC6BAF" w:rsidRPr="00767FD6">
        <w:rPr>
          <w:lang w:val="en"/>
        </w:rPr>
        <w:t>or the issuance of munic</w:t>
      </w:r>
      <w:r w:rsidR="003F5B25">
        <w:rPr>
          <w:lang w:val="en"/>
        </w:rPr>
        <w:t>i</w:t>
      </w:r>
      <w:r w:rsidR="00EC6BAF" w:rsidRPr="00767FD6">
        <w:rPr>
          <w:lang w:val="en"/>
        </w:rPr>
        <w:t>pal securities. It does not include</w:t>
      </w:r>
      <w:r w:rsidR="00D1624D" w:rsidRPr="00767FD6">
        <w:rPr>
          <w:lang w:val="en"/>
        </w:rPr>
        <w:t xml:space="preserve"> person</w:t>
      </w:r>
      <w:r w:rsidR="00EC6BAF" w:rsidRPr="00767FD6">
        <w:rPr>
          <w:lang w:val="en"/>
        </w:rPr>
        <w:t>s</w:t>
      </w:r>
      <w:r w:rsidR="00D1624D" w:rsidRPr="00767FD6">
        <w:rPr>
          <w:lang w:val="en"/>
        </w:rPr>
        <w:t xml:space="preserve"> performing only clerical, administrative, support or similar functions.  </w:t>
      </w:r>
      <w:r w:rsidR="00D1624D" w:rsidRPr="00767FD6">
        <w:t>Municipal advisors are required to deal fairly with all persons and may not engage in any deceptive, dishonest, or unfair practice.</w:t>
      </w:r>
      <w:r w:rsidR="00EC6BAF" w:rsidRPr="00767FD6">
        <w:t xml:space="preserve">  Company does not engage in such activities.</w:t>
      </w:r>
    </w:p>
    <w:p w14:paraId="697DE6D3" w14:textId="77777777" w:rsidR="002131C9" w:rsidRPr="00AF3D2D" w:rsidRDefault="002131C9" w:rsidP="000C5830">
      <w:pPr>
        <w:pStyle w:val="Normal1"/>
        <w:shd w:val="clear" w:color="auto" w:fill="FFFFFF"/>
        <w:spacing w:before="0" w:after="0" w:afterAutospacing="0" w:line="240" w:lineRule="auto"/>
        <w:ind w:left="270"/>
        <w:jc w:val="both"/>
        <w:rPr>
          <w:rFonts w:ascii="Times New Roman" w:hAnsi="Times New Roman" w:cs="Times New Roman"/>
          <w:sz w:val="24"/>
          <w:szCs w:val="24"/>
        </w:rPr>
      </w:pPr>
    </w:p>
    <w:p w14:paraId="1E0D10AF" w14:textId="77777777" w:rsidR="00DF5084" w:rsidRPr="00AF3D2D" w:rsidRDefault="00DF5084" w:rsidP="00936FEE">
      <w:pPr>
        <w:pStyle w:val="Heading2"/>
      </w:pPr>
      <w:r w:rsidRPr="00AF3D2D">
        <w:t>1</w:t>
      </w:r>
      <w:r w:rsidR="00174005">
        <w:t>3</w:t>
      </w:r>
      <w:r w:rsidRPr="00AF3D2D">
        <w:t>.2 Compliance Chart</w:t>
      </w:r>
    </w:p>
    <w:tbl>
      <w:tblPr>
        <w:tblW w:w="5222" w:type="pct"/>
        <w:tblCellSpacing w:w="0" w:type="dxa"/>
        <w:tblInd w:w="-1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24"/>
        <w:gridCol w:w="7660"/>
      </w:tblGrid>
      <w:tr w:rsidR="00AF3D2D" w:rsidRPr="00AF3D2D" w14:paraId="1BE567B7" w14:textId="77777777" w:rsidTr="00220A6B">
        <w:trPr>
          <w:tblCellSpacing w:w="0" w:type="dxa"/>
        </w:trPr>
        <w:tc>
          <w:tcPr>
            <w:tcW w:w="1045" w:type="pct"/>
            <w:tcBorders>
              <w:top w:val="outset" w:sz="6" w:space="0" w:color="auto"/>
              <w:left w:val="outset" w:sz="6" w:space="0" w:color="auto"/>
              <w:bottom w:val="outset" w:sz="6" w:space="0" w:color="auto"/>
              <w:right w:val="outset" w:sz="6" w:space="0" w:color="auto"/>
            </w:tcBorders>
            <w:vAlign w:val="center"/>
          </w:tcPr>
          <w:p w14:paraId="7645CFDB" w14:textId="77777777" w:rsidR="00DF5084" w:rsidRPr="00AF3D2D" w:rsidRDefault="00DF5084" w:rsidP="004356E7">
            <w:pPr>
              <w:jc w:val="center"/>
              <w:rPr>
                <w:b/>
                <w:bCs/>
                <w:spacing w:val="8"/>
                <w:sz w:val="24"/>
                <w:szCs w:val="24"/>
              </w:rPr>
            </w:pPr>
            <w:r w:rsidRPr="00AF3D2D">
              <w:rPr>
                <w:b/>
                <w:bCs/>
                <w:spacing w:val="8"/>
                <w:sz w:val="24"/>
                <w:szCs w:val="24"/>
              </w:rPr>
              <w:t>Responsibility</w:t>
            </w:r>
          </w:p>
        </w:tc>
        <w:tc>
          <w:tcPr>
            <w:tcW w:w="3955" w:type="pct"/>
            <w:tcBorders>
              <w:top w:val="outset" w:sz="6" w:space="0" w:color="auto"/>
              <w:left w:val="outset" w:sz="6" w:space="0" w:color="auto"/>
              <w:bottom w:val="outset" w:sz="6" w:space="0" w:color="auto"/>
              <w:right w:val="outset" w:sz="6" w:space="0" w:color="auto"/>
            </w:tcBorders>
            <w:vAlign w:val="center"/>
          </w:tcPr>
          <w:p w14:paraId="6F43ECEE" w14:textId="77777777" w:rsidR="00DF5084" w:rsidRPr="00AF3D2D" w:rsidRDefault="00DF5084" w:rsidP="00C1728B">
            <w:pPr>
              <w:numPr>
                <w:ilvl w:val="0"/>
                <w:numId w:val="76"/>
              </w:numPr>
              <w:rPr>
                <w:spacing w:val="8"/>
                <w:sz w:val="24"/>
                <w:szCs w:val="24"/>
              </w:rPr>
            </w:pPr>
            <w:r w:rsidRPr="00AF3D2D">
              <w:rPr>
                <w:spacing w:val="8"/>
                <w:sz w:val="24"/>
                <w:szCs w:val="24"/>
              </w:rPr>
              <w:t>Morris Monroe – Municipal Principal</w:t>
            </w:r>
            <w:r w:rsidR="00125656">
              <w:rPr>
                <w:spacing w:val="8"/>
                <w:sz w:val="24"/>
                <w:szCs w:val="24"/>
              </w:rPr>
              <w:t xml:space="preserve"> or Designated Supervisor if applicable</w:t>
            </w:r>
          </w:p>
        </w:tc>
      </w:tr>
      <w:tr w:rsidR="00AF3D2D" w:rsidRPr="00AF3D2D" w14:paraId="1A7EF3EB" w14:textId="77777777" w:rsidTr="00220A6B">
        <w:trPr>
          <w:tblCellSpacing w:w="0" w:type="dxa"/>
        </w:trPr>
        <w:tc>
          <w:tcPr>
            <w:tcW w:w="1045" w:type="pct"/>
            <w:tcBorders>
              <w:top w:val="outset" w:sz="6" w:space="0" w:color="auto"/>
              <w:left w:val="outset" w:sz="6" w:space="0" w:color="auto"/>
              <w:bottom w:val="outset" w:sz="6" w:space="0" w:color="auto"/>
              <w:right w:val="outset" w:sz="6" w:space="0" w:color="auto"/>
            </w:tcBorders>
            <w:vAlign w:val="center"/>
          </w:tcPr>
          <w:p w14:paraId="4AC897B2" w14:textId="77777777" w:rsidR="00DF5084" w:rsidRPr="00AF3D2D" w:rsidRDefault="00DF5084" w:rsidP="004356E7">
            <w:pPr>
              <w:jc w:val="center"/>
              <w:rPr>
                <w:b/>
                <w:bCs/>
                <w:spacing w:val="8"/>
                <w:sz w:val="24"/>
                <w:szCs w:val="24"/>
              </w:rPr>
            </w:pPr>
            <w:r w:rsidRPr="00AF3D2D">
              <w:rPr>
                <w:b/>
                <w:bCs/>
                <w:spacing w:val="8"/>
                <w:sz w:val="24"/>
                <w:szCs w:val="24"/>
              </w:rPr>
              <w:t>Statutes</w:t>
            </w:r>
          </w:p>
        </w:tc>
        <w:tc>
          <w:tcPr>
            <w:tcW w:w="3955" w:type="pct"/>
            <w:tcBorders>
              <w:top w:val="outset" w:sz="6" w:space="0" w:color="auto"/>
              <w:left w:val="outset" w:sz="6" w:space="0" w:color="auto"/>
              <w:bottom w:val="outset" w:sz="6" w:space="0" w:color="auto"/>
              <w:right w:val="outset" w:sz="6" w:space="0" w:color="auto"/>
            </w:tcBorders>
            <w:vAlign w:val="center"/>
          </w:tcPr>
          <w:p w14:paraId="0C7054B2" w14:textId="77777777" w:rsidR="00DF5084" w:rsidRPr="00AF3D2D" w:rsidRDefault="00DF5084" w:rsidP="00C1728B">
            <w:pPr>
              <w:numPr>
                <w:ilvl w:val="0"/>
                <w:numId w:val="77"/>
              </w:numPr>
              <w:rPr>
                <w:spacing w:val="8"/>
                <w:sz w:val="24"/>
                <w:szCs w:val="24"/>
              </w:rPr>
            </w:pPr>
            <w:r w:rsidRPr="00AF3D2D">
              <w:rPr>
                <w:spacing w:val="8"/>
                <w:sz w:val="24"/>
                <w:szCs w:val="24"/>
              </w:rPr>
              <w:t>SEC Rule 15c2-12 – disclosure obligations for both initial and secondary offerings</w:t>
            </w:r>
          </w:p>
          <w:p w14:paraId="4C6DD9A6" w14:textId="77777777" w:rsidR="00DF5084" w:rsidRPr="00AF3D2D" w:rsidRDefault="00DF5084" w:rsidP="00C1728B">
            <w:pPr>
              <w:numPr>
                <w:ilvl w:val="0"/>
                <w:numId w:val="77"/>
              </w:numPr>
              <w:rPr>
                <w:spacing w:val="8"/>
                <w:sz w:val="24"/>
                <w:szCs w:val="24"/>
              </w:rPr>
            </w:pPr>
            <w:r w:rsidRPr="00AF3D2D">
              <w:rPr>
                <w:spacing w:val="8"/>
                <w:sz w:val="24"/>
                <w:szCs w:val="24"/>
              </w:rPr>
              <w:t>MSRB Rules</w:t>
            </w:r>
          </w:p>
          <w:p w14:paraId="2D439CDB" w14:textId="77777777" w:rsidR="00DF5084" w:rsidRPr="00AF3D2D" w:rsidRDefault="00DF5084" w:rsidP="00C1728B">
            <w:pPr>
              <w:numPr>
                <w:ilvl w:val="0"/>
                <w:numId w:val="77"/>
              </w:numPr>
              <w:rPr>
                <w:spacing w:val="8"/>
                <w:sz w:val="24"/>
                <w:szCs w:val="24"/>
              </w:rPr>
            </w:pPr>
            <w:r w:rsidRPr="00AF3D2D">
              <w:rPr>
                <w:sz w:val="24"/>
                <w:szCs w:val="24"/>
              </w:rPr>
              <w:t>FINRA Rules 1160 and 3</w:t>
            </w:r>
            <w:r w:rsidR="003A0341" w:rsidRPr="00AF3D2D">
              <w:rPr>
                <w:sz w:val="24"/>
                <w:szCs w:val="24"/>
              </w:rPr>
              <w:t>3</w:t>
            </w:r>
            <w:r w:rsidRPr="00AF3D2D">
              <w:rPr>
                <w:sz w:val="24"/>
                <w:szCs w:val="24"/>
              </w:rPr>
              <w:t>1</w:t>
            </w:r>
            <w:r w:rsidR="003A0341" w:rsidRPr="00AF3D2D">
              <w:rPr>
                <w:sz w:val="24"/>
                <w:szCs w:val="24"/>
              </w:rPr>
              <w:t>0</w:t>
            </w:r>
            <w:r w:rsidRPr="00AF3D2D">
              <w:rPr>
                <w:sz w:val="24"/>
                <w:szCs w:val="24"/>
              </w:rPr>
              <w:t xml:space="preserve"> - AML Compliance Officer</w:t>
            </w:r>
          </w:p>
          <w:p w14:paraId="15E55873" w14:textId="77777777" w:rsidR="00DF5084" w:rsidRPr="00AF3D2D" w:rsidRDefault="00DF5084" w:rsidP="00C1728B">
            <w:pPr>
              <w:numPr>
                <w:ilvl w:val="0"/>
                <w:numId w:val="77"/>
              </w:numPr>
              <w:rPr>
                <w:spacing w:val="8"/>
                <w:sz w:val="24"/>
                <w:szCs w:val="24"/>
              </w:rPr>
            </w:pPr>
            <w:r w:rsidRPr="00AF3D2D">
              <w:rPr>
                <w:sz w:val="24"/>
                <w:szCs w:val="24"/>
              </w:rPr>
              <w:t>FINRA Rule 3011(c) – Testing</w:t>
            </w:r>
          </w:p>
        </w:tc>
      </w:tr>
      <w:tr w:rsidR="00AF3D2D" w:rsidRPr="00AF3D2D" w14:paraId="51C86F33" w14:textId="77777777" w:rsidTr="00220A6B">
        <w:trPr>
          <w:tblCellSpacing w:w="0" w:type="dxa"/>
        </w:trPr>
        <w:tc>
          <w:tcPr>
            <w:tcW w:w="1045" w:type="pct"/>
            <w:tcBorders>
              <w:top w:val="outset" w:sz="6" w:space="0" w:color="auto"/>
              <w:left w:val="outset" w:sz="6" w:space="0" w:color="auto"/>
              <w:bottom w:val="outset" w:sz="6" w:space="0" w:color="auto"/>
              <w:right w:val="outset" w:sz="6" w:space="0" w:color="auto"/>
            </w:tcBorders>
            <w:vAlign w:val="center"/>
          </w:tcPr>
          <w:p w14:paraId="1360446F" w14:textId="77777777" w:rsidR="00DF5084" w:rsidRPr="00AF3D2D" w:rsidRDefault="00DF5084" w:rsidP="004356E7">
            <w:pPr>
              <w:jc w:val="center"/>
              <w:rPr>
                <w:b/>
                <w:bCs/>
                <w:spacing w:val="8"/>
                <w:sz w:val="24"/>
                <w:szCs w:val="24"/>
              </w:rPr>
            </w:pPr>
            <w:r w:rsidRPr="00AF3D2D">
              <w:rPr>
                <w:b/>
                <w:bCs/>
                <w:spacing w:val="8"/>
                <w:sz w:val="24"/>
                <w:szCs w:val="24"/>
              </w:rPr>
              <w:t>Frequency</w:t>
            </w:r>
          </w:p>
        </w:tc>
        <w:tc>
          <w:tcPr>
            <w:tcW w:w="3955" w:type="pct"/>
            <w:tcBorders>
              <w:top w:val="outset" w:sz="6" w:space="0" w:color="auto"/>
              <w:left w:val="outset" w:sz="6" w:space="0" w:color="auto"/>
              <w:bottom w:val="outset" w:sz="6" w:space="0" w:color="auto"/>
              <w:right w:val="outset" w:sz="6" w:space="0" w:color="auto"/>
            </w:tcBorders>
            <w:vAlign w:val="center"/>
          </w:tcPr>
          <w:p w14:paraId="6F2E036E" w14:textId="77777777" w:rsidR="00DF5084" w:rsidRPr="00AF3D2D" w:rsidRDefault="00DF5084" w:rsidP="00C1728B">
            <w:pPr>
              <w:numPr>
                <w:ilvl w:val="0"/>
                <w:numId w:val="77"/>
              </w:numPr>
              <w:rPr>
                <w:spacing w:val="8"/>
                <w:sz w:val="24"/>
                <w:szCs w:val="24"/>
              </w:rPr>
            </w:pPr>
            <w:r w:rsidRPr="00AF3D2D">
              <w:rPr>
                <w:spacing w:val="8"/>
                <w:sz w:val="24"/>
                <w:szCs w:val="24"/>
              </w:rPr>
              <w:t>Ongoing – monitor activity</w:t>
            </w:r>
          </w:p>
          <w:p w14:paraId="53467A23" w14:textId="77777777" w:rsidR="00DF5084" w:rsidRPr="00AF3D2D" w:rsidRDefault="00DF5084" w:rsidP="00C1728B">
            <w:pPr>
              <w:numPr>
                <w:ilvl w:val="0"/>
                <w:numId w:val="77"/>
              </w:numPr>
              <w:rPr>
                <w:spacing w:val="8"/>
                <w:sz w:val="24"/>
                <w:szCs w:val="24"/>
              </w:rPr>
            </w:pPr>
            <w:r w:rsidRPr="00AF3D2D">
              <w:rPr>
                <w:spacing w:val="8"/>
                <w:sz w:val="24"/>
                <w:szCs w:val="24"/>
              </w:rPr>
              <w:t>Ongoing – review new regulations</w:t>
            </w:r>
          </w:p>
        </w:tc>
      </w:tr>
      <w:tr w:rsidR="00AF3D2D" w:rsidRPr="00AF3D2D" w14:paraId="170D7EF3" w14:textId="77777777" w:rsidTr="00220A6B">
        <w:trPr>
          <w:tblCellSpacing w:w="0" w:type="dxa"/>
        </w:trPr>
        <w:tc>
          <w:tcPr>
            <w:tcW w:w="1045" w:type="pct"/>
            <w:tcBorders>
              <w:top w:val="outset" w:sz="6" w:space="0" w:color="auto"/>
              <w:left w:val="outset" w:sz="6" w:space="0" w:color="auto"/>
              <w:bottom w:val="outset" w:sz="6" w:space="0" w:color="auto"/>
              <w:right w:val="outset" w:sz="6" w:space="0" w:color="auto"/>
            </w:tcBorders>
            <w:vAlign w:val="center"/>
          </w:tcPr>
          <w:p w14:paraId="115ED33E" w14:textId="77777777" w:rsidR="00DF5084" w:rsidRPr="00AF3D2D" w:rsidRDefault="00DF5084" w:rsidP="004356E7">
            <w:pPr>
              <w:jc w:val="center"/>
              <w:rPr>
                <w:b/>
                <w:bCs/>
                <w:spacing w:val="8"/>
                <w:sz w:val="24"/>
                <w:szCs w:val="24"/>
              </w:rPr>
            </w:pPr>
            <w:r w:rsidRPr="00AF3D2D">
              <w:rPr>
                <w:b/>
                <w:bCs/>
                <w:spacing w:val="8"/>
                <w:sz w:val="24"/>
                <w:szCs w:val="24"/>
              </w:rPr>
              <w:t>Actions</w:t>
            </w:r>
          </w:p>
        </w:tc>
        <w:tc>
          <w:tcPr>
            <w:tcW w:w="3955" w:type="pct"/>
            <w:tcBorders>
              <w:top w:val="outset" w:sz="6" w:space="0" w:color="auto"/>
              <w:left w:val="outset" w:sz="6" w:space="0" w:color="auto"/>
              <w:bottom w:val="outset" w:sz="6" w:space="0" w:color="auto"/>
              <w:right w:val="outset" w:sz="6" w:space="0" w:color="auto"/>
            </w:tcBorders>
            <w:vAlign w:val="center"/>
          </w:tcPr>
          <w:p w14:paraId="7DDAB195" w14:textId="77777777" w:rsidR="00DF5084" w:rsidRPr="00AF3D2D" w:rsidRDefault="00DF5084" w:rsidP="00C1728B">
            <w:pPr>
              <w:numPr>
                <w:ilvl w:val="0"/>
                <w:numId w:val="80"/>
              </w:numPr>
              <w:rPr>
                <w:spacing w:val="8"/>
                <w:sz w:val="24"/>
                <w:szCs w:val="24"/>
              </w:rPr>
            </w:pPr>
            <w:r w:rsidRPr="00AF3D2D">
              <w:rPr>
                <w:spacing w:val="8"/>
                <w:sz w:val="24"/>
                <w:szCs w:val="24"/>
              </w:rPr>
              <w:t xml:space="preserve">Develop and maintain </w:t>
            </w:r>
            <w:r w:rsidR="007D1B21" w:rsidRPr="00AF3D2D">
              <w:rPr>
                <w:spacing w:val="8"/>
                <w:sz w:val="24"/>
                <w:szCs w:val="24"/>
              </w:rPr>
              <w:t>p</w:t>
            </w:r>
            <w:r w:rsidRPr="00AF3D2D">
              <w:rPr>
                <w:spacing w:val="8"/>
                <w:sz w:val="24"/>
                <w:szCs w:val="24"/>
              </w:rPr>
              <w:t>ro</w:t>
            </w:r>
            <w:r w:rsidR="007D1B21" w:rsidRPr="00AF3D2D">
              <w:rPr>
                <w:spacing w:val="8"/>
                <w:sz w:val="24"/>
                <w:szCs w:val="24"/>
              </w:rPr>
              <w:t>cedures</w:t>
            </w:r>
            <w:r w:rsidRPr="00AF3D2D">
              <w:rPr>
                <w:spacing w:val="8"/>
                <w:sz w:val="24"/>
                <w:szCs w:val="24"/>
              </w:rPr>
              <w:t xml:space="preserve"> </w:t>
            </w:r>
          </w:p>
          <w:p w14:paraId="49DBACF2" w14:textId="77777777" w:rsidR="007D1B21" w:rsidRPr="00AF3D2D" w:rsidRDefault="007D1B21" w:rsidP="00C1728B">
            <w:pPr>
              <w:numPr>
                <w:ilvl w:val="0"/>
                <w:numId w:val="80"/>
              </w:numPr>
              <w:rPr>
                <w:spacing w:val="8"/>
                <w:sz w:val="24"/>
                <w:szCs w:val="24"/>
              </w:rPr>
            </w:pPr>
            <w:r w:rsidRPr="00AF3D2D">
              <w:rPr>
                <w:spacing w:val="8"/>
                <w:sz w:val="24"/>
                <w:szCs w:val="24"/>
              </w:rPr>
              <w:t>Review trades as they occur</w:t>
            </w:r>
          </w:p>
          <w:p w14:paraId="0B8697A9" w14:textId="77777777" w:rsidR="007D1B21" w:rsidRPr="00AF3D2D" w:rsidRDefault="007D1B21" w:rsidP="00C1728B">
            <w:pPr>
              <w:numPr>
                <w:ilvl w:val="0"/>
                <w:numId w:val="80"/>
              </w:numPr>
              <w:rPr>
                <w:spacing w:val="8"/>
                <w:sz w:val="24"/>
                <w:szCs w:val="24"/>
              </w:rPr>
            </w:pPr>
            <w:r w:rsidRPr="00AF3D2D">
              <w:rPr>
                <w:spacing w:val="8"/>
                <w:sz w:val="24"/>
                <w:szCs w:val="24"/>
              </w:rPr>
              <w:t>Review RTRS website</w:t>
            </w:r>
          </w:p>
          <w:p w14:paraId="4574D668" w14:textId="77777777" w:rsidR="00974957" w:rsidRPr="00AF3D2D" w:rsidRDefault="00974957" w:rsidP="00C1728B">
            <w:pPr>
              <w:numPr>
                <w:ilvl w:val="0"/>
                <w:numId w:val="80"/>
              </w:numPr>
              <w:rPr>
                <w:spacing w:val="8"/>
                <w:sz w:val="24"/>
                <w:szCs w:val="24"/>
              </w:rPr>
            </w:pPr>
            <w:r w:rsidRPr="00AF3D2D">
              <w:rPr>
                <w:spacing w:val="8"/>
                <w:sz w:val="24"/>
                <w:szCs w:val="24"/>
              </w:rPr>
              <w:t>Review Inventory positions to ensure zeroed out</w:t>
            </w:r>
            <w:r w:rsidR="00EB3495" w:rsidRPr="00AF3D2D">
              <w:rPr>
                <w:spacing w:val="8"/>
                <w:sz w:val="24"/>
                <w:szCs w:val="24"/>
              </w:rPr>
              <w:t xml:space="preserve"> (Operations)</w:t>
            </w:r>
            <w:r w:rsidRPr="00AF3D2D">
              <w:rPr>
                <w:spacing w:val="8"/>
                <w:sz w:val="24"/>
                <w:szCs w:val="24"/>
              </w:rPr>
              <w:t>.</w:t>
            </w:r>
          </w:p>
          <w:p w14:paraId="2E522D79" w14:textId="77777777" w:rsidR="007D1B21" w:rsidRPr="00AF3D2D" w:rsidRDefault="00523AB9" w:rsidP="00C1728B">
            <w:pPr>
              <w:numPr>
                <w:ilvl w:val="0"/>
                <w:numId w:val="80"/>
              </w:numPr>
              <w:rPr>
                <w:spacing w:val="8"/>
                <w:sz w:val="24"/>
                <w:szCs w:val="24"/>
              </w:rPr>
            </w:pPr>
            <w:r w:rsidRPr="00AF3D2D">
              <w:rPr>
                <w:spacing w:val="8"/>
                <w:sz w:val="24"/>
                <w:szCs w:val="24"/>
              </w:rPr>
              <w:t>An Operations personnel</w:t>
            </w:r>
            <w:r w:rsidR="007D1B21" w:rsidRPr="00AF3D2D">
              <w:rPr>
                <w:spacing w:val="8"/>
                <w:sz w:val="24"/>
                <w:szCs w:val="24"/>
              </w:rPr>
              <w:t xml:space="preserve"> set up for Trade Affirm emails from MSRB</w:t>
            </w:r>
          </w:p>
          <w:p w14:paraId="21A73EB2" w14:textId="77777777" w:rsidR="007D1B21" w:rsidRPr="00AF3D2D" w:rsidRDefault="007D1B21" w:rsidP="00C1728B">
            <w:pPr>
              <w:numPr>
                <w:ilvl w:val="0"/>
                <w:numId w:val="80"/>
              </w:numPr>
              <w:rPr>
                <w:spacing w:val="8"/>
                <w:sz w:val="24"/>
                <w:szCs w:val="24"/>
              </w:rPr>
            </w:pPr>
            <w:r w:rsidRPr="00AF3D2D">
              <w:rPr>
                <w:spacing w:val="8"/>
                <w:sz w:val="24"/>
                <w:szCs w:val="24"/>
              </w:rPr>
              <w:t>Individual training as required</w:t>
            </w:r>
            <w:r w:rsidR="00523AB9" w:rsidRPr="00AF3D2D">
              <w:rPr>
                <w:spacing w:val="8"/>
                <w:sz w:val="24"/>
                <w:szCs w:val="24"/>
              </w:rPr>
              <w:t xml:space="preserve"> and CE records</w:t>
            </w:r>
          </w:p>
          <w:p w14:paraId="281CEDEF" w14:textId="77777777" w:rsidR="00DF5084" w:rsidRPr="00AF3D2D" w:rsidRDefault="00DF5084" w:rsidP="00C1728B">
            <w:pPr>
              <w:numPr>
                <w:ilvl w:val="0"/>
                <w:numId w:val="80"/>
              </w:numPr>
              <w:rPr>
                <w:spacing w:val="8"/>
                <w:sz w:val="24"/>
                <w:szCs w:val="24"/>
              </w:rPr>
            </w:pPr>
            <w:r w:rsidRPr="00AF3D2D">
              <w:rPr>
                <w:spacing w:val="8"/>
                <w:sz w:val="24"/>
                <w:szCs w:val="24"/>
              </w:rPr>
              <w:t xml:space="preserve">Retain required records </w:t>
            </w:r>
          </w:p>
          <w:p w14:paraId="78E0B74C" w14:textId="77777777" w:rsidR="00DF5084" w:rsidRPr="00AF3D2D" w:rsidRDefault="00DF5084" w:rsidP="00C1728B">
            <w:pPr>
              <w:numPr>
                <w:ilvl w:val="0"/>
                <w:numId w:val="80"/>
              </w:numPr>
              <w:rPr>
                <w:spacing w:val="8"/>
                <w:sz w:val="24"/>
                <w:szCs w:val="24"/>
              </w:rPr>
            </w:pPr>
            <w:r w:rsidRPr="00AF3D2D">
              <w:rPr>
                <w:spacing w:val="8"/>
                <w:sz w:val="24"/>
                <w:szCs w:val="24"/>
              </w:rPr>
              <w:t xml:space="preserve">Provide contact information to </w:t>
            </w:r>
            <w:r w:rsidR="007D1B21" w:rsidRPr="00AF3D2D">
              <w:rPr>
                <w:spacing w:val="8"/>
                <w:sz w:val="24"/>
                <w:szCs w:val="24"/>
              </w:rPr>
              <w:t>MSRB annually</w:t>
            </w:r>
            <w:r w:rsidRPr="00AF3D2D">
              <w:rPr>
                <w:spacing w:val="8"/>
                <w:sz w:val="24"/>
                <w:szCs w:val="24"/>
              </w:rPr>
              <w:t xml:space="preserve"> and update contact information if necessary</w:t>
            </w:r>
          </w:p>
          <w:p w14:paraId="5FE4D7C4" w14:textId="77777777" w:rsidR="007D1B21" w:rsidRPr="00AF3D2D" w:rsidRDefault="007D1B21" w:rsidP="00C1728B">
            <w:pPr>
              <w:numPr>
                <w:ilvl w:val="0"/>
                <w:numId w:val="80"/>
              </w:numPr>
              <w:rPr>
                <w:spacing w:val="8"/>
                <w:sz w:val="24"/>
                <w:szCs w:val="24"/>
              </w:rPr>
            </w:pPr>
            <w:r w:rsidRPr="00AF3D2D">
              <w:rPr>
                <w:spacing w:val="8"/>
                <w:sz w:val="24"/>
                <w:szCs w:val="24"/>
              </w:rPr>
              <w:t>Pay annual MSRB fee</w:t>
            </w:r>
          </w:p>
          <w:p w14:paraId="69366F77" w14:textId="77777777" w:rsidR="008C108B" w:rsidRPr="00AF3D2D" w:rsidRDefault="008C108B" w:rsidP="00C1728B">
            <w:pPr>
              <w:numPr>
                <w:ilvl w:val="0"/>
                <w:numId w:val="80"/>
              </w:numPr>
              <w:rPr>
                <w:spacing w:val="8"/>
                <w:sz w:val="24"/>
                <w:szCs w:val="24"/>
              </w:rPr>
            </w:pPr>
            <w:r w:rsidRPr="00AF3D2D">
              <w:rPr>
                <w:spacing w:val="8"/>
                <w:sz w:val="24"/>
                <w:szCs w:val="24"/>
              </w:rPr>
              <w:t xml:space="preserve">Forward a copy of or a notice of availability of Official Statements (on EMMA) to customers purchases a new issue </w:t>
            </w:r>
          </w:p>
          <w:p w14:paraId="685F0C55" w14:textId="575B6DA6" w:rsidR="00712AFD" w:rsidRDefault="00712AFD" w:rsidP="00C1728B">
            <w:pPr>
              <w:numPr>
                <w:ilvl w:val="0"/>
                <w:numId w:val="78"/>
              </w:numPr>
              <w:rPr>
                <w:spacing w:val="8"/>
                <w:sz w:val="24"/>
                <w:szCs w:val="24"/>
              </w:rPr>
            </w:pPr>
            <w:r w:rsidRPr="00AF3D2D">
              <w:rPr>
                <w:spacing w:val="8"/>
                <w:sz w:val="24"/>
                <w:szCs w:val="24"/>
              </w:rPr>
              <w:t>Obtain Rule G-37 certifications annually</w:t>
            </w:r>
          </w:p>
          <w:p w14:paraId="698A5025" w14:textId="731011B4" w:rsidR="00C1334F" w:rsidRDefault="00C1334F" w:rsidP="00C1728B">
            <w:pPr>
              <w:numPr>
                <w:ilvl w:val="0"/>
                <w:numId w:val="78"/>
              </w:numPr>
              <w:rPr>
                <w:color w:val="FF0000"/>
                <w:spacing w:val="8"/>
                <w:sz w:val="24"/>
                <w:szCs w:val="24"/>
              </w:rPr>
            </w:pPr>
            <w:r w:rsidRPr="00C1334F">
              <w:rPr>
                <w:color w:val="FF0000"/>
                <w:spacing w:val="8"/>
                <w:sz w:val="24"/>
                <w:szCs w:val="24"/>
              </w:rPr>
              <w:t>Identify</w:t>
            </w:r>
            <w:r>
              <w:rPr>
                <w:color w:val="FF0000"/>
                <w:spacing w:val="8"/>
                <w:sz w:val="24"/>
                <w:szCs w:val="24"/>
              </w:rPr>
              <w:t xml:space="preserve"> transactions effected after June 1, </w:t>
            </w:r>
            <w:proofErr w:type="gramStart"/>
            <w:r>
              <w:rPr>
                <w:color w:val="FF0000"/>
                <w:spacing w:val="8"/>
                <w:sz w:val="24"/>
                <w:szCs w:val="24"/>
              </w:rPr>
              <w:t>2002</w:t>
            </w:r>
            <w:proofErr w:type="gramEnd"/>
            <w:r>
              <w:rPr>
                <w:color w:val="FF0000"/>
                <w:spacing w:val="8"/>
                <w:sz w:val="24"/>
                <w:szCs w:val="24"/>
              </w:rPr>
              <w:t xml:space="preserve"> in an amount lower than the minimum denomination for the issue</w:t>
            </w:r>
          </w:p>
          <w:p w14:paraId="4A840925" w14:textId="68895FAD" w:rsidR="00C1334F" w:rsidRDefault="00C1334F" w:rsidP="00C1334F">
            <w:pPr>
              <w:pStyle w:val="ListParagraph"/>
              <w:numPr>
                <w:ilvl w:val="1"/>
                <w:numId w:val="61"/>
              </w:numPr>
              <w:rPr>
                <w:color w:val="FF0000"/>
                <w:spacing w:val="8"/>
                <w:sz w:val="24"/>
                <w:szCs w:val="24"/>
              </w:rPr>
            </w:pPr>
            <w:r w:rsidRPr="00C1334F">
              <w:rPr>
                <w:color w:val="FF0000"/>
                <w:spacing w:val="8"/>
                <w:sz w:val="24"/>
                <w:szCs w:val="24"/>
              </w:rPr>
              <w:lastRenderedPageBreak/>
              <w:t>Confirm whether the transaction</w:t>
            </w:r>
            <w:r>
              <w:rPr>
                <w:color w:val="FF0000"/>
                <w:spacing w:val="8"/>
                <w:sz w:val="24"/>
                <w:szCs w:val="24"/>
              </w:rPr>
              <w:t xml:space="preserve"> meets an exception to the rule through account records or obtaining a written statement from the customer</w:t>
            </w:r>
          </w:p>
          <w:p w14:paraId="79286F13" w14:textId="5A6FAA76" w:rsidR="00C1334F" w:rsidRPr="00C1334F" w:rsidRDefault="00C1334F" w:rsidP="00C1334F">
            <w:pPr>
              <w:pStyle w:val="ListParagraph"/>
              <w:numPr>
                <w:ilvl w:val="1"/>
                <w:numId w:val="61"/>
              </w:numPr>
              <w:rPr>
                <w:color w:val="FF0000"/>
                <w:spacing w:val="8"/>
                <w:sz w:val="24"/>
                <w:szCs w:val="24"/>
              </w:rPr>
            </w:pPr>
            <w:r>
              <w:rPr>
                <w:color w:val="FF0000"/>
                <w:spacing w:val="8"/>
                <w:sz w:val="24"/>
                <w:szCs w:val="24"/>
              </w:rPr>
              <w:t xml:space="preserve">If no exceptions to the rule, </w:t>
            </w:r>
            <w:r w:rsidR="005C4388">
              <w:rPr>
                <w:color w:val="FF0000"/>
                <w:spacing w:val="8"/>
                <w:sz w:val="24"/>
                <w:szCs w:val="24"/>
              </w:rPr>
              <w:t xml:space="preserve">may need to </w:t>
            </w:r>
            <w:r>
              <w:rPr>
                <w:color w:val="FF0000"/>
                <w:spacing w:val="8"/>
                <w:sz w:val="24"/>
                <w:szCs w:val="24"/>
              </w:rPr>
              <w:t xml:space="preserve">take corrective </w:t>
            </w:r>
            <w:r w:rsidR="005C4388">
              <w:rPr>
                <w:color w:val="FF0000"/>
                <w:spacing w:val="8"/>
                <w:sz w:val="24"/>
                <w:szCs w:val="24"/>
              </w:rPr>
              <w:t>which could include contacting the RR and the customer or cancelling the transaction.</w:t>
            </w:r>
          </w:p>
          <w:p w14:paraId="21690C7F" w14:textId="77777777" w:rsidR="00DF5084" w:rsidRPr="00AF3D2D" w:rsidRDefault="00DF5084" w:rsidP="00C1728B">
            <w:pPr>
              <w:numPr>
                <w:ilvl w:val="0"/>
                <w:numId w:val="78"/>
              </w:numPr>
              <w:rPr>
                <w:spacing w:val="8"/>
                <w:sz w:val="24"/>
                <w:szCs w:val="24"/>
              </w:rPr>
            </w:pPr>
            <w:r w:rsidRPr="00AF3D2D">
              <w:rPr>
                <w:spacing w:val="8"/>
                <w:sz w:val="24"/>
                <w:szCs w:val="24"/>
              </w:rPr>
              <w:t xml:space="preserve">Revise policies and procedures as necessary </w:t>
            </w:r>
          </w:p>
          <w:p w14:paraId="56112207" w14:textId="77777777" w:rsidR="002325E1" w:rsidRPr="00AF3D2D" w:rsidRDefault="002325E1" w:rsidP="00C1728B">
            <w:pPr>
              <w:numPr>
                <w:ilvl w:val="0"/>
                <w:numId w:val="78"/>
              </w:numPr>
              <w:rPr>
                <w:spacing w:val="8"/>
                <w:sz w:val="24"/>
                <w:szCs w:val="24"/>
              </w:rPr>
            </w:pPr>
            <w:r w:rsidRPr="00AF3D2D">
              <w:rPr>
                <w:spacing w:val="8"/>
                <w:sz w:val="24"/>
                <w:szCs w:val="24"/>
              </w:rPr>
              <w:t>Any applicable notices to MSRB</w:t>
            </w:r>
          </w:p>
          <w:p w14:paraId="6A5341BA" w14:textId="77777777" w:rsidR="00EC7230" w:rsidRPr="00AF3D2D" w:rsidRDefault="00EC7230" w:rsidP="003E7B18">
            <w:pPr>
              <w:numPr>
                <w:ilvl w:val="0"/>
                <w:numId w:val="207"/>
              </w:numPr>
              <w:rPr>
                <w:spacing w:val="8"/>
                <w:sz w:val="24"/>
                <w:szCs w:val="24"/>
              </w:rPr>
            </w:pPr>
            <w:r w:rsidRPr="00AF3D2D">
              <w:rPr>
                <w:spacing w:val="8"/>
                <w:sz w:val="24"/>
                <w:szCs w:val="24"/>
              </w:rPr>
              <w:t>Contact Compliance to determine corrective action if prohibited activities using Firm resources are identified</w:t>
            </w:r>
          </w:p>
        </w:tc>
      </w:tr>
      <w:tr w:rsidR="00DF5084" w:rsidRPr="00671FC0" w14:paraId="5CF40A19" w14:textId="77777777" w:rsidTr="00220A6B">
        <w:trPr>
          <w:tblCellSpacing w:w="0" w:type="dxa"/>
        </w:trPr>
        <w:tc>
          <w:tcPr>
            <w:tcW w:w="1045" w:type="pct"/>
            <w:tcBorders>
              <w:top w:val="outset" w:sz="6" w:space="0" w:color="auto"/>
              <w:left w:val="outset" w:sz="6" w:space="0" w:color="auto"/>
              <w:bottom w:val="outset" w:sz="6" w:space="0" w:color="auto"/>
              <w:right w:val="outset" w:sz="6" w:space="0" w:color="auto"/>
            </w:tcBorders>
            <w:vAlign w:val="center"/>
          </w:tcPr>
          <w:p w14:paraId="7BCBE5D9" w14:textId="77777777" w:rsidR="00DF5084" w:rsidRPr="00671FC0" w:rsidRDefault="00DF5084" w:rsidP="004356E7">
            <w:pPr>
              <w:jc w:val="center"/>
              <w:rPr>
                <w:b/>
                <w:bCs/>
                <w:color w:val="000000"/>
                <w:spacing w:val="8"/>
                <w:sz w:val="24"/>
                <w:szCs w:val="24"/>
              </w:rPr>
            </w:pPr>
            <w:r w:rsidRPr="00671FC0">
              <w:rPr>
                <w:b/>
                <w:bCs/>
                <w:color w:val="000000"/>
                <w:spacing w:val="8"/>
                <w:sz w:val="24"/>
                <w:szCs w:val="24"/>
              </w:rPr>
              <w:lastRenderedPageBreak/>
              <w:t>Records</w:t>
            </w:r>
          </w:p>
        </w:tc>
        <w:tc>
          <w:tcPr>
            <w:tcW w:w="3955" w:type="pct"/>
            <w:tcBorders>
              <w:top w:val="outset" w:sz="6" w:space="0" w:color="auto"/>
              <w:left w:val="outset" w:sz="6" w:space="0" w:color="auto"/>
              <w:bottom w:val="outset" w:sz="6" w:space="0" w:color="auto"/>
              <w:right w:val="outset" w:sz="6" w:space="0" w:color="auto"/>
            </w:tcBorders>
            <w:vAlign w:val="center"/>
          </w:tcPr>
          <w:p w14:paraId="583DB12A" w14:textId="265B5060" w:rsidR="007D1B21" w:rsidRDefault="007D1B21" w:rsidP="00C1728B">
            <w:pPr>
              <w:numPr>
                <w:ilvl w:val="0"/>
                <w:numId w:val="79"/>
              </w:numPr>
              <w:rPr>
                <w:spacing w:val="8"/>
                <w:sz w:val="24"/>
                <w:szCs w:val="24"/>
              </w:rPr>
            </w:pPr>
            <w:r w:rsidRPr="005D0F44">
              <w:rPr>
                <w:spacing w:val="8"/>
                <w:sz w:val="24"/>
                <w:szCs w:val="24"/>
              </w:rPr>
              <w:t>Transactions</w:t>
            </w:r>
          </w:p>
          <w:p w14:paraId="18273364" w14:textId="3100FDD4" w:rsidR="00C1334F" w:rsidRPr="00C1334F" w:rsidRDefault="00C1334F" w:rsidP="00C1728B">
            <w:pPr>
              <w:numPr>
                <w:ilvl w:val="0"/>
                <w:numId w:val="79"/>
              </w:numPr>
              <w:rPr>
                <w:color w:val="FF0000"/>
                <w:spacing w:val="8"/>
                <w:sz w:val="24"/>
                <w:szCs w:val="24"/>
              </w:rPr>
            </w:pPr>
            <w:r w:rsidRPr="00C1334F">
              <w:rPr>
                <w:color w:val="FF0000"/>
                <w:spacing w:val="8"/>
                <w:sz w:val="24"/>
                <w:szCs w:val="24"/>
              </w:rPr>
              <w:t>Any exception reports</w:t>
            </w:r>
            <w:r w:rsidR="005C4388">
              <w:rPr>
                <w:color w:val="FF0000"/>
                <w:spacing w:val="8"/>
                <w:sz w:val="24"/>
                <w:szCs w:val="24"/>
              </w:rPr>
              <w:t xml:space="preserve"> and/or any corrective actions taken if any</w:t>
            </w:r>
          </w:p>
          <w:p w14:paraId="51C2717F" w14:textId="0D0A1885" w:rsidR="00E01473" w:rsidRPr="005D0F44" w:rsidRDefault="00E01473" w:rsidP="00C1728B">
            <w:pPr>
              <w:numPr>
                <w:ilvl w:val="0"/>
                <w:numId w:val="79"/>
              </w:numPr>
              <w:rPr>
                <w:spacing w:val="8"/>
                <w:sz w:val="24"/>
                <w:szCs w:val="24"/>
              </w:rPr>
            </w:pPr>
            <w:r w:rsidRPr="005D0F44">
              <w:rPr>
                <w:spacing w:val="8"/>
                <w:sz w:val="24"/>
                <w:szCs w:val="24"/>
              </w:rPr>
              <w:t xml:space="preserve">New Account forms </w:t>
            </w:r>
            <w:r w:rsidR="00C1334F" w:rsidRPr="00C1334F">
              <w:rPr>
                <w:color w:val="FF0000"/>
                <w:spacing w:val="8"/>
                <w:sz w:val="24"/>
                <w:szCs w:val="24"/>
              </w:rPr>
              <w:t xml:space="preserve">and other account records </w:t>
            </w:r>
            <w:r w:rsidR="00C1334F">
              <w:rPr>
                <w:spacing w:val="8"/>
                <w:sz w:val="24"/>
                <w:szCs w:val="24"/>
              </w:rPr>
              <w:t>for</w:t>
            </w:r>
            <w:r w:rsidRPr="005D0F44">
              <w:rPr>
                <w:spacing w:val="8"/>
                <w:sz w:val="24"/>
                <w:szCs w:val="24"/>
              </w:rPr>
              <w:t xml:space="preserve"> review</w:t>
            </w:r>
          </w:p>
          <w:p w14:paraId="2B88FBCA" w14:textId="13CF6E10" w:rsidR="00E01473" w:rsidRPr="005C4388" w:rsidRDefault="00E01473" w:rsidP="00C1728B">
            <w:pPr>
              <w:numPr>
                <w:ilvl w:val="0"/>
                <w:numId w:val="79"/>
              </w:numPr>
              <w:rPr>
                <w:color w:val="FF0000"/>
                <w:spacing w:val="8"/>
                <w:sz w:val="24"/>
                <w:szCs w:val="24"/>
              </w:rPr>
            </w:pPr>
            <w:r w:rsidRPr="005D0F44">
              <w:rPr>
                <w:spacing w:val="8"/>
                <w:sz w:val="24"/>
                <w:szCs w:val="24"/>
              </w:rPr>
              <w:t xml:space="preserve">Any </w:t>
            </w:r>
            <w:r w:rsidR="00AA40AD" w:rsidRPr="005D0F44">
              <w:rPr>
                <w:spacing w:val="8"/>
                <w:sz w:val="24"/>
                <w:szCs w:val="24"/>
              </w:rPr>
              <w:t>Retail Communication</w:t>
            </w:r>
            <w:r w:rsidR="005C4388">
              <w:rPr>
                <w:spacing w:val="8"/>
                <w:sz w:val="24"/>
                <w:szCs w:val="24"/>
              </w:rPr>
              <w:t xml:space="preserve"> </w:t>
            </w:r>
            <w:r w:rsidR="005C4388" w:rsidRPr="005C4388">
              <w:rPr>
                <w:color w:val="FF0000"/>
                <w:spacing w:val="8"/>
                <w:sz w:val="24"/>
                <w:szCs w:val="24"/>
              </w:rPr>
              <w:t xml:space="preserve">including any written statements </w:t>
            </w:r>
            <w:r w:rsidR="005C4388">
              <w:rPr>
                <w:color w:val="FF0000"/>
                <w:spacing w:val="8"/>
                <w:sz w:val="24"/>
                <w:szCs w:val="24"/>
              </w:rPr>
              <w:t>from customers if any</w:t>
            </w:r>
          </w:p>
          <w:p w14:paraId="41304861" w14:textId="77777777" w:rsidR="008C108B" w:rsidRPr="005D0F44" w:rsidRDefault="008C108B" w:rsidP="00C1728B">
            <w:pPr>
              <w:numPr>
                <w:ilvl w:val="0"/>
                <w:numId w:val="79"/>
              </w:numPr>
              <w:rPr>
                <w:spacing w:val="8"/>
                <w:sz w:val="24"/>
                <w:szCs w:val="24"/>
              </w:rPr>
            </w:pPr>
            <w:r w:rsidRPr="005D0F44">
              <w:rPr>
                <w:spacing w:val="8"/>
                <w:sz w:val="24"/>
                <w:szCs w:val="24"/>
              </w:rPr>
              <w:t xml:space="preserve">Official Statements </w:t>
            </w:r>
            <w:r w:rsidR="004F1362" w:rsidRPr="005D0F44">
              <w:rPr>
                <w:spacing w:val="8"/>
                <w:sz w:val="24"/>
                <w:szCs w:val="24"/>
              </w:rPr>
              <w:t>sent or EMMA notice</w:t>
            </w:r>
            <w:r w:rsidRPr="005D0F44">
              <w:rPr>
                <w:spacing w:val="8"/>
                <w:sz w:val="24"/>
                <w:szCs w:val="24"/>
              </w:rPr>
              <w:t xml:space="preserve"> log</w:t>
            </w:r>
          </w:p>
          <w:p w14:paraId="74557C77" w14:textId="77777777" w:rsidR="007D1B21" w:rsidRPr="005D0F44" w:rsidRDefault="007D1B21" w:rsidP="00C1728B">
            <w:pPr>
              <w:numPr>
                <w:ilvl w:val="0"/>
                <w:numId w:val="79"/>
              </w:numPr>
              <w:rPr>
                <w:spacing w:val="8"/>
                <w:sz w:val="24"/>
                <w:szCs w:val="24"/>
              </w:rPr>
            </w:pPr>
            <w:r w:rsidRPr="005D0F44">
              <w:rPr>
                <w:spacing w:val="8"/>
                <w:sz w:val="24"/>
                <w:szCs w:val="24"/>
              </w:rPr>
              <w:t>Annual MSRB Fee paid</w:t>
            </w:r>
          </w:p>
          <w:p w14:paraId="0E94C929" w14:textId="77777777" w:rsidR="008508F3" w:rsidRPr="005D0F44" w:rsidRDefault="008508F3" w:rsidP="00C1728B">
            <w:pPr>
              <w:numPr>
                <w:ilvl w:val="0"/>
                <w:numId w:val="79"/>
              </w:numPr>
              <w:rPr>
                <w:spacing w:val="8"/>
                <w:sz w:val="24"/>
                <w:szCs w:val="24"/>
              </w:rPr>
            </w:pPr>
            <w:r w:rsidRPr="005D0F44">
              <w:rPr>
                <w:spacing w:val="8"/>
                <w:sz w:val="24"/>
                <w:szCs w:val="24"/>
              </w:rPr>
              <w:t>Municipal Securities Professionals</w:t>
            </w:r>
            <w:r w:rsidR="00781C1D">
              <w:rPr>
                <w:spacing w:val="8"/>
                <w:sz w:val="24"/>
                <w:szCs w:val="24"/>
              </w:rPr>
              <w:t xml:space="preserve"> </w:t>
            </w:r>
            <w:r w:rsidR="00781C1D" w:rsidRPr="00767FD6">
              <w:rPr>
                <w:spacing w:val="8"/>
                <w:sz w:val="24"/>
                <w:szCs w:val="24"/>
              </w:rPr>
              <w:t>and any related certifications</w:t>
            </w:r>
          </w:p>
          <w:p w14:paraId="7CF5DAF8" w14:textId="77777777" w:rsidR="008508F3" w:rsidRPr="005D0F44" w:rsidRDefault="008508F3" w:rsidP="00C1728B">
            <w:pPr>
              <w:numPr>
                <w:ilvl w:val="0"/>
                <w:numId w:val="79"/>
              </w:numPr>
              <w:rPr>
                <w:spacing w:val="8"/>
                <w:sz w:val="24"/>
                <w:szCs w:val="24"/>
              </w:rPr>
            </w:pPr>
            <w:r w:rsidRPr="005D0F44">
              <w:rPr>
                <w:spacing w:val="8"/>
                <w:sz w:val="24"/>
                <w:szCs w:val="24"/>
              </w:rPr>
              <w:t>Annual certifications of political contributions</w:t>
            </w:r>
          </w:p>
          <w:p w14:paraId="7EDE5B52" w14:textId="77777777" w:rsidR="00E01473" w:rsidRPr="005D0F44" w:rsidRDefault="00E01473" w:rsidP="00C1728B">
            <w:pPr>
              <w:numPr>
                <w:ilvl w:val="0"/>
                <w:numId w:val="79"/>
              </w:numPr>
              <w:rPr>
                <w:spacing w:val="8"/>
                <w:sz w:val="24"/>
                <w:szCs w:val="24"/>
              </w:rPr>
            </w:pPr>
            <w:r w:rsidRPr="005D0F44">
              <w:rPr>
                <w:spacing w:val="8"/>
                <w:sz w:val="24"/>
                <w:szCs w:val="24"/>
              </w:rPr>
              <w:t>Any municipal complaints</w:t>
            </w:r>
          </w:p>
          <w:p w14:paraId="3362431D" w14:textId="77777777" w:rsidR="00DF5084" w:rsidRPr="005D0F44" w:rsidRDefault="00DF5084" w:rsidP="00C1728B">
            <w:pPr>
              <w:numPr>
                <w:ilvl w:val="0"/>
                <w:numId w:val="79"/>
              </w:numPr>
              <w:rPr>
                <w:spacing w:val="8"/>
                <w:sz w:val="24"/>
                <w:szCs w:val="24"/>
              </w:rPr>
            </w:pPr>
            <w:r w:rsidRPr="005D0F44">
              <w:rPr>
                <w:spacing w:val="8"/>
                <w:sz w:val="24"/>
                <w:szCs w:val="24"/>
              </w:rPr>
              <w:t xml:space="preserve">Record of changes to policies and procedures </w:t>
            </w:r>
          </w:p>
          <w:p w14:paraId="5BB57FC8" w14:textId="77777777" w:rsidR="00DF5084" w:rsidRPr="005D0F44" w:rsidRDefault="002325E1" w:rsidP="00C1728B">
            <w:pPr>
              <w:numPr>
                <w:ilvl w:val="0"/>
                <w:numId w:val="79"/>
              </w:numPr>
              <w:rPr>
                <w:spacing w:val="8"/>
                <w:sz w:val="24"/>
                <w:szCs w:val="24"/>
              </w:rPr>
            </w:pPr>
            <w:r w:rsidRPr="005D0F44">
              <w:rPr>
                <w:spacing w:val="8"/>
                <w:sz w:val="24"/>
                <w:szCs w:val="24"/>
              </w:rPr>
              <w:t>Notices to MSRB</w:t>
            </w:r>
          </w:p>
        </w:tc>
      </w:tr>
    </w:tbl>
    <w:p w14:paraId="1934573F" w14:textId="77777777" w:rsidR="00DF5084" w:rsidRPr="00671FC0" w:rsidRDefault="00DF5084" w:rsidP="00DF5084">
      <w:pPr>
        <w:rPr>
          <w:color w:val="000000"/>
        </w:rPr>
      </w:pPr>
    </w:p>
    <w:p w14:paraId="0803D086" w14:textId="77777777" w:rsidR="00DF5084" w:rsidRPr="00671FC0" w:rsidRDefault="00DF5084" w:rsidP="00DF5084">
      <w:pPr>
        <w:tabs>
          <w:tab w:val="left" w:pos="576"/>
          <w:tab w:val="left" w:pos="720"/>
          <w:tab w:val="left" w:pos="2592"/>
          <w:tab w:val="left" w:pos="7200"/>
        </w:tabs>
        <w:jc w:val="both"/>
        <w:rPr>
          <w:color w:val="000000"/>
          <w:sz w:val="24"/>
        </w:rPr>
      </w:pPr>
    </w:p>
    <w:p w14:paraId="156366D8" w14:textId="77777777" w:rsidR="00F16DDC" w:rsidRDefault="00F16DDC" w:rsidP="00936FEE">
      <w:pPr>
        <w:pStyle w:val="Heading2"/>
      </w:pPr>
      <w:r>
        <w:t>1</w:t>
      </w:r>
      <w:r w:rsidR="00174005">
        <w:t>3</w:t>
      </w:r>
      <w:r>
        <w:t xml:space="preserve">.3 </w:t>
      </w:r>
      <w:r w:rsidR="00863E7C">
        <w:t>General</w:t>
      </w:r>
    </w:p>
    <w:p w14:paraId="216D2EDB" w14:textId="77777777" w:rsidR="000C099C" w:rsidRDefault="000C099C" w:rsidP="00F14C7B">
      <w:pPr>
        <w:tabs>
          <w:tab w:val="left" w:pos="576"/>
          <w:tab w:val="left" w:pos="720"/>
          <w:tab w:val="left" w:pos="2592"/>
          <w:tab w:val="left" w:pos="7200"/>
        </w:tabs>
        <w:rPr>
          <w:sz w:val="24"/>
        </w:rPr>
      </w:pPr>
      <w:r>
        <w:rPr>
          <w:sz w:val="24"/>
        </w:rPr>
        <w:t xml:space="preserve">All municipal trades must be routed though the home office.  Each office conducting a municipal securities business shall be inspected by Morris Monroe in accordance with MSRB Rule G-27, based upon the following schedule and the Company shall maintain a written record of the dates and scope of its inspection. </w:t>
      </w:r>
    </w:p>
    <w:p w14:paraId="74AB5ED9" w14:textId="77777777" w:rsidR="000C099C" w:rsidRDefault="000C099C">
      <w:pPr>
        <w:tabs>
          <w:tab w:val="left" w:pos="576"/>
          <w:tab w:val="left" w:pos="720"/>
          <w:tab w:val="left" w:pos="2592"/>
          <w:tab w:val="left" w:pos="7200"/>
        </w:tabs>
        <w:jc w:val="both"/>
        <w:rPr>
          <w:sz w:val="24"/>
        </w:rPr>
      </w:pPr>
    </w:p>
    <w:p w14:paraId="6D629C1F" w14:textId="77777777" w:rsidR="000C099C" w:rsidRDefault="000C099C">
      <w:pPr>
        <w:tabs>
          <w:tab w:val="left" w:pos="1152"/>
          <w:tab w:val="left" w:pos="2592"/>
          <w:tab w:val="left" w:pos="5760"/>
        </w:tabs>
        <w:ind w:left="1152" w:hanging="1152"/>
        <w:jc w:val="both"/>
        <w:rPr>
          <w:b/>
          <w:sz w:val="24"/>
          <w:u w:val="single"/>
        </w:rPr>
      </w:pPr>
      <w:r>
        <w:rPr>
          <w:sz w:val="24"/>
        </w:rPr>
        <w:tab/>
      </w:r>
      <w:r>
        <w:rPr>
          <w:b/>
          <w:sz w:val="24"/>
          <w:u w:val="single"/>
        </w:rPr>
        <w:t>Office Size</w:t>
      </w:r>
      <w:r>
        <w:rPr>
          <w:b/>
          <w:sz w:val="24"/>
          <w:u w:val="single"/>
        </w:rPr>
        <w:tab/>
      </w:r>
      <w:r>
        <w:rPr>
          <w:b/>
          <w:sz w:val="24"/>
          <w:u w:val="single"/>
        </w:rPr>
        <w:tab/>
        <w:t>Schedule of Inspection</w:t>
      </w:r>
    </w:p>
    <w:p w14:paraId="7B0C43AD" w14:textId="77777777" w:rsidR="000C099C" w:rsidRPr="007D29D7" w:rsidRDefault="000C099C">
      <w:pPr>
        <w:tabs>
          <w:tab w:val="left" w:pos="1152"/>
          <w:tab w:val="left" w:pos="2592"/>
          <w:tab w:val="left" w:pos="5760"/>
        </w:tabs>
        <w:jc w:val="both"/>
        <w:rPr>
          <w:sz w:val="10"/>
          <w:szCs w:val="6"/>
        </w:rPr>
      </w:pPr>
    </w:p>
    <w:p w14:paraId="208D2BC7" w14:textId="77777777" w:rsidR="000C099C" w:rsidRDefault="000C099C">
      <w:pPr>
        <w:tabs>
          <w:tab w:val="left" w:pos="1152"/>
          <w:tab w:val="left" w:pos="2592"/>
          <w:tab w:val="left" w:pos="5760"/>
        </w:tabs>
        <w:jc w:val="both"/>
        <w:rPr>
          <w:sz w:val="24"/>
        </w:rPr>
      </w:pPr>
      <w:r>
        <w:rPr>
          <w:sz w:val="24"/>
        </w:rPr>
        <w:tab/>
        <w:t xml:space="preserve">1-10 </w:t>
      </w:r>
      <w:r w:rsidR="009A253D" w:rsidRPr="00532715">
        <w:rPr>
          <w:sz w:val="24"/>
        </w:rPr>
        <w:t xml:space="preserve">Retail </w:t>
      </w:r>
      <w:r>
        <w:rPr>
          <w:sz w:val="24"/>
        </w:rPr>
        <w:t>Associated Persons</w:t>
      </w:r>
      <w:r>
        <w:rPr>
          <w:sz w:val="24"/>
        </w:rPr>
        <w:tab/>
        <w:t>Annual Inspection</w:t>
      </w:r>
    </w:p>
    <w:p w14:paraId="62D5225F" w14:textId="77777777" w:rsidR="000C099C" w:rsidRDefault="006B12F1">
      <w:pPr>
        <w:tabs>
          <w:tab w:val="left" w:pos="1152"/>
          <w:tab w:val="left" w:pos="2592"/>
          <w:tab w:val="left" w:pos="5760"/>
        </w:tabs>
        <w:jc w:val="both"/>
        <w:rPr>
          <w:sz w:val="24"/>
        </w:rPr>
      </w:pPr>
      <w:r>
        <w:rPr>
          <w:sz w:val="24"/>
        </w:rPr>
        <w:tab/>
        <w:t>O</w:t>
      </w:r>
      <w:r w:rsidR="000C099C">
        <w:rPr>
          <w:sz w:val="24"/>
        </w:rPr>
        <w:t xml:space="preserve">ver 10 </w:t>
      </w:r>
      <w:r w:rsidR="009A253D" w:rsidRPr="00532715">
        <w:rPr>
          <w:sz w:val="24"/>
        </w:rPr>
        <w:t>Retail</w:t>
      </w:r>
      <w:r w:rsidR="009A253D">
        <w:rPr>
          <w:sz w:val="24"/>
        </w:rPr>
        <w:t xml:space="preserve"> </w:t>
      </w:r>
      <w:r w:rsidR="000C099C">
        <w:rPr>
          <w:sz w:val="24"/>
        </w:rPr>
        <w:t>Associated Persons</w:t>
      </w:r>
      <w:r w:rsidR="000C099C">
        <w:rPr>
          <w:sz w:val="24"/>
        </w:rPr>
        <w:tab/>
        <w:t>Semi-Annual Inspections</w:t>
      </w:r>
    </w:p>
    <w:p w14:paraId="25946F61" w14:textId="77777777" w:rsidR="000C099C" w:rsidRDefault="000C099C">
      <w:pPr>
        <w:tabs>
          <w:tab w:val="left" w:pos="576"/>
          <w:tab w:val="left" w:pos="720"/>
          <w:tab w:val="left" w:pos="2592"/>
          <w:tab w:val="left" w:pos="7200"/>
        </w:tabs>
        <w:jc w:val="both"/>
        <w:rPr>
          <w:sz w:val="24"/>
        </w:rPr>
      </w:pPr>
    </w:p>
    <w:p w14:paraId="4A81A00C" w14:textId="77777777" w:rsidR="000C099C" w:rsidRDefault="000C099C" w:rsidP="00F14C7B">
      <w:pPr>
        <w:tabs>
          <w:tab w:val="left" w:pos="576"/>
          <w:tab w:val="left" w:pos="720"/>
          <w:tab w:val="left" w:pos="2592"/>
          <w:tab w:val="left" w:pos="7200"/>
        </w:tabs>
        <w:rPr>
          <w:sz w:val="24"/>
        </w:rPr>
      </w:pPr>
      <w:r>
        <w:rPr>
          <w:sz w:val="24"/>
        </w:rPr>
        <w:t xml:space="preserve">Prior to a registered representative accepting an initial order for the execution of a client's municipal transaction, the registered representative must complete and sign a new account form and submit it to the municipal principal for approval.  All information requested must be completed in accordance with Rule </w:t>
      </w:r>
      <w:r>
        <w:rPr>
          <w:b/>
          <w:bCs/>
          <w:sz w:val="24"/>
        </w:rPr>
        <w:t>G-8</w:t>
      </w:r>
      <w:r>
        <w:rPr>
          <w:sz w:val="24"/>
        </w:rPr>
        <w:t>(a)(xi) prior to the initial order being accepted.  Prior to recommending to a non-institutional account a municipal security transaction the registered representative should make reasonable efforts to obtain information concerning: the customer's financial status; the customer's tax status, the customer's investment objectives; and such other information used or considered to be reasonable and necessary in making the recommendation to the customer.</w:t>
      </w:r>
    </w:p>
    <w:p w14:paraId="69E5D4F5" w14:textId="77777777" w:rsidR="000C099C" w:rsidRDefault="000C099C" w:rsidP="00F14C7B">
      <w:pPr>
        <w:tabs>
          <w:tab w:val="left" w:pos="576"/>
          <w:tab w:val="left" w:pos="720"/>
          <w:tab w:val="left" w:pos="2592"/>
          <w:tab w:val="left" w:pos="7200"/>
        </w:tabs>
        <w:rPr>
          <w:sz w:val="24"/>
        </w:rPr>
      </w:pPr>
    </w:p>
    <w:p w14:paraId="3127AAB9" w14:textId="77777777" w:rsidR="00F668C5" w:rsidRDefault="00F668C5" w:rsidP="00F668C5">
      <w:pPr>
        <w:pStyle w:val="Heading3"/>
      </w:pPr>
      <w:r>
        <w:t>1</w:t>
      </w:r>
      <w:r w:rsidR="00174005">
        <w:t>3</w:t>
      </w:r>
      <w:r>
        <w:t>.3.1 Rule G-19 - Suitability</w:t>
      </w:r>
    </w:p>
    <w:p w14:paraId="59CD4E60" w14:textId="77777777" w:rsidR="000C099C" w:rsidRPr="00AF3D2D" w:rsidRDefault="009F2A2D" w:rsidP="00F668C5">
      <w:pPr>
        <w:tabs>
          <w:tab w:val="left" w:pos="576"/>
          <w:tab w:val="left" w:pos="720"/>
          <w:tab w:val="left" w:pos="2592"/>
          <w:tab w:val="left" w:pos="7200"/>
        </w:tabs>
        <w:ind w:left="270"/>
        <w:rPr>
          <w:sz w:val="24"/>
        </w:rPr>
      </w:pPr>
      <w:r w:rsidRPr="00AF3D2D">
        <w:rPr>
          <w:sz w:val="24"/>
        </w:rPr>
        <w:t xml:space="preserve">Pursuant to </w:t>
      </w:r>
      <w:r w:rsidRPr="00AF3D2D">
        <w:rPr>
          <w:b/>
          <w:sz w:val="24"/>
        </w:rPr>
        <w:t>Rule G-19</w:t>
      </w:r>
      <w:r w:rsidRPr="00AF3D2D">
        <w:rPr>
          <w:sz w:val="24"/>
        </w:rPr>
        <w:t>, i</w:t>
      </w:r>
      <w:r w:rsidR="000C099C" w:rsidRPr="00AF3D2D">
        <w:rPr>
          <w:sz w:val="24"/>
        </w:rPr>
        <w:t xml:space="preserve">n order to determine the suitability of a recommendation in a municipal security transaction the registered representative should have reasonable grounds </w:t>
      </w:r>
      <w:r w:rsidR="000C099C" w:rsidRPr="00AF3D2D">
        <w:rPr>
          <w:sz w:val="24"/>
        </w:rPr>
        <w:lastRenderedPageBreak/>
        <w:t>based upon information available from the issuer of the security and based upon the facts disclosed by the customer or otherwise known about the customer believing that the recommendation is suitable.</w:t>
      </w:r>
    </w:p>
    <w:p w14:paraId="3444AA8B" w14:textId="77777777" w:rsidR="000C099C" w:rsidRPr="00AF3D2D" w:rsidRDefault="000C099C" w:rsidP="00F668C5">
      <w:pPr>
        <w:tabs>
          <w:tab w:val="left" w:pos="576"/>
          <w:tab w:val="left" w:pos="720"/>
          <w:tab w:val="left" w:pos="2592"/>
          <w:tab w:val="left" w:pos="7200"/>
        </w:tabs>
        <w:ind w:left="270"/>
        <w:rPr>
          <w:sz w:val="24"/>
        </w:rPr>
      </w:pPr>
    </w:p>
    <w:p w14:paraId="494F5F07" w14:textId="77777777" w:rsidR="004E3507" w:rsidRPr="00AF3D2D" w:rsidRDefault="004E3507" w:rsidP="00F668C5">
      <w:pPr>
        <w:tabs>
          <w:tab w:val="left" w:pos="576"/>
          <w:tab w:val="left" w:pos="720"/>
          <w:tab w:val="left" w:pos="2592"/>
          <w:tab w:val="left" w:pos="7200"/>
        </w:tabs>
        <w:ind w:left="270"/>
        <w:rPr>
          <w:sz w:val="24"/>
        </w:rPr>
      </w:pPr>
      <w:r w:rsidRPr="00AF3D2D">
        <w:rPr>
          <w:sz w:val="24"/>
        </w:rPr>
        <w:t xml:space="preserve">The revisions to Rule G-19 expand this list to include additional items also included in FINRA Rule 2111, such as: age, investment time horizon, liquidity needs, investment experience, risk tolerance and “any other information the customer may disclose to the broker, dealer or municipal securities dealer in connection with such recommendation.” </w:t>
      </w:r>
    </w:p>
    <w:p w14:paraId="04FD62CB" w14:textId="77777777" w:rsidR="004E3507" w:rsidRPr="00AF3D2D" w:rsidRDefault="004E3507" w:rsidP="00F668C5">
      <w:pPr>
        <w:tabs>
          <w:tab w:val="left" w:pos="576"/>
          <w:tab w:val="left" w:pos="720"/>
          <w:tab w:val="left" w:pos="2592"/>
          <w:tab w:val="left" w:pos="7200"/>
        </w:tabs>
        <w:ind w:left="270"/>
        <w:rPr>
          <w:sz w:val="24"/>
        </w:rPr>
      </w:pPr>
    </w:p>
    <w:p w14:paraId="07C3B1A8" w14:textId="60DF5D56" w:rsidR="000C099C" w:rsidRDefault="000C099C" w:rsidP="00F668C5">
      <w:pPr>
        <w:pStyle w:val="BodyText"/>
        <w:tabs>
          <w:tab w:val="left" w:pos="576"/>
          <w:tab w:val="left" w:pos="720"/>
          <w:tab w:val="left" w:pos="2592"/>
          <w:tab w:val="left" w:pos="7200"/>
        </w:tabs>
        <w:spacing w:before="0" w:after="0"/>
        <w:ind w:left="270"/>
        <w:jc w:val="left"/>
      </w:pPr>
      <w:r>
        <w:t xml:space="preserve">Each transaction in municipal securities will be reviewed and approved in writing on a daily basis by Morris Monroe to </w:t>
      </w:r>
      <w:r w:rsidR="007D29D7">
        <w:t>ensure</w:t>
      </w:r>
      <w:r>
        <w:t xml:space="preserve"> compliance with applicable MSRB</w:t>
      </w:r>
      <w:r w:rsidRPr="00EC333E">
        <w:t>, FINRA</w:t>
      </w:r>
      <w:r>
        <w:t xml:space="preserve"> rules and laws governing such transactions.  Accounts for non-natural persons (trusts, pension/profit sharing plans, corporations, etc.) require additional supportive documentation such as should designate the individual(s) within the institution authorized to act for it. If the account intends to effect municipal transactions the supportive documentation should disclose the specific investm</w:t>
      </w:r>
      <w:r w:rsidR="005D5375">
        <w:t>ent objectives for the account.</w:t>
      </w:r>
    </w:p>
    <w:p w14:paraId="740CA40D" w14:textId="23FE7193" w:rsidR="0046026C" w:rsidRDefault="0046026C" w:rsidP="00F668C5">
      <w:pPr>
        <w:pStyle w:val="BodyText"/>
        <w:tabs>
          <w:tab w:val="left" w:pos="576"/>
          <w:tab w:val="left" w:pos="720"/>
          <w:tab w:val="left" w:pos="2592"/>
          <w:tab w:val="left" w:pos="7200"/>
        </w:tabs>
        <w:spacing w:before="0" w:after="0"/>
        <w:ind w:left="270"/>
        <w:jc w:val="left"/>
      </w:pPr>
    </w:p>
    <w:p w14:paraId="7357C8C6" w14:textId="37EC0DCF" w:rsidR="0046026C" w:rsidRPr="0046026C" w:rsidRDefault="0046026C" w:rsidP="00F668C5">
      <w:pPr>
        <w:pStyle w:val="BodyText"/>
        <w:tabs>
          <w:tab w:val="left" w:pos="576"/>
          <w:tab w:val="left" w:pos="720"/>
          <w:tab w:val="left" w:pos="2592"/>
          <w:tab w:val="left" w:pos="7200"/>
        </w:tabs>
        <w:spacing w:before="0" w:after="0"/>
        <w:ind w:left="270"/>
        <w:jc w:val="left"/>
        <w:rPr>
          <w:color w:val="FF0000"/>
          <w:sz w:val="32"/>
          <w:szCs w:val="24"/>
        </w:rPr>
      </w:pPr>
      <w:r w:rsidRPr="0046026C">
        <w:rPr>
          <w:color w:val="FF0000"/>
          <w:szCs w:val="24"/>
          <w:shd w:val="clear" w:color="auto" w:fill="FFFFFF"/>
        </w:rPr>
        <w:t>This rule shall not apply to recommendations subject to Regulation Best Interest, Rule 15l-1 under the Act.</w:t>
      </w:r>
    </w:p>
    <w:p w14:paraId="79833E70" w14:textId="77777777" w:rsidR="005D5375" w:rsidRDefault="005D5375" w:rsidP="00F14C7B">
      <w:pPr>
        <w:pStyle w:val="BodyText"/>
        <w:tabs>
          <w:tab w:val="left" w:pos="576"/>
          <w:tab w:val="left" w:pos="720"/>
          <w:tab w:val="left" w:pos="2592"/>
          <w:tab w:val="left" w:pos="7200"/>
        </w:tabs>
        <w:spacing w:before="0" w:after="0"/>
        <w:jc w:val="left"/>
      </w:pPr>
    </w:p>
    <w:p w14:paraId="3AFF48AC" w14:textId="77777777" w:rsidR="00F668C5" w:rsidRDefault="00F668C5" w:rsidP="009F4A1A">
      <w:pPr>
        <w:pStyle w:val="Heading3"/>
      </w:pPr>
      <w:r>
        <w:t>1</w:t>
      </w:r>
      <w:r w:rsidR="00174005">
        <w:t>3</w:t>
      </w:r>
      <w:r>
        <w:t xml:space="preserve">.3.2 </w:t>
      </w:r>
      <w:r w:rsidR="005D5375" w:rsidRPr="00E503D6">
        <w:t xml:space="preserve">Trades in the </w:t>
      </w:r>
      <w:r w:rsidR="00BC7D4B">
        <w:t>HTS</w:t>
      </w:r>
      <w:r w:rsidR="005D5375" w:rsidRPr="00E503D6">
        <w:t xml:space="preserve"> Trading Module:  </w:t>
      </w:r>
    </w:p>
    <w:p w14:paraId="6E93BD3B" w14:textId="77777777" w:rsidR="005D5375" w:rsidRPr="00E503D6" w:rsidRDefault="005D5375" w:rsidP="00F668C5">
      <w:pPr>
        <w:pStyle w:val="BodyText"/>
        <w:tabs>
          <w:tab w:val="left" w:pos="576"/>
          <w:tab w:val="left" w:pos="720"/>
          <w:tab w:val="left" w:pos="2592"/>
          <w:tab w:val="left" w:pos="7200"/>
        </w:tabs>
        <w:spacing w:before="0" w:after="0"/>
        <w:ind w:firstLine="270"/>
        <w:jc w:val="left"/>
      </w:pPr>
      <w:r w:rsidRPr="00E503D6">
        <w:t xml:space="preserve">When entering a trade into the </w:t>
      </w:r>
      <w:r w:rsidR="00BC7D4B" w:rsidRPr="00EA0A5B">
        <w:t>HTS</w:t>
      </w:r>
      <w:r w:rsidRPr="00E503D6">
        <w:t xml:space="preserve"> system:</w:t>
      </w:r>
    </w:p>
    <w:p w14:paraId="34CF7CF7" w14:textId="77777777" w:rsidR="005D5375" w:rsidRPr="00E503D6" w:rsidRDefault="002A28B8" w:rsidP="00C1728B">
      <w:pPr>
        <w:pStyle w:val="BodyText"/>
        <w:numPr>
          <w:ilvl w:val="2"/>
          <w:numId w:val="94"/>
        </w:numPr>
        <w:tabs>
          <w:tab w:val="left" w:pos="900"/>
          <w:tab w:val="left" w:pos="2592"/>
          <w:tab w:val="left" w:pos="7200"/>
        </w:tabs>
        <w:spacing w:before="0" w:after="0"/>
        <w:ind w:left="900"/>
        <w:jc w:val="left"/>
      </w:pPr>
      <w:r w:rsidRPr="00E503D6">
        <w:t>If no mark-up, enter the concession to the client as a “Commission.”</w:t>
      </w:r>
    </w:p>
    <w:p w14:paraId="16F9E560" w14:textId="77777777" w:rsidR="002A28B8" w:rsidRPr="00174005" w:rsidRDefault="002A28B8" w:rsidP="00C1728B">
      <w:pPr>
        <w:pStyle w:val="BodyText"/>
        <w:numPr>
          <w:ilvl w:val="2"/>
          <w:numId w:val="94"/>
        </w:numPr>
        <w:tabs>
          <w:tab w:val="left" w:pos="900"/>
          <w:tab w:val="left" w:pos="2592"/>
          <w:tab w:val="left" w:pos="7200"/>
        </w:tabs>
        <w:spacing w:before="0" w:after="0"/>
        <w:ind w:left="900"/>
        <w:jc w:val="left"/>
      </w:pPr>
      <w:r w:rsidRPr="00E503D6">
        <w:t xml:space="preserve">If there is a mark-up to the client, it will be reflected in the price charged to the client. </w:t>
      </w:r>
      <w:r w:rsidRPr="00174005">
        <w:t xml:space="preserve">The </w:t>
      </w:r>
      <w:r w:rsidR="00974EC3" w:rsidRPr="00174005">
        <w:t>HT</w:t>
      </w:r>
      <w:r w:rsidRPr="00174005">
        <w:t xml:space="preserve">S Trading System will automatically calculate the Sales Credit. </w:t>
      </w:r>
    </w:p>
    <w:p w14:paraId="0BE15EF5" w14:textId="77777777" w:rsidR="00971E52" w:rsidRPr="00174005" w:rsidRDefault="00DD3B27" w:rsidP="00C1728B">
      <w:pPr>
        <w:pStyle w:val="BodyText"/>
        <w:numPr>
          <w:ilvl w:val="2"/>
          <w:numId w:val="94"/>
        </w:numPr>
        <w:tabs>
          <w:tab w:val="left" w:pos="900"/>
          <w:tab w:val="left" w:pos="2592"/>
          <w:tab w:val="left" w:pos="7200"/>
        </w:tabs>
        <w:spacing w:before="0" w:after="0"/>
        <w:ind w:left="900"/>
        <w:jc w:val="left"/>
      </w:pPr>
      <w:r w:rsidRPr="00174005">
        <w:t>Enter</w:t>
      </w:r>
      <w:r w:rsidR="00971E52" w:rsidRPr="00174005">
        <w:t xml:space="preserve"> </w:t>
      </w:r>
      <w:r w:rsidR="005F197A" w:rsidRPr="00174005">
        <w:t>P</w:t>
      </w:r>
      <w:r w:rsidRPr="00174005">
        <w:t xml:space="preserve">revailing </w:t>
      </w:r>
      <w:r w:rsidR="005F197A" w:rsidRPr="00174005">
        <w:t>M</w:t>
      </w:r>
      <w:r w:rsidRPr="00174005">
        <w:t xml:space="preserve">arket </w:t>
      </w:r>
      <w:r w:rsidR="005F197A" w:rsidRPr="00174005">
        <w:t>P</w:t>
      </w:r>
      <w:r w:rsidRPr="00174005">
        <w:t xml:space="preserve">rice (PMP) </w:t>
      </w:r>
      <w:r w:rsidR="005F197A" w:rsidRPr="00174005">
        <w:t xml:space="preserve">from dealer </w:t>
      </w:r>
      <w:r w:rsidRPr="00174005">
        <w:t xml:space="preserve">and </w:t>
      </w:r>
      <w:r w:rsidR="005F197A" w:rsidRPr="00174005">
        <w:t xml:space="preserve">enter </w:t>
      </w:r>
      <w:r w:rsidRPr="00174005">
        <w:t>Waterfall Level as “Contemporaneous Cost”</w:t>
      </w:r>
      <w:r w:rsidR="002F3A66" w:rsidRPr="00174005">
        <w:t xml:space="preserve"> (which will then calculate any applicable markup)</w:t>
      </w:r>
    </w:p>
    <w:p w14:paraId="600490A1" w14:textId="77777777" w:rsidR="00C879E3" w:rsidRDefault="00C879E3" w:rsidP="00C1728B">
      <w:pPr>
        <w:pStyle w:val="BodyText"/>
        <w:numPr>
          <w:ilvl w:val="2"/>
          <w:numId w:val="94"/>
        </w:numPr>
        <w:tabs>
          <w:tab w:val="left" w:pos="900"/>
          <w:tab w:val="left" w:pos="2592"/>
          <w:tab w:val="left" w:pos="7200"/>
        </w:tabs>
        <w:spacing w:before="0" w:after="0"/>
        <w:ind w:left="900"/>
        <w:jc w:val="left"/>
      </w:pPr>
      <w:r w:rsidRPr="00E503D6">
        <w:t>All Agency Cross trades will either be entered in house or submitted to the Fixed Income Trading Supervisor to ensure proper handling and reporting to the RTRS system.</w:t>
      </w:r>
      <w:r w:rsidR="00473C11" w:rsidRPr="00E503D6">
        <w:t xml:space="preserve">  Following the trade(s), a review of the RTRS system will be condu</w:t>
      </w:r>
      <w:r w:rsidR="006340E2" w:rsidRPr="00E503D6">
        <w:t xml:space="preserve">cted to ensure proper reporting as evidenced in the WORD document MSRB Review. </w:t>
      </w:r>
    </w:p>
    <w:p w14:paraId="2A2D5019" w14:textId="77777777" w:rsidR="0009789C" w:rsidRPr="00AF3D2D" w:rsidRDefault="00867BD7" w:rsidP="00C1728B">
      <w:pPr>
        <w:pStyle w:val="BodyText"/>
        <w:numPr>
          <w:ilvl w:val="2"/>
          <w:numId w:val="94"/>
        </w:numPr>
        <w:tabs>
          <w:tab w:val="left" w:pos="900"/>
          <w:tab w:val="left" w:pos="2592"/>
          <w:tab w:val="left" w:pos="7200"/>
        </w:tabs>
        <w:spacing w:before="0" w:after="0"/>
        <w:ind w:left="900"/>
        <w:jc w:val="left"/>
      </w:pPr>
      <w:r w:rsidRPr="00AF3D2D">
        <w:t>Operations</w:t>
      </w:r>
      <w:r w:rsidR="000B099F" w:rsidRPr="00AF3D2D">
        <w:t xml:space="preserve"> will</w:t>
      </w:r>
      <w:r w:rsidRPr="00AF3D2D">
        <w:t xml:space="preserve"> e</w:t>
      </w:r>
      <w:r w:rsidR="0009789C" w:rsidRPr="00AF3D2D">
        <w:t>nsure the Inventory Account is zeroed out after customer sides are entered.</w:t>
      </w:r>
    </w:p>
    <w:p w14:paraId="2766A03B" w14:textId="77777777" w:rsidR="000C099C" w:rsidRPr="00AF3D2D" w:rsidRDefault="000C099C" w:rsidP="00F14C7B">
      <w:pPr>
        <w:tabs>
          <w:tab w:val="left" w:pos="576"/>
          <w:tab w:val="left" w:pos="720"/>
          <w:tab w:val="left" w:pos="2592"/>
          <w:tab w:val="left" w:pos="7200"/>
        </w:tabs>
        <w:rPr>
          <w:sz w:val="24"/>
        </w:rPr>
      </w:pPr>
    </w:p>
    <w:p w14:paraId="271DC669" w14:textId="77777777" w:rsidR="000C099C" w:rsidRPr="00AF3D2D" w:rsidRDefault="000C099C" w:rsidP="00F668C5">
      <w:pPr>
        <w:ind w:left="270"/>
      </w:pPr>
      <w:r w:rsidRPr="00AF3D2D">
        <w:rPr>
          <w:sz w:val="24"/>
        </w:rPr>
        <w:t xml:space="preserve">All requests for account transfers must be received from the customer in writing.  When a request is received by the </w:t>
      </w:r>
      <w:r w:rsidR="00532715" w:rsidRPr="00AF3D2D">
        <w:rPr>
          <w:sz w:val="24"/>
        </w:rPr>
        <w:t>Company</w:t>
      </w:r>
      <w:r w:rsidRPr="00AF3D2D">
        <w:rPr>
          <w:sz w:val="24"/>
        </w:rPr>
        <w:t xml:space="preserve">, it shall be forwarded to </w:t>
      </w:r>
      <w:r w:rsidR="00BC798B" w:rsidRPr="00E4165F">
        <w:rPr>
          <w:sz w:val="24"/>
        </w:rPr>
        <w:t>Hilltop</w:t>
      </w:r>
      <w:r w:rsidRPr="00AF3D2D">
        <w:rPr>
          <w:sz w:val="24"/>
        </w:rPr>
        <w:t xml:space="preserve"> Securities no later than the end of the day.  A copy of the written request and if applicable, mailing receipt shall be maintained in the customer’s file</w:t>
      </w:r>
      <w:r w:rsidRPr="00AF3D2D">
        <w:t xml:space="preserve">. </w:t>
      </w:r>
    </w:p>
    <w:p w14:paraId="3C516EDB" w14:textId="77777777" w:rsidR="008A42B3" w:rsidRPr="00AF3D2D" w:rsidRDefault="008A42B3" w:rsidP="00F668C5">
      <w:pPr>
        <w:ind w:left="270"/>
      </w:pPr>
    </w:p>
    <w:p w14:paraId="1B1690B1" w14:textId="77777777" w:rsidR="009F4A1A" w:rsidRDefault="009F4A1A" w:rsidP="009F4A1A">
      <w:pPr>
        <w:pStyle w:val="Heading3"/>
      </w:pPr>
      <w:r>
        <w:t>1</w:t>
      </w:r>
      <w:r w:rsidR="00174005">
        <w:t>3</w:t>
      </w:r>
      <w:r>
        <w:t>.3.3 Rule A-12(h)</w:t>
      </w:r>
    </w:p>
    <w:p w14:paraId="4BB99491" w14:textId="77777777" w:rsidR="008A42B3" w:rsidRDefault="008A42B3" w:rsidP="009F4A1A">
      <w:pPr>
        <w:pStyle w:val="Normal1"/>
        <w:spacing w:before="0" w:after="0" w:afterAutospacing="0" w:line="240" w:lineRule="auto"/>
        <w:ind w:left="274"/>
        <w:rPr>
          <w:rFonts w:ascii="Times New Roman" w:hAnsi="Times New Roman" w:cs="Times New Roman"/>
          <w:spacing w:val="0"/>
          <w:sz w:val="24"/>
          <w:szCs w:val="24"/>
        </w:rPr>
      </w:pPr>
      <w:r w:rsidRPr="00AF3D2D">
        <w:rPr>
          <w:rFonts w:ascii="Times New Roman" w:hAnsi="Times New Roman" w:cs="Times New Roman"/>
          <w:sz w:val="24"/>
          <w:szCs w:val="24"/>
        </w:rPr>
        <w:t xml:space="preserve">Pursuant to MSRB </w:t>
      </w:r>
      <w:r w:rsidRPr="00AF3D2D">
        <w:rPr>
          <w:rFonts w:ascii="Times New Roman" w:hAnsi="Times New Roman" w:cs="Times New Roman"/>
          <w:b/>
          <w:sz w:val="24"/>
          <w:szCs w:val="24"/>
        </w:rPr>
        <w:t>Rule A</w:t>
      </w:r>
      <w:r w:rsidR="00427D5F" w:rsidRPr="00AF3D2D">
        <w:rPr>
          <w:rFonts w:ascii="Times New Roman" w:hAnsi="Times New Roman" w:cs="Times New Roman"/>
          <w:b/>
          <w:sz w:val="24"/>
          <w:szCs w:val="24"/>
        </w:rPr>
        <w:t>-</w:t>
      </w:r>
      <w:r w:rsidRPr="00AF3D2D">
        <w:rPr>
          <w:rFonts w:ascii="Times New Roman" w:hAnsi="Times New Roman" w:cs="Times New Roman"/>
          <w:b/>
          <w:sz w:val="24"/>
          <w:szCs w:val="24"/>
        </w:rPr>
        <w:t>12(h)</w:t>
      </w:r>
      <w:r w:rsidRPr="00AF3D2D">
        <w:rPr>
          <w:rFonts w:ascii="Times New Roman" w:hAnsi="Times New Roman" w:cs="Times New Roman"/>
          <w:sz w:val="24"/>
          <w:szCs w:val="24"/>
        </w:rPr>
        <w:t>,</w:t>
      </w:r>
      <w:r w:rsidRPr="00AF3D2D">
        <w:t xml:space="preserve"> </w:t>
      </w:r>
      <w:r w:rsidRPr="00AF3D2D">
        <w:rPr>
          <w:rFonts w:ascii="Times New Roman" w:hAnsi="Times New Roman" w:cs="Times New Roman"/>
          <w:spacing w:val="0"/>
          <w:sz w:val="24"/>
          <w:szCs w:val="24"/>
        </w:rPr>
        <w:t>Compliance will respond to regulatory requests for information within 15 days (or a longer agreed-upon period).</w:t>
      </w:r>
    </w:p>
    <w:p w14:paraId="29855658" w14:textId="77777777" w:rsidR="009F4A1A" w:rsidRDefault="009F4A1A" w:rsidP="009F4A1A">
      <w:pPr>
        <w:pStyle w:val="Normal1"/>
        <w:spacing w:before="0" w:after="0" w:afterAutospacing="0" w:line="240" w:lineRule="auto"/>
        <w:ind w:left="274"/>
        <w:rPr>
          <w:rFonts w:ascii="Times New Roman" w:hAnsi="Times New Roman" w:cs="Times New Roman"/>
          <w:spacing w:val="0"/>
          <w:sz w:val="24"/>
          <w:szCs w:val="24"/>
        </w:rPr>
      </w:pPr>
    </w:p>
    <w:p w14:paraId="7B4E355F" w14:textId="77777777" w:rsidR="009F4A1A" w:rsidRPr="00C47650" w:rsidRDefault="009F4A1A" w:rsidP="00C47650">
      <w:pPr>
        <w:pStyle w:val="Heading3"/>
        <w:rPr>
          <w:color w:val="000000" w:themeColor="text1"/>
        </w:rPr>
      </w:pPr>
      <w:r w:rsidRPr="00C47650">
        <w:rPr>
          <w:color w:val="000000" w:themeColor="text1"/>
        </w:rPr>
        <w:t>1</w:t>
      </w:r>
      <w:r w:rsidR="00174005">
        <w:rPr>
          <w:color w:val="000000" w:themeColor="text1"/>
        </w:rPr>
        <w:t>3</w:t>
      </w:r>
      <w:r w:rsidRPr="00C47650">
        <w:rPr>
          <w:color w:val="000000" w:themeColor="text1"/>
        </w:rPr>
        <w:t>.3.4 Short Positions</w:t>
      </w:r>
    </w:p>
    <w:p w14:paraId="026281B0" w14:textId="77777777" w:rsidR="00C47650" w:rsidRPr="00767FD6" w:rsidRDefault="00C47650" w:rsidP="00C47650">
      <w:pPr>
        <w:ind w:left="274"/>
        <w:rPr>
          <w:sz w:val="24"/>
          <w:szCs w:val="24"/>
        </w:rPr>
      </w:pPr>
      <w:r w:rsidRPr="00767FD6">
        <w:rPr>
          <w:sz w:val="24"/>
          <w:szCs w:val="24"/>
        </w:rPr>
        <w:t xml:space="preserve">Short positions may occur when trading activity inadvertently results in creating a firm short position or when </w:t>
      </w:r>
      <w:r w:rsidR="003D6C28" w:rsidRPr="00767FD6">
        <w:rPr>
          <w:sz w:val="24"/>
          <w:szCs w:val="24"/>
        </w:rPr>
        <w:t>the Company</w:t>
      </w:r>
      <w:r w:rsidRPr="00767FD6">
        <w:rPr>
          <w:sz w:val="24"/>
          <w:szCs w:val="24"/>
        </w:rPr>
        <w:t xml:space="preserve"> fails to receive securities it purchased to fill a customer's municipal securities order. These occurrences may affect the </w:t>
      </w:r>
      <w:r w:rsidR="00BD2579" w:rsidRPr="00767FD6">
        <w:rPr>
          <w:sz w:val="24"/>
          <w:szCs w:val="24"/>
        </w:rPr>
        <w:t>tax-exempt</w:t>
      </w:r>
      <w:r w:rsidRPr="00767FD6">
        <w:rPr>
          <w:sz w:val="24"/>
          <w:szCs w:val="24"/>
        </w:rPr>
        <w:t xml:space="preserve"> status of a customer's municipal securities interest if the securities become a short position. The customer may receive substitute interest which could be taxable.</w:t>
      </w:r>
    </w:p>
    <w:p w14:paraId="1816004D" w14:textId="77777777" w:rsidR="00C47650" w:rsidRPr="00767FD6" w:rsidRDefault="00C47650" w:rsidP="00C47650">
      <w:pPr>
        <w:ind w:left="274"/>
        <w:rPr>
          <w:sz w:val="24"/>
          <w:szCs w:val="24"/>
        </w:rPr>
      </w:pPr>
    </w:p>
    <w:p w14:paraId="1F1648C4" w14:textId="77777777" w:rsidR="00C47650" w:rsidRPr="00767FD6" w:rsidRDefault="00C47650" w:rsidP="00C47650">
      <w:pPr>
        <w:ind w:left="274"/>
        <w:rPr>
          <w:sz w:val="24"/>
          <w:szCs w:val="24"/>
        </w:rPr>
      </w:pPr>
      <w:r w:rsidRPr="00767FD6">
        <w:rPr>
          <w:sz w:val="24"/>
          <w:szCs w:val="24"/>
        </w:rPr>
        <w:t>If a short position occurs where a customer has purchased the municipal securities in question, the following procedures will be followed by the designated supervisor:</w:t>
      </w:r>
    </w:p>
    <w:p w14:paraId="34F259ED" w14:textId="77777777" w:rsidR="00C47650" w:rsidRPr="00767FD6" w:rsidRDefault="00C47650" w:rsidP="003E7B18">
      <w:pPr>
        <w:numPr>
          <w:ilvl w:val="0"/>
          <w:numId w:val="282"/>
        </w:numPr>
        <w:spacing w:before="100" w:beforeAutospacing="1" w:after="100" w:afterAutospacing="1"/>
        <w:rPr>
          <w:sz w:val="24"/>
          <w:szCs w:val="24"/>
        </w:rPr>
      </w:pPr>
      <w:r w:rsidRPr="00767FD6">
        <w:rPr>
          <w:sz w:val="24"/>
          <w:szCs w:val="24"/>
        </w:rPr>
        <w:t>The short position will be evaluated to determine whether the customer's tax-free interest is in question.</w:t>
      </w:r>
    </w:p>
    <w:p w14:paraId="5070A0F4" w14:textId="77777777" w:rsidR="00C47650" w:rsidRPr="00767FD6" w:rsidRDefault="00C47650" w:rsidP="003E7B18">
      <w:pPr>
        <w:numPr>
          <w:ilvl w:val="0"/>
          <w:numId w:val="282"/>
        </w:numPr>
        <w:spacing w:before="100" w:beforeAutospacing="1" w:after="100" w:afterAutospacing="1"/>
        <w:rPr>
          <w:sz w:val="24"/>
          <w:szCs w:val="24"/>
        </w:rPr>
      </w:pPr>
      <w:r w:rsidRPr="00767FD6">
        <w:rPr>
          <w:sz w:val="24"/>
          <w:szCs w:val="24"/>
        </w:rPr>
        <w:t>The customer will be notified and offered the opportunity to cancel the order and substitute for a different municipal security.</w:t>
      </w:r>
    </w:p>
    <w:p w14:paraId="0BDB91E7" w14:textId="77777777" w:rsidR="00C47650" w:rsidRPr="00767FD6" w:rsidRDefault="00C47650" w:rsidP="003E7B18">
      <w:pPr>
        <w:numPr>
          <w:ilvl w:val="0"/>
          <w:numId w:val="282"/>
        </w:numPr>
        <w:spacing w:before="100" w:beforeAutospacing="1" w:after="100" w:afterAutospacing="1"/>
        <w:rPr>
          <w:sz w:val="24"/>
          <w:szCs w:val="24"/>
        </w:rPr>
      </w:pPr>
      <w:r w:rsidRPr="00767FD6">
        <w:rPr>
          <w:sz w:val="24"/>
          <w:szCs w:val="24"/>
        </w:rPr>
        <w:t>A record of the short position and corrective action will be maintained.</w:t>
      </w:r>
    </w:p>
    <w:p w14:paraId="0178F58E" w14:textId="77777777" w:rsidR="00000738" w:rsidRDefault="00000738" w:rsidP="0012020B">
      <w:bookmarkStart w:id="235" w:name="_Toc149007284"/>
    </w:p>
    <w:p w14:paraId="187109A0" w14:textId="77777777" w:rsidR="003C62C2" w:rsidRDefault="003C62C2" w:rsidP="003C62C2">
      <w:pPr>
        <w:pStyle w:val="Heading3"/>
      </w:pPr>
      <w:r>
        <w:t>1</w:t>
      </w:r>
      <w:r w:rsidR="00174005">
        <w:t>3</w:t>
      </w:r>
      <w:r>
        <w:t>.3.5 Best Execution</w:t>
      </w:r>
    </w:p>
    <w:p w14:paraId="438B0C14" w14:textId="77777777" w:rsidR="003C62C2" w:rsidRPr="00EA0A5B" w:rsidRDefault="00F6390F" w:rsidP="003C62C2">
      <w:pPr>
        <w:ind w:left="270"/>
        <w:rPr>
          <w:sz w:val="24"/>
          <w:szCs w:val="24"/>
        </w:rPr>
      </w:pPr>
      <w:r w:rsidRPr="00EA0A5B">
        <w:rPr>
          <w:sz w:val="24"/>
          <w:szCs w:val="24"/>
        </w:rPr>
        <w:t xml:space="preserve">Pursuant to MSRB </w:t>
      </w:r>
      <w:r w:rsidRPr="00EA0A5B">
        <w:rPr>
          <w:b/>
          <w:sz w:val="24"/>
          <w:szCs w:val="24"/>
        </w:rPr>
        <w:t>Rule G-18</w:t>
      </w:r>
      <w:r w:rsidRPr="00EA0A5B">
        <w:rPr>
          <w:sz w:val="24"/>
          <w:szCs w:val="24"/>
        </w:rPr>
        <w:t xml:space="preserve">, </w:t>
      </w:r>
      <w:r w:rsidR="003C62C2" w:rsidRPr="00EA0A5B">
        <w:rPr>
          <w:sz w:val="24"/>
          <w:szCs w:val="24"/>
        </w:rPr>
        <w:t xml:space="preserve">Company has an obligation to provide best execution for its customers' orders, including orders executed internally and whether as agent or principal. "Best execution" refers to using reasonable diligence to determine the best market to buy or sell a security and obtaining a price as favorable as possible under prevailing market conditions.  </w:t>
      </w:r>
    </w:p>
    <w:p w14:paraId="485B2F26" w14:textId="77777777" w:rsidR="00220434" w:rsidRDefault="00220434" w:rsidP="00220434">
      <w:pPr>
        <w:ind w:left="274"/>
        <w:rPr>
          <w:color w:val="FF0000"/>
          <w:sz w:val="24"/>
          <w:szCs w:val="24"/>
        </w:rPr>
      </w:pPr>
    </w:p>
    <w:p w14:paraId="6D2C98B9" w14:textId="77777777" w:rsidR="003C62C2" w:rsidRPr="00EA0A5B" w:rsidRDefault="003C62C2" w:rsidP="00220434">
      <w:pPr>
        <w:ind w:left="274"/>
        <w:rPr>
          <w:sz w:val="24"/>
          <w:szCs w:val="24"/>
        </w:rPr>
      </w:pPr>
      <w:r w:rsidRPr="00EA0A5B">
        <w:rPr>
          <w:sz w:val="24"/>
          <w:szCs w:val="24"/>
        </w:rPr>
        <w:t>Factors for using "reasonable diligence" include:</w:t>
      </w:r>
    </w:p>
    <w:p w14:paraId="62EBDBD4" w14:textId="77777777" w:rsidR="003C62C2" w:rsidRPr="00EA0A5B" w:rsidRDefault="003C62C2" w:rsidP="003E7B18">
      <w:pPr>
        <w:numPr>
          <w:ilvl w:val="0"/>
          <w:numId w:val="285"/>
        </w:numPr>
        <w:ind w:hanging="270"/>
        <w:rPr>
          <w:sz w:val="24"/>
          <w:szCs w:val="24"/>
        </w:rPr>
      </w:pPr>
      <w:r w:rsidRPr="00EA0A5B">
        <w:rPr>
          <w:sz w:val="24"/>
          <w:szCs w:val="24"/>
        </w:rPr>
        <w:t xml:space="preserve">the character of the market for the security, </w:t>
      </w:r>
      <w:r w:rsidRPr="00EA0A5B">
        <w:rPr>
          <w:i/>
          <w:iCs/>
          <w:sz w:val="24"/>
          <w:szCs w:val="24"/>
        </w:rPr>
        <w:t>e.g.,</w:t>
      </w:r>
      <w:r w:rsidRPr="00EA0A5B">
        <w:rPr>
          <w:sz w:val="24"/>
          <w:szCs w:val="24"/>
        </w:rPr>
        <w:t xml:space="preserve"> price, volatility, and relative liquidity</w:t>
      </w:r>
    </w:p>
    <w:p w14:paraId="0D5D4024" w14:textId="77777777"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the size and type of transaction</w:t>
      </w:r>
    </w:p>
    <w:p w14:paraId="4D725CAD" w14:textId="77777777"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the number of markets checked</w:t>
      </w:r>
    </w:p>
    <w:p w14:paraId="375A2A25" w14:textId="77777777"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the information reviewed to determine the current market for the subject security or similar securities</w:t>
      </w:r>
    </w:p>
    <w:p w14:paraId="190FAA5B" w14:textId="77777777"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accessibility of the quotation</w:t>
      </w:r>
    </w:p>
    <w:p w14:paraId="09072188" w14:textId="77777777"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the terms and conditions of the order</w:t>
      </w:r>
    </w:p>
    <w:p w14:paraId="719E01EB" w14:textId="189CA199"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 xml:space="preserve">review of multiple market </w:t>
      </w:r>
      <w:r w:rsidR="00E31E45" w:rsidRPr="00EA0A5B">
        <w:rPr>
          <w:sz w:val="24"/>
          <w:szCs w:val="24"/>
        </w:rPr>
        <w:t>venues if</w:t>
      </w:r>
      <w:r w:rsidRPr="00EA0A5B">
        <w:rPr>
          <w:sz w:val="24"/>
          <w:szCs w:val="24"/>
        </w:rPr>
        <w:t xml:space="preserve"> they are available</w:t>
      </w:r>
    </w:p>
    <w:p w14:paraId="55BC9852" w14:textId="77777777"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contact with other dealers</w:t>
      </w:r>
    </w:p>
    <w:p w14:paraId="3F2C56AF" w14:textId="77777777"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the liquidity of the bonds</w:t>
      </w:r>
    </w:p>
    <w:p w14:paraId="230649B3" w14:textId="77777777"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size of the transaction</w:t>
      </w:r>
    </w:p>
    <w:p w14:paraId="43460E80" w14:textId="77777777"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reasonable mark-ups/mark-downs</w:t>
      </w:r>
    </w:p>
    <w:p w14:paraId="71A7205C" w14:textId="77777777"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the customer's instructions and expectations</w:t>
      </w:r>
    </w:p>
    <w:p w14:paraId="33915DC9" w14:textId="77777777" w:rsidR="003C62C2" w:rsidRPr="00EA0A5B" w:rsidRDefault="003C62C2" w:rsidP="003E7B18">
      <w:pPr>
        <w:numPr>
          <w:ilvl w:val="0"/>
          <w:numId w:val="285"/>
        </w:numPr>
        <w:spacing w:before="100" w:beforeAutospacing="1" w:after="100" w:afterAutospacing="1"/>
        <w:ind w:hanging="270"/>
        <w:rPr>
          <w:sz w:val="24"/>
          <w:szCs w:val="24"/>
        </w:rPr>
      </w:pPr>
      <w:r w:rsidRPr="00EA0A5B">
        <w:rPr>
          <w:sz w:val="24"/>
          <w:szCs w:val="24"/>
        </w:rPr>
        <w:t>the availability of pricing of recent sales in the same, similar, or benchmark securities (</w:t>
      </w:r>
      <w:r w:rsidRPr="00EA0A5B">
        <w:rPr>
          <w:i/>
          <w:iCs/>
          <w:sz w:val="24"/>
          <w:szCs w:val="24"/>
        </w:rPr>
        <w:t>i.e.,</w:t>
      </w:r>
      <w:r w:rsidRPr="00EA0A5B">
        <w:rPr>
          <w:sz w:val="24"/>
          <w:szCs w:val="24"/>
        </w:rPr>
        <w:t xml:space="preserve"> EMMA)</w:t>
      </w:r>
    </w:p>
    <w:p w14:paraId="6AC7C54E" w14:textId="77777777" w:rsidR="003C62C2" w:rsidRPr="00EA0A5B" w:rsidRDefault="003C62C2" w:rsidP="00220434">
      <w:pPr>
        <w:ind w:firstLine="270"/>
        <w:rPr>
          <w:sz w:val="24"/>
          <w:szCs w:val="24"/>
        </w:rPr>
      </w:pPr>
      <w:r w:rsidRPr="00EA0A5B">
        <w:rPr>
          <w:sz w:val="24"/>
          <w:szCs w:val="24"/>
        </w:rPr>
        <w:t>Other considerations for best execution include the following:</w:t>
      </w:r>
    </w:p>
    <w:p w14:paraId="0CE920A6" w14:textId="77777777" w:rsidR="003C62C2" w:rsidRPr="00EA0A5B" w:rsidRDefault="003C62C2" w:rsidP="003E7B18">
      <w:pPr>
        <w:numPr>
          <w:ilvl w:val="0"/>
          <w:numId w:val="286"/>
        </w:numPr>
        <w:tabs>
          <w:tab w:val="clear" w:pos="720"/>
          <w:tab w:val="num" w:pos="900"/>
        </w:tabs>
        <w:ind w:left="900" w:hanging="270"/>
        <w:rPr>
          <w:sz w:val="24"/>
          <w:szCs w:val="24"/>
        </w:rPr>
      </w:pPr>
      <w:r w:rsidRPr="00EA0A5B">
        <w:rPr>
          <w:sz w:val="24"/>
          <w:szCs w:val="24"/>
        </w:rPr>
        <w:t>In any customer transaction, Company is prohibited from interjecting a third party between itself and the best market for the security inconsistent with the factors above (</w:t>
      </w:r>
      <w:proofErr w:type="spellStart"/>
      <w:r w:rsidRPr="00EA0A5B">
        <w:rPr>
          <w:sz w:val="24"/>
          <w:szCs w:val="24"/>
        </w:rPr>
        <w:t>interpositioning</w:t>
      </w:r>
      <w:proofErr w:type="spellEnd"/>
      <w:r w:rsidRPr="00EA0A5B">
        <w:rPr>
          <w:sz w:val="24"/>
          <w:szCs w:val="24"/>
        </w:rPr>
        <w:t>). This does not prohibit the use of broker's brokers unless it is inconsistent with the best execution obligation.</w:t>
      </w:r>
    </w:p>
    <w:p w14:paraId="66963594" w14:textId="77777777" w:rsidR="003C62C2" w:rsidRPr="00EA0A5B" w:rsidRDefault="003C62C2" w:rsidP="003E7B18">
      <w:pPr>
        <w:numPr>
          <w:ilvl w:val="0"/>
          <w:numId w:val="286"/>
        </w:numPr>
        <w:tabs>
          <w:tab w:val="clear" w:pos="720"/>
          <w:tab w:val="num" w:pos="900"/>
        </w:tabs>
        <w:spacing w:before="100" w:beforeAutospacing="1" w:after="100" w:afterAutospacing="1"/>
        <w:ind w:left="900" w:hanging="270"/>
        <w:rPr>
          <w:sz w:val="24"/>
          <w:szCs w:val="24"/>
        </w:rPr>
      </w:pPr>
      <w:r w:rsidRPr="00EA0A5B">
        <w:rPr>
          <w:sz w:val="24"/>
          <w:szCs w:val="24"/>
        </w:rPr>
        <w:t xml:space="preserve">Customer orders should be executed promptly, </w:t>
      </w:r>
      <w:r w:rsidR="00174005" w:rsidRPr="00EA0A5B">
        <w:rPr>
          <w:sz w:val="24"/>
          <w:szCs w:val="24"/>
        </w:rPr>
        <w:t>considering</w:t>
      </w:r>
      <w:r w:rsidRPr="00EA0A5B">
        <w:rPr>
          <w:sz w:val="24"/>
          <w:szCs w:val="24"/>
        </w:rPr>
        <w:t xml:space="preserve"> prevailing market conditions; certain conditions may necessitate additional time to ascertain the best market.</w:t>
      </w:r>
    </w:p>
    <w:p w14:paraId="2B924E3A" w14:textId="77777777" w:rsidR="003C62C2" w:rsidRPr="00EA0A5B" w:rsidRDefault="003C62C2" w:rsidP="003E7B18">
      <w:pPr>
        <w:numPr>
          <w:ilvl w:val="0"/>
          <w:numId w:val="286"/>
        </w:numPr>
        <w:tabs>
          <w:tab w:val="clear" w:pos="720"/>
          <w:tab w:val="num" w:pos="900"/>
        </w:tabs>
        <w:spacing w:before="100" w:beforeAutospacing="1" w:after="100" w:afterAutospacing="1"/>
        <w:ind w:left="900" w:hanging="270"/>
        <w:rPr>
          <w:sz w:val="24"/>
          <w:szCs w:val="24"/>
        </w:rPr>
      </w:pPr>
      <w:r w:rsidRPr="00EA0A5B">
        <w:rPr>
          <w:sz w:val="24"/>
          <w:szCs w:val="24"/>
        </w:rPr>
        <w:t>"Markets" include a variety of venues which may include broker's brokers; alternative trading systems; or other counterparties. Best execution involves considering a wide variety of venues without considering that some venues have less relevance.</w:t>
      </w:r>
    </w:p>
    <w:p w14:paraId="26CFCA48" w14:textId="77777777" w:rsidR="003C62C2" w:rsidRPr="00EA0A5B" w:rsidRDefault="003C62C2" w:rsidP="003E7B18">
      <w:pPr>
        <w:numPr>
          <w:ilvl w:val="0"/>
          <w:numId w:val="286"/>
        </w:numPr>
        <w:tabs>
          <w:tab w:val="clear" w:pos="720"/>
          <w:tab w:val="num" w:pos="900"/>
        </w:tabs>
        <w:spacing w:before="100" w:beforeAutospacing="1" w:after="100" w:afterAutospacing="1"/>
        <w:ind w:left="900" w:hanging="270"/>
        <w:rPr>
          <w:sz w:val="24"/>
          <w:szCs w:val="24"/>
        </w:rPr>
      </w:pPr>
      <w:r w:rsidRPr="00EA0A5B">
        <w:rPr>
          <w:sz w:val="24"/>
          <w:szCs w:val="24"/>
        </w:rPr>
        <w:t>Best execution requirements do not apply to customer orders where the customer designates a particular market for execution; such orders should have prompt processing in accordance with the customer's terms.</w:t>
      </w:r>
    </w:p>
    <w:p w14:paraId="0C900360" w14:textId="77777777" w:rsidR="003C62C2" w:rsidRPr="00EA0A5B" w:rsidRDefault="003C62C2" w:rsidP="003E7B18">
      <w:pPr>
        <w:numPr>
          <w:ilvl w:val="0"/>
          <w:numId w:val="286"/>
        </w:numPr>
        <w:tabs>
          <w:tab w:val="clear" w:pos="720"/>
          <w:tab w:val="num" w:pos="900"/>
        </w:tabs>
        <w:spacing w:before="100" w:beforeAutospacing="1" w:after="100" w:afterAutospacing="1"/>
        <w:ind w:left="900" w:hanging="270"/>
        <w:rPr>
          <w:sz w:val="24"/>
          <w:szCs w:val="24"/>
        </w:rPr>
      </w:pPr>
      <w:r w:rsidRPr="00EA0A5B">
        <w:rPr>
          <w:sz w:val="24"/>
          <w:szCs w:val="24"/>
        </w:rPr>
        <w:lastRenderedPageBreak/>
        <w:t>The requirements of MSRB Rule G-18 do not apply to:</w:t>
      </w:r>
    </w:p>
    <w:p w14:paraId="0BDE3DD7" w14:textId="77777777" w:rsidR="003C62C2" w:rsidRPr="00EA0A5B" w:rsidRDefault="003C62C2" w:rsidP="003E7B18">
      <w:pPr>
        <w:numPr>
          <w:ilvl w:val="1"/>
          <w:numId w:val="286"/>
        </w:numPr>
        <w:spacing w:before="100" w:beforeAutospacing="1" w:after="100" w:afterAutospacing="1"/>
        <w:rPr>
          <w:sz w:val="24"/>
          <w:szCs w:val="24"/>
        </w:rPr>
      </w:pPr>
      <w:r w:rsidRPr="00EA0A5B">
        <w:rPr>
          <w:sz w:val="24"/>
          <w:szCs w:val="24"/>
        </w:rPr>
        <w:t>Municipal fund securities</w:t>
      </w:r>
    </w:p>
    <w:p w14:paraId="67F70AEA" w14:textId="77777777" w:rsidR="003C62C2" w:rsidRPr="00EA0A5B" w:rsidRDefault="003C62C2" w:rsidP="003E7B18">
      <w:pPr>
        <w:numPr>
          <w:ilvl w:val="1"/>
          <w:numId w:val="286"/>
        </w:numPr>
        <w:spacing w:before="100" w:beforeAutospacing="1" w:after="100" w:afterAutospacing="1"/>
        <w:rPr>
          <w:sz w:val="24"/>
          <w:szCs w:val="24"/>
        </w:rPr>
      </w:pPr>
      <w:r w:rsidRPr="00EA0A5B">
        <w:rPr>
          <w:sz w:val="24"/>
          <w:szCs w:val="24"/>
        </w:rPr>
        <w:t>Transactions with SMMPs that have provided the required affirmations</w:t>
      </w:r>
    </w:p>
    <w:p w14:paraId="0B6A9A7D" w14:textId="77777777" w:rsidR="003C62C2" w:rsidRPr="00EA0A5B" w:rsidRDefault="003C62C2" w:rsidP="003E7B18">
      <w:pPr>
        <w:numPr>
          <w:ilvl w:val="1"/>
          <w:numId w:val="286"/>
        </w:numPr>
        <w:spacing w:before="100" w:beforeAutospacing="1" w:after="100" w:afterAutospacing="1"/>
        <w:rPr>
          <w:sz w:val="24"/>
          <w:szCs w:val="24"/>
        </w:rPr>
      </w:pPr>
      <w:r w:rsidRPr="00EA0A5B">
        <w:rPr>
          <w:sz w:val="24"/>
          <w:szCs w:val="24"/>
        </w:rPr>
        <w:t>Transactions with other broker-dealers</w:t>
      </w:r>
    </w:p>
    <w:p w14:paraId="13B55AF8" w14:textId="77777777" w:rsidR="00220434" w:rsidRPr="00EA0A5B" w:rsidRDefault="00220434" w:rsidP="00220434">
      <w:pPr>
        <w:shd w:val="clear" w:color="auto" w:fill="FFFFFF"/>
        <w:ind w:firstLine="270"/>
        <w:rPr>
          <w:sz w:val="24"/>
          <w:szCs w:val="24"/>
        </w:rPr>
      </w:pPr>
      <w:r w:rsidRPr="00EA0A5B">
        <w:rPr>
          <w:sz w:val="24"/>
          <w:szCs w:val="24"/>
        </w:rPr>
        <w:t>Orders are not required to be exposed to every available market.</w:t>
      </w:r>
    </w:p>
    <w:p w14:paraId="2F6FA05B" w14:textId="77777777" w:rsidR="00220434" w:rsidRPr="00EA0A5B" w:rsidRDefault="00220434" w:rsidP="003E7B18">
      <w:pPr>
        <w:numPr>
          <w:ilvl w:val="0"/>
          <w:numId w:val="287"/>
        </w:numPr>
        <w:shd w:val="clear" w:color="auto" w:fill="FFFFFF"/>
        <w:tabs>
          <w:tab w:val="clear" w:pos="720"/>
          <w:tab w:val="num" w:pos="900"/>
        </w:tabs>
        <w:ind w:left="900" w:hanging="270"/>
        <w:rPr>
          <w:sz w:val="24"/>
          <w:szCs w:val="24"/>
        </w:rPr>
      </w:pPr>
      <w:r w:rsidRPr="00EA0A5B">
        <w:rPr>
          <w:sz w:val="24"/>
          <w:szCs w:val="24"/>
        </w:rPr>
        <w:t>More than one market should be checked</w:t>
      </w:r>
    </w:p>
    <w:p w14:paraId="686788BD" w14:textId="77777777" w:rsidR="00220434" w:rsidRPr="00EA0A5B" w:rsidRDefault="00220434" w:rsidP="003E7B18">
      <w:pPr>
        <w:numPr>
          <w:ilvl w:val="0"/>
          <w:numId w:val="287"/>
        </w:numPr>
        <w:shd w:val="clear" w:color="auto" w:fill="FFFFFF"/>
        <w:tabs>
          <w:tab w:val="clear" w:pos="720"/>
          <w:tab w:val="num" w:pos="900"/>
        </w:tabs>
        <w:spacing w:before="100" w:beforeAutospacing="1" w:after="100" w:afterAutospacing="1"/>
        <w:ind w:left="900" w:hanging="270"/>
        <w:rPr>
          <w:sz w:val="24"/>
          <w:szCs w:val="24"/>
        </w:rPr>
      </w:pPr>
      <w:r w:rsidRPr="00EA0A5B">
        <w:rPr>
          <w:sz w:val="24"/>
          <w:szCs w:val="24"/>
        </w:rPr>
        <w:t>Expose customer orders to multiple offerings or bids</w:t>
      </w:r>
    </w:p>
    <w:p w14:paraId="66F5B803" w14:textId="77777777" w:rsidR="00220434" w:rsidRPr="00EA0A5B" w:rsidRDefault="00220434" w:rsidP="003E7B18">
      <w:pPr>
        <w:numPr>
          <w:ilvl w:val="0"/>
          <w:numId w:val="287"/>
        </w:numPr>
        <w:shd w:val="clear" w:color="auto" w:fill="FFFFFF"/>
        <w:tabs>
          <w:tab w:val="clear" w:pos="720"/>
          <w:tab w:val="num" w:pos="900"/>
        </w:tabs>
        <w:spacing w:before="100" w:beforeAutospacing="1" w:after="100" w:afterAutospacing="1"/>
        <w:ind w:left="900" w:hanging="270"/>
        <w:rPr>
          <w:sz w:val="24"/>
          <w:szCs w:val="24"/>
        </w:rPr>
      </w:pPr>
      <w:r w:rsidRPr="00EA0A5B">
        <w:rPr>
          <w:sz w:val="24"/>
          <w:szCs w:val="24"/>
        </w:rPr>
        <w:t>Show external offerings and bids to retail customers</w:t>
      </w:r>
    </w:p>
    <w:p w14:paraId="7BA146DE" w14:textId="77777777" w:rsidR="00220434" w:rsidRPr="00EA0A5B" w:rsidRDefault="00220434" w:rsidP="003E7B18">
      <w:pPr>
        <w:numPr>
          <w:ilvl w:val="0"/>
          <w:numId w:val="287"/>
        </w:numPr>
        <w:shd w:val="clear" w:color="auto" w:fill="FFFFFF"/>
        <w:tabs>
          <w:tab w:val="clear" w:pos="720"/>
          <w:tab w:val="num" w:pos="900"/>
        </w:tabs>
        <w:spacing w:before="100" w:beforeAutospacing="1" w:after="100" w:afterAutospacing="1"/>
        <w:ind w:left="900" w:hanging="270"/>
        <w:rPr>
          <w:sz w:val="24"/>
          <w:szCs w:val="24"/>
        </w:rPr>
      </w:pPr>
      <w:r w:rsidRPr="00EA0A5B">
        <w:rPr>
          <w:sz w:val="24"/>
          <w:szCs w:val="24"/>
        </w:rPr>
        <w:t>Evaluate offers or bids versus relevant market information to determine whether other markets or dealers should be checked</w:t>
      </w:r>
    </w:p>
    <w:p w14:paraId="7528B58C" w14:textId="77777777" w:rsidR="00220434" w:rsidRPr="00EA0A5B" w:rsidRDefault="00220434" w:rsidP="003E7B18">
      <w:pPr>
        <w:numPr>
          <w:ilvl w:val="0"/>
          <w:numId w:val="287"/>
        </w:numPr>
        <w:shd w:val="clear" w:color="auto" w:fill="FFFFFF"/>
        <w:tabs>
          <w:tab w:val="clear" w:pos="720"/>
          <w:tab w:val="num" w:pos="900"/>
        </w:tabs>
        <w:spacing w:before="100" w:beforeAutospacing="1" w:after="100" w:afterAutospacing="1"/>
        <w:ind w:left="900" w:hanging="270"/>
        <w:rPr>
          <w:sz w:val="24"/>
          <w:szCs w:val="24"/>
        </w:rPr>
      </w:pPr>
      <w:r w:rsidRPr="00EA0A5B">
        <w:rPr>
          <w:sz w:val="24"/>
          <w:szCs w:val="24"/>
        </w:rPr>
        <w:t>Evaluate pricing</w:t>
      </w:r>
    </w:p>
    <w:p w14:paraId="35C9A24A" w14:textId="77777777" w:rsidR="00220434" w:rsidRPr="00EA0A5B" w:rsidRDefault="00220434" w:rsidP="00220434">
      <w:pPr>
        <w:ind w:left="270"/>
        <w:rPr>
          <w:sz w:val="24"/>
          <w:szCs w:val="24"/>
        </w:rPr>
      </w:pPr>
      <w:r w:rsidRPr="00EA0A5B">
        <w:rPr>
          <w:sz w:val="24"/>
          <w:szCs w:val="24"/>
        </w:rPr>
        <w:t>Where price information for a security is limited because of infrequent trading or other factors, the following may be considered:</w:t>
      </w:r>
    </w:p>
    <w:p w14:paraId="1363B00D" w14:textId="77777777" w:rsidR="00220434" w:rsidRPr="00EA0A5B" w:rsidRDefault="00220434" w:rsidP="003E7B18">
      <w:pPr>
        <w:numPr>
          <w:ilvl w:val="0"/>
          <w:numId w:val="288"/>
        </w:numPr>
        <w:tabs>
          <w:tab w:val="clear" w:pos="720"/>
          <w:tab w:val="num" w:pos="990"/>
        </w:tabs>
        <w:ind w:left="900" w:hanging="270"/>
        <w:rPr>
          <w:sz w:val="24"/>
          <w:szCs w:val="24"/>
        </w:rPr>
      </w:pPr>
      <w:r w:rsidRPr="00EA0A5B">
        <w:rPr>
          <w:sz w:val="24"/>
          <w:szCs w:val="24"/>
        </w:rPr>
        <w:t>Prices from or recent transactions with other dealers</w:t>
      </w:r>
    </w:p>
    <w:p w14:paraId="72659AEB" w14:textId="77777777" w:rsidR="00220434" w:rsidRPr="00EA0A5B" w:rsidRDefault="00220434" w:rsidP="003E7B18">
      <w:pPr>
        <w:numPr>
          <w:ilvl w:val="0"/>
          <w:numId w:val="288"/>
        </w:numPr>
        <w:tabs>
          <w:tab w:val="clear" w:pos="720"/>
          <w:tab w:val="num" w:pos="990"/>
        </w:tabs>
        <w:ind w:left="900" w:hanging="270"/>
        <w:rPr>
          <w:sz w:val="24"/>
          <w:szCs w:val="24"/>
        </w:rPr>
      </w:pPr>
      <w:r w:rsidRPr="00EA0A5B">
        <w:rPr>
          <w:sz w:val="24"/>
          <w:szCs w:val="24"/>
        </w:rPr>
        <w:t>Recent Firm executions of the same or similar securities</w:t>
      </w:r>
    </w:p>
    <w:p w14:paraId="3EF50C0D" w14:textId="77777777" w:rsidR="00220434" w:rsidRPr="00EA0A5B" w:rsidRDefault="00220434" w:rsidP="003E7B18">
      <w:pPr>
        <w:numPr>
          <w:ilvl w:val="0"/>
          <w:numId w:val="288"/>
        </w:numPr>
        <w:tabs>
          <w:tab w:val="clear" w:pos="720"/>
          <w:tab w:val="num" w:pos="900"/>
        </w:tabs>
        <w:spacing w:before="100" w:beforeAutospacing="1" w:after="100" w:afterAutospacing="1"/>
        <w:ind w:left="900" w:hanging="270"/>
        <w:rPr>
          <w:sz w:val="24"/>
          <w:szCs w:val="24"/>
        </w:rPr>
      </w:pPr>
      <w:r w:rsidRPr="00EA0A5B">
        <w:rPr>
          <w:sz w:val="24"/>
          <w:szCs w:val="24"/>
        </w:rPr>
        <w:t>Prices on similar securities</w:t>
      </w:r>
    </w:p>
    <w:p w14:paraId="59DC311A" w14:textId="77777777" w:rsidR="00220434" w:rsidRPr="00EA0A5B" w:rsidRDefault="00220434" w:rsidP="003E7B18">
      <w:pPr>
        <w:numPr>
          <w:ilvl w:val="0"/>
          <w:numId w:val="288"/>
        </w:numPr>
        <w:tabs>
          <w:tab w:val="clear" w:pos="720"/>
          <w:tab w:val="num" w:pos="900"/>
        </w:tabs>
        <w:spacing w:before="100" w:beforeAutospacing="1" w:after="100" w:afterAutospacing="1"/>
        <w:ind w:left="900" w:hanging="270"/>
        <w:rPr>
          <w:sz w:val="24"/>
          <w:szCs w:val="24"/>
        </w:rPr>
      </w:pPr>
      <w:r w:rsidRPr="00EA0A5B">
        <w:rPr>
          <w:sz w:val="24"/>
          <w:szCs w:val="24"/>
        </w:rPr>
        <w:t xml:space="preserve">Prices available from services such as EMMA </w:t>
      </w:r>
    </w:p>
    <w:p w14:paraId="6F549F3D" w14:textId="77777777" w:rsidR="00220434" w:rsidRPr="00EA0A5B" w:rsidRDefault="00220434" w:rsidP="007B0D04">
      <w:pPr>
        <w:shd w:val="clear" w:color="auto" w:fill="FFFFFF"/>
        <w:ind w:left="270"/>
        <w:rPr>
          <w:sz w:val="24"/>
          <w:szCs w:val="24"/>
        </w:rPr>
      </w:pPr>
      <w:r w:rsidRPr="00EA0A5B">
        <w:rPr>
          <w:sz w:val="24"/>
          <w:szCs w:val="24"/>
        </w:rPr>
        <w:t>When there are extreme market conditions (</w:t>
      </w:r>
      <w:r w:rsidRPr="00EA0A5B">
        <w:rPr>
          <w:i/>
          <w:iCs/>
          <w:sz w:val="24"/>
          <w:szCs w:val="24"/>
        </w:rPr>
        <w:t>e.g.,</w:t>
      </w:r>
      <w:r w:rsidRPr="00EA0A5B">
        <w:rPr>
          <w:sz w:val="24"/>
          <w:szCs w:val="24"/>
        </w:rPr>
        <w:t xml:space="preserve"> a shortage of liquidity and divergent prices during periods of significant rating changes or interest rate movements or other market-wide events), the following apply:</w:t>
      </w:r>
    </w:p>
    <w:p w14:paraId="1C6DDD79" w14:textId="77777777" w:rsidR="00220434" w:rsidRPr="00EA0A5B" w:rsidRDefault="00220434" w:rsidP="003E7B18">
      <w:pPr>
        <w:numPr>
          <w:ilvl w:val="0"/>
          <w:numId w:val="289"/>
        </w:numPr>
        <w:shd w:val="clear" w:color="auto" w:fill="FFFFFF"/>
        <w:tabs>
          <w:tab w:val="clear" w:pos="720"/>
          <w:tab w:val="num" w:pos="900"/>
        </w:tabs>
        <w:ind w:left="900" w:hanging="270"/>
        <w:rPr>
          <w:sz w:val="24"/>
          <w:szCs w:val="24"/>
        </w:rPr>
      </w:pPr>
      <w:r w:rsidRPr="00EA0A5B">
        <w:rPr>
          <w:sz w:val="24"/>
          <w:szCs w:val="24"/>
        </w:rPr>
        <w:t>Treatment of customer orders must remain fair, consistent and reasonable.</w:t>
      </w:r>
    </w:p>
    <w:p w14:paraId="3DD63D9A" w14:textId="77777777" w:rsidR="00220434" w:rsidRPr="00EA0A5B" w:rsidRDefault="00220434" w:rsidP="003E7B18">
      <w:pPr>
        <w:numPr>
          <w:ilvl w:val="0"/>
          <w:numId w:val="289"/>
        </w:numPr>
        <w:shd w:val="clear" w:color="auto" w:fill="FFFFFF"/>
        <w:tabs>
          <w:tab w:val="clear" w:pos="720"/>
          <w:tab w:val="num" w:pos="900"/>
        </w:tabs>
        <w:spacing w:before="100" w:beforeAutospacing="1" w:after="100" w:afterAutospacing="1"/>
        <w:ind w:left="900" w:hanging="270"/>
        <w:rPr>
          <w:sz w:val="24"/>
          <w:szCs w:val="24"/>
        </w:rPr>
      </w:pPr>
      <w:r w:rsidRPr="00EA0A5B">
        <w:rPr>
          <w:sz w:val="24"/>
          <w:szCs w:val="24"/>
        </w:rPr>
        <w:t>Any changes to trading protocols should be reviewed by the supervisor to consider the facts and circumstances of market conditions and any changes needed.</w:t>
      </w:r>
    </w:p>
    <w:p w14:paraId="5F062432" w14:textId="77777777" w:rsidR="00220434" w:rsidRPr="00EA0A5B" w:rsidRDefault="00220434" w:rsidP="003E7B18">
      <w:pPr>
        <w:numPr>
          <w:ilvl w:val="0"/>
          <w:numId w:val="289"/>
        </w:numPr>
        <w:shd w:val="clear" w:color="auto" w:fill="FFFFFF"/>
        <w:tabs>
          <w:tab w:val="clear" w:pos="720"/>
          <w:tab w:val="num" w:pos="900"/>
        </w:tabs>
        <w:spacing w:before="100" w:beforeAutospacing="1" w:after="100" w:afterAutospacing="1"/>
        <w:ind w:left="900" w:hanging="270"/>
        <w:rPr>
          <w:sz w:val="24"/>
          <w:szCs w:val="24"/>
        </w:rPr>
      </w:pPr>
      <w:r w:rsidRPr="00EA0A5B">
        <w:rPr>
          <w:sz w:val="24"/>
          <w:szCs w:val="24"/>
        </w:rPr>
        <w:t>Any revised order handling procedures during extreme market conditions will be disclosed to customers outlining the differences from normal market conditions and when revised procedures will be activated.</w:t>
      </w:r>
    </w:p>
    <w:p w14:paraId="09A7778C" w14:textId="77777777" w:rsidR="00220434" w:rsidRPr="00EA0A5B" w:rsidRDefault="00220434" w:rsidP="007B0D04">
      <w:pPr>
        <w:ind w:left="270"/>
        <w:rPr>
          <w:sz w:val="24"/>
          <w:szCs w:val="24"/>
        </w:rPr>
      </w:pPr>
      <w:r w:rsidRPr="00EA0A5B">
        <w:rPr>
          <w:sz w:val="24"/>
          <w:szCs w:val="24"/>
        </w:rPr>
        <w:t>Traders have an obligation to document the basis for pricing of orders. This may include screenshots documenting current/recent pricing of the securities and may include:</w:t>
      </w:r>
    </w:p>
    <w:p w14:paraId="78A1E01E" w14:textId="77777777" w:rsidR="00220434" w:rsidRPr="00EA0A5B" w:rsidRDefault="00220434" w:rsidP="003E7B18">
      <w:pPr>
        <w:numPr>
          <w:ilvl w:val="0"/>
          <w:numId w:val="290"/>
        </w:numPr>
        <w:tabs>
          <w:tab w:val="clear" w:pos="720"/>
          <w:tab w:val="num" w:pos="990"/>
        </w:tabs>
        <w:ind w:left="900" w:hanging="270"/>
        <w:rPr>
          <w:sz w:val="24"/>
          <w:szCs w:val="24"/>
        </w:rPr>
      </w:pPr>
      <w:r w:rsidRPr="00EA0A5B">
        <w:rPr>
          <w:sz w:val="24"/>
          <w:szCs w:val="24"/>
        </w:rPr>
        <w:t>Bids/offers from other dealers</w:t>
      </w:r>
    </w:p>
    <w:p w14:paraId="751FC9D1" w14:textId="77777777" w:rsidR="00220434" w:rsidRPr="00EA0A5B" w:rsidRDefault="00220434" w:rsidP="003E7B18">
      <w:pPr>
        <w:numPr>
          <w:ilvl w:val="0"/>
          <w:numId w:val="290"/>
        </w:numPr>
        <w:tabs>
          <w:tab w:val="clear" w:pos="720"/>
          <w:tab w:val="num" w:pos="990"/>
        </w:tabs>
        <w:spacing w:before="100" w:beforeAutospacing="1" w:after="100" w:afterAutospacing="1"/>
        <w:ind w:left="900" w:hanging="270"/>
        <w:rPr>
          <w:sz w:val="24"/>
          <w:szCs w:val="24"/>
        </w:rPr>
      </w:pPr>
      <w:r w:rsidRPr="00EA0A5B">
        <w:rPr>
          <w:sz w:val="24"/>
          <w:szCs w:val="24"/>
        </w:rPr>
        <w:t xml:space="preserve">Recent executions of the same or similar securities at </w:t>
      </w:r>
      <w:r w:rsidR="00BA1A36" w:rsidRPr="00EA0A5B">
        <w:rPr>
          <w:sz w:val="24"/>
          <w:szCs w:val="24"/>
        </w:rPr>
        <w:t>the Company</w:t>
      </w:r>
    </w:p>
    <w:p w14:paraId="5F8E5EEB" w14:textId="77777777" w:rsidR="00220434" w:rsidRPr="00EA0A5B" w:rsidRDefault="00220434" w:rsidP="003E7B18">
      <w:pPr>
        <w:numPr>
          <w:ilvl w:val="0"/>
          <w:numId w:val="290"/>
        </w:numPr>
        <w:tabs>
          <w:tab w:val="clear" w:pos="720"/>
          <w:tab w:val="num" w:pos="990"/>
        </w:tabs>
        <w:spacing w:before="100" w:beforeAutospacing="1" w:after="100" w:afterAutospacing="1"/>
        <w:ind w:left="900" w:hanging="270"/>
        <w:rPr>
          <w:sz w:val="24"/>
          <w:szCs w:val="24"/>
        </w:rPr>
      </w:pPr>
      <w:r w:rsidRPr="00EA0A5B">
        <w:rPr>
          <w:sz w:val="24"/>
          <w:szCs w:val="24"/>
        </w:rPr>
        <w:t>EMMA pricing</w:t>
      </w:r>
    </w:p>
    <w:p w14:paraId="73DC5148" w14:textId="77777777" w:rsidR="00220434" w:rsidRPr="00EA0A5B" w:rsidRDefault="00220434" w:rsidP="003E7B18">
      <w:pPr>
        <w:numPr>
          <w:ilvl w:val="0"/>
          <w:numId w:val="290"/>
        </w:numPr>
        <w:tabs>
          <w:tab w:val="clear" w:pos="720"/>
          <w:tab w:val="num" w:pos="990"/>
        </w:tabs>
        <w:spacing w:before="100" w:beforeAutospacing="1" w:after="100" w:afterAutospacing="1"/>
        <w:ind w:left="900" w:hanging="270"/>
        <w:rPr>
          <w:sz w:val="24"/>
          <w:szCs w:val="24"/>
        </w:rPr>
      </w:pPr>
      <w:r w:rsidRPr="00EA0A5B">
        <w:rPr>
          <w:sz w:val="24"/>
          <w:szCs w:val="24"/>
        </w:rPr>
        <w:t>Other sources of pricing</w:t>
      </w:r>
    </w:p>
    <w:p w14:paraId="66273748" w14:textId="77777777" w:rsidR="003C62C2" w:rsidRPr="00EA0A5B" w:rsidRDefault="00532ACC" w:rsidP="00532ACC">
      <w:pPr>
        <w:pStyle w:val="Heading3"/>
      </w:pPr>
      <w:r w:rsidRPr="00EA0A5B">
        <w:t>1</w:t>
      </w:r>
      <w:r w:rsidR="00174005">
        <w:t>3</w:t>
      </w:r>
      <w:r w:rsidRPr="00EA0A5B">
        <w:t xml:space="preserve">.3.6 </w:t>
      </w:r>
      <w:r w:rsidR="008029A6">
        <w:t xml:space="preserve">Rule G-20 - </w:t>
      </w:r>
      <w:r w:rsidRPr="00EA0A5B">
        <w:t>Gifts</w:t>
      </w:r>
    </w:p>
    <w:p w14:paraId="0980B660" w14:textId="77777777" w:rsidR="00532ACC" w:rsidRPr="00EA0A5B" w:rsidRDefault="00532ACC" w:rsidP="00532ACC">
      <w:pPr>
        <w:ind w:left="270"/>
        <w:rPr>
          <w:sz w:val="24"/>
          <w:szCs w:val="24"/>
        </w:rPr>
      </w:pPr>
      <w:r w:rsidRPr="00EA0A5B">
        <w:rPr>
          <w:sz w:val="24"/>
          <w:szCs w:val="24"/>
        </w:rPr>
        <w:t xml:space="preserve">Gifts relating to Company's business are limited to $100 per year per person.  Employees are required to notify Compliance of gifts relating to customers or prospective customers prior to giving the gift.  </w:t>
      </w:r>
    </w:p>
    <w:p w14:paraId="29E145F6" w14:textId="77777777" w:rsidR="00532ACC" w:rsidRPr="00EA0A5B" w:rsidRDefault="00532ACC" w:rsidP="00532ACC">
      <w:pPr>
        <w:ind w:left="270"/>
        <w:rPr>
          <w:sz w:val="24"/>
          <w:szCs w:val="24"/>
        </w:rPr>
      </w:pPr>
    </w:p>
    <w:p w14:paraId="4245B3FA" w14:textId="77777777" w:rsidR="00532ACC" w:rsidRPr="00EA0A5B" w:rsidRDefault="00532ACC" w:rsidP="00532ACC">
      <w:pPr>
        <w:ind w:left="270"/>
        <w:rPr>
          <w:sz w:val="24"/>
          <w:szCs w:val="24"/>
        </w:rPr>
      </w:pPr>
      <w:r w:rsidRPr="00EA0A5B">
        <w:rPr>
          <w:sz w:val="24"/>
          <w:szCs w:val="24"/>
        </w:rPr>
        <w:t>The following are excluded from the $100 limitation on gifts:</w:t>
      </w:r>
    </w:p>
    <w:p w14:paraId="07164DD9" w14:textId="77777777" w:rsidR="00532ACC" w:rsidRPr="00EA0A5B" w:rsidRDefault="00532ACC" w:rsidP="003E7B18">
      <w:pPr>
        <w:numPr>
          <w:ilvl w:val="0"/>
          <w:numId w:val="291"/>
        </w:numPr>
        <w:tabs>
          <w:tab w:val="clear" w:pos="720"/>
          <w:tab w:val="num" w:pos="810"/>
        </w:tabs>
        <w:ind w:left="810" w:hanging="270"/>
        <w:rPr>
          <w:sz w:val="24"/>
          <w:szCs w:val="24"/>
        </w:rPr>
      </w:pPr>
      <w:r w:rsidRPr="00EA0A5B">
        <w:rPr>
          <w:b/>
          <w:bCs/>
          <w:sz w:val="24"/>
          <w:szCs w:val="24"/>
        </w:rPr>
        <w:t>Normal business dealings:</w:t>
      </w:r>
      <w:r w:rsidRPr="00EA0A5B">
        <w:rPr>
          <w:sz w:val="24"/>
          <w:szCs w:val="24"/>
        </w:rPr>
        <w:t xml:space="preserve"> Occasional gifts of meals or tickets to theatrical, sporting, and other entertainment hosted by </w:t>
      </w:r>
      <w:r w:rsidR="00556139" w:rsidRPr="00EA0A5B">
        <w:rPr>
          <w:sz w:val="24"/>
          <w:szCs w:val="24"/>
        </w:rPr>
        <w:t>the Company</w:t>
      </w:r>
      <w:r w:rsidRPr="00EA0A5B">
        <w:rPr>
          <w:sz w:val="24"/>
          <w:szCs w:val="24"/>
        </w:rPr>
        <w:t xml:space="preserve"> or an employee at legitimate business functions that are IRS-deductible business expenses. Such gifts may not be so frequent or extensive to raise questions of propriety.</w:t>
      </w:r>
    </w:p>
    <w:p w14:paraId="7DB53101" w14:textId="77777777" w:rsidR="00532ACC" w:rsidRPr="00EA0A5B" w:rsidRDefault="00532ACC" w:rsidP="003E7B18">
      <w:pPr>
        <w:numPr>
          <w:ilvl w:val="0"/>
          <w:numId w:val="291"/>
        </w:numPr>
        <w:tabs>
          <w:tab w:val="clear" w:pos="720"/>
          <w:tab w:val="num" w:pos="810"/>
        </w:tabs>
        <w:spacing w:before="100" w:beforeAutospacing="1" w:after="100" w:afterAutospacing="1"/>
        <w:ind w:left="810" w:hanging="270"/>
        <w:rPr>
          <w:sz w:val="24"/>
          <w:szCs w:val="24"/>
        </w:rPr>
      </w:pPr>
      <w:r w:rsidRPr="00EA0A5B">
        <w:rPr>
          <w:b/>
          <w:bCs/>
          <w:sz w:val="24"/>
          <w:szCs w:val="24"/>
        </w:rPr>
        <w:t>Transaction-commemorative gifts:</w:t>
      </w:r>
      <w:r w:rsidRPr="00EA0A5B">
        <w:rPr>
          <w:sz w:val="24"/>
          <w:szCs w:val="24"/>
        </w:rPr>
        <w:t xml:space="preserve"> Decorative items commemorating the transaction such as plaques or desk ornaments.</w:t>
      </w:r>
    </w:p>
    <w:p w14:paraId="2B25F5E4" w14:textId="77777777" w:rsidR="00532ACC" w:rsidRPr="00EA0A5B" w:rsidRDefault="00532ACC" w:rsidP="003E7B18">
      <w:pPr>
        <w:numPr>
          <w:ilvl w:val="0"/>
          <w:numId w:val="291"/>
        </w:numPr>
        <w:tabs>
          <w:tab w:val="clear" w:pos="720"/>
          <w:tab w:val="num" w:pos="810"/>
        </w:tabs>
        <w:spacing w:before="100" w:beforeAutospacing="1" w:after="100" w:afterAutospacing="1"/>
        <w:ind w:left="810" w:hanging="270"/>
        <w:rPr>
          <w:sz w:val="24"/>
          <w:szCs w:val="24"/>
        </w:rPr>
      </w:pPr>
      <w:r w:rsidRPr="00EA0A5B">
        <w:rPr>
          <w:b/>
          <w:bCs/>
          <w:sz w:val="24"/>
          <w:szCs w:val="24"/>
        </w:rPr>
        <w:lastRenderedPageBreak/>
        <w:t>De minimis gifts:</w:t>
      </w:r>
      <w:r w:rsidRPr="00EA0A5B">
        <w:rPr>
          <w:sz w:val="24"/>
          <w:szCs w:val="24"/>
        </w:rPr>
        <w:t xml:space="preserve"> Gifts of de minimis value (pens, notepads,</w:t>
      </w:r>
      <w:r w:rsidRPr="00EA0A5B">
        <w:rPr>
          <w:i/>
          <w:iCs/>
          <w:sz w:val="24"/>
          <w:szCs w:val="24"/>
        </w:rPr>
        <w:t xml:space="preserve"> etc.</w:t>
      </w:r>
      <w:r w:rsidRPr="00EA0A5B">
        <w:rPr>
          <w:sz w:val="24"/>
          <w:szCs w:val="24"/>
        </w:rPr>
        <w:t>).</w:t>
      </w:r>
    </w:p>
    <w:p w14:paraId="6A56EF7C" w14:textId="77777777" w:rsidR="00532ACC" w:rsidRPr="00EA0A5B" w:rsidRDefault="00532ACC" w:rsidP="003E7B18">
      <w:pPr>
        <w:numPr>
          <w:ilvl w:val="0"/>
          <w:numId w:val="291"/>
        </w:numPr>
        <w:tabs>
          <w:tab w:val="clear" w:pos="720"/>
          <w:tab w:val="num" w:pos="810"/>
        </w:tabs>
        <w:spacing w:before="100" w:beforeAutospacing="1" w:after="100" w:afterAutospacing="1"/>
        <w:ind w:left="810" w:hanging="270"/>
        <w:rPr>
          <w:sz w:val="24"/>
          <w:szCs w:val="24"/>
        </w:rPr>
      </w:pPr>
      <w:r w:rsidRPr="00EA0A5B">
        <w:rPr>
          <w:b/>
          <w:bCs/>
          <w:sz w:val="24"/>
          <w:szCs w:val="24"/>
        </w:rPr>
        <w:t>Promotional gifts:</w:t>
      </w:r>
      <w:r w:rsidRPr="00EA0A5B">
        <w:rPr>
          <w:sz w:val="24"/>
          <w:szCs w:val="24"/>
        </w:rPr>
        <w:t xml:space="preserve"> Nominal value items displaying </w:t>
      </w:r>
      <w:r w:rsidR="00CB1A8C" w:rsidRPr="00EA0A5B">
        <w:rPr>
          <w:sz w:val="24"/>
          <w:szCs w:val="24"/>
        </w:rPr>
        <w:t>Company</w:t>
      </w:r>
      <w:r w:rsidRPr="00EA0A5B">
        <w:rPr>
          <w:sz w:val="24"/>
          <w:szCs w:val="24"/>
        </w:rPr>
        <w:t>'s corporate or other business logo (must be valued considerably below $100 to be considered nominal).</w:t>
      </w:r>
    </w:p>
    <w:p w14:paraId="242E6913" w14:textId="77777777" w:rsidR="00532ACC" w:rsidRPr="00EA0A5B" w:rsidRDefault="00532ACC" w:rsidP="003E7B18">
      <w:pPr>
        <w:numPr>
          <w:ilvl w:val="0"/>
          <w:numId w:val="291"/>
        </w:numPr>
        <w:tabs>
          <w:tab w:val="clear" w:pos="720"/>
          <w:tab w:val="num" w:pos="810"/>
        </w:tabs>
        <w:spacing w:before="100" w:beforeAutospacing="1" w:after="100" w:afterAutospacing="1"/>
        <w:ind w:left="810" w:hanging="270"/>
        <w:rPr>
          <w:sz w:val="24"/>
          <w:szCs w:val="24"/>
        </w:rPr>
      </w:pPr>
      <w:r w:rsidRPr="00EA0A5B">
        <w:rPr>
          <w:b/>
          <w:bCs/>
          <w:sz w:val="24"/>
          <w:szCs w:val="24"/>
        </w:rPr>
        <w:t>Bereavement gifts:</w:t>
      </w:r>
      <w:r w:rsidRPr="00EA0A5B">
        <w:rPr>
          <w:sz w:val="24"/>
          <w:szCs w:val="24"/>
        </w:rPr>
        <w:t xml:space="preserve"> Gifts that are reasonable and customary for the circumstances.</w:t>
      </w:r>
    </w:p>
    <w:p w14:paraId="2381CF80" w14:textId="77777777" w:rsidR="00532ACC" w:rsidRPr="00EA0A5B" w:rsidRDefault="00532ACC" w:rsidP="003E7B18">
      <w:pPr>
        <w:numPr>
          <w:ilvl w:val="0"/>
          <w:numId w:val="291"/>
        </w:numPr>
        <w:tabs>
          <w:tab w:val="clear" w:pos="720"/>
          <w:tab w:val="num" w:pos="810"/>
        </w:tabs>
        <w:ind w:left="810" w:hanging="270"/>
        <w:rPr>
          <w:sz w:val="24"/>
          <w:szCs w:val="24"/>
        </w:rPr>
      </w:pPr>
      <w:r w:rsidRPr="00EA0A5B">
        <w:rPr>
          <w:b/>
          <w:bCs/>
          <w:sz w:val="24"/>
          <w:szCs w:val="24"/>
        </w:rPr>
        <w:t>Personal gifts:</w:t>
      </w:r>
      <w:r w:rsidRPr="00EA0A5B">
        <w:rPr>
          <w:sz w:val="24"/>
          <w:szCs w:val="24"/>
        </w:rPr>
        <w:t xml:space="preserve"> Gifts of a personal nature given upon infrequent life events (wedding, birth of child, </w:t>
      </w:r>
      <w:r w:rsidRPr="00EA0A5B">
        <w:rPr>
          <w:i/>
          <w:iCs/>
          <w:sz w:val="24"/>
          <w:szCs w:val="24"/>
        </w:rPr>
        <w:t>etc.</w:t>
      </w:r>
      <w:r w:rsidRPr="00EA0A5B">
        <w:rPr>
          <w:sz w:val="24"/>
          <w:szCs w:val="24"/>
        </w:rPr>
        <w:t>).</w:t>
      </w:r>
    </w:p>
    <w:p w14:paraId="460233EC" w14:textId="77777777" w:rsidR="00532ACC" w:rsidRPr="00EA0A5B" w:rsidRDefault="00532ACC" w:rsidP="00532ACC">
      <w:pPr>
        <w:ind w:left="274"/>
        <w:rPr>
          <w:sz w:val="24"/>
          <w:szCs w:val="24"/>
        </w:rPr>
      </w:pPr>
    </w:p>
    <w:p w14:paraId="5D8EB714" w14:textId="77777777" w:rsidR="00532ACC" w:rsidRDefault="00532ACC" w:rsidP="00532ACC">
      <w:pPr>
        <w:ind w:left="274"/>
        <w:rPr>
          <w:sz w:val="24"/>
          <w:szCs w:val="24"/>
        </w:rPr>
      </w:pPr>
      <w:r w:rsidRPr="00EA0A5B">
        <w:rPr>
          <w:sz w:val="24"/>
          <w:szCs w:val="24"/>
        </w:rPr>
        <w:t>Limitations on gifts also do not apply to compensation paid as a result of contracts of employment involving compensation for services rendered by another person; a written agreement must precede payment of compensation.</w:t>
      </w:r>
    </w:p>
    <w:p w14:paraId="47126C02" w14:textId="77777777" w:rsidR="007434C0" w:rsidRDefault="007434C0" w:rsidP="00532ACC">
      <w:pPr>
        <w:ind w:left="274"/>
        <w:rPr>
          <w:sz w:val="24"/>
          <w:szCs w:val="24"/>
        </w:rPr>
      </w:pPr>
    </w:p>
    <w:p w14:paraId="28C6583A" w14:textId="77777777" w:rsidR="007434C0" w:rsidRDefault="007434C0" w:rsidP="00532ACC">
      <w:pPr>
        <w:ind w:left="274"/>
        <w:rPr>
          <w:sz w:val="24"/>
          <w:szCs w:val="24"/>
        </w:rPr>
      </w:pPr>
    </w:p>
    <w:p w14:paraId="5C337831" w14:textId="77777777" w:rsidR="00273892" w:rsidRPr="00174005" w:rsidRDefault="007434C0" w:rsidP="007434C0">
      <w:pPr>
        <w:shd w:val="clear" w:color="auto" w:fill="FFFFFF"/>
        <w:spacing w:before="100" w:beforeAutospacing="1" w:after="100" w:afterAutospacing="1"/>
        <w:ind w:left="270"/>
        <w:rPr>
          <w:sz w:val="24"/>
          <w:szCs w:val="24"/>
        </w:rPr>
      </w:pPr>
      <w:r w:rsidRPr="00174005">
        <w:rPr>
          <w:sz w:val="24"/>
          <w:szCs w:val="24"/>
        </w:rPr>
        <w:t>Dealers and municipal advisors are sometimes asked by issuers or their officials to make donations to charitable organizations. While this is not considered a political contribution, it may be considered an indirect gift or gratuity under Rule G-20 which limits these activities to $100.</w:t>
      </w:r>
      <w:r w:rsidR="000369E8" w:rsidRPr="00174005">
        <w:rPr>
          <w:sz w:val="24"/>
          <w:szCs w:val="24"/>
        </w:rPr>
        <w:t xml:space="preserve">  Any such requests should be cleared with Compliance prior to </w:t>
      </w:r>
      <w:r w:rsidR="00302B22" w:rsidRPr="00174005">
        <w:rPr>
          <w:sz w:val="24"/>
          <w:szCs w:val="24"/>
        </w:rPr>
        <w:t>contributing</w:t>
      </w:r>
      <w:r w:rsidR="000369E8" w:rsidRPr="00174005">
        <w:rPr>
          <w:sz w:val="24"/>
          <w:szCs w:val="24"/>
        </w:rPr>
        <w:t>.</w:t>
      </w:r>
    </w:p>
    <w:p w14:paraId="3D96E8CF" w14:textId="77777777" w:rsidR="00C076C4" w:rsidRPr="00174005" w:rsidRDefault="00C076C4" w:rsidP="00C076C4">
      <w:pPr>
        <w:pStyle w:val="Heading3"/>
      </w:pPr>
      <w:r w:rsidRPr="00174005">
        <w:t>1</w:t>
      </w:r>
      <w:r w:rsidR="00174005" w:rsidRPr="00174005">
        <w:t>3</w:t>
      </w:r>
      <w:r w:rsidRPr="00174005">
        <w:t>.3.7 Rule G-21 Advertising</w:t>
      </w:r>
    </w:p>
    <w:p w14:paraId="616E3473" w14:textId="77777777" w:rsidR="00C076C4" w:rsidRPr="00174005" w:rsidRDefault="00C076C4" w:rsidP="00B84FC6">
      <w:pPr>
        <w:pStyle w:val="Normal37"/>
        <w:spacing w:before="0" w:beforeAutospacing="0" w:after="0" w:afterAutospacing="0"/>
        <w:ind w:left="270"/>
      </w:pPr>
      <w:r w:rsidRPr="00174005">
        <w:t>Advertising is any material (other than listings of offerings) published or used in any electronic or other public media, or any written or electronic promotional literature distributed or made generally available to customers or the public, including any notice, circular, report, market letter, form letter, telemarketing script, seminar text, press release concerning the products or services of the broker, dealer or municipal securities dealer, or reprint, or any excerpt of the foregoing or of a published article</w:t>
      </w:r>
      <w:r w:rsidR="00125656">
        <w:t xml:space="preserve">, </w:t>
      </w:r>
      <w:r w:rsidR="00125656" w:rsidRPr="00593EE9">
        <w:t>or social media</w:t>
      </w:r>
      <w:r w:rsidRPr="00174005">
        <w:t xml:space="preserve">. The term does not apply to preliminary official statements or official statements but does apply to abstracts or summaries of official statements, offering circulars and other such similar documents prepared by brokers, dealers or municipal securities dealers.  A </w:t>
      </w:r>
      <w:r w:rsidRPr="00174005">
        <w:rPr>
          <w:b/>
          <w:bCs/>
        </w:rPr>
        <w:t xml:space="preserve">Form Letter </w:t>
      </w:r>
      <w:r w:rsidRPr="00174005">
        <w:rPr>
          <w:bCs/>
        </w:rPr>
        <w:t>is</w:t>
      </w:r>
      <w:r w:rsidRPr="00174005">
        <w:t xml:space="preserve"> any written letter distributed to 25 or more persons within any period of 90 consecutive days.</w:t>
      </w:r>
      <w:r w:rsidR="00B84FC6" w:rsidRPr="00174005">
        <w:t xml:space="preserve">  </w:t>
      </w:r>
    </w:p>
    <w:p w14:paraId="5BDF0527" w14:textId="77777777" w:rsidR="00C076C4" w:rsidRPr="00174005" w:rsidRDefault="00C076C4" w:rsidP="00B84FC6">
      <w:pPr>
        <w:ind w:left="270"/>
      </w:pPr>
    </w:p>
    <w:p w14:paraId="15D5A028" w14:textId="77777777" w:rsidR="00B84FC6" w:rsidRPr="00174005" w:rsidRDefault="00B84FC6" w:rsidP="00B84FC6">
      <w:pPr>
        <w:shd w:val="clear" w:color="auto" w:fill="FFFFFF"/>
        <w:ind w:left="270"/>
        <w:rPr>
          <w:sz w:val="24"/>
          <w:szCs w:val="24"/>
        </w:rPr>
      </w:pPr>
      <w:r w:rsidRPr="00174005">
        <w:rPr>
          <w:sz w:val="24"/>
          <w:szCs w:val="24"/>
        </w:rPr>
        <w:t>All advertising involving municipal securities must be approved in writing by a Compliance-designated municipal securities principal or general securities principal prior to first use.</w:t>
      </w:r>
    </w:p>
    <w:p w14:paraId="3F6DE317" w14:textId="77777777" w:rsidR="003270E0" w:rsidRDefault="003270E0" w:rsidP="00B84FC6">
      <w:pPr>
        <w:shd w:val="clear" w:color="auto" w:fill="FFFFFF"/>
        <w:ind w:left="270"/>
        <w:rPr>
          <w:sz w:val="24"/>
          <w:szCs w:val="24"/>
        </w:rPr>
      </w:pPr>
    </w:p>
    <w:p w14:paraId="75ADCAE9" w14:textId="77777777" w:rsidR="00B84FC6" w:rsidRDefault="00B84FC6" w:rsidP="00B84FC6">
      <w:pPr>
        <w:shd w:val="clear" w:color="auto" w:fill="FFFFFF"/>
        <w:ind w:left="270"/>
        <w:rPr>
          <w:sz w:val="24"/>
          <w:szCs w:val="24"/>
        </w:rPr>
      </w:pPr>
      <w:r w:rsidRPr="00174005">
        <w:rPr>
          <w:sz w:val="24"/>
          <w:szCs w:val="24"/>
        </w:rPr>
        <w:t>Some of the requirements that apply to advertising of municipal securities include:</w:t>
      </w:r>
    </w:p>
    <w:p w14:paraId="274E3984" w14:textId="77777777" w:rsidR="00B27245" w:rsidRPr="00593EE9" w:rsidRDefault="00B27245" w:rsidP="00B84FC6">
      <w:pPr>
        <w:shd w:val="clear" w:color="auto" w:fill="FFFFFF"/>
        <w:ind w:left="270"/>
        <w:rPr>
          <w:sz w:val="24"/>
          <w:szCs w:val="24"/>
        </w:rPr>
      </w:pPr>
    </w:p>
    <w:p w14:paraId="7F0153F1" w14:textId="77777777" w:rsidR="003270E0" w:rsidRPr="00593EE9" w:rsidRDefault="003270E0" w:rsidP="0005402C">
      <w:pPr>
        <w:pStyle w:val="ListParagraph"/>
        <w:numPr>
          <w:ilvl w:val="0"/>
          <w:numId w:val="332"/>
        </w:numPr>
        <w:shd w:val="clear" w:color="auto" w:fill="FFFFFF"/>
        <w:ind w:left="810" w:hanging="270"/>
        <w:rPr>
          <w:sz w:val="32"/>
          <w:szCs w:val="24"/>
        </w:rPr>
      </w:pPr>
      <w:r w:rsidRPr="00593EE9">
        <w:rPr>
          <w:sz w:val="24"/>
        </w:rPr>
        <w:t>An advertisement must be based on principles of fair dealing and good faith, be fair and balanced and provide a sound basis for evaluating the facts about any particular municipal security or type of municipal security, industry, or service.</w:t>
      </w:r>
    </w:p>
    <w:p w14:paraId="70FE4054" w14:textId="77777777" w:rsidR="003270E0" w:rsidRPr="00593EE9" w:rsidRDefault="003270E0" w:rsidP="0005402C">
      <w:pPr>
        <w:numPr>
          <w:ilvl w:val="0"/>
          <w:numId w:val="332"/>
        </w:numPr>
        <w:spacing w:before="100" w:beforeAutospacing="1" w:after="100" w:afterAutospacing="1"/>
        <w:ind w:left="810" w:hanging="270"/>
        <w:rPr>
          <w:sz w:val="24"/>
          <w:szCs w:val="24"/>
        </w:rPr>
      </w:pPr>
      <w:r w:rsidRPr="00593EE9">
        <w:rPr>
          <w:sz w:val="24"/>
          <w:szCs w:val="24"/>
        </w:rPr>
        <w:t>A dealer may not distribute advertising that includes any untrue statement of material fact or is otherwise false or misleading.</w:t>
      </w:r>
    </w:p>
    <w:p w14:paraId="64F6D96A" w14:textId="77777777" w:rsidR="003270E0" w:rsidRPr="00593EE9" w:rsidRDefault="003270E0" w:rsidP="0005402C">
      <w:pPr>
        <w:numPr>
          <w:ilvl w:val="0"/>
          <w:numId w:val="332"/>
        </w:numPr>
        <w:spacing w:before="100" w:beforeAutospacing="1" w:after="100" w:afterAutospacing="1"/>
        <w:ind w:left="810" w:hanging="270"/>
        <w:rPr>
          <w:sz w:val="24"/>
          <w:szCs w:val="24"/>
        </w:rPr>
      </w:pPr>
      <w:r w:rsidRPr="00593EE9">
        <w:rPr>
          <w:sz w:val="24"/>
          <w:szCs w:val="24"/>
        </w:rPr>
        <w:t>A dealer may not omit any material fact or qualification if such omission, in light of the context presented, would cause the advertisement to be misleading.</w:t>
      </w:r>
    </w:p>
    <w:p w14:paraId="6CFF9DEF" w14:textId="77777777" w:rsidR="003270E0" w:rsidRPr="00593EE9" w:rsidRDefault="003270E0" w:rsidP="0005402C">
      <w:pPr>
        <w:numPr>
          <w:ilvl w:val="0"/>
          <w:numId w:val="332"/>
        </w:numPr>
        <w:spacing w:before="100" w:beforeAutospacing="1" w:after="100" w:afterAutospacing="1"/>
        <w:ind w:left="810" w:hanging="270"/>
        <w:rPr>
          <w:sz w:val="24"/>
          <w:szCs w:val="24"/>
        </w:rPr>
      </w:pPr>
      <w:r w:rsidRPr="00593EE9">
        <w:rPr>
          <w:sz w:val="24"/>
          <w:szCs w:val="24"/>
        </w:rPr>
        <w:t>An advertisement may not contain any false, exaggerated, unwarranted, promissory or misleading statement or claim.</w:t>
      </w:r>
    </w:p>
    <w:p w14:paraId="255ABF47" w14:textId="77777777" w:rsidR="003270E0" w:rsidRPr="00593EE9" w:rsidRDefault="003270E0" w:rsidP="0005402C">
      <w:pPr>
        <w:numPr>
          <w:ilvl w:val="0"/>
          <w:numId w:val="332"/>
        </w:numPr>
        <w:spacing w:before="100" w:beforeAutospacing="1" w:after="100" w:afterAutospacing="1"/>
        <w:ind w:left="810" w:hanging="270"/>
        <w:rPr>
          <w:sz w:val="24"/>
          <w:szCs w:val="24"/>
        </w:rPr>
      </w:pPr>
      <w:r w:rsidRPr="00593EE9">
        <w:rPr>
          <w:sz w:val="24"/>
          <w:szCs w:val="24"/>
        </w:rPr>
        <w:t>A dealer may not limit the types of information placed in a legend or footnote of an advertisement so as to inhibit a customer's or potential customer's understanding of the advertisement.</w:t>
      </w:r>
    </w:p>
    <w:p w14:paraId="2568DE89" w14:textId="77777777" w:rsidR="003270E0" w:rsidRPr="00593EE9" w:rsidRDefault="003270E0" w:rsidP="0005402C">
      <w:pPr>
        <w:numPr>
          <w:ilvl w:val="0"/>
          <w:numId w:val="332"/>
        </w:numPr>
        <w:spacing w:before="100" w:beforeAutospacing="1" w:after="100" w:afterAutospacing="1"/>
        <w:ind w:left="810" w:hanging="270"/>
        <w:rPr>
          <w:sz w:val="24"/>
          <w:szCs w:val="24"/>
        </w:rPr>
      </w:pPr>
      <w:r w:rsidRPr="00593EE9">
        <w:rPr>
          <w:sz w:val="24"/>
          <w:szCs w:val="24"/>
        </w:rPr>
        <w:t>An advertisement must provide statements that are clear and not misleading within the context that they are made.</w:t>
      </w:r>
    </w:p>
    <w:p w14:paraId="432DFC25" w14:textId="77777777" w:rsidR="003270E0" w:rsidRPr="00593EE9" w:rsidRDefault="003270E0" w:rsidP="0005402C">
      <w:pPr>
        <w:numPr>
          <w:ilvl w:val="0"/>
          <w:numId w:val="332"/>
        </w:numPr>
        <w:spacing w:before="100" w:beforeAutospacing="1" w:after="100" w:afterAutospacing="1"/>
        <w:ind w:left="810" w:hanging="270"/>
        <w:rPr>
          <w:sz w:val="24"/>
          <w:szCs w:val="24"/>
        </w:rPr>
      </w:pPr>
      <w:r w:rsidRPr="00593EE9">
        <w:rPr>
          <w:sz w:val="24"/>
          <w:szCs w:val="24"/>
        </w:rPr>
        <w:lastRenderedPageBreak/>
        <w:t>The advertisement must provide a balanced treatment of the benefits and risks, and the advertisement must be consistent with the risks inherent to the investment.</w:t>
      </w:r>
    </w:p>
    <w:p w14:paraId="562EF121" w14:textId="77777777" w:rsidR="003270E0" w:rsidRPr="00593EE9" w:rsidRDefault="003270E0" w:rsidP="0005402C">
      <w:pPr>
        <w:numPr>
          <w:ilvl w:val="0"/>
          <w:numId w:val="332"/>
        </w:numPr>
        <w:spacing w:before="100" w:beforeAutospacing="1" w:after="100" w:afterAutospacing="1"/>
        <w:ind w:left="810" w:hanging="270"/>
        <w:rPr>
          <w:sz w:val="24"/>
          <w:szCs w:val="24"/>
        </w:rPr>
      </w:pPr>
      <w:r w:rsidRPr="00593EE9">
        <w:rPr>
          <w:sz w:val="24"/>
          <w:szCs w:val="24"/>
        </w:rPr>
        <w:t>A dealer must consider the audience to which the advertisement will be directed and that the advertisement provide details and explanations appropriate to that audience.</w:t>
      </w:r>
    </w:p>
    <w:p w14:paraId="61E56916" w14:textId="77777777" w:rsidR="003270E0" w:rsidRPr="00593EE9" w:rsidRDefault="003270E0" w:rsidP="0005402C">
      <w:pPr>
        <w:numPr>
          <w:ilvl w:val="0"/>
          <w:numId w:val="332"/>
        </w:numPr>
        <w:ind w:left="821" w:hanging="274"/>
        <w:rPr>
          <w:sz w:val="24"/>
          <w:szCs w:val="24"/>
        </w:rPr>
      </w:pPr>
      <w:r w:rsidRPr="00593EE9">
        <w:rPr>
          <w:sz w:val="24"/>
          <w:szCs w:val="24"/>
        </w:rPr>
        <w:t>An advertisement may not predict or project performance, imply that past performance will recur or make any exaggerated or unwarranted claim, opinion or forecast.</w:t>
      </w:r>
    </w:p>
    <w:p w14:paraId="38FD52A0" w14:textId="77777777" w:rsidR="007D5CB3" w:rsidRPr="00593EE9" w:rsidRDefault="003270E0" w:rsidP="003E7B18">
      <w:pPr>
        <w:numPr>
          <w:ilvl w:val="0"/>
          <w:numId w:val="331"/>
        </w:numPr>
        <w:shd w:val="clear" w:color="auto" w:fill="FFFFFF"/>
        <w:tabs>
          <w:tab w:val="clear" w:pos="720"/>
        </w:tabs>
        <w:ind w:left="821" w:hanging="274"/>
        <w:rPr>
          <w:sz w:val="24"/>
          <w:szCs w:val="24"/>
        </w:rPr>
      </w:pPr>
      <w:r w:rsidRPr="00593EE9">
        <w:rPr>
          <w:sz w:val="24"/>
          <w:szCs w:val="24"/>
        </w:rPr>
        <w:t>An advertisement may not include a testimonial unless it satisfies certain conditions.</w:t>
      </w:r>
    </w:p>
    <w:p w14:paraId="69579199" w14:textId="77777777" w:rsidR="00B84FC6" w:rsidRPr="003270E0" w:rsidRDefault="00B84FC6" w:rsidP="003E7B18">
      <w:pPr>
        <w:numPr>
          <w:ilvl w:val="0"/>
          <w:numId w:val="331"/>
        </w:numPr>
        <w:shd w:val="clear" w:color="auto" w:fill="FFFFFF"/>
        <w:tabs>
          <w:tab w:val="clear" w:pos="720"/>
        </w:tabs>
        <w:spacing w:before="100" w:beforeAutospacing="1" w:after="100" w:afterAutospacing="1"/>
        <w:ind w:left="810" w:hanging="270"/>
        <w:rPr>
          <w:sz w:val="24"/>
          <w:szCs w:val="24"/>
        </w:rPr>
      </w:pPr>
      <w:r w:rsidRPr="00593EE9">
        <w:rPr>
          <w:sz w:val="24"/>
          <w:szCs w:val="24"/>
        </w:rPr>
        <w:t xml:space="preserve">Advertising that includes yield is subject to certain requirements regarding disclosing </w:t>
      </w:r>
      <w:r w:rsidRPr="003270E0">
        <w:rPr>
          <w:sz w:val="24"/>
          <w:szCs w:val="24"/>
        </w:rPr>
        <w:t>the basis of the yield.</w:t>
      </w:r>
    </w:p>
    <w:p w14:paraId="5F7993BD" w14:textId="6F7E4D37" w:rsidR="00B84FC6" w:rsidRPr="00174005" w:rsidRDefault="00B84FC6" w:rsidP="003E7B18">
      <w:pPr>
        <w:numPr>
          <w:ilvl w:val="0"/>
          <w:numId w:val="331"/>
        </w:numPr>
        <w:shd w:val="clear" w:color="auto" w:fill="FFFFFF"/>
        <w:tabs>
          <w:tab w:val="clear" w:pos="720"/>
        </w:tabs>
        <w:ind w:left="810" w:hanging="270"/>
        <w:rPr>
          <w:sz w:val="24"/>
          <w:szCs w:val="24"/>
        </w:rPr>
      </w:pPr>
      <w:r w:rsidRPr="00174005">
        <w:rPr>
          <w:sz w:val="24"/>
          <w:szCs w:val="24"/>
        </w:rPr>
        <w:t xml:space="preserve">Advertising regarding new issues </w:t>
      </w:r>
      <w:r w:rsidR="007D29D7" w:rsidRPr="00174005">
        <w:rPr>
          <w:sz w:val="24"/>
          <w:szCs w:val="24"/>
        </w:rPr>
        <w:t>is</w:t>
      </w:r>
      <w:r w:rsidRPr="00174005">
        <w:rPr>
          <w:sz w:val="24"/>
          <w:szCs w:val="24"/>
        </w:rPr>
        <w:t xml:space="preserve"> subject to certain disclosures regarding price or yield and must include an indication, if applicable, that securities shown may no longer be available at the time of publication or may be available from the syndicate at a price or yield different from that shown in the advertisement.</w:t>
      </w:r>
    </w:p>
    <w:p w14:paraId="5625AED9" w14:textId="77777777" w:rsidR="00B84FC6" w:rsidRPr="00174005" w:rsidRDefault="00B84FC6" w:rsidP="003E7B18">
      <w:pPr>
        <w:numPr>
          <w:ilvl w:val="0"/>
          <w:numId w:val="331"/>
        </w:numPr>
        <w:shd w:val="clear" w:color="auto" w:fill="FFFFFF"/>
        <w:tabs>
          <w:tab w:val="clear" w:pos="720"/>
          <w:tab w:val="num" w:pos="630"/>
        </w:tabs>
        <w:ind w:left="810" w:hanging="270"/>
        <w:rPr>
          <w:sz w:val="24"/>
          <w:szCs w:val="24"/>
        </w:rPr>
      </w:pPr>
      <w:r w:rsidRPr="00174005">
        <w:rPr>
          <w:sz w:val="24"/>
          <w:szCs w:val="24"/>
        </w:rPr>
        <w:t>If bonds are subject to the alternative minimum tax, a statement is to be included in the advertisement to that effect.</w:t>
      </w:r>
    </w:p>
    <w:p w14:paraId="7EB197F7" w14:textId="77777777" w:rsidR="00B84FC6" w:rsidRPr="00174005" w:rsidRDefault="00B84FC6" w:rsidP="003E7B18">
      <w:pPr>
        <w:numPr>
          <w:ilvl w:val="0"/>
          <w:numId w:val="331"/>
        </w:numPr>
        <w:shd w:val="clear" w:color="auto" w:fill="FFFFFF"/>
        <w:tabs>
          <w:tab w:val="clear" w:pos="720"/>
          <w:tab w:val="num" w:pos="630"/>
        </w:tabs>
        <w:ind w:left="810" w:hanging="270"/>
        <w:rPr>
          <w:sz w:val="24"/>
          <w:szCs w:val="24"/>
        </w:rPr>
      </w:pPr>
      <w:r w:rsidRPr="00174005">
        <w:rPr>
          <w:sz w:val="24"/>
          <w:szCs w:val="24"/>
        </w:rPr>
        <w:t xml:space="preserve">Advertising involving municipal fund securities may be subject to additional requirements, including filing advertising with FINRA, if it discusses underlying investment company securities. See the section </w:t>
      </w:r>
      <w:r w:rsidR="008A6A81" w:rsidRPr="00174005">
        <w:rPr>
          <w:i/>
          <w:iCs/>
          <w:sz w:val="24"/>
          <w:szCs w:val="24"/>
        </w:rPr>
        <w:t xml:space="preserve">14.15 </w:t>
      </w:r>
      <w:r w:rsidRPr="00174005">
        <w:rPr>
          <w:i/>
          <w:iCs/>
          <w:sz w:val="24"/>
          <w:szCs w:val="24"/>
        </w:rPr>
        <w:t>Municipal Funds</w:t>
      </w:r>
      <w:r w:rsidRPr="00174005">
        <w:rPr>
          <w:sz w:val="24"/>
          <w:szCs w:val="24"/>
        </w:rPr>
        <w:t xml:space="preserve"> - </w:t>
      </w:r>
      <w:r w:rsidRPr="00174005">
        <w:rPr>
          <w:i/>
          <w:iCs/>
          <w:sz w:val="24"/>
          <w:szCs w:val="24"/>
        </w:rPr>
        <w:t>Advertising Municipal Fund Securities</w:t>
      </w:r>
      <w:r w:rsidRPr="00174005">
        <w:rPr>
          <w:sz w:val="24"/>
          <w:szCs w:val="24"/>
        </w:rPr>
        <w:t xml:space="preserve"> for more information.</w:t>
      </w:r>
    </w:p>
    <w:p w14:paraId="7E1FD676" w14:textId="77777777" w:rsidR="00B84FC6" w:rsidRPr="00174005" w:rsidRDefault="00B84FC6" w:rsidP="00B84FC6">
      <w:pPr>
        <w:shd w:val="clear" w:color="auto" w:fill="FFFFFF"/>
        <w:rPr>
          <w:sz w:val="24"/>
          <w:szCs w:val="24"/>
        </w:rPr>
      </w:pPr>
    </w:p>
    <w:p w14:paraId="26737743" w14:textId="77777777" w:rsidR="00B84FC6" w:rsidRPr="00174005" w:rsidRDefault="00B84FC6" w:rsidP="00B84FC6">
      <w:pPr>
        <w:shd w:val="clear" w:color="auto" w:fill="FFFFFF"/>
        <w:tabs>
          <w:tab w:val="left" w:pos="270"/>
        </w:tabs>
        <w:ind w:left="270"/>
        <w:rPr>
          <w:i/>
          <w:sz w:val="24"/>
          <w:szCs w:val="24"/>
        </w:rPr>
      </w:pPr>
      <w:r w:rsidRPr="00174005">
        <w:rPr>
          <w:sz w:val="24"/>
          <w:szCs w:val="24"/>
        </w:rPr>
        <w:t>Compliance should be consulted regarding questions about advertisements that include municipal securities.</w:t>
      </w:r>
      <w:r w:rsidR="008A6A81" w:rsidRPr="00174005">
        <w:rPr>
          <w:sz w:val="24"/>
          <w:szCs w:val="24"/>
        </w:rPr>
        <w:t xml:space="preserve"> </w:t>
      </w:r>
    </w:p>
    <w:p w14:paraId="36B30BB3" w14:textId="77777777" w:rsidR="00B84FC6" w:rsidRPr="00174005" w:rsidRDefault="00B84FC6" w:rsidP="00C076C4">
      <w:pPr>
        <w:ind w:left="270"/>
      </w:pPr>
    </w:p>
    <w:p w14:paraId="0DD49B03" w14:textId="77777777" w:rsidR="00273892" w:rsidRPr="00174005" w:rsidRDefault="00273892" w:rsidP="00273892"/>
    <w:p w14:paraId="304B726B" w14:textId="77777777" w:rsidR="000C099C" w:rsidRPr="00174005" w:rsidRDefault="00863E7C" w:rsidP="00936FEE">
      <w:pPr>
        <w:pStyle w:val="Heading2"/>
        <w:rPr>
          <w:i/>
        </w:rPr>
      </w:pPr>
      <w:r w:rsidRPr="00174005">
        <w:t>1</w:t>
      </w:r>
      <w:r w:rsidR="00174005">
        <w:t>3</w:t>
      </w:r>
      <w:r w:rsidRPr="00174005">
        <w:t>.4</w:t>
      </w:r>
      <w:r w:rsidR="00FB3943" w:rsidRPr="00174005">
        <w:t xml:space="preserve"> </w:t>
      </w:r>
      <w:r w:rsidR="000C099C" w:rsidRPr="00174005">
        <w:t>MSRB Rule G-3</w:t>
      </w:r>
      <w:bookmarkEnd w:id="235"/>
      <w:r w:rsidR="00F16DDC" w:rsidRPr="00174005">
        <w:t xml:space="preserve"> </w:t>
      </w:r>
      <w:r w:rsidR="00280EE0" w:rsidRPr="00174005">
        <w:t>–</w:t>
      </w:r>
      <w:r w:rsidR="00F16DDC" w:rsidRPr="00174005">
        <w:t xml:space="preserve"> </w:t>
      </w:r>
      <w:r w:rsidR="00280EE0" w:rsidRPr="00174005">
        <w:t>C</w:t>
      </w:r>
      <w:r w:rsidR="004D022E" w:rsidRPr="00174005">
        <w:t>E</w:t>
      </w:r>
      <w:r w:rsidR="00245223" w:rsidRPr="00174005">
        <w:t xml:space="preserve"> </w:t>
      </w:r>
    </w:p>
    <w:p w14:paraId="597152C7" w14:textId="77777777" w:rsidR="00965A04" w:rsidRDefault="00395B5E" w:rsidP="00965A04">
      <w:pPr>
        <w:pStyle w:val="Default"/>
        <w:rPr>
          <w:rFonts w:ascii="Times New Roman" w:hAnsi="Times New Roman"/>
          <w:sz w:val="24"/>
          <w:szCs w:val="24"/>
        </w:rPr>
      </w:pPr>
      <w:r w:rsidRPr="00174005">
        <w:rPr>
          <w:rFonts w:ascii="Times New Roman" w:hAnsi="Times New Roman"/>
          <w:sz w:val="24"/>
          <w:szCs w:val="24"/>
        </w:rPr>
        <w:t>Associated Persons, including</w:t>
      </w:r>
      <w:r w:rsidR="00245223" w:rsidRPr="00174005">
        <w:rPr>
          <w:rFonts w:ascii="Times New Roman" w:hAnsi="Times New Roman"/>
          <w:sz w:val="24"/>
          <w:szCs w:val="24"/>
        </w:rPr>
        <w:t xml:space="preserve"> Representatives and Principals</w:t>
      </w:r>
      <w:r w:rsidRPr="00174005">
        <w:rPr>
          <w:rFonts w:ascii="Times New Roman" w:hAnsi="Times New Roman"/>
          <w:sz w:val="24"/>
          <w:szCs w:val="24"/>
        </w:rPr>
        <w:t>,</w:t>
      </w:r>
      <w:r w:rsidR="00245223" w:rsidRPr="00174005">
        <w:rPr>
          <w:rFonts w:ascii="Times New Roman" w:hAnsi="Times New Roman"/>
          <w:sz w:val="24"/>
          <w:szCs w:val="24"/>
        </w:rPr>
        <w:t xml:space="preserve"> involved with municipal securities activities will be subject to continuing education requirements</w:t>
      </w:r>
      <w:r w:rsidR="0092026C" w:rsidRPr="00174005">
        <w:rPr>
          <w:rFonts w:ascii="Times New Roman" w:hAnsi="Times New Roman"/>
          <w:sz w:val="24"/>
          <w:szCs w:val="24"/>
        </w:rPr>
        <w:t xml:space="preserve"> for covered persons</w:t>
      </w:r>
      <w:r w:rsidR="00245223" w:rsidRPr="00AF3D2D">
        <w:rPr>
          <w:rFonts w:ascii="Times New Roman" w:hAnsi="Times New Roman"/>
          <w:sz w:val="24"/>
          <w:szCs w:val="24"/>
        </w:rPr>
        <w:t xml:space="preserve">. </w:t>
      </w:r>
      <w:r w:rsidR="0092026C" w:rsidRPr="00AF3D2D">
        <w:rPr>
          <w:rFonts w:ascii="Times New Roman" w:hAnsi="Times New Roman"/>
          <w:sz w:val="24"/>
          <w:szCs w:val="24"/>
        </w:rPr>
        <w:t xml:space="preserve"> </w:t>
      </w:r>
      <w:r w:rsidR="00245223" w:rsidRPr="00AF3D2D">
        <w:rPr>
          <w:rFonts w:ascii="Times New Roman" w:hAnsi="Times New Roman"/>
          <w:sz w:val="24"/>
          <w:szCs w:val="24"/>
        </w:rPr>
        <w:t xml:space="preserve">The same Regulatory Element and time periods as discussed in Section 4.37 of this manual are also required under MSRB Rule 3.  </w:t>
      </w:r>
      <w:r w:rsidR="0092026C" w:rsidRPr="00AF3D2D">
        <w:rPr>
          <w:rFonts w:ascii="Times New Roman" w:hAnsi="Times New Roman"/>
          <w:sz w:val="24"/>
          <w:szCs w:val="24"/>
        </w:rPr>
        <w:t xml:space="preserve"> </w:t>
      </w:r>
    </w:p>
    <w:p w14:paraId="6B818950" w14:textId="77777777" w:rsidR="00185EDC" w:rsidRPr="00174005" w:rsidRDefault="00185EDC" w:rsidP="00185EDC">
      <w:pPr>
        <w:spacing w:before="100" w:beforeAutospacing="1" w:after="100" w:afterAutospacing="1"/>
        <w:rPr>
          <w:sz w:val="24"/>
          <w:szCs w:val="24"/>
        </w:rPr>
      </w:pPr>
      <w:r w:rsidRPr="00174005">
        <w:rPr>
          <w:sz w:val="24"/>
          <w:szCs w:val="24"/>
        </w:rPr>
        <w:t>Firm Element continuing education covers, at minimum, the following:</w:t>
      </w:r>
    </w:p>
    <w:p w14:paraId="637DA6EA" w14:textId="77777777" w:rsidR="00185EDC" w:rsidRPr="00174005" w:rsidRDefault="00185EDC" w:rsidP="003E7B18">
      <w:pPr>
        <w:numPr>
          <w:ilvl w:val="0"/>
          <w:numId w:val="329"/>
        </w:numPr>
        <w:spacing w:before="100" w:beforeAutospacing="1" w:after="100" w:afterAutospacing="1"/>
        <w:rPr>
          <w:sz w:val="24"/>
          <w:szCs w:val="24"/>
        </w:rPr>
      </w:pPr>
      <w:r w:rsidRPr="00174005">
        <w:rPr>
          <w:sz w:val="24"/>
          <w:szCs w:val="24"/>
        </w:rPr>
        <w:t>General investment features and associated risk factors</w:t>
      </w:r>
    </w:p>
    <w:p w14:paraId="66794BBA" w14:textId="77777777" w:rsidR="00185EDC" w:rsidRPr="00174005" w:rsidRDefault="00185EDC" w:rsidP="003E7B18">
      <w:pPr>
        <w:numPr>
          <w:ilvl w:val="0"/>
          <w:numId w:val="329"/>
        </w:numPr>
        <w:spacing w:before="100" w:beforeAutospacing="1" w:after="100" w:afterAutospacing="1"/>
        <w:rPr>
          <w:sz w:val="24"/>
          <w:szCs w:val="24"/>
        </w:rPr>
      </w:pPr>
      <w:r w:rsidRPr="00174005">
        <w:rPr>
          <w:sz w:val="24"/>
          <w:szCs w:val="24"/>
        </w:rPr>
        <w:t>Suitability and sales practice considerations</w:t>
      </w:r>
    </w:p>
    <w:p w14:paraId="565B0DEA" w14:textId="77777777" w:rsidR="00185EDC" w:rsidRPr="00174005" w:rsidRDefault="00185EDC" w:rsidP="003E7B18">
      <w:pPr>
        <w:numPr>
          <w:ilvl w:val="0"/>
          <w:numId w:val="329"/>
        </w:numPr>
        <w:spacing w:before="100" w:beforeAutospacing="1" w:after="100" w:afterAutospacing="1"/>
        <w:rPr>
          <w:sz w:val="24"/>
          <w:szCs w:val="24"/>
        </w:rPr>
      </w:pPr>
      <w:r w:rsidRPr="00174005">
        <w:rPr>
          <w:sz w:val="24"/>
          <w:szCs w:val="24"/>
        </w:rPr>
        <w:t>Applicable regulatory requirements</w:t>
      </w:r>
    </w:p>
    <w:p w14:paraId="7E31A0B2" w14:textId="77777777" w:rsidR="00185EDC" w:rsidRPr="00174005" w:rsidRDefault="00185EDC" w:rsidP="003E7B18">
      <w:pPr>
        <w:numPr>
          <w:ilvl w:val="0"/>
          <w:numId w:val="329"/>
        </w:numPr>
        <w:spacing w:before="100" w:beforeAutospacing="1" w:after="100" w:afterAutospacing="1"/>
        <w:rPr>
          <w:sz w:val="24"/>
          <w:szCs w:val="24"/>
        </w:rPr>
      </w:pPr>
      <w:r w:rsidRPr="00174005">
        <w:rPr>
          <w:sz w:val="24"/>
          <w:szCs w:val="24"/>
        </w:rPr>
        <w:t>Ethics and professional responsibility</w:t>
      </w:r>
    </w:p>
    <w:p w14:paraId="50EED2EF" w14:textId="77777777" w:rsidR="0092026C" w:rsidRPr="00AF3D2D" w:rsidRDefault="00FA63AE" w:rsidP="00965A04">
      <w:pPr>
        <w:pStyle w:val="Default"/>
        <w:rPr>
          <w:rFonts w:ascii="Times New Roman" w:hAnsi="Times New Roman"/>
          <w:sz w:val="24"/>
          <w:szCs w:val="24"/>
        </w:rPr>
      </w:pPr>
      <w:r w:rsidRPr="00174005">
        <w:rPr>
          <w:rFonts w:ascii="Times New Roman" w:hAnsi="Times New Roman"/>
          <w:sz w:val="24"/>
          <w:szCs w:val="24"/>
        </w:rPr>
        <w:t xml:space="preserve">Company must ensure </w:t>
      </w:r>
      <w:r w:rsidR="00F25F0A" w:rsidRPr="00174005">
        <w:rPr>
          <w:rFonts w:ascii="Times New Roman" w:hAnsi="Times New Roman"/>
          <w:sz w:val="24"/>
          <w:szCs w:val="24"/>
        </w:rPr>
        <w:t xml:space="preserve">firm element </w:t>
      </w:r>
      <w:r w:rsidRPr="00174005">
        <w:rPr>
          <w:rFonts w:ascii="Times New Roman" w:hAnsi="Times New Roman"/>
          <w:sz w:val="24"/>
          <w:szCs w:val="24"/>
        </w:rPr>
        <w:t xml:space="preserve">training is </w:t>
      </w:r>
      <w:r w:rsidRPr="00AF3D2D">
        <w:rPr>
          <w:rFonts w:ascii="Times New Roman" w:hAnsi="Times New Roman"/>
          <w:sz w:val="24"/>
          <w:szCs w:val="24"/>
        </w:rPr>
        <w:t>completed by December 31</w:t>
      </w:r>
      <w:r w:rsidR="005C0B72" w:rsidRPr="00AF3D2D">
        <w:rPr>
          <w:rFonts w:ascii="Times New Roman" w:hAnsi="Times New Roman"/>
          <w:sz w:val="24"/>
          <w:szCs w:val="24"/>
        </w:rPr>
        <w:t xml:space="preserve"> each year.  Records of completion of training will be maintained in Company’s CE records.</w:t>
      </w:r>
    </w:p>
    <w:p w14:paraId="751F07D8" w14:textId="77777777" w:rsidR="000C099C" w:rsidRPr="00AF3D2D" w:rsidRDefault="000C099C" w:rsidP="00F14C7B">
      <w:pPr>
        <w:rPr>
          <w:sz w:val="24"/>
          <w:szCs w:val="24"/>
        </w:rPr>
      </w:pPr>
    </w:p>
    <w:p w14:paraId="427CCE53" w14:textId="77777777" w:rsidR="00863E7C" w:rsidRDefault="00863E7C" w:rsidP="00F14C7B">
      <w:pPr>
        <w:rPr>
          <w:b/>
          <w:bCs/>
          <w:sz w:val="24"/>
        </w:rPr>
      </w:pPr>
      <w:bookmarkStart w:id="236" w:name="_Toc149007291"/>
    </w:p>
    <w:p w14:paraId="49040C83" w14:textId="77777777" w:rsidR="000C099C" w:rsidRDefault="00863E7C" w:rsidP="00936FEE">
      <w:pPr>
        <w:pStyle w:val="Heading2"/>
      </w:pPr>
      <w:r>
        <w:t>1</w:t>
      </w:r>
      <w:r w:rsidR="00174005">
        <w:t>3</w:t>
      </w:r>
      <w:r>
        <w:t xml:space="preserve">.5 MSRB </w:t>
      </w:r>
      <w:bookmarkEnd w:id="236"/>
      <w:r w:rsidR="000C099C">
        <w:t>Rules</w:t>
      </w:r>
    </w:p>
    <w:p w14:paraId="3B60C692" w14:textId="77777777" w:rsidR="000C099C" w:rsidRPr="0022648E" w:rsidRDefault="000C099C" w:rsidP="00F14C7B">
      <w:pPr>
        <w:rPr>
          <w:color w:val="FF0000"/>
          <w:sz w:val="32"/>
        </w:rPr>
      </w:pPr>
      <w:r>
        <w:rPr>
          <w:sz w:val="24"/>
        </w:rPr>
        <w:t>MSRB</w:t>
      </w:r>
      <w:r w:rsidR="0022648E">
        <w:rPr>
          <w:sz w:val="24"/>
        </w:rPr>
        <w:t xml:space="preserve"> Rules </w:t>
      </w:r>
      <w:r w:rsidR="0022648E" w:rsidRPr="00593EE9">
        <w:rPr>
          <w:sz w:val="24"/>
        </w:rPr>
        <w:t xml:space="preserve">are accessible via their </w:t>
      </w:r>
      <w:r w:rsidRPr="00593EE9">
        <w:rPr>
          <w:sz w:val="24"/>
        </w:rPr>
        <w:t xml:space="preserve">web </w:t>
      </w:r>
      <w:r>
        <w:rPr>
          <w:sz w:val="24"/>
        </w:rPr>
        <w:t xml:space="preserve">site </w:t>
      </w:r>
      <w:r w:rsidR="0022648E">
        <w:rPr>
          <w:sz w:val="24"/>
        </w:rPr>
        <w:t xml:space="preserve">at </w:t>
      </w:r>
      <w:hyperlink r:id="rId87" w:history="1">
        <w:r w:rsidR="006861A2" w:rsidRPr="00C70BA9">
          <w:rPr>
            <w:rStyle w:val="Hyperlink"/>
            <w:sz w:val="24"/>
          </w:rPr>
          <w:t>www.msrb.org</w:t>
        </w:r>
      </w:hyperlink>
      <w:r w:rsidR="0022648E">
        <w:t xml:space="preserve"> </w:t>
      </w:r>
      <w:r w:rsidR="0022648E" w:rsidRPr="00593EE9">
        <w:rPr>
          <w:sz w:val="24"/>
        </w:rPr>
        <w:t>under Rules and Guidance.</w:t>
      </w:r>
    </w:p>
    <w:p w14:paraId="0AAEA5BC" w14:textId="77777777" w:rsidR="000C099C" w:rsidRDefault="000C099C" w:rsidP="00F14C7B">
      <w:pPr>
        <w:rPr>
          <w:sz w:val="24"/>
        </w:rPr>
      </w:pPr>
    </w:p>
    <w:p w14:paraId="6918D6D7" w14:textId="77777777" w:rsidR="00863E7C" w:rsidRDefault="00863E7C" w:rsidP="00F14C7B">
      <w:pPr>
        <w:rPr>
          <w:b/>
          <w:bCs/>
          <w:sz w:val="24"/>
        </w:rPr>
      </w:pPr>
      <w:bookmarkStart w:id="237" w:name="_Toc149007293"/>
    </w:p>
    <w:p w14:paraId="78F6E31F" w14:textId="77777777" w:rsidR="000C099C" w:rsidRDefault="00863E7C" w:rsidP="00936FEE">
      <w:pPr>
        <w:pStyle w:val="Heading2"/>
      </w:pPr>
      <w:r>
        <w:t>1</w:t>
      </w:r>
      <w:r w:rsidR="007F31EA">
        <w:t>3</w:t>
      </w:r>
      <w:r>
        <w:t xml:space="preserve">.6 </w:t>
      </w:r>
      <w:r w:rsidR="00E44B88">
        <w:t>Electronic Mail Contact – Form A-12</w:t>
      </w:r>
      <w:bookmarkEnd w:id="237"/>
    </w:p>
    <w:p w14:paraId="3274277B" w14:textId="77777777" w:rsidR="00E44B88" w:rsidRDefault="000C099C" w:rsidP="00F14C7B">
      <w:pPr>
        <w:rPr>
          <w:sz w:val="24"/>
        </w:rPr>
      </w:pPr>
      <w:r>
        <w:rPr>
          <w:sz w:val="24"/>
        </w:rPr>
        <w:t xml:space="preserve">The Company will maintain and update the Electronic Mail Contacts whenever changes occur.  </w:t>
      </w:r>
    </w:p>
    <w:p w14:paraId="2D1B600B" w14:textId="77777777" w:rsidR="00E44B88" w:rsidRDefault="000C099C" w:rsidP="00F14C7B">
      <w:pPr>
        <w:rPr>
          <w:sz w:val="24"/>
        </w:rPr>
      </w:pPr>
      <w:r>
        <w:rPr>
          <w:sz w:val="24"/>
        </w:rPr>
        <w:t xml:space="preserve">The Company appoints Morris Monroe as its Primary Electronic Mail Contact.  </w:t>
      </w:r>
    </w:p>
    <w:p w14:paraId="0E404EFB" w14:textId="77777777" w:rsidR="00E44B88" w:rsidRPr="00AF3D2D" w:rsidRDefault="00E44B88" w:rsidP="00E44B88">
      <w:pPr>
        <w:spacing w:before="100" w:beforeAutospacing="1" w:after="100" w:afterAutospacing="1"/>
        <w:rPr>
          <w:sz w:val="24"/>
          <w:szCs w:val="24"/>
        </w:rPr>
      </w:pPr>
      <w:r w:rsidRPr="00AF3D2D">
        <w:rPr>
          <w:sz w:val="24"/>
          <w:szCs w:val="24"/>
        </w:rPr>
        <w:lastRenderedPageBreak/>
        <w:t>On an annual basis, Compliance will affirm contact information electronically on Form A-12 regarding the following contact persons:</w:t>
      </w:r>
    </w:p>
    <w:p w14:paraId="5422A383" w14:textId="77777777" w:rsidR="00E44B88" w:rsidRPr="00AF3D2D" w:rsidRDefault="00E44B88" w:rsidP="003E7B18">
      <w:pPr>
        <w:numPr>
          <w:ilvl w:val="0"/>
          <w:numId w:val="245"/>
        </w:numPr>
        <w:rPr>
          <w:sz w:val="24"/>
          <w:szCs w:val="24"/>
        </w:rPr>
      </w:pPr>
      <w:r w:rsidRPr="00AF3D2D">
        <w:rPr>
          <w:sz w:val="24"/>
          <w:szCs w:val="24"/>
        </w:rPr>
        <w:t xml:space="preserve">Primary regulatory contact (must be a registered municipal principal) </w:t>
      </w:r>
    </w:p>
    <w:p w14:paraId="4FE7B87F" w14:textId="77777777" w:rsidR="00E44B88" w:rsidRPr="00AF3D2D" w:rsidRDefault="00E44B88" w:rsidP="003E7B18">
      <w:pPr>
        <w:numPr>
          <w:ilvl w:val="0"/>
          <w:numId w:val="245"/>
        </w:numPr>
        <w:rPr>
          <w:sz w:val="24"/>
          <w:szCs w:val="24"/>
        </w:rPr>
      </w:pPr>
      <w:r w:rsidRPr="00AF3D2D">
        <w:rPr>
          <w:sz w:val="24"/>
          <w:szCs w:val="24"/>
        </w:rPr>
        <w:t xml:space="preserve">Master account administrator </w:t>
      </w:r>
    </w:p>
    <w:p w14:paraId="079DCD29" w14:textId="77777777" w:rsidR="00E44B88" w:rsidRPr="00AF3D2D" w:rsidRDefault="00E44B88" w:rsidP="003E7B18">
      <w:pPr>
        <w:numPr>
          <w:ilvl w:val="0"/>
          <w:numId w:val="245"/>
        </w:numPr>
        <w:rPr>
          <w:sz w:val="24"/>
          <w:szCs w:val="24"/>
        </w:rPr>
      </w:pPr>
      <w:r w:rsidRPr="00AF3D2D">
        <w:rPr>
          <w:sz w:val="24"/>
          <w:szCs w:val="24"/>
        </w:rPr>
        <w:t xml:space="preserve">Billing contact </w:t>
      </w:r>
    </w:p>
    <w:p w14:paraId="4BD45C62" w14:textId="77777777" w:rsidR="00E44B88" w:rsidRPr="00AF3D2D" w:rsidRDefault="00E44B88" w:rsidP="003E7B18">
      <w:pPr>
        <w:numPr>
          <w:ilvl w:val="0"/>
          <w:numId w:val="245"/>
        </w:numPr>
        <w:rPr>
          <w:sz w:val="24"/>
          <w:szCs w:val="24"/>
        </w:rPr>
      </w:pPr>
      <w:r w:rsidRPr="00AF3D2D">
        <w:rPr>
          <w:sz w:val="24"/>
          <w:szCs w:val="24"/>
        </w:rPr>
        <w:t xml:space="preserve">Compliance contact </w:t>
      </w:r>
    </w:p>
    <w:p w14:paraId="2CE9082D" w14:textId="77777777" w:rsidR="00E44B88" w:rsidRPr="00AF3D2D" w:rsidRDefault="00E44B88" w:rsidP="003E7B18">
      <w:pPr>
        <w:numPr>
          <w:ilvl w:val="0"/>
          <w:numId w:val="245"/>
        </w:numPr>
        <w:rPr>
          <w:sz w:val="24"/>
          <w:szCs w:val="24"/>
        </w:rPr>
      </w:pPr>
      <w:r w:rsidRPr="00AF3D2D">
        <w:rPr>
          <w:sz w:val="24"/>
          <w:szCs w:val="24"/>
        </w:rPr>
        <w:t>Primary data quality contact</w:t>
      </w:r>
    </w:p>
    <w:p w14:paraId="02EB6165" w14:textId="77777777" w:rsidR="00E44B88" w:rsidRPr="00AF3D2D" w:rsidRDefault="00E44B88" w:rsidP="00E44B88">
      <w:pPr>
        <w:spacing w:before="100" w:beforeAutospacing="1" w:after="100" w:afterAutospacing="1"/>
        <w:rPr>
          <w:sz w:val="24"/>
          <w:szCs w:val="24"/>
        </w:rPr>
      </w:pPr>
      <w:r w:rsidRPr="00AF3D2D">
        <w:rPr>
          <w:sz w:val="24"/>
          <w:szCs w:val="24"/>
        </w:rPr>
        <w:t>Changes will be filed within 30 days of information becoming inaccurate.  Company may, at its discretion, also provide one or more of the following contacts: optional regulatory contact; data quality contact; or technical contact. Compliance is responsible for making the required filings and retaining records of contact information and filings.</w:t>
      </w:r>
      <w:r w:rsidR="00843770" w:rsidRPr="00AF3D2D">
        <w:rPr>
          <w:sz w:val="24"/>
          <w:szCs w:val="24"/>
        </w:rPr>
        <w:t xml:space="preserve">  The first Form A-12 must be completed by August 10, 2014.</w:t>
      </w:r>
    </w:p>
    <w:p w14:paraId="1B041844" w14:textId="77777777" w:rsidR="00E44B88" w:rsidRDefault="00E44B88" w:rsidP="00F14C7B">
      <w:pPr>
        <w:rPr>
          <w:sz w:val="24"/>
        </w:rPr>
      </w:pPr>
    </w:p>
    <w:p w14:paraId="0723A181" w14:textId="77777777" w:rsidR="000C099C" w:rsidRDefault="00863E7C" w:rsidP="00936FEE">
      <w:pPr>
        <w:pStyle w:val="Heading2"/>
        <w:rPr>
          <w:i/>
        </w:rPr>
      </w:pPr>
      <w:bookmarkStart w:id="238" w:name="_Toc149007294"/>
      <w:r>
        <w:t>1</w:t>
      </w:r>
      <w:r w:rsidR="007F31EA">
        <w:t>3</w:t>
      </w:r>
      <w:r>
        <w:t xml:space="preserve">.7 MSRB </w:t>
      </w:r>
      <w:r w:rsidR="000C099C">
        <w:t>Assessments and Fees</w:t>
      </w:r>
      <w:bookmarkEnd w:id="238"/>
    </w:p>
    <w:p w14:paraId="7CF79033" w14:textId="77777777" w:rsidR="000C099C" w:rsidRDefault="000C099C" w:rsidP="00F14C7B">
      <w:pPr>
        <w:rPr>
          <w:sz w:val="24"/>
        </w:rPr>
      </w:pPr>
      <w:r>
        <w:rPr>
          <w:sz w:val="24"/>
        </w:rPr>
        <w:t xml:space="preserve">The DMP will review all MSRB assessments and fees when received and ensure that they are paid on a timely basis.  </w:t>
      </w:r>
      <w:bookmarkStart w:id="239" w:name="_Toc149007295"/>
    </w:p>
    <w:p w14:paraId="4063F986" w14:textId="77777777" w:rsidR="000C099C" w:rsidRDefault="000C099C" w:rsidP="00F14C7B">
      <w:pPr>
        <w:rPr>
          <w:sz w:val="24"/>
        </w:rPr>
      </w:pPr>
    </w:p>
    <w:p w14:paraId="56687367" w14:textId="77777777" w:rsidR="00863E7C" w:rsidRDefault="00863E7C" w:rsidP="00F14C7B">
      <w:pPr>
        <w:rPr>
          <w:b/>
          <w:bCs/>
          <w:sz w:val="24"/>
        </w:rPr>
      </w:pPr>
    </w:p>
    <w:p w14:paraId="00201B93" w14:textId="77777777" w:rsidR="00B836AB" w:rsidRDefault="00863E7C" w:rsidP="00936FEE">
      <w:pPr>
        <w:pStyle w:val="Heading2"/>
      </w:pPr>
      <w:r>
        <w:t>1</w:t>
      </w:r>
      <w:r w:rsidR="007F31EA">
        <w:t>3</w:t>
      </w:r>
      <w:r w:rsidR="006B12F1">
        <w:t xml:space="preserve">.8 </w:t>
      </w:r>
      <w:r w:rsidR="00CF3265">
        <w:t xml:space="preserve">Rule G-15 </w:t>
      </w:r>
    </w:p>
    <w:p w14:paraId="6ACE921E" w14:textId="77777777" w:rsidR="000C099C" w:rsidRDefault="00B836AB" w:rsidP="00B836AB">
      <w:pPr>
        <w:pStyle w:val="Heading3"/>
      </w:pPr>
      <w:r>
        <w:t>1</w:t>
      </w:r>
      <w:r w:rsidR="00174005">
        <w:t>3</w:t>
      </w:r>
      <w:r>
        <w:t xml:space="preserve">.8.1 </w:t>
      </w:r>
      <w:r w:rsidR="000C099C">
        <w:t>Transactions in Below-Minimum Denominations</w:t>
      </w:r>
      <w:bookmarkEnd w:id="239"/>
    </w:p>
    <w:p w14:paraId="53EA79E4" w14:textId="5C5CEEA4" w:rsidR="000C099C" w:rsidRDefault="000C099C" w:rsidP="00E06EF7">
      <w:pPr>
        <w:ind w:left="270"/>
        <w:rPr>
          <w:sz w:val="24"/>
        </w:rPr>
      </w:pPr>
      <w:r>
        <w:rPr>
          <w:sz w:val="24"/>
        </w:rPr>
        <w:t xml:space="preserve">On January 30, 2002, the Securities and Exchange Commission approved rule changes concerning minimum denominations filed by the Municipal Securities Rulemaking Board (“MSRB”). The rule changes consist of an amendment to </w:t>
      </w:r>
      <w:r>
        <w:rPr>
          <w:b/>
          <w:bCs/>
          <w:sz w:val="24"/>
        </w:rPr>
        <w:t>Rule G-15</w:t>
      </w:r>
      <w:r>
        <w:rPr>
          <w:sz w:val="24"/>
        </w:rPr>
        <w:t>, on confirmation, clearance, settlement</w:t>
      </w:r>
      <w:r w:rsidR="006B12F1">
        <w:rPr>
          <w:sz w:val="24"/>
        </w:rPr>
        <w:t>,</w:t>
      </w:r>
      <w:r>
        <w:rPr>
          <w:sz w:val="24"/>
        </w:rPr>
        <w:t xml:space="preserve"> and other uniform practice requirements with respect to transactions with customers, and a </w:t>
      </w:r>
      <w:r>
        <w:rPr>
          <w:b/>
          <w:bCs/>
          <w:sz w:val="24"/>
        </w:rPr>
        <w:t>Rule G-8</w:t>
      </w:r>
      <w:r>
        <w:rPr>
          <w:sz w:val="24"/>
        </w:rPr>
        <w:t xml:space="preserve"> recordkeeping requirement.</w:t>
      </w:r>
    </w:p>
    <w:p w14:paraId="65531277" w14:textId="77777777" w:rsidR="000C099C" w:rsidRDefault="000C099C" w:rsidP="00B836AB">
      <w:pPr>
        <w:ind w:left="270"/>
        <w:rPr>
          <w:sz w:val="24"/>
        </w:rPr>
      </w:pPr>
    </w:p>
    <w:p w14:paraId="3EF85BFD" w14:textId="77777777" w:rsidR="004B1591" w:rsidRPr="00EA0A5B" w:rsidRDefault="004B1591" w:rsidP="00BB1F48">
      <w:pPr>
        <w:ind w:left="270"/>
        <w:rPr>
          <w:sz w:val="24"/>
          <w:szCs w:val="24"/>
        </w:rPr>
      </w:pPr>
      <w:r w:rsidRPr="00EA0A5B">
        <w:rPr>
          <w:sz w:val="24"/>
          <w:szCs w:val="24"/>
        </w:rPr>
        <w:t>The Company may not sell municipal securities to customers below the minimum denomination for securities issued after June 1, 2002, with limited exceptions explained below.</w:t>
      </w:r>
    </w:p>
    <w:p w14:paraId="58EDBCF2" w14:textId="77777777" w:rsidR="004B1591" w:rsidRDefault="004B1591" w:rsidP="00BB1F48"/>
    <w:p w14:paraId="3376670F" w14:textId="77777777" w:rsidR="004B1591" w:rsidRPr="00C86DB0" w:rsidRDefault="004B1591" w:rsidP="00C86DB0">
      <w:pPr>
        <w:ind w:firstLine="270"/>
        <w:rPr>
          <w:b/>
          <w:sz w:val="24"/>
        </w:rPr>
      </w:pPr>
      <w:r w:rsidRPr="00C86DB0">
        <w:rPr>
          <w:b/>
          <w:sz w:val="24"/>
        </w:rPr>
        <w:t>Exceptions</w:t>
      </w:r>
    </w:p>
    <w:p w14:paraId="605C6770" w14:textId="77777777" w:rsidR="004B1591" w:rsidRPr="00EA0A5B" w:rsidRDefault="004B1591" w:rsidP="00C86DB0">
      <w:pPr>
        <w:pStyle w:val="Normal19"/>
        <w:shd w:val="clear" w:color="auto" w:fill="FFFFFF"/>
        <w:spacing w:before="0" w:beforeAutospacing="0" w:after="0" w:afterAutospacing="0"/>
        <w:ind w:left="270"/>
      </w:pPr>
      <w:r w:rsidRPr="00EA0A5B">
        <w:t xml:space="preserve">The prohibition does not apply to the </w:t>
      </w:r>
      <w:r w:rsidRPr="00EA0A5B">
        <w:rPr>
          <w:i/>
        </w:rPr>
        <w:t>purchase</w:t>
      </w:r>
      <w:r w:rsidRPr="00EA0A5B">
        <w:t xml:space="preserve"> of securities from a customer in an amount below the minimum denomination if the Company determines that the customer's position in the issue already is below the minimum denomination and that the entire position would be liquidated by the transaction.  The prohibition does not apply to the </w:t>
      </w:r>
      <w:r w:rsidRPr="00EA0A5B">
        <w:rPr>
          <w:i/>
        </w:rPr>
        <w:t>sale</w:t>
      </w:r>
      <w:r w:rsidRPr="00EA0A5B">
        <w:t xml:space="preserve"> of securities to a customer in an amount below the minimum denomination if the Company determines that the securities position being sold is the result of a customer liquidating a position below the minimum denomination. </w:t>
      </w:r>
      <w:r w:rsidR="005856D2" w:rsidRPr="00EA0A5B">
        <w:t xml:space="preserve"> T</w:t>
      </w:r>
      <w:r w:rsidRPr="00EA0A5B">
        <w:t xml:space="preserve">he </w:t>
      </w:r>
      <w:r w:rsidR="005856D2" w:rsidRPr="00EA0A5B">
        <w:t>Company</w:t>
      </w:r>
      <w:r w:rsidRPr="00EA0A5B">
        <w:t xml:space="preserve"> is obligated to provide the customer a written statement informing the customer that the quantity of securities being sold is below the minimum denomination for the issue and that this may adversely affect the liquidity of the position unless the customer has other securities from the issue that can be combined to reach the minimum denomination.</w:t>
      </w:r>
    </w:p>
    <w:p w14:paraId="53F92E58" w14:textId="77777777" w:rsidR="005856D2" w:rsidRPr="00EA0A5B" w:rsidRDefault="005856D2" w:rsidP="00C86DB0">
      <w:pPr>
        <w:pStyle w:val="Normal19"/>
        <w:shd w:val="clear" w:color="auto" w:fill="FFFFFF"/>
        <w:spacing w:before="0" w:beforeAutospacing="0" w:after="0" w:afterAutospacing="0"/>
        <w:ind w:left="270"/>
      </w:pPr>
    </w:p>
    <w:p w14:paraId="1973CD13" w14:textId="77777777" w:rsidR="004B1591" w:rsidRPr="00EA0A5B" w:rsidRDefault="004B1591" w:rsidP="00C86DB0">
      <w:pPr>
        <w:pStyle w:val="Normal19"/>
        <w:shd w:val="clear" w:color="auto" w:fill="FFFFFF"/>
        <w:spacing w:before="0" w:beforeAutospacing="0" w:after="0" w:afterAutospacing="0"/>
        <w:ind w:left="270"/>
      </w:pPr>
      <w:r w:rsidRPr="00EA0A5B">
        <w:lastRenderedPageBreak/>
        <w:t xml:space="preserve">For either exception </w:t>
      </w:r>
      <w:r w:rsidR="005856D2" w:rsidRPr="00EA0A5B">
        <w:t>Company</w:t>
      </w:r>
      <w:r w:rsidRPr="00EA0A5B">
        <w:t xml:space="preserve"> may rely on customer account records in its possession or on a written statement provided by the customer selling the securities (in the first exception) or the party from which the securities are purchased (in the second exception).</w:t>
      </w:r>
    </w:p>
    <w:p w14:paraId="0A8F02FC" w14:textId="77777777" w:rsidR="004B1591" w:rsidRPr="00EA0A5B" w:rsidRDefault="004B1591" w:rsidP="00D67A47">
      <w:pPr>
        <w:ind w:left="540"/>
      </w:pPr>
    </w:p>
    <w:p w14:paraId="2B72300D" w14:textId="77777777" w:rsidR="005856D2" w:rsidRPr="00C86DB0" w:rsidRDefault="005856D2" w:rsidP="00C86DB0">
      <w:pPr>
        <w:ind w:firstLine="270"/>
        <w:rPr>
          <w:b/>
          <w:sz w:val="24"/>
        </w:rPr>
      </w:pPr>
      <w:r w:rsidRPr="00C86DB0">
        <w:rPr>
          <w:b/>
          <w:sz w:val="24"/>
        </w:rPr>
        <w:t>Written Disclosure</w:t>
      </w:r>
    </w:p>
    <w:p w14:paraId="56AA2688" w14:textId="77777777" w:rsidR="005856D2" w:rsidRPr="00EA0A5B" w:rsidRDefault="005856D2" w:rsidP="00C86DB0">
      <w:pPr>
        <w:pStyle w:val="Normal19"/>
        <w:spacing w:before="0" w:beforeAutospacing="0" w:after="0" w:afterAutospacing="0"/>
        <w:ind w:left="270"/>
      </w:pPr>
      <w:r w:rsidRPr="00EA0A5B">
        <w:t xml:space="preserve">Written disclosure about the potential effect on liquidity will be included on confirmations where a customer buys an amount below the minimum denomination.  If the Company determines to provide a separate written disclosure, records of providing the disclosure will be retained by Operations for a minimum of three years. </w:t>
      </w:r>
    </w:p>
    <w:p w14:paraId="58951801" w14:textId="77777777" w:rsidR="000C099C" w:rsidRDefault="000C099C" w:rsidP="00F14C7B">
      <w:pPr>
        <w:tabs>
          <w:tab w:val="left" w:pos="576"/>
          <w:tab w:val="left" w:pos="720"/>
          <w:tab w:val="left" w:pos="2592"/>
          <w:tab w:val="left" w:pos="7200"/>
        </w:tabs>
        <w:rPr>
          <w:sz w:val="24"/>
        </w:rPr>
      </w:pPr>
    </w:p>
    <w:p w14:paraId="6AC6CE14" w14:textId="77777777" w:rsidR="00187BD4" w:rsidRDefault="00187BD4" w:rsidP="00187BD4">
      <w:pPr>
        <w:pStyle w:val="Heading3"/>
      </w:pPr>
      <w:r>
        <w:t>1</w:t>
      </w:r>
      <w:r w:rsidR="00174005">
        <w:t>3</w:t>
      </w:r>
      <w:r>
        <w:t>.8.2 Confirmations</w:t>
      </w:r>
    </w:p>
    <w:p w14:paraId="67DCCECC" w14:textId="77777777" w:rsidR="00187BD4" w:rsidRPr="00174005" w:rsidRDefault="00187BD4" w:rsidP="00187BD4">
      <w:pPr>
        <w:ind w:left="270"/>
        <w:rPr>
          <w:sz w:val="24"/>
          <w:szCs w:val="21"/>
        </w:rPr>
      </w:pPr>
      <w:r w:rsidRPr="00174005">
        <w:rPr>
          <w:sz w:val="24"/>
          <w:szCs w:val="21"/>
          <w:lang w:val="en"/>
        </w:rPr>
        <w:t>At or before the completion of a transaction in municipal securities with or for the account of a customer, each broker, dealer or municipal securities dealer shall give or send to the customer a written confirmation that complies with the requirements of Rule G-15.</w:t>
      </w:r>
      <w:r w:rsidR="00860642" w:rsidRPr="00174005">
        <w:rPr>
          <w:sz w:val="24"/>
          <w:szCs w:val="21"/>
          <w:lang w:val="en"/>
        </w:rPr>
        <w:t xml:space="preserve">  Further information related to markup pricing disclosures can be found in Section 1</w:t>
      </w:r>
      <w:r w:rsidR="00174005">
        <w:rPr>
          <w:sz w:val="24"/>
          <w:szCs w:val="21"/>
          <w:lang w:val="en"/>
        </w:rPr>
        <w:t>3</w:t>
      </w:r>
      <w:r w:rsidR="00860642" w:rsidRPr="00174005">
        <w:rPr>
          <w:sz w:val="24"/>
          <w:szCs w:val="21"/>
          <w:lang w:val="en"/>
        </w:rPr>
        <w:t>.12.4</w:t>
      </w:r>
      <w:r w:rsidR="00DD11B7" w:rsidRPr="00174005">
        <w:rPr>
          <w:sz w:val="24"/>
          <w:szCs w:val="21"/>
          <w:lang w:val="en"/>
        </w:rPr>
        <w:t>.</w:t>
      </w:r>
    </w:p>
    <w:p w14:paraId="1CF659EE" w14:textId="77777777" w:rsidR="00DD15B2" w:rsidRDefault="00DD15B2" w:rsidP="00F14C7B">
      <w:pPr>
        <w:tabs>
          <w:tab w:val="left" w:pos="576"/>
          <w:tab w:val="left" w:pos="720"/>
          <w:tab w:val="left" w:pos="2592"/>
          <w:tab w:val="left" w:pos="7200"/>
        </w:tabs>
        <w:rPr>
          <w:sz w:val="24"/>
        </w:rPr>
      </w:pPr>
    </w:p>
    <w:p w14:paraId="31E4AF91" w14:textId="77777777" w:rsidR="00DD15B2" w:rsidRDefault="00DD15B2" w:rsidP="00936FEE">
      <w:pPr>
        <w:pStyle w:val="Heading2"/>
      </w:pPr>
      <w:r>
        <w:t>1</w:t>
      </w:r>
      <w:r w:rsidR="00174005">
        <w:t>3</w:t>
      </w:r>
      <w:r>
        <w:t xml:space="preserve">.9 </w:t>
      </w:r>
      <w:r w:rsidR="000C099C">
        <w:t>MSRB Rule G-37</w:t>
      </w:r>
      <w:r w:rsidR="0050150E">
        <w:t xml:space="preserve"> - Political Contributions</w:t>
      </w:r>
      <w:r w:rsidR="003F5B25">
        <w:t>/Pay to Play</w:t>
      </w:r>
    </w:p>
    <w:p w14:paraId="2D3018AE" w14:textId="77777777" w:rsidR="00887C0B" w:rsidRPr="00F04F03" w:rsidRDefault="00887C0B" w:rsidP="00F14C7B">
      <w:pPr>
        <w:shd w:val="clear" w:color="auto" w:fill="FFFFFF"/>
        <w:rPr>
          <w:spacing w:val="8"/>
          <w:sz w:val="24"/>
          <w:szCs w:val="24"/>
        </w:rPr>
      </w:pPr>
      <w:r w:rsidRPr="00F04F03">
        <w:rPr>
          <w:spacing w:val="8"/>
          <w:sz w:val="24"/>
          <w:szCs w:val="24"/>
        </w:rPr>
        <w:t>MSRB Rule G-37 specifies restrictions and requirements regarding political contributions to individuals who may influence the placement of municipal securities business as defined in the rule. The purpose of the rule is to sever any connection between political contributions and the awarding of municipal business. The rule does not prohibit political contributions; it does, however, prohibit Company from engaging in municipal business for two years with any issuer where contributions subject to this rule are made. Because Company does not want to be subject to a two-year restriction on its municipal business, employees are required to adhere to the requirements of the rule, and therefore consult with Compliance regarding any questions about the effect of the rule.</w:t>
      </w:r>
    </w:p>
    <w:p w14:paraId="292F9E3C" w14:textId="77777777" w:rsidR="00887C0B" w:rsidRPr="00F04F03" w:rsidRDefault="00887C0B" w:rsidP="00F14C7B">
      <w:pPr>
        <w:tabs>
          <w:tab w:val="left" w:pos="576"/>
          <w:tab w:val="left" w:pos="720"/>
          <w:tab w:val="left" w:pos="2592"/>
          <w:tab w:val="left" w:pos="7200"/>
        </w:tabs>
        <w:rPr>
          <w:sz w:val="24"/>
        </w:rPr>
      </w:pPr>
    </w:p>
    <w:p w14:paraId="22D6212A" w14:textId="77777777" w:rsidR="00887C0B" w:rsidRPr="00F04F03" w:rsidRDefault="00887C0B" w:rsidP="00F14C7B">
      <w:pPr>
        <w:pStyle w:val="Heading3"/>
        <w:jc w:val="left"/>
      </w:pPr>
      <w:r w:rsidRPr="00F04F03">
        <w:t>1</w:t>
      </w:r>
      <w:r w:rsidR="00174005">
        <w:t>3</w:t>
      </w:r>
      <w:r w:rsidRPr="00F04F03">
        <w:t>.9.1 Definitions</w:t>
      </w:r>
    </w:p>
    <w:p w14:paraId="0BC31909" w14:textId="77777777" w:rsidR="00410832" w:rsidRPr="00F04F03" w:rsidRDefault="00887C0B" w:rsidP="00F14C7B">
      <w:pPr>
        <w:ind w:left="270"/>
        <w:rPr>
          <w:sz w:val="24"/>
          <w:szCs w:val="24"/>
        </w:rPr>
      </w:pPr>
      <w:r w:rsidRPr="00F04F03">
        <w:rPr>
          <w:i/>
          <w:sz w:val="24"/>
          <w:szCs w:val="24"/>
        </w:rPr>
        <w:t xml:space="preserve">Municipal Finance Professional </w:t>
      </w:r>
      <w:r w:rsidR="00410832" w:rsidRPr="00F04F03">
        <w:rPr>
          <w:i/>
          <w:sz w:val="24"/>
          <w:szCs w:val="24"/>
        </w:rPr>
        <w:t>–</w:t>
      </w:r>
      <w:r w:rsidRPr="00F04F03">
        <w:rPr>
          <w:i/>
          <w:sz w:val="24"/>
          <w:szCs w:val="24"/>
        </w:rPr>
        <w:t xml:space="preserve"> </w:t>
      </w:r>
      <w:r w:rsidR="008121D2">
        <w:rPr>
          <w:sz w:val="24"/>
          <w:szCs w:val="24"/>
        </w:rPr>
        <w:t xml:space="preserve">(“MFP): </w:t>
      </w:r>
      <w:r w:rsidR="00410832" w:rsidRPr="00F04F03">
        <w:rPr>
          <w:sz w:val="24"/>
          <w:szCs w:val="24"/>
        </w:rPr>
        <w:t>Any Associated Person engaged in:</w:t>
      </w:r>
    </w:p>
    <w:p w14:paraId="56A41A67" w14:textId="77777777" w:rsidR="00410832" w:rsidRPr="00EA0A5B" w:rsidRDefault="00347C14" w:rsidP="00C1728B">
      <w:pPr>
        <w:numPr>
          <w:ilvl w:val="0"/>
          <w:numId w:val="120"/>
        </w:numPr>
        <w:shd w:val="clear" w:color="auto" w:fill="FFFFFF"/>
        <w:rPr>
          <w:spacing w:val="8"/>
          <w:sz w:val="24"/>
          <w:szCs w:val="24"/>
        </w:rPr>
      </w:pPr>
      <w:r>
        <w:rPr>
          <w:spacing w:val="8"/>
          <w:sz w:val="24"/>
          <w:szCs w:val="24"/>
        </w:rPr>
        <w:t>underwriting or trading</w:t>
      </w:r>
      <w:r w:rsidR="006A0DDE">
        <w:rPr>
          <w:spacing w:val="8"/>
          <w:sz w:val="24"/>
          <w:szCs w:val="24"/>
        </w:rPr>
        <w:t xml:space="preserve"> </w:t>
      </w:r>
      <w:r w:rsidR="006A0DDE" w:rsidRPr="00EA0A5B">
        <w:rPr>
          <w:spacing w:val="8"/>
          <w:sz w:val="24"/>
          <w:szCs w:val="24"/>
        </w:rPr>
        <w:t>(excluding trading with natural persons)</w:t>
      </w:r>
    </w:p>
    <w:p w14:paraId="7095BABB" w14:textId="77777777" w:rsidR="00410832" w:rsidRPr="00F04F03" w:rsidRDefault="00410832" w:rsidP="00C1728B">
      <w:pPr>
        <w:numPr>
          <w:ilvl w:val="0"/>
          <w:numId w:val="120"/>
        </w:numPr>
        <w:shd w:val="clear" w:color="auto" w:fill="FFFFFF"/>
        <w:rPr>
          <w:spacing w:val="8"/>
          <w:sz w:val="24"/>
          <w:szCs w:val="24"/>
        </w:rPr>
      </w:pPr>
      <w:r w:rsidRPr="00F04F03">
        <w:rPr>
          <w:spacing w:val="8"/>
          <w:sz w:val="24"/>
          <w:szCs w:val="24"/>
        </w:rPr>
        <w:t xml:space="preserve">financial advisory or financial consultant services for municipal issuers </w:t>
      </w:r>
    </w:p>
    <w:p w14:paraId="3B29858E" w14:textId="77777777" w:rsidR="00410832" w:rsidRPr="00F04F03" w:rsidRDefault="00410832" w:rsidP="00C1728B">
      <w:pPr>
        <w:numPr>
          <w:ilvl w:val="0"/>
          <w:numId w:val="120"/>
        </w:numPr>
        <w:shd w:val="clear" w:color="auto" w:fill="FFFFFF"/>
        <w:rPr>
          <w:spacing w:val="8"/>
          <w:sz w:val="24"/>
          <w:szCs w:val="24"/>
        </w:rPr>
      </w:pPr>
      <w:r w:rsidRPr="00F04F03">
        <w:rPr>
          <w:spacing w:val="8"/>
          <w:sz w:val="24"/>
          <w:szCs w:val="24"/>
        </w:rPr>
        <w:t xml:space="preserve">research or investment advice regarding municipal securities </w:t>
      </w:r>
    </w:p>
    <w:p w14:paraId="42F56889" w14:textId="77777777" w:rsidR="00410832" w:rsidRPr="00F04F03" w:rsidRDefault="00410832" w:rsidP="00C1728B">
      <w:pPr>
        <w:numPr>
          <w:ilvl w:val="0"/>
          <w:numId w:val="120"/>
        </w:numPr>
        <w:shd w:val="clear" w:color="auto" w:fill="FFFFFF"/>
        <w:rPr>
          <w:spacing w:val="8"/>
          <w:sz w:val="24"/>
          <w:szCs w:val="24"/>
        </w:rPr>
      </w:pPr>
      <w:r w:rsidRPr="00F04F03">
        <w:rPr>
          <w:spacing w:val="8"/>
          <w:sz w:val="24"/>
          <w:szCs w:val="24"/>
        </w:rPr>
        <w:t xml:space="preserve">soliciting municipal securities business as defined in this section </w:t>
      </w:r>
    </w:p>
    <w:p w14:paraId="5BB82257" w14:textId="77777777" w:rsidR="00410832" w:rsidRPr="00F04F03" w:rsidRDefault="00410832" w:rsidP="00C1728B">
      <w:pPr>
        <w:numPr>
          <w:ilvl w:val="0"/>
          <w:numId w:val="120"/>
        </w:numPr>
        <w:shd w:val="clear" w:color="auto" w:fill="FFFFFF"/>
        <w:rPr>
          <w:spacing w:val="8"/>
          <w:sz w:val="24"/>
          <w:szCs w:val="24"/>
        </w:rPr>
      </w:pPr>
      <w:r w:rsidRPr="00F04F03">
        <w:rPr>
          <w:spacing w:val="8"/>
          <w:sz w:val="24"/>
          <w:szCs w:val="24"/>
        </w:rPr>
        <w:t xml:space="preserve">supervision of the above activities </w:t>
      </w:r>
    </w:p>
    <w:p w14:paraId="420A43E3" w14:textId="77777777" w:rsidR="00410832" w:rsidRPr="00EA0A5B" w:rsidRDefault="00410832" w:rsidP="00C1728B">
      <w:pPr>
        <w:numPr>
          <w:ilvl w:val="0"/>
          <w:numId w:val="120"/>
        </w:numPr>
        <w:shd w:val="clear" w:color="auto" w:fill="FFFFFF"/>
        <w:rPr>
          <w:spacing w:val="8"/>
          <w:sz w:val="24"/>
          <w:szCs w:val="24"/>
        </w:rPr>
      </w:pPr>
      <w:r w:rsidRPr="00845B85">
        <w:rPr>
          <w:spacing w:val="8"/>
          <w:sz w:val="24"/>
          <w:szCs w:val="24"/>
        </w:rPr>
        <w:t>acting as CEO or a similar position</w:t>
      </w:r>
      <w:r w:rsidR="00845B85">
        <w:rPr>
          <w:spacing w:val="8"/>
          <w:sz w:val="24"/>
          <w:szCs w:val="24"/>
        </w:rPr>
        <w:t xml:space="preserve"> or</w:t>
      </w:r>
      <w:r w:rsidRPr="00845B85">
        <w:rPr>
          <w:spacing w:val="8"/>
          <w:sz w:val="24"/>
          <w:szCs w:val="24"/>
        </w:rPr>
        <w:t xml:space="preserve"> serving on a dealer's executive or management committee</w:t>
      </w:r>
      <w:r w:rsidR="00845B85" w:rsidRPr="00845B85">
        <w:rPr>
          <w:color w:val="FF0000"/>
          <w:spacing w:val="8"/>
          <w:sz w:val="24"/>
          <w:szCs w:val="24"/>
        </w:rPr>
        <w:t xml:space="preserve"> </w:t>
      </w:r>
      <w:r w:rsidR="00845B85" w:rsidRPr="00EA0A5B">
        <w:rPr>
          <w:spacing w:val="8"/>
          <w:sz w:val="24"/>
          <w:szCs w:val="24"/>
        </w:rPr>
        <w:t>over the above activities.</w:t>
      </w:r>
    </w:p>
    <w:p w14:paraId="1EDB44F7" w14:textId="77777777" w:rsidR="00887C0B" w:rsidRPr="00F04F03" w:rsidRDefault="00410832" w:rsidP="00F14C7B">
      <w:pPr>
        <w:ind w:left="270"/>
        <w:rPr>
          <w:sz w:val="24"/>
          <w:szCs w:val="24"/>
        </w:rPr>
      </w:pPr>
      <w:r w:rsidRPr="00F04F03">
        <w:rPr>
          <w:sz w:val="24"/>
          <w:szCs w:val="24"/>
        </w:rPr>
        <w:t xml:space="preserve"> </w:t>
      </w:r>
    </w:p>
    <w:p w14:paraId="5CF187FA" w14:textId="77777777" w:rsidR="00410832" w:rsidRPr="00EA0A5B" w:rsidRDefault="00410832" w:rsidP="00F14C7B">
      <w:pPr>
        <w:shd w:val="clear" w:color="auto" w:fill="FFFFFF"/>
        <w:ind w:left="274"/>
        <w:rPr>
          <w:spacing w:val="8"/>
          <w:sz w:val="24"/>
          <w:szCs w:val="24"/>
        </w:rPr>
      </w:pPr>
      <w:r w:rsidRPr="00F04F03">
        <w:rPr>
          <w:spacing w:val="8"/>
          <w:sz w:val="24"/>
          <w:szCs w:val="24"/>
        </w:rPr>
        <w:t>RRs who sell municipal securities to individual investors are not included in this definition or the restrictions on political contributions.</w:t>
      </w:r>
      <w:r w:rsidR="008121D2">
        <w:rPr>
          <w:spacing w:val="8"/>
          <w:sz w:val="24"/>
          <w:szCs w:val="24"/>
        </w:rPr>
        <w:t xml:space="preserve">  </w:t>
      </w:r>
      <w:r w:rsidR="008121D2" w:rsidRPr="00EA0A5B">
        <w:rPr>
          <w:spacing w:val="8"/>
          <w:sz w:val="24"/>
          <w:szCs w:val="24"/>
        </w:rPr>
        <w:t>Company currently has no MFPs</w:t>
      </w:r>
      <w:r w:rsidR="00EA0A5B">
        <w:rPr>
          <w:spacing w:val="8"/>
          <w:sz w:val="24"/>
          <w:szCs w:val="24"/>
        </w:rPr>
        <w:t>.</w:t>
      </w:r>
    </w:p>
    <w:p w14:paraId="38FA7044" w14:textId="77777777" w:rsidR="00410832" w:rsidRDefault="00410832" w:rsidP="00F14C7B">
      <w:pPr>
        <w:shd w:val="clear" w:color="auto" w:fill="FFFFFF"/>
        <w:ind w:left="274"/>
        <w:rPr>
          <w:color w:val="FF0000"/>
          <w:spacing w:val="8"/>
          <w:sz w:val="24"/>
          <w:szCs w:val="24"/>
        </w:rPr>
      </w:pPr>
    </w:p>
    <w:p w14:paraId="7AB1B080" w14:textId="77777777" w:rsidR="00880277" w:rsidRDefault="00880277" w:rsidP="00880277">
      <w:pPr>
        <w:pStyle w:val="Heading3"/>
      </w:pPr>
      <w:r>
        <w:t>1</w:t>
      </w:r>
      <w:r w:rsidR="00174005">
        <w:t>3</w:t>
      </w:r>
      <w:r>
        <w:t>.9.2 Types of Contributions</w:t>
      </w:r>
    </w:p>
    <w:p w14:paraId="0DCD0980" w14:textId="77777777" w:rsidR="00880277" w:rsidRPr="005D0F44" w:rsidRDefault="00880277" w:rsidP="003E7B18">
      <w:pPr>
        <w:numPr>
          <w:ilvl w:val="0"/>
          <w:numId w:val="219"/>
        </w:numPr>
        <w:spacing w:before="100" w:beforeAutospacing="1" w:after="100" w:afterAutospacing="1"/>
        <w:rPr>
          <w:sz w:val="24"/>
          <w:szCs w:val="24"/>
        </w:rPr>
      </w:pPr>
      <w:r w:rsidRPr="005D0F44">
        <w:rPr>
          <w:sz w:val="24"/>
          <w:szCs w:val="24"/>
        </w:rPr>
        <w:t>Contributions" include any gift, subscription, loan, advance, or deposit of money or anything of value made: (</w:t>
      </w:r>
      <w:proofErr w:type="spellStart"/>
      <w:r w:rsidRPr="005D0F44">
        <w:rPr>
          <w:sz w:val="24"/>
          <w:szCs w:val="24"/>
        </w:rPr>
        <w:t>i</w:t>
      </w:r>
      <w:proofErr w:type="spellEnd"/>
      <w:r w:rsidRPr="005D0F44">
        <w:rPr>
          <w:sz w:val="24"/>
          <w:szCs w:val="24"/>
        </w:rPr>
        <w:t xml:space="preserve">) for the purpose of influencing any election for federal, state or local office; (ii) for payment or reduction of debt incurred in connection with any such election; or (iii) for transition or inaugural expenses incurred by the successful candidate for state or local office. "State" includes any state of the United States, the District of </w:t>
      </w:r>
      <w:r w:rsidRPr="005D0F44">
        <w:rPr>
          <w:sz w:val="24"/>
          <w:szCs w:val="24"/>
        </w:rPr>
        <w:lastRenderedPageBreak/>
        <w:t xml:space="preserve">Columbia, Puerto Rico, the Virgin Islands, or any other possession of the United States. Contributions also include those made to bond ballot campaigns which typically occur as a result of a state or local government placing a ballot measure before voters to approve specified municipal borrowing. Contributions to bond ballot campaigns (for or against the ballot issue) include payment of debt occurred in connection with the initiative or payment of the costs of the initiative. In the case of an in-kind contribution, the value and nature of the goods or services provided including any ancillary services provided to, on behalf of, or in furtherance of the bond ballot campaign is reportable including the specific date on which such contributions were made. </w:t>
      </w:r>
    </w:p>
    <w:p w14:paraId="0DF235AA" w14:textId="77777777" w:rsidR="00880277" w:rsidRPr="005D0F44" w:rsidRDefault="00880277" w:rsidP="003E7B18">
      <w:pPr>
        <w:numPr>
          <w:ilvl w:val="0"/>
          <w:numId w:val="219"/>
        </w:numPr>
        <w:spacing w:before="100" w:beforeAutospacing="1" w:after="100" w:afterAutospacing="1"/>
        <w:rPr>
          <w:sz w:val="24"/>
          <w:szCs w:val="24"/>
        </w:rPr>
      </w:pPr>
      <w:r w:rsidRPr="005D0F44">
        <w:rPr>
          <w:sz w:val="24"/>
          <w:szCs w:val="24"/>
        </w:rPr>
        <w:t xml:space="preserve">"In-kind" support or services may be regarded as political contributions. Examples include engaging in political activities during working hours such as fundraising, drafting speeches and solicitations, writing/reviewing/approving campaign memoranda, contracts, letters, talking points, campaign position papers, responding to campaign issues; using </w:t>
      </w:r>
      <w:r w:rsidR="007F0F2B" w:rsidRPr="005D0F44">
        <w:rPr>
          <w:sz w:val="24"/>
          <w:szCs w:val="24"/>
        </w:rPr>
        <w:t>the Company</w:t>
      </w:r>
      <w:r w:rsidRPr="005D0F44">
        <w:rPr>
          <w:sz w:val="24"/>
          <w:szCs w:val="24"/>
        </w:rPr>
        <w:t xml:space="preserve">'s resources (administrative employees, phones, office space, and other services); approving campaign invoices/expenditures. In-kind contributions must be valued and generally must be recorded and reported in the same manner as other contributions. </w:t>
      </w:r>
    </w:p>
    <w:p w14:paraId="20017D26" w14:textId="77777777" w:rsidR="00880277" w:rsidRPr="005D0F44" w:rsidRDefault="00880277" w:rsidP="003E7B18">
      <w:pPr>
        <w:numPr>
          <w:ilvl w:val="0"/>
          <w:numId w:val="219"/>
        </w:numPr>
        <w:spacing w:before="100" w:beforeAutospacing="1" w:after="100" w:afterAutospacing="1"/>
        <w:rPr>
          <w:sz w:val="24"/>
          <w:szCs w:val="24"/>
        </w:rPr>
      </w:pPr>
      <w:r w:rsidRPr="005D0F44">
        <w:rPr>
          <w:sz w:val="24"/>
          <w:szCs w:val="24"/>
        </w:rPr>
        <w:t xml:space="preserve">Contributions to an "official of an issuer" are subject to the rule. An "official of an issuer" is defined as any incumbent, candidate or successful candidate for elective office of the issuer, which office is directly or indirectly responsible for, or can influence the outcome of, the hiring of a dealer for municipal securities business. This includes any issuer official or candidate (or successful candidate) who has influence over the awarding of municipal securities business so that contributions to certain state-wide executive or legislative officials (including governors) would be included within the rule. </w:t>
      </w:r>
    </w:p>
    <w:p w14:paraId="742ACBBB" w14:textId="77777777" w:rsidR="00880277" w:rsidRPr="005D0F44" w:rsidRDefault="00880277" w:rsidP="003E7B18">
      <w:pPr>
        <w:numPr>
          <w:ilvl w:val="0"/>
          <w:numId w:val="219"/>
        </w:numPr>
        <w:spacing w:before="100" w:beforeAutospacing="1" w:after="100" w:afterAutospacing="1"/>
        <w:rPr>
          <w:sz w:val="24"/>
          <w:szCs w:val="24"/>
        </w:rPr>
      </w:pPr>
      <w:r w:rsidRPr="005D0F44">
        <w:rPr>
          <w:sz w:val="24"/>
          <w:szCs w:val="24"/>
        </w:rPr>
        <w:t xml:space="preserve">Indirect contributions by affected employees are also subject to the rule, including contributions to a local political party who is soliciting contributions to specifically support an issuer official. </w:t>
      </w:r>
    </w:p>
    <w:p w14:paraId="28D6B63A" w14:textId="77777777" w:rsidR="00880277" w:rsidRPr="005D0F44" w:rsidRDefault="00880277" w:rsidP="003E7B18">
      <w:pPr>
        <w:numPr>
          <w:ilvl w:val="0"/>
          <w:numId w:val="219"/>
        </w:numPr>
        <w:spacing w:before="100" w:beforeAutospacing="1" w:after="100" w:afterAutospacing="1"/>
        <w:rPr>
          <w:sz w:val="24"/>
          <w:szCs w:val="24"/>
        </w:rPr>
      </w:pPr>
      <w:r w:rsidRPr="005D0F44">
        <w:rPr>
          <w:sz w:val="24"/>
          <w:szCs w:val="24"/>
        </w:rPr>
        <w:t xml:space="preserve">Specifically excluded from this requirement are contributions by municipal finance professionals that do not exceed, in total, $250 to each official, per election, but only if the municipal finance professional is entitled to vote for such official. The MSRB has defined "entitled to vote" to mean the municipal finance professional's principal residence is in the locality in which the issuer official seeks election. </w:t>
      </w:r>
    </w:p>
    <w:p w14:paraId="50199B1F" w14:textId="77777777" w:rsidR="00880277" w:rsidRPr="005D0F44" w:rsidRDefault="00880277" w:rsidP="003E7B18">
      <w:pPr>
        <w:numPr>
          <w:ilvl w:val="0"/>
          <w:numId w:val="219"/>
        </w:numPr>
        <w:spacing w:before="100" w:beforeAutospacing="1" w:after="100" w:afterAutospacing="1"/>
      </w:pPr>
      <w:r w:rsidRPr="00A50940">
        <w:rPr>
          <w:sz w:val="24"/>
          <w:szCs w:val="24"/>
        </w:rPr>
        <w:t xml:space="preserve">The definition of "contribution" does not restrict the personal volunteer work of municipal finance professionals in political campaigns other than soliciting or coordinating contributions. However, if the resources of </w:t>
      </w:r>
      <w:r w:rsidR="007F0F2B" w:rsidRPr="00A50940">
        <w:rPr>
          <w:sz w:val="24"/>
          <w:szCs w:val="24"/>
        </w:rPr>
        <w:t>the Company</w:t>
      </w:r>
      <w:r w:rsidRPr="00A50940">
        <w:rPr>
          <w:sz w:val="24"/>
          <w:szCs w:val="24"/>
        </w:rPr>
        <w:t xml:space="preserve"> are used (a political position paper is prepared by </w:t>
      </w:r>
      <w:r w:rsidR="007F0F2B" w:rsidRPr="00A50940">
        <w:rPr>
          <w:sz w:val="24"/>
          <w:szCs w:val="24"/>
        </w:rPr>
        <w:t>Company</w:t>
      </w:r>
      <w:r w:rsidRPr="00A50940">
        <w:rPr>
          <w:sz w:val="24"/>
          <w:szCs w:val="24"/>
        </w:rPr>
        <w:t xml:space="preserve"> personnel, </w:t>
      </w:r>
      <w:r w:rsidR="007F0F2B" w:rsidRPr="00A50940">
        <w:rPr>
          <w:sz w:val="24"/>
          <w:szCs w:val="24"/>
        </w:rPr>
        <w:t>Company</w:t>
      </w:r>
      <w:r w:rsidRPr="00A50940">
        <w:rPr>
          <w:sz w:val="24"/>
          <w:szCs w:val="24"/>
        </w:rPr>
        <w:t xml:space="preserve"> supplies or facilities are used, </w:t>
      </w:r>
      <w:r w:rsidRPr="00A50940">
        <w:rPr>
          <w:i/>
          <w:iCs/>
          <w:sz w:val="24"/>
          <w:szCs w:val="24"/>
        </w:rPr>
        <w:t>etc.</w:t>
      </w:r>
      <w:r w:rsidRPr="00A50940">
        <w:rPr>
          <w:sz w:val="24"/>
          <w:szCs w:val="24"/>
        </w:rPr>
        <w:t>) or expenses are incurred by a municipal finance professional in the course of the volunteer work, the value of the resources or expenses would be considered a contribution and could trigger the restriction on business.</w:t>
      </w:r>
    </w:p>
    <w:p w14:paraId="0160DC1E" w14:textId="77777777" w:rsidR="00F14C7B" w:rsidRPr="005D0F44" w:rsidRDefault="00F14C7B" w:rsidP="00F14C7B">
      <w:pPr>
        <w:shd w:val="clear" w:color="auto" w:fill="FFFFFF"/>
        <w:spacing w:before="13" w:after="100" w:afterAutospacing="1" w:line="200" w:lineRule="atLeast"/>
        <w:rPr>
          <w:spacing w:val="8"/>
          <w:sz w:val="24"/>
          <w:szCs w:val="24"/>
        </w:rPr>
      </w:pPr>
      <w:r w:rsidRPr="005D0F44">
        <w:rPr>
          <w:spacing w:val="8"/>
          <w:sz w:val="24"/>
          <w:szCs w:val="24"/>
        </w:rPr>
        <w:t>Some of the key requirements that apply to the Company and its employees are summarized below.</w:t>
      </w:r>
    </w:p>
    <w:p w14:paraId="7BE914EE" w14:textId="77777777" w:rsidR="00F14C7B" w:rsidRPr="005D0F44" w:rsidRDefault="00F14C7B" w:rsidP="003E7B18">
      <w:pPr>
        <w:numPr>
          <w:ilvl w:val="0"/>
          <w:numId w:val="208"/>
        </w:numPr>
        <w:shd w:val="clear" w:color="auto" w:fill="FFFFFF"/>
        <w:spacing w:before="100" w:beforeAutospacing="1" w:after="100" w:afterAutospacing="1" w:line="200" w:lineRule="atLeast"/>
        <w:rPr>
          <w:spacing w:val="8"/>
          <w:sz w:val="24"/>
          <w:szCs w:val="24"/>
        </w:rPr>
      </w:pPr>
      <w:r w:rsidRPr="005D0F44">
        <w:rPr>
          <w:spacing w:val="8"/>
          <w:sz w:val="24"/>
          <w:szCs w:val="24"/>
        </w:rPr>
        <w:t xml:space="preserve">The types of public finance business included in this rule are acting as a negotiated underwriter (as manager or syndicate member), financial advisor or financial consultant, placement agent, and negotiated remarketing agent. </w:t>
      </w:r>
    </w:p>
    <w:p w14:paraId="37D4EAD8" w14:textId="77777777" w:rsidR="00F14C7B" w:rsidRPr="005D0F44" w:rsidRDefault="00F14C7B" w:rsidP="003E7B18">
      <w:pPr>
        <w:numPr>
          <w:ilvl w:val="0"/>
          <w:numId w:val="208"/>
        </w:numPr>
        <w:shd w:val="clear" w:color="auto" w:fill="FFFFFF"/>
        <w:spacing w:before="100" w:beforeAutospacing="1" w:after="100" w:afterAutospacing="1" w:line="200" w:lineRule="atLeast"/>
        <w:rPr>
          <w:spacing w:val="8"/>
          <w:sz w:val="24"/>
          <w:szCs w:val="24"/>
        </w:rPr>
      </w:pPr>
      <w:r w:rsidRPr="005D0F44">
        <w:rPr>
          <w:spacing w:val="8"/>
          <w:sz w:val="24"/>
          <w:szCs w:val="24"/>
        </w:rPr>
        <w:t xml:space="preserve">The rule applies to contributions made by any PAC controlled by the Company, public finance professionals, municipal traders and professionals, the Company's </w:t>
      </w:r>
      <w:r w:rsidRPr="005D0F44">
        <w:rPr>
          <w:spacing w:val="8"/>
          <w:sz w:val="24"/>
          <w:szCs w:val="24"/>
        </w:rPr>
        <w:lastRenderedPageBreak/>
        <w:t xml:space="preserve">executive committee, and anyone deemed to be a Municipal Finance Professional (MFP) as defined in the rule. </w:t>
      </w:r>
    </w:p>
    <w:p w14:paraId="7E423390" w14:textId="77777777" w:rsidR="00F14C7B" w:rsidRPr="005D0F44" w:rsidRDefault="00F14C7B" w:rsidP="003E7B18">
      <w:pPr>
        <w:numPr>
          <w:ilvl w:val="0"/>
          <w:numId w:val="208"/>
        </w:numPr>
        <w:shd w:val="clear" w:color="auto" w:fill="FFFFFF"/>
        <w:spacing w:before="100" w:beforeAutospacing="1" w:after="100" w:afterAutospacing="1" w:line="200" w:lineRule="atLeast"/>
        <w:rPr>
          <w:spacing w:val="8"/>
          <w:sz w:val="24"/>
          <w:szCs w:val="24"/>
        </w:rPr>
      </w:pPr>
      <w:r w:rsidRPr="005D0F44">
        <w:rPr>
          <w:spacing w:val="8"/>
          <w:sz w:val="24"/>
          <w:szCs w:val="24"/>
        </w:rPr>
        <w:t xml:space="preserve">Political contributions by the Company or affected employees must be cleared through Compliance prior to making the contribution. </w:t>
      </w:r>
    </w:p>
    <w:p w14:paraId="4CC10603" w14:textId="77777777" w:rsidR="00F14C7B" w:rsidRPr="005D0F44" w:rsidRDefault="00F14C7B" w:rsidP="003E7B18">
      <w:pPr>
        <w:numPr>
          <w:ilvl w:val="0"/>
          <w:numId w:val="208"/>
        </w:numPr>
        <w:shd w:val="clear" w:color="auto" w:fill="FFFFFF"/>
        <w:spacing w:before="100" w:beforeAutospacing="1" w:after="100" w:afterAutospacing="1" w:line="200" w:lineRule="atLeast"/>
        <w:rPr>
          <w:spacing w:val="8"/>
          <w:sz w:val="24"/>
          <w:szCs w:val="24"/>
        </w:rPr>
      </w:pPr>
      <w:r w:rsidRPr="005D0F44">
        <w:rPr>
          <w:spacing w:val="8"/>
          <w:sz w:val="24"/>
          <w:szCs w:val="24"/>
        </w:rPr>
        <w:t xml:space="preserve">"Contributions" are defined by rule and the recipient of contributions ("official of the issuer") is also defined. Some minimal contributions ($250 or less) by affected employees who are contributing to officials for whom they may vote are excluded from the rule. </w:t>
      </w:r>
    </w:p>
    <w:p w14:paraId="24106DBE" w14:textId="77777777" w:rsidR="00F14C7B" w:rsidRPr="005D0F44" w:rsidRDefault="00F14C7B" w:rsidP="003E7B18">
      <w:pPr>
        <w:numPr>
          <w:ilvl w:val="0"/>
          <w:numId w:val="208"/>
        </w:numPr>
        <w:shd w:val="clear" w:color="auto" w:fill="FFFFFF"/>
        <w:spacing w:before="100" w:beforeAutospacing="1" w:after="100" w:afterAutospacing="1" w:line="200" w:lineRule="atLeast"/>
        <w:rPr>
          <w:spacing w:val="8"/>
          <w:sz w:val="24"/>
          <w:szCs w:val="24"/>
        </w:rPr>
      </w:pPr>
      <w:r w:rsidRPr="005D0F44">
        <w:rPr>
          <w:spacing w:val="8"/>
          <w:sz w:val="24"/>
          <w:szCs w:val="24"/>
        </w:rPr>
        <w:t xml:space="preserve">The Company and its employees are prohibited from soliciting others to make contributions to an official of an issuer. </w:t>
      </w:r>
    </w:p>
    <w:p w14:paraId="254EE4E5" w14:textId="77777777" w:rsidR="00F14C7B" w:rsidRPr="005D0F44" w:rsidRDefault="00F14C7B" w:rsidP="003E7B18">
      <w:pPr>
        <w:numPr>
          <w:ilvl w:val="0"/>
          <w:numId w:val="208"/>
        </w:numPr>
        <w:shd w:val="clear" w:color="auto" w:fill="FFFFFF"/>
        <w:spacing w:before="100" w:beforeAutospacing="1" w:after="100" w:afterAutospacing="1" w:line="200" w:lineRule="atLeast"/>
        <w:rPr>
          <w:spacing w:val="8"/>
          <w:sz w:val="24"/>
          <w:szCs w:val="24"/>
        </w:rPr>
      </w:pPr>
      <w:r w:rsidRPr="005D0F44">
        <w:rPr>
          <w:spacing w:val="8"/>
          <w:sz w:val="24"/>
          <w:szCs w:val="24"/>
        </w:rPr>
        <w:t xml:space="preserve">Employees are prohibited from using Company resources (phones, email, computers, office space, </w:t>
      </w:r>
      <w:r w:rsidRPr="005D0F44">
        <w:rPr>
          <w:i/>
          <w:iCs/>
          <w:spacing w:val="8"/>
          <w:sz w:val="24"/>
          <w:szCs w:val="24"/>
        </w:rPr>
        <w:t>etc.</w:t>
      </w:r>
      <w:r w:rsidRPr="005D0F44">
        <w:rPr>
          <w:spacing w:val="8"/>
          <w:sz w:val="24"/>
          <w:szCs w:val="24"/>
        </w:rPr>
        <w:t xml:space="preserve">) for political activities subject to Rule G-37. This includes (but is not necessarily limited to) fund-raising; drafting speeches or fund-raising solicitations, writing campaign memoranda, contracts, letters, talking points, position papers, and responses to issues; approving campaign invoices and expenditures. </w:t>
      </w:r>
    </w:p>
    <w:p w14:paraId="5EAFFAFC" w14:textId="77777777" w:rsidR="00F14C7B" w:rsidRPr="005D0F44" w:rsidRDefault="00F14C7B" w:rsidP="003E7B18">
      <w:pPr>
        <w:numPr>
          <w:ilvl w:val="0"/>
          <w:numId w:val="208"/>
        </w:numPr>
        <w:shd w:val="clear" w:color="auto" w:fill="FFFFFF"/>
        <w:spacing w:before="100" w:beforeAutospacing="1" w:after="100" w:afterAutospacing="1" w:line="200" w:lineRule="atLeast"/>
        <w:rPr>
          <w:spacing w:val="8"/>
          <w:sz w:val="24"/>
          <w:szCs w:val="24"/>
        </w:rPr>
      </w:pPr>
      <w:r w:rsidRPr="005D0F44">
        <w:rPr>
          <w:spacing w:val="8"/>
          <w:sz w:val="24"/>
          <w:szCs w:val="24"/>
        </w:rPr>
        <w:t xml:space="preserve">The Company, its municipal finance professionals (MFPs), and affiliates are prohibited from soliciting any person or political action committee (PAC) to make or coordinate contributions to an official of an issuer with which the Company is engaged in </w:t>
      </w:r>
      <w:r w:rsidR="00A50940" w:rsidRPr="005D0F44">
        <w:rPr>
          <w:spacing w:val="8"/>
          <w:sz w:val="24"/>
          <w:szCs w:val="24"/>
        </w:rPr>
        <w:t>business or</w:t>
      </w:r>
      <w:r w:rsidRPr="005D0F44">
        <w:rPr>
          <w:spacing w:val="8"/>
          <w:sz w:val="24"/>
          <w:szCs w:val="24"/>
        </w:rPr>
        <w:t xml:space="preserve"> is seeking to engage in business. </w:t>
      </w:r>
    </w:p>
    <w:p w14:paraId="203C6E90" w14:textId="77777777" w:rsidR="00F14C7B" w:rsidRPr="005D0F44" w:rsidRDefault="00F14C7B" w:rsidP="003E7B18">
      <w:pPr>
        <w:numPr>
          <w:ilvl w:val="0"/>
          <w:numId w:val="208"/>
        </w:numPr>
        <w:shd w:val="clear" w:color="auto" w:fill="FFFFFF"/>
        <w:spacing w:before="100" w:beforeAutospacing="1" w:after="100" w:afterAutospacing="1" w:line="200" w:lineRule="atLeast"/>
        <w:rPr>
          <w:spacing w:val="8"/>
          <w:sz w:val="24"/>
          <w:szCs w:val="24"/>
        </w:rPr>
      </w:pPr>
      <w:r w:rsidRPr="005D0F44">
        <w:rPr>
          <w:spacing w:val="8"/>
          <w:sz w:val="24"/>
          <w:szCs w:val="24"/>
        </w:rPr>
        <w:t xml:space="preserve">The Company will be required to maintain internal records of affected employees and their contributions and report quarterly to the MSRB. </w:t>
      </w:r>
    </w:p>
    <w:p w14:paraId="496A5C0F" w14:textId="77777777" w:rsidR="00880277" w:rsidRPr="005D0F44" w:rsidRDefault="00F14C7B" w:rsidP="003E7B18">
      <w:pPr>
        <w:numPr>
          <w:ilvl w:val="0"/>
          <w:numId w:val="208"/>
        </w:numPr>
        <w:shd w:val="clear" w:color="auto" w:fill="FFFFFF"/>
        <w:tabs>
          <w:tab w:val="left" w:pos="720"/>
        </w:tabs>
        <w:rPr>
          <w:sz w:val="24"/>
        </w:rPr>
      </w:pPr>
      <w:r w:rsidRPr="005D0F44">
        <w:rPr>
          <w:spacing w:val="8"/>
          <w:sz w:val="24"/>
          <w:szCs w:val="24"/>
        </w:rPr>
        <w:t xml:space="preserve">The Company cannot pay compensation for soliciting municipal business to anyone who is not affiliated with </w:t>
      </w:r>
      <w:r w:rsidR="00880277" w:rsidRPr="005D0F44">
        <w:rPr>
          <w:spacing w:val="8"/>
          <w:sz w:val="24"/>
          <w:szCs w:val="24"/>
        </w:rPr>
        <w:t>the Company.</w:t>
      </w:r>
      <w:r w:rsidRPr="005D0F44">
        <w:rPr>
          <w:spacing w:val="8"/>
          <w:sz w:val="24"/>
          <w:szCs w:val="24"/>
        </w:rPr>
        <w:t xml:space="preserve"> </w:t>
      </w:r>
    </w:p>
    <w:p w14:paraId="105A8BCF" w14:textId="77777777" w:rsidR="005D0F44" w:rsidRDefault="005D0F44" w:rsidP="005D0F44">
      <w:pPr>
        <w:tabs>
          <w:tab w:val="left" w:pos="576"/>
          <w:tab w:val="left" w:pos="720"/>
          <w:tab w:val="left" w:pos="2592"/>
          <w:tab w:val="left" w:pos="7200"/>
        </w:tabs>
        <w:rPr>
          <w:sz w:val="24"/>
        </w:rPr>
      </w:pPr>
    </w:p>
    <w:p w14:paraId="7CB24E4D" w14:textId="77777777" w:rsidR="00F14C7B" w:rsidRDefault="00DD15B2" w:rsidP="005D0F44">
      <w:pPr>
        <w:tabs>
          <w:tab w:val="left" w:pos="576"/>
          <w:tab w:val="left" w:pos="720"/>
          <w:tab w:val="left" w:pos="2592"/>
          <w:tab w:val="left" w:pos="7200"/>
        </w:tabs>
        <w:rPr>
          <w:color w:val="000000"/>
          <w:sz w:val="24"/>
        </w:rPr>
      </w:pPr>
      <w:r>
        <w:rPr>
          <w:sz w:val="24"/>
        </w:rPr>
        <w:t xml:space="preserve">This rule </w:t>
      </w:r>
      <w:r w:rsidR="000C099C">
        <w:rPr>
          <w:sz w:val="24"/>
        </w:rPr>
        <w:t xml:space="preserve">prohibits among other things, a dealer from engaging in municipal securities business with an issuer within two years after any contribution to an official of such issuer by the dealer, any municipal finance professional associated with the dealer, </w:t>
      </w:r>
      <w:r>
        <w:rPr>
          <w:sz w:val="24"/>
        </w:rPr>
        <w:t xml:space="preserve">and </w:t>
      </w:r>
      <w:r w:rsidR="000C099C">
        <w:rPr>
          <w:sz w:val="24"/>
        </w:rPr>
        <w:t>any Political Action Committee controlled by the dealer or any municipal finance professional (registered representative</w:t>
      </w:r>
      <w:r w:rsidR="005E44BD">
        <w:rPr>
          <w:sz w:val="24"/>
        </w:rPr>
        <w:t>, officers, or solicitors of municipal securities</w:t>
      </w:r>
      <w:r w:rsidR="000C099C">
        <w:rPr>
          <w:sz w:val="24"/>
        </w:rPr>
        <w:t xml:space="preserve">), if the contribution does not meet the de minimis exemption.  There is one de minimis exemption, such that, the prohibition does not apply if the only contributions to officials of issuers are made by municipal finance professionals entitled to vote for such officials, and provided each such contributions, in total, are not in excess of </w:t>
      </w:r>
      <w:r w:rsidR="000C099C">
        <w:rPr>
          <w:b/>
          <w:bCs/>
          <w:sz w:val="24"/>
        </w:rPr>
        <w:t>$250.00</w:t>
      </w:r>
      <w:r w:rsidR="000C099C">
        <w:rPr>
          <w:sz w:val="24"/>
        </w:rPr>
        <w:t xml:space="preserve"> by each such municipal finance professional to each official of such issuer, per election (primaries and general elections are treated as separate elections for purposes of this section). </w:t>
      </w:r>
      <w:r w:rsidR="00EC1639" w:rsidRPr="00671FC0">
        <w:rPr>
          <w:color w:val="000000"/>
          <w:sz w:val="24"/>
        </w:rPr>
        <w:t>This $250 limit also applies to any contributions to bond ballot campaigns</w:t>
      </w:r>
      <w:r w:rsidR="00704342" w:rsidRPr="00671FC0">
        <w:rPr>
          <w:color w:val="000000"/>
          <w:sz w:val="24"/>
        </w:rPr>
        <w:t xml:space="preserve"> (any fund, organization, committee that solicits or receives contributions to be used to support ballot initiatives seeking authorization for the issuance of municipal securities through public approval obtained by popular vote)</w:t>
      </w:r>
      <w:r w:rsidR="00EC1639" w:rsidRPr="00671FC0">
        <w:rPr>
          <w:color w:val="000000"/>
          <w:sz w:val="24"/>
        </w:rPr>
        <w:t xml:space="preserve">.  </w:t>
      </w:r>
    </w:p>
    <w:p w14:paraId="5F72D276" w14:textId="77777777" w:rsidR="00F14C7B" w:rsidRDefault="00F14C7B" w:rsidP="00F14C7B">
      <w:pPr>
        <w:tabs>
          <w:tab w:val="left" w:pos="576"/>
          <w:tab w:val="left" w:pos="720"/>
          <w:tab w:val="left" w:pos="2592"/>
          <w:tab w:val="left" w:pos="7200"/>
        </w:tabs>
        <w:rPr>
          <w:color w:val="000000"/>
          <w:sz w:val="24"/>
        </w:rPr>
      </w:pPr>
    </w:p>
    <w:p w14:paraId="5300E7AF" w14:textId="77777777" w:rsidR="00F14C7B" w:rsidRDefault="000C099C" w:rsidP="00F14C7B">
      <w:pPr>
        <w:tabs>
          <w:tab w:val="left" w:pos="576"/>
          <w:tab w:val="left" w:pos="720"/>
          <w:tab w:val="left" w:pos="2592"/>
          <w:tab w:val="left" w:pos="7200"/>
        </w:tabs>
        <w:rPr>
          <w:sz w:val="24"/>
        </w:rPr>
      </w:pPr>
      <w:r w:rsidRPr="00671FC0">
        <w:rPr>
          <w:color w:val="000000"/>
          <w:sz w:val="24"/>
        </w:rPr>
        <w:t>Section (</w:t>
      </w:r>
      <w:proofErr w:type="spellStart"/>
      <w:r w:rsidRPr="00671FC0">
        <w:rPr>
          <w:color w:val="000000"/>
          <w:sz w:val="24"/>
        </w:rPr>
        <w:t>i</w:t>
      </w:r>
      <w:proofErr w:type="spellEnd"/>
      <w:r>
        <w:rPr>
          <w:sz w:val="24"/>
        </w:rPr>
        <w:t xml:space="preserve">) of the Rule provides a procedure whereby dealers may seek relief from the appropriate enforcement agency of the Rule </w:t>
      </w:r>
      <w:r>
        <w:rPr>
          <w:b/>
          <w:bCs/>
          <w:sz w:val="24"/>
        </w:rPr>
        <w:t>G-37</w:t>
      </w:r>
      <w:r>
        <w:rPr>
          <w:sz w:val="24"/>
        </w:rPr>
        <w:t xml:space="preserve"> prohibition on business, in limited circumstances.  It shall be the responsibility of </w:t>
      </w:r>
      <w:r w:rsidR="005A222F">
        <w:rPr>
          <w:sz w:val="24"/>
        </w:rPr>
        <w:t>Morris Monroe</w:t>
      </w:r>
      <w:r>
        <w:rPr>
          <w:sz w:val="24"/>
        </w:rPr>
        <w:t xml:space="preserve"> as the Municipal Securities Principal for the Company to familiarize all registered representatives with the requirements of MSRB </w:t>
      </w:r>
      <w:r>
        <w:rPr>
          <w:b/>
          <w:bCs/>
          <w:sz w:val="24"/>
        </w:rPr>
        <w:t>G-37</w:t>
      </w:r>
      <w:r>
        <w:rPr>
          <w:sz w:val="24"/>
        </w:rPr>
        <w:t xml:space="preserve"> and to monitor all political contributions made by registered representatives of the Company and shall report any such contributions within thirty (30) calendar days after the end of each calendar quarter using MSRB Form </w:t>
      </w:r>
      <w:r>
        <w:rPr>
          <w:b/>
          <w:bCs/>
          <w:sz w:val="24"/>
        </w:rPr>
        <w:t>G-37</w:t>
      </w:r>
      <w:r>
        <w:rPr>
          <w:sz w:val="24"/>
        </w:rPr>
        <w:t xml:space="preserve">. </w:t>
      </w:r>
    </w:p>
    <w:p w14:paraId="64C51736" w14:textId="77777777" w:rsidR="00F14C7B" w:rsidRDefault="00F14C7B" w:rsidP="00F14C7B">
      <w:pPr>
        <w:tabs>
          <w:tab w:val="left" w:pos="576"/>
          <w:tab w:val="left" w:pos="720"/>
          <w:tab w:val="left" w:pos="2592"/>
          <w:tab w:val="left" w:pos="7200"/>
        </w:tabs>
        <w:rPr>
          <w:sz w:val="24"/>
        </w:rPr>
      </w:pPr>
    </w:p>
    <w:p w14:paraId="78186F5F" w14:textId="6DA6EA6A" w:rsidR="000C099C" w:rsidRDefault="000C099C" w:rsidP="00F14C7B">
      <w:pPr>
        <w:tabs>
          <w:tab w:val="left" w:pos="576"/>
          <w:tab w:val="left" w:pos="720"/>
          <w:tab w:val="left" w:pos="2592"/>
          <w:tab w:val="left" w:pos="7200"/>
        </w:tabs>
        <w:rPr>
          <w:sz w:val="24"/>
        </w:rPr>
      </w:pPr>
      <w:r>
        <w:rPr>
          <w:sz w:val="24"/>
        </w:rPr>
        <w:lastRenderedPageBreak/>
        <w:t xml:space="preserve">All employees will sign an attestation annually indicating any political contributions.  These attestations will be reviewed by Morris Monroe and initialed indicating said review.  In keeping with this section, the Company shall file Form </w:t>
      </w:r>
      <w:r>
        <w:rPr>
          <w:b/>
          <w:bCs/>
          <w:sz w:val="24"/>
        </w:rPr>
        <w:t>G-37</w:t>
      </w:r>
      <w:r>
        <w:rPr>
          <w:sz w:val="24"/>
        </w:rPr>
        <w:t xml:space="preserve"> within 30 calendar days after the end of each calendar quarter (January 31, April 30, July </w:t>
      </w:r>
      <w:r w:rsidR="007D29D7">
        <w:rPr>
          <w:sz w:val="24"/>
        </w:rPr>
        <w:t>31,</w:t>
      </w:r>
      <w:r>
        <w:rPr>
          <w:sz w:val="24"/>
        </w:rPr>
        <w:t xml:space="preserve"> and October 31). These forms are to be submitted </w:t>
      </w:r>
      <w:r w:rsidR="00F14C7B" w:rsidRPr="005D0F44">
        <w:rPr>
          <w:sz w:val="24"/>
        </w:rPr>
        <w:t>electronically via the MSRB portal and G-37 Submission platform</w:t>
      </w:r>
      <w:r>
        <w:rPr>
          <w:sz w:val="24"/>
        </w:rPr>
        <w:t xml:space="preserve">. In accordance with the MSRB Interpretations, charitable donations are not considered political contributions for purposes of Rule </w:t>
      </w:r>
      <w:r>
        <w:rPr>
          <w:b/>
          <w:bCs/>
          <w:sz w:val="24"/>
        </w:rPr>
        <w:t>G-37</w:t>
      </w:r>
      <w:r>
        <w:rPr>
          <w:sz w:val="24"/>
        </w:rPr>
        <w:t xml:space="preserve"> and therefore are not covered by the rule.</w:t>
      </w:r>
    </w:p>
    <w:p w14:paraId="5C7579E9" w14:textId="77777777" w:rsidR="000C099C" w:rsidRDefault="000C099C" w:rsidP="00F14C7B">
      <w:pPr>
        <w:tabs>
          <w:tab w:val="left" w:pos="576"/>
          <w:tab w:val="left" w:pos="720"/>
          <w:tab w:val="left" w:pos="2592"/>
          <w:tab w:val="left" w:pos="7200"/>
        </w:tabs>
        <w:rPr>
          <w:sz w:val="24"/>
        </w:rPr>
      </w:pPr>
    </w:p>
    <w:p w14:paraId="21D2B6CA" w14:textId="77777777" w:rsidR="000C099C" w:rsidRDefault="000C099C" w:rsidP="00F14C7B">
      <w:pPr>
        <w:pStyle w:val="BodyText"/>
        <w:tabs>
          <w:tab w:val="left" w:pos="576"/>
          <w:tab w:val="left" w:pos="720"/>
          <w:tab w:val="left" w:pos="2592"/>
          <w:tab w:val="left" w:pos="7200"/>
        </w:tabs>
        <w:spacing w:before="0" w:after="0"/>
        <w:jc w:val="left"/>
      </w:pPr>
      <w:r>
        <w:t xml:space="preserve">Further, in accordance with the MSRB Interpretations with respect to bank dealer departments, for most bank dealer departments which deal only in municipal securities, there are no individuals who meet the definition of executive officer within Rule </w:t>
      </w:r>
      <w:r>
        <w:rPr>
          <w:b/>
          <w:bCs/>
        </w:rPr>
        <w:t>G-37</w:t>
      </w:r>
      <w:r>
        <w:t>. To the extent an inadvertent or errone</w:t>
      </w:r>
      <w:r w:rsidR="005A222F">
        <w:t>ous contribution is made by an A</w:t>
      </w:r>
      <w:r>
        <w:t xml:space="preserve">ssociated </w:t>
      </w:r>
      <w:r w:rsidR="005A222F">
        <w:t>P</w:t>
      </w:r>
      <w:r>
        <w:t>erson</w:t>
      </w:r>
      <w:r w:rsidR="00DA12C5">
        <w:t xml:space="preserve"> </w:t>
      </w:r>
      <w:r w:rsidR="00DA12C5" w:rsidRPr="00E4165F">
        <w:t>that meets any of the related definitions</w:t>
      </w:r>
      <w:r>
        <w:t>, that person shall promptly notify his/her supervisor in writing and Morris Monroe, on behalf of the Company shall petition the MSRB for relief from the prohibitions on business.  Such petition for relief from the ban on business shall include a detail</w:t>
      </w:r>
      <w:r w:rsidR="005A222F">
        <w:t>ed</w:t>
      </w:r>
      <w:r>
        <w:t xml:space="preserve"> description of the steps taken by the Company to obtain a refund of the contribution, and a statement as to whether or not a refund has been received.  Regardless of whether or not relief is granted by the MSRB of the ban on business, the Company shall still be required to report the contribution under Rule </w:t>
      </w:r>
      <w:r>
        <w:rPr>
          <w:b/>
          <w:bCs/>
        </w:rPr>
        <w:t>G-37</w:t>
      </w:r>
      <w:r>
        <w:t xml:space="preserve">, on Form </w:t>
      </w:r>
      <w:r>
        <w:rPr>
          <w:b/>
          <w:bCs/>
        </w:rPr>
        <w:t>G-37</w:t>
      </w:r>
      <w:r>
        <w:t xml:space="preserve"> in accordance with the reporting requirements detailed above. Rule </w:t>
      </w:r>
      <w:r>
        <w:rPr>
          <w:b/>
        </w:rPr>
        <w:t>G-37</w:t>
      </w:r>
      <w:r>
        <w:t xml:space="preserve"> does not define "municipal securities business" to include selling group member activities, therefore such activities would not be prohibited in the event of a contribution by a registered representative of the Company.  Further in accordance with Rule </w:t>
      </w:r>
      <w:r>
        <w:rPr>
          <w:b/>
        </w:rPr>
        <w:t>G-37</w:t>
      </w:r>
      <w:r>
        <w:t xml:space="preserve"> and </w:t>
      </w:r>
      <w:r>
        <w:rPr>
          <w:b/>
        </w:rPr>
        <w:t>G-38</w:t>
      </w:r>
      <w:r>
        <w:t xml:space="preserve">, the Company is prohibited from making direct or indirect payments to any person who is not an affiliated person of the dealer for a solicitation of municipal securities business on behalf of the Company.  Solicitation is defined as any direct or indirect communication with an issuer for the purpose of obtaining or retaining municipal securities business.  The concept of solicitation under Rules </w:t>
      </w:r>
      <w:r>
        <w:rPr>
          <w:b/>
        </w:rPr>
        <w:t>G-37</w:t>
      </w:r>
      <w:r>
        <w:t xml:space="preserve"> and </w:t>
      </w:r>
      <w:r>
        <w:rPr>
          <w:b/>
        </w:rPr>
        <w:t>G-38</w:t>
      </w:r>
      <w:r>
        <w:t xml:space="preserve"> includes the element of intent in that the communication must have a purpose of obtaining municipal securities business.  </w:t>
      </w:r>
    </w:p>
    <w:p w14:paraId="2BBB2060" w14:textId="77777777" w:rsidR="00880277" w:rsidRDefault="00880277" w:rsidP="00F14C7B">
      <w:pPr>
        <w:tabs>
          <w:tab w:val="left" w:pos="576"/>
          <w:tab w:val="left" w:pos="720"/>
          <w:tab w:val="left" w:pos="2592"/>
          <w:tab w:val="left" w:pos="7200"/>
        </w:tabs>
        <w:rPr>
          <w:sz w:val="24"/>
        </w:rPr>
      </w:pPr>
    </w:p>
    <w:p w14:paraId="44D5D72B" w14:textId="77777777" w:rsidR="000B786C" w:rsidRDefault="000B786C" w:rsidP="00F14C7B">
      <w:pPr>
        <w:pStyle w:val="BodyText"/>
        <w:tabs>
          <w:tab w:val="left" w:pos="576"/>
          <w:tab w:val="left" w:pos="720"/>
          <w:tab w:val="left" w:pos="2592"/>
          <w:tab w:val="left" w:pos="7200"/>
        </w:tabs>
        <w:spacing w:before="0" w:after="0"/>
        <w:jc w:val="left"/>
      </w:pPr>
      <w:bookmarkStart w:id="240" w:name="RuleG18"/>
      <w:bookmarkEnd w:id="240"/>
    </w:p>
    <w:p w14:paraId="5AAC73B9" w14:textId="77777777" w:rsidR="000B786C" w:rsidRDefault="007D59F6" w:rsidP="00936FEE">
      <w:pPr>
        <w:pStyle w:val="Heading2"/>
      </w:pPr>
      <w:r>
        <w:t>1</w:t>
      </w:r>
      <w:r w:rsidR="00174005">
        <w:t>3</w:t>
      </w:r>
      <w:r>
        <w:t xml:space="preserve">.10 </w:t>
      </w:r>
      <w:r w:rsidR="002C0897">
        <w:t>Prices</w:t>
      </w:r>
      <w:r w:rsidR="00C25DB1">
        <w:t>, Markups</w:t>
      </w:r>
      <w:r w:rsidR="002C0897">
        <w:t xml:space="preserve"> and Commissions</w:t>
      </w:r>
    </w:p>
    <w:p w14:paraId="24E057A6" w14:textId="77777777" w:rsidR="00152753" w:rsidRDefault="000B786C" w:rsidP="00F14C7B">
      <w:pPr>
        <w:pStyle w:val="BodyText"/>
        <w:tabs>
          <w:tab w:val="left" w:pos="576"/>
          <w:tab w:val="left" w:pos="720"/>
          <w:tab w:val="left" w:pos="2592"/>
          <w:tab w:val="left" w:pos="7200"/>
        </w:tabs>
        <w:spacing w:before="0" w:after="0"/>
        <w:jc w:val="left"/>
        <w:rPr>
          <w:rFonts w:ascii="Arial" w:hAnsi="Arial" w:cs="Arial"/>
          <w:sz w:val="20"/>
          <w:lang w:val="en"/>
        </w:rPr>
      </w:pPr>
      <w:r>
        <w:t>I</w:t>
      </w:r>
      <w:r w:rsidR="000C099C">
        <w:t xml:space="preserve">n accordance with Rule </w:t>
      </w:r>
      <w:r w:rsidR="000C099C">
        <w:rPr>
          <w:b/>
          <w:bCs/>
        </w:rPr>
        <w:t>G-</w:t>
      </w:r>
      <w:r w:rsidR="002C0897" w:rsidRPr="00AF3D2D">
        <w:rPr>
          <w:b/>
          <w:bCs/>
        </w:rPr>
        <w:t>30</w:t>
      </w:r>
      <w:r w:rsidR="000C099C" w:rsidRPr="00AF3D2D">
        <w:t xml:space="preserve">, the Company when executing a transaction in municipal securities for or on behalf of a customer as </w:t>
      </w:r>
      <w:r w:rsidR="007D59F6" w:rsidRPr="00AF3D2D">
        <w:t>agent</w:t>
      </w:r>
      <w:r w:rsidR="000C099C" w:rsidRPr="00AF3D2D">
        <w:t xml:space="preserve"> shall make a reasonable effort to obtain a price for the customer that is fair and reasonable in relation to prevailing market conditions.  If acting as a "broker’s broker," the Company shall be under the same obligation with respect to the execution of a transaction in municipal securities for or on behalf of a broker, dealer, or municipal securities dealer. </w:t>
      </w:r>
      <w:r w:rsidR="009A15BE" w:rsidRPr="00AF3D2D">
        <w:t xml:space="preserve"> </w:t>
      </w:r>
      <w:r w:rsidR="009A15BE" w:rsidRPr="00AF3D2D">
        <w:rPr>
          <w:szCs w:val="24"/>
          <w:lang w:val="en"/>
        </w:rPr>
        <w:t xml:space="preserve">For principal transactions, </w:t>
      </w:r>
      <w:r w:rsidR="000660DC" w:rsidRPr="00AF3D2D">
        <w:rPr>
          <w:szCs w:val="24"/>
          <w:lang w:val="en"/>
        </w:rPr>
        <w:t>Company</w:t>
      </w:r>
      <w:r w:rsidR="009A15BE" w:rsidRPr="00AF3D2D">
        <w:rPr>
          <w:szCs w:val="24"/>
          <w:lang w:val="en"/>
        </w:rPr>
        <w:t xml:space="preserve"> shall </w:t>
      </w:r>
      <w:r w:rsidR="000660DC" w:rsidRPr="00AF3D2D">
        <w:rPr>
          <w:szCs w:val="24"/>
          <w:lang w:val="en"/>
        </w:rPr>
        <w:t xml:space="preserve">not </w:t>
      </w:r>
      <w:r w:rsidR="009A15BE" w:rsidRPr="00AF3D2D">
        <w:rPr>
          <w:szCs w:val="24"/>
          <w:lang w:val="en"/>
        </w:rPr>
        <w:t>purchase municipal securities for its own account from a customer or sell municipal securities for its own account to a customer, except at an aggregate price (including any mark-up or mark-down) that is fair and reasonable</w:t>
      </w:r>
      <w:r w:rsidR="009A15BE" w:rsidRPr="00AF3D2D">
        <w:rPr>
          <w:rFonts w:ascii="Arial" w:hAnsi="Arial" w:cs="Arial"/>
          <w:sz w:val="20"/>
          <w:lang w:val="en"/>
        </w:rPr>
        <w:t>.</w:t>
      </w:r>
      <w:r w:rsidR="00152753">
        <w:rPr>
          <w:rFonts w:ascii="Arial" w:hAnsi="Arial" w:cs="Arial"/>
          <w:sz w:val="20"/>
          <w:lang w:val="en"/>
        </w:rPr>
        <w:t xml:space="preserve">  </w:t>
      </w:r>
    </w:p>
    <w:p w14:paraId="4D8F542B" w14:textId="77777777" w:rsidR="00152753" w:rsidRDefault="00152753" w:rsidP="00F14C7B">
      <w:pPr>
        <w:pStyle w:val="BodyText"/>
        <w:tabs>
          <w:tab w:val="left" w:pos="576"/>
          <w:tab w:val="left" w:pos="720"/>
          <w:tab w:val="left" w:pos="2592"/>
          <w:tab w:val="left" w:pos="7200"/>
        </w:tabs>
        <w:spacing w:before="0" w:after="0"/>
        <w:jc w:val="left"/>
        <w:rPr>
          <w:rFonts w:ascii="Arial" w:hAnsi="Arial" w:cs="Arial"/>
          <w:sz w:val="20"/>
          <w:lang w:val="en"/>
        </w:rPr>
      </w:pPr>
    </w:p>
    <w:p w14:paraId="0E9CDFCC" w14:textId="77777777" w:rsidR="000C099C" w:rsidRDefault="00152753" w:rsidP="00F14C7B">
      <w:pPr>
        <w:pStyle w:val="BodyText"/>
        <w:tabs>
          <w:tab w:val="left" w:pos="576"/>
          <w:tab w:val="left" w:pos="720"/>
          <w:tab w:val="left" w:pos="2592"/>
          <w:tab w:val="left" w:pos="7200"/>
        </w:tabs>
        <w:spacing w:before="0" w:after="0"/>
        <w:jc w:val="left"/>
        <w:rPr>
          <w:szCs w:val="24"/>
        </w:rPr>
      </w:pPr>
      <w:r w:rsidRPr="00EA0A5B">
        <w:rPr>
          <w:szCs w:val="24"/>
          <w:lang w:val="en"/>
        </w:rPr>
        <w:t xml:space="preserve">Company </w:t>
      </w:r>
      <w:r w:rsidRPr="00EA0A5B">
        <w:rPr>
          <w:szCs w:val="24"/>
        </w:rPr>
        <w:t>is obligated to offer new issue bonds to customers at the initial offering price negotiated with the issuer of the bonds.  Company is prohibited from taking new issues into inventory and then offering the bonds to customers at higher prices. Company may sell bonds higher than the offering price after trading commences in the secondary market.</w:t>
      </w:r>
    </w:p>
    <w:p w14:paraId="33425759" w14:textId="77777777" w:rsidR="007E12E9" w:rsidRDefault="007E12E9" w:rsidP="00F14C7B">
      <w:pPr>
        <w:pStyle w:val="BodyText"/>
        <w:tabs>
          <w:tab w:val="left" w:pos="576"/>
          <w:tab w:val="left" w:pos="720"/>
          <w:tab w:val="left" w:pos="2592"/>
          <w:tab w:val="left" w:pos="7200"/>
        </w:tabs>
        <w:spacing w:before="0" w:after="0"/>
        <w:jc w:val="left"/>
        <w:rPr>
          <w:szCs w:val="24"/>
        </w:rPr>
      </w:pPr>
    </w:p>
    <w:p w14:paraId="131DBAB1" w14:textId="77777777" w:rsidR="007E12E9" w:rsidRPr="00174005" w:rsidRDefault="007E12E9" w:rsidP="007E12E9">
      <w:pPr>
        <w:pStyle w:val="BodyText2"/>
      </w:pPr>
      <w:r w:rsidRPr="00174005">
        <w:t xml:space="preserve">Company is obligated to execute customer orders on a principal basis at a fair and reasonable (including mark-up or mark-down) price considering the prevailing market price. Traders are required to document how mark-ups/downs are calculated if not related to the presumptive </w:t>
      </w:r>
      <w:r w:rsidRPr="00174005">
        <w:lastRenderedPageBreak/>
        <w:t>prevailing market price. Alternative methods for documenting the presumptive market price are in "hierarchical" order with the first alternative to be used, and if not available the second may be used.</w:t>
      </w:r>
    </w:p>
    <w:p w14:paraId="768FC51B" w14:textId="77777777" w:rsidR="003F2EF5" w:rsidRPr="00174005" w:rsidRDefault="003F2EF5" w:rsidP="007E12E9">
      <w:pPr>
        <w:pStyle w:val="BodyText2"/>
        <w:rPr>
          <w:szCs w:val="24"/>
        </w:rPr>
      </w:pPr>
    </w:p>
    <w:p w14:paraId="04898E7B" w14:textId="77777777" w:rsidR="003F2EF5" w:rsidRPr="00174005" w:rsidRDefault="003F2EF5" w:rsidP="003F2EF5">
      <w:pPr>
        <w:shd w:val="clear" w:color="auto" w:fill="FFFFFF"/>
        <w:rPr>
          <w:b/>
          <w:sz w:val="24"/>
          <w:szCs w:val="24"/>
        </w:rPr>
      </w:pPr>
      <w:r w:rsidRPr="00174005">
        <w:rPr>
          <w:b/>
          <w:sz w:val="24"/>
          <w:szCs w:val="24"/>
        </w:rPr>
        <w:t>Markups</w:t>
      </w:r>
    </w:p>
    <w:p w14:paraId="2C2BA6ED" w14:textId="77777777" w:rsidR="00411A0C" w:rsidRPr="00174005" w:rsidRDefault="00411A0C" w:rsidP="003F2EF5">
      <w:pPr>
        <w:shd w:val="clear" w:color="auto" w:fill="FFFFFF"/>
        <w:rPr>
          <w:sz w:val="24"/>
          <w:szCs w:val="24"/>
        </w:rPr>
      </w:pPr>
      <w:r w:rsidRPr="00174005">
        <w:rPr>
          <w:sz w:val="24"/>
          <w:szCs w:val="24"/>
        </w:rPr>
        <w:t>This section summarizes guidance included in the MSRB rule (G-30.06). The Rule should be consulted for detailed explanations.</w:t>
      </w:r>
    </w:p>
    <w:p w14:paraId="21AFAC50" w14:textId="77777777" w:rsidR="00411A0C" w:rsidRPr="00174005" w:rsidRDefault="00411A0C" w:rsidP="00411A0C">
      <w:pPr>
        <w:shd w:val="clear" w:color="auto" w:fill="FFFFFF"/>
        <w:spacing w:before="100" w:beforeAutospacing="1" w:after="100" w:afterAutospacing="1"/>
        <w:rPr>
          <w:sz w:val="24"/>
          <w:szCs w:val="24"/>
        </w:rPr>
      </w:pPr>
      <w:r w:rsidRPr="00174005">
        <w:rPr>
          <w:sz w:val="24"/>
          <w:szCs w:val="24"/>
        </w:rPr>
        <w:t>(1) Presumptively the prevailing market price for a municipal security is established by referring to the dealer's contemporaneous cost when buying or contemporaneous proceeds when selling.</w:t>
      </w:r>
    </w:p>
    <w:p w14:paraId="6B724736" w14:textId="77777777" w:rsidR="00411A0C" w:rsidRPr="00174005" w:rsidRDefault="00411A0C" w:rsidP="00411A0C">
      <w:pPr>
        <w:shd w:val="clear" w:color="auto" w:fill="FFFFFF"/>
        <w:spacing w:before="100" w:beforeAutospacing="1" w:after="100" w:afterAutospacing="1"/>
        <w:rPr>
          <w:sz w:val="24"/>
          <w:szCs w:val="24"/>
        </w:rPr>
      </w:pPr>
      <w:r w:rsidRPr="00174005">
        <w:rPr>
          <w:sz w:val="24"/>
          <w:szCs w:val="24"/>
        </w:rPr>
        <w:t>(2) Other evidence of the prevailing market price may be considered only where the dealer made no contemporaneous purchases or sales of the security.</w:t>
      </w:r>
    </w:p>
    <w:p w14:paraId="1A22CDC4" w14:textId="77777777" w:rsidR="00411A0C" w:rsidRPr="00174005" w:rsidRDefault="00411A0C" w:rsidP="00411A0C">
      <w:pPr>
        <w:shd w:val="clear" w:color="auto" w:fill="FFFFFF"/>
        <w:spacing w:before="100" w:beforeAutospacing="1" w:after="100" w:afterAutospacing="1"/>
        <w:rPr>
          <w:sz w:val="24"/>
          <w:szCs w:val="24"/>
        </w:rPr>
      </w:pPr>
      <w:r w:rsidRPr="00174005">
        <w:rPr>
          <w:sz w:val="24"/>
          <w:szCs w:val="24"/>
        </w:rPr>
        <w:t>(3) A dealer's cost is (or proceeds are) considered contemporaneous if the transaction occurs close enough in time to the subject transaction that it would reasonably be expected to reflect the current market price for the municipal security.</w:t>
      </w:r>
    </w:p>
    <w:p w14:paraId="443CA874" w14:textId="77777777" w:rsidR="00411A0C" w:rsidRPr="00174005" w:rsidRDefault="00411A0C" w:rsidP="00411A0C">
      <w:pPr>
        <w:shd w:val="clear" w:color="auto" w:fill="FFFFFF"/>
        <w:spacing w:before="100" w:beforeAutospacing="1" w:after="100" w:afterAutospacing="1"/>
        <w:rPr>
          <w:sz w:val="24"/>
          <w:szCs w:val="24"/>
        </w:rPr>
      </w:pPr>
      <w:r w:rsidRPr="00174005">
        <w:rPr>
          <w:sz w:val="24"/>
          <w:szCs w:val="24"/>
        </w:rPr>
        <w:t>(4) When using a measure other than the dealer's own contemporaneous cost (or, in a mark-down, the dealer's own proceeds), Woodlands Securities Corp (</w:t>
      </w:r>
      <w:r w:rsidRPr="00174005">
        <w:rPr>
          <w:i/>
          <w:iCs/>
          <w:sz w:val="24"/>
          <w:szCs w:val="24"/>
        </w:rPr>
        <w:t>i.e.,</w:t>
      </w:r>
      <w:r w:rsidRPr="00174005">
        <w:rPr>
          <w:sz w:val="24"/>
          <w:szCs w:val="24"/>
        </w:rPr>
        <w:t xml:space="preserve"> the trader) must be prepared to provide evidence that is sufficient to overcome the presumption that such contemporaneous cost (or proceeds) provides the best measure of the prevailing market price.</w:t>
      </w:r>
    </w:p>
    <w:p w14:paraId="66173238" w14:textId="77777777" w:rsidR="00411A0C" w:rsidRPr="00174005" w:rsidRDefault="00411A0C" w:rsidP="00411A0C">
      <w:pPr>
        <w:shd w:val="clear" w:color="auto" w:fill="FFFFFF"/>
        <w:spacing w:before="100" w:beforeAutospacing="1" w:after="100" w:afterAutospacing="1"/>
        <w:rPr>
          <w:sz w:val="24"/>
          <w:szCs w:val="24"/>
        </w:rPr>
      </w:pPr>
      <w:r w:rsidRPr="00174005">
        <w:rPr>
          <w:sz w:val="24"/>
          <w:szCs w:val="24"/>
        </w:rPr>
        <w:t>(5) The following types of pricing information must be considered (in the order presented) to determine prevailing market price:</w:t>
      </w:r>
    </w:p>
    <w:p w14:paraId="22EE8482" w14:textId="77777777" w:rsidR="00411A0C" w:rsidRPr="00174005" w:rsidRDefault="00411A0C" w:rsidP="003E7B18">
      <w:pPr>
        <w:numPr>
          <w:ilvl w:val="0"/>
          <w:numId w:val="316"/>
        </w:numPr>
        <w:shd w:val="clear" w:color="auto" w:fill="FFFFFF"/>
        <w:spacing w:before="100" w:beforeAutospacing="1" w:after="100" w:afterAutospacing="1"/>
        <w:rPr>
          <w:sz w:val="24"/>
          <w:szCs w:val="24"/>
        </w:rPr>
      </w:pPr>
      <w:r w:rsidRPr="00174005">
        <w:rPr>
          <w:sz w:val="24"/>
          <w:szCs w:val="24"/>
        </w:rPr>
        <w:t>Prices of any contemporaneous inter-dealer transactions in the municipal security in question;</w:t>
      </w:r>
    </w:p>
    <w:p w14:paraId="335E33DD" w14:textId="77777777" w:rsidR="00411A0C" w:rsidRPr="00174005" w:rsidRDefault="00411A0C" w:rsidP="003E7B18">
      <w:pPr>
        <w:numPr>
          <w:ilvl w:val="0"/>
          <w:numId w:val="316"/>
        </w:numPr>
        <w:shd w:val="clear" w:color="auto" w:fill="FFFFFF"/>
        <w:spacing w:before="100" w:beforeAutospacing="1" w:after="100" w:afterAutospacing="1"/>
        <w:rPr>
          <w:sz w:val="24"/>
          <w:szCs w:val="24"/>
        </w:rPr>
      </w:pPr>
      <w:r w:rsidRPr="00174005">
        <w:rPr>
          <w:sz w:val="24"/>
          <w:szCs w:val="24"/>
        </w:rPr>
        <w:t>In the absence of transactions described in (A), prices of contemporaneous dealer purchases (sales) in the municipal security in question from (to) institutional accounts with which any dealer regularly effects transactions in the same municipal security; or</w:t>
      </w:r>
    </w:p>
    <w:p w14:paraId="3FF86772" w14:textId="77777777" w:rsidR="00411A0C" w:rsidRPr="00174005" w:rsidRDefault="00411A0C" w:rsidP="003E7B18">
      <w:pPr>
        <w:numPr>
          <w:ilvl w:val="0"/>
          <w:numId w:val="316"/>
        </w:numPr>
        <w:shd w:val="clear" w:color="auto" w:fill="FFFFFF"/>
        <w:spacing w:before="100" w:beforeAutospacing="1" w:after="100" w:afterAutospacing="1"/>
        <w:rPr>
          <w:sz w:val="24"/>
          <w:szCs w:val="24"/>
        </w:rPr>
      </w:pPr>
      <w:r w:rsidRPr="00174005">
        <w:rPr>
          <w:sz w:val="24"/>
          <w:szCs w:val="24"/>
        </w:rPr>
        <w:t>In the absence of transactions described in (A) and (B), for actively traded municipal securities, contemporaneous bid (offer) quotations for the municipal security in question made through an inter-dealer mechanism, through which transactions generally occur at the displayed quotations.</w:t>
      </w:r>
    </w:p>
    <w:p w14:paraId="37A5692A" w14:textId="77777777" w:rsidR="00411A0C" w:rsidRPr="00174005" w:rsidRDefault="00411A0C" w:rsidP="00411A0C">
      <w:pPr>
        <w:shd w:val="clear" w:color="auto" w:fill="FFFFFF"/>
        <w:spacing w:before="100" w:beforeAutospacing="1" w:after="100" w:afterAutospacing="1"/>
        <w:rPr>
          <w:sz w:val="24"/>
          <w:szCs w:val="24"/>
        </w:rPr>
      </w:pPr>
      <w:r w:rsidRPr="00174005">
        <w:rPr>
          <w:sz w:val="24"/>
          <w:szCs w:val="24"/>
        </w:rPr>
        <w:t>A dealer may consider a succeeding category of pricing information only when the prior category does not generate relevant pricing information. Because of the lack of active trading in most municipal securities, it is not always possible to establish the prevailing market price for a municipal security based solely on contemporaneous transaction prices or contemporaneous quotations for the security. Accordingly, dealers may often need to consider other factors, below.</w:t>
      </w:r>
    </w:p>
    <w:p w14:paraId="5FC0478C" w14:textId="77777777" w:rsidR="00411A0C" w:rsidRPr="00174005" w:rsidRDefault="00411A0C" w:rsidP="00411A0C">
      <w:pPr>
        <w:shd w:val="clear" w:color="auto" w:fill="FFFFFF"/>
        <w:spacing w:before="100" w:beforeAutospacing="1" w:after="100" w:afterAutospacing="1"/>
        <w:rPr>
          <w:sz w:val="24"/>
          <w:szCs w:val="24"/>
        </w:rPr>
      </w:pPr>
      <w:r w:rsidRPr="00174005">
        <w:rPr>
          <w:sz w:val="24"/>
          <w:szCs w:val="24"/>
        </w:rPr>
        <w:t>(6) Other factors that may be taken into consideration (not in any required order or combination) for the purpose of establishing the price from which a customer mark-up (mark-down) may be calculated, include but are not limited to:</w:t>
      </w:r>
    </w:p>
    <w:p w14:paraId="6E85B726" w14:textId="77777777" w:rsidR="00411A0C" w:rsidRPr="00174005" w:rsidRDefault="00411A0C" w:rsidP="003E7B18">
      <w:pPr>
        <w:numPr>
          <w:ilvl w:val="0"/>
          <w:numId w:val="317"/>
        </w:numPr>
        <w:shd w:val="clear" w:color="auto" w:fill="FFFFFF"/>
        <w:spacing w:before="100" w:beforeAutospacing="1" w:after="100" w:afterAutospacing="1"/>
        <w:rPr>
          <w:sz w:val="24"/>
          <w:szCs w:val="24"/>
        </w:rPr>
      </w:pPr>
      <w:r w:rsidRPr="00174005">
        <w:rPr>
          <w:sz w:val="24"/>
          <w:szCs w:val="24"/>
        </w:rPr>
        <w:t>Prices, or yields calculated from prices, of contemporaneous inter-dealer transactions in a "similar" municipal security, as defined below;</w:t>
      </w:r>
    </w:p>
    <w:p w14:paraId="1AD01F39" w14:textId="77777777" w:rsidR="00411A0C" w:rsidRPr="00174005" w:rsidRDefault="00411A0C" w:rsidP="003E7B18">
      <w:pPr>
        <w:numPr>
          <w:ilvl w:val="0"/>
          <w:numId w:val="317"/>
        </w:numPr>
        <w:shd w:val="clear" w:color="auto" w:fill="FFFFFF"/>
        <w:spacing w:before="100" w:beforeAutospacing="1" w:after="100" w:afterAutospacing="1"/>
        <w:rPr>
          <w:sz w:val="24"/>
          <w:szCs w:val="24"/>
        </w:rPr>
      </w:pPr>
      <w:r w:rsidRPr="00174005">
        <w:rPr>
          <w:sz w:val="24"/>
          <w:szCs w:val="24"/>
        </w:rPr>
        <w:lastRenderedPageBreak/>
        <w:t>Prices, or yields calculated from prices, of contemporaneous dealer purchase (sale) transactions in a "similar" municipal security with institutional accounts with which any dealer regularly effects transactions in the "similar" municipal security with respect to customer mark-ups (mark-downs); and</w:t>
      </w:r>
    </w:p>
    <w:p w14:paraId="3D4A8F45" w14:textId="77777777" w:rsidR="00411A0C" w:rsidRPr="00174005" w:rsidRDefault="00411A0C" w:rsidP="003E7B18">
      <w:pPr>
        <w:numPr>
          <w:ilvl w:val="0"/>
          <w:numId w:val="317"/>
        </w:numPr>
        <w:shd w:val="clear" w:color="auto" w:fill="FFFFFF"/>
        <w:spacing w:before="100" w:beforeAutospacing="1" w:after="100" w:afterAutospacing="1"/>
        <w:rPr>
          <w:sz w:val="24"/>
          <w:szCs w:val="24"/>
        </w:rPr>
      </w:pPr>
      <w:r w:rsidRPr="00174005">
        <w:rPr>
          <w:sz w:val="24"/>
          <w:szCs w:val="24"/>
        </w:rPr>
        <w:t>Yields calculated from validated contemporaneous inter-dealer bid (offer) quotations in "similar" municipal securities for customer mark-ups (mark-downs).</w:t>
      </w:r>
    </w:p>
    <w:p w14:paraId="7067216E" w14:textId="77777777" w:rsidR="00411A0C" w:rsidRPr="00174005" w:rsidRDefault="00411A0C" w:rsidP="00411A0C">
      <w:pPr>
        <w:shd w:val="clear" w:color="auto" w:fill="FFFFFF"/>
        <w:spacing w:before="100" w:beforeAutospacing="1" w:after="100" w:afterAutospacing="1"/>
        <w:rPr>
          <w:sz w:val="24"/>
          <w:szCs w:val="24"/>
        </w:rPr>
      </w:pPr>
      <w:r w:rsidRPr="00174005">
        <w:rPr>
          <w:sz w:val="24"/>
          <w:szCs w:val="24"/>
        </w:rPr>
        <w:t>(7) Finally, if information concerning the prevailing market price of the subject municipal security cannot be obtained by applying any of the above factors, dealers may consider as a factor in assessing the prevailing market price of a municipal security the prices or yields derived from economic models (</w:t>
      </w:r>
      <w:r w:rsidRPr="00174005">
        <w:rPr>
          <w:i/>
          <w:iCs/>
          <w:sz w:val="24"/>
          <w:szCs w:val="24"/>
        </w:rPr>
        <w:t>e.g.,</w:t>
      </w:r>
      <w:r w:rsidRPr="00174005">
        <w:rPr>
          <w:sz w:val="24"/>
          <w:szCs w:val="24"/>
        </w:rPr>
        <w:t xml:space="preserve"> discounted cash flow models) that take into account measures such as reported trade prices, credit quality, interest rates, industry sector, time to maturity, call provisions and any other embedded options, coupon rate, and face value; and consider all applicable pricing terms and conventions (</w:t>
      </w:r>
      <w:r w:rsidRPr="00174005">
        <w:rPr>
          <w:i/>
          <w:iCs/>
          <w:sz w:val="24"/>
          <w:szCs w:val="24"/>
        </w:rPr>
        <w:t>e.g.,</w:t>
      </w:r>
      <w:r w:rsidRPr="00174005">
        <w:rPr>
          <w:sz w:val="24"/>
          <w:szCs w:val="24"/>
        </w:rPr>
        <w:t xml:space="preserve"> coupon frequency and accrual methods).</w:t>
      </w:r>
    </w:p>
    <w:p w14:paraId="3F7A7139" w14:textId="77777777" w:rsidR="00411A0C" w:rsidRPr="00174005" w:rsidRDefault="00411A0C" w:rsidP="00411A0C">
      <w:pPr>
        <w:shd w:val="clear" w:color="auto" w:fill="FFFFFF"/>
        <w:spacing w:before="100" w:beforeAutospacing="1" w:after="100" w:afterAutospacing="1"/>
        <w:rPr>
          <w:sz w:val="24"/>
          <w:szCs w:val="24"/>
        </w:rPr>
      </w:pPr>
      <w:r w:rsidRPr="00174005">
        <w:rPr>
          <w:sz w:val="24"/>
          <w:szCs w:val="24"/>
        </w:rPr>
        <w:t>(8) Because the ultimate evidentiary issue is the prevailing market price, isolated transactions or isolated quotations generally will have little or no weight or relevance in establishing prevailing market price. In addition, in considering yields of "similar" municipal securities, except in extraordinary circumstances, dealers may not rely exclusively on isolated transactions or a limited number of transactions that are not fairly representative of the yields of transactions in "similar" municipal securities taken as a whole.</w:t>
      </w:r>
    </w:p>
    <w:p w14:paraId="57565FB6" w14:textId="77777777" w:rsidR="00411A0C" w:rsidRPr="00174005" w:rsidRDefault="00411A0C" w:rsidP="007E12E9">
      <w:pPr>
        <w:rPr>
          <w:b/>
          <w:sz w:val="24"/>
          <w:szCs w:val="24"/>
        </w:rPr>
      </w:pPr>
      <w:r w:rsidRPr="00174005">
        <w:rPr>
          <w:b/>
          <w:sz w:val="24"/>
          <w:szCs w:val="24"/>
        </w:rPr>
        <w:t xml:space="preserve">Similar Municipal Securities </w:t>
      </w:r>
    </w:p>
    <w:p w14:paraId="27A2B850" w14:textId="77777777" w:rsidR="00411A0C" w:rsidRPr="00174005" w:rsidRDefault="00411A0C" w:rsidP="00411A0C">
      <w:pPr>
        <w:pStyle w:val="Normal31"/>
        <w:spacing w:before="0" w:beforeAutospacing="0" w:after="0" w:afterAutospacing="0"/>
      </w:pPr>
      <w:r w:rsidRPr="00174005">
        <w:t>(1) A "similar" municipal security should be sufficiently similar to the subject security that it would serve as a reasonable alternative investment to the investor. At a minimum, the municipal security or securities should be sufficiently similar that a market yield for the subject security can be fairly estimated from the yields of the "similar" security or securities. Where a municipal security has several components, appropriate consideration may also be given to the prices or yields of the various components of the security.</w:t>
      </w:r>
    </w:p>
    <w:p w14:paraId="28859DD2" w14:textId="77777777" w:rsidR="00411A0C" w:rsidRPr="00174005" w:rsidRDefault="00411A0C" w:rsidP="00411A0C">
      <w:pPr>
        <w:pStyle w:val="Normal31"/>
      </w:pPr>
      <w:r w:rsidRPr="00174005">
        <w:t>(2) The degree to which a municipal security is "similar" to the subject security may be determined by all relevant factors, including but not limited to the following:</w:t>
      </w:r>
    </w:p>
    <w:p w14:paraId="29044314" w14:textId="77777777" w:rsidR="00411A0C" w:rsidRPr="00174005" w:rsidRDefault="00411A0C" w:rsidP="003E7B18">
      <w:pPr>
        <w:numPr>
          <w:ilvl w:val="0"/>
          <w:numId w:val="318"/>
        </w:numPr>
        <w:spacing w:before="100" w:beforeAutospacing="1" w:after="100" w:afterAutospacing="1"/>
        <w:rPr>
          <w:sz w:val="24"/>
          <w:szCs w:val="24"/>
        </w:rPr>
      </w:pPr>
      <w:r w:rsidRPr="00174005">
        <w:rPr>
          <w:sz w:val="24"/>
          <w:szCs w:val="24"/>
        </w:rPr>
        <w:t>Credit quality considerations, such as whether the municipal security is issued by the same or similar entity, bears the same or similar credit rating, or is supported by a similarly strong guarantee or collateral as the subject security (to the extent securities of other issuers are designated as "similar" securities, significant recent information concerning either the "similar" security's issuer or subject security's issuer that is not yet incorporated in credit ratings should be considered (</w:t>
      </w:r>
      <w:r w:rsidRPr="00174005">
        <w:rPr>
          <w:i/>
          <w:iCs/>
          <w:sz w:val="24"/>
          <w:szCs w:val="24"/>
        </w:rPr>
        <w:t>e.g.,</w:t>
      </w:r>
      <w:r w:rsidRPr="00174005">
        <w:rPr>
          <w:sz w:val="24"/>
          <w:szCs w:val="24"/>
        </w:rPr>
        <w:t xml:space="preserve"> changes to ratings outlooks));</w:t>
      </w:r>
    </w:p>
    <w:p w14:paraId="238E1C2D" w14:textId="77777777" w:rsidR="00411A0C" w:rsidRPr="00174005" w:rsidRDefault="00411A0C" w:rsidP="003E7B18">
      <w:pPr>
        <w:numPr>
          <w:ilvl w:val="0"/>
          <w:numId w:val="318"/>
        </w:numPr>
        <w:spacing w:before="100" w:beforeAutospacing="1" w:after="100" w:afterAutospacing="1"/>
        <w:rPr>
          <w:sz w:val="24"/>
          <w:szCs w:val="24"/>
        </w:rPr>
      </w:pPr>
      <w:r w:rsidRPr="00174005">
        <w:rPr>
          <w:sz w:val="24"/>
          <w:szCs w:val="24"/>
        </w:rPr>
        <w:t>The extent to which the spread (</w:t>
      </w:r>
      <w:r w:rsidRPr="00174005">
        <w:rPr>
          <w:i/>
          <w:iCs/>
          <w:sz w:val="24"/>
          <w:szCs w:val="24"/>
        </w:rPr>
        <w:t>i.e.,</w:t>
      </w:r>
      <w:r w:rsidRPr="00174005">
        <w:rPr>
          <w:sz w:val="24"/>
          <w:szCs w:val="24"/>
        </w:rPr>
        <w:t xml:space="preserve"> the spread over an applicable index or U.S. Treasury securities of a similar duration) at which the "similar" municipal security trades is comparable to the spread at which the subject security trades;</w:t>
      </w:r>
    </w:p>
    <w:p w14:paraId="1DDBAFE2" w14:textId="77777777" w:rsidR="00411A0C" w:rsidRPr="00174005" w:rsidRDefault="00411A0C" w:rsidP="003E7B18">
      <w:pPr>
        <w:numPr>
          <w:ilvl w:val="0"/>
          <w:numId w:val="318"/>
        </w:numPr>
        <w:spacing w:before="100" w:beforeAutospacing="1" w:after="100" w:afterAutospacing="1"/>
        <w:rPr>
          <w:sz w:val="24"/>
          <w:szCs w:val="24"/>
        </w:rPr>
      </w:pPr>
      <w:r w:rsidRPr="00174005">
        <w:rPr>
          <w:sz w:val="24"/>
          <w:szCs w:val="24"/>
        </w:rPr>
        <w:t>General structural characteristics and provisions of the issue, such as coupon, maturity, duration, complexity or uniqueness of the structure, callability, the likelihood that the municipal security will be called, tendered or exchanged, and other embedded options, as compared with the characteristics of the subject security;</w:t>
      </w:r>
    </w:p>
    <w:p w14:paraId="0FF73A29" w14:textId="77777777" w:rsidR="00411A0C" w:rsidRPr="00174005" w:rsidRDefault="00411A0C" w:rsidP="003E7B18">
      <w:pPr>
        <w:numPr>
          <w:ilvl w:val="0"/>
          <w:numId w:val="318"/>
        </w:numPr>
        <w:spacing w:before="100" w:beforeAutospacing="1" w:after="100" w:afterAutospacing="1"/>
        <w:rPr>
          <w:sz w:val="24"/>
          <w:szCs w:val="24"/>
        </w:rPr>
      </w:pPr>
      <w:r w:rsidRPr="00174005">
        <w:rPr>
          <w:sz w:val="24"/>
          <w:szCs w:val="24"/>
        </w:rPr>
        <w:t>Technical factors such as the size of the issue, the float and recent turnover of the issue, and legal restrictions on transferability as compared with the subject security; and</w:t>
      </w:r>
    </w:p>
    <w:p w14:paraId="1A7EEE32" w14:textId="77777777" w:rsidR="00411A0C" w:rsidRPr="00174005" w:rsidRDefault="00411A0C" w:rsidP="003E7B18">
      <w:pPr>
        <w:numPr>
          <w:ilvl w:val="0"/>
          <w:numId w:val="318"/>
        </w:numPr>
        <w:spacing w:before="100" w:beforeAutospacing="1" w:after="100" w:afterAutospacing="1"/>
        <w:rPr>
          <w:sz w:val="24"/>
          <w:szCs w:val="24"/>
        </w:rPr>
      </w:pPr>
      <w:r w:rsidRPr="00174005">
        <w:rPr>
          <w:sz w:val="24"/>
          <w:szCs w:val="24"/>
        </w:rPr>
        <w:lastRenderedPageBreak/>
        <w:t>The extent to which the federal and/or state tax treatment of the "similar" municipal security is comparable to such tax treatment of the subject security</w:t>
      </w:r>
    </w:p>
    <w:p w14:paraId="1284A997" w14:textId="77777777" w:rsidR="00411A0C" w:rsidRPr="00174005" w:rsidRDefault="00411A0C" w:rsidP="00956900">
      <w:pPr>
        <w:pStyle w:val="Normal31"/>
        <w:spacing w:before="0" w:beforeAutospacing="0" w:after="0" w:afterAutospacing="0"/>
      </w:pPr>
      <w:r w:rsidRPr="00174005">
        <w:t>(3) When a municipal security's value and pricing is based substantially on, and is highly dependent on, the particular circumstances of the issuer, including creditworthiness and the ability and willingness of the issuer to meet the specific obligations of the security, in most cases other securities will not be sufficiently similar, and therefore, pricing information with respect to other securities may not be used to establish the prevailing market price.</w:t>
      </w:r>
    </w:p>
    <w:p w14:paraId="066ACCE4" w14:textId="77777777" w:rsidR="000C099C" w:rsidRPr="00174005" w:rsidRDefault="000C099C" w:rsidP="00956900">
      <w:pPr>
        <w:rPr>
          <w:sz w:val="24"/>
        </w:rPr>
      </w:pPr>
    </w:p>
    <w:p w14:paraId="4A4301CC" w14:textId="77777777" w:rsidR="00956900" w:rsidRDefault="00956900" w:rsidP="00956900">
      <w:pPr>
        <w:rPr>
          <w:sz w:val="24"/>
        </w:rPr>
      </w:pPr>
    </w:p>
    <w:p w14:paraId="07A8C714" w14:textId="77777777" w:rsidR="00956900" w:rsidRPr="00956900" w:rsidRDefault="00863E7C" w:rsidP="00936FEE">
      <w:pPr>
        <w:pStyle w:val="Heading2"/>
      </w:pPr>
      <w:r>
        <w:t>1</w:t>
      </w:r>
      <w:r w:rsidR="00174005">
        <w:t>3</w:t>
      </w:r>
      <w:r>
        <w:t>.</w:t>
      </w:r>
      <w:r w:rsidR="00DD15B2">
        <w:t>1</w:t>
      </w:r>
      <w:r w:rsidR="000B786C">
        <w:t>1</w:t>
      </w:r>
      <w:r>
        <w:t xml:space="preserve"> </w:t>
      </w:r>
      <w:r w:rsidR="001803F3">
        <w:t>RTRS Transaction Reporting</w:t>
      </w:r>
      <w:r w:rsidR="000C099C">
        <w:t xml:space="preserve">   </w:t>
      </w:r>
    </w:p>
    <w:p w14:paraId="70EA072E" w14:textId="77777777" w:rsidR="005D5375" w:rsidRPr="00E503D6" w:rsidRDefault="000C099C" w:rsidP="00F14C7B">
      <w:pPr>
        <w:rPr>
          <w:sz w:val="24"/>
        </w:rPr>
      </w:pPr>
      <w:r>
        <w:rPr>
          <w:sz w:val="24"/>
        </w:rPr>
        <w:t xml:space="preserve">All sales or purchases of municipal securities shall be reported in accordance with Rule </w:t>
      </w:r>
      <w:r>
        <w:rPr>
          <w:b/>
          <w:bCs/>
          <w:sz w:val="24"/>
        </w:rPr>
        <w:t>G-14</w:t>
      </w:r>
      <w:r>
        <w:rPr>
          <w:sz w:val="24"/>
        </w:rPr>
        <w:t xml:space="preserve"> and </w:t>
      </w:r>
      <w:r>
        <w:rPr>
          <w:b/>
          <w:sz w:val="24"/>
        </w:rPr>
        <w:t>G-12(f)</w:t>
      </w:r>
      <w:r>
        <w:rPr>
          <w:sz w:val="24"/>
        </w:rPr>
        <w:t xml:space="preserve">, Transaction Reporting Procedures through its </w:t>
      </w:r>
      <w:r w:rsidR="00C44137">
        <w:rPr>
          <w:sz w:val="24"/>
        </w:rPr>
        <w:t>clearing firm.  It shall be the</w:t>
      </w:r>
      <w:r>
        <w:rPr>
          <w:sz w:val="24"/>
        </w:rPr>
        <w:t xml:space="preserve"> </w:t>
      </w:r>
      <w:r w:rsidR="007F7B9E">
        <w:rPr>
          <w:sz w:val="24"/>
        </w:rPr>
        <w:t xml:space="preserve">responsibility </w:t>
      </w:r>
      <w:r>
        <w:rPr>
          <w:sz w:val="24"/>
        </w:rPr>
        <w:t xml:space="preserve">of Morris Monroe to review all purchases and sales to insure the proper reporting.  </w:t>
      </w:r>
      <w:r w:rsidR="00C44137" w:rsidRPr="00E503D6">
        <w:rPr>
          <w:sz w:val="24"/>
        </w:rPr>
        <w:t xml:space="preserve">In addition, Compliance will follow with review of the daily trade blotters to ensure each applicable muni trade submitted though </w:t>
      </w:r>
      <w:r w:rsidR="001E64A9" w:rsidRPr="00E4165F">
        <w:rPr>
          <w:sz w:val="24"/>
        </w:rPr>
        <w:t>HTS</w:t>
      </w:r>
      <w:r w:rsidR="00C44137" w:rsidRPr="00E503D6">
        <w:rPr>
          <w:sz w:val="24"/>
        </w:rPr>
        <w:t xml:space="preserve"> is also reported to RTRS.  </w:t>
      </w:r>
    </w:p>
    <w:p w14:paraId="5D226366" w14:textId="77777777" w:rsidR="005D5375" w:rsidRPr="00E503D6" w:rsidRDefault="005D5375" w:rsidP="00F14C7B">
      <w:pPr>
        <w:rPr>
          <w:sz w:val="24"/>
        </w:rPr>
      </w:pPr>
    </w:p>
    <w:p w14:paraId="0B4C2B48" w14:textId="77777777" w:rsidR="000C099C" w:rsidRDefault="000C099C" w:rsidP="00F14C7B">
      <w:pPr>
        <w:rPr>
          <w:sz w:val="24"/>
        </w:rPr>
      </w:pPr>
      <w:r>
        <w:rPr>
          <w:sz w:val="24"/>
        </w:rPr>
        <w:t xml:space="preserve">The </w:t>
      </w:r>
      <w:r w:rsidR="009C48A9">
        <w:rPr>
          <w:sz w:val="24"/>
        </w:rPr>
        <w:t>Company</w:t>
      </w:r>
      <w:r>
        <w:rPr>
          <w:sz w:val="24"/>
        </w:rPr>
        <w:t xml:space="preserve"> has reviewed all areas of its business activities to determine the effect of the amended reporting rules including policies and procedures and the volume of municipal activity affected by the new rules. </w:t>
      </w:r>
      <w:r w:rsidR="009C3A57">
        <w:rPr>
          <w:sz w:val="24"/>
        </w:rPr>
        <w:t>Company</w:t>
      </w:r>
      <w:r>
        <w:rPr>
          <w:sz w:val="24"/>
        </w:rPr>
        <w:t xml:space="preserve"> shall not distribute or publish, or cause to be published, any report of a purchase or sale unless it has reason to believe that the purchase or sale was actually </w:t>
      </w:r>
      <w:r w:rsidR="00174005">
        <w:rPr>
          <w:sz w:val="24"/>
        </w:rPr>
        <w:t>affected</w:t>
      </w:r>
      <w:r>
        <w:rPr>
          <w:sz w:val="24"/>
        </w:rPr>
        <w:t xml:space="preserve"> and has no reason to believe that the reported transaction was fictitious or in furtherance of any fraudulent, deceptive or manipulative purpose.  System outages should be reported to the MSRB at (703) 797-6600 with pertinent information related to the outage, including date and time of outage, when it was discovered and how it is being resolved.  Periodic reviews of transactions will be conducted and saved in a specified file as evidence of review.</w:t>
      </w:r>
    </w:p>
    <w:p w14:paraId="042519DD" w14:textId="77777777" w:rsidR="000C099C" w:rsidRDefault="000C099C" w:rsidP="00F14C7B">
      <w:pPr>
        <w:rPr>
          <w:sz w:val="24"/>
        </w:rPr>
      </w:pPr>
    </w:p>
    <w:p w14:paraId="1E5DE950" w14:textId="77777777" w:rsidR="000C099C" w:rsidRDefault="000C099C" w:rsidP="00F14C7B">
      <w:pPr>
        <w:rPr>
          <w:sz w:val="24"/>
        </w:rPr>
      </w:pPr>
      <w:r>
        <w:rPr>
          <w:sz w:val="24"/>
        </w:rPr>
        <w:t xml:space="preserve">Confirmations shall be given or sent to the customer for each municipal transaction by the Company’s clearing firm with the provisions set forth in </w:t>
      </w:r>
      <w:r>
        <w:rPr>
          <w:b/>
          <w:bCs/>
          <w:sz w:val="24"/>
        </w:rPr>
        <w:t>Rule G-15</w:t>
      </w:r>
      <w:r>
        <w:rPr>
          <w:sz w:val="24"/>
        </w:rPr>
        <w:t>.</w:t>
      </w:r>
    </w:p>
    <w:p w14:paraId="13CC541E" w14:textId="77777777" w:rsidR="000C099C" w:rsidRDefault="000C099C" w:rsidP="00F14C7B">
      <w:pPr>
        <w:rPr>
          <w:sz w:val="24"/>
        </w:rPr>
      </w:pPr>
    </w:p>
    <w:p w14:paraId="20C3C344" w14:textId="77777777" w:rsidR="000C099C" w:rsidRDefault="000C099C" w:rsidP="00F14C7B">
      <w:pPr>
        <w:rPr>
          <w:sz w:val="24"/>
        </w:rPr>
      </w:pPr>
      <w:r>
        <w:rPr>
          <w:sz w:val="24"/>
        </w:rPr>
        <w:t>The following practices are prohibited by employees of the company:</w:t>
      </w:r>
    </w:p>
    <w:p w14:paraId="1126BC4E" w14:textId="77777777" w:rsidR="000C099C" w:rsidRDefault="000C099C" w:rsidP="00F14C7B">
      <w:pPr>
        <w:rPr>
          <w:sz w:val="24"/>
        </w:rPr>
      </w:pPr>
    </w:p>
    <w:p w14:paraId="1612C372" w14:textId="77777777" w:rsidR="000C099C" w:rsidRDefault="000C099C" w:rsidP="00F14C7B">
      <w:pPr>
        <w:rPr>
          <w:sz w:val="24"/>
        </w:rPr>
      </w:pPr>
      <w:r>
        <w:rPr>
          <w:sz w:val="24"/>
        </w:rPr>
        <w:tab/>
      </w:r>
      <w:r w:rsidR="00876995">
        <w:rPr>
          <w:sz w:val="24"/>
        </w:rPr>
        <w:t>a. Improper</w:t>
      </w:r>
      <w:r>
        <w:rPr>
          <w:sz w:val="24"/>
        </w:rPr>
        <w:t xml:space="preserve"> use of municipal securities or funds held on behalf of another person.</w:t>
      </w:r>
    </w:p>
    <w:p w14:paraId="68E0AE59" w14:textId="77777777" w:rsidR="000C099C" w:rsidRDefault="000C099C" w:rsidP="00F14C7B">
      <w:pPr>
        <w:rPr>
          <w:sz w:val="24"/>
        </w:rPr>
      </w:pPr>
      <w:r>
        <w:rPr>
          <w:sz w:val="24"/>
        </w:rPr>
        <w:tab/>
      </w:r>
      <w:r w:rsidR="00876995">
        <w:rPr>
          <w:sz w:val="24"/>
        </w:rPr>
        <w:t>b. Offer</w:t>
      </w:r>
      <w:r>
        <w:rPr>
          <w:sz w:val="24"/>
        </w:rPr>
        <w:t xml:space="preserve"> of guarantee or guarantee against loss.</w:t>
      </w:r>
    </w:p>
    <w:p w14:paraId="0E8D868B" w14:textId="77777777" w:rsidR="000C099C" w:rsidRDefault="00876995" w:rsidP="00F14C7B">
      <w:pPr>
        <w:ind w:left="540" w:hanging="270"/>
        <w:rPr>
          <w:sz w:val="24"/>
        </w:rPr>
      </w:pPr>
      <w:r>
        <w:rPr>
          <w:sz w:val="24"/>
        </w:rPr>
        <w:tab/>
        <w:t>c. Sharing</w:t>
      </w:r>
      <w:r w:rsidR="000C099C">
        <w:rPr>
          <w:sz w:val="24"/>
        </w:rPr>
        <w:t xml:space="preserve"> in the profits or losses of an account unless it is in a private capacity in an investment partnership or joint account as long as the participation is based on a direct financial contribution made to the partnership or account.  </w:t>
      </w:r>
    </w:p>
    <w:p w14:paraId="666F3FC9" w14:textId="77777777" w:rsidR="000C099C" w:rsidRDefault="000C099C" w:rsidP="00F14C7B">
      <w:pPr>
        <w:ind w:left="540" w:hanging="270"/>
        <w:rPr>
          <w:sz w:val="24"/>
        </w:rPr>
      </w:pPr>
      <w:r>
        <w:rPr>
          <w:sz w:val="24"/>
        </w:rPr>
        <w:t xml:space="preserve">d. Directly or indirectly, give or permit to be given anything or service of value, including gratuities, in excess of </w:t>
      </w:r>
      <w:r>
        <w:rPr>
          <w:b/>
          <w:bCs/>
          <w:sz w:val="24"/>
        </w:rPr>
        <w:t>$100</w:t>
      </w:r>
      <w:r>
        <w:rPr>
          <w:sz w:val="24"/>
        </w:rPr>
        <w:t xml:space="preserve">, per year to a person other than an employee or partner of such municipal securities broker or dealer pursuant to the provisions of Rule </w:t>
      </w:r>
      <w:r>
        <w:rPr>
          <w:b/>
          <w:bCs/>
          <w:sz w:val="24"/>
        </w:rPr>
        <w:t>G8</w:t>
      </w:r>
      <w:r>
        <w:rPr>
          <w:sz w:val="24"/>
        </w:rPr>
        <w:t xml:space="preserve"> and </w:t>
      </w:r>
      <w:r>
        <w:rPr>
          <w:b/>
          <w:bCs/>
          <w:sz w:val="24"/>
        </w:rPr>
        <w:t>G20</w:t>
      </w:r>
      <w:r>
        <w:rPr>
          <w:sz w:val="24"/>
        </w:rPr>
        <w:t xml:space="preserve">.  In addition, these provisions, along with any non-cash compensation will conform to </w:t>
      </w:r>
      <w:r w:rsidRPr="0035367E">
        <w:rPr>
          <w:sz w:val="24"/>
        </w:rPr>
        <w:t>FINRA</w:t>
      </w:r>
      <w:r>
        <w:rPr>
          <w:sz w:val="24"/>
        </w:rPr>
        <w:t xml:space="preserve"> Rules 2710, 2820, and 2830 for similar guidelines and recordkeeping requirements. </w:t>
      </w:r>
    </w:p>
    <w:p w14:paraId="54EEF230" w14:textId="77777777" w:rsidR="000C099C" w:rsidRDefault="000C099C" w:rsidP="00F14C7B">
      <w:pPr>
        <w:ind w:left="720" w:hanging="720"/>
        <w:rPr>
          <w:sz w:val="24"/>
        </w:rPr>
      </w:pPr>
    </w:p>
    <w:p w14:paraId="6DCDF20D" w14:textId="77777777" w:rsidR="007C7091" w:rsidRPr="00E503D6" w:rsidRDefault="00863E7C" w:rsidP="00F14C7B">
      <w:pPr>
        <w:pStyle w:val="Heading3"/>
        <w:jc w:val="left"/>
        <w:rPr>
          <w:b w:val="0"/>
        </w:rPr>
      </w:pPr>
      <w:r>
        <w:t>1</w:t>
      </w:r>
      <w:r w:rsidR="00174005">
        <w:t>3</w:t>
      </w:r>
      <w:r>
        <w:t>.</w:t>
      </w:r>
      <w:r w:rsidR="00DD15B2">
        <w:t>1</w:t>
      </w:r>
      <w:r w:rsidR="000B786C">
        <w:t>1</w:t>
      </w:r>
      <w:r>
        <w:t>.</w:t>
      </w:r>
      <w:r w:rsidR="0092225F">
        <w:t>1</w:t>
      </w:r>
      <w:r>
        <w:t xml:space="preserve"> </w:t>
      </w:r>
      <w:r w:rsidR="008158CD" w:rsidRPr="00A44AB3">
        <w:t xml:space="preserve">RTRS </w:t>
      </w:r>
      <w:r w:rsidR="007C7091" w:rsidRPr="00A44AB3">
        <w:t>Trade Processing Guidelines</w:t>
      </w:r>
      <w:r w:rsidR="005712DE" w:rsidRPr="00A44AB3">
        <w:t xml:space="preserve"> </w:t>
      </w:r>
      <w:r w:rsidR="005712DE" w:rsidRPr="00E503D6">
        <w:rPr>
          <w:b w:val="0"/>
          <w:i/>
          <w:sz w:val="20"/>
        </w:rPr>
        <w:t>(01/26/09)</w:t>
      </w:r>
    </w:p>
    <w:p w14:paraId="10CBDC07" w14:textId="77777777" w:rsidR="007C7091" w:rsidRPr="00671FC0" w:rsidRDefault="007C7091" w:rsidP="00F14C7B">
      <w:pPr>
        <w:tabs>
          <w:tab w:val="num" w:pos="0"/>
        </w:tabs>
        <w:ind w:left="270"/>
        <w:rPr>
          <w:color w:val="000000"/>
          <w:sz w:val="24"/>
        </w:rPr>
      </w:pPr>
      <w:r w:rsidRPr="00671FC0">
        <w:rPr>
          <w:color w:val="000000"/>
          <w:sz w:val="24"/>
        </w:rPr>
        <w:t>In an effort to streamline operations and meet regulatory requirements, the Company has adopted the f</w:t>
      </w:r>
      <w:r w:rsidR="008158CD" w:rsidRPr="00671FC0">
        <w:rPr>
          <w:color w:val="000000"/>
          <w:sz w:val="24"/>
        </w:rPr>
        <w:t>ollowing procedures to facilitate the processing of municipal bond trades:</w:t>
      </w:r>
    </w:p>
    <w:p w14:paraId="77C4C365" w14:textId="77777777" w:rsidR="008158CD" w:rsidRPr="00671FC0" w:rsidRDefault="008158CD" w:rsidP="00F14C7B">
      <w:pPr>
        <w:tabs>
          <w:tab w:val="num" w:pos="0"/>
        </w:tabs>
        <w:ind w:left="270"/>
        <w:rPr>
          <w:color w:val="000000"/>
          <w:sz w:val="24"/>
        </w:rPr>
      </w:pPr>
    </w:p>
    <w:p w14:paraId="5288E523" w14:textId="77777777" w:rsidR="005712DE" w:rsidRPr="00671FC0" w:rsidRDefault="008158CD" w:rsidP="00F14C7B">
      <w:pPr>
        <w:tabs>
          <w:tab w:val="num" w:pos="0"/>
        </w:tabs>
        <w:ind w:left="270"/>
        <w:rPr>
          <w:color w:val="000000"/>
          <w:sz w:val="24"/>
        </w:rPr>
      </w:pPr>
      <w:r w:rsidRPr="00671FC0">
        <w:rPr>
          <w:color w:val="000000"/>
          <w:sz w:val="24"/>
        </w:rPr>
        <w:t>1.  All related trades must be executed through the trading desk at the home office only</w:t>
      </w:r>
    </w:p>
    <w:p w14:paraId="68CB5BD6" w14:textId="77777777" w:rsidR="005712DE" w:rsidRPr="00671FC0" w:rsidRDefault="005712DE" w:rsidP="00F14C7B">
      <w:pPr>
        <w:tabs>
          <w:tab w:val="num" w:pos="0"/>
        </w:tabs>
        <w:ind w:left="270"/>
        <w:rPr>
          <w:color w:val="000000"/>
          <w:sz w:val="24"/>
        </w:rPr>
      </w:pPr>
    </w:p>
    <w:p w14:paraId="5C8EFEB3" w14:textId="77777777" w:rsidR="008158CD" w:rsidRPr="00671FC0" w:rsidRDefault="005712DE" w:rsidP="00F14C7B">
      <w:pPr>
        <w:tabs>
          <w:tab w:val="num" w:pos="0"/>
        </w:tabs>
        <w:ind w:left="270"/>
        <w:rPr>
          <w:color w:val="000000"/>
          <w:sz w:val="24"/>
        </w:rPr>
      </w:pPr>
      <w:r w:rsidRPr="00671FC0">
        <w:rPr>
          <w:color w:val="000000"/>
          <w:sz w:val="24"/>
        </w:rPr>
        <w:t>2</w:t>
      </w:r>
      <w:r w:rsidR="00C7655E" w:rsidRPr="00671FC0">
        <w:rPr>
          <w:color w:val="000000"/>
          <w:sz w:val="24"/>
        </w:rPr>
        <w:t>.</w:t>
      </w:r>
      <w:r w:rsidRPr="00671FC0">
        <w:rPr>
          <w:color w:val="000000"/>
          <w:sz w:val="24"/>
        </w:rPr>
        <w:t xml:space="preserve">  Obtain from Associated Person</w:t>
      </w:r>
      <w:r w:rsidR="00D66B22" w:rsidRPr="00671FC0">
        <w:rPr>
          <w:color w:val="000000"/>
          <w:sz w:val="24"/>
        </w:rPr>
        <w:t xml:space="preserve"> list of</w:t>
      </w:r>
      <w:r w:rsidRPr="00671FC0">
        <w:rPr>
          <w:color w:val="000000"/>
          <w:sz w:val="24"/>
        </w:rPr>
        <w:t xml:space="preserve"> customer</w:t>
      </w:r>
      <w:r w:rsidR="00D66B22" w:rsidRPr="00671FC0">
        <w:rPr>
          <w:color w:val="000000"/>
          <w:sz w:val="24"/>
        </w:rPr>
        <w:t xml:space="preserve">s </w:t>
      </w:r>
      <w:r w:rsidRPr="00671FC0">
        <w:rPr>
          <w:color w:val="000000"/>
          <w:sz w:val="24"/>
        </w:rPr>
        <w:t>and amounts</w:t>
      </w:r>
      <w:r w:rsidR="008158CD" w:rsidRPr="00671FC0">
        <w:rPr>
          <w:color w:val="000000"/>
          <w:sz w:val="24"/>
        </w:rPr>
        <w:t>.</w:t>
      </w:r>
    </w:p>
    <w:p w14:paraId="74CE10AF" w14:textId="77777777" w:rsidR="005712DE" w:rsidRPr="00671FC0" w:rsidRDefault="005712DE" w:rsidP="00F14C7B">
      <w:pPr>
        <w:tabs>
          <w:tab w:val="num" w:pos="0"/>
        </w:tabs>
        <w:ind w:left="270"/>
        <w:rPr>
          <w:color w:val="000000"/>
          <w:sz w:val="24"/>
        </w:rPr>
      </w:pPr>
    </w:p>
    <w:p w14:paraId="20630CDA" w14:textId="77777777" w:rsidR="005712DE" w:rsidRPr="00671FC0" w:rsidRDefault="005712DE" w:rsidP="00F14C7B">
      <w:pPr>
        <w:tabs>
          <w:tab w:val="num" w:pos="0"/>
        </w:tabs>
        <w:ind w:left="270"/>
        <w:rPr>
          <w:color w:val="000000"/>
          <w:sz w:val="24"/>
        </w:rPr>
      </w:pPr>
      <w:r w:rsidRPr="00671FC0">
        <w:rPr>
          <w:color w:val="000000"/>
          <w:sz w:val="24"/>
        </w:rPr>
        <w:t>3.  Obtain trade approval from Morris Monroe</w:t>
      </w:r>
    </w:p>
    <w:p w14:paraId="12F0C3AA" w14:textId="77777777" w:rsidR="005712DE" w:rsidRPr="00671FC0" w:rsidRDefault="005712DE" w:rsidP="00F14C7B">
      <w:pPr>
        <w:tabs>
          <w:tab w:val="num" w:pos="270"/>
        </w:tabs>
        <w:ind w:left="270"/>
        <w:rPr>
          <w:color w:val="000000"/>
          <w:sz w:val="24"/>
        </w:rPr>
      </w:pPr>
    </w:p>
    <w:p w14:paraId="398F1AA3" w14:textId="77777777" w:rsidR="008158CD" w:rsidRPr="00671FC0" w:rsidRDefault="005712DE" w:rsidP="00F14C7B">
      <w:pPr>
        <w:tabs>
          <w:tab w:val="num" w:pos="270"/>
        </w:tabs>
        <w:ind w:left="270"/>
        <w:rPr>
          <w:color w:val="000000"/>
          <w:sz w:val="24"/>
        </w:rPr>
      </w:pPr>
      <w:r w:rsidRPr="00671FC0">
        <w:rPr>
          <w:color w:val="000000"/>
          <w:sz w:val="24"/>
        </w:rPr>
        <w:t>4.</w:t>
      </w:r>
      <w:r w:rsidR="008158CD" w:rsidRPr="00671FC0">
        <w:rPr>
          <w:color w:val="000000"/>
          <w:sz w:val="24"/>
        </w:rPr>
        <w:t xml:space="preserve"> Coordination between wholesaler desk and Company trading desk must take place to facilitate the timely reporting of the dealer side of the trade.  Specifically, this means </w:t>
      </w:r>
      <w:r w:rsidR="00295215" w:rsidRPr="00EA0A5B">
        <w:rPr>
          <w:sz w:val="24"/>
        </w:rPr>
        <w:t xml:space="preserve">Trading/Operations </w:t>
      </w:r>
      <w:r w:rsidR="008158CD" w:rsidRPr="00EA0A5B">
        <w:rPr>
          <w:sz w:val="24"/>
        </w:rPr>
        <w:t xml:space="preserve">(or </w:t>
      </w:r>
      <w:r w:rsidR="00295215" w:rsidRPr="00EA0A5B">
        <w:rPr>
          <w:sz w:val="24"/>
        </w:rPr>
        <w:t>t</w:t>
      </w:r>
      <w:r w:rsidR="008158CD" w:rsidRPr="00EA0A5B">
        <w:rPr>
          <w:sz w:val="24"/>
        </w:rPr>
        <w:t>he</w:t>
      </w:r>
      <w:r w:rsidR="00295215" w:rsidRPr="00EA0A5B">
        <w:rPr>
          <w:sz w:val="24"/>
        </w:rPr>
        <w:t>i</w:t>
      </w:r>
      <w:r w:rsidR="008158CD" w:rsidRPr="00EA0A5B">
        <w:rPr>
          <w:sz w:val="24"/>
        </w:rPr>
        <w:t xml:space="preserve">r </w:t>
      </w:r>
      <w:r w:rsidR="008158CD" w:rsidRPr="00671FC0">
        <w:rPr>
          <w:color w:val="000000"/>
          <w:sz w:val="24"/>
        </w:rPr>
        <w:t>replacement if out) shall directly speak telephonically</w:t>
      </w:r>
      <w:r w:rsidR="00A874A2" w:rsidRPr="00671FC0">
        <w:rPr>
          <w:color w:val="000000"/>
          <w:sz w:val="24"/>
        </w:rPr>
        <w:t xml:space="preserve"> (with subsequent email)</w:t>
      </w:r>
      <w:r w:rsidR="008158CD" w:rsidRPr="00671FC0">
        <w:rPr>
          <w:color w:val="000000"/>
          <w:sz w:val="24"/>
        </w:rPr>
        <w:t xml:space="preserve"> with the wholesale trader prior to execution to </w:t>
      </w:r>
    </w:p>
    <w:p w14:paraId="41FDBCCD" w14:textId="59E227B5" w:rsidR="008158CD" w:rsidRPr="00671FC0" w:rsidRDefault="008158CD" w:rsidP="00F14C7B">
      <w:pPr>
        <w:tabs>
          <w:tab w:val="num" w:pos="0"/>
        </w:tabs>
        <w:ind w:left="270"/>
        <w:rPr>
          <w:color w:val="000000"/>
          <w:sz w:val="24"/>
        </w:rPr>
      </w:pPr>
      <w:r w:rsidRPr="00671FC0">
        <w:rPr>
          <w:color w:val="000000"/>
          <w:sz w:val="24"/>
        </w:rPr>
        <w:tab/>
        <w:t xml:space="preserve">a). ensure CUSIP is set up in </w:t>
      </w:r>
      <w:r w:rsidR="00261F03" w:rsidRPr="007D29D7">
        <w:rPr>
          <w:sz w:val="24"/>
        </w:rPr>
        <w:t>HT</w:t>
      </w:r>
      <w:r w:rsidR="00261F03">
        <w:rPr>
          <w:color w:val="000000"/>
          <w:sz w:val="24"/>
        </w:rPr>
        <w:t>S</w:t>
      </w:r>
      <w:r w:rsidRPr="00671FC0">
        <w:rPr>
          <w:color w:val="000000"/>
          <w:sz w:val="24"/>
        </w:rPr>
        <w:t xml:space="preserve"> system prior to trade; </w:t>
      </w:r>
    </w:p>
    <w:p w14:paraId="3E40D94B" w14:textId="77777777" w:rsidR="008158CD" w:rsidRPr="00671FC0" w:rsidRDefault="008158CD" w:rsidP="00F14C7B">
      <w:pPr>
        <w:tabs>
          <w:tab w:val="num" w:pos="0"/>
        </w:tabs>
        <w:ind w:left="270"/>
        <w:rPr>
          <w:color w:val="000000"/>
          <w:sz w:val="24"/>
        </w:rPr>
      </w:pPr>
      <w:r w:rsidRPr="00671FC0">
        <w:rPr>
          <w:color w:val="000000"/>
          <w:sz w:val="24"/>
        </w:rPr>
        <w:tab/>
        <w:t>b)</w:t>
      </w:r>
      <w:r w:rsidR="00876995" w:rsidRPr="00671FC0">
        <w:rPr>
          <w:color w:val="000000"/>
          <w:sz w:val="24"/>
        </w:rPr>
        <w:t>. verify</w:t>
      </w:r>
      <w:r w:rsidRPr="00671FC0">
        <w:rPr>
          <w:color w:val="000000"/>
          <w:sz w:val="24"/>
        </w:rPr>
        <w:t xml:space="preserve"> trade time, in seconds, and</w:t>
      </w:r>
    </w:p>
    <w:p w14:paraId="58DCDD66" w14:textId="77777777" w:rsidR="008158CD" w:rsidRPr="00671FC0" w:rsidRDefault="008158CD" w:rsidP="00F14C7B">
      <w:pPr>
        <w:tabs>
          <w:tab w:val="num" w:pos="0"/>
        </w:tabs>
        <w:ind w:left="270"/>
        <w:rPr>
          <w:color w:val="000000"/>
          <w:sz w:val="24"/>
        </w:rPr>
      </w:pPr>
      <w:r w:rsidRPr="00671FC0">
        <w:rPr>
          <w:color w:val="000000"/>
          <w:sz w:val="24"/>
        </w:rPr>
        <w:tab/>
        <w:t>c)</w:t>
      </w:r>
      <w:r w:rsidR="00876995" w:rsidRPr="00671FC0">
        <w:rPr>
          <w:color w:val="000000"/>
          <w:sz w:val="24"/>
        </w:rPr>
        <w:t>. verify</w:t>
      </w:r>
      <w:r w:rsidRPr="00671FC0">
        <w:rPr>
          <w:color w:val="000000"/>
          <w:sz w:val="24"/>
        </w:rPr>
        <w:t xml:space="preserve"> if position is a NEW ISSUE.</w:t>
      </w:r>
    </w:p>
    <w:p w14:paraId="2C267303" w14:textId="77777777" w:rsidR="005712DE" w:rsidRPr="00671FC0" w:rsidRDefault="005712DE" w:rsidP="00F14C7B">
      <w:pPr>
        <w:tabs>
          <w:tab w:val="num" w:pos="0"/>
        </w:tabs>
        <w:ind w:left="270"/>
        <w:rPr>
          <w:color w:val="000000"/>
          <w:sz w:val="24"/>
        </w:rPr>
      </w:pPr>
      <w:r w:rsidRPr="00671FC0">
        <w:rPr>
          <w:color w:val="000000"/>
          <w:sz w:val="24"/>
        </w:rPr>
        <w:tab/>
      </w:r>
    </w:p>
    <w:p w14:paraId="5A171593" w14:textId="77777777" w:rsidR="008158CD" w:rsidRPr="00671FC0" w:rsidRDefault="00CC4BEF" w:rsidP="00F14C7B">
      <w:pPr>
        <w:tabs>
          <w:tab w:val="num" w:pos="0"/>
        </w:tabs>
        <w:ind w:left="270"/>
        <w:rPr>
          <w:color w:val="000000"/>
          <w:sz w:val="24"/>
        </w:rPr>
      </w:pPr>
      <w:r w:rsidRPr="00671FC0">
        <w:rPr>
          <w:color w:val="000000"/>
          <w:sz w:val="24"/>
        </w:rPr>
        <w:t>5</w:t>
      </w:r>
      <w:r w:rsidR="008158CD" w:rsidRPr="00671FC0">
        <w:rPr>
          <w:color w:val="000000"/>
          <w:sz w:val="24"/>
        </w:rPr>
        <w:t>.  If bond is a New Issue:</w:t>
      </w:r>
    </w:p>
    <w:p w14:paraId="42A3A04A" w14:textId="77777777" w:rsidR="00A44AB3" w:rsidRPr="00671FC0" w:rsidRDefault="00A44AB3" w:rsidP="00F14C7B">
      <w:pPr>
        <w:tabs>
          <w:tab w:val="num" w:pos="0"/>
        </w:tabs>
        <w:ind w:left="270" w:firstLine="450"/>
        <w:rPr>
          <w:color w:val="000000"/>
          <w:sz w:val="24"/>
        </w:rPr>
      </w:pPr>
      <w:r w:rsidRPr="00671FC0">
        <w:rPr>
          <w:color w:val="000000"/>
          <w:sz w:val="24"/>
        </w:rPr>
        <w:t>a).  Mark on ticket if new issue.</w:t>
      </w:r>
    </w:p>
    <w:p w14:paraId="1A490257" w14:textId="57252A82" w:rsidR="008158CD" w:rsidRPr="00671FC0" w:rsidRDefault="00A44AB3" w:rsidP="00F14C7B">
      <w:pPr>
        <w:tabs>
          <w:tab w:val="num" w:pos="1170"/>
        </w:tabs>
        <w:ind w:left="1080" w:hanging="360"/>
        <w:rPr>
          <w:color w:val="000000"/>
          <w:sz w:val="24"/>
        </w:rPr>
      </w:pPr>
      <w:r w:rsidRPr="00671FC0">
        <w:rPr>
          <w:color w:val="000000"/>
          <w:sz w:val="24"/>
        </w:rPr>
        <w:t>b</w:t>
      </w:r>
      <w:r w:rsidR="008158CD" w:rsidRPr="00671FC0">
        <w:rPr>
          <w:color w:val="000000"/>
          <w:sz w:val="24"/>
        </w:rPr>
        <w:t>).</w:t>
      </w:r>
      <w:r w:rsidR="005712DE" w:rsidRPr="00671FC0">
        <w:rPr>
          <w:color w:val="000000"/>
          <w:sz w:val="24"/>
        </w:rPr>
        <w:t xml:space="preserve"> </w:t>
      </w:r>
      <w:r w:rsidR="008158CD" w:rsidRPr="00671FC0">
        <w:rPr>
          <w:color w:val="000000"/>
          <w:sz w:val="24"/>
        </w:rPr>
        <w:t>Upon rec</w:t>
      </w:r>
      <w:r w:rsidR="005712DE" w:rsidRPr="00671FC0">
        <w:rPr>
          <w:color w:val="000000"/>
          <w:sz w:val="24"/>
        </w:rPr>
        <w:t>eipt of the Official Statement</w:t>
      </w:r>
      <w:r w:rsidR="0041425C" w:rsidRPr="00671FC0">
        <w:rPr>
          <w:color w:val="000000"/>
          <w:sz w:val="24"/>
        </w:rPr>
        <w:t xml:space="preserve"> (“O.S.”)</w:t>
      </w:r>
      <w:r w:rsidR="005712DE" w:rsidRPr="00671FC0">
        <w:rPr>
          <w:color w:val="000000"/>
          <w:sz w:val="24"/>
        </w:rPr>
        <w:t xml:space="preserve">, via email from wholesaler, </w:t>
      </w:r>
      <w:r w:rsidR="00295215" w:rsidRPr="00EA0A5B">
        <w:rPr>
          <w:sz w:val="24"/>
        </w:rPr>
        <w:t>Trading/Operations</w:t>
      </w:r>
      <w:r w:rsidR="005712DE" w:rsidRPr="00671FC0">
        <w:rPr>
          <w:color w:val="000000"/>
          <w:sz w:val="24"/>
        </w:rPr>
        <w:t xml:space="preserve">,  will forward to list of </w:t>
      </w:r>
      <w:r w:rsidR="00E85226" w:rsidRPr="00671FC0">
        <w:rPr>
          <w:color w:val="000000"/>
          <w:sz w:val="24"/>
        </w:rPr>
        <w:t xml:space="preserve">applicable </w:t>
      </w:r>
      <w:r w:rsidR="007D29D7" w:rsidRPr="00671FC0">
        <w:rPr>
          <w:color w:val="000000"/>
          <w:sz w:val="24"/>
        </w:rPr>
        <w:t>customers</w:t>
      </w:r>
      <w:r w:rsidR="00E85226" w:rsidRPr="00671FC0">
        <w:rPr>
          <w:color w:val="000000"/>
          <w:sz w:val="24"/>
        </w:rPr>
        <w:t xml:space="preserve"> vi</w:t>
      </w:r>
      <w:r w:rsidR="00C66FD4" w:rsidRPr="00671FC0">
        <w:rPr>
          <w:color w:val="000000"/>
          <w:sz w:val="24"/>
        </w:rPr>
        <w:t xml:space="preserve">a email, or direct US Mail. </w:t>
      </w:r>
    </w:p>
    <w:p w14:paraId="7DEB73B5" w14:textId="77777777" w:rsidR="00444CCF" w:rsidRPr="00671FC0" w:rsidRDefault="00A44AB3" w:rsidP="00F14C7B">
      <w:pPr>
        <w:tabs>
          <w:tab w:val="num" w:pos="1170"/>
        </w:tabs>
        <w:ind w:left="1080" w:hanging="360"/>
        <w:rPr>
          <w:color w:val="000000"/>
          <w:sz w:val="24"/>
        </w:rPr>
      </w:pPr>
      <w:r w:rsidRPr="00671FC0">
        <w:rPr>
          <w:color w:val="000000"/>
          <w:sz w:val="24"/>
        </w:rPr>
        <w:t>c</w:t>
      </w:r>
      <w:r w:rsidR="0041425C" w:rsidRPr="00671FC0">
        <w:rPr>
          <w:color w:val="000000"/>
          <w:sz w:val="24"/>
        </w:rPr>
        <w:t xml:space="preserve">). </w:t>
      </w:r>
      <w:r w:rsidR="00C66FD4" w:rsidRPr="00671FC0">
        <w:rPr>
          <w:color w:val="000000"/>
          <w:sz w:val="24"/>
        </w:rPr>
        <w:t xml:space="preserve">Pursuant to MSRB </w:t>
      </w:r>
      <w:r w:rsidR="00C66FD4" w:rsidRPr="00671FC0">
        <w:rPr>
          <w:b/>
          <w:color w:val="000000"/>
          <w:sz w:val="24"/>
        </w:rPr>
        <w:t xml:space="preserve">Rule </w:t>
      </w:r>
      <w:r w:rsidR="00DF71C1" w:rsidRPr="00671FC0">
        <w:rPr>
          <w:b/>
          <w:color w:val="000000"/>
          <w:sz w:val="24"/>
        </w:rPr>
        <w:t xml:space="preserve">G-32 </w:t>
      </w:r>
      <w:r w:rsidR="00DF71C1" w:rsidRPr="00671FC0">
        <w:rPr>
          <w:color w:val="000000"/>
          <w:sz w:val="24"/>
        </w:rPr>
        <w:t>regarding forwarding of Official Statements and</w:t>
      </w:r>
      <w:r w:rsidR="00DF71C1" w:rsidRPr="00671FC0">
        <w:rPr>
          <w:b/>
          <w:color w:val="000000"/>
          <w:sz w:val="24"/>
        </w:rPr>
        <w:t xml:space="preserve"> </w:t>
      </w:r>
      <w:r w:rsidR="00C66FD4" w:rsidRPr="00671FC0">
        <w:rPr>
          <w:b/>
          <w:color w:val="000000"/>
          <w:sz w:val="24"/>
        </w:rPr>
        <w:t>G-8</w:t>
      </w:r>
      <w:r w:rsidR="00C66FD4" w:rsidRPr="00671FC0">
        <w:rPr>
          <w:color w:val="000000"/>
          <w:sz w:val="24"/>
        </w:rPr>
        <w:t xml:space="preserve"> and </w:t>
      </w:r>
      <w:r w:rsidR="00C66FD4" w:rsidRPr="00671FC0">
        <w:rPr>
          <w:b/>
          <w:color w:val="000000"/>
          <w:sz w:val="24"/>
        </w:rPr>
        <w:t>G-9</w:t>
      </w:r>
      <w:r w:rsidR="00DF71C1" w:rsidRPr="00671FC0">
        <w:rPr>
          <w:b/>
          <w:color w:val="000000"/>
          <w:sz w:val="24"/>
        </w:rPr>
        <w:t xml:space="preserve"> </w:t>
      </w:r>
      <w:r w:rsidR="00DF71C1" w:rsidRPr="00671FC0">
        <w:rPr>
          <w:color w:val="000000"/>
          <w:sz w:val="24"/>
        </w:rPr>
        <w:t>(for recordkeeping)</w:t>
      </w:r>
      <w:r w:rsidR="00C66FD4" w:rsidRPr="00671FC0">
        <w:rPr>
          <w:b/>
          <w:color w:val="000000"/>
          <w:sz w:val="24"/>
        </w:rPr>
        <w:t xml:space="preserve">, </w:t>
      </w:r>
      <w:r w:rsidR="00C66FD4" w:rsidRPr="00671FC0">
        <w:rPr>
          <w:color w:val="000000"/>
          <w:sz w:val="24"/>
        </w:rPr>
        <w:t>l</w:t>
      </w:r>
      <w:r w:rsidR="005712DE" w:rsidRPr="00671FC0">
        <w:rPr>
          <w:color w:val="000000"/>
          <w:sz w:val="24"/>
        </w:rPr>
        <w:t xml:space="preserve">og the </w:t>
      </w:r>
      <w:r w:rsidR="0041425C" w:rsidRPr="00671FC0">
        <w:rPr>
          <w:color w:val="000000"/>
          <w:sz w:val="24"/>
        </w:rPr>
        <w:t>forwarding of the O.S. in WinOps under the Send/Receive Log with the pertinent information and how forwarded.</w:t>
      </w:r>
    </w:p>
    <w:p w14:paraId="4CC2D81F" w14:textId="77777777" w:rsidR="009C58B0" w:rsidRPr="00671FC0" w:rsidRDefault="009C58B0" w:rsidP="00F14C7B">
      <w:pPr>
        <w:tabs>
          <w:tab w:val="num" w:pos="1170"/>
        </w:tabs>
        <w:ind w:left="1080" w:hanging="360"/>
        <w:rPr>
          <w:color w:val="000000"/>
          <w:sz w:val="24"/>
        </w:rPr>
      </w:pPr>
      <w:r w:rsidRPr="00671FC0">
        <w:rPr>
          <w:color w:val="000000"/>
          <w:sz w:val="24"/>
        </w:rPr>
        <w:t xml:space="preserve">d). Laura Hendricks will </w:t>
      </w:r>
      <w:r w:rsidR="00B07964" w:rsidRPr="00671FC0">
        <w:rPr>
          <w:color w:val="000000"/>
          <w:sz w:val="24"/>
        </w:rPr>
        <w:t>further</w:t>
      </w:r>
      <w:r w:rsidRPr="00671FC0">
        <w:rPr>
          <w:color w:val="000000"/>
          <w:sz w:val="24"/>
        </w:rPr>
        <w:t xml:space="preserve"> review </w:t>
      </w:r>
      <w:r w:rsidR="00B07964" w:rsidRPr="00671FC0">
        <w:rPr>
          <w:color w:val="000000"/>
          <w:sz w:val="24"/>
        </w:rPr>
        <w:t>each trade in the RTRS platform to verify any new issue and review the Send/Receive Log for entry of any official statements sent.</w:t>
      </w:r>
    </w:p>
    <w:p w14:paraId="69E9F05B" w14:textId="5DC89E1C" w:rsidR="00444CCF" w:rsidRPr="00671FC0" w:rsidRDefault="00444CCF" w:rsidP="00F14C7B">
      <w:pPr>
        <w:tabs>
          <w:tab w:val="num" w:pos="1170"/>
        </w:tabs>
        <w:ind w:left="1080" w:hanging="360"/>
        <w:rPr>
          <w:color w:val="000000"/>
          <w:sz w:val="24"/>
        </w:rPr>
      </w:pPr>
      <w:r w:rsidRPr="00671FC0">
        <w:rPr>
          <w:color w:val="000000"/>
          <w:sz w:val="24"/>
        </w:rPr>
        <w:t xml:space="preserve">e). </w:t>
      </w:r>
      <w:r w:rsidR="00295215">
        <w:rPr>
          <w:color w:val="000000"/>
          <w:sz w:val="24"/>
        </w:rPr>
        <w:t xml:space="preserve"> </w:t>
      </w:r>
      <w:r w:rsidR="00295215" w:rsidRPr="00EA0A5B">
        <w:rPr>
          <w:sz w:val="24"/>
        </w:rPr>
        <w:t>Trading/Operations</w:t>
      </w:r>
      <w:r w:rsidR="00D43F2C" w:rsidRPr="00EA0A5B">
        <w:rPr>
          <w:sz w:val="24"/>
        </w:rPr>
        <w:t xml:space="preserve"> will </w:t>
      </w:r>
      <w:r w:rsidR="00D43F2C" w:rsidRPr="00671FC0">
        <w:rPr>
          <w:color w:val="000000"/>
          <w:sz w:val="24"/>
        </w:rPr>
        <w:t xml:space="preserve">segregate New Issue tickets until O.S. an Action/Task </w:t>
      </w:r>
      <w:r w:rsidR="00445266">
        <w:rPr>
          <w:color w:val="000000"/>
          <w:sz w:val="24"/>
        </w:rPr>
        <w:t xml:space="preserve">will be setup </w:t>
      </w:r>
      <w:r w:rsidR="00D43F2C" w:rsidRPr="007D29D7">
        <w:rPr>
          <w:sz w:val="24"/>
        </w:rPr>
        <w:t xml:space="preserve">in </w:t>
      </w:r>
      <w:r w:rsidR="00445266" w:rsidRPr="007D29D7">
        <w:rPr>
          <w:sz w:val="24"/>
        </w:rPr>
        <w:t>Outlook and/or the CRM</w:t>
      </w:r>
      <w:r w:rsidR="00D43F2C" w:rsidRPr="007D29D7">
        <w:rPr>
          <w:sz w:val="24"/>
        </w:rPr>
        <w:t xml:space="preserve"> due prior to S/D to ensure O.S. </w:t>
      </w:r>
      <w:r w:rsidR="00445266" w:rsidRPr="007D29D7">
        <w:rPr>
          <w:sz w:val="24"/>
        </w:rPr>
        <w:t xml:space="preserve">sent </w:t>
      </w:r>
      <w:r w:rsidR="00D43F2C" w:rsidRPr="007D29D7">
        <w:rPr>
          <w:sz w:val="24"/>
        </w:rPr>
        <w:t xml:space="preserve">prior to S/D for each New Issue.  </w:t>
      </w:r>
      <w:r w:rsidRPr="007D29D7">
        <w:rPr>
          <w:sz w:val="24"/>
        </w:rPr>
        <w:t xml:space="preserve">Laura Hendricks will initial each review of the Official </w:t>
      </w:r>
      <w:r w:rsidRPr="00671FC0">
        <w:rPr>
          <w:color w:val="000000"/>
          <w:sz w:val="24"/>
        </w:rPr>
        <w:t xml:space="preserve">Statement Sent Log on the Muni Review record as further oversight to ensure they are sent timely. </w:t>
      </w:r>
      <w:r w:rsidRPr="00671FC0">
        <w:rPr>
          <w:i/>
          <w:color w:val="000000"/>
        </w:rPr>
        <w:t>(</w:t>
      </w:r>
      <w:r w:rsidR="00D43F2C" w:rsidRPr="00671FC0">
        <w:rPr>
          <w:i/>
          <w:color w:val="000000"/>
        </w:rPr>
        <w:t xml:space="preserve">Paragraph e - </w:t>
      </w:r>
      <w:r w:rsidRPr="00671FC0">
        <w:rPr>
          <w:i/>
          <w:color w:val="000000"/>
        </w:rPr>
        <w:t xml:space="preserve">07/13/09). </w:t>
      </w:r>
      <w:r w:rsidRPr="00671FC0">
        <w:rPr>
          <w:color w:val="000000"/>
          <w:sz w:val="24"/>
        </w:rPr>
        <w:t xml:space="preserve"> </w:t>
      </w:r>
    </w:p>
    <w:p w14:paraId="4EB6BDC2" w14:textId="77777777" w:rsidR="00CC4BEF" w:rsidRPr="00671FC0" w:rsidRDefault="00CC4BEF" w:rsidP="00F14C7B">
      <w:pPr>
        <w:tabs>
          <w:tab w:val="num" w:pos="1170"/>
        </w:tabs>
        <w:ind w:left="270"/>
        <w:rPr>
          <w:color w:val="000000"/>
          <w:sz w:val="24"/>
        </w:rPr>
      </w:pPr>
    </w:p>
    <w:p w14:paraId="539A8821" w14:textId="763DF231" w:rsidR="00CC4BEF" w:rsidRPr="007D29D7" w:rsidRDefault="00CC4BEF" w:rsidP="00F14C7B">
      <w:pPr>
        <w:tabs>
          <w:tab w:val="num" w:pos="0"/>
        </w:tabs>
        <w:ind w:left="270"/>
        <w:rPr>
          <w:sz w:val="24"/>
        </w:rPr>
      </w:pPr>
      <w:r w:rsidRPr="00671FC0">
        <w:rPr>
          <w:color w:val="000000"/>
          <w:sz w:val="24"/>
        </w:rPr>
        <w:t xml:space="preserve">6.  Input Dealer side of trade in </w:t>
      </w:r>
      <w:r w:rsidR="00261F03" w:rsidRPr="007D29D7">
        <w:rPr>
          <w:sz w:val="24"/>
        </w:rPr>
        <w:t>HT</w:t>
      </w:r>
      <w:r w:rsidRPr="007D29D7">
        <w:rPr>
          <w:sz w:val="24"/>
        </w:rPr>
        <w:t>S Trade Module first.</w:t>
      </w:r>
    </w:p>
    <w:p w14:paraId="6A652CDB" w14:textId="77777777" w:rsidR="00CC4BEF" w:rsidRPr="007D29D7" w:rsidRDefault="00CC4BEF" w:rsidP="00F14C7B">
      <w:pPr>
        <w:tabs>
          <w:tab w:val="num" w:pos="0"/>
        </w:tabs>
        <w:ind w:left="270"/>
        <w:rPr>
          <w:sz w:val="24"/>
        </w:rPr>
      </w:pPr>
    </w:p>
    <w:p w14:paraId="4676C9B7" w14:textId="32D76933" w:rsidR="00CC4BEF" w:rsidRPr="007D29D7" w:rsidRDefault="00CC4BEF" w:rsidP="00F14C7B">
      <w:pPr>
        <w:tabs>
          <w:tab w:val="num" w:pos="0"/>
        </w:tabs>
        <w:ind w:left="270"/>
        <w:rPr>
          <w:sz w:val="24"/>
        </w:rPr>
      </w:pPr>
      <w:r w:rsidRPr="007D29D7">
        <w:rPr>
          <w:sz w:val="24"/>
        </w:rPr>
        <w:t xml:space="preserve">7.  Input Customer side of trade in </w:t>
      </w:r>
      <w:r w:rsidR="00261F03" w:rsidRPr="007D29D7">
        <w:rPr>
          <w:sz w:val="24"/>
        </w:rPr>
        <w:t>HT</w:t>
      </w:r>
      <w:r w:rsidRPr="007D29D7">
        <w:rPr>
          <w:sz w:val="24"/>
        </w:rPr>
        <w:t>S Trade Module when Dealer side is complete.</w:t>
      </w:r>
    </w:p>
    <w:p w14:paraId="56254A7F" w14:textId="77777777" w:rsidR="00CC4BEF" w:rsidRPr="007D29D7" w:rsidRDefault="00CC4BEF" w:rsidP="00F14C7B">
      <w:pPr>
        <w:tabs>
          <w:tab w:val="num" w:pos="0"/>
        </w:tabs>
        <w:ind w:left="270"/>
        <w:rPr>
          <w:sz w:val="24"/>
        </w:rPr>
      </w:pPr>
    </w:p>
    <w:p w14:paraId="6FA7BBE2" w14:textId="63BC1CBA" w:rsidR="007F5A25" w:rsidRPr="007D29D7" w:rsidRDefault="007F5A25" w:rsidP="00F14C7B">
      <w:pPr>
        <w:tabs>
          <w:tab w:val="num" w:pos="360"/>
        </w:tabs>
        <w:ind w:left="540" w:hanging="270"/>
        <w:rPr>
          <w:sz w:val="32"/>
          <w:szCs w:val="24"/>
        </w:rPr>
      </w:pPr>
      <w:r w:rsidRPr="007D29D7">
        <w:rPr>
          <w:sz w:val="24"/>
        </w:rPr>
        <w:t xml:space="preserve">8. </w:t>
      </w:r>
      <w:r w:rsidR="00903CE7" w:rsidRPr="007D29D7">
        <w:rPr>
          <w:sz w:val="24"/>
        </w:rPr>
        <w:t>A Trading/Operations employee</w:t>
      </w:r>
      <w:r w:rsidRPr="007D29D7">
        <w:rPr>
          <w:sz w:val="24"/>
        </w:rPr>
        <w:t xml:space="preserve"> is designated as the email recipient of the RTRS Trade Affirm</w:t>
      </w:r>
      <w:r w:rsidR="00687078" w:rsidRPr="007D29D7">
        <w:rPr>
          <w:sz w:val="24"/>
        </w:rPr>
        <w:t>ation</w:t>
      </w:r>
      <w:r w:rsidRPr="007D29D7">
        <w:rPr>
          <w:sz w:val="24"/>
        </w:rPr>
        <w:t xml:space="preserve"> messages.  Email messages are sent by RTRS promptly after submission of the trade to the RTRS trading platform, as submitted by </w:t>
      </w:r>
      <w:r w:rsidR="001E64A9" w:rsidRPr="007D29D7">
        <w:rPr>
          <w:sz w:val="24"/>
        </w:rPr>
        <w:t>HTS</w:t>
      </w:r>
      <w:r w:rsidRPr="007D29D7">
        <w:rPr>
          <w:sz w:val="24"/>
        </w:rPr>
        <w:t xml:space="preserve"> on behalf of Company. </w:t>
      </w:r>
      <w:r w:rsidR="00903CE7" w:rsidRPr="007D29D7">
        <w:rPr>
          <w:sz w:val="24"/>
        </w:rPr>
        <w:t>The designee</w:t>
      </w:r>
      <w:r w:rsidRPr="007D29D7">
        <w:rPr>
          <w:sz w:val="24"/>
        </w:rPr>
        <w:t xml:space="preserve"> is to v</w:t>
      </w:r>
      <w:r w:rsidR="00CC4BEF" w:rsidRPr="007D29D7">
        <w:rPr>
          <w:sz w:val="24"/>
        </w:rPr>
        <w:t xml:space="preserve">erify </w:t>
      </w:r>
      <w:r w:rsidRPr="007D29D7">
        <w:rPr>
          <w:sz w:val="24"/>
        </w:rPr>
        <w:t>and review the email message as to whether to the t</w:t>
      </w:r>
      <w:r w:rsidR="00CC4BEF" w:rsidRPr="007D29D7">
        <w:rPr>
          <w:sz w:val="24"/>
        </w:rPr>
        <w:t>rade is</w:t>
      </w:r>
      <w:r w:rsidRPr="007D29D7">
        <w:rPr>
          <w:sz w:val="24"/>
        </w:rPr>
        <w:t xml:space="preserve"> affirmed or questionable.  </w:t>
      </w:r>
      <w:r w:rsidR="00903CE7" w:rsidRPr="007D29D7">
        <w:rPr>
          <w:sz w:val="24"/>
          <w:szCs w:val="24"/>
          <w:shd w:val="clear" w:color="auto" w:fill="FFFFFF"/>
        </w:rPr>
        <w:t>The designee is reviewed at least annually in the MSRB A-12 review and submission.</w:t>
      </w:r>
    </w:p>
    <w:p w14:paraId="34665691" w14:textId="77777777" w:rsidR="00903CE7" w:rsidRDefault="00903CE7" w:rsidP="00F14C7B">
      <w:pPr>
        <w:tabs>
          <w:tab w:val="num" w:pos="360"/>
        </w:tabs>
        <w:ind w:left="270"/>
        <w:rPr>
          <w:color w:val="000000"/>
          <w:sz w:val="24"/>
        </w:rPr>
      </w:pPr>
    </w:p>
    <w:p w14:paraId="700E521E" w14:textId="684B8626" w:rsidR="007F5A25" w:rsidRPr="00671FC0" w:rsidRDefault="007F5A25" w:rsidP="00F14C7B">
      <w:pPr>
        <w:tabs>
          <w:tab w:val="num" w:pos="360"/>
        </w:tabs>
        <w:ind w:left="270"/>
        <w:rPr>
          <w:color w:val="000000"/>
          <w:sz w:val="24"/>
        </w:rPr>
      </w:pPr>
      <w:r w:rsidRPr="00671FC0">
        <w:rPr>
          <w:color w:val="000000"/>
          <w:sz w:val="24"/>
        </w:rPr>
        <w:t xml:space="preserve">If trade is not affirmed: </w:t>
      </w:r>
    </w:p>
    <w:p w14:paraId="70714953" w14:textId="77777777" w:rsidR="00CC4BEF" w:rsidRPr="00671FC0" w:rsidRDefault="007F5A25" w:rsidP="00F14C7B">
      <w:pPr>
        <w:tabs>
          <w:tab w:val="num" w:pos="360"/>
        </w:tabs>
        <w:ind w:left="720"/>
        <w:rPr>
          <w:color w:val="000000"/>
          <w:sz w:val="24"/>
        </w:rPr>
      </w:pPr>
      <w:r w:rsidRPr="00671FC0">
        <w:rPr>
          <w:color w:val="000000"/>
          <w:sz w:val="24"/>
        </w:rPr>
        <w:t>a)</w:t>
      </w:r>
      <w:r w:rsidR="00876995" w:rsidRPr="00671FC0">
        <w:rPr>
          <w:color w:val="000000"/>
          <w:sz w:val="24"/>
        </w:rPr>
        <w:t>. determine</w:t>
      </w:r>
      <w:r w:rsidRPr="00671FC0">
        <w:rPr>
          <w:color w:val="000000"/>
          <w:sz w:val="24"/>
        </w:rPr>
        <w:t xml:space="preserve"> reason (which is contained in email message from RTRS). </w:t>
      </w:r>
      <w:r w:rsidR="00CC4BEF" w:rsidRPr="00671FC0">
        <w:rPr>
          <w:color w:val="000000"/>
          <w:sz w:val="24"/>
        </w:rPr>
        <w:t xml:space="preserve">   </w:t>
      </w:r>
    </w:p>
    <w:p w14:paraId="4516DBE1" w14:textId="77777777" w:rsidR="007F5A25" w:rsidRPr="00671FC0" w:rsidRDefault="005827FE" w:rsidP="00F14C7B">
      <w:pPr>
        <w:tabs>
          <w:tab w:val="num" w:pos="1080"/>
        </w:tabs>
        <w:ind w:left="1080" w:hanging="360"/>
        <w:rPr>
          <w:color w:val="000000"/>
          <w:sz w:val="24"/>
        </w:rPr>
      </w:pPr>
      <w:r w:rsidRPr="00671FC0">
        <w:rPr>
          <w:color w:val="000000"/>
          <w:sz w:val="24"/>
        </w:rPr>
        <w:t xml:space="preserve">b). </w:t>
      </w:r>
      <w:r w:rsidR="007F5A25" w:rsidRPr="00671FC0">
        <w:rPr>
          <w:color w:val="000000"/>
          <w:sz w:val="24"/>
        </w:rPr>
        <w:t xml:space="preserve">follow up with </w:t>
      </w:r>
      <w:r w:rsidR="007F5A25" w:rsidRPr="00E4165F">
        <w:rPr>
          <w:sz w:val="24"/>
        </w:rPr>
        <w:t xml:space="preserve">both </w:t>
      </w:r>
      <w:r w:rsidR="001E64A9" w:rsidRPr="00E4165F">
        <w:rPr>
          <w:sz w:val="24"/>
        </w:rPr>
        <w:t>HT</w:t>
      </w:r>
      <w:r w:rsidR="007F5A25" w:rsidRPr="00E4165F">
        <w:rPr>
          <w:sz w:val="24"/>
        </w:rPr>
        <w:t xml:space="preserve">S </w:t>
      </w:r>
      <w:r w:rsidR="007F5A25" w:rsidRPr="00671FC0">
        <w:rPr>
          <w:color w:val="000000"/>
          <w:sz w:val="24"/>
        </w:rPr>
        <w:t xml:space="preserve">and wholesaler if applicable to determine if a correction is in order.  </w:t>
      </w:r>
    </w:p>
    <w:p w14:paraId="18FE21C7" w14:textId="77777777" w:rsidR="00687078" w:rsidRPr="00671FC0" w:rsidRDefault="00687078" w:rsidP="00F14C7B">
      <w:pPr>
        <w:tabs>
          <w:tab w:val="num" w:pos="720"/>
        </w:tabs>
        <w:ind w:left="720"/>
        <w:rPr>
          <w:color w:val="000000"/>
          <w:sz w:val="24"/>
        </w:rPr>
      </w:pPr>
      <w:r w:rsidRPr="00671FC0">
        <w:rPr>
          <w:color w:val="000000"/>
          <w:sz w:val="24"/>
        </w:rPr>
        <w:t>c)</w:t>
      </w:r>
      <w:r w:rsidR="00876995" w:rsidRPr="00671FC0">
        <w:rPr>
          <w:color w:val="000000"/>
          <w:sz w:val="24"/>
        </w:rPr>
        <w:t>. verify</w:t>
      </w:r>
      <w:r w:rsidRPr="00671FC0">
        <w:rPr>
          <w:color w:val="000000"/>
          <w:sz w:val="24"/>
        </w:rPr>
        <w:t xml:space="preserve"> trade is corrected and review new RTRS Trade Notice is Affirmed</w:t>
      </w:r>
    </w:p>
    <w:p w14:paraId="68629D5E" w14:textId="77777777" w:rsidR="005712DE" w:rsidRPr="00671FC0" w:rsidRDefault="005712DE" w:rsidP="00F14C7B">
      <w:pPr>
        <w:tabs>
          <w:tab w:val="num" w:pos="0"/>
        </w:tabs>
        <w:ind w:left="720"/>
        <w:rPr>
          <w:color w:val="000000"/>
          <w:sz w:val="24"/>
        </w:rPr>
      </w:pPr>
    </w:p>
    <w:p w14:paraId="2A3C0354" w14:textId="77777777" w:rsidR="000C099C" w:rsidRDefault="000C099C" w:rsidP="00F14C7B">
      <w:pPr>
        <w:rPr>
          <w:sz w:val="24"/>
        </w:rPr>
      </w:pPr>
    </w:p>
    <w:p w14:paraId="5B5881BC" w14:textId="77777777" w:rsidR="00317C33" w:rsidRDefault="00863E7C" w:rsidP="00936FEE">
      <w:pPr>
        <w:pStyle w:val="Heading2"/>
      </w:pPr>
      <w:bookmarkStart w:id="241" w:name="_Toc153361428"/>
      <w:bookmarkStart w:id="242" w:name="_Toc153361655"/>
      <w:r>
        <w:lastRenderedPageBreak/>
        <w:t>1</w:t>
      </w:r>
      <w:r w:rsidR="007F31EA">
        <w:t>3</w:t>
      </w:r>
      <w:r>
        <w:t>.1</w:t>
      </w:r>
      <w:r w:rsidR="000B786C">
        <w:t>2</w:t>
      </w:r>
      <w:r>
        <w:t xml:space="preserve"> </w:t>
      </w:r>
      <w:r w:rsidR="00317C33">
        <w:t>Disclosures</w:t>
      </w:r>
    </w:p>
    <w:p w14:paraId="6D75E96D" w14:textId="77777777" w:rsidR="005177AC" w:rsidRDefault="005177AC" w:rsidP="00665F4C">
      <w:pPr>
        <w:pStyle w:val="Normal1"/>
        <w:spacing w:before="0" w:after="0" w:afterAutospacing="0" w:line="240" w:lineRule="auto"/>
        <w:rPr>
          <w:rFonts w:ascii="Times New Roman" w:hAnsi="Times New Roman"/>
          <w:sz w:val="24"/>
        </w:rPr>
      </w:pPr>
      <w:r>
        <w:rPr>
          <w:rFonts w:ascii="Times New Roman" w:hAnsi="Times New Roman"/>
          <w:sz w:val="24"/>
        </w:rPr>
        <w:t>Company and its RRs are required to make certain disclosures when dealing with municipal products.</w:t>
      </w:r>
    </w:p>
    <w:p w14:paraId="5F88FC86" w14:textId="77777777" w:rsidR="0092225F" w:rsidRDefault="0092225F" w:rsidP="0092225F">
      <w:pPr>
        <w:ind w:left="270"/>
        <w:rPr>
          <w:sz w:val="24"/>
        </w:rPr>
      </w:pPr>
    </w:p>
    <w:p w14:paraId="254C7952" w14:textId="77777777" w:rsidR="0092225F" w:rsidRDefault="0092225F" w:rsidP="0092225F">
      <w:pPr>
        <w:pStyle w:val="Heading3"/>
      </w:pPr>
      <w:r>
        <w:t>1</w:t>
      </w:r>
      <w:r w:rsidR="007F31EA">
        <w:t>3</w:t>
      </w:r>
      <w:r>
        <w:t>.12.1 Rule G-32 – New Issue Disclosures</w:t>
      </w:r>
    </w:p>
    <w:p w14:paraId="01D71410" w14:textId="77777777" w:rsidR="0092225F" w:rsidRPr="00F11FC4" w:rsidRDefault="0092225F" w:rsidP="0092225F">
      <w:pPr>
        <w:ind w:left="270"/>
        <w:rPr>
          <w:sz w:val="24"/>
        </w:rPr>
      </w:pPr>
      <w:r>
        <w:rPr>
          <w:sz w:val="24"/>
        </w:rPr>
        <w:t>Company will not sell any new issue in municipal securities to a customer unless the following is delivered to the customer no later than the settlement of the transaction:</w:t>
      </w:r>
    </w:p>
    <w:p w14:paraId="3329520D" w14:textId="77777777" w:rsidR="0092225F" w:rsidRPr="00F11FC4" w:rsidRDefault="0092225F" w:rsidP="0092225F">
      <w:pPr>
        <w:rPr>
          <w:sz w:val="24"/>
        </w:rPr>
      </w:pPr>
    </w:p>
    <w:p w14:paraId="533D84F4" w14:textId="77777777" w:rsidR="0092225F" w:rsidRPr="00671FC0" w:rsidRDefault="0092225F" w:rsidP="0092225F">
      <w:pPr>
        <w:ind w:left="360"/>
        <w:rPr>
          <w:i/>
          <w:color w:val="000000"/>
          <w:sz w:val="24"/>
          <w:szCs w:val="24"/>
        </w:rPr>
      </w:pPr>
      <w:r>
        <w:rPr>
          <w:sz w:val="24"/>
        </w:rPr>
        <w:t>1.  A</w:t>
      </w:r>
      <w:r w:rsidRPr="00F11FC4">
        <w:rPr>
          <w:sz w:val="24"/>
        </w:rPr>
        <w:t xml:space="preserve"> copy of the official statement in final form or if an official statement in final form is not prepared a </w:t>
      </w:r>
      <w:r>
        <w:rPr>
          <w:sz w:val="24"/>
        </w:rPr>
        <w:t xml:space="preserve">written notice to that effect together with an official statement in preliminary form if any provided, however that if an official statement in final form is being prepared that qualifies for the exemption set forth in paragraph (iii) of section (d) (1) of the Rule 15c2-12, if the Company:  </w:t>
      </w:r>
      <w:r w:rsidRPr="00671FC0">
        <w:rPr>
          <w:i/>
          <w:color w:val="000000"/>
          <w:sz w:val="24"/>
          <w:szCs w:val="24"/>
        </w:rPr>
        <w:t>(New Issue Disclosure Reporting Period begins with the start of marketing of this new issue of securities by the broker-dealer or bank that is underwriting these securities for the issuer and ends 25 days after all of the securities in the new issue have been issued).</w:t>
      </w:r>
    </w:p>
    <w:p w14:paraId="7A227960" w14:textId="77777777" w:rsidR="0092225F" w:rsidRPr="00671FC0" w:rsidRDefault="0092225F" w:rsidP="0092225F">
      <w:pPr>
        <w:tabs>
          <w:tab w:val="num" w:pos="540"/>
        </w:tabs>
        <w:ind w:left="540" w:hanging="270"/>
        <w:rPr>
          <w:color w:val="000000"/>
          <w:sz w:val="24"/>
        </w:rPr>
      </w:pPr>
    </w:p>
    <w:p w14:paraId="179757EE" w14:textId="77777777" w:rsidR="0092225F" w:rsidRPr="00671FC0" w:rsidRDefault="0092225F" w:rsidP="0092225F">
      <w:pPr>
        <w:tabs>
          <w:tab w:val="num" w:pos="540"/>
          <w:tab w:val="left" w:pos="900"/>
          <w:tab w:val="left" w:pos="1440"/>
          <w:tab w:val="num" w:pos="1530"/>
        </w:tabs>
        <w:ind w:left="540"/>
        <w:rPr>
          <w:color w:val="000000"/>
          <w:sz w:val="24"/>
        </w:rPr>
      </w:pPr>
      <w:r w:rsidRPr="00671FC0">
        <w:rPr>
          <w:color w:val="000000"/>
          <w:sz w:val="24"/>
        </w:rPr>
        <w:t>-</w:t>
      </w:r>
      <w:r w:rsidRPr="00671FC0">
        <w:rPr>
          <w:color w:val="000000"/>
          <w:sz w:val="24"/>
        </w:rPr>
        <w:tab/>
        <w:t>delivers to the customer no later than the settlement of the transaction a copy of  an official statement in preliminary form, if any, and written notice that the official statement in final form will be sent to the customer within one business day following receipt by the Company.</w:t>
      </w:r>
    </w:p>
    <w:p w14:paraId="24150946" w14:textId="77777777" w:rsidR="0092225F" w:rsidRPr="00671FC0" w:rsidRDefault="0092225F" w:rsidP="0092225F">
      <w:pPr>
        <w:tabs>
          <w:tab w:val="num" w:pos="540"/>
          <w:tab w:val="num" w:pos="1455"/>
        </w:tabs>
        <w:ind w:left="540" w:hanging="270"/>
        <w:rPr>
          <w:color w:val="000000"/>
          <w:sz w:val="24"/>
        </w:rPr>
      </w:pPr>
      <w:r w:rsidRPr="00671FC0">
        <w:rPr>
          <w:color w:val="000000"/>
          <w:sz w:val="24"/>
        </w:rPr>
        <w:tab/>
        <w:t>-   sends to the customer a copy of the official statement in final form, by first class mail or other equally prompt means, no later than the business day following receipt thereof by the Company.</w:t>
      </w:r>
    </w:p>
    <w:p w14:paraId="561184AA" w14:textId="77777777" w:rsidR="0092225F" w:rsidRPr="00671FC0" w:rsidRDefault="0092225F" w:rsidP="0092225F">
      <w:pPr>
        <w:pStyle w:val="NormalWeb"/>
        <w:ind w:left="720" w:hanging="180"/>
        <w:rPr>
          <w:rFonts w:ascii="Times New Roman" w:eastAsia="Times New Roman" w:hAnsi="Times New Roman" w:cs="Times New Roman"/>
          <w:color w:val="000000"/>
        </w:rPr>
      </w:pPr>
      <w:r w:rsidRPr="00671FC0">
        <w:rPr>
          <w:rFonts w:ascii="Times New Roman" w:hAnsi="Times New Roman" w:cs="Times New Roman"/>
          <w:color w:val="000000"/>
        </w:rPr>
        <w:t xml:space="preserve">-   sends </w:t>
      </w:r>
      <w:r w:rsidRPr="00671FC0">
        <w:rPr>
          <w:rFonts w:ascii="Times New Roman" w:eastAsia="Times New Roman" w:hAnsi="Times New Roman" w:cs="Times New Roman"/>
          <w:color w:val="000000"/>
        </w:rPr>
        <w:t>a notice advising the customer:</w:t>
      </w:r>
    </w:p>
    <w:p w14:paraId="791B5D79" w14:textId="77777777" w:rsidR="0092225F" w:rsidRPr="00671FC0" w:rsidRDefault="0092225F" w:rsidP="0092225F">
      <w:pPr>
        <w:spacing w:beforeAutospacing="1" w:after="100" w:afterAutospacing="1"/>
        <w:ind w:left="720"/>
        <w:rPr>
          <w:color w:val="000000"/>
          <w:sz w:val="24"/>
          <w:szCs w:val="24"/>
        </w:rPr>
      </w:pPr>
      <w:r>
        <w:rPr>
          <w:color w:val="000000"/>
          <w:sz w:val="24"/>
          <w:szCs w:val="24"/>
        </w:rPr>
        <w:t>(1) H</w:t>
      </w:r>
      <w:r w:rsidRPr="00671FC0">
        <w:rPr>
          <w:color w:val="000000"/>
          <w:sz w:val="24"/>
          <w:szCs w:val="24"/>
        </w:rPr>
        <w:t>ow to obtain the official statement from EMMA, which notice may be combined, at the election of the broker, dealer or municipal securities dealer, with notice of the availability of the official statement from a qualified portal; and</w:t>
      </w:r>
    </w:p>
    <w:p w14:paraId="29DDE47E" w14:textId="77777777" w:rsidR="0092225F" w:rsidRPr="00671FC0" w:rsidRDefault="0092225F" w:rsidP="0092225F">
      <w:pPr>
        <w:spacing w:before="100" w:beforeAutospacing="1" w:afterAutospacing="1"/>
        <w:ind w:left="720"/>
        <w:rPr>
          <w:color w:val="000000"/>
          <w:sz w:val="24"/>
          <w:szCs w:val="24"/>
        </w:rPr>
      </w:pPr>
      <w:r w:rsidRPr="00671FC0">
        <w:rPr>
          <w:color w:val="000000"/>
          <w:sz w:val="24"/>
          <w:szCs w:val="24"/>
        </w:rPr>
        <w:t>(2) That a copy of the official statement will be provided by the Company or municipal securities dealer upon request.</w:t>
      </w:r>
    </w:p>
    <w:p w14:paraId="4093813A" w14:textId="77777777" w:rsidR="0092225F" w:rsidRPr="00671FC0" w:rsidRDefault="0092225F" w:rsidP="0092225F">
      <w:pPr>
        <w:spacing w:beforeAutospacing="1" w:after="100" w:afterAutospacing="1"/>
        <w:ind w:left="450"/>
        <w:rPr>
          <w:color w:val="000000"/>
          <w:sz w:val="24"/>
          <w:szCs w:val="24"/>
        </w:rPr>
      </w:pPr>
      <w:r w:rsidRPr="00671FC0">
        <w:rPr>
          <w:color w:val="000000"/>
          <w:sz w:val="24"/>
          <w:szCs w:val="24"/>
        </w:rPr>
        <w:t>Notwithstanding the provisions of subsection (a)(</w:t>
      </w:r>
      <w:proofErr w:type="spellStart"/>
      <w:r w:rsidRPr="00671FC0">
        <w:rPr>
          <w:color w:val="000000"/>
          <w:sz w:val="24"/>
          <w:szCs w:val="24"/>
        </w:rPr>
        <w:t>i</w:t>
      </w:r>
      <w:proofErr w:type="spellEnd"/>
      <w:r w:rsidRPr="00671FC0">
        <w:rPr>
          <w:color w:val="000000"/>
          <w:sz w:val="24"/>
          <w:szCs w:val="24"/>
        </w:rPr>
        <w:t>) of Rule 32, the delivery obligation thereunder shall be deemed satisfied if the following conditions are met:</w:t>
      </w:r>
    </w:p>
    <w:p w14:paraId="75D16489" w14:textId="77777777" w:rsidR="0092225F" w:rsidRPr="00671FC0" w:rsidRDefault="0092225F" w:rsidP="0092225F">
      <w:pPr>
        <w:spacing w:beforeAutospacing="1" w:after="100" w:afterAutospacing="1"/>
        <w:ind w:left="450"/>
        <w:rPr>
          <w:color w:val="000000"/>
          <w:sz w:val="24"/>
          <w:szCs w:val="24"/>
        </w:rPr>
      </w:pPr>
      <w:r w:rsidRPr="00671FC0">
        <w:rPr>
          <w:color w:val="000000"/>
          <w:sz w:val="24"/>
          <w:szCs w:val="24"/>
        </w:rPr>
        <w:t>(A) The offered municipal securities being sold are not municipal fund securities; and</w:t>
      </w:r>
    </w:p>
    <w:p w14:paraId="7D0ACD22" w14:textId="77777777" w:rsidR="0092225F" w:rsidRPr="00671FC0" w:rsidRDefault="0092225F" w:rsidP="0092225F">
      <w:pPr>
        <w:spacing w:before="100" w:beforeAutospacing="1" w:afterAutospacing="1"/>
        <w:ind w:left="450"/>
        <w:rPr>
          <w:color w:val="000000"/>
          <w:sz w:val="24"/>
          <w:szCs w:val="24"/>
        </w:rPr>
      </w:pPr>
      <w:r>
        <w:rPr>
          <w:color w:val="000000"/>
          <w:sz w:val="24"/>
          <w:szCs w:val="24"/>
        </w:rPr>
        <w:t>(B) T</w:t>
      </w:r>
      <w:r w:rsidRPr="00671FC0">
        <w:rPr>
          <w:color w:val="000000"/>
          <w:sz w:val="24"/>
          <w:szCs w:val="24"/>
        </w:rPr>
        <w:t>he underwriter has made the submissions to EMMA required under paragraph (b)(</w:t>
      </w:r>
      <w:proofErr w:type="spellStart"/>
      <w:r w:rsidRPr="00671FC0">
        <w:rPr>
          <w:color w:val="000000"/>
          <w:sz w:val="24"/>
          <w:szCs w:val="24"/>
        </w:rPr>
        <w:t>i</w:t>
      </w:r>
      <w:proofErr w:type="spellEnd"/>
      <w:r w:rsidRPr="00671FC0">
        <w:rPr>
          <w:color w:val="000000"/>
          <w:sz w:val="24"/>
          <w:szCs w:val="24"/>
        </w:rPr>
        <w:t>)(A) or (b)(</w:t>
      </w:r>
      <w:proofErr w:type="spellStart"/>
      <w:r w:rsidRPr="00671FC0">
        <w:rPr>
          <w:color w:val="000000"/>
          <w:sz w:val="24"/>
          <w:szCs w:val="24"/>
        </w:rPr>
        <w:t>i</w:t>
      </w:r>
      <w:proofErr w:type="spellEnd"/>
      <w:r w:rsidRPr="00671FC0">
        <w:rPr>
          <w:color w:val="000000"/>
          <w:sz w:val="24"/>
          <w:szCs w:val="24"/>
        </w:rPr>
        <w:t>)(B)(1) of Rule 32; provided that the condition in this paragraph (B) shall apply solely to sales to customers by brokers, dealers and municipal securities dealers acting as underwriters in respect of the offered municipal securities being sold.</w:t>
      </w:r>
    </w:p>
    <w:p w14:paraId="226C8AD0" w14:textId="77777777" w:rsidR="0092225F" w:rsidRDefault="0092225F" w:rsidP="0092225F">
      <w:pPr>
        <w:tabs>
          <w:tab w:val="num" w:pos="540"/>
        </w:tabs>
        <w:ind w:left="540" w:hanging="270"/>
        <w:rPr>
          <w:sz w:val="24"/>
        </w:rPr>
      </w:pPr>
      <w:r>
        <w:rPr>
          <w:sz w:val="24"/>
        </w:rPr>
        <w:t>2. In connection with a negotiated sale, the following information concerning the underwriting arrangements:  (a) the underwriting spread; (b) the amount of any fee received by the Company as agent for the issuer; (c) the initial offering price for each maturity in the issue that is offered or to be offered in whole or in part by the underwriters, including maturities that are not reoffered.</w:t>
      </w:r>
    </w:p>
    <w:p w14:paraId="391611F9" w14:textId="77777777" w:rsidR="005177AC" w:rsidRPr="005177AC" w:rsidRDefault="005177AC" w:rsidP="00665F4C">
      <w:pPr>
        <w:pStyle w:val="Normal1"/>
        <w:spacing w:before="0" w:after="0" w:afterAutospacing="0" w:line="240" w:lineRule="auto"/>
        <w:rPr>
          <w:rFonts w:ascii="Times New Roman" w:hAnsi="Times New Roman"/>
          <w:sz w:val="24"/>
        </w:rPr>
      </w:pPr>
    </w:p>
    <w:p w14:paraId="1EBC5114" w14:textId="77777777" w:rsidR="005177AC" w:rsidRDefault="005177AC" w:rsidP="005177AC">
      <w:pPr>
        <w:pStyle w:val="Heading3"/>
      </w:pPr>
      <w:r>
        <w:t>1</w:t>
      </w:r>
      <w:r w:rsidR="00174005">
        <w:t>3</w:t>
      </w:r>
      <w:r>
        <w:t>.12.</w:t>
      </w:r>
      <w:r w:rsidR="00A825FD">
        <w:t>2</w:t>
      </w:r>
      <w:r>
        <w:t xml:space="preserve"> Rule G-47</w:t>
      </w:r>
      <w:r w:rsidR="00E97BB4">
        <w:t xml:space="preserve"> Time of Trade Disclosures</w:t>
      </w:r>
    </w:p>
    <w:p w14:paraId="397F3B04" w14:textId="77777777" w:rsidR="00665F4C" w:rsidRPr="00AF3D2D" w:rsidRDefault="00665F4C" w:rsidP="005177AC">
      <w:pPr>
        <w:pStyle w:val="Normal1"/>
        <w:spacing w:before="0" w:after="0" w:afterAutospacing="0" w:line="240" w:lineRule="auto"/>
        <w:ind w:left="270"/>
        <w:rPr>
          <w:rFonts w:ascii="Times New Roman" w:hAnsi="Times New Roman"/>
          <w:sz w:val="24"/>
        </w:rPr>
      </w:pPr>
      <w:r w:rsidRPr="00AF3D2D">
        <w:rPr>
          <w:rFonts w:ascii="Times New Roman" w:hAnsi="Times New Roman"/>
          <w:b/>
          <w:sz w:val="24"/>
        </w:rPr>
        <w:t>Rule G-47</w:t>
      </w:r>
      <w:r w:rsidRPr="00AF3D2D">
        <w:rPr>
          <w:rFonts w:ascii="Times New Roman" w:hAnsi="Times New Roman"/>
          <w:sz w:val="24"/>
        </w:rPr>
        <w:t>(a) sets forth the general time-of-trade disclosure obligation as currently set forth in the MSRB’s interpretive guidance. The rule states that dealers cannot sell municipal securities to a customer, or purchase municipal securities from a customer, without disclosing to the customer, at or prior to the time-of-trade, all material information known about the transaction and material information about the security that is reasonably accessible to the market. The rule applies regardless of whether the transaction is unsolicited or recommended, occurs in a primary offering or the secondary market, and is a principal or agency transaction</w:t>
      </w:r>
      <w:r w:rsidR="002253E0" w:rsidRPr="00AF3D2D">
        <w:rPr>
          <w:rFonts w:ascii="Times New Roman" w:hAnsi="Times New Roman"/>
          <w:sz w:val="24"/>
        </w:rPr>
        <w:t xml:space="preserve"> (and applies to 529 Plans as well)</w:t>
      </w:r>
      <w:r w:rsidRPr="00AF3D2D">
        <w:rPr>
          <w:rFonts w:ascii="Times New Roman" w:hAnsi="Times New Roman"/>
          <w:sz w:val="24"/>
        </w:rPr>
        <w:t>. The rule provides that the disclosure can be made orally or in writing.</w:t>
      </w:r>
    </w:p>
    <w:p w14:paraId="6107DE9E" w14:textId="77777777" w:rsidR="00665F4C" w:rsidRPr="00AF3D2D" w:rsidRDefault="00665F4C" w:rsidP="005177AC">
      <w:pPr>
        <w:pStyle w:val="Normal1"/>
        <w:spacing w:before="0" w:after="0" w:afterAutospacing="0" w:line="240" w:lineRule="auto"/>
        <w:ind w:left="270"/>
        <w:rPr>
          <w:rFonts w:ascii="Times New Roman" w:hAnsi="Times New Roman"/>
          <w:sz w:val="24"/>
        </w:rPr>
      </w:pPr>
    </w:p>
    <w:p w14:paraId="05F44F42" w14:textId="77777777" w:rsidR="006A2EB4" w:rsidRPr="00AF3D2D" w:rsidRDefault="006A2EB4" w:rsidP="005177AC">
      <w:pPr>
        <w:pStyle w:val="Normal1"/>
        <w:spacing w:before="0" w:after="0" w:afterAutospacing="0" w:line="240" w:lineRule="auto"/>
        <w:ind w:left="270"/>
        <w:rPr>
          <w:rFonts w:ascii="Times New Roman" w:hAnsi="Times New Roman"/>
          <w:sz w:val="24"/>
        </w:rPr>
      </w:pPr>
      <w:r w:rsidRPr="00AF3D2D">
        <w:rPr>
          <w:rFonts w:ascii="Times New Roman" w:hAnsi="Times New Roman"/>
          <w:b/>
          <w:sz w:val="24"/>
        </w:rPr>
        <w:t>Rule G-47</w:t>
      </w:r>
      <w:r w:rsidRPr="00AF3D2D">
        <w:rPr>
          <w:rFonts w:ascii="Times New Roman" w:hAnsi="Times New Roman"/>
          <w:sz w:val="24"/>
        </w:rPr>
        <w:t xml:space="preserve">(b) states that information is considered to be “material information” if there is a substantial likelihood that the information would be considered important or significant by a reasonable investor in making an investment decision. The rule defines “reasonably accessible to the market” as information that is made available publicly through “established industry sources.”  </w:t>
      </w:r>
    </w:p>
    <w:p w14:paraId="0891541F" w14:textId="77777777" w:rsidR="006A2EB4" w:rsidRPr="006A2EB4" w:rsidRDefault="006A2EB4" w:rsidP="005177AC">
      <w:pPr>
        <w:pStyle w:val="Normal1"/>
        <w:spacing w:before="0" w:after="0" w:afterAutospacing="0" w:line="240" w:lineRule="auto"/>
        <w:ind w:left="270"/>
        <w:rPr>
          <w:rFonts w:ascii="Times New Roman" w:hAnsi="Times New Roman"/>
          <w:color w:val="FF0000"/>
          <w:sz w:val="24"/>
        </w:rPr>
      </w:pPr>
    </w:p>
    <w:p w14:paraId="4A54E521" w14:textId="77777777" w:rsidR="00317C33" w:rsidRPr="00F04F03" w:rsidRDefault="00317C33" w:rsidP="005177AC">
      <w:pPr>
        <w:pStyle w:val="Normal1"/>
        <w:spacing w:before="0" w:after="0" w:afterAutospacing="0" w:line="240" w:lineRule="auto"/>
        <w:ind w:left="270"/>
        <w:rPr>
          <w:rFonts w:ascii="Times New Roman" w:hAnsi="Times New Roman"/>
          <w:sz w:val="24"/>
        </w:rPr>
      </w:pPr>
      <w:r w:rsidRPr="00F04F03">
        <w:rPr>
          <w:rFonts w:ascii="Times New Roman" w:hAnsi="Times New Roman"/>
          <w:sz w:val="24"/>
        </w:rPr>
        <w:t xml:space="preserve">The MSRB maintains the Electronic Municipal Market Access system (EMMA) to make information available to the marketplace including official statements, issuer filings, and real-time transaction pricing.  </w:t>
      </w:r>
    </w:p>
    <w:p w14:paraId="35E701D9" w14:textId="77777777" w:rsidR="00317C33" w:rsidRPr="00F04F03" w:rsidRDefault="00317C33" w:rsidP="005177AC">
      <w:pPr>
        <w:pStyle w:val="Normal1"/>
        <w:spacing w:before="0" w:after="0" w:afterAutospacing="0" w:line="240" w:lineRule="auto"/>
        <w:ind w:left="270"/>
        <w:rPr>
          <w:rFonts w:ascii="Times New Roman" w:hAnsi="Times New Roman"/>
          <w:sz w:val="24"/>
        </w:rPr>
      </w:pPr>
    </w:p>
    <w:p w14:paraId="7A3EBA05" w14:textId="77777777" w:rsidR="00317C33" w:rsidRPr="00F04F03" w:rsidRDefault="00317C33" w:rsidP="005177AC">
      <w:pPr>
        <w:pStyle w:val="Normal1"/>
        <w:spacing w:before="0" w:after="0" w:afterAutospacing="0" w:line="240" w:lineRule="auto"/>
        <w:ind w:left="270"/>
        <w:rPr>
          <w:rFonts w:ascii="Times New Roman" w:hAnsi="Times New Roman"/>
          <w:sz w:val="24"/>
        </w:rPr>
      </w:pPr>
      <w:r w:rsidRPr="00F04F03">
        <w:rPr>
          <w:rFonts w:ascii="Times New Roman" w:hAnsi="Times New Roman"/>
          <w:sz w:val="24"/>
        </w:rPr>
        <w:t xml:space="preserve">For secondary </w:t>
      </w:r>
      <w:r w:rsidR="006B4A62" w:rsidRPr="00F04F03">
        <w:rPr>
          <w:rFonts w:ascii="Times New Roman" w:hAnsi="Times New Roman"/>
          <w:sz w:val="24"/>
        </w:rPr>
        <w:t xml:space="preserve">market transactions, dealers are obligated to obtain, analyze and disclose all material facts known to the dealer through industry resources.  This includes such information available from </w:t>
      </w:r>
      <w:r w:rsidR="007D59F6" w:rsidRPr="00F04F03">
        <w:rPr>
          <w:rFonts w:ascii="Times New Roman" w:hAnsi="Times New Roman"/>
          <w:sz w:val="24"/>
        </w:rPr>
        <w:t>EMMA;</w:t>
      </w:r>
      <w:r w:rsidR="006B4A62" w:rsidRPr="00F04F03">
        <w:rPr>
          <w:rFonts w:ascii="Times New Roman" w:hAnsi="Times New Roman"/>
          <w:sz w:val="24"/>
        </w:rPr>
        <w:t xml:space="preserve"> however, simply directing the customer to the EMMA website is not sufficient disclosure.  </w:t>
      </w:r>
      <w:r w:rsidR="00172DC4" w:rsidRPr="007D59F6">
        <w:rPr>
          <w:rFonts w:ascii="Times New Roman" w:hAnsi="Times New Roman"/>
          <w:sz w:val="24"/>
        </w:rPr>
        <w:t>The level of inquiry for material information will depend on varying factors such as less inquiry for an AAA general obligation bond and more inquiry for a non-rated conduit issue or a more complex security.</w:t>
      </w:r>
      <w:r w:rsidR="00172DC4">
        <w:rPr>
          <w:rFonts w:ascii="Times New Roman" w:hAnsi="Times New Roman"/>
          <w:color w:val="FF0000"/>
          <w:sz w:val="24"/>
        </w:rPr>
        <w:t xml:space="preserve">  </w:t>
      </w:r>
      <w:r w:rsidR="006B4A62" w:rsidRPr="00F04F03">
        <w:rPr>
          <w:rFonts w:ascii="Times New Roman" w:hAnsi="Times New Roman"/>
          <w:sz w:val="24"/>
        </w:rPr>
        <w:t>The obligation to disclose information for secondary market transactions includes the following:</w:t>
      </w:r>
    </w:p>
    <w:p w14:paraId="53734A00" w14:textId="77777777" w:rsidR="006B4A62" w:rsidRPr="00F04F03" w:rsidRDefault="006B4A62" w:rsidP="00F14C7B">
      <w:pPr>
        <w:pStyle w:val="Normal1"/>
        <w:spacing w:before="0" w:after="0" w:afterAutospacing="0" w:line="240" w:lineRule="auto"/>
        <w:rPr>
          <w:rFonts w:ascii="Times New Roman" w:hAnsi="Times New Roman"/>
          <w:sz w:val="24"/>
        </w:rPr>
      </w:pPr>
    </w:p>
    <w:p w14:paraId="08EAC954" w14:textId="77777777" w:rsidR="006B4A62" w:rsidRPr="00F04F03" w:rsidRDefault="006B4A62" w:rsidP="00C1728B">
      <w:pPr>
        <w:pStyle w:val="Normal1"/>
        <w:numPr>
          <w:ilvl w:val="0"/>
          <w:numId w:val="119"/>
        </w:numPr>
        <w:spacing w:before="0" w:after="0" w:afterAutospacing="0" w:line="240" w:lineRule="auto"/>
        <w:ind w:left="630"/>
        <w:rPr>
          <w:rFonts w:ascii="Times New Roman" w:hAnsi="Times New Roman"/>
          <w:sz w:val="24"/>
        </w:rPr>
      </w:pPr>
      <w:r w:rsidRPr="00F04F03">
        <w:rPr>
          <w:rFonts w:ascii="Times New Roman" w:hAnsi="Times New Roman"/>
          <w:sz w:val="24"/>
        </w:rPr>
        <w:t>A complete description of the security including key terms and features that likely would be considered significant by a reasonable investor and facts that are material to assessing the potential risks of the investment (i.e. call features, non-standard features that may affect price or yield calculations, infrequent trading, tax status, etc</w:t>
      </w:r>
      <w:r w:rsidR="00174005">
        <w:rPr>
          <w:rFonts w:ascii="Times New Roman" w:hAnsi="Times New Roman"/>
          <w:sz w:val="24"/>
        </w:rPr>
        <w:t>.</w:t>
      </w:r>
      <w:r w:rsidRPr="00F04F03">
        <w:rPr>
          <w:rFonts w:ascii="Times New Roman" w:hAnsi="Times New Roman"/>
          <w:sz w:val="24"/>
        </w:rPr>
        <w:t>);</w:t>
      </w:r>
    </w:p>
    <w:p w14:paraId="323A6180" w14:textId="77777777" w:rsidR="006B4A62" w:rsidRPr="00F04F03" w:rsidRDefault="006B4A62" w:rsidP="00C1728B">
      <w:pPr>
        <w:pStyle w:val="Normal1"/>
        <w:numPr>
          <w:ilvl w:val="0"/>
          <w:numId w:val="119"/>
        </w:numPr>
        <w:spacing w:before="0" w:after="0" w:afterAutospacing="0" w:line="240" w:lineRule="auto"/>
        <w:ind w:left="630"/>
        <w:rPr>
          <w:rFonts w:ascii="Times New Roman" w:hAnsi="Times New Roman"/>
          <w:sz w:val="24"/>
        </w:rPr>
      </w:pPr>
      <w:r w:rsidRPr="00F04F03">
        <w:rPr>
          <w:rFonts w:ascii="Times New Roman" w:hAnsi="Times New Roman"/>
          <w:sz w:val="24"/>
        </w:rPr>
        <w:t>Credit risk and rating including the rating or lack of rating, change of rating, identity of any credit enhancer or liquidity provider;</w:t>
      </w:r>
    </w:p>
    <w:p w14:paraId="04BB3801" w14:textId="77777777" w:rsidR="006B4A62" w:rsidRPr="00F04F03" w:rsidRDefault="006B4A62" w:rsidP="00F14C7B">
      <w:pPr>
        <w:pStyle w:val="Normal1"/>
        <w:spacing w:before="0" w:after="0" w:afterAutospacing="0" w:line="240" w:lineRule="auto"/>
        <w:rPr>
          <w:rFonts w:ascii="Times New Roman" w:hAnsi="Times New Roman"/>
          <w:sz w:val="24"/>
        </w:rPr>
      </w:pPr>
    </w:p>
    <w:p w14:paraId="1D60434D" w14:textId="77777777" w:rsidR="00083F79" w:rsidRDefault="006B4A62" w:rsidP="005177AC">
      <w:pPr>
        <w:pStyle w:val="Normal1"/>
        <w:widowControl w:val="0"/>
        <w:spacing w:before="0" w:after="0" w:afterAutospacing="0" w:line="240" w:lineRule="auto"/>
        <w:ind w:left="270"/>
        <w:rPr>
          <w:rFonts w:ascii="Times New Roman" w:hAnsi="Times New Roman"/>
          <w:sz w:val="24"/>
        </w:rPr>
      </w:pPr>
      <w:r w:rsidRPr="00F04F03">
        <w:rPr>
          <w:rFonts w:ascii="Times New Roman" w:hAnsi="Times New Roman"/>
          <w:sz w:val="24"/>
        </w:rPr>
        <w:t xml:space="preserve">Disclosures must be made </w:t>
      </w:r>
      <w:r w:rsidR="008B4787" w:rsidRPr="00AF3D2D">
        <w:rPr>
          <w:rFonts w:ascii="Times New Roman" w:hAnsi="Times New Roman"/>
          <w:sz w:val="24"/>
        </w:rPr>
        <w:t xml:space="preserve">orally or in writing </w:t>
      </w:r>
      <w:r w:rsidRPr="00F04F03">
        <w:rPr>
          <w:rFonts w:ascii="Times New Roman" w:hAnsi="Times New Roman"/>
          <w:sz w:val="24"/>
        </w:rPr>
        <w:t>at the “time of trade” (at o</w:t>
      </w:r>
      <w:r w:rsidR="0046204E" w:rsidRPr="00F04F03">
        <w:rPr>
          <w:rFonts w:ascii="Times New Roman" w:hAnsi="Times New Roman"/>
          <w:sz w:val="24"/>
        </w:rPr>
        <w:t xml:space="preserve">r before the point at which the </w:t>
      </w:r>
      <w:r w:rsidRPr="00F04F03">
        <w:rPr>
          <w:rFonts w:ascii="Times New Roman" w:hAnsi="Times New Roman"/>
          <w:sz w:val="24"/>
        </w:rPr>
        <w:t>investor and the dealer agree to make the trade).</w:t>
      </w:r>
      <w:r w:rsidR="008F2C58" w:rsidRPr="00F04F03">
        <w:rPr>
          <w:rFonts w:ascii="Times New Roman" w:hAnsi="Times New Roman"/>
          <w:sz w:val="24"/>
        </w:rPr>
        <w:t xml:space="preserve">  The Company Municipal Bond Disclosure </w:t>
      </w:r>
      <w:r w:rsidR="006D3BAD" w:rsidRPr="00F04F03">
        <w:rPr>
          <w:rFonts w:ascii="Times New Roman" w:hAnsi="Times New Roman"/>
          <w:sz w:val="24"/>
        </w:rPr>
        <w:t>Form</w:t>
      </w:r>
      <w:r w:rsidR="0044211B">
        <w:rPr>
          <w:rFonts w:ascii="Times New Roman" w:hAnsi="Times New Roman"/>
          <w:sz w:val="24"/>
        </w:rPr>
        <w:t xml:space="preserve"> </w:t>
      </w:r>
      <w:r w:rsidR="008F2C58" w:rsidRPr="00F04F03">
        <w:rPr>
          <w:rFonts w:ascii="Times New Roman" w:hAnsi="Times New Roman"/>
          <w:sz w:val="24"/>
        </w:rPr>
        <w:t>may</w:t>
      </w:r>
      <w:r w:rsidR="0044211B">
        <w:rPr>
          <w:rFonts w:ascii="Times New Roman" w:hAnsi="Times New Roman"/>
          <w:sz w:val="24"/>
        </w:rPr>
        <w:t xml:space="preserve"> </w:t>
      </w:r>
      <w:r w:rsidR="00C04D75" w:rsidRPr="00295215">
        <w:rPr>
          <w:rFonts w:ascii="Times New Roman" w:hAnsi="Times New Roman"/>
          <w:sz w:val="24"/>
        </w:rPr>
        <w:t xml:space="preserve">initially </w:t>
      </w:r>
      <w:r w:rsidR="0044211B" w:rsidRPr="00295215">
        <w:rPr>
          <w:rFonts w:ascii="Times New Roman" w:hAnsi="Times New Roman"/>
          <w:sz w:val="24"/>
        </w:rPr>
        <w:t>be</w:t>
      </w:r>
      <w:r w:rsidR="008F2C58" w:rsidRPr="00295215">
        <w:rPr>
          <w:rFonts w:ascii="Times New Roman" w:hAnsi="Times New Roman"/>
          <w:sz w:val="24"/>
        </w:rPr>
        <w:t xml:space="preserve"> used for this purpose,</w:t>
      </w:r>
      <w:r w:rsidR="0044211B" w:rsidRPr="00295215">
        <w:rPr>
          <w:rFonts w:ascii="Times New Roman" w:hAnsi="Times New Roman"/>
          <w:sz w:val="24"/>
        </w:rPr>
        <w:t xml:space="preserve"> and </w:t>
      </w:r>
      <w:r w:rsidR="008F2C58" w:rsidRPr="00295215">
        <w:rPr>
          <w:rFonts w:ascii="Times New Roman" w:hAnsi="Times New Roman"/>
          <w:sz w:val="24"/>
        </w:rPr>
        <w:t xml:space="preserve">to obtain client authorization to receive information via email, and as evidence of disclosure.  </w:t>
      </w:r>
      <w:r w:rsidR="00C04D75" w:rsidRPr="00295215">
        <w:rPr>
          <w:rFonts w:ascii="Times New Roman" w:hAnsi="Times New Roman"/>
          <w:sz w:val="24"/>
        </w:rPr>
        <w:t xml:space="preserve">Subsequently, bond information with the terms and items may be given to clients </w:t>
      </w:r>
      <w:r w:rsidR="00F70FA7" w:rsidRPr="00295215">
        <w:rPr>
          <w:rFonts w:ascii="Times New Roman" w:hAnsi="Times New Roman"/>
          <w:sz w:val="24"/>
        </w:rPr>
        <w:t xml:space="preserve">in writing or verbally </w:t>
      </w:r>
      <w:r w:rsidR="00C04D75" w:rsidRPr="00295215">
        <w:rPr>
          <w:rFonts w:ascii="Times New Roman" w:hAnsi="Times New Roman"/>
          <w:sz w:val="24"/>
        </w:rPr>
        <w:t xml:space="preserve">for such disclosure. </w:t>
      </w:r>
      <w:r w:rsidR="008F2C58" w:rsidRPr="00295215">
        <w:rPr>
          <w:rFonts w:ascii="Times New Roman" w:hAnsi="Times New Roman"/>
          <w:sz w:val="24"/>
        </w:rPr>
        <w:t xml:space="preserve">Such </w:t>
      </w:r>
      <w:r w:rsidR="00C04D75" w:rsidRPr="00295215">
        <w:rPr>
          <w:rFonts w:ascii="Times New Roman" w:hAnsi="Times New Roman"/>
          <w:sz w:val="24"/>
        </w:rPr>
        <w:t>notices</w:t>
      </w:r>
      <w:r w:rsidR="008F2C58" w:rsidRPr="00295215">
        <w:rPr>
          <w:rFonts w:ascii="Times New Roman" w:hAnsi="Times New Roman"/>
          <w:sz w:val="24"/>
        </w:rPr>
        <w:t xml:space="preserve"> or any other proof of disclosure </w:t>
      </w:r>
      <w:r w:rsidR="008F2C58" w:rsidRPr="00F04F03">
        <w:rPr>
          <w:rFonts w:ascii="Times New Roman" w:hAnsi="Times New Roman"/>
          <w:sz w:val="24"/>
        </w:rPr>
        <w:t>will be maintained in a central location.</w:t>
      </w:r>
      <w:r w:rsidR="00083F79">
        <w:rPr>
          <w:rFonts w:ascii="Times New Roman" w:hAnsi="Times New Roman"/>
          <w:color w:val="FF0000"/>
          <w:sz w:val="24"/>
        </w:rPr>
        <w:t xml:space="preserve">  </w:t>
      </w:r>
      <w:r w:rsidR="00083F79" w:rsidRPr="00E503D6">
        <w:rPr>
          <w:rFonts w:ascii="Times New Roman" w:hAnsi="Times New Roman"/>
          <w:sz w:val="24"/>
        </w:rPr>
        <w:t>Tickets will be marked that EMMA</w:t>
      </w:r>
      <w:r w:rsidR="00F04F03" w:rsidRPr="00E503D6">
        <w:rPr>
          <w:rFonts w:ascii="Times New Roman" w:hAnsi="Times New Roman"/>
          <w:sz w:val="24"/>
        </w:rPr>
        <w:t>,   Bloomberg,</w:t>
      </w:r>
      <w:r w:rsidR="00083F79" w:rsidRPr="00E503D6">
        <w:rPr>
          <w:rFonts w:ascii="Times New Roman" w:hAnsi="Times New Roman"/>
          <w:sz w:val="24"/>
        </w:rPr>
        <w:t xml:space="preserve"> or another source was checked for disclosures and that such disclosures were made to the customer</w:t>
      </w:r>
      <w:r w:rsidR="00876995" w:rsidRPr="00E503D6">
        <w:rPr>
          <w:rFonts w:ascii="Times New Roman" w:hAnsi="Times New Roman"/>
          <w:sz w:val="24"/>
        </w:rPr>
        <w:t xml:space="preserve"> and how disseminated</w:t>
      </w:r>
      <w:r w:rsidR="00083F79" w:rsidRPr="00E503D6">
        <w:rPr>
          <w:rFonts w:ascii="Times New Roman" w:hAnsi="Times New Roman"/>
          <w:sz w:val="24"/>
        </w:rPr>
        <w:t xml:space="preserve">.  If an Associated Person becomes aware of non-public material information, the Associated Person should contact </w:t>
      </w:r>
      <w:r w:rsidR="00083F79" w:rsidRPr="00E503D6">
        <w:rPr>
          <w:rFonts w:ascii="Times New Roman" w:hAnsi="Times New Roman"/>
          <w:sz w:val="24"/>
        </w:rPr>
        <w:lastRenderedPageBreak/>
        <w:t>Compliance immediately and maintain the confidentiality of the information.</w:t>
      </w:r>
    </w:p>
    <w:p w14:paraId="110298A6" w14:textId="77777777" w:rsidR="004B0140" w:rsidRPr="00E4165F" w:rsidRDefault="004B0140" w:rsidP="005177AC">
      <w:pPr>
        <w:pStyle w:val="Normal26"/>
        <w:shd w:val="clear" w:color="auto" w:fill="FFFFFF"/>
        <w:ind w:left="270"/>
      </w:pPr>
      <w:r w:rsidRPr="00E4165F">
        <w:t>Other disclosure examples are provided by the MSRB to describe information that may be material in specific scenarios and require time of trade disclosures to a customer. This list is not exhaustive and other information may be material to a customer in these and other scenarios.</w:t>
      </w:r>
    </w:p>
    <w:p w14:paraId="2BA6CA35"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Market discount.</w:t>
      </w:r>
      <w:r w:rsidRPr="00E4165F">
        <w:rPr>
          <w:sz w:val="24"/>
          <w:szCs w:val="24"/>
        </w:rPr>
        <w:t xml:space="preserve"> The fact that a municipal security bears market discount. (The amount of market discount is equal to the excess, if any, of the stated redemption price at maturity over the basis of the security immediately after its purchase by the investor.)</w:t>
      </w:r>
    </w:p>
    <w:p w14:paraId="38A82C0B"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Variable rate demand obligations.</w:t>
      </w:r>
      <w:r w:rsidRPr="00E4165F">
        <w:rPr>
          <w:sz w:val="24"/>
          <w:szCs w:val="24"/>
        </w:rPr>
        <w:t xml:space="preserve"> A description of the basis on which periodic interest rate resets are determined and the role of the remarketing agent.</w:t>
      </w:r>
    </w:p>
    <w:p w14:paraId="26AE8534"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Auction rate securities.</w:t>
      </w:r>
      <w:r w:rsidRPr="00E4165F">
        <w:rPr>
          <w:sz w:val="24"/>
          <w:szCs w:val="24"/>
        </w:rPr>
        <w:t xml:space="preserve"> Features of the auction process that likely would be considered significant by a reasonable investor and the basis on which periodic interest rate resets are determined. Additional facts that may also be considered material are the duration of the interest rate reset period, information on how the "all hold" and maximum rates are determined, any recent auction failures, and other features of the security found in the official documents of the issue.</w:t>
      </w:r>
    </w:p>
    <w:p w14:paraId="1038E240"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Credit or liquidity enhanced securities.</w:t>
      </w:r>
      <w:r w:rsidRPr="00E4165F">
        <w:rPr>
          <w:sz w:val="24"/>
          <w:szCs w:val="24"/>
        </w:rPr>
        <w:t xml:space="preserve"> The identity of any credit enhancer or liquidity provider, terms of the credit facility or liquidity facility, and the credit rating of the credit provider or liquidity provider, including potential rating actions (</w:t>
      </w:r>
      <w:r w:rsidRPr="00E4165F">
        <w:rPr>
          <w:i/>
          <w:iCs/>
          <w:sz w:val="24"/>
          <w:szCs w:val="24"/>
        </w:rPr>
        <w:t>e.g.,</w:t>
      </w:r>
      <w:r w:rsidRPr="00E4165F">
        <w:rPr>
          <w:sz w:val="24"/>
          <w:szCs w:val="24"/>
        </w:rPr>
        <w:t xml:space="preserve"> downgrade).</w:t>
      </w:r>
    </w:p>
    <w:p w14:paraId="714C7A3A"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Insured securities.</w:t>
      </w:r>
      <w:r w:rsidRPr="00E4165F">
        <w:rPr>
          <w:sz w:val="24"/>
          <w:szCs w:val="24"/>
        </w:rPr>
        <w:t xml:space="preserve"> The fact that a security has been insured or arrangements for insurance have been initiated, the credit rating of the insurance company, and information about potential rating actions with respect to the bond insurance company.</w:t>
      </w:r>
    </w:p>
    <w:p w14:paraId="1DFA0021"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Original issue discount bonds.</w:t>
      </w:r>
      <w:r w:rsidRPr="00E4165F">
        <w:rPr>
          <w:sz w:val="24"/>
          <w:szCs w:val="24"/>
        </w:rPr>
        <w:t xml:space="preserve"> The fact that a security bears an original issue discount since it may affect the tax treatment of a municipal security.</w:t>
      </w:r>
    </w:p>
    <w:p w14:paraId="1AE3AB9C"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Securities sold below the minimum denomination.</w:t>
      </w:r>
      <w:r w:rsidRPr="00E4165F">
        <w:rPr>
          <w:sz w:val="24"/>
          <w:szCs w:val="24"/>
        </w:rPr>
        <w:t xml:space="preserve"> The fact that a sale of a quantity of municipal securities is below the minimum denomination authorized by the bond documents and the potential adverse effect on liquidity of a customer position below the minimum denomination. See also Rule G-15(f).</w:t>
      </w:r>
    </w:p>
    <w:p w14:paraId="2B3B4D4D"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Securities with non-standard features.</w:t>
      </w:r>
      <w:r w:rsidRPr="00E4165F">
        <w:rPr>
          <w:sz w:val="24"/>
          <w:szCs w:val="24"/>
        </w:rPr>
        <w:t xml:space="preserve"> Any non-standard feature of a municipal security. Additionally, if price/yield calculations are affected by anomalies due to a non-standard feature, this also may be material information about the transaction that must be disclosed to the customer.</w:t>
      </w:r>
    </w:p>
    <w:p w14:paraId="1D113D58"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Bonds that prepay principal.</w:t>
      </w:r>
      <w:r w:rsidRPr="00E4165F">
        <w:rPr>
          <w:sz w:val="24"/>
          <w:szCs w:val="24"/>
        </w:rPr>
        <w:t xml:space="preserve"> The fact that the security prepays principal and the amount of unpaid principal that will be delivered on the transaction.</w:t>
      </w:r>
    </w:p>
    <w:p w14:paraId="396B1F8D"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Callable securities.</w:t>
      </w:r>
      <w:r w:rsidRPr="00E4165F">
        <w:rPr>
          <w:sz w:val="24"/>
          <w:szCs w:val="24"/>
        </w:rPr>
        <w:t xml:space="preserve"> The fact that a municipal security may be redeemed prior to maturity in-whole, in-part, or in extraordinary circumstances, including sinking fund calls and bonds subject to detachable call features.</w:t>
      </w:r>
    </w:p>
    <w:p w14:paraId="5DA6421B"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Put option and tender option bonds.</w:t>
      </w:r>
      <w:r w:rsidRPr="00E4165F">
        <w:rPr>
          <w:sz w:val="24"/>
          <w:szCs w:val="24"/>
        </w:rPr>
        <w:t xml:space="preserve"> Information concerning the put option or tender option features.</w:t>
      </w:r>
    </w:p>
    <w:p w14:paraId="4E42F680"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Stripped coupon securities.</w:t>
      </w:r>
      <w:r w:rsidRPr="00E4165F">
        <w:rPr>
          <w:sz w:val="24"/>
          <w:szCs w:val="24"/>
        </w:rPr>
        <w:t xml:space="preserve"> Facts concerning the underlying securities which materially affect the stripped coupon instruments. The unusual nature of these securities and their tax treatment warrants special efforts to provide written disclosures.</w:t>
      </w:r>
    </w:p>
    <w:p w14:paraId="79F76D87"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The investment of bond proceeds.</w:t>
      </w:r>
      <w:r w:rsidRPr="00E4165F">
        <w:rPr>
          <w:sz w:val="24"/>
          <w:szCs w:val="24"/>
        </w:rPr>
        <w:t xml:space="preserve"> Information on the investment of bond proceeds.</w:t>
      </w:r>
    </w:p>
    <w:p w14:paraId="2431DCDD" w14:textId="77777777" w:rsidR="004B0140" w:rsidRPr="00E4165F" w:rsidRDefault="004B0140" w:rsidP="003E7B18">
      <w:pPr>
        <w:numPr>
          <w:ilvl w:val="0"/>
          <w:numId w:val="300"/>
        </w:numPr>
        <w:shd w:val="clear" w:color="auto" w:fill="FFFFFF"/>
        <w:spacing w:before="100" w:beforeAutospacing="1" w:after="100" w:afterAutospacing="1"/>
        <w:rPr>
          <w:sz w:val="24"/>
          <w:szCs w:val="24"/>
        </w:rPr>
      </w:pPr>
      <w:r w:rsidRPr="00E4165F">
        <w:rPr>
          <w:b/>
          <w:bCs/>
          <w:sz w:val="24"/>
          <w:szCs w:val="24"/>
        </w:rPr>
        <w:t>Issuer's Intent to Pre-refund.</w:t>
      </w:r>
      <w:r w:rsidRPr="00E4165F">
        <w:rPr>
          <w:sz w:val="24"/>
          <w:szCs w:val="24"/>
        </w:rPr>
        <w:t xml:space="preserve"> An issuer's intent to pre-refund an issue.</w:t>
      </w:r>
    </w:p>
    <w:p w14:paraId="27F2D7D6" w14:textId="77777777" w:rsidR="004B0140" w:rsidRPr="00E4165F" w:rsidRDefault="004B0140" w:rsidP="003E7B18">
      <w:pPr>
        <w:numPr>
          <w:ilvl w:val="0"/>
          <w:numId w:val="300"/>
        </w:numPr>
        <w:shd w:val="clear" w:color="auto" w:fill="FFFFFF"/>
        <w:rPr>
          <w:sz w:val="24"/>
          <w:szCs w:val="24"/>
        </w:rPr>
      </w:pPr>
      <w:r w:rsidRPr="00E4165F">
        <w:rPr>
          <w:b/>
          <w:bCs/>
          <w:sz w:val="24"/>
          <w:szCs w:val="24"/>
        </w:rPr>
        <w:t>Failure to make continuing disclosure filings.</w:t>
      </w:r>
      <w:r w:rsidRPr="00E4165F">
        <w:rPr>
          <w:sz w:val="24"/>
          <w:szCs w:val="24"/>
        </w:rPr>
        <w:t xml:space="preserve"> Discovery that an issuer has failed to make filings required under its continuing disclosure agreements.</w:t>
      </w:r>
    </w:p>
    <w:p w14:paraId="2A4F0682" w14:textId="77777777" w:rsidR="004B0140" w:rsidRPr="00E4165F" w:rsidRDefault="004B0140" w:rsidP="004B0140">
      <w:pPr>
        <w:pStyle w:val="Normal1"/>
        <w:widowControl w:val="0"/>
        <w:spacing w:before="0" w:after="0" w:afterAutospacing="0" w:line="240" w:lineRule="auto"/>
        <w:rPr>
          <w:rFonts w:ascii="Times New Roman" w:hAnsi="Times New Roman"/>
          <w:sz w:val="24"/>
        </w:rPr>
      </w:pPr>
    </w:p>
    <w:p w14:paraId="34B973EE" w14:textId="77777777" w:rsidR="005177AC" w:rsidRPr="00E4165F" w:rsidRDefault="005177AC" w:rsidP="005177AC">
      <w:pPr>
        <w:pStyle w:val="Heading3"/>
      </w:pPr>
      <w:r w:rsidRPr="00E4165F">
        <w:lastRenderedPageBreak/>
        <w:t>1</w:t>
      </w:r>
      <w:r w:rsidR="00174005">
        <w:t>3</w:t>
      </w:r>
      <w:r w:rsidRPr="00E4165F">
        <w:t>.12.</w:t>
      </w:r>
      <w:r w:rsidR="00A825FD">
        <w:t>3</w:t>
      </w:r>
      <w:r w:rsidRPr="00E4165F">
        <w:t xml:space="preserve"> Rule G-10 Client Education and Protection</w:t>
      </w:r>
    </w:p>
    <w:p w14:paraId="49A14EF9" w14:textId="404360A1" w:rsidR="005177AC" w:rsidRPr="00E4165F" w:rsidRDefault="005177AC" w:rsidP="00582C90">
      <w:pPr>
        <w:autoSpaceDE w:val="0"/>
        <w:autoSpaceDN w:val="0"/>
        <w:adjustRightInd w:val="0"/>
        <w:ind w:left="270"/>
        <w:rPr>
          <w:sz w:val="24"/>
          <w:szCs w:val="24"/>
        </w:rPr>
      </w:pPr>
      <w:r w:rsidRPr="00E4165F">
        <w:rPr>
          <w:sz w:val="24"/>
          <w:szCs w:val="24"/>
        </w:rPr>
        <w:t>Company shall provide in writing (which may be electronic) to each municipal customer,</w:t>
      </w:r>
      <w:r w:rsidR="00BC7470">
        <w:rPr>
          <w:sz w:val="24"/>
          <w:szCs w:val="24"/>
        </w:rPr>
        <w:t xml:space="preserve"> </w:t>
      </w:r>
      <w:r w:rsidR="00BC7470" w:rsidRPr="00E31E45">
        <w:rPr>
          <w:sz w:val="24"/>
          <w:szCs w:val="24"/>
        </w:rPr>
        <w:t>including 529 Plans,</w:t>
      </w:r>
      <w:r w:rsidRPr="00E31E45">
        <w:rPr>
          <w:sz w:val="24"/>
          <w:szCs w:val="24"/>
        </w:rPr>
        <w:t xml:space="preserve"> </w:t>
      </w:r>
      <w:r w:rsidRPr="00E4165F">
        <w:rPr>
          <w:sz w:val="24"/>
          <w:szCs w:val="24"/>
        </w:rPr>
        <w:t>once every calendar year, the following items of information:</w:t>
      </w:r>
    </w:p>
    <w:p w14:paraId="4C5F744F" w14:textId="77777777" w:rsidR="005177AC" w:rsidRPr="00E4165F" w:rsidRDefault="005177AC" w:rsidP="003E7B18">
      <w:pPr>
        <w:pStyle w:val="ListParagraph"/>
        <w:numPr>
          <w:ilvl w:val="0"/>
          <w:numId w:val="308"/>
        </w:numPr>
        <w:autoSpaceDE w:val="0"/>
        <w:autoSpaceDN w:val="0"/>
        <w:adjustRightInd w:val="0"/>
        <w:spacing w:before="100" w:after="100"/>
        <w:ind w:right="360"/>
        <w:rPr>
          <w:sz w:val="24"/>
          <w:szCs w:val="24"/>
        </w:rPr>
      </w:pPr>
      <w:r w:rsidRPr="00E4165F">
        <w:rPr>
          <w:sz w:val="24"/>
          <w:szCs w:val="24"/>
        </w:rPr>
        <w:t>A statement that it is registered with the U.S. Securities and Exchange Commission and the Municipal Securities Rulemaking Board;</w:t>
      </w:r>
    </w:p>
    <w:p w14:paraId="04FDC9FA" w14:textId="77777777" w:rsidR="005177AC" w:rsidRPr="00E4165F" w:rsidRDefault="005177AC" w:rsidP="003E7B18">
      <w:pPr>
        <w:pStyle w:val="ListParagraph"/>
        <w:numPr>
          <w:ilvl w:val="0"/>
          <w:numId w:val="308"/>
        </w:numPr>
        <w:autoSpaceDE w:val="0"/>
        <w:autoSpaceDN w:val="0"/>
        <w:adjustRightInd w:val="0"/>
        <w:spacing w:before="100" w:after="100"/>
        <w:ind w:right="360"/>
        <w:rPr>
          <w:sz w:val="24"/>
          <w:szCs w:val="24"/>
        </w:rPr>
      </w:pPr>
      <w:r w:rsidRPr="00E4165F">
        <w:rPr>
          <w:sz w:val="24"/>
          <w:szCs w:val="24"/>
        </w:rPr>
        <w:t>The website address for the Municipal Securities Rulemaking Board; and</w:t>
      </w:r>
    </w:p>
    <w:p w14:paraId="173A360B" w14:textId="77777777" w:rsidR="005177AC" w:rsidRDefault="005177AC" w:rsidP="003E7B18">
      <w:pPr>
        <w:pStyle w:val="ListParagraph"/>
        <w:numPr>
          <w:ilvl w:val="0"/>
          <w:numId w:val="308"/>
        </w:numPr>
        <w:autoSpaceDE w:val="0"/>
        <w:autoSpaceDN w:val="0"/>
        <w:adjustRightInd w:val="0"/>
        <w:spacing w:before="100" w:after="100"/>
        <w:ind w:right="360"/>
        <w:rPr>
          <w:sz w:val="24"/>
          <w:szCs w:val="24"/>
        </w:rPr>
      </w:pPr>
      <w:r w:rsidRPr="00E4165F">
        <w:rPr>
          <w:sz w:val="24"/>
          <w:szCs w:val="24"/>
        </w:rPr>
        <w:t>A statement as to the availability to the customer of an investor brochure that is posted on the website of the Municipal Securities Rulemaking Board that describes the protections that may be provided by the Municipal Securities Rulemaking Board rules and how to file a complaint with an appropriate regulatory authority.</w:t>
      </w:r>
    </w:p>
    <w:p w14:paraId="2F37FCA5" w14:textId="77777777" w:rsidR="00A825FD" w:rsidRDefault="00A825FD" w:rsidP="00A825FD">
      <w:pPr>
        <w:autoSpaceDE w:val="0"/>
        <w:autoSpaceDN w:val="0"/>
        <w:adjustRightInd w:val="0"/>
        <w:spacing w:before="100" w:after="100"/>
        <w:ind w:right="360"/>
        <w:rPr>
          <w:sz w:val="24"/>
          <w:szCs w:val="24"/>
        </w:rPr>
      </w:pPr>
    </w:p>
    <w:p w14:paraId="11E405B5" w14:textId="77777777" w:rsidR="00A825FD" w:rsidRDefault="00A825FD" w:rsidP="00A825FD">
      <w:pPr>
        <w:pStyle w:val="Heading3"/>
      </w:pPr>
      <w:r>
        <w:t>1</w:t>
      </w:r>
      <w:r w:rsidR="00174005">
        <w:t>3</w:t>
      </w:r>
      <w:r>
        <w:t xml:space="preserve">.12.4 </w:t>
      </w:r>
      <w:r w:rsidR="00527E5B">
        <w:t>Pricing Disclosure</w:t>
      </w:r>
    </w:p>
    <w:p w14:paraId="73BBBA55" w14:textId="77777777" w:rsidR="00A825FD" w:rsidRPr="00593EE9" w:rsidRDefault="00451D78" w:rsidP="00172AB4">
      <w:pPr>
        <w:tabs>
          <w:tab w:val="left" w:pos="720"/>
        </w:tabs>
        <w:ind w:left="270"/>
        <w:jc w:val="both"/>
      </w:pPr>
      <w:r w:rsidRPr="00593EE9">
        <w:rPr>
          <w:sz w:val="24"/>
          <w:szCs w:val="24"/>
        </w:rPr>
        <w:t xml:space="preserve">Pursuant to MSRB Rules G-15 and 30, </w:t>
      </w:r>
      <w:r>
        <w:rPr>
          <w:sz w:val="24"/>
          <w:szCs w:val="24"/>
        </w:rPr>
        <w:t>t</w:t>
      </w:r>
      <w:r w:rsidR="004041AD" w:rsidRPr="00174005">
        <w:rPr>
          <w:sz w:val="24"/>
          <w:szCs w:val="24"/>
        </w:rPr>
        <w:t xml:space="preserve">he </w:t>
      </w:r>
      <w:proofErr w:type="gramStart"/>
      <w:r w:rsidR="004041AD" w:rsidRPr="00174005">
        <w:rPr>
          <w:sz w:val="24"/>
          <w:szCs w:val="24"/>
        </w:rPr>
        <w:t>amount</w:t>
      </w:r>
      <w:proofErr w:type="gramEnd"/>
      <w:r w:rsidR="004041AD" w:rsidRPr="00174005">
        <w:rPr>
          <w:sz w:val="24"/>
          <w:szCs w:val="24"/>
        </w:rPr>
        <w:t xml:space="preserve"> of mark-ups and mark-downs will be disclosed on retail customer confirmation from the custodian</w:t>
      </w:r>
      <w:r w:rsidR="00962229" w:rsidRPr="00174005">
        <w:rPr>
          <w:sz w:val="24"/>
          <w:szCs w:val="24"/>
        </w:rPr>
        <w:t xml:space="preserve"> </w:t>
      </w:r>
      <w:r w:rsidR="00962229" w:rsidRPr="00174005">
        <w:rPr>
          <w:i/>
          <w:sz w:val="24"/>
          <w:szCs w:val="24"/>
        </w:rPr>
        <w:t>(eff 05/14/18)</w:t>
      </w:r>
      <w:r w:rsidR="004041AD" w:rsidRPr="00174005">
        <w:rPr>
          <w:sz w:val="24"/>
          <w:szCs w:val="24"/>
        </w:rPr>
        <w:t xml:space="preserve">. Two additional disclosures include: (1) a reference (or hyperlink if the confirmation is electronic) to a FINRA web page containing </w:t>
      </w:r>
      <w:r w:rsidR="004C7C18" w:rsidRPr="00174005">
        <w:rPr>
          <w:sz w:val="24"/>
          <w:szCs w:val="24"/>
        </w:rPr>
        <w:t>publicly available</w:t>
      </w:r>
      <w:r w:rsidR="004041AD" w:rsidRPr="00174005">
        <w:rPr>
          <w:sz w:val="24"/>
          <w:szCs w:val="24"/>
        </w:rPr>
        <w:t xml:space="preserve"> trading data for the security traded; and (2) the execution time expressed to the second.  Disclosure is required if Company executes one or more offsetting principal trades in the same security on the same trading day which, in aggregate, meet or exceed the size of the customer trade.  Disclosure may also be required because of an offsetting principal trade executed by an affiliate that did not occur at arm's length [defined in FINRA Rule 2232(f)(3)].  Disclosure is not required for principal trades executed on a trading desk functionally separate from a trading desk that executes customer trades.  It is also not required for bonds acquired in a fixed-priced offering and sold to non-institutional customers at the same offering price the same day </w:t>
      </w:r>
      <w:r w:rsidR="001800BD" w:rsidRPr="00174005">
        <w:rPr>
          <w:sz w:val="24"/>
          <w:szCs w:val="24"/>
        </w:rPr>
        <w:t>Company</w:t>
      </w:r>
      <w:r w:rsidR="004041AD" w:rsidRPr="00174005">
        <w:rPr>
          <w:sz w:val="24"/>
          <w:szCs w:val="24"/>
        </w:rPr>
        <w:t xml:space="preserve"> acquires the bonds.</w:t>
      </w:r>
      <w:r w:rsidR="000D3DB4">
        <w:rPr>
          <w:sz w:val="24"/>
          <w:szCs w:val="24"/>
        </w:rPr>
        <w:t xml:space="preserve">  </w:t>
      </w:r>
      <w:r w:rsidR="000D3DB4" w:rsidRPr="00593EE9">
        <w:rPr>
          <w:sz w:val="24"/>
          <w:szCs w:val="24"/>
        </w:rPr>
        <w:t xml:space="preserve">Trades will be reviewed post trade by Compliance to ensure </w:t>
      </w:r>
      <w:r w:rsidR="00593EE9" w:rsidRPr="00593EE9">
        <w:rPr>
          <w:sz w:val="24"/>
          <w:szCs w:val="24"/>
        </w:rPr>
        <w:t>markup</w:t>
      </w:r>
      <w:r w:rsidR="000D3DB4" w:rsidRPr="00593EE9">
        <w:rPr>
          <w:sz w:val="24"/>
          <w:szCs w:val="24"/>
        </w:rPr>
        <w:t xml:space="preserve"> is disclosed on the confirmation and if not, Operations will initiate a cancel and rebill to generate a corrected confirm.</w:t>
      </w:r>
    </w:p>
    <w:p w14:paraId="03E836F5" w14:textId="77777777" w:rsidR="00125498" w:rsidRPr="00593EE9" w:rsidRDefault="00125498" w:rsidP="004B0140">
      <w:pPr>
        <w:pStyle w:val="Normal1"/>
        <w:widowControl w:val="0"/>
        <w:spacing w:before="0" w:after="0" w:afterAutospacing="0" w:line="240" w:lineRule="auto"/>
        <w:rPr>
          <w:rFonts w:ascii="Times New Roman" w:hAnsi="Times New Roman"/>
          <w:sz w:val="24"/>
        </w:rPr>
      </w:pPr>
    </w:p>
    <w:p w14:paraId="7E911404" w14:textId="77777777" w:rsidR="006B4A62" w:rsidRPr="00593EE9" w:rsidRDefault="005177AC" w:rsidP="004B0140">
      <w:pPr>
        <w:pStyle w:val="Normal1"/>
        <w:widowControl w:val="0"/>
        <w:spacing w:before="0" w:after="0" w:afterAutospacing="0" w:line="240" w:lineRule="auto"/>
        <w:rPr>
          <w:rFonts w:ascii="Times New Roman" w:hAnsi="Times New Roman"/>
          <w:sz w:val="24"/>
        </w:rPr>
      </w:pPr>
      <w:r w:rsidRPr="00593EE9">
        <w:rPr>
          <w:rFonts w:ascii="Times New Roman" w:hAnsi="Times New Roman"/>
          <w:sz w:val="24"/>
        </w:rPr>
        <w:t xml:space="preserve"> </w:t>
      </w:r>
    </w:p>
    <w:p w14:paraId="1EB9D471" w14:textId="77777777" w:rsidR="000C099C" w:rsidRDefault="00317C33" w:rsidP="00936FEE">
      <w:pPr>
        <w:pStyle w:val="Heading2"/>
      </w:pPr>
      <w:r>
        <w:t>1</w:t>
      </w:r>
      <w:r w:rsidR="00174005">
        <w:t>3</w:t>
      </w:r>
      <w:r>
        <w:t xml:space="preserve">.13 </w:t>
      </w:r>
      <w:r w:rsidR="004E3507">
        <w:t xml:space="preserve">Rule D-15 </w:t>
      </w:r>
      <w:r w:rsidR="00F267C5">
        <w:t xml:space="preserve">&amp; G-48 </w:t>
      </w:r>
      <w:r w:rsidR="000C099C">
        <w:t>Sophisticated Municipal Market Professionals (SMMPs)</w:t>
      </w:r>
      <w:bookmarkEnd w:id="241"/>
      <w:bookmarkEnd w:id="242"/>
    </w:p>
    <w:p w14:paraId="5A17B79C" w14:textId="77777777" w:rsidR="002D12DD" w:rsidRPr="007D59F6" w:rsidRDefault="004E3507" w:rsidP="004B0140">
      <w:pPr>
        <w:rPr>
          <w:sz w:val="24"/>
          <w:szCs w:val="24"/>
        </w:rPr>
      </w:pPr>
      <w:r w:rsidRPr="00AF3D2D">
        <w:rPr>
          <w:b/>
          <w:sz w:val="24"/>
        </w:rPr>
        <w:t>Rule D-15</w:t>
      </w:r>
      <w:r w:rsidRPr="00AF3D2D">
        <w:rPr>
          <w:sz w:val="24"/>
        </w:rPr>
        <w:t xml:space="preserve"> defines the term</w:t>
      </w:r>
      <w:r w:rsidR="002D12DD" w:rsidRPr="00AF3D2D">
        <w:rPr>
          <w:sz w:val="24"/>
        </w:rPr>
        <w:t xml:space="preserve"> </w:t>
      </w:r>
      <w:r w:rsidR="002D12DD" w:rsidRPr="007D59F6">
        <w:rPr>
          <w:sz w:val="24"/>
        </w:rPr>
        <w:t xml:space="preserve">Sophisticated Municipal Market Professional (“SMMP”) as an institutional investor of the dealer </w:t>
      </w:r>
      <w:r w:rsidR="002D12DD" w:rsidRPr="007D59F6">
        <w:rPr>
          <w:sz w:val="24"/>
          <w:szCs w:val="24"/>
        </w:rPr>
        <w:t>that</w:t>
      </w:r>
      <w:r w:rsidR="005B5F84">
        <w:rPr>
          <w:sz w:val="24"/>
          <w:szCs w:val="24"/>
        </w:rPr>
        <w:t xml:space="preserve"> is</w:t>
      </w:r>
      <w:r w:rsidR="002D12DD" w:rsidRPr="007D59F6">
        <w:rPr>
          <w:sz w:val="24"/>
          <w:szCs w:val="24"/>
        </w:rPr>
        <w:t>:</w:t>
      </w:r>
    </w:p>
    <w:p w14:paraId="5AEBBD3A" w14:textId="77777777" w:rsidR="005B5F84" w:rsidRDefault="008A5712" w:rsidP="003E7B18">
      <w:pPr>
        <w:numPr>
          <w:ilvl w:val="0"/>
          <w:numId w:val="183"/>
        </w:numPr>
        <w:autoSpaceDE w:val="0"/>
        <w:autoSpaceDN w:val="0"/>
        <w:adjustRightInd w:val="0"/>
        <w:spacing w:before="100" w:after="100"/>
        <w:ind w:left="630" w:hanging="270"/>
        <w:rPr>
          <w:sz w:val="24"/>
          <w:szCs w:val="24"/>
        </w:rPr>
      </w:pPr>
      <w:r>
        <w:rPr>
          <w:sz w:val="24"/>
          <w:szCs w:val="24"/>
        </w:rPr>
        <w:t xml:space="preserve"> A</w:t>
      </w:r>
      <w:r w:rsidR="002D12DD" w:rsidRPr="005B5F84">
        <w:rPr>
          <w:sz w:val="24"/>
          <w:szCs w:val="24"/>
        </w:rPr>
        <w:t xml:space="preserve"> bank, savings and loan association, insurance company, or registered investment company; </w:t>
      </w:r>
    </w:p>
    <w:p w14:paraId="20C746F1" w14:textId="77777777" w:rsidR="005B5F84" w:rsidRDefault="008A5712" w:rsidP="003E7B18">
      <w:pPr>
        <w:numPr>
          <w:ilvl w:val="0"/>
          <w:numId w:val="183"/>
        </w:numPr>
        <w:autoSpaceDE w:val="0"/>
        <w:autoSpaceDN w:val="0"/>
        <w:adjustRightInd w:val="0"/>
        <w:spacing w:before="100" w:after="100"/>
        <w:ind w:left="630" w:hanging="270"/>
        <w:rPr>
          <w:sz w:val="24"/>
          <w:szCs w:val="24"/>
        </w:rPr>
      </w:pPr>
      <w:r>
        <w:rPr>
          <w:sz w:val="24"/>
          <w:szCs w:val="24"/>
        </w:rPr>
        <w:t xml:space="preserve"> A</w:t>
      </w:r>
      <w:r w:rsidR="002D12DD" w:rsidRPr="005B5F84">
        <w:rPr>
          <w:sz w:val="24"/>
          <w:szCs w:val="24"/>
        </w:rPr>
        <w:t xml:space="preserve">n investment adviser registered either with the Commission under Section 203 of the Investment Advisers Act of 1940 or with a state securities commission (or any agency or office performing like functions); or </w:t>
      </w:r>
    </w:p>
    <w:p w14:paraId="17F96278" w14:textId="77777777" w:rsidR="002D12DD" w:rsidRPr="005B5F84" w:rsidRDefault="008A5712" w:rsidP="003E7B18">
      <w:pPr>
        <w:numPr>
          <w:ilvl w:val="0"/>
          <w:numId w:val="183"/>
        </w:numPr>
        <w:autoSpaceDE w:val="0"/>
        <w:autoSpaceDN w:val="0"/>
        <w:adjustRightInd w:val="0"/>
        <w:spacing w:before="100" w:after="100"/>
        <w:ind w:left="630" w:hanging="270"/>
        <w:rPr>
          <w:sz w:val="24"/>
          <w:szCs w:val="24"/>
        </w:rPr>
      </w:pPr>
      <w:r>
        <w:rPr>
          <w:sz w:val="24"/>
          <w:szCs w:val="24"/>
        </w:rPr>
        <w:t xml:space="preserve"> A</w:t>
      </w:r>
      <w:r w:rsidR="002D12DD" w:rsidRPr="005B5F84">
        <w:rPr>
          <w:sz w:val="24"/>
          <w:szCs w:val="24"/>
        </w:rPr>
        <w:t>ny other entity (whether a natural person, corporation, partnership, trust, or otherwise) with total assets of at least $50 million.</w:t>
      </w:r>
    </w:p>
    <w:p w14:paraId="5543640B" w14:textId="77777777" w:rsidR="000772F3" w:rsidRDefault="000772F3" w:rsidP="00934F7E">
      <w:pPr>
        <w:rPr>
          <w:sz w:val="24"/>
          <w:szCs w:val="24"/>
        </w:rPr>
      </w:pPr>
      <w:r w:rsidRPr="00AF3D2D">
        <w:rPr>
          <w:sz w:val="24"/>
          <w:szCs w:val="24"/>
        </w:rPr>
        <w:t xml:space="preserve">An SMMP may affirmatively indicate that it is exercising independent judgment in evaluating the recommendations of a BD or municipal securities dealer. This may be documented by the SMMP's oral affirmation recorded in the account's records on a trade-by-trade basis or on an account-wide basis by having the SMMP sign the </w:t>
      </w:r>
      <w:r w:rsidR="00781C1D" w:rsidRPr="00295215">
        <w:rPr>
          <w:sz w:val="24"/>
          <w:szCs w:val="24"/>
        </w:rPr>
        <w:t>Model Sophisticated Municipal Market Professional Affirmation for Institutional Customers.</w:t>
      </w:r>
    </w:p>
    <w:p w14:paraId="1561DAA8" w14:textId="77777777" w:rsidR="00934F7E" w:rsidRDefault="00934F7E" w:rsidP="00934F7E">
      <w:pPr>
        <w:rPr>
          <w:sz w:val="24"/>
          <w:szCs w:val="24"/>
        </w:rPr>
      </w:pPr>
    </w:p>
    <w:p w14:paraId="660E1EA5" w14:textId="77777777" w:rsidR="00934F7E" w:rsidRPr="00EA0A5B" w:rsidRDefault="00934F7E" w:rsidP="00934F7E">
      <w:pPr>
        <w:pStyle w:val="Normal18"/>
        <w:spacing w:before="0" w:beforeAutospacing="0" w:after="0" w:afterAutospacing="0"/>
      </w:pPr>
      <w:r w:rsidRPr="00EA0A5B">
        <w:t>The SMMP must affirmatively indicate that it:</w:t>
      </w:r>
    </w:p>
    <w:p w14:paraId="46BA81F3" w14:textId="77777777" w:rsidR="00934F7E" w:rsidRPr="00EA0A5B" w:rsidRDefault="00934F7E" w:rsidP="003E7B18">
      <w:pPr>
        <w:numPr>
          <w:ilvl w:val="0"/>
          <w:numId w:val="284"/>
        </w:numPr>
        <w:rPr>
          <w:sz w:val="24"/>
          <w:szCs w:val="24"/>
        </w:rPr>
      </w:pPr>
      <w:r w:rsidRPr="00EA0A5B">
        <w:rPr>
          <w:sz w:val="24"/>
          <w:szCs w:val="24"/>
        </w:rPr>
        <w:t>Is exercising independent judgment in evaluating:</w:t>
      </w:r>
    </w:p>
    <w:p w14:paraId="7C18113A" w14:textId="77777777" w:rsidR="00934F7E" w:rsidRPr="00EA0A5B" w:rsidRDefault="00934F7E" w:rsidP="003E7B18">
      <w:pPr>
        <w:numPr>
          <w:ilvl w:val="1"/>
          <w:numId w:val="284"/>
        </w:numPr>
        <w:spacing w:before="100" w:beforeAutospacing="1" w:after="100" w:afterAutospacing="1"/>
        <w:rPr>
          <w:sz w:val="24"/>
          <w:szCs w:val="24"/>
        </w:rPr>
      </w:pPr>
      <w:r w:rsidRPr="00EA0A5B">
        <w:rPr>
          <w:sz w:val="24"/>
          <w:szCs w:val="24"/>
        </w:rPr>
        <w:t>recommendations;</w:t>
      </w:r>
    </w:p>
    <w:p w14:paraId="4259E8FD" w14:textId="77777777" w:rsidR="00934F7E" w:rsidRPr="00EA0A5B" w:rsidRDefault="00934F7E" w:rsidP="003E7B18">
      <w:pPr>
        <w:numPr>
          <w:ilvl w:val="1"/>
          <w:numId w:val="284"/>
        </w:numPr>
        <w:spacing w:before="100" w:beforeAutospacing="1" w:after="100" w:afterAutospacing="1"/>
        <w:rPr>
          <w:sz w:val="24"/>
          <w:szCs w:val="24"/>
        </w:rPr>
      </w:pPr>
      <w:r w:rsidRPr="00EA0A5B">
        <w:rPr>
          <w:sz w:val="24"/>
          <w:szCs w:val="24"/>
        </w:rPr>
        <w:t>the quality of execution of transactions; and</w:t>
      </w:r>
    </w:p>
    <w:p w14:paraId="0E4C02C3" w14:textId="77777777" w:rsidR="00934F7E" w:rsidRPr="00EA0A5B" w:rsidRDefault="00934F7E" w:rsidP="003E7B18">
      <w:pPr>
        <w:numPr>
          <w:ilvl w:val="1"/>
          <w:numId w:val="284"/>
        </w:numPr>
        <w:spacing w:before="100" w:beforeAutospacing="1" w:after="100" w:afterAutospacing="1"/>
        <w:rPr>
          <w:sz w:val="24"/>
          <w:szCs w:val="24"/>
        </w:rPr>
      </w:pPr>
      <w:r w:rsidRPr="00EA0A5B">
        <w:rPr>
          <w:sz w:val="24"/>
          <w:szCs w:val="24"/>
        </w:rPr>
        <w:t>the transaction price for non-recommended secondary market agency transactions as to which (</w:t>
      </w:r>
      <w:proofErr w:type="spellStart"/>
      <w:r w:rsidRPr="00EA0A5B">
        <w:rPr>
          <w:sz w:val="24"/>
          <w:szCs w:val="24"/>
        </w:rPr>
        <w:t>i</w:t>
      </w:r>
      <w:proofErr w:type="spellEnd"/>
      <w:r w:rsidRPr="00EA0A5B">
        <w:rPr>
          <w:sz w:val="24"/>
          <w:szCs w:val="24"/>
        </w:rPr>
        <w:t>) Company's services have been explicitly limited to providing anonymity, communication, order matching and/or clearance functions and (ii) Company does not exercise discretion as to how or when the transactions are executed; and</w:t>
      </w:r>
    </w:p>
    <w:p w14:paraId="1512A5F2" w14:textId="77777777" w:rsidR="00934F7E" w:rsidRPr="00EA0A5B" w:rsidRDefault="00934F7E" w:rsidP="003E7B18">
      <w:pPr>
        <w:numPr>
          <w:ilvl w:val="0"/>
          <w:numId w:val="284"/>
        </w:numPr>
        <w:spacing w:before="100" w:beforeAutospacing="1" w:after="100" w:afterAutospacing="1"/>
        <w:rPr>
          <w:sz w:val="24"/>
          <w:szCs w:val="24"/>
        </w:rPr>
      </w:pPr>
      <w:r w:rsidRPr="00EA0A5B">
        <w:rPr>
          <w:sz w:val="24"/>
          <w:szCs w:val="24"/>
        </w:rPr>
        <w:t>Has timely access to material information that is available publicly through established industry sources as defined in MSRB Rule G-47(b)(</w:t>
      </w:r>
      <w:proofErr w:type="spellStart"/>
      <w:r w:rsidRPr="00EA0A5B">
        <w:rPr>
          <w:sz w:val="24"/>
          <w:szCs w:val="24"/>
        </w:rPr>
        <w:t>i</w:t>
      </w:r>
      <w:proofErr w:type="spellEnd"/>
      <w:r w:rsidRPr="00EA0A5B">
        <w:rPr>
          <w:sz w:val="24"/>
          <w:szCs w:val="24"/>
        </w:rPr>
        <w:t>) and (ii).</w:t>
      </w:r>
    </w:p>
    <w:p w14:paraId="0774E3BF" w14:textId="77777777" w:rsidR="00CC1CC0" w:rsidRPr="00AF3D2D" w:rsidRDefault="00CC1CC0" w:rsidP="00CC1CC0">
      <w:pPr>
        <w:rPr>
          <w:sz w:val="24"/>
          <w:szCs w:val="24"/>
        </w:rPr>
      </w:pPr>
      <w:r w:rsidRPr="00AF3D2D">
        <w:rPr>
          <w:sz w:val="24"/>
          <w:szCs w:val="24"/>
        </w:rPr>
        <w:t>As part of the reasonable basis analysis, the amount and type of municipal securities owned or under management by the customer should be considered.</w:t>
      </w:r>
    </w:p>
    <w:p w14:paraId="2A51DE05" w14:textId="77777777" w:rsidR="00E85CE9" w:rsidRPr="00AF3D2D" w:rsidRDefault="00E85CE9" w:rsidP="00CC1CC0">
      <w:pPr>
        <w:rPr>
          <w:sz w:val="24"/>
          <w:szCs w:val="24"/>
        </w:rPr>
      </w:pPr>
    </w:p>
    <w:p w14:paraId="21BF322C" w14:textId="77777777" w:rsidR="00050BD0" w:rsidRPr="00AF3D2D" w:rsidRDefault="00050BD0" w:rsidP="00050BD0">
      <w:pPr>
        <w:rPr>
          <w:sz w:val="24"/>
          <w:szCs w:val="24"/>
        </w:rPr>
      </w:pPr>
      <w:r w:rsidRPr="00AF3D2D">
        <w:rPr>
          <w:sz w:val="24"/>
          <w:szCs w:val="24"/>
        </w:rPr>
        <w:t xml:space="preserve">Pursuant to </w:t>
      </w:r>
      <w:r w:rsidRPr="00AF3D2D">
        <w:rPr>
          <w:b/>
          <w:sz w:val="24"/>
          <w:szCs w:val="24"/>
        </w:rPr>
        <w:t>Rule G-48</w:t>
      </w:r>
      <w:r w:rsidRPr="00AF3D2D">
        <w:rPr>
          <w:sz w:val="24"/>
          <w:szCs w:val="24"/>
        </w:rPr>
        <w:t xml:space="preserve">, Transactions with Sophisticated Municipal Market Professionals,  </w:t>
      </w:r>
    </w:p>
    <w:p w14:paraId="3EF478FB" w14:textId="77777777" w:rsidR="00050BD0" w:rsidRPr="00AF3D2D" w:rsidRDefault="00050BD0" w:rsidP="00050BD0">
      <w:pPr>
        <w:rPr>
          <w:sz w:val="24"/>
          <w:szCs w:val="24"/>
        </w:rPr>
      </w:pPr>
      <w:r w:rsidRPr="00AF3D2D">
        <w:rPr>
          <w:sz w:val="24"/>
          <w:szCs w:val="24"/>
        </w:rPr>
        <w:t xml:space="preserve">A broker, dealer, or municipal securities dealer’s obligations to a customer that it reasonably concludes is a Sophisticated Municipal Market Professional, or SMMP, shall be modified as follows: </w:t>
      </w:r>
      <w:r w:rsidRPr="00AF3D2D">
        <w:rPr>
          <w:sz w:val="24"/>
          <w:szCs w:val="24"/>
        </w:rPr>
        <w:cr/>
      </w:r>
    </w:p>
    <w:p w14:paraId="43D21B76" w14:textId="77777777" w:rsidR="00CC1CC0" w:rsidRPr="00AF3D2D" w:rsidRDefault="00CC1CC0" w:rsidP="00CC1CC0">
      <w:pPr>
        <w:rPr>
          <w:sz w:val="24"/>
          <w:szCs w:val="24"/>
        </w:rPr>
      </w:pPr>
      <w:r w:rsidRPr="00AF3D2D">
        <w:rPr>
          <w:sz w:val="24"/>
          <w:szCs w:val="24"/>
        </w:rPr>
        <w:t>For SMMPs, there are certain disclosures that do NOT have to be made:</w:t>
      </w:r>
    </w:p>
    <w:p w14:paraId="6E745562" w14:textId="77777777" w:rsidR="00CC1CC0" w:rsidRPr="00AF3D2D" w:rsidRDefault="00CC1CC0" w:rsidP="003E7B18">
      <w:pPr>
        <w:numPr>
          <w:ilvl w:val="0"/>
          <w:numId w:val="246"/>
        </w:numPr>
        <w:rPr>
          <w:sz w:val="24"/>
          <w:szCs w:val="24"/>
        </w:rPr>
      </w:pPr>
      <w:r w:rsidRPr="00AF3D2D">
        <w:rPr>
          <w:i/>
          <w:iCs/>
          <w:sz w:val="24"/>
          <w:szCs w:val="24"/>
        </w:rPr>
        <w:t>Time of Trade Disclosure</w:t>
      </w:r>
      <w:r w:rsidRPr="00AF3D2D">
        <w:rPr>
          <w:sz w:val="24"/>
          <w:szCs w:val="24"/>
        </w:rPr>
        <w:t xml:space="preserve"> (material information that is reasonably accessible to the market). </w:t>
      </w:r>
    </w:p>
    <w:p w14:paraId="7FFC706E" w14:textId="77777777" w:rsidR="00CC1CC0" w:rsidRPr="00AF3D2D" w:rsidRDefault="00CC1CC0" w:rsidP="003E7B18">
      <w:pPr>
        <w:numPr>
          <w:ilvl w:val="0"/>
          <w:numId w:val="246"/>
        </w:numPr>
        <w:rPr>
          <w:sz w:val="24"/>
          <w:szCs w:val="24"/>
        </w:rPr>
      </w:pPr>
      <w:r w:rsidRPr="00AF3D2D">
        <w:rPr>
          <w:i/>
          <w:iCs/>
          <w:sz w:val="24"/>
          <w:szCs w:val="24"/>
        </w:rPr>
        <w:t>Transaction Pricing</w:t>
      </w:r>
      <w:r w:rsidRPr="00AF3D2D">
        <w:rPr>
          <w:sz w:val="24"/>
          <w:szCs w:val="24"/>
        </w:rPr>
        <w:t xml:space="preserve"> (ensure that transactions meeting all of the following conditions are </w:t>
      </w:r>
      <w:r w:rsidR="00174005" w:rsidRPr="00AF3D2D">
        <w:rPr>
          <w:sz w:val="24"/>
          <w:szCs w:val="24"/>
        </w:rPr>
        <w:t>affected</w:t>
      </w:r>
      <w:r w:rsidRPr="00AF3D2D">
        <w:rPr>
          <w:sz w:val="24"/>
          <w:szCs w:val="24"/>
        </w:rPr>
        <w:t xml:space="preserve"> at fair and reasonable prices): </w:t>
      </w:r>
    </w:p>
    <w:p w14:paraId="12723874" w14:textId="77777777" w:rsidR="00CC1CC0" w:rsidRPr="00AF3D2D" w:rsidRDefault="00CC1CC0" w:rsidP="003E7B18">
      <w:pPr>
        <w:numPr>
          <w:ilvl w:val="1"/>
          <w:numId w:val="246"/>
        </w:numPr>
        <w:rPr>
          <w:sz w:val="24"/>
          <w:szCs w:val="24"/>
        </w:rPr>
      </w:pPr>
      <w:r w:rsidRPr="00AF3D2D">
        <w:rPr>
          <w:sz w:val="24"/>
          <w:szCs w:val="24"/>
        </w:rPr>
        <w:t xml:space="preserve">the transactions are non-recommended secondary market agency transactions; </w:t>
      </w:r>
    </w:p>
    <w:p w14:paraId="42EC83CC" w14:textId="77777777" w:rsidR="00CC1CC0" w:rsidRPr="00AF3D2D" w:rsidRDefault="00CC1CC0" w:rsidP="003E7B18">
      <w:pPr>
        <w:numPr>
          <w:ilvl w:val="1"/>
          <w:numId w:val="246"/>
        </w:numPr>
        <w:rPr>
          <w:sz w:val="24"/>
          <w:szCs w:val="24"/>
        </w:rPr>
      </w:pPr>
      <w:r w:rsidRPr="00AF3D2D">
        <w:rPr>
          <w:sz w:val="24"/>
          <w:szCs w:val="24"/>
        </w:rPr>
        <w:t xml:space="preserve">the broker, dealer, or municipal securities dealer's services with respect to the transactions have been explicitly limited to providing anonymity, communication, order matching, and/or clearance functions; and </w:t>
      </w:r>
    </w:p>
    <w:p w14:paraId="0688F1CB" w14:textId="77777777" w:rsidR="00CC1CC0" w:rsidRPr="00AF3D2D" w:rsidRDefault="00CC1CC0" w:rsidP="003E7B18">
      <w:pPr>
        <w:numPr>
          <w:ilvl w:val="1"/>
          <w:numId w:val="246"/>
        </w:numPr>
        <w:rPr>
          <w:sz w:val="24"/>
          <w:szCs w:val="24"/>
        </w:rPr>
      </w:pPr>
      <w:r w:rsidRPr="00AF3D2D">
        <w:rPr>
          <w:sz w:val="24"/>
          <w:szCs w:val="24"/>
        </w:rPr>
        <w:t>the broker, dealer, or municipal securities dealer does not exercise discretion as to how or when the transactions are executed.</w:t>
      </w:r>
    </w:p>
    <w:p w14:paraId="4EB0B390" w14:textId="77777777" w:rsidR="00CC1CC0" w:rsidRPr="00AF3D2D" w:rsidRDefault="00CC1CC0" w:rsidP="003E7B18">
      <w:pPr>
        <w:numPr>
          <w:ilvl w:val="0"/>
          <w:numId w:val="246"/>
        </w:numPr>
        <w:rPr>
          <w:sz w:val="24"/>
          <w:szCs w:val="24"/>
        </w:rPr>
      </w:pPr>
      <w:r w:rsidRPr="00AF3D2D">
        <w:rPr>
          <w:i/>
          <w:iCs/>
          <w:sz w:val="24"/>
          <w:szCs w:val="24"/>
        </w:rPr>
        <w:t>Suitability</w:t>
      </w:r>
      <w:r w:rsidRPr="00AF3D2D">
        <w:rPr>
          <w:sz w:val="24"/>
          <w:szCs w:val="24"/>
        </w:rPr>
        <w:t xml:space="preserve">. </w:t>
      </w:r>
      <w:r w:rsidR="009C3A57" w:rsidRPr="00AF3D2D">
        <w:rPr>
          <w:sz w:val="24"/>
          <w:szCs w:val="24"/>
        </w:rPr>
        <w:t>Company</w:t>
      </w:r>
      <w:r w:rsidRPr="00AF3D2D">
        <w:rPr>
          <w:sz w:val="24"/>
          <w:szCs w:val="24"/>
        </w:rPr>
        <w:t xml:space="preserve"> has no obligation under Rule G-19 to perform a customer-specific suitability analysis.</w:t>
      </w:r>
    </w:p>
    <w:p w14:paraId="6BE58BB4" w14:textId="77777777" w:rsidR="00CC1CC0" w:rsidRPr="00AF3D2D" w:rsidRDefault="00CC1CC0" w:rsidP="00CC1CC0">
      <w:pPr>
        <w:autoSpaceDE w:val="0"/>
        <w:autoSpaceDN w:val="0"/>
        <w:adjustRightInd w:val="0"/>
        <w:rPr>
          <w:sz w:val="24"/>
          <w:szCs w:val="24"/>
        </w:rPr>
      </w:pPr>
    </w:p>
    <w:p w14:paraId="602D63E9" w14:textId="77777777" w:rsidR="00FE1105" w:rsidRDefault="00FE1105" w:rsidP="000772F3">
      <w:pPr>
        <w:autoSpaceDE w:val="0"/>
        <w:autoSpaceDN w:val="0"/>
        <w:adjustRightInd w:val="0"/>
        <w:rPr>
          <w:sz w:val="24"/>
          <w:szCs w:val="24"/>
        </w:rPr>
      </w:pPr>
      <w:r w:rsidRPr="007D59F6">
        <w:rPr>
          <w:sz w:val="24"/>
          <w:szCs w:val="24"/>
        </w:rPr>
        <w:t>The following describes how SMMPs are treated differently from other customers under specific MSRB rules. Refer to the interpretation for more explanation of these specific applications of the SMMP concept.</w:t>
      </w:r>
    </w:p>
    <w:p w14:paraId="485ED4A9" w14:textId="77777777" w:rsidR="00FE1105" w:rsidRPr="007D59F6" w:rsidRDefault="00FE1105" w:rsidP="00F14C7B">
      <w:pPr>
        <w:autoSpaceDE w:val="0"/>
        <w:autoSpaceDN w:val="0"/>
        <w:adjustRightInd w:val="0"/>
        <w:rPr>
          <w:sz w:val="24"/>
          <w:szCs w:val="24"/>
        </w:rPr>
      </w:pPr>
    </w:p>
    <w:tbl>
      <w:tblPr>
        <w:tblW w:w="0" w:type="auto"/>
        <w:tblInd w:w="36" w:type="dxa"/>
        <w:tblLayout w:type="fixed"/>
        <w:tblCellMar>
          <w:left w:w="36" w:type="dxa"/>
          <w:right w:w="36" w:type="dxa"/>
        </w:tblCellMar>
        <w:tblLook w:val="0000" w:firstRow="0" w:lastRow="0" w:firstColumn="0" w:lastColumn="0" w:noHBand="0" w:noVBand="0"/>
      </w:tblPr>
      <w:tblGrid>
        <w:gridCol w:w="1350"/>
        <w:gridCol w:w="8009"/>
      </w:tblGrid>
      <w:tr w:rsidR="00FE1105" w:rsidRPr="007D59F6" w14:paraId="6DDD0939" w14:textId="77777777" w:rsidTr="009618B0">
        <w:tc>
          <w:tcPr>
            <w:tcW w:w="1350" w:type="dxa"/>
            <w:tcBorders>
              <w:top w:val="threeDEmboss" w:sz="6" w:space="0" w:color="auto"/>
              <w:left w:val="threeDEmboss" w:sz="6" w:space="0" w:color="auto"/>
              <w:bottom w:val="threeDEmboss" w:sz="6" w:space="0" w:color="auto"/>
              <w:right w:val="threeDEmboss" w:sz="6" w:space="0" w:color="auto"/>
            </w:tcBorders>
            <w:vAlign w:val="center"/>
          </w:tcPr>
          <w:p w14:paraId="79112A43" w14:textId="77777777" w:rsidR="00FE1105" w:rsidRPr="007D59F6" w:rsidRDefault="00FE1105" w:rsidP="008B36A4">
            <w:pPr>
              <w:autoSpaceDE w:val="0"/>
              <w:autoSpaceDN w:val="0"/>
              <w:adjustRightInd w:val="0"/>
              <w:spacing w:before="100" w:after="100"/>
              <w:rPr>
                <w:sz w:val="24"/>
                <w:szCs w:val="24"/>
              </w:rPr>
            </w:pPr>
            <w:r w:rsidRPr="007D59F6">
              <w:rPr>
                <w:b/>
                <w:bCs/>
                <w:sz w:val="24"/>
                <w:szCs w:val="24"/>
              </w:rPr>
              <w:t>Rule G-1</w:t>
            </w:r>
            <w:r w:rsidR="008B36A4">
              <w:rPr>
                <w:b/>
                <w:bCs/>
                <w:sz w:val="24"/>
                <w:szCs w:val="24"/>
              </w:rPr>
              <w:t>3</w:t>
            </w:r>
          </w:p>
        </w:tc>
        <w:tc>
          <w:tcPr>
            <w:tcW w:w="8009" w:type="dxa"/>
            <w:tcBorders>
              <w:top w:val="threeDEmboss" w:sz="6" w:space="0" w:color="auto"/>
              <w:left w:val="threeDEmboss" w:sz="6" w:space="0" w:color="auto"/>
              <w:bottom w:val="threeDEmboss" w:sz="6" w:space="0" w:color="auto"/>
              <w:right w:val="threeDEmboss" w:sz="6" w:space="0" w:color="auto"/>
            </w:tcBorders>
            <w:vAlign w:val="center"/>
          </w:tcPr>
          <w:p w14:paraId="228F4880" w14:textId="77777777" w:rsidR="00FE1105" w:rsidRPr="008B36A4" w:rsidRDefault="008B36A4" w:rsidP="00F14C7B">
            <w:pPr>
              <w:autoSpaceDE w:val="0"/>
              <w:autoSpaceDN w:val="0"/>
              <w:adjustRightInd w:val="0"/>
              <w:spacing w:before="100" w:after="100"/>
              <w:ind w:left="54"/>
              <w:rPr>
                <w:color w:val="FF0000"/>
                <w:sz w:val="24"/>
                <w:szCs w:val="24"/>
              </w:rPr>
            </w:pPr>
            <w:r w:rsidRPr="00AF3D2D">
              <w:rPr>
                <w:sz w:val="24"/>
                <w:szCs w:val="24"/>
              </w:rPr>
              <w:t>Company must apply the same standards to an SMMP's quotation as if the quotation were made by another BD or municipal securities dealer.</w:t>
            </w:r>
          </w:p>
        </w:tc>
      </w:tr>
      <w:tr w:rsidR="00FE1105" w:rsidRPr="007D59F6" w14:paraId="7B5C9B74" w14:textId="77777777" w:rsidTr="009618B0">
        <w:tc>
          <w:tcPr>
            <w:tcW w:w="1350" w:type="dxa"/>
            <w:tcBorders>
              <w:top w:val="threeDEmboss" w:sz="6" w:space="0" w:color="auto"/>
              <w:left w:val="threeDEmboss" w:sz="6" w:space="0" w:color="auto"/>
              <w:bottom w:val="threeDEmboss" w:sz="6" w:space="0" w:color="auto"/>
              <w:right w:val="threeDEmboss" w:sz="6" w:space="0" w:color="auto"/>
            </w:tcBorders>
            <w:vAlign w:val="center"/>
          </w:tcPr>
          <w:p w14:paraId="53B7CEC9" w14:textId="77777777" w:rsidR="00FE1105" w:rsidRPr="007D59F6" w:rsidRDefault="00FE1105" w:rsidP="00F14C7B">
            <w:pPr>
              <w:autoSpaceDE w:val="0"/>
              <w:autoSpaceDN w:val="0"/>
              <w:adjustRightInd w:val="0"/>
              <w:spacing w:before="100" w:after="100"/>
              <w:rPr>
                <w:sz w:val="24"/>
                <w:szCs w:val="24"/>
              </w:rPr>
            </w:pPr>
            <w:r w:rsidRPr="007D59F6">
              <w:rPr>
                <w:b/>
                <w:bCs/>
                <w:sz w:val="24"/>
                <w:szCs w:val="24"/>
              </w:rPr>
              <w:t>Rule G-18</w:t>
            </w:r>
          </w:p>
        </w:tc>
        <w:tc>
          <w:tcPr>
            <w:tcW w:w="8009" w:type="dxa"/>
            <w:tcBorders>
              <w:top w:val="threeDEmboss" w:sz="6" w:space="0" w:color="auto"/>
              <w:left w:val="threeDEmboss" w:sz="6" w:space="0" w:color="auto"/>
              <w:bottom w:val="threeDEmboss" w:sz="6" w:space="0" w:color="auto"/>
              <w:right w:val="threeDEmboss" w:sz="6" w:space="0" w:color="auto"/>
            </w:tcBorders>
            <w:vAlign w:val="center"/>
          </w:tcPr>
          <w:p w14:paraId="4D84D141" w14:textId="74AD7812" w:rsidR="00FE1105" w:rsidRPr="007D59F6" w:rsidRDefault="00FE1105" w:rsidP="00F14C7B">
            <w:pPr>
              <w:autoSpaceDE w:val="0"/>
              <w:autoSpaceDN w:val="0"/>
              <w:adjustRightInd w:val="0"/>
              <w:spacing w:before="100" w:after="100"/>
              <w:ind w:left="54"/>
              <w:rPr>
                <w:sz w:val="24"/>
                <w:szCs w:val="24"/>
              </w:rPr>
            </w:pPr>
            <w:r w:rsidRPr="007D59F6">
              <w:rPr>
                <w:sz w:val="24"/>
                <w:szCs w:val="24"/>
              </w:rPr>
              <w:t xml:space="preserve">If a </w:t>
            </w:r>
            <w:r w:rsidR="007D29D7" w:rsidRPr="007D59F6">
              <w:rPr>
                <w:sz w:val="24"/>
                <w:szCs w:val="24"/>
              </w:rPr>
              <w:t>dealer effects non-recommended secondary market transaction</w:t>
            </w:r>
            <w:r w:rsidRPr="007D59F6">
              <w:rPr>
                <w:sz w:val="24"/>
                <w:szCs w:val="24"/>
              </w:rPr>
              <w:t xml:space="preserve"> for SMMPs and its services have been explicitly limited to providing anonymity, communication, order matching, and/or clearance functions and the dealer does not exercise discretion, the dealer is not required to take further actions on individual transactions to ensure that its agency transactions are </w:t>
            </w:r>
            <w:r w:rsidR="00174005" w:rsidRPr="007D59F6">
              <w:rPr>
                <w:sz w:val="24"/>
                <w:szCs w:val="24"/>
              </w:rPr>
              <w:t>affected</w:t>
            </w:r>
            <w:r w:rsidRPr="007D59F6">
              <w:rPr>
                <w:sz w:val="24"/>
                <w:szCs w:val="24"/>
              </w:rPr>
              <w:t xml:space="preserve"> at a fair and reasonable price.</w:t>
            </w:r>
          </w:p>
        </w:tc>
      </w:tr>
      <w:tr w:rsidR="00FE1105" w:rsidRPr="007D59F6" w14:paraId="16997FFD" w14:textId="77777777" w:rsidTr="009618B0">
        <w:tc>
          <w:tcPr>
            <w:tcW w:w="1350" w:type="dxa"/>
            <w:tcBorders>
              <w:top w:val="threeDEmboss" w:sz="6" w:space="0" w:color="auto"/>
              <w:left w:val="threeDEmboss" w:sz="6" w:space="0" w:color="auto"/>
              <w:bottom w:val="threeDEmboss" w:sz="6" w:space="0" w:color="auto"/>
              <w:right w:val="threeDEmboss" w:sz="6" w:space="0" w:color="auto"/>
            </w:tcBorders>
            <w:vAlign w:val="center"/>
          </w:tcPr>
          <w:p w14:paraId="2AC4A01C" w14:textId="77777777" w:rsidR="00FE1105" w:rsidRPr="007D59F6" w:rsidRDefault="00FE1105" w:rsidP="00F14C7B">
            <w:pPr>
              <w:autoSpaceDE w:val="0"/>
              <w:autoSpaceDN w:val="0"/>
              <w:adjustRightInd w:val="0"/>
              <w:spacing w:before="100" w:after="100"/>
              <w:rPr>
                <w:sz w:val="24"/>
                <w:szCs w:val="24"/>
              </w:rPr>
            </w:pPr>
            <w:r w:rsidRPr="007D59F6">
              <w:rPr>
                <w:b/>
                <w:bCs/>
                <w:sz w:val="24"/>
                <w:szCs w:val="24"/>
              </w:rPr>
              <w:lastRenderedPageBreak/>
              <w:t>Rule G-19</w:t>
            </w:r>
          </w:p>
        </w:tc>
        <w:tc>
          <w:tcPr>
            <w:tcW w:w="8009" w:type="dxa"/>
            <w:tcBorders>
              <w:top w:val="threeDEmboss" w:sz="6" w:space="0" w:color="auto"/>
              <w:left w:val="threeDEmboss" w:sz="6" w:space="0" w:color="auto"/>
              <w:bottom w:val="threeDEmboss" w:sz="6" w:space="0" w:color="auto"/>
              <w:right w:val="threeDEmboss" w:sz="6" w:space="0" w:color="auto"/>
            </w:tcBorders>
            <w:vAlign w:val="center"/>
          </w:tcPr>
          <w:p w14:paraId="543F2C76" w14:textId="77777777" w:rsidR="00FE1105" w:rsidRPr="007D59F6" w:rsidRDefault="00FE1105" w:rsidP="00F14C7B">
            <w:pPr>
              <w:autoSpaceDE w:val="0"/>
              <w:autoSpaceDN w:val="0"/>
              <w:adjustRightInd w:val="0"/>
              <w:spacing w:before="100" w:after="100"/>
              <w:ind w:left="54"/>
              <w:rPr>
                <w:sz w:val="24"/>
                <w:szCs w:val="24"/>
              </w:rPr>
            </w:pPr>
            <w:r w:rsidRPr="007D59F6">
              <w:rPr>
                <w:sz w:val="24"/>
                <w:szCs w:val="24"/>
              </w:rPr>
              <w:t>For a recommended security, the dealer is not required to make a suitability determination.</w:t>
            </w:r>
          </w:p>
        </w:tc>
      </w:tr>
      <w:tr w:rsidR="00FE1105" w:rsidRPr="007D59F6" w14:paraId="44417E5C" w14:textId="77777777" w:rsidTr="009618B0">
        <w:tc>
          <w:tcPr>
            <w:tcW w:w="1350" w:type="dxa"/>
            <w:tcBorders>
              <w:top w:val="threeDEmboss" w:sz="6" w:space="0" w:color="auto"/>
              <w:left w:val="threeDEmboss" w:sz="6" w:space="0" w:color="auto"/>
              <w:bottom w:val="threeDEmboss" w:sz="6" w:space="0" w:color="auto"/>
              <w:right w:val="threeDEmboss" w:sz="6" w:space="0" w:color="auto"/>
            </w:tcBorders>
            <w:vAlign w:val="center"/>
          </w:tcPr>
          <w:p w14:paraId="19CFCD93" w14:textId="77777777" w:rsidR="00FE1105" w:rsidRPr="007D59F6" w:rsidRDefault="00FE1105" w:rsidP="008B36A4">
            <w:pPr>
              <w:autoSpaceDE w:val="0"/>
              <w:autoSpaceDN w:val="0"/>
              <w:adjustRightInd w:val="0"/>
              <w:spacing w:before="100" w:after="100"/>
              <w:rPr>
                <w:sz w:val="24"/>
                <w:szCs w:val="24"/>
              </w:rPr>
            </w:pPr>
            <w:r w:rsidRPr="007D59F6">
              <w:rPr>
                <w:b/>
                <w:bCs/>
                <w:sz w:val="24"/>
                <w:szCs w:val="24"/>
              </w:rPr>
              <w:t>Rule G-</w:t>
            </w:r>
            <w:r w:rsidR="008B36A4">
              <w:rPr>
                <w:b/>
                <w:bCs/>
                <w:sz w:val="24"/>
                <w:szCs w:val="24"/>
              </w:rPr>
              <w:t>48</w:t>
            </w:r>
          </w:p>
        </w:tc>
        <w:tc>
          <w:tcPr>
            <w:tcW w:w="8009" w:type="dxa"/>
            <w:tcBorders>
              <w:top w:val="threeDEmboss" w:sz="6" w:space="0" w:color="auto"/>
              <w:left w:val="threeDEmboss" w:sz="6" w:space="0" w:color="auto"/>
              <w:bottom w:val="threeDEmboss" w:sz="6" w:space="0" w:color="auto"/>
              <w:right w:val="threeDEmboss" w:sz="6" w:space="0" w:color="auto"/>
            </w:tcBorders>
            <w:vAlign w:val="center"/>
          </w:tcPr>
          <w:p w14:paraId="540E50E0" w14:textId="77777777" w:rsidR="00FE1105" w:rsidRPr="008B36A4" w:rsidRDefault="008B36A4" w:rsidP="00F14C7B">
            <w:pPr>
              <w:autoSpaceDE w:val="0"/>
              <w:autoSpaceDN w:val="0"/>
              <w:adjustRightInd w:val="0"/>
              <w:spacing w:before="100" w:after="100"/>
              <w:ind w:left="54"/>
              <w:rPr>
                <w:color w:val="FF0000"/>
                <w:sz w:val="24"/>
                <w:szCs w:val="24"/>
              </w:rPr>
            </w:pPr>
            <w:r w:rsidRPr="00AF3D2D">
              <w:rPr>
                <w:sz w:val="24"/>
                <w:szCs w:val="24"/>
              </w:rPr>
              <w:t>Time of trade disclosure, transaction pricing, and suitability obligations do not apply</w:t>
            </w:r>
          </w:p>
        </w:tc>
      </w:tr>
    </w:tbl>
    <w:p w14:paraId="1F997939" w14:textId="77777777" w:rsidR="00FE1105" w:rsidRPr="007D59F6" w:rsidRDefault="00FE1105" w:rsidP="00F14C7B">
      <w:pPr>
        <w:rPr>
          <w:sz w:val="24"/>
        </w:rPr>
      </w:pPr>
    </w:p>
    <w:p w14:paraId="5DCC4577" w14:textId="77777777" w:rsidR="000C099C" w:rsidRPr="007D59F6" w:rsidRDefault="000C099C" w:rsidP="00F14C7B">
      <w:pPr>
        <w:rPr>
          <w:sz w:val="24"/>
        </w:rPr>
      </w:pPr>
      <w:r w:rsidRPr="007D59F6">
        <w:rPr>
          <w:sz w:val="24"/>
        </w:rPr>
        <w:t>When the Company has reasonable grounds for concluding that an institutional customer (</w:t>
      </w:r>
      <w:proofErr w:type="spellStart"/>
      <w:r w:rsidRPr="007D59F6">
        <w:rPr>
          <w:sz w:val="24"/>
        </w:rPr>
        <w:t>i</w:t>
      </w:r>
      <w:proofErr w:type="spellEnd"/>
      <w:r w:rsidRPr="007D59F6">
        <w:rPr>
          <w:sz w:val="24"/>
        </w:rPr>
        <w:t xml:space="preserve">) has timely access to the publicly available material facts concerning a municipal securities transaction; (ii) is capable of independently evaluating the investment risk and market value of the municipal securities at issue; and (iii) is making independent decisions about its investments in municipal securities, and other known facts do not contradict such a conclusion, the institutional customer can be considered a sophisticated municipal market professional (“SMMP”) and </w:t>
      </w:r>
      <w:r w:rsidR="00FE1105" w:rsidRPr="007D59F6">
        <w:rPr>
          <w:sz w:val="24"/>
        </w:rPr>
        <w:t>any</w:t>
      </w:r>
      <w:r w:rsidRPr="007D59F6">
        <w:rPr>
          <w:sz w:val="24"/>
        </w:rPr>
        <w:t xml:space="preserve"> transaction will be </w:t>
      </w:r>
      <w:r w:rsidR="00FE1105" w:rsidRPr="007D59F6">
        <w:rPr>
          <w:sz w:val="24"/>
        </w:rPr>
        <w:t xml:space="preserve">evaluated </w:t>
      </w:r>
      <w:r w:rsidR="00A60EF8" w:rsidRPr="007D59F6">
        <w:rPr>
          <w:sz w:val="24"/>
        </w:rPr>
        <w:t>independently by Morris Monroe</w:t>
      </w:r>
      <w:r w:rsidRPr="007D59F6">
        <w:rPr>
          <w:sz w:val="24"/>
        </w:rPr>
        <w:t xml:space="preserve">.  </w:t>
      </w:r>
    </w:p>
    <w:p w14:paraId="0091C432" w14:textId="77777777" w:rsidR="002541B0" w:rsidRPr="007D59F6" w:rsidRDefault="002541B0" w:rsidP="00F14C7B">
      <w:pPr>
        <w:rPr>
          <w:sz w:val="24"/>
        </w:rPr>
      </w:pPr>
    </w:p>
    <w:p w14:paraId="73205D18" w14:textId="77777777" w:rsidR="002541B0" w:rsidRDefault="002541B0" w:rsidP="00F14C7B">
      <w:pPr>
        <w:rPr>
          <w:sz w:val="24"/>
        </w:rPr>
      </w:pPr>
    </w:p>
    <w:p w14:paraId="3BA064FF" w14:textId="77777777" w:rsidR="002541B0" w:rsidRDefault="002541B0" w:rsidP="00936FEE">
      <w:pPr>
        <w:pStyle w:val="Heading2"/>
      </w:pPr>
      <w:r>
        <w:t>1</w:t>
      </w:r>
      <w:r w:rsidR="007F31EA">
        <w:t>3</w:t>
      </w:r>
      <w:r>
        <w:t>.1</w:t>
      </w:r>
      <w:r w:rsidR="00FB2118">
        <w:t>4</w:t>
      </w:r>
      <w:r>
        <w:t xml:space="preserve"> MSRB Rule A-15 – Notice of Change in Status</w:t>
      </w:r>
    </w:p>
    <w:p w14:paraId="134F52A5" w14:textId="77777777" w:rsidR="002541B0" w:rsidRPr="00E503D6" w:rsidRDefault="002541B0" w:rsidP="00F14C7B">
      <w:pPr>
        <w:rPr>
          <w:sz w:val="24"/>
          <w:szCs w:val="24"/>
        </w:rPr>
      </w:pPr>
      <w:r w:rsidRPr="00E503D6">
        <w:rPr>
          <w:sz w:val="24"/>
          <w:szCs w:val="24"/>
        </w:rPr>
        <w:t xml:space="preserve">Company shall notify MSRB if it ceases to engage in municipal securities activities or, if applicable, municipal advisory activities, whether voluntarily or because it has been barred or suspended from engaging in those activities by the appropriate regulatory agency, judicial authority or otherwise.  </w:t>
      </w:r>
      <w:r w:rsidR="00FB2118" w:rsidRPr="00E503D6">
        <w:rPr>
          <w:sz w:val="24"/>
          <w:szCs w:val="24"/>
        </w:rPr>
        <w:t xml:space="preserve">Other notices required also include if </w:t>
      </w:r>
      <w:r w:rsidRPr="00E503D6">
        <w:rPr>
          <w:sz w:val="24"/>
          <w:szCs w:val="24"/>
        </w:rPr>
        <w:t>Company has been expelled or suspended from membership or participation in a registered securities association, or if applicable, a national securities exchange</w:t>
      </w:r>
      <w:r w:rsidR="00FB2118" w:rsidRPr="00E503D6">
        <w:rPr>
          <w:sz w:val="24"/>
          <w:szCs w:val="24"/>
        </w:rPr>
        <w:t>, or if there is a change in Company name or address</w:t>
      </w:r>
      <w:r w:rsidRPr="00E503D6">
        <w:rPr>
          <w:sz w:val="24"/>
          <w:szCs w:val="24"/>
        </w:rPr>
        <w:t xml:space="preserve">.  Any notification required shall be provided in a written statement setting forth Company’s name, address, Commission registration number, and a description of, and the reasons for, its change in status along with any required fees owed to the MSRB.  </w:t>
      </w:r>
    </w:p>
    <w:p w14:paraId="65224CC5" w14:textId="77777777" w:rsidR="002541B0" w:rsidRPr="00E503D6" w:rsidRDefault="002541B0" w:rsidP="00F14C7B">
      <w:pPr>
        <w:rPr>
          <w:sz w:val="24"/>
          <w:szCs w:val="24"/>
        </w:rPr>
      </w:pPr>
    </w:p>
    <w:p w14:paraId="6FE810AF" w14:textId="77777777" w:rsidR="00863E7C" w:rsidRDefault="00863E7C" w:rsidP="00F14C7B">
      <w:bookmarkStart w:id="243" w:name="_Toc153361429"/>
      <w:bookmarkStart w:id="244" w:name="_Toc153361656"/>
    </w:p>
    <w:p w14:paraId="34D4F1BA" w14:textId="77777777" w:rsidR="000C099C" w:rsidRDefault="00863E7C" w:rsidP="00936FEE">
      <w:pPr>
        <w:pStyle w:val="Heading2"/>
      </w:pPr>
      <w:r>
        <w:t>1</w:t>
      </w:r>
      <w:r w:rsidR="007F31EA">
        <w:t>3</w:t>
      </w:r>
      <w:r>
        <w:t>.1</w:t>
      </w:r>
      <w:r w:rsidR="00FB2118">
        <w:t>5</w:t>
      </w:r>
      <w:r>
        <w:t xml:space="preserve"> </w:t>
      </w:r>
      <w:bookmarkEnd w:id="243"/>
      <w:bookmarkEnd w:id="244"/>
      <w:r>
        <w:t>Municipal Funds</w:t>
      </w:r>
    </w:p>
    <w:p w14:paraId="684A32A0" w14:textId="77777777" w:rsidR="000C099C" w:rsidRDefault="000C099C" w:rsidP="00F14C7B">
      <w:pPr>
        <w:pStyle w:val="MRS"/>
        <w:jc w:val="left"/>
      </w:pPr>
      <w:r>
        <w:t xml:space="preserve">Pursuant to MSRB </w:t>
      </w:r>
      <w:r>
        <w:rPr>
          <w:b/>
          <w:bCs/>
        </w:rPr>
        <w:t>Rule G-17</w:t>
      </w:r>
      <w:r>
        <w:t xml:space="preserve">, the Company and its Associated Persons shall deal fairly with all persons and shall not engage in any deceptive, dishonest or unfair practice when considering the appropriateness of day-to-day sales practices with respect to all municipal securities transactions including municipal fund securities.  </w:t>
      </w:r>
    </w:p>
    <w:p w14:paraId="01851DF6" w14:textId="77777777" w:rsidR="000C099C" w:rsidRDefault="000C099C" w:rsidP="00F14C7B">
      <w:pPr>
        <w:rPr>
          <w:sz w:val="24"/>
        </w:rPr>
      </w:pPr>
    </w:p>
    <w:p w14:paraId="6ADB272E" w14:textId="77777777" w:rsidR="000C099C" w:rsidRDefault="00863E7C" w:rsidP="00F14C7B">
      <w:pPr>
        <w:pStyle w:val="Heading3"/>
        <w:jc w:val="left"/>
        <w:rPr>
          <w:i/>
        </w:rPr>
      </w:pPr>
      <w:r w:rsidRPr="00863E7C">
        <w:t>1</w:t>
      </w:r>
      <w:r w:rsidR="007F31EA">
        <w:t>3</w:t>
      </w:r>
      <w:r w:rsidRPr="00863E7C">
        <w:t>.1</w:t>
      </w:r>
      <w:r w:rsidR="00FB2118">
        <w:t>5</w:t>
      </w:r>
      <w:r w:rsidRPr="00863E7C">
        <w:t>.1</w:t>
      </w:r>
      <w:r w:rsidR="00AB3977">
        <w:t xml:space="preserve"> </w:t>
      </w:r>
      <w:r w:rsidR="000C099C" w:rsidRPr="00863E7C">
        <w:t>Guidelines</w:t>
      </w:r>
      <w:r w:rsidR="000C099C">
        <w:rPr>
          <w:i/>
        </w:rPr>
        <w:t>:</w:t>
      </w:r>
    </w:p>
    <w:p w14:paraId="747AEE1E" w14:textId="77777777" w:rsidR="000C099C" w:rsidRPr="007F31EA" w:rsidRDefault="000C099C" w:rsidP="00F14C7B">
      <w:pPr>
        <w:ind w:left="270"/>
        <w:rPr>
          <w:sz w:val="24"/>
        </w:rPr>
      </w:pPr>
      <w:r>
        <w:rPr>
          <w:sz w:val="24"/>
        </w:rPr>
        <w:t xml:space="preserve">Associated Persons must be </w:t>
      </w:r>
      <w:r w:rsidR="00101C7A" w:rsidRPr="007F31EA">
        <w:rPr>
          <w:sz w:val="24"/>
        </w:rPr>
        <w:t>appropriat</w:t>
      </w:r>
      <w:r w:rsidR="002E0DFB" w:rsidRPr="007F31EA">
        <w:rPr>
          <w:sz w:val="24"/>
        </w:rPr>
        <w:t>e</w:t>
      </w:r>
      <w:r w:rsidR="00101C7A" w:rsidRPr="007F31EA">
        <w:rPr>
          <w:sz w:val="24"/>
        </w:rPr>
        <w:t xml:space="preserve">ly </w:t>
      </w:r>
      <w:r w:rsidRPr="007F31EA">
        <w:rPr>
          <w:sz w:val="24"/>
        </w:rPr>
        <w:t>licensed or if the municipal sales activity of the Associated Person is limited only to transactions</w:t>
      </w:r>
      <w:r w:rsidRPr="007F31EA">
        <w:rPr>
          <w:rFonts w:ascii="Arial" w:hAnsi="Arial" w:cs="Arial"/>
        </w:rPr>
        <w:t xml:space="preserve"> </w:t>
      </w:r>
      <w:r w:rsidRPr="007F31EA">
        <w:rPr>
          <w:sz w:val="24"/>
        </w:rPr>
        <w:t xml:space="preserve">in 529 Plans, then </w:t>
      </w:r>
      <w:r w:rsidR="00B24480" w:rsidRPr="007F31EA">
        <w:rPr>
          <w:sz w:val="24"/>
        </w:rPr>
        <w:t xml:space="preserve">the SIE and </w:t>
      </w:r>
      <w:r w:rsidRPr="007F31EA">
        <w:rPr>
          <w:sz w:val="24"/>
        </w:rPr>
        <w:t>Series 6 license qualif</w:t>
      </w:r>
      <w:r w:rsidR="00B24480" w:rsidRPr="007F31EA">
        <w:rPr>
          <w:sz w:val="24"/>
        </w:rPr>
        <w:t>y</w:t>
      </w:r>
      <w:r w:rsidRPr="007F31EA">
        <w:rPr>
          <w:sz w:val="24"/>
        </w:rPr>
        <w:t xml:space="preserve">. </w:t>
      </w:r>
    </w:p>
    <w:p w14:paraId="2B0DFB8C" w14:textId="77777777" w:rsidR="000C099C" w:rsidRDefault="000C099C" w:rsidP="00F14C7B">
      <w:pPr>
        <w:ind w:left="270"/>
        <w:rPr>
          <w:sz w:val="24"/>
        </w:rPr>
      </w:pPr>
    </w:p>
    <w:p w14:paraId="5277ED12" w14:textId="4BF4DC95" w:rsidR="00140984" w:rsidRDefault="000C099C" w:rsidP="00216F83">
      <w:pPr>
        <w:pStyle w:val="MRS"/>
        <w:numPr>
          <w:ilvl w:val="0"/>
          <w:numId w:val="12"/>
        </w:numPr>
        <w:tabs>
          <w:tab w:val="clear" w:pos="810"/>
          <w:tab w:val="num" w:pos="270"/>
        </w:tabs>
        <w:ind w:left="270" w:firstLine="0"/>
        <w:jc w:val="left"/>
      </w:pPr>
      <w:r>
        <w:rPr>
          <w:b/>
          <w:bCs/>
        </w:rPr>
        <w:t>Recommend</w:t>
      </w:r>
      <w:r w:rsidR="000F63C7">
        <w:rPr>
          <w:b/>
          <w:bCs/>
        </w:rPr>
        <w:t>ing</w:t>
      </w:r>
      <w:r>
        <w:rPr>
          <w:b/>
          <w:bCs/>
        </w:rPr>
        <w:t xml:space="preserve"> Transactions</w:t>
      </w:r>
      <w:r>
        <w:t xml:space="preserve">:  Under Rule </w:t>
      </w:r>
      <w:r>
        <w:rPr>
          <w:b/>
          <w:bCs/>
        </w:rPr>
        <w:t>G-19</w:t>
      </w:r>
      <w:r>
        <w:t xml:space="preserve">, recommendations to a customer for a municipal fund transaction must be based on reasonable grounds for believing that the recommendation is suitable based upon information available from the issuer of the security or otherwise and the facts disclosed by or otherwise known about the customer.  Such factors to be considered in determining suitability are the customer’s financial status, tax status, and investment objectives, as well as any other information reasonable and necessary in making the recommendation.  Municipal securities funds are designed for a specific purpose and Associated Persons should determine that this purpose generally matches the customer’s investment objective.  In particular, Associated Persons must bear in mind the potential tax </w:t>
      </w:r>
      <w:r>
        <w:lastRenderedPageBreak/>
        <w:t xml:space="preserve">consequences of a customer purchasing a Section 529 Plan and that the customer’s investment objective may </w:t>
      </w:r>
      <w:r w:rsidR="00C7151F">
        <w:t>not involve</w:t>
      </w:r>
      <w:r>
        <w:t xml:space="preserve"> the use of such funds for qualified higher education expenses.  </w:t>
      </w:r>
    </w:p>
    <w:p w14:paraId="5DCEA2C1" w14:textId="77777777" w:rsidR="00140984" w:rsidRDefault="00140984" w:rsidP="00140984">
      <w:pPr>
        <w:pStyle w:val="MRS"/>
        <w:ind w:left="270"/>
        <w:jc w:val="left"/>
        <w:rPr>
          <w:b/>
          <w:bCs/>
        </w:rPr>
      </w:pPr>
    </w:p>
    <w:p w14:paraId="5B46B06F" w14:textId="77777777" w:rsidR="00140984" w:rsidRPr="00EA0A5B" w:rsidRDefault="000C099C" w:rsidP="00140984">
      <w:pPr>
        <w:pStyle w:val="MRS"/>
        <w:ind w:left="270"/>
        <w:jc w:val="left"/>
      </w:pPr>
      <w:r>
        <w:t xml:space="preserve">In addition, if various fund classes are offered, information about the beneficiary and the number of years until funds will be needed would be relevant in weighing which fund class to choose for a municipal fund transaction.  </w:t>
      </w:r>
      <w:r w:rsidR="00140984" w:rsidRPr="00EA0A5B">
        <w:t>Typically, 529 plans may have three or more different share classes (</w:t>
      </w:r>
      <w:r w:rsidR="00140984" w:rsidRPr="00EA0A5B">
        <w:rPr>
          <w:i/>
          <w:iCs/>
        </w:rPr>
        <w:t>e.g.,</w:t>
      </w:r>
      <w:r w:rsidR="00140984" w:rsidRPr="00EA0A5B">
        <w:t xml:space="preserve"> A, B, C) with different fees and expenses. RRs must consider whether a particular class is appropriate before recommending it to a customer. "A" shares may be more economical over a longer period of time than "C" shares that do not offer cost reductions such as breakpoints.</w:t>
      </w:r>
    </w:p>
    <w:p w14:paraId="41EB88DC" w14:textId="77777777" w:rsidR="00140984" w:rsidRDefault="00140984" w:rsidP="00140984">
      <w:pPr>
        <w:pStyle w:val="MRS"/>
        <w:ind w:left="270"/>
        <w:jc w:val="left"/>
      </w:pPr>
    </w:p>
    <w:p w14:paraId="03EE4767" w14:textId="77777777" w:rsidR="000D1284" w:rsidRDefault="000C099C" w:rsidP="00140984">
      <w:pPr>
        <w:pStyle w:val="MRS"/>
        <w:ind w:left="270"/>
        <w:jc w:val="left"/>
      </w:pPr>
      <w:r>
        <w:t xml:space="preserve">Consideration of any state income tax benefit that might be obtained by purchasing an in-state plan should be weighed against other benefits that might be provided by a recommended out-of-state plan, such as investment performance, investment choices, fees and expenses, or other factors. Excessive rollovers or transfers from one plan to another with such frequency as to lose the federal tax benefit are strictly prohibited.  </w:t>
      </w:r>
    </w:p>
    <w:p w14:paraId="6735E7F9" w14:textId="77777777" w:rsidR="000D1284" w:rsidRDefault="000D1284" w:rsidP="00140984">
      <w:pPr>
        <w:pStyle w:val="MRS"/>
        <w:ind w:left="270"/>
        <w:jc w:val="left"/>
      </w:pPr>
    </w:p>
    <w:p w14:paraId="1A112615" w14:textId="77777777" w:rsidR="000C099C" w:rsidRPr="007F31EA" w:rsidRDefault="000C099C" w:rsidP="00140984">
      <w:pPr>
        <w:pStyle w:val="MRS"/>
        <w:ind w:left="270"/>
        <w:jc w:val="left"/>
      </w:pPr>
      <w:r>
        <w:t>All 529 Plan transactions must be approved by Morris Monroe as the Municipal Principal as evidenced either on the direct application or the New Account Form as either prior or post application approval.</w:t>
      </w:r>
      <w:r>
        <w:rPr>
          <w:color w:val="FF0000"/>
        </w:rPr>
        <w:t xml:space="preserve"> </w:t>
      </w:r>
      <w:r w:rsidRPr="0035367E">
        <w:t xml:space="preserve">Approval can be post application to the </w:t>
      </w:r>
      <w:r w:rsidR="007D59F6" w:rsidRPr="0035367E">
        <w:t>fund;</w:t>
      </w:r>
      <w:r w:rsidRPr="0035367E">
        <w:t xml:space="preserve"> however, copies </w:t>
      </w:r>
      <w:r w:rsidR="00C037EF">
        <w:t xml:space="preserve">must be </w:t>
      </w:r>
      <w:r w:rsidRPr="0035367E">
        <w:t xml:space="preserve"> forwarded to the home office for post approval</w:t>
      </w:r>
      <w:r w:rsidR="00C037EF">
        <w:t xml:space="preserve"> </w:t>
      </w:r>
      <w:r w:rsidR="00C037EF" w:rsidRPr="007F31EA">
        <w:t>(which may include scanning into WinOps</w:t>
      </w:r>
      <w:r w:rsidR="00CF195B" w:rsidRPr="007F31EA">
        <w:t xml:space="preserve"> to facilitate review</w:t>
      </w:r>
      <w:r w:rsidR="00C037EF" w:rsidRPr="007F31EA">
        <w:t>).</w:t>
      </w:r>
    </w:p>
    <w:p w14:paraId="1EEEB951" w14:textId="77777777" w:rsidR="000C099C" w:rsidRPr="007F31EA" w:rsidRDefault="000C099C" w:rsidP="00F14C7B">
      <w:pPr>
        <w:pStyle w:val="MRS"/>
        <w:ind w:left="270"/>
        <w:jc w:val="left"/>
      </w:pPr>
    </w:p>
    <w:p w14:paraId="4748090E" w14:textId="77777777" w:rsidR="000C099C" w:rsidRDefault="00FC65B9" w:rsidP="00216F83">
      <w:pPr>
        <w:numPr>
          <w:ilvl w:val="0"/>
          <w:numId w:val="12"/>
        </w:numPr>
        <w:tabs>
          <w:tab w:val="clear" w:pos="810"/>
          <w:tab w:val="num" w:pos="270"/>
        </w:tabs>
        <w:ind w:left="270" w:firstLine="0"/>
        <w:rPr>
          <w:sz w:val="24"/>
        </w:rPr>
      </w:pPr>
      <w:r w:rsidRPr="007F31EA">
        <w:rPr>
          <w:b/>
          <w:bCs/>
          <w:sz w:val="24"/>
        </w:rPr>
        <w:t>Advertising Municipal Funds Securities</w:t>
      </w:r>
      <w:r w:rsidR="000C099C" w:rsidRPr="007F31EA">
        <w:rPr>
          <w:sz w:val="24"/>
        </w:rPr>
        <w:t>:  All mu</w:t>
      </w:r>
      <w:r w:rsidR="000C099C" w:rsidRPr="005D0F44">
        <w:rPr>
          <w:sz w:val="24"/>
        </w:rPr>
        <w:t xml:space="preserve">nicipal fund securities </w:t>
      </w:r>
      <w:r w:rsidR="00AA40AD" w:rsidRPr="005D0F44">
        <w:rPr>
          <w:sz w:val="24"/>
        </w:rPr>
        <w:t>retail communication</w:t>
      </w:r>
      <w:r w:rsidR="000C099C" w:rsidRPr="005D0F44">
        <w:rPr>
          <w:sz w:val="24"/>
        </w:rPr>
        <w:t xml:space="preserve"> must be submitted to the Home Office, prior to use, for approval by the Municipal principal, Morris Monroe</w:t>
      </w:r>
      <w:r w:rsidR="00416913">
        <w:rPr>
          <w:sz w:val="24"/>
        </w:rPr>
        <w:t>,</w:t>
      </w:r>
      <w:r w:rsidR="000C099C" w:rsidRPr="005D0F44">
        <w:rPr>
          <w:sz w:val="24"/>
        </w:rPr>
        <w:t xml:space="preserve"> and will be evidenced by his initials.  Pursuant to MSRB Rule </w:t>
      </w:r>
      <w:r w:rsidR="000C099C" w:rsidRPr="005D0F44">
        <w:rPr>
          <w:b/>
          <w:bCs/>
          <w:sz w:val="24"/>
        </w:rPr>
        <w:t>G-21</w:t>
      </w:r>
      <w:r w:rsidR="000C099C" w:rsidRPr="005D0F44">
        <w:rPr>
          <w:sz w:val="24"/>
        </w:rPr>
        <w:t xml:space="preserve">, all </w:t>
      </w:r>
      <w:r w:rsidR="00AA40AD" w:rsidRPr="005D0F44">
        <w:rPr>
          <w:sz w:val="24"/>
        </w:rPr>
        <w:t>retail communication</w:t>
      </w:r>
      <w:r w:rsidR="000C099C" w:rsidRPr="005D0F44">
        <w:rPr>
          <w:sz w:val="24"/>
        </w:rPr>
        <w:t xml:space="preserve"> must not publish its facilities, services, or skills with respect to municipal fund securities that is materially false or misleading or publish any material about a</w:t>
      </w:r>
      <w:r w:rsidR="000C099C">
        <w:rPr>
          <w:sz w:val="24"/>
        </w:rPr>
        <w:t xml:space="preserve"> municipal fund security known to be materially false or misleading.  Any such </w:t>
      </w:r>
      <w:r w:rsidR="00AA40AD">
        <w:rPr>
          <w:sz w:val="24"/>
        </w:rPr>
        <w:t>material</w:t>
      </w:r>
      <w:r w:rsidR="000C099C">
        <w:rPr>
          <w:sz w:val="24"/>
        </w:rPr>
        <w:t xml:space="preserve"> produced by the Company will be maintained for a period of three years as a part of the Company’s records.</w:t>
      </w:r>
    </w:p>
    <w:p w14:paraId="31903381" w14:textId="77777777" w:rsidR="006D7E40" w:rsidRDefault="006D7E40" w:rsidP="006D7E40">
      <w:pPr>
        <w:ind w:left="270"/>
        <w:rPr>
          <w:b/>
          <w:bCs/>
          <w:sz w:val="24"/>
        </w:rPr>
      </w:pPr>
    </w:p>
    <w:p w14:paraId="0414B867" w14:textId="77777777" w:rsidR="00394713" w:rsidRPr="00593EE9" w:rsidRDefault="006D7E40" w:rsidP="00394713">
      <w:pPr>
        <w:ind w:left="270"/>
        <w:rPr>
          <w:b/>
          <w:bCs/>
          <w:sz w:val="32"/>
          <w:szCs w:val="24"/>
        </w:rPr>
      </w:pPr>
      <w:r w:rsidRPr="00593EE9">
        <w:rPr>
          <w:sz w:val="24"/>
          <w:szCs w:val="24"/>
        </w:rPr>
        <w:t>The following is a summary of requirements for municipal fund securities advertising</w:t>
      </w:r>
      <w:r w:rsidR="0097710B" w:rsidRPr="00593EE9">
        <w:rPr>
          <w:sz w:val="24"/>
          <w:szCs w:val="24"/>
        </w:rPr>
        <w:t xml:space="preserve"> (o</w:t>
      </w:r>
      <w:r w:rsidRPr="00593EE9">
        <w:rPr>
          <w:sz w:val="24"/>
          <w:szCs w:val="24"/>
        </w:rPr>
        <w:t xml:space="preserve">ther conditions </w:t>
      </w:r>
      <w:r w:rsidR="0097710B" w:rsidRPr="00593EE9">
        <w:rPr>
          <w:sz w:val="24"/>
          <w:szCs w:val="24"/>
        </w:rPr>
        <w:t xml:space="preserve">may </w:t>
      </w:r>
      <w:r w:rsidRPr="00593EE9">
        <w:rPr>
          <w:sz w:val="24"/>
          <w:szCs w:val="24"/>
        </w:rPr>
        <w:t>apply</w:t>
      </w:r>
      <w:r w:rsidR="0097710B" w:rsidRPr="00593EE9">
        <w:rPr>
          <w:sz w:val="24"/>
          <w:szCs w:val="24"/>
        </w:rPr>
        <w:t>)</w:t>
      </w:r>
      <w:r w:rsidRPr="00593EE9">
        <w:rPr>
          <w:sz w:val="24"/>
          <w:szCs w:val="24"/>
        </w:rPr>
        <w:t>. Compliance approval is required prior to publication of any municipal fund advertisement.</w:t>
      </w:r>
    </w:p>
    <w:p w14:paraId="29F30769" w14:textId="77777777" w:rsidR="006D7E40" w:rsidRPr="00593EE9" w:rsidRDefault="006D7E40" w:rsidP="006D7E40">
      <w:pPr>
        <w:rPr>
          <w:sz w:val="24"/>
          <w:szCs w:val="24"/>
        </w:rPr>
      </w:pPr>
    </w:p>
    <w:tbl>
      <w:tblPr>
        <w:tblW w:w="5105" w:type="pct"/>
        <w:tblCellSpacing w:w="0" w:type="dxa"/>
        <w:tblInd w:w="26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02"/>
        <w:gridCol w:w="1755"/>
        <w:gridCol w:w="5010"/>
      </w:tblGrid>
      <w:tr w:rsidR="006D7E40" w:rsidRPr="00593EE9" w14:paraId="3CB1C547" w14:textId="77777777" w:rsidTr="006D7E40">
        <w:trPr>
          <w:tblHeader/>
          <w:tblCellSpacing w:w="0" w:type="dxa"/>
        </w:trPr>
        <w:tc>
          <w:tcPr>
            <w:tcW w:w="1427" w:type="pct"/>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6B6FFF43" w14:textId="77777777" w:rsidR="006D7E40" w:rsidRPr="00593EE9" w:rsidRDefault="006D7E40" w:rsidP="006D7E40">
            <w:pPr>
              <w:rPr>
                <w:sz w:val="24"/>
                <w:szCs w:val="24"/>
              </w:rPr>
            </w:pPr>
            <w:r w:rsidRPr="00593EE9">
              <w:rPr>
                <w:b/>
                <w:bCs/>
                <w:sz w:val="24"/>
                <w:szCs w:val="24"/>
              </w:rPr>
              <w:t>Subject</w:t>
            </w:r>
            <w:r w:rsidRPr="00593EE9">
              <w:rPr>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42A0AF6A" w14:textId="77777777" w:rsidR="006D7E40" w:rsidRPr="00593EE9" w:rsidRDefault="006D7E40" w:rsidP="006D7E40">
            <w:pPr>
              <w:rPr>
                <w:sz w:val="24"/>
                <w:szCs w:val="24"/>
              </w:rPr>
            </w:pPr>
            <w:r w:rsidRPr="00593EE9">
              <w:rPr>
                <w:b/>
                <w:bCs/>
                <w:sz w:val="24"/>
                <w:szCs w:val="24"/>
              </w:rPr>
              <w:t>Rule</w:t>
            </w:r>
            <w:r w:rsidRPr="00593EE9">
              <w:rPr>
                <w:sz w:val="24"/>
                <w:szCs w:val="24"/>
              </w:rPr>
              <w:t xml:space="preserve"> </w:t>
            </w:r>
          </w:p>
        </w:tc>
        <w:tc>
          <w:tcPr>
            <w:tcW w:w="2646" w:type="pct"/>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29765BF0" w14:textId="77777777" w:rsidR="006D7E40" w:rsidRPr="00593EE9" w:rsidRDefault="006D7E40" w:rsidP="006D7E40">
            <w:pPr>
              <w:rPr>
                <w:sz w:val="24"/>
                <w:szCs w:val="24"/>
              </w:rPr>
            </w:pPr>
            <w:r w:rsidRPr="00593EE9">
              <w:rPr>
                <w:b/>
                <w:bCs/>
                <w:sz w:val="24"/>
                <w:szCs w:val="24"/>
              </w:rPr>
              <w:t>Requirement</w:t>
            </w:r>
            <w:r w:rsidRPr="00593EE9">
              <w:rPr>
                <w:sz w:val="24"/>
                <w:szCs w:val="24"/>
              </w:rPr>
              <w:t xml:space="preserve"> </w:t>
            </w:r>
          </w:p>
        </w:tc>
      </w:tr>
      <w:tr w:rsidR="006D7E40" w:rsidRPr="00593EE9" w14:paraId="2E4D916F" w14:textId="77777777" w:rsidTr="006D7E40">
        <w:trPr>
          <w:tblCellSpacing w:w="0" w:type="dxa"/>
        </w:trPr>
        <w:tc>
          <w:tcPr>
            <w:tcW w:w="1427" w:type="pct"/>
            <w:tcBorders>
              <w:top w:val="outset" w:sz="6" w:space="0" w:color="auto"/>
              <w:left w:val="outset" w:sz="6" w:space="0" w:color="auto"/>
              <w:bottom w:val="outset" w:sz="6" w:space="0" w:color="auto"/>
              <w:right w:val="outset" w:sz="6" w:space="0" w:color="auto"/>
            </w:tcBorders>
            <w:vAlign w:val="center"/>
            <w:hideMark/>
          </w:tcPr>
          <w:p w14:paraId="0AEA0C63" w14:textId="77777777" w:rsidR="006D7E40" w:rsidRPr="00593EE9" w:rsidRDefault="006D7E40" w:rsidP="006D7E40">
            <w:pPr>
              <w:rPr>
                <w:sz w:val="24"/>
                <w:szCs w:val="24"/>
              </w:rPr>
            </w:pPr>
            <w:r w:rsidRPr="00593EE9">
              <w:rPr>
                <w:sz w:val="24"/>
                <w:szCs w:val="24"/>
              </w:rPr>
              <w:t>General product advertisement disclosures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9F267" w14:textId="77777777" w:rsidR="006D7E40" w:rsidRPr="00593EE9" w:rsidRDefault="006D7E40" w:rsidP="006D7E40">
            <w:pPr>
              <w:rPr>
                <w:sz w:val="24"/>
                <w:szCs w:val="24"/>
              </w:rPr>
            </w:pPr>
            <w:r w:rsidRPr="00593EE9">
              <w:rPr>
                <w:sz w:val="24"/>
                <w:szCs w:val="24"/>
              </w:rPr>
              <w:t>G-21(e)(</w:t>
            </w:r>
            <w:proofErr w:type="spellStart"/>
            <w:r w:rsidRPr="00593EE9">
              <w:rPr>
                <w:sz w:val="24"/>
                <w:szCs w:val="24"/>
              </w:rPr>
              <w:t>i</w:t>
            </w:r>
            <w:proofErr w:type="spellEnd"/>
            <w:r w:rsidRPr="00593EE9">
              <w:rPr>
                <w:sz w:val="24"/>
                <w:szCs w:val="24"/>
              </w:rPr>
              <w:t>)</w:t>
            </w:r>
          </w:p>
        </w:tc>
        <w:tc>
          <w:tcPr>
            <w:tcW w:w="2646" w:type="pct"/>
            <w:tcBorders>
              <w:top w:val="outset" w:sz="6" w:space="0" w:color="auto"/>
              <w:left w:val="outset" w:sz="6" w:space="0" w:color="auto"/>
              <w:bottom w:val="outset" w:sz="6" w:space="0" w:color="auto"/>
              <w:right w:val="outset" w:sz="6" w:space="0" w:color="auto"/>
            </w:tcBorders>
            <w:vAlign w:val="center"/>
            <w:hideMark/>
          </w:tcPr>
          <w:p w14:paraId="5D053B59" w14:textId="77777777" w:rsidR="006D7E40" w:rsidRPr="00593EE9" w:rsidRDefault="006D7E40" w:rsidP="0005402C">
            <w:pPr>
              <w:numPr>
                <w:ilvl w:val="0"/>
                <w:numId w:val="338"/>
              </w:numPr>
              <w:spacing w:before="100" w:beforeAutospacing="1" w:after="100" w:afterAutospacing="1"/>
              <w:rPr>
                <w:sz w:val="24"/>
                <w:szCs w:val="24"/>
              </w:rPr>
            </w:pPr>
            <w:r w:rsidRPr="00593EE9">
              <w:rPr>
                <w:sz w:val="24"/>
                <w:szCs w:val="24"/>
              </w:rPr>
              <w:t xml:space="preserve">investor considerations </w:t>
            </w:r>
          </w:p>
          <w:p w14:paraId="2CC2AEAF" w14:textId="77777777" w:rsidR="006D7E40" w:rsidRPr="00593EE9" w:rsidRDefault="006D7E40" w:rsidP="0005402C">
            <w:pPr>
              <w:numPr>
                <w:ilvl w:val="0"/>
                <w:numId w:val="338"/>
              </w:numPr>
              <w:spacing w:before="100" w:beforeAutospacing="1" w:after="100" w:afterAutospacing="1"/>
              <w:rPr>
                <w:sz w:val="24"/>
                <w:szCs w:val="24"/>
              </w:rPr>
            </w:pPr>
            <w:r w:rsidRPr="00593EE9">
              <w:rPr>
                <w:sz w:val="24"/>
                <w:szCs w:val="24"/>
              </w:rPr>
              <w:t>more information available in OS</w:t>
            </w:r>
          </w:p>
          <w:p w14:paraId="43B431E3" w14:textId="77777777" w:rsidR="006D7E40" w:rsidRPr="00593EE9" w:rsidRDefault="006D7E40" w:rsidP="0005402C">
            <w:pPr>
              <w:numPr>
                <w:ilvl w:val="0"/>
                <w:numId w:val="338"/>
              </w:numPr>
              <w:spacing w:before="100" w:beforeAutospacing="1" w:after="100" w:afterAutospacing="1"/>
              <w:rPr>
                <w:sz w:val="24"/>
                <w:szCs w:val="24"/>
              </w:rPr>
            </w:pPr>
            <w:r w:rsidRPr="00593EE9">
              <w:rPr>
                <w:sz w:val="24"/>
                <w:szCs w:val="24"/>
              </w:rPr>
              <w:t>source of OS is a BD underwriter</w:t>
            </w:r>
          </w:p>
          <w:p w14:paraId="72EAA1C9" w14:textId="77777777" w:rsidR="006D7E40" w:rsidRPr="00593EE9" w:rsidRDefault="006D7E40" w:rsidP="0005402C">
            <w:pPr>
              <w:numPr>
                <w:ilvl w:val="0"/>
                <w:numId w:val="338"/>
              </w:numPr>
              <w:spacing w:before="100" w:beforeAutospacing="1" w:after="100" w:afterAutospacing="1"/>
              <w:rPr>
                <w:sz w:val="24"/>
                <w:szCs w:val="24"/>
              </w:rPr>
            </w:pPr>
            <w:r w:rsidRPr="00593EE9">
              <w:rPr>
                <w:sz w:val="24"/>
                <w:szCs w:val="24"/>
              </w:rPr>
              <w:t>read the OS carefully</w:t>
            </w:r>
          </w:p>
        </w:tc>
      </w:tr>
      <w:tr w:rsidR="006D7E40" w:rsidRPr="00593EE9" w14:paraId="694566F4" w14:textId="77777777" w:rsidTr="006D7E40">
        <w:trPr>
          <w:tblCellSpacing w:w="0" w:type="dxa"/>
        </w:trPr>
        <w:tc>
          <w:tcPr>
            <w:tcW w:w="1427" w:type="pct"/>
            <w:tcBorders>
              <w:top w:val="outset" w:sz="6" w:space="0" w:color="auto"/>
              <w:left w:val="outset" w:sz="6" w:space="0" w:color="auto"/>
              <w:bottom w:val="outset" w:sz="6" w:space="0" w:color="auto"/>
              <w:right w:val="outset" w:sz="6" w:space="0" w:color="auto"/>
            </w:tcBorders>
            <w:vAlign w:val="center"/>
            <w:hideMark/>
          </w:tcPr>
          <w:p w14:paraId="70D11B13" w14:textId="77777777" w:rsidR="006D7E40" w:rsidRPr="00593EE9" w:rsidRDefault="006D7E40" w:rsidP="006D7E40">
            <w:pPr>
              <w:rPr>
                <w:sz w:val="24"/>
                <w:szCs w:val="24"/>
              </w:rPr>
            </w:pPr>
            <w:r w:rsidRPr="00593EE9">
              <w:rPr>
                <w:sz w:val="24"/>
                <w:szCs w:val="24"/>
              </w:rPr>
              <w:t>Product specific advertising disclosures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89A3F" w14:textId="77777777" w:rsidR="006D7E40" w:rsidRPr="00593EE9" w:rsidRDefault="006D7E40" w:rsidP="006D7E40">
            <w:pPr>
              <w:rPr>
                <w:sz w:val="24"/>
                <w:szCs w:val="24"/>
              </w:rPr>
            </w:pPr>
            <w:r w:rsidRPr="00593EE9">
              <w:rPr>
                <w:sz w:val="24"/>
                <w:szCs w:val="24"/>
              </w:rPr>
              <w:t>G-21(e)(</w:t>
            </w:r>
            <w:proofErr w:type="spellStart"/>
            <w:r w:rsidRPr="00593EE9">
              <w:rPr>
                <w:sz w:val="24"/>
                <w:szCs w:val="24"/>
              </w:rPr>
              <w:t>i</w:t>
            </w:r>
            <w:proofErr w:type="spellEnd"/>
            <w:r w:rsidRPr="00593EE9">
              <w:rPr>
                <w:sz w:val="24"/>
                <w:szCs w:val="24"/>
              </w:rPr>
              <w:t>)</w:t>
            </w:r>
          </w:p>
        </w:tc>
        <w:tc>
          <w:tcPr>
            <w:tcW w:w="2646" w:type="pct"/>
            <w:tcBorders>
              <w:top w:val="outset" w:sz="6" w:space="0" w:color="auto"/>
              <w:left w:val="outset" w:sz="6" w:space="0" w:color="auto"/>
              <w:bottom w:val="outset" w:sz="6" w:space="0" w:color="auto"/>
              <w:right w:val="outset" w:sz="6" w:space="0" w:color="auto"/>
            </w:tcBorders>
            <w:vAlign w:val="center"/>
            <w:hideMark/>
          </w:tcPr>
          <w:p w14:paraId="62121D8E" w14:textId="77777777" w:rsidR="006D7E40" w:rsidRPr="00593EE9" w:rsidRDefault="006D7E40" w:rsidP="0005402C">
            <w:pPr>
              <w:numPr>
                <w:ilvl w:val="0"/>
                <w:numId w:val="339"/>
              </w:numPr>
              <w:spacing w:before="100" w:beforeAutospacing="1" w:after="100" w:afterAutospacing="1"/>
              <w:rPr>
                <w:sz w:val="24"/>
                <w:szCs w:val="24"/>
              </w:rPr>
            </w:pPr>
            <w:r w:rsidRPr="00593EE9">
              <w:rPr>
                <w:sz w:val="24"/>
                <w:szCs w:val="24"/>
              </w:rPr>
              <w:t>source of OS if OS available</w:t>
            </w:r>
          </w:p>
          <w:p w14:paraId="6C04B30A" w14:textId="77777777" w:rsidR="006D7E40" w:rsidRPr="00593EE9" w:rsidRDefault="006D7E40" w:rsidP="0005402C">
            <w:pPr>
              <w:numPr>
                <w:ilvl w:val="0"/>
                <w:numId w:val="339"/>
              </w:numPr>
              <w:spacing w:before="100" w:beforeAutospacing="1" w:after="100" w:afterAutospacing="1"/>
              <w:rPr>
                <w:sz w:val="24"/>
                <w:szCs w:val="24"/>
              </w:rPr>
            </w:pPr>
            <w:r w:rsidRPr="00593EE9">
              <w:rPr>
                <w:sz w:val="24"/>
                <w:szCs w:val="24"/>
              </w:rPr>
              <w:t xml:space="preserve">home state plan benefits </w:t>
            </w:r>
          </w:p>
          <w:p w14:paraId="0B557A67" w14:textId="77777777" w:rsidR="006D7E40" w:rsidRPr="00593EE9" w:rsidRDefault="006D7E40" w:rsidP="0005402C">
            <w:pPr>
              <w:numPr>
                <w:ilvl w:val="0"/>
                <w:numId w:val="339"/>
              </w:numPr>
              <w:spacing w:before="100" w:beforeAutospacing="1" w:after="100" w:afterAutospacing="1"/>
              <w:rPr>
                <w:sz w:val="24"/>
                <w:szCs w:val="24"/>
              </w:rPr>
            </w:pPr>
            <w:r w:rsidRPr="00593EE9">
              <w:rPr>
                <w:sz w:val="24"/>
                <w:szCs w:val="24"/>
              </w:rPr>
              <w:t xml:space="preserve">if a money market fund, enhanced disclosure about risks for each of three categories, no FDIC guarantee, possibility </w:t>
            </w:r>
            <w:r w:rsidRPr="00593EE9">
              <w:rPr>
                <w:sz w:val="24"/>
                <w:szCs w:val="24"/>
              </w:rPr>
              <w:lastRenderedPageBreak/>
              <w:t>of loss, imposition of a liquidity fee or suspension of redemptions and no expectation the underlying fund sponsor will provide financial support to the underlying fund</w:t>
            </w:r>
          </w:p>
        </w:tc>
      </w:tr>
      <w:tr w:rsidR="006D7E40" w:rsidRPr="00593EE9" w14:paraId="17BF07A0" w14:textId="77777777" w:rsidTr="006D7E40">
        <w:trPr>
          <w:tblCellSpacing w:w="0" w:type="dxa"/>
        </w:trPr>
        <w:tc>
          <w:tcPr>
            <w:tcW w:w="1427" w:type="pct"/>
            <w:tcBorders>
              <w:top w:val="outset" w:sz="6" w:space="0" w:color="auto"/>
              <w:left w:val="outset" w:sz="6" w:space="0" w:color="auto"/>
              <w:bottom w:val="outset" w:sz="6" w:space="0" w:color="auto"/>
              <w:right w:val="outset" w:sz="6" w:space="0" w:color="auto"/>
            </w:tcBorders>
            <w:vAlign w:val="center"/>
            <w:hideMark/>
          </w:tcPr>
          <w:p w14:paraId="268B9EEB" w14:textId="77777777" w:rsidR="006D7E40" w:rsidRPr="00593EE9" w:rsidRDefault="006D7E40" w:rsidP="006D7E40">
            <w:pPr>
              <w:rPr>
                <w:sz w:val="24"/>
                <w:szCs w:val="24"/>
              </w:rPr>
            </w:pPr>
            <w:r w:rsidRPr="00593EE9">
              <w:rPr>
                <w:sz w:val="24"/>
                <w:szCs w:val="24"/>
              </w:rPr>
              <w:lastRenderedPageBreak/>
              <w:t>Performance disclosures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C7603" w14:textId="77777777" w:rsidR="006D7E40" w:rsidRPr="00593EE9" w:rsidRDefault="006D7E40" w:rsidP="006D7E40">
            <w:pPr>
              <w:rPr>
                <w:sz w:val="24"/>
                <w:szCs w:val="24"/>
              </w:rPr>
            </w:pPr>
            <w:r w:rsidRPr="00593EE9">
              <w:rPr>
                <w:sz w:val="24"/>
                <w:szCs w:val="24"/>
              </w:rPr>
              <w:t>G-21(e)(</w:t>
            </w:r>
            <w:proofErr w:type="spellStart"/>
            <w:r w:rsidRPr="00593EE9">
              <w:rPr>
                <w:sz w:val="24"/>
                <w:szCs w:val="24"/>
              </w:rPr>
              <w:t>i</w:t>
            </w:r>
            <w:proofErr w:type="spellEnd"/>
            <w:r w:rsidRPr="00593EE9">
              <w:rPr>
                <w:sz w:val="24"/>
                <w:szCs w:val="24"/>
              </w:rPr>
              <w:t>)(A)(3)(a)</w:t>
            </w:r>
          </w:p>
        </w:tc>
        <w:tc>
          <w:tcPr>
            <w:tcW w:w="2646" w:type="pct"/>
            <w:tcBorders>
              <w:top w:val="outset" w:sz="6" w:space="0" w:color="auto"/>
              <w:left w:val="outset" w:sz="6" w:space="0" w:color="auto"/>
              <w:bottom w:val="outset" w:sz="6" w:space="0" w:color="auto"/>
              <w:right w:val="outset" w:sz="6" w:space="0" w:color="auto"/>
            </w:tcBorders>
            <w:vAlign w:val="center"/>
            <w:hideMark/>
          </w:tcPr>
          <w:p w14:paraId="5728265B" w14:textId="77777777" w:rsidR="006D7E40" w:rsidRPr="00593EE9" w:rsidRDefault="006D7E40" w:rsidP="0005402C">
            <w:pPr>
              <w:numPr>
                <w:ilvl w:val="0"/>
                <w:numId w:val="340"/>
              </w:numPr>
              <w:spacing w:before="100" w:beforeAutospacing="1" w:after="100" w:afterAutospacing="1"/>
              <w:rPr>
                <w:sz w:val="24"/>
                <w:szCs w:val="24"/>
              </w:rPr>
            </w:pPr>
            <w:r w:rsidRPr="00593EE9">
              <w:rPr>
                <w:sz w:val="24"/>
                <w:szCs w:val="24"/>
              </w:rPr>
              <w:t xml:space="preserve">legend about past performance doesn't guarantee future performance </w:t>
            </w:r>
          </w:p>
          <w:p w14:paraId="3A546606" w14:textId="77777777" w:rsidR="006D7E40" w:rsidRPr="00593EE9" w:rsidRDefault="006D7E40" w:rsidP="0005402C">
            <w:pPr>
              <w:numPr>
                <w:ilvl w:val="0"/>
                <w:numId w:val="340"/>
              </w:numPr>
              <w:spacing w:before="100" w:beforeAutospacing="1" w:after="100" w:afterAutospacing="1"/>
              <w:rPr>
                <w:sz w:val="24"/>
                <w:szCs w:val="24"/>
              </w:rPr>
            </w:pPr>
            <w:r w:rsidRPr="00593EE9">
              <w:rPr>
                <w:sz w:val="24"/>
                <w:szCs w:val="24"/>
              </w:rPr>
              <w:t>investment return and value may fluctuate resulting in loss</w:t>
            </w:r>
          </w:p>
          <w:p w14:paraId="52DABC69" w14:textId="77777777" w:rsidR="006D7E40" w:rsidRPr="00593EE9" w:rsidRDefault="006D7E40" w:rsidP="0005402C">
            <w:pPr>
              <w:numPr>
                <w:ilvl w:val="0"/>
                <w:numId w:val="340"/>
              </w:numPr>
              <w:spacing w:before="100" w:beforeAutospacing="1" w:after="100" w:afterAutospacing="1"/>
              <w:rPr>
                <w:sz w:val="24"/>
                <w:szCs w:val="24"/>
              </w:rPr>
            </w:pPr>
            <w:r w:rsidRPr="00593EE9">
              <w:rPr>
                <w:sz w:val="24"/>
                <w:szCs w:val="24"/>
              </w:rPr>
              <w:t>current performance may be lower or higher than data included in advertisement</w:t>
            </w:r>
          </w:p>
          <w:p w14:paraId="2C7AE5E2" w14:textId="77777777" w:rsidR="006D7E40" w:rsidRPr="00593EE9" w:rsidRDefault="006D7E40" w:rsidP="0005402C">
            <w:pPr>
              <w:numPr>
                <w:ilvl w:val="0"/>
                <w:numId w:val="340"/>
              </w:numPr>
              <w:spacing w:before="100" w:beforeAutospacing="1" w:after="100" w:afterAutospacing="1"/>
              <w:rPr>
                <w:sz w:val="24"/>
                <w:szCs w:val="24"/>
              </w:rPr>
            </w:pPr>
            <w:r w:rsidRPr="00593EE9">
              <w:rPr>
                <w:sz w:val="24"/>
                <w:szCs w:val="24"/>
              </w:rPr>
              <w:t>if total return quoted is not current, a toll-free number or website where more current information is available</w:t>
            </w:r>
          </w:p>
          <w:p w14:paraId="01D1CB7F" w14:textId="77777777" w:rsidR="006D7E40" w:rsidRPr="00593EE9" w:rsidRDefault="006D7E40" w:rsidP="0005402C">
            <w:pPr>
              <w:numPr>
                <w:ilvl w:val="0"/>
                <w:numId w:val="340"/>
              </w:numPr>
              <w:spacing w:before="100" w:beforeAutospacing="1" w:after="100" w:afterAutospacing="1"/>
              <w:rPr>
                <w:sz w:val="24"/>
                <w:szCs w:val="24"/>
              </w:rPr>
            </w:pPr>
            <w:r w:rsidRPr="00593EE9">
              <w:rPr>
                <w:sz w:val="24"/>
                <w:szCs w:val="24"/>
              </w:rPr>
              <w:t>may provide a hyperlink to a web site including current total return quotations</w:t>
            </w:r>
          </w:p>
          <w:p w14:paraId="68788A0C" w14:textId="77777777" w:rsidR="006D7E40" w:rsidRPr="00593EE9" w:rsidRDefault="006D7E40" w:rsidP="0005402C">
            <w:pPr>
              <w:numPr>
                <w:ilvl w:val="0"/>
                <w:numId w:val="340"/>
              </w:numPr>
              <w:spacing w:before="100" w:beforeAutospacing="1" w:after="100" w:afterAutospacing="1"/>
              <w:rPr>
                <w:sz w:val="24"/>
                <w:szCs w:val="24"/>
              </w:rPr>
            </w:pPr>
            <w:r w:rsidRPr="00593EE9">
              <w:rPr>
                <w:sz w:val="24"/>
                <w:szCs w:val="24"/>
              </w:rPr>
              <w:t>if sales load or nonrecurring fee is charged, maximum amount and if not included in performance statements, disclosure is not included</w:t>
            </w:r>
          </w:p>
          <w:p w14:paraId="7354D011" w14:textId="77777777" w:rsidR="006D7E40" w:rsidRPr="00593EE9" w:rsidRDefault="006D7E40" w:rsidP="0005402C">
            <w:pPr>
              <w:numPr>
                <w:ilvl w:val="0"/>
                <w:numId w:val="340"/>
              </w:numPr>
              <w:spacing w:before="100" w:beforeAutospacing="1" w:after="100" w:afterAutospacing="1"/>
              <w:rPr>
                <w:sz w:val="24"/>
                <w:szCs w:val="24"/>
              </w:rPr>
            </w:pPr>
            <w:r w:rsidRPr="00593EE9">
              <w:rPr>
                <w:sz w:val="24"/>
                <w:szCs w:val="24"/>
              </w:rPr>
              <w:t>total annual operating expense ratio (except for money market funds)</w:t>
            </w:r>
          </w:p>
        </w:tc>
      </w:tr>
      <w:tr w:rsidR="006D7E40" w:rsidRPr="00593EE9" w14:paraId="16F51816" w14:textId="77777777" w:rsidTr="006D7E40">
        <w:trPr>
          <w:tblCellSpacing w:w="0" w:type="dxa"/>
        </w:trPr>
        <w:tc>
          <w:tcPr>
            <w:tcW w:w="1427" w:type="pct"/>
            <w:tcBorders>
              <w:top w:val="outset" w:sz="6" w:space="0" w:color="auto"/>
              <w:left w:val="outset" w:sz="6" w:space="0" w:color="auto"/>
              <w:bottom w:val="outset" w:sz="6" w:space="0" w:color="auto"/>
              <w:right w:val="outset" w:sz="6" w:space="0" w:color="auto"/>
            </w:tcBorders>
            <w:vAlign w:val="center"/>
            <w:hideMark/>
          </w:tcPr>
          <w:p w14:paraId="16944AE3" w14:textId="77777777" w:rsidR="006D7E40" w:rsidRPr="00593EE9" w:rsidRDefault="006D7E40" w:rsidP="006D7E40">
            <w:pPr>
              <w:rPr>
                <w:sz w:val="24"/>
                <w:szCs w:val="24"/>
              </w:rPr>
            </w:pPr>
            <w:r w:rsidRPr="00593EE9">
              <w:rPr>
                <w:sz w:val="24"/>
                <w:szCs w:val="24"/>
              </w:rPr>
              <w:t>Out-of-State disclosures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99E10" w14:textId="77777777" w:rsidR="006D7E40" w:rsidRPr="00593EE9" w:rsidRDefault="006D7E40" w:rsidP="006D7E40">
            <w:pPr>
              <w:rPr>
                <w:sz w:val="24"/>
                <w:szCs w:val="24"/>
              </w:rPr>
            </w:pPr>
            <w:r w:rsidRPr="00593EE9">
              <w:rPr>
                <w:sz w:val="24"/>
                <w:szCs w:val="24"/>
              </w:rPr>
              <w:t>G-21(e)(</w:t>
            </w:r>
            <w:proofErr w:type="spellStart"/>
            <w:r w:rsidRPr="00593EE9">
              <w:rPr>
                <w:sz w:val="24"/>
                <w:szCs w:val="24"/>
              </w:rPr>
              <w:t>i</w:t>
            </w:r>
            <w:proofErr w:type="spellEnd"/>
            <w:r w:rsidRPr="00593EE9">
              <w:rPr>
                <w:sz w:val="24"/>
                <w:szCs w:val="24"/>
              </w:rPr>
              <w:t>)(A)(2)(b)</w:t>
            </w:r>
          </w:p>
        </w:tc>
        <w:tc>
          <w:tcPr>
            <w:tcW w:w="2646" w:type="pct"/>
            <w:tcBorders>
              <w:top w:val="outset" w:sz="6" w:space="0" w:color="auto"/>
              <w:left w:val="outset" w:sz="6" w:space="0" w:color="auto"/>
              <w:bottom w:val="outset" w:sz="6" w:space="0" w:color="auto"/>
              <w:right w:val="outset" w:sz="6" w:space="0" w:color="auto"/>
            </w:tcBorders>
            <w:vAlign w:val="center"/>
            <w:hideMark/>
          </w:tcPr>
          <w:p w14:paraId="56019D1C" w14:textId="77777777" w:rsidR="006D7E40" w:rsidRPr="00593EE9" w:rsidRDefault="006D7E40" w:rsidP="0005402C">
            <w:pPr>
              <w:numPr>
                <w:ilvl w:val="0"/>
                <w:numId w:val="341"/>
              </w:numPr>
              <w:spacing w:before="100" w:beforeAutospacing="1" w:after="100" w:afterAutospacing="1"/>
              <w:rPr>
                <w:sz w:val="24"/>
                <w:szCs w:val="24"/>
              </w:rPr>
            </w:pPr>
            <w:r w:rsidRPr="00593EE9">
              <w:rPr>
                <w:sz w:val="24"/>
                <w:szCs w:val="24"/>
              </w:rPr>
              <w:t>whether home state offers other benefits such as financial aid, scholarship funds, and protection from creditors</w:t>
            </w:r>
          </w:p>
        </w:tc>
      </w:tr>
      <w:tr w:rsidR="006D7E40" w:rsidRPr="00593EE9" w14:paraId="73812946" w14:textId="77777777" w:rsidTr="006D7E40">
        <w:trPr>
          <w:tblCellSpacing w:w="0" w:type="dxa"/>
        </w:trPr>
        <w:tc>
          <w:tcPr>
            <w:tcW w:w="1427" w:type="pct"/>
            <w:tcBorders>
              <w:top w:val="outset" w:sz="6" w:space="0" w:color="auto"/>
              <w:left w:val="outset" w:sz="6" w:space="0" w:color="auto"/>
              <w:bottom w:val="outset" w:sz="6" w:space="0" w:color="auto"/>
              <w:right w:val="outset" w:sz="6" w:space="0" w:color="auto"/>
            </w:tcBorders>
            <w:vAlign w:val="center"/>
            <w:hideMark/>
          </w:tcPr>
          <w:p w14:paraId="53A9C075" w14:textId="77777777" w:rsidR="006D7E40" w:rsidRPr="00593EE9" w:rsidRDefault="006D7E40" w:rsidP="006D7E40">
            <w:pPr>
              <w:rPr>
                <w:sz w:val="24"/>
                <w:szCs w:val="24"/>
              </w:rPr>
            </w:pPr>
            <w:r w:rsidRPr="00593EE9">
              <w:rPr>
                <w:sz w:val="24"/>
                <w:szCs w:val="24"/>
              </w:rPr>
              <w:t>Format of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938BF" w14:textId="77777777" w:rsidR="006D7E40" w:rsidRPr="00593EE9" w:rsidRDefault="006D7E40" w:rsidP="006D7E40">
            <w:pPr>
              <w:rPr>
                <w:sz w:val="24"/>
                <w:szCs w:val="24"/>
              </w:rPr>
            </w:pPr>
            <w:r w:rsidRPr="00593EE9">
              <w:rPr>
                <w:sz w:val="24"/>
                <w:szCs w:val="24"/>
              </w:rPr>
              <w:t>G-21(e)(</w:t>
            </w:r>
            <w:proofErr w:type="spellStart"/>
            <w:r w:rsidRPr="00593EE9">
              <w:rPr>
                <w:sz w:val="24"/>
                <w:szCs w:val="24"/>
              </w:rPr>
              <w:t>i</w:t>
            </w:r>
            <w:proofErr w:type="spellEnd"/>
            <w:r w:rsidRPr="00593EE9">
              <w:rPr>
                <w:sz w:val="24"/>
                <w:szCs w:val="24"/>
              </w:rPr>
              <w:t>)(4)</w:t>
            </w:r>
          </w:p>
        </w:tc>
        <w:tc>
          <w:tcPr>
            <w:tcW w:w="2646" w:type="pct"/>
            <w:tcBorders>
              <w:top w:val="outset" w:sz="6" w:space="0" w:color="auto"/>
              <w:left w:val="outset" w:sz="6" w:space="0" w:color="auto"/>
              <w:bottom w:val="outset" w:sz="6" w:space="0" w:color="auto"/>
              <w:right w:val="outset" w:sz="6" w:space="0" w:color="auto"/>
            </w:tcBorders>
            <w:vAlign w:val="center"/>
            <w:hideMark/>
          </w:tcPr>
          <w:p w14:paraId="3E12D4F9" w14:textId="77777777" w:rsidR="006D7E40" w:rsidRPr="00593EE9" w:rsidRDefault="006D7E40" w:rsidP="006D7E40">
            <w:pPr>
              <w:rPr>
                <w:sz w:val="24"/>
                <w:szCs w:val="24"/>
              </w:rPr>
            </w:pPr>
            <w:r w:rsidRPr="00593EE9">
              <w:rPr>
                <w:sz w:val="24"/>
                <w:szCs w:val="24"/>
              </w:rPr>
              <w:t>Differing requirements for print and other advertising</w:t>
            </w:r>
          </w:p>
        </w:tc>
      </w:tr>
      <w:tr w:rsidR="006D7E40" w:rsidRPr="00593EE9" w14:paraId="2819BAEA" w14:textId="77777777" w:rsidTr="006D7E40">
        <w:trPr>
          <w:tblCellSpacing w:w="0" w:type="dxa"/>
        </w:trPr>
        <w:tc>
          <w:tcPr>
            <w:tcW w:w="1427" w:type="pct"/>
            <w:tcBorders>
              <w:top w:val="outset" w:sz="6" w:space="0" w:color="auto"/>
              <w:left w:val="outset" w:sz="6" w:space="0" w:color="auto"/>
              <w:bottom w:val="outset" w:sz="6" w:space="0" w:color="auto"/>
              <w:right w:val="outset" w:sz="6" w:space="0" w:color="auto"/>
            </w:tcBorders>
            <w:vAlign w:val="center"/>
            <w:hideMark/>
          </w:tcPr>
          <w:p w14:paraId="3D1953F2" w14:textId="77777777" w:rsidR="006D7E40" w:rsidRPr="00593EE9" w:rsidRDefault="006D7E40" w:rsidP="006D7E40">
            <w:pPr>
              <w:rPr>
                <w:sz w:val="24"/>
                <w:szCs w:val="24"/>
              </w:rPr>
            </w:pPr>
            <w:r w:rsidRPr="00593EE9">
              <w:rPr>
                <w:sz w:val="24"/>
                <w:szCs w:val="24"/>
              </w:rPr>
              <w:t>Generic advertising (does not refer by name to any specific investment option or portfolio but includes name of dealer or other sponsor of the advertisement)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64BF3" w14:textId="77777777" w:rsidR="006D7E40" w:rsidRPr="00593EE9" w:rsidRDefault="006D7E40" w:rsidP="006D7E40">
            <w:pPr>
              <w:rPr>
                <w:sz w:val="24"/>
                <w:szCs w:val="24"/>
              </w:rPr>
            </w:pPr>
            <w:r w:rsidRPr="00593EE9">
              <w:rPr>
                <w:sz w:val="24"/>
                <w:szCs w:val="24"/>
              </w:rPr>
              <w:t>G-21(e)(</w:t>
            </w:r>
            <w:proofErr w:type="spellStart"/>
            <w:r w:rsidRPr="00593EE9">
              <w:rPr>
                <w:sz w:val="24"/>
                <w:szCs w:val="24"/>
              </w:rPr>
              <w:t>i</w:t>
            </w:r>
            <w:proofErr w:type="spellEnd"/>
            <w:r w:rsidRPr="00593EE9">
              <w:rPr>
                <w:sz w:val="24"/>
                <w:szCs w:val="24"/>
              </w:rPr>
              <w:t>)(B)(1)</w:t>
            </w:r>
          </w:p>
        </w:tc>
        <w:tc>
          <w:tcPr>
            <w:tcW w:w="2646" w:type="pct"/>
            <w:tcBorders>
              <w:top w:val="outset" w:sz="6" w:space="0" w:color="auto"/>
              <w:left w:val="outset" w:sz="6" w:space="0" w:color="auto"/>
              <w:bottom w:val="outset" w:sz="6" w:space="0" w:color="auto"/>
              <w:right w:val="outset" w:sz="6" w:space="0" w:color="auto"/>
            </w:tcBorders>
            <w:vAlign w:val="center"/>
            <w:hideMark/>
          </w:tcPr>
          <w:p w14:paraId="5F8C655E" w14:textId="77777777" w:rsidR="006D7E40" w:rsidRPr="00593EE9" w:rsidRDefault="006D7E40" w:rsidP="006D7E40">
            <w:pPr>
              <w:rPr>
                <w:sz w:val="24"/>
                <w:szCs w:val="24"/>
              </w:rPr>
            </w:pPr>
            <w:r w:rsidRPr="00593EE9">
              <w:rPr>
                <w:sz w:val="24"/>
                <w:szCs w:val="24"/>
              </w:rPr>
              <w:t>Does not require general disclosures</w:t>
            </w:r>
          </w:p>
        </w:tc>
      </w:tr>
      <w:tr w:rsidR="006D7E40" w:rsidRPr="00593EE9" w14:paraId="788C7DCA" w14:textId="77777777" w:rsidTr="006D7E40">
        <w:trPr>
          <w:tblCellSpacing w:w="0" w:type="dxa"/>
        </w:trPr>
        <w:tc>
          <w:tcPr>
            <w:tcW w:w="1427" w:type="pct"/>
            <w:tcBorders>
              <w:top w:val="outset" w:sz="6" w:space="0" w:color="auto"/>
              <w:left w:val="outset" w:sz="6" w:space="0" w:color="auto"/>
              <w:bottom w:val="outset" w:sz="6" w:space="0" w:color="auto"/>
              <w:right w:val="outset" w:sz="6" w:space="0" w:color="auto"/>
            </w:tcBorders>
            <w:vAlign w:val="center"/>
            <w:hideMark/>
          </w:tcPr>
          <w:p w14:paraId="7E246ED5" w14:textId="77777777" w:rsidR="006D7E40" w:rsidRPr="00593EE9" w:rsidRDefault="006D7E40" w:rsidP="006D7E40">
            <w:pPr>
              <w:rPr>
                <w:sz w:val="24"/>
                <w:szCs w:val="24"/>
              </w:rPr>
            </w:pPr>
            <w:r w:rsidRPr="00593EE9">
              <w:rPr>
                <w:sz w:val="24"/>
                <w:szCs w:val="24"/>
              </w:rPr>
              <w:t>Blind advertisements (promote an issuer and its public purpose without naming a product or dealer)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CDAB0" w14:textId="77777777" w:rsidR="006D7E40" w:rsidRPr="00593EE9" w:rsidRDefault="006D7E40" w:rsidP="006D7E40">
            <w:pPr>
              <w:rPr>
                <w:sz w:val="24"/>
                <w:szCs w:val="24"/>
              </w:rPr>
            </w:pPr>
            <w:r w:rsidRPr="00593EE9">
              <w:rPr>
                <w:sz w:val="24"/>
                <w:szCs w:val="24"/>
              </w:rPr>
              <w:t>G-21(e)(</w:t>
            </w:r>
            <w:proofErr w:type="spellStart"/>
            <w:r w:rsidRPr="00593EE9">
              <w:rPr>
                <w:sz w:val="24"/>
                <w:szCs w:val="24"/>
              </w:rPr>
              <w:t>i</w:t>
            </w:r>
            <w:proofErr w:type="spellEnd"/>
            <w:r w:rsidRPr="00593EE9">
              <w:rPr>
                <w:sz w:val="24"/>
                <w:szCs w:val="24"/>
              </w:rPr>
              <w:t>)(B)(2)</w:t>
            </w:r>
          </w:p>
        </w:tc>
        <w:tc>
          <w:tcPr>
            <w:tcW w:w="2646" w:type="pct"/>
            <w:tcBorders>
              <w:top w:val="outset" w:sz="6" w:space="0" w:color="auto"/>
              <w:left w:val="outset" w:sz="6" w:space="0" w:color="auto"/>
              <w:bottom w:val="outset" w:sz="6" w:space="0" w:color="auto"/>
              <w:right w:val="outset" w:sz="6" w:space="0" w:color="auto"/>
            </w:tcBorders>
            <w:vAlign w:val="center"/>
            <w:hideMark/>
          </w:tcPr>
          <w:p w14:paraId="261E6EC7" w14:textId="77777777" w:rsidR="006D7E40" w:rsidRPr="00593EE9" w:rsidRDefault="006D7E40" w:rsidP="006D7E40">
            <w:pPr>
              <w:rPr>
                <w:sz w:val="24"/>
                <w:szCs w:val="24"/>
              </w:rPr>
            </w:pPr>
            <w:r w:rsidRPr="00593EE9">
              <w:rPr>
                <w:sz w:val="24"/>
                <w:szCs w:val="24"/>
              </w:rPr>
              <w:t>Does not require general disclosures</w:t>
            </w:r>
          </w:p>
        </w:tc>
      </w:tr>
      <w:tr w:rsidR="006D7E40" w:rsidRPr="00593EE9" w14:paraId="052EBE63" w14:textId="77777777" w:rsidTr="006D7E40">
        <w:trPr>
          <w:tblCellSpacing w:w="0" w:type="dxa"/>
        </w:trPr>
        <w:tc>
          <w:tcPr>
            <w:tcW w:w="1427" w:type="pct"/>
            <w:tcBorders>
              <w:top w:val="outset" w:sz="6" w:space="0" w:color="auto"/>
              <w:left w:val="outset" w:sz="6" w:space="0" w:color="auto"/>
              <w:bottom w:val="outset" w:sz="6" w:space="0" w:color="auto"/>
              <w:right w:val="outset" w:sz="6" w:space="0" w:color="auto"/>
            </w:tcBorders>
            <w:vAlign w:val="center"/>
            <w:hideMark/>
          </w:tcPr>
          <w:p w14:paraId="40C2A2BF" w14:textId="77777777" w:rsidR="006D7E40" w:rsidRPr="00593EE9" w:rsidRDefault="006D7E40" w:rsidP="006D7E40">
            <w:pPr>
              <w:rPr>
                <w:sz w:val="24"/>
                <w:szCs w:val="24"/>
              </w:rPr>
            </w:pPr>
            <w:r w:rsidRPr="00593EE9">
              <w:rPr>
                <w:sz w:val="24"/>
                <w:szCs w:val="24"/>
              </w:rPr>
              <w:lastRenderedPageBreak/>
              <w:t>Annual financial reports or similar information required by state law, rules, or regulations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A56AD" w14:textId="77777777" w:rsidR="006D7E40" w:rsidRPr="00593EE9" w:rsidRDefault="006D7E40" w:rsidP="006D7E40">
            <w:pPr>
              <w:rPr>
                <w:sz w:val="24"/>
                <w:szCs w:val="24"/>
              </w:rPr>
            </w:pPr>
          </w:p>
        </w:tc>
        <w:tc>
          <w:tcPr>
            <w:tcW w:w="2646" w:type="pct"/>
            <w:tcBorders>
              <w:top w:val="outset" w:sz="6" w:space="0" w:color="auto"/>
              <w:left w:val="outset" w:sz="6" w:space="0" w:color="auto"/>
              <w:bottom w:val="outset" w:sz="6" w:space="0" w:color="auto"/>
              <w:right w:val="outset" w:sz="6" w:space="0" w:color="auto"/>
            </w:tcBorders>
            <w:vAlign w:val="center"/>
            <w:hideMark/>
          </w:tcPr>
          <w:p w14:paraId="0A0BE3CC" w14:textId="77777777" w:rsidR="006D7E40" w:rsidRPr="00593EE9" w:rsidRDefault="006D7E40" w:rsidP="006D7E40">
            <w:pPr>
              <w:rPr>
                <w:sz w:val="24"/>
                <w:szCs w:val="24"/>
              </w:rPr>
            </w:pPr>
            <w:r w:rsidRPr="00593EE9">
              <w:rPr>
                <w:sz w:val="24"/>
                <w:szCs w:val="24"/>
              </w:rPr>
              <w:t>Not considered an advertisement if provided solely as required by state laws, rules, or regulations</w:t>
            </w:r>
          </w:p>
        </w:tc>
      </w:tr>
      <w:tr w:rsidR="006D7E40" w:rsidRPr="00593EE9" w14:paraId="3633AFE3" w14:textId="77777777" w:rsidTr="006D7E40">
        <w:trPr>
          <w:tblCellSpacing w:w="0" w:type="dxa"/>
        </w:trPr>
        <w:tc>
          <w:tcPr>
            <w:tcW w:w="1427" w:type="pct"/>
            <w:tcBorders>
              <w:top w:val="outset" w:sz="6" w:space="0" w:color="auto"/>
              <w:left w:val="outset" w:sz="6" w:space="0" w:color="auto"/>
              <w:bottom w:val="outset" w:sz="6" w:space="0" w:color="auto"/>
              <w:right w:val="outset" w:sz="6" w:space="0" w:color="auto"/>
            </w:tcBorders>
            <w:vAlign w:val="center"/>
            <w:hideMark/>
          </w:tcPr>
          <w:p w14:paraId="6D4A950F" w14:textId="77777777" w:rsidR="006D7E40" w:rsidRPr="00593EE9" w:rsidRDefault="006D7E40" w:rsidP="006D7E40">
            <w:pPr>
              <w:rPr>
                <w:sz w:val="24"/>
                <w:szCs w:val="24"/>
              </w:rPr>
            </w:pPr>
            <w:r w:rsidRPr="00593EE9">
              <w:rPr>
                <w:sz w:val="24"/>
                <w:szCs w:val="24"/>
              </w:rPr>
              <w:t>Communications with existing customers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54A05" w14:textId="77777777" w:rsidR="006D7E40" w:rsidRPr="00593EE9" w:rsidRDefault="006D7E40" w:rsidP="006D7E40">
            <w:pPr>
              <w:rPr>
                <w:sz w:val="24"/>
                <w:szCs w:val="24"/>
              </w:rPr>
            </w:pPr>
            <w:r w:rsidRPr="00593EE9">
              <w:rPr>
                <w:sz w:val="24"/>
                <w:szCs w:val="24"/>
              </w:rPr>
              <w:t>G-21(e)(</w:t>
            </w:r>
            <w:proofErr w:type="spellStart"/>
            <w:r w:rsidRPr="00593EE9">
              <w:rPr>
                <w:sz w:val="24"/>
                <w:szCs w:val="24"/>
              </w:rPr>
              <w:t>i</w:t>
            </w:r>
            <w:proofErr w:type="spellEnd"/>
            <w:r w:rsidRPr="00593EE9">
              <w:rPr>
                <w:sz w:val="24"/>
                <w:szCs w:val="24"/>
              </w:rPr>
              <w:t>)(B)(3)</w:t>
            </w:r>
          </w:p>
        </w:tc>
        <w:tc>
          <w:tcPr>
            <w:tcW w:w="2646" w:type="pct"/>
            <w:tcBorders>
              <w:top w:val="outset" w:sz="6" w:space="0" w:color="auto"/>
              <w:left w:val="outset" w:sz="6" w:space="0" w:color="auto"/>
              <w:bottom w:val="outset" w:sz="6" w:space="0" w:color="auto"/>
              <w:right w:val="outset" w:sz="6" w:space="0" w:color="auto"/>
            </w:tcBorders>
            <w:vAlign w:val="center"/>
            <w:hideMark/>
          </w:tcPr>
          <w:p w14:paraId="3A359F79" w14:textId="77777777" w:rsidR="006D7E40" w:rsidRPr="00593EE9" w:rsidRDefault="006D7E40" w:rsidP="006D7E40">
            <w:pPr>
              <w:rPr>
                <w:sz w:val="24"/>
                <w:szCs w:val="24"/>
              </w:rPr>
            </w:pPr>
            <w:r w:rsidRPr="00593EE9">
              <w:rPr>
                <w:sz w:val="24"/>
                <w:szCs w:val="24"/>
              </w:rPr>
              <w:t>Permits form letters that omit some or all required disclosures if sent to existing customers who have previously invested in municipal fund securities</w:t>
            </w:r>
          </w:p>
        </w:tc>
      </w:tr>
      <w:tr w:rsidR="006D7E40" w:rsidRPr="00593EE9" w14:paraId="6AD57C8E" w14:textId="77777777" w:rsidTr="006D7E40">
        <w:trPr>
          <w:tblCellSpacing w:w="0" w:type="dxa"/>
        </w:trPr>
        <w:tc>
          <w:tcPr>
            <w:tcW w:w="1427" w:type="pct"/>
            <w:tcBorders>
              <w:top w:val="outset" w:sz="6" w:space="0" w:color="auto"/>
              <w:left w:val="outset" w:sz="6" w:space="0" w:color="auto"/>
              <w:bottom w:val="outset" w:sz="6" w:space="0" w:color="auto"/>
              <w:right w:val="outset" w:sz="6" w:space="0" w:color="auto"/>
            </w:tcBorders>
            <w:vAlign w:val="center"/>
            <w:hideMark/>
          </w:tcPr>
          <w:p w14:paraId="77EF6384" w14:textId="77777777" w:rsidR="006D7E40" w:rsidRPr="00593EE9" w:rsidRDefault="006D7E40" w:rsidP="006D7E40">
            <w:pPr>
              <w:rPr>
                <w:sz w:val="24"/>
                <w:szCs w:val="24"/>
              </w:rPr>
            </w:pPr>
            <w:r w:rsidRPr="00593EE9">
              <w:rPr>
                <w:sz w:val="24"/>
                <w:szCs w:val="24"/>
              </w:rPr>
              <w:t>Tax-related disclosures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9A6CE" w14:textId="77777777" w:rsidR="006D7E40" w:rsidRPr="00593EE9" w:rsidRDefault="006D7E40" w:rsidP="006D7E40">
            <w:pPr>
              <w:rPr>
                <w:sz w:val="24"/>
                <w:szCs w:val="24"/>
              </w:rPr>
            </w:pPr>
            <w:r w:rsidRPr="00593EE9">
              <w:rPr>
                <w:sz w:val="24"/>
                <w:szCs w:val="24"/>
              </w:rPr>
              <w:t>G-21(e)(v)</w:t>
            </w:r>
          </w:p>
        </w:tc>
        <w:tc>
          <w:tcPr>
            <w:tcW w:w="2646" w:type="pct"/>
            <w:tcBorders>
              <w:top w:val="outset" w:sz="6" w:space="0" w:color="auto"/>
              <w:left w:val="outset" w:sz="6" w:space="0" w:color="auto"/>
              <w:bottom w:val="outset" w:sz="6" w:space="0" w:color="auto"/>
              <w:right w:val="outset" w:sz="6" w:space="0" w:color="auto"/>
            </w:tcBorders>
            <w:vAlign w:val="center"/>
            <w:hideMark/>
          </w:tcPr>
          <w:p w14:paraId="1410FD63" w14:textId="77777777" w:rsidR="006D7E40" w:rsidRPr="00593EE9" w:rsidRDefault="006D7E40" w:rsidP="006D7E40">
            <w:pPr>
              <w:rPr>
                <w:sz w:val="24"/>
                <w:szCs w:val="24"/>
              </w:rPr>
            </w:pPr>
            <w:r w:rsidRPr="00593EE9">
              <w:rPr>
                <w:sz w:val="24"/>
                <w:szCs w:val="24"/>
              </w:rPr>
              <w:t xml:space="preserve">If a product advertisement discusses tax benefits, include disclosure that benefits may be conditioned on meeting certain requirements and if specific benefits are described, include the factors that may materially limit their availability </w:t>
            </w:r>
          </w:p>
        </w:tc>
      </w:tr>
    </w:tbl>
    <w:p w14:paraId="1B183944" w14:textId="77777777" w:rsidR="006D7E40" w:rsidRPr="007F31EA" w:rsidRDefault="006D7E40" w:rsidP="00394713">
      <w:pPr>
        <w:ind w:left="270"/>
        <w:rPr>
          <w:b/>
          <w:bCs/>
          <w:sz w:val="24"/>
        </w:rPr>
      </w:pPr>
    </w:p>
    <w:p w14:paraId="0B59ABEA" w14:textId="77777777" w:rsidR="00394713" w:rsidRPr="007F31EA" w:rsidRDefault="000C099C" w:rsidP="004542A5">
      <w:pPr>
        <w:pStyle w:val="NormalWeb"/>
        <w:numPr>
          <w:ilvl w:val="0"/>
          <w:numId w:val="12"/>
        </w:numPr>
        <w:shd w:val="clear" w:color="auto" w:fill="FFFFFF"/>
        <w:tabs>
          <w:tab w:val="clear" w:pos="810"/>
          <w:tab w:val="num" w:pos="270"/>
        </w:tabs>
        <w:spacing w:before="0"/>
        <w:ind w:left="540" w:hanging="270"/>
        <w:rPr>
          <w:rFonts w:ascii="Times New Roman" w:eastAsia="Times New Roman" w:hAnsi="Times New Roman" w:cs="Times New Roman"/>
          <w:color w:val="auto"/>
          <w:lang w:val="en"/>
        </w:rPr>
      </w:pPr>
      <w:r w:rsidRPr="007F31EA">
        <w:rPr>
          <w:rFonts w:ascii="Times New Roman" w:hAnsi="Times New Roman" w:cs="Times New Roman"/>
          <w:b/>
          <w:bCs/>
          <w:color w:val="auto"/>
        </w:rPr>
        <w:t>Disclosure</w:t>
      </w:r>
      <w:r w:rsidR="00394713" w:rsidRPr="007F31EA">
        <w:rPr>
          <w:rFonts w:ascii="Times New Roman" w:hAnsi="Times New Roman" w:cs="Times New Roman"/>
          <w:b/>
          <w:bCs/>
          <w:color w:val="auto"/>
        </w:rPr>
        <w:t>s</w:t>
      </w:r>
      <w:r w:rsidRPr="007F31EA">
        <w:rPr>
          <w:rFonts w:ascii="Times New Roman" w:hAnsi="Times New Roman" w:cs="Times New Roman"/>
          <w:color w:val="auto"/>
        </w:rPr>
        <w:t xml:space="preserve">: </w:t>
      </w:r>
      <w:r w:rsidR="004542A5" w:rsidRPr="007F31EA">
        <w:rPr>
          <w:rFonts w:ascii="Times New Roman" w:hAnsi="Times New Roman" w:cs="Times New Roman"/>
          <w:color w:val="auto"/>
        </w:rPr>
        <w:t xml:space="preserve"> </w:t>
      </w:r>
      <w:r w:rsidR="004542A5" w:rsidRPr="007F31EA">
        <w:rPr>
          <w:rFonts w:ascii="Times New Roman" w:eastAsia="Times New Roman" w:hAnsi="Times New Roman" w:cs="Times New Roman"/>
          <w:i/>
          <w:iCs/>
          <w:color w:val="auto"/>
          <w:lang w:val="en"/>
        </w:rPr>
        <w:t>B</w:t>
      </w:r>
      <w:r w:rsidR="00394713" w:rsidRPr="007F31EA">
        <w:rPr>
          <w:rFonts w:ascii="Times New Roman" w:eastAsia="Times New Roman" w:hAnsi="Times New Roman" w:cs="Times New Roman"/>
          <w:i/>
          <w:iCs/>
          <w:color w:val="auto"/>
          <w:lang w:val="en"/>
        </w:rPr>
        <w:t>asic disclosure –</w:t>
      </w:r>
      <w:r w:rsidR="00394713" w:rsidRPr="007F31EA">
        <w:rPr>
          <w:rFonts w:ascii="Times New Roman" w:eastAsia="Times New Roman" w:hAnsi="Times New Roman" w:cs="Times New Roman"/>
          <w:b/>
          <w:bCs/>
          <w:color w:val="auto"/>
          <w:lang w:val="en"/>
        </w:rPr>
        <w:t> </w:t>
      </w:r>
      <w:r w:rsidR="00394713" w:rsidRPr="007F31EA">
        <w:rPr>
          <w:rFonts w:ascii="Times New Roman" w:eastAsia="Times New Roman" w:hAnsi="Times New Roman" w:cs="Times New Roman"/>
          <w:color w:val="auto"/>
          <w:lang w:val="en"/>
        </w:rPr>
        <w:t>must include a statement to the effect that:</w:t>
      </w:r>
    </w:p>
    <w:p w14:paraId="0A24EB0E" w14:textId="77777777" w:rsidR="00394713" w:rsidRPr="007F31EA" w:rsidRDefault="00394713" w:rsidP="00394713">
      <w:pPr>
        <w:shd w:val="clear" w:color="auto" w:fill="FFFFFF"/>
        <w:ind w:left="270"/>
        <w:rPr>
          <w:sz w:val="24"/>
          <w:szCs w:val="24"/>
          <w:lang w:val="en"/>
        </w:rPr>
      </w:pPr>
      <w:r w:rsidRPr="007F31EA">
        <w:rPr>
          <w:sz w:val="24"/>
          <w:szCs w:val="24"/>
          <w:lang w:val="en"/>
        </w:rPr>
        <w:t>(a) an investor should consider the investment objectives, risks, and charges and expenses associated with municipal fund securities before investing;</w:t>
      </w:r>
    </w:p>
    <w:p w14:paraId="455A30A8" w14:textId="77777777" w:rsidR="00394713" w:rsidRPr="007F31EA" w:rsidRDefault="00394713" w:rsidP="00394713">
      <w:pPr>
        <w:shd w:val="clear" w:color="auto" w:fill="FFFFFF"/>
        <w:ind w:left="270"/>
        <w:rPr>
          <w:sz w:val="24"/>
          <w:szCs w:val="24"/>
          <w:lang w:val="en"/>
        </w:rPr>
      </w:pPr>
    </w:p>
    <w:p w14:paraId="30097C31" w14:textId="77777777" w:rsidR="00394713" w:rsidRPr="007F31EA" w:rsidRDefault="00394713" w:rsidP="00394713">
      <w:pPr>
        <w:shd w:val="clear" w:color="auto" w:fill="FFFFFF"/>
        <w:spacing w:after="240"/>
        <w:ind w:left="270"/>
        <w:rPr>
          <w:sz w:val="24"/>
          <w:szCs w:val="24"/>
          <w:lang w:val="en"/>
        </w:rPr>
      </w:pPr>
      <w:r w:rsidRPr="007F31EA">
        <w:rPr>
          <w:sz w:val="24"/>
          <w:szCs w:val="24"/>
          <w:lang w:val="en"/>
        </w:rPr>
        <w:t>(b) more information about municipal fund securities is available in the issuer's official statement;</w:t>
      </w:r>
    </w:p>
    <w:p w14:paraId="76EE3180" w14:textId="77777777" w:rsidR="00394713" w:rsidRPr="007F31EA" w:rsidRDefault="00394713" w:rsidP="00394713">
      <w:pPr>
        <w:shd w:val="clear" w:color="auto" w:fill="FFFFFF"/>
        <w:spacing w:before="240" w:after="240"/>
        <w:ind w:left="270"/>
        <w:rPr>
          <w:sz w:val="24"/>
          <w:szCs w:val="24"/>
          <w:lang w:val="en"/>
        </w:rPr>
      </w:pPr>
      <w:r w:rsidRPr="007F31EA">
        <w:rPr>
          <w:sz w:val="24"/>
          <w:szCs w:val="24"/>
          <w:lang w:val="en"/>
        </w:rPr>
        <w:t>(c) if the advertisement identifies a source from which an investor may obtain an official statement and the broker, dealer or municipal securities dealer that publishes the advertisement is the underwriter for one or more of the issues of municipal fund securities for which any such official statement may be supplied, such broker, dealer or municipal securities dealer is the underwriter for one or more issues (as appropriate) of such municipal fund securities; and</w:t>
      </w:r>
    </w:p>
    <w:p w14:paraId="2AEDE334" w14:textId="77777777" w:rsidR="00394713" w:rsidRPr="007F31EA" w:rsidRDefault="00394713" w:rsidP="00394713">
      <w:pPr>
        <w:shd w:val="clear" w:color="auto" w:fill="FFFFFF"/>
        <w:spacing w:before="240"/>
        <w:ind w:left="270"/>
        <w:rPr>
          <w:sz w:val="24"/>
          <w:szCs w:val="24"/>
          <w:lang w:val="en"/>
        </w:rPr>
      </w:pPr>
      <w:r w:rsidRPr="007F31EA">
        <w:rPr>
          <w:sz w:val="24"/>
          <w:szCs w:val="24"/>
          <w:lang w:val="en"/>
        </w:rPr>
        <w:t>(d) the official statement should be read carefully before investing.</w:t>
      </w:r>
    </w:p>
    <w:p w14:paraId="0332045B" w14:textId="77777777" w:rsidR="00394713" w:rsidRPr="003F4AB8" w:rsidRDefault="00394713" w:rsidP="00394713">
      <w:pPr>
        <w:pStyle w:val="ListParagraph"/>
        <w:rPr>
          <w:color w:val="FF0000"/>
          <w:sz w:val="24"/>
        </w:rPr>
      </w:pPr>
    </w:p>
    <w:p w14:paraId="30DDCEF5" w14:textId="77777777" w:rsidR="000C099C" w:rsidRPr="00593EE9" w:rsidRDefault="000C099C" w:rsidP="00394713">
      <w:pPr>
        <w:ind w:left="270"/>
        <w:rPr>
          <w:sz w:val="24"/>
        </w:rPr>
      </w:pPr>
      <w:r>
        <w:rPr>
          <w:sz w:val="24"/>
        </w:rPr>
        <w:t xml:space="preserve">Associated Persons must disclose to customers the tax treatment of transactions.  In addition to the federal tax treatment of withdrawals </w:t>
      </w:r>
      <w:r w:rsidR="00E503D6">
        <w:rPr>
          <w:sz w:val="24"/>
        </w:rPr>
        <w:t>and the</w:t>
      </w:r>
      <w:r>
        <w:rPr>
          <w:sz w:val="24"/>
        </w:rPr>
        <w:t xml:space="preserve"> tax-deferral of the account, Associated Persons must disclose to a customer of an out-of-state Section 529 plan that depending upon the laws of the customer’s home state, favorable state tax treatment for investing in a Section 529 plan, may be limited to investments made in a Section 529 plan offered by the customer’s home state.  In addition, Associated Persons must disclose the different type of fund classes, if applicable, to a Section 529 plan and the consequences of each.</w:t>
      </w:r>
      <w:r w:rsidR="005459DC">
        <w:rPr>
          <w:sz w:val="24"/>
        </w:rPr>
        <w:t xml:space="preserve">  </w:t>
      </w:r>
      <w:r w:rsidR="005459DC" w:rsidRPr="00593EE9">
        <w:rPr>
          <w:sz w:val="24"/>
        </w:rPr>
        <w:t xml:space="preserve">The 529 Plan Disclosure Form will </w:t>
      </w:r>
      <w:r w:rsidR="00285A85" w:rsidRPr="00593EE9">
        <w:rPr>
          <w:sz w:val="24"/>
        </w:rPr>
        <w:t xml:space="preserve">suffice for the pertinent </w:t>
      </w:r>
      <w:r w:rsidR="00545CB4" w:rsidRPr="00593EE9">
        <w:rPr>
          <w:sz w:val="24"/>
        </w:rPr>
        <w:t>disclosure</w:t>
      </w:r>
      <w:r w:rsidR="005459DC" w:rsidRPr="00593EE9">
        <w:rPr>
          <w:sz w:val="24"/>
        </w:rPr>
        <w:t>s.</w:t>
      </w:r>
    </w:p>
    <w:p w14:paraId="485953D0" w14:textId="77777777" w:rsidR="00E24DD4" w:rsidRPr="00593EE9" w:rsidRDefault="00E24DD4" w:rsidP="00394713">
      <w:pPr>
        <w:ind w:left="270"/>
        <w:rPr>
          <w:sz w:val="24"/>
        </w:rPr>
      </w:pPr>
    </w:p>
    <w:p w14:paraId="25F135FF" w14:textId="6673E759" w:rsidR="007D135E" w:rsidRPr="00BB3F8F" w:rsidRDefault="00E24DD4" w:rsidP="007D135E">
      <w:pPr>
        <w:pStyle w:val="ListParagraph"/>
        <w:numPr>
          <w:ilvl w:val="0"/>
          <w:numId w:val="12"/>
        </w:numPr>
        <w:tabs>
          <w:tab w:val="clear" w:pos="810"/>
          <w:tab w:val="num" w:pos="540"/>
        </w:tabs>
        <w:ind w:left="540" w:hanging="270"/>
        <w:rPr>
          <w:sz w:val="24"/>
        </w:rPr>
      </w:pPr>
      <w:r w:rsidRPr="00593EE9">
        <w:rPr>
          <w:b/>
          <w:sz w:val="24"/>
        </w:rPr>
        <w:t>Transactions</w:t>
      </w:r>
      <w:r w:rsidR="007D135E" w:rsidRPr="00593EE9">
        <w:rPr>
          <w:sz w:val="24"/>
        </w:rPr>
        <w:t xml:space="preserve">:  Transactions for 529 plans are </w:t>
      </w:r>
      <w:r w:rsidR="00BB6A7B" w:rsidRPr="00593EE9">
        <w:rPr>
          <w:sz w:val="24"/>
        </w:rPr>
        <w:t>recorded in</w:t>
      </w:r>
      <w:r w:rsidR="007D135E" w:rsidRPr="00593EE9">
        <w:rPr>
          <w:sz w:val="24"/>
        </w:rPr>
        <w:t xml:space="preserve"> Company’s blotter records and are reviewed regularly by Compliance and at a minimum monthly.</w:t>
      </w:r>
    </w:p>
    <w:p w14:paraId="077F2285" w14:textId="77777777" w:rsidR="00023B47" w:rsidRPr="00BB3F8F" w:rsidRDefault="00023B47" w:rsidP="00023B47">
      <w:pPr>
        <w:pStyle w:val="ListParagraph"/>
        <w:ind w:left="540"/>
        <w:rPr>
          <w:sz w:val="24"/>
        </w:rPr>
      </w:pPr>
    </w:p>
    <w:p w14:paraId="43FA083A" w14:textId="5A182B86" w:rsidR="00023B47" w:rsidRPr="00BB3F8F" w:rsidRDefault="00023B47" w:rsidP="007D135E">
      <w:pPr>
        <w:pStyle w:val="ListParagraph"/>
        <w:numPr>
          <w:ilvl w:val="0"/>
          <w:numId w:val="12"/>
        </w:numPr>
        <w:tabs>
          <w:tab w:val="clear" w:pos="810"/>
          <w:tab w:val="num" w:pos="540"/>
        </w:tabs>
        <w:ind w:left="540" w:hanging="270"/>
        <w:rPr>
          <w:sz w:val="24"/>
          <w:szCs w:val="24"/>
        </w:rPr>
      </w:pPr>
      <w:r w:rsidRPr="00BB3F8F">
        <w:rPr>
          <w:b/>
          <w:sz w:val="24"/>
        </w:rPr>
        <w:t>Rollovers</w:t>
      </w:r>
      <w:r w:rsidRPr="00BB3F8F">
        <w:rPr>
          <w:bCs/>
          <w:sz w:val="24"/>
        </w:rPr>
        <w:t xml:space="preserve">:  </w:t>
      </w:r>
      <w:r w:rsidRPr="00BB3F8F">
        <w:rPr>
          <w:spacing w:val="8"/>
          <w:sz w:val="24"/>
          <w:szCs w:val="24"/>
          <w:shd w:val="clear" w:color="auto" w:fill="FFFFFF"/>
        </w:rPr>
        <w:t xml:space="preserve">A 529 savings plan may be rolled over and avoid tax consequences and other penalties if the funds are rolled over from one 529 plan to another state's 529 plan for the same beneficiary or to another 529 plan for a different </w:t>
      </w:r>
      <w:r w:rsidR="00BB3F8F" w:rsidRPr="00BB3F8F">
        <w:rPr>
          <w:spacing w:val="8"/>
          <w:sz w:val="24"/>
          <w:szCs w:val="24"/>
          <w:shd w:val="clear" w:color="auto" w:fill="FFFFFF"/>
        </w:rPr>
        <w:t>beneficiary if</w:t>
      </w:r>
      <w:r w:rsidRPr="00BB3F8F">
        <w:rPr>
          <w:spacing w:val="8"/>
          <w:sz w:val="24"/>
          <w:szCs w:val="24"/>
          <w:shd w:val="clear" w:color="auto" w:fill="FFFFFF"/>
        </w:rPr>
        <w:t xml:space="preserve"> </w:t>
      </w:r>
      <w:r w:rsidRPr="00BB3F8F">
        <w:rPr>
          <w:spacing w:val="8"/>
          <w:sz w:val="24"/>
          <w:szCs w:val="24"/>
          <w:shd w:val="clear" w:color="auto" w:fill="FFFFFF"/>
        </w:rPr>
        <w:lastRenderedPageBreak/>
        <w:t>certain conditions are met.  RRs should consider the associated fees and charges assessed to assure such fees are appropriate.</w:t>
      </w:r>
    </w:p>
    <w:p w14:paraId="31B12C8A" w14:textId="77777777" w:rsidR="000C099C" w:rsidRPr="00023B47" w:rsidRDefault="000C099C" w:rsidP="00F14C7B">
      <w:pPr>
        <w:rPr>
          <w:b/>
          <w:bCs/>
          <w:i/>
          <w:iCs/>
          <w:color w:val="FF0000"/>
          <w:sz w:val="24"/>
          <w:szCs w:val="24"/>
        </w:rPr>
      </w:pPr>
    </w:p>
    <w:p w14:paraId="750666BF" w14:textId="77777777" w:rsidR="00863E7C" w:rsidRDefault="00863E7C" w:rsidP="00F14C7B">
      <w:pPr>
        <w:pStyle w:val="MRS"/>
        <w:jc w:val="left"/>
        <w:rPr>
          <w:b/>
          <w:bCs/>
        </w:rPr>
      </w:pPr>
      <w:bookmarkStart w:id="245" w:name="MuniBooksAndRecords"/>
      <w:bookmarkEnd w:id="245"/>
    </w:p>
    <w:p w14:paraId="11A0AB92" w14:textId="77777777" w:rsidR="002325E1" w:rsidRDefault="002325E1" w:rsidP="00936FEE">
      <w:pPr>
        <w:pStyle w:val="Heading2"/>
      </w:pPr>
      <w:r>
        <w:t>1</w:t>
      </w:r>
      <w:r w:rsidR="007F31EA">
        <w:t>3</w:t>
      </w:r>
      <w:r>
        <w:t>.16 Notifications to MSRB</w:t>
      </w:r>
    </w:p>
    <w:p w14:paraId="5BE2AF05" w14:textId="77777777" w:rsidR="002325E1" w:rsidRPr="00E503D6" w:rsidRDefault="002325E1" w:rsidP="00F14C7B">
      <w:pPr>
        <w:pStyle w:val="MRS"/>
        <w:jc w:val="left"/>
        <w:rPr>
          <w:bCs/>
        </w:rPr>
      </w:pPr>
      <w:r w:rsidRPr="00E503D6">
        <w:rPr>
          <w:bCs/>
        </w:rPr>
        <w:t>Compliance will notify the MSRB in writing if the Company ceases to engage in business activities either voluntarily or because of being barred or suspended by a regulator from engaging in securities activities.  Compliance will also promptly notify MSRB of any changes in name or address.</w:t>
      </w:r>
    </w:p>
    <w:p w14:paraId="22612863" w14:textId="77777777" w:rsidR="002325E1" w:rsidRPr="00E503D6" w:rsidRDefault="002325E1" w:rsidP="00F14C7B">
      <w:pPr>
        <w:pStyle w:val="MRS"/>
        <w:jc w:val="left"/>
        <w:rPr>
          <w:bCs/>
        </w:rPr>
      </w:pPr>
    </w:p>
    <w:p w14:paraId="04572214" w14:textId="77777777" w:rsidR="002325E1" w:rsidRPr="00E503D6" w:rsidRDefault="002325E1" w:rsidP="00F14C7B">
      <w:pPr>
        <w:pStyle w:val="MRS"/>
        <w:jc w:val="left"/>
        <w:rPr>
          <w:bCs/>
        </w:rPr>
      </w:pPr>
    </w:p>
    <w:p w14:paraId="1DC31104" w14:textId="77777777" w:rsidR="000C099C" w:rsidRDefault="00863E7C" w:rsidP="00936FEE">
      <w:pPr>
        <w:pStyle w:val="Heading2"/>
      </w:pPr>
      <w:r>
        <w:t>1</w:t>
      </w:r>
      <w:r w:rsidR="007F31EA">
        <w:t>3</w:t>
      </w:r>
      <w:r>
        <w:t>.1</w:t>
      </w:r>
      <w:r w:rsidR="002325E1">
        <w:t>7</w:t>
      </w:r>
      <w:r>
        <w:t xml:space="preserve"> </w:t>
      </w:r>
      <w:r w:rsidR="00DD15B2">
        <w:t xml:space="preserve">Rule G-8 - </w:t>
      </w:r>
      <w:r w:rsidR="000C099C">
        <w:t>Books and Records</w:t>
      </w:r>
    </w:p>
    <w:p w14:paraId="5F707F52" w14:textId="77777777" w:rsidR="000C099C" w:rsidRDefault="000C099C" w:rsidP="00F14C7B">
      <w:pPr>
        <w:pStyle w:val="MRS"/>
        <w:jc w:val="left"/>
        <w:rPr>
          <w:b/>
          <w:bCs/>
          <w:i/>
          <w:iCs/>
        </w:rPr>
      </w:pPr>
      <w:r>
        <w:t xml:space="preserve">In accordance with Rule </w:t>
      </w:r>
      <w:r>
        <w:rPr>
          <w:b/>
          <w:bCs/>
        </w:rPr>
        <w:t>G-8</w:t>
      </w:r>
      <w:r>
        <w:t>, Morris Monroe is responsible person for ensuring the Company maintains the following municipal books and records:  1) Blotters,  2) Account records;  3) Securities records – through clearing firm;  4) Subsidiary records – through clearing firm;  5) Put options and repurchase agreements;  6) Records for agency transactions;  7) Principal transactions;  8) Syndicate transactions;  9) Confirmations and other notices to customers;  10) financial records;  11) customer account information;  12) Deliveries of Official Statements if applicable;  13) Political contributions and prohibitions on municipal securities business pursuant to Rule G-37;  14) Records concerning compliance with Rule G-20;  15) Records concerning Consultants pursuant to Rule G-38;  16) Telemarketing records and do-not-call lists.</w:t>
      </w:r>
    </w:p>
    <w:p w14:paraId="79D167D1" w14:textId="77777777" w:rsidR="000C099C" w:rsidRDefault="000C099C" w:rsidP="00F14C7B">
      <w:pPr>
        <w:rPr>
          <w:b/>
          <w:sz w:val="24"/>
        </w:rPr>
      </w:pPr>
      <w:r>
        <w:rPr>
          <w:sz w:val="24"/>
        </w:rPr>
        <w:br w:type="page"/>
      </w:r>
    </w:p>
    <w:p w14:paraId="7188C6DE" w14:textId="77777777" w:rsidR="00700A8D" w:rsidRDefault="00700A8D" w:rsidP="00700A8D">
      <w:pPr>
        <w:pStyle w:val="Heading1"/>
        <w:pBdr>
          <w:top w:val="double" w:sz="12" w:space="1" w:color="000099"/>
          <w:left w:val="double" w:sz="12" w:space="4" w:color="000099"/>
          <w:bottom w:val="double" w:sz="12" w:space="1" w:color="000099"/>
          <w:right w:val="double" w:sz="12" w:space="4" w:color="000099"/>
        </w:pBdr>
        <w:shd w:val="pct10" w:color="0000FF" w:fill="auto"/>
        <w:jc w:val="center"/>
        <w:rPr>
          <w:caps/>
        </w:rPr>
      </w:pPr>
      <w:bookmarkStart w:id="246" w:name="DirectPartPrivatePlacements"/>
    </w:p>
    <w:p w14:paraId="27421BED" w14:textId="77777777" w:rsidR="00700A8D" w:rsidRPr="00700A8D" w:rsidRDefault="004679E6" w:rsidP="00700A8D">
      <w:pPr>
        <w:pStyle w:val="Heading1"/>
        <w:pBdr>
          <w:top w:val="double" w:sz="12" w:space="1" w:color="000099"/>
          <w:left w:val="double" w:sz="12" w:space="4" w:color="000099"/>
          <w:bottom w:val="double" w:sz="12" w:space="1" w:color="000099"/>
          <w:right w:val="double" w:sz="12" w:space="4" w:color="000099"/>
        </w:pBdr>
        <w:shd w:val="pct10" w:color="0000FF" w:fill="auto"/>
        <w:jc w:val="center"/>
        <w:rPr>
          <w:caps/>
        </w:rPr>
      </w:pPr>
      <w:bookmarkStart w:id="247" w:name="_Toc535916179"/>
      <w:r>
        <w:t>1</w:t>
      </w:r>
      <w:r w:rsidR="007F31EA">
        <w:t>4</w:t>
      </w:r>
      <w:r>
        <w:t xml:space="preserve">.  PRIVATE PLACEMENTS </w:t>
      </w:r>
      <w:r w:rsidR="008D6C56">
        <w:t>ACTIVITIES</w:t>
      </w:r>
      <w:bookmarkEnd w:id="247"/>
    </w:p>
    <w:p w14:paraId="2E360E84" w14:textId="77777777" w:rsidR="00700A8D" w:rsidRDefault="00700A8D" w:rsidP="00700A8D">
      <w:pPr>
        <w:pStyle w:val="Heading1"/>
        <w:pBdr>
          <w:top w:val="double" w:sz="12" w:space="1" w:color="000099"/>
          <w:left w:val="double" w:sz="12" w:space="4" w:color="000099"/>
          <w:bottom w:val="double" w:sz="12" w:space="1" w:color="000099"/>
          <w:right w:val="double" w:sz="12" w:space="4" w:color="000099"/>
        </w:pBdr>
        <w:shd w:val="pct10" w:color="0000FF" w:fill="auto"/>
        <w:jc w:val="center"/>
        <w:rPr>
          <w:caps/>
        </w:rPr>
      </w:pPr>
    </w:p>
    <w:bookmarkEnd w:id="246"/>
    <w:p w14:paraId="6AD7B95D" w14:textId="77777777" w:rsidR="000C099C" w:rsidRDefault="000C099C">
      <w:pPr>
        <w:jc w:val="both"/>
        <w:rPr>
          <w:sz w:val="24"/>
        </w:rPr>
      </w:pPr>
    </w:p>
    <w:p w14:paraId="70EF15B3" w14:textId="77777777" w:rsidR="00FB3943" w:rsidRDefault="00FB3943" w:rsidP="00936FEE">
      <w:pPr>
        <w:pStyle w:val="Heading2"/>
      </w:pPr>
      <w:r>
        <w:t>1</w:t>
      </w:r>
      <w:r w:rsidR="00A46E62">
        <w:t>4</w:t>
      </w:r>
      <w:r>
        <w:t>.1 Introduction</w:t>
      </w:r>
    </w:p>
    <w:p w14:paraId="57CA7185" w14:textId="068DDDA8" w:rsidR="005E7C7B" w:rsidRPr="00BB3F8F" w:rsidRDefault="005E7C7B" w:rsidP="00FB3943">
      <w:pPr>
        <w:shd w:val="clear" w:color="auto" w:fill="FFFFFF"/>
        <w:jc w:val="both"/>
        <w:rPr>
          <w:spacing w:val="8"/>
          <w:sz w:val="24"/>
          <w:szCs w:val="24"/>
          <w:shd w:val="clear" w:color="auto" w:fill="FFFFFF"/>
        </w:rPr>
      </w:pPr>
      <w:r w:rsidRPr="00BB3F8F">
        <w:rPr>
          <w:spacing w:val="8"/>
          <w:sz w:val="24"/>
          <w:szCs w:val="24"/>
          <w:shd w:val="clear" w:color="auto" w:fill="FFFFFF"/>
        </w:rPr>
        <w:t>Private placements are unregistered, non-public securities offerings that rely on an available exemption from registration with the SEC under either Sections 3 or 4 of the Securities Act. Most private offerings are sold pursuant to one of three "safe harbors" under Rules 504, 506(b), and 506(c) of Regulation D. Private placements sold by FINRA member firms to individuals generally must file offering documents with FINRA.</w:t>
      </w:r>
    </w:p>
    <w:p w14:paraId="0B7D325A" w14:textId="77777777" w:rsidR="005E7C7B" w:rsidRPr="00BB3F8F" w:rsidRDefault="005E7C7B" w:rsidP="00FB3943">
      <w:pPr>
        <w:shd w:val="clear" w:color="auto" w:fill="FFFFFF"/>
        <w:jc w:val="both"/>
        <w:rPr>
          <w:spacing w:val="8"/>
          <w:sz w:val="24"/>
          <w:szCs w:val="24"/>
        </w:rPr>
      </w:pPr>
    </w:p>
    <w:p w14:paraId="1F206A0B" w14:textId="40CEC78E" w:rsidR="00FB3943" w:rsidRPr="00671FC0" w:rsidRDefault="00937E88" w:rsidP="00FB3943">
      <w:pPr>
        <w:shd w:val="clear" w:color="auto" w:fill="FFFFFF"/>
        <w:jc w:val="both"/>
        <w:rPr>
          <w:color w:val="000000"/>
          <w:spacing w:val="8"/>
          <w:sz w:val="24"/>
          <w:szCs w:val="24"/>
        </w:rPr>
      </w:pPr>
      <w:r w:rsidRPr="00671FC0">
        <w:rPr>
          <w:color w:val="000000"/>
          <w:spacing w:val="8"/>
          <w:sz w:val="24"/>
          <w:szCs w:val="24"/>
        </w:rPr>
        <w:t xml:space="preserve">This section provides </w:t>
      </w:r>
      <w:r w:rsidR="00FB3943" w:rsidRPr="00671FC0">
        <w:rPr>
          <w:color w:val="000000"/>
          <w:spacing w:val="8"/>
          <w:sz w:val="24"/>
          <w:szCs w:val="24"/>
        </w:rPr>
        <w:t xml:space="preserve">information </w:t>
      </w:r>
      <w:r w:rsidRPr="00671FC0">
        <w:rPr>
          <w:color w:val="000000"/>
          <w:spacing w:val="8"/>
          <w:sz w:val="24"/>
          <w:szCs w:val="24"/>
        </w:rPr>
        <w:t xml:space="preserve">and procedures </w:t>
      </w:r>
      <w:r w:rsidR="00FB3943" w:rsidRPr="00671FC0">
        <w:rPr>
          <w:color w:val="000000"/>
          <w:spacing w:val="8"/>
          <w:sz w:val="24"/>
          <w:szCs w:val="24"/>
        </w:rPr>
        <w:t>about private placements and the regulations that govern their offer and sale. A general understanding of private placements is helpful when considering whether to offer a specific issue to a customer.  There are several general areas of requirements and limitations that affect most private placements.</w:t>
      </w:r>
    </w:p>
    <w:p w14:paraId="3990DEC5" w14:textId="77777777" w:rsidR="00FB3943" w:rsidRPr="00671FC0" w:rsidRDefault="00FB3943" w:rsidP="00FB3943">
      <w:pPr>
        <w:shd w:val="clear" w:color="auto" w:fill="FFFFFF"/>
        <w:jc w:val="both"/>
        <w:rPr>
          <w:color w:val="000000"/>
          <w:spacing w:val="8"/>
          <w:sz w:val="24"/>
          <w:szCs w:val="24"/>
        </w:rPr>
      </w:pPr>
    </w:p>
    <w:p w14:paraId="05BEFCF1" w14:textId="77777777" w:rsidR="00FB3943" w:rsidRPr="005D0F44" w:rsidRDefault="00FB3943" w:rsidP="00C1728B">
      <w:pPr>
        <w:numPr>
          <w:ilvl w:val="0"/>
          <w:numId w:val="103"/>
        </w:numPr>
        <w:shd w:val="clear" w:color="auto" w:fill="FFFFFF"/>
        <w:jc w:val="both"/>
        <w:rPr>
          <w:spacing w:val="8"/>
          <w:sz w:val="24"/>
          <w:szCs w:val="24"/>
        </w:rPr>
      </w:pPr>
      <w:r w:rsidRPr="00671FC0">
        <w:rPr>
          <w:color w:val="000000"/>
          <w:spacing w:val="8"/>
          <w:sz w:val="24"/>
          <w:szCs w:val="24"/>
        </w:rPr>
        <w:t xml:space="preserve">No general solicitation of purchasers </w:t>
      </w:r>
      <w:r w:rsidR="002D0495" w:rsidRPr="005D0F44">
        <w:rPr>
          <w:sz w:val="24"/>
          <w:szCs w:val="24"/>
        </w:rPr>
        <w:t>other than those permitted under Rule 506(c) and 144A.</w:t>
      </w:r>
    </w:p>
    <w:p w14:paraId="0AFA6712" w14:textId="77777777" w:rsidR="00FB3943" w:rsidRPr="005D0F44" w:rsidRDefault="00D977AC" w:rsidP="00C1728B">
      <w:pPr>
        <w:numPr>
          <w:ilvl w:val="0"/>
          <w:numId w:val="103"/>
        </w:numPr>
        <w:shd w:val="clear" w:color="auto" w:fill="FFFFFF"/>
        <w:jc w:val="both"/>
        <w:rPr>
          <w:spacing w:val="8"/>
          <w:sz w:val="24"/>
          <w:szCs w:val="24"/>
        </w:rPr>
      </w:pPr>
      <w:r w:rsidRPr="005D0F44">
        <w:rPr>
          <w:spacing w:val="8"/>
          <w:sz w:val="24"/>
          <w:szCs w:val="24"/>
        </w:rPr>
        <w:t>Limits as to the size of certain offerings</w:t>
      </w:r>
    </w:p>
    <w:p w14:paraId="4350D5E3" w14:textId="77777777" w:rsidR="00FB3943" w:rsidRPr="005D0F44" w:rsidRDefault="00FB3943" w:rsidP="00C1728B">
      <w:pPr>
        <w:numPr>
          <w:ilvl w:val="0"/>
          <w:numId w:val="103"/>
        </w:numPr>
        <w:shd w:val="clear" w:color="auto" w:fill="FFFFFF"/>
        <w:jc w:val="both"/>
        <w:rPr>
          <w:spacing w:val="8"/>
          <w:sz w:val="24"/>
          <w:szCs w:val="24"/>
        </w:rPr>
      </w:pPr>
      <w:r w:rsidRPr="005D0F44">
        <w:rPr>
          <w:spacing w:val="8"/>
          <w:sz w:val="24"/>
          <w:szCs w:val="24"/>
        </w:rPr>
        <w:t xml:space="preserve">No advertising or general public meetings about specific private placements </w:t>
      </w:r>
      <w:r w:rsidR="002D0495" w:rsidRPr="005D0F44">
        <w:rPr>
          <w:sz w:val="24"/>
          <w:szCs w:val="24"/>
        </w:rPr>
        <w:t>other than those permitted under Rule 506(c) and 144A.</w:t>
      </w:r>
    </w:p>
    <w:p w14:paraId="0F2A2FB9" w14:textId="77777777" w:rsidR="00FB3943" w:rsidRPr="005D0F44" w:rsidRDefault="00FB3943" w:rsidP="00C1728B">
      <w:pPr>
        <w:numPr>
          <w:ilvl w:val="0"/>
          <w:numId w:val="103"/>
        </w:numPr>
        <w:shd w:val="clear" w:color="auto" w:fill="FFFFFF"/>
        <w:jc w:val="both"/>
        <w:rPr>
          <w:spacing w:val="8"/>
          <w:sz w:val="24"/>
          <w:szCs w:val="24"/>
        </w:rPr>
      </w:pPr>
      <w:r w:rsidRPr="005D0F44">
        <w:rPr>
          <w:spacing w:val="8"/>
          <w:sz w:val="24"/>
          <w:szCs w:val="24"/>
        </w:rPr>
        <w:t xml:space="preserve">Issuers must provide information to potential investors </w:t>
      </w:r>
    </w:p>
    <w:p w14:paraId="60757FE8" w14:textId="77777777" w:rsidR="00FB3943" w:rsidRPr="005D0F44" w:rsidRDefault="00FB3943" w:rsidP="00C1728B">
      <w:pPr>
        <w:numPr>
          <w:ilvl w:val="0"/>
          <w:numId w:val="103"/>
        </w:numPr>
        <w:shd w:val="clear" w:color="auto" w:fill="FFFFFF"/>
        <w:jc w:val="both"/>
        <w:rPr>
          <w:spacing w:val="8"/>
          <w:sz w:val="24"/>
          <w:szCs w:val="24"/>
        </w:rPr>
      </w:pPr>
      <w:r w:rsidRPr="005D0F44">
        <w:rPr>
          <w:spacing w:val="8"/>
          <w:sz w:val="24"/>
          <w:szCs w:val="24"/>
        </w:rPr>
        <w:t xml:space="preserve">Securities purchased are generally restricted as to resale </w:t>
      </w:r>
    </w:p>
    <w:p w14:paraId="16B8CDDC" w14:textId="77777777" w:rsidR="00FB3943" w:rsidRPr="00671FC0" w:rsidRDefault="00FB3943" w:rsidP="00C1728B">
      <w:pPr>
        <w:numPr>
          <w:ilvl w:val="0"/>
          <w:numId w:val="103"/>
        </w:numPr>
        <w:shd w:val="clear" w:color="auto" w:fill="FFFFFF"/>
        <w:jc w:val="both"/>
        <w:rPr>
          <w:color w:val="000000"/>
          <w:spacing w:val="8"/>
          <w:sz w:val="24"/>
          <w:szCs w:val="24"/>
        </w:rPr>
      </w:pPr>
      <w:r w:rsidRPr="00671FC0">
        <w:rPr>
          <w:color w:val="000000"/>
          <w:spacing w:val="8"/>
          <w:sz w:val="24"/>
          <w:szCs w:val="24"/>
        </w:rPr>
        <w:t xml:space="preserve">Number of purchasers </w:t>
      </w:r>
      <w:r w:rsidR="00D977AC" w:rsidRPr="00671FC0">
        <w:rPr>
          <w:color w:val="000000"/>
          <w:spacing w:val="8"/>
          <w:sz w:val="24"/>
          <w:szCs w:val="24"/>
        </w:rPr>
        <w:t xml:space="preserve">is </w:t>
      </w:r>
      <w:r w:rsidRPr="00671FC0">
        <w:rPr>
          <w:color w:val="000000"/>
          <w:spacing w:val="8"/>
          <w:sz w:val="24"/>
          <w:szCs w:val="24"/>
        </w:rPr>
        <w:t>restricted</w:t>
      </w:r>
    </w:p>
    <w:p w14:paraId="4ABE3DF3" w14:textId="77777777" w:rsidR="00FB3943" w:rsidRPr="00671FC0" w:rsidRDefault="00FB3943" w:rsidP="00FB3943">
      <w:pPr>
        <w:rPr>
          <w:color w:val="000000"/>
        </w:rPr>
      </w:pPr>
    </w:p>
    <w:p w14:paraId="7F5B629F" w14:textId="335FC29E" w:rsidR="000C099C" w:rsidRDefault="000C099C">
      <w:pPr>
        <w:jc w:val="both"/>
        <w:rPr>
          <w:color w:val="000000"/>
          <w:sz w:val="24"/>
        </w:rPr>
      </w:pPr>
      <w:r w:rsidRPr="00671FC0">
        <w:rPr>
          <w:color w:val="000000"/>
          <w:sz w:val="24"/>
        </w:rPr>
        <w:t xml:space="preserve">All </w:t>
      </w:r>
      <w:r w:rsidR="004679E6" w:rsidRPr="00671FC0">
        <w:rPr>
          <w:color w:val="000000"/>
          <w:sz w:val="24"/>
        </w:rPr>
        <w:t>corporate s</w:t>
      </w:r>
      <w:r w:rsidRPr="00671FC0">
        <w:rPr>
          <w:color w:val="000000"/>
          <w:sz w:val="24"/>
        </w:rPr>
        <w:t xml:space="preserve">ecurities </w:t>
      </w:r>
      <w:r w:rsidR="004679E6" w:rsidRPr="00671FC0">
        <w:rPr>
          <w:color w:val="000000"/>
          <w:sz w:val="24"/>
        </w:rPr>
        <w:t>o</w:t>
      </w:r>
      <w:r w:rsidRPr="00671FC0">
        <w:rPr>
          <w:color w:val="000000"/>
          <w:sz w:val="24"/>
        </w:rPr>
        <w:t xml:space="preserve">fferings sponsored by the Company will be supervised by Morris  Monroe or his designee who will be responsible for the structuring, </w:t>
      </w:r>
      <w:r w:rsidR="00BB3F8F" w:rsidRPr="00671FC0">
        <w:rPr>
          <w:color w:val="000000"/>
          <w:sz w:val="24"/>
        </w:rPr>
        <w:t>packaging,</w:t>
      </w:r>
      <w:r w:rsidRPr="00671FC0">
        <w:rPr>
          <w:color w:val="000000"/>
          <w:sz w:val="24"/>
        </w:rPr>
        <w:t xml:space="preserve"> and marketing of private placements to </w:t>
      </w:r>
      <w:r w:rsidR="00BB3F8F" w:rsidRPr="00671FC0">
        <w:rPr>
          <w:color w:val="000000"/>
          <w:sz w:val="24"/>
        </w:rPr>
        <w:t>ensure</w:t>
      </w:r>
      <w:r w:rsidRPr="00671FC0">
        <w:rPr>
          <w:color w:val="000000"/>
          <w:sz w:val="24"/>
        </w:rPr>
        <w:t xml:space="preserve"> compliance with SEC Rules 15c2-4, 10b-9 and public offerings sponsored by the Company, if any. </w:t>
      </w:r>
    </w:p>
    <w:p w14:paraId="7F104B09" w14:textId="2F1BA224" w:rsidR="00BC3F9E" w:rsidRDefault="00BC3F9E">
      <w:pPr>
        <w:jc w:val="both"/>
        <w:rPr>
          <w:color w:val="000000"/>
          <w:sz w:val="24"/>
        </w:rPr>
      </w:pPr>
    </w:p>
    <w:p w14:paraId="62D2F4C5" w14:textId="77777777" w:rsidR="00BC3F9E" w:rsidRPr="00BB3F8F" w:rsidRDefault="00BC3F9E" w:rsidP="00BC3F9E">
      <w:pPr>
        <w:jc w:val="both"/>
        <w:rPr>
          <w:sz w:val="24"/>
          <w:szCs w:val="24"/>
        </w:rPr>
      </w:pPr>
      <w:r w:rsidRPr="00BB3F8F">
        <w:rPr>
          <w:spacing w:val="8"/>
          <w:sz w:val="24"/>
          <w:szCs w:val="24"/>
          <w:shd w:val="clear" w:color="auto" w:fill="FFFFFF"/>
        </w:rPr>
        <w:t>References to "suitability" apply only to those recommendations NOT subject to Regulation Best Interest (BI) which applies to retail customers and is addressed in a separate chapter by that name. Suitability requirements apply to entities and institutions (</w:t>
      </w:r>
      <w:r w:rsidRPr="00BB3F8F">
        <w:rPr>
          <w:i/>
          <w:iCs/>
          <w:spacing w:val="8"/>
          <w:sz w:val="24"/>
          <w:szCs w:val="24"/>
          <w:shd w:val="clear" w:color="auto" w:fill="FFFFFF"/>
        </w:rPr>
        <w:t>e.g.,</w:t>
      </w:r>
      <w:r w:rsidRPr="00BB3F8F">
        <w:rPr>
          <w:spacing w:val="8"/>
          <w:sz w:val="24"/>
          <w:szCs w:val="24"/>
          <w:shd w:val="clear" w:color="auto" w:fill="FFFFFF"/>
        </w:rPr>
        <w:t> pension funds) and natural persons who will not use recommendations primarily for personal, family, or household purposes (</w:t>
      </w:r>
      <w:r w:rsidRPr="00BB3F8F">
        <w:rPr>
          <w:i/>
          <w:iCs/>
          <w:spacing w:val="8"/>
          <w:sz w:val="24"/>
          <w:szCs w:val="24"/>
          <w:shd w:val="clear" w:color="auto" w:fill="FFFFFF"/>
        </w:rPr>
        <w:t>e.g.,</w:t>
      </w:r>
      <w:r w:rsidRPr="00BB3F8F">
        <w:rPr>
          <w:spacing w:val="8"/>
          <w:sz w:val="24"/>
          <w:szCs w:val="24"/>
          <w:shd w:val="clear" w:color="auto" w:fill="FFFFFF"/>
        </w:rPr>
        <w:t> small business owners and charitable trusts). Refer to the Section 5.7 </w:t>
      </w:r>
      <w:r w:rsidRPr="00BB3F8F">
        <w:rPr>
          <w:i/>
          <w:iCs/>
          <w:spacing w:val="8"/>
          <w:sz w:val="24"/>
          <w:szCs w:val="24"/>
          <w:shd w:val="clear" w:color="auto" w:fill="FFFFFF"/>
        </w:rPr>
        <w:t>REGULATION BEST INTEREST (BI)</w:t>
      </w:r>
      <w:r w:rsidRPr="00BB3F8F">
        <w:rPr>
          <w:spacing w:val="8"/>
          <w:sz w:val="24"/>
          <w:szCs w:val="24"/>
          <w:shd w:val="clear" w:color="auto" w:fill="FFFFFF"/>
        </w:rPr>
        <w:t> for requirements when dealing with retail customers.</w:t>
      </w:r>
    </w:p>
    <w:p w14:paraId="6FE37BAC" w14:textId="77777777" w:rsidR="000C099C" w:rsidRPr="00671FC0" w:rsidRDefault="000C099C">
      <w:pPr>
        <w:jc w:val="both"/>
        <w:rPr>
          <w:color w:val="000000"/>
          <w:sz w:val="24"/>
        </w:rPr>
      </w:pPr>
    </w:p>
    <w:p w14:paraId="050C76E4" w14:textId="77777777" w:rsidR="00FB3943" w:rsidRPr="00671FC0" w:rsidRDefault="00FB3943">
      <w:pPr>
        <w:rPr>
          <w:b/>
          <w:color w:val="000000"/>
          <w:sz w:val="24"/>
        </w:rPr>
      </w:pPr>
    </w:p>
    <w:p w14:paraId="4A39B09D" w14:textId="77777777" w:rsidR="00FB3943" w:rsidRPr="00671FC0" w:rsidRDefault="00FB3943" w:rsidP="00936FEE">
      <w:pPr>
        <w:pStyle w:val="Heading2"/>
      </w:pPr>
      <w:r w:rsidRPr="00671FC0">
        <w:t>1</w:t>
      </w:r>
      <w:r w:rsidR="00A46E62">
        <w:t>4</w:t>
      </w:r>
      <w:r w:rsidRPr="00671FC0">
        <w:t>.2 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54"/>
        <w:gridCol w:w="7418"/>
      </w:tblGrid>
      <w:tr w:rsidR="00FB3943" w:rsidRPr="00671FC0" w14:paraId="3E33F97E" w14:textId="77777777" w:rsidTr="00FB394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2239622F" w14:textId="77777777" w:rsidR="00FB3943" w:rsidRPr="00671FC0" w:rsidRDefault="00FB3943" w:rsidP="00FB3943">
            <w:pPr>
              <w:spacing w:line="240" w:lineRule="atLeast"/>
              <w:jc w:val="center"/>
              <w:rPr>
                <w:b/>
                <w:bCs/>
                <w:color w:val="000000"/>
                <w:spacing w:val="8"/>
                <w:sz w:val="24"/>
                <w:szCs w:val="24"/>
              </w:rPr>
            </w:pPr>
            <w:r w:rsidRPr="00671FC0">
              <w:rPr>
                <w:b/>
                <w:bCs/>
                <w:color w:val="000000"/>
                <w:spacing w:val="8"/>
                <w:sz w:val="24"/>
                <w:szCs w:val="24"/>
              </w:rPr>
              <w:t>Responsibility</w:t>
            </w:r>
          </w:p>
        </w:tc>
        <w:tc>
          <w:tcPr>
            <w:tcW w:w="4000" w:type="pct"/>
            <w:tcBorders>
              <w:top w:val="outset" w:sz="6" w:space="0" w:color="auto"/>
              <w:left w:val="outset" w:sz="6" w:space="0" w:color="auto"/>
              <w:bottom w:val="outset" w:sz="6" w:space="0" w:color="auto"/>
              <w:right w:val="outset" w:sz="6" w:space="0" w:color="auto"/>
            </w:tcBorders>
            <w:vAlign w:val="center"/>
            <w:hideMark/>
          </w:tcPr>
          <w:p w14:paraId="0E78752D" w14:textId="77777777" w:rsidR="00FB3943" w:rsidRPr="00671FC0" w:rsidRDefault="00FB3943" w:rsidP="00C1728B">
            <w:pPr>
              <w:numPr>
                <w:ilvl w:val="0"/>
                <w:numId w:val="104"/>
              </w:numPr>
              <w:rPr>
                <w:color w:val="000000"/>
                <w:spacing w:val="8"/>
                <w:sz w:val="24"/>
                <w:szCs w:val="24"/>
              </w:rPr>
            </w:pPr>
            <w:r w:rsidRPr="00671FC0">
              <w:rPr>
                <w:color w:val="000000"/>
                <w:spacing w:val="8"/>
                <w:sz w:val="24"/>
                <w:szCs w:val="24"/>
              </w:rPr>
              <w:t>Designated Supervisor</w:t>
            </w:r>
          </w:p>
        </w:tc>
      </w:tr>
      <w:tr w:rsidR="00FB3943" w:rsidRPr="00671FC0" w14:paraId="7B4CB5AD" w14:textId="77777777" w:rsidTr="00FB394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6AF72ED0" w14:textId="77777777" w:rsidR="00FB3943" w:rsidRPr="00671FC0" w:rsidRDefault="00FB3943" w:rsidP="00FB3943">
            <w:pPr>
              <w:spacing w:line="240" w:lineRule="atLeast"/>
              <w:jc w:val="center"/>
              <w:rPr>
                <w:b/>
                <w:bCs/>
                <w:color w:val="000000"/>
                <w:spacing w:val="8"/>
                <w:sz w:val="24"/>
                <w:szCs w:val="24"/>
              </w:rPr>
            </w:pPr>
            <w:r w:rsidRPr="00671FC0">
              <w:rPr>
                <w:b/>
                <w:bCs/>
                <w:color w:val="000000"/>
                <w:spacing w:val="8"/>
                <w:sz w:val="24"/>
                <w:szCs w:val="24"/>
              </w:rPr>
              <w:t>Statutes</w:t>
            </w:r>
          </w:p>
        </w:tc>
        <w:tc>
          <w:tcPr>
            <w:tcW w:w="4000" w:type="pct"/>
            <w:tcBorders>
              <w:top w:val="outset" w:sz="6" w:space="0" w:color="auto"/>
              <w:left w:val="outset" w:sz="6" w:space="0" w:color="auto"/>
              <w:bottom w:val="outset" w:sz="6" w:space="0" w:color="auto"/>
              <w:right w:val="outset" w:sz="6" w:space="0" w:color="auto"/>
            </w:tcBorders>
            <w:vAlign w:val="center"/>
            <w:hideMark/>
          </w:tcPr>
          <w:p w14:paraId="27CBCBD0" w14:textId="77777777" w:rsidR="00FB3943" w:rsidRPr="00671FC0" w:rsidRDefault="00FB3943" w:rsidP="00C1728B">
            <w:pPr>
              <w:numPr>
                <w:ilvl w:val="0"/>
                <w:numId w:val="105"/>
              </w:numPr>
              <w:rPr>
                <w:color w:val="000000"/>
                <w:spacing w:val="8"/>
                <w:sz w:val="24"/>
                <w:szCs w:val="24"/>
              </w:rPr>
            </w:pPr>
            <w:r w:rsidRPr="00671FC0">
              <w:rPr>
                <w:color w:val="000000"/>
                <w:spacing w:val="8"/>
                <w:sz w:val="24"/>
                <w:szCs w:val="24"/>
              </w:rPr>
              <w:t>SEC Regulation D</w:t>
            </w:r>
            <w:r w:rsidR="00AD3F0E" w:rsidRPr="00671FC0">
              <w:rPr>
                <w:color w:val="000000"/>
                <w:spacing w:val="8"/>
                <w:sz w:val="24"/>
                <w:szCs w:val="24"/>
              </w:rPr>
              <w:t xml:space="preserve"> – Private Offerings</w:t>
            </w:r>
          </w:p>
          <w:p w14:paraId="5056B3EB" w14:textId="77777777" w:rsidR="006642C0" w:rsidRPr="00671FC0" w:rsidRDefault="006642C0" w:rsidP="00C1728B">
            <w:pPr>
              <w:numPr>
                <w:ilvl w:val="0"/>
                <w:numId w:val="105"/>
              </w:numPr>
              <w:rPr>
                <w:color w:val="000000"/>
                <w:spacing w:val="8"/>
                <w:sz w:val="24"/>
                <w:szCs w:val="24"/>
              </w:rPr>
            </w:pPr>
            <w:r w:rsidRPr="00671FC0">
              <w:rPr>
                <w:bCs/>
                <w:iCs/>
                <w:color w:val="000000"/>
                <w:sz w:val="24"/>
                <w:szCs w:val="24"/>
              </w:rPr>
              <w:t>SEC Rule 15c1-5, 15c1-6 - Disclosures</w:t>
            </w:r>
          </w:p>
          <w:p w14:paraId="2941118B" w14:textId="77777777" w:rsidR="00AD3F0E" w:rsidRPr="00671FC0" w:rsidRDefault="00AD3F0E" w:rsidP="00C1728B">
            <w:pPr>
              <w:numPr>
                <w:ilvl w:val="0"/>
                <w:numId w:val="105"/>
              </w:numPr>
              <w:rPr>
                <w:color w:val="000000"/>
                <w:spacing w:val="8"/>
                <w:sz w:val="24"/>
                <w:szCs w:val="24"/>
              </w:rPr>
            </w:pPr>
            <w:r w:rsidRPr="00671FC0">
              <w:rPr>
                <w:color w:val="000000"/>
                <w:sz w:val="24"/>
                <w:szCs w:val="24"/>
              </w:rPr>
              <w:t>SEC Rule 15c</w:t>
            </w:r>
            <w:r w:rsidR="00315CF8" w:rsidRPr="00671FC0">
              <w:rPr>
                <w:color w:val="000000"/>
                <w:sz w:val="24"/>
                <w:szCs w:val="24"/>
              </w:rPr>
              <w:t xml:space="preserve">2-4 </w:t>
            </w:r>
            <w:r w:rsidRPr="00671FC0">
              <w:rPr>
                <w:color w:val="000000"/>
                <w:sz w:val="24"/>
                <w:szCs w:val="24"/>
              </w:rPr>
              <w:t xml:space="preserve"> – Escrow Accounts</w:t>
            </w:r>
          </w:p>
          <w:p w14:paraId="404ACCCD" w14:textId="77777777" w:rsidR="00B32866" w:rsidRPr="00671FC0" w:rsidRDefault="00B32866" w:rsidP="00C1728B">
            <w:pPr>
              <w:numPr>
                <w:ilvl w:val="0"/>
                <w:numId w:val="105"/>
              </w:numPr>
              <w:rPr>
                <w:color w:val="000000"/>
                <w:spacing w:val="8"/>
                <w:sz w:val="24"/>
                <w:szCs w:val="24"/>
              </w:rPr>
            </w:pPr>
            <w:r w:rsidRPr="00671FC0">
              <w:rPr>
                <w:color w:val="000000"/>
                <w:sz w:val="24"/>
                <w:szCs w:val="24"/>
              </w:rPr>
              <w:t>SEC Rule 144 – Restricted Securities</w:t>
            </w:r>
          </w:p>
          <w:p w14:paraId="109F9D02" w14:textId="77777777" w:rsidR="00B32866" w:rsidRPr="00671FC0" w:rsidRDefault="00B32866" w:rsidP="00C1728B">
            <w:pPr>
              <w:numPr>
                <w:ilvl w:val="0"/>
                <w:numId w:val="105"/>
              </w:numPr>
              <w:rPr>
                <w:color w:val="000000"/>
                <w:spacing w:val="8"/>
                <w:sz w:val="24"/>
                <w:szCs w:val="24"/>
              </w:rPr>
            </w:pPr>
            <w:r w:rsidRPr="00671FC0">
              <w:rPr>
                <w:color w:val="000000"/>
                <w:sz w:val="24"/>
                <w:szCs w:val="24"/>
              </w:rPr>
              <w:t xml:space="preserve">SEC Rule 10b-10 – Riskless </w:t>
            </w:r>
            <w:r w:rsidR="000652D3" w:rsidRPr="00671FC0">
              <w:rPr>
                <w:color w:val="000000"/>
                <w:sz w:val="24"/>
                <w:szCs w:val="24"/>
              </w:rPr>
              <w:t xml:space="preserve">Principal </w:t>
            </w:r>
            <w:r w:rsidRPr="00671FC0">
              <w:rPr>
                <w:color w:val="000000"/>
                <w:sz w:val="24"/>
                <w:szCs w:val="24"/>
              </w:rPr>
              <w:t>Transactions</w:t>
            </w:r>
          </w:p>
          <w:p w14:paraId="5657029C" w14:textId="77777777" w:rsidR="00FB3943" w:rsidRPr="00671FC0" w:rsidRDefault="00FB3943" w:rsidP="00C1728B">
            <w:pPr>
              <w:numPr>
                <w:ilvl w:val="0"/>
                <w:numId w:val="105"/>
              </w:numPr>
              <w:rPr>
                <w:color w:val="000000"/>
                <w:spacing w:val="8"/>
                <w:sz w:val="24"/>
                <w:szCs w:val="24"/>
              </w:rPr>
            </w:pPr>
            <w:r w:rsidRPr="00671FC0">
              <w:rPr>
                <w:color w:val="000000"/>
                <w:spacing w:val="8"/>
                <w:sz w:val="24"/>
                <w:szCs w:val="24"/>
              </w:rPr>
              <w:lastRenderedPageBreak/>
              <w:t>State Blue Sky Laws</w:t>
            </w:r>
          </w:p>
          <w:p w14:paraId="630BECF1" w14:textId="77777777" w:rsidR="00FB3943" w:rsidRDefault="002D52D0" w:rsidP="00C1728B">
            <w:pPr>
              <w:numPr>
                <w:ilvl w:val="0"/>
                <w:numId w:val="105"/>
              </w:numPr>
              <w:rPr>
                <w:color w:val="000000"/>
                <w:spacing w:val="8"/>
                <w:sz w:val="24"/>
                <w:szCs w:val="24"/>
              </w:rPr>
            </w:pPr>
            <w:r w:rsidRPr="00671FC0">
              <w:rPr>
                <w:color w:val="000000"/>
                <w:spacing w:val="8"/>
                <w:sz w:val="24"/>
                <w:szCs w:val="24"/>
              </w:rPr>
              <w:t>FINRA Rule 5122 – PPs by Member</w:t>
            </w:r>
            <w:r w:rsidR="00AD3F0E" w:rsidRPr="00671FC0">
              <w:rPr>
                <w:color w:val="000000"/>
                <w:spacing w:val="8"/>
                <w:sz w:val="24"/>
                <w:szCs w:val="24"/>
              </w:rPr>
              <w:t xml:space="preserve"> Firm</w:t>
            </w:r>
            <w:r w:rsidRPr="00671FC0">
              <w:rPr>
                <w:color w:val="000000"/>
                <w:spacing w:val="8"/>
                <w:sz w:val="24"/>
                <w:szCs w:val="24"/>
              </w:rPr>
              <w:t xml:space="preserve"> or Control Entities</w:t>
            </w:r>
          </w:p>
          <w:p w14:paraId="5B8DC452" w14:textId="77777777" w:rsidR="00900C49" w:rsidRPr="007D59F6" w:rsidRDefault="00900C49" w:rsidP="00C1728B">
            <w:pPr>
              <w:numPr>
                <w:ilvl w:val="0"/>
                <w:numId w:val="105"/>
              </w:numPr>
              <w:rPr>
                <w:spacing w:val="8"/>
                <w:sz w:val="24"/>
                <w:szCs w:val="24"/>
              </w:rPr>
            </w:pPr>
            <w:r w:rsidRPr="007D59F6">
              <w:rPr>
                <w:spacing w:val="8"/>
                <w:sz w:val="24"/>
                <w:szCs w:val="24"/>
              </w:rPr>
              <w:t>FINRA Rule 5123 – FINRA Notice Filing Requirements for PPs</w:t>
            </w:r>
          </w:p>
          <w:p w14:paraId="68B177C5" w14:textId="77777777" w:rsidR="00FB3943" w:rsidRPr="00671FC0" w:rsidRDefault="00FB3943" w:rsidP="00AD3F0E">
            <w:pPr>
              <w:ind w:left="360"/>
              <w:rPr>
                <w:color w:val="000000"/>
                <w:spacing w:val="8"/>
                <w:sz w:val="24"/>
                <w:szCs w:val="24"/>
              </w:rPr>
            </w:pPr>
          </w:p>
        </w:tc>
      </w:tr>
      <w:tr w:rsidR="00FB3943" w:rsidRPr="00671FC0" w14:paraId="6B8D492D" w14:textId="77777777" w:rsidTr="00FB394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48E2AA61" w14:textId="77777777" w:rsidR="00FB3943" w:rsidRPr="00671FC0" w:rsidRDefault="00FB3943" w:rsidP="00FB3943">
            <w:pPr>
              <w:spacing w:line="240" w:lineRule="atLeast"/>
              <w:jc w:val="center"/>
              <w:rPr>
                <w:b/>
                <w:bCs/>
                <w:color w:val="000000"/>
                <w:spacing w:val="8"/>
                <w:sz w:val="24"/>
                <w:szCs w:val="24"/>
              </w:rPr>
            </w:pPr>
            <w:r w:rsidRPr="00671FC0">
              <w:rPr>
                <w:b/>
                <w:bCs/>
                <w:color w:val="000000"/>
                <w:spacing w:val="8"/>
                <w:sz w:val="24"/>
                <w:szCs w:val="24"/>
              </w:rPr>
              <w:lastRenderedPageBreak/>
              <w:t>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14:paraId="3AAF20E2" w14:textId="77777777" w:rsidR="00FB3943" w:rsidRPr="00671FC0" w:rsidRDefault="00FB3943" w:rsidP="00C1728B">
            <w:pPr>
              <w:numPr>
                <w:ilvl w:val="0"/>
                <w:numId w:val="106"/>
              </w:numPr>
              <w:rPr>
                <w:color w:val="000000"/>
                <w:spacing w:val="8"/>
                <w:sz w:val="24"/>
                <w:szCs w:val="24"/>
              </w:rPr>
            </w:pPr>
            <w:r w:rsidRPr="00671FC0">
              <w:rPr>
                <w:color w:val="000000"/>
                <w:spacing w:val="8"/>
                <w:sz w:val="24"/>
                <w:szCs w:val="24"/>
              </w:rPr>
              <w:t>As required</w:t>
            </w:r>
          </w:p>
        </w:tc>
      </w:tr>
      <w:tr w:rsidR="00FB3943" w:rsidRPr="00671FC0" w14:paraId="1353D77A" w14:textId="77777777" w:rsidTr="00FB394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263D43B4" w14:textId="77777777" w:rsidR="00FB3943" w:rsidRPr="00671FC0" w:rsidRDefault="00FB3943" w:rsidP="00FB3943">
            <w:pPr>
              <w:spacing w:line="240" w:lineRule="atLeast"/>
              <w:jc w:val="center"/>
              <w:rPr>
                <w:b/>
                <w:bCs/>
                <w:color w:val="000000"/>
                <w:spacing w:val="8"/>
                <w:sz w:val="24"/>
                <w:szCs w:val="24"/>
              </w:rPr>
            </w:pPr>
            <w:r w:rsidRPr="00671FC0">
              <w:rPr>
                <w:b/>
                <w:bCs/>
                <w:color w:val="000000"/>
                <w:spacing w:val="8"/>
                <w:sz w:val="24"/>
                <w:szCs w:val="24"/>
              </w:rPr>
              <w:t>Actions</w:t>
            </w:r>
          </w:p>
        </w:tc>
        <w:tc>
          <w:tcPr>
            <w:tcW w:w="4000" w:type="pct"/>
            <w:tcBorders>
              <w:top w:val="outset" w:sz="6" w:space="0" w:color="auto"/>
              <w:left w:val="outset" w:sz="6" w:space="0" w:color="auto"/>
              <w:bottom w:val="outset" w:sz="6" w:space="0" w:color="auto"/>
              <w:right w:val="outset" w:sz="6" w:space="0" w:color="auto"/>
            </w:tcBorders>
            <w:vAlign w:val="center"/>
            <w:hideMark/>
          </w:tcPr>
          <w:p w14:paraId="175B09B7" w14:textId="77777777" w:rsidR="00FB3943" w:rsidRPr="00671FC0" w:rsidRDefault="00FB3943" w:rsidP="00C1728B">
            <w:pPr>
              <w:numPr>
                <w:ilvl w:val="0"/>
                <w:numId w:val="107"/>
              </w:numPr>
              <w:rPr>
                <w:color w:val="000000"/>
                <w:spacing w:val="8"/>
                <w:sz w:val="24"/>
                <w:szCs w:val="24"/>
              </w:rPr>
            </w:pPr>
            <w:r w:rsidRPr="00671FC0">
              <w:rPr>
                <w:color w:val="000000"/>
                <w:spacing w:val="8"/>
                <w:sz w:val="24"/>
                <w:szCs w:val="24"/>
              </w:rPr>
              <w:t xml:space="preserve">Execute an agreement with the issuer </w:t>
            </w:r>
          </w:p>
          <w:p w14:paraId="1A90633C" w14:textId="77777777" w:rsidR="00FB3943" w:rsidRPr="00EA0A5B" w:rsidRDefault="00FB3943" w:rsidP="00C1728B">
            <w:pPr>
              <w:numPr>
                <w:ilvl w:val="0"/>
                <w:numId w:val="107"/>
              </w:numPr>
              <w:rPr>
                <w:spacing w:val="8"/>
                <w:sz w:val="24"/>
                <w:szCs w:val="24"/>
              </w:rPr>
            </w:pPr>
            <w:r w:rsidRPr="00671FC0">
              <w:rPr>
                <w:color w:val="000000"/>
                <w:spacing w:val="8"/>
                <w:sz w:val="24"/>
                <w:szCs w:val="24"/>
              </w:rPr>
              <w:t xml:space="preserve">Conduct due diligence or engage counsel or other qualified person to conduct due diligence </w:t>
            </w:r>
          </w:p>
          <w:p w14:paraId="303BBFA7" w14:textId="77777777" w:rsidR="00884CCF" w:rsidRPr="00EA0A5B" w:rsidRDefault="00884CCF" w:rsidP="00C1728B">
            <w:pPr>
              <w:numPr>
                <w:ilvl w:val="0"/>
                <w:numId w:val="107"/>
              </w:numPr>
              <w:rPr>
                <w:spacing w:val="8"/>
                <w:sz w:val="24"/>
                <w:szCs w:val="24"/>
              </w:rPr>
            </w:pPr>
            <w:r w:rsidRPr="00EA0A5B">
              <w:rPr>
                <w:sz w:val="24"/>
                <w:szCs w:val="24"/>
              </w:rPr>
              <w:t>Establish a "separate account" or escrow account if applicable</w:t>
            </w:r>
          </w:p>
          <w:p w14:paraId="7F342EC0" w14:textId="77777777" w:rsidR="00FB3943" w:rsidRPr="00671FC0" w:rsidRDefault="00FB3943" w:rsidP="00C1728B">
            <w:pPr>
              <w:numPr>
                <w:ilvl w:val="0"/>
                <w:numId w:val="107"/>
              </w:numPr>
              <w:rPr>
                <w:color w:val="000000"/>
                <w:spacing w:val="8"/>
                <w:sz w:val="24"/>
                <w:szCs w:val="24"/>
              </w:rPr>
            </w:pPr>
            <w:r w:rsidRPr="00671FC0">
              <w:rPr>
                <w:color w:val="000000"/>
                <w:spacing w:val="8"/>
                <w:sz w:val="24"/>
                <w:szCs w:val="24"/>
              </w:rPr>
              <w:t xml:space="preserve">Document the file regarding due diligence </w:t>
            </w:r>
          </w:p>
          <w:p w14:paraId="0FF267BA" w14:textId="77777777" w:rsidR="00FB3943" w:rsidRPr="00671FC0" w:rsidRDefault="00FB3943" w:rsidP="00C1728B">
            <w:pPr>
              <w:numPr>
                <w:ilvl w:val="0"/>
                <w:numId w:val="107"/>
              </w:numPr>
              <w:rPr>
                <w:color w:val="000000"/>
                <w:spacing w:val="8"/>
                <w:sz w:val="24"/>
                <w:szCs w:val="24"/>
              </w:rPr>
            </w:pPr>
            <w:r w:rsidRPr="00671FC0">
              <w:rPr>
                <w:color w:val="000000"/>
                <w:spacing w:val="8"/>
                <w:sz w:val="24"/>
                <w:szCs w:val="24"/>
              </w:rPr>
              <w:t xml:space="preserve">Determine limitations on the offering, including integration issues and obtain representation letter from issuer if needed </w:t>
            </w:r>
          </w:p>
          <w:p w14:paraId="6181F44E" w14:textId="77777777" w:rsidR="00FB3943" w:rsidRPr="00671FC0" w:rsidRDefault="00FB3943" w:rsidP="00C1728B">
            <w:pPr>
              <w:numPr>
                <w:ilvl w:val="0"/>
                <w:numId w:val="107"/>
              </w:numPr>
              <w:rPr>
                <w:color w:val="000000"/>
                <w:spacing w:val="8"/>
                <w:sz w:val="24"/>
                <w:szCs w:val="24"/>
              </w:rPr>
            </w:pPr>
            <w:r w:rsidRPr="00671FC0">
              <w:rPr>
                <w:color w:val="000000"/>
                <w:spacing w:val="8"/>
                <w:sz w:val="24"/>
                <w:szCs w:val="24"/>
              </w:rPr>
              <w:t>Determine what information to provide to sales personnel</w:t>
            </w:r>
          </w:p>
          <w:p w14:paraId="518634D8" w14:textId="77777777" w:rsidR="00FE1D46" w:rsidRPr="00671FC0" w:rsidRDefault="00FE1D46" w:rsidP="00C1728B">
            <w:pPr>
              <w:numPr>
                <w:ilvl w:val="0"/>
                <w:numId w:val="107"/>
              </w:numPr>
              <w:rPr>
                <w:color w:val="000000"/>
                <w:spacing w:val="8"/>
                <w:sz w:val="24"/>
                <w:szCs w:val="24"/>
              </w:rPr>
            </w:pPr>
            <w:r w:rsidRPr="00671FC0">
              <w:rPr>
                <w:color w:val="000000"/>
                <w:spacing w:val="8"/>
                <w:sz w:val="24"/>
                <w:szCs w:val="24"/>
              </w:rPr>
              <w:t>Form D Filings through Edgar Filing System</w:t>
            </w:r>
          </w:p>
          <w:p w14:paraId="24A61A83" w14:textId="77777777" w:rsidR="00B770EA" w:rsidRPr="00671FC0" w:rsidRDefault="00B770EA" w:rsidP="00B770EA">
            <w:pPr>
              <w:ind w:left="720"/>
              <w:rPr>
                <w:color w:val="000000"/>
                <w:spacing w:val="8"/>
                <w:sz w:val="24"/>
                <w:szCs w:val="24"/>
              </w:rPr>
            </w:pPr>
          </w:p>
        </w:tc>
      </w:tr>
      <w:tr w:rsidR="00FB3943" w:rsidRPr="00671FC0" w14:paraId="6112E3D7" w14:textId="77777777" w:rsidTr="00FB394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127E2C87" w14:textId="77777777" w:rsidR="00FB3943" w:rsidRPr="00671FC0" w:rsidRDefault="00FB3943" w:rsidP="00FB3943">
            <w:pPr>
              <w:spacing w:line="240" w:lineRule="atLeast"/>
              <w:jc w:val="center"/>
              <w:rPr>
                <w:b/>
                <w:bCs/>
                <w:color w:val="000000"/>
                <w:spacing w:val="8"/>
                <w:sz w:val="24"/>
                <w:szCs w:val="24"/>
              </w:rPr>
            </w:pPr>
            <w:r w:rsidRPr="00671FC0">
              <w:rPr>
                <w:b/>
                <w:bCs/>
                <w:color w:val="000000"/>
                <w:spacing w:val="8"/>
                <w:sz w:val="24"/>
                <w:szCs w:val="24"/>
              </w:rPr>
              <w:t>Records</w:t>
            </w:r>
          </w:p>
        </w:tc>
        <w:tc>
          <w:tcPr>
            <w:tcW w:w="4000" w:type="pct"/>
            <w:tcBorders>
              <w:top w:val="outset" w:sz="6" w:space="0" w:color="auto"/>
              <w:left w:val="outset" w:sz="6" w:space="0" w:color="auto"/>
              <w:bottom w:val="outset" w:sz="6" w:space="0" w:color="auto"/>
              <w:right w:val="outset" w:sz="6" w:space="0" w:color="auto"/>
            </w:tcBorders>
            <w:vAlign w:val="center"/>
            <w:hideMark/>
          </w:tcPr>
          <w:p w14:paraId="0D7EFC48" w14:textId="77777777" w:rsidR="00FB3943" w:rsidRPr="00E503D6" w:rsidRDefault="00FB3943" w:rsidP="00C1728B">
            <w:pPr>
              <w:numPr>
                <w:ilvl w:val="0"/>
                <w:numId w:val="108"/>
              </w:numPr>
              <w:rPr>
                <w:spacing w:val="8"/>
                <w:sz w:val="24"/>
                <w:szCs w:val="24"/>
              </w:rPr>
            </w:pPr>
            <w:r w:rsidRPr="00E503D6">
              <w:rPr>
                <w:spacing w:val="8"/>
                <w:sz w:val="24"/>
                <w:szCs w:val="24"/>
              </w:rPr>
              <w:t xml:space="preserve">The deal file will include </w:t>
            </w:r>
            <w:r w:rsidR="00BB6E86" w:rsidRPr="00E503D6">
              <w:rPr>
                <w:spacing w:val="8"/>
                <w:sz w:val="24"/>
                <w:szCs w:val="24"/>
              </w:rPr>
              <w:t>any offering</w:t>
            </w:r>
            <w:r w:rsidRPr="00E503D6">
              <w:rPr>
                <w:spacing w:val="8"/>
                <w:sz w:val="24"/>
                <w:szCs w:val="24"/>
              </w:rPr>
              <w:t xml:space="preserve"> information, the issuer agreement</w:t>
            </w:r>
            <w:r w:rsidR="00B770EA" w:rsidRPr="00E503D6">
              <w:rPr>
                <w:spacing w:val="8"/>
                <w:sz w:val="24"/>
                <w:szCs w:val="24"/>
              </w:rPr>
              <w:t xml:space="preserve"> or Selling Agreement,</w:t>
            </w:r>
            <w:r w:rsidRPr="00E503D6">
              <w:rPr>
                <w:spacing w:val="8"/>
                <w:sz w:val="24"/>
                <w:szCs w:val="24"/>
              </w:rPr>
              <w:t xml:space="preserve"> </w:t>
            </w:r>
            <w:r w:rsidR="00B770EA" w:rsidRPr="00E503D6">
              <w:rPr>
                <w:spacing w:val="8"/>
                <w:sz w:val="24"/>
                <w:szCs w:val="24"/>
              </w:rPr>
              <w:t xml:space="preserve">any Escrow Agreement </w:t>
            </w:r>
            <w:r w:rsidR="00884CCF" w:rsidRPr="00EA0A5B">
              <w:rPr>
                <w:spacing w:val="8"/>
                <w:sz w:val="24"/>
                <w:szCs w:val="24"/>
              </w:rPr>
              <w:t xml:space="preserve">and account </w:t>
            </w:r>
            <w:r w:rsidR="00B770EA" w:rsidRPr="00E503D6">
              <w:rPr>
                <w:spacing w:val="8"/>
                <w:sz w:val="24"/>
                <w:szCs w:val="24"/>
              </w:rPr>
              <w:t xml:space="preserve">if applicable, </w:t>
            </w:r>
            <w:r w:rsidR="00AF6A96" w:rsidRPr="00E503D6">
              <w:rPr>
                <w:spacing w:val="8"/>
                <w:sz w:val="24"/>
                <w:szCs w:val="24"/>
              </w:rPr>
              <w:t>o</w:t>
            </w:r>
            <w:r w:rsidRPr="00E503D6">
              <w:rPr>
                <w:spacing w:val="8"/>
                <w:sz w:val="24"/>
                <w:szCs w:val="24"/>
              </w:rPr>
              <w:t xml:space="preserve">ffering </w:t>
            </w:r>
            <w:r w:rsidR="00BB6E86" w:rsidRPr="00E503D6">
              <w:rPr>
                <w:spacing w:val="8"/>
                <w:sz w:val="24"/>
                <w:szCs w:val="24"/>
              </w:rPr>
              <w:t>document</w:t>
            </w:r>
            <w:r w:rsidR="00AF6A96" w:rsidRPr="00E503D6">
              <w:rPr>
                <w:spacing w:val="8"/>
                <w:sz w:val="24"/>
                <w:szCs w:val="24"/>
              </w:rPr>
              <w:t>, and any due diligence documentation</w:t>
            </w:r>
          </w:p>
          <w:p w14:paraId="5BA10356" w14:textId="77777777" w:rsidR="00AD3F0E" w:rsidRPr="00E503D6" w:rsidRDefault="00FE1D46" w:rsidP="00C1728B">
            <w:pPr>
              <w:numPr>
                <w:ilvl w:val="0"/>
                <w:numId w:val="108"/>
              </w:numPr>
              <w:rPr>
                <w:spacing w:val="8"/>
                <w:sz w:val="24"/>
                <w:szCs w:val="24"/>
              </w:rPr>
            </w:pPr>
            <w:r w:rsidRPr="00E503D6">
              <w:rPr>
                <w:spacing w:val="8"/>
                <w:sz w:val="24"/>
                <w:szCs w:val="24"/>
              </w:rPr>
              <w:t>Customer A</w:t>
            </w:r>
            <w:r w:rsidR="00AD3F0E" w:rsidRPr="00E503D6">
              <w:rPr>
                <w:spacing w:val="8"/>
                <w:sz w:val="24"/>
                <w:szCs w:val="24"/>
              </w:rPr>
              <w:t>ccount Documents</w:t>
            </w:r>
          </w:p>
          <w:p w14:paraId="4B09E863" w14:textId="77777777" w:rsidR="00FE1D46" w:rsidRPr="00671FC0" w:rsidRDefault="00FE1D46" w:rsidP="00C1728B">
            <w:pPr>
              <w:numPr>
                <w:ilvl w:val="0"/>
                <w:numId w:val="108"/>
              </w:numPr>
              <w:rPr>
                <w:color w:val="000000"/>
                <w:spacing w:val="8"/>
                <w:sz w:val="24"/>
                <w:szCs w:val="24"/>
              </w:rPr>
            </w:pPr>
            <w:r w:rsidRPr="00671FC0">
              <w:rPr>
                <w:color w:val="000000"/>
                <w:spacing w:val="8"/>
                <w:sz w:val="24"/>
                <w:szCs w:val="24"/>
              </w:rPr>
              <w:t>Customer Transactions</w:t>
            </w:r>
          </w:p>
          <w:p w14:paraId="5624F841" w14:textId="77777777" w:rsidR="00AD3F0E" w:rsidRPr="00671FC0" w:rsidRDefault="00FE1D46" w:rsidP="00C1728B">
            <w:pPr>
              <w:numPr>
                <w:ilvl w:val="0"/>
                <w:numId w:val="108"/>
              </w:numPr>
              <w:rPr>
                <w:color w:val="000000"/>
                <w:spacing w:val="8"/>
                <w:sz w:val="24"/>
                <w:szCs w:val="24"/>
              </w:rPr>
            </w:pPr>
            <w:r w:rsidRPr="00671FC0">
              <w:rPr>
                <w:color w:val="000000"/>
                <w:spacing w:val="8"/>
                <w:sz w:val="24"/>
                <w:szCs w:val="24"/>
              </w:rPr>
              <w:t>Form D Copies</w:t>
            </w:r>
          </w:p>
          <w:p w14:paraId="6354AABB" w14:textId="77777777" w:rsidR="00FE1D46" w:rsidRPr="00671FC0" w:rsidRDefault="00FE1D46" w:rsidP="00C1728B">
            <w:pPr>
              <w:numPr>
                <w:ilvl w:val="0"/>
                <w:numId w:val="108"/>
              </w:numPr>
              <w:rPr>
                <w:color w:val="000000"/>
                <w:spacing w:val="8"/>
                <w:sz w:val="24"/>
                <w:szCs w:val="24"/>
              </w:rPr>
            </w:pPr>
            <w:r w:rsidRPr="00671FC0">
              <w:rPr>
                <w:color w:val="000000"/>
                <w:spacing w:val="8"/>
                <w:sz w:val="24"/>
                <w:szCs w:val="24"/>
              </w:rPr>
              <w:t>Memorandum Transmittal Log</w:t>
            </w:r>
          </w:p>
          <w:p w14:paraId="4226AEF6" w14:textId="77777777" w:rsidR="00FE1D46" w:rsidRPr="00671FC0" w:rsidRDefault="00FE1D46" w:rsidP="00C1728B">
            <w:pPr>
              <w:numPr>
                <w:ilvl w:val="0"/>
                <w:numId w:val="108"/>
              </w:numPr>
              <w:rPr>
                <w:color w:val="000000"/>
                <w:spacing w:val="8"/>
                <w:sz w:val="24"/>
                <w:szCs w:val="24"/>
              </w:rPr>
            </w:pPr>
            <w:r w:rsidRPr="00671FC0">
              <w:rPr>
                <w:color w:val="000000"/>
                <w:spacing w:val="8"/>
                <w:sz w:val="24"/>
                <w:szCs w:val="24"/>
              </w:rPr>
              <w:t>Escrow/Blotter Log</w:t>
            </w:r>
          </w:p>
        </w:tc>
      </w:tr>
    </w:tbl>
    <w:p w14:paraId="2CBB8C18" w14:textId="77777777" w:rsidR="00FB3943" w:rsidRPr="00671FC0" w:rsidRDefault="00FB3943" w:rsidP="00FB3943">
      <w:pPr>
        <w:rPr>
          <w:color w:val="000000"/>
        </w:rPr>
      </w:pPr>
    </w:p>
    <w:p w14:paraId="31FA3828" w14:textId="77777777" w:rsidR="00FB3943" w:rsidRDefault="00FB3943">
      <w:pPr>
        <w:rPr>
          <w:b/>
          <w:sz w:val="24"/>
        </w:rPr>
      </w:pPr>
    </w:p>
    <w:p w14:paraId="67491C4A" w14:textId="77777777" w:rsidR="000C099C" w:rsidRDefault="00AD3F0E" w:rsidP="00936FEE">
      <w:pPr>
        <w:pStyle w:val="Heading2"/>
        <w:rPr>
          <w:u w:val="single"/>
        </w:rPr>
      </w:pPr>
      <w:r>
        <w:t>1</w:t>
      </w:r>
      <w:r w:rsidR="00A46E62">
        <w:t>4</w:t>
      </w:r>
      <w:r w:rsidR="00C7151F">
        <w:t xml:space="preserve">.3 </w:t>
      </w:r>
      <w:r w:rsidR="000C099C">
        <w:t>Private Placement Activities</w:t>
      </w:r>
    </w:p>
    <w:p w14:paraId="7ACF20D7" w14:textId="77777777" w:rsidR="000C099C" w:rsidRPr="00A46E62" w:rsidRDefault="000C0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Section 4(2) of the Securities Act of 1933 provides an exemption from registration for securities not involving a public offering. In participating in private offerings on a "best efforts" or an "all or nothing" basis, each registered representative, subject to the supervision of Morris Monroe </w:t>
      </w:r>
      <w:r w:rsidR="00F74653" w:rsidRPr="00A46E62">
        <w:rPr>
          <w:sz w:val="24"/>
        </w:rPr>
        <w:t>(</w:t>
      </w:r>
      <w:r w:rsidRPr="00A46E62">
        <w:rPr>
          <w:sz w:val="24"/>
        </w:rPr>
        <w:t>or</w:t>
      </w:r>
      <w:r w:rsidR="00F74653" w:rsidRPr="00A46E62">
        <w:rPr>
          <w:sz w:val="24"/>
        </w:rPr>
        <w:t xml:space="preserve"> if any other principal designated as solely responsible for supervising such activities as a Private Securities Offering Principal who </w:t>
      </w:r>
      <w:r w:rsidR="00995896" w:rsidRPr="00A46E62">
        <w:rPr>
          <w:sz w:val="24"/>
        </w:rPr>
        <w:t xml:space="preserve">already </w:t>
      </w:r>
      <w:r w:rsidR="00F74653" w:rsidRPr="00A46E62">
        <w:rPr>
          <w:sz w:val="24"/>
        </w:rPr>
        <w:t xml:space="preserve">has </w:t>
      </w:r>
      <w:r w:rsidR="00995896" w:rsidRPr="00A46E62">
        <w:rPr>
          <w:sz w:val="24"/>
        </w:rPr>
        <w:t xml:space="preserve">the Series 24 or after 10/1/18, </w:t>
      </w:r>
      <w:r w:rsidR="00F74653" w:rsidRPr="00A46E62">
        <w:rPr>
          <w:sz w:val="24"/>
        </w:rPr>
        <w:t>passed the SIE and Series 24 exams)</w:t>
      </w:r>
      <w:r w:rsidRPr="00A46E62">
        <w:rPr>
          <w:sz w:val="24"/>
        </w:rPr>
        <w:t>, shall:</w:t>
      </w:r>
    </w:p>
    <w:p w14:paraId="772BCFC3" w14:textId="77777777" w:rsidR="000C099C" w:rsidRDefault="000C0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6CE6F30" w14:textId="7EDD7A32" w:rsidR="000C099C" w:rsidRDefault="000C0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r>
        <w:rPr>
          <w:sz w:val="24"/>
        </w:rPr>
        <w:tab/>
        <w:t>1.</w:t>
      </w:r>
      <w:r>
        <w:rPr>
          <w:sz w:val="24"/>
        </w:rPr>
        <w:tab/>
        <w:t xml:space="preserve">Verify that all offers and purchasers meet </w:t>
      </w:r>
      <w:r w:rsidR="00E27489" w:rsidRPr="00E27489">
        <w:rPr>
          <w:color w:val="FF0000"/>
          <w:sz w:val="24"/>
        </w:rPr>
        <w:t>BI</w:t>
      </w:r>
      <w:r w:rsidR="008E6A6D" w:rsidRPr="00E27489">
        <w:rPr>
          <w:color w:val="FF0000"/>
          <w:sz w:val="24"/>
        </w:rPr>
        <w:t xml:space="preserve"> </w:t>
      </w:r>
      <w:r>
        <w:rPr>
          <w:sz w:val="24"/>
        </w:rPr>
        <w:t>requirements.</w:t>
      </w:r>
    </w:p>
    <w:p w14:paraId="188C6E50" w14:textId="77777777" w:rsidR="00703B0A" w:rsidRDefault="00703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rPr>
      </w:pPr>
    </w:p>
    <w:p w14:paraId="5E70BFCA" w14:textId="77777777" w:rsidR="000C099C" w:rsidRDefault="000C099C" w:rsidP="00C76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ab/>
        <w:t>2.</w:t>
      </w:r>
      <w:r>
        <w:rPr>
          <w:sz w:val="24"/>
        </w:rPr>
        <w:tab/>
        <w:t>Use reasonable diligence to ensure that all material facts relating to the issuer</w:t>
      </w:r>
      <w:r w:rsidR="00696558">
        <w:rPr>
          <w:sz w:val="24"/>
        </w:rPr>
        <w:t>, the</w:t>
      </w:r>
      <w:r>
        <w:rPr>
          <w:sz w:val="24"/>
        </w:rPr>
        <w:t xml:space="preserve"> </w:t>
      </w:r>
    </w:p>
    <w:p w14:paraId="267A8239" w14:textId="77777777" w:rsidR="000C099C" w:rsidRDefault="00C7655E" w:rsidP="00C7655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rPr>
      </w:pPr>
      <w:r>
        <w:rPr>
          <w:sz w:val="24"/>
        </w:rPr>
        <w:tab/>
      </w:r>
      <w:r w:rsidR="00B9529B">
        <w:rPr>
          <w:sz w:val="24"/>
        </w:rPr>
        <w:t>Issuer’s</w:t>
      </w:r>
      <w:r w:rsidR="000C099C">
        <w:rPr>
          <w:sz w:val="24"/>
        </w:rPr>
        <w:t xml:space="preserve"> </w:t>
      </w:r>
      <w:r w:rsidR="003D2E47">
        <w:rPr>
          <w:sz w:val="24"/>
        </w:rPr>
        <w:t>securities</w:t>
      </w:r>
      <w:r w:rsidR="000C099C">
        <w:rPr>
          <w:sz w:val="24"/>
        </w:rPr>
        <w:t xml:space="preserve"> and the offering have been accurately disclosed in the offering memorandum.</w:t>
      </w:r>
    </w:p>
    <w:p w14:paraId="44E29661" w14:textId="77777777" w:rsidR="00703B0A" w:rsidRDefault="00703B0A" w:rsidP="00C765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p>
    <w:p w14:paraId="43AFE0A1" w14:textId="77777777" w:rsidR="000C099C" w:rsidRDefault="000C099C" w:rsidP="00C7655E">
      <w:pPr>
        <w:tabs>
          <w:tab w:val="left" w:pos="720"/>
          <w:tab w:val="left" w:pos="1440"/>
          <w:tab w:val="left" w:pos="2160"/>
          <w:tab w:val="left" w:pos="2880"/>
          <w:tab w:val="left" w:pos="3600"/>
          <w:tab w:val="left" w:pos="4320"/>
          <w:tab w:val="left" w:pos="5040"/>
          <w:tab w:val="left" w:pos="9270"/>
          <w:tab w:val="left" w:pos="9360"/>
        </w:tabs>
        <w:ind w:left="720" w:hanging="720"/>
        <w:jc w:val="both"/>
        <w:rPr>
          <w:sz w:val="24"/>
        </w:rPr>
      </w:pPr>
      <w:r>
        <w:rPr>
          <w:sz w:val="24"/>
        </w:rPr>
        <w:tab/>
        <w:t>3.</w:t>
      </w:r>
      <w:r>
        <w:rPr>
          <w:sz w:val="24"/>
        </w:rPr>
        <w:tab/>
        <w:t>Refrain from making representations, oral or written, about the issuer or its</w:t>
      </w:r>
      <w:r w:rsidR="00125481">
        <w:rPr>
          <w:sz w:val="24"/>
        </w:rPr>
        <w:t xml:space="preserve"> </w:t>
      </w:r>
      <w:r>
        <w:rPr>
          <w:sz w:val="24"/>
        </w:rPr>
        <w:tab/>
        <w:t xml:space="preserve">securities other than as set forth in the offering memorandum or in publicly </w:t>
      </w:r>
      <w:r>
        <w:rPr>
          <w:sz w:val="24"/>
        </w:rPr>
        <w:tab/>
        <w:t>available and reliable</w:t>
      </w:r>
      <w:r w:rsidR="00125481">
        <w:rPr>
          <w:sz w:val="24"/>
        </w:rPr>
        <w:t>,</w:t>
      </w:r>
      <w:r>
        <w:rPr>
          <w:sz w:val="24"/>
        </w:rPr>
        <w:t xml:space="preserve"> investment research materials and observe the prohibitio</w:t>
      </w:r>
      <w:r w:rsidR="00C7655E">
        <w:rPr>
          <w:sz w:val="24"/>
        </w:rPr>
        <w:t>n</w:t>
      </w:r>
      <w:r>
        <w:rPr>
          <w:sz w:val="24"/>
        </w:rPr>
        <w:tab/>
        <w:t>against solicitation or advertising as set forth in Rule 502(c).</w:t>
      </w:r>
    </w:p>
    <w:p w14:paraId="4D494EB7" w14:textId="77777777" w:rsidR="000C099C" w:rsidRDefault="000C099C" w:rsidP="00125481">
      <w:pPr>
        <w:jc w:val="both"/>
        <w:rPr>
          <w:sz w:val="24"/>
        </w:rPr>
      </w:pPr>
    </w:p>
    <w:p w14:paraId="105D8E3C" w14:textId="77777777" w:rsidR="000C099C" w:rsidRDefault="000C099C">
      <w:pPr>
        <w:jc w:val="both"/>
        <w:rPr>
          <w:sz w:val="24"/>
        </w:rPr>
      </w:pPr>
      <w:r>
        <w:rPr>
          <w:sz w:val="24"/>
        </w:rPr>
        <w:t xml:space="preserve">In relation to private offerings, it is the Company's intent from time to time to participate in the private placement of securities.  At such time, no participation will be conducted unless the offering complies with state and federal rules and regulations.  In accordance with the exemptive </w:t>
      </w:r>
      <w:r>
        <w:rPr>
          <w:sz w:val="24"/>
        </w:rPr>
        <w:lastRenderedPageBreak/>
        <w:t xml:space="preserve">provisions of SEC Rules 15c3-1 and 15c3-3 the Company will participate in private </w:t>
      </w:r>
      <w:r w:rsidR="0062208E">
        <w:rPr>
          <w:sz w:val="24"/>
        </w:rPr>
        <w:t>offerings only</w:t>
      </w:r>
      <w:r>
        <w:rPr>
          <w:sz w:val="24"/>
        </w:rPr>
        <w:t xml:space="preserve"> on a "Best Efforts" basis as a placing agent </w:t>
      </w:r>
      <w:r w:rsidR="00A46E62">
        <w:rPr>
          <w:sz w:val="24"/>
        </w:rPr>
        <w:t>only and</w:t>
      </w:r>
      <w:r>
        <w:rPr>
          <w:sz w:val="24"/>
        </w:rPr>
        <w:t xml:space="preserve"> will at no time participate in "Firm Commitm</w:t>
      </w:r>
      <w:r w:rsidR="008677CB">
        <w:rPr>
          <w:sz w:val="24"/>
        </w:rPr>
        <w:t>ent" underwritings. It is also t</w:t>
      </w:r>
      <w:r>
        <w:rPr>
          <w:sz w:val="24"/>
        </w:rPr>
        <w:t xml:space="preserve">he Company's intent to spend the time and effort necessary, based on its abilities, to research and evaluate each and every security vehicle which it intends to merchandise.  </w:t>
      </w:r>
    </w:p>
    <w:p w14:paraId="70265FC6" w14:textId="77777777" w:rsidR="000C099C" w:rsidRDefault="000C099C">
      <w:pPr>
        <w:jc w:val="both"/>
        <w:rPr>
          <w:sz w:val="24"/>
        </w:rPr>
      </w:pPr>
    </w:p>
    <w:p w14:paraId="0B350FD1" w14:textId="6206601E" w:rsidR="000C099C" w:rsidRDefault="000C099C">
      <w:pPr>
        <w:jc w:val="both"/>
        <w:rPr>
          <w:sz w:val="24"/>
        </w:rPr>
      </w:pPr>
      <w:r>
        <w:rPr>
          <w:sz w:val="24"/>
        </w:rPr>
        <w:t xml:space="preserve">Furthermore, it is </w:t>
      </w:r>
      <w:r w:rsidR="00FB4C9F">
        <w:rPr>
          <w:sz w:val="24"/>
        </w:rPr>
        <w:t>t</w:t>
      </w:r>
      <w:r>
        <w:rPr>
          <w:sz w:val="24"/>
        </w:rPr>
        <w:t xml:space="preserve">he Company's intent to offer to its customers only those securities in which the Company can ethically and morally have confidence.  It is also </w:t>
      </w:r>
      <w:r w:rsidR="00A70407">
        <w:rPr>
          <w:sz w:val="24"/>
        </w:rPr>
        <w:t>t</w:t>
      </w:r>
      <w:r>
        <w:rPr>
          <w:sz w:val="24"/>
        </w:rPr>
        <w:t xml:space="preserve">he Company's intent to keep any and all </w:t>
      </w:r>
      <w:r w:rsidR="00A70407">
        <w:rPr>
          <w:sz w:val="24"/>
        </w:rPr>
        <w:t>Associated P</w:t>
      </w:r>
      <w:r>
        <w:rPr>
          <w:sz w:val="24"/>
        </w:rPr>
        <w:t xml:space="preserve">ersons highly informed with pertinent information related to each situation.  This can be maintained through meetings, close </w:t>
      </w:r>
      <w:r w:rsidR="00BB3F8F">
        <w:rPr>
          <w:sz w:val="24"/>
        </w:rPr>
        <w:t>supervision,</w:t>
      </w:r>
      <w:r>
        <w:rPr>
          <w:sz w:val="24"/>
        </w:rPr>
        <w:t xml:space="preserve"> and genuine interest on the part of each </w:t>
      </w:r>
      <w:r w:rsidR="00F619A0">
        <w:rPr>
          <w:sz w:val="24"/>
        </w:rPr>
        <w:t>Associate</w:t>
      </w:r>
      <w:r>
        <w:rPr>
          <w:sz w:val="24"/>
        </w:rPr>
        <w:t xml:space="preserve">d </w:t>
      </w:r>
      <w:r w:rsidR="00F619A0">
        <w:rPr>
          <w:sz w:val="24"/>
        </w:rPr>
        <w:t>P</w:t>
      </w:r>
      <w:r>
        <w:rPr>
          <w:sz w:val="24"/>
        </w:rPr>
        <w:t xml:space="preserve">erson.  The purpose of the meetings will be to discuss thoroughly the nature of any security, underwriting or offering in which the Company participates.  The discussions will include the type of investment, necessary investor </w:t>
      </w:r>
      <w:r w:rsidR="0038248F" w:rsidRPr="0038248F">
        <w:rPr>
          <w:color w:val="FF0000"/>
          <w:sz w:val="24"/>
        </w:rPr>
        <w:t>BI</w:t>
      </w:r>
      <w:r>
        <w:rPr>
          <w:sz w:val="24"/>
        </w:rPr>
        <w:t xml:space="preserve">, special risks, financial </w:t>
      </w:r>
      <w:r w:rsidR="00BB3F8F">
        <w:rPr>
          <w:sz w:val="24"/>
        </w:rPr>
        <w:t>history,</w:t>
      </w:r>
      <w:r>
        <w:rPr>
          <w:sz w:val="24"/>
        </w:rPr>
        <w:t xml:space="preserve"> and other general information relative to keeping the merchandising of such vehicle on a high ethical basis.</w:t>
      </w:r>
    </w:p>
    <w:p w14:paraId="0DAC7329" w14:textId="77777777" w:rsidR="000C099C" w:rsidRDefault="000C099C">
      <w:pPr>
        <w:rPr>
          <w:sz w:val="24"/>
        </w:rPr>
      </w:pPr>
    </w:p>
    <w:p w14:paraId="2BCAA225" w14:textId="20D3E160" w:rsidR="000C099C" w:rsidRDefault="000C099C">
      <w:pPr>
        <w:jc w:val="both"/>
        <w:rPr>
          <w:sz w:val="24"/>
        </w:rPr>
      </w:pPr>
      <w:r>
        <w:rPr>
          <w:sz w:val="24"/>
        </w:rPr>
        <w:t xml:space="preserve">All private placement activities will be supervised by Morris Monroe or his designee. Further, Morris Monroe or his designee will be responsible for the structuring, </w:t>
      </w:r>
      <w:r w:rsidR="00BB3F8F">
        <w:rPr>
          <w:sz w:val="24"/>
        </w:rPr>
        <w:t>packaging,</w:t>
      </w:r>
      <w:r>
        <w:rPr>
          <w:sz w:val="24"/>
        </w:rPr>
        <w:t xml:space="preserve"> and marketing of private placements sponsored by the Company. </w:t>
      </w:r>
    </w:p>
    <w:p w14:paraId="17BB2C67" w14:textId="77777777" w:rsidR="000C099C" w:rsidRDefault="000C099C">
      <w:pPr>
        <w:jc w:val="both"/>
        <w:rPr>
          <w:sz w:val="24"/>
        </w:rPr>
      </w:pPr>
    </w:p>
    <w:p w14:paraId="02A31F6C" w14:textId="77777777" w:rsidR="000C099C" w:rsidRDefault="000C099C">
      <w:pPr>
        <w:jc w:val="both"/>
        <w:rPr>
          <w:sz w:val="24"/>
        </w:rPr>
      </w:pPr>
      <w:r>
        <w:rPr>
          <w:sz w:val="24"/>
        </w:rPr>
        <w:t xml:space="preserve">Further, the Company shall use its best efforts to inquire of an issuer as to whether any </w:t>
      </w:r>
      <w:r w:rsidR="00C64A03">
        <w:rPr>
          <w:sz w:val="24"/>
        </w:rPr>
        <w:t>a</w:t>
      </w:r>
      <w:r>
        <w:rPr>
          <w:sz w:val="24"/>
        </w:rPr>
        <w:t xml:space="preserve">ssociated person of the issuer will be participating in the distribution of units or securities proposed to be offered by the Company.  The Company shall take reasonable steps to require proof of compliance with SEC Rule 3a4-1 by the issuer and its associated person(s). The Company shall further have its legal counsel review the transaction for compliance with Rule 2420 (Dealing with Non-Members) of </w:t>
      </w:r>
      <w:r w:rsidRPr="0035367E">
        <w:rPr>
          <w:sz w:val="24"/>
        </w:rPr>
        <w:t>FINRA</w:t>
      </w:r>
      <w:r>
        <w:rPr>
          <w:sz w:val="24"/>
        </w:rPr>
        <w:t xml:space="preserve"> Rules.</w:t>
      </w:r>
    </w:p>
    <w:p w14:paraId="46F927F5" w14:textId="77777777" w:rsidR="000C099C" w:rsidRDefault="000C099C">
      <w:pPr>
        <w:jc w:val="both"/>
        <w:rPr>
          <w:sz w:val="24"/>
        </w:rPr>
      </w:pPr>
    </w:p>
    <w:p w14:paraId="5F7EC4E9" w14:textId="77777777" w:rsidR="000C099C" w:rsidRDefault="000C099C">
      <w:pPr>
        <w:jc w:val="both"/>
        <w:rPr>
          <w:sz w:val="24"/>
        </w:rPr>
      </w:pPr>
      <w:r>
        <w:rPr>
          <w:sz w:val="24"/>
        </w:rPr>
        <w:t xml:space="preserve">The Company shall use its best efforts to perform a due diligence review of all prospective issuers prior to participating in the distribution of units or securities on behalf of such issuer, in an effort to determine that said issue is in compliance with </w:t>
      </w:r>
      <w:bookmarkStart w:id="248" w:name="OLE_LINK9"/>
      <w:bookmarkStart w:id="249" w:name="OLE_LINK10"/>
      <w:r>
        <w:rPr>
          <w:sz w:val="24"/>
        </w:rPr>
        <w:t xml:space="preserve">SEC Rules 10b-5 </w:t>
      </w:r>
      <w:bookmarkEnd w:id="248"/>
      <w:bookmarkEnd w:id="249"/>
      <w:r>
        <w:rPr>
          <w:sz w:val="24"/>
        </w:rPr>
        <w:t>and 10b-6 (Manipulative and Deceptive Devises and Contrivances and Prohibition Against Trading by Persons Interested in Distribution respectively).</w:t>
      </w:r>
    </w:p>
    <w:p w14:paraId="1D55067F" w14:textId="77777777" w:rsidR="000C099C" w:rsidRDefault="000C099C">
      <w:pPr>
        <w:jc w:val="both"/>
        <w:rPr>
          <w:sz w:val="24"/>
        </w:rPr>
      </w:pPr>
    </w:p>
    <w:p w14:paraId="61E70688" w14:textId="350E47D4" w:rsidR="000C099C" w:rsidRDefault="000C099C">
      <w:pPr>
        <w:jc w:val="both"/>
        <w:rPr>
          <w:sz w:val="24"/>
        </w:rPr>
      </w:pPr>
      <w:r>
        <w:rPr>
          <w:sz w:val="24"/>
        </w:rPr>
        <w:t xml:space="preserve">In the case of a private placement of securities, whether in accordance with Regulation A, 144A, or D of the Securities &amp; Exchange Act of 1933, the Company shall maintain a written record showing to whom confidential offering memorandums were distributed.  Such record shall include the date distributed, the name of the offering, the memorandum number, the </w:t>
      </w:r>
      <w:proofErr w:type="gramStart"/>
      <w:r>
        <w:rPr>
          <w:sz w:val="24"/>
        </w:rPr>
        <w:t>recipient</w:t>
      </w:r>
      <w:proofErr w:type="gramEnd"/>
      <w:r>
        <w:rPr>
          <w:sz w:val="24"/>
        </w:rPr>
        <w:t xml:space="preserve"> nam</w:t>
      </w:r>
      <w:r w:rsidR="00AF1403">
        <w:rPr>
          <w:sz w:val="24"/>
        </w:rPr>
        <w:t xml:space="preserve">e, </w:t>
      </w:r>
      <w:r w:rsidR="00BB3F8F">
        <w:rPr>
          <w:sz w:val="24"/>
        </w:rPr>
        <w:t>address,</w:t>
      </w:r>
      <w:r w:rsidR="00AF1403">
        <w:rPr>
          <w:sz w:val="24"/>
        </w:rPr>
        <w:t xml:space="preserve"> and the name of the A</w:t>
      </w:r>
      <w:r>
        <w:rPr>
          <w:sz w:val="24"/>
        </w:rPr>
        <w:t xml:space="preserve">ssociated </w:t>
      </w:r>
      <w:r w:rsidR="00AF1403">
        <w:rPr>
          <w:sz w:val="24"/>
        </w:rPr>
        <w:t>P</w:t>
      </w:r>
      <w:r>
        <w:rPr>
          <w:sz w:val="24"/>
        </w:rPr>
        <w:t>erson distributing the memorandum to the customer and a notation shall be made [</w:t>
      </w:r>
      <w:r w:rsidR="000732A4">
        <w:rPr>
          <w:sz w:val="24"/>
        </w:rPr>
        <w:t xml:space="preserve">if </w:t>
      </w:r>
      <w:r>
        <w:rPr>
          <w:sz w:val="24"/>
        </w:rPr>
        <w:t xml:space="preserve">destroyed] as to whether said memorandum was returned to the </w:t>
      </w:r>
      <w:r w:rsidR="00102976">
        <w:rPr>
          <w:sz w:val="24"/>
        </w:rPr>
        <w:t>Company</w:t>
      </w:r>
      <w:r>
        <w:rPr>
          <w:sz w:val="24"/>
        </w:rPr>
        <w:t xml:space="preserve"> or destroyed by recipient, in the event the recipient does not purchase units in the private placement.</w:t>
      </w:r>
    </w:p>
    <w:p w14:paraId="76F28BC9" w14:textId="77777777" w:rsidR="00F57DAC" w:rsidRDefault="00F57DAC">
      <w:pPr>
        <w:jc w:val="both"/>
        <w:rPr>
          <w:sz w:val="24"/>
        </w:rPr>
      </w:pPr>
    </w:p>
    <w:p w14:paraId="51E98BF0" w14:textId="77777777" w:rsidR="00F57DAC" w:rsidRDefault="00F57DAC" w:rsidP="00F57DAC"/>
    <w:p w14:paraId="07AA6203" w14:textId="7BF53EB9" w:rsidR="00F57DAC" w:rsidRPr="00F57DAC" w:rsidRDefault="00F57DAC" w:rsidP="00936FEE">
      <w:pPr>
        <w:pStyle w:val="Heading2"/>
      </w:pPr>
      <w:r>
        <w:t>1</w:t>
      </w:r>
      <w:r w:rsidR="00A46E62">
        <w:t>4</w:t>
      </w:r>
      <w:r>
        <w:t xml:space="preserve">.4 </w:t>
      </w:r>
      <w:r w:rsidR="00E42FE8">
        <w:t>Best Interest and Suitability</w:t>
      </w:r>
      <w:r w:rsidRPr="00F57DAC">
        <w:t xml:space="preserve"> </w:t>
      </w:r>
    </w:p>
    <w:p w14:paraId="2E7ECF2E" w14:textId="39CE731F" w:rsidR="00F57DAC" w:rsidRPr="00F57DAC" w:rsidRDefault="00F57DAC" w:rsidP="00703B0A">
      <w:pPr>
        <w:pStyle w:val="Normal1"/>
        <w:shd w:val="clear" w:color="auto" w:fill="FFFFFF"/>
        <w:spacing w:before="0" w:after="0" w:afterAutospacing="0" w:line="240" w:lineRule="auto"/>
        <w:jc w:val="both"/>
        <w:rPr>
          <w:rFonts w:ascii="Times New Roman" w:hAnsi="Times New Roman" w:cs="Times New Roman"/>
          <w:color w:val="000000"/>
          <w:sz w:val="24"/>
          <w:szCs w:val="24"/>
        </w:rPr>
      </w:pPr>
      <w:r w:rsidRPr="00F57DAC">
        <w:rPr>
          <w:rFonts w:ascii="Times New Roman" w:hAnsi="Times New Roman" w:cs="Times New Roman"/>
          <w:color w:val="000000"/>
          <w:sz w:val="24"/>
          <w:szCs w:val="24"/>
        </w:rPr>
        <w:t xml:space="preserve">A primary objective when selling a private placement is that all securities will be placed with suitable investors. The </w:t>
      </w:r>
      <w:r w:rsidR="00E36862">
        <w:rPr>
          <w:rFonts w:ascii="Times New Roman" w:hAnsi="Times New Roman" w:cs="Times New Roman"/>
          <w:color w:val="000000"/>
          <w:sz w:val="24"/>
          <w:szCs w:val="24"/>
        </w:rPr>
        <w:t>Associated Person</w:t>
      </w:r>
      <w:r w:rsidRPr="00F57DAC">
        <w:rPr>
          <w:rFonts w:ascii="Times New Roman" w:hAnsi="Times New Roman" w:cs="Times New Roman"/>
          <w:color w:val="000000"/>
          <w:sz w:val="24"/>
          <w:szCs w:val="24"/>
        </w:rPr>
        <w:t xml:space="preserve"> recommending a private placement is responsible for determining that the recommendation is </w:t>
      </w:r>
      <w:r w:rsidR="00E42FE8" w:rsidRPr="00E42FE8">
        <w:rPr>
          <w:rFonts w:ascii="Times New Roman" w:hAnsi="Times New Roman" w:cs="Times New Roman"/>
          <w:color w:val="FF0000"/>
          <w:sz w:val="24"/>
          <w:szCs w:val="24"/>
        </w:rPr>
        <w:t>in the best interest</w:t>
      </w:r>
      <w:r w:rsidRPr="00E42FE8">
        <w:rPr>
          <w:rFonts w:ascii="Times New Roman" w:hAnsi="Times New Roman" w:cs="Times New Roman"/>
          <w:color w:val="FF0000"/>
          <w:sz w:val="24"/>
          <w:szCs w:val="24"/>
        </w:rPr>
        <w:t xml:space="preserve"> </w:t>
      </w:r>
      <w:r w:rsidRPr="00F57DAC">
        <w:rPr>
          <w:rFonts w:ascii="Times New Roman" w:hAnsi="Times New Roman" w:cs="Times New Roman"/>
          <w:color w:val="000000"/>
          <w:sz w:val="24"/>
          <w:szCs w:val="24"/>
        </w:rPr>
        <w:t xml:space="preserve">for the </w:t>
      </w:r>
      <w:r w:rsidR="00610944">
        <w:rPr>
          <w:rFonts w:ascii="Times New Roman" w:hAnsi="Times New Roman" w:cs="Times New Roman"/>
          <w:color w:val="000000"/>
          <w:sz w:val="24"/>
          <w:szCs w:val="24"/>
        </w:rPr>
        <w:t>investor</w:t>
      </w:r>
      <w:r w:rsidRPr="00F57DAC">
        <w:rPr>
          <w:rFonts w:ascii="Times New Roman" w:hAnsi="Times New Roman" w:cs="Times New Roman"/>
          <w:color w:val="000000"/>
          <w:sz w:val="24"/>
          <w:szCs w:val="24"/>
        </w:rPr>
        <w:t xml:space="preserve"> based on information known about the potential </w:t>
      </w:r>
      <w:r w:rsidR="00610944">
        <w:rPr>
          <w:rFonts w:ascii="Times New Roman" w:hAnsi="Times New Roman" w:cs="Times New Roman"/>
          <w:color w:val="000000"/>
          <w:sz w:val="24"/>
          <w:szCs w:val="24"/>
        </w:rPr>
        <w:t>investor</w:t>
      </w:r>
      <w:r w:rsidRPr="00F57DAC">
        <w:rPr>
          <w:rFonts w:ascii="Times New Roman" w:hAnsi="Times New Roman" w:cs="Times New Roman"/>
          <w:color w:val="000000"/>
          <w:sz w:val="24"/>
          <w:szCs w:val="24"/>
        </w:rPr>
        <w:t xml:space="preserve">. The </w:t>
      </w:r>
      <w:r w:rsidR="00E36862">
        <w:rPr>
          <w:rFonts w:ascii="Times New Roman" w:hAnsi="Times New Roman" w:cs="Times New Roman"/>
          <w:color w:val="000000"/>
          <w:sz w:val="24"/>
          <w:szCs w:val="24"/>
        </w:rPr>
        <w:t>Associated Person</w:t>
      </w:r>
      <w:r w:rsidRPr="00F57DAC">
        <w:rPr>
          <w:rFonts w:ascii="Times New Roman" w:hAnsi="Times New Roman" w:cs="Times New Roman"/>
          <w:color w:val="000000"/>
          <w:sz w:val="24"/>
          <w:szCs w:val="24"/>
        </w:rPr>
        <w:t xml:space="preserve"> must consider minimum investor requirements and other </w:t>
      </w:r>
      <w:r w:rsidR="00582D04" w:rsidRPr="00582D04">
        <w:rPr>
          <w:rFonts w:ascii="Times New Roman" w:hAnsi="Times New Roman" w:cs="Times New Roman"/>
          <w:color w:val="FF0000"/>
          <w:sz w:val="24"/>
          <w:szCs w:val="24"/>
        </w:rPr>
        <w:t>BI</w:t>
      </w:r>
      <w:r w:rsidRPr="00F57DAC">
        <w:rPr>
          <w:rFonts w:ascii="Times New Roman" w:hAnsi="Times New Roman" w:cs="Times New Roman"/>
          <w:color w:val="000000"/>
          <w:sz w:val="24"/>
          <w:szCs w:val="24"/>
        </w:rPr>
        <w:t xml:space="preserve"> standards for each private placement offering.</w:t>
      </w:r>
    </w:p>
    <w:p w14:paraId="51DED321" w14:textId="77777777" w:rsidR="00F57DAC" w:rsidRDefault="00F57DAC">
      <w:pPr>
        <w:jc w:val="both"/>
        <w:rPr>
          <w:sz w:val="24"/>
        </w:rPr>
      </w:pPr>
    </w:p>
    <w:p w14:paraId="6C567466" w14:textId="77777777" w:rsidR="00AD3F0E" w:rsidRDefault="00AD3F0E">
      <w:pPr>
        <w:jc w:val="both"/>
        <w:rPr>
          <w:b/>
          <w:sz w:val="24"/>
        </w:rPr>
      </w:pPr>
      <w:bookmarkStart w:id="250" w:name="EscrowAccts"/>
      <w:bookmarkEnd w:id="250"/>
    </w:p>
    <w:p w14:paraId="4BBC5DF9" w14:textId="77777777" w:rsidR="000C099C" w:rsidRDefault="00AD3F0E" w:rsidP="00936FEE">
      <w:pPr>
        <w:pStyle w:val="Heading2"/>
        <w:rPr>
          <w:u w:val="single"/>
        </w:rPr>
      </w:pPr>
      <w:bookmarkStart w:id="251" w:name="PPCustChecks"/>
      <w:bookmarkEnd w:id="251"/>
      <w:r>
        <w:t>1</w:t>
      </w:r>
      <w:r w:rsidR="00A46E62">
        <w:t>4</w:t>
      </w:r>
      <w:r>
        <w:t>.</w:t>
      </w:r>
      <w:r w:rsidR="00F57DAC">
        <w:t>5</w:t>
      </w:r>
      <w:r>
        <w:t xml:space="preserve"> </w:t>
      </w:r>
      <w:r w:rsidR="000C099C">
        <w:t>Handling of Customer Checks</w:t>
      </w:r>
    </w:p>
    <w:p w14:paraId="146DE91C" w14:textId="77777777" w:rsidR="000C099C" w:rsidRDefault="000C099C">
      <w:pPr>
        <w:tabs>
          <w:tab w:val="left" w:pos="576"/>
          <w:tab w:val="left" w:pos="720"/>
          <w:tab w:val="left" w:pos="2592"/>
          <w:tab w:val="left" w:pos="7200"/>
        </w:tabs>
        <w:jc w:val="both"/>
        <w:rPr>
          <w:sz w:val="24"/>
        </w:rPr>
      </w:pPr>
      <w:r>
        <w:rPr>
          <w:sz w:val="24"/>
        </w:rPr>
        <w:t xml:space="preserve">With respect to customer checks and/or bank wires received by the Company, all customer checks shall be forwarded to Morris Monroe or his designee to ensure that all checks and/or bank wires are made payable to appropriate Escrow Account or Issuer.  To the extent a customer check and/or bank wire is received by the Company which has been made payable to the Company instead of to appropriate Escrow Account or Issuer, the Company shall promptly return such check to be reissued payable to the appropriate Escrow Account or Issuer and forward same to appropriate Escrow Account or Issuer for deposit. </w:t>
      </w:r>
      <w:r w:rsidR="00E36862">
        <w:rPr>
          <w:sz w:val="24"/>
        </w:rPr>
        <w:t xml:space="preserve"> </w:t>
      </w:r>
      <w:r>
        <w:rPr>
          <w:sz w:val="24"/>
        </w:rPr>
        <w:t xml:space="preserve">In the case of a bank wire </w:t>
      </w:r>
      <w:r w:rsidR="00221E58">
        <w:rPr>
          <w:sz w:val="24"/>
        </w:rPr>
        <w:t>d</w:t>
      </w:r>
      <w:r>
        <w:rPr>
          <w:sz w:val="24"/>
        </w:rPr>
        <w:t>e</w:t>
      </w:r>
      <w:r w:rsidR="00221E58">
        <w:rPr>
          <w:sz w:val="24"/>
        </w:rPr>
        <w:t>posited</w:t>
      </w:r>
      <w:r>
        <w:rPr>
          <w:sz w:val="24"/>
        </w:rPr>
        <w:t xml:space="preserve"> to the Company instead of to the appropriate Escrow Account or Issuer, such transaction will be returned to sender with correct wire transfer instructions. Further, Morris Monroe or his designee, on behalf of the Company, shall forward written notice to the customer advising the customer of the error in format on the check</w:t>
      </w:r>
      <w:r w:rsidR="00221E58">
        <w:rPr>
          <w:sz w:val="24"/>
        </w:rPr>
        <w:t xml:space="preserve"> </w:t>
      </w:r>
      <w:r>
        <w:rPr>
          <w:sz w:val="24"/>
        </w:rPr>
        <w:t>and directing the customer to make all future checks payable directly to appropriate Escrow Accou</w:t>
      </w:r>
      <w:r w:rsidR="00E36862">
        <w:rPr>
          <w:sz w:val="24"/>
        </w:rPr>
        <w:t>nt or Issuer</w:t>
      </w:r>
      <w:r>
        <w:rPr>
          <w:sz w:val="24"/>
        </w:rPr>
        <w:t xml:space="preserve">.  A copy of said correspondence shall be retained in the Company's files in accordance with SEC Rule 15c3-1, as amended.  In the case of a bank wire </w:t>
      </w:r>
      <w:r w:rsidR="00CC2DCB">
        <w:rPr>
          <w:sz w:val="24"/>
        </w:rPr>
        <w:t>deposited</w:t>
      </w:r>
      <w:r>
        <w:rPr>
          <w:sz w:val="24"/>
        </w:rPr>
        <w:t xml:space="preserve"> to the Company instead of to the appropriate Escrow Account</w:t>
      </w:r>
      <w:r w:rsidR="00E36862">
        <w:rPr>
          <w:sz w:val="24"/>
        </w:rPr>
        <w:t xml:space="preserve"> or Issuer</w:t>
      </w:r>
      <w:r>
        <w:rPr>
          <w:sz w:val="24"/>
        </w:rPr>
        <w:t>, such transaction will be returned to sender with correct wire transfer instructions. Furthermore, in the case of a transaction where the terms of the offering specify certain contingencies which must be met prior to disbursement or release of funds to the Sponsor</w:t>
      </w:r>
      <w:r w:rsidR="00E36862">
        <w:rPr>
          <w:sz w:val="24"/>
        </w:rPr>
        <w:t xml:space="preserve"> or Issuer</w:t>
      </w:r>
      <w:r>
        <w:rPr>
          <w:sz w:val="24"/>
        </w:rPr>
        <w:t>, all said customer funds received in connection with such offering will be placed on deposit in an escrow account in accordance with SEC Rule 15c2-4, until such time as the contingencies of the offering are met or the offering is terminated. In the case of an offering terminating prior to meeting the contingencies of the offering</w:t>
      </w:r>
      <w:r w:rsidR="00102976">
        <w:rPr>
          <w:sz w:val="24"/>
        </w:rPr>
        <w:t>,</w:t>
      </w:r>
      <w:r>
        <w:rPr>
          <w:sz w:val="24"/>
        </w:rPr>
        <w:t xml:space="preserve"> in order to break escrow, all investor monies will be returned to the investor. Further, any investor checks received in connection with such an </w:t>
      </w:r>
      <w:r w:rsidR="00E36862">
        <w:rPr>
          <w:sz w:val="24"/>
        </w:rPr>
        <w:t>offering</w:t>
      </w:r>
      <w:r>
        <w:rPr>
          <w:sz w:val="24"/>
        </w:rPr>
        <w:t xml:space="preserve"> shall be made out to the escrow account. Any checks received from a customer, in connection with a contingent direct participation program, which are made out to a party other than the escrow account shall be immediately returned to the customer.</w:t>
      </w:r>
    </w:p>
    <w:p w14:paraId="57948DDE" w14:textId="77777777" w:rsidR="000C099C" w:rsidRDefault="000C099C">
      <w:pPr>
        <w:tabs>
          <w:tab w:val="left" w:pos="576"/>
          <w:tab w:val="left" w:pos="720"/>
          <w:tab w:val="left" w:pos="2592"/>
          <w:tab w:val="left" w:pos="7200"/>
        </w:tabs>
        <w:jc w:val="both"/>
        <w:rPr>
          <w:sz w:val="24"/>
        </w:rPr>
      </w:pPr>
    </w:p>
    <w:p w14:paraId="79136E6A" w14:textId="77777777" w:rsidR="000C099C" w:rsidRDefault="000C099C">
      <w:pPr>
        <w:tabs>
          <w:tab w:val="left" w:pos="576"/>
          <w:tab w:val="left" w:pos="720"/>
          <w:tab w:val="left" w:pos="2592"/>
          <w:tab w:val="left" w:pos="7200"/>
        </w:tabs>
        <w:jc w:val="both"/>
        <w:rPr>
          <w:b/>
          <w:sz w:val="24"/>
        </w:rPr>
      </w:pPr>
    </w:p>
    <w:p w14:paraId="797FC081" w14:textId="77777777" w:rsidR="000C099C" w:rsidRDefault="00315CF8" w:rsidP="00936FEE">
      <w:pPr>
        <w:pStyle w:val="Heading2"/>
        <w:rPr>
          <w:u w:val="single"/>
        </w:rPr>
      </w:pPr>
      <w:r>
        <w:t>1</w:t>
      </w:r>
      <w:r w:rsidR="00A46E62">
        <w:t>4</w:t>
      </w:r>
      <w:r>
        <w:t>.</w:t>
      </w:r>
      <w:r w:rsidR="00F57DAC">
        <w:t>6</w:t>
      </w:r>
      <w:r>
        <w:t xml:space="preserve"> </w:t>
      </w:r>
      <w:r w:rsidR="000C099C">
        <w:t>Offering Documents and Records</w:t>
      </w:r>
    </w:p>
    <w:p w14:paraId="35091990" w14:textId="77777777" w:rsidR="000C099C" w:rsidRDefault="000C099C">
      <w:pPr>
        <w:jc w:val="both"/>
        <w:rPr>
          <w:sz w:val="24"/>
        </w:rPr>
      </w:pPr>
      <w:r>
        <w:rPr>
          <w:sz w:val="24"/>
        </w:rPr>
        <w:t>In addition to the Memorandum Distribution Record, the Company shall maintain copies of the following documents, where applicable, for all Private Placements of Corporate Securities distributed by associated persons of the Company:</w:t>
      </w:r>
    </w:p>
    <w:p w14:paraId="3926772A" w14:textId="77777777" w:rsidR="000C099C" w:rsidRDefault="000C099C">
      <w:pPr>
        <w:jc w:val="both"/>
        <w:rPr>
          <w:sz w:val="24"/>
        </w:rPr>
      </w:pPr>
    </w:p>
    <w:p w14:paraId="13B65589" w14:textId="77777777" w:rsidR="000C099C" w:rsidRDefault="000C099C">
      <w:pPr>
        <w:ind w:left="720"/>
        <w:jc w:val="both"/>
        <w:rPr>
          <w:sz w:val="24"/>
        </w:rPr>
      </w:pPr>
      <w:r>
        <w:rPr>
          <w:sz w:val="24"/>
        </w:rPr>
        <w:t>1.</w:t>
      </w:r>
      <w:r>
        <w:rPr>
          <w:sz w:val="24"/>
        </w:rPr>
        <w:tab/>
      </w:r>
      <w:r w:rsidR="00703B0A">
        <w:rPr>
          <w:sz w:val="24"/>
        </w:rPr>
        <w:t>List</w:t>
      </w:r>
      <w:r>
        <w:rPr>
          <w:sz w:val="24"/>
        </w:rPr>
        <w:t xml:space="preserve"> of investors, state of residency and number of units</w:t>
      </w:r>
      <w:r w:rsidR="00C554E9">
        <w:rPr>
          <w:sz w:val="24"/>
        </w:rPr>
        <w:t xml:space="preserve"> or amount</w:t>
      </w:r>
      <w:r>
        <w:rPr>
          <w:sz w:val="24"/>
        </w:rPr>
        <w:t xml:space="preserve"> purchased;</w:t>
      </w:r>
    </w:p>
    <w:p w14:paraId="54FC22FD" w14:textId="77777777" w:rsidR="000C099C" w:rsidRDefault="000C099C">
      <w:pPr>
        <w:ind w:left="720"/>
        <w:jc w:val="both"/>
        <w:rPr>
          <w:sz w:val="24"/>
        </w:rPr>
      </w:pPr>
    </w:p>
    <w:p w14:paraId="67D722EB" w14:textId="77777777" w:rsidR="000C099C" w:rsidRDefault="000C099C" w:rsidP="002E364D">
      <w:pPr>
        <w:ind w:left="1170" w:hanging="450"/>
        <w:rPr>
          <w:sz w:val="24"/>
        </w:rPr>
      </w:pPr>
      <w:r>
        <w:rPr>
          <w:sz w:val="24"/>
        </w:rPr>
        <w:t>2.</w:t>
      </w:r>
      <w:r>
        <w:rPr>
          <w:sz w:val="24"/>
        </w:rPr>
        <w:tab/>
      </w:r>
      <w:r w:rsidR="00703B0A">
        <w:rPr>
          <w:sz w:val="24"/>
        </w:rPr>
        <w:t>Copy</w:t>
      </w:r>
      <w:r>
        <w:rPr>
          <w:sz w:val="24"/>
        </w:rPr>
        <w:t xml:space="preserve"> of all investor checks or bank wires rec</w:t>
      </w:r>
      <w:r w:rsidR="002E364D">
        <w:rPr>
          <w:sz w:val="24"/>
        </w:rPr>
        <w:t xml:space="preserve">eived and forwarded to escrow </w:t>
      </w:r>
      <w:r>
        <w:rPr>
          <w:sz w:val="24"/>
        </w:rPr>
        <w:t>account;</w:t>
      </w:r>
    </w:p>
    <w:p w14:paraId="43637780" w14:textId="77777777" w:rsidR="000C099C" w:rsidRDefault="000C099C">
      <w:pPr>
        <w:ind w:left="720"/>
        <w:jc w:val="both"/>
        <w:rPr>
          <w:sz w:val="24"/>
        </w:rPr>
      </w:pPr>
    </w:p>
    <w:p w14:paraId="59EC3314" w14:textId="77777777" w:rsidR="000C099C" w:rsidRDefault="000C099C" w:rsidP="00102976">
      <w:pPr>
        <w:ind w:left="1170" w:hanging="450"/>
        <w:jc w:val="both"/>
        <w:rPr>
          <w:sz w:val="24"/>
        </w:rPr>
      </w:pPr>
      <w:r>
        <w:rPr>
          <w:sz w:val="24"/>
        </w:rPr>
        <w:t>3.</w:t>
      </w:r>
      <w:r>
        <w:rPr>
          <w:sz w:val="24"/>
        </w:rPr>
        <w:tab/>
      </w:r>
      <w:r w:rsidR="00703B0A">
        <w:rPr>
          <w:sz w:val="24"/>
        </w:rPr>
        <w:t>Copy</w:t>
      </w:r>
      <w:r>
        <w:rPr>
          <w:sz w:val="24"/>
        </w:rPr>
        <w:t xml:space="preserve"> of the Cash Receipts and Delivered Blotter</w:t>
      </w:r>
      <w:r w:rsidR="005F7C71">
        <w:rPr>
          <w:sz w:val="24"/>
        </w:rPr>
        <w:t xml:space="preserve"> (which may be combined with #1 above)</w:t>
      </w:r>
      <w:r>
        <w:rPr>
          <w:sz w:val="24"/>
        </w:rPr>
        <w:t>;</w:t>
      </w:r>
    </w:p>
    <w:p w14:paraId="55706E57" w14:textId="77777777" w:rsidR="000C099C" w:rsidRDefault="000C099C">
      <w:pPr>
        <w:ind w:left="720"/>
        <w:jc w:val="both"/>
        <w:rPr>
          <w:sz w:val="24"/>
        </w:rPr>
      </w:pPr>
    </w:p>
    <w:p w14:paraId="5545E4E8" w14:textId="77777777" w:rsidR="000C099C" w:rsidRDefault="000C099C">
      <w:pPr>
        <w:ind w:left="720"/>
        <w:jc w:val="both"/>
        <w:rPr>
          <w:sz w:val="24"/>
        </w:rPr>
      </w:pPr>
      <w:r>
        <w:rPr>
          <w:sz w:val="24"/>
        </w:rPr>
        <w:t>4.</w:t>
      </w:r>
      <w:r>
        <w:rPr>
          <w:sz w:val="24"/>
        </w:rPr>
        <w:tab/>
      </w:r>
      <w:r w:rsidR="00703B0A">
        <w:rPr>
          <w:sz w:val="24"/>
        </w:rPr>
        <w:t>Copy</w:t>
      </w:r>
      <w:r>
        <w:rPr>
          <w:sz w:val="24"/>
        </w:rPr>
        <w:t xml:space="preserve"> of the Private Offering Memorandum;</w:t>
      </w:r>
    </w:p>
    <w:p w14:paraId="756B884C" w14:textId="77777777" w:rsidR="000C099C" w:rsidRDefault="000C099C">
      <w:pPr>
        <w:ind w:left="720"/>
        <w:jc w:val="both"/>
        <w:rPr>
          <w:sz w:val="24"/>
        </w:rPr>
      </w:pPr>
    </w:p>
    <w:p w14:paraId="3958BAA7" w14:textId="77777777" w:rsidR="004751A3" w:rsidRDefault="000C099C">
      <w:pPr>
        <w:ind w:left="720"/>
        <w:jc w:val="both"/>
        <w:rPr>
          <w:sz w:val="24"/>
        </w:rPr>
      </w:pPr>
      <w:r>
        <w:rPr>
          <w:sz w:val="24"/>
        </w:rPr>
        <w:t>5.</w:t>
      </w:r>
      <w:r>
        <w:rPr>
          <w:sz w:val="24"/>
        </w:rPr>
        <w:tab/>
      </w:r>
      <w:r w:rsidR="004751A3">
        <w:rPr>
          <w:sz w:val="24"/>
        </w:rPr>
        <w:t>Memorandum Distribution log;</w:t>
      </w:r>
    </w:p>
    <w:p w14:paraId="1BFD7A01" w14:textId="77777777" w:rsidR="004751A3" w:rsidRDefault="004751A3">
      <w:pPr>
        <w:ind w:left="720"/>
        <w:jc w:val="both"/>
        <w:rPr>
          <w:sz w:val="24"/>
        </w:rPr>
      </w:pPr>
    </w:p>
    <w:p w14:paraId="663E29F7" w14:textId="77777777" w:rsidR="000C099C" w:rsidRDefault="00102976" w:rsidP="00102976">
      <w:pPr>
        <w:ind w:left="1080" w:hanging="360"/>
        <w:jc w:val="both"/>
        <w:rPr>
          <w:sz w:val="24"/>
        </w:rPr>
      </w:pPr>
      <w:r>
        <w:rPr>
          <w:sz w:val="24"/>
        </w:rPr>
        <w:lastRenderedPageBreak/>
        <w:t xml:space="preserve">6.  </w:t>
      </w:r>
      <w:r w:rsidR="004751A3">
        <w:rPr>
          <w:sz w:val="24"/>
        </w:rPr>
        <w:t>C</w:t>
      </w:r>
      <w:r w:rsidR="000C099C">
        <w:rPr>
          <w:sz w:val="24"/>
        </w:rPr>
        <w:t xml:space="preserve">opy of any Sales or Marketing Summaries distributed with the Private Offering </w:t>
      </w:r>
      <w:r w:rsidR="000C099C">
        <w:rPr>
          <w:sz w:val="24"/>
        </w:rPr>
        <w:tab/>
        <w:t>Memorandum;</w:t>
      </w:r>
    </w:p>
    <w:p w14:paraId="79DCCC02" w14:textId="77777777" w:rsidR="000C099C" w:rsidRDefault="000C099C">
      <w:pPr>
        <w:ind w:left="720"/>
        <w:jc w:val="both"/>
        <w:rPr>
          <w:sz w:val="24"/>
        </w:rPr>
      </w:pPr>
    </w:p>
    <w:p w14:paraId="268B5C6B" w14:textId="77777777" w:rsidR="000C099C" w:rsidRDefault="004751A3">
      <w:pPr>
        <w:ind w:left="720"/>
        <w:jc w:val="both"/>
        <w:rPr>
          <w:sz w:val="24"/>
        </w:rPr>
      </w:pPr>
      <w:r>
        <w:rPr>
          <w:sz w:val="24"/>
        </w:rPr>
        <w:t>7</w:t>
      </w:r>
      <w:r w:rsidR="000C099C">
        <w:rPr>
          <w:sz w:val="24"/>
        </w:rPr>
        <w:t>.</w:t>
      </w:r>
      <w:r w:rsidR="000C099C">
        <w:rPr>
          <w:sz w:val="24"/>
        </w:rPr>
        <w:tab/>
      </w:r>
      <w:r w:rsidR="00703B0A">
        <w:rPr>
          <w:sz w:val="24"/>
        </w:rPr>
        <w:t>Incorporation</w:t>
      </w:r>
      <w:r w:rsidR="000C099C">
        <w:rPr>
          <w:sz w:val="24"/>
        </w:rPr>
        <w:t xml:space="preserve"> Documents</w:t>
      </w:r>
      <w:r w:rsidR="008104FA">
        <w:rPr>
          <w:sz w:val="24"/>
        </w:rPr>
        <w:t>, if applicable</w:t>
      </w:r>
      <w:r w:rsidR="000C099C">
        <w:rPr>
          <w:sz w:val="24"/>
        </w:rPr>
        <w:t>;</w:t>
      </w:r>
    </w:p>
    <w:p w14:paraId="4B6539BB" w14:textId="77777777" w:rsidR="000C099C" w:rsidRDefault="000C099C">
      <w:pPr>
        <w:ind w:left="720"/>
        <w:jc w:val="both"/>
        <w:rPr>
          <w:sz w:val="24"/>
        </w:rPr>
      </w:pPr>
    </w:p>
    <w:p w14:paraId="05649201" w14:textId="77777777" w:rsidR="000C099C" w:rsidRDefault="004751A3">
      <w:pPr>
        <w:ind w:left="720"/>
        <w:jc w:val="both"/>
        <w:rPr>
          <w:sz w:val="24"/>
        </w:rPr>
      </w:pPr>
      <w:r>
        <w:rPr>
          <w:sz w:val="24"/>
        </w:rPr>
        <w:t>8</w:t>
      </w:r>
      <w:r w:rsidR="00703B0A">
        <w:rPr>
          <w:sz w:val="24"/>
        </w:rPr>
        <w:t>.</w:t>
      </w:r>
      <w:r w:rsidR="00703B0A">
        <w:rPr>
          <w:sz w:val="24"/>
        </w:rPr>
        <w:tab/>
        <w:t>S</w:t>
      </w:r>
      <w:r w:rsidR="000C099C">
        <w:rPr>
          <w:sz w:val="24"/>
        </w:rPr>
        <w:t>ubscription Agreement with Power of Attorney</w:t>
      </w:r>
      <w:r w:rsidR="008104FA">
        <w:rPr>
          <w:sz w:val="24"/>
        </w:rPr>
        <w:t>, if applicable</w:t>
      </w:r>
      <w:r w:rsidR="000C099C">
        <w:rPr>
          <w:sz w:val="24"/>
        </w:rPr>
        <w:t>;</w:t>
      </w:r>
    </w:p>
    <w:p w14:paraId="7E41E662" w14:textId="77777777" w:rsidR="000C099C" w:rsidRDefault="000C099C">
      <w:pPr>
        <w:ind w:left="720"/>
        <w:jc w:val="both"/>
        <w:rPr>
          <w:sz w:val="24"/>
        </w:rPr>
      </w:pPr>
    </w:p>
    <w:p w14:paraId="41303C61" w14:textId="77777777" w:rsidR="000C099C" w:rsidRDefault="004751A3">
      <w:pPr>
        <w:ind w:left="720"/>
        <w:jc w:val="both"/>
        <w:rPr>
          <w:sz w:val="24"/>
        </w:rPr>
      </w:pPr>
      <w:r>
        <w:rPr>
          <w:sz w:val="24"/>
        </w:rPr>
        <w:t>9</w:t>
      </w:r>
      <w:r w:rsidR="000C099C">
        <w:rPr>
          <w:sz w:val="24"/>
        </w:rPr>
        <w:t>.</w:t>
      </w:r>
      <w:r w:rsidR="000C099C">
        <w:rPr>
          <w:sz w:val="24"/>
        </w:rPr>
        <w:tab/>
      </w:r>
      <w:r w:rsidR="00703B0A">
        <w:rPr>
          <w:sz w:val="24"/>
        </w:rPr>
        <w:t>S</w:t>
      </w:r>
      <w:r w:rsidR="000C099C">
        <w:rPr>
          <w:sz w:val="24"/>
        </w:rPr>
        <w:t>hare certificates</w:t>
      </w:r>
      <w:r w:rsidR="008104FA">
        <w:rPr>
          <w:sz w:val="24"/>
        </w:rPr>
        <w:t>, if applicable</w:t>
      </w:r>
      <w:r w:rsidR="000C099C">
        <w:rPr>
          <w:sz w:val="24"/>
        </w:rPr>
        <w:t>;</w:t>
      </w:r>
    </w:p>
    <w:p w14:paraId="72893BF6" w14:textId="77777777" w:rsidR="000C099C" w:rsidRDefault="000C099C">
      <w:pPr>
        <w:ind w:left="720"/>
        <w:jc w:val="both"/>
        <w:rPr>
          <w:sz w:val="24"/>
        </w:rPr>
      </w:pPr>
    </w:p>
    <w:p w14:paraId="15CE4DB2" w14:textId="77777777" w:rsidR="000C099C" w:rsidRDefault="004751A3">
      <w:pPr>
        <w:ind w:left="720"/>
        <w:jc w:val="both"/>
        <w:rPr>
          <w:sz w:val="24"/>
        </w:rPr>
      </w:pPr>
      <w:r>
        <w:rPr>
          <w:sz w:val="24"/>
        </w:rPr>
        <w:t>10</w:t>
      </w:r>
      <w:r w:rsidR="00703B0A">
        <w:rPr>
          <w:sz w:val="24"/>
        </w:rPr>
        <w:t>.</w:t>
      </w:r>
      <w:r w:rsidR="00703B0A">
        <w:rPr>
          <w:sz w:val="24"/>
        </w:rPr>
        <w:tab/>
        <w:t>E</w:t>
      </w:r>
      <w:r w:rsidR="000C099C">
        <w:rPr>
          <w:sz w:val="24"/>
        </w:rPr>
        <w:t>scrow agreement;</w:t>
      </w:r>
    </w:p>
    <w:p w14:paraId="26876CEC" w14:textId="77777777" w:rsidR="000C099C" w:rsidRDefault="000C099C">
      <w:pPr>
        <w:ind w:left="720"/>
        <w:jc w:val="both"/>
        <w:rPr>
          <w:sz w:val="24"/>
        </w:rPr>
      </w:pPr>
    </w:p>
    <w:p w14:paraId="346A699C" w14:textId="77777777" w:rsidR="000C099C" w:rsidRDefault="000C099C">
      <w:pPr>
        <w:ind w:left="720"/>
        <w:jc w:val="both"/>
        <w:rPr>
          <w:sz w:val="24"/>
        </w:rPr>
      </w:pPr>
      <w:r>
        <w:rPr>
          <w:sz w:val="24"/>
        </w:rPr>
        <w:t>1</w:t>
      </w:r>
      <w:r w:rsidR="004751A3">
        <w:rPr>
          <w:sz w:val="24"/>
        </w:rPr>
        <w:t>1</w:t>
      </w:r>
      <w:r>
        <w:rPr>
          <w:sz w:val="24"/>
        </w:rPr>
        <w:t>.</w:t>
      </w:r>
      <w:r>
        <w:rPr>
          <w:sz w:val="24"/>
        </w:rPr>
        <w:tab/>
        <w:t>Fictitious Business Name Statement</w:t>
      </w:r>
      <w:r w:rsidR="008104FA">
        <w:rPr>
          <w:sz w:val="24"/>
        </w:rPr>
        <w:t>, if applicable</w:t>
      </w:r>
      <w:r>
        <w:rPr>
          <w:sz w:val="24"/>
        </w:rPr>
        <w:t>;</w:t>
      </w:r>
    </w:p>
    <w:p w14:paraId="71625146" w14:textId="77777777" w:rsidR="000C099C" w:rsidRDefault="000C099C">
      <w:pPr>
        <w:ind w:left="720"/>
        <w:jc w:val="both"/>
        <w:rPr>
          <w:sz w:val="24"/>
        </w:rPr>
      </w:pPr>
    </w:p>
    <w:p w14:paraId="63D4CED5" w14:textId="77777777" w:rsidR="000C099C" w:rsidRDefault="000C099C">
      <w:pPr>
        <w:ind w:left="720"/>
        <w:jc w:val="both"/>
        <w:rPr>
          <w:sz w:val="24"/>
        </w:rPr>
      </w:pPr>
      <w:r>
        <w:rPr>
          <w:sz w:val="24"/>
        </w:rPr>
        <w:t>1</w:t>
      </w:r>
      <w:r w:rsidR="004751A3">
        <w:rPr>
          <w:sz w:val="24"/>
        </w:rPr>
        <w:t>2</w:t>
      </w:r>
      <w:r w:rsidR="00703B0A">
        <w:rPr>
          <w:sz w:val="24"/>
        </w:rPr>
        <w:t>.</w:t>
      </w:r>
      <w:r w:rsidR="00703B0A">
        <w:rPr>
          <w:sz w:val="24"/>
        </w:rPr>
        <w:tab/>
        <w:t>L</w:t>
      </w:r>
      <w:r>
        <w:rPr>
          <w:sz w:val="24"/>
        </w:rPr>
        <w:t>egal opinion</w:t>
      </w:r>
      <w:r w:rsidR="008104FA">
        <w:rPr>
          <w:sz w:val="24"/>
        </w:rPr>
        <w:t>, if indicated</w:t>
      </w:r>
      <w:r>
        <w:rPr>
          <w:sz w:val="24"/>
        </w:rPr>
        <w:t>;</w:t>
      </w:r>
    </w:p>
    <w:p w14:paraId="760FAA80" w14:textId="77777777" w:rsidR="000C099C" w:rsidRDefault="000C099C">
      <w:pPr>
        <w:ind w:left="720"/>
        <w:jc w:val="both"/>
        <w:rPr>
          <w:sz w:val="24"/>
        </w:rPr>
      </w:pPr>
    </w:p>
    <w:p w14:paraId="520CEAA2" w14:textId="77777777" w:rsidR="000C099C" w:rsidRDefault="000C099C">
      <w:pPr>
        <w:ind w:left="720"/>
        <w:jc w:val="both"/>
        <w:rPr>
          <w:sz w:val="24"/>
        </w:rPr>
      </w:pPr>
      <w:r>
        <w:rPr>
          <w:sz w:val="24"/>
        </w:rPr>
        <w:t>1</w:t>
      </w:r>
      <w:r w:rsidR="004751A3">
        <w:rPr>
          <w:sz w:val="24"/>
        </w:rPr>
        <w:t>3</w:t>
      </w:r>
      <w:r>
        <w:rPr>
          <w:sz w:val="24"/>
        </w:rPr>
        <w:t>.</w:t>
      </w:r>
      <w:r>
        <w:rPr>
          <w:sz w:val="24"/>
        </w:rPr>
        <w:tab/>
        <w:t>Underwriting Agreement between Sponsor and Managing Placing Agent;</w:t>
      </w:r>
    </w:p>
    <w:p w14:paraId="549225B0" w14:textId="77777777" w:rsidR="000C099C" w:rsidRDefault="000C099C">
      <w:pPr>
        <w:ind w:left="720"/>
        <w:jc w:val="both"/>
        <w:rPr>
          <w:sz w:val="24"/>
        </w:rPr>
      </w:pPr>
    </w:p>
    <w:p w14:paraId="05BCACCE" w14:textId="77777777" w:rsidR="000C099C" w:rsidRDefault="000C099C" w:rsidP="00102976">
      <w:pPr>
        <w:ind w:left="1080" w:hanging="360"/>
        <w:jc w:val="both"/>
        <w:rPr>
          <w:sz w:val="24"/>
        </w:rPr>
      </w:pPr>
      <w:r>
        <w:rPr>
          <w:sz w:val="24"/>
        </w:rPr>
        <w:t>1</w:t>
      </w:r>
      <w:r w:rsidR="004751A3">
        <w:rPr>
          <w:sz w:val="24"/>
        </w:rPr>
        <w:t>4</w:t>
      </w:r>
      <w:r>
        <w:rPr>
          <w:sz w:val="24"/>
        </w:rPr>
        <w:t>.</w:t>
      </w:r>
      <w:r>
        <w:rPr>
          <w:sz w:val="24"/>
        </w:rPr>
        <w:tab/>
        <w:t xml:space="preserve">Underwriting Agreement between Managing Placing Agent and Participating </w:t>
      </w:r>
      <w:r>
        <w:rPr>
          <w:sz w:val="24"/>
        </w:rPr>
        <w:tab/>
        <w:t>Broker/Dealers;</w:t>
      </w:r>
    </w:p>
    <w:p w14:paraId="323E0279" w14:textId="77777777" w:rsidR="000C099C" w:rsidRDefault="000C099C">
      <w:pPr>
        <w:ind w:left="720"/>
        <w:jc w:val="both"/>
        <w:rPr>
          <w:sz w:val="24"/>
        </w:rPr>
      </w:pPr>
    </w:p>
    <w:p w14:paraId="0FF1B92C" w14:textId="77777777" w:rsidR="000C099C" w:rsidRDefault="000C099C">
      <w:pPr>
        <w:ind w:left="720"/>
        <w:jc w:val="both"/>
        <w:rPr>
          <w:sz w:val="24"/>
        </w:rPr>
      </w:pPr>
      <w:r>
        <w:rPr>
          <w:sz w:val="24"/>
        </w:rPr>
        <w:t>1</w:t>
      </w:r>
      <w:r w:rsidR="004751A3">
        <w:rPr>
          <w:sz w:val="24"/>
        </w:rPr>
        <w:t>5</w:t>
      </w:r>
      <w:r>
        <w:rPr>
          <w:sz w:val="24"/>
        </w:rPr>
        <w:t>.</w:t>
      </w:r>
      <w:r>
        <w:rPr>
          <w:sz w:val="24"/>
        </w:rPr>
        <w:tab/>
      </w:r>
      <w:r w:rsidR="00C7655E">
        <w:rPr>
          <w:sz w:val="24"/>
        </w:rPr>
        <w:t>Description</w:t>
      </w:r>
      <w:r>
        <w:rPr>
          <w:sz w:val="24"/>
        </w:rPr>
        <w:t xml:space="preserve"> of corporation;</w:t>
      </w:r>
    </w:p>
    <w:p w14:paraId="47597EF6" w14:textId="77777777" w:rsidR="000C099C" w:rsidRDefault="000C099C">
      <w:pPr>
        <w:ind w:left="720"/>
        <w:jc w:val="both"/>
        <w:rPr>
          <w:sz w:val="24"/>
        </w:rPr>
      </w:pPr>
    </w:p>
    <w:p w14:paraId="4F688320" w14:textId="77777777" w:rsidR="000C099C" w:rsidRDefault="000C099C">
      <w:pPr>
        <w:ind w:left="720"/>
        <w:jc w:val="both"/>
        <w:rPr>
          <w:sz w:val="24"/>
        </w:rPr>
      </w:pPr>
      <w:r>
        <w:rPr>
          <w:sz w:val="24"/>
        </w:rPr>
        <w:t>1</w:t>
      </w:r>
      <w:r w:rsidR="004751A3">
        <w:rPr>
          <w:sz w:val="24"/>
        </w:rPr>
        <w:t>6</w:t>
      </w:r>
      <w:r>
        <w:rPr>
          <w:sz w:val="24"/>
        </w:rPr>
        <w:t>.</w:t>
      </w:r>
      <w:r>
        <w:rPr>
          <w:sz w:val="24"/>
        </w:rPr>
        <w:tab/>
      </w:r>
      <w:r w:rsidR="00C7655E">
        <w:rPr>
          <w:sz w:val="24"/>
        </w:rPr>
        <w:t>Instructions</w:t>
      </w:r>
      <w:r>
        <w:rPr>
          <w:sz w:val="24"/>
        </w:rPr>
        <w:t xml:space="preserve"> for persons wishing to </w:t>
      </w:r>
      <w:r w:rsidR="008104FA">
        <w:rPr>
          <w:sz w:val="24"/>
        </w:rPr>
        <w:t>p</w:t>
      </w:r>
      <w:r>
        <w:rPr>
          <w:sz w:val="24"/>
        </w:rPr>
        <w:t>urchase;</w:t>
      </w:r>
    </w:p>
    <w:p w14:paraId="777B41B5" w14:textId="77777777" w:rsidR="000C099C" w:rsidRDefault="000C099C">
      <w:pPr>
        <w:ind w:left="720"/>
        <w:jc w:val="both"/>
        <w:rPr>
          <w:sz w:val="24"/>
        </w:rPr>
      </w:pPr>
    </w:p>
    <w:p w14:paraId="4E94A9D9" w14:textId="77777777" w:rsidR="000C099C" w:rsidRDefault="000C099C">
      <w:pPr>
        <w:ind w:left="720"/>
        <w:jc w:val="both"/>
        <w:rPr>
          <w:sz w:val="24"/>
        </w:rPr>
      </w:pPr>
      <w:r>
        <w:rPr>
          <w:sz w:val="24"/>
        </w:rPr>
        <w:t>1</w:t>
      </w:r>
      <w:r w:rsidR="004751A3">
        <w:rPr>
          <w:sz w:val="24"/>
        </w:rPr>
        <w:t>7</w:t>
      </w:r>
      <w:r>
        <w:rPr>
          <w:sz w:val="24"/>
        </w:rPr>
        <w:t>.</w:t>
      </w:r>
      <w:r>
        <w:rPr>
          <w:sz w:val="24"/>
        </w:rPr>
        <w:tab/>
      </w:r>
      <w:r w:rsidR="00C7655E">
        <w:rPr>
          <w:sz w:val="24"/>
        </w:rPr>
        <w:t>Management</w:t>
      </w:r>
      <w:r>
        <w:rPr>
          <w:sz w:val="24"/>
        </w:rPr>
        <w:t xml:space="preserve"> agreements;</w:t>
      </w:r>
    </w:p>
    <w:p w14:paraId="3844D5A8" w14:textId="77777777" w:rsidR="000C099C" w:rsidRDefault="000C099C">
      <w:pPr>
        <w:ind w:left="720"/>
        <w:jc w:val="both"/>
        <w:rPr>
          <w:sz w:val="24"/>
        </w:rPr>
      </w:pPr>
    </w:p>
    <w:p w14:paraId="43C5501E" w14:textId="77777777" w:rsidR="000C099C" w:rsidRDefault="000C099C" w:rsidP="00102976">
      <w:pPr>
        <w:ind w:left="990" w:hanging="270"/>
        <w:jc w:val="both"/>
        <w:rPr>
          <w:sz w:val="24"/>
        </w:rPr>
      </w:pPr>
      <w:r>
        <w:rPr>
          <w:sz w:val="24"/>
        </w:rPr>
        <w:t>1</w:t>
      </w:r>
      <w:r w:rsidR="004751A3">
        <w:rPr>
          <w:sz w:val="24"/>
        </w:rPr>
        <w:t>8</w:t>
      </w:r>
      <w:r>
        <w:rPr>
          <w:sz w:val="24"/>
        </w:rPr>
        <w:t>.</w:t>
      </w:r>
      <w:r>
        <w:rPr>
          <w:sz w:val="24"/>
        </w:rPr>
        <w:tab/>
      </w:r>
      <w:r w:rsidR="00C7655E">
        <w:rPr>
          <w:sz w:val="24"/>
        </w:rPr>
        <w:t>Form</w:t>
      </w:r>
      <w:r>
        <w:rPr>
          <w:sz w:val="24"/>
        </w:rPr>
        <w:t xml:space="preserve"> of Promissory Note to be utilized under the stated investment plan (if </w:t>
      </w:r>
      <w:r>
        <w:rPr>
          <w:sz w:val="24"/>
        </w:rPr>
        <w:tab/>
        <w:t>applicable);</w:t>
      </w:r>
    </w:p>
    <w:p w14:paraId="039F70AF" w14:textId="77777777" w:rsidR="000C099C" w:rsidRDefault="000C099C">
      <w:pPr>
        <w:ind w:left="720"/>
        <w:jc w:val="both"/>
        <w:rPr>
          <w:sz w:val="24"/>
        </w:rPr>
      </w:pPr>
    </w:p>
    <w:p w14:paraId="16B29EA0" w14:textId="77777777" w:rsidR="000C099C" w:rsidRDefault="000C099C">
      <w:pPr>
        <w:ind w:left="720"/>
        <w:jc w:val="both"/>
        <w:rPr>
          <w:sz w:val="24"/>
        </w:rPr>
      </w:pPr>
      <w:r>
        <w:rPr>
          <w:sz w:val="24"/>
        </w:rPr>
        <w:t>1</w:t>
      </w:r>
      <w:r w:rsidR="004751A3">
        <w:rPr>
          <w:sz w:val="24"/>
        </w:rPr>
        <w:t>9</w:t>
      </w:r>
      <w:r>
        <w:rPr>
          <w:sz w:val="24"/>
        </w:rPr>
        <w:t>.</w:t>
      </w:r>
      <w:r>
        <w:rPr>
          <w:sz w:val="24"/>
        </w:rPr>
        <w:tab/>
      </w:r>
      <w:r w:rsidR="00C7655E">
        <w:rPr>
          <w:sz w:val="24"/>
        </w:rPr>
        <w:t>Asset</w:t>
      </w:r>
      <w:r>
        <w:rPr>
          <w:sz w:val="24"/>
        </w:rPr>
        <w:t xml:space="preserve"> acquisition related documents such as:</w:t>
      </w:r>
    </w:p>
    <w:p w14:paraId="5D7C2AAD" w14:textId="77777777" w:rsidR="000C099C" w:rsidRDefault="000C099C">
      <w:pPr>
        <w:ind w:left="720"/>
        <w:jc w:val="both"/>
        <w:rPr>
          <w:sz w:val="24"/>
        </w:rPr>
      </w:pPr>
    </w:p>
    <w:p w14:paraId="7F7E24C8" w14:textId="77777777" w:rsidR="000C099C" w:rsidRDefault="000C099C">
      <w:pPr>
        <w:ind w:left="1440"/>
        <w:jc w:val="both"/>
        <w:rPr>
          <w:sz w:val="24"/>
        </w:rPr>
      </w:pPr>
      <w:r>
        <w:rPr>
          <w:sz w:val="24"/>
        </w:rPr>
        <w:t>a.</w:t>
      </w:r>
      <w:r>
        <w:rPr>
          <w:sz w:val="24"/>
        </w:rPr>
        <w:tab/>
        <w:t>Purchase Contract</w:t>
      </w:r>
    </w:p>
    <w:p w14:paraId="2556091D" w14:textId="77777777" w:rsidR="000C099C" w:rsidRDefault="000C099C">
      <w:pPr>
        <w:ind w:left="1440"/>
        <w:jc w:val="both"/>
        <w:rPr>
          <w:sz w:val="24"/>
        </w:rPr>
      </w:pPr>
      <w:r>
        <w:rPr>
          <w:sz w:val="24"/>
        </w:rPr>
        <w:t>b.</w:t>
      </w:r>
      <w:r>
        <w:rPr>
          <w:sz w:val="24"/>
        </w:rPr>
        <w:tab/>
        <w:t>Title Report and Title Insurance</w:t>
      </w:r>
    </w:p>
    <w:p w14:paraId="70A86C22" w14:textId="77777777" w:rsidR="000C099C" w:rsidRDefault="000C099C">
      <w:pPr>
        <w:ind w:left="1440"/>
        <w:jc w:val="both"/>
        <w:rPr>
          <w:sz w:val="24"/>
        </w:rPr>
      </w:pPr>
      <w:r>
        <w:rPr>
          <w:sz w:val="24"/>
        </w:rPr>
        <w:t>c.</w:t>
      </w:r>
      <w:r>
        <w:rPr>
          <w:sz w:val="24"/>
        </w:rPr>
        <w:tab/>
        <w:t>Tenant Estoppel Certificates</w:t>
      </w:r>
    </w:p>
    <w:p w14:paraId="084942F3" w14:textId="77777777" w:rsidR="000C099C" w:rsidRDefault="000C099C">
      <w:pPr>
        <w:ind w:left="1440"/>
        <w:jc w:val="both"/>
        <w:rPr>
          <w:sz w:val="24"/>
        </w:rPr>
      </w:pPr>
      <w:r>
        <w:rPr>
          <w:sz w:val="24"/>
        </w:rPr>
        <w:t>d.</w:t>
      </w:r>
      <w:r>
        <w:rPr>
          <w:sz w:val="24"/>
        </w:rPr>
        <w:tab/>
        <w:t>All Affidavits</w:t>
      </w:r>
    </w:p>
    <w:p w14:paraId="7D9A1BA5" w14:textId="77777777" w:rsidR="000C099C" w:rsidRDefault="000C099C">
      <w:pPr>
        <w:ind w:left="1440"/>
        <w:jc w:val="both"/>
        <w:rPr>
          <w:sz w:val="24"/>
        </w:rPr>
      </w:pPr>
      <w:r>
        <w:rPr>
          <w:sz w:val="24"/>
        </w:rPr>
        <w:t>e.</w:t>
      </w:r>
      <w:r>
        <w:rPr>
          <w:sz w:val="24"/>
        </w:rPr>
        <w:tab/>
        <w:t>Loan Documentation</w:t>
      </w:r>
    </w:p>
    <w:p w14:paraId="1C239210" w14:textId="77777777" w:rsidR="000C099C" w:rsidRDefault="000C099C">
      <w:pPr>
        <w:ind w:left="1440"/>
        <w:jc w:val="both"/>
        <w:rPr>
          <w:sz w:val="24"/>
        </w:rPr>
      </w:pPr>
      <w:r>
        <w:rPr>
          <w:sz w:val="24"/>
        </w:rPr>
        <w:t>f.</w:t>
      </w:r>
      <w:r>
        <w:rPr>
          <w:sz w:val="24"/>
        </w:rPr>
        <w:tab/>
        <w:t>Appraisal of Property(</w:t>
      </w:r>
      <w:proofErr w:type="spellStart"/>
      <w:r>
        <w:rPr>
          <w:sz w:val="24"/>
        </w:rPr>
        <w:t>ies</w:t>
      </w:r>
      <w:proofErr w:type="spellEnd"/>
      <w:r>
        <w:rPr>
          <w:sz w:val="24"/>
        </w:rPr>
        <w:t>)</w:t>
      </w:r>
    </w:p>
    <w:p w14:paraId="1BA732E0" w14:textId="77777777" w:rsidR="000C099C" w:rsidRDefault="000C099C">
      <w:pPr>
        <w:ind w:left="1440"/>
        <w:jc w:val="both"/>
        <w:rPr>
          <w:sz w:val="24"/>
        </w:rPr>
      </w:pPr>
      <w:r>
        <w:rPr>
          <w:sz w:val="24"/>
        </w:rPr>
        <w:t>g.</w:t>
      </w:r>
      <w:r>
        <w:rPr>
          <w:sz w:val="24"/>
        </w:rPr>
        <w:tab/>
        <w:t>Note and Deed of Trust</w:t>
      </w:r>
    </w:p>
    <w:p w14:paraId="785784A7" w14:textId="77777777" w:rsidR="000C099C" w:rsidRDefault="000C099C">
      <w:pPr>
        <w:ind w:left="1440"/>
        <w:jc w:val="both"/>
        <w:rPr>
          <w:sz w:val="24"/>
        </w:rPr>
      </w:pPr>
      <w:r>
        <w:rPr>
          <w:sz w:val="24"/>
        </w:rPr>
        <w:t>h.</w:t>
      </w:r>
      <w:r>
        <w:rPr>
          <w:sz w:val="24"/>
        </w:rPr>
        <w:tab/>
        <w:t>Lease(s) between Partnership and Seller(s)</w:t>
      </w:r>
    </w:p>
    <w:p w14:paraId="5088ED3C" w14:textId="77777777" w:rsidR="000C099C" w:rsidRDefault="000C099C">
      <w:pPr>
        <w:ind w:left="1440"/>
        <w:jc w:val="both"/>
        <w:rPr>
          <w:sz w:val="24"/>
        </w:rPr>
      </w:pPr>
      <w:proofErr w:type="spellStart"/>
      <w:r>
        <w:rPr>
          <w:sz w:val="24"/>
        </w:rPr>
        <w:t>i</w:t>
      </w:r>
      <w:proofErr w:type="spellEnd"/>
      <w:r>
        <w:rPr>
          <w:sz w:val="24"/>
        </w:rPr>
        <w:t>.</w:t>
      </w:r>
      <w:r>
        <w:rPr>
          <w:sz w:val="24"/>
        </w:rPr>
        <w:tab/>
        <w:t>Escrow Instructions</w:t>
      </w:r>
    </w:p>
    <w:p w14:paraId="3001E64C" w14:textId="77777777" w:rsidR="000C099C" w:rsidRDefault="000C099C">
      <w:pPr>
        <w:ind w:left="1440"/>
        <w:jc w:val="both"/>
        <w:rPr>
          <w:sz w:val="24"/>
        </w:rPr>
      </w:pPr>
      <w:r>
        <w:rPr>
          <w:sz w:val="24"/>
        </w:rPr>
        <w:t>j.</w:t>
      </w:r>
      <w:r>
        <w:rPr>
          <w:sz w:val="24"/>
        </w:rPr>
        <w:tab/>
        <w:t>Mortgage Documents (all Wrap Agreements)</w:t>
      </w:r>
    </w:p>
    <w:p w14:paraId="53ECC0BC" w14:textId="77777777" w:rsidR="000C099C" w:rsidRDefault="000C099C">
      <w:pPr>
        <w:ind w:left="1440"/>
        <w:jc w:val="both"/>
      </w:pPr>
      <w:r>
        <w:rPr>
          <w:sz w:val="24"/>
        </w:rPr>
        <w:t>k.</w:t>
      </w:r>
      <w:r>
        <w:rPr>
          <w:sz w:val="24"/>
        </w:rPr>
        <w:tab/>
        <w:t>Other documents peculiar to the transaction</w:t>
      </w:r>
      <w:r>
        <w:t>.</w:t>
      </w:r>
    </w:p>
    <w:p w14:paraId="3CAABEF1" w14:textId="77777777" w:rsidR="005F7C71" w:rsidRDefault="005F7C71" w:rsidP="005F7C71">
      <w:pPr>
        <w:jc w:val="both"/>
      </w:pPr>
    </w:p>
    <w:p w14:paraId="7D6C0ACC" w14:textId="77777777" w:rsidR="005F7C71" w:rsidRPr="005F7C71" w:rsidRDefault="005F7C71" w:rsidP="005F7C71">
      <w:pPr>
        <w:ind w:left="720"/>
        <w:jc w:val="both"/>
        <w:rPr>
          <w:sz w:val="24"/>
          <w:szCs w:val="24"/>
        </w:rPr>
      </w:pPr>
      <w:r>
        <w:rPr>
          <w:sz w:val="24"/>
          <w:szCs w:val="24"/>
        </w:rPr>
        <w:t>The above nineteen documents may be combined in format and/or contained in offering materials.</w:t>
      </w:r>
    </w:p>
    <w:p w14:paraId="34E73FDA" w14:textId="77777777" w:rsidR="000C099C" w:rsidRDefault="000C099C">
      <w:pPr>
        <w:rPr>
          <w:sz w:val="24"/>
        </w:rPr>
      </w:pPr>
    </w:p>
    <w:p w14:paraId="26895EE5" w14:textId="77777777" w:rsidR="000C099C" w:rsidRDefault="000C099C">
      <w:pPr>
        <w:rPr>
          <w:sz w:val="24"/>
        </w:rPr>
      </w:pPr>
    </w:p>
    <w:p w14:paraId="7F0A42B7" w14:textId="77777777" w:rsidR="000C099C" w:rsidRDefault="00315CF8" w:rsidP="00936FEE">
      <w:pPr>
        <w:pStyle w:val="Heading2"/>
      </w:pPr>
      <w:bookmarkStart w:id="252" w:name="PPOfferingMemorandums"/>
      <w:bookmarkEnd w:id="252"/>
      <w:r>
        <w:lastRenderedPageBreak/>
        <w:t>1</w:t>
      </w:r>
      <w:r w:rsidR="00A46E62">
        <w:t>4</w:t>
      </w:r>
      <w:r>
        <w:t>.</w:t>
      </w:r>
      <w:r w:rsidR="00F57DAC">
        <w:t>7</w:t>
      </w:r>
      <w:r>
        <w:t xml:space="preserve"> </w:t>
      </w:r>
      <w:r w:rsidR="000C099C">
        <w:t>Offering Memorandums</w:t>
      </w:r>
    </w:p>
    <w:p w14:paraId="47AE6A47" w14:textId="77777777" w:rsidR="000C099C" w:rsidRDefault="000C099C" w:rsidP="003F4D32">
      <w:pPr>
        <w:pStyle w:val="BodyText2"/>
        <w:widowControl/>
        <w:jc w:val="both"/>
      </w:pPr>
      <w:r>
        <w:t xml:space="preserve">All private placement offering memorandums printed shall be sequentially </w:t>
      </w:r>
      <w:r w:rsidR="00B777F4">
        <w:t>numbered</w:t>
      </w:r>
      <w:r>
        <w:t xml:space="preserve"> and the Company shall maintain a written record showing to whom each confidential private placement offering memorandum is distributed.  Such record shall include the name of the private placement offering, the private placement offering memorandum number, the name and address of the recipient of the private placement offering memorandum, the date di</w:t>
      </w:r>
      <w:r w:rsidR="004751A3">
        <w:t>stributed, and the name of the A</w:t>
      </w:r>
      <w:r>
        <w:t xml:space="preserve">ssociated </w:t>
      </w:r>
      <w:r w:rsidR="004751A3">
        <w:t>P</w:t>
      </w:r>
      <w:r>
        <w:t>erson and broker-dealer</w:t>
      </w:r>
      <w:r w:rsidR="008104FA">
        <w:t>, if other than Company,</w:t>
      </w:r>
      <w:r>
        <w:t xml:space="preserve"> distributing the memorandum to the prospective investor.  </w:t>
      </w:r>
    </w:p>
    <w:p w14:paraId="0930131E" w14:textId="77777777" w:rsidR="003F4D32" w:rsidRDefault="003F4D32" w:rsidP="003F4D32">
      <w:pPr>
        <w:pStyle w:val="BodyText2"/>
        <w:widowControl/>
        <w:jc w:val="both"/>
      </w:pPr>
    </w:p>
    <w:p w14:paraId="145A19E7" w14:textId="77777777" w:rsidR="003F4D32" w:rsidRPr="005D0F44" w:rsidRDefault="003F4D32" w:rsidP="003F4D32">
      <w:pPr>
        <w:rPr>
          <w:sz w:val="24"/>
          <w:szCs w:val="24"/>
        </w:rPr>
      </w:pPr>
      <w:r w:rsidRPr="005D0F44">
        <w:rPr>
          <w:sz w:val="24"/>
          <w:szCs w:val="24"/>
        </w:rPr>
        <w:t>If Company assists in or prepares the offering memorandum, it still has a duty to investigate the securities offered and representations made by the Issuer. In addition, the Company is subject to FINRA communications rules. "Red flags" (such as an issuer's refusal to provide information for the BD to meet its obligation to investigate or inaccurate financial statements) must be reviewed and simple reliance on representations by the issuer's management is not sufficient to meet the BD's investigatory obligations.</w:t>
      </w:r>
    </w:p>
    <w:p w14:paraId="5FA068A4" w14:textId="77777777" w:rsidR="003F4D32" w:rsidRDefault="003F4D32" w:rsidP="003F4D32">
      <w:pPr>
        <w:pStyle w:val="BodyText2"/>
        <w:widowControl/>
        <w:jc w:val="both"/>
      </w:pPr>
    </w:p>
    <w:p w14:paraId="27DB3E7C" w14:textId="77777777" w:rsidR="003F4D32" w:rsidRDefault="003F4D32" w:rsidP="003F4D32"/>
    <w:p w14:paraId="20F8EBE6" w14:textId="77777777" w:rsidR="00900C49" w:rsidRDefault="00315CF8" w:rsidP="00936FEE">
      <w:pPr>
        <w:pStyle w:val="Heading2"/>
      </w:pPr>
      <w:r>
        <w:t>1</w:t>
      </w:r>
      <w:r w:rsidR="00A46E62">
        <w:t>4</w:t>
      </w:r>
      <w:r>
        <w:t>.</w:t>
      </w:r>
      <w:r w:rsidR="00F57DAC">
        <w:t>8</w:t>
      </w:r>
      <w:r>
        <w:t xml:space="preserve"> </w:t>
      </w:r>
      <w:r w:rsidR="00900C49">
        <w:t>Offerings of Member’s Securities</w:t>
      </w:r>
    </w:p>
    <w:p w14:paraId="087E89A9" w14:textId="586E48FB" w:rsidR="00900C49" w:rsidRPr="008D1FF0" w:rsidRDefault="00900C49" w:rsidP="00900C49">
      <w:pPr>
        <w:rPr>
          <w:sz w:val="24"/>
          <w:szCs w:val="24"/>
        </w:rPr>
      </w:pPr>
      <w:r>
        <w:rPr>
          <w:sz w:val="24"/>
          <w:szCs w:val="24"/>
        </w:rPr>
        <w:t>These procedures are adopted to comply with the FINRA rules that apply to private offerings of the Company.</w:t>
      </w:r>
      <w:r w:rsidR="008D2488">
        <w:rPr>
          <w:sz w:val="24"/>
          <w:szCs w:val="24"/>
        </w:rPr>
        <w:t xml:space="preserve">  </w:t>
      </w:r>
      <w:r w:rsidR="008D2488" w:rsidRPr="008D1FF0">
        <w:rPr>
          <w:sz w:val="24"/>
          <w:szCs w:val="24"/>
        </w:rPr>
        <w:t>Morris Monroe is responsible for ensuring any filings with FINRA are timely and accurate.</w:t>
      </w:r>
    </w:p>
    <w:p w14:paraId="7973C739" w14:textId="77777777" w:rsidR="00900C49" w:rsidRPr="008D1FF0" w:rsidRDefault="00900C49" w:rsidP="006B2B95"/>
    <w:p w14:paraId="69AEC3B3" w14:textId="77777777" w:rsidR="00477A19" w:rsidRPr="00B54B60" w:rsidRDefault="00900C49" w:rsidP="00900C49">
      <w:pPr>
        <w:pStyle w:val="Heading3"/>
      </w:pPr>
      <w:r w:rsidRPr="008D1FF0">
        <w:t>1</w:t>
      </w:r>
      <w:r w:rsidR="00A46E62" w:rsidRPr="008D1FF0">
        <w:t>4</w:t>
      </w:r>
      <w:r w:rsidRPr="008D1FF0">
        <w:t xml:space="preserve">.8.1 </w:t>
      </w:r>
      <w:r w:rsidR="00477A19" w:rsidRPr="008D1FF0">
        <w:t xml:space="preserve">FINRA Rule </w:t>
      </w:r>
      <w:r w:rsidR="00477A19">
        <w:t>5122</w:t>
      </w:r>
      <w:r w:rsidR="00315CF8">
        <w:t xml:space="preserve"> -</w:t>
      </w:r>
      <w:r w:rsidR="00477A19">
        <w:t xml:space="preserve"> Private Placement of Securities by a Member Firm or Control Entity</w:t>
      </w:r>
      <w:r w:rsidR="00315CF8">
        <w:t xml:space="preserve"> </w:t>
      </w:r>
      <w:r w:rsidR="00315CF8" w:rsidRPr="00B54B60">
        <w:rPr>
          <w:i/>
          <w:sz w:val="20"/>
        </w:rPr>
        <w:t>(</w:t>
      </w:r>
      <w:proofErr w:type="gramStart"/>
      <w:r w:rsidR="00315CF8" w:rsidRPr="00B54B60">
        <w:rPr>
          <w:i/>
          <w:sz w:val="20"/>
        </w:rPr>
        <w:t>eff</w:t>
      </w:r>
      <w:proofErr w:type="gramEnd"/>
      <w:r w:rsidR="00315CF8" w:rsidRPr="00B54B60">
        <w:rPr>
          <w:i/>
          <w:sz w:val="20"/>
        </w:rPr>
        <w:t xml:space="preserve"> 06/17/09)</w:t>
      </w:r>
    </w:p>
    <w:p w14:paraId="70969CBD" w14:textId="77777777" w:rsidR="00477A19" w:rsidRPr="00AA03AA" w:rsidRDefault="000A314E" w:rsidP="00900C49">
      <w:pPr>
        <w:pStyle w:val="BodyText2"/>
        <w:widowControl/>
        <w:ind w:left="270"/>
        <w:jc w:val="both"/>
      </w:pPr>
      <w:r w:rsidRPr="00AA03AA">
        <w:t>In</w:t>
      </w:r>
      <w:r w:rsidR="00477A19" w:rsidRPr="00AA03AA">
        <w:t xml:space="preserve"> the event Company </w:t>
      </w:r>
      <w:r w:rsidR="009C1CA7" w:rsidRPr="00AA03AA">
        <w:t xml:space="preserve">or a Control Affiliate </w:t>
      </w:r>
      <w:r w:rsidR="00477A19" w:rsidRPr="00AA03AA">
        <w:t xml:space="preserve">is </w:t>
      </w:r>
      <w:r w:rsidR="009C1CA7">
        <w:t xml:space="preserve">the </w:t>
      </w:r>
      <w:r w:rsidR="009C1CA7" w:rsidRPr="009C1CA7">
        <w:rPr>
          <w:b/>
          <w:u w:val="single"/>
        </w:rPr>
        <w:t>Issuer</w:t>
      </w:r>
      <w:r w:rsidR="009C1CA7">
        <w:t xml:space="preserve"> in</w:t>
      </w:r>
      <w:r w:rsidR="00477A19" w:rsidRPr="00AA03AA">
        <w:t xml:space="preserve"> a private offering </w:t>
      </w:r>
      <w:r w:rsidR="000D16FE" w:rsidRPr="00AA03AA">
        <w:t>(member private offering or MPO)</w:t>
      </w:r>
      <w:r w:rsidR="00477A19" w:rsidRPr="00AA03AA">
        <w:t xml:space="preserve">, </w:t>
      </w:r>
      <w:r w:rsidRPr="00AA03AA">
        <w:t>Company</w:t>
      </w:r>
      <w:r w:rsidR="00477A19" w:rsidRPr="00AA03AA">
        <w:t xml:space="preserve"> will adhere to the following:</w:t>
      </w:r>
    </w:p>
    <w:p w14:paraId="5D080262" w14:textId="77777777" w:rsidR="00C63B6C" w:rsidRPr="00AA03AA" w:rsidRDefault="00C63B6C" w:rsidP="00900C49">
      <w:pPr>
        <w:pStyle w:val="BodyText2"/>
        <w:widowControl/>
        <w:ind w:left="270"/>
        <w:jc w:val="both"/>
      </w:pPr>
    </w:p>
    <w:p w14:paraId="17505008" w14:textId="77777777" w:rsidR="00C63B6C" w:rsidRPr="00AA03AA" w:rsidRDefault="00C63B6C" w:rsidP="00900C49">
      <w:pPr>
        <w:pStyle w:val="BodyText2"/>
        <w:ind w:left="270"/>
        <w:jc w:val="both"/>
        <w:rPr>
          <w:szCs w:val="24"/>
        </w:rPr>
      </w:pPr>
      <w:r w:rsidRPr="00AA03AA">
        <w:rPr>
          <w:szCs w:val="24"/>
        </w:rPr>
        <w:t>(1) disclose to investors in a private placement memorandum, term sheet or other offering document the intended use of offering proceeds and the offering expenses;</w:t>
      </w:r>
    </w:p>
    <w:p w14:paraId="7F1B01FE" w14:textId="77777777" w:rsidR="00C63B6C" w:rsidRPr="00AA03AA" w:rsidRDefault="00C63B6C" w:rsidP="00900C49">
      <w:pPr>
        <w:pStyle w:val="BodyText2"/>
        <w:ind w:left="270"/>
        <w:jc w:val="both"/>
        <w:rPr>
          <w:szCs w:val="24"/>
        </w:rPr>
      </w:pPr>
    </w:p>
    <w:p w14:paraId="646FED6F" w14:textId="1A6A2163" w:rsidR="00DD48B0" w:rsidRDefault="00C63B6C" w:rsidP="00DD48B0">
      <w:pPr>
        <w:autoSpaceDE w:val="0"/>
        <w:autoSpaceDN w:val="0"/>
        <w:adjustRightInd w:val="0"/>
        <w:ind w:left="270"/>
        <w:rPr>
          <w:sz w:val="24"/>
          <w:szCs w:val="24"/>
        </w:rPr>
      </w:pPr>
      <w:r w:rsidRPr="00AA03AA">
        <w:rPr>
          <w:sz w:val="24"/>
          <w:szCs w:val="24"/>
        </w:rPr>
        <w:t xml:space="preserve">(2) </w:t>
      </w:r>
      <w:r w:rsidR="00B44ABA" w:rsidRPr="00AA03AA">
        <w:rPr>
          <w:sz w:val="24"/>
          <w:szCs w:val="24"/>
        </w:rPr>
        <w:t>File</w:t>
      </w:r>
      <w:r w:rsidRPr="00AA03AA">
        <w:rPr>
          <w:sz w:val="24"/>
          <w:szCs w:val="24"/>
        </w:rPr>
        <w:t xml:space="preserve"> </w:t>
      </w:r>
      <w:r w:rsidR="00DD48B0" w:rsidRPr="00AA03AA">
        <w:rPr>
          <w:sz w:val="24"/>
          <w:szCs w:val="24"/>
        </w:rPr>
        <w:t xml:space="preserve">FINRA’s Corporate Financing Department </w:t>
      </w:r>
      <w:r w:rsidR="00DD48B0" w:rsidRPr="00EB36DF">
        <w:rPr>
          <w:sz w:val="24"/>
          <w:szCs w:val="24"/>
        </w:rPr>
        <w:t>electronically</w:t>
      </w:r>
      <w:r w:rsidR="00DD48B0">
        <w:rPr>
          <w:sz w:val="24"/>
          <w:szCs w:val="24"/>
        </w:rPr>
        <w:t xml:space="preserve"> </w:t>
      </w:r>
      <w:r w:rsidR="00DD48B0" w:rsidRPr="008D1FF0">
        <w:rPr>
          <w:sz w:val="24"/>
          <w:szCs w:val="24"/>
        </w:rPr>
        <w:t xml:space="preserve">(in pdf format) to </w:t>
      </w:r>
      <w:hyperlink r:id="rId88" w:history="1">
        <w:r w:rsidR="00DD48B0" w:rsidRPr="00182695">
          <w:rPr>
            <w:rStyle w:val="Hyperlink"/>
            <w:i/>
            <w:iCs/>
            <w:sz w:val="24"/>
            <w:szCs w:val="24"/>
          </w:rPr>
          <w:t>corpfin@finra.org</w:t>
        </w:r>
      </w:hyperlink>
      <w:r w:rsidR="00DD48B0" w:rsidRPr="00DD48B0">
        <w:rPr>
          <w:i/>
          <w:iCs/>
          <w:sz w:val="24"/>
          <w:szCs w:val="24"/>
        </w:rPr>
        <w:t xml:space="preserve"> </w:t>
      </w:r>
      <w:r w:rsidR="00DD48B0" w:rsidRPr="00DD48B0">
        <w:rPr>
          <w:iCs/>
          <w:sz w:val="24"/>
          <w:szCs w:val="24"/>
        </w:rPr>
        <w:t>and m</w:t>
      </w:r>
      <w:r w:rsidR="00DD48B0" w:rsidRPr="00DD48B0">
        <w:rPr>
          <w:sz w:val="24"/>
          <w:szCs w:val="24"/>
        </w:rPr>
        <w:t>ust include its CRD number for identification purposes as part of the email submission</w:t>
      </w:r>
      <w:r w:rsidR="006E3B16">
        <w:rPr>
          <w:sz w:val="24"/>
          <w:szCs w:val="24"/>
        </w:rPr>
        <w:t xml:space="preserve"> the following</w:t>
      </w:r>
      <w:r w:rsidR="00DD48B0" w:rsidRPr="00DD48B0">
        <w:rPr>
          <w:color w:val="FF0000"/>
          <w:sz w:val="24"/>
          <w:szCs w:val="24"/>
        </w:rPr>
        <w:t>:</w:t>
      </w:r>
    </w:p>
    <w:p w14:paraId="15CBF476" w14:textId="47022791" w:rsidR="00DD48B0" w:rsidRPr="008D1FF0" w:rsidRDefault="00DD48B0" w:rsidP="0005402C">
      <w:pPr>
        <w:pStyle w:val="ListParagraph"/>
        <w:numPr>
          <w:ilvl w:val="0"/>
          <w:numId w:val="385"/>
        </w:numPr>
        <w:autoSpaceDE w:val="0"/>
        <w:autoSpaceDN w:val="0"/>
        <w:adjustRightInd w:val="0"/>
        <w:jc w:val="both"/>
        <w:rPr>
          <w:sz w:val="24"/>
          <w:szCs w:val="24"/>
        </w:rPr>
      </w:pPr>
      <w:r w:rsidRPr="008D1FF0">
        <w:rPr>
          <w:b/>
          <w:bCs/>
          <w:sz w:val="24"/>
          <w:szCs w:val="24"/>
          <w:u w:val="single"/>
        </w:rPr>
        <w:t>Within 15 days of the first sale</w:t>
      </w:r>
      <w:r w:rsidRPr="008D1FF0">
        <w:rPr>
          <w:sz w:val="24"/>
          <w:szCs w:val="24"/>
        </w:rPr>
        <w:t xml:space="preserve"> </w:t>
      </w:r>
      <w:r w:rsidR="00C63B6C" w:rsidRPr="008D1FF0">
        <w:rPr>
          <w:sz w:val="24"/>
          <w:szCs w:val="24"/>
        </w:rPr>
        <w:t>such offering document</w:t>
      </w:r>
      <w:r w:rsidRPr="008D1FF0">
        <w:rPr>
          <w:sz w:val="24"/>
          <w:szCs w:val="24"/>
        </w:rPr>
        <w:t xml:space="preserve"> (or </w:t>
      </w:r>
      <w:r w:rsidRPr="008D1FF0">
        <w:rPr>
          <w:spacing w:val="8"/>
          <w:sz w:val="24"/>
          <w:szCs w:val="24"/>
          <w:shd w:val="clear" w:color="auto" w:fill="FFFFFF"/>
        </w:rPr>
        <w:t>notify FINRA that no such documents were used)</w:t>
      </w:r>
      <w:r w:rsidR="006E3B16" w:rsidRPr="008D1FF0">
        <w:rPr>
          <w:spacing w:val="8"/>
          <w:sz w:val="24"/>
          <w:szCs w:val="24"/>
          <w:shd w:val="clear" w:color="auto" w:fill="FFFFFF"/>
        </w:rPr>
        <w:t>;</w:t>
      </w:r>
      <w:r w:rsidRPr="008D1FF0">
        <w:rPr>
          <w:rFonts w:ascii="Tahoma" w:hAnsi="Tahoma" w:cs="Tahoma"/>
          <w:spacing w:val="8"/>
          <w:sz w:val="18"/>
          <w:szCs w:val="18"/>
          <w:shd w:val="clear" w:color="auto" w:fill="FFFFFF"/>
        </w:rPr>
        <w:t xml:space="preserve"> </w:t>
      </w:r>
      <w:r w:rsidRPr="008D1FF0">
        <w:rPr>
          <w:sz w:val="24"/>
          <w:szCs w:val="24"/>
        </w:rPr>
        <w:t xml:space="preserve"> </w:t>
      </w:r>
    </w:p>
    <w:p w14:paraId="31F859D8" w14:textId="710A7CD8" w:rsidR="00DD48B0" w:rsidRPr="008D1FF0" w:rsidRDefault="006E3B16" w:rsidP="0005402C">
      <w:pPr>
        <w:pStyle w:val="ListParagraph"/>
        <w:numPr>
          <w:ilvl w:val="0"/>
          <w:numId w:val="385"/>
        </w:numPr>
        <w:autoSpaceDE w:val="0"/>
        <w:autoSpaceDN w:val="0"/>
        <w:adjustRightInd w:val="0"/>
        <w:jc w:val="both"/>
        <w:rPr>
          <w:sz w:val="24"/>
          <w:szCs w:val="24"/>
        </w:rPr>
      </w:pPr>
      <w:r w:rsidRPr="008D1FF0">
        <w:rPr>
          <w:sz w:val="24"/>
          <w:szCs w:val="24"/>
        </w:rPr>
        <w:t xml:space="preserve">Any </w:t>
      </w:r>
      <w:r w:rsidR="00DD48B0" w:rsidRPr="008D1FF0">
        <w:rPr>
          <w:sz w:val="24"/>
          <w:szCs w:val="24"/>
        </w:rPr>
        <w:t>Term Sheet or other such document.</w:t>
      </w:r>
    </w:p>
    <w:p w14:paraId="4DD6D067" w14:textId="77777777" w:rsidR="006E3B16" w:rsidRPr="008D1FF0" w:rsidRDefault="00DD48B0" w:rsidP="0005402C">
      <w:pPr>
        <w:pStyle w:val="ListParagraph"/>
        <w:numPr>
          <w:ilvl w:val="0"/>
          <w:numId w:val="385"/>
        </w:numPr>
        <w:autoSpaceDE w:val="0"/>
        <w:autoSpaceDN w:val="0"/>
        <w:adjustRightInd w:val="0"/>
        <w:rPr>
          <w:sz w:val="24"/>
          <w:szCs w:val="24"/>
        </w:rPr>
      </w:pPr>
      <w:r w:rsidRPr="008D1FF0">
        <w:rPr>
          <w:sz w:val="24"/>
          <w:szCs w:val="24"/>
        </w:rPr>
        <w:t>A</w:t>
      </w:r>
      <w:r w:rsidR="00734B85" w:rsidRPr="008D1FF0">
        <w:rPr>
          <w:sz w:val="24"/>
          <w:szCs w:val="24"/>
        </w:rPr>
        <w:t xml:space="preserve">ny amendments or exhibits to the offering document with FINRA </w:t>
      </w:r>
      <w:r w:rsidR="00734B85" w:rsidRPr="008D1FF0">
        <w:rPr>
          <w:b/>
          <w:bCs/>
          <w:sz w:val="24"/>
          <w:szCs w:val="24"/>
          <w:u w:val="single"/>
        </w:rPr>
        <w:t>within ten days</w:t>
      </w:r>
      <w:r w:rsidR="00734B85" w:rsidRPr="008D1FF0">
        <w:rPr>
          <w:sz w:val="24"/>
          <w:szCs w:val="24"/>
        </w:rPr>
        <w:t xml:space="preserve"> of being provided to any investor or prospective investor</w:t>
      </w:r>
      <w:r w:rsidR="006E3B16" w:rsidRPr="008D1FF0">
        <w:rPr>
          <w:sz w:val="24"/>
          <w:szCs w:val="24"/>
        </w:rPr>
        <w:t xml:space="preserve">; and </w:t>
      </w:r>
      <w:r w:rsidR="00734B85" w:rsidRPr="008D1FF0">
        <w:rPr>
          <w:sz w:val="24"/>
          <w:szCs w:val="24"/>
        </w:rPr>
        <w:t xml:space="preserve"> </w:t>
      </w:r>
    </w:p>
    <w:p w14:paraId="495432EA" w14:textId="2ADA99EF" w:rsidR="006E3B16" w:rsidRPr="008D1FF0" w:rsidRDefault="006E3B16" w:rsidP="0005402C">
      <w:pPr>
        <w:pStyle w:val="ListParagraph"/>
        <w:numPr>
          <w:ilvl w:val="0"/>
          <w:numId w:val="385"/>
        </w:numPr>
        <w:autoSpaceDE w:val="0"/>
        <w:autoSpaceDN w:val="0"/>
        <w:adjustRightInd w:val="0"/>
        <w:rPr>
          <w:sz w:val="36"/>
          <w:szCs w:val="36"/>
        </w:rPr>
      </w:pPr>
      <w:r w:rsidRPr="008D1FF0">
        <w:rPr>
          <w:spacing w:val="8"/>
          <w:sz w:val="24"/>
          <w:szCs w:val="24"/>
        </w:rPr>
        <w:t>Any retail communication (defined in FINRA Rule 2210) that promotes or recommends the member private offering.</w:t>
      </w:r>
    </w:p>
    <w:p w14:paraId="0BA676F3" w14:textId="7DF3014B" w:rsidR="00C63B6C" w:rsidRPr="008D1FF0" w:rsidRDefault="00C63B6C" w:rsidP="006E3B16">
      <w:pPr>
        <w:pStyle w:val="ListParagraph"/>
        <w:autoSpaceDE w:val="0"/>
        <w:autoSpaceDN w:val="0"/>
        <w:adjustRightInd w:val="0"/>
        <w:ind w:left="1050"/>
        <w:rPr>
          <w:sz w:val="24"/>
          <w:szCs w:val="24"/>
        </w:rPr>
      </w:pPr>
    </w:p>
    <w:p w14:paraId="6E858637" w14:textId="31DAA3D3" w:rsidR="00F755C7" w:rsidRPr="008D1FF0" w:rsidRDefault="00F755C7" w:rsidP="00900C49">
      <w:pPr>
        <w:pStyle w:val="BodyText2"/>
        <w:ind w:left="270"/>
        <w:jc w:val="both"/>
        <w:rPr>
          <w:spacing w:val="8"/>
          <w:szCs w:val="24"/>
          <w:shd w:val="clear" w:color="auto" w:fill="FFFFFF"/>
        </w:rPr>
      </w:pPr>
      <w:r w:rsidRPr="008D1FF0">
        <w:rPr>
          <w:spacing w:val="8"/>
          <w:szCs w:val="24"/>
          <w:shd w:val="clear" w:color="auto" w:fill="FFFFFF"/>
        </w:rPr>
        <w:t>Excluded from this requirement are private offerings sold only to institutional investors [defined in FINRA Rule 4512(c)]; qualified purchasers [defined in the Investment Company Act of 1940]; investment companies [defined in the Investment Company Act] and qualified institutional buyers [defined in Rule 144A].</w:t>
      </w:r>
    </w:p>
    <w:p w14:paraId="2BCBAF91" w14:textId="77777777" w:rsidR="00F755C7" w:rsidRPr="00AA03AA" w:rsidRDefault="00F755C7" w:rsidP="00900C49">
      <w:pPr>
        <w:pStyle w:val="BodyText2"/>
        <w:ind w:left="270"/>
        <w:jc w:val="both"/>
        <w:rPr>
          <w:szCs w:val="24"/>
        </w:rPr>
      </w:pPr>
    </w:p>
    <w:p w14:paraId="0C2E0AD1" w14:textId="77777777" w:rsidR="00C63B6C" w:rsidRPr="00AA03AA" w:rsidRDefault="00C63B6C" w:rsidP="00900C49">
      <w:pPr>
        <w:pStyle w:val="BodyText2"/>
        <w:ind w:left="270"/>
        <w:jc w:val="both"/>
        <w:rPr>
          <w:szCs w:val="24"/>
        </w:rPr>
      </w:pPr>
      <w:r w:rsidRPr="00AA03AA">
        <w:rPr>
          <w:szCs w:val="24"/>
        </w:rPr>
        <w:t xml:space="preserve">(3) </w:t>
      </w:r>
      <w:r w:rsidR="00B44ABA" w:rsidRPr="00AA03AA">
        <w:rPr>
          <w:szCs w:val="24"/>
        </w:rPr>
        <w:t>Commit</w:t>
      </w:r>
      <w:r w:rsidRPr="00AA03AA">
        <w:rPr>
          <w:szCs w:val="24"/>
        </w:rPr>
        <w:t xml:space="preserve"> that at least 85 percent of the offering proceeds will be used for business purposes, which shall not include offering costs, discounts, commissions and any other cash or non-cash sales incentives.</w:t>
      </w:r>
    </w:p>
    <w:p w14:paraId="5D61B2CA" w14:textId="77777777" w:rsidR="00734B85" w:rsidRPr="00AA03AA" w:rsidRDefault="00734B85" w:rsidP="00C63B6C">
      <w:pPr>
        <w:pStyle w:val="BodyText2"/>
        <w:jc w:val="both"/>
      </w:pPr>
    </w:p>
    <w:p w14:paraId="0814D870" w14:textId="77777777" w:rsidR="00C63B6C" w:rsidRPr="00900C49" w:rsidRDefault="00C63B6C" w:rsidP="001A587F">
      <w:pPr>
        <w:pStyle w:val="Heading4"/>
      </w:pPr>
      <w:r w:rsidRPr="00900C49">
        <w:t>Definitions</w:t>
      </w:r>
    </w:p>
    <w:p w14:paraId="22BFE721" w14:textId="77777777" w:rsidR="00703B0A" w:rsidRPr="00AA03AA" w:rsidRDefault="00703B0A" w:rsidP="00900C49">
      <w:pPr>
        <w:pStyle w:val="BodyText2"/>
        <w:tabs>
          <w:tab w:val="left" w:pos="630"/>
        </w:tabs>
        <w:autoSpaceDE w:val="0"/>
        <w:autoSpaceDN w:val="0"/>
        <w:adjustRightInd w:val="0"/>
        <w:ind w:left="720"/>
        <w:jc w:val="both"/>
        <w:rPr>
          <w:sz w:val="20"/>
        </w:rPr>
      </w:pPr>
    </w:p>
    <w:p w14:paraId="3712976F" w14:textId="77777777" w:rsidR="000A314E" w:rsidRPr="00AA03AA" w:rsidRDefault="00C63B6C" w:rsidP="00C1728B">
      <w:pPr>
        <w:pStyle w:val="BodyText2"/>
        <w:numPr>
          <w:ilvl w:val="0"/>
          <w:numId w:val="85"/>
        </w:numPr>
        <w:tabs>
          <w:tab w:val="left" w:pos="810"/>
        </w:tabs>
        <w:autoSpaceDE w:val="0"/>
        <w:autoSpaceDN w:val="0"/>
        <w:adjustRightInd w:val="0"/>
        <w:ind w:left="810" w:hanging="270"/>
        <w:jc w:val="both"/>
        <w:rPr>
          <w:i/>
          <w:sz w:val="20"/>
        </w:rPr>
      </w:pPr>
      <w:r w:rsidRPr="00AA03AA">
        <w:rPr>
          <w:szCs w:val="24"/>
        </w:rPr>
        <w:t>“</w:t>
      </w:r>
      <w:r w:rsidR="00B44ABA" w:rsidRPr="00AA03AA">
        <w:rPr>
          <w:szCs w:val="24"/>
        </w:rPr>
        <w:t>Member</w:t>
      </w:r>
      <w:r w:rsidRPr="00AA03AA">
        <w:rPr>
          <w:szCs w:val="24"/>
        </w:rPr>
        <w:t xml:space="preserve"> </w:t>
      </w:r>
      <w:r w:rsidR="00E0699F">
        <w:rPr>
          <w:szCs w:val="24"/>
        </w:rPr>
        <w:t>Private O</w:t>
      </w:r>
      <w:r w:rsidRPr="00AA03AA">
        <w:rPr>
          <w:szCs w:val="24"/>
        </w:rPr>
        <w:t>ffering”</w:t>
      </w:r>
      <w:r w:rsidR="00E0699F">
        <w:rPr>
          <w:szCs w:val="24"/>
        </w:rPr>
        <w:t xml:space="preserve"> (MPO) </w:t>
      </w:r>
      <w:r w:rsidRPr="00AA03AA">
        <w:rPr>
          <w:szCs w:val="24"/>
        </w:rPr>
        <w:t xml:space="preserve">- a private placement of unregistered securities issued by a member firm or control entity. </w:t>
      </w:r>
    </w:p>
    <w:p w14:paraId="5F484AE0" w14:textId="77777777" w:rsidR="00703B0A" w:rsidRPr="00AA03AA" w:rsidRDefault="00703B0A" w:rsidP="00900C49">
      <w:pPr>
        <w:pStyle w:val="BodyText2"/>
        <w:tabs>
          <w:tab w:val="left" w:pos="810"/>
        </w:tabs>
        <w:autoSpaceDE w:val="0"/>
        <w:autoSpaceDN w:val="0"/>
        <w:adjustRightInd w:val="0"/>
        <w:ind w:left="810" w:hanging="270"/>
        <w:jc w:val="both"/>
        <w:rPr>
          <w:i/>
          <w:sz w:val="20"/>
        </w:rPr>
      </w:pPr>
    </w:p>
    <w:p w14:paraId="736D4D23" w14:textId="77777777" w:rsidR="000A314E" w:rsidRPr="00AA03AA" w:rsidRDefault="00C63B6C" w:rsidP="00C1728B">
      <w:pPr>
        <w:pStyle w:val="BodyText2"/>
        <w:numPr>
          <w:ilvl w:val="0"/>
          <w:numId w:val="85"/>
        </w:numPr>
        <w:tabs>
          <w:tab w:val="left" w:pos="810"/>
        </w:tabs>
        <w:autoSpaceDE w:val="0"/>
        <w:autoSpaceDN w:val="0"/>
        <w:adjustRightInd w:val="0"/>
        <w:ind w:left="810" w:hanging="270"/>
        <w:jc w:val="both"/>
        <w:rPr>
          <w:i/>
          <w:sz w:val="20"/>
        </w:rPr>
      </w:pPr>
      <w:r w:rsidRPr="00AA03AA">
        <w:rPr>
          <w:szCs w:val="24"/>
        </w:rPr>
        <w:t>“</w:t>
      </w:r>
      <w:r w:rsidR="00B44ABA" w:rsidRPr="00AA03AA">
        <w:rPr>
          <w:szCs w:val="24"/>
        </w:rPr>
        <w:t>Private</w:t>
      </w:r>
      <w:r w:rsidRPr="00AA03AA">
        <w:rPr>
          <w:szCs w:val="24"/>
        </w:rPr>
        <w:t xml:space="preserve"> placement” - is defined as a nonpublic offering of securities conducted in reliance on an available exemption from registration under the Securities Act. </w:t>
      </w:r>
      <w:r w:rsidR="000A314E" w:rsidRPr="00AA03AA">
        <w:rPr>
          <w:szCs w:val="24"/>
        </w:rPr>
        <w:t xml:space="preserve"> </w:t>
      </w:r>
    </w:p>
    <w:p w14:paraId="433528C8" w14:textId="77777777" w:rsidR="00703B0A" w:rsidRPr="00AA03AA" w:rsidRDefault="00703B0A" w:rsidP="00900C49">
      <w:pPr>
        <w:pStyle w:val="BodyText2"/>
        <w:tabs>
          <w:tab w:val="left" w:pos="810"/>
        </w:tabs>
        <w:autoSpaceDE w:val="0"/>
        <w:autoSpaceDN w:val="0"/>
        <w:adjustRightInd w:val="0"/>
        <w:ind w:left="810" w:hanging="270"/>
        <w:jc w:val="both"/>
        <w:rPr>
          <w:i/>
          <w:sz w:val="20"/>
        </w:rPr>
      </w:pPr>
    </w:p>
    <w:p w14:paraId="696A5E3D" w14:textId="77777777" w:rsidR="000A314E" w:rsidRPr="00AA03AA" w:rsidRDefault="00C63B6C" w:rsidP="00C1728B">
      <w:pPr>
        <w:pStyle w:val="BodyText2"/>
        <w:numPr>
          <w:ilvl w:val="0"/>
          <w:numId w:val="85"/>
        </w:numPr>
        <w:tabs>
          <w:tab w:val="left" w:pos="810"/>
        </w:tabs>
        <w:autoSpaceDE w:val="0"/>
        <w:autoSpaceDN w:val="0"/>
        <w:adjustRightInd w:val="0"/>
        <w:ind w:left="810" w:hanging="270"/>
        <w:jc w:val="both"/>
        <w:rPr>
          <w:i/>
          <w:sz w:val="20"/>
        </w:rPr>
      </w:pPr>
      <w:r w:rsidRPr="00AA03AA">
        <w:rPr>
          <w:szCs w:val="24"/>
        </w:rPr>
        <w:t>“</w:t>
      </w:r>
      <w:r w:rsidR="00B44ABA" w:rsidRPr="00AA03AA">
        <w:rPr>
          <w:szCs w:val="24"/>
        </w:rPr>
        <w:t>Control</w:t>
      </w:r>
      <w:r w:rsidRPr="00AA03AA">
        <w:rPr>
          <w:szCs w:val="24"/>
        </w:rPr>
        <w:t xml:space="preserve"> entity” is any entity that controls or is under common control with a member firm, or that is controlled by a firm or its </w:t>
      </w:r>
      <w:r w:rsidR="0099459B" w:rsidRPr="00AA03AA">
        <w:rPr>
          <w:szCs w:val="24"/>
        </w:rPr>
        <w:t>A</w:t>
      </w:r>
      <w:r w:rsidRPr="00AA03AA">
        <w:rPr>
          <w:szCs w:val="24"/>
        </w:rPr>
        <w:t xml:space="preserve">ssociated </w:t>
      </w:r>
      <w:r w:rsidR="0099459B" w:rsidRPr="00AA03AA">
        <w:rPr>
          <w:szCs w:val="24"/>
        </w:rPr>
        <w:t>P</w:t>
      </w:r>
      <w:r w:rsidRPr="00AA03AA">
        <w:rPr>
          <w:szCs w:val="24"/>
        </w:rPr>
        <w:t xml:space="preserve">ersons.   </w:t>
      </w:r>
    </w:p>
    <w:p w14:paraId="30AE4558" w14:textId="77777777" w:rsidR="00703B0A" w:rsidRPr="00AA03AA" w:rsidRDefault="00703B0A" w:rsidP="00900C49">
      <w:pPr>
        <w:pStyle w:val="BodyText2"/>
        <w:tabs>
          <w:tab w:val="left" w:pos="810"/>
        </w:tabs>
        <w:autoSpaceDE w:val="0"/>
        <w:autoSpaceDN w:val="0"/>
        <w:adjustRightInd w:val="0"/>
        <w:ind w:left="810" w:hanging="270"/>
        <w:jc w:val="both"/>
        <w:rPr>
          <w:i/>
          <w:sz w:val="20"/>
        </w:rPr>
      </w:pPr>
    </w:p>
    <w:p w14:paraId="28A70C20" w14:textId="77777777" w:rsidR="00C63B6C" w:rsidRPr="00AA03AA" w:rsidRDefault="00B44ABA" w:rsidP="00C1728B">
      <w:pPr>
        <w:pStyle w:val="BodyText2"/>
        <w:numPr>
          <w:ilvl w:val="0"/>
          <w:numId w:val="85"/>
        </w:numPr>
        <w:tabs>
          <w:tab w:val="left" w:pos="810"/>
        </w:tabs>
        <w:autoSpaceDE w:val="0"/>
        <w:autoSpaceDN w:val="0"/>
        <w:adjustRightInd w:val="0"/>
        <w:ind w:left="810" w:hanging="270"/>
        <w:jc w:val="both"/>
        <w:rPr>
          <w:i/>
          <w:sz w:val="20"/>
        </w:rPr>
      </w:pPr>
      <w:r w:rsidRPr="00AA03AA">
        <w:rPr>
          <w:szCs w:val="24"/>
        </w:rPr>
        <w:t>“C</w:t>
      </w:r>
      <w:r w:rsidR="00C63B6C" w:rsidRPr="00AA03AA">
        <w:rPr>
          <w:szCs w:val="24"/>
        </w:rPr>
        <w:t>ontrol” - mean a beneficial interest, as defined in Rule 5130(</w:t>
      </w:r>
      <w:proofErr w:type="spellStart"/>
      <w:r w:rsidR="00C63B6C" w:rsidRPr="00AA03AA">
        <w:rPr>
          <w:szCs w:val="24"/>
        </w:rPr>
        <w:t>i</w:t>
      </w:r>
      <w:proofErr w:type="spellEnd"/>
      <w:r w:rsidR="00C63B6C" w:rsidRPr="00AA03AA">
        <w:rPr>
          <w:szCs w:val="24"/>
        </w:rPr>
        <w:t xml:space="preserve">)(1), of </w:t>
      </w:r>
      <w:r w:rsidR="00C63B6C" w:rsidRPr="00AA03AA">
        <w:rPr>
          <w:szCs w:val="24"/>
          <w:highlight w:val="yellow"/>
        </w:rPr>
        <w:t>more than 50 percent</w:t>
      </w:r>
      <w:r w:rsidR="00C63B6C" w:rsidRPr="00AA03AA">
        <w:rPr>
          <w:szCs w:val="24"/>
        </w:rPr>
        <w:t xml:space="preserve"> of the outstanding voting securities of a corporation, or the right to more than 50 percent of the distributable profits or losses of a partnership or other non-corporate legal entity.  The power to direct the management or policies of a corporation or partnership alone (e.g., the general partner of a partnership)—absent meeting the majority ownership or right to the majority of profits—would not constitute “control” as defined in Rule 5122.  Performance and management fees earned by a general partner should not be included in the determination of partnership profit or loss percentages for purposes of the rule. However, if such performance and management fees are subsequently re-invested in the partnership, thereby increasing the general partner’s ownership interest, then such interests should be considered in determining whether the partnership is a control entity. </w:t>
      </w:r>
      <w:r w:rsidR="00C63B6C" w:rsidRPr="00AA03AA">
        <w:rPr>
          <w:i/>
          <w:sz w:val="20"/>
        </w:rPr>
        <w:t>(In addition, for purposes of this rule, entities may calculate the percentage of control using a “flow through” concept by looking through ownership levels to calculate the total percentage of control. For example, if member firm ABC owns 50 percent of corporation DEF that in turn holds a 60 percent interest in corporation GHI, and ABC is engaged in a private offering of GHI, ABC would have a 30 percent interest in GHI (50 percent of 60 percent), and thus GHI would not be considered a control entity under this definition.)</w:t>
      </w:r>
    </w:p>
    <w:p w14:paraId="2B88E238" w14:textId="77777777" w:rsidR="00477A19" w:rsidRPr="00AA03AA" w:rsidRDefault="00477A19" w:rsidP="00C63B6C">
      <w:pPr>
        <w:pStyle w:val="BodyText2"/>
        <w:widowControl/>
        <w:jc w:val="both"/>
      </w:pPr>
    </w:p>
    <w:p w14:paraId="3D5B59D5" w14:textId="77777777" w:rsidR="00734B85" w:rsidRPr="00900C49" w:rsidRDefault="00734B85" w:rsidP="001A587F">
      <w:pPr>
        <w:pStyle w:val="Heading4"/>
      </w:pPr>
      <w:r w:rsidRPr="00900C49">
        <w:t>Exemptions</w:t>
      </w:r>
    </w:p>
    <w:p w14:paraId="749211E6" w14:textId="77777777" w:rsidR="00734B85" w:rsidRPr="00AA03AA" w:rsidRDefault="00734B85" w:rsidP="00900C49">
      <w:pPr>
        <w:autoSpaceDE w:val="0"/>
        <w:autoSpaceDN w:val="0"/>
        <w:adjustRightInd w:val="0"/>
        <w:ind w:left="540"/>
        <w:jc w:val="both"/>
        <w:rPr>
          <w:sz w:val="24"/>
          <w:szCs w:val="24"/>
        </w:rPr>
      </w:pPr>
      <w:r w:rsidRPr="00AA03AA">
        <w:rPr>
          <w:sz w:val="24"/>
          <w:szCs w:val="24"/>
        </w:rPr>
        <w:t>Rule 5122(c) provides a number of exemptions from the rule based on type of offerings</w:t>
      </w:r>
      <w:r w:rsidR="00AE0A8B" w:rsidRPr="00AA03AA">
        <w:rPr>
          <w:sz w:val="24"/>
          <w:szCs w:val="24"/>
        </w:rPr>
        <w:t xml:space="preserve"> </w:t>
      </w:r>
      <w:r w:rsidRPr="00AA03AA">
        <w:rPr>
          <w:sz w:val="24"/>
          <w:szCs w:val="24"/>
        </w:rPr>
        <w:t>and type of investors. First, the rule exempts MPOs sold solely to the following:</w:t>
      </w:r>
      <w:r w:rsidR="00AE0A8B" w:rsidRPr="00AA03AA">
        <w:rPr>
          <w:sz w:val="24"/>
          <w:szCs w:val="24"/>
        </w:rPr>
        <w:t xml:space="preserve"> </w:t>
      </w:r>
    </w:p>
    <w:p w14:paraId="22C5965F" w14:textId="77777777" w:rsidR="00AE0A8B" w:rsidRPr="00AA03AA" w:rsidRDefault="00AE0A8B" w:rsidP="00AE0A8B">
      <w:pPr>
        <w:autoSpaceDE w:val="0"/>
        <w:autoSpaceDN w:val="0"/>
        <w:adjustRightInd w:val="0"/>
        <w:jc w:val="both"/>
        <w:rPr>
          <w:sz w:val="16"/>
          <w:szCs w:val="16"/>
        </w:rPr>
      </w:pPr>
    </w:p>
    <w:p w14:paraId="1126910F" w14:textId="77777777" w:rsidR="004D060F" w:rsidRPr="00AA03AA" w:rsidRDefault="00CF37CD" w:rsidP="00C1728B">
      <w:pPr>
        <w:numPr>
          <w:ilvl w:val="0"/>
          <w:numId w:val="86"/>
        </w:numPr>
        <w:autoSpaceDE w:val="0"/>
        <w:autoSpaceDN w:val="0"/>
        <w:adjustRightInd w:val="0"/>
        <w:ind w:left="810" w:hanging="270"/>
        <w:jc w:val="both"/>
        <w:rPr>
          <w:sz w:val="24"/>
          <w:szCs w:val="24"/>
        </w:rPr>
      </w:pPr>
      <w:r>
        <w:rPr>
          <w:sz w:val="24"/>
          <w:szCs w:val="24"/>
        </w:rPr>
        <w:t>I</w:t>
      </w:r>
      <w:r w:rsidR="00734B85" w:rsidRPr="00AA03AA">
        <w:rPr>
          <w:sz w:val="24"/>
          <w:szCs w:val="24"/>
        </w:rPr>
        <w:t xml:space="preserve">nstitutional accounts, as defined in </w:t>
      </w:r>
      <w:r w:rsidR="0002464B" w:rsidRPr="00ED58B6">
        <w:rPr>
          <w:sz w:val="24"/>
          <w:szCs w:val="24"/>
        </w:rPr>
        <w:t xml:space="preserve">FINRA </w:t>
      </w:r>
      <w:r w:rsidR="00734B85" w:rsidRPr="00ED58B6">
        <w:rPr>
          <w:sz w:val="24"/>
          <w:szCs w:val="24"/>
        </w:rPr>
        <w:t xml:space="preserve">Rule </w:t>
      </w:r>
      <w:r w:rsidR="0002464B" w:rsidRPr="00ED58B6">
        <w:rPr>
          <w:sz w:val="24"/>
          <w:szCs w:val="24"/>
        </w:rPr>
        <w:t>4512</w:t>
      </w:r>
      <w:r w:rsidR="00E000F7" w:rsidRPr="00ED58B6">
        <w:rPr>
          <w:sz w:val="24"/>
          <w:szCs w:val="24"/>
        </w:rPr>
        <w:t>(c)</w:t>
      </w:r>
      <w:r w:rsidR="00734B85" w:rsidRPr="00ED58B6">
        <w:rPr>
          <w:sz w:val="24"/>
          <w:szCs w:val="24"/>
        </w:rPr>
        <w:t>;</w:t>
      </w:r>
      <w:r w:rsidR="00734B85" w:rsidRPr="00ED58B6">
        <w:rPr>
          <w:b/>
          <w:bCs/>
          <w:sz w:val="24"/>
          <w:szCs w:val="24"/>
        </w:rPr>
        <w:t xml:space="preserve"> </w:t>
      </w:r>
    </w:p>
    <w:p w14:paraId="0F979810" w14:textId="77777777" w:rsidR="004D060F" w:rsidRPr="00AA03AA" w:rsidRDefault="00CF37CD" w:rsidP="00C1728B">
      <w:pPr>
        <w:numPr>
          <w:ilvl w:val="0"/>
          <w:numId w:val="86"/>
        </w:numPr>
        <w:autoSpaceDE w:val="0"/>
        <w:autoSpaceDN w:val="0"/>
        <w:adjustRightInd w:val="0"/>
        <w:ind w:left="810" w:hanging="270"/>
        <w:jc w:val="both"/>
        <w:rPr>
          <w:sz w:val="24"/>
          <w:szCs w:val="24"/>
        </w:rPr>
      </w:pPr>
      <w:r>
        <w:rPr>
          <w:sz w:val="24"/>
          <w:szCs w:val="24"/>
        </w:rPr>
        <w:t>Q</w:t>
      </w:r>
      <w:r w:rsidR="00734B85" w:rsidRPr="00AA03AA">
        <w:rPr>
          <w:sz w:val="24"/>
          <w:szCs w:val="24"/>
        </w:rPr>
        <w:t>ualified purchasers, as defined in Section 2(a)(51)(A) of the Investment</w:t>
      </w:r>
      <w:r w:rsidR="004D060F" w:rsidRPr="00AA03AA">
        <w:rPr>
          <w:sz w:val="24"/>
          <w:szCs w:val="24"/>
        </w:rPr>
        <w:t xml:space="preserve"> </w:t>
      </w:r>
      <w:r w:rsidR="00734B85" w:rsidRPr="00AA03AA">
        <w:rPr>
          <w:sz w:val="24"/>
          <w:szCs w:val="24"/>
        </w:rPr>
        <w:t>Company Act;</w:t>
      </w:r>
    </w:p>
    <w:p w14:paraId="45B14659" w14:textId="77777777" w:rsidR="004D060F" w:rsidRPr="00AA03AA" w:rsidRDefault="00CF37CD" w:rsidP="00C1728B">
      <w:pPr>
        <w:numPr>
          <w:ilvl w:val="0"/>
          <w:numId w:val="86"/>
        </w:numPr>
        <w:autoSpaceDE w:val="0"/>
        <w:autoSpaceDN w:val="0"/>
        <w:adjustRightInd w:val="0"/>
        <w:ind w:left="810" w:hanging="270"/>
        <w:jc w:val="both"/>
        <w:rPr>
          <w:sz w:val="24"/>
          <w:szCs w:val="24"/>
        </w:rPr>
      </w:pPr>
      <w:r>
        <w:rPr>
          <w:sz w:val="24"/>
          <w:szCs w:val="24"/>
        </w:rPr>
        <w:t>Q</w:t>
      </w:r>
      <w:r w:rsidR="00734B85" w:rsidRPr="00AA03AA">
        <w:rPr>
          <w:sz w:val="24"/>
          <w:szCs w:val="24"/>
        </w:rPr>
        <w:t>ualified institutional buyers, as defined in Securities Act Rule 144A;</w:t>
      </w:r>
      <w:r w:rsidR="004D060F" w:rsidRPr="00AA03AA">
        <w:rPr>
          <w:sz w:val="24"/>
          <w:szCs w:val="24"/>
        </w:rPr>
        <w:t xml:space="preserve"> </w:t>
      </w:r>
    </w:p>
    <w:p w14:paraId="3CE4A870" w14:textId="77777777" w:rsidR="004D060F" w:rsidRPr="00AA03AA" w:rsidRDefault="00CF37CD" w:rsidP="00C1728B">
      <w:pPr>
        <w:numPr>
          <w:ilvl w:val="0"/>
          <w:numId w:val="86"/>
        </w:numPr>
        <w:autoSpaceDE w:val="0"/>
        <w:autoSpaceDN w:val="0"/>
        <w:adjustRightInd w:val="0"/>
        <w:ind w:left="810" w:hanging="270"/>
        <w:jc w:val="both"/>
        <w:rPr>
          <w:sz w:val="24"/>
          <w:szCs w:val="24"/>
        </w:rPr>
      </w:pPr>
      <w:r>
        <w:rPr>
          <w:sz w:val="24"/>
          <w:szCs w:val="24"/>
        </w:rPr>
        <w:t>I</w:t>
      </w:r>
      <w:r w:rsidR="00734B85" w:rsidRPr="00AA03AA">
        <w:rPr>
          <w:sz w:val="24"/>
          <w:szCs w:val="24"/>
        </w:rPr>
        <w:t>nvestment companies, as defined in Section 3 of the Investment Company Act;</w:t>
      </w:r>
      <w:r w:rsidR="004D060F" w:rsidRPr="00AA03AA">
        <w:rPr>
          <w:sz w:val="24"/>
          <w:szCs w:val="24"/>
        </w:rPr>
        <w:t xml:space="preserve"> </w:t>
      </w:r>
    </w:p>
    <w:p w14:paraId="2B1E9DF1" w14:textId="77777777" w:rsidR="004D060F" w:rsidRPr="00AA03AA" w:rsidRDefault="00CF37CD" w:rsidP="00C1728B">
      <w:pPr>
        <w:numPr>
          <w:ilvl w:val="0"/>
          <w:numId w:val="86"/>
        </w:numPr>
        <w:autoSpaceDE w:val="0"/>
        <w:autoSpaceDN w:val="0"/>
        <w:adjustRightInd w:val="0"/>
        <w:ind w:left="900"/>
        <w:jc w:val="both"/>
        <w:rPr>
          <w:sz w:val="24"/>
          <w:szCs w:val="24"/>
        </w:rPr>
      </w:pPr>
      <w:r>
        <w:rPr>
          <w:sz w:val="24"/>
          <w:szCs w:val="24"/>
        </w:rPr>
        <w:t>A</w:t>
      </w:r>
      <w:r w:rsidR="00734B85" w:rsidRPr="00AA03AA">
        <w:rPr>
          <w:sz w:val="24"/>
          <w:szCs w:val="24"/>
        </w:rPr>
        <w:t>n entity composed exclusively of qualified institutional buyers, as defined in</w:t>
      </w:r>
      <w:r w:rsidR="004D060F" w:rsidRPr="00AA03AA">
        <w:rPr>
          <w:sz w:val="24"/>
          <w:szCs w:val="24"/>
        </w:rPr>
        <w:t xml:space="preserve"> </w:t>
      </w:r>
      <w:r w:rsidR="00734B85" w:rsidRPr="00AA03AA">
        <w:rPr>
          <w:sz w:val="24"/>
          <w:szCs w:val="24"/>
        </w:rPr>
        <w:t xml:space="preserve">Securities </w:t>
      </w:r>
      <w:r w:rsidR="006B2B95">
        <w:rPr>
          <w:sz w:val="24"/>
          <w:szCs w:val="24"/>
        </w:rPr>
        <w:t xml:space="preserve">  </w:t>
      </w:r>
      <w:r w:rsidR="00734B85" w:rsidRPr="00AA03AA">
        <w:rPr>
          <w:sz w:val="24"/>
          <w:szCs w:val="24"/>
        </w:rPr>
        <w:t>Act Rule 144A; and</w:t>
      </w:r>
      <w:r w:rsidR="004D060F" w:rsidRPr="00AA03AA">
        <w:rPr>
          <w:sz w:val="24"/>
          <w:szCs w:val="24"/>
        </w:rPr>
        <w:t xml:space="preserve"> </w:t>
      </w:r>
    </w:p>
    <w:p w14:paraId="509DE471" w14:textId="77777777" w:rsidR="00734B85" w:rsidRPr="00AA03AA" w:rsidRDefault="00CF37CD" w:rsidP="00C1728B">
      <w:pPr>
        <w:numPr>
          <w:ilvl w:val="0"/>
          <w:numId w:val="86"/>
        </w:numPr>
        <w:autoSpaceDE w:val="0"/>
        <w:autoSpaceDN w:val="0"/>
        <w:adjustRightInd w:val="0"/>
        <w:ind w:left="810" w:hanging="270"/>
        <w:jc w:val="both"/>
        <w:rPr>
          <w:sz w:val="24"/>
          <w:szCs w:val="24"/>
        </w:rPr>
      </w:pPr>
      <w:r>
        <w:rPr>
          <w:sz w:val="24"/>
          <w:szCs w:val="24"/>
        </w:rPr>
        <w:t>B</w:t>
      </w:r>
      <w:r w:rsidR="00734B85" w:rsidRPr="00AA03AA">
        <w:rPr>
          <w:sz w:val="24"/>
          <w:szCs w:val="24"/>
        </w:rPr>
        <w:t>anks, as defined in Section 3(a)(2) of the Securities Act.</w:t>
      </w:r>
    </w:p>
    <w:p w14:paraId="54519E3D" w14:textId="77777777" w:rsidR="00703B0A" w:rsidRPr="00AA03AA" w:rsidRDefault="00703B0A" w:rsidP="00315CF8">
      <w:pPr>
        <w:autoSpaceDE w:val="0"/>
        <w:autoSpaceDN w:val="0"/>
        <w:adjustRightInd w:val="0"/>
        <w:ind w:left="270"/>
        <w:jc w:val="both"/>
        <w:rPr>
          <w:sz w:val="24"/>
          <w:szCs w:val="24"/>
        </w:rPr>
      </w:pPr>
    </w:p>
    <w:p w14:paraId="5A30662C" w14:textId="77777777" w:rsidR="00734B85" w:rsidRPr="00AA03AA" w:rsidRDefault="00734B85" w:rsidP="00900C49">
      <w:pPr>
        <w:autoSpaceDE w:val="0"/>
        <w:autoSpaceDN w:val="0"/>
        <w:adjustRightInd w:val="0"/>
        <w:ind w:left="540"/>
        <w:jc w:val="both"/>
        <w:rPr>
          <w:sz w:val="24"/>
          <w:szCs w:val="24"/>
        </w:rPr>
      </w:pPr>
      <w:r w:rsidRPr="00AA03AA">
        <w:rPr>
          <w:sz w:val="24"/>
          <w:szCs w:val="24"/>
        </w:rPr>
        <w:t>In addition, Rule 5122 excludes the following types of offerings, which do not raise the</w:t>
      </w:r>
      <w:r w:rsidR="004D060F" w:rsidRPr="00AA03AA">
        <w:rPr>
          <w:sz w:val="24"/>
          <w:szCs w:val="24"/>
        </w:rPr>
        <w:t xml:space="preserve"> </w:t>
      </w:r>
      <w:r w:rsidRPr="00AA03AA">
        <w:rPr>
          <w:sz w:val="24"/>
          <w:szCs w:val="24"/>
        </w:rPr>
        <w:t>concerns raised by previous FINRA enforcement actions:</w:t>
      </w:r>
    </w:p>
    <w:p w14:paraId="0DCC81ED" w14:textId="77777777" w:rsidR="004D060F" w:rsidRPr="00AA03AA" w:rsidRDefault="004D060F" w:rsidP="00734B85">
      <w:pPr>
        <w:autoSpaceDE w:val="0"/>
        <w:autoSpaceDN w:val="0"/>
        <w:adjustRightInd w:val="0"/>
        <w:jc w:val="both"/>
        <w:rPr>
          <w:sz w:val="16"/>
          <w:szCs w:val="16"/>
        </w:rPr>
      </w:pPr>
    </w:p>
    <w:p w14:paraId="79A10FB3" w14:textId="77777777" w:rsidR="004D060F" w:rsidRPr="00AA03AA" w:rsidRDefault="005D6DC0" w:rsidP="00C1728B">
      <w:pPr>
        <w:numPr>
          <w:ilvl w:val="0"/>
          <w:numId w:val="87"/>
        </w:numPr>
        <w:autoSpaceDE w:val="0"/>
        <w:autoSpaceDN w:val="0"/>
        <w:adjustRightInd w:val="0"/>
        <w:ind w:left="900"/>
        <w:jc w:val="both"/>
        <w:rPr>
          <w:sz w:val="24"/>
          <w:szCs w:val="24"/>
        </w:rPr>
      </w:pPr>
      <w:r>
        <w:rPr>
          <w:sz w:val="24"/>
          <w:szCs w:val="24"/>
        </w:rPr>
        <w:t xml:space="preserve"> </w:t>
      </w:r>
      <w:r w:rsidR="00144F26" w:rsidRPr="00AA03AA">
        <w:rPr>
          <w:sz w:val="24"/>
          <w:szCs w:val="24"/>
        </w:rPr>
        <w:t>O</w:t>
      </w:r>
      <w:r w:rsidR="00734B85" w:rsidRPr="00AA03AA">
        <w:rPr>
          <w:sz w:val="24"/>
          <w:szCs w:val="24"/>
        </w:rPr>
        <w:t>fferings of exempted securities, as defined by Section 3(a)(12) of the</w:t>
      </w:r>
      <w:r w:rsidR="004D060F" w:rsidRPr="00AA03AA">
        <w:rPr>
          <w:sz w:val="24"/>
          <w:szCs w:val="24"/>
        </w:rPr>
        <w:t xml:space="preserve"> </w:t>
      </w:r>
      <w:r w:rsidR="00734B85" w:rsidRPr="00AA03AA">
        <w:rPr>
          <w:sz w:val="24"/>
          <w:szCs w:val="24"/>
        </w:rPr>
        <w:t>Exchange Act;</w:t>
      </w:r>
      <w:r w:rsidR="004D060F" w:rsidRPr="00AA03AA">
        <w:rPr>
          <w:sz w:val="24"/>
          <w:szCs w:val="24"/>
        </w:rPr>
        <w:t xml:space="preserve"> </w:t>
      </w:r>
    </w:p>
    <w:p w14:paraId="32E4457B" w14:textId="77777777" w:rsidR="004D060F" w:rsidRPr="00AA03AA" w:rsidRDefault="005D6DC0" w:rsidP="00C1728B">
      <w:pPr>
        <w:numPr>
          <w:ilvl w:val="0"/>
          <w:numId w:val="87"/>
        </w:numPr>
        <w:autoSpaceDE w:val="0"/>
        <w:autoSpaceDN w:val="0"/>
        <w:adjustRightInd w:val="0"/>
        <w:ind w:left="900"/>
        <w:jc w:val="both"/>
        <w:rPr>
          <w:sz w:val="24"/>
          <w:szCs w:val="24"/>
        </w:rPr>
      </w:pPr>
      <w:r>
        <w:rPr>
          <w:sz w:val="24"/>
          <w:szCs w:val="24"/>
        </w:rPr>
        <w:t xml:space="preserve"> </w:t>
      </w:r>
      <w:r w:rsidR="00144F26" w:rsidRPr="00AA03AA">
        <w:rPr>
          <w:sz w:val="24"/>
          <w:szCs w:val="24"/>
        </w:rPr>
        <w:t>O</w:t>
      </w:r>
      <w:r w:rsidR="00734B85" w:rsidRPr="00AA03AA">
        <w:rPr>
          <w:sz w:val="24"/>
          <w:szCs w:val="24"/>
        </w:rPr>
        <w:t>fferings</w:t>
      </w:r>
      <w:r w:rsidR="004D060F" w:rsidRPr="00AA03AA">
        <w:rPr>
          <w:sz w:val="24"/>
          <w:szCs w:val="24"/>
        </w:rPr>
        <w:t xml:space="preserve"> </w:t>
      </w:r>
      <w:r w:rsidR="00734B85" w:rsidRPr="00AA03AA">
        <w:rPr>
          <w:sz w:val="24"/>
          <w:szCs w:val="24"/>
        </w:rPr>
        <w:t>made pursuant to Securities Act Rule 144A or SEC Regulation S;</w:t>
      </w:r>
      <w:r w:rsidR="004D060F" w:rsidRPr="00AA03AA">
        <w:rPr>
          <w:sz w:val="24"/>
          <w:szCs w:val="24"/>
        </w:rPr>
        <w:t xml:space="preserve"> </w:t>
      </w:r>
    </w:p>
    <w:p w14:paraId="7A4A5878" w14:textId="77777777" w:rsidR="004D060F" w:rsidRPr="00AA03AA" w:rsidRDefault="005D6DC0" w:rsidP="00C1728B">
      <w:pPr>
        <w:numPr>
          <w:ilvl w:val="0"/>
          <w:numId w:val="87"/>
        </w:numPr>
        <w:autoSpaceDE w:val="0"/>
        <w:autoSpaceDN w:val="0"/>
        <w:adjustRightInd w:val="0"/>
        <w:ind w:left="900"/>
        <w:jc w:val="both"/>
        <w:rPr>
          <w:sz w:val="24"/>
          <w:szCs w:val="24"/>
        </w:rPr>
      </w:pPr>
      <w:r>
        <w:rPr>
          <w:sz w:val="24"/>
          <w:szCs w:val="24"/>
        </w:rPr>
        <w:t xml:space="preserve"> </w:t>
      </w:r>
      <w:r w:rsidR="00144F26" w:rsidRPr="00AA03AA">
        <w:rPr>
          <w:sz w:val="24"/>
          <w:szCs w:val="24"/>
        </w:rPr>
        <w:t>O</w:t>
      </w:r>
      <w:r w:rsidR="00734B85" w:rsidRPr="00AA03AA">
        <w:rPr>
          <w:sz w:val="24"/>
          <w:szCs w:val="24"/>
        </w:rPr>
        <w:t>fferings in which a firm</w:t>
      </w:r>
      <w:r w:rsidR="004D060F" w:rsidRPr="00AA03AA">
        <w:rPr>
          <w:sz w:val="24"/>
          <w:szCs w:val="24"/>
        </w:rPr>
        <w:t xml:space="preserve"> </w:t>
      </w:r>
      <w:r w:rsidR="00734B85" w:rsidRPr="00AA03AA">
        <w:rPr>
          <w:sz w:val="24"/>
          <w:szCs w:val="24"/>
        </w:rPr>
        <w:t>acts primarily in a wholesaling capacity (</w:t>
      </w:r>
      <w:r w:rsidR="00734B85" w:rsidRPr="00AA03AA">
        <w:rPr>
          <w:i/>
          <w:iCs/>
          <w:sz w:val="24"/>
          <w:szCs w:val="24"/>
        </w:rPr>
        <w:t xml:space="preserve">i.e., </w:t>
      </w:r>
      <w:r w:rsidR="00734B85" w:rsidRPr="00AA03AA">
        <w:rPr>
          <w:sz w:val="24"/>
          <w:szCs w:val="24"/>
        </w:rPr>
        <w:t>it intends, as</w:t>
      </w:r>
      <w:r w:rsidR="004D060F" w:rsidRPr="00AA03AA">
        <w:rPr>
          <w:sz w:val="24"/>
          <w:szCs w:val="24"/>
        </w:rPr>
        <w:t xml:space="preserve"> </w:t>
      </w:r>
      <w:r w:rsidR="00734B85" w:rsidRPr="00AA03AA">
        <w:rPr>
          <w:sz w:val="24"/>
          <w:szCs w:val="24"/>
        </w:rPr>
        <w:t>evidenced by a selling agreement, to sell through its affiliate broker-dealers, less</w:t>
      </w:r>
      <w:r w:rsidR="004D060F" w:rsidRPr="00AA03AA">
        <w:rPr>
          <w:sz w:val="24"/>
          <w:szCs w:val="24"/>
        </w:rPr>
        <w:t xml:space="preserve"> </w:t>
      </w:r>
      <w:r w:rsidR="00734B85" w:rsidRPr="00AA03AA">
        <w:rPr>
          <w:sz w:val="24"/>
          <w:szCs w:val="24"/>
        </w:rPr>
        <w:t>than 20 percent of the securities in the offering);</w:t>
      </w:r>
      <w:r w:rsidR="004D060F" w:rsidRPr="00AA03AA">
        <w:rPr>
          <w:sz w:val="24"/>
          <w:szCs w:val="24"/>
        </w:rPr>
        <w:t xml:space="preserve"> </w:t>
      </w:r>
    </w:p>
    <w:p w14:paraId="1130FD2A" w14:textId="77777777" w:rsidR="004D060F" w:rsidRPr="00AA03AA" w:rsidRDefault="005D6DC0" w:rsidP="00C1728B">
      <w:pPr>
        <w:numPr>
          <w:ilvl w:val="0"/>
          <w:numId w:val="87"/>
        </w:numPr>
        <w:autoSpaceDE w:val="0"/>
        <w:autoSpaceDN w:val="0"/>
        <w:adjustRightInd w:val="0"/>
        <w:ind w:left="900"/>
        <w:jc w:val="both"/>
        <w:rPr>
          <w:sz w:val="24"/>
          <w:szCs w:val="24"/>
        </w:rPr>
      </w:pPr>
      <w:r>
        <w:rPr>
          <w:sz w:val="24"/>
          <w:szCs w:val="24"/>
        </w:rPr>
        <w:lastRenderedPageBreak/>
        <w:t xml:space="preserve"> </w:t>
      </w:r>
      <w:r w:rsidR="00144F26" w:rsidRPr="00AA03AA">
        <w:rPr>
          <w:sz w:val="24"/>
          <w:szCs w:val="24"/>
        </w:rPr>
        <w:t>O</w:t>
      </w:r>
      <w:r w:rsidR="00734B85" w:rsidRPr="00AA03AA">
        <w:rPr>
          <w:sz w:val="24"/>
          <w:szCs w:val="24"/>
        </w:rPr>
        <w:t>fferings of exempted securities with short term</w:t>
      </w:r>
      <w:r w:rsidR="004D060F" w:rsidRPr="00AA03AA">
        <w:rPr>
          <w:sz w:val="24"/>
          <w:szCs w:val="24"/>
        </w:rPr>
        <w:t xml:space="preserve"> </w:t>
      </w:r>
      <w:r w:rsidR="00734B85" w:rsidRPr="00AA03AA">
        <w:rPr>
          <w:sz w:val="24"/>
          <w:szCs w:val="24"/>
        </w:rPr>
        <w:t>maturities under Section 3(a)(3)</w:t>
      </w:r>
      <w:r w:rsidR="004D060F" w:rsidRPr="00AA03AA">
        <w:rPr>
          <w:sz w:val="24"/>
          <w:szCs w:val="24"/>
        </w:rPr>
        <w:t xml:space="preserve"> </w:t>
      </w:r>
      <w:r w:rsidR="00734B85" w:rsidRPr="00AA03AA">
        <w:rPr>
          <w:sz w:val="24"/>
          <w:szCs w:val="24"/>
        </w:rPr>
        <w:t>of the Securities Act;</w:t>
      </w:r>
      <w:r w:rsidR="004D060F" w:rsidRPr="00AA03AA">
        <w:rPr>
          <w:sz w:val="24"/>
          <w:szCs w:val="24"/>
        </w:rPr>
        <w:t xml:space="preserve"> </w:t>
      </w:r>
    </w:p>
    <w:p w14:paraId="1F6CFA9E" w14:textId="77777777" w:rsidR="004D060F" w:rsidRPr="00AA03AA" w:rsidRDefault="005D6DC0" w:rsidP="00C1728B">
      <w:pPr>
        <w:numPr>
          <w:ilvl w:val="0"/>
          <w:numId w:val="87"/>
        </w:numPr>
        <w:autoSpaceDE w:val="0"/>
        <w:autoSpaceDN w:val="0"/>
        <w:adjustRightInd w:val="0"/>
        <w:ind w:left="900"/>
        <w:jc w:val="both"/>
        <w:rPr>
          <w:sz w:val="24"/>
          <w:szCs w:val="24"/>
        </w:rPr>
      </w:pPr>
      <w:r>
        <w:rPr>
          <w:sz w:val="24"/>
          <w:szCs w:val="24"/>
        </w:rPr>
        <w:t xml:space="preserve"> </w:t>
      </w:r>
      <w:r w:rsidR="00144F26" w:rsidRPr="00AA03AA">
        <w:rPr>
          <w:sz w:val="24"/>
          <w:szCs w:val="24"/>
        </w:rPr>
        <w:t>O</w:t>
      </w:r>
      <w:r w:rsidR="00734B85" w:rsidRPr="00AA03AA">
        <w:rPr>
          <w:sz w:val="24"/>
          <w:szCs w:val="24"/>
        </w:rPr>
        <w:t>fferings of subordinated loans under SEA Rule 15c3-1, Appendix D10;</w:t>
      </w:r>
      <w:r w:rsidR="004D060F" w:rsidRPr="00AA03AA">
        <w:rPr>
          <w:sz w:val="24"/>
          <w:szCs w:val="24"/>
        </w:rPr>
        <w:t xml:space="preserve"> </w:t>
      </w:r>
    </w:p>
    <w:p w14:paraId="32D74861" w14:textId="77777777" w:rsidR="004D060F" w:rsidRPr="00AA03AA" w:rsidRDefault="005D6DC0" w:rsidP="00C1728B">
      <w:pPr>
        <w:numPr>
          <w:ilvl w:val="0"/>
          <w:numId w:val="87"/>
        </w:numPr>
        <w:autoSpaceDE w:val="0"/>
        <w:autoSpaceDN w:val="0"/>
        <w:adjustRightInd w:val="0"/>
        <w:ind w:left="900"/>
        <w:jc w:val="both"/>
        <w:rPr>
          <w:sz w:val="24"/>
          <w:szCs w:val="24"/>
        </w:rPr>
      </w:pPr>
      <w:r>
        <w:rPr>
          <w:sz w:val="24"/>
          <w:szCs w:val="24"/>
        </w:rPr>
        <w:t xml:space="preserve"> </w:t>
      </w:r>
      <w:r w:rsidR="00144F26" w:rsidRPr="00AA03AA">
        <w:rPr>
          <w:sz w:val="24"/>
          <w:szCs w:val="24"/>
        </w:rPr>
        <w:t>O</w:t>
      </w:r>
      <w:r w:rsidR="00734B85" w:rsidRPr="00AA03AA">
        <w:rPr>
          <w:sz w:val="24"/>
          <w:szCs w:val="24"/>
        </w:rPr>
        <w:t xml:space="preserve">fferings of “variable contracts,” as defined in </w:t>
      </w:r>
      <w:r w:rsidR="00CD5F88" w:rsidRPr="00ED58B6">
        <w:rPr>
          <w:sz w:val="24"/>
          <w:szCs w:val="24"/>
        </w:rPr>
        <w:t>FINRA</w:t>
      </w:r>
      <w:r w:rsidR="00734B85" w:rsidRPr="00ED58B6">
        <w:rPr>
          <w:sz w:val="24"/>
          <w:szCs w:val="24"/>
        </w:rPr>
        <w:t xml:space="preserve"> Rule 2</w:t>
      </w:r>
      <w:r w:rsidR="00CD5F88" w:rsidRPr="00ED58B6">
        <w:rPr>
          <w:sz w:val="24"/>
          <w:szCs w:val="24"/>
        </w:rPr>
        <w:t>3</w:t>
      </w:r>
      <w:r w:rsidR="00734B85" w:rsidRPr="00ED58B6">
        <w:rPr>
          <w:sz w:val="24"/>
          <w:szCs w:val="24"/>
        </w:rPr>
        <w:t>20</w:t>
      </w:r>
      <w:r w:rsidR="006729FE" w:rsidRPr="00ED58B6">
        <w:rPr>
          <w:sz w:val="24"/>
          <w:szCs w:val="24"/>
        </w:rPr>
        <w:t>(b)(2)</w:t>
      </w:r>
      <w:r w:rsidR="00734B85" w:rsidRPr="00ED58B6">
        <w:rPr>
          <w:sz w:val="24"/>
          <w:szCs w:val="24"/>
        </w:rPr>
        <w:t>;</w:t>
      </w:r>
      <w:r w:rsidR="004D060F" w:rsidRPr="00ED58B6">
        <w:rPr>
          <w:sz w:val="24"/>
          <w:szCs w:val="24"/>
        </w:rPr>
        <w:t xml:space="preserve"> </w:t>
      </w:r>
    </w:p>
    <w:p w14:paraId="080087EF" w14:textId="77777777" w:rsidR="004D060F" w:rsidRPr="00AA03AA" w:rsidRDefault="00144F26" w:rsidP="00C1728B">
      <w:pPr>
        <w:numPr>
          <w:ilvl w:val="0"/>
          <w:numId w:val="87"/>
        </w:numPr>
        <w:autoSpaceDE w:val="0"/>
        <w:autoSpaceDN w:val="0"/>
        <w:adjustRightInd w:val="0"/>
        <w:ind w:left="990" w:hanging="450"/>
        <w:jc w:val="both"/>
        <w:rPr>
          <w:sz w:val="24"/>
          <w:szCs w:val="24"/>
        </w:rPr>
      </w:pPr>
      <w:r w:rsidRPr="00AA03AA">
        <w:rPr>
          <w:sz w:val="24"/>
          <w:szCs w:val="24"/>
        </w:rPr>
        <w:t>O</w:t>
      </w:r>
      <w:r w:rsidR="00734B85" w:rsidRPr="00AA03AA">
        <w:rPr>
          <w:sz w:val="24"/>
          <w:szCs w:val="24"/>
        </w:rPr>
        <w:t>fferings of</w:t>
      </w:r>
      <w:r w:rsidR="004D060F" w:rsidRPr="00AA03AA">
        <w:rPr>
          <w:sz w:val="24"/>
          <w:szCs w:val="24"/>
        </w:rPr>
        <w:t xml:space="preserve"> </w:t>
      </w:r>
      <w:r w:rsidR="00734B85" w:rsidRPr="00AA03AA">
        <w:rPr>
          <w:sz w:val="24"/>
          <w:szCs w:val="24"/>
        </w:rPr>
        <w:t>modified guaranteed annuity contracts and</w:t>
      </w:r>
      <w:r w:rsidR="004D060F" w:rsidRPr="00AA03AA">
        <w:rPr>
          <w:sz w:val="24"/>
          <w:szCs w:val="24"/>
        </w:rPr>
        <w:t xml:space="preserve"> </w:t>
      </w:r>
      <w:r w:rsidR="00734B85" w:rsidRPr="00AA03AA">
        <w:rPr>
          <w:sz w:val="24"/>
          <w:szCs w:val="24"/>
        </w:rPr>
        <w:t>modified guaranteed life</w:t>
      </w:r>
      <w:r w:rsidR="004D060F" w:rsidRPr="00AA03AA">
        <w:rPr>
          <w:sz w:val="24"/>
          <w:szCs w:val="24"/>
        </w:rPr>
        <w:t xml:space="preserve"> </w:t>
      </w:r>
      <w:r w:rsidR="006B2B95">
        <w:rPr>
          <w:sz w:val="24"/>
          <w:szCs w:val="24"/>
        </w:rPr>
        <w:t xml:space="preserve"> </w:t>
      </w:r>
      <w:r w:rsidR="00734B85" w:rsidRPr="00AA03AA">
        <w:rPr>
          <w:sz w:val="24"/>
          <w:szCs w:val="24"/>
        </w:rPr>
        <w:t>insurance policies, as referred to in Rule 5110(b)(8)(E);</w:t>
      </w:r>
      <w:r w:rsidR="004D060F" w:rsidRPr="00AA03AA">
        <w:rPr>
          <w:sz w:val="24"/>
          <w:szCs w:val="24"/>
        </w:rPr>
        <w:t xml:space="preserve"> </w:t>
      </w:r>
    </w:p>
    <w:p w14:paraId="176B955F" w14:textId="77777777" w:rsidR="004D060F" w:rsidRPr="00AA03AA" w:rsidRDefault="006B2B95" w:rsidP="00C1728B">
      <w:pPr>
        <w:numPr>
          <w:ilvl w:val="0"/>
          <w:numId w:val="87"/>
        </w:numPr>
        <w:autoSpaceDE w:val="0"/>
        <w:autoSpaceDN w:val="0"/>
        <w:adjustRightInd w:val="0"/>
        <w:ind w:left="900"/>
        <w:jc w:val="both"/>
        <w:rPr>
          <w:sz w:val="24"/>
          <w:szCs w:val="24"/>
        </w:rPr>
      </w:pPr>
      <w:r>
        <w:rPr>
          <w:sz w:val="24"/>
          <w:szCs w:val="24"/>
        </w:rPr>
        <w:t xml:space="preserve"> </w:t>
      </w:r>
      <w:r w:rsidR="00144F26" w:rsidRPr="00AA03AA">
        <w:rPr>
          <w:sz w:val="24"/>
          <w:szCs w:val="24"/>
        </w:rPr>
        <w:t>O</w:t>
      </w:r>
      <w:r w:rsidR="00734B85" w:rsidRPr="00AA03AA">
        <w:rPr>
          <w:sz w:val="24"/>
          <w:szCs w:val="24"/>
        </w:rPr>
        <w:t>fferings of securities of a commodity pool operated by a commodity pool operator,</w:t>
      </w:r>
      <w:r w:rsidR="004D060F" w:rsidRPr="00AA03AA">
        <w:rPr>
          <w:sz w:val="24"/>
          <w:szCs w:val="24"/>
        </w:rPr>
        <w:t xml:space="preserve"> </w:t>
      </w:r>
      <w:r w:rsidR="00734B85" w:rsidRPr="00AA03AA">
        <w:rPr>
          <w:sz w:val="24"/>
          <w:szCs w:val="24"/>
        </w:rPr>
        <w:t>as defined under Section 1a(5) of the Commodity Exchange Act;</w:t>
      </w:r>
      <w:r w:rsidR="004D060F" w:rsidRPr="00AA03AA">
        <w:rPr>
          <w:sz w:val="24"/>
          <w:szCs w:val="24"/>
        </w:rPr>
        <w:t xml:space="preserve"> </w:t>
      </w:r>
    </w:p>
    <w:p w14:paraId="154E242C" w14:textId="77777777" w:rsidR="004D060F" w:rsidRPr="00AA03AA" w:rsidRDefault="005D6DC0" w:rsidP="00C1728B">
      <w:pPr>
        <w:numPr>
          <w:ilvl w:val="0"/>
          <w:numId w:val="87"/>
        </w:numPr>
        <w:autoSpaceDE w:val="0"/>
        <w:autoSpaceDN w:val="0"/>
        <w:adjustRightInd w:val="0"/>
        <w:ind w:left="900"/>
        <w:jc w:val="both"/>
        <w:rPr>
          <w:b/>
          <w:sz w:val="24"/>
          <w:szCs w:val="24"/>
        </w:rPr>
      </w:pPr>
      <w:r>
        <w:rPr>
          <w:sz w:val="24"/>
          <w:szCs w:val="24"/>
        </w:rPr>
        <w:t xml:space="preserve"> </w:t>
      </w:r>
      <w:r w:rsidR="00144F26" w:rsidRPr="00AA03AA">
        <w:rPr>
          <w:sz w:val="24"/>
          <w:szCs w:val="24"/>
        </w:rPr>
        <w:t>O</w:t>
      </w:r>
      <w:r w:rsidR="00734B85" w:rsidRPr="00AA03AA">
        <w:rPr>
          <w:sz w:val="24"/>
          <w:szCs w:val="24"/>
        </w:rPr>
        <w:t>fferings of equity and credit derivatives, including OTC options, provided that the</w:t>
      </w:r>
      <w:r w:rsidR="004D060F" w:rsidRPr="00AA03AA">
        <w:rPr>
          <w:sz w:val="24"/>
          <w:szCs w:val="24"/>
        </w:rPr>
        <w:t xml:space="preserve"> </w:t>
      </w:r>
      <w:r w:rsidR="00734B85" w:rsidRPr="00AA03AA">
        <w:rPr>
          <w:sz w:val="24"/>
          <w:szCs w:val="24"/>
        </w:rPr>
        <w:t>derivative is not based principally on the</w:t>
      </w:r>
      <w:r w:rsidR="004D060F" w:rsidRPr="00AA03AA">
        <w:rPr>
          <w:sz w:val="24"/>
          <w:szCs w:val="24"/>
        </w:rPr>
        <w:t xml:space="preserve"> </w:t>
      </w:r>
      <w:r w:rsidR="00734B85" w:rsidRPr="00AA03AA">
        <w:rPr>
          <w:sz w:val="24"/>
          <w:szCs w:val="24"/>
        </w:rPr>
        <w:t>member or any of its control entities; and</w:t>
      </w:r>
      <w:r w:rsidR="004D060F" w:rsidRPr="00AA03AA">
        <w:rPr>
          <w:sz w:val="24"/>
          <w:szCs w:val="24"/>
        </w:rPr>
        <w:t xml:space="preserve"> </w:t>
      </w:r>
    </w:p>
    <w:p w14:paraId="71CE6A79" w14:textId="77777777" w:rsidR="000A314E" w:rsidRPr="00AA03AA" w:rsidRDefault="005D6DC0" w:rsidP="00C1728B">
      <w:pPr>
        <w:numPr>
          <w:ilvl w:val="0"/>
          <w:numId w:val="87"/>
        </w:numPr>
        <w:autoSpaceDE w:val="0"/>
        <w:autoSpaceDN w:val="0"/>
        <w:adjustRightInd w:val="0"/>
        <w:ind w:left="900"/>
        <w:jc w:val="both"/>
        <w:rPr>
          <w:b/>
          <w:sz w:val="24"/>
          <w:szCs w:val="24"/>
        </w:rPr>
      </w:pPr>
      <w:r>
        <w:rPr>
          <w:sz w:val="24"/>
          <w:szCs w:val="24"/>
        </w:rPr>
        <w:t xml:space="preserve"> </w:t>
      </w:r>
      <w:r w:rsidR="00144F26" w:rsidRPr="00AA03AA">
        <w:rPr>
          <w:sz w:val="24"/>
          <w:szCs w:val="24"/>
        </w:rPr>
        <w:t>O</w:t>
      </w:r>
      <w:r w:rsidR="00734B85" w:rsidRPr="00AA03AA">
        <w:rPr>
          <w:sz w:val="24"/>
          <w:szCs w:val="24"/>
        </w:rPr>
        <w:t>fferings filed with FINRA under Rule 5110</w:t>
      </w:r>
      <w:r w:rsidR="00734B85" w:rsidRPr="00AA03AA">
        <w:rPr>
          <w:rFonts w:ascii="TheSans-B4SemiLight" w:hAnsi="TheSans-B4SemiLight" w:cs="TheSans-B4SemiLight"/>
        </w:rPr>
        <w:t>.</w:t>
      </w:r>
    </w:p>
    <w:p w14:paraId="16D79088" w14:textId="77777777" w:rsidR="000A314E" w:rsidRPr="00AA03AA" w:rsidRDefault="000A314E" w:rsidP="00900C49">
      <w:pPr>
        <w:ind w:left="900" w:hanging="360"/>
        <w:jc w:val="both"/>
        <w:rPr>
          <w:b/>
          <w:sz w:val="24"/>
        </w:rPr>
      </w:pPr>
    </w:p>
    <w:p w14:paraId="66D06C86" w14:textId="77777777" w:rsidR="004D060F" w:rsidRPr="00AA03AA" w:rsidRDefault="004D060F" w:rsidP="006B2B95">
      <w:pPr>
        <w:autoSpaceDE w:val="0"/>
        <w:autoSpaceDN w:val="0"/>
        <w:adjustRightInd w:val="0"/>
        <w:ind w:left="540"/>
        <w:jc w:val="both"/>
        <w:rPr>
          <w:sz w:val="24"/>
          <w:szCs w:val="24"/>
        </w:rPr>
      </w:pPr>
      <w:r w:rsidRPr="00AA03AA">
        <w:rPr>
          <w:sz w:val="24"/>
          <w:szCs w:val="24"/>
        </w:rPr>
        <w:t>Finally, the rule exempts the following types of</w:t>
      </w:r>
      <w:r w:rsidR="00073474" w:rsidRPr="00AA03AA">
        <w:rPr>
          <w:sz w:val="24"/>
          <w:szCs w:val="24"/>
        </w:rPr>
        <w:t xml:space="preserve"> </w:t>
      </w:r>
      <w:r w:rsidR="00ED2EBB" w:rsidRPr="00AA03AA">
        <w:rPr>
          <w:sz w:val="24"/>
          <w:szCs w:val="24"/>
        </w:rPr>
        <w:t>Member Private Offerings (</w:t>
      </w:r>
      <w:r w:rsidRPr="00AA03AA">
        <w:rPr>
          <w:sz w:val="24"/>
          <w:szCs w:val="24"/>
        </w:rPr>
        <w:t>MPOs</w:t>
      </w:r>
      <w:r w:rsidR="00ED2EBB" w:rsidRPr="00AA03AA">
        <w:rPr>
          <w:sz w:val="24"/>
          <w:szCs w:val="24"/>
        </w:rPr>
        <w:t>)</w:t>
      </w:r>
      <w:r w:rsidRPr="00AA03AA">
        <w:rPr>
          <w:sz w:val="24"/>
          <w:szCs w:val="24"/>
        </w:rPr>
        <w:t>, in which investors are expected</w:t>
      </w:r>
      <w:r w:rsidR="00073474" w:rsidRPr="00AA03AA">
        <w:rPr>
          <w:sz w:val="24"/>
          <w:szCs w:val="24"/>
        </w:rPr>
        <w:t xml:space="preserve"> </w:t>
      </w:r>
      <w:r w:rsidRPr="00AA03AA">
        <w:rPr>
          <w:sz w:val="24"/>
          <w:szCs w:val="24"/>
        </w:rPr>
        <w:t>to have access to sufficient information about the issuer and its securities, in addition</w:t>
      </w:r>
      <w:r w:rsidR="00073474" w:rsidRPr="00AA03AA">
        <w:rPr>
          <w:sz w:val="24"/>
          <w:szCs w:val="24"/>
        </w:rPr>
        <w:t xml:space="preserve"> </w:t>
      </w:r>
      <w:r w:rsidRPr="00AA03AA">
        <w:rPr>
          <w:sz w:val="24"/>
          <w:szCs w:val="24"/>
        </w:rPr>
        <w:t xml:space="preserve">to the information provided by </w:t>
      </w:r>
      <w:r w:rsidR="009C3A57">
        <w:rPr>
          <w:sz w:val="24"/>
          <w:szCs w:val="24"/>
        </w:rPr>
        <w:t>a</w:t>
      </w:r>
      <w:r w:rsidRPr="00AA03AA">
        <w:rPr>
          <w:sz w:val="24"/>
          <w:szCs w:val="24"/>
        </w:rPr>
        <w:t xml:space="preserve"> firm</w:t>
      </w:r>
      <w:r w:rsidR="00073474" w:rsidRPr="00AA03AA">
        <w:rPr>
          <w:sz w:val="24"/>
          <w:szCs w:val="24"/>
        </w:rPr>
        <w:t xml:space="preserve"> </w:t>
      </w:r>
      <w:r w:rsidRPr="00AA03AA">
        <w:rPr>
          <w:sz w:val="24"/>
          <w:szCs w:val="24"/>
        </w:rPr>
        <w:t>conducting the</w:t>
      </w:r>
      <w:r w:rsidR="00073474" w:rsidRPr="00AA03AA">
        <w:rPr>
          <w:sz w:val="24"/>
          <w:szCs w:val="24"/>
        </w:rPr>
        <w:t xml:space="preserve"> </w:t>
      </w:r>
      <w:r w:rsidRPr="00AA03AA">
        <w:rPr>
          <w:sz w:val="24"/>
          <w:szCs w:val="24"/>
        </w:rPr>
        <w:t>MPO:</w:t>
      </w:r>
    </w:p>
    <w:p w14:paraId="64E03695" w14:textId="77777777" w:rsidR="00073474" w:rsidRPr="00AA03AA" w:rsidRDefault="00073474" w:rsidP="00073474">
      <w:pPr>
        <w:autoSpaceDE w:val="0"/>
        <w:autoSpaceDN w:val="0"/>
        <w:adjustRightInd w:val="0"/>
        <w:jc w:val="both"/>
        <w:rPr>
          <w:sz w:val="16"/>
          <w:szCs w:val="16"/>
        </w:rPr>
      </w:pPr>
    </w:p>
    <w:p w14:paraId="089ACD2C" w14:textId="77777777" w:rsidR="00073474" w:rsidRPr="00AA03AA" w:rsidRDefault="00144F26" w:rsidP="00C1728B">
      <w:pPr>
        <w:numPr>
          <w:ilvl w:val="0"/>
          <w:numId w:val="88"/>
        </w:numPr>
        <w:autoSpaceDE w:val="0"/>
        <w:autoSpaceDN w:val="0"/>
        <w:adjustRightInd w:val="0"/>
        <w:ind w:left="900"/>
        <w:jc w:val="both"/>
        <w:rPr>
          <w:sz w:val="24"/>
          <w:szCs w:val="24"/>
        </w:rPr>
      </w:pPr>
      <w:r w:rsidRPr="00AA03AA">
        <w:rPr>
          <w:sz w:val="24"/>
          <w:szCs w:val="24"/>
        </w:rPr>
        <w:t>O</w:t>
      </w:r>
      <w:r w:rsidR="004D060F" w:rsidRPr="00AA03AA">
        <w:rPr>
          <w:sz w:val="24"/>
          <w:szCs w:val="24"/>
        </w:rPr>
        <w:t>fferings of unregistered investment-grade rated debt and preferred securities;</w:t>
      </w:r>
      <w:r w:rsidR="00073474" w:rsidRPr="00AA03AA">
        <w:rPr>
          <w:sz w:val="24"/>
          <w:szCs w:val="24"/>
        </w:rPr>
        <w:t xml:space="preserve"> </w:t>
      </w:r>
    </w:p>
    <w:p w14:paraId="35BDB8B3" w14:textId="77777777" w:rsidR="00073474" w:rsidRPr="00AA03AA" w:rsidRDefault="00144F26" w:rsidP="00C1728B">
      <w:pPr>
        <w:numPr>
          <w:ilvl w:val="0"/>
          <w:numId w:val="88"/>
        </w:numPr>
        <w:autoSpaceDE w:val="0"/>
        <w:autoSpaceDN w:val="0"/>
        <w:adjustRightInd w:val="0"/>
        <w:ind w:left="900"/>
        <w:jc w:val="both"/>
        <w:rPr>
          <w:sz w:val="24"/>
          <w:szCs w:val="24"/>
        </w:rPr>
      </w:pPr>
      <w:r w:rsidRPr="00AA03AA">
        <w:rPr>
          <w:sz w:val="24"/>
          <w:szCs w:val="24"/>
        </w:rPr>
        <w:t>O</w:t>
      </w:r>
      <w:r w:rsidR="004D060F" w:rsidRPr="00AA03AA">
        <w:rPr>
          <w:sz w:val="24"/>
          <w:szCs w:val="24"/>
        </w:rPr>
        <w:t>fferings to employees and affiliates of the issuer or its control entities; and</w:t>
      </w:r>
      <w:r w:rsidR="00073474" w:rsidRPr="00AA03AA">
        <w:rPr>
          <w:sz w:val="24"/>
          <w:szCs w:val="24"/>
        </w:rPr>
        <w:t xml:space="preserve"> </w:t>
      </w:r>
    </w:p>
    <w:p w14:paraId="4A6368D8" w14:textId="77777777" w:rsidR="004D060F" w:rsidRPr="00AA03AA" w:rsidRDefault="00144F26" w:rsidP="00C1728B">
      <w:pPr>
        <w:numPr>
          <w:ilvl w:val="0"/>
          <w:numId w:val="88"/>
        </w:numPr>
        <w:autoSpaceDE w:val="0"/>
        <w:autoSpaceDN w:val="0"/>
        <w:adjustRightInd w:val="0"/>
        <w:ind w:left="900"/>
        <w:jc w:val="both"/>
        <w:rPr>
          <w:sz w:val="24"/>
          <w:szCs w:val="24"/>
        </w:rPr>
      </w:pPr>
      <w:r w:rsidRPr="00AA03AA">
        <w:rPr>
          <w:sz w:val="24"/>
          <w:szCs w:val="24"/>
        </w:rPr>
        <w:t>Offerings</w:t>
      </w:r>
      <w:r w:rsidR="004D060F" w:rsidRPr="00AA03AA">
        <w:rPr>
          <w:sz w:val="24"/>
          <w:szCs w:val="24"/>
        </w:rPr>
        <w:t xml:space="preserve"> of securities issued in conversions, stock splits and restructuring</w:t>
      </w:r>
      <w:r w:rsidR="00073474" w:rsidRPr="00AA03AA">
        <w:rPr>
          <w:sz w:val="24"/>
          <w:szCs w:val="24"/>
        </w:rPr>
        <w:t xml:space="preserve"> </w:t>
      </w:r>
      <w:r w:rsidR="004D060F" w:rsidRPr="00AA03AA">
        <w:rPr>
          <w:sz w:val="24"/>
          <w:szCs w:val="24"/>
        </w:rPr>
        <w:t>transactions</w:t>
      </w:r>
      <w:r w:rsidR="00073474" w:rsidRPr="00AA03AA">
        <w:rPr>
          <w:sz w:val="24"/>
          <w:szCs w:val="24"/>
        </w:rPr>
        <w:t xml:space="preserve"> </w:t>
      </w:r>
      <w:r w:rsidR="004D060F" w:rsidRPr="00AA03AA">
        <w:rPr>
          <w:sz w:val="24"/>
          <w:szCs w:val="24"/>
        </w:rPr>
        <w:t>made to existing investors without the need for additional</w:t>
      </w:r>
      <w:r w:rsidR="00073474" w:rsidRPr="00AA03AA">
        <w:rPr>
          <w:sz w:val="24"/>
          <w:szCs w:val="24"/>
        </w:rPr>
        <w:t xml:space="preserve"> </w:t>
      </w:r>
      <w:r w:rsidR="004D060F" w:rsidRPr="00AA03AA">
        <w:rPr>
          <w:sz w:val="24"/>
          <w:szCs w:val="24"/>
        </w:rPr>
        <w:t>consideration or investments on the part of the investor.</w:t>
      </w:r>
    </w:p>
    <w:p w14:paraId="62B9FAB0" w14:textId="77777777" w:rsidR="00703B0A" w:rsidRPr="00AA03AA" w:rsidRDefault="00703B0A" w:rsidP="00315CF8">
      <w:pPr>
        <w:autoSpaceDE w:val="0"/>
        <w:autoSpaceDN w:val="0"/>
        <w:adjustRightInd w:val="0"/>
        <w:ind w:left="270"/>
        <w:jc w:val="both"/>
        <w:rPr>
          <w:sz w:val="24"/>
          <w:szCs w:val="24"/>
        </w:rPr>
      </w:pPr>
    </w:p>
    <w:p w14:paraId="13D31213" w14:textId="77777777" w:rsidR="004D060F" w:rsidRPr="00AA03AA" w:rsidRDefault="004D060F" w:rsidP="006B2B95">
      <w:pPr>
        <w:autoSpaceDE w:val="0"/>
        <w:autoSpaceDN w:val="0"/>
        <w:adjustRightInd w:val="0"/>
        <w:ind w:left="540"/>
        <w:jc w:val="both"/>
        <w:rPr>
          <w:b/>
          <w:sz w:val="24"/>
          <w:szCs w:val="24"/>
        </w:rPr>
      </w:pPr>
      <w:r w:rsidRPr="00AA03AA">
        <w:rPr>
          <w:sz w:val="24"/>
          <w:szCs w:val="24"/>
        </w:rPr>
        <w:t>Types of exemptions</w:t>
      </w:r>
      <w:r w:rsidR="00073474" w:rsidRPr="00AA03AA">
        <w:rPr>
          <w:sz w:val="24"/>
          <w:szCs w:val="24"/>
        </w:rPr>
        <w:t xml:space="preserve"> </w:t>
      </w:r>
      <w:r w:rsidRPr="00AA03AA">
        <w:rPr>
          <w:sz w:val="24"/>
          <w:szCs w:val="24"/>
        </w:rPr>
        <w:t>may be combined without triggering the requirements of the rule.</w:t>
      </w:r>
      <w:r w:rsidR="00073474" w:rsidRPr="00AA03AA">
        <w:rPr>
          <w:sz w:val="24"/>
          <w:szCs w:val="24"/>
        </w:rPr>
        <w:t xml:space="preserve">  </w:t>
      </w:r>
      <w:r w:rsidRPr="00AA03AA">
        <w:rPr>
          <w:sz w:val="24"/>
          <w:szCs w:val="24"/>
        </w:rPr>
        <w:t>For example, if an</w:t>
      </w:r>
      <w:r w:rsidR="00073474" w:rsidRPr="00AA03AA">
        <w:rPr>
          <w:sz w:val="24"/>
          <w:szCs w:val="24"/>
        </w:rPr>
        <w:t xml:space="preserve"> </w:t>
      </w:r>
      <w:r w:rsidRPr="00AA03AA">
        <w:rPr>
          <w:sz w:val="24"/>
          <w:szCs w:val="24"/>
        </w:rPr>
        <w:t>MPO is offered to both qualified purchasers and employees or</w:t>
      </w:r>
      <w:r w:rsidR="00073474" w:rsidRPr="00AA03AA">
        <w:rPr>
          <w:sz w:val="24"/>
          <w:szCs w:val="24"/>
        </w:rPr>
        <w:t xml:space="preserve"> </w:t>
      </w:r>
      <w:r w:rsidRPr="00AA03AA">
        <w:rPr>
          <w:sz w:val="24"/>
          <w:szCs w:val="24"/>
        </w:rPr>
        <w:t>affiliates of the issuer or its control entities, as long as these purchasers qualify for</w:t>
      </w:r>
      <w:r w:rsidR="00073474" w:rsidRPr="00AA03AA">
        <w:rPr>
          <w:sz w:val="24"/>
          <w:szCs w:val="24"/>
        </w:rPr>
        <w:t xml:space="preserve"> </w:t>
      </w:r>
      <w:r w:rsidRPr="00AA03AA">
        <w:rPr>
          <w:sz w:val="24"/>
          <w:szCs w:val="24"/>
        </w:rPr>
        <w:t>exemptions under the rule, the</w:t>
      </w:r>
      <w:r w:rsidR="00073474" w:rsidRPr="00AA03AA">
        <w:rPr>
          <w:sz w:val="24"/>
          <w:szCs w:val="24"/>
        </w:rPr>
        <w:t xml:space="preserve"> </w:t>
      </w:r>
      <w:r w:rsidRPr="00AA03AA">
        <w:rPr>
          <w:sz w:val="24"/>
          <w:szCs w:val="24"/>
        </w:rPr>
        <w:t>MPO would be exempt from</w:t>
      </w:r>
      <w:r w:rsidR="00073474" w:rsidRPr="00AA03AA">
        <w:rPr>
          <w:sz w:val="24"/>
          <w:szCs w:val="24"/>
        </w:rPr>
        <w:t xml:space="preserve"> </w:t>
      </w:r>
      <w:r w:rsidRPr="00AA03AA">
        <w:rPr>
          <w:sz w:val="24"/>
          <w:szCs w:val="24"/>
        </w:rPr>
        <w:t>the rule's requirements.</w:t>
      </w:r>
    </w:p>
    <w:p w14:paraId="2369181A" w14:textId="77777777" w:rsidR="00073474" w:rsidRPr="00AA03AA" w:rsidRDefault="00073474">
      <w:pPr>
        <w:jc w:val="both"/>
        <w:rPr>
          <w:b/>
          <w:sz w:val="24"/>
        </w:rPr>
      </w:pPr>
    </w:p>
    <w:p w14:paraId="11CE75F0" w14:textId="77777777" w:rsidR="00073474" w:rsidRPr="00774D31" w:rsidRDefault="006B2B95" w:rsidP="006B2B95">
      <w:pPr>
        <w:pStyle w:val="Heading3"/>
        <w:rPr>
          <w:b w:val="0"/>
          <w:i/>
        </w:rPr>
      </w:pPr>
      <w:r>
        <w:t>1</w:t>
      </w:r>
      <w:r w:rsidR="00A46E62">
        <w:t>4</w:t>
      </w:r>
      <w:r>
        <w:t>.8.2 FINRA Rule 5123 – Private Placement Filing Requirements</w:t>
      </w:r>
      <w:r w:rsidR="00774D31">
        <w:t xml:space="preserve"> </w:t>
      </w:r>
      <w:r w:rsidR="00774D31" w:rsidRPr="00774D31">
        <w:rPr>
          <w:b w:val="0"/>
          <w:i/>
          <w:sz w:val="20"/>
          <w:szCs w:val="20"/>
        </w:rPr>
        <w:t>(</w:t>
      </w:r>
      <w:proofErr w:type="gramStart"/>
      <w:r w:rsidR="00774D31" w:rsidRPr="00774D31">
        <w:rPr>
          <w:b w:val="0"/>
          <w:i/>
          <w:sz w:val="20"/>
          <w:szCs w:val="20"/>
        </w:rPr>
        <w:t>eff</w:t>
      </w:r>
      <w:proofErr w:type="gramEnd"/>
      <w:r w:rsidR="00774D31" w:rsidRPr="00774D31">
        <w:rPr>
          <w:b w:val="0"/>
          <w:i/>
          <w:sz w:val="20"/>
          <w:szCs w:val="20"/>
        </w:rPr>
        <w:t xml:space="preserve"> 12/03/12)</w:t>
      </w:r>
    </w:p>
    <w:p w14:paraId="388F3F85" w14:textId="352417F0" w:rsidR="006B2B95" w:rsidRPr="007D59F6" w:rsidRDefault="006B2B95" w:rsidP="006B2B95">
      <w:pPr>
        <w:shd w:val="clear" w:color="auto" w:fill="FFFFFF"/>
        <w:ind w:left="270"/>
        <w:rPr>
          <w:rStyle w:val="us"/>
          <w:sz w:val="24"/>
          <w:szCs w:val="24"/>
        </w:rPr>
      </w:pPr>
      <w:r w:rsidRPr="007D59F6">
        <w:rPr>
          <w:sz w:val="24"/>
          <w:szCs w:val="24"/>
        </w:rPr>
        <w:t xml:space="preserve">Private placements offered by the Company under </w:t>
      </w:r>
      <w:r w:rsidRPr="007D59F6">
        <w:rPr>
          <w:rStyle w:val="us"/>
          <w:sz w:val="24"/>
          <w:szCs w:val="24"/>
        </w:rPr>
        <w:t>an available exemption from registration under the Securities Act (“private placement”) must</w:t>
      </w:r>
      <w:r w:rsidR="00BC1666">
        <w:rPr>
          <w:rStyle w:val="us"/>
          <w:sz w:val="24"/>
          <w:szCs w:val="24"/>
        </w:rPr>
        <w:t xml:space="preserve"> submit to </w:t>
      </w:r>
      <w:r w:rsidR="00BC1666" w:rsidRPr="00AA03AA">
        <w:rPr>
          <w:sz w:val="24"/>
          <w:szCs w:val="24"/>
        </w:rPr>
        <w:t xml:space="preserve">FINRA’s Corporate Financing Department </w:t>
      </w:r>
      <w:r w:rsidR="00BC1666" w:rsidRPr="00EB36DF">
        <w:rPr>
          <w:sz w:val="24"/>
          <w:szCs w:val="24"/>
        </w:rPr>
        <w:t>electronically</w:t>
      </w:r>
      <w:r w:rsidR="00BC1666">
        <w:rPr>
          <w:sz w:val="24"/>
          <w:szCs w:val="24"/>
        </w:rPr>
        <w:t xml:space="preserve"> </w:t>
      </w:r>
      <w:r w:rsidR="00BC1666" w:rsidRPr="008D1FF0">
        <w:rPr>
          <w:sz w:val="24"/>
          <w:szCs w:val="24"/>
        </w:rPr>
        <w:t xml:space="preserve">(in pdf format) to </w:t>
      </w:r>
      <w:hyperlink r:id="rId89" w:history="1">
        <w:r w:rsidR="00BC1666" w:rsidRPr="00182695">
          <w:rPr>
            <w:rStyle w:val="Hyperlink"/>
            <w:i/>
            <w:iCs/>
            <w:sz w:val="24"/>
            <w:szCs w:val="24"/>
          </w:rPr>
          <w:t>corpfin@finra.org</w:t>
        </w:r>
      </w:hyperlink>
      <w:r w:rsidR="00BC1666" w:rsidRPr="00DD48B0">
        <w:rPr>
          <w:i/>
          <w:iCs/>
          <w:sz w:val="24"/>
          <w:szCs w:val="24"/>
        </w:rPr>
        <w:t xml:space="preserve"> </w:t>
      </w:r>
      <w:r w:rsidR="00BC1666" w:rsidRPr="00DD48B0">
        <w:rPr>
          <w:iCs/>
          <w:sz w:val="24"/>
          <w:szCs w:val="24"/>
        </w:rPr>
        <w:t>and m</w:t>
      </w:r>
      <w:r w:rsidR="00BC1666" w:rsidRPr="00DD48B0">
        <w:rPr>
          <w:sz w:val="24"/>
          <w:szCs w:val="24"/>
        </w:rPr>
        <w:t>ust include its CRD number for identification purposes as part of the email submission</w:t>
      </w:r>
      <w:r w:rsidR="00BC1666">
        <w:rPr>
          <w:sz w:val="24"/>
          <w:szCs w:val="24"/>
        </w:rPr>
        <w:t xml:space="preserve"> the following</w:t>
      </w:r>
      <w:r w:rsidRPr="007D59F6">
        <w:rPr>
          <w:rStyle w:val="us"/>
          <w:sz w:val="24"/>
          <w:szCs w:val="24"/>
        </w:rPr>
        <w:t xml:space="preserve">: </w:t>
      </w:r>
    </w:p>
    <w:p w14:paraId="706BBF87" w14:textId="70C71E07" w:rsidR="000E074C" w:rsidRPr="008D1FF0" w:rsidRDefault="00BC1666" w:rsidP="000E074C">
      <w:pPr>
        <w:numPr>
          <w:ilvl w:val="0"/>
          <w:numId w:val="184"/>
        </w:numPr>
        <w:shd w:val="clear" w:color="auto" w:fill="FFFFFF"/>
        <w:ind w:left="900" w:hanging="270"/>
        <w:rPr>
          <w:rStyle w:val="us"/>
          <w:sz w:val="24"/>
          <w:szCs w:val="24"/>
        </w:rPr>
      </w:pPr>
      <w:r>
        <w:rPr>
          <w:rStyle w:val="us"/>
          <w:b/>
          <w:sz w:val="24"/>
          <w:szCs w:val="24"/>
          <w:u w:val="single"/>
        </w:rPr>
        <w:t>W</w:t>
      </w:r>
      <w:r w:rsidRPr="007D59F6">
        <w:rPr>
          <w:rStyle w:val="us"/>
          <w:b/>
          <w:sz w:val="24"/>
          <w:szCs w:val="24"/>
          <w:u w:val="single"/>
        </w:rPr>
        <w:t>ithin 15 calendar days of the date of first sale</w:t>
      </w:r>
      <w:r w:rsidRPr="00BC1666">
        <w:rPr>
          <w:rStyle w:val="us"/>
          <w:bCs/>
          <w:sz w:val="24"/>
          <w:szCs w:val="24"/>
        </w:rPr>
        <w:t xml:space="preserve"> </w:t>
      </w:r>
      <w:r>
        <w:rPr>
          <w:rStyle w:val="us"/>
          <w:bCs/>
          <w:sz w:val="24"/>
          <w:szCs w:val="24"/>
        </w:rPr>
        <w:t>any</w:t>
      </w:r>
      <w:r w:rsidRPr="00BC1666">
        <w:rPr>
          <w:rStyle w:val="us"/>
          <w:bCs/>
          <w:sz w:val="24"/>
          <w:szCs w:val="24"/>
        </w:rPr>
        <w:t xml:space="preserve"> </w:t>
      </w:r>
      <w:r w:rsidR="006B2B95" w:rsidRPr="007D59F6">
        <w:rPr>
          <w:rStyle w:val="us"/>
          <w:sz w:val="24"/>
          <w:szCs w:val="24"/>
        </w:rPr>
        <w:t xml:space="preserve">private placement memorandum, term sheet or other offering </w:t>
      </w:r>
      <w:r w:rsidR="006B2B95" w:rsidRPr="008D1FF0">
        <w:rPr>
          <w:rStyle w:val="us"/>
          <w:sz w:val="24"/>
          <w:szCs w:val="24"/>
        </w:rPr>
        <w:t>document</w:t>
      </w:r>
      <w:r w:rsidRPr="008D1FF0">
        <w:rPr>
          <w:rStyle w:val="us"/>
          <w:sz w:val="24"/>
          <w:szCs w:val="24"/>
        </w:rPr>
        <w:t xml:space="preserve"> </w:t>
      </w:r>
      <w:r w:rsidR="000E074C" w:rsidRPr="008D1FF0">
        <w:rPr>
          <w:sz w:val="24"/>
          <w:szCs w:val="24"/>
        </w:rPr>
        <w:t xml:space="preserve">(or </w:t>
      </w:r>
      <w:r w:rsidR="000E074C" w:rsidRPr="008D1FF0">
        <w:rPr>
          <w:spacing w:val="8"/>
          <w:sz w:val="24"/>
          <w:szCs w:val="24"/>
          <w:shd w:val="clear" w:color="auto" w:fill="FFFFFF"/>
        </w:rPr>
        <w:t>notify FINRA that no such documents were used)</w:t>
      </w:r>
      <w:r w:rsidR="006B2B95" w:rsidRPr="008D1FF0">
        <w:rPr>
          <w:rStyle w:val="us"/>
          <w:sz w:val="24"/>
          <w:szCs w:val="24"/>
        </w:rPr>
        <w:t xml:space="preserve">;  </w:t>
      </w:r>
    </w:p>
    <w:p w14:paraId="26F1FBED" w14:textId="77777777" w:rsidR="000E074C" w:rsidRPr="008D1FF0" w:rsidRDefault="000E074C" w:rsidP="000E074C">
      <w:pPr>
        <w:numPr>
          <w:ilvl w:val="0"/>
          <w:numId w:val="184"/>
        </w:numPr>
        <w:shd w:val="clear" w:color="auto" w:fill="FFFFFF"/>
        <w:ind w:left="900" w:hanging="270"/>
        <w:rPr>
          <w:sz w:val="24"/>
          <w:szCs w:val="24"/>
        </w:rPr>
      </w:pPr>
      <w:r w:rsidRPr="008D1FF0">
        <w:rPr>
          <w:sz w:val="24"/>
          <w:szCs w:val="24"/>
        </w:rPr>
        <w:t xml:space="preserve">Any amendments or exhibits to the offering document with FINRA </w:t>
      </w:r>
      <w:r w:rsidRPr="008D1FF0">
        <w:rPr>
          <w:b/>
          <w:bCs/>
          <w:sz w:val="24"/>
          <w:szCs w:val="24"/>
          <w:u w:val="single"/>
        </w:rPr>
        <w:t>within ten days</w:t>
      </w:r>
      <w:r w:rsidRPr="008D1FF0">
        <w:rPr>
          <w:sz w:val="24"/>
          <w:szCs w:val="24"/>
        </w:rPr>
        <w:t xml:space="preserve"> of being provided to any investor or prospective investor; and  </w:t>
      </w:r>
    </w:p>
    <w:p w14:paraId="0A05AD00" w14:textId="497EF7B7" w:rsidR="000E074C" w:rsidRPr="008D1FF0" w:rsidRDefault="000E074C" w:rsidP="000E074C">
      <w:pPr>
        <w:numPr>
          <w:ilvl w:val="0"/>
          <w:numId w:val="184"/>
        </w:numPr>
        <w:shd w:val="clear" w:color="auto" w:fill="FFFFFF"/>
        <w:ind w:left="900" w:hanging="270"/>
        <w:rPr>
          <w:sz w:val="24"/>
          <w:szCs w:val="24"/>
        </w:rPr>
      </w:pPr>
      <w:r w:rsidRPr="008D1FF0">
        <w:rPr>
          <w:spacing w:val="8"/>
          <w:sz w:val="24"/>
          <w:szCs w:val="24"/>
        </w:rPr>
        <w:t>Any retail communication (defined in FINRA Rule 2210) that promotes or recommends the member private offering.</w:t>
      </w:r>
    </w:p>
    <w:p w14:paraId="16CA9013" w14:textId="77777777" w:rsidR="000E074C" w:rsidRPr="008D1FF0" w:rsidRDefault="000E074C" w:rsidP="000E074C">
      <w:pPr>
        <w:pStyle w:val="ListParagraph"/>
        <w:autoSpaceDE w:val="0"/>
        <w:autoSpaceDN w:val="0"/>
        <w:adjustRightInd w:val="0"/>
        <w:ind w:left="1050"/>
        <w:rPr>
          <w:sz w:val="24"/>
          <w:szCs w:val="24"/>
        </w:rPr>
      </w:pPr>
    </w:p>
    <w:p w14:paraId="7405EFC8" w14:textId="77777777" w:rsidR="000E074C" w:rsidRPr="008D1FF0" w:rsidRDefault="000E074C" w:rsidP="000E074C">
      <w:pPr>
        <w:pStyle w:val="BodyText2"/>
        <w:ind w:left="270"/>
        <w:jc w:val="both"/>
        <w:rPr>
          <w:spacing w:val="8"/>
          <w:szCs w:val="24"/>
          <w:shd w:val="clear" w:color="auto" w:fill="FFFFFF"/>
        </w:rPr>
      </w:pPr>
      <w:r w:rsidRPr="008D1FF0">
        <w:rPr>
          <w:spacing w:val="8"/>
          <w:szCs w:val="24"/>
          <w:shd w:val="clear" w:color="auto" w:fill="FFFFFF"/>
        </w:rPr>
        <w:t>Excluded from this requirement are private offerings sold only to institutional investors [defined in FINRA Rule 4512(c)]; qualified purchasers [defined in the Investment Company Act of 1940]; investment companies [defined in the Investment Company Act] and qualified institutional buyers [defined in Rule 144A].</w:t>
      </w:r>
    </w:p>
    <w:p w14:paraId="2A32EBA8" w14:textId="77777777" w:rsidR="006B2B95" w:rsidRPr="008D1FF0" w:rsidRDefault="006B2B95" w:rsidP="006B2B95">
      <w:pPr>
        <w:rPr>
          <w:rStyle w:val="Strong"/>
          <w:szCs w:val="24"/>
        </w:rPr>
      </w:pPr>
    </w:p>
    <w:p w14:paraId="7E874B58" w14:textId="77777777" w:rsidR="006B2B95" w:rsidRPr="007D59F6" w:rsidRDefault="006B2B95" w:rsidP="001A587F">
      <w:pPr>
        <w:pStyle w:val="Heading4"/>
      </w:pPr>
      <w:r w:rsidRPr="007D59F6">
        <w:rPr>
          <w:rStyle w:val="Strong"/>
        </w:rPr>
        <w:t>Exemptions</w:t>
      </w:r>
      <w:r w:rsidRPr="007D59F6">
        <w:t xml:space="preserve"> </w:t>
      </w:r>
    </w:p>
    <w:p w14:paraId="27625B77" w14:textId="77777777" w:rsidR="006B2B95" w:rsidRPr="007D59F6" w:rsidRDefault="006B2B95" w:rsidP="000E074C">
      <w:pPr>
        <w:shd w:val="clear" w:color="auto" w:fill="FFFFFF"/>
        <w:ind w:left="270"/>
        <w:rPr>
          <w:sz w:val="24"/>
          <w:szCs w:val="24"/>
        </w:rPr>
      </w:pPr>
      <w:r w:rsidRPr="007D59F6">
        <w:rPr>
          <w:rStyle w:val="us"/>
          <w:sz w:val="24"/>
          <w:szCs w:val="24"/>
        </w:rPr>
        <w:t>The following private placements are exempt from the requirements of this Rule:</w:t>
      </w:r>
      <w:r w:rsidRPr="007D59F6">
        <w:rPr>
          <w:sz w:val="24"/>
          <w:szCs w:val="24"/>
        </w:rPr>
        <w:t xml:space="preserve"> </w:t>
      </w:r>
    </w:p>
    <w:p w14:paraId="035BBEAC" w14:textId="77777777" w:rsidR="00863BA3" w:rsidRPr="007D59F6" w:rsidRDefault="00863BA3" w:rsidP="00D157F9">
      <w:pPr>
        <w:shd w:val="clear" w:color="auto" w:fill="FFFFFF"/>
        <w:ind w:left="810" w:hanging="450"/>
        <w:rPr>
          <w:rStyle w:val="us"/>
          <w:sz w:val="24"/>
          <w:szCs w:val="24"/>
        </w:rPr>
      </w:pPr>
    </w:p>
    <w:p w14:paraId="71AE892C" w14:textId="77777777" w:rsidR="006B2B95" w:rsidRPr="007D59F6" w:rsidRDefault="006B2B95" w:rsidP="00D157F9">
      <w:pPr>
        <w:shd w:val="clear" w:color="auto" w:fill="FFFFFF"/>
        <w:ind w:left="810" w:hanging="450"/>
        <w:rPr>
          <w:sz w:val="24"/>
          <w:szCs w:val="24"/>
        </w:rPr>
      </w:pPr>
      <w:r w:rsidRPr="007D59F6">
        <w:rPr>
          <w:rStyle w:val="us"/>
          <w:sz w:val="24"/>
          <w:szCs w:val="24"/>
        </w:rPr>
        <w:lastRenderedPageBreak/>
        <w:t xml:space="preserve">(1) </w:t>
      </w:r>
      <w:r w:rsidR="00606A8F" w:rsidRPr="007D59F6">
        <w:rPr>
          <w:rStyle w:val="us"/>
          <w:sz w:val="24"/>
          <w:szCs w:val="24"/>
        </w:rPr>
        <w:t>O</w:t>
      </w:r>
      <w:r w:rsidRPr="007D59F6">
        <w:rPr>
          <w:rStyle w:val="us"/>
          <w:sz w:val="24"/>
          <w:szCs w:val="24"/>
        </w:rPr>
        <w:t xml:space="preserve">fferings sold by the </w:t>
      </w:r>
      <w:r w:rsidR="00606A8F" w:rsidRPr="007D59F6">
        <w:rPr>
          <w:rStyle w:val="us"/>
          <w:sz w:val="24"/>
          <w:szCs w:val="24"/>
        </w:rPr>
        <w:t>Company</w:t>
      </w:r>
      <w:r w:rsidRPr="007D59F6">
        <w:rPr>
          <w:rStyle w:val="us"/>
          <w:sz w:val="24"/>
          <w:szCs w:val="24"/>
        </w:rPr>
        <w:t xml:space="preserve"> or person associated with the </w:t>
      </w:r>
      <w:r w:rsidR="00606A8F" w:rsidRPr="007D59F6">
        <w:rPr>
          <w:rStyle w:val="us"/>
          <w:sz w:val="24"/>
          <w:szCs w:val="24"/>
        </w:rPr>
        <w:t>Company</w:t>
      </w:r>
      <w:r w:rsidRPr="007D59F6">
        <w:rPr>
          <w:rStyle w:val="us"/>
          <w:sz w:val="24"/>
          <w:szCs w:val="24"/>
        </w:rPr>
        <w:t xml:space="preserve"> solely to any one or more of the following:</w:t>
      </w:r>
      <w:r w:rsidRPr="007D59F6">
        <w:rPr>
          <w:sz w:val="24"/>
          <w:szCs w:val="24"/>
        </w:rPr>
        <w:t xml:space="preserve"> </w:t>
      </w:r>
    </w:p>
    <w:p w14:paraId="4FD16222" w14:textId="77777777" w:rsidR="006B2B95" w:rsidRPr="007D59F6" w:rsidRDefault="006B2B95" w:rsidP="00606A8F">
      <w:pPr>
        <w:shd w:val="clear" w:color="auto" w:fill="FFFFFF"/>
        <w:ind w:left="990" w:hanging="270"/>
        <w:rPr>
          <w:sz w:val="24"/>
          <w:szCs w:val="24"/>
        </w:rPr>
      </w:pPr>
      <w:r w:rsidRPr="007D59F6">
        <w:rPr>
          <w:rStyle w:val="us"/>
          <w:sz w:val="24"/>
          <w:szCs w:val="24"/>
        </w:rPr>
        <w:t xml:space="preserve">(A) </w:t>
      </w:r>
      <w:r w:rsidR="00606A8F" w:rsidRPr="007D59F6">
        <w:rPr>
          <w:rStyle w:val="us"/>
          <w:sz w:val="24"/>
          <w:szCs w:val="24"/>
        </w:rPr>
        <w:t>I</w:t>
      </w:r>
      <w:r w:rsidRPr="007D59F6">
        <w:rPr>
          <w:rStyle w:val="us"/>
          <w:sz w:val="24"/>
          <w:szCs w:val="24"/>
        </w:rPr>
        <w:t xml:space="preserve">nstitutional accounts, as defined in </w:t>
      </w:r>
      <w:hyperlink r:id="rId90" w:tgtFrame="_blank" w:history="1">
        <w:r w:rsidRPr="007D59F6">
          <w:rPr>
            <w:rStyle w:val="Hyperlink"/>
            <w:color w:val="auto"/>
            <w:sz w:val="24"/>
            <w:szCs w:val="24"/>
          </w:rPr>
          <w:t>Rule 4512</w:t>
        </w:r>
      </w:hyperlink>
      <w:r w:rsidRPr="007D59F6">
        <w:rPr>
          <w:rStyle w:val="us"/>
          <w:sz w:val="24"/>
          <w:szCs w:val="24"/>
        </w:rPr>
        <w:t>(c);</w:t>
      </w:r>
      <w:r w:rsidRPr="007D59F6">
        <w:rPr>
          <w:sz w:val="24"/>
          <w:szCs w:val="24"/>
        </w:rPr>
        <w:t xml:space="preserve"> </w:t>
      </w:r>
    </w:p>
    <w:p w14:paraId="2EAE83A6" w14:textId="77777777" w:rsidR="006B2B95" w:rsidRPr="007D59F6" w:rsidRDefault="00606A8F" w:rsidP="00606A8F">
      <w:pPr>
        <w:shd w:val="clear" w:color="auto" w:fill="FFFFFF"/>
        <w:ind w:left="1080" w:hanging="360"/>
        <w:rPr>
          <w:sz w:val="24"/>
          <w:szCs w:val="24"/>
        </w:rPr>
      </w:pPr>
      <w:r w:rsidRPr="007D59F6">
        <w:rPr>
          <w:rStyle w:val="us"/>
          <w:sz w:val="24"/>
          <w:szCs w:val="24"/>
        </w:rPr>
        <w:t>(B) Q</w:t>
      </w:r>
      <w:r w:rsidR="006B2B95" w:rsidRPr="007D59F6">
        <w:rPr>
          <w:rStyle w:val="us"/>
          <w:sz w:val="24"/>
          <w:szCs w:val="24"/>
        </w:rPr>
        <w:t xml:space="preserve">ualified purchasers, as defined in </w:t>
      </w:r>
      <w:hyperlink r:id="rId91" w:history="1">
        <w:r w:rsidR="006B2B95" w:rsidRPr="007D59F6">
          <w:rPr>
            <w:rStyle w:val="Hyperlink"/>
            <w:color w:val="auto"/>
            <w:sz w:val="24"/>
            <w:szCs w:val="24"/>
          </w:rPr>
          <w:t>Section 2(a)(51)(A)</w:t>
        </w:r>
      </w:hyperlink>
      <w:r w:rsidR="006B2B95" w:rsidRPr="007D59F6">
        <w:rPr>
          <w:rStyle w:val="us"/>
          <w:sz w:val="24"/>
          <w:szCs w:val="24"/>
        </w:rPr>
        <w:t xml:space="preserve"> of the Investment Company Act;</w:t>
      </w:r>
      <w:r w:rsidR="006B2B95" w:rsidRPr="007D59F6">
        <w:rPr>
          <w:sz w:val="24"/>
          <w:szCs w:val="24"/>
        </w:rPr>
        <w:t xml:space="preserve"> </w:t>
      </w:r>
    </w:p>
    <w:p w14:paraId="77FD5436" w14:textId="77777777" w:rsidR="006B2B95" w:rsidRPr="007D59F6" w:rsidRDefault="006B2B95" w:rsidP="00606A8F">
      <w:pPr>
        <w:shd w:val="clear" w:color="auto" w:fill="FFFFFF"/>
        <w:ind w:left="990" w:hanging="270"/>
        <w:rPr>
          <w:sz w:val="24"/>
          <w:szCs w:val="24"/>
        </w:rPr>
      </w:pPr>
      <w:r w:rsidRPr="007D59F6">
        <w:rPr>
          <w:rStyle w:val="us"/>
          <w:sz w:val="24"/>
          <w:szCs w:val="24"/>
        </w:rPr>
        <w:t xml:space="preserve">(C) </w:t>
      </w:r>
      <w:r w:rsidR="00606A8F" w:rsidRPr="007D59F6">
        <w:rPr>
          <w:rStyle w:val="us"/>
          <w:sz w:val="24"/>
          <w:szCs w:val="24"/>
        </w:rPr>
        <w:t>Qualified</w:t>
      </w:r>
      <w:r w:rsidRPr="007D59F6">
        <w:rPr>
          <w:rStyle w:val="us"/>
          <w:sz w:val="24"/>
          <w:szCs w:val="24"/>
        </w:rPr>
        <w:t xml:space="preserve"> institutional buyers, as defined in Securities Act Rule 144A;</w:t>
      </w:r>
      <w:r w:rsidRPr="007D59F6">
        <w:rPr>
          <w:sz w:val="24"/>
          <w:szCs w:val="24"/>
        </w:rPr>
        <w:t xml:space="preserve"> </w:t>
      </w:r>
    </w:p>
    <w:p w14:paraId="4C94A4CF" w14:textId="77777777" w:rsidR="006B2B95" w:rsidRPr="007D59F6" w:rsidRDefault="00606A8F" w:rsidP="00606A8F">
      <w:pPr>
        <w:shd w:val="clear" w:color="auto" w:fill="FFFFFF"/>
        <w:ind w:left="990" w:hanging="270"/>
        <w:rPr>
          <w:sz w:val="24"/>
          <w:szCs w:val="24"/>
        </w:rPr>
      </w:pPr>
      <w:r w:rsidRPr="007D59F6">
        <w:rPr>
          <w:rStyle w:val="us"/>
          <w:sz w:val="24"/>
          <w:szCs w:val="24"/>
        </w:rPr>
        <w:t>(D) I</w:t>
      </w:r>
      <w:r w:rsidR="006B2B95" w:rsidRPr="007D59F6">
        <w:rPr>
          <w:rStyle w:val="us"/>
          <w:sz w:val="24"/>
          <w:szCs w:val="24"/>
        </w:rPr>
        <w:t>nvestment companies, as defined in Section 3 of the Investment Company Act;</w:t>
      </w:r>
      <w:r w:rsidR="006B2B95" w:rsidRPr="007D59F6">
        <w:rPr>
          <w:sz w:val="24"/>
          <w:szCs w:val="24"/>
        </w:rPr>
        <w:t xml:space="preserve"> </w:t>
      </w:r>
    </w:p>
    <w:p w14:paraId="7D838983" w14:textId="77777777" w:rsidR="006B2B95" w:rsidRPr="007D59F6" w:rsidRDefault="00606A8F" w:rsidP="00606A8F">
      <w:pPr>
        <w:shd w:val="clear" w:color="auto" w:fill="FFFFFF"/>
        <w:ind w:left="1080" w:hanging="360"/>
        <w:rPr>
          <w:sz w:val="24"/>
          <w:szCs w:val="24"/>
        </w:rPr>
      </w:pPr>
      <w:r w:rsidRPr="007D59F6">
        <w:rPr>
          <w:rStyle w:val="us"/>
          <w:sz w:val="24"/>
          <w:szCs w:val="24"/>
        </w:rPr>
        <w:t>(E) A</w:t>
      </w:r>
      <w:r w:rsidR="006B2B95" w:rsidRPr="007D59F6">
        <w:rPr>
          <w:rStyle w:val="us"/>
          <w:sz w:val="24"/>
          <w:szCs w:val="24"/>
        </w:rPr>
        <w:t>n entity composed exclusively of qualified institutional buyers, as defined in Securities Act Rule 144A;</w:t>
      </w:r>
      <w:r w:rsidR="006B2B95" w:rsidRPr="007D59F6">
        <w:rPr>
          <w:sz w:val="24"/>
          <w:szCs w:val="24"/>
        </w:rPr>
        <w:t xml:space="preserve"> </w:t>
      </w:r>
    </w:p>
    <w:p w14:paraId="3A3F7182" w14:textId="77777777" w:rsidR="006B2B95" w:rsidRPr="007D59F6" w:rsidRDefault="00606A8F" w:rsidP="00606A8F">
      <w:pPr>
        <w:shd w:val="clear" w:color="auto" w:fill="FFFFFF"/>
        <w:ind w:left="990" w:hanging="270"/>
        <w:rPr>
          <w:sz w:val="24"/>
          <w:szCs w:val="24"/>
        </w:rPr>
      </w:pPr>
      <w:r w:rsidRPr="007D59F6">
        <w:rPr>
          <w:rStyle w:val="us"/>
          <w:sz w:val="24"/>
          <w:szCs w:val="24"/>
        </w:rPr>
        <w:t>(F) B</w:t>
      </w:r>
      <w:r w:rsidR="006B2B95" w:rsidRPr="007D59F6">
        <w:rPr>
          <w:rStyle w:val="us"/>
          <w:sz w:val="24"/>
          <w:szCs w:val="24"/>
        </w:rPr>
        <w:t>anks, as defined in Section 3(a)(2) of the Securities Act;</w:t>
      </w:r>
      <w:r w:rsidR="006B2B95" w:rsidRPr="007D59F6">
        <w:rPr>
          <w:sz w:val="24"/>
          <w:szCs w:val="24"/>
        </w:rPr>
        <w:t xml:space="preserve"> </w:t>
      </w:r>
    </w:p>
    <w:p w14:paraId="2EF25913" w14:textId="77777777" w:rsidR="006B2B95" w:rsidRPr="007D59F6" w:rsidRDefault="00606A8F" w:rsidP="00606A8F">
      <w:pPr>
        <w:shd w:val="clear" w:color="auto" w:fill="FFFFFF"/>
        <w:ind w:left="990" w:hanging="270"/>
        <w:rPr>
          <w:sz w:val="24"/>
          <w:szCs w:val="24"/>
        </w:rPr>
      </w:pPr>
      <w:r w:rsidRPr="007D59F6">
        <w:rPr>
          <w:rStyle w:val="us"/>
          <w:sz w:val="24"/>
          <w:szCs w:val="24"/>
        </w:rPr>
        <w:t>(G) E</w:t>
      </w:r>
      <w:r w:rsidR="006B2B95" w:rsidRPr="007D59F6">
        <w:rPr>
          <w:rStyle w:val="us"/>
          <w:sz w:val="24"/>
          <w:szCs w:val="24"/>
        </w:rPr>
        <w:t xml:space="preserve">mployees and affiliates, as defined in </w:t>
      </w:r>
      <w:hyperlink r:id="rId92" w:tgtFrame="_blank" w:history="1">
        <w:r w:rsidR="006B2B95" w:rsidRPr="007D59F6">
          <w:rPr>
            <w:rStyle w:val="Hyperlink"/>
            <w:color w:val="auto"/>
            <w:sz w:val="24"/>
            <w:szCs w:val="24"/>
          </w:rPr>
          <w:t>Rule 5121</w:t>
        </w:r>
      </w:hyperlink>
      <w:r w:rsidR="006B2B95" w:rsidRPr="007D59F6">
        <w:rPr>
          <w:rStyle w:val="us"/>
          <w:sz w:val="24"/>
          <w:szCs w:val="24"/>
        </w:rPr>
        <w:t>, of the issuer;</w:t>
      </w:r>
      <w:r w:rsidR="006B2B95" w:rsidRPr="007D59F6">
        <w:rPr>
          <w:sz w:val="24"/>
          <w:szCs w:val="24"/>
        </w:rPr>
        <w:t xml:space="preserve"> </w:t>
      </w:r>
    </w:p>
    <w:p w14:paraId="2250075E" w14:textId="77777777" w:rsidR="006B2B95" w:rsidRPr="007D59F6" w:rsidRDefault="00606A8F" w:rsidP="00606A8F">
      <w:pPr>
        <w:shd w:val="clear" w:color="auto" w:fill="FFFFFF"/>
        <w:ind w:left="990" w:hanging="270"/>
        <w:rPr>
          <w:sz w:val="24"/>
          <w:szCs w:val="24"/>
        </w:rPr>
      </w:pPr>
      <w:r w:rsidRPr="007D59F6">
        <w:rPr>
          <w:rStyle w:val="us"/>
          <w:sz w:val="24"/>
          <w:szCs w:val="24"/>
        </w:rPr>
        <w:t>(H) K</w:t>
      </w:r>
      <w:r w:rsidR="006B2B95" w:rsidRPr="007D59F6">
        <w:rPr>
          <w:rStyle w:val="us"/>
          <w:sz w:val="24"/>
          <w:szCs w:val="24"/>
        </w:rPr>
        <w:t>nowledgeable employees as defined in Investment Company Act Rule 3c-5;</w:t>
      </w:r>
      <w:r w:rsidR="006B2B95" w:rsidRPr="007D59F6">
        <w:rPr>
          <w:sz w:val="24"/>
          <w:szCs w:val="24"/>
        </w:rPr>
        <w:t xml:space="preserve"> </w:t>
      </w:r>
    </w:p>
    <w:p w14:paraId="73377657" w14:textId="77777777" w:rsidR="006B2B95" w:rsidRPr="007D59F6" w:rsidRDefault="00606A8F" w:rsidP="00606A8F">
      <w:pPr>
        <w:shd w:val="clear" w:color="auto" w:fill="FFFFFF"/>
        <w:ind w:left="1080" w:hanging="360"/>
        <w:rPr>
          <w:sz w:val="24"/>
          <w:szCs w:val="24"/>
        </w:rPr>
      </w:pPr>
      <w:r w:rsidRPr="007D59F6">
        <w:rPr>
          <w:rStyle w:val="us"/>
          <w:sz w:val="24"/>
          <w:szCs w:val="24"/>
        </w:rPr>
        <w:t>(I)  E</w:t>
      </w:r>
      <w:r w:rsidR="006B2B95" w:rsidRPr="007D59F6">
        <w:rPr>
          <w:rStyle w:val="us"/>
          <w:sz w:val="24"/>
          <w:szCs w:val="24"/>
        </w:rPr>
        <w:t>ligible contract participants, as defined in Section 3(a)(65) of the Exchange Act; and</w:t>
      </w:r>
      <w:r w:rsidR="006B2B95" w:rsidRPr="007D59F6">
        <w:rPr>
          <w:sz w:val="24"/>
          <w:szCs w:val="24"/>
        </w:rPr>
        <w:t xml:space="preserve"> </w:t>
      </w:r>
    </w:p>
    <w:p w14:paraId="31C3D59A" w14:textId="77777777" w:rsidR="006B2B95" w:rsidRPr="007D59F6" w:rsidRDefault="006B2B95" w:rsidP="00606A8F">
      <w:pPr>
        <w:shd w:val="clear" w:color="auto" w:fill="FFFFFF"/>
        <w:ind w:left="990" w:hanging="270"/>
        <w:rPr>
          <w:sz w:val="24"/>
          <w:szCs w:val="24"/>
        </w:rPr>
      </w:pPr>
      <w:r w:rsidRPr="007D59F6">
        <w:rPr>
          <w:rStyle w:val="us"/>
          <w:sz w:val="24"/>
          <w:szCs w:val="24"/>
        </w:rPr>
        <w:t xml:space="preserve">(J) </w:t>
      </w:r>
      <w:r w:rsidR="00606A8F" w:rsidRPr="007D59F6">
        <w:rPr>
          <w:rStyle w:val="us"/>
          <w:sz w:val="24"/>
          <w:szCs w:val="24"/>
        </w:rPr>
        <w:t xml:space="preserve"> A</w:t>
      </w:r>
      <w:r w:rsidRPr="007D59F6">
        <w:rPr>
          <w:rStyle w:val="us"/>
          <w:sz w:val="24"/>
          <w:szCs w:val="24"/>
        </w:rPr>
        <w:t>ccredited investors described in Securities Act Rule 501(a)(1), (2), (3) or (7).</w:t>
      </w:r>
      <w:r w:rsidRPr="007D59F6">
        <w:rPr>
          <w:sz w:val="24"/>
          <w:szCs w:val="24"/>
        </w:rPr>
        <w:t xml:space="preserve"> </w:t>
      </w:r>
    </w:p>
    <w:p w14:paraId="40E6414C" w14:textId="77777777" w:rsidR="00863BA3" w:rsidRPr="007D59F6" w:rsidRDefault="00863BA3" w:rsidP="00D157F9">
      <w:pPr>
        <w:shd w:val="clear" w:color="auto" w:fill="FFFFFF"/>
        <w:ind w:left="810" w:hanging="450"/>
        <w:rPr>
          <w:rStyle w:val="us"/>
          <w:sz w:val="24"/>
          <w:szCs w:val="24"/>
        </w:rPr>
      </w:pPr>
    </w:p>
    <w:p w14:paraId="5C63DDF8" w14:textId="77777777" w:rsidR="006B2B95" w:rsidRPr="007D59F6" w:rsidRDefault="006B2B95" w:rsidP="00D157F9">
      <w:pPr>
        <w:shd w:val="clear" w:color="auto" w:fill="FFFFFF"/>
        <w:ind w:left="810" w:hanging="450"/>
        <w:rPr>
          <w:sz w:val="24"/>
          <w:szCs w:val="24"/>
        </w:rPr>
      </w:pPr>
      <w:r w:rsidRPr="007D59F6">
        <w:rPr>
          <w:rStyle w:val="us"/>
          <w:sz w:val="24"/>
          <w:szCs w:val="24"/>
        </w:rPr>
        <w:t xml:space="preserve">(2) </w:t>
      </w:r>
      <w:r w:rsidR="00606A8F" w:rsidRPr="007D59F6">
        <w:rPr>
          <w:rStyle w:val="us"/>
          <w:sz w:val="24"/>
          <w:szCs w:val="24"/>
        </w:rPr>
        <w:t>O</w:t>
      </w:r>
      <w:r w:rsidRPr="007D59F6">
        <w:rPr>
          <w:rStyle w:val="us"/>
          <w:sz w:val="24"/>
          <w:szCs w:val="24"/>
        </w:rPr>
        <w:t>fferings of exempted securities, as defined in Section 3(a)(12) of the Exchange Act;</w:t>
      </w:r>
      <w:r w:rsidRPr="007D59F6">
        <w:rPr>
          <w:sz w:val="24"/>
          <w:szCs w:val="24"/>
        </w:rPr>
        <w:t xml:space="preserve"> </w:t>
      </w:r>
    </w:p>
    <w:p w14:paraId="7E47595E" w14:textId="77777777" w:rsidR="00863BA3" w:rsidRPr="007D59F6" w:rsidRDefault="00863BA3" w:rsidP="00D157F9">
      <w:pPr>
        <w:shd w:val="clear" w:color="auto" w:fill="FFFFFF"/>
        <w:ind w:left="810" w:hanging="450"/>
        <w:rPr>
          <w:rStyle w:val="us"/>
          <w:sz w:val="24"/>
          <w:szCs w:val="24"/>
        </w:rPr>
      </w:pPr>
    </w:p>
    <w:p w14:paraId="123C6908" w14:textId="77777777" w:rsidR="006B2B95" w:rsidRPr="007D59F6" w:rsidRDefault="00606A8F" w:rsidP="00D157F9">
      <w:pPr>
        <w:shd w:val="clear" w:color="auto" w:fill="FFFFFF"/>
        <w:ind w:left="810" w:hanging="450"/>
        <w:rPr>
          <w:sz w:val="24"/>
          <w:szCs w:val="24"/>
        </w:rPr>
      </w:pPr>
      <w:r w:rsidRPr="007D59F6">
        <w:rPr>
          <w:rStyle w:val="us"/>
          <w:sz w:val="24"/>
          <w:szCs w:val="24"/>
        </w:rPr>
        <w:t>(3) O</w:t>
      </w:r>
      <w:r w:rsidR="006B2B95" w:rsidRPr="007D59F6">
        <w:rPr>
          <w:rStyle w:val="us"/>
          <w:sz w:val="24"/>
          <w:szCs w:val="24"/>
        </w:rPr>
        <w:t>fferings made pursuant to Securities Act Rule 144A or SEC Regulation S;</w:t>
      </w:r>
      <w:r w:rsidR="006B2B95" w:rsidRPr="007D59F6">
        <w:rPr>
          <w:sz w:val="24"/>
          <w:szCs w:val="24"/>
        </w:rPr>
        <w:t xml:space="preserve"> </w:t>
      </w:r>
    </w:p>
    <w:p w14:paraId="32961161" w14:textId="77777777" w:rsidR="00863BA3" w:rsidRPr="007D59F6" w:rsidRDefault="00863BA3" w:rsidP="00606A8F">
      <w:pPr>
        <w:shd w:val="clear" w:color="auto" w:fill="FFFFFF"/>
        <w:ind w:left="720" w:hanging="360"/>
        <w:rPr>
          <w:rStyle w:val="us"/>
          <w:sz w:val="24"/>
          <w:szCs w:val="24"/>
        </w:rPr>
      </w:pPr>
    </w:p>
    <w:p w14:paraId="422575ED" w14:textId="77777777" w:rsidR="006B2B95" w:rsidRPr="007D59F6" w:rsidRDefault="006B2B95" w:rsidP="00606A8F">
      <w:pPr>
        <w:shd w:val="clear" w:color="auto" w:fill="FFFFFF"/>
        <w:ind w:left="720" w:hanging="360"/>
        <w:rPr>
          <w:sz w:val="24"/>
          <w:szCs w:val="24"/>
        </w:rPr>
      </w:pPr>
      <w:r w:rsidRPr="007D59F6">
        <w:rPr>
          <w:rStyle w:val="us"/>
          <w:sz w:val="24"/>
          <w:szCs w:val="24"/>
        </w:rPr>
        <w:t xml:space="preserve">(4) </w:t>
      </w:r>
      <w:r w:rsidR="00606A8F" w:rsidRPr="007D59F6">
        <w:rPr>
          <w:rStyle w:val="us"/>
          <w:sz w:val="24"/>
          <w:szCs w:val="24"/>
        </w:rPr>
        <w:t>O</w:t>
      </w:r>
      <w:r w:rsidRPr="007D59F6">
        <w:rPr>
          <w:rStyle w:val="us"/>
          <w:sz w:val="24"/>
          <w:szCs w:val="24"/>
        </w:rPr>
        <w:t>fferings of exempt securities with short term maturities under Section 3(a)(3) of the Securities Act and debt securities sold by members pursuant to Section 4(2) of the Securities Act so long as the maturity does not exceed 397 days and the securities are issued in minimum denominations of $150,000 (or the equivalent thereof in another currency);</w:t>
      </w:r>
      <w:r w:rsidRPr="007D59F6">
        <w:rPr>
          <w:sz w:val="24"/>
          <w:szCs w:val="24"/>
        </w:rPr>
        <w:t xml:space="preserve"> </w:t>
      </w:r>
    </w:p>
    <w:p w14:paraId="3229EE13" w14:textId="77777777" w:rsidR="00863BA3" w:rsidRPr="007D59F6" w:rsidRDefault="00863BA3" w:rsidP="00606A8F">
      <w:pPr>
        <w:shd w:val="clear" w:color="auto" w:fill="FFFFFF"/>
        <w:ind w:left="720" w:hanging="360"/>
        <w:rPr>
          <w:rStyle w:val="us"/>
          <w:sz w:val="24"/>
          <w:szCs w:val="24"/>
        </w:rPr>
      </w:pPr>
    </w:p>
    <w:p w14:paraId="0D9F14BD" w14:textId="77777777" w:rsidR="006B2B95" w:rsidRPr="007D59F6" w:rsidRDefault="006B2B95" w:rsidP="00606A8F">
      <w:pPr>
        <w:shd w:val="clear" w:color="auto" w:fill="FFFFFF"/>
        <w:ind w:left="720" w:hanging="360"/>
        <w:rPr>
          <w:sz w:val="24"/>
          <w:szCs w:val="24"/>
        </w:rPr>
      </w:pPr>
      <w:r w:rsidRPr="007D59F6">
        <w:rPr>
          <w:rStyle w:val="us"/>
          <w:sz w:val="24"/>
          <w:szCs w:val="24"/>
        </w:rPr>
        <w:t xml:space="preserve">(5) </w:t>
      </w:r>
      <w:r w:rsidR="00606A8F" w:rsidRPr="007D59F6">
        <w:rPr>
          <w:rStyle w:val="us"/>
          <w:sz w:val="24"/>
          <w:szCs w:val="24"/>
        </w:rPr>
        <w:t>O</w:t>
      </w:r>
      <w:r w:rsidRPr="007D59F6">
        <w:rPr>
          <w:rStyle w:val="us"/>
          <w:sz w:val="24"/>
          <w:szCs w:val="24"/>
        </w:rPr>
        <w:t xml:space="preserve">fferings of subordinated loans under SEA Rule 15c3-1, Appendix D (see NASD Notice to Members </w:t>
      </w:r>
      <w:hyperlink r:id="rId93" w:tgtFrame="_blank" w:history="1">
        <w:r w:rsidRPr="007D59F6">
          <w:rPr>
            <w:rStyle w:val="Hyperlink"/>
            <w:color w:val="auto"/>
            <w:sz w:val="24"/>
            <w:szCs w:val="24"/>
          </w:rPr>
          <w:t>02-32</w:t>
        </w:r>
      </w:hyperlink>
      <w:r w:rsidRPr="007D59F6">
        <w:rPr>
          <w:rStyle w:val="us"/>
          <w:sz w:val="24"/>
          <w:szCs w:val="24"/>
        </w:rPr>
        <w:t xml:space="preserve"> (June 2002));</w:t>
      </w:r>
      <w:r w:rsidRPr="007D59F6">
        <w:rPr>
          <w:sz w:val="24"/>
          <w:szCs w:val="24"/>
        </w:rPr>
        <w:t xml:space="preserve"> </w:t>
      </w:r>
    </w:p>
    <w:p w14:paraId="2AEB553A" w14:textId="77777777" w:rsidR="00863BA3" w:rsidRPr="007D59F6" w:rsidRDefault="00863BA3" w:rsidP="00D157F9">
      <w:pPr>
        <w:shd w:val="clear" w:color="auto" w:fill="FFFFFF"/>
        <w:ind w:left="810" w:hanging="450"/>
        <w:rPr>
          <w:rStyle w:val="us"/>
          <w:sz w:val="24"/>
          <w:szCs w:val="24"/>
        </w:rPr>
      </w:pPr>
    </w:p>
    <w:p w14:paraId="21315F40" w14:textId="77777777" w:rsidR="006B2B95" w:rsidRPr="007D59F6" w:rsidRDefault="006B2B95" w:rsidP="00D157F9">
      <w:pPr>
        <w:shd w:val="clear" w:color="auto" w:fill="FFFFFF"/>
        <w:ind w:left="810" w:hanging="450"/>
        <w:rPr>
          <w:sz w:val="24"/>
          <w:szCs w:val="24"/>
        </w:rPr>
      </w:pPr>
      <w:r w:rsidRPr="007D59F6">
        <w:rPr>
          <w:rStyle w:val="us"/>
          <w:sz w:val="24"/>
          <w:szCs w:val="24"/>
        </w:rPr>
        <w:t xml:space="preserve">(6) </w:t>
      </w:r>
      <w:r w:rsidR="00606A8F" w:rsidRPr="007D59F6">
        <w:rPr>
          <w:rStyle w:val="us"/>
          <w:sz w:val="24"/>
          <w:szCs w:val="24"/>
        </w:rPr>
        <w:t>O</w:t>
      </w:r>
      <w:r w:rsidRPr="007D59F6">
        <w:rPr>
          <w:rStyle w:val="us"/>
          <w:sz w:val="24"/>
          <w:szCs w:val="24"/>
        </w:rPr>
        <w:t xml:space="preserve">fferings of “variable contracts,” as defined in </w:t>
      </w:r>
      <w:hyperlink r:id="rId94" w:tgtFrame="_blank" w:history="1">
        <w:r w:rsidRPr="007D59F6">
          <w:rPr>
            <w:rStyle w:val="Hyperlink"/>
            <w:color w:val="auto"/>
            <w:sz w:val="24"/>
            <w:szCs w:val="24"/>
          </w:rPr>
          <w:t>Rule 2320</w:t>
        </w:r>
      </w:hyperlink>
      <w:r w:rsidRPr="007D59F6">
        <w:rPr>
          <w:rStyle w:val="us"/>
          <w:sz w:val="24"/>
          <w:szCs w:val="24"/>
        </w:rPr>
        <w:t>(b)(2);</w:t>
      </w:r>
      <w:r w:rsidRPr="007D59F6">
        <w:rPr>
          <w:sz w:val="24"/>
          <w:szCs w:val="24"/>
        </w:rPr>
        <w:t xml:space="preserve"> </w:t>
      </w:r>
    </w:p>
    <w:p w14:paraId="7E1FD12B" w14:textId="77777777" w:rsidR="00863BA3" w:rsidRPr="007D59F6" w:rsidRDefault="00863BA3" w:rsidP="00606A8F">
      <w:pPr>
        <w:shd w:val="clear" w:color="auto" w:fill="FFFFFF"/>
        <w:tabs>
          <w:tab w:val="left" w:pos="720"/>
        </w:tabs>
        <w:ind w:left="720" w:hanging="360"/>
        <w:rPr>
          <w:rStyle w:val="us"/>
          <w:sz w:val="24"/>
          <w:szCs w:val="24"/>
        </w:rPr>
      </w:pPr>
    </w:p>
    <w:p w14:paraId="25A8644C" w14:textId="77777777" w:rsidR="006B2B95" w:rsidRPr="007D59F6" w:rsidRDefault="006B2B95" w:rsidP="00606A8F">
      <w:pPr>
        <w:shd w:val="clear" w:color="auto" w:fill="FFFFFF"/>
        <w:tabs>
          <w:tab w:val="left" w:pos="720"/>
        </w:tabs>
        <w:ind w:left="720" w:hanging="360"/>
        <w:rPr>
          <w:sz w:val="24"/>
          <w:szCs w:val="24"/>
        </w:rPr>
      </w:pPr>
      <w:r w:rsidRPr="007D59F6">
        <w:rPr>
          <w:rStyle w:val="us"/>
          <w:sz w:val="24"/>
          <w:szCs w:val="24"/>
        </w:rPr>
        <w:t xml:space="preserve">(7) </w:t>
      </w:r>
      <w:r w:rsidR="00606A8F" w:rsidRPr="007D59F6">
        <w:rPr>
          <w:rStyle w:val="us"/>
          <w:sz w:val="24"/>
          <w:szCs w:val="24"/>
        </w:rPr>
        <w:t>O</w:t>
      </w:r>
      <w:r w:rsidRPr="007D59F6">
        <w:rPr>
          <w:rStyle w:val="us"/>
          <w:sz w:val="24"/>
          <w:szCs w:val="24"/>
        </w:rPr>
        <w:t>fferings of modified guaranteed annuity contrac</w:t>
      </w:r>
      <w:r w:rsidR="00606A8F" w:rsidRPr="007D59F6">
        <w:rPr>
          <w:rStyle w:val="us"/>
          <w:sz w:val="24"/>
          <w:szCs w:val="24"/>
        </w:rPr>
        <w:t xml:space="preserve">ts and modified guaranteed life </w:t>
      </w:r>
      <w:r w:rsidRPr="007D59F6">
        <w:rPr>
          <w:rStyle w:val="us"/>
          <w:sz w:val="24"/>
          <w:szCs w:val="24"/>
        </w:rPr>
        <w:t xml:space="preserve">insurance policies, as referenced in </w:t>
      </w:r>
      <w:hyperlink r:id="rId95" w:tgtFrame="_blank" w:history="1">
        <w:r w:rsidRPr="007D59F6">
          <w:rPr>
            <w:rStyle w:val="Hyperlink"/>
            <w:color w:val="auto"/>
            <w:sz w:val="24"/>
            <w:szCs w:val="24"/>
          </w:rPr>
          <w:t>Rule 5110</w:t>
        </w:r>
      </w:hyperlink>
      <w:r w:rsidRPr="007D59F6">
        <w:rPr>
          <w:rStyle w:val="us"/>
          <w:sz w:val="24"/>
          <w:szCs w:val="24"/>
        </w:rPr>
        <w:t>(b)(8)(E);</w:t>
      </w:r>
      <w:r w:rsidRPr="007D59F6">
        <w:rPr>
          <w:sz w:val="24"/>
          <w:szCs w:val="24"/>
        </w:rPr>
        <w:t xml:space="preserve"> </w:t>
      </w:r>
    </w:p>
    <w:p w14:paraId="481C6CE2" w14:textId="77777777" w:rsidR="00863BA3" w:rsidRPr="007D59F6" w:rsidRDefault="00863BA3" w:rsidP="00D157F9">
      <w:pPr>
        <w:shd w:val="clear" w:color="auto" w:fill="FFFFFF"/>
        <w:ind w:left="810" w:hanging="450"/>
        <w:rPr>
          <w:rStyle w:val="us"/>
          <w:sz w:val="24"/>
          <w:szCs w:val="24"/>
        </w:rPr>
      </w:pPr>
    </w:p>
    <w:p w14:paraId="0589F990" w14:textId="77777777" w:rsidR="006B2B95" w:rsidRPr="007D59F6" w:rsidRDefault="006B2B95" w:rsidP="00863BA3">
      <w:pPr>
        <w:shd w:val="clear" w:color="auto" w:fill="FFFFFF"/>
        <w:ind w:left="720" w:hanging="360"/>
        <w:rPr>
          <w:sz w:val="24"/>
          <w:szCs w:val="24"/>
        </w:rPr>
      </w:pPr>
      <w:r w:rsidRPr="007D59F6">
        <w:rPr>
          <w:rStyle w:val="us"/>
          <w:sz w:val="24"/>
          <w:szCs w:val="24"/>
        </w:rPr>
        <w:t xml:space="preserve">(8) </w:t>
      </w:r>
      <w:r w:rsidR="00863BA3" w:rsidRPr="007D59F6">
        <w:rPr>
          <w:rStyle w:val="us"/>
          <w:sz w:val="24"/>
          <w:szCs w:val="24"/>
        </w:rPr>
        <w:t>O</w:t>
      </w:r>
      <w:r w:rsidRPr="007D59F6">
        <w:rPr>
          <w:rStyle w:val="us"/>
          <w:sz w:val="24"/>
          <w:szCs w:val="24"/>
        </w:rPr>
        <w:t>fferings of non-convertible debt or preferred securities that meet the transaction eligibility criteria for registering primary offerings of non-convertible securities on Forms S-3 and F-3;</w:t>
      </w:r>
      <w:r w:rsidRPr="007D59F6">
        <w:rPr>
          <w:sz w:val="24"/>
          <w:szCs w:val="24"/>
        </w:rPr>
        <w:t xml:space="preserve"> </w:t>
      </w:r>
    </w:p>
    <w:p w14:paraId="1937CC87" w14:textId="77777777" w:rsidR="00863BA3" w:rsidRPr="007D59F6" w:rsidRDefault="00863BA3" w:rsidP="00D157F9">
      <w:pPr>
        <w:shd w:val="clear" w:color="auto" w:fill="FFFFFF"/>
        <w:ind w:left="810" w:hanging="450"/>
        <w:rPr>
          <w:rStyle w:val="us"/>
          <w:sz w:val="24"/>
          <w:szCs w:val="24"/>
        </w:rPr>
      </w:pPr>
    </w:p>
    <w:p w14:paraId="0CAE07E6" w14:textId="77777777" w:rsidR="006B2B95" w:rsidRPr="007D59F6" w:rsidRDefault="006B2B95" w:rsidP="00863BA3">
      <w:pPr>
        <w:shd w:val="clear" w:color="auto" w:fill="FFFFFF"/>
        <w:ind w:left="720" w:hanging="360"/>
        <w:rPr>
          <w:sz w:val="24"/>
          <w:szCs w:val="24"/>
        </w:rPr>
      </w:pPr>
      <w:r w:rsidRPr="007D59F6">
        <w:rPr>
          <w:rStyle w:val="us"/>
          <w:sz w:val="24"/>
          <w:szCs w:val="24"/>
        </w:rPr>
        <w:t xml:space="preserve">(9) </w:t>
      </w:r>
      <w:r w:rsidR="00863BA3" w:rsidRPr="007D59F6">
        <w:rPr>
          <w:rStyle w:val="us"/>
          <w:sz w:val="24"/>
          <w:szCs w:val="24"/>
        </w:rPr>
        <w:t>O</w:t>
      </w:r>
      <w:r w:rsidRPr="007D59F6">
        <w:rPr>
          <w:rStyle w:val="us"/>
          <w:sz w:val="24"/>
          <w:szCs w:val="24"/>
        </w:rPr>
        <w:t>fferings of securities issued in conversions, stock splits and restructuring transactions that are executed by an already existing investor without the need for additional consideration or investments on the part of the investor;</w:t>
      </w:r>
      <w:r w:rsidRPr="007D59F6">
        <w:rPr>
          <w:sz w:val="24"/>
          <w:szCs w:val="24"/>
        </w:rPr>
        <w:t xml:space="preserve"> </w:t>
      </w:r>
    </w:p>
    <w:p w14:paraId="0B71C685" w14:textId="77777777" w:rsidR="006B2B95" w:rsidRPr="007D59F6" w:rsidRDefault="006B2B95" w:rsidP="00D157F9">
      <w:pPr>
        <w:shd w:val="clear" w:color="auto" w:fill="FFFFFF"/>
        <w:ind w:left="810" w:hanging="450"/>
        <w:rPr>
          <w:sz w:val="24"/>
          <w:szCs w:val="24"/>
        </w:rPr>
      </w:pPr>
      <w:r w:rsidRPr="007D59F6">
        <w:rPr>
          <w:rStyle w:val="us"/>
          <w:sz w:val="24"/>
          <w:szCs w:val="24"/>
        </w:rPr>
        <w:t xml:space="preserve">(10) </w:t>
      </w:r>
      <w:r w:rsidR="00863BA3" w:rsidRPr="007D59F6">
        <w:rPr>
          <w:rStyle w:val="us"/>
          <w:sz w:val="24"/>
          <w:szCs w:val="24"/>
        </w:rPr>
        <w:t>O</w:t>
      </w:r>
      <w:r w:rsidRPr="007D59F6">
        <w:rPr>
          <w:rStyle w:val="us"/>
          <w:sz w:val="24"/>
          <w:szCs w:val="24"/>
        </w:rPr>
        <w:t>fferings of securities of a commodity pool operated by a commodity pool operator, as defined under Section 1a(11) of the Commodity Exchange Act;</w:t>
      </w:r>
      <w:r w:rsidRPr="007D59F6">
        <w:rPr>
          <w:sz w:val="24"/>
          <w:szCs w:val="24"/>
        </w:rPr>
        <w:t xml:space="preserve"> </w:t>
      </w:r>
    </w:p>
    <w:p w14:paraId="26D98621" w14:textId="77777777" w:rsidR="00863BA3" w:rsidRPr="007D59F6" w:rsidRDefault="00863BA3" w:rsidP="00D157F9">
      <w:pPr>
        <w:shd w:val="clear" w:color="auto" w:fill="FFFFFF"/>
        <w:ind w:left="810" w:hanging="450"/>
        <w:rPr>
          <w:rStyle w:val="us"/>
          <w:sz w:val="24"/>
          <w:szCs w:val="24"/>
        </w:rPr>
      </w:pPr>
    </w:p>
    <w:p w14:paraId="01FB611B" w14:textId="77777777" w:rsidR="006B2B95" w:rsidRPr="007D59F6" w:rsidRDefault="006B2B95" w:rsidP="00D157F9">
      <w:pPr>
        <w:shd w:val="clear" w:color="auto" w:fill="FFFFFF"/>
        <w:ind w:left="810" w:hanging="450"/>
        <w:rPr>
          <w:sz w:val="24"/>
          <w:szCs w:val="24"/>
        </w:rPr>
      </w:pPr>
      <w:r w:rsidRPr="007D59F6">
        <w:rPr>
          <w:rStyle w:val="us"/>
          <w:sz w:val="24"/>
          <w:szCs w:val="24"/>
        </w:rPr>
        <w:t xml:space="preserve">(11) </w:t>
      </w:r>
      <w:r w:rsidR="00863BA3" w:rsidRPr="007D59F6">
        <w:rPr>
          <w:rStyle w:val="us"/>
          <w:sz w:val="24"/>
          <w:szCs w:val="24"/>
        </w:rPr>
        <w:t>B</w:t>
      </w:r>
      <w:r w:rsidRPr="007D59F6">
        <w:rPr>
          <w:rStyle w:val="us"/>
          <w:sz w:val="24"/>
          <w:szCs w:val="24"/>
        </w:rPr>
        <w:t>usiness combination transactions as defined in Securities Act Rule 165(f);</w:t>
      </w:r>
      <w:r w:rsidRPr="007D59F6">
        <w:rPr>
          <w:sz w:val="24"/>
          <w:szCs w:val="24"/>
        </w:rPr>
        <w:t xml:space="preserve"> </w:t>
      </w:r>
    </w:p>
    <w:p w14:paraId="23C8F65E" w14:textId="77777777" w:rsidR="00863BA3" w:rsidRPr="007D59F6" w:rsidRDefault="00863BA3" w:rsidP="00D157F9">
      <w:pPr>
        <w:shd w:val="clear" w:color="auto" w:fill="FFFFFF"/>
        <w:ind w:left="810" w:hanging="450"/>
        <w:rPr>
          <w:rStyle w:val="us"/>
          <w:sz w:val="24"/>
          <w:szCs w:val="24"/>
        </w:rPr>
      </w:pPr>
    </w:p>
    <w:p w14:paraId="6FA03868" w14:textId="77777777" w:rsidR="006B2B95" w:rsidRPr="007D59F6" w:rsidRDefault="006B2B95" w:rsidP="00D157F9">
      <w:pPr>
        <w:shd w:val="clear" w:color="auto" w:fill="FFFFFF"/>
        <w:ind w:left="810" w:hanging="450"/>
        <w:rPr>
          <w:sz w:val="24"/>
          <w:szCs w:val="24"/>
        </w:rPr>
      </w:pPr>
      <w:r w:rsidRPr="007D59F6">
        <w:rPr>
          <w:rStyle w:val="us"/>
          <w:sz w:val="24"/>
          <w:szCs w:val="24"/>
        </w:rPr>
        <w:t xml:space="preserve">(12) </w:t>
      </w:r>
      <w:r w:rsidR="00863BA3" w:rsidRPr="007D59F6">
        <w:rPr>
          <w:rStyle w:val="us"/>
          <w:sz w:val="24"/>
          <w:szCs w:val="24"/>
        </w:rPr>
        <w:t>O</w:t>
      </w:r>
      <w:r w:rsidRPr="007D59F6">
        <w:rPr>
          <w:rStyle w:val="us"/>
          <w:sz w:val="24"/>
          <w:szCs w:val="24"/>
        </w:rPr>
        <w:t>fferings of registered investment companies;</w:t>
      </w:r>
      <w:r w:rsidRPr="007D59F6">
        <w:rPr>
          <w:sz w:val="24"/>
          <w:szCs w:val="24"/>
        </w:rPr>
        <w:t xml:space="preserve"> </w:t>
      </w:r>
    </w:p>
    <w:p w14:paraId="70A0F0D4" w14:textId="77777777" w:rsidR="00863BA3" w:rsidRPr="007D59F6" w:rsidRDefault="00863BA3" w:rsidP="00D157F9">
      <w:pPr>
        <w:shd w:val="clear" w:color="auto" w:fill="FFFFFF"/>
        <w:ind w:left="810" w:hanging="450"/>
        <w:rPr>
          <w:rStyle w:val="us"/>
          <w:sz w:val="24"/>
          <w:szCs w:val="24"/>
        </w:rPr>
      </w:pPr>
    </w:p>
    <w:p w14:paraId="6943E961" w14:textId="77777777" w:rsidR="006B2B95" w:rsidRPr="007D59F6" w:rsidRDefault="006B2B95" w:rsidP="00D157F9">
      <w:pPr>
        <w:shd w:val="clear" w:color="auto" w:fill="FFFFFF"/>
        <w:ind w:left="810" w:hanging="450"/>
        <w:rPr>
          <w:sz w:val="24"/>
          <w:szCs w:val="24"/>
        </w:rPr>
      </w:pPr>
      <w:r w:rsidRPr="007D59F6">
        <w:rPr>
          <w:rStyle w:val="us"/>
          <w:sz w:val="24"/>
          <w:szCs w:val="24"/>
        </w:rPr>
        <w:t xml:space="preserve">(13) </w:t>
      </w:r>
      <w:r w:rsidR="00863BA3" w:rsidRPr="007D59F6">
        <w:rPr>
          <w:rStyle w:val="us"/>
          <w:sz w:val="24"/>
          <w:szCs w:val="24"/>
        </w:rPr>
        <w:t>S</w:t>
      </w:r>
      <w:r w:rsidRPr="007D59F6">
        <w:rPr>
          <w:rStyle w:val="us"/>
          <w:sz w:val="24"/>
          <w:szCs w:val="24"/>
        </w:rPr>
        <w:t>tandardized options, as defined in Securities Act Rule 238; and</w:t>
      </w:r>
      <w:r w:rsidRPr="007D59F6">
        <w:rPr>
          <w:sz w:val="24"/>
          <w:szCs w:val="24"/>
        </w:rPr>
        <w:t xml:space="preserve"> </w:t>
      </w:r>
    </w:p>
    <w:p w14:paraId="6D5D0B86" w14:textId="77777777" w:rsidR="00863BA3" w:rsidRPr="007D59F6" w:rsidRDefault="00863BA3" w:rsidP="00D157F9">
      <w:pPr>
        <w:shd w:val="clear" w:color="auto" w:fill="FFFFFF"/>
        <w:ind w:left="810" w:hanging="450"/>
        <w:rPr>
          <w:rStyle w:val="us"/>
          <w:sz w:val="24"/>
          <w:szCs w:val="24"/>
        </w:rPr>
      </w:pPr>
    </w:p>
    <w:p w14:paraId="258FF2FE" w14:textId="77777777" w:rsidR="006B2B95" w:rsidRPr="007D59F6" w:rsidRDefault="00863BA3" w:rsidP="00D157F9">
      <w:pPr>
        <w:shd w:val="clear" w:color="auto" w:fill="FFFFFF"/>
        <w:ind w:left="810" w:hanging="450"/>
        <w:rPr>
          <w:sz w:val="24"/>
          <w:szCs w:val="24"/>
        </w:rPr>
      </w:pPr>
      <w:r w:rsidRPr="007D59F6">
        <w:rPr>
          <w:rStyle w:val="us"/>
          <w:sz w:val="24"/>
          <w:szCs w:val="24"/>
        </w:rPr>
        <w:t>(14) O</w:t>
      </w:r>
      <w:r w:rsidR="006B2B95" w:rsidRPr="007D59F6">
        <w:rPr>
          <w:rStyle w:val="us"/>
          <w:sz w:val="24"/>
          <w:szCs w:val="24"/>
        </w:rPr>
        <w:t xml:space="preserve">fferings filed with FINRA under Rules </w:t>
      </w:r>
      <w:hyperlink r:id="rId96" w:tgtFrame="_blank" w:history="1">
        <w:r w:rsidR="006B2B95" w:rsidRPr="007D59F6">
          <w:rPr>
            <w:rStyle w:val="Hyperlink"/>
            <w:color w:val="auto"/>
            <w:sz w:val="24"/>
            <w:szCs w:val="24"/>
          </w:rPr>
          <w:t>2310</w:t>
        </w:r>
      </w:hyperlink>
      <w:r w:rsidR="006B2B95" w:rsidRPr="007D59F6">
        <w:rPr>
          <w:rStyle w:val="us"/>
          <w:sz w:val="24"/>
          <w:szCs w:val="24"/>
        </w:rPr>
        <w:t xml:space="preserve">, </w:t>
      </w:r>
      <w:hyperlink r:id="rId97" w:tgtFrame="_blank" w:history="1">
        <w:r w:rsidR="006B2B95" w:rsidRPr="007D59F6">
          <w:rPr>
            <w:rStyle w:val="Hyperlink"/>
            <w:color w:val="auto"/>
            <w:sz w:val="24"/>
            <w:szCs w:val="24"/>
          </w:rPr>
          <w:t>5110</w:t>
        </w:r>
      </w:hyperlink>
      <w:r w:rsidR="006B2B95" w:rsidRPr="007D59F6">
        <w:rPr>
          <w:rStyle w:val="us"/>
          <w:sz w:val="24"/>
          <w:szCs w:val="24"/>
        </w:rPr>
        <w:t xml:space="preserve">, </w:t>
      </w:r>
      <w:hyperlink r:id="rId98" w:tgtFrame="_blank" w:history="1">
        <w:r w:rsidR="006B2B95" w:rsidRPr="007D59F6">
          <w:rPr>
            <w:rStyle w:val="Hyperlink"/>
            <w:color w:val="auto"/>
            <w:sz w:val="24"/>
            <w:szCs w:val="24"/>
          </w:rPr>
          <w:t>5121</w:t>
        </w:r>
      </w:hyperlink>
      <w:r w:rsidR="006B2B95" w:rsidRPr="007D59F6">
        <w:rPr>
          <w:rStyle w:val="us"/>
          <w:sz w:val="24"/>
          <w:szCs w:val="24"/>
        </w:rPr>
        <w:t xml:space="preserve"> and </w:t>
      </w:r>
      <w:hyperlink r:id="rId99" w:tgtFrame="_blank" w:history="1">
        <w:r w:rsidR="006B2B95" w:rsidRPr="007D59F6">
          <w:rPr>
            <w:rStyle w:val="Hyperlink"/>
            <w:color w:val="auto"/>
            <w:sz w:val="24"/>
            <w:szCs w:val="24"/>
          </w:rPr>
          <w:t>5122</w:t>
        </w:r>
      </w:hyperlink>
      <w:r w:rsidR="006B2B95" w:rsidRPr="007D59F6">
        <w:rPr>
          <w:rStyle w:val="us"/>
          <w:sz w:val="24"/>
          <w:szCs w:val="24"/>
        </w:rPr>
        <w:t xml:space="preserve">, or exempt from filing thereunder in accordance with </w:t>
      </w:r>
      <w:hyperlink r:id="rId100" w:tgtFrame="_blank" w:history="1">
        <w:r w:rsidR="006B2B95" w:rsidRPr="007D59F6">
          <w:rPr>
            <w:rStyle w:val="Hyperlink"/>
            <w:color w:val="auto"/>
            <w:sz w:val="24"/>
            <w:szCs w:val="24"/>
          </w:rPr>
          <w:t>Rule 5110</w:t>
        </w:r>
      </w:hyperlink>
      <w:r w:rsidR="006B2B95" w:rsidRPr="007D59F6">
        <w:rPr>
          <w:rStyle w:val="us"/>
          <w:sz w:val="24"/>
          <w:szCs w:val="24"/>
        </w:rPr>
        <w:t>(b)(7).</w:t>
      </w:r>
      <w:r w:rsidR="006B2B95" w:rsidRPr="007D59F6">
        <w:rPr>
          <w:sz w:val="24"/>
          <w:szCs w:val="24"/>
        </w:rPr>
        <w:t xml:space="preserve"> </w:t>
      </w:r>
    </w:p>
    <w:p w14:paraId="1E69AF8D" w14:textId="77777777" w:rsidR="006B2B95" w:rsidRPr="007D59F6" w:rsidRDefault="006B2B95" w:rsidP="006B2B95">
      <w:pPr>
        <w:rPr>
          <w:sz w:val="24"/>
          <w:szCs w:val="24"/>
        </w:rPr>
      </w:pPr>
    </w:p>
    <w:p w14:paraId="57806D51" w14:textId="77777777" w:rsidR="00863BA3" w:rsidRPr="007D59F6" w:rsidRDefault="00863BA3" w:rsidP="00863BA3">
      <w:pPr>
        <w:shd w:val="clear" w:color="auto" w:fill="FFFFFF"/>
        <w:spacing w:line="270" w:lineRule="atLeast"/>
        <w:ind w:left="360"/>
        <w:rPr>
          <w:sz w:val="24"/>
          <w:szCs w:val="24"/>
        </w:rPr>
      </w:pPr>
      <w:r w:rsidRPr="007D59F6">
        <w:rPr>
          <w:rStyle w:val="us"/>
          <w:sz w:val="24"/>
          <w:szCs w:val="24"/>
        </w:rPr>
        <w:t xml:space="preserve">Pursuant to the </w:t>
      </w:r>
      <w:hyperlink r:id="rId101" w:tgtFrame="_blank" w:history="1">
        <w:r w:rsidRPr="007D59F6">
          <w:rPr>
            <w:rStyle w:val="Hyperlink"/>
            <w:color w:val="auto"/>
            <w:sz w:val="24"/>
            <w:szCs w:val="24"/>
          </w:rPr>
          <w:t>Rule 9600</w:t>
        </w:r>
      </w:hyperlink>
      <w:r w:rsidRPr="007D59F6">
        <w:rPr>
          <w:rStyle w:val="us"/>
          <w:sz w:val="24"/>
          <w:szCs w:val="24"/>
        </w:rPr>
        <w:t xml:space="preserve"> Series, FINRA may exempt a member or associated person from the provisions of this Rule for good cause shown.</w:t>
      </w:r>
      <w:r w:rsidRPr="007D59F6">
        <w:rPr>
          <w:sz w:val="24"/>
          <w:szCs w:val="24"/>
        </w:rPr>
        <w:t xml:space="preserve"> </w:t>
      </w:r>
    </w:p>
    <w:p w14:paraId="74EEA5FF" w14:textId="77777777" w:rsidR="00863BA3" w:rsidRPr="007D59F6" w:rsidRDefault="00863BA3" w:rsidP="006B2B95">
      <w:pPr>
        <w:rPr>
          <w:sz w:val="24"/>
          <w:szCs w:val="24"/>
        </w:rPr>
      </w:pPr>
    </w:p>
    <w:p w14:paraId="02632538" w14:textId="77777777" w:rsidR="006B2B95" w:rsidRPr="007D59F6" w:rsidRDefault="006B2B95">
      <w:pPr>
        <w:jc w:val="both"/>
        <w:rPr>
          <w:b/>
          <w:sz w:val="24"/>
        </w:rPr>
      </w:pPr>
    </w:p>
    <w:p w14:paraId="3097994E" w14:textId="77777777" w:rsidR="000C099C" w:rsidRPr="00AA03AA" w:rsidRDefault="00315CF8" w:rsidP="00936FEE">
      <w:pPr>
        <w:pStyle w:val="Heading2"/>
        <w:rPr>
          <w:u w:val="single"/>
        </w:rPr>
      </w:pPr>
      <w:r w:rsidRPr="00AA03AA">
        <w:t>1</w:t>
      </w:r>
      <w:r w:rsidR="00A46E62">
        <w:t>4</w:t>
      </w:r>
      <w:r w:rsidR="00F57DAC" w:rsidRPr="00AA03AA">
        <w:t>.9</w:t>
      </w:r>
      <w:r w:rsidR="00C7151F">
        <w:t xml:space="preserve"> </w:t>
      </w:r>
      <w:r w:rsidR="000C099C" w:rsidRPr="00AA03AA">
        <w:t>SEC Rule 15c2-4: Escrow Account Rule</w:t>
      </w:r>
    </w:p>
    <w:p w14:paraId="42E11583" w14:textId="77777777" w:rsidR="00884CCF" w:rsidRPr="00EA0A5B" w:rsidRDefault="00884CCF" w:rsidP="0044144D">
      <w:pPr>
        <w:pStyle w:val="MRS"/>
      </w:pPr>
      <w:r w:rsidRPr="00EA0A5B">
        <w:t xml:space="preserve">Pursuant to SEC Rule 15c2-4, the following </w:t>
      </w:r>
      <w:r w:rsidR="0044144D" w:rsidRPr="00EA0A5B">
        <w:t>procedures for the protection of customer funds including the establishment of an escrow account where required:</w:t>
      </w:r>
    </w:p>
    <w:p w14:paraId="50031AB4" w14:textId="77777777" w:rsidR="0044144D" w:rsidRPr="00EA0A5B" w:rsidRDefault="0044144D" w:rsidP="003E7B18">
      <w:pPr>
        <w:numPr>
          <w:ilvl w:val="0"/>
          <w:numId w:val="292"/>
        </w:numPr>
        <w:rPr>
          <w:sz w:val="24"/>
          <w:szCs w:val="24"/>
        </w:rPr>
      </w:pPr>
      <w:r w:rsidRPr="00EA0A5B">
        <w:rPr>
          <w:sz w:val="24"/>
          <w:szCs w:val="24"/>
        </w:rPr>
        <w:t>Establish an escrow account and execute a standard escrow agreement with a bank that is not affiliated with the Company or Issuer. The escrow account may not be controlled by the issuer.</w:t>
      </w:r>
    </w:p>
    <w:p w14:paraId="22245C9C" w14:textId="77777777" w:rsidR="0044144D" w:rsidRPr="00EA0A5B" w:rsidRDefault="0044144D" w:rsidP="003E7B18">
      <w:pPr>
        <w:numPr>
          <w:ilvl w:val="0"/>
          <w:numId w:val="292"/>
        </w:numPr>
        <w:spacing w:before="100" w:beforeAutospacing="1" w:after="100" w:afterAutospacing="1"/>
        <w:rPr>
          <w:sz w:val="24"/>
          <w:szCs w:val="24"/>
        </w:rPr>
      </w:pPr>
      <w:r w:rsidRPr="00EA0A5B">
        <w:rPr>
          <w:sz w:val="24"/>
          <w:szCs w:val="24"/>
        </w:rPr>
        <w:t xml:space="preserve">Maintain copies of bank statements for the escrow account and review the statements when received, to ensure funds are not withdrawn prior to the date </w:t>
      </w:r>
      <w:r w:rsidR="004951FB" w:rsidRPr="00EA0A5B">
        <w:rPr>
          <w:sz w:val="24"/>
          <w:szCs w:val="24"/>
        </w:rPr>
        <w:t>any</w:t>
      </w:r>
      <w:r w:rsidRPr="00EA0A5B">
        <w:rPr>
          <w:sz w:val="24"/>
          <w:szCs w:val="24"/>
        </w:rPr>
        <w:t xml:space="preserve"> contingency is met</w:t>
      </w:r>
      <w:r w:rsidR="004951FB" w:rsidRPr="00EA0A5B">
        <w:rPr>
          <w:sz w:val="24"/>
          <w:szCs w:val="24"/>
        </w:rPr>
        <w:t>, if applicable</w:t>
      </w:r>
      <w:r w:rsidRPr="00EA0A5B">
        <w:rPr>
          <w:sz w:val="24"/>
          <w:szCs w:val="24"/>
        </w:rPr>
        <w:t>.</w:t>
      </w:r>
    </w:p>
    <w:p w14:paraId="680191C1" w14:textId="77777777" w:rsidR="0044144D" w:rsidRPr="00EA0A5B" w:rsidRDefault="0044144D" w:rsidP="003E7B18">
      <w:pPr>
        <w:numPr>
          <w:ilvl w:val="0"/>
          <w:numId w:val="292"/>
        </w:numPr>
        <w:spacing w:before="100" w:beforeAutospacing="1" w:after="100" w:afterAutospacing="1"/>
        <w:rPr>
          <w:sz w:val="24"/>
          <w:szCs w:val="24"/>
        </w:rPr>
      </w:pPr>
      <w:r w:rsidRPr="00EA0A5B">
        <w:rPr>
          <w:sz w:val="24"/>
          <w:szCs w:val="24"/>
        </w:rPr>
        <w:t>Ensure customer funds are promptly deposited to the escrow account.</w:t>
      </w:r>
    </w:p>
    <w:p w14:paraId="1F418516" w14:textId="77777777" w:rsidR="0044144D" w:rsidRPr="00EA0A5B" w:rsidRDefault="0044144D" w:rsidP="003E7B18">
      <w:pPr>
        <w:numPr>
          <w:ilvl w:val="0"/>
          <w:numId w:val="292"/>
        </w:numPr>
        <w:spacing w:before="100" w:beforeAutospacing="1" w:after="100" w:afterAutospacing="1"/>
        <w:rPr>
          <w:sz w:val="24"/>
          <w:szCs w:val="24"/>
        </w:rPr>
      </w:pPr>
      <w:r w:rsidRPr="00EA0A5B">
        <w:rPr>
          <w:sz w:val="24"/>
          <w:szCs w:val="24"/>
        </w:rPr>
        <w:t>Maintain records of all potential purchasers including the quantity to be purchased, when funds are received, and when funds are forwarded to the issuer or escrow account.</w:t>
      </w:r>
    </w:p>
    <w:p w14:paraId="2F9B6D04" w14:textId="77777777" w:rsidR="0044144D" w:rsidRPr="00EA0A5B" w:rsidRDefault="0044144D" w:rsidP="003E7B18">
      <w:pPr>
        <w:numPr>
          <w:ilvl w:val="0"/>
          <w:numId w:val="292"/>
        </w:numPr>
        <w:spacing w:before="100" w:beforeAutospacing="1" w:after="100" w:afterAutospacing="1"/>
        <w:rPr>
          <w:sz w:val="24"/>
          <w:szCs w:val="24"/>
        </w:rPr>
      </w:pPr>
      <w:r w:rsidRPr="00EA0A5B">
        <w:rPr>
          <w:sz w:val="24"/>
          <w:szCs w:val="24"/>
        </w:rPr>
        <w:t>Ensure checks are forwarded to the issuer (where an escrow account is not used) or to an escrow account by noon of the business day following receipt.</w:t>
      </w:r>
    </w:p>
    <w:p w14:paraId="78B20BFD" w14:textId="77777777" w:rsidR="0044144D" w:rsidRPr="00EA0A5B" w:rsidRDefault="0017695F" w:rsidP="003E7B18">
      <w:pPr>
        <w:numPr>
          <w:ilvl w:val="0"/>
          <w:numId w:val="292"/>
        </w:numPr>
        <w:spacing w:before="100" w:beforeAutospacing="1" w:after="100" w:afterAutospacing="1"/>
        <w:rPr>
          <w:sz w:val="24"/>
          <w:szCs w:val="24"/>
        </w:rPr>
      </w:pPr>
      <w:r w:rsidRPr="00ED58B6">
        <w:rPr>
          <w:sz w:val="24"/>
          <w:szCs w:val="24"/>
        </w:rPr>
        <w:t>Ensure a</w:t>
      </w:r>
      <w:r w:rsidR="0044144D" w:rsidRPr="00ED58B6">
        <w:rPr>
          <w:sz w:val="24"/>
          <w:szCs w:val="24"/>
        </w:rPr>
        <w:t>uthoriz</w:t>
      </w:r>
      <w:r w:rsidRPr="00ED58B6">
        <w:rPr>
          <w:sz w:val="24"/>
          <w:szCs w:val="24"/>
        </w:rPr>
        <w:t>ation of</w:t>
      </w:r>
      <w:r w:rsidR="0044144D" w:rsidRPr="00ED58B6">
        <w:rPr>
          <w:sz w:val="24"/>
          <w:szCs w:val="24"/>
        </w:rPr>
        <w:t xml:space="preserve"> </w:t>
      </w:r>
      <w:r w:rsidR="0044144D" w:rsidRPr="00EA0A5B">
        <w:rPr>
          <w:sz w:val="24"/>
          <w:szCs w:val="24"/>
        </w:rPr>
        <w:t>release of funds to the issuer from an escrow account after the contingency is met and after a review of purchasers has been conducted.</w:t>
      </w:r>
    </w:p>
    <w:p w14:paraId="6182EB6F" w14:textId="77777777" w:rsidR="0044144D" w:rsidRPr="00EA0A5B" w:rsidRDefault="0044144D" w:rsidP="003E7B18">
      <w:pPr>
        <w:numPr>
          <w:ilvl w:val="0"/>
          <w:numId w:val="292"/>
        </w:numPr>
        <w:spacing w:before="100" w:beforeAutospacing="1" w:after="100" w:afterAutospacing="1"/>
        <w:rPr>
          <w:sz w:val="24"/>
          <w:szCs w:val="24"/>
        </w:rPr>
      </w:pPr>
      <w:r w:rsidRPr="00EA0A5B">
        <w:rPr>
          <w:sz w:val="24"/>
          <w:szCs w:val="24"/>
        </w:rPr>
        <w:t>If the issuer extends the offering period, require investors to reaffirm their investments.</w:t>
      </w:r>
    </w:p>
    <w:p w14:paraId="768EEB58" w14:textId="77777777" w:rsidR="0044144D" w:rsidRPr="00ED58B6" w:rsidRDefault="0044144D" w:rsidP="003E7B18">
      <w:pPr>
        <w:numPr>
          <w:ilvl w:val="0"/>
          <w:numId w:val="292"/>
        </w:numPr>
        <w:spacing w:before="100" w:beforeAutospacing="1" w:after="100" w:afterAutospacing="1"/>
      </w:pPr>
      <w:r w:rsidRPr="00EA0A5B">
        <w:rPr>
          <w:sz w:val="24"/>
          <w:szCs w:val="24"/>
        </w:rPr>
        <w:t>If the issuer reduces the offering minimum, return funds to investors</w:t>
      </w:r>
      <w:r w:rsidR="0017695F">
        <w:rPr>
          <w:sz w:val="24"/>
          <w:szCs w:val="24"/>
        </w:rPr>
        <w:t xml:space="preserve">, </w:t>
      </w:r>
      <w:r w:rsidR="0017695F" w:rsidRPr="00ED58B6">
        <w:rPr>
          <w:sz w:val="24"/>
          <w:szCs w:val="24"/>
        </w:rPr>
        <w:t>if applicable</w:t>
      </w:r>
      <w:r w:rsidRPr="00ED58B6">
        <w:rPr>
          <w:sz w:val="24"/>
          <w:szCs w:val="24"/>
        </w:rPr>
        <w:t>.</w:t>
      </w:r>
    </w:p>
    <w:p w14:paraId="63E78FFE" w14:textId="77777777" w:rsidR="000C099C" w:rsidRDefault="000C099C">
      <w:pPr>
        <w:pStyle w:val="MRS"/>
      </w:pPr>
      <w:r>
        <w:t xml:space="preserve">Furthermore, in the case of a private placement or a direct participation program where the terms of the offering specify certain contingencies which must be met prior to disbursement or release of funds to the Sponsor, all customer funds received in connection with such offerings will be placed on deposit in an escrow account in accordance with SEC </w:t>
      </w:r>
      <w:r w:rsidR="0010111B" w:rsidRPr="0010111B">
        <w:t>(</w:t>
      </w:r>
      <w:r w:rsidR="0010111B" w:rsidRPr="0010111B">
        <w:rPr>
          <w:bCs/>
          <w:szCs w:val="24"/>
        </w:rPr>
        <w:t>Securities Exchange Act of 1934</w:t>
      </w:r>
      <w:r w:rsidR="0010111B" w:rsidRPr="0010111B">
        <w:t>, Part 240</w:t>
      </w:r>
      <w:r w:rsidR="0010111B">
        <w:t xml:space="preserve">) </w:t>
      </w:r>
      <w:r>
        <w:t>Rule 15c2-4, until such time as the contingencies of the offerings are met or the offering is terminated.  In the case of an offering terminating prior to meeting the contingencies of the offering, all investor monies will be returned to the investor</w:t>
      </w:r>
      <w:r w:rsidR="00B44ABA" w:rsidRPr="00B44ABA">
        <w:t xml:space="preserve"> </w:t>
      </w:r>
      <w:r w:rsidR="00B44ABA">
        <w:t>in order to break escrow</w:t>
      </w:r>
      <w:r>
        <w:t xml:space="preserve">.  Further, any investor checks received in connection with such an </w:t>
      </w:r>
      <w:r w:rsidR="003A02BB">
        <w:t>offering</w:t>
      </w:r>
      <w:r>
        <w:t xml:space="preserve"> shall be made out to the escrow account.  Any checks received from a customer, in connection with a contingent direct participation program, which are made out to a party other than the escrow account shall be immediately returned to the customer.   Morris Monroe or his designee shall be responsible for the Company’s compliance with SEC Rules 15c2-4 and 10b-9.</w:t>
      </w:r>
    </w:p>
    <w:p w14:paraId="458BFB62" w14:textId="77777777" w:rsidR="000C099C" w:rsidRDefault="000C099C">
      <w:pPr>
        <w:jc w:val="both"/>
        <w:rPr>
          <w:b/>
          <w:sz w:val="24"/>
        </w:rPr>
      </w:pPr>
    </w:p>
    <w:p w14:paraId="2637BEF6" w14:textId="77777777" w:rsidR="00315CF8" w:rsidRDefault="00315CF8" w:rsidP="00315CF8">
      <w:bookmarkStart w:id="253" w:name="_Toc149007030"/>
    </w:p>
    <w:p w14:paraId="43A5AD79" w14:textId="77777777" w:rsidR="000C099C" w:rsidRDefault="00315CF8" w:rsidP="00936FEE">
      <w:pPr>
        <w:pStyle w:val="Heading2"/>
      </w:pPr>
      <w:r>
        <w:t>1</w:t>
      </w:r>
      <w:r w:rsidR="00E5056A">
        <w:t>4</w:t>
      </w:r>
      <w:r>
        <w:t>.</w:t>
      </w:r>
      <w:r w:rsidR="00F57DAC">
        <w:t>10</w:t>
      </w:r>
      <w:r>
        <w:t xml:space="preserve"> State </w:t>
      </w:r>
      <w:r w:rsidR="000C099C">
        <w:t>Blue Sky -Notice filings and Fee Payments</w:t>
      </w:r>
      <w:bookmarkEnd w:id="253"/>
    </w:p>
    <w:p w14:paraId="45FCC716" w14:textId="77777777" w:rsidR="000C099C" w:rsidRDefault="000C099C">
      <w:pPr>
        <w:keepNext/>
        <w:jc w:val="both"/>
        <w:rPr>
          <w:sz w:val="24"/>
        </w:rPr>
      </w:pPr>
      <w:r>
        <w:rPr>
          <w:sz w:val="24"/>
        </w:rPr>
        <w:t>Morris Monroe or his designee shall ensure that if a notice filing or fee payment is required in a state where the issue has been sold that such is done. This shall be documented by maintaining a file copy of any such notices that the Company files, or a copy of a letter from the issuer or its counsel that such has been filed or else that the issue is exempt from filing, or a memo to the files by Morris Monroe, his designee, that a filing or fee payment is not required.</w:t>
      </w:r>
    </w:p>
    <w:p w14:paraId="0D6E5F74" w14:textId="77777777" w:rsidR="000C099C" w:rsidRDefault="000C099C">
      <w:pPr>
        <w:jc w:val="both"/>
        <w:rPr>
          <w:b/>
          <w:sz w:val="24"/>
        </w:rPr>
      </w:pPr>
    </w:p>
    <w:p w14:paraId="5E508B0E" w14:textId="77777777" w:rsidR="00CB4779" w:rsidRDefault="00CB4779" w:rsidP="00CB4779">
      <w:bookmarkStart w:id="254" w:name="_Toc149007033"/>
    </w:p>
    <w:p w14:paraId="52F36E7A" w14:textId="77777777" w:rsidR="000C099C" w:rsidRDefault="00315CF8" w:rsidP="00936FEE">
      <w:pPr>
        <w:pStyle w:val="Heading2"/>
      </w:pPr>
      <w:r>
        <w:t>1</w:t>
      </w:r>
      <w:r w:rsidR="00E5056A">
        <w:t>4</w:t>
      </w:r>
      <w:r>
        <w:t>.1</w:t>
      </w:r>
      <w:r w:rsidR="00F57DAC">
        <w:t>1</w:t>
      </w:r>
      <w:r>
        <w:t xml:space="preserve"> </w:t>
      </w:r>
      <w:r w:rsidR="000C099C" w:rsidRPr="00282D81">
        <w:t>Compensation</w:t>
      </w:r>
      <w:bookmarkEnd w:id="254"/>
    </w:p>
    <w:p w14:paraId="5FE228B8" w14:textId="77777777" w:rsidR="000C099C" w:rsidRDefault="000C099C">
      <w:pPr>
        <w:jc w:val="both"/>
        <w:rPr>
          <w:sz w:val="24"/>
        </w:rPr>
      </w:pPr>
      <w:r>
        <w:rPr>
          <w:sz w:val="24"/>
        </w:rPr>
        <w:t xml:space="preserve">Morris Monroe will review the prospectus to determine that the underwriting compensation does not exceed 10% of the gross proceeds of the offering including trail commissions.  An additional .5% may be reimbursed to members or independent due diligence firms for bona fide due diligence expenses, which can be documented.  An additional 4.5% is permitted for issuer organization </w:t>
      </w:r>
      <w:r w:rsidR="00C7655E">
        <w:rPr>
          <w:sz w:val="24"/>
        </w:rPr>
        <w:t xml:space="preserve">and </w:t>
      </w:r>
      <w:r>
        <w:rPr>
          <w:sz w:val="24"/>
        </w:rPr>
        <w:t xml:space="preserve">offering expenses (O&amp;O expenses).  In sum total issuer organization offering expenses are limited to 15% of the offering proceeds.  Morris Monroe may rely on the results of an inquiry conducted by another member if the above </w:t>
      </w:r>
      <w:r w:rsidR="00C170A3">
        <w:rPr>
          <w:sz w:val="24"/>
        </w:rPr>
        <w:t>criterion is</w:t>
      </w:r>
      <w:r>
        <w:rPr>
          <w:sz w:val="24"/>
        </w:rPr>
        <w:t xml:space="preserve"> met.  He will evidence his review of the compensation and other terms by initialing the file copy of the offering memorandum or circular.</w:t>
      </w:r>
    </w:p>
    <w:p w14:paraId="0240F1FD" w14:textId="77777777" w:rsidR="000C099C" w:rsidRDefault="000C099C">
      <w:pPr>
        <w:jc w:val="both"/>
        <w:rPr>
          <w:sz w:val="24"/>
        </w:rPr>
      </w:pPr>
    </w:p>
    <w:p w14:paraId="109033E8" w14:textId="77777777" w:rsidR="000C099C" w:rsidRDefault="000C099C">
      <w:pPr>
        <w:pStyle w:val="BodyText2"/>
        <w:widowControl/>
        <w:jc w:val="both"/>
        <w:rPr>
          <w:szCs w:val="24"/>
        </w:rPr>
      </w:pPr>
      <w:r>
        <w:rPr>
          <w:szCs w:val="24"/>
        </w:rPr>
        <w:t xml:space="preserve">Morris Monroe  will remind </w:t>
      </w:r>
      <w:r w:rsidR="008334AA">
        <w:rPr>
          <w:szCs w:val="24"/>
        </w:rPr>
        <w:t>A</w:t>
      </w:r>
      <w:r>
        <w:rPr>
          <w:szCs w:val="24"/>
        </w:rPr>
        <w:t xml:space="preserve">ssociated </w:t>
      </w:r>
      <w:r w:rsidR="008334AA">
        <w:rPr>
          <w:szCs w:val="24"/>
        </w:rPr>
        <w:t>P</w:t>
      </w:r>
      <w:r>
        <w:rPr>
          <w:szCs w:val="24"/>
        </w:rPr>
        <w:t xml:space="preserve">ersons on the prohibitions concerning the receipt of gifts with more than a </w:t>
      </w:r>
      <w:r w:rsidR="00EB36DF">
        <w:rPr>
          <w:szCs w:val="24"/>
        </w:rPr>
        <w:t>de</w:t>
      </w:r>
      <w:r w:rsidR="00E5056A">
        <w:rPr>
          <w:szCs w:val="24"/>
        </w:rPr>
        <w:t xml:space="preserve"> </w:t>
      </w:r>
      <w:r w:rsidR="00EB36DF">
        <w:rPr>
          <w:szCs w:val="24"/>
        </w:rPr>
        <w:t>minimus</w:t>
      </w:r>
      <w:r>
        <w:rPr>
          <w:szCs w:val="24"/>
        </w:rPr>
        <w:t xml:space="preserve"> value, the prohibition of payments or reimbursements preconditioned on the achievement of a sales target, and the prohibition of payments and reimbursements for travel and meetings that are not bona fide due diligence meetings or training and education meetings.  (Refer to Non-Cash Compensation in Rule 2810(b)(4)(E).  This will be enforced by reviewing </w:t>
      </w:r>
      <w:r w:rsidR="00102976">
        <w:rPr>
          <w:szCs w:val="24"/>
        </w:rPr>
        <w:t>any</w:t>
      </w:r>
      <w:r>
        <w:rPr>
          <w:szCs w:val="24"/>
        </w:rPr>
        <w:t xml:space="preserve"> Gifts and Gratuities Log and Travel Receipts</w:t>
      </w:r>
      <w:r w:rsidR="00102976">
        <w:rPr>
          <w:szCs w:val="24"/>
        </w:rPr>
        <w:t xml:space="preserve"> for the offering</w:t>
      </w:r>
      <w:r>
        <w:rPr>
          <w:szCs w:val="24"/>
        </w:rPr>
        <w:t>.</w:t>
      </w:r>
    </w:p>
    <w:p w14:paraId="0723F938" w14:textId="77777777" w:rsidR="000C099C" w:rsidRDefault="000C099C">
      <w:pPr>
        <w:tabs>
          <w:tab w:val="left" w:pos="720"/>
          <w:tab w:val="left" w:pos="1260"/>
        </w:tabs>
        <w:jc w:val="both"/>
        <w:rPr>
          <w:sz w:val="24"/>
        </w:rPr>
      </w:pPr>
    </w:p>
    <w:p w14:paraId="0A1C8ABA" w14:textId="77777777" w:rsidR="00315CF8" w:rsidRDefault="00315CF8" w:rsidP="00315CF8">
      <w:bookmarkStart w:id="255" w:name="_Toc149007037"/>
    </w:p>
    <w:p w14:paraId="0402A996" w14:textId="64AEC157" w:rsidR="000C099C" w:rsidRDefault="00315CF8" w:rsidP="00936FEE">
      <w:pPr>
        <w:pStyle w:val="Heading2"/>
      </w:pPr>
      <w:r>
        <w:t>1</w:t>
      </w:r>
      <w:r w:rsidR="00E5056A">
        <w:t>4</w:t>
      </w:r>
      <w:r>
        <w:t>.1</w:t>
      </w:r>
      <w:r w:rsidR="00F57DAC">
        <w:t>2</w:t>
      </w:r>
      <w:r>
        <w:t xml:space="preserve"> </w:t>
      </w:r>
      <w:r w:rsidR="000C099C">
        <w:t xml:space="preserve">Investor </w:t>
      </w:r>
      <w:r w:rsidR="00D67E82">
        <w:t>BI</w:t>
      </w:r>
      <w:r w:rsidR="000C099C">
        <w:t xml:space="preserve"> and Concentration Reviews</w:t>
      </w:r>
      <w:bookmarkEnd w:id="255"/>
    </w:p>
    <w:p w14:paraId="753092D1" w14:textId="620C9585" w:rsidR="000C099C" w:rsidRDefault="000C099C">
      <w:pPr>
        <w:jc w:val="both"/>
        <w:rPr>
          <w:sz w:val="24"/>
        </w:rPr>
      </w:pPr>
      <w:r>
        <w:rPr>
          <w:sz w:val="24"/>
        </w:rPr>
        <w:t xml:space="preserve">Morris Monroe will review the confidential offering memorandum for each private placement offered by the Company, in accordance with </w:t>
      </w:r>
      <w:r w:rsidRPr="0035367E">
        <w:rPr>
          <w:sz w:val="24"/>
        </w:rPr>
        <w:t xml:space="preserve">FINRA </w:t>
      </w:r>
      <w:r>
        <w:rPr>
          <w:sz w:val="24"/>
        </w:rPr>
        <w:t xml:space="preserve">Rule 2810 (b)(2), to ensure that standards of </w:t>
      </w:r>
      <w:r w:rsidR="00D67E82" w:rsidRPr="00D67E82">
        <w:rPr>
          <w:color w:val="FF0000"/>
          <w:sz w:val="24"/>
        </w:rPr>
        <w:t>BI</w:t>
      </w:r>
      <w:r>
        <w:rPr>
          <w:sz w:val="24"/>
        </w:rPr>
        <w:t xml:space="preserve"> have been established and are fully disclosed in the private placement memorandum.  In addition to the standards set forth in the private placement memorandum, Morris Monroe</w:t>
      </w:r>
      <w:r w:rsidR="00536396">
        <w:rPr>
          <w:sz w:val="24"/>
        </w:rPr>
        <w:t>, or applicable supervisor</w:t>
      </w:r>
      <w:r>
        <w:rPr>
          <w:sz w:val="24"/>
        </w:rPr>
        <w:t xml:space="preserve"> shall use reasonable efforts to ensure that all customers of the Company meet the following standards:</w:t>
      </w:r>
    </w:p>
    <w:p w14:paraId="637D4606" w14:textId="77777777" w:rsidR="000C099C" w:rsidRDefault="000C099C">
      <w:pPr>
        <w:jc w:val="both"/>
        <w:rPr>
          <w:sz w:val="24"/>
        </w:rPr>
      </w:pPr>
    </w:p>
    <w:p w14:paraId="57F435CF" w14:textId="77777777" w:rsidR="00C7151F" w:rsidRDefault="00C7151F" w:rsidP="003E7B18">
      <w:pPr>
        <w:numPr>
          <w:ilvl w:val="0"/>
          <w:numId w:val="149"/>
        </w:numPr>
        <w:autoSpaceDE w:val="0"/>
        <w:autoSpaceDN w:val="0"/>
        <w:adjustRightInd w:val="0"/>
        <w:spacing w:after="240"/>
        <w:jc w:val="both"/>
        <w:rPr>
          <w:sz w:val="24"/>
        </w:rPr>
      </w:pPr>
      <w:r w:rsidRPr="00C7151F">
        <w:rPr>
          <w:sz w:val="24"/>
        </w:rPr>
        <w:t>T</w:t>
      </w:r>
      <w:r w:rsidR="000C099C" w:rsidRPr="00C7151F">
        <w:rPr>
          <w:sz w:val="24"/>
        </w:rPr>
        <w:t>hat the customer is in a financial position appropriate to enable it to realize, to a significant extent, the benefits described in the private placement memorandum, including the tax benefits in instances where they are a significant aspect of the program; and</w:t>
      </w:r>
      <w:r w:rsidRPr="00C7151F">
        <w:rPr>
          <w:sz w:val="24"/>
        </w:rPr>
        <w:t xml:space="preserve"> </w:t>
      </w:r>
    </w:p>
    <w:p w14:paraId="4EC13A0A" w14:textId="77777777" w:rsidR="000C099C" w:rsidRPr="00C7151F" w:rsidRDefault="00C7151F" w:rsidP="003E7B18">
      <w:pPr>
        <w:numPr>
          <w:ilvl w:val="0"/>
          <w:numId w:val="149"/>
        </w:numPr>
        <w:autoSpaceDE w:val="0"/>
        <w:autoSpaceDN w:val="0"/>
        <w:adjustRightInd w:val="0"/>
        <w:spacing w:after="240"/>
        <w:jc w:val="both"/>
        <w:rPr>
          <w:sz w:val="24"/>
        </w:rPr>
      </w:pPr>
      <w:r w:rsidRPr="00C7151F">
        <w:rPr>
          <w:sz w:val="24"/>
        </w:rPr>
        <w:t>The</w:t>
      </w:r>
      <w:r w:rsidR="000C099C" w:rsidRPr="00C7151F">
        <w:rPr>
          <w:sz w:val="24"/>
        </w:rPr>
        <w:t xml:space="preserve"> customer has a fair market net worth sufficient to sustain the risks inherent in the program, including loss of investment and lack of liquidity.</w:t>
      </w:r>
    </w:p>
    <w:p w14:paraId="65DC646D" w14:textId="77777777" w:rsidR="000C099C" w:rsidRDefault="00536396">
      <w:pPr>
        <w:jc w:val="both"/>
        <w:rPr>
          <w:sz w:val="24"/>
        </w:rPr>
      </w:pPr>
      <w:r>
        <w:rPr>
          <w:sz w:val="24"/>
        </w:rPr>
        <w:t>Supervisor</w:t>
      </w:r>
      <w:r w:rsidR="000C099C">
        <w:rPr>
          <w:sz w:val="24"/>
        </w:rPr>
        <w:t xml:space="preserve"> will evidence </w:t>
      </w:r>
      <w:r w:rsidR="009813A7">
        <w:rPr>
          <w:sz w:val="24"/>
        </w:rPr>
        <w:t>their</w:t>
      </w:r>
      <w:r w:rsidR="000C099C">
        <w:rPr>
          <w:sz w:val="24"/>
        </w:rPr>
        <w:t xml:space="preserve"> review of the above by signing the new account form and indicating </w:t>
      </w:r>
      <w:r w:rsidR="009813A7">
        <w:rPr>
          <w:sz w:val="24"/>
        </w:rPr>
        <w:t>their</w:t>
      </w:r>
      <w:r w:rsidR="000C099C">
        <w:rPr>
          <w:sz w:val="24"/>
        </w:rPr>
        <w:t xml:space="preserve"> acceptance of the account.</w:t>
      </w:r>
      <w:r w:rsidR="009813A7">
        <w:rPr>
          <w:sz w:val="24"/>
        </w:rPr>
        <w:t xml:space="preserve"> </w:t>
      </w:r>
      <w:r w:rsidR="000C099C">
        <w:rPr>
          <w:sz w:val="24"/>
        </w:rPr>
        <w:t xml:space="preserve"> </w:t>
      </w:r>
    </w:p>
    <w:p w14:paraId="53059EC9" w14:textId="77777777" w:rsidR="00DD1850" w:rsidRDefault="00DD1850">
      <w:pPr>
        <w:jc w:val="both"/>
        <w:rPr>
          <w:sz w:val="24"/>
        </w:rPr>
      </w:pPr>
    </w:p>
    <w:p w14:paraId="19A96228" w14:textId="77777777" w:rsidR="000C099C" w:rsidRDefault="000C099C">
      <w:pPr>
        <w:jc w:val="both"/>
        <w:rPr>
          <w:sz w:val="24"/>
        </w:rPr>
      </w:pPr>
      <w:r>
        <w:rPr>
          <w:sz w:val="24"/>
        </w:rPr>
        <w:t>With respect to the Company’s</w:t>
      </w:r>
      <w:r w:rsidR="00E4551C">
        <w:rPr>
          <w:sz w:val="24"/>
        </w:rPr>
        <w:t xml:space="preserve"> private placement activities, t</w:t>
      </w:r>
      <w:r>
        <w:rPr>
          <w:sz w:val="24"/>
        </w:rPr>
        <w:t xml:space="preserve">he Company’s customer base will generally be comprised of accredited investors whose investment portfolios are both large and diverse, thus concentration of positions </w:t>
      </w:r>
      <w:r w:rsidR="008877A7">
        <w:rPr>
          <w:sz w:val="24"/>
        </w:rPr>
        <w:t xml:space="preserve">typically </w:t>
      </w:r>
      <w:r>
        <w:rPr>
          <w:sz w:val="24"/>
        </w:rPr>
        <w:t xml:space="preserve">will not be an issue for review.  </w:t>
      </w:r>
    </w:p>
    <w:p w14:paraId="122769E8" w14:textId="77777777" w:rsidR="000C099C" w:rsidRDefault="000C099C">
      <w:pPr>
        <w:jc w:val="both"/>
        <w:rPr>
          <w:sz w:val="24"/>
        </w:rPr>
      </w:pPr>
    </w:p>
    <w:p w14:paraId="0D16A6CD" w14:textId="77777777" w:rsidR="000C099C" w:rsidRDefault="000C099C">
      <w:pPr>
        <w:pStyle w:val="BodyText2"/>
        <w:widowControl/>
        <w:jc w:val="both"/>
        <w:rPr>
          <w:szCs w:val="24"/>
        </w:rPr>
      </w:pPr>
      <w:r>
        <w:rPr>
          <w:szCs w:val="24"/>
        </w:rPr>
        <w:t>Notwithstanding this fact, Morris Monroe, on behalf of the Company, will review account information provided on the new account form and/or subscription agreement of customers of the Company to identify any concentrated positions in customer accounts.</w:t>
      </w:r>
    </w:p>
    <w:p w14:paraId="3909BED2" w14:textId="77777777" w:rsidR="00CB4779" w:rsidRDefault="00CB4779" w:rsidP="00CB4779">
      <w:bookmarkStart w:id="256" w:name="_Toc149007038"/>
    </w:p>
    <w:p w14:paraId="45EA488B" w14:textId="77777777" w:rsidR="00CB4779" w:rsidRDefault="00CB4779" w:rsidP="00CB4779"/>
    <w:p w14:paraId="47EDD68F" w14:textId="77777777" w:rsidR="000C099C" w:rsidRDefault="00315CF8" w:rsidP="00936FEE">
      <w:pPr>
        <w:pStyle w:val="Heading2"/>
      </w:pPr>
      <w:r>
        <w:lastRenderedPageBreak/>
        <w:t>1</w:t>
      </w:r>
      <w:r w:rsidR="00E5056A">
        <w:t>4</w:t>
      </w:r>
      <w:r>
        <w:t>.1</w:t>
      </w:r>
      <w:r w:rsidR="00F57DAC">
        <w:t>3</w:t>
      </w:r>
      <w:r>
        <w:t xml:space="preserve"> </w:t>
      </w:r>
      <w:r w:rsidR="000C099C">
        <w:t>No General Solicitation</w:t>
      </w:r>
      <w:bookmarkEnd w:id="256"/>
    </w:p>
    <w:p w14:paraId="0A4D1288" w14:textId="77777777" w:rsidR="000C099C" w:rsidRPr="004E3F6A" w:rsidRDefault="000C099C">
      <w:pPr>
        <w:keepNext/>
        <w:spacing w:after="220"/>
        <w:jc w:val="both"/>
        <w:rPr>
          <w:color w:val="00B0F0"/>
          <w:sz w:val="24"/>
        </w:rPr>
      </w:pPr>
      <w:r>
        <w:rPr>
          <w:sz w:val="24"/>
        </w:rPr>
        <w:t xml:space="preserve">Neither the Company nor any </w:t>
      </w:r>
      <w:r w:rsidR="004752AE">
        <w:rPr>
          <w:sz w:val="24"/>
        </w:rPr>
        <w:t>Associated Person</w:t>
      </w:r>
      <w:r>
        <w:rPr>
          <w:sz w:val="24"/>
        </w:rPr>
        <w:t xml:space="preserve"> may solicit the offer or sale of the securities of any issuer in a private placement offering by means of an advertisement or other form of general solicitation</w:t>
      </w:r>
      <w:r w:rsidR="0088408E">
        <w:rPr>
          <w:sz w:val="24"/>
        </w:rPr>
        <w:t xml:space="preserve"> </w:t>
      </w:r>
      <w:r w:rsidR="0088408E" w:rsidRPr="005D0F44">
        <w:rPr>
          <w:sz w:val="24"/>
          <w:szCs w:val="24"/>
        </w:rPr>
        <w:t>other than those permitted under Rule 506(c) and 144A</w:t>
      </w:r>
      <w:r w:rsidRPr="005D0F44">
        <w:rPr>
          <w:sz w:val="24"/>
          <w:szCs w:val="24"/>
        </w:rPr>
        <w:t>.</w:t>
      </w:r>
      <w:r>
        <w:rPr>
          <w:sz w:val="24"/>
        </w:rPr>
        <w:t xml:space="preserve">  No such solicitation of the sale of securities may be made in any seminar or meeting whose attendees </w:t>
      </w:r>
      <w:r w:rsidR="0081781A">
        <w:rPr>
          <w:sz w:val="24"/>
        </w:rPr>
        <w:t>has</w:t>
      </w:r>
      <w:r>
        <w:rPr>
          <w:sz w:val="24"/>
        </w:rPr>
        <w:t xml:space="preserve"> been invited by any form of general solicitation.  In addition, the Company’s </w:t>
      </w:r>
      <w:r w:rsidR="004E3F6A">
        <w:rPr>
          <w:sz w:val="24"/>
        </w:rPr>
        <w:t>Associated Persons</w:t>
      </w:r>
      <w:r>
        <w:rPr>
          <w:sz w:val="24"/>
        </w:rPr>
        <w:t xml:space="preserve"> are not permitted to participate in any seminar or meeting whose attendees have been invited by any form of general solicitation at any period of time during which the Company is actively engaged in any private placement offering unless the written consent of </w:t>
      </w:r>
      <w:r w:rsidR="008E0AAD" w:rsidRPr="00AA03AA">
        <w:rPr>
          <w:sz w:val="24"/>
        </w:rPr>
        <w:t>Morris Monroe or the Compliance Department</w:t>
      </w:r>
      <w:r w:rsidR="008E0AAD">
        <w:rPr>
          <w:sz w:val="24"/>
        </w:rPr>
        <w:t xml:space="preserve"> </w:t>
      </w:r>
      <w:r>
        <w:rPr>
          <w:sz w:val="24"/>
        </w:rPr>
        <w:t>is obtained.</w:t>
      </w:r>
      <w:r w:rsidR="004E3F6A">
        <w:rPr>
          <w:sz w:val="24"/>
        </w:rPr>
        <w:t xml:space="preserve">  </w:t>
      </w:r>
    </w:p>
    <w:p w14:paraId="49CC9212" w14:textId="77777777" w:rsidR="00315CF8" w:rsidRDefault="00315CF8">
      <w:pPr>
        <w:jc w:val="both"/>
        <w:rPr>
          <w:b/>
          <w:sz w:val="24"/>
        </w:rPr>
      </w:pPr>
    </w:p>
    <w:p w14:paraId="480C8BE3" w14:textId="77777777" w:rsidR="000C099C" w:rsidRDefault="00724142" w:rsidP="00936FEE">
      <w:pPr>
        <w:pStyle w:val="Heading2"/>
        <w:rPr>
          <w:u w:val="single"/>
        </w:rPr>
      </w:pPr>
      <w:r>
        <w:t>1</w:t>
      </w:r>
      <w:r w:rsidR="00E5056A">
        <w:t>4</w:t>
      </w:r>
      <w:r>
        <w:t>.1</w:t>
      </w:r>
      <w:r w:rsidR="00F57DAC">
        <w:t>4</w:t>
      </w:r>
      <w:r>
        <w:t xml:space="preserve"> </w:t>
      </w:r>
      <w:r w:rsidR="000C099C">
        <w:t>Offering Terms and Conditions in accordance with SEC Rule 10b-9</w:t>
      </w:r>
    </w:p>
    <w:p w14:paraId="245F6B05" w14:textId="77777777" w:rsidR="000C099C" w:rsidRDefault="000C099C">
      <w:pPr>
        <w:jc w:val="both"/>
        <w:rPr>
          <w:sz w:val="24"/>
        </w:rPr>
      </w:pPr>
      <w:r>
        <w:rPr>
          <w:sz w:val="24"/>
        </w:rPr>
        <w:t>In accordance with SEC Rule 10b-9(2), with respect to Min/Max offerings, the Company shall not participate in any transaction where the security being offered or sold, is being offered or sold on any other basis whereby all or part of the consideration paid for any such security will be refunded to the purchaser if all or some of the securities are not sold, unless the security is part of an offering or distribution being made on the condition that all or a specified part of the consideration paid for such security will be promptly refunded to the purchaser unless (</w:t>
      </w:r>
      <w:proofErr w:type="spellStart"/>
      <w:r>
        <w:rPr>
          <w:sz w:val="24"/>
        </w:rPr>
        <w:t>i</w:t>
      </w:r>
      <w:proofErr w:type="spellEnd"/>
      <w:r>
        <w:rPr>
          <w:sz w:val="24"/>
        </w:rPr>
        <w:t>) a specified number of units of the security are sold at a specified price within a specified time, and (ii) the total amount due to the seller is received by him by a specified date. In keeping with this provision, to the extent the minimum is not reached by the termination date of the offering, the offering shall be terminated in accordance with the provisions of SEC Rule 10b-9, unless the offering is otherwise extended, prior to the termination date, by the express written consent of all purchasers as of the date of termination. Further, any requests for permission to extend which shall be given to purchasers pursuant to this section, shall also include the ability for the customer to terminate his/her purchase of the offering and to receive a refund of his/her investment.</w:t>
      </w:r>
    </w:p>
    <w:p w14:paraId="7B995356" w14:textId="77777777" w:rsidR="000C099C" w:rsidRDefault="000C099C">
      <w:pPr>
        <w:jc w:val="both"/>
        <w:rPr>
          <w:sz w:val="24"/>
        </w:rPr>
      </w:pPr>
    </w:p>
    <w:p w14:paraId="441F171C" w14:textId="2E345A5B" w:rsidR="000C099C" w:rsidRDefault="000C099C">
      <w:pPr>
        <w:jc w:val="both"/>
        <w:rPr>
          <w:sz w:val="24"/>
        </w:rPr>
      </w:pPr>
      <w:r>
        <w:rPr>
          <w:sz w:val="24"/>
        </w:rPr>
        <w:t xml:space="preserve">To the extent an offering is extended, the offering documents </w:t>
      </w:r>
      <w:r w:rsidR="00A50382">
        <w:rPr>
          <w:sz w:val="24"/>
        </w:rPr>
        <w:t>may</w:t>
      </w:r>
      <w:r>
        <w:rPr>
          <w:sz w:val="24"/>
        </w:rPr>
        <w:t xml:space="preserve"> be stickered accordingly to reflect the new termination date of the offering. </w:t>
      </w:r>
      <w:r w:rsidR="00A50382">
        <w:rPr>
          <w:sz w:val="24"/>
        </w:rPr>
        <w:t>However, n</w:t>
      </w:r>
      <w:r>
        <w:rPr>
          <w:sz w:val="24"/>
        </w:rPr>
        <w:t>o other changes may be made to the offering or the terms and conditions of the offering. In the event the terms of the offering are changed or otherwise amended, each purchaser shall receive a refund of their initial purchase and the opportunity to invest in the “new offering” created by the change in terms and conditions.  Morris Monroe or his designee shall be responsible for the Company's compliance with SEC Rule 10b-9.</w:t>
      </w:r>
    </w:p>
    <w:p w14:paraId="297B17AC" w14:textId="7247E751" w:rsidR="00EC12D5" w:rsidRDefault="00EC12D5">
      <w:pPr>
        <w:jc w:val="both"/>
        <w:rPr>
          <w:sz w:val="24"/>
        </w:rPr>
      </w:pPr>
    </w:p>
    <w:p w14:paraId="0E73D1E8" w14:textId="77777777" w:rsidR="00724142" w:rsidRDefault="00724142">
      <w:pPr>
        <w:jc w:val="both"/>
        <w:rPr>
          <w:b/>
          <w:sz w:val="24"/>
        </w:rPr>
      </w:pPr>
    </w:p>
    <w:p w14:paraId="0C48723F" w14:textId="77777777" w:rsidR="000C099C" w:rsidRDefault="00724142" w:rsidP="00936FEE">
      <w:pPr>
        <w:pStyle w:val="Heading2"/>
      </w:pPr>
      <w:r>
        <w:t>1</w:t>
      </w:r>
      <w:r w:rsidR="00FA5443">
        <w:t>4</w:t>
      </w:r>
      <w:r>
        <w:t>.1</w:t>
      </w:r>
      <w:r w:rsidR="00F57DAC">
        <w:t>5</w:t>
      </w:r>
      <w:r>
        <w:t xml:space="preserve"> </w:t>
      </w:r>
      <w:r w:rsidR="000C099C">
        <w:t>Records of Underwriting</w:t>
      </w:r>
    </w:p>
    <w:p w14:paraId="5253A0DE" w14:textId="77777777" w:rsidR="000C099C" w:rsidRDefault="000C099C">
      <w:pPr>
        <w:jc w:val="both"/>
        <w:rPr>
          <w:sz w:val="24"/>
        </w:rPr>
      </w:pPr>
      <w:r>
        <w:rPr>
          <w:sz w:val="24"/>
        </w:rPr>
        <w:t>Further, Morris Monroe or his designee shall be responsible for maintaining a listing of all offerings in which the Company has participated, including the name of the underwriting, the allotment, price per share</w:t>
      </w:r>
      <w:r w:rsidR="000E4255">
        <w:rPr>
          <w:sz w:val="24"/>
        </w:rPr>
        <w:t xml:space="preserve"> if applicable</w:t>
      </w:r>
      <w:r>
        <w:rPr>
          <w:sz w:val="24"/>
        </w:rPr>
        <w:t>, and the role in which the Company acted (i.e. Placing Agent or Managing Placing Agent)</w:t>
      </w:r>
      <w:r w:rsidR="00B75054">
        <w:rPr>
          <w:sz w:val="24"/>
        </w:rPr>
        <w:t xml:space="preserve"> and any such Selling Agreement related to same</w:t>
      </w:r>
      <w:r>
        <w:rPr>
          <w:sz w:val="24"/>
        </w:rPr>
        <w:t>.</w:t>
      </w:r>
    </w:p>
    <w:p w14:paraId="6D4F5783" w14:textId="77777777" w:rsidR="000C099C" w:rsidRDefault="000C099C">
      <w:pPr>
        <w:jc w:val="both"/>
        <w:rPr>
          <w:sz w:val="24"/>
        </w:rPr>
      </w:pPr>
    </w:p>
    <w:p w14:paraId="17DD27E4" w14:textId="77777777" w:rsidR="000C099C" w:rsidRDefault="000C099C">
      <w:pPr>
        <w:jc w:val="both"/>
        <w:rPr>
          <w:sz w:val="24"/>
        </w:rPr>
      </w:pPr>
      <w:r>
        <w:rPr>
          <w:sz w:val="24"/>
        </w:rPr>
        <w:t>Private placements, which are often in the form of stock offerings or limited partnerships, are generally exempt from registration. They are made under strictly defined conditions which involve factors such as the nature of the issuer, the value of the securities offered, the number, nature and residences of offerees and purchasers, the information disclosed to purchasers, filings</w:t>
      </w:r>
      <w:r w:rsidR="00703B0A">
        <w:rPr>
          <w:sz w:val="24"/>
        </w:rPr>
        <w:t xml:space="preserve"> </w:t>
      </w:r>
      <w:r>
        <w:rPr>
          <w:sz w:val="24"/>
        </w:rPr>
        <w:t xml:space="preserve">made with the SEC and certain blue-sky authorities, and the manner in which offerees are </w:t>
      </w:r>
      <w:r>
        <w:rPr>
          <w:sz w:val="24"/>
        </w:rPr>
        <w:lastRenderedPageBreak/>
        <w:t>solicited. Private placements frequently involve products that are more complex than other securities. The relative investor risks and tax consequences of private placements may have a wide range of implications. Accordingly, private placements shall not be offered by any registered representative of the Company without the approval of the appropriate Designated Principal. A general explanation of the laws applicable to the offering and sale of private placements follows.</w:t>
      </w:r>
    </w:p>
    <w:p w14:paraId="1A500D81" w14:textId="77777777" w:rsidR="000C099C" w:rsidRDefault="000C099C">
      <w:pPr>
        <w:jc w:val="both"/>
        <w:rPr>
          <w:sz w:val="24"/>
        </w:rPr>
      </w:pPr>
    </w:p>
    <w:p w14:paraId="0C22BFC5" w14:textId="77777777" w:rsidR="000C099C" w:rsidRDefault="000C099C">
      <w:pPr>
        <w:jc w:val="both"/>
        <w:rPr>
          <w:sz w:val="24"/>
        </w:rPr>
      </w:pPr>
    </w:p>
    <w:p w14:paraId="2C239AFF" w14:textId="77777777" w:rsidR="000C099C" w:rsidRDefault="00724142" w:rsidP="00936FEE">
      <w:pPr>
        <w:pStyle w:val="Heading2"/>
        <w:rPr>
          <w:u w:val="single"/>
        </w:rPr>
      </w:pPr>
      <w:bookmarkStart w:id="257" w:name="RegD"/>
      <w:bookmarkEnd w:id="257"/>
      <w:r>
        <w:t>1</w:t>
      </w:r>
      <w:r w:rsidR="00E5056A">
        <w:t>4</w:t>
      </w:r>
      <w:r>
        <w:t>.1</w:t>
      </w:r>
      <w:r w:rsidR="00F57DAC">
        <w:t>6</w:t>
      </w:r>
      <w:r>
        <w:t xml:space="preserve"> </w:t>
      </w:r>
      <w:r w:rsidR="000C099C">
        <w:t>Regulation D Offerings</w:t>
      </w:r>
    </w:p>
    <w:p w14:paraId="6CFDE57A" w14:textId="77777777" w:rsidR="00703B0A" w:rsidRDefault="000C099C">
      <w:pPr>
        <w:jc w:val="both"/>
        <w:rPr>
          <w:sz w:val="24"/>
        </w:rPr>
      </w:pPr>
      <w:r w:rsidRPr="00840F27">
        <w:rPr>
          <w:sz w:val="24"/>
        </w:rPr>
        <w:t xml:space="preserve">Regulation D is an SEC regulation under the 1933 Act which refers to limited offering exemption rules that exempt certain offerings from the registration requirements of the 1933 Act. Regulation D, which contains a series of six rules (Rules 501- 506), applies to certain private placements of securities and replaces exemptions formerly provided under Rules 146, 240 and 242 of the 1933 Act.  </w:t>
      </w:r>
      <w:r w:rsidR="0081781A">
        <w:rPr>
          <w:sz w:val="24"/>
        </w:rPr>
        <w:t>(</w:t>
      </w:r>
      <w:r w:rsidRPr="00840F27">
        <w:rPr>
          <w:sz w:val="24"/>
        </w:rPr>
        <w:t>Note that certain state securities regulations (commonly referred to as the "Uniform Limited Offering Exemptions") usually parallel Regulation D but often impose more stringent requirements on issuers</w:t>
      </w:r>
      <w:r w:rsidR="0081781A">
        <w:rPr>
          <w:sz w:val="24"/>
        </w:rPr>
        <w:t>)</w:t>
      </w:r>
      <w:r w:rsidR="00A37C7F">
        <w:rPr>
          <w:sz w:val="24"/>
        </w:rPr>
        <w:t>.</w:t>
      </w:r>
      <w:r w:rsidR="00411C7F">
        <w:rPr>
          <w:sz w:val="24"/>
        </w:rPr>
        <w:t xml:space="preserve">  </w:t>
      </w:r>
    </w:p>
    <w:p w14:paraId="6359660A" w14:textId="77777777" w:rsidR="00D43117" w:rsidRPr="00CB4779" w:rsidRDefault="00D43117">
      <w:pPr>
        <w:jc w:val="both"/>
        <w:rPr>
          <w:color w:val="FF0000"/>
          <w:sz w:val="24"/>
        </w:rPr>
      </w:pPr>
    </w:p>
    <w:tbl>
      <w:tblPr>
        <w:tblW w:w="4575" w:type="pct"/>
        <w:tblCellSpacing w:w="0" w:type="dxa"/>
        <w:tblInd w:w="35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996"/>
        <w:gridCol w:w="2347"/>
        <w:gridCol w:w="2141"/>
      </w:tblGrid>
      <w:tr w:rsidR="000D41BD" w:rsidRPr="000D41BD" w14:paraId="07FCC31B" w14:textId="77777777" w:rsidTr="000D41BD">
        <w:trPr>
          <w:tblCellSpacing w:w="0" w:type="dxa"/>
        </w:trPr>
        <w:tc>
          <w:tcPr>
            <w:tcW w:w="2355"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77AC7D0C" w14:textId="77777777" w:rsidR="000D41BD" w:rsidRPr="000D41BD" w:rsidRDefault="000D41BD" w:rsidP="00D43117">
            <w:pPr>
              <w:spacing w:line="240" w:lineRule="atLeast"/>
              <w:jc w:val="center"/>
              <w:rPr>
                <w:b/>
                <w:spacing w:val="8"/>
                <w:sz w:val="22"/>
                <w:szCs w:val="22"/>
              </w:rPr>
            </w:pPr>
            <w:r w:rsidRPr="000D41BD">
              <w:rPr>
                <w:b/>
                <w:spacing w:val="8"/>
                <w:sz w:val="22"/>
                <w:szCs w:val="22"/>
              </w:rPr>
              <w:t>Features</w:t>
            </w:r>
          </w:p>
        </w:tc>
        <w:tc>
          <w:tcPr>
            <w:tcW w:w="138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2F463962" w14:textId="77777777" w:rsidR="000D41BD" w:rsidRPr="000D41BD" w:rsidRDefault="000D41BD" w:rsidP="00D43117">
            <w:pPr>
              <w:spacing w:line="240" w:lineRule="atLeast"/>
              <w:jc w:val="center"/>
              <w:rPr>
                <w:b/>
                <w:bCs/>
                <w:spacing w:val="8"/>
                <w:sz w:val="22"/>
                <w:szCs w:val="22"/>
              </w:rPr>
            </w:pPr>
            <w:r w:rsidRPr="000D41BD">
              <w:rPr>
                <w:b/>
                <w:bCs/>
                <w:spacing w:val="8"/>
                <w:sz w:val="22"/>
                <w:szCs w:val="22"/>
              </w:rPr>
              <w:t>Rule 504</w:t>
            </w:r>
          </w:p>
        </w:tc>
        <w:tc>
          <w:tcPr>
            <w:tcW w:w="1263"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3414408A" w14:textId="77777777" w:rsidR="000D41BD" w:rsidRPr="000D41BD" w:rsidRDefault="000D41BD" w:rsidP="00D43117">
            <w:pPr>
              <w:spacing w:line="240" w:lineRule="atLeast"/>
              <w:jc w:val="center"/>
              <w:rPr>
                <w:b/>
                <w:bCs/>
                <w:spacing w:val="8"/>
                <w:sz w:val="22"/>
                <w:szCs w:val="22"/>
              </w:rPr>
            </w:pPr>
            <w:r w:rsidRPr="000D41BD">
              <w:rPr>
                <w:b/>
                <w:bCs/>
                <w:spacing w:val="8"/>
                <w:sz w:val="22"/>
                <w:szCs w:val="22"/>
              </w:rPr>
              <w:t>Rule 506</w:t>
            </w:r>
          </w:p>
        </w:tc>
      </w:tr>
      <w:tr w:rsidR="000D41BD" w:rsidRPr="000D41BD" w14:paraId="7EF210FF" w14:textId="77777777" w:rsidTr="000D41BD">
        <w:trPr>
          <w:tblCellSpacing w:w="0" w:type="dxa"/>
        </w:trPr>
        <w:tc>
          <w:tcPr>
            <w:tcW w:w="2355" w:type="pct"/>
            <w:tcBorders>
              <w:top w:val="outset" w:sz="6" w:space="0" w:color="auto"/>
              <w:left w:val="outset" w:sz="6" w:space="0" w:color="auto"/>
              <w:bottom w:val="outset" w:sz="6" w:space="0" w:color="auto"/>
              <w:right w:val="outset" w:sz="6" w:space="0" w:color="auto"/>
            </w:tcBorders>
            <w:vAlign w:val="center"/>
            <w:hideMark/>
          </w:tcPr>
          <w:p w14:paraId="06D5958A" w14:textId="77777777" w:rsidR="000D41BD" w:rsidRPr="000D41BD" w:rsidRDefault="000D41BD" w:rsidP="00D43117">
            <w:pPr>
              <w:spacing w:line="240" w:lineRule="atLeast"/>
              <w:rPr>
                <w:spacing w:val="8"/>
                <w:sz w:val="22"/>
                <w:szCs w:val="22"/>
              </w:rPr>
            </w:pPr>
            <w:r w:rsidRPr="000D41BD">
              <w:rPr>
                <w:spacing w:val="8"/>
                <w:sz w:val="22"/>
                <w:szCs w:val="22"/>
              </w:rPr>
              <w:t>Who may invest</w:t>
            </w:r>
          </w:p>
        </w:tc>
        <w:tc>
          <w:tcPr>
            <w:tcW w:w="1383" w:type="pct"/>
            <w:tcBorders>
              <w:top w:val="outset" w:sz="6" w:space="0" w:color="auto"/>
              <w:left w:val="outset" w:sz="6" w:space="0" w:color="auto"/>
              <w:bottom w:val="outset" w:sz="6" w:space="0" w:color="auto"/>
              <w:right w:val="outset" w:sz="6" w:space="0" w:color="auto"/>
            </w:tcBorders>
            <w:vAlign w:val="center"/>
            <w:hideMark/>
          </w:tcPr>
          <w:p w14:paraId="4AD6817C" w14:textId="77777777" w:rsidR="000D41BD" w:rsidRPr="000D41BD" w:rsidRDefault="000D41BD" w:rsidP="00D43117">
            <w:pPr>
              <w:spacing w:line="240" w:lineRule="atLeast"/>
              <w:jc w:val="center"/>
              <w:rPr>
                <w:spacing w:val="8"/>
                <w:sz w:val="22"/>
                <w:szCs w:val="22"/>
              </w:rPr>
            </w:pPr>
            <w:r w:rsidRPr="000D41BD">
              <w:rPr>
                <w:spacing w:val="8"/>
                <w:sz w:val="22"/>
                <w:szCs w:val="22"/>
              </w:rPr>
              <w:t>Anyone suitable for the investment</w:t>
            </w:r>
          </w:p>
        </w:tc>
        <w:tc>
          <w:tcPr>
            <w:tcW w:w="1263" w:type="pct"/>
            <w:tcBorders>
              <w:top w:val="outset" w:sz="6" w:space="0" w:color="auto"/>
              <w:left w:val="outset" w:sz="6" w:space="0" w:color="auto"/>
              <w:bottom w:val="outset" w:sz="6" w:space="0" w:color="auto"/>
              <w:right w:val="outset" w:sz="6" w:space="0" w:color="auto"/>
            </w:tcBorders>
            <w:vAlign w:val="center"/>
            <w:hideMark/>
          </w:tcPr>
          <w:p w14:paraId="22324E49" w14:textId="77777777" w:rsidR="000D41BD" w:rsidRPr="000D41BD" w:rsidRDefault="000D41BD" w:rsidP="00D43117">
            <w:pPr>
              <w:spacing w:line="240" w:lineRule="atLeast"/>
              <w:jc w:val="center"/>
              <w:rPr>
                <w:spacing w:val="8"/>
                <w:sz w:val="22"/>
                <w:szCs w:val="22"/>
              </w:rPr>
            </w:pPr>
            <w:r w:rsidRPr="000D41BD">
              <w:rPr>
                <w:spacing w:val="8"/>
                <w:sz w:val="22"/>
                <w:szCs w:val="22"/>
              </w:rPr>
              <w:t>Qualified investors</w:t>
            </w:r>
          </w:p>
        </w:tc>
      </w:tr>
      <w:tr w:rsidR="000D41BD" w:rsidRPr="000D41BD" w14:paraId="27FFB10E" w14:textId="77777777" w:rsidTr="000D41BD">
        <w:trPr>
          <w:tblCellSpacing w:w="0" w:type="dxa"/>
        </w:trPr>
        <w:tc>
          <w:tcPr>
            <w:tcW w:w="2355" w:type="pct"/>
            <w:tcBorders>
              <w:top w:val="outset" w:sz="6" w:space="0" w:color="auto"/>
              <w:left w:val="outset" w:sz="6" w:space="0" w:color="auto"/>
              <w:bottom w:val="outset" w:sz="6" w:space="0" w:color="auto"/>
              <w:right w:val="outset" w:sz="6" w:space="0" w:color="auto"/>
            </w:tcBorders>
            <w:vAlign w:val="center"/>
            <w:hideMark/>
          </w:tcPr>
          <w:p w14:paraId="2782F59B" w14:textId="77777777" w:rsidR="000D41BD" w:rsidRPr="000D41BD" w:rsidRDefault="000D41BD" w:rsidP="00D43117">
            <w:pPr>
              <w:spacing w:line="240" w:lineRule="atLeast"/>
              <w:rPr>
                <w:spacing w:val="8"/>
                <w:sz w:val="22"/>
                <w:szCs w:val="22"/>
              </w:rPr>
            </w:pPr>
            <w:r w:rsidRPr="000D41BD">
              <w:rPr>
                <w:spacing w:val="8"/>
                <w:sz w:val="22"/>
                <w:szCs w:val="22"/>
              </w:rPr>
              <w:t>Number of investors</w:t>
            </w:r>
          </w:p>
        </w:tc>
        <w:tc>
          <w:tcPr>
            <w:tcW w:w="1383" w:type="pct"/>
            <w:tcBorders>
              <w:top w:val="outset" w:sz="6" w:space="0" w:color="auto"/>
              <w:left w:val="outset" w:sz="6" w:space="0" w:color="auto"/>
              <w:bottom w:val="outset" w:sz="6" w:space="0" w:color="auto"/>
              <w:right w:val="outset" w:sz="6" w:space="0" w:color="auto"/>
            </w:tcBorders>
            <w:vAlign w:val="center"/>
            <w:hideMark/>
          </w:tcPr>
          <w:p w14:paraId="66151598" w14:textId="77777777" w:rsidR="000D41BD" w:rsidRPr="000D41BD" w:rsidRDefault="000D41BD" w:rsidP="00D43117">
            <w:pPr>
              <w:spacing w:line="240" w:lineRule="atLeast"/>
              <w:jc w:val="center"/>
              <w:rPr>
                <w:spacing w:val="8"/>
                <w:sz w:val="22"/>
                <w:szCs w:val="22"/>
              </w:rPr>
            </w:pPr>
            <w:r w:rsidRPr="000D41BD">
              <w:rPr>
                <w:spacing w:val="8"/>
                <w:sz w:val="22"/>
                <w:szCs w:val="22"/>
              </w:rPr>
              <w:br/>
              <w:t>Unlimited</w:t>
            </w:r>
          </w:p>
        </w:tc>
        <w:tc>
          <w:tcPr>
            <w:tcW w:w="1263" w:type="pct"/>
            <w:tcBorders>
              <w:top w:val="outset" w:sz="6" w:space="0" w:color="auto"/>
              <w:left w:val="outset" w:sz="6" w:space="0" w:color="auto"/>
              <w:bottom w:val="outset" w:sz="6" w:space="0" w:color="auto"/>
              <w:right w:val="outset" w:sz="6" w:space="0" w:color="auto"/>
            </w:tcBorders>
            <w:vAlign w:val="center"/>
            <w:hideMark/>
          </w:tcPr>
          <w:p w14:paraId="51EA63B3" w14:textId="77777777" w:rsidR="000D41BD" w:rsidRPr="000D41BD" w:rsidRDefault="000D41BD" w:rsidP="00D43117">
            <w:pPr>
              <w:spacing w:line="240" w:lineRule="atLeast"/>
              <w:jc w:val="center"/>
              <w:rPr>
                <w:spacing w:val="8"/>
                <w:sz w:val="22"/>
                <w:szCs w:val="22"/>
              </w:rPr>
            </w:pPr>
            <w:r w:rsidRPr="000D41BD">
              <w:rPr>
                <w:spacing w:val="8"/>
                <w:sz w:val="22"/>
                <w:szCs w:val="22"/>
              </w:rPr>
              <w:t>35 non-accredited, unlimited accredited investors</w:t>
            </w:r>
          </w:p>
        </w:tc>
      </w:tr>
      <w:tr w:rsidR="000D41BD" w:rsidRPr="000D41BD" w14:paraId="6C4B79E2" w14:textId="77777777" w:rsidTr="000D41BD">
        <w:trPr>
          <w:tblCellSpacing w:w="0" w:type="dxa"/>
        </w:trPr>
        <w:tc>
          <w:tcPr>
            <w:tcW w:w="2355" w:type="pct"/>
            <w:tcBorders>
              <w:top w:val="outset" w:sz="6" w:space="0" w:color="auto"/>
              <w:left w:val="outset" w:sz="6" w:space="0" w:color="auto"/>
              <w:bottom w:val="outset" w:sz="6" w:space="0" w:color="auto"/>
              <w:right w:val="outset" w:sz="6" w:space="0" w:color="auto"/>
            </w:tcBorders>
            <w:vAlign w:val="center"/>
            <w:hideMark/>
          </w:tcPr>
          <w:p w14:paraId="17383690" w14:textId="77777777" w:rsidR="000D41BD" w:rsidRPr="000D41BD" w:rsidRDefault="000D41BD" w:rsidP="00D43117">
            <w:pPr>
              <w:spacing w:line="240" w:lineRule="atLeast"/>
              <w:rPr>
                <w:spacing w:val="8"/>
                <w:sz w:val="22"/>
                <w:szCs w:val="22"/>
              </w:rPr>
            </w:pPr>
            <w:r w:rsidRPr="000D41BD">
              <w:rPr>
                <w:spacing w:val="8"/>
                <w:sz w:val="22"/>
                <w:szCs w:val="22"/>
              </w:rPr>
              <w:t>Size of offering sold in any consecutive 12 months.  Up to:</w:t>
            </w:r>
          </w:p>
        </w:tc>
        <w:tc>
          <w:tcPr>
            <w:tcW w:w="1383" w:type="pct"/>
            <w:tcBorders>
              <w:top w:val="outset" w:sz="6" w:space="0" w:color="auto"/>
              <w:left w:val="outset" w:sz="6" w:space="0" w:color="auto"/>
              <w:bottom w:val="outset" w:sz="6" w:space="0" w:color="auto"/>
              <w:right w:val="outset" w:sz="6" w:space="0" w:color="auto"/>
            </w:tcBorders>
            <w:vAlign w:val="center"/>
            <w:hideMark/>
          </w:tcPr>
          <w:p w14:paraId="6291E8EF" w14:textId="77777777" w:rsidR="000D41BD" w:rsidRPr="000D41BD" w:rsidRDefault="000D41BD" w:rsidP="000D41BD">
            <w:pPr>
              <w:spacing w:line="240" w:lineRule="atLeast"/>
              <w:jc w:val="center"/>
              <w:rPr>
                <w:spacing w:val="8"/>
                <w:sz w:val="22"/>
                <w:szCs w:val="22"/>
              </w:rPr>
            </w:pPr>
            <w:r w:rsidRPr="000D41BD">
              <w:rPr>
                <w:spacing w:val="8"/>
                <w:sz w:val="22"/>
                <w:szCs w:val="22"/>
              </w:rPr>
              <w:t>$</w:t>
            </w:r>
            <w:r w:rsidRPr="00FA5443">
              <w:rPr>
                <w:color w:val="000000" w:themeColor="text1"/>
                <w:spacing w:val="8"/>
                <w:sz w:val="22"/>
                <w:szCs w:val="22"/>
              </w:rPr>
              <w:t>5</w:t>
            </w:r>
            <w:r w:rsidRPr="000D41BD">
              <w:rPr>
                <w:spacing w:val="8"/>
                <w:sz w:val="22"/>
                <w:szCs w:val="22"/>
              </w:rPr>
              <w:t>,000,000</w:t>
            </w:r>
          </w:p>
        </w:tc>
        <w:tc>
          <w:tcPr>
            <w:tcW w:w="1263" w:type="pct"/>
            <w:tcBorders>
              <w:top w:val="outset" w:sz="6" w:space="0" w:color="auto"/>
              <w:left w:val="outset" w:sz="6" w:space="0" w:color="auto"/>
              <w:bottom w:val="outset" w:sz="6" w:space="0" w:color="auto"/>
              <w:right w:val="outset" w:sz="6" w:space="0" w:color="auto"/>
            </w:tcBorders>
            <w:vAlign w:val="center"/>
            <w:hideMark/>
          </w:tcPr>
          <w:p w14:paraId="12A202A0" w14:textId="77777777" w:rsidR="000D41BD" w:rsidRPr="000D41BD" w:rsidRDefault="000D41BD" w:rsidP="00D43117">
            <w:pPr>
              <w:spacing w:line="240" w:lineRule="atLeast"/>
              <w:jc w:val="center"/>
              <w:rPr>
                <w:spacing w:val="8"/>
                <w:sz w:val="22"/>
                <w:szCs w:val="22"/>
              </w:rPr>
            </w:pPr>
            <w:r w:rsidRPr="000D41BD">
              <w:rPr>
                <w:spacing w:val="8"/>
                <w:sz w:val="22"/>
                <w:szCs w:val="22"/>
              </w:rPr>
              <w:t>Unlimited</w:t>
            </w:r>
          </w:p>
        </w:tc>
      </w:tr>
      <w:tr w:rsidR="000D41BD" w:rsidRPr="000D41BD" w14:paraId="3EACF364" w14:textId="77777777" w:rsidTr="000D41BD">
        <w:trPr>
          <w:tblCellSpacing w:w="0" w:type="dxa"/>
        </w:trPr>
        <w:tc>
          <w:tcPr>
            <w:tcW w:w="2355" w:type="pct"/>
            <w:tcBorders>
              <w:top w:val="outset" w:sz="6" w:space="0" w:color="auto"/>
              <w:left w:val="outset" w:sz="6" w:space="0" w:color="auto"/>
              <w:bottom w:val="outset" w:sz="6" w:space="0" w:color="auto"/>
              <w:right w:val="outset" w:sz="6" w:space="0" w:color="auto"/>
            </w:tcBorders>
            <w:vAlign w:val="center"/>
            <w:hideMark/>
          </w:tcPr>
          <w:p w14:paraId="268FB110" w14:textId="77777777" w:rsidR="000D41BD" w:rsidRPr="000D41BD" w:rsidRDefault="000D41BD" w:rsidP="00D43117">
            <w:pPr>
              <w:spacing w:line="240" w:lineRule="atLeast"/>
              <w:rPr>
                <w:spacing w:val="8"/>
                <w:sz w:val="22"/>
                <w:szCs w:val="22"/>
              </w:rPr>
            </w:pPr>
            <w:r w:rsidRPr="000D41BD">
              <w:rPr>
                <w:spacing w:val="8"/>
                <w:sz w:val="22"/>
                <w:szCs w:val="22"/>
              </w:rPr>
              <w:t>Restricted securities?</w:t>
            </w:r>
          </w:p>
        </w:tc>
        <w:tc>
          <w:tcPr>
            <w:tcW w:w="1383" w:type="pct"/>
            <w:tcBorders>
              <w:top w:val="outset" w:sz="6" w:space="0" w:color="auto"/>
              <w:left w:val="outset" w:sz="6" w:space="0" w:color="auto"/>
              <w:bottom w:val="outset" w:sz="6" w:space="0" w:color="auto"/>
              <w:right w:val="outset" w:sz="6" w:space="0" w:color="auto"/>
            </w:tcBorders>
            <w:vAlign w:val="center"/>
            <w:hideMark/>
          </w:tcPr>
          <w:p w14:paraId="71888442" w14:textId="77777777" w:rsidR="000D41BD" w:rsidRPr="000D41BD" w:rsidRDefault="000D41BD" w:rsidP="00D43117">
            <w:pPr>
              <w:spacing w:line="240" w:lineRule="atLeast"/>
              <w:jc w:val="center"/>
              <w:rPr>
                <w:spacing w:val="8"/>
                <w:sz w:val="22"/>
                <w:szCs w:val="22"/>
              </w:rPr>
            </w:pPr>
            <w:r w:rsidRPr="000D41BD">
              <w:rPr>
                <w:spacing w:val="8"/>
                <w:sz w:val="22"/>
                <w:szCs w:val="22"/>
              </w:rPr>
              <w:t>No</w:t>
            </w:r>
          </w:p>
        </w:tc>
        <w:tc>
          <w:tcPr>
            <w:tcW w:w="1263" w:type="pct"/>
            <w:tcBorders>
              <w:top w:val="outset" w:sz="6" w:space="0" w:color="auto"/>
              <w:left w:val="outset" w:sz="6" w:space="0" w:color="auto"/>
              <w:bottom w:val="outset" w:sz="6" w:space="0" w:color="auto"/>
              <w:right w:val="outset" w:sz="6" w:space="0" w:color="auto"/>
            </w:tcBorders>
            <w:vAlign w:val="center"/>
            <w:hideMark/>
          </w:tcPr>
          <w:p w14:paraId="1D46C2D4" w14:textId="77777777" w:rsidR="000D41BD" w:rsidRPr="000D41BD" w:rsidRDefault="000D41BD" w:rsidP="00D43117">
            <w:pPr>
              <w:spacing w:line="240" w:lineRule="atLeast"/>
              <w:jc w:val="center"/>
              <w:rPr>
                <w:spacing w:val="8"/>
                <w:sz w:val="22"/>
                <w:szCs w:val="22"/>
              </w:rPr>
            </w:pPr>
            <w:r w:rsidRPr="000D41BD">
              <w:rPr>
                <w:spacing w:val="8"/>
                <w:sz w:val="22"/>
                <w:szCs w:val="22"/>
              </w:rPr>
              <w:t>Yes</w:t>
            </w:r>
          </w:p>
        </w:tc>
      </w:tr>
      <w:tr w:rsidR="000D41BD" w:rsidRPr="000D41BD" w14:paraId="0F6111FF" w14:textId="77777777" w:rsidTr="000D41BD">
        <w:trPr>
          <w:tblCellSpacing w:w="0" w:type="dxa"/>
        </w:trPr>
        <w:tc>
          <w:tcPr>
            <w:tcW w:w="2355" w:type="pct"/>
            <w:tcBorders>
              <w:top w:val="outset" w:sz="6" w:space="0" w:color="auto"/>
              <w:left w:val="outset" w:sz="6" w:space="0" w:color="auto"/>
              <w:bottom w:val="outset" w:sz="6" w:space="0" w:color="auto"/>
              <w:right w:val="outset" w:sz="6" w:space="0" w:color="auto"/>
            </w:tcBorders>
            <w:vAlign w:val="center"/>
            <w:hideMark/>
          </w:tcPr>
          <w:p w14:paraId="0C021BE6" w14:textId="77777777" w:rsidR="000D41BD" w:rsidRPr="000D41BD" w:rsidRDefault="000D41BD" w:rsidP="00D43117">
            <w:pPr>
              <w:spacing w:line="240" w:lineRule="atLeast"/>
              <w:rPr>
                <w:spacing w:val="8"/>
                <w:sz w:val="22"/>
                <w:szCs w:val="22"/>
              </w:rPr>
            </w:pPr>
            <w:r w:rsidRPr="000D41BD">
              <w:rPr>
                <w:spacing w:val="8"/>
                <w:sz w:val="22"/>
                <w:szCs w:val="22"/>
              </w:rPr>
              <w:t>Public solicitation/advertising allowed?</w:t>
            </w:r>
          </w:p>
        </w:tc>
        <w:tc>
          <w:tcPr>
            <w:tcW w:w="1383" w:type="pct"/>
            <w:tcBorders>
              <w:top w:val="outset" w:sz="6" w:space="0" w:color="auto"/>
              <w:left w:val="outset" w:sz="6" w:space="0" w:color="auto"/>
              <w:bottom w:val="outset" w:sz="6" w:space="0" w:color="auto"/>
              <w:right w:val="outset" w:sz="6" w:space="0" w:color="auto"/>
            </w:tcBorders>
            <w:vAlign w:val="center"/>
            <w:hideMark/>
          </w:tcPr>
          <w:p w14:paraId="47F4EE7E" w14:textId="77777777" w:rsidR="000D41BD" w:rsidRPr="000D41BD" w:rsidRDefault="000D41BD" w:rsidP="00D43117">
            <w:pPr>
              <w:spacing w:line="240" w:lineRule="atLeast"/>
              <w:jc w:val="center"/>
              <w:rPr>
                <w:spacing w:val="8"/>
                <w:sz w:val="22"/>
                <w:szCs w:val="22"/>
              </w:rPr>
            </w:pPr>
            <w:r w:rsidRPr="000D41BD">
              <w:rPr>
                <w:spacing w:val="8"/>
                <w:sz w:val="22"/>
                <w:szCs w:val="22"/>
              </w:rPr>
              <w:t>Yes</w:t>
            </w:r>
          </w:p>
        </w:tc>
        <w:tc>
          <w:tcPr>
            <w:tcW w:w="1263" w:type="pct"/>
            <w:tcBorders>
              <w:top w:val="outset" w:sz="6" w:space="0" w:color="auto"/>
              <w:left w:val="outset" w:sz="6" w:space="0" w:color="auto"/>
              <w:bottom w:val="outset" w:sz="6" w:space="0" w:color="auto"/>
              <w:right w:val="outset" w:sz="6" w:space="0" w:color="auto"/>
            </w:tcBorders>
            <w:vAlign w:val="center"/>
            <w:hideMark/>
          </w:tcPr>
          <w:p w14:paraId="1A6E2A7F" w14:textId="77777777" w:rsidR="000D41BD" w:rsidRPr="000D41BD" w:rsidRDefault="000D41BD" w:rsidP="00D43117">
            <w:pPr>
              <w:spacing w:line="240" w:lineRule="atLeast"/>
              <w:jc w:val="center"/>
              <w:rPr>
                <w:color w:val="FF0000"/>
                <w:spacing w:val="8"/>
                <w:sz w:val="22"/>
                <w:szCs w:val="22"/>
              </w:rPr>
            </w:pPr>
            <w:r w:rsidRPr="000D41BD">
              <w:rPr>
                <w:spacing w:val="8"/>
                <w:sz w:val="22"/>
                <w:szCs w:val="22"/>
              </w:rPr>
              <w:t>Yes</w:t>
            </w:r>
          </w:p>
        </w:tc>
      </w:tr>
      <w:tr w:rsidR="000D41BD" w:rsidRPr="000D41BD" w14:paraId="79925B3D" w14:textId="77777777" w:rsidTr="000D41BD">
        <w:trPr>
          <w:tblCellSpacing w:w="0" w:type="dxa"/>
        </w:trPr>
        <w:tc>
          <w:tcPr>
            <w:tcW w:w="2355" w:type="pct"/>
            <w:tcBorders>
              <w:top w:val="outset" w:sz="6" w:space="0" w:color="auto"/>
              <w:left w:val="outset" w:sz="6" w:space="0" w:color="auto"/>
              <w:bottom w:val="outset" w:sz="6" w:space="0" w:color="auto"/>
              <w:right w:val="outset" w:sz="6" w:space="0" w:color="auto"/>
            </w:tcBorders>
            <w:vAlign w:val="center"/>
            <w:hideMark/>
          </w:tcPr>
          <w:p w14:paraId="19FC1E88" w14:textId="77777777" w:rsidR="000D41BD" w:rsidRPr="000D41BD" w:rsidRDefault="000D41BD" w:rsidP="00D43117">
            <w:pPr>
              <w:spacing w:line="240" w:lineRule="atLeast"/>
              <w:rPr>
                <w:spacing w:val="8"/>
                <w:sz w:val="22"/>
                <w:szCs w:val="22"/>
              </w:rPr>
            </w:pPr>
            <w:r w:rsidRPr="000D41BD">
              <w:rPr>
                <w:spacing w:val="8"/>
                <w:sz w:val="22"/>
                <w:szCs w:val="22"/>
              </w:rPr>
              <w:t>Disclosure document required?</w:t>
            </w:r>
          </w:p>
        </w:tc>
        <w:tc>
          <w:tcPr>
            <w:tcW w:w="1383" w:type="pct"/>
            <w:tcBorders>
              <w:top w:val="outset" w:sz="6" w:space="0" w:color="auto"/>
              <w:left w:val="outset" w:sz="6" w:space="0" w:color="auto"/>
              <w:bottom w:val="outset" w:sz="6" w:space="0" w:color="auto"/>
              <w:right w:val="outset" w:sz="6" w:space="0" w:color="auto"/>
            </w:tcBorders>
            <w:vAlign w:val="center"/>
            <w:hideMark/>
          </w:tcPr>
          <w:p w14:paraId="782C1867" w14:textId="77777777" w:rsidR="000D41BD" w:rsidRPr="000D41BD" w:rsidRDefault="000D41BD" w:rsidP="00D43117">
            <w:pPr>
              <w:spacing w:line="240" w:lineRule="atLeast"/>
              <w:jc w:val="center"/>
              <w:rPr>
                <w:spacing w:val="8"/>
                <w:sz w:val="22"/>
                <w:szCs w:val="22"/>
              </w:rPr>
            </w:pPr>
            <w:r w:rsidRPr="000D41BD">
              <w:rPr>
                <w:spacing w:val="8"/>
                <w:sz w:val="22"/>
                <w:szCs w:val="22"/>
              </w:rPr>
              <w:t>No</w:t>
            </w:r>
          </w:p>
        </w:tc>
        <w:tc>
          <w:tcPr>
            <w:tcW w:w="1263" w:type="pct"/>
            <w:tcBorders>
              <w:top w:val="outset" w:sz="6" w:space="0" w:color="auto"/>
              <w:left w:val="outset" w:sz="6" w:space="0" w:color="auto"/>
              <w:bottom w:val="outset" w:sz="6" w:space="0" w:color="auto"/>
              <w:right w:val="outset" w:sz="6" w:space="0" w:color="auto"/>
            </w:tcBorders>
            <w:vAlign w:val="center"/>
            <w:hideMark/>
          </w:tcPr>
          <w:p w14:paraId="4EB10ED2" w14:textId="77777777" w:rsidR="000D41BD" w:rsidRPr="000D41BD" w:rsidRDefault="000D41BD" w:rsidP="00D43117">
            <w:pPr>
              <w:spacing w:line="240" w:lineRule="atLeast"/>
              <w:jc w:val="center"/>
              <w:rPr>
                <w:spacing w:val="8"/>
                <w:sz w:val="22"/>
                <w:szCs w:val="22"/>
              </w:rPr>
            </w:pPr>
            <w:r w:rsidRPr="000D41BD">
              <w:rPr>
                <w:spacing w:val="8"/>
                <w:sz w:val="22"/>
                <w:szCs w:val="22"/>
              </w:rPr>
              <w:t>Yes</w:t>
            </w:r>
            <w:r w:rsidRPr="000D41BD">
              <w:rPr>
                <w:spacing w:val="8"/>
                <w:sz w:val="22"/>
                <w:szCs w:val="22"/>
                <w:vertAlign w:val="superscript"/>
              </w:rPr>
              <w:t>*</w:t>
            </w:r>
          </w:p>
        </w:tc>
      </w:tr>
      <w:tr w:rsidR="000D41BD" w:rsidRPr="000D41BD" w14:paraId="5DDF98D3" w14:textId="77777777" w:rsidTr="000D41BD">
        <w:trPr>
          <w:tblCellSpacing w:w="0" w:type="dxa"/>
        </w:trPr>
        <w:tc>
          <w:tcPr>
            <w:tcW w:w="2355" w:type="pct"/>
            <w:tcBorders>
              <w:top w:val="outset" w:sz="6" w:space="0" w:color="auto"/>
              <w:left w:val="outset" w:sz="6" w:space="0" w:color="auto"/>
              <w:bottom w:val="outset" w:sz="6" w:space="0" w:color="auto"/>
              <w:right w:val="outset" w:sz="6" w:space="0" w:color="auto"/>
            </w:tcBorders>
            <w:vAlign w:val="center"/>
            <w:hideMark/>
          </w:tcPr>
          <w:p w14:paraId="7EC321E7" w14:textId="77777777" w:rsidR="000D41BD" w:rsidRPr="000D41BD" w:rsidRDefault="000D41BD" w:rsidP="00D43117">
            <w:pPr>
              <w:spacing w:line="240" w:lineRule="atLeast"/>
              <w:rPr>
                <w:spacing w:val="8"/>
                <w:sz w:val="22"/>
                <w:szCs w:val="22"/>
              </w:rPr>
            </w:pPr>
            <w:r w:rsidRPr="000D41BD">
              <w:rPr>
                <w:spacing w:val="8"/>
                <w:sz w:val="22"/>
                <w:szCs w:val="22"/>
              </w:rPr>
              <w:t>Opportunity to ask questions of issuer?</w:t>
            </w:r>
          </w:p>
        </w:tc>
        <w:tc>
          <w:tcPr>
            <w:tcW w:w="1383" w:type="pct"/>
            <w:tcBorders>
              <w:top w:val="outset" w:sz="6" w:space="0" w:color="auto"/>
              <w:left w:val="outset" w:sz="6" w:space="0" w:color="auto"/>
              <w:bottom w:val="outset" w:sz="6" w:space="0" w:color="auto"/>
              <w:right w:val="outset" w:sz="6" w:space="0" w:color="auto"/>
            </w:tcBorders>
            <w:vAlign w:val="center"/>
            <w:hideMark/>
          </w:tcPr>
          <w:p w14:paraId="1EF886BE" w14:textId="77777777" w:rsidR="000D41BD" w:rsidRPr="000D41BD" w:rsidRDefault="000D41BD" w:rsidP="00D43117">
            <w:pPr>
              <w:spacing w:line="240" w:lineRule="atLeast"/>
              <w:jc w:val="center"/>
              <w:rPr>
                <w:spacing w:val="8"/>
                <w:sz w:val="22"/>
                <w:szCs w:val="22"/>
              </w:rPr>
            </w:pPr>
            <w:r w:rsidRPr="000D41BD">
              <w:rPr>
                <w:spacing w:val="8"/>
                <w:sz w:val="22"/>
                <w:szCs w:val="22"/>
              </w:rPr>
              <w:t>No</w:t>
            </w:r>
          </w:p>
        </w:tc>
        <w:tc>
          <w:tcPr>
            <w:tcW w:w="1263" w:type="pct"/>
            <w:tcBorders>
              <w:top w:val="outset" w:sz="6" w:space="0" w:color="auto"/>
              <w:left w:val="outset" w:sz="6" w:space="0" w:color="auto"/>
              <w:bottom w:val="outset" w:sz="6" w:space="0" w:color="auto"/>
              <w:right w:val="outset" w:sz="6" w:space="0" w:color="auto"/>
            </w:tcBorders>
            <w:vAlign w:val="center"/>
            <w:hideMark/>
          </w:tcPr>
          <w:p w14:paraId="3F55E92F" w14:textId="77777777" w:rsidR="000D41BD" w:rsidRPr="000D41BD" w:rsidRDefault="000D41BD" w:rsidP="00D43117">
            <w:pPr>
              <w:spacing w:line="240" w:lineRule="atLeast"/>
              <w:jc w:val="center"/>
              <w:rPr>
                <w:spacing w:val="8"/>
                <w:sz w:val="22"/>
                <w:szCs w:val="22"/>
              </w:rPr>
            </w:pPr>
            <w:r w:rsidRPr="000D41BD">
              <w:rPr>
                <w:spacing w:val="8"/>
                <w:sz w:val="22"/>
                <w:szCs w:val="22"/>
              </w:rPr>
              <w:t>Yes</w:t>
            </w:r>
          </w:p>
        </w:tc>
      </w:tr>
    </w:tbl>
    <w:p w14:paraId="65F6ADF1" w14:textId="77777777" w:rsidR="00D43117" w:rsidRPr="00AA03AA" w:rsidRDefault="00D43117" w:rsidP="00F54793">
      <w:pPr>
        <w:pStyle w:val="Normal1"/>
        <w:shd w:val="clear" w:color="auto" w:fill="FFFFFF"/>
        <w:spacing w:before="0" w:after="0" w:afterAutospacing="0" w:line="240" w:lineRule="auto"/>
        <w:jc w:val="both"/>
        <w:rPr>
          <w:rFonts w:ascii="Times New Roman" w:hAnsi="Times New Roman" w:cs="Times New Roman"/>
        </w:rPr>
      </w:pPr>
      <w:r w:rsidRPr="00AA03AA">
        <w:rPr>
          <w:rFonts w:ascii="Times New Roman" w:hAnsi="Times New Roman" w:cs="Times New Roman"/>
          <w:vertAlign w:val="superscript"/>
        </w:rPr>
        <w:t>*</w:t>
      </w:r>
      <w:r w:rsidRPr="00AA03AA">
        <w:rPr>
          <w:rFonts w:ascii="Times New Roman" w:hAnsi="Times New Roman" w:cs="Times New Roman"/>
        </w:rPr>
        <w:t>Under the rule, disclosure documents are not required to be given to accredited investors though a note to Rule 502(b) states that an issuer should consider providing such information to accredited investors in view of anti-fraud statutes.</w:t>
      </w:r>
    </w:p>
    <w:p w14:paraId="437BE7D8" w14:textId="77777777" w:rsidR="00703B0A" w:rsidRPr="00AA03AA" w:rsidRDefault="00703B0A" w:rsidP="00F54793">
      <w:pPr>
        <w:pStyle w:val="Normal1"/>
        <w:shd w:val="clear" w:color="auto" w:fill="FFFFFF"/>
        <w:spacing w:before="0" w:after="0" w:afterAutospacing="0" w:line="240" w:lineRule="auto"/>
        <w:jc w:val="both"/>
        <w:rPr>
          <w:rFonts w:ascii="Times New Roman" w:hAnsi="Times New Roman" w:cs="Times New Roman"/>
          <w:sz w:val="24"/>
          <w:szCs w:val="24"/>
        </w:rPr>
      </w:pPr>
    </w:p>
    <w:p w14:paraId="037A1586" w14:textId="77777777" w:rsidR="00D43117" w:rsidRDefault="00D43117" w:rsidP="00D43117">
      <w:pPr>
        <w:pStyle w:val="Normal1"/>
        <w:shd w:val="clear" w:color="auto" w:fill="FFFFFF"/>
        <w:jc w:val="both"/>
        <w:rPr>
          <w:rFonts w:ascii="Times New Roman" w:hAnsi="Times New Roman" w:cs="Times New Roman"/>
          <w:sz w:val="24"/>
          <w:szCs w:val="24"/>
        </w:rPr>
      </w:pPr>
      <w:r w:rsidRPr="00AA03AA">
        <w:rPr>
          <w:rFonts w:ascii="Times New Roman" w:hAnsi="Times New Roman" w:cs="Times New Roman"/>
          <w:sz w:val="24"/>
          <w:szCs w:val="24"/>
        </w:rPr>
        <w:t>The reference to "unlimited accredited investors" in the section "Number of investors" above does not imply that a private placement will, in fact, have an unlimited number of accredited investors. The issuer and Company will consider limitations on accredited investors, as appropriate, to preserve the exemption as a private placement and avoid the appearance of a broad solicitation of the issue.</w:t>
      </w:r>
    </w:p>
    <w:p w14:paraId="7D98772A" w14:textId="41479878" w:rsidR="00D723CC" w:rsidRPr="00E4165F" w:rsidRDefault="004D5115" w:rsidP="00E5056A">
      <w:pPr>
        <w:pStyle w:val="Normal26"/>
        <w:spacing w:before="0" w:beforeAutospacing="0" w:after="0" w:afterAutospacing="0"/>
      </w:pPr>
      <w:r w:rsidRPr="00E4165F">
        <w:rPr>
          <w:b/>
        </w:rPr>
        <w:t xml:space="preserve">Disqualification </w:t>
      </w:r>
      <w:r w:rsidR="00E5056A">
        <w:rPr>
          <w:b/>
        </w:rPr>
        <w:t>o</w:t>
      </w:r>
      <w:r w:rsidR="00161E77">
        <w:rPr>
          <w:b/>
        </w:rPr>
        <w:t>f Felons a</w:t>
      </w:r>
      <w:r w:rsidRPr="00E4165F">
        <w:rPr>
          <w:b/>
        </w:rPr>
        <w:t>nd Other "Bad Actors"</w:t>
      </w:r>
      <w:r w:rsidRPr="00E4165F">
        <w:t xml:space="preserve"> - </w:t>
      </w:r>
      <w:r w:rsidR="00D723CC" w:rsidRPr="00E4165F">
        <w:t xml:space="preserve">Rules 504 and 506 are </w:t>
      </w:r>
      <w:r w:rsidR="00BB3F8F" w:rsidRPr="00E4165F">
        <w:t>frequently used</w:t>
      </w:r>
      <w:r w:rsidR="00D723CC" w:rsidRPr="00E4165F">
        <w:t xml:space="preserve"> exemptions from registration under Regulation D. The exemptions are NOT available if the issuer or any person covered by the disqualification rule had a "disqualifying event." Disqualifying events include certain criminal convictions; SEC and CFTC actions; and other events. There is an exception from disqualification if the issuer can show it did not know, and in the exercise of reasonable care, could not have known that a covered person with a disqualifying event participated in the offering.</w:t>
      </w:r>
    </w:p>
    <w:p w14:paraId="5D207D05" w14:textId="77777777" w:rsidR="000C099C" w:rsidRPr="00AA03AA" w:rsidRDefault="000C099C" w:rsidP="00E5056A">
      <w:pPr>
        <w:jc w:val="both"/>
        <w:rPr>
          <w:sz w:val="24"/>
        </w:rPr>
      </w:pPr>
    </w:p>
    <w:p w14:paraId="4268FEE9" w14:textId="77777777" w:rsidR="00D02263" w:rsidRDefault="00D02263" w:rsidP="00E5056A">
      <w:pPr>
        <w:pStyle w:val="Heading3"/>
      </w:pPr>
      <w:r>
        <w:lastRenderedPageBreak/>
        <w:t>1</w:t>
      </w:r>
      <w:r w:rsidR="00E5056A">
        <w:t>4</w:t>
      </w:r>
      <w:r>
        <w:t>.1</w:t>
      </w:r>
      <w:r w:rsidR="00F57DAC">
        <w:t>6</w:t>
      </w:r>
      <w:r>
        <w:t xml:space="preserve">.1 </w:t>
      </w:r>
      <w:r w:rsidR="000C099C">
        <w:t xml:space="preserve">Rule 501 </w:t>
      </w:r>
    </w:p>
    <w:p w14:paraId="5107FF2B" w14:textId="77777777" w:rsidR="000C099C" w:rsidRPr="00840F27" w:rsidRDefault="00D02263" w:rsidP="00D02263">
      <w:pPr>
        <w:ind w:left="270"/>
        <w:jc w:val="both"/>
        <w:rPr>
          <w:sz w:val="24"/>
        </w:rPr>
      </w:pPr>
      <w:r w:rsidRPr="00840F27">
        <w:rPr>
          <w:sz w:val="24"/>
        </w:rPr>
        <w:t xml:space="preserve">Rule 501 </w:t>
      </w:r>
      <w:r w:rsidR="000C099C" w:rsidRPr="00840F27">
        <w:rPr>
          <w:sz w:val="24"/>
        </w:rPr>
        <w:t>of Regulation D sets forth definitions and terms applicable to the regulation. Perhaps the most important definition is that of the term "accredited investor." This definition provides that certain categories of accredited investors are excluded for purposes of determining whether the number of purchasers of a privately placed security exceeds the applicable limit. Among these categories are:</w:t>
      </w:r>
    </w:p>
    <w:p w14:paraId="3AD4FC3F" w14:textId="77777777" w:rsidR="000C099C" w:rsidRPr="00840F27" w:rsidRDefault="000C099C">
      <w:pPr>
        <w:jc w:val="both"/>
        <w:rPr>
          <w:sz w:val="24"/>
        </w:rPr>
      </w:pPr>
    </w:p>
    <w:p w14:paraId="17DDDEBF" w14:textId="77777777" w:rsidR="000C099C" w:rsidRPr="00840F27" w:rsidRDefault="000C099C" w:rsidP="000E55BC">
      <w:pPr>
        <w:ind w:left="1170" w:hanging="422"/>
        <w:jc w:val="both"/>
        <w:rPr>
          <w:sz w:val="24"/>
        </w:rPr>
      </w:pPr>
      <w:r w:rsidRPr="00840F27">
        <w:rPr>
          <w:sz w:val="24"/>
        </w:rPr>
        <w:t>1.</w:t>
      </w:r>
      <w:r w:rsidRPr="00840F27">
        <w:rPr>
          <w:sz w:val="24"/>
        </w:rPr>
        <w:tab/>
      </w:r>
      <w:r w:rsidR="00703B0A" w:rsidRPr="00840F27">
        <w:rPr>
          <w:sz w:val="24"/>
        </w:rPr>
        <w:t>Financial</w:t>
      </w:r>
      <w:r w:rsidRPr="00840F27">
        <w:rPr>
          <w:sz w:val="24"/>
        </w:rPr>
        <w:t xml:space="preserve"> institutions such as banks, insurance companies and investment companies as well as employee benefit plans;</w:t>
      </w:r>
    </w:p>
    <w:p w14:paraId="35B70168" w14:textId="77777777" w:rsidR="000C099C" w:rsidRPr="00840F27" w:rsidRDefault="000C099C">
      <w:pPr>
        <w:ind w:left="1440" w:hanging="692"/>
        <w:jc w:val="both"/>
        <w:rPr>
          <w:sz w:val="24"/>
        </w:rPr>
      </w:pPr>
    </w:p>
    <w:p w14:paraId="48BDB937" w14:textId="77777777" w:rsidR="000C099C" w:rsidRPr="00840F27" w:rsidRDefault="000C099C" w:rsidP="00EF4F5F">
      <w:pPr>
        <w:ind w:left="1170" w:hanging="422"/>
        <w:jc w:val="both"/>
        <w:rPr>
          <w:sz w:val="24"/>
        </w:rPr>
      </w:pPr>
      <w:r w:rsidRPr="00840F27">
        <w:rPr>
          <w:sz w:val="24"/>
        </w:rPr>
        <w:t>2.</w:t>
      </w:r>
      <w:r w:rsidRPr="00840F27">
        <w:rPr>
          <w:sz w:val="24"/>
        </w:rPr>
        <w:tab/>
      </w:r>
      <w:r w:rsidR="00703B0A" w:rsidRPr="00840F27">
        <w:rPr>
          <w:sz w:val="24"/>
        </w:rPr>
        <w:t>Any</w:t>
      </w:r>
      <w:r w:rsidRPr="00840F27">
        <w:rPr>
          <w:sz w:val="24"/>
        </w:rPr>
        <w:t xml:space="preserve"> private business development company; </w:t>
      </w:r>
    </w:p>
    <w:p w14:paraId="317742EE" w14:textId="77777777" w:rsidR="000C099C" w:rsidRPr="00840F27" w:rsidRDefault="000C099C">
      <w:pPr>
        <w:ind w:left="1440" w:hanging="692"/>
        <w:jc w:val="both"/>
        <w:rPr>
          <w:sz w:val="24"/>
        </w:rPr>
      </w:pPr>
    </w:p>
    <w:p w14:paraId="474F7708" w14:textId="77777777" w:rsidR="000C099C" w:rsidRPr="00840F27" w:rsidRDefault="000C099C" w:rsidP="00125D89">
      <w:pPr>
        <w:ind w:left="1170" w:hanging="422"/>
        <w:jc w:val="both"/>
        <w:rPr>
          <w:sz w:val="24"/>
        </w:rPr>
      </w:pPr>
      <w:r w:rsidRPr="00840F27">
        <w:rPr>
          <w:sz w:val="24"/>
        </w:rPr>
        <w:t>3.</w:t>
      </w:r>
      <w:r w:rsidRPr="00840F27">
        <w:rPr>
          <w:sz w:val="24"/>
        </w:rPr>
        <w:tab/>
      </w:r>
      <w:r w:rsidR="00703B0A" w:rsidRPr="00840F27">
        <w:rPr>
          <w:sz w:val="24"/>
        </w:rPr>
        <w:t>Any</w:t>
      </w:r>
      <w:r w:rsidRPr="00840F27">
        <w:rPr>
          <w:sz w:val="24"/>
        </w:rPr>
        <w:t xml:space="preserve"> college or university endowment fund, as well as other non-profit organizations with assets of $5,000,000 or more;</w:t>
      </w:r>
    </w:p>
    <w:p w14:paraId="4E964E30" w14:textId="77777777" w:rsidR="000C099C" w:rsidRPr="00840F27" w:rsidRDefault="000C099C">
      <w:pPr>
        <w:ind w:left="1440" w:hanging="692"/>
        <w:jc w:val="both"/>
        <w:rPr>
          <w:sz w:val="24"/>
        </w:rPr>
      </w:pPr>
    </w:p>
    <w:p w14:paraId="774270EF" w14:textId="77777777" w:rsidR="000C099C" w:rsidRPr="00840F27" w:rsidRDefault="000C099C" w:rsidP="00EF4F5F">
      <w:pPr>
        <w:ind w:left="1170" w:hanging="422"/>
        <w:jc w:val="both"/>
        <w:rPr>
          <w:sz w:val="24"/>
        </w:rPr>
      </w:pPr>
      <w:r w:rsidRPr="00840F27">
        <w:rPr>
          <w:sz w:val="24"/>
        </w:rPr>
        <w:t>4.</w:t>
      </w:r>
      <w:r w:rsidRPr="00840F27">
        <w:rPr>
          <w:sz w:val="24"/>
        </w:rPr>
        <w:tab/>
      </w:r>
      <w:r w:rsidR="00703B0A" w:rsidRPr="00840F27">
        <w:rPr>
          <w:sz w:val="24"/>
        </w:rPr>
        <w:t>Directors</w:t>
      </w:r>
      <w:r w:rsidRPr="00840F27">
        <w:rPr>
          <w:sz w:val="24"/>
        </w:rPr>
        <w:t xml:space="preserve">, executive officers and general partners of the issuer; </w:t>
      </w:r>
    </w:p>
    <w:p w14:paraId="4AF3776F" w14:textId="77777777" w:rsidR="000C099C" w:rsidRPr="00840F27" w:rsidRDefault="000C099C">
      <w:pPr>
        <w:ind w:left="1440" w:hanging="692"/>
        <w:jc w:val="both"/>
        <w:rPr>
          <w:sz w:val="24"/>
        </w:rPr>
      </w:pPr>
    </w:p>
    <w:p w14:paraId="5F0FDF96" w14:textId="77777777" w:rsidR="0041704E" w:rsidRDefault="00703B0A" w:rsidP="0041704E">
      <w:pPr>
        <w:pStyle w:val="ListParagraph"/>
        <w:numPr>
          <w:ilvl w:val="0"/>
          <w:numId w:val="85"/>
        </w:numPr>
        <w:ind w:left="1170" w:hanging="450"/>
        <w:jc w:val="both"/>
        <w:rPr>
          <w:sz w:val="24"/>
        </w:rPr>
      </w:pPr>
      <w:r w:rsidRPr="0041704E">
        <w:rPr>
          <w:sz w:val="24"/>
        </w:rPr>
        <w:t>Individuals</w:t>
      </w:r>
      <w:r w:rsidR="000C099C" w:rsidRPr="0041704E">
        <w:rPr>
          <w:sz w:val="24"/>
        </w:rPr>
        <w:t xml:space="preserve"> with a net worth in excess of $1,000,000 (including joint net worth with spouse)</w:t>
      </w:r>
      <w:r w:rsidR="00DC1A30" w:rsidRPr="0041704E">
        <w:rPr>
          <w:sz w:val="24"/>
        </w:rPr>
        <w:t xml:space="preserve">  and effective July 21, 2010, excluding the value of their primary residence</w:t>
      </w:r>
      <w:r w:rsidR="000C099C" w:rsidRPr="0041704E">
        <w:rPr>
          <w:sz w:val="24"/>
        </w:rPr>
        <w:t xml:space="preserve">; </w:t>
      </w:r>
    </w:p>
    <w:p w14:paraId="6D4AAF4D" w14:textId="554F5229" w:rsidR="0041704E" w:rsidRPr="0041704E" w:rsidRDefault="000C099C" w:rsidP="0041704E">
      <w:pPr>
        <w:pStyle w:val="ListParagraph"/>
        <w:ind w:left="1170" w:hanging="450"/>
        <w:jc w:val="both"/>
        <w:rPr>
          <w:sz w:val="24"/>
        </w:rPr>
      </w:pPr>
      <w:r w:rsidRPr="0041704E">
        <w:rPr>
          <w:sz w:val="24"/>
        </w:rPr>
        <w:t xml:space="preserve"> </w:t>
      </w:r>
    </w:p>
    <w:p w14:paraId="1C88C94E" w14:textId="7F015E85" w:rsidR="0041704E" w:rsidRDefault="00703B0A" w:rsidP="0041704E">
      <w:pPr>
        <w:pStyle w:val="ListParagraph"/>
        <w:numPr>
          <w:ilvl w:val="0"/>
          <w:numId w:val="85"/>
        </w:numPr>
        <w:ind w:left="1170" w:hanging="450"/>
        <w:jc w:val="both"/>
        <w:rPr>
          <w:sz w:val="24"/>
        </w:rPr>
      </w:pPr>
      <w:r w:rsidRPr="0041704E">
        <w:rPr>
          <w:sz w:val="24"/>
        </w:rPr>
        <w:t>I</w:t>
      </w:r>
      <w:r w:rsidR="000C099C" w:rsidRPr="0041704E">
        <w:rPr>
          <w:sz w:val="24"/>
        </w:rPr>
        <w:t>ndividuals with income in excess of $200,000 in each of the last two years, with a reasonable expectation of having income in excess of $200,000 in the year of the purchase (or together with spouse in excess of $300,000)</w:t>
      </w:r>
      <w:r w:rsidR="003D36C8" w:rsidRPr="0041704E">
        <w:rPr>
          <w:sz w:val="24"/>
        </w:rPr>
        <w:t xml:space="preserve">; </w:t>
      </w:r>
    </w:p>
    <w:p w14:paraId="72941D22" w14:textId="77777777" w:rsidR="0041704E" w:rsidRPr="00BB3F8F" w:rsidRDefault="0041704E" w:rsidP="0041704E">
      <w:pPr>
        <w:ind w:left="1170" w:hanging="450"/>
        <w:jc w:val="both"/>
        <w:rPr>
          <w:sz w:val="24"/>
        </w:rPr>
      </w:pPr>
    </w:p>
    <w:p w14:paraId="5FFFA7B5" w14:textId="06094F14" w:rsidR="003D36C8" w:rsidRPr="00BB3F8F" w:rsidRDefault="0041704E" w:rsidP="0041704E">
      <w:pPr>
        <w:pStyle w:val="ListParagraph"/>
        <w:numPr>
          <w:ilvl w:val="0"/>
          <w:numId w:val="85"/>
        </w:numPr>
        <w:ind w:left="1170" w:hanging="450"/>
        <w:jc w:val="both"/>
        <w:rPr>
          <w:sz w:val="24"/>
          <w:szCs w:val="24"/>
        </w:rPr>
      </w:pPr>
      <w:r w:rsidRPr="00BB3F8F">
        <w:rPr>
          <w:sz w:val="24"/>
          <w:szCs w:val="24"/>
        </w:rPr>
        <w:t>N</w:t>
      </w:r>
      <w:r w:rsidRPr="00BB3F8F">
        <w:rPr>
          <w:sz w:val="24"/>
          <w:szCs w:val="24"/>
          <w:shd w:val="clear" w:color="auto" w:fill="FFFFFF"/>
        </w:rPr>
        <w:t>atural persons based on certain professional certifications, designations or other credentials issued by an accredited educational institution, which the SEC may designate from time to time by order</w:t>
      </w:r>
      <w:r w:rsidR="00F016A4" w:rsidRPr="00BB3F8F">
        <w:rPr>
          <w:sz w:val="24"/>
          <w:szCs w:val="24"/>
          <w:shd w:val="clear" w:color="auto" w:fill="FFFFFF"/>
        </w:rPr>
        <w:t xml:space="preserve"> (and other standards set by federal or state laws and regulations)</w:t>
      </w:r>
      <w:r w:rsidRPr="00BB3F8F">
        <w:rPr>
          <w:sz w:val="24"/>
          <w:szCs w:val="24"/>
          <w:shd w:val="clear" w:color="auto" w:fill="FFFFFF"/>
        </w:rPr>
        <w:t>.  In conjunction with the adoption of the amendments, the SEC has specifically designated that holders in good standing of the Series 7, Series 65, and Series 82 licenses are qualifying natural persons;</w:t>
      </w:r>
      <w:r w:rsidRPr="00BB3F8F">
        <w:rPr>
          <w:sz w:val="24"/>
          <w:szCs w:val="24"/>
        </w:rPr>
        <w:t xml:space="preserve"> </w:t>
      </w:r>
      <w:r w:rsidR="003D36C8" w:rsidRPr="00BB3F8F">
        <w:rPr>
          <w:sz w:val="24"/>
          <w:szCs w:val="24"/>
        </w:rPr>
        <w:t xml:space="preserve"> </w:t>
      </w:r>
    </w:p>
    <w:p w14:paraId="6C6B263E" w14:textId="77777777" w:rsidR="0041704E" w:rsidRPr="00BB3F8F" w:rsidRDefault="0041704E" w:rsidP="0041704E">
      <w:pPr>
        <w:pStyle w:val="ListParagraph"/>
        <w:rPr>
          <w:sz w:val="24"/>
          <w:szCs w:val="24"/>
        </w:rPr>
      </w:pPr>
    </w:p>
    <w:p w14:paraId="4130138F" w14:textId="56FE99F8" w:rsidR="0041704E" w:rsidRPr="00BB3F8F" w:rsidRDefault="0041704E" w:rsidP="0041704E">
      <w:pPr>
        <w:pStyle w:val="ListParagraph"/>
        <w:numPr>
          <w:ilvl w:val="0"/>
          <w:numId w:val="85"/>
        </w:numPr>
        <w:ind w:left="1170" w:hanging="450"/>
        <w:jc w:val="both"/>
        <w:rPr>
          <w:sz w:val="24"/>
          <w:szCs w:val="24"/>
        </w:rPr>
      </w:pPr>
      <w:r w:rsidRPr="00BB3F8F">
        <w:rPr>
          <w:sz w:val="24"/>
          <w:szCs w:val="24"/>
          <w:shd w:val="clear" w:color="auto" w:fill="FFFFFF"/>
        </w:rPr>
        <w:t>Natural persons who are “knowledgeable employees” of a Private Fund;</w:t>
      </w:r>
    </w:p>
    <w:p w14:paraId="58A54C96" w14:textId="77777777" w:rsidR="0041704E" w:rsidRPr="00BB3F8F" w:rsidRDefault="0041704E" w:rsidP="0041704E">
      <w:pPr>
        <w:pStyle w:val="ListParagraph"/>
        <w:rPr>
          <w:sz w:val="24"/>
          <w:szCs w:val="24"/>
        </w:rPr>
      </w:pPr>
    </w:p>
    <w:p w14:paraId="0065B389" w14:textId="7E2A4794" w:rsidR="0041704E" w:rsidRPr="00BB3F8F" w:rsidRDefault="0041704E" w:rsidP="0041704E">
      <w:pPr>
        <w:pStyle w:val="ListParagraph"/>
        <w:numPr>
          <w:ilvl w:val="0"/>
          <w:numId w:val="85"/>
        </w:numPr>
        <w:ind w:left="1170" w:hanging="450"/>
        <w:jc w:val="both"/>
        <w:rPr>
          <w:sz w:val="24"/>
          <w:szCs w:val="24"/>
        </w:rPr>
      </w:pPr>
      <w:r w:rsidRPr="00BB3F8F">
        <w:rPr>
          <w:sz w:val="24"/>
          <w:szCs w:val="24"/>
          <w:shd w:val="clear" w:color="auto" w:fill="FFFFFF"/>
        </w:rPr>
        <w:t>Limited liability companies with $5 million in assets, and SEC and state-registered investment advisers, exempt reporting advisers, and rural business investment companies (RBICs);</w:t>
      </w:r>
    </w:p>
    <w:p w14:paraId="6C7548BC" w14:textId="77777777" w:rsidR="0041704E" w:rsidRPr="00BB3F8F" w:rsidRDefault="0041704E" w:rsidP="0041704E">
      <w:pPr>
        <w:pStyle w:val="ListParagraph"/>
        <w:rPr>
          <w:sz w:val="24"/>
          <w:szCs w:val="24"/>
        </w:rPr>
      </w:pPr>
    </w:p>
    <w:p w14:paraId="3708ECE8" w14:textId="2C517B5A" w:rsidR="0041704E" w:rsidRPr="00BB3F8F" w:rsidRDefault="0041704E" w:rsidP="0041704E">
      <w:pPr>
        <w:pStyle w:val="ListParagraph"/>
        <w:numPr>
          <w:ilvl w:val="0"/>
          <w:numId w:val="85"/>
        </w:numPr>
        <w:ind w:left="1170" w:hanging="450"/>
        <w:jc w:val="both"/>
        <w:rPr>
          <w:sz w:val="24"/>
          <w:szCs w:val="24"/>
        </w:rPr>
      </w:pPr>
      <w:r w:rsidRPr="00BB3F8F">
        <w:rPr>
          <w:sz w:val="24"/>
          <w:szCs w:val="24"/>
          <w:shd w:val="clear" w:color="auto" w:fill="FFFFFF"/>
        </w:rPr>
        <w:t>Any entity, including Indian tribes, governmental bodies, funds, and entities organized under the laws of foreign countries, that own “investments,” as defined in Rule 2a51-1(b) under the Investment Company Act, in excess of $5 million and that was not formed for the specific purpose of investing in the securities offered;</w:t>
      </w:r>
    </w:p>
    <w:p w14:paraId="10AA5F36" w14:textId="77777777" w:rsidR="0041704E" w:rsidRPr="00BB3F8F" w:rsidRDefault="0041704E" w:rsidP="0041704E">
      <w:pPr>
        <w:pStyle w:val="ListParagraph"/>
        <w:rPr>
          <w:sz w:val="24"/>
          <w:szCs w:val="24"/>
        </w:rPr>
      </w:pPr>
    </w:p>
    <w:p w14:paraId="4CF5E6F7" w14:textId="58459938" w:rsidR="0041704E" w:rsidRPr="00BB3F8F" w:rsidRDefault="0041704E" w:rsidP="0041704E">
      <w:pPr>
        <w:pStyle w:val="ListParagraph"/>
        <w:numPr>
          <w:ilvl w:val="0"/>
          <w:numId w:val="85"/>
        </w:numPr>
        <w:ind w:left="1170" w:hanging="450"/>
        <w:jc w:val="both"/>
        <w:rPr>
          <w:sz w:val="24"/>
          <w:szCs w:val="24"/>
        </w:rPr>
      </w:pPr>
      <w:r w:rsidRPr="00BB3F8F">
        <w:rPr>
          <w:sz w:val="24"/>
          <w:szCs w:val="24"/>
          <w:shd w:val="clear" w:color="auto" w:fill="FFFFFF"/>
        </w:rPr>
        <w:t>“Family offices” with at least $5 million in assets under management, and their “family clients,” as each term is defined under the Investment Advisers Act; and</w:t>
      </w:r>
    </w:p>
    <w:p w14:paraId="73962158" w14:textId="77777777" w:rsidR="0041704E" w:rsidRPr="00BB3F8F" w:rsidRDefault="0041704E" w:rsidP="0041704E">
      <w:pPr>
        <w:pStyle w:val="ListParagraph"/>
        <w:rPr>
          <w:sz w:val="24"/>
          <w:szCs w:val="24"/>
        </w:rPr>
      </w:pPr>
    </w:p>
    <w:p w14:paraId="0113E71E" w14:textId="58A65237" w:rsidR="0041704E" w:rsidRPr="00BB3F8F" w:rsidRDefault="0041704E" w:rsidP="0041704E">
      <w:pPr>
        <w:pStyle w:val="ListParagraph"/>
        <w:numPr>
          <w:ilvl w:val="0"/>
          <w:numId w:val="85"/>
        </w:numPr>
        <w:ind w:left="1170" w:hanging="450"/>
        <w:jc w:val="both"/>
        <w:rPr>
          <w:sz w:val="24"/>
          <w:szCs w:val="24"/>
        </w:rPr>
      </w:pPr>
      <w:r w:rsidRPr="00BB3F8F">
        <w:rPr>
          <w:sz w:val="24"/>
          <w:szCs w:val="24"/>
          <w:shd w:val="clear" w:color="auto" w:fill="FFFFFF"/>
        </w:rPr>
        <w:t>“Spousal equivalents” may pool their finances for the purpose of qualifying as accredited investors.</w:t>
      </w:r>
    </w:p>
    <w:p w14:paraId="4950D720" w14:textId="77777777" w:rsidR="00431241" w:rsidRPr="00BB3F8F" w:rsidRDefault="00431241">
      <w:pPr>
        <w:ind w:left="1440" w:hanging="692"/>
        <w:jc w:val="both"/>
        <w:rPr>
          <w:sz w:val="24"/>
        </w:rPr>
      </w:pPr>
    </w:p>
    <w:p w14:paraId="3D59C3C3" w14:textId="77777777" w:rsidR="00431241" w:rsidRPr="00840F27" w:rsidRDefault="00431241" w:rsidP="00B47211">
      <w:pPr>
        <w:ind w:firstLine="270"/>
        <w:rPr>
          <w:b/>
          <w:sz w:val="24"/>
          <w:szCs w:val="24"/>
        </w:rPr>
      </w:pPr>
      <w:r w:rsidRPr="00840F27">
        <w:rPr>
          <w:b/>
          <w:sz w:val="24"/>
          <w:szCs w:val="24"/>
        </w:rPr>
        <w:t>Determining Accredited Investor Status</w:t>
      </w:r>
    </w:p>
    <w:p w14:paraId="37B7E136" w14:textId="77777777" w:rsidR="00431241" w:rsidRPr="00840F27" w:rsidRDefault="00431241" w:rsidP="00C14C2E">
      <w:pPr>
        <w:keepNext/>
        <w:ind w:left="270"/>
        <w:jc w:val="both"/>
        <w:rPr>
          <w:sz w:val="24"/>
        </w:rPr>
      </w:pPr>
      <w:r w:rsidRPr="00840F27">
        <w:rPr>
          <w:sz w:val="24"/>
        </w:rPr>
        <w:lastRenderedPageBreak/>
        <w:t xml:space="preserve">Company shall make a determination as to the "accredited investor" status of each investor in a private placement offering.  In making such determination as to the accredited investor status of the purchasers in private placement offerings, the Company may rely on a combination of financial statements or other financial information provided by the investors </w:t>
      </w:r>
      <w:r w:rsidR="00F54793">
        <w:rPr>
          <w:sz w:val="24"/>
        </w:rPr>
        <w:t xml:space="preserve">or </w:t>
      </w:r>
      <w:r w:rsidRPr="00840F27">
        <w:rPr>
          <w:sz w:val="24"/>
        </w:rPr>
        <w:t>certifications or representations in the subscription agreements of the investors certifying and/or representing as to their accredited investor status.</w:t>
      </w:r>
      <w:r w:rsidR="004610F5">
        <w:rPr>
          <w:sz w:val="24"/>
        </w:rPr>
        <w:t xml:space="preserve">  </w:t>
      </w:r>
    </w:p>
    <w:p w14:paraId="2447B880" w14:textId="77777777" w:rsidR="00D43117" w:rsidRPr="00840F27" w:rsidRDefault="00D43117" w:rsidP="00C14C2E">
      <w:pPr>
        <w:keepNext/>
        <w:ind w:left="270"/>
        <w:jc w:val="both"/>
        <w:rPr>
          <w:sz w:val="24"/>
        </w:rPr>
      </w:pPr>
    </w:p>
    <w:p w14:paraId="6E7DBED8" w14:textId="77777777" w:rsidR="00D02263" w:rsidRDefault="00D02263" w:rsidP="001A7509">
      <w:pPr>
        <w:pStyle w:val="Heading3"/>
      </w:pPr>
      <w:r>
        <w:t>1</w:t>
      </w:r>
      <w:r w:rsidR="00E5056A">
        <w:t>4</w:t>
      </w:r>
      <w:r>
        <w:t>.1</w:t>
      </w:r>
      <w:r w:rsidR="00F57DAC">
        <w:t>6</w:t>
      </w:r>
      <w:r>
        <w:t xml:space="preserve">.2 </w:t>
      </w:r>
      <w:r w:rsidR="000C099C">
        <w:t xml:space="preserve">Rule 502 </w:t>
      </w:r>
    </w:p>
    <w:p w14:paraId="690F5515" w14:textId="77777777" w:rsidR="000C099C" w:rsidRPr="00840F27" w:rsidRDefault="00D02263" w:rsidP="00D02263">
      <w:pPr>
        <w:ind w:left="270"/>
        <w:jc w:val="both"/>
        <w:rPr>
          <w:sz w:val="24"/>
        </w:rPr>
      </w:pPr>
      <w:r w:rsidRPr="00840F27">
        <w:rPr>
          <w:sz w:val="24"/>
        </w:rPr>
        <w:t xml:space="preserve">Rule 502 </w:t>
      </w:r>
      <w:r w:rsidR="000C099C" w:rsidRPr="00840F27">
        <w:rPr>
          <w:sz w:val="24"/>
        </w:rPr>
        <w:t>describes general conditions applicable to the regulation. This Rule provides a "safe harbor" from the integration of sales of securities by the issuer made six months prior to or six months after a Regulation D offering, describes when and what type of disclosure must be furnished and provides guidance on applicable limitations on resale.</w:t>
      </w:r>
    </w:p>
    <w:p w14:paraId="0C400722" w14:textId="77777777" w:rsidR="000C099C" w:rsidRPr="00840F27" w:rsidRDefault="000C099C">
      <w:pPr>
        <w:jc w:val="both"/>
        <w:rPr>
          <w:sz w:val="24"/>
        </w:rPr>
      </w:pPr>
    </w:p>
    <w:p w14:paraId="0F5E6A89" w14:textId="77777777" w:rsidR="00D02263" w:rsidRDefault="00D02263" w:rsidP="001A7509">
      <w:pPr>
        <w:pStyle w:val="Heading3"/>
      </w:pPr>
      <w:r>
        <w:t>1</w:t>
      </w:r>
      <w:r w:rsidR="00E5056A">
        <w:t>4</w:t>
      </w:r>
      <w:r>
        <w:t>.1</w:t>
      </w:r>
      <w:r w:rsidR="00F57DAC">
        <w:t>6</w:t>
      </w:r>
      <w:r w:rsidRPr="00B777F4">
        <w:t>.</w:t>
      </w:r>
      <w:r>
        <w:t xml:space="preserve">3 </w:t>
      </w:r>
      <w:r w:rsidR="000C099C">
        <w:t xml:space="preserve">Rule 503 </w:t>
      </w:r>
    </w:p>
    <w:p w14:paraId="3429D2AD" w14:textId="77777777" w:rsidR="000C099C" w:rsidRPr="00840F27" w:rsidRDefault="00D02263" w:rsidP="00D02263">
      <w:pPr>
        <w:tabs>
          <w:tab w:val="left" w:pos="270"/>
        </w:tabs>
        <w:ind w:left="270"/>
        <w:jc w:val="both"/>
        <w:rPr>
          <w:sz w:val="24"/>
        </w:rPr>
      </w:pPr>
      <w:r w:rsidRPr="00840F27">
        <w:rPr>
          <w:sz w:val="24"/>
        </w:rPr>
        <w:t xml:space="preserve">Rule 503 </w:t>
      </w:r>
      <w:r w:rsidR="000C099C" w:rsidRPr="00840F27">
        <w:rPr>
          <w:sz w:val="24"/>
        </w:rPr>
        <w:t>provides a Uniform Notice of Sale Form (Form D) to be filed by the issuer for exemption qualification due fifteen (15) days after the first sale, then due every six (6) months after the first sale and thirty (30) days after the last sale.</w:t>
      </w:r>
    </w:p>
    <w:p w14:paraId="43840692" w14:textId="77777777" w:rsidR="000C099C" w:rsidRPr="00840F27" w:rsidRDefault="000C099C">
      <w:pPr>
        <w:jc w:val="both"/>
        <w:rPr>
          <w:sz w:val="24"/>
        </w:rPr>
      </w:pPr>
    </w:p>
    <w:p w14:paraId="3AFCF312" w14:textId="77777777" w:rsidR="00D02263" w:rsidRDefault="00D02263" w:rsidP="001A7509">
      <w:pPr>
        <w:pStyle w:val="Heading3"/>
      </w:pPr>
      <w:r>
        <w:t>1</w:t>
      </w:r>
      <w:r w:rsidR="00E5056A">
        <w:t>4</w:t>
      </w:r>
      <w:r>
        <w:t>.1</w:t>
      </w:r>
      <w:r w:rsidR="00F57DAC">
        <w:t>6</w:t>
      </w:r>
      <w:r>
        <w:t xml:space="preserve">.4 </w:t>
      </w:r>
      <w:r w:rsidR="000C099C">
        <w:t xml:space="preserve">Rule 504 </w:t>
      </w:r>
    </w:p>
    <w:p w14:paraId="1505BFD3" w14:textId="77777777" w:rsidR="000C099C" w:rsidRPr="00840F27" w:rsidRDefault="00D02263" w:rsidP="00D02263">
      <w:pPr>
        <w:ind w:left="270"/>
        <w:jc w:val="both"/>
        <w:rPr>
          <w:sz w:val="24"/>
        </w:rPr>
      </w:pPr>
      <w:r w:rsidRPr="00840F27">
        <w:rPr>
          <w:sz w:val="24"/>
        </w:rPr>
        <w:t xml:space="preserve">Rule 504 </w:t>
      </w:r>
      <w:r w:rsidR="000C099C" w:rsidRPr="00840F27">
        <w:rPr>
          <w:sz w:val="24"/>
        </w:rPr>
        <w:t>concerns the</w:t>
      </w:r>
      <w:r w:rsidR="000C099C" w:rsidRPr="00840F27">
        <w:rPr>
          <w:b/>
          <w:sz w:val="24"/>
        </w:rPr>
        <w:t xml:space="preserve"> </w:t>
      </w:r>
      <w:r w:rsidR="000C099C" w:rsidRPr="00840F27">
        <w:rPr>
          <w:sz w:val="24"/>
        </w:rPr>
        <w:t>Small Corporate Offering Registration (SCOR), pursuant to which an issuer can raise up to an aggregate amount of $</w:t>
      </w:r>
      <w:r w:rsidR="00D723CC" w:rsidRPr="00FA5443">
        <w:rPr>
          <w:color w:val="000000" w:themeColor="text1"/>
          <w:sz w:val="24"/>
        </w:rPr>
        <w:t>5</w:t>
      </w:r>
      <w:r w:rsidR="000C099C" w:rsidRPr="00840F27">
        <w:rPr>
          <w:sz w:val="24"/>
        </w:rPr>
        <w:t>,000,000 in any consecutive twelve-month period. While there is no cap on the number of investors which may participate in the offering and the payment of commissions is permitted, a minimum offering price of $5 per share is imposed. Rule 504 essentially shifts the administration of such smaller offerings to the states, with the significant proviso that these offerings remain subject to federal anti-fraud and civil liability provisions of the 1933 Act.</w:t>
      </w:r>
    </w:p>
    <w:p w14:paraId="189CC3AB" w14:textId="77777777" w:rsidR="000C099C" w:rsidRDefault="000C099C">
      <w:pPr>
        <w:jc w:val="both"/>
        <w:rPr>
          <w:sz w:val="24"/>
        </w:rPr>
      </w:pPr>
    </w:p>
    <w:p w14:paraId="510B2B92" w14:textId="2CB1AE8A" w:rsidR="00431241" w:rsidRDefault="00431241" w:rsidP="001A7509">
      <w:pPr>
        <w:pStyle w:val="Heading3"/>
      </w:pPr>
      <w:r>
        <w:t>1</w:t>
      </w:r>
      <w:r w:rsidR="00E5056A">
        <w:t>4</w:t>
      </w:r>
      <w:r>
        <w:t>.1</w:t>
      </w:r>
      <w:r w:rsidR="00F57DAC">
        <w:t>6</w:t>
      </w:r>
      <w:r w:rsidR="00D723CC">
        <w:t>.5</w:t>
      </w:r>
      <w:r>
        <w:t xml:space="preserve"> Rule 50</w:t>
      </w:r>
      <w:r w:rsidR="00AE1E27">
        <w:t>5</w:t>
      </w:r>
    </w:p>
    <w:p w14:paraId="3781A984" w14:textId="44DEF188" w:rsidR="00AE1E27" w:rsidRPr="00BB3F8F" w:rsidRDefault="00AE1E27" w:rsidP="00AE1E27">
      <w:pPr>
        <w:ind w:left="270"/>
        <w:rPr>
          <w:sz w:val="24"/>
          <w:szCs w:val="24"/>
        </w:rPr>
      </w:pPr>
      <w:r w:rsidRPr="00BB3F8F">
        <w:rPr>
          <w:sz w:val="24"/>
          <w:szCs w:val="24"/>
          <w:shd w:val="clear" w:color="auto" w:fill="FFFFFF"/>
        </w:rPr>
        <w:t>Rule 505 addresses offerings having an aggregate offering price of no greater than $5,000,000 in any consecutive twelve-month period, imposes a limitation of thirty-five (35) non-accredited investors, but no limitation on accredited investors, and permits the payment of commissions, but precludes the general solicitation of sales.</w:t>
      </w:r>
    </w:p>
    <w:p w14:paraId="34A39E3A" w14:textId="03F9F21D" w:rsidR="00AE1E27" w:rsidRDefault="00AE1E27" w:rsidP="00AE1E27"/>
    <w:p w14:paraId="26C9EA40" w14:textId="4868D9FE" w:rsidR="00AE1E27" w:rsidRPr="00AE1E27" w:rsidRDefault="00AE1E27" w:rsidP="00AE1E27">
      <w:pPr>
        <w:pStyle w:val="Heading3"/>
      </w:pPr>
      <w:r>
        <w:t>14.16.6 Rule 506</w:t>
      </w:r>
    </w:p>
    <w:p w14:paraId="34935F93" w14:textId="77777777" w:rsidR="000C099C" w:rsidRDefault="000C099C" w:rsidP="00DB47FF">
      <w:pPr>
        <w:ind w:left="274"/>
        <w:jc w:val="both"/>
        <w:rPr>
          <w:color w:val="FF0000"/>
          <w:sz w:val="24"/>
        </w:rPr>
      </w:pPr>
      <w:r w:rsidRPr="00840F27">
        <w:rPr>
          <w:sz w:val="24"/>
        </w:rPr>
        <w:t>Finally, Rule 506 provides an exemption from registration similar to Rule 505, except there is no aggregate offering price limitation and the issuer must reasonably believe, prior to making the sale, that the non-accredited persons, either alone or in conjunction with purchaser representatives, understand the merits and risks of their investment</w:t>
      </w:r>
      <w:r w:rsidRPr="00CB4779">
        <w:rPr>
          <w:color w:val="FF0000"/>
          <w:sz w:val="24"/>
        </w:rPr>
        <w:t>.</w:t>
      </w:r>
    </w:p>
    <w:p w14:paraId="14C65496" w14:textId="77777777" w:rsidR="00DB47FF" w:rsidRDefault="00DB47FF" w:rsidP="00DB47FF">
      <w:pPr>
        <w:ind w:left="274"/>
        <w:jc w:val="both"/>
        <w:rPr>
          <w:color w:val="FF0000"/>
          <w:sz w:val="24"/>
        </w:rPr>
      </w:pPr>
    </w:p>
    <w:p w14:paraId="17A7AB3A" w14:textId="77777777" w:rsidR="00DB47FF" w:rsidRDefault="00DB47FF" w:rsidP="00DB47FF">
      <w:pPr>
        <w:ind w:left="274"/>
        <w:rPr>
          <w:sz w:val="24"/>
          <w:szCs w:val="24"/>
        </w:rPr>
      </w:pPr>
      <w:r w:rsidRPr="00484F1F">
        <w:rPr>
          <w:sz w:val="24"/>
          <w:szCs w:val="24"/>
        </w:rPr>
        <w:t>Advertising and general solicitation of private placements sold under Rule 506 are permitted subject to the following restrictions:</w:t>
      </w:r>
    </w:p>
    <w:p w14:paraId="38EA096D" w14:textId="77777777" w:rsidR="00AF13BC" w:rsidRDefault="00AF13BC" w:rsidP="00DB47FF">
      <w:pPr>
        <w:ind w:left="274"/>
        <w:rPr>
          <w:sz w:val="24"/>
          <w:szCs w:val="24"/>
        </w:rPr>
      </w:pPr>
    </w:p>
    <w:p w14:paraId="3F108155" w14:textId="705D1FFB" w:rsidR="00AF13BC" w:rsidRPr="00BB3F8F" w:rsidRDefault="00AF13BC" w:rsidP="00DB47FF">
      <w:pPr>
        <w:ind w:left="274"/>
        <w:rPr>
          <w:b/>
          <w:sz w:val="24"/>
          <w:szCs w:val="24"/>
          <w:u w:val="single"/>
        </w:rPr>
      </w:pPr>
      <w:r w:rsidRPr="00BB3F8F">
        <w:rPr>
          <w:b/>
          <w:sz w:val="24"/>
          <w:szCs w:val="24"/>
          <w:u w:val="single"/>
        </w:rPr>
        <w:t>Under Rule 506(b)</w:t>
      </w:r>
    </w:p>
    <w:p w14:paraId="14E10F3C" w14:textId="55924C6A" w:rsidR="00AF13BC" w:rsidRPr="00BB3F8F" w:rsidRDefault="00AF13BC" w:rsidP="00AF13BC">
      <w:pPr>
        <w:spacing w:before="15" w:after="100" w:afterAutospacing="1" w:line="240" w:lineRule="atLeast"/>
        <w:ind w:left="270"/>
        <w:rPr>
          <w:spacing w:val="8"/>
          <w:sz w:val="24"/>
          <w:szCs w:val="24"/>
        </w:rPr>
      </w:pPr>
      <w:r w:rsidRPr="00BB3F8F">
        <w:rPr>
          <w:spacing w:val="8"/>
          <w:sz w:val="24"/>
          <w:szCs w:val="24"/>
        </w:rPr>
        <w:t>Company may raise an unlimited amount of money and may sell to an unlimited number of accredited investors. 506(b) offerings are subject to the following:</w:t>
      </w:r>
    </w:p>
    <w:p w14:paraId="19123BE1" w14:textId="77777777" w:rsidR="00AF13BC" w:rsidRPr="00BB3F8F" w:rsidRDefault="00AF13BC" w:rsidP="0005402C">
      <w:pPr>
        <w:numPr>
          <w:ilvl w:val="0"/>
          <w:numId w:val="346"/>
        </w:numPr>
        <w:tabs>
          <w:tab w:val="clear" w:pos="720"/>
          <w:tab w:val="num" w:pos="810"/>
        </w:tabs>
        <w:spacing w:before="100" w:beforeAutospacing="1" w:after="100" w:afterAutospacing="1"/>
        <w:ind w:left="900"/>
        <w:rPr>
          <w:spacing w:val="8"/>
          <w:sz w:val="24"/>
          <w:szCs w:val="24"/>
        </w:rPr>
      </w:pPr>
      <w:r w:rsidRPr="00BB3F8F">
        <w:rPr>
          <w:spacing w:val="8"/>
          <w:sz w:val="24"/>
          <w:szCs w:val="24"/>
        </w:rPr>
        <w:t>no general solicitation or advertising to market the securities</w:t>
      </w:r>
    </w:p>
    <w:p w14:paraId="6B8FDA5D" w14:textId="77777777" w:rsidR="00AF13BC" w:rsidRPr="00BB3F8F" w:rsidRDefault="00AF13BC" w:rsidP="0005402C">
      <w:pPr>
        <w:numPr>
          <w:ilvl w:val="0"/>
          <w:numId w:val="346"/>
        </w:numPr>
        <w:tabs>
          <w:tab w:val="clear" w:pos="720"/>
          <w:tab w:val="num" w:pos="810"/>
        </w:tabs>
        <w:spacing w:before="100" w:beforeAutospacing="1" w:after="100" w:afterAutospacing="1"/>
        <w:ind w:left="900"/>
        <w:rPr>
          <w:spacing w:val="8"/>
          <w:sz w:val="24"/>
          <w:szCs w:val="24"/>
        </w:rPr>
      </w:pPr>
      <w:r w:rsidRPr="00BB3F8F">
        <w:rPr>
          <w:spacing w:val="8"/>
          <w:sz w:val="24"/>
          <w:szCs w:val="24"/>
        </w:rPr>
        <w:t>may not be sold to more than 35 non-accredited investors subject to the following:</w:t>
      </w:r>
    </w:p>
    <w:p w14:paraId="08B90166" w14:textId="77777777" w:rsidR="00AF13BC" w:rsidRPr="00BB3F8F" w:rsidRDefault="00AF13BC" w:rsidP="0005402C">
      <w:pPr>
        <w:numPr>
          <w:ilvl w:val="1"/>
          <w:numId w:val="346"/>
        </w:numPr>
        <w:spacing w:before="100" w:beforeAutospacing="1" w:after="100" w:afterAutospacing="1"/>
        <w:ind w:left="1170" w:hanging="270"/>
        <w:rPr>
          <w:spacing w:val="8"/>
          <w:sz w:val="24"/>
          <w:szCs w:val="24"/>
        </w:rPr>
      </w:pPr>
      <w:r w:rsidRPr="00BB3F8F">
        <w:rPr>
          <w:spacing w:val="8"/>
          <w:sz w:val="24"/>
          <w:szCs w:val="24"/>
        </w:rPr>
        <w:lastRenderedPageBreak/>
        <w:t>must provide disclosure documents; if information is provided to accredited investors, the same must be provided to non-accredited investors</w:t>
      </w:r>
    </w:p>
    <w:p w14:paraId="3C7750D7" w14:textId="77777777" w:rsidR="00AF13BC" w:rsidRPr="00BB3F8F" w:rsidRDefault="00AF13BC" w:rsidP="0005402C">
      <w:pPr>
        <w:numPr>
          <w:ilvl w:val="1"/>
          <w:numId w:val="346"/>
        </w:numPr>
        <w:spacing w:before="100" w:beforeAutospacing="1" w:after="100" w:afterAutospacing="1"/>
        <w:ind w:left="270" w:firstLine="630"/>
        <w:rPr>
          <w:spacing w:val="8"/>
          <w:sz w:val="24"/>
          <w:szCs w:val="24"/>
        </w:rPr>
      </w:pPr>
      <w:r w:rsidRPr="00BB3F8F">
        <w:rPr>
          <w:spacing w:val="8"/>
          <w:sz w:val="24"/>
          <w:szCs w:val="24"/>
        </w:rPr>
        <w:t>must provide financial statement information</w:t>
      </w:r>
    </w:p>
    <w:p w14:paraId="48651714" w14:textId="77777777" w:rsidR="00AF13BC" w:rsidRPr="00BB3F8F" w:rsidRDefault="00AF13BC" w:rsidP="0005402C">
      <w:pPr>
        <w:numPr>
          <w:ilvl w:val="1"/>
          <w:numId w:val="346"/>
        </w:numPr>
        <w:spacing w:before="100" w:beforeAutospacing="1" w:after="100" w:afterAutospacing="1"/>
        <w:ind w:left="270" w:firstLine="630"/>
        <w:rPr>
          <w:spacing w:val="8"/>
          <w:sz w:val="24"/>
          <w:szCs w:val="24"/>
        </w:rPr>
      </w:pPr>
      <w:r w:rsidRPr="00BB3F8F">
        <w:rPr>
          <w:spacing w:val="8"/>
          <w:sz w:val="24"/>
          <w:szCs w:val="24"/>
        </w:rPr>
        <w:t>should be available to answer questions from prospective purchasers</w:t>
      </w:r>
    </w:p>
    <w:p w14:paraId="69334556" w14:textId="77777777" w:rsidR="00AF13BC" w:rsidRPr="00BB3F8F" w:rsidRDefault="00AF13BC" w:rsidP="00AF13BC">
      <w:pPr>
        <w:spacing w:before="15" w:after="100" w:afterAutospacing="1" w:line="240" w:lineRule="atLeast"/>
        <w:ind w:left="270"/>
        <w:rPr>
          <w:spacing w:val="8"/>
          <w:sz w:val="24"/>
          <w:szCs w:val="24"/>
        </w:rPr>
      </w:pPr>
      <w:r w:rsidRPr="00BB3F8F">
        <w:rPr>
          <w:spacing w:val="8"/>
          <w:sz w:val="24"/>
          <w:szCs w:val="24"/>
        </w:rPr>
        <w:t>Purchasers receive restricted securities. Notice to the SEC on Form D is required within 15 days after the first sale of securities in the offering. Some states may require notice filings and fees.</w:t>
      </w:r>
    </w:p>
    <w:p w14:paraId="3FA0C38A" w14:textId="2EBBBC30" w:rsidR="00AF13BC" w:rsidRPr="00BB3F8F" w:rsidRDefault="00AF13BC" w:rsidP="00AF13BC">
      <w:pPr>
        <w:spacing w:before="15" w:after="100" w:afterAutospacing="1" w:line="240" w:lineRule="atLeast"/>
        <w:ind w:left="270"/>
        <w:rPr>
          <w:spacing w:val="8"/>
          <w:sz w:val="24"/>
          <w:szCs w:val="24"/>
          <w:shd w:val="clear" w:color="auto" w:fill="FFFFFF"/>
        </w:rPr>
      </w:pPr>
      <w:r w:rsidRPr="00BB3F8F">
        <w:rPr>
          <w:spacing w:val="8"/>
          <w:sz w:val="24"/>
          <w:szCs w:val="24"/>
        </w:rPr>
        <w:t>506(b) offerings are subject to "bad actor" disqualification provisions (see </w:t>
      </w:r>
      <w:r w:rsidRPr="00BB3F8F">
        <w:rPr>
          <w:i/>
          <w:iCs/>
          <w:spacing w:val="8"/>
          <w:sz w:val="24"/>
          <w:szCs w:val="24"/>
        </w:rPr>
        <w:t xml:space="preserve">Disqualification </w:t>
      </w:r>
      <w:r w:rsidR="00BB3F8F">
        <w:rPr>
          <w:i/>
          <w:iCs/>
          <w:spacing w:val="8"/>
          <w:sz w:val="24"/>
          <w:szCs w:val="24"/>
        </w:rPr>
        <w:t>o</w:t>
      </w:r>
      <w:r w:rsidRPr="00BB3F8F">
        <w:rPr>
          <w:i/>
          <w:iCs/>
          <w:spacing w:val="8"/>
          <w:sz w:val="24"/>
          <w:szCs w:val="24"/>
        </w:rPr>
        <w:t xml:space="preserve">f Felons </w:t>
      </w:r>
      <w:r w:rsidR="00BB3F8F">
        <w:rPr>
          <w:i/>
          <w:iCs/>
          <w:spacing w:val="8"/>
          <w:sz w:val="24"/>
          <w:szCs w:val="24"/>
        </w:rPr>
        <w:t>a</w:t>
      </w:r>
      <w:r w:rsidRPr="00BB3F8F">
        <w:rPr>
          <w:i/>
          <w:iCs/>
          <w:spacing w:val="8"/>
          <w:sz w:val="24"/>
          <w:szCs w:val="24"/>
        </w:rPr>
        <w:t>nd Other "Bad</w:t>
      </w:r>
      <w:r w:rsidRPr="00BB3F8F">
        <w:rPr>
          <w:i/>
          <w:iCs/>
          <w:spacing w:val="8"/>
          <w:sz w:val="24"/>
          <w:szCs w:val="24"/>
          <w:shd w:val="clear" w:color="auto" w:fill="FFFFFF"/>
        </w:rPr>
        <w:t xml:space="preserve"> Actors"</w:t>
      </w:r>
      <w:r w:rsidRPr="00BB3F8F">
        <w:rPr>
          <w:spacing w:val="8"/>
          <w:sz w:val="24"/>
          <w:szCs w:val="24"/>
          <w:shd w:val="clear" w:color="auto" w:fill="FFFFFF"/>
        </w:rPr>
        <w:t> in this chapter).</w:t>
      </w:r>
    </w:p>
    <w:p w14:paraId="04E4B8CD" w14:textId="0D7500D0" w:rsidR="00AF13BC" w:rsidRPr="00BB3F8F" w:rsidRDefault="008B5881" w:rsidP="008B5881">
      <w:pPr>
        <w:ind w:left="274"/>
        <w:rPr>
          <w:b/>
          <w:sz w:val="24"/>
          <w:szCs w:val="24"/>
          <w:u w:val="single"/>
        </w:rPr>
      </w:pPr>
      <w:r w:rsidRPr="00BB3F8F">
        <w:rPr>
          <w:b/>
          <w:sz w:val="24"/>
          <w:szCs w:val="24"/>
          <w:u w:val="single"/>
        </w:rPr>
        <w:t>Under rule 506(c)</w:t>
      </w:r>
    </w:p>
    <w:p w14:paraId="26E71C23" w14:textId="77777777" w:rsidR="008B5881" w:rsidRPr="00BB3F8F" w:rsidRDefault="008B5881" w:rsidP="008B5881">
      <w:pPr>
        <w:spacing w:before="15" w:after="100" w:afterAutospacing="1" w:line="240" w:lineRule="atLeast"/>
        <w:ind w:left="270"/>
        <w:rPr>
          <w:spacing w:val="8"/>
          <w:sz w:val="24"/>
          <w:szCs w:val="24"/>
        </w:rPr>
      </w:pPr>
      <w:r w:rsidRPr="00BB3F8F">
        <w:rPr>
          <w:spacing w:val="8"/>
          <w:sz w:val="24"/>
          <w:szCs w:val="24"/>
        </w:rPr>
        <w:t>Under Rule 506(c) issuers may broadly solicit and generally advertise an offering subject to the following restrictions:</w:t>
      </w:r>
    </w:p>
    <w:p w14:paraId="0B2F454F" w14:textId="32F0BDD0" w:rsidR="008B5881" w:rsidRPr="00BB3F8F" w:rsidRDefault="008B5881" w:rsidP="0005402C">
      <w:pPr>
        <w:numPr>
          <w:ilvl w:val="0"/>
          <w:numId w:val="347"/>
        </w:numPr>
        <w:tabs>
          <w:tab w:val="clear" w:pos="720"/>
          <w:tab w:val="num" w:pos="810"/>
        </w:tabs>
        <w:spacing w:before="100" w:beforeAutospacing="1" w:after="100" w:afterAutospacing="1"/>
        <w:ind w:left="810" w:hanging="270"/>
        <w:rPr>
          <w:spacing w:val="8"/>
          <w:sz w:val="24"/>
          <w:szCs w:val="24"/>
        </w:rPr>
      </w:pPr>
      <w:r w:rsidRPr="00BB3F8F">
        <w:rPr>
          <w:spacing w:val="8"/>
          <w:sz w:val="24"/>
          <w:szCs w:val="24"/>
        </w:rPr>
        <w:t>All purchasers must be accredited investors</w:t>
      </w:r>
      <w:r w:rsidR="000576BE" w:rsidRPr="00BB3F8F">
        <w:rPr>
          <w:spacing w:val="8"/>
          <w:sz w:val="24"/>
          <w:szCs w:val="24"/>
        </w:rPr>
        <w:t xml:space="preserve"> under Rule 501</w:t>
      </w:r>
      <w:r w:rsidRPr="00BB3F8F">
        <w:rPr>
          <w:spacing w:val="8"/>
          <w:sz w:val="24"/>
          <w:szCs w:val="24"/>
        </w:rPr>
        <w:t>.</w:t>
      </w:r>
    </w:p>
    <w:p w14:paraId="2F828BF7" w14:textId="77777777" w:rsidR="008B5881" w:rsidRPr="00BB3F8F" w:rsidRDefault="008B5881" w:rsidP="0005402C">
      <w:pPr>
        <w:numPr>
          <w:ilvl w:val="0"/>
          <w:numId w:val="347"/>
        </w:numPr>
        <w:tabs>
          <w:tab w:val="clear" w:pos="720"/>
          <w:tab w:val="num" w:pos="810"/>
        </w:tabs>
        <w:spacing w:before="100" w:beforeAutospacing="1" w:after="100" w:afterAutospacing="1"/>
        <w:ind w:left="810" w:hanging="270"/>
        <w:rPr>
          <w:spacing w:val="8"/>
          <w:sz w:val="24"/>
          <w:szCs w:val="24"/>
        </w:rPr>
      </w:pPr>
      <w:r w:rsidRPr="00BB3F8F">
        <w:rPr>
          <w:spacing w:val="8"/>
          <w:sz w:val="24"/>
          <w:szCs w:val="24"/>
        </w:rPr>
        <w:t>The issuer is obligated to take reasonable steps to verify that purchasers are accredited investors under Rule 501 of Regulation D. Depending on Company's role, Company may be responsible for verification.</w:t>
      </w:r>
    </w:p>
    <w:p w14:paraId="3E405946" w14:textId="77777777" w:rsidR="008B5881" w:rsidRPr="00BB3F8F" w:rsidRDefault="008B5881" w:rsidP="0005402C">
      <w:pPr>
        <w:numPr>
          <w:ilvl w:val="0"/>
          <w:numId w:val="347"/>
        </w:numPr>
        <w:tabs>
          <w:tab w:val="clear" w:pos="720"/>
          <w:tab w:val="num" w:pos="810"/>
        </w:tabs>
        <w:spacing w:before="100" w:beforeAutospacing="1" w:after="100" w:afterAutospacing="1"/>
        <w:ind w:left="810" w:hanging="270"/>
        <w:rPr>
          <w:spacing w:val="8"/>
          <w:sz w:val="24"/>
          <w:szCs w:val="24"/>
        </w:rPr>
      </w:pPr>
      <w:r w:rsidRPr="00BB3F8F">
        <w:rPr>
          <w:spacing w:val="8"/>
          <w:sz w:val="24"/>
          <w:szCs w:val="24"/>
        </w:rPr>
        <w:t>Certain other conditions in Regulation D are satisfied.</w:t>
      </w:r>
    </w:p>
    <w:p w14:paraId="45ADA467" w14:textId="77777777" w:rsidR="008B5881" w:rsidRPr="00BB3F8F" w:rsidRDefault="008B5881" w:rsidP="008B5881">
      <w:pPr>
        <w:spacing w:before="15" w:after="100" w:afterAutospacing="1" w:line="240" w:lineRule="atLeast"/>
        <w:ind w:left="270"/>
        <w:rPr>
          <w:spacing w:val="8"/>
          <w:sz w:val="24"/>
          <w:szCs w:val="24"/>
        </w:rPr>
      </w:pPr>
      <w:r w:rsidRPr="00BB3F8F">
        <w:rPr>
          <w:spacing w:val="8"/>
          <w:sz w:val="24"/>
          <w:szCs w:val="24"/>
        </w:rPr>
        <w:t>Purchasers receive restricted securities. The issuer must file notice to the SEC on Form D within 15 days after the first sale of the securities in the offering. Some states may require notice filings and fees.</w:t>
      </w:r>
    </w:p>
    <w:p w14:paraId="4E956049" w14:textId="77777777" w:rsidR="008B5881" w:rsidRPr="00BB3F8F" w:rsidRDefault="008B5881" w:rsidP="001E4ACE">
      <w:pPr>
        <w:spacing w:before="15" w:after="100" w:afterAutospacing="1" w:line="240" w:lineRule="atLeast"/>
        <w:ind w:left="270"/>
        <w:rPr>
          <w:spacing w:val="8"/>
          <w:sz w:val="24"/>
          <w:szCs w:val="24"/>
        </w:rPr>
      </w:pPr>
      <w:r w:rsidRPr="00BB3F8F">
        <w:rPr>
          <w:spacing w:val="8"/>
          <w:sz w:val="24"/>
          <w:szCs w:val="24"/>
        </w:rPr>
        <w:t>The SEC has provided a non-exclusive list of methods that issuers (or someone acting on behalf of the issuer) may use to satisfy the verification requirement for individual investors, including:</w:t>
      </w:r>
    </w:p>
    <w:p w14:paraId="539BABB5" w14:textId="77777777" w:rsidR="008B5881" w:rsidRPr="00BB3F8F" w:rsidRDefault="008B5881" w:rsidP="0005402C">
      <w:pPr>
        <w:numPr>
          <w:ilvl w:val="0"/>
          <w:numId w:val="348"/>
        </w:numPr>
        <w:tabs>
          <w:tab w:val="clear" w:pos="720"/>
          <w:tab w:val="num" w:pos="810"/>
        </w:tabs>
        <w:spacing w:before="100" w:beforeAutospacing="1" w:after="100" w:afterAutospacing="1"/>
        <w:ind w:left="810" w:hanging="270"/>
        <w:rPr>
          <w:spacing w:val="8"/>
          <w:sz w:val="24"/>
          <w:szCs w:val="24"/>
        </w:rPr>
      </w:pPr>
      <w:r w:rsidRPr="00BB3F8F">
        <w:rPr>
          <w:spacing w:val="8"/>
          <w:sz w:val="24"/>
          <w:szCs w:val="24"/>
        </w:rPr>
        <w:t>Reviewing copies of any IRS form that reports the income of the purchaser and obtaining a written representation that the purchaser will likely continue to earn the necessary income in the current year.</w:t>
      </w:r>
    </w:p>
    <w:p w14:paraId="16171AC5" w14:textId="77777777" w:rsidR="008B5881" w:rsidRPr="00BB3F8F" w:rsidRDefault="008B5881" w:rsidP="0005402C">
      <w:pPr>
        <w:numPr>
          <w:ilvl w:val="0"/>
          <w:numId w:val="348"/>
        </w:numPr>
        <w:tabs>
          <w:tab w:val="clear" w:pos="720"/>
          <w:tab w:val="num" w:pos="810"/>
        </w:tabs>
        <w:spacing w:before="100" w:beforeAutospacing="1" w:after="100" w:afterAutospacing="1"/>
        <w:ind w:left="810" w:hanging="270"/>
        <w:rPr>
          <w:spacing w:val="8"/>
          <w:sz w:val="24"/>
          <w:szCs w:val="24"/>
        </w:rPr>
      </w:pPr>
      <w:r w:rsidRPr="00BB3F8F">
        <w:rPr>
          <w:spacing w:val="8"/>
          <w:sz w:val="24"/>
          <w:szCs w:val="24"/>
        </w:rPr>
        <w:t>Receiving a written confirmation from a registered broker-dealer, SEC-registered investment adviser, licensed attorney, or certified public accountant that such entity or person has taken reasonable steps to verify the purchaser's accredited status.</w:t>
      </w:r>
    </w:p>
    <w:p w14:paraId="76114331" w14:textId="53FC98BE" w:rsidR="000C099C" w:rsidRPr="00BB3F8F" w:rsidRDefault="008B5881" w:rsidP="00161E77">
      <w:pPr>
        <w:spacing w:before="15" w:after="100" w:afterAutospacing="1" w:line="240" w:lineRule="atLeast"/>
        <w:ind w:left="270"/>
      </w:pPr>
      <w:r w:rsidRPr="00BB3F8F">
        <w:rPr>
          <w:spacing w:val="8"/>
          <w:sz w:val="24"/>
          <w:szCs w:val="24"/>
        </w:rPr>
        <w:t>The verification rule does NOT apply if there is no advertising or general solicitation.</w:t>
      </w:r>
    </w:p>
    <w:p w14:paraId="3323292A" w14:textId="77777777" w:rsidR="00161E77" w:rsidRDefault="00820172" w:rsidP="00161E77">
      <w:pPr>
        <w:ind w:left="274"/>
        <w:rPr>
          <w:sz w:val="24"/>
          <w:szCs w:val="24"/>
        </w:rPr>
      </w:pPr>
      <w:bookmarkStart w:id="258" w:name="_Toc149007041"/>
      <w:r w:rsidRPr="00161E77">
        <w:rPr>
          <w:b/>
          <w:sz w:val="24"/>
          <w:szCs w:val="24"/>
          <w:u w:val="single"/>
        </w:rPr>
        <w:t>For Form D</w:t>
      </w:r>
      <w:r w:rsidRPr="00484F1F">
        <w:rPr>
          <w:sz w:val="24"/>
          <w:szCs w:val="24"/>
        </w:rPr>
        <w:t xml:space="preserve">:  </w:t>
      </w:r>
    </w:p>
    <w:p w14:paraId="268677CB" w14:textId="66EEF544" w:rsidR="00820172" w:rsidRPr="00484F1F" w:rsidRDefault="00820172" w:rsidP="00161E77">
      <w:pPr>
        <w:ind w:left="270"/>
        <w:rPr>
          <w:sz w:val="24"/>
          <w:szCs w:val="24"/>
        </w:rPr>
      </w:pPr>
      <w:r w:rsidRPr="00484F1F">
        <w:rPr>
          <w:sz w:val="24"/>
          <w:szCs w:val="24"/>
        </w:rPr>
        <w:t>There are two new classifications for the 506 Filing Type:</w:t>
      </w:r>
    </w:p>
    <w:p w14:paraId="0FAE6F5B" w14:textId="77777777" w:rsidR="00820172" w:rsidRPr="00484F1F" w:rsidRDefault="00820172" w:rsidP="003E7B18">
      <w:pPr>
        <w:numPr>
          <w:ilvl w:val="0"/>
          <w:numId w:val="220"/>
        </w:numPr>
        <w:spacing w:before="100" w:beforeAutospacing="1" w:after="100" w:afterAutospacing="1"/>
        <w:ind w:left="900" w:hanging="270"/>
        <w:rPr>
          <w:sz w:val="24"/>
          <w:szCs w:val="24"/>
        </w:rPr>
      </w:pPr>
      <w:r w:rsidRPr="00484F1F">
        <w:rPr>
          <w:sz w:val="24"/>
          <w:szCs w:val="24"/>
        </w:rPr>
        <w:t xml:space="preserve">506b:  To qualify for an exemption under this section, offers and sales must satisfy all the terms and conditions of SEC Act of 1933, Sections §§ 230.501 and 230.502 and </w:t>
      </w:r>
      <w:r w:rsidRPr="00484F1F">
        <w:rPr>
          <w:i/>
          <w:iCs/>
          <w:sz w:val="24"/>
          <w:szCs w:val="24"/>
        </w:rPr>
        <w:t>Specific conditions</w:t>
      </w:r>
      <w:r w:rsidRPr="00484F1F">
        <w:rPr>
          <w:sz w:val="24"/>
          <w:szCs w:val="24"/>
        </w:rPr>
        <w:t xml:space="preserve"> —(</w:t>
      </w:r>
      <w:proofErr w:type="spellStart"/>
      <w:r w:rsidRPr="00484F1F">
        <w:rPr>
          <w:sz w:val="24"/>
          <w:szCs w:val="24"/>
        </w:rPr>
        <w:t>i</w:t>
      </w:r>
      <w:proofErr w:type="spellEnd"/>
      <w:r w:rsidRPr="00484F1F">
        <w:rPr>
          <w:sz w:val="24"/>
          <w:szCs w:val="24"/>
        </w:rPr>
        <w:t xml:space="preserve">) </w:t>
      </w:r>
      <w:r w:rsidRPr="00484F1F">
        <w:rPr>
          <w:i/>
          <w:iCs/>
          <w:sz w:val="24"/>
          <w:szCs w:val="24"/>
        </w:rPr>
        <w:t>Limitation on number of purchasers.</w:t>
      </w:r>
      <w:r w:rsidRPr="00484F1F">
        <w:rPr>
          <w:sz w:val="24"/>
          <w:szCs w:val="24"/>
        </w:rPr>
        <w:t xml:space="preserve"> There are no more than or the issuer reasonably believes that there are no more than 35 purchasers of securities from the issuer in any offering under this section;  (ii) </w:t>
      </w:r>
      <w:r w:rsidRPr="00484F1F">
        <w:rPr>
          <w:i/>
          <w:iCs/>
          <w:sz w:val="24"/>
          <w:szCs w:val="24"/>
        </w:rPr>
        <w:t>Nature of purchasers.</w:t>
      </w:r>
      <w:r w:rsidRPr="00484F1F">
        <w:rPr>
          <w:sz w:val="24"/>
          <w:szCs w:val="24"/>
        </w:rPr>
        <w:t xml:space="preserve"> Each purchaser who is not an accredited investor either alone or with his purchaser </w:t>
      </w:r>
      <w:r w:rsidRPr="00484F1F">
        <w:rPr>
          <w:sz w:val="24"/>
          <w:szCs w:val="24"/>
        </w:rPr>
        <w:lastRenderedPageBreak/>
        <w:t>representative(s) has such knowledge and experience in financial and business matters that he is capable of evaluating the merits and risks of the prospective investment, or the issuer reasonably believes immediately prior to making any sale that such purchaser comes within this description.</w:t>
      </w:r>
    </w:p>
    <w:p w14:paraId="31F2A9E9" w14:textId="77777777" w:rsidR="00484F1F" w:rsidRDefault="00820172" w:rsidP="003E7B18">
      <w:pPr>
        <w:numPr>
          <w:ilvl w:val="0"/>
          <w:numId w:val="220"/>
        </w:numPr>
        <w:spacing w:before="100" w:beforeAutospacing="1" w:after="100" w:afterAutospacing="1"/>
        <w:ind w:hanging="270"/>
        <w:rPr>
          <w:sz w:val="24"/>
          <w:szCs w:val="24"/>
        </w:rPr>
      </w:pPr>
      <w:r w:rsidRPr="00484F1F">
        <w:rPr>
          <w:sz w:val="24"/>
          <w:szCs w:val="24"/>
        </w:rPr>
        <w:t xml:space="preserve">  506c:  </w:t>
      </w:r>
      <w:r w:rsidRPr="00484F1F">
        <w:rPr>
          <w:i/>
          <w:iCs/>
          <w:sz w:val="24"/>
          <w:szCs w:val="24"/>
        </w:rPr>
        <w:t>Conditions to be met in offerings not subject to limitation on manner of offering</w:t>
      </w:r>
      <w:r w:rsidRPr="00484F1F">
        <w:rPr>
          <w:sz w:val="24"/>
          <w:szCs w:val="24"/>
        </w:rPr>
        <w:t xml:space="preserve"> </w:t>
      </w:r>
    </w:p>
    <w:p w14:paraId="456D1DCB" w14:textId="77777777" w:rsidR="00820172" w:rsidRPr="00484F1F" w:rsidRDefault="00820172" w:rsidP="00484F1F">
      <w:pPr>
        <w:spacing w:before="100" w:beforeAutospacing="1" w:after="100" w:afterAutospacing="1"/>
        <w:ind w:left="990"/>
        <w:rPr>
          <w:sz w:val="24"/>
          <w:szCs w:val="24"/>
        </w:rPr>
      </w:pPr>
      <w:r w:rsidRPr="00484F1F">
        <w:rPr>
          <w:sz w:val="24"/>
          <w:szCs w:val="24"/>
        </w:rPr>
        <w:t xml:space="preserve">(1) </w:t>
      </w:r>
      <w:r w:rsidRPr="00484F1F">
        <w:rPr>
          <w:i/>
          <w:iCs/>
          <w:sz w:val="24"/>
          <w:szCs w:val="24"/>
        </w:rPr>
        <w:t>General conditions.</w:t>
      </w:r>
      <w:r w:rsidRPr="00484F1F">
        <w:rPr>
          <w:sz w:val="24"/>
          <w:szCs w:val="24"/>
        </w:rPr>
        <w:t xml:space="preserve"> To qualify for exemption under this section, sales must satisfy all the terms and conditions of §§ 230.501 and 230.502(a) and (d).</w:t>
      </w:r>
    </w:p>
    <w:p w14:paraId="061CDFE6" w14:textId="77777777" w:rsidR="00DE2C50" w:rsidRDefault="00820172" w:rsidP="00820172">
      <w:pPr>
        <w:spacing w:before="100" w:beforeAutospacing="1" w:after="100" w:afterAutospacing="1"/>
        <w:ind w:left="990"/>
        <w:rPr>
          <w:sz w:val="24"/>
          <w:szCs w:val="24"/>
        </w:rPr>
      </w:pPr>
      <w:r w:rsidRPr="00484F1F">
        <w:rPr>
          <w:sz w:val="24"/>
          <w:szCs w:val="24"/>
        </w:rPr>
        <w:t xml:space="preserve">(2) </w:t>
      </w:r>
      <w:r w:rsidRPr="00484F1F">
        <w:rPr>
          <w:i/>
          <w:iCs/>
          <w:sz w:val="24"/>
          <w:szCs w:val="24"/>
        </w:rPr>
        <w:t>Specific conditions</w:t>
      </w:r>
      <w:r w:rsidRPr="00484F1F">
        <w:rPr>
          <w:sz w:val="24"/>
          <w:szCs w:val="24"/>
        </w:rPr>
        <w:t xml:space="preserve"> —(</w:t>
      </w:r>
      <w:proofErr w:type="spellStart"/>
      <w:r w:rsidRPr="00484F1F">
        <w:rPr>
          <w:sz w:val="24"/>
          <w:szCs w:val="24"/>
        </w:rPr>
        <w:t>i</w:t>
      </w:r>
      <w:proofErr w:type="spellEnd"/>
      <w:r w:rsidRPr="00484F1F">
        <w:rPr>
          <w:sz w:val="24"/>
          <w:szCs w:val="24"/>
        </w:rPr>
        <w:t xml:space="preserve">) </w:t>
      </w:r>
      <w:r w:rsidRPr="00484F1F">
        <w:rPr>
          <w:i/>
          <w:iCs/>
          <w:sz w:val="24"/>
          <w:szCs w:val="24"/>
        </w:rPr>
        <w:t>Nature of purchasers.</w:t>
      </w:r>
      <w:r w:rsidRPr="00484F1F">
        <w:rPr>
          <w:sz w:val="24"/>
          <w:szCs w:val="24"/>
        </w:rPr>
        <w:t xml:space="preserve"> All purchasers of securities sold in any offering under paragraph (c) of this section are accredited investors; (ii) </w:t>
      </w:r>
      <w:r w:rsidRPr="00484F1F">
        <w:rPr>
          <w:i/>
          <w:iCs/>
          <w:sz w:val="24"/>
          <w:szCs w:val="24"/>
        </w:rPr>
        <w:t>Verification of accredited investor status.</w:t>
      </w:r>
      <w:r w:rsidRPr="00484F1F">
        <w:rPr>
          <w:sz w:val="24"/>
          <w:szCs w:val="24"/>
        </w:rPr>
        <w:t xml:space="preserve"> The issuer shall take reasonable steps to verify that purchasers of securities sold in any offering under paragraph (c) of this section are accredited investors. The issuer shall be deemed to take reasonable steps to verify if the issuer uses, at its option, one of the following non-exclusive and non-mandatory methods of verifying that a natural person who purchases securities in such offering is an accredited investor; provided, however, that the issuer does not have knowledge that such perso</w:t>
      </w:r>
      <w:r w:rsidR="00DE2C50" w:rsidRPr="00484F1F">
        <w:rPr>
          <w:sz w:val="24"/>
          <w:szCs w:val="24"/>
        </w:rPr>
        <w:t xml:space="preserve">n is not an accredited investor.  </w:t>
      </w:r>
    </w:p>
    <w:p w14:paraId="1CC6244B" w14:textId="77777777" w:rsidR="004D6ABB" w:rsidRPr="00EB36DF" w:rsidRDefault="004D6ABB" w:rsidP="003E7B18">
      <w:pPr>
        <w:numPr>
          <w:ilvl w:val="0"/>
          <w:numId w:val="226"/>
        </w:numPr>
        <w:spacing w:before="100" w:beforeAutospacing="1" w:after="100" w:afterAutospacing="1"/>
        <w:ind w:left="1440" w:hanging="180"/>
        <w:rPr>
          <w:sz w:val="24"/>
          <w:szCs w:val="24"/>
        </w:rPr>
      </w:pPr>
      <w:r w:rsidRPr="00EB36DF">
        <w:rPr>
          <w:sz w:val="24"/>
          <w:szCs w:val="24"/>
        </w:rPr>
        <w:t>Income basis: reviewing IRS forms that reports the purchaser's income for the two most recent years (including, but not limited to, Form W-2, Form 1099, Schedule K-1 to Form 1065, and Form 1040) and obtaining a written representation from the purchaser that he or she has a reasonable expectation of reaching the income level necessary to qualify as an accredited investor during the current year;</w:t>
      </w:r>
    </w:p>
    <w:p w14:paraId="786B0B63" w14:textId="77777777" w:rsidR="004D6ABB" w:rsidRPr="00EB36DF" w:rsidRDefault="004D6ABB" w:rsidP="003E7B18">
      <w:pPr>
        <w:numPr>
          <w:ilvl w:val="0"/>
          <w:numId w:val="226"/>
        </w:numPr>
        <w:spacing w:before="100" w:beforeAutospacing="1" w:after="100" w:afterAutospacing="1"/>
        <w:ind w:left="1440" w:hanging="180"/>
        <w:rPr>
          <w:sz w:val="24"/>
          <w:szCs w:val="24"/>
        </w:rPr>
      </w:pPr>
      <w:r w:rsidRPr="00EB36DF">
        <w:rPr>
          <w:sz w:val="24"/>
          <w:szCs w:val="24"/>
        </w:rPr>
        <w:t>Net Worth basis: reviewing one or more of the following types of documentation dated within the prior three months and obtaining a written representation from the purchaser that all liabilities necessary to make a determination of net worth have been disclosed:</w:t>
      </w:r>
    </w:p>
    <w:p w14:paraId="3DA0D35F" w14:textId="77777777" w:rsidR="004D6ABB" w:rsidRPr="00EB36DF" w:rsidRDefault="004D6ABB" w:rsidP="004D6ABB">
      <w:pPr>
        <w:spacing w:before="100" w:beforeAutospacing="1" w:after="100" w:afterAutospacing="1"/>
        <w:ind w:left="1512"/>
        <w:rPr>
          <w:sz w:val="24"/>
          <w:szCs w:val="24"/>
        </w:rPr>
      </w:pPr>
      <w:r w:rsidRPr="00EB36DF">
        <w:rPr>
          <w:sz w:val="24"/>
          <w:szCs w:val="24"/>
        </w:rPr>
        <w:t>(</w:t>
      </w:r>
      <w:r w:rsidRPr="00EB36DF">
        <w:rPr>
          <w:i/>
          <w:iCs/>
          <w:sz w:val="24"/>
          <w:szCs w:val="24"/>
        </w:rPr>
        <w:t>1</w:t>
      </w:r>
      <w:r w:rsidRPr="00EB36DF">
        <w:rPr>
          <w:sz w:val="24"/>
          <w:szCs w:val="24"/>
        </w:rPr>
        <w:t>) With respect to assets: Bank statements, brokerage statements and other statements of securities holdings, certificates of deposit, tax assessments, and appraisal reports issued by independent third parties; and</w:t>
      </w:r>
    </w:p>
    <w:p w14:paraId="5DD9A778" w14:textId="77777777" w:rsidR="004D6ABB" w:rsidRPr="00EB36DF" w:rsidRDefault="004D6ABB" w:rsidP="004D6ABB">
      <w:pPr>
        <w:spacing w:before="100" w:beforeAutospacing="1" w:after="100" w:afterAutospacing="1"/>
        <w:ind w:left="1512"/>
        <w:rPr>
          <w:sz w:val="24"/>
          <w:szCs w:val="24"/>
        </w:rPr>
      </w:pPr>
      <w:r w:rsidRPr="00EB36DF">
        <w:rPr>
          <w:sz w:val="24"/>
          <w:szCs w:val="24"/>
        </w:rPr>
        <w:t>(</w:t>
      </w:r>
      <w:r w:rsidRPr="00EB36DF">
        <w:rPr>
          <w:i/>
          <w:iCs/>
          <w:sz w:val="24"/>
          <w:szCs w:val="24"/>
        </w:rPr>
        <w:t>2</w:t>
      </w:r>
      <w:r w:rsidRPr="00EB36DF">
        <w:rPr>
          <w:sz w:val="24"/>
          <w:szCs w:val="24"/>
        </w:rPr>
        <w:t>) With respect to liabilities: A consumer report from at least one of the nationwide consumer reporting agencies; or</w:t>
      </w:r>
    </w:p>
    <w:p w14:paraId="01FA9D22" w14:textId="77777777" w:rsidR="004D6ABB" w:rsidRPr="00EB36DF" w:rsidRDefault="008B155A" w:rsidP="003E7B18">
      <w:pPr>
        <w:numPr>
          <w:ilvl w:val="0"/>
          <w:numId w:val="227"/>
        </w:numPr>
        <w:spacing w:before="100" w:beforeAutospacing="1" w:after="100" w:afterAutospacing="1"/>
        <w:ind w:left="1440" w:hanging="180"/>
        <w:rPr>
          <w:sz w:val="24"/>
          <w:szCs w:val="24"/>
        </w:rPr>
      </w:pPr>
      <w:r w:rsidRPr="00EB36DF">
        <w:rPr>
          <w:sz w:val="24"/>
          <w:szCs w:val="24"/>
        </w:rPr>
        <w:t>W</w:t>
      </w:r>
      <w:r w:rsidR="004D6ABB" w:rsidRPr="00EB36DF">
        <w:rPr>
          <w:sz w:val="24"/>
          <w:szCs w:val="24"/>
        </w:rPr>
        <w:t>ritten confirmation from one of the following persons or entities that such person or entity has taken reasonable steps to verify that the purchaser is an accredited investor within the prior three months and has determined that such purchaser is an accredited investor:</w:t>
      </w:r>
    </w:p>
    <w:p w14:paraId="066AE278" w14:textId="77777777" w:rsidR="004D6ABB" w:rsidRPr="00EB36DF" w:rsidRDefault="004D6ABB" w:rsidP="008B155A">
      <w:pPr>
        <w:spacing w:before="100" w:beforeAutospacing="1" w:after="100" w:afterAutospacing="1"/>
        <w:ind w:left="1800" w:hanging="360"/>
        <w:rPr>
          <w:sz w:val="24"/>
          <w:szCs w:val="24"/>
        </w:rPr>
      </w:pPr>
      <w:r w:rsidRPr="00EB36DF">
        <w:rPr>
          <w:sz w:val="24"/>
          <w:szCs w:val="24"/>
        </w:rPr>
        <w:t>(</w:t>
      </w:r>
      <w:r w:rsidRPr="00EB36DF">
        <w:rPr>
          <w:i/>
          <w:iCs/>
          <w:sz w:val="24"/>
          <w:szCs w:val="24"/>
        </w:rPr>
        <w:t>1</w:t>
      </w:r>
      <w:r w:rsidRPr="00EB36DF">
        <w:rPr>
          <w:sz w:val="24"/>
          <w:szCs w:val="24"/>
        </w:rPr>
        <w:t>) A registered broker-dealer;</w:t>
      </w:r>
    </w:p>
    <w:p w14:paraId="4D7EC327" w14:textId="77777777" w:rsidR="004D6ABB" w:rsidRPr="00EB36DF" w:rsidRDefault="004D6ABB" w:rsidP="008B155A">
      <w:pPr>
        <w:spacing w:before="100" w:beforeAutospacing="1" w:after="100" w:afterAutospacing="1"/>
        <w:ind w:left="1800" w:hanging="360"/>
        <w:rPr>
          <w:sz w:val="24"/>
          <w:szCs w:val="24"/>
        </w:rPr>
      </w:pPr>
      <w:r w:rsidRPr="00EB36DF">
        <w:rPr>
          <w:sz w:val="24"/>
          <w:szCs w:val="24"/>
        </w:rPr>
        <w:t>(</w:t>
      </w:r>
      <w:r w:rsidRPr="00EB36DF">
        <w:rPr>
          <w:i/>
          <w:iCs/>
          <w:sz w:val="24"/>
          <w:szCs w:val="24"/>
        </w:rPr>
        <w:t>2</w:t>
      </w:r>
      <w:r w:rsidRPr="00EB36DF">
        <w:rPr>
          <w:sz w:val="24"/>
          <w:szCs w:val="24"/>
        </w:rPr>
        <w:t>) An investment adviser registered with the Securities and Exchange Commission;</w:t>
      </w:r>
    </w:p>
    <w:p w14:paraId="13118A6D" w14:textId="77777777" w:rsidR="004D6ABB" w:rsidRPr="00EB36DF" w:rsidRDefault="004D6ABB" w:rsidP="008B155A">
      <w:pPr>
        <w:spacing w:before="100" w:beforeAutospacing="1" w:after="100" w:afterAutospacing="1"/>
        <w:ind w:left="1800" w:hanging="360"/>
        <w:rPr>
          <w:sz w:val="24"/>
          <w:szCs w:val="24"/>
        </w:rPr>
      </w:pPr>
      <w:r w:rsidRPr="00EB36DF">
        <w:rPr>
          <w:sz w:val="24"/>
          <w:szCs w:val="24"/>
        </w:rPr>
        <w:lastRenderedPageBreak/>
        <w:t>(</w:t>
      </w:r>
      <w:r w:rsidRPr="00EB36DF">
        <w:rPr>
          <w:i/>
          <w:iCs/>
          <w:sz w:val="24"/>
          <w:szCs w:val="24"/>
        </w:rPr>
        <w:t>3</w:t>
      </w:r>
      <w:r w:rsidRPr="00EB36DF">
        <w:rPr>
          <w:sz w:val="24"/>
          <w:szCs w:val="24"/>
        </w:rPr>
        <w:t>) A licensed attorney who is in good standing under the laws of the jurisdictions in which he or she is admitted to practice law; or</w:t>
      </w:r>
    </w:p>
    <w:p w14:paraId="22F824EE" w14:textId="77777777" w:rsidR="004D6ABB" w:rsidRPr="00EB36DF" w:rsidRDefault="004D6ABB" w:rsidP="008B155A">
      <w:pPr>
        <w:spacing w:before="100" w:beforeAutospacing="1" w:after="100" w:afterAutospacing="1"/>
        <w:ind w:left="1800" w:hanging="360"/>
        <w:rPr>
          <w:sz w:val="24"/>
          <w:szCs w:val="24"/>
        </w:rPr>
      </w:pPr>
      <w:r w:rsidRPr="00EB36DF">
        <w:rPr>
          <w:sz w:val="24"/>
          <w:szCs w:val="24"/>
        </w:rPr>
        <w:t>(</w:t>
      </w:r>
      <w:r w:rsidRPr="00EB36DF">
        <w:rPr>
          <w:i/>
          <w:iCs/>
          <w:sz w:val="24"/>
          <w:szCs w:val="24"/>
        </w:rPr>
        <w:t>4</w:t>
      </w:r>
      <w:r w:rsidRPr="00EB36DF">
        <w:rPr>
          <w:sz w:val="24"/>
          <w:szCs w:val="24"/>
        </w:rPr>
        <w:t>) A certified public accountant who is duly registered and in good standing under the laws of the place of his or her residence or principal office.</w:t>
      </w:r>
    </w:p>
    <w:p w14:paraId="24AD942E" w14:textId="77777777" w:rsidR="004D6ABB" w:rsidRPr="00EB36DF" w:rsidRDefault="004D6ABB" w:rsidP="003E7B18">
      <w:pPr>
        <w:numPr>
          <w:ilvl w:val="0"/>
          <w:numId w:val="227"/>
        </w:numPr>
        <w:spacing w:before="100" w:beforeAutospacing="1" w:after="100" w:afterAutospacing="1"/>
        <w:ind w:left="1440" w:hanging="270"/>
        <w:rPr>
          <w:sz w:val="24"/>
          <w:szCs w:val="24"/>
        </w:rPr>
      </w:pPr>
      <w:r w:rsidRPr="00EB36DF">
        <w:rPr>
          <w:sz w:val="24"/>
          <w:szCs w:val="24"/>
        </w:rPr>
        <w:t xml:space="preserve">In regard to any person who purchased securities in an issuer's Rule 506(b) offering as an accredited investor prior to September 23, </w:t>
      </w:r>
      <w:proofErr w:type="gramStart"/>
      <w:r w:rsidRPr="00EB36DF">
        <w:rPr>
          <w:sz w:val="24"/>
          <w:szCs w:val="24"/>
        </w:rPr>
        <w:t>2013</w:t>
      </w:r>
      <w:proofErr w:type="gramEnd"/>
      <w:r w:rsidRPr="00EB36DF">
        <w:rPr>
          <w:sz w:val="24"/>
          <w:szCs w:val="24"/>
        </w:rPr>
        <w:t xml:space="preserve"> and continues to hold such securities, for the same issuer's Rule 506(c) offering, obtaining a certification by such person at the time of sale that he or she qualifies as an accredited investor.</w:t>
      </w:r>
    </w:p>
    <w:p w14:paraId="321A7AC2" w14:textId="77777777" w:rsidR="00820172" w:rsidRPr="00820172" w:rsidRDefault="00DE2C50" w:rsidP="00DE2C50">
      <w:pPr>
        <w:pBdr>
          <w:top w:val="single" w:sz="4" w:space="1" w:color="auto"/>
          <w:left w:val="single" w:sz="4" w:space="4" w:color="auto"/>
          <w:bottom w:val="single" w:sz="4" w:space="1" w:color="auto"/>
          <w:right w:val="single" w:sz="4" w:space="4" w:color="auto"/>
        </w:pBdr>
        <w:spacing w:before="100" w:beforeAutospacing="1" w:after="100" w:afterAutospacing="1"/>
        <w:ind w:left="990"/>
        <w:rPr>
          <w:i/>
          <w:color w:val="FF0000"/>
          <w:sz w:val="18"/>
          <w:szCs w:val="18"/>
        </w:rPr>
      </w:pPr>
      <w:r w:rsidRPr="00484F1F">
        <w:rPr>
          <w:i/>
          <w:sz w:val="18"/>
          <w:szCs w:val="18"/>
        </w:rPr>
        <w:t>Further accredited verification methods may be found at</w:t>
      </w:r>
      <w:r w:rsidRPr="00DE2C50">
        <w:rPr>
          <w:i/>
          <w:color w:val="FF0000"/>
          <w:sz w:val="18"/>
          <w:szCs w:val="18"/>
        </w:rPr>
        <w:t xml:space="preserve"> </w:t>
      </w:r>
      <w:hyperlink r:id="rId102" w:history="1">
        <w:r w:rsidRPr="00DE2C50">
          <w:rPr>
            <w:rStyle w:val="Hyperlink"/>
            <w:i/>
            <w:sz w:val="18"/>
            <w:szCs w:val="18"/>
          </w:rPr>
          <w:t>http://www.ecfr.gov/cgi-bin/text-idx?c=ecfr&amp;SID=d0c0f2263d29d0708f9f087d976817f5&amp;rgn=div8&amp;view=text&amp;node=17:2.0.1.1.12.0.46.181&amp;idno=17</w:t>
        </w:r>
      </w:hyperlink>
      <w:r w:rsidRPr="00DE2C50">
        <w:rPr>
          <w:i/>
          <w:color w:val="FF0000"/>
          <w:sz w:val="18"/>
          <w:szCs w:val="18"/>
        </w:rPr>
        <w:t xml:space="preserve">. </w:t>
      </w:r>
    </w:p>
    <w:p w14:paraId="3CE43A58" w14:textId="77777777" w:rsidR="00F57DAC" w:rsidRDefault="00F57DAC" w:rsidP="00F57DAC"/>
    <w:p w14:paraId="1A9F21F4" w14:textId="77777777" w:rsidR="00AB6B99" w:rsidRDefault="00AB6B99" w:rsidP="00F57DAC"/>
    <w:p w14:paraId="65E65B44" w14:textId="77777777" w:rsidR="00B75054" w:rsidRDefault="00B75054" w:rsidP="00936FEE">
      <w:pPr>
        <w:pStyle w:val="Heading2"/>
      </w:pPr>
      <w:r>
        <w:t>1</w:t>
      </w:r>
      <w:r w:rsidR="00E5056A">
        <w:t>4</w:t>
      </w:r>
      <w:r>
        <w:t>.1</w:t>
      </w:r>
      <w:r w:rsidR="00F57DAC">
        <w:t>7</w:t>
      </w:r>
      <w:r>
        <w:t xml:space="preserve"> Dollar Amount </w:t>
      </w:r>
      <w:r w:rsidR="00CF37CD">
        <w:t>of</w:t>
      </w:r>
      <w:r>
        <w:t xml:space="preserve"> </w:t>
      </w:r>
      <w:r w:rsidR="00CF37CD">
        <w:t>the</w:t>
      </w:r>
      <w:r>
        <w:t xml:space="preserve"> Offering </w:t>
      </w:r>
      <w:r w:rsidR="00D132D6">
        <w:t>a</w:t>
      </w:r>
      <w:r>
        <w:t xml:space="preserve">nd Integration Issues </w:t>
      </w:r>
    </w:p>
    <w:p w14:paraId="5148206F" w14:textId="77777777" w:rsidR="00B75054" w:rsidRPr="00AA03AA" w:rsidRDefault="00B75054" w:rsidP="00083140">
      <w:pPr>
        <w:pStyle w:val="Normal1"/>
        <w:shd w:val="clear" w:color="auto" w:fill="FFFFFF"/>
        <w:jc w:val="both"/>
        <w:rPr>
          <w:rFonts w:ascii="Times New Roman" w:hAnsi="Times New Roman" w:cs="Times New Roman"/>
          <w:sz w:val="24"/>
          <w:szCs w:val="24"/>
        </w:rPr>
      </w:pPr>
      <w:r w:rsidRPr="00AA03AA">
        <w:rPr>
          <w:rFonts w:ascii="Times New Roman" w:hAnsi="Times New Roman" w:cs="Times New Roman"/>
          <w:sz w:val="24"/>
          <w:szCs w:val="24"/>
        </w:rPr>
        <w:t xml:space="preserve">The designated supervisor is responsible for ensuring the issue is not oversold relative to the dollar amount </w:t>
      </w:r>
      <w:r w:rsidR="00C610BC">
        <w:rPr>
          <w:rFonts w:ascii="Times New Roman" w:hAnsi="Times New Roman" w:cs="Times New Roman"/>
          <w:sz w:val="24"/>
          <w:szCs w:val="24"/>
        </w:rPr>
        <w:t xml:space="preserve">or terms </w:t>
      </w:r>
      <w:r w:rsidRPr="00AA03AA">
        <w:rPr>
          <w:rFonts w:ascii="Times New Roman" w:hAnsi="Times New Roman" w:cs="Times New Roman"/>
          <w:sz w:val="24"/>
          <w:szCs w:val="24"/>
        </w:rPr>
        <w:t>disclosed in the offering document compared to the limitations provided in the rules. The supervisor should consider any "integration" of similar offerings by the same issuer for substantially identical purposes for determining whether the issuer meets the dollar limitation under the exemption within a 12-month period of time. The supervisor's review for integration may include one of the following or another procedure determined adequate by the supervisor:</w:t>
      </w:r>
    </w:p>
    <w:p w14:paraId="57112F45" w14:textId="77777777" w:rsidR="00B75054" w:rsidRPr="00AA03AA" w:rsidRDefault="00B75054" w:rsidP="00C1728B">
      <w:pPr>
        <w:numPr>
          <w:ilvl w:val="0"/>
          <w:numId w:val="109"/>
        </w:numPr>
        <w:shd w:val="clear" w:color="auto" w:fill="FFFFFF"/>
        <w:spacing w:before="100" w:beforeAutospacing="1" w:after="100" w:afterAutospacing="1" w:line="240" w:lineRule="atLeast"/>
        <w:jc w:val="both"/>
        <w:rPr>
          <w:spacing w:val="8"/>
          <w:sz w:val="24"/>
          <w:szCs w:val="24"/>
        </w:rPr>
      </w:pPr>
      <w:r w:rsidRPr="00AA03AA">
        <w:rPr>
          <w:spacing w:val="8"/>
          <w:sz w:val="24"/>
          <w:szCs w:val="24"/>
        </w:rPr>
        <w:t xml:space="preserve">Reviewing the issuer's financial statements for the past 12 months and/or contact directly with the issuer </w:t>
      </w:r>
    </w:p>
    <w:p w14:paraId="494F47F4" w14:textId="77777777" w:rsidR="00B75054" w:rsidRPr="00AA03AA" w:rsidRDefault="00B75054" w:rsidP="00C1728B">
      <w:pPr>
        <w:numPr>
          <w:ilvl w:val="0"/>
          <w:numId w:val="109"/>
        </w:numPr>
        <w:shd w:val="clear" w:color="auto" w:fill="FFFFFF"/>
        <w:spacing w:before="100" w:beforeAutospacing="1" w:after="100" w:afterAutospacing="1" w:line="240" w:lineRule="atLeast"/>
        <w:jc w:val="both"/>
        <w:rPr>
          <w:spacing w:val="8"/>
          <w:sz w:val="24"/>
          <w:szCs w:val="24"/>
        </w:rPr>
      </w:pPr>
      <w:r w:rsidRPr="00AA03AA">
        <w:rPr>
          <w:spacing w:val="8"/>
          <w:sz w:val="24"/>
          <w:szCs w:val="24"/>
        </w:rPr>
        <w:t>Obtaining a representation letter from the issuer that states that no other offerings were distributed during the 6-month period prior to the current private placement offering or will be distributed in a succeeding 6-month period that would cause the exemption to be lost</w:t>
      </w:r>
    </w:p>
    <w:p w14:paraId="018825F9" w14:textId="77777777" w:rsidR="00B75054" w:rsidRDefault="00B75054" w:rsidP="00915F4E"/>
    <w:p w14:paraId="5F257C20" w14:textId="77777777" w:rsidR="000A28B6" w:rsidRDefault="000A28B6" w:rsidP="00936FEE">
      <w:pPr>
        <w:pStyle w:val="Heading2"/>
      </w:pPr>
      <w:r>
        <w:t>1</w:t>
      </w:r>
      <w:r w:rsidR="00E5056A">
        <w:t>4</w:t>
      </w:r>
      <w:r>
        <w:t>.1</w:t>
      </w:r>
      <w:r w:rsidR="00F57DAC">
        <w:t>8</w:t>
      </w:r>
      <w:r>
        <w:t xml:space="preserve"> Filing Requirements</w:t>
      </w:r>
      <w:bookmarkEnd w:id="258"/>
    </w:p>
    <w:p w14:paraId="3C17BA15" w14:textId="77777777" w:rsidR="000A28B6" w:rsidRPr="000A28B6" w:rsidRDefault="000A28B6" w:rsidP="000A28B6">
      <w:pPr>
        <w:jc w:val="both"/>
        <w:rPr>
          <w:sz w:val="24"/>
          <w:szCs w:val="24"/>
        </w:rPr>
      </w:pPr>
      <w:r w:rsidRPr="000A28B6">
        <w:rPr>
          <w:sz w:val="24"/>
          <w:szCs w:val="24"/>
        </w:rPr>
        <w:t xml:space="preserve">The Company will ensure that a Form D is completed and filed </w:t>
      </w:r>
      <w:r w:rsidR="00BF2680" w:rsidRPr="00AA4957">
        <w:rPr>
          <w:sz w:val="24"/>
          <w:szCs w:val="24"/>
        </w:rPr>
        <w:t>either electronically or paper file</w:t>
      </w:r>
      <w:r w:rsidR="00BF2680">
        <w:rPr>
          <w:sz w:val="24"/>
          <w:szCs w:val="24"/>
        </w:rPr>
        <w:t xml:space="preserve"> </w:t>
      </w:r>
      <w:r w:rsidRPr="000A28B6">
        <w:rPr>
          <w:sz w:val="24"/>
          <w:szCs w:val="24"/>
        </w:rPr>
        <w:t>with the appropriate regulators no later than 15 days after the first sale of securities that is made in reliance on Rule 504, 505, or 506 in each state or other jurisdiction, unless the applicable exemption under a state or other jurisdiction requires the Form D to be filed at another time or times.  A copy of such Form D filing will be maintained with the transaction documents.  The Form D must be manually signed by an authorized signatory of the issuer or electronically pursuant to Edgar filings.  The Form D should normally be sent to any state regulator via some form of return receipt mail, such as by Federal Express or UPS, and a copy of the document evidencing delivery of the Form D filing should be placed in the Form D file for such private placement transaction.</w:t>
      </w:r>
    </w:p>
    <w:p w14:paraId="754A907E" w14:textId="77777777" w:rsidR="000A28B6" w:rsidRPr="000A28B6" w:rsidRDefault="000A28B6" w:rsidP="000A28B6"/>
    <w:p w14:paraId="48961BF2" w14:textId="77777777" w:rsidR="000A28B6" w:rsidRDefault="000A28B6" w:rsidP="000A28B6">
      <w:pPr>
        <w:spacing w:after="220"/>
        <w:jc w:val="both"/>
        <w:rPr>
          <w:sz w:val="24"/>
        </w:rPr>
      </w:pPr>
      <w:r>
        <w:rPr>
          <w:sz w:val="24"/>
        </w:rPr>
        <w:t xml:space="preserve">In addition to federal filing requirements, the issuer generally is required to file the Form D and other documents with the appropriate state regulators within 15 days after the first sale in each </w:t>
      </w:r>
      <w:r>
        <w:rPr>
          <w:sz w:val="24"/>
        </w:rPr>
        <w:lastRenderedPageBreak/>
        <w:t>state.  Prior to consummating a sale of securities, the Company will review the filing requirements of the state in which the issuer has its principal place of business as well as the state or states in which the purchasers reside or have their principal place of business. The Company must ensure that all appropriate filings are made with such state regulatory bodies on a timely basis.  Copies of such filings will be maintained with the transaction documents.</w:t>
      </w:r>
    </w:p>
    <w:p w14:paraId="41BAFB97" w14:textId="77777777" w:rsidR="00066E43" w:rsidRDefault="00066E43" w:rsidP="000A28B6">
      <w:pPr>
        <w:spacing w:after="220"/>
        <w:jc w:val="both"/>
        <w:rPr>
          <w:sz w:val="24"/>
        </w:rPr>
      </w:pPr>
    </w:p>
    <w:p w14:paraId="3D52A02E" w14:textId="77777777" w:rsidR="002549E8" w:rsidRPr="002549E8" w:rsidRDefault="00066E43" w:rsidP="00936FEE">
      <w:pPr>
        <w:pStyle w:val="Heading2"/>
      </w:pPr>
      <w:r>
        <w:t>1</w:t>
      </w:r>
      <w:r w:rsidR="00E5056A">
        <w:t>4</w:t>
      </w:r>
      <w:r>
        <w:t>.1</w:t>
      </w:r>
      <w:r w:rsidR="00F57DAC">
        <w:t>9</w:t>
      </w:r>
      <w:r>
        <w:t xml:space="preserve"> Blue Sky Requirements</w:t>
      </w:r>
    </w:p>
    <w:p w14:paraId="25D7D3C3" w14:textId="77777777" w:rsidR="00066E43" w:rsidRPr="00066E43" w:rsidRDefault="00066E43" w:rsidP="00066E43">
      <w:pPr>
        <w:pStyle w:val="Normal1"/>
        <w:shd w:val="clear" w:color="auto" w:fill="FFFFFF"/>
        <w:jc w:val="both"/>
        <w:rPr>
          <w:rFonts w:ascii="Times New Roman" w:hAnsi="Times New Roman" w:cs="Times New Roman"/>
          <w:color w:val="000000"/>
          <w:sz w:val="24"/>
          <w:szCs w:val="24"/>
        </w:rPr>
      </w:pPr>
      <w:r w:rsidRPr="00066E43">
        <w:rPr>
          <w:rFonts w:ascii="Times New Roman" w:hAnsi="Times New Roman" w:cs="Times New Roman"/>
          <w:color w:val="000000"/>
          <w:sz w:val="24"/>
          <w:szCs w:val="24"/>
        </w:rPr>
        <w:t>State securities laws ("blue sky" laws) that apply to private placements vary from state to state. Some states have differing definitions for accredited investors; some states require registration of a securities issue that is otherwise exempt under Federal securities laws.</w:t>
      </w:r>
    </w:p>
    <w:p w14:paraId="63E3AB84" w14:textId="57A1A649" w:rsidR="00066E43" w:rsidRPr="00066E43" w:rsidRDefault="00083140" w:rsidP="00E5056A">
      <w:pPr>
        <w:pStyle w:val="Normal1"/>
        <w:shd w:val="clear" w:color="auto" w:fill="FFFFFF"/>
        <w:spacing w:before="0" w:after="0" w:afterAutospacing="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Company</w:t>
      </w:r>
      <w:r w:rsidR="00066E43" w:rsidRPr="00066E43">
        <w:rPr>
          <w:rFonts w:ascii="Times New Roman" w:hAnsi="Times New Roman" w:cs="Times New Roman"/>
          <w:color w:val="000000"/>
          <w:sz w:val="24"/>
          <w:szCs w:val="24"/>
        </w:rPr>
        <w:t xml:space="preserve"> and its sales personnel are required to comply with any </w:t>
      </w:r>
      <w:r w:rsidR="00B33A95" w:rsidRPr="00066E43">
        <w:rPr>
          <w:rFonts w:ascii="Times New Roman" w:hAnsi="Times New Roman" w:cs="Times New Roman"/>
          <w:color w:val="000000"/>
          <w:sz w:val="24"/>
          <w:szCs w:val="24"/>
        </w:rPr>
        <w:t>blue-sky</w:t>
      </w:r>
      <w:r w:rsidR="00066E43" w:rsidRPr="00066E43">
        <w:rPr>
          <w:rFonts w:ascii="Times New Roman" w:hAnsi="Times New Roman" w:cs="Times New Roman"/>
          <w:color w:val="000000"/>
          <w:sz w:val="24"/>
          <w:szCs w:val="24"/>
        </w:rPr>
        <w:t xml:space="preserve"> requirements that apply to a specific private placement issue. Requirements may differ depending on where the issue originates and where it is sold.</w:t>
      </w:r>
    </w:p>
    <w:p w14:paraId="3037D254" w14:textId="77777777" w:rsidR="00066E43" w:rsidRDefault="00066E43" w:rsidP="00E5056A"/>
    <w:p w14:paraId="688C9F27" w14:textId="77777777" w:rsidR="00066E43" w:rsidRDefault="00066E43" w:rsidP="00E5056A"/>
    <w:p w14:paraId="75C295AC" w14:textId="77777777" w:rsidR="000C099C" w:rsidRDefault="005065D1" w:rsidP="00936FEE">
      <w:pPr>
        <w:pStyle w:val="Heading2"/>
      </w:pPr>
      <w:r>
        <w:t>1</w:t>
      </w:r>
      <w:r w:rsidR="00E5056A">
        <w:t>4</w:t>
      </w:r>
      <w:r w:rsidR="000A28B6">
        <w:t>.</w:t>
      </w:r>
      <w:r w:rsidR="00F57DAC">
        <w:t>20</w:t>
      </w:r>
      <w:r w:rsidR="000A28B6">
        <w:t xml:space="preserve"> Procedure </w:t>
      </w:r>
      <w:r w:rsidR="000C099C">
        <w:t>Guidelines for Processing Private Offerings</w:t>
      </w:r>
    </w:p>
    <w:p w14:paraId="44F4E703" w14:textId="77777777" w:rsidR="000C099C" w:rsidRPr="000A28B6" w:rsidRDefault="000C099C" w:rsidP="006368C7">
      <w:pPr>
        <w:jc w:val="both"/>
        <w:rPr>
          <w:sz w:val="24"/>
          <w:szCs w:val="24"/>
        </w:rPr>
      </w:pPr>
      <w:r w:rsidRPr="000A28B6">
        <w:rPr>
          <w:sz w:val="24"/>
          <w:szCs w:val="24"/>
        </w:rPr>
        <w:t>In an effort to process private offerings efficiently and compliant with Company and regulatory rules and procedures, the following checklist has been developed:</w:t>
      </w:r>
    </w:p>
    <w:p w14:paraId="024F3DED" w14:textId="77777777" w:rsidR="000C099C" w:rsidRPr="00EC7A9A" w:rsidRDefault="000C099C">
      <w:pPr>
        <w:ind w:left="360"/>
        <w:rPr>
          <w:sz w:val="24"/>
          <w:szCs w:val="24"/>
        </w:rPr>
      </w:pPr>
    </w:p>
    <w:p w14:paraId="35076CCA" w14:textId="77777777" w:rsidR="000C099C" w:rsidRPr="00EC7A9A" w:rsidRDefault="000C099C" w:rsidP="00C1728B">
      <w:pPr>
        <w:numPr>
          <w:ilvl w:val="0"/>
          <w:numId w:val="40"/>
        </w:numPr>
        <w:rPr>
          <w:sz w:val="24"/>
          <w:szCs w:val="24"/>
        </w:rPr>
      </w:pPr>
      <w:r w:rsidRPr="00EC7A9A">
        <w:rPr>
          <w:sz w:val="24"/>
          <w:szCs w:val="24"/>
        </w:rPr>
        <w:t>Create Offering File Notebook - Must contain</w:t>
      </w:r>
    </w:p>
    <w:p w14:paraId="78E543FE" w14:textId="77777777" w:rsidR="000C099C" w:rsidRPr="00EC7A9A" w:rsidRDefault="000C099C" w:rsidP="00C1728B">
      <w:pPr>
        <w:numPr>
          <w:ilvl w:val="1"/>
          <w:numId w:val="40"/>
        </w:numPr>
        <w:jc w:val="both"/>
        <w:rPr>
          <w:sz w:val="24"/>
          <w:szCs w:val="24"/>
        </w:rPr>
      </w:pPr>
      <w:r w:rsidRPr="00EC7A9A">
        <w:rPr>
          <w:sz w:val="24"/>
          <w:szCs w:val="24"/>
        </w:rPr>
        <w:t>Selling Agreement:  Both Issuer and Company must execute prior to or simultaneously with offering date;</w:t>
      </w:r>
    </w:p>
    <w:p w14:paraId="0E6E6A7A" w14:textId="77777777" w:rsidR="000C099C" w:rsidRPr="00EC7A9A" w:rsidRDefault="000C099C" w:rsidP="00C1728B">
      <w:pPr>
        <w:numPr>
          <w:ilvl w:val="1"/>
          <w:numId w:val="40"/>
        </w:numPr>
        <w:jc w:val="both"/>
        <w:rPr>
          <w:sz w:val="24"/>
          <w:szCs w:val="24"/>
        </w:rPr>
      </w:pPr>
      <w:r w:rsidRPr="00EC7A9A">
        <w:rPr>
          <w:sz w:val="24"/>
          <w:szCs w:val="24"/>
        </w:rPr>
        <w:t>If applicable, Escrow Agreement, Escrow Log (when completed), Escrow Account Statements</w:t>
      </w:r>
    </w:p>
    <w:p w14:paraId="3CF77FE5" w14:textId="77777777" w:rsidR="000C099C" w:rsidRPr="00EC7A9A" w:rsidRDefault="000C099C" w:rsidP="00C1728B">
      <w:pPr>
        <w:numPr>
          <w:ilvl w:val="1"/>
          <w:numId w:val="40"/>
        </w:numPr>
        <w:rPr>
          <w:sz w:val="24"/>
          <w:szCs w:val="24"/>
        </w:rPr>
      </w:pPr>
      <w:r w:rsidRPr="00EC7A9A">
        <w:rPr>
          <w:sz w:val="24"/>
          <w:szCs w:val="24"/>
        </w:rPr>
        <w:t>Blotter and/or Escrow Log of investor funds.</w:t>
      </w:r>
    </w:p>
    <w:p w14:paraId="7DF24928" w14:textId="77777777" w:rsidR="000C099C" w:rsidRPr="00EC7A9A" w:rsidRDefault="000C099C" w:rsidP="00C1728B">
      <w:pPr>
        <w:numPr>
          <w:ilvl w:val="1"/>
          <w:numId w:val="40"/>
        </w:numPr>
        <w:rPr>
          <w:sz w:val="24"/>
          <w:szCs w:val="24"/>
        </w:rPr>
      </w:pPr>
      <w:r w:rsidRPr="00EC7A9A">
        <w:rPr>
          <w:sz w:val="24"/>
          <w:szCs w:val="24"/>
        </w:rPr>
        <w:t>Memorandum Transmittal Log;</w:t>
      </w:r>
    </w:p>
    <w:p w14:paraId="52ED82FC" w14:textId="77777777" w:rsidR="000C099C" w:rsidRPr="00EC7A9A" w:rsidRDefault="000C099C" w:rsidP="00C1728B">
      <w:pPr>
        <w:numPr>
          <w:ilvl w:val="1"/>
          <w:numId w:val="40"/>
        </w:numPr>
        <w:rPr>
          <w:sz w:val="24"/>
          <w:szCs w:val="24"/>
        </w:rPr>
      </w:pPr>
      <w:r w:rsidRPr="00EC7A9A">
        <w:rPr>
          <w:sz w:val="24"/>
          <w:szCs w:val="24"/>
        </w:rPr>
        <w:t>Miscellaneous:  Regulatory Filings, etc. (Laura handles)</w:t>
      </w:r>
    </w:p>
    <w:p w14:paraId="7CC6D655" w14:textId="77777777" w:rsidR="000C099C" w:rsidRPr="00EC7A9A" w:rsidRDefault="000C099C" w:rsidP="00C1728B">
      <w:pPr>
        <w:numPr>
          <w:ilvl w:val="1"/>
          <w:numId w:val="40"/>
        </w:numPr>
        <w:rPr>
          <w:sz w:val="24"/>
          <w:szCs w:val="24"/>
        </w:rPr>
      </w:pPr>
      <w:r w:rsidRPr="00EC7A9A">
        <w:rPr>
          <w:sz w:val="24"/>
          <w:szCs w:val="24"/>
        </w:rPr>
        <w:t>Investor Section:  maintain alphabetically copies of investor documents.</w:t>
      </w:r>
    </w:p>
    <w:p w14:paraId="73198472" w14:textId="77777777" w:rsidR="000C099C" w:rsidRPr="00EC7A9A" w:rsidRDefault="000C099C">
      <w:pPr>
        <w:ind w:left="1080"/>
        <w:rPr>
          <w:sz w:val="24"/>
          <w:szCs w:val="24"/>
        </w:rPr>
      </w:pPr>
    </w:p>
    <w:p w14:paraId="34FAF623" w14:textId="77777777" w:rsidR="000C099C" w:rsidRPr="00EC7A9A" w:rsidRDefault="000C099C" w:rsidP="00C1728B">
      <w:pPr>
        <w:numPr>
          <w:ilvl w:val="0"/>
          <w:numId w:val="40"/>
        </w:numPr>
        <w:jc w:val="both"/>
        <w:rPr>
          <w:sz w:val="24"/>
          <w:szCs w:val="24"/>
        </w:rPr>
      </w:pPr>
      <w:r w:rsidRPr="00EC7A9A">
        <w:rPr>
          <w:sz w:val="24"/>
          <w:szCs w:val="24"/>
        </w:rPr>
        <w:t xml:space="preserve">Memorandum Transmittal Log:  in excel spreadsheet </w:t>
      </w:r>
      <w:r w:rsidR="006368C7" w:rsidRPr="00EC7A9A">
        <w:rPr>
          <w:sz w:val="24"/>
          <w:szCs w:val="24"/>
        </w:rPr>
        <w:t>- record</w:t>
      </w:r>
      <w:r w:rsidRPr="00EC7A9A">
        <w:rPr>
          <w:sz w:val="24"/>
          <w:szCs w:val="24"/>
        </w:rPr>
        <w:t xml:space="preserve"> memorandum number given to customer, date, customer name, address, and how delivered.</w:t>
      </w:r>
    </w:p>
    <w:p w14:paraId="1AC165C6" w14:textId="77777777" w:rsidR="000C099C" w:rsidRPr="00EC7A9A" w:rsidRDefault="000C099C">
      <w:pPr>
        <w:ind w:left="360"/>
        <w:rPr>
          <w:sz w:val="24"/>
          <w:szCs w:val="24"/>
        </w:rPr>
      </w:pPr>
    </w:p>
    <w:p w14:paraId="086A143B" w14:textId="77777777" w:rsidR="000C099C" w:rsidRPr="00EC7A9A" w:rsidRDefault="000C099C" w:rsidP="00C1728B">
      <w:pPr>
        <w:numPr>
          <w:ilvl w:val="0"/>
          <w:numId w:val="40"/>
        </w:numPr>
        <w:rPr>
          <w:sz w:val="24"/>
          <w:szCs w:val="24"/>
        </w:rPr>
      </w:pPr>
      <w:r w:rsidRPr="00EC7A9A">
        <w:rPr>
          <w:sz w:val="24"/>
          <w:szCs w:val="24"/>
        </w:rPr>
        <w:t xml:space="preserve">Make sure paperwork is complete:  New Account Form, Subscription Document, run OFAC search, copy of </w:t>
      </w:r>
      <w:r w:rsidR="00E5056A" w:rsidRPr="00EC7A9A">
        <w:rPr>
          <w:sz w:val="24"/>
          <w:szCs w:val="24"/>
        </w:rPr>
        <w:t>Driver’s</w:t>
      </w:r>
      <w:r w:rsidRPr="00EC7A9A">
        <w:rPr>
          <w:sz w:val="24"/>
          <w:szCs w:val="24"/>
        </w:rPr>
        <w:t xml:space="preserve"> License, copy of check.</w:t>
      </w:r>
    </w:p>
    <w:p w14:paraId="6896D0DB" w14:textId="77777777" w:rsidR="000C099C" w:rsidRPr="00EC7A9A" w:rsidRDefault="000C099C">
      <w:pPr>
        <w:rPr>
          <w:sz w:val="24"/>
          <w:szCs w:val="24"/>
        </w:rPr>
      </w:pPr>
    </w:p>
    <w:p w14:paraId="7CD74EF3" w14:textId="77777777" w:rsidR="000C099C" w:rsidRPr="00EC7A9A" w:rsidRDefault="000C099C" w:rsidP="00C1728B">
      <w:pPr>
        <w:numPr>
          <w:ilvl w:val="0"/>
          <w:numId w:val="40"/>
        </w:numPr>
        <w:jc w:val="both"/>
        <w:rPr>
          <w:bCs/>
          <w:sz w:val="24"/>
          <w:szCs w:val="24"/>
        </w:rPr>
      </w:pPr>
      <w:r w:rsidRPr="00EC7A9A">
        <w:rPr>
          <w:bCs/>
          <w:sz w:val="24"/>
          <w:szCs w:val="24"/>
        </w:rPr>
        <w:t xml:space="preserve">Subscription Documents reviewed by </w:t>
      </w:r>
      <w:r w:rsidR="006368C7" w:rsidRPr="00EC7A9A">
        <w:rPr>
          <w:bCs/>
          <w:sz w:val="24"/>
          <w:szCs w:val="24"/>
        </w:rPr>
        <w:t>BackOffice</w:t>
      </w:r>
      <w:r w:rsidRPr="00EC7A9A">
        <w:rPr>
          <w:bCs/>
          <w:sz w:val="24"/>
          <w:szCs w:val="24"/>
        </w:rPr>
        <w:t xml:space="preserve"> personnel for completion</w:t>
      </w:r>
      <w:r w:rsidR="00DA6207">
        <w:rPr>
          <w:bCs/>
          <w:sz w:val="24"/>
          <w:szCs w:val="24"/>
        </w:rPr>
        <w:t xml:space="preserve">. May list on the </w:t>
      </w:r>
      <w:r w:rsidR="00DA6207" w:rsidRPr="00093036">
        <w:rPr>
          <w:bCs/>
          <w:sz w:val="24"/>
          <w:szCs w:val="24"/>
        </w:rPr>
        <w:t>front page</w:t>
      </w:r>
      <w:r w:rsidRPr="00EC7A9A">
        <w:rPr>
          <w:bCs/>
          <w:sz w:val="24"/>
          <w:szCs w:val="24"/>
        </w:rPr>
        <w:t>:  Name of Investor, RR, Amount, and Accredited and Non-Accredited for internal purposes only.</w:t>
      </w:r>
    </w:p>
    <w:p w14:paraId="6AFCC7F8" w14:textId="77777777" w:rsidR="000C099C" w:rsidRPr="00EC7A9A" w:rsidRDefault="000C099C">
      <w:pPr>
        <w:rPr>
          <w:sz w:val="24"/>
          <w:szCs w:val="24"/>
        </w:rPr>
      </w:pPr>
    </w:p>
    <w:p w14:paraId="7E90737F" w14:textId="77777777" w:rsidR="000C099C" w:rsidRDefault="000C099C" w:rsidP="00C1728B">
      <w:pPr>
        <w:numPr>
          <w:ilvl w:val="0"/>
          <w:numId w:val="40"/>
        </w:numPr>
        <w:jc w:val="both"/>
      </w:pPr>
      <w:r w:rsidRPr="00EC7A9A">
        <w:rPr>
          <w:sz w:val="24"/>
          <w:szCs w:val="24"/>
        </w:rPr>
        <w:t xml:space="preserve">Deposit any Check and original signature page </w:t>
      </w:r>
      <w:r w:rsidR="006368C7" w:rsidRPr="00EC7A9A">
        <w:rPr>
          <w:sz w:val="24"/>
          <w:szCs w:val="24"/>
        </w:rPr>
        <w:t>at applicable</w:t>
      </w:r>
      <w:r w:rsidRPr="00EC7A9A">
        <w:rPr>
          <w:sz w:val="24"/>
          <w:szCs w:val="24"/>
        </w:rPr>
        <w:t xml:space="preserve"> Escrow bank (</w:t>
      </w:r>
      <w:r w:rsidR="004610F5">
        <w:rPr>
          <w:sz w:val="24"/>
          <w:szCs w:val="24"/>
        </w:rPr>
        <w:t xml:space="preserve">for </w:t>
      </w:r>
      <w:r w:rsidRPr="00EC7A9A">
        <w:rPr>
          <w:sz w:val="24"/>
          <w:szCs w:val="24"/>
        </w:rPr>
        <w:t>Amegy: MUST BE DELIVERED BY INTEROFFICE MAIL TO THE 1960 BRANCH, ATTN: TRUST DEPT/RAY RHOADES).  OR, for non-escrow offerings, forward check to Issuer (WFSI) by noon of the day following</w:t>
      </w:r>
      <w:r>
        <w:t xml:space="preserve"> </w:t>
      </w:r>
      <w:r w:rsidRPr="00216F83">
        <w:rPr>
          <w:color w:val="000000"/>
          <w:sz w:val="24"/>
          <w:szCs w:val="24"/>
        </w:rPr>
        <w:t>receipt.</w:t>
      </w:r>
    </w:p>
    <w:p w14:paraId="06ABB977" w14:textId="77777777" w:rsidR="000C099C" w:rsidRDefault="000C099C" w:rsidP="006642C0"/>
    <w:p w14:paraId="04F6B41F" w14:textId="77777777" w:rsidR="000C099C" w:rsidRDefault="000C099C" w:rsidP="006642C0"/>
    <w:p w14:paraId="0768AAFC" w14:textId="77777777" w:rsidR="000C099C" w:rsidRDefault="000A28B6" w:rsidP="00936FEE">
      <w:pPr>
        <w:pStyle w:val="Heading2"/>
      </w:pPr>
      <w:bookmarkStart w:id="259" w:name="_Toc149007040"/>
      <w:r>
        <w:lastRenderedPageBreak/>
        <w:t>1</w:t>
      </w:r>
      <w:r w:rsidR="00E5056A">
        <w:t>4</w:t>
      </w:r>
      <w:r>
        <w:t>.</w:t>
      </w:r>
      <w:r w:rsidR="00FA64F9">
        <w:t>2</w:t>
      </w:r>
      <w:r w:rsidR="00F57DAC">
        <w:t>1</w:t>
      </w:r>
      <w:r>
        <w:t xml:space="preserve"> </w:t>
      </w:r>
      <w:r w:rsidR="000C099C">
        <w:t>Limitations on Resale</w:t>
      </w:r>
      <w:bookmarkEnd w:id="259"/>
    </w:p>
    <w:p w14:paraId="55742EFB" w14:textId="77777777" w:rsidR="000C099C" w:rsidRDefault="000C099C">
      <w:pPr>
        <w:jc w:val="both"/>
        <w:rPr>
          <w:sz w:val="24"/>
        </w:rPr>
      </w:pPr>
      <w:r>
        <w:rPr>
          <w:sz w:val="24"/>
        </w:rPr>
        <w:t>Securities sold pursuant to Reg D cannot be resold without registration or an exemption from registration.  The Company will ensure that it or the issuer will provide written notice to each purchaser prior to the consummation of the transaction that the securities have not been registered under the Securities Act and, therefore, cannot be resold unless they are registered or unless an exemption from registration is available</w:t>
      </w:r>
    </w:p>
    <w:p w14:paraId="653B3E2E" w14:textId="77777777" w:rsidR="000C099C" w:rsidRDefault="000C099C" w:rsidP="006642C0"/>
    <w:p w14:paraId="2CCD533D" w14:textId="77777777" w:rsidR="006642C0" w:rsidRDefault="006642C0" w:rsidP="006642C0">
      <w:pPr>
        <w:rPr>
          <w:b/>
          <w:bCs/>
          <w:iCs/>
        </w:rPr>
      </w:pPr>
      <w:bookmarkStart w:id="260" w:name="_Toc149007043"/>
    </w:p>
    <w:p w14:paraId="5BFF0D8C" w14:textId="77777777" w:rsidR="000C099C" w:rsidRDefault="006642C0" w:rsidP="00936FEE">
      <w:pPr>
        <w:pStyle w:val="Heading2"/>
        <w:rPr>
          <w:iCs/>
        </w:rPr>
      </w:pPr>
      <w:r>
        <w:rPr>
          <w:iCs/>
        </w:rPr>
        <w:t>1</w:t>
      </w:r>
      <w:r w:rsidR="00E5056A">
        <w:rPr>
          <w:iCs/>
        </w:rPr>
        <w:t>4</w:t>
      </w:r>
      <w:r w:rsidRPr="006368C7">
        <w:t>.</w:t>
      </w:r>
      <w:r w:rsidR="00066E43" w:rsidRPr="006368C7">
        <w:t>2</w:t>
      </w:r>
      <w:r w:rsidR="00F57DAC" w:rsidRPr="006368C7">
        <w:t>2</w:t>
      </w:r>
      <w:r w:rsidRPr="006368C7">
        <w:t xml:space="preserve"> </w:t>
      </w:r>
      <w:r w:rsidR="000C099C" w:rsidRPr="006368C7">
        <w:t>Approval of Marketing Materials</w:t>
      </w:r>
      <w:bookmarkEnd w:id="260"/>
    </w:p>
    <w:p w14:paraId="62B78B26" w14:textId="24DB06E1" w:rsidR="000C099C" w:rsidRDefault="000C099C">
      <w:pPr>
        <w:jc w:val="both"/>
        <w:rPr>
          <w:sz w:val="24"/>
        </w:rPr>
      </w:pPr>
      <w:r>
        <w:rPr>
          <w:sz w:val="24"/>
        </w:rPr>
        <w:t xml:space="preserve">All </w:t>
      </w:r>
      <w:r w:rsidR="00BF2680" w:rsidRPr="00093036">
        <w:rPr>
          <w:sz w:val="24"/>
        </w:rPr>
        <w:t>retail communication</w:t>
      </w:r>
      <w:r>
        <w:rPr>
          <w:sz w:val="24"/>
        </w:rPr>
        <w:t>, including power point presentations and other marketing materials to be used in connection with any private placement offering in which the Company participates, shall be fair, accurate and balanced; shall be approved prior to use by the Chief Compliance Officer; and shall be maintained for a minimum of three years. Such approval of sales literature, including power point presentations and other marketing materials, shall be evidenced by the Chief Compliance Officer or his or her designee initialing and dating a copy of all approved marketing materials.</w:t>
      </w:r>
    </w:p>
    <w:p w14:paraId="01A3B4CB" w14:textId="005B7511" w:rsidR="00EC12D5" w:rsidRDefault="00EC12D5">
      <w:pPr>
        <w:jc w:val="both"/>
        <w:rPr>
          <w:sz w:val="24"/>
        </w:rPr>
      </w:pPr>
    </w:p>
    <w:p w14:paraId="4FA6ABD2" w14:textId="31BD0F4B" w:rsidR="00EC12D5" w:rsidRDefault="00EC12D5" w:rsidP="00EC12D5">
      <w:pPr>
        <w:pStyle w:val="Heading3"/>
      </w:pPr>
      <w:r>
        <w:t>14.22.1 Retail Communications</w:t>
      </w:r>
    </w:p>
    <w:p w14:paraId="03DA1F12" w14:textId="77777777" w:rsidR="00EC12D5" w:rsidRPr="00B33A95" w:rsidRDefault="00EC12D5" w:rsidP="00EC12D5">
      <w:pPr>
        <w:spacing w:before="15" w:after="100" w:afterAutospacing="1" w:line="240" w:lineRule="atLeast"/>
        <w:ind w:firstLine="270"/>
        <w:rPr>
          <w:spacing w:val="8"/>
          <w:sz w:val="24"/>
          <w:szCs w:val="24"/>
        </w:rPr>
      </w:pPr>
      <w:r w:rsidRPr="00B33A95">
        <w:rPr>
          <w:spacing w:val="8"/>
          <w:sz w:val="24"/>
          <w:szCs w:val="24"/>
        </w:rPr>
        <w:t>FINRA Regulatory Notice 20-21 should be referenced for more detail and guidance.</w:t>
      </w:r>
    </w:p>
    <w:p w14:paraId="61E6AF3B" w14:textId="77777777" w:rsidR="00EC12D5" w:rsidRPr="00B33A95" w:rsidRDefault="00EC12D5" w:rsidP="0005402C">
      <w:pPr>
        <w:numPr>
          <w:ilvl w:val="0"/>
          <w:numId w:val="372"/>
        </w:numPr>
        <w:tabs>
          <w:tab w:val="clear" w:pos="720"/>
          <w:tab w:val="num" w:pos="900"/>
        </w:tabs>
        <w:spacing w:before="100" w:beforeAutospacing="1" w:after="100" w:afterAutospacing="1"/>
        <w:ind w:left="900" w:hanging="270"/>
        <w:rPr>
          <w:spacing w:val="8"/>
          <w:sz w:val="24"/>
          <w:szCs w:val="24"/>
        </w:rPr>
      </w:pPr>
      <w:r w:rsidRPr="00B33A95">
        <w:rPr>
          <w:spacing w:val="8"/>
          <w:sz w:val="24"/>
          <w:szCs w:val="24"/>
        </w:rPr>
        <w:t>Under Rule 2210(d) all communications must be fair, balanced, and not misleading;</w:t>
      </w:r>
    </w:p>
    <w:p w14:paraId="69DD6564" w14:textId="77777777" w:rsidR="00EC12D5" w:rsidRPr="00B33A95" w:rsidRDefault="00EC12D5" w:rsidP="0005402C">
      <w:pPr>
        <w:numPr>
          <w:ilvl w:val="0"/>
          <w:numId w:val="372"/>
        </w:numPr>
        <w:tabs>
          <w:tab w:val="clear" w:pos="720"/>
          <w:tab w:val="num" w:pos="900"/>
        </w:tabs>
        <w:spacing w:before="100" w:beforeAutospacing="1" w:after="100" w:afterAutospacing="1"/>
        <w:ind w:left="900" w:hanging="270"/>
        <w:rPr>
          <w:spacing w:val="8"/>
          <w:sz w:val="24"/>
          <w:szCs w:val="24"/>
        </w:rPr>
      </w:pPr>
      <w:r w:rsidRPr="00B33A95">
        <w:rPr>
          <w:spacing w:val="8"/>
          <w:sz w:val="24"/>
          <w:szCs w:val="24"/>
        </w:rPr>
        <w:t>Any promotion of potential awards must be balanced by disclosure of the associated risks;</w:t>
      </w:r>
    </w:p>
    <w:p w14:paraId="6D8789F0" w14:textId="77777777" w:rsidR="00EC12D5" w:rsidRPr="00B33A95" w:rsidRDefault="00EC12D5" w:rsidP="0005402C">
      <w:pPr>
        <w:numPr>
          <w:ilvl w:val="0"/>
          <w:numId w:val="372"/>
        </w:numPr>
        <w:tabs>
          <w:tab w:val="clear" w:pos="720"/>
          <w:tab w:val="num" w:pos="900"/>
        </w:tabs>
        <w:spacing w:before="100" w:beforeAutospacing="1" w:after="100" w:afterAutospacing="1"/>
        <w:ind w:left="900" w:hanging="270"/>
        <w:rPr>
          <w:spacing w:val="8"/>
          <w:sz w:val="24"/>
          <w:szCs w:val="24"/>
        </w:rPr>
      </w:pPr>
      <w:r w:rsidRPr="00B33A95">
        <w:rPr>
          <w:spacing w:val="8"/>
          <w:sz w:val="24"/>
          <w:szCs w:val="24"/>
        </w:rPr>
        <w:t>Communications must be accurate and provide a sound basis to evaluate the facts with respect to the products or services discussed; and</w:t>
      </w:r>
    </w:p>
    <w:p w14:paraId="03C3A983" w14:textId="77777777" w:rsidR="00EC12D5" w:rsidRPr="00B33A95" w:rsidRDefault="00EC12D5" w:rsidP="0005402C">
      <w:pPr>
        <w:numPr>
          <w:ilvl w:val="0"/>
          <w:numId w:val="372"/>
        </w:numPr>
        <w:tabs>
          <w:tab w:val="clear" w:pos="720"/>
          <w:tab w:val="num" w:pos="900"/>
        </w:tabs>
        <w:spacing w:before="100" w:beforeAutospacing="1" w:after="100" w:afterAutospacing="1"/>
        <w:ind w:left="900" w:hanging="270"/>
        <w:rPr>
          <w:spacing w:val="8"/>
          <w:sz w:val="24"/>
          <w:szCs w:val="24"/>
        </w:rPr>
      </w:pPr>
      <w:r w:rsidRPr="00B33A95">
        <w:rPr>
          <w:spacing w:val="8"/>
          <w:sz w:val="24"/>
          <w:szCs w:val="24"/>
        </w:rPr>
        <w:t>Retail communications must be approved by a registered principal.</w:t>
      </w:r>
    </w:p>
    <w:p w14:paraId="044ABAAB" w14:textId="77777777" w:rsidR="00EC12D5" w:rsidRPr="00B33A95" w:rsidRDefault="00EC12D5" w:rsidP="00EC12D5">
      <w:pPr>
        <w:spacing w:before="15" w:after="100" w:afterAutospacing="1" w:line="240" w:lineRule="atLeast"/>
        <w:ind w:left="360"/>
        <w:rPr>
          <w:spacing w:val="8"/>
          <w:sz w:val="24"/>
          <w:szCs w:val="24"/>
        </w:rPr>
      </w:pPr>
      <w:r w:rsidRPr="00B33A95">
        <w:rPr>
          <w:spacing w:val="8"/>
          <w:sz w:val="24"/>
          <w:szCs w:val="24"/>
        </w:rPr>
        <w:t>This also applies to communications prepared by third parties and used by Company. If a retail communication is included in the same electronic file with an issuer-prepared private placement memorandum and distributed by Company, it is considered a Firm communication in its entirety subject to FINRA Rule 2210. Retail communications must balance any discussions of benefits with a discussion of related risks and must be in the same retail communication (</w:t>
      </w:r>
      <w:r w:rsidRPr="00B33A95">
        <w:rPr>
          <w:i/>
          <w:iCs/>
          <w:spacing w:val="8"/>
          <w:sz w:val="24"/>
          <w:szCs w:val="24"/>
        </w:rPr>
        <w:t>i.e.,</w:t>
      </w:r>
      <w:r w:rsidRPr="00B33A95">
        <w:rPr>
          <w:spacing w:val="8"/>
          <w:sz w:val="24"/>
          <w:szCs w:val="24"/>
        </w:rPr>
        <w:t> cannot be in a separate document or different section of the website).</w:t>
      </w:r>
    </w:p>
    <w:p w14:paraId="41E7EED0" w14:textId="77777777" w:rsidR="00EC12D5" w:rsidRPr="00B33A95" w:rsidRDefault="00EC12D5" w:rsidP="00EC12D5">
      <w:pPr>
        <w:spacing w:before="15" w:after="100" w:afterAutospacing="1" w:line="240" w:lineRule="atLeast"/>
        <w:ind w:left="360"/>
        <w:rPr>
          <w:spacing w:val="8"/>
          <w:sz w:val="24"/>
          <w:szCs w:val="24"/>
        </w:rPr>
      </w:pPr>
      <w:r w:rsidRPr="00B33A95">
        <w:rPr>
          <w:spacing w:val="8"/>
          <w:sz w:val="24"/>
          <w:szCs w:val="24"/>
        </w:rPr>
        <w:t>Retail communications may not contain any prediction or projection of performance, subject to certain exceptions, as well as any exaggerated or unwarranted claim, opinion, or forecast. Reasonable forecasts of issuer operating metrics, along with a sound basis for evaluating the facts and related risks, would be permitted. FINRA Regulatory Notice 20-21 provides more detailed guidance when including forecasts.</w:t>
      </w:r>
    </w:p>
    <w:p w14:paraId="79C18058" w14:textId="77777777" w:rsidR="00EC12D5" w:rsidRPr="00B33A95" w:rsidRDefault="00EC12D5" w:rsidP="00EC12D5">
      <w:pPr>
        <w:spacing w:before="15" w:after="100" w:afterAutospacing="1" w:line="240" w:lineRule="atLeast"/>
        <w:ind w:left="360"/>
        <w:rPr>
          <w:spacing w:val="8"/>
          <w:sz w:val="24"/>
          <w:szCs w:val="24"/>
        </w:rPr>
      </w:pPr>
      <w:r w:rsidRPr="00B33A95">
        <w:rPr>
          <w:spacing w:val="8"/>
          <w:sz w:val="24"/>
          <w:szCs w:val="24"/>
        </w:rPr>
        <w:t>Regulatory Notice 13-18 provides guidance for public and non-public REITs including principles relating to distribution rates which refers to issues where a portion of distributions are funded through return of principal or loan proceeds. Refer to the Notice for details of necessary disclosures.</w:t>
      </w:r>
    </w:p>
    <w:p w14:paraId="0F65A78F" w14:textId="77777777" w:rsidR="00EC12D5" w:rsidRPr="00B33A95" w:rsidRDefault="00EC12D5" w:rsidP="00EC12D5">
      <w:pPr>
        <w:spacing w:before="15" w:after="100" w:afterAutospacing="1" w:line="240" w:lineRule="atLeast"/>
        <w:ind w:left="360"/>
        <w:rPr>
          <w:spacing w:val="8"/>
          <w:sz w:val="24"/>
          <w:szCs w:val="24"/>
        </w:rPr>
      </w:pPr>
      <w:r w:rsidRPr="00B33A95">
        <w:rPr>
          <w:spacing w:val="8"/>
          <w:sz w:val="24"/>
          <w:szCs w:val="24"/>
        </w:rPr>
        <w:t xml:space="preserve">Internal Rate of Return (IRR) is a measure of performance commonly used in connection with marketing private placements of real estate, private equity and </w:t>
      </w:r>
      <w:r w:rsidRPr="00B33A95">
        <w:rPr>
          <w:spacing w:val="8"/>
          <w:sz w:val="24"/>
          <w:szCs w:val="24"/>
        </w:rPr>
        <w:lastRenderedPageBreak/>
        <w:t>venture capital. A drawback of IRR calculations is an inherent assumption that investors will be able to reinvest distributions at the IRR rate, which is unlikely to occur. In addition, calculations may include holdings that have not yet been sold (or liquidated or matured) resulting in subjective factors and assumptions. IRR may not be used in retail communications regarding privately placed new investment programs with no operations or that operate as a blind pool. IRR may be used for completed investment programs (holdings matured or all sold).</w:t>
      </w:r>
    </w:p>
    <w:p w14:paraId="6DC2E522" w14:textId="77777777" w:rsidR="006642C0" w:rsidRDefault="006642C0" w:rsidP="006642C0">
      <w:pPr>
        <w:rPr>
          <w:b/>
          <w:bCs/>
          <w:iCs/>
          <w:szCs w:val="24"/>
        </w:rPr>
      </w:pPr>
      <w:bookmarkStart w:id="261" w:name="_Toc149007044"/>
    </w:p>
    <w:p w14:paraId="68DD3133" w14:textId="77777777" w:rsidR="000C099C" w:rsidRDefault="006642C0" w:rsidP="00936FEE">
      <w:pPr>
        <w:pStyle w:val="Heading2"/>
      </w:pPr>
      <w:r>
        <w:t>1</w:t>
      </w:r>
      <w:r w:rsidR="00E5056A">
        <w:t>4</w:t>
      </w:r>
      <w:r>
        <w:t>.2</w:t>
      </w:r>
      <w:r w:rsidR="00F57DAC">
        <w:t>3</w:t>
      </w:r>
      <w:r>
        <w:t xml:space="preserve"> </w:t>
      </w:r>
      <w:r w:rsidR="000C099C">
        <w:t xml:space="preserve">Prohibition </w:t>
      </w:r>
      <w:r w:rsidR="002C1391">
        <w:t>against</w:t>
      </w:r>
      <w:r w:rsidR="000C099C">
        <w:t xml:space="preserve"> Payment of Referral Fees to Non-Members</w:t>
      </w:r>
      <w:bookmarkEnd w:id="261"/>
    </w:p>
    <w:p w14:paraId="08B56871" w14:textId="77777777" w:rsidR="000C099C" w:rsidRPr="0035367E" w:rsidRDefault="000C099C">
      <w:pPr>
        <w:keepNext/>
        <w:keepLines/>
        <w:jc w:val="both"/>
        <w:rPr>
          <w:sz w:val="24"/>
        </w:rPr>
      </w:pPr>
      <w:r>
        <w:rPr>
          <w:sz w:val="24"/>
        </w:rPr>
        <w:t xml:space="preserve">The Company shall not pay commissions, referral fees or other similar </w:t>
      </w:r>
      <w:r w:rsidR="00FA5443">
        <w:rPr>
          <w:sz w:val="24"/>
        </w:rPr>
        <w:t>transaction-based</w:t>
      </w:r>
      <w:r>
        <w:rPr>
          <w:sz w:val="24"/>
        </w:rPr>
        <w:t xml:space="preserve"> compensation to any entities involved in the offer, sale or distribution of private placement securities, which are not members of </w:t>
      </w:r>
      <w:r w:rsidRPr="0035367E">
        <w:rPr>
          <w:sz w:val="24"/>
        </w:rPr>
        <w:t>FINRA.</w:t>
      </w:r>
    </w:p>
    <w:p w14:paraId="327474A5" w14:textId="77777777" w:rsidR="000C099C" w:rsidRDefault="000C099C" w:rsidP="00B32866"/>
    <w:p w14:paraId="38AB9D42" w14:textId="77777777" w:rsidR="006642C0" w:rsidRDefault="006642C0" w:rsidP="00B32866">
      <w:pPr>
        <w:rPr>
          <w:b/>
          <w:bCs/>
          <w:iCs/>
          <w:szCs w:val="24"/>
        </w:rPr>
      </w:pPr>
      <w:bookmarkStart w:id="262" w:name="_Toc149007045"/>
    </w:p>
    <w:p w14:paraId="2ABCB31C" w14:textId="77777777" w:rsidR="000C099C" w:rsidRDefault="006642C0" w:rsidP="00936FEE">
      <w:pPr>
        <w:pStyle w:val="Heading2"/>
      </w:pPr>
      <w:r>
        <w:t>1</w:t>
      </w:r>
      <w:r w:rsidR="00E5056A">
        <w:t>4</w:t>
      </w:r>
      <w:r>
        <w:t>.2</w:t>
      </w:r>
      <w:r w:rsidR="00F57DAC">
        <w:t>4</w:t>
      </w:r>
      <w:r>
        <w:t xml:space="preserve"> </w:t>
      </w:r>
      <w:r w:rsidR="000C099C">
        <w:t>Disclosure of Control SEC Rule 15c1-5</w:t>
      </w:r>
      <w:bookmarkEnd w:id="262"/>
    </w:p>
    <w:p w14:paraId="2430139D" w14:textId="77777777" w:rsidR="000C099C" w:rsidRDefault="000C099C">
      <w:pPr>
        <w:jc w:val="both"/>
        <w:rPr>
          <w:sz w:val="24"/>
        </w:rPr>
      </w:pPr>
      <w:r>
        <w:rPr>
          <w:sz w:val="24"/>
        </w:rPr>
        <w:t>If the Company is involved in a distribution where there is an affiliation with the issuer, it will provide written disclosure of the affiliation prior to the completion of the transaction or provided in the offering memorandum.  A copy of the disclosure (if not included in the offering memorandum) provided to the customer will be maintained in the customer file.</w:t>
      </w:r>
    </w:p>
    <w:p w14:paraId="636D2ABA" w14:textId="77777777" w:rsidR="000C099C" w:rsidRDefault="000C099C" w:rsidP="00B32866"/>
    <w:p w14:paraId="6E0D005A" w14:textId="77777777" w:rsidR="006642C0" w:rsidRDefault="006642C0" w:rsidP="00B32866">
      <w:pPr>
        <w:rPr>
          <w:b/>
          <w:bCs/>
          <w:iCs/>
          <w:szCs w:val="24"/>
        </w:rPr>
      </w:pPr>
      <w:bookmarkStart w:id="263" w:name="_Toc149007046"/>
    </w:p>
    <w:p w14:paraId="03D37449" w14:textId="77777777" w:rsidR="000C099C" w:rsidRDefault="006642C0" w:rsidP="00936FEE">
      <w:pPr>
        <w:pStyle w:val="Heading2"/>
      </w:pPr>
      <w:r>
        <w:t>1</w:t>
      </w:r>
      <w:r w:rsidR="00E5056A">
        <w:t>4</w:t>
      </w:r>
      <w:r>
        <w:t>.2</w:t>
      </w:r>
      <w:r w:rsidR="00F57DAC">
        <w:t>5</w:t>
      </w:r>
      <w:r>
        <w:t xml:space="preserve"> </w:t>
      </w:r>
      <w:r w:rsidR="000C099C">
        <w:t>Disclosure of Interest in Distribution SEC Rule 15c1-6</w:t>
      </w:r>
      <w:bookmarkEnd w:id="263"/>
    </w:p>
    <w:p w14:paraId="6220C419" w14:textId="77777777" w:rsidR="000C099C" w:rsidRDefault="000C099C">
      <w:pPr>
        <w:jc w:val="both"/>
        <w:rPr>
          <w:sz w:val="24"/>
        </w:rPr>
      </w:pPr>
      <w:r>
        <w:rPr>
          <w:sz w:val="24"/>
        </w:rPr>
        <w:t xml:space="preserve">If the Company is involved in a distribution and it receives a fee in any capacity, it will provide written disclosure to a customer, unless it is provided in the offering memorandum, at or before the completion of a transaction.  A copy of the disclosure provided to the customer will be maintained in the customer file (if not included in the offering memorandum). </w:t>
      </w:r>
    </w:p>
    <w:p w14:paraId="1E0FDA09" w14:textId="77777777" w:rsidR="000C099C" w:rsidRDefault="000C099C" w:rsidP="00B32866"/>
    <w:p w14:paraId="612C54C6" w14:textId="77777777" w:rsidR="006642C0" w:rsidRDefault="006642C0">
      <w:pPr>
        <w:jc w:val="both"/>
        <w:rPr>
          <w:sz w:val="24"/>
        </w:rPr>
      </w:pPr>
    </w:p>
    <w:p w14:paraId="7CBD1109" w14:textId="77777777" w:rsidR="000C099C" w:rsidRDefault="006642C0" w:rsidP="00936FEE">
      <w:pPr>
        <w:pStyle w:val="Heading2"/>
      </w:pPr>
      <w:bookmarkStart w:id="264" w:name="PPDueDiligence"/>
      <w:bookmarkEnd w:id="264"/>
      <w:r>
        <w:t>1</w:t>
      </w:r>
      <w:r w:rsidR="00E5056A">
        <w:t>4</w:t>
      </w:r>
      <w:r>
        <w:t>.2</w:t>
      </w:r>
      <w:r w:rsidR="00F57DAC">
        <w:t>6</w:t>
      </w:r>
      <w:r>
        <w:t xml:space="preserve"> </w:t>
      </w:r>
      <w:r w:rsidR="000C099C">
        <w:t>Due Diligence Activities</w:t>
      </w:r>
      <w:r w:rsidR="003B62A9">
        <w:t xml:space="preserve"> </w:t>
      </w:r>
    </w:p>
    <w:p w14:paraId="7C436FB1" w14:textId="77777777" w:rsidR="00BB7D87" w:rsidRDefault="000C099C">
      <w:pPr>
        <w:jc w:val="both"/>
        <w:rPr>
          <w:sz w:val="24"/>
        </w:rPr>
      </w:pPr>
      <w:r>
        <w:rPr>
          <w:sz w:val="24"/>
        </w:rPr>
        <w:t xml:space="preserve">In the event Morris Monroe or his designee gives his consent to the offer or sale of a new product or private placement, the following rules shall apply: Morris Monroe or his designee must conduct or cause to be conducted, prior to any offer or sale of a new product or private placement, a due diligence investigation of the issuer and securities to be offered.  Depending on the nature of the issuer, the Company may retain the services of qualified experts (e.g. engineers, architects, lawyers and accountants) to assist it in conducting the due diligence inquiry. </w:t>
      </w:r>
    </w:p>
    <w:p w14:paraId="4220C905" w14:textId="77777777" w:rsidR="00BB7D87" w:rsidRDefault="00BB7D87">
      <w:pPr>
        <w:jc w:val="both"/>
        <w:rPr>
          <w:sz w:val="24"/>
        </w:rPr>
      </w:pPr>
    </w:p>
    <w:p w14:paraId="7ECC980F" w14:textId="77777777" w:rsidR="00BB7D87" w:rsidRPr="00E503D6" w:rsidRDefault="00BB7D87">
      <w:pPr>
        <w:jc w:val="both"/>
        <w:rPr>
          <w:sz w:val="24"/>
        </w:rPr>
      </w:pPr>
      <w:r w:rsidRPr="00E503D6">
        <w:rPr>
          <w:sz w:val="24"/>
        </w:rPr>
        <w:t>Due diligence may include the following reviews, as appropriate for the particular potential offering:</w:t>
      </w:r>
    </w:p>
    <w:p w14:paraId="09F27016" w14:textId="77777777" w:rsidR="00BB7D87" w:rsidRPr="00E503D6" w:rsidRDefault="00BB7D87">
      <w:pPr>
        <w:jc w:val="both"/>
        <w:rPr>
          <w:sz w:val="24"/>
        </w:rPr>
      </w:pPr>
    </w:p>
    <w:p w14:paraId="34C2C08D" w14:textId="77777777" w:rsidR="00BB7D87" w:rsidRPr="00F55851" w:rsidRDefault="00BB7D87" w:rsidP="003E7B18">
      <w:pPr>
        <w:numPr>
          <w:ilvl w:val="0"/>
          <w:numId w:val="136"/>
        </w:numPr>
        <w:jc w:val="both"/>
        <w:rPr>
          <w:sz w:val="24"/>
          <w:szCs w:val="24"/>
        </w:rPr>
      </w:pPr>
      <w:r w:rsidRPr="00F55851">
        <w:rPr>
          <w:sz w:val="24"/>
          <w:szCs w:val="24"/>
        </w:rPr>
        <w:t>Financial reports</w:t>
      </w:r>
    </w:p>
    <w:p w14:paraId="2E61C2C8" w14:textId="77777777" w:rsidR="00F55851" w:rsidRPr="00093036" w:rsidRDefault="00F55851" w:rsidP="003E7B18">
      <w:pPr>
        <w:numPr>
          <w:ilvl w:val="0"/>
          <w:numId w:val="136"/>
        </w:numPr>
        <w:shd w:val="clear" w:color="auto" w:fill="FFFFFF"/>
        <w:rPr>
          <w:spacing w:val="8"/>
          <w:sz w:val="24"/>
          <w:szCs w:val="24"/>
        </w:rPr>
      </w:pPr>
      <w:r w:rsidRPr="00093036">
        <w:rPr>
          <w:spacing w:val="8"/>
          <w:sz w:val="24"/>
          <w:szCs w:val="24"/>
        </w:rPr>
        <w:t>Written company assurances as to the accuracy of records and financial statements</w:t>
      </w:r>
    </w:p>
    <w:p w14:paraId="777A3929" w14:textId="77777777" w:rsidR="00F55851" w:rsidRPr="00093036" w:rsidRDefault="00F55851" w:rsidP="003E7B18">
      <w:pPr>
        <w:numPr>
          <w:ilvl w:val="0"/>
          <w:numId w:val="136"/>
        </w:numPr>
        <w:shd w:val="clear" w:color="auto" w:fill="FFFFFF"/>
        <w:rPr>
          <w:spacing w:val="8"/>
          <w:sz w:val="24"/>
          <w:szCs w:val="24"/>
        </w:rPr>
      </w:pPr>
      <w:r w:rsidRPr="00093036">
        <w:rPr>
          <w:spacing w:val="8"/>
          <w:sz w:val="24"/>
          <w:szCs w:val="24"/>
        </w:rPr>
        <w:t>Determination of the issuer's creditworthiness</w:t>
      </w:r>
    </w:p>
    <w:p w14:paraId="26EFD72D" w14:textId="77777777" w:rsidR="00BB7D87" w:rsidRPr="00093036" w:rsidRDefault="00BB7D87" w:rsidP="003E7B18">
      <w:pPr>
        <w:numPr>
          <w:ilvl w:val="0"/>
          <w:numId w:val="136"/>
        </w:numPr>
        <w:jc w:val="both"/>
        <w:rPr>
          <w:sz w:val="24"/>
          <w:szCs w:val="24"/>
        </w:rPr>
      </w:pPr>
      <w:r w:rsidRPr="00093036">
        <w:rPr>
          <w:sz w:val="24"/>
          <w:szCs w:val="24"/>
        </w:rPr>
        <w:t>Evaluation of issuer’s business model</w:t>
      </w:r>
    </w:p>
    <w:p w14:paraId="5A1EA7CC" w14:textId="77777777" w:rsidR="00BB7D87" w:rsidRPr="00093036" w:rsidRDefault="00BB7D87" w:rsidP="003E7B18">
      <w:pPr>
        <w:numPr>
          <w:ilvl w:val="0"/>
          <w:numId w:val="136"/>
        </w:numPr>
        <w:jc w:val="both"/>
        <w:rPr>
          <w:sz w:val="24"/>
          <w:szCs w:val="24"/>
        </w:rPr>
      </w:pPr>
      <w:r w:rsidRPr="00093036">
        <w:rPr>
          <w:sz w:val="24"/>
          <w:szCs w:val="24"/>
        </w:rPr>
        <w:t>Information from financial and other publishers, news articles, and industry publications</w:t>
      </w:r>
    </w:p>
    <w:p w14:paraId="65181DC4" w14:textId="77777777" w:rsidR="00BB7D87" w:rsidRPr="00093036" w:rsidRDefault="00BB7D87" w:rsidP="003E7B18">
      <w:pPr>
        <w:numPr>
          <w:ilvl w:val="0"/>
          <w:numId w:val="136"/>
        </w:numPr>
        <w:jc w:val="both"/>
        <w:rPr>
          <w:sz w:val="24"/>
          <w:szCs w:val="24"/>
        </w:rPr>
      </w:pPr>
      <w:r w:rsidRPr="00093036">
        <w:rPr>
          <w:sz w:val="24"/>
          <w:szCs w:val="24"/>
        </w:rPr>
        <w:lastRenderedPageBreak/>
        <w:t>Issuer’s internal documents such as operating plans, product literature, corporate records, financial statements, contracts and lists of distributors and customers</w:t>
      </w:r>
    </w:p>
    <w:p w14:paraId="693ACE2E" w14:textId="77777777" w:rsidR="00BB7D87" w:rsidRPr="00093036" w:rsidRDefault="00BB7D87" w:rsidP="003E7B18">
      <w:pPr>
        <w:numPr>
          <w:ilvl w:val="0"/>
          <w:numId w:val="136"/>
        </w:numPr>
        <w:jc w:val="both"/>
        <w:rPr>
          <w:sz w:val="24"/>
          <w:szCs w:val="24"/>
        </w:rPr>
      </w:pPr>
      <w:r w:rsidRPr="00093036">
        <w:rPr>
          <w:sz w:val="24"/>
          <w:szCs w:val="24"/>
        </w:rPr>
        <w:t>Physical inspection of the company’s facilities</w:t>
      </w:r>
    </w:p>
    <w:p w14:paraId="10049CB8" w14:textId="77777777" w:rsidR="00603EFD" w:rsidRPr="00093036" w:rsidRDefault="00603EFD" w:rsidP="003E7B18">
      <w:pPr>
        <w:numPr>
          <w:ilvl w:val="0"/>
          <w:numId w:val="136"/>
        </w:numPr>
        <w:jc w:val="both"/>
        <w:rPr>
          <w:sz w:val="24"/>
          <w:szCs w:val="24"/>
        </w:rPr>
      </w:pPr>
      <w:r w:rsidRPr="00093036">
        <w:rPr>
          <w:sz w:val="24"/>
          <w:szCs w:val="24"/>
        </w:rPr>
        <w:t>Any past or pending litigation of the issuer</w:t>
      </w:r>
    </w:p>
    <w:p w14:paraId="1BFD08CD" w14:textId="77777777" w:rsidR="00F55851" w:rsidRPr="00093036" w:rsidRDefault="00F55851" w:rsidP="003E7B18">
      <w:pPr>
        <w:numPr>
          <w:ilvl w:val="0"/>
          <w:numId w:val="136"/>
        </w:numPr>
        <w:shd w:val="clear" w:color="auto" w:fill="FFFFFF"/>
        <w:rPr>
          <w:spacing w:val="8"/>
          <w:sz w:val="24"/>
          <w:szCs w:val="24"/>
        </w:rPr>
      </w:pPr>
      <w:r w:rsidRPr="00093036">
        <w:rPr>
          <w:spacing w:val="8"/>
          <w:sz w:val="24"/>
          <w:szCs w:val="24"/>
        </w:rPr>
        <w:t xml:space="preserve">Determination of the plausibility of expected rates of return as compared to industry benchmarks, particularly considering complex fee structures associated with many of these types of investments </w:t>
      </w:r>
    </w:p>
    <w:p w14:paraId="55475EAA" w14:textId="77777777" w:rsidR="00F55851" w:rsidRPr="00093036" w:rsidRDefault="00F55851" w:rsidP="003E7B18">
      <w:pPr>
        <w:numPr>
          <w:ilvl w:val="0"/>
          <w:numId w:val="136"/>
        </w:numPr>
        <w:shd w:val="clear" w:color="auto" w:fill="FFFFFF"/>
        <w:rPr>
          <w:spacing w:val="8"/>
          <w:sz w:val="24"/>
          <w:szCs w:val="24"/>
        </w:rPr>
      </w:pPr>
      <w:r w:rsidRPr="00093036">
        <w:rPr>
          <w:spacing w:val="8"/>
          <w:sz w:val="24"/>
          <w:szCs w:val="24"/>
        </w:rPr>
        <w:t>Updating due diligence as needed until effectiveness of the offering</w:t>
      </w:r>
    </w:p>
    <w:p w14:paraId="2E077075" w14:textId="77777777" w:rsidR="00603EFD" w:rsidRPr="00093036" w:rsidRDefault="00603EFD" w:rsidP="00603EFD">
      <w:pPr>
        <w:jc w:val="both"/>
        <w:rPr>
          <w:sz w:val="24"/>
        </w:rPr>
      </w:pPr>
    </w:p>
    <w:p w14:paraId="6E720407" w14:textId="77777777" w:rsidR="003F4D32" w:rsidRDefault="003F4D32" w:rsidP="003F4D32">
      <w:pPr>
        <w:spacing w:before="100" w:beforeAutospacing="1" w:after="100" w:afterAutospacing="1"/>
        <w:rPr>
          <w:sz w:val="24"/>
          <w:szCs w:val="24"/>
        </w:rPr>
      </w:pPr>
      <w:r w:rsidRPr="00093036">
        <w:rPr>
          <w:sz w:val="24"/>
          <w:szCs w:val="24"/>
        </w:rPr>
        <w:t>The use of counsel or experts to perform an investigation on the Company's behalf must be done by firms and individuals that the Company is satisfied are qualified and competent. When Company is a member of a syndicate or selling group, it may rely upon the reasonable investigation by the syndicate manager if the Company believes the syndicate manager has the expertise and absence of conflicts to conduct the investigation. Reliance may be substantiated by meeting with the manager; obtaining a description of the manager's reasonable investigation efforts; and inquiry regarding the independence and thoroughness of the investigation.</w:t>
      </w:r>
    </w:p>
    <w:p w14:paraId="27118458" w14:textId="77777777" w:rsidR="00544751" w:rsidRPr="00E4165F" w:rsidRDefault="00544751" w:rsidP="003F4D32">
      <w:pPr>
        <w:spacing w:before="100" w:beforeAutospacing="1" w:after="100" w:afterAutospacing="1"/>
        <w:rPr>
          <w:color w:val="FF0000"/>
          <w:sz w:val="24"/>
          <w:szCs w:val="24"/>
        </w:rPr>
      </w:pPr>
      <w:r w:rsidRPr="00E4165F">
        <w:rPr>
          <w:b/>
          <w:sz w:val="24"/>
          <w:szCs w:val="24"/>
        </w:rPr>
        <w:t>BD affiliation with the Issuer</w:t>
      </w:r>
      <w:r w:rsidRPr="00E4165F">
        <w:rPr>
          <w:sz w:val="24"/>
          <w:szCs w:val="24"/>
        </w:rPr>
        <w:t>:  If there is an affiliation</w:t>
      </w:r>
      <w:r w:rsidRPr="00E4165F">
        <w:rPr>
          <w:color w:val="FF0000"/>
          <w:sz w:val="24"/>
          <w:szCs w:val="24"/>
        </w:rPr>
        <w:t xml:space="preserve"> </w:t>
      </w:r>
      <w:r w:rsidRPr="00E4165F">
        <w:rPr>
          <w:sz w:val="24"/>
          <w:szCs w:val="24"/>
        </w:rPr>
        <w:t>with the issuer, a BD must not compromise its independence in performing a thorough and independent investigation and must resolve any conflict of interests impairing that responsibility.</w:t>
      </w:r>
    </w:p>
    <w:p w14:paraId="660EEAED" w14:textId="77777777" w:rsidR="00603EFD" w:rsidRPr="00E503D6" w:rsidRDefault="003F4D32" w:rsidP="00603EFD">
      <w:pPr>
        <w:jc w:val="both"/>
        <w:rPr>
          <w:sz w:val="24"/>
        </w:rPr>
      </w:pPr>
      <w:r>
        <w:rPr>
          <w:sz w:val="24"/>
        </w:rPr>
        <w:t>A</w:t>
      </w:r>
      <w:r w:rsidR="00603EFD" w:rsidRPr="00E503D6">
        <w:rPr>
          <w:sz w:val="24"/>
        </w:rPr>
        <w:t>ll related due diligence documents will be maintained as part of the Offering File.</w:t>
      </w:r>
    </w:p>
    <w:p w14:paraId="65576076" w14:textId="77777777" w:rsidR="003F4D32" w:rsidRDefault="003F4D32">
      <w:pPr>
        <w:jc w:val="both"/>
        <w:rPr>
          <w:sz w:val="24"/>
        </w:rPr>
      </w:pPr>
    </w:p>
    <w:p w14:paraId="641C6AF4" w14:textId="77777777" w:rsidR="000C099C" w:rsidRDefault="00C7655E">
      <w:pPr>
        <w:jc w:val="both"/>
        <w:rPr>
          <w:sz w:val="24"/>
        </w:rPr>
      </w:pPr>
      <w:r>
        <w:rPr>
          <w:sz w:val="24"/>
        </w:rPr>
        <w:t>No offering</w:t>
      </w:r>
      <w:r w:rsidR="000C099C">
        <w:rPr>
          <w:sz w:val="24"/>
        </w:rPr>
        <w:t xml:space="preserve"> material for a private placement (e.g. private placement memorandums, offeree questionnaires, sales literature, correspondence, etc.) may be used in connection with a private placement of securities unless such material has be</w:t>
      </w:r>
      <w:r>
        <w:rPr>
          <w:sz w:val="24"/>
        </w:rPr>
        <w:t>en reviewed and approved by Morris Monroe or Compliance</w:t>
      </w:r>
      <w:r w:rsidR="000C099C">
        <w:rPr>
          <w:sz w:val="24"/>
        </w:rPr>
        <w:t xml:space="preserve">. In the event such approval has been given and offering material is distributed in connection with a private placement, any and all subscription documents received from prospective investors must be reviewed by Morris Monroe or his designee to determine whether such subscribers meet the requirements of the offering with respect to sophistication, wealth or "accredited investor" status.  The Company shall not participate in a closing of a private placement offering nor accept any selling compensation on account of such offering until Morris  Monroe or his designee has received </w:t>
      </w:r>
      <w:r w:rsidR="005C2DC9">
        <w:rPr>
          <w:sz w:val="24"/>
        </w:rPr>
        <w:t xml:space="preserve">all necessary conditions of the exemption from registration of the offering have been satisfied or </w:t>
      </w:r>
      <w:r w:rsidR="000C099C">
        <w:rPr>
          <w:sz w:val="24"/>
        </w:rPr>
        <w:t xml:space="preserve">advice from the Company's legal counsel </w:t>
      </w:r>
      <w:r w:rsidR="005C2DC9">
        <w:rPr>
          <w:sz w:val="24"/>
        </w:rPr>
        <w:t>of same</w:t>
      </w:r>
      <w:r w:rsidR="000C099C">
        <w:rPr>
          <w:sz w:val="24"/>
        </w:rPr>
        <w:t xml:space="preserve">. No registered representative of the Company will be entitled to any compensation on account of sales in a private placement until Morris Monroe or his designee has received advice from the Company's legal counsel that the closing has taken place.  </w:t>
      </w:r>
    </w:p>
    <w:p w14:paraId="313FF58C" w14:textId="77777777" w:rsidR="000C099C" w:rsidRDefault="000C099C">
      <w:pPr>
        <w:jc w:val="both"/>
        <w:rPr>
          <w:sz w:val="24"/>
        </w:rPr>
      </w:pPr>
    </w:p>
    <w:p w14:paraId="7DBBCCB4" w14:textId="77777777" w:rsidR="003B62A9" w:rsidRDefault="003B62A9" w:rsidP="003B62A9">
      <w:pPr>
        <w:pStyle w:val="Heading3"/>
      </w:pPr>
      <w:r>
        <w:t>1</w:t>
      </w:r>
      <w:r w:rsidR="00E5056A">
        <w:t>4</w:t>
      </w:r>
      <w:r>
        <w:t xml:space="preserve">.26.1 </w:t>
      </w:r>
      <w:r w:rsidR="007A664D">
        <w:t xml:space="preserve">Communications and </w:t>
      </w:r>
      <w:r>
        <w:t>Conflicts of Interest</w:t>
      </w:r>
    </w:p>
    <w:p w14:paraId="28A91538" w14:textId="77777777" w:rsidR="000C099C" w:rsidRDefault="003F4D32" w:rsidP="003B62A9">
      <w:pPr>
        <w:ind w:left="270"/>
        <w:jc w:val="both"/>
        <w:rPr>
          <w:sz w:val="24"/>
        </w:rPr>
      </w:pPr>
      <w:r w:rsidRPr="00093036">
        <w:rPr>
          <w:sz w:val="24"/>
        </w:rPr>
        <w:t>Retail communications</w:t>
      </w:r>
      <w:r w:rsidR="000C099C">
        <w:rPr>
          <w:sz w:val="24"/>
        </w:rPr>
        <w:t xml:space="preserve"> for any other new product must be reviewed and approved by Morris Monroe prior to use with evidence of such approval indicated on said material and maintained in the Company’s records.  </w:t>
      </w:r>
      <w:r w:rsidR="00C7655E">
        <w:rPr>
          <w:sz w:val="24"/>
        </w:rPr>
        <w:t>Any disclosures</w:t>
      </w:r>
      <w:r w:rsidR="000C099C">
        <w:rPr>
          <w:sz w:val="24"/>
        </w:rPr>
        <w:t xml:space="preserve"> or conflicts of interest will be reviewed by Morris Monroe and determined how to disseminate such information.  Any new product approved for distribution shall be added to the WSC Approved Product List as evidence of approval.  If it is determined that any training needs to be conducted prior to the distribution , then training will be conducted by Morris Monroe or his designee, with a log of such training maintained in the Company records.</w:t>
      </w:r>
    </w:p>
    <w:p w14:paraId="799FDAAF" w14:textId="77777777" w:rsidR="00EC7A9A" w:rsidRDefault="00EC7A9A">
      <w:pPr>
        <w:jc w:val="both"/>
        <w:rPr>
          <w:sz w:val="24"/>
        </w:rPr>
      </w:pPr>
    </w:p>
    <w:p w14:paraId="04956782" w14:textId="77777777" w:rsidR="003F4D32" w:rsidRDefault="003F4D32">
      <w:pPr>
        <w:jc w:val="both"/>
        <w:rPr>
          <w:sz w:val="24"/>
        </w:rPr>
      </w:pPr>
    </w:p>
    <w:p w14:paraId="72B0AA7C" w14:textId="77777777" w:rsidR="00EC7A9A" w:rsidRPr="00EC7A9A" w:rsidRDefault="00B32866" w:rsidP="00936FEE">
      <w:pPr>
        <w:pStyle w:val="Heading2"/>
      </w:pPr>
      <w:r>
        <w:t>1</w:t>
      </w:r>
      <w:r w:rsidR="00E5056A">
        <w:t>4</w:t>
      </w:r>
      <w:r>
        <w:t>.2</w:t>
      </w:r>
      <w:r w:rsidR="00F57DAC">
        <w:t>7</w:t>
      </w:r>
      <w:r>
        <w:t xml:space="preserve"> </w:t>
      </w:r>
      <w:r w:rsidR="00EC7A9A" w:rsidRPr="00EC7A9A">
        <w:t>Direct Participation Programs (DPP)</w:t>
      </w:r>
      <w:r w:rsidR="002C1391">
        <w:t xml:space="preserve"> and REITS </w:t>
      </w:r>
      <w:r w:rsidR="002C1391">
        <w:rPr>
          <w:i/>
          <w:sz w:val="20"/>
          <w:szCs w:val="20"/>
        </w:rPr>
        <w:t>(</w:t>
      </w:r>
      <w:proofErr w:type="gramStart"/>
      <w:r w:rsidR="002C1391">
        <w:rPr>
          <w:i/>
          <w:sz w:val="20"/>
          <w:szCs w:val="20"/>
        </w:rPr>
        <w:t>eff</w:t>
      </w:r>
      <w:proofErr w:type="gramEnd"/>
      <w:r w:rsidR="002C1391">
        <w:rPr>
          <w:i/>
          <w:sz w:val="20"/>
          <w:szCs w:val="20"/>
        </w:rPr>
        <w:t xml:space="preserve"> 08/17/09)</w:t>
      </w:r>
    </w:p>
    <w:p w14:paraId="7E894317" w14:textId="3AFD7AEE" w:rsidR="00014282" w:rsidRDefault="00014282" w:rsidP="00014282">
      <w:pPr>
        <w:jc w:val="both"/>
        <w:rPr>
          <w:color w:val="FF0000"/>
          <w:sz w:val="24"/>
          <w:szCs w:val="24"/>
        </w:rPr>
      </w:pPr>
      <w:r w:rsidRPr="00C7037D">
        <w:rPr>
          <w:sz w:val="24"/>
          <w:szCs w:val="24"/>
        </w:rPr>
        <w:t xml:space="preserve">DPPs are usually organized as a limited partnership, a subchapter S corporation or a general partnership designed to let investors participate directly in the cash flow and tax benefits of the underlying investment. DPPs are generally passive investments that typically invest in real estate or energy-related ventures. Company will follow the same guidelines and requirements for DPPs as other private placements, including </w:t>
      </w:r>
      <w:r w:rsidR="00A01D89" w:rsidRPr="00A01D89">
        <w:rPr>
          <w:color w:val="FF0000"/>
          <w:sz w:val="24"/>
          <w:szCs w:val="24"/>
        </w:rPr>
        <w:t>BI</w:t>
      </w:r>
      <w:r w:rsidRPr="00C7037D">
        <w:rPr>
          <w:sz w:val="24"/>
          <w:szCs w:val="24"/>
        </w:rPr>
        <w:t>, disclosures, handling of checks, etc.</w:t>
      </w:r>
      <w:r>
        <w:rPr>
          <w:sz w:val="24"/>
          <w:szCs w:val="24"/>
        </w:rPr>
        <w:t xml:space="preserve">  </w:t>
      </w:r>
    </w:p>
    <w:p w14:paraId="72DFC6DC" w14:textId="77777777" w:rsidR="00014282" w:rsidRDefault="00014282" w:rsidP="00014282">
      <w:pPr>
        <w:jc w:val="both"/>
        <w:rPr>
          <w:color w:val="FF0000"/>
          <w:sz w:val="24"/>
          <w:szCs w:val="24"/>
        </w:rPr>
      </w:pPr>
    </w:p>
    <w:p w14:paraId="0DDCC95B" w14:textId="77777777" w:rsidR="00014282" w:rsidRPr="00052DC7" w:rsidRDefault="00014282" w:rsidP="00014282">
      <w:pPr>
        <w:jc w:val="both"/>
        <w:rPr>
          <w:sz w:val="24"/>
          <w:szCs w:val="24"/>
        </w:rPr>
      </w:pPr>
      <w:r w:rsidRPr="00E940EF">
        <w:rPr>
          <w:sz w:val="24"/>
          <w:szCs w:val="24"/>
        </w:rPr>
        <w:t xml:space="preserve">Company will not participate in any public DPPs.  However, pursuant to Rule </w:t>
      </w:r>
      <w:r w:rsidRPr="00052DC7">
        <w:rPr>
          <w:sz w:val="24"/>
          <w:szCs w:val="24"/>
        </w:rPr>
        <w:t>2310, these guidelines will be followed if Company participates in any such offering or real estate investment trust:</w:t>
      </w:r>
    </w:p>
    <w:p w14:paraId="6A255D08" w14:textId="77777777" w:rsidR="00014282" w:rsidRPr="00052DC7" w:rsidRDefault="00014282" w:rsidP="00014282">
      <w:pPr>
        <w:jc w:val="both"/>
        <w:rPr>
          <w:sz w:val="24"/>
          <w:szCs w:val="24"/>
        </w:rPr>
      </w:pPr>
    </w:p>
    <w:p w14:paraId="366EE5DB" w14:textId="6D98F74D" w:rsidR="00014282" w:rsidRPr="00052DC7" w:rsidRDefault="00014282" w:rsidP="003E7B18">
      <w:pPr>
        <w:numPr>
          <w:ilvl w:val="0"/>
          <w:numId w:val="146"/>
        </w:numPr>
        <w:jc w:val="both"/>
        <w:rPr>
          <w:sz w:val="24"/>
          <w:szCs w:val="24"/>
        </w:rPr>
      </w:pPr>
      <w:r w:rsidRPr="00052DC7">
        <w:rPr>
          <w:sz w:val="24"/>
          <w:szCs w:val="24"/>
        </w:rPr>
        <w:t xml:space="preserve">Establish standards of </w:t>
      </w:r>
      <w:r w:rsidR="00A01D89" w:rsidRPr="00A01D89">
        <w:rPr>
          <w:color w:val="FF0000"/>
          <w:sz w:val="24"/>
          <w:szCs w:val="24"/>
        </w:rPr>
        <w:t>BI</w:t>
      </w:r>
      <w:r w:rsidRPr="00052DC7">
        <w:rPr>
          <w:sz w:val="24"/>
          <w:szCs w:val="24"/>
        </w:rPr>
        <w:t xml:space="preserve"> for participants of the program and such standards are fully disclosed in the prospectus consistent with the Rule.</w:t>
      </w:r>
    </w:p>
    <w:p w14:paraId="5774D641" w14:textId="77777777" w:rsidR="00014282" w:rsidRPr="00052DC7" w:rsidRDefault="00014282" w:rsidP="00014282">
      <w:pPr>
        <w:ind w:left="720"/>
        <w:jc w:val="both"/>
        <w:rPr>
          <w:sz w:val="24"/>
          <w:szCs w:val="24"/>
        </w:rPr>
      </w:pPr>
    </w:p>
    <w:p w14:paraId="384C5155" w14:textId="77777777" w:rsidR="00014282" w:rsidRPr="00052DC7" w:rsidRDefault="00014282" w:rsidP="003E7B18">
      <w:pPr>
        <w:numPr>
          <w:ilvl w:val="0"/>
          <w:numId w:val="146"/>
        </w:numPr>
        <w:shd w:val="clear" w:color="auto" w:fill="FFFFFF"/>
        <w:spacing w:line="270" w:lineRule="atLeast"/>
        <w:rPr>
          <w:sz w:val="24"/>
          <w:szCs w:val="24"/>
        </w:rPr>
      </w:pPr>
      <w:r w:rsidRPr="00052DC7">
        <w:rPr>
          <w:sz w:val="24"/>
          <w:szCs w:val="24"/>
        </w:rPr>
        <w:t>Disclose all material facts adequately and accurately in a prospectus or offering material and provide a basis for evaluating the program. At a minimum, the following items should be disclosed:</w:t>
      </w:r>
    </w:p>
    <w:p w14:paraId="62D8FBEC" w14:textId="77777777" w:rsidR="00014282" w:rsidRPr="00052DC7" w:rsidRDefault="00014282" w:rsidP="00014282">
      <w:pPr>
        <w:ind w:left="720"/>
        <w:jc w:val="both"/>
        <w:rPr>
          <w:sz w:val="12"/>
          <w:szCs w:val="12"/>
        </w:rPr>
      </w:pPr>
    </w:p>
    <w:p w14:paraId="394588F7" w14:textId="77777777" w:rsidR="00014282" w:rsidRPr="00052DC7" w:rsidRDefault="00014282" w:rsidP="00014282">
      <w:pPr>
        <w:shd w:val="clear" w:color="auto" w:fill="FFFFFF"/>
        <w:spacing w:line="270" w:lineRule="atLeast"/>
        <w:ind w:firstLine="720"/>
        <w:rPr>
          <w:sz w:val="24"/>
          <w:szCs w:val="24"/>
        </w:rPr>
      </w:pPr>
      <w:r w:rsidRPr="00052DC7">
        <w:rPr>
          <w:sz w:val="24"/>
          <w:szCs w:val="24"/>
        </w:rPr>
        <w:t>(</w:t>
      </w:r>
      <w:proofErr w:type="spellStart"/>
      <w:r w:rsidRPr="00052DC7">
        <w:rPr>
          <w:sz w:val="24"/>
          <w:szCs w:val="24"/>
        </w:rPr>
        <w:t>i</w:t>
      </w:r>
      <w:proofErr w:type="spellEnd"/>
      <w:r w:rsidRPr="00052DC7">
        <w:rPr>
          <w:sz w:val="24"/>
          <w:szCs w:val="24"/>
        </w:rPr>
        <w:t xml:space="preserve">)   Items of compensation; </w:t>
      </w:r>
    </w:p>
    <w:p w14:paraId="3BA44BB7" w14:textId="77777777" w:rsidR="00014282" w:rsidRPr="00052DC7" w:rsidRDefault="00014282" w:rsidP="00014282">
      <w:pPr>
        <w:shd w:val="clear" w:color="auto" w:fill="FFFFFF"/>
        <w:spacing w:line="270" w:lineRule="atLeast"/>
        <w:ind w:firstLine="720"/>
        <w:rPr>
          <w:sz w:val="24"/>
          <w:szCs w:val="24"/>
        </w:rPr>
      </w:pPr>
      <w:r w:rsidRPr="00052DC7">
        <w:rPr>
          <w:sz w:val="24"/>
          <w:szCs w:val="24"/>
        </w:rPr>
        <w:t xml:space="preserve">(ii)  Physical properties; </w:t>
      </w:r>
    </w:p>
    <w:p w14:paraId="28F9791C" w14:textId="77777777" w:rsidR="00014282" w:rsidRPr="008D6436" w:rsidRDefault="00014282" w:rsidP="00CC280B">
      <w:pPr>
        <w:shd w:val="clear" w:color="auto" w:fill="FFFFFF"/>
        <w:spacing w:line="270" w:lineRule="atLeast"/>
        <w:ind w:left="1170" w:hanging="450"/>
        <w:rPr>
          <w:sz w:val="24"/>
          <w:szCs w:val="24"/>
        </w:rPr>
      </w:pPr>
      <w:r w:rsidRPr="00052DC7">
        <w:rPr>
          <w:sz w:val="24"/>
          <w:szCs w:val="24"/>
        </w:rPr>
        <w:t>(iii) Tax aspects</w:t>
      </w:r>
      <w:r w:rsidR="00CC280B">
        <w:rPr>
          <w:sz w:val="24"/>
          <w:szCs w:val="24"/>
        </w:rPr>
        <w:t xml:space="preserve"> – </w:t>
      </w:r>
      <w:r w:rsidR="00CC280B" w:rsidRPr="008D6436">
        <w:rPr>
          <w:sz w:val="24"/>
          <w:szCs w:val="24"/>
        </w:rPr>
        <w:t xml:space="preserve">if applicable, that the customer understands the ramifications of not having a high enough tax bracket or not enough </w:t>
      </w:r>
      <w:r w:rsidR="008D6436" w:rsidRPr="008D6436">
        <w:rPr>
          <w:sz w:val="24"/>
          <w:szCs w:val="24"/>
        </w:rPr>
        <w:t>passab</w:t>
      </w:r>
      <w:r w:rsidR="008D6436">
        <w:rPr>
          <w:sz w:val="24"/>
          <w:szCs w:val="24"/>
        </w:rPr>
        <w:t>l</w:t>
      </w:r>
      <w:r w:rsidR="008D6436" w:rsidRPr="008D6436">
        <w:rPr>
          <w:sz w:val="24"/>
          <w:szCs w:val="24"/>
        </w:rPr>
        <w:t>e</w:t>
      </w:r>
      <w:r w:rsidR="00CC280B" w:rsidRPr="008D6436">
        <w:rPr>
          <w:sz w:val="24"/>
          <w:szCs w:val="24"/>
        </w:rPr>
        <w:t xml:space="preserve"> income to receive benefits of a DPP’s partnership flow-through concept</w:t>
      </w:r>
      <w:r w:rsidRPr="008D6436">
        <w:rPr>
          <w:sz w:val="24"/>
          <w:szCs w:val="24"/>
        </w:rPr>
        <w:t xml:space="preserve">; </w:t>
      </w:r>
    </w:p>
    <w:p w14:paraId="05A7E18B" w14:textId="77777777" w:rsidR="00014282" w:rsidRPr="00052DC7" w:rsidRDefault="00014282" w:rsidP="00014282">
      <w:pPr>
        <w:shd w:val="clear" w:color="auto" w:fill="FFFFFF"/>
        <w:spacing w:line="270" w:lineRule="atLeast"/>
        <w:ind w:firstLine="720"/>
        <w:rPr>
          <w:sz w:val="24"/>
          <w:szCs w:val="24"/>
        </w:rPr>
      </w:pPr>
      <w:r w:rsidRPr="00052DC7">
        <w:rPr>
          <w:sz w:val="24"/>
          <w:szCs w:val="24"/>
        </w:rPr>
        <w:t xml:space="preserve">(iv) Financial stability and experience of the sponsor; </w:t>
      </w:r>
    </w:p>
    <w:p w14:paraId="14845815" w14:textId="77777777" w:rsidR="00014282" w:rsidRPr="00052DC7" w:rsidRDefault="00014282" w:rsidP="00014282">
      <w:pPr>
        <w:shd w:val="clear" w:color="auto" w:fill="FFFFFF"/>
        <w:spacing w:line="270" w:lineRule="atLeast"/>
        <w:ind w:firstLine="720"/>
        <w:rPr>
          <w:sz w:val="24"/>
          <w:szCs w:val="24"/>
        </w:rPr>
      </w:pPr>
      <w:r w:rsidRPr="00052DC7">
        <w:rPr>
          <w:sz w:val="24"/>
          <w:szCs w:val="24"/>
        </w:rPr>
        <w:t xml:space="preserve">(v)  The program's conflict and risk factors;  </w:t>
      </w:r>
    </w:p>
    <w:p w14:paraId="3433D527" w14:textId="77777777" w:rsidR="00014282" w:rsidRPr="00052DC7" w:rsidRDefault="00014282" w:rsidP="00014282">
      <w:pPr>
        <w:shd w:val="clear" w:color="auto" w:fill="FFFFFF"/>
        <w:spacing w:line="270" w:lineRule="atLeast"/>
        <w:ind w:firstLine="720"/>
        <w:rPr>
          <w:sz w:val="24"/>
          <w:szCs w:val="24"/>
        </w:rPr>
      </w:pPr>
      <w:r w:rsidRPr="00052DC7">
        <w:rPr>
          <w:sz w:val="24"/>
          <w:szCs w:val="24"/>
        </w:rPr>
        <w:t>(vi) Appraisals and other pertinent reports; and</w:t>
      </w:r>
    </w:p>
    <w:p w14:paraId="4385037F" w14:textId="77777777" w:rsidR="00014282" w:rsidRPr="00052DC7" w:rsidRDefault="00014282" w:rsidP="00014282">
      <w:pPr>
        <w:shd w:val="clear" w:color="auto" w:fill="FFFFFF"/>
        <w:spacing w:line="270" w:lineRule="atLeast"/>
        <w:ind w:firstLine="720"/>
        <w:rPr>
          <w:sz w:val="24"/>
          <w:szCs w:val="24"/>
        </w:rPr>
      </w:pPr>
      <w:r w:rsidRPr="00052DC7">
        <w:rPr>
          <w:sz w:val="24"/>
          <w:szCs w:val="24"/>
        </w:rPr>
        <w:t>(vii) Liquidity and marketability of the program.</w:t>
      </w:r>
    </w:p>
    <w:p w14:paraId="60E4002B" w14:textId="77777777" w:rsidR="00014282" w:rsidRPr="005436C3" w:rsidRDefault="00014282" w:rsidP="00014282">
      <w:pPr>
        <w:ind w:left="720"/>
        <w:jc w:val="both"/>
        <w:rPr>
          <w:color w:val="FF0000"/>
          <w:sz w:val="24"/>
          <w:szCs w:val="24"/>
        </w:rPr>
      </w:pPr>
    </w:p>
    <w:p w14:paraId="25E75414" w14:textId="77777777" w:rsidR="00014282" w:rsidRPr="00E940EF" w:rsidRDefault="00014282" w:rsidP="003E7B18">
      <w:pPr>
        <w:numPr>
          <w:ilvl w:val="0"/>
          <w:numId w:val="146"/>
        </w:numPr>
        <w:jc w:val="both"/>
        <w:rPr>
          <w:sz w:val="24"/>
          <w:szCs w:val="24"/>
        </w:rPr>
      </w:pPr>
      <w:r w:rsidRPr="00E940EF">
        <w:rPr>
          <w:sz w:val="24"/>
          <w:szCs w:val="24"/>
        </w:rPr>
        <w:t xml:space="preserve">Issuer organization and offering expenses (O&amp;O) to be reimbursed from the offering proceeds are limited to 15% of the gross proceeds;  </w:t>
      </w:r>
    </w:p>
    <w:p w14:paraId="369150AB" w14:textId="77777777" w:rsidR="00014282" w:rsidRPr="00E940EF" w:rsidRDefault="00014282" w:rsidP="00014282">
      <w:pPr>
        <w:ind w:left="720"/>
        <w:jc w:val="both"/>
        <w:rPr>
          <w:sz w:val="24"/>
          <w:szCs w:val="24"/>
        </w:rPr>
      </w:pPr>
    </w:p>
    <w:p w14:paraId="7FD07BF2" w14:textId="77777777" w:rsidR="00014282" w:rsidRPr="00E940EF" w:rsidRDefault="00014282" w:rsidP="003E7B18">
      <w:pPr>
        <w:numPr>
          <w:ilvl w:val="0"/>
          <w:numId w:val="146"/>
        </w:numPr>
        <w:jc w:val="both"/>
        <w:rPr>
          <w:sz w:val="24"/>
          <w:szCs w:val="24"/>
        </w:rPr>
      </w:pPr>
      <w:r w:rsidRPr="00E940EF">
        <w:rPr>
          <w:sz w:val="24"/>
          <w:szCs w:val="24"/>
        </w:rPr>
        <w:t>Underwriting compensation is limited to 10% of the gross proceeds of the offering (and must be included in the 15% of the Issuer’s O&amp;O expenses.  Any allocation of compensation to dual employees of the issuer or Investment Program sponsor and an affiliated broker-dealer will be treated by taking an "all-in" or "all-out" approach to allocating the compensation.  In general, payments to registered persons will be "all-in" and included as underwriting compensation, whereas payments to unregistered persons will be "all-out" and not included as underwriting compensation;</w:t>
      </w:r>
    </w:p>
    <w:p w14:paraId="7C2FEC38" w14:textId="77777777" w:rsidR="00014282" w:rsidRPr="00E940EF" w:rsidRDefault="00014282" w:rsidP="00014282">
      <w:pPr>
        <w:jc w:val="both"/>
        <w:rPr>
          <w:sz w:val="24"/>
          <w:szCs w:val="24"/>
        </w:rPr>
      </w:pPr>
    </w:p>
    <w:p w14:paraId="5586238B" w14:textId="77777777" w:rsidR="00014282" w:rsidRPr="00E940EF" w:rsidRDefault="00014282" w:rsidP="003E7B18">
      <w:pPr>
        <w:numPr>
          <w:ilvl w:val="0"/>
          <w:numId w:val="146"/>
        </w:numPr>
        <w:jc w:val="both"/>
        <w:rPr>
          <w:sz w:val="24"/>
          <w:szCs w:val="24"/>
        </w:rPr>
      </w:pPr>
      <w:r w:rsidRPr="00E940EF">
        <w:rPr>
          <w:sz w:val="24"/>
          <w:szCs w:val="24"/>
        </w:rPr>
        <w:t xml:space="preserve">Any due diligence expense to be reimbursed to Company will be included as part of the O&amp;O expenses and may be treated in the calculation of underwriting compensation as a non-accountable expense provided that, when aggregated with all other non-accountable expenses, the amount does not exceed 3 percent of the offering proceeds. </w:t>
      </w:r>
    </w:p>
    <w:p w14:paraId="160E6770" w14:textId="77777777" w:rsidR="00014282" w:rsidRPr="00E940EF" w:rsidRDefault="00014282" w:rsidP="003E7B18">
      <w:pPr>
        <w:numPr>
          <w:ilvl w:val="0"/>
          <w:numId w:val="146"/>
        </w:numPr>
        <w:shd w:val="clear" w:color="auto" w:fill="FFFFFF"/>
        <w:spacing w:before="281" w:line="270" w:lineRule="atLeast"/>
        <w:jc w:val="both"/>
        <w:rPr>
          <w:sz w:val="24"/>
          <w:szCs w:val="24"/>
        </w:rPr>
      </w:pPr>
      <w:r w:rsidRPr="00E940EF">
        <w:rPr>
          <w:sz w:val="24"/>
          <w:szCs w:val="24"/>
        </w:rPr>
        <w:t xml:space="preserve">It shall be prohibited to charge a sales load or commission on securities purchased through the reinvestment of dividends.  </w:t>
      </w:r>
    </w:p>
    <w:p w14:paraId="41A2E24B" w14:textId="77777777" w:rsidR="00014282" w:rsidRPr="00E940EF" w:rsidRDefault="00014282" w:rsidP="003E7B18">
      <w:pPr>
        <w:numPr>
          <w:ilvl w:val="0"/>
          <w:numId w:val="146"/>
        </w:numPr>
        <w:shd w:val="clear" w:color="auto" w:fill="FFFFFF"/>
        <w:spacing w:before="281" w:line="270" w:lineRule="atLeast"/>
        <w:jc w:val="both"/>
        <w:rPr>
          <w:sz w:val="24"/>
          <w:szCs w:val="24"/>
        </w:rPr>
      </w:pPr>
      <w:r w:rsidRPr="00E940EF">
        <w:rPr>
          <w:sz w:val="24"/>
          <w:szCs w:val="24"/>
        </w:rPr>
        <w:lastRenderedPageBreak/>
        <w:t xml:space="preserve">The offering must disclose whether prior programs offered by the program sponsor liquidated on or during the date or time period disclosed in the prospectuses for those programs.  </w:t>
      </w:r>
    </w:p>
    <w:p w14:paraId="20D03057" w14:textId="77777777" w:rsidR="00014282" w:rsidRPr="00B91E41" w:rsidRDefault="00014282" w:rsidP="003E7B18">
      <w:pPr>
        <w:numPr>
          <w:ilvl w:val="0"/>
          <w:numId w:val="146"/>
        </w:numPr>
        <w:shd w:val="clear" w:color="auto" w:fill="FFFFFF"/>
        <w:spacing w:before="281" w:line="270" w:lineRule="atLeast"/>
        <w:jc w:val="both"/>
        <w:rPr>
          <w:sz w:val="24"/>
          <w:szCs w:val="24"/>
        </w:rPr>
      </w:pPr>
      <w:r w:rsidRPr="00E940EF">
        <w:rPr>
          <w:sz w:val="24"/>
          <w:szCs w:val="24"/>
        </w:rPr>
        <w:t>A</w:t>
      </w:r>
      <w:r w:rsidRPr="00B91E41">
        <w:rPr>
          <w:sz w:val="24"/>
          <w:szCs w:val="24"/>
        </w:rPr>
        <w:t xml:space="preserve"> training or education meeting may include a location at which a "significant or representative" asset is located. </w:t>
      </w:r>
    </w:p>
    <w:p w14:paraId="6DDB2BF4" w14:textId="77777777" w:rsidR="00014282" w:rsidRDefault="00014282" w:rsidP="00014282">
      <w:pPr>
        <w:rPr>
          <w:color w:val="0000FF"/>
          <w:sz w:val="24"/>
        </w:rPr>
      </w:pPr>
    </w:p>
    <w:p w14:paraId="0C32323E" w14:textId="77777777" w:rsidR="00014282" w:rsidRDefault="00014282" w:rsidP="00014282">
      <w:pPr>
        <w:rPr>
          <w:sz w:val="24"/>
        </w:rPr>
      </w:pPr>
      <w:r w:rsidRPr="00052DC7">
        <w:rPr>
          <w:sz w:val="24"/>
        </w:rPr>
        <w:t xml:space="preserve">Additional procedures </w:t>
      </w:r>
      <w:r>
        <w:rPr>
          <w:sz w:val="24"/>
        </w:rPr>
        <w:t>may</w:t>
      </w:r>
      <w:r w:rsidRPr="00052DC7">
        <w:rPr>
          <w:sz w:val="24"/>
        </w:rPr>
        <w:t xml:space="preserve"> be adopted if Company participates in any public offerings.</w:t>
      </w:r>
    </w:p>
    <w:p w14:paraId="7CBE3F13" w14:textId="77777777" w:rsidR="003215AA" w:rsidRPr="00052DC7" w:rsidRDefault="003215AA" w:rsidP="00014282">
      <w:pPr>
        <w:rPr>
          <w:sz w:val="24"/>
        </w:rPr>
      </w:pPr>
    </w:p>
    <w:p w14:paraId="2986B1D7" w14:textId="77777777" w:rsidR="00EC7A9A" w:rsidRPr="00EC7A9A" w:rsidRDefault="003215AA" w:rsidP="003215AA">
      <w:pPr>
        <w:pStyle w:val="Heading3"/>
      </w:pPr>
      <w:r>
        <w:t>1</w:t>
      </w:r>
      <w:r w:rsidR="00E5056A">
        <w:t>4</w:t>
      </w:r>
      <w:r>
        <w:t>.27.1 Communications Regarding Unlisted Real Estate Programs</w:t>
      </w:r>
    </w:p>
    <w:p w14:paraId="2F615B59" w14:textId="77777777" w:rsidR="003215AA" w:rsidRPr="00093036" w:rsidRDefault="003215AA" w:rsidP="003215AA">
      <w:pPr>
        <w:ind w:left="270"/>
        <w:rPr>
          <w:sz w:val="24"/>
          <w:szCs w:val="24"/>
        </w:rPr>
      </w:pPr>
      <w:r w:rsidRPr="00093036">
        <w:rPr>
          <w:sz w:val="24"/>
          <w:szCs w:val="24"/>
        </w:rPr>
        <w:t>There are FINRA guidelines for communications concerning unlisted real estate investment programs (real estate programs) which include REITs or DPPs that invest in real estate assets or mortgages and that are not listed on a national securities exchange. Following is a summary of the guidance; refer to FINRA Regulatory Notice 13-18 for details.</w:t>
      </w:r>
    </w:p>
    <w:p w14:paraId="44FA41CB" w14:textId="77777777" w:rsidR="003215AA" w:rsidRPr="00093036" w:rsidRDefault="003215AA" w:rsidP="003E7B18">
      <w:pPr>
        <w:numPr>
          <w:ilvl w:val="0"/>
          <w:numId w:val="214"/>
        </w:numPr>
        <w:spacing w:before="100" w:beforeAutospacing="1" w:after="100" w:afterAutospacing="1"/>
        <w:rPr>
          <w:sz w:val="24"/>
          <w:szCs w:val="24"/>
        </w:rPr>
      </w:pPr>
      <w:r w:rsidRPr="00093036">
        <w:rPr>
          <w:b/>
          <w:bCs/>
          <w:sz w:val="24"/>
          <w:szCs w:val="24"/>
        </w:rPr>
        <w:t>Disclosure</w:t>
      </w:r>
      <w:r w:rsidRPr="00093036">
        <w:rPr>
          <w:sz w:val="24"/>
          <w:szCs w:val="24"/>
        </w:rPr>
        <w:t xml:space="preserve">: When describing real estate programs, communications must accurately and fairly explain how the products operate. Communications must be consistent with the program's current prospectus and must not imply an investment in the program is a direct investment in real estate or other assets. If the program has not yet qualified for REIT status under the U.S. tax code, communications must disclose that the program has not yet qualified and that it may never qualify for REIT status. Potential benefits must be balanced with disclosure of potential risks, which must be presented in a clear and prominent manner (not in a footnote and not in a separate document such as the prospectus even if the communication is accompanied or preceded by a prospectus). </w:t>
      </w:r>
    </w:p>
    <w:p w14:paraId="4FBAE821" w14:textId="77777777" w:rsidR="003215AA" w:rsidRPr="00093036" w:rsidRDefault="003215AA" w:rsidP="003E7B18">
      <w:pPr>
        <w:numPr>
          <w:ilvl w:val="0"/>
          <w:numId w:val="214"/>
        </w:numPr>
        <w:spacing w:before="100" w:beforeAutospacing="1" w:after="100" w:afterAutospacing="1"/>
        <w:rPr>
          <w:sz w:val="24"/>
          <w:szCs w:val="24"/>
        </w:rPr>
      </w:pPr>
      <w:r w:rsidRPr="00093036">
        <w:rPr>
          <w:b/>
          <w:bCs/>
          <w:sz w:val="24"/>
          <w:szCs w:val="24"/>
        </w:rPr>
        <w:t>Distribution Rates</w:t>
      </w:r>
      <w:r w:rsidRPr="00093036">
        <w:rPr>
          <w:sz w:val="24"/>
          <w:szCs w:val="24"/>
        </w:rPr>
        <w:t xml:space="preserve">: Distributions from real estate programs sometimes include return of capital. The composition of distributions may not be misrepresented or described as a yield comparable to a fixed income investment. FINRA's guidance states that communications should include clear and prominent disclosure (as applicable): </w:t>
      </w:r>
    </w:p>
    <w:p w14:paraId="50681C98" w14:textId="77777777" w:rsidR="003215AA" w:rsidRPr="00093036" w:rsidRDefault="003215AA" w:rsidP="003E7B18">
      <w:pPr>
        <w:numPr>
          <w:ilvl w:val="1"/>
          <w:numId w:val="214"/>
        </w:numPr>
        <w:spacing w:before="100" w:beforeAutospacing="1" w:after="100" w:afterAutospacing="1"/>
        <w:rPr>
          <w:sz w:val="24"/>
          <w:szCs w:val="24"/>
        </w:rPr>
      </w:pPr>
      <w:r w:rsidRPr="00093036">
        <w:rPr>
          <w:sz w:val="24"/>
          <w:szCs w:val="24"/>
        </w:rPr>
        <w:t xml:space="preserve">That distributions are not guaranteed and may be modified; </w:t>
      </w:r>
    </w:p>
    <w:p w14:paraId="451DCE8E" w14:textId="77777777" w:rsidR="003215AA" w:rsidRPr="00093036" w:rsidRDefault="003215AA" w:rsidP="003E7B18">
      <w:pPr>
        <w:numPr>
          <w:ilvl w:val="1"/>
          <w:numId w:val="214"/>
        </w:numPr>
        <w:spacing w:before="100" w:beforeAutospacing="1" w:after="100" w:afterAutospacing="1"/>
        <w:rPr>
          <w:sz w:val="24"/>
          <w:szCs w:val="24"/>
        </w:rPr>
      </w:pPr>
      <w:r w:rsidRPr="00093036">
        <w:rPr>
          <w:sz w:val="24"/>
          <w:szCs w:val="24"/>
        </w:rPr>
        <w:t xml:space="preserve">If the distribution consists of return of principal (including offering proceeds) or borrowings, include a breakdown of the components of the distribution rate that represent cash flows, return of principal, and borrowing; </w:t>
      </w:r>
    </w:p>
    <w:p w14:paraId="238A0789" w14:textId="77777777" w:rsidR="003215AA" w:rsidRPr="00093036" w:rsidRDefault="003215AA" w:rsidP="003E7B18">
      <w:pPr>
        <w:numPr>
          <w:ilvl w:val="1"/>
          <w:numId w:val="214"/>
        </w:numPr>
        <w:spacing w:before="100" w:beforeAutospacing="1" w:after="100" w:afterAutospacing="1"/>
        <w:rPr>
          <w:sz w:val="24"/>
          <w:szCs w:val="24"/>
        </w:rPr>
      </w:pPr>
      <w:r w:rsidRPr="00093036">
        <w:rPr>
          <w:sz w:val="24"/>
          <w:szCs w:val="24"/>
        </w:rPr>
        <w:t xml:space="preserve">The time period during which distributions have been funded from return of principal (including offering proceeds), borrowings or any sources other than cash flows from investment or operations; </w:t>
      </w:r>
    </w:p>
    <w:p w14:paraId="014FE678" w14:textId="77777777" w:rsidR="003215AA" w:rsidRPr="00093036" w:rsidRDefault="003215AA" w:rsidP="003E7B18">
      <w:pPr>
        <w:numPr>
          <w:ilvl w:val="1"/>
          <w:numId w:val="214"/>
        </w:numPr>
        <w:spacing w:before="100" w:beforeAutospacing="1" w:after="100" w:afterAutospacing="1"/>
        <w:rPr>
          <w:sz w:val="24"/>
          <w:szCs w:val="24"/>
        </w:rPr>
      </w:pPr>
      <w:r w:rsidRPr="00093036">
        <w:rPr>
          <w:sz w:val="24"/>
          <w:szCs w:val="24"/>
        </w:rPr>
        <w:t xml:space="preserve">That distributions that include return of principal will lessen the money available for the program to invest, which may lower overall returns; and </w:t>
      </w:r>
    </w:p>
    <w:p w14:paraId="714938F2" w14:textId="77777777" w:rsidR="003215AA" w:rsidRPr="00093036" w:rsidRDefault="003215AA" w:rsidP="003E7B18">
      <w:pPr>
        <w:numPr>
          <w:ilvl w:val="1"/>
          <w:numId w:val="214"/>
        </w:numPr>
        <w:spacing w:before="100" w:beforeAutospacing="1" w:after="100" w:afterAutospacing="1"/>
        <w:rPr>
          <w:sz w:val="24"/>
          <w:szCs w:val="24"/>
        </w:rPr>
      </w:pPr>
      <w:r w:rsidRPr="00093036">
        <w:rPr>
          <w:sz w:val="24"/>
          <w:szCs w:val="24"/>
        </w:rPr>
        <w:t>If distributions include borrowed funds, that because borrowed funds were used to pay distributions, the distribution rate may not be sustainable.</w:t>
      </w:r>
      <w:r w:rsidRPr="00093036">
        <w:rPr>
          <w:sz w:val="24"/>
          <w:szCs w:val="24"/>
        </w:rPr>
        <w:br/>
        <w:t>Communications may not include an annualized distribution rate until the program has paid distributions that are, on an annualized basis, at a minimum equal to that rate for at least two consecutive quarterly periods.</w:t>
      </w:r>
    </w:p>
    <w:p w14:paraId="211A9454" w14:textId="77777777" w:rsidR="003215AA" w:rsidRPr="00093036" w:rsidRDefault="003215AA" w:rsidP="003E7B18">
      <w:pPr>
        <w:numPr>
          <w:ilvl w:val="0"/>
          <w:numId w:val="214"/>
        </w:numPr>
        <w:spacing w:before="100" w:beforeAutospacing="1" w:after="100" w:afterAutospacing="1"/>
        <w:rPr>
          <w:sz w:val="24"/>
          <w:szCs w:val="24"/>
        </w:rPr>
      </w:pPr>
      <w:r w:rsidRPr="00093036">
        <w:rPr>
          <w:b/>
          <w:bCs/>
          <w:sz w:val="24"/>
          <w:szCs w:val="24"/>
        </w:rPr>
        <w:t>Stability/Volatility Claims</w:t>
      </w:r>
      <w:r w:rsidRPr="00093036">
        <w:rPr>
          <w:sz w:val="24"/>
          <w:szCs w:val="24"/>
        </w:rPr>
        <w:t xml:space="preserve">: </w:t>
      </w:r>
    </w:p>
    <w:p w14:paraId="13B915A3" w14:textId="77777777" w:rsidR="003215AA" w:rsidRPr="00093036" w:rsidRDefault="003215AA" w:rsidP="003E7B18">
      <w:pPr>
        <w:numPr>
          <w:ilvl w:val="1"/>
          <w:numId w:val="214"/>
        </w:numPr>
        <w:spacing w:before="100" w:beforeAutospacing="1" w:after="100" w:afterAutospacing="1"/>
        <w:rPr>
          <w:sz w:val="24"/>
          <w:szCs w:val="24"/>
        </w:rPr>
      </w:pPr>
      <w:r w:rsidRPr="00093036">
        <w:rPr>
          <w:sz w:val="24"/>
          <w:szCs w:val="24"/>
        </w:rPr>
        <w:t xml:space="preserve">Communications may not assert or imply that the value of a real estate program is stable or that volatility is limited without providing a sound basis to evaluate this claim. </w:t>
      </w:r>
    </w:p>
    <w:p w14:paraId="3E7FCDC1" w14:textId="77777777" w:rsidR="003215AA" w:rsidRPr="00093036" w:rsidRDefault="003215AA" w:rsidP="003E7B18">
      <w:pPr>
        <w:numPr>
          <w:ilvl w:val="1"/>
          <w:numId w:val="214"/>
        </w:numPr>
        <w:spacing w:before="100" w:beforeAutospacing="1" w:after="100" w:afterAutospacing="1"/>
        <w:rPr>
          <w:sz w:val="24"/>
          <w:szCs w:val="24"/>
        </w:rPr>
      </w:pPr>
      <w:r w:rsidRPr="00093036">
        <w:rPr>
          <w:sz w:val="24"/>
          <w:szCs w:val="24"/>
        </w:rPr>
        <w:t xml:space="preserve">Communications may not state that the offering price at par value or at another relatively stable price evidences stability in the value of the underlying assets. </w:t>
      </w:r>
    </w:p>
    <w:p w14:paraId="48054027" w14:textId="77777777" w:rsidR="003215AA" w:rsidRPr="00093036" w:rsidRDefault="003215AA" w:rsidP="003E7B18">
      <w:pPr>
        <w:numPr>
          <w:ilvl w:val="1"/>
          <w:numId w:val="214"/>
        </w:numPr>
        <w:spacing w:before="100" w:beforeAutospacing="1" w:after="100" w:afterAutospacing="1"/>
        <w:rPr>
          <w:sz w:val="24"/>
          <w:szCs w:val="24"/>
        </w:rPr>
      </w:pPr>
      <w:r w:rsidRPr="00093036">
        <w:rPr>
          <w:sz w:val="24"/>
          <w:szCs w:val="24"/>
        </w:rPr>
        <w:lastRenderedPageBreak/>
        <w:t xml:space="preserve">Representations that the offering price is </w:t>
      </w:r>
      <w:r w:rsidR="00FA5443" w:rsidRPr="00093036">
        <w:rPr>
          <w:sz w:val="24"/>
          <w:szCs w:val="24"/>
        </w:rPr>
        <w:t>stable,</w:t>
      </w:r>
      <w:r w:rsidRPr="00093036">
        <w:rPr>
          <w:sz w:val="24"/>
          <w:szCs w:val="24"/>
        </w:rPr>
        <w:t xml:space="preserve"> or volatility is limited must include disclosure that the value of underlying assets will fluctuate, may be worth less than what the program initially paid, and that the investor may not be able to sell the investment.</w:t>
      </w:r>
    </w:p>
    <w:p w14:paraId="0C7AE63F" w14:textId="77777777" w:rsidR="003215AA" w:rsidRPr="00093036" w:rsidRDefault="003215AA" w:rsidP="003E7B18">
      <w:pPr>
        <w:numPr>
          <w:ilvl w:val="0"/>
          <w:numId w:val="214"/>
        </w:numPr>
        <w:spacing w:before="100" w:beforeAutospacing="1" w:after="100" w:afterAutospacing="1"/>
        <w:rPr>
          <w:sz w:val="24"/>
          <w:szCs w:val="24"/>
        </w:rPr>
      </w:pPr>
      <w:r w:rsidRPr="00093036">
        <w:rPr>
          <w:b/>
          <w:bCs/>
          <w:sz w:val="24"/>
          <w:szCs w:val="24"/>
        </w:rPr>
        <w:t>Redemption Features and Liquidity Events</w:t>
      </w:r>
      <w:r w:rsidRPr="00093036">
        <w:rPr>
          <w:sz w:val="24"/>
          <w:szCs w:val="24"/>
        </w:rPr>
        <w:t xml:space="preserve">: </w:t>
      </w:r>
    </w:p>
    <w:p w14:paraId="61DFBCB3" w14:textId="77777777" w:rsidR="003215AA" w:rsidRPr="00093036" w:rsidRDefault="003215AA" w:rsidP="003E7B18">
      <w:pPr>
        <w:numPr>
          <w:ilvl w:val="1"/>
          <w:numId w:val="214"/>
        </w:numPr>
        <w:spacing w:before="100" w:beforeAutospacing="1" w:after="100" w:afterAutospacing="1"/>
        <w:rPr>
          <w:sz w:val="24"/>
          <w:szCs w:val="24"/>
        </w:rPr>
      </w:pPr>
      <w:r w:rsidRPr="00093036">
        <w:rPr>
          <w:sz w:val="24"/>
          <w:szCs w:val="24"/>
        </w:rPr>
        <w:t xml:space="preserve">Restrictions and limitations on redemption features (such as the fact that the real estate program's management may terminate or modify the ability to redeem) must be clearly and prominently explained. </w:t>
      </w:r>
    </w:p>
    <w:p w14:paraId="5F57199C" w14:textId="77777777" w:rsidR="003215AA" w:rsidRPr="00093036" w:rsidRDefault="003215AA" w:rsidP="003E7B18">
      <w:pPr>
        <w:numPr>
          <w:ilvl w:val="1"/>
          <w:numId w:val="214"/>
        </w:numPr>
        <w:spacing w:before="100" w:beforeAutospacing="1" w:after="100" w:afterAutospacing="1"/>
        <w:rPr>
          <w:sz w:val="24"/>
          <w:szCs w:val="24"/>
        </w:rPr>
      </w:pPr>
      <w:r w:rsidRPr="00093036">
        <w:rPr>
          <w:sz w:val="24"/>
          <w:szCs w:val="24"/>
        </w:rPr>
        <w:t xml:space="preserve">Communications must disclose if the real estate program has not satisfied all investor redemption requests in the past. </w:t>
      </w:r>
    </w:p>
    <w:p w14:paraId="2B7E55CE" w14:textId="77777777" w:rsidR="003215AA" w:rsidRPr="00093036" w:rsidRDefault="003215AA" w:rsidP="003E7B18">
      <w:pPr>
        <w:numPr>
          <w:ilvl w:val="1"/>
          <w:numId w:val="214"/>
        </w:numPr>
        <w:spacing w:before="100" w:beforeAutospacing="1" w:after="100" w:afterAutospacing="1"/>
        <w:rPr>
          <w:sz w:val="24"/>
          <w:szCs w:val="24"/>
        </w:rPr>
      </w:pPr>
      <w:r w:rsidRPr="00093036">
        <w:rPr>
          <w:sz w:val="24"/>
          <w:szCs w:val="24"/>
        </w:rPr>
        <w:t>Any discussion about potential liquidity events or the timing of such events should disclose if the date of the liquidity event is not guaranteed if it may be changed at the program's discretion.</w:t>
      </w:r>
    </w:p>
    <w:p w14:paraId="28AE9B66" w14:textId="77777777" w:rsidR="003215AA" w:rsidRPr="00093036" w:rsidRDefault="003215AA" w:rsidP="003E7B18">
      <w:pPr>
        <w:numPr>
          <w:ilvl w:val="0"/>
          <w:numId w:val="214"/>
        </w:numPr>
        <w:spacing w:before="100" w:beforeAutospacing="1" w:after="100" w:afterAutospacing="1"/>
        <w:rPr>
          <w:sz w:val="24"/>
          <w:szCs w:val="24"/>
        </w:rPr>
      </w:pPr>
      <w:r w:rsidRPr="00093036">
        <w:rPr>
          <w:b/>
          <w:bCs/>
          <w:sz w:val="24"/>
          <w:szCs w:val="24"/>
        </w:rPr>
        <w:t>Performance of Prior Related Real Estate Programs</w:t>
      </w:r>
      <w:r w:rsidRPr="00093036">
        <w:rPr>
          <w:sz w:val="24"/>
          <w:szCs w:val="24"/>
        </w:rPr>
        <w:t xml:space="preserve">: Discussions of prior or historical performance of related or affiliated entities should include information about such related entities with equal prominence, may not "cherry pick" those favorable to the current program, and should be clearly differentiated from information regarding the current program. </w:t>
      </w:r>
    </w:p>
    <w:p w14:paraId="4D8C708B" w14:textId="77777777" w:rsidR="003215AA" w:rsidRPr="00093036" w:rsidRDefault="003215AA" w:rsidP="003E7B18">
      <w:pPr>
        <w:numPr>
          <w:ilvl w:val="0"/>
          <w:numId w:val="214"/>
        </w:numPr>
        <w:spacing w:before="100" w:beforeAutospacing="1" w:after="100" w:afterAutospacing="1"/>
        <w:rPr>
          <w:sz w:val="24"/>
          <w:szCs w:val="24"/>
        </w:rPr>
      </w:pPr>
      <w:r w:rsidRPr="00093036">
        <w:rPr>
          <w:b/>
          <w:bCs/>
          <w:sz w:val="24"/>
          <w:szCs w:val="24"/>
        </w:rPr>
        <w:t>Use of Indices and Comparisons</w:t>
      </w:r>
      <w:r w:rsidRPr="00093036">
        <w:rPr>
          <w:sz w:val="24"/>
          <w:szCs w:val="24"/>
        </w:rPr>
        <w:t xml:space="preserve">: Communications about real estate programs sometimes include a real estate index's performance to demonstrate the sector's risk or return characteristics. The use of index performance may be misleading if its underlying components do not correspond with those of the program's portfolio. Communications that compare a real estate program against a real estate index must indicate that the performance of the index does not reflect a particular program and must describe the index's components and any relevant differences between the index and the program's investments. </w:t>
      </w:r>
    </w:p>
    <w:p w14:paraId="1FC67232" w14:textId="77777777" w:rsidR="003215AA" w:rsidRPr="00093036" w:rsidRDefault="003215AA" w:rsidP="003E7B18">
      <w:pPr>
        <w:numPr>
          <w:ilvl w:val="0"/>
          <w:numId w:val="214"/>
        </w:numPr>
        <w:spacing w:before="100" w:beforeAutospacing="1" w:after="100" w:afterAutospacing="1"/>
        <w:rPr>
          <w:sz w:val="24"/>
          <w:szCs w:val="24"/>
        </w:rPr>
      </w:pPr>
      <w:r w:rsidRPr="00093036">
        <w:rPr>
          <w:b/>
          <w:bCs/>
          <w:sz w:val="24"/>
          <w:szCs w:val="24"/>
        </w:rPr>
        <w:t>Pictures of Specific Properties</w:t>
      </w:r>
      <w:r w:rsidRPr="00093036">
        <w:rPr>
          <w:sz w:val="24"/>
          <w:szCs w:val="24"/>
        </w:rPr>
        <w:t xml:space="preserve">: Where a communication includes pictures or images of properties that are not owned by the real estate program - such as similar properties owned by other programs the sponsor manages or properties that are collateral for mortgages owned by the program - the pictures must include prominent text explaining that the property is not owned by the program. </w:t>
      </w:r>
    </w:p>
    <w:p w14:paraId="1B1798A5" w14:textId="77777777" w:rsidR="003215AA" w:rsidRPr="00093036" w:rsidRDefault="003215AA" w:rsidP="003E7B18">
      <w:pPr>
        <w:numPr>
          <w:ilvl w:val="0"/>
          <w:numId w:val="214"/>
        </w:numPr>
        <w:spacing w:before="100" w:beforeAutospacing="1" w:after="100" w:afterAutospacing="1"/>
        <w:rPr>
          <w:sz w:val="24"/>
          <w:szCs w:val="24"/>
        </w:rPr>
      </w:pPr>
      <w:r w:rsidRPr="00093036">
        <w:rPr>
          <w:b/>
          <w:bCs/>
          <w:sz w:val="24"/>
          <w:szCs w:val="24"/>
        </w:rPr>
        <w:t>Capitalization Rates:</w:t>
      </w:r>
      <w:r w:rsidRPr="00093036">
        <w:rPr>
          <w:sz w:val="24"/>
          <w:szCs w:val="24"/>
        </w:rPr>
        <w:t xml:space="preserve"> Communications may include the capitalization rate of an individual property within a real estate program if the rate is based on current information contained in the prospectus, and the communication explains (</w:t>
      </w:r>
      <w:proofErr w:type="spellStart"/>
      <w:r w:rsidRPr="00093036">
        <w:rPr>
          <w:sz w:val="24"/>
          <w:szCs w:val="24"/>
        </w:rPr>
        <w:t>i</w:t>
      </w:r>
      <w:proofErr w:type="spellEnd"/>
      <w:r w:rsidRPr="00093036">
        <w:rPr>
          <w:sz w:val="24"/>
          <w:szCs w:val="24"/>
        </w:rPr>
        <w:t>) how the rate was calculated, (ii) that the rate applies to the individual property, and (iii) that it does not reflect a return or distribution from the program itself. In general it is misleading to include a blended capitalization rate representing multiple individual properties as the factors that go into such rates will differ between individual properties.</w:t>
      </w:r>
    </w:p>
    <w:p w14:paraId="7347B96C" w14:textId="77777777" w:rsidR="004679E6" w:rsidRDefault="004679E6" w:rsidP="00EC7A9A">
      <w:pPr>
        <w:ind w:left="360"/>
        <w:rPr>
          <w:color w:val="0000FF"/>
          <w:sz w:val="24"/>
        </w:rPr>
      </w:pPr>
    </w:p>
    <w:p w14:paraId="21A14904" w14:textId="77777777" w:rsidR="004679E6" w:rsidRDefault="00B32866" w:rsidP="00936FEE">
      <w:pPr>
        <w:pStyle w:val="Heading2"/>
      </w:pPr>
      <w:r>
        <w:t>1</w:t>
      </w:r>
      <w:r w:rsidR="00E5056A">
        <w:t>4</w:t>
      </w:r>
      <w:r>
        <w:t>.2</w:t>
      </w:r>
      <w:r w:rsidR="00F57DAC">
        <w:t>8</w:t>
      </w:r>
      <w:r>
        <w:t xml:space="preserve"> </w:t>
      </w:r>
      <w:r w:rsidR="004679E6">
        <w:t>Underwritings</w:t>
      </w:r>
    </w:p>
    <w:p w14:paraId="437ADDC5" w14:textId="77777777" w:rsidR="004679E6" w:rsidRDefault="004679E6" w:rsidP="004679E6">
      <w:pPr>
        <w:jc w:val="both"/>
        <w:rPr>
          <w:sz w:val="24"/>
        </w:rPr>
      </w:pPr>
      <w:r>
        <w:rPr>
          <w:sz w:val="24"/>
        </w:rPr>
        <w:t xml:space="preserve">In relation to new underwritings, it is the Company's intent from time to time to participate in the distribution of new underwritings.  At such time, no participation will be conducted unless the underwriting complies with state and federal rules and regulations.  In accordance with the exemptive provisions of </w:t>
      </w:r>
      <w:r>
        <w:rPr>
          <w:b/>
          <w:bCs/>
          <w:sz w:val="24"/>
        </w:rPr>
        <w:t>SEC Rules 15c3-1</w:t>
      </w:r>
      <w:r>
        <w:rPr>
          <w:sz w:val="24"/>
        </w:rPr>
        <w:t xml:space="preserve"> and </w:t>
      </w:r>
      <w:r>
        <w:rPr>
          <w:b/>
          <w:bCs/>
          <w:sz w:val="24"/>
        </w:rPr>
        <w:t>15c3-3</w:t>
      </w:r>
      <w:r>
        <w:rPr>
          <w:sz w:val="24"/>
        </w:rPr>
        <w:t xml:space="preserve"> the Company will participate in new underwritings on a "Best Efforts" basis.  It is also the Company's intent to spend the time and effort necessary, based on its abilities, to research and evaluate each and every security vehicle which it intends to merchandise.  </w:t>
      </w:r>
    </w:p>
    <w:p w14:paraId="5B9A94B3" w14:textId="77777777" w:rsidR="004679E6" w:rsidRDefault="004679E6" w:rsidP="004679E6">
      <w:pPr>
        <w:jc w:val="both"/>
        <w:rPr>
          <w:sz w:val="24"/>
        </w:rPr>
      </w:pPr>
    </w:p>
    <w:p w14:paraId="54477177" w14:textId="11DC750B" w:rsidR="004679E6" w:rsidRDefault="004679E6" w:rsidP="004679E6">
      <w:pPr>
        <w:jc w:val="both"/>
        <w:rPr>
          <w:sz w:val="24"/>
        </w:rPr>
      </w:pPr>
      <w:r>
        <w:rPr>
          <w:sz w:val="24"/>
        </w:rPr>
        <w:t xml:space="preserve">Furthermore, it is the Company's intent to offer to the public only those securities in which the Company can ethically and morally have confidence.  It is also the Company's intent to keep any and all Associated Persons highly informed with pertinent information related to each situation.  This can be maintained through meetings, close </w:t>
      </w:r>
      <w:r w:rsidR="00B33A95">
        <w:rPr>
          <w:sz w:val="24"/>
        </w:rPr>
        <w:t>supervision,</w:t>
      </w:r>
      <w:r>
        <w:rPr>
          <w:sz w:val="24"/>
        </w:rPr>
        <w:t xml:space="preserve"> and genuine interest on the part of each designated person.  The purpose of the meetings will be to discuss thoroughly the nature of any security, underwriting or offering in which the Company participates.  The discussions will include the type of investment, necessary investor </w:t>
      </w:r>
      <w:r w:rsidR="00BD17CF" w:rsidRPr="00BD17CF">
        <w:rPr>
          <w:color w:val="FF0000"/>
          <w:sz w:val="24"/>
        </w:rPr>
        <w:t>BI</w:t>
      </w:r>
      <w:r>
        <w:rPr>
          <w:sz w:val="24"/>
        </w:rPr>
        <w:t xml:space="preserve">, special risks, financial </w:t>
      </w:r>
      <w:r w:rsidR="00B33A95">
        <w:rPr>
          <w:sz w:val="24"/>
        </w:rPr>
        <w:t>history,</w:t>
      </w:r>
      <w:r>
        <w:rPr>
          <w:sz w:val="24"/>
        </w:rPr>
        <w:t xml:space="preserve"> and other general information relative to keeping the merchandising of such vehicle on a high ethical basis.</w:t>
      </w:r>
    </w:p>
    <w:p w14:paraId="53D8C549" w14:textId="77777777" w:rsidR="004679E6" w:rsidRDefault="004679E6" w:rsidP="004679E6">
      <w:pPr>
        <w:rPr>
          <w:sz w:val="24"/>
        </w:rPr>
      </w:pPr>
    </w:p>
    <w:p w14:paraId="3E15604E" w14:textId="77777777" w:rsidR="004679E6" w:rsidRDefault="004679E6" w:rsidP="004679E6">
      <w:pPr>
        <w:jc w:val="both"/>
        <w:rPr>
          <w:sz w:val="24"/>
        </w:rPr>
      </w:pPr>
      <w:r>
        <w:rPr>
          <w:sz w:val="24"/>
        </w:rPr>
        <w:t xml:space="preserve">All underwriting activities will be supervised by Morris Monroe. Further, Morris Monroe will be responsible for the structuring, packaging and marketing of private placements and public offerings sponsored by the Company. </w:t>
      </w:r>
    </w:p>
    <w:p w14:paraId="551C618F" w14:textId="77777777" w:rsidR="004679E6" w:rsidRDefault="004679E6" w:rsidP="004679E6">
      <w:pPr>
        <w:jc w:val="both"/>
        <w:rPr>
          <w:sz w:val="24"/>
        </w:rPr>
      </w:pPr>
    </w:p>
    <w:p w14:paraId="3CD780E4" w14:textId="77777777" w:rsidR="004679E6" w:rsidRDefault="004679E6" w:rsidP="004679E6">
      <w:pPr>
        <w:jc w:val="both"/>
        <w:rPr>
          <w:sz w:val="24"/>
        </w:rPr>
      </w:pPr>
      <w:r>
        <w:rPr>
          <w:sz w:val="24"/>
        </w:rPr>
        <w:t xml:space="preserve">In order to prevent possible violations of </w:t>
      </w:r>
      <w:r>
        <w:rPr>
          <w:b/>
          <w:bCs/>
          <w:sz w:val="24"/>
        </w:rPr>
        <w:t>SEC Rule 10b-9</w:t>
      </w:r>
      <w:r>
        <w:rPr>
          <w:sz w:val="24"/>
        </w:rPr>
        <w:t xml:space="preserve"> and </w:t>
      </w:r>
      <w:r w:rsidR="00B32866">
        <w:rPr>
          <w:sz w:val="24"/>
        </w:rPr>
        <w:t xml:space="preserve">FINRA </w:t>
      </w:r>
      <w:r w:rsidRPr="00B32866">
        <w:rPr>
          <w:bCs/>
          <w:sz w:val="24"/>
        </w:rPr>
        <w:t>Rule</w:t>
      </w:r>
      <w:r>
        <w:rPr>
          <w:b/>
          <w:bCs/>
          <w:sz w:val="24"/>
        </w:rPr>
        <w:t xml:space="preserve"> </w:t>
      </w:r>
      <w:r w:rsidRPr="00AA03AA">
        <w:rPr>
          <w:b/>
          <w:bCs/>
          <w:sz w:val="24"/>
        </w:rPr>
        <w:t>5130</w:t>
      </w:r>
      <w:r>
        <w:rPr>
          <w:sz w:val="24"/>
        </w:rPr>
        <w:t xml:space="preserve">, it shall be a policy of the Company that no registered or non-registered Associated Person or their immediate family shall be allowed to participate in new equity issues that are immediately traded in the secondary market, without the prior approval of Morris Monroe. </w:t>
      </w:r>
    </w:p>
    <w:p w14:paraId="327891C8" w14:textId="77777777" w:rsidR="004679E6" w:rsidRDefault="004679E6" w:rsidP="004679E6">
      <w:pPr>
        <w:jc w:val="both"/>
        <w:rPr>
          <w:sz w:val="24"/>
        </w:rPr>
      </w:pPr>
    </w:p>
    <w:p w14:paraId="567D6F29" w14:textId="77777777" w:rsidR="004679E6" w:rsidRDefault="004679E6" w:rsidP="004679E6">
      <w:pPr>
        <w:jc w:val="both"/>
        <w:rPr>
          <w:sz w:val="24"/>
        </w:rPr>
      </w:pPr>
      <w:r>
        <w:rPr>
          <w:sz w:val="24"/>
        </w:rPr>
        <w:t xml:space="preserve">In accordance with </w:t>
      </w:r>
      <w:hyperlink r:id="rId103" w:anchor="c.1" w:history="1">
        <w:r>
          <w:rPr>
            <w:rStyle w:val="Hyperlink"/>
            <w:color w:val="auto"/>
            <w:sz w:val="24"/>
          </w:rPr>
          <w:t>SEC Rule 15(c)(1)</w:t>
        </w:r>
      </w:hyperlink>
      <w:r>
        <w:rPr>
          <w:sz w:val="24"/>
        </w:rPr>
        <w:t>, the Company shall provide written disclosure to potential customers any existence of control with the Issuer as prescribed in the rule before entering into any contract with or for such customer for the purchase or sale of such security.</w:t>
      </w:r>
    </w:p>
    <w:p w14:paraId="251E5901" w14:textId="77777777" w:rsidR="004679E6" w:rsidRDefault="004679E6" w:rsidP="004679E6">
      <w:pPr>
        <w:jc w:val="both"/>
        <w:rPr>
          <w:sz w:val="24"/>
        </w:rPr>
      </w:pPr>
    </w:p>
    <w:p w14:paraId="18493E6D" w14:textId="129DBC5A" w:rsidR="004679E6" w:rsidRDefault="004679E6" w:rsidP="004679E6">
      <w:pPr>
        <w:jc w:val="both"/>
        <w:rPr>
          <w:sz w:val="24"/>
        </w:rPr>
      </w:pPr>
      <w:r>
        <w:rPr>
          <w:sz w:val="24"/>
        </w:rPr>
        <w:t xml:space="preserve">All employee accounts and family related accounts shall be reviewed by Morris Monroe at the time of the underwriting to </w:t>
      </w:r>
      <w:r w:rsidR="00B33A95">
        <w:rPr>
          <w:sz w:val="24"/>
        </w:rPr>
        <w:t>ensure</w:t>
      </w:r>
      <w:r>
        <w:rPr>
          <w:sz w:val="24"/>
        </w:rPr>
        <w:t xml:space="preserve"> compliance with the free-riding and withholding provisions if applicable.  A log of such review shall be maintained reflecting the accounts which have been reviewed, the date of the review, the signature of the principal conducting the review and any problems or irregularities cited during the review. Employee and Employee-related accounts will refrain from executing trades in securities in which the Company plans on participating in an underwriting for, within 3 days prior to the underwriting or selling group participation, without prior approval of Morris Monroe. </w:t>
      </w:r>
    </w:p>
    <w:p w14:paraId="4CECA4E1" w14:textId="77777777" w:rsidR="004679E6" w:rsidRDefault="004679E6" w:rsidP="004679E6">
      <w:pPr>
        <w:jc w:val="both"/>
        <w:rPr>
          <w:sz w:val="24"/>
        </w:rPr>
      </w:pPr>
    </w:p>
    <w:p w14:paraId="2D7E17F1" w14:textId="77777777" w:rsidR="004679E6" w:rsidRPr="000C099C" w:rsidRDefault="004679E6" w:rsidP="004679E6">
      <w:pPr>
        <w:jc w:val="both"/>
        <w:rPr>
          <w:sz w:val="24"/>
        </w:rPr>
      </w:pPr>
      <w:r>
        <w:rPr>
          <w:sz w:val="24"/>
        </w:rPr>
        <w:t xml:space="preserve">Further, the Company shall use its best efforts to inquire of an issuer as to whether any associated person of the issuer will be participating in the distribution of units or securities proposed to be offered by the Company. The Company shall take reasonable steps to require proof of compliance with </w:t>
      </w:r>
      <w:r>
        <w:rPr>
          <w:b/>
          <w:bCs/>
          <w:sz w:val="24"/>
        </w:rPr>
        <w:t>SEC Rule 3a4-1</w:t>
      </w:r>
      <w:r>
        <w:rPr>
          <w:sz w:val="24"/>
        </w:rPr>
        <w:t xml:space="preserve"> by the issuer and its associated person(s). The Company shall further have its legal counsel review the transaction for compliance with </w:t>
      </w:r>
      <w:r>
        <w:rPr>
          <w:b/>
          <w:bCs/>
          <w:sz w:val="24"/>
        </w:rPr>
        <w:t>Rule 2420</w:t>
      </w:r>
      <w:r>
        <w:rPr>
          <w:sz w:val="24"/>
        </w:rPr>
        <w:t xml:space="preserve"> of </w:t>
      </w:r>
      <w:r w:rsidRPr="000C099C">
        <w:rPr>
          <w:sz w:val="24"/>
        </w:rPr>
        <w:t>FINRA Rules.</w:t>
      </w:r>
    </w:p>
    <w:p w14:paraId="596947F9" w14:textId="77777777" w:rsidR="004679E6" w:rsidRPr="000C099C" w:rsidRDefault="004679E6" w:rsidP="004679E6">
      <w:pPr>
        <w:jc w:val="both"/>
        <w:rPr>
          <w:sz w:val="24"/>
        </w:rPr>
      </w:pPr>
    </w:p>
    <w:p w14:paraId="36FB09FA" w14:textId="77777777" w:rsidR="004679E6" w:rsidRPr="000C099C" w:rsidRDefault="004679E6" w:rsidP="004679E6">
      <w:pPr>
        <w:jc w:val="both"/>
        <w:rPr>
          <w:sz w:val="24"/>
        </w:rPr>
      </w:pPr>
      <w:r w:rsidRPr="000C099C">
        <w:rPr>
          <w:sz w:val="24"/>
        </w:rPr>
        <w:t xml:space="preserve">The Company shall use its best efforts to perform a due diligence review of all prospective issuers prior to participating in the distribution of units or securities on behalf of such issuer, in an effort to determine that said issue is in compliance with </w:t>
      </w:r>
      <w:r w:rsidRPr="000C099C">
        <w:rPr>
          <w:b/>
          <w:bCs/>
          <w:sz w:val="24"/>
        </w:rPr>
        <w:t>SEC Rules 10b-5</w:t>
      </w:r>
      <w:r w:rsidRPr="000C099C">
        <w:rPr>
          <w:sz w:val="24"/>
        </w:rPr>
        <w:t xml:space="preserve"> and </w:t>
      </w:r>
      <w:r w:rsidRPr="000C099C">
        <w:rPr>
          <w:b/>
          <w:bCs/>
          <w:sz w:val="24"/>
        </w:rPr>
        <w:t>10b-6</w:t>
      </w:r>
      <w:r w:rsidRPr="000C099C">
        <w:rPr>
          <w:sz w:val="24"/>
        </w:rPr>
        <w:t xml:space="preserve">.  In addition, pursuant to </w:t>
      </w:r>
      <w:r w:rsidRPr="000C099C">
        <w:rPr>
          <w:bCs/>
          <w:sz w:val="24"/>
        </w:rPr>
        <w:t>FINRA</w:t>
      </w:r>
      <w:r w:rsidRPr="000C099C">
        <w:rPr>
          <w:b/>
          <w:bCs/>
          <w:sz w:val="24"/>
        </w:rPr>
        <w:t xml:space="preserve"> Rule 2310</w:t>
      </w:r>
      <w:r w:rsidRPr="000C099C">
        <w:rPr>
          <w:sz w:val="24"/>
        </w:rPr>
        <w:t>, customer suitability shall be ascertained for any prospective purchasers.</w:t>
      </w:r>
    </w:p>
    <w:p w14:paraId="57BA9296" w14:textId="77777777" w:rsidR="004679E6" w:rsidRDefault="004679E6" w:rsidP="004679E6">
      <w:pPr>
        <w:jc w:val="both"/>
        <w:rPr>
          <w:sz w:val="24"/>
        </w:rPr>
      </w:pPr>
    </w:p>
    <w:p w14:paraId="2B966B5F" w14:textId="77777777" w:rsidR="004679E6" w:rsidRDefault="004679E6" w:rsidP="004679E6">
      <w:pPr>
        <w:jc w:val="both"/>
        <w:rPr>
          <w:sz w:val="24"/>
        </w:rPr>
      </w:pPr>
      <w:r>
        <w:rPr>
          <w:sz w:val="24"/>
        </w:rPr>
        <w:t xml:space="preserve">In accordance with </w:t>
      </w:r>
      <w:r>
        <w:rPr>
          <w:b/>
          <w:bCs/>
          <w:sz w:val="24"/>
        </w:rPr>
        <w:t>SEC Rule 15c2-8</w:t>
      </w:r>
      <w:r>
        <w:rPr>
          <w:sz w:val="24"/>
        </w:rPr>
        <w:t xml:space="preserve">, the Company shall take reasonable steps to make available a copy of the preliminary prospectus relating to such securities to each of its associated persons who is expected, prior to the effective date, to solicit </w:t>
      </w:r>
      <w:r w:rsidR="00EB36DF">
        <w:rPr>
          <w:sz w:val="24"/>
        </w:rPr>
        <w:t>customers’</w:t>
      </w:r>
      <w:r>
        <w:rPr>
          <w:sz w:val="24"/>
        </w:rPr>
        <w:t xml:space="preserve"> orders for such securities before the making of any such solicitation by the associated person and to make available to each associated person a copy of any amended preliminary prospectus promptly after the filing thereof. </w:t>
      </w:r>
      <w:r>
        <w:rPr>
          <w:sz w:val="24"/>
        </w:rPr>
        <w:lastRenderedPageBreak/>
        <w:t xml:space="preserve">The Company shall also take reasonable steps to make available a copy of the final prospectus relating to such securities to each of its associated persons who is expected, after to the effective date, to solicit </w:t>
      </w:r>
      <w:r w:rsidR="00EB36DF">
        <w:rPr>
          <w:sz w:val="24"/>
        </w:rPr>
        <w:t>customers’</w:t>
      </w:r>
      <w:r>
        <w:rPr>
          <w:sz w:val="24"/>
        </w:rPr>
        <w:t xml:space="preserve"> orders for such securities before the making of any such solicitation by the associated person, unless a preliminary prospectus which is substantially the same as the final prospectus except for matters relating to the price of the stocks, has been made available to the Company's associated persons.</w:t>
      </w:r>
    </w:p>
    <w:p w14:paraId="44A1DE0C" w14:textId="77777777" w:rsidR="004679E6" w:rsidRDefault="004679E6" w:rsidP="004679E6">
      <w:pPr>
        <w:jc w:val="both"/>
        <w:rPr>
          <w:sz w:val="24"/>
        </w:rPr>
      </w:pPr>
    </w:p>
    <w:p w14:paraId="10D05797" w14:textId="77777777" w:rsidR="004679E6" w:rsidRDefault="004679E6" w:rsidP="004679E6">
      <w:pPr>
        <w:jc w:val="both"/>
        <w:rPr>
          <w:sz w:val="24"/>
        </w:rPr>
      </w:pPr>
      <w:r>
        <w:rPr>
          <w:sz w:val="24"/>
        </w:rPr>
        <w:t xml:space="preserve">The Company shall further cause to be forwarded or forward a copy of the preliminary prospectus to any person who is expected to receive a confirmation of sale at least 48 hours prior to the mailing of such confirmation, unless the transaction is otherwise exempt from such delivery requirements in accordance with Section 174 of the Securities Act of 1933 ("33 Act").  Further, the Company shall take reasonable steps to furnish to any person who makes written request for a preliminary prospectus between the filing date and a reasonable time prior to the effective date of the registration statement to which the prospectus relates. The Company shall also take reasonable steps to furnish to any person who makes written request for a final prospectus between the effective date of the offering and the termination date of such distribution or the expiration of the applicable </w:t>
      </w:r>
      <w:r w:rsidR="00E5056A">
        <w:rPr>
          <w:sz w:val="24"/>
        </w:rPr>
        <w:t>40- or 90-day</w:t>
      </w:r>
      <w:r>
        <w:rPr>
          <w:sz w:val="24"/>
        </w:rPr>
        <w:t xml:space="preserve"> period under section 4(3) of the '33 Act. Accordingly, it shall be the responsibility of Morris Monroe to review the requirements of each offering as they relate to </w:t>
      </w:r>
      <w:r>
        <w:rPr>
          <w:b/>
          <w:bCs/>
          <w:sz w:val="24"/>
        </w:rPr>
        <w:t>SEC Rules 15c2-8</w:t>
      </w:r>
      <w:r>
        <w:rPr>
          <w:sz w:val="24"/>
        </w:rPr>
        <w:t xml:space="preserve"> and </w:t>
      </w:r>
      <w:r>
        <w:rPr>
          <w:b/>
          <w:bCs/>
          <w:sz w:val="24"/>
        </w:rPr>
        <w:t>Section 174 of the '33 Act</w:t>
      </w:r>
      <w:r>
        <w:rPr>
          <w:sz w:val="24"/>
        </w:rPr>
        <w:t xml:space="preserve"> and to oversee the distribution of prospectuses required thereunder.</w:t>
      </w:r>
    </w:p>
    <w:p w14:paraId="23BCFE8B" w14:textId="77777777" w:rsidR="004679E6" w:rsidRDefault="004679E6" w:rsidP="004679E6">
      <w:pPr>
        <w:jc w:val="both"/>
        <w:rPr>
          <w:sz w:val="24"/>
        </w:rPr>
      </w:pPr>
    </w:p>
    <w:p w14:paraId="247DE74D" w14:textId="77777777" w:rsidR="004679E6" w:rsidRDefault="004679E6" w:rsidP="004679E6">
      <w:pPr>
        <w:jc w:val="both"/>
        <w:rPr>
          <w:sz w:val="24"/>
        </w:rPr>
      </w:pPr>
      <w:r>
        <w:rPr>
          <w:sz w:val="24"/>
        </w:rPr>
        <w:t xml:space="preserve">During the course of the underwriting, Morris Monroe shall review the daily trade blotters for any short sale transactions in securities for which a public offering of such securities is being made and which might be covered with securities subject to a registration statement under the '33 Act.  Such transactions shall be reviewed for compliance with </w:t>
      </w:r>
      <w:r>
        <w:rPr>
          <w:b/>
          <w:bCs/>
          <w:sz w:val="24"/>
        </w:rPr>
        <w:t>SEC Rule 10b-21</w:t>
      </w:r>
      <w:r>
        <w:rPr>
          <w:sz w:val="24"/>
        </w:rPr>
        <w:t>.  All customer records will be kept at the corporate office of the Company.</w:t>
      </w:r>
    </w:p>
    <w:p w14:paraId="0D1F2F6C" w14:textId="77777777" w:rsidR="004679E6" w:rsidRDefault="004679E6" w:rsidP="004679E6">
      <w:pPr>
        <w:jc w:val="both"/>
        <w:rPr>
          <w:sz w:val="24"/>
        </w:rPr>
      </w:pPr>
    </w:p>
    <w:p w14:paraId="006AE96D" w14:textId="77777777" w:rsidR="00B32866" w:rsidRDefault="00B32866" w:rsidP="004679E6">
      <w:pPr>
        <w:jc w:val="both"/>
        <w:rPr>
          <w:sz w:val="24"/>
        </w:rPr>
      </w:pPr>
    </w:p>
    <w:p w14:paraId="2089AE00" w14:textId="77777777" w:rsidR="00B32866" w:rsidRDefault="00B32866" w:rsidP="00936FEE">
      <w:pPr>
        <w:pStyle w:val="Heading2"/>
      </w:pPr>
      <w:bookmarkStart w:id="265" w:name="Rule144"/>
      <w:bookmarkEnd w:id="265"/>
      <w:r>
        <w:t>1</w:t>
      </w:r>
      <w:r w:rsidR="00E5056A">
        <w:t>4</w:t>
      </w:r>
      <w:r>
        <w:t>.2</w:t>
      </w:r>
      <w:r w:rsidR="00F57DAC">
        <w:t>9</w:t>
      </w:r>
      <w:r>
        <w:t xml:space="preserve"> </w:t>
      </w:r>
      <w:r w:rsidR="004679E6">
        <w:t xml:space="preserve">Rule 144 Sales </w:t>
      </w:r>
    </w:p>
    <w:p w14:paraId="5CE500B4" w14:textId="77777777" w:rsidR="004679E6" w:rsidRDefault="004679E6" w:rsidP="004679E6">
      <w:pPr>
        <w:jc w:val="both"/>
        <w:rPr>
          <w:sz w:val="24"/>
        </w:rPr>
      </w:pPr>
      <w:r>
        <w:rPr>
          <w:sz w:val="24"/>
        </w:rPr>
        <w:t xml:space="preserve">With respect to securities transactions subject to the restrictions of </w:t>
      </w:r>
      <w:r>
        <w:rPr>
          <w:b/>
          <w:bCs/>
          <w:sz w:val="24"/>
        </w:rPr>
        <w:t>SEC Rule 144</w:t>
      </w:r>
      <w:r>
        <w:rPr>
          <w:sz w:val="24"/>
        </w:rPr>
        <w:t>, it shall be a policy of the Company that, where the Company is not a market maker in the subject security, all such transactions shall be conducted on an agency basis only. All Rule 144 transactions shall be reviewed and approved by Morris Monroe or his designee.</w:t>
      </w:r>
    </w:p>
    <w:p w14:paraId="5858E267" w14:textId="77777777" w:rsidR="004679E6" w:rsidRDefault="004679E6" w:rsidP="004679E6">
      <w:pPr>
        <w:jc w:val="both"/>
        <w:rPr>
          <w:sz w:val="24"/>
        </w:rPr>
      </w:pPr>
    </w:p>
    <w:p w14:paraId="64F265E1" w14:textId="77777777" w:rsidR="00B32866" w:rsidRDefault="00B32866" w:rsidP="004679E6">
      <w:pPr>
        <w:jc w:val="both"/>
        <w:rPr>
          <w:i/>
          <w:color w:val="0000FF"/>
          <w:sz w:val="24"/>
        </w:rPr>
      </w:pPr>
    </w:p>
    <w:p w14:paraId="423B481F" w14:textId="77777777" w:rsidR="00B32866" w:rsidRDefault="00B32866" w:rsidP="00936FEE">
      <w:pPr>
        <w:pStyle w:val="Heading2"/>
      </w:pPr>
      <w:r>
        <w:t>1</w:t>
      </w:r>
      <w:r w:rsidR="00E5056A">
        <w:t>4</w:t>
      </w:r>
      <w:r>
        <w:t>.</w:t>
      </w:r>
      <w:r w:rsidR="00F57DAC">
        <w:t>30</w:t>
      </w:r>
      <w:r>
        <w:t xml:space="preserve"> </w:t>
      </w:r>
      <w:r w:rsidR="004679E6">
        <w:t xml:space="preserve">Rule 10b-10 </w:t>
      </w:r>
    </w:p>
    <w:p w14:paraId="774AAFDD" w14:textId="2DD124D8" w:rsidR="004679E6" w:rsidRDefault="004679E6" w:rsidP="004679E6">
      <w:pPr>
        <w:jc w:val="both"/>
        <w:rPr>
          <w:sz w:val="24"/>
        </w:rPr>
      </w:pPr>
      <w:r>
        <w:rPr>
          <w:sz w:val="24"/>
        </w:rPr>
        <w:t xml:space="preserve">With respect to all riskless principal transactions, all confirmations issued for said transactions shall clearly reflect the markup or markdown taken by </w:t>
      </w:r>
      <w:r w:rsidR="0049785F">
        <w:rPr>
          <w:sz w:val="24"/>
        </w:rPr>
        <w:t>the Company</w:t>
      </w:r>
      <w:r>
        <w:rPr>
          <w:sz w:val="24"/>
        </w:rPr>
        <w:t xml:space="preserve"> with respect to said transaction. To </w:t>
      </w:r>
      <w:r w:rsidR="00B33A95">
        <w:rPr>
          <w:sz w:val="24"/>
        </w:rPr>
        <w:t>ensure</w:t>
      </w:r>
      <w:r>
        <w:rPr>
          <w:sz w:val="24"/>
        </w:rPr>
        <w:t xml:space="preserve"> compliance with </w:t>
      </w:r>
      <w:r>
        <w:rPr>
          <w:b/>
          <w:bCs/>
          <w:sz w:val="24"/>
        </w:rPr>
        <w:t>Rule 10b-10</w:t>
      </w:r>
      <w:r>
        <w:rPr>
          <w:sz w:val="24"/>
        </w:rPr>
        <w:t>, all confirmations issued on riskless principal transactions shall be reviewed and approved by Morris Monroe, his designee, or the designated principal.</w:t>
      </w:r>
    </w:p>
    <w:p w14:paraId="0749B2FD" w14:textId="77777777" w:rsidR="004679E6" w:rsidRDefault="004679E6" w:rsidP="004679E6">
      <w:pPr>
        <w:jc w:val="both"/>
        <w:rPr>
          <w:sz w:val="24"/>
        </w:rPr>
      </w:pPr>
    </w:p>
    <w:p w14:paraId="31645792" w14:textId="77777777" w:rsidR="005A4EA0" w:rsidRDefault="005A4EA0" w:rsidP="00936FEE">
      <w:pPr>
        <w:pStyle w:val="Heading2"/>
      </w:pPr>
      <w:bookmarkStart w:id="266" w:name="PPFreeRidingWH"/>
      <w:bookmarkEnd w:id="266"/>
      <w:r w:rsidRPr="005A4EA0">
        <w:t>1</w:t>
      </w:r>
      <w:r w:rsidR="00E5056A">
        <w:t>4</w:t>
      </w:r>
      <w:r w:rsidRPr="005A4EA0">
        <w:t>.</w:t>
      </w:r>
      <w:r w:rsidR="00FA64F9">
        <w:t>3</w:t>
      </w:r>
      <w:r w:rsidR="00F57DAC">
        <w:t>1</w:t>
      </w:r>
      <w:r w:rsidRPr="005A4EA0">
        <w:t xml:space="preserve"> FINRA </w:t>
      </w:r>
      <w:r w:rsidR="004679E6" w:rsidRPr="005A4EA0">
        <w:t>Rule 5130</w:t>
      </w:r>
      <w:r w:rsidRPr="005A4EA0">
        <w:t xml:space="preserve"> -</w:t>
      </w:r>
      <w:r>
        <w:rPr>
          <w:i/>
          <w:color w:val="0000FF"/>
        </w:rPr>
        <w:t xml:space="preserve"> </w:t>
      </w:r>
      <w:r>
        <w:t>Restrictions on the Purchase and Sale of Initial Equity Public Offerings</w:t>
      </w:r>
      <w:r w:rsidR="004679E6">
        <w:t xml:space="preserve">   </w:t>
      </w:r>
    </w:p>
    <w:p w14:paraId="718056B3" w14:textId="77777777" w:rsidR="004679E6" w:rsidRPr="007206D9" w:rsidRDefault="004679E6" w:rsidP="004679E6">
      <w:pPr>
        <w:autoSpaceDE w:val="0"/>
        <w:autoSpaceDN w:val="0"/>
        <w:adjustRightInd w:val="0"/>
        <w:jc w:val="both"/>
        <w:rPr>
          <w:b/>
          <w:sz w:val="24"/>
        </w:rPr>
      </w:pPr>
      <w:r w:rsidRPr="001C0D52">
        <w:rPr>
          <w:sz w:val="24"/>
        </w:rPr>
        <w:t>In accordance with</w:t>
      </w:r>
      <w:r w:rsidRPr="001C0D52">
        <w:rPr>
          <w:b/>
          <w:sz w:val="24"/>
        </w:rPr>
        <w:t xml:space="preserve"> </w:t>
      </w:r>
      <w:r w:rsidRPr="001C0D52">
        <w:rPr>
          <w:sz w:val="24"/>
          <w:szCs w:val="24"/>
        </w:rPr>
        <w:t xml:space="preserve">FINRA Rule 5130, to protect the integrity of an initial public offering (IPO) process, the Company, if applicable, will ensure that: (1) it makes bona fide public offerings of securities at the offering price; (2) not withhold securities in a public offering for its own benefit </w:t>
      </w:r>
      <w:r w:rsidRPr="001C0D52">
        <w:rPr>
          <w:sz w:val="24"/>
          <w:szCs w:val="24"/>
        </w:rPr>
        <w:lastRenderedPageBreak/>
        <w:t>or use such securities to reward persons who are in a position to direct future business to Company; and (3) industry insiders, including Company and Associated Persons, do not take advantage of any insider position to purchase new issues for their own benefit at the expense of public customers.</w:t>
      </w:r>
      <w:r w:rsidRPr="007206D9">
        <w:rPr>
          <w:color w:val="FF0000"/>
          <w:sz w:val="24"/>
          <w:szCs w:val="24"/>
        </w:rPr>
        <w:t xml:space="preserve"> </w:t>
      </w:r>
      <w:r>
        <w:rPr>
          <w:sz w:val="24"/>
        </w:rPr>
        <w:t>With respect to the sale of all new issues to institutional accounts, the Company shall distribute</w:t>
      </w:r>
      <w:r w:rsidR="00B30BBD">
        <w:rPr>
          <w:sz w:val="24"/>
        </w:rPr>
        <w:t xml:space="preserve"> </w:t>
      </w:r>
      <w:r w:rsidR="008D6436">
        <w:rPr>
          <w:sz w:val="24"/>
        </w:rPr>
        <w:t>a Questionnaire</w:t>
      </w:r>
      <w:r>
        <w:rPr>
          <w:sz w:val="24"/>
        </w:rPr>
        <w:t xml:space="preserve"> requesting information on beneficial ownership and or officers of the institution prior to effecting the transaction for first time purchasers and or new customers of the Company.  All such Questionnaires will be reviewed and approved by Morris Monroe.  A copy of said Questionnaires shall be maintained in the customer file with copies in the respective underwriting files.</w:t>
      </w:r>
    </w:p>
    <w:p w14:paraId="638B08FC" w14:textId="77777777" w:rsidR="004679E6" w:rsidRDefault="004679E6" w:rsidP="004679E6">
      <w:pPr>
        <w:jc w:val="both"/>
        <w:rPr>
          <w:sz w:val="24"/>
        </w:rPr>
      </w:pPr>
    </w:p>
    <w:p w14:paraId="67E4A467" w14:textId="77777777" w:rsidR="005A4EA0" w:rsidRDefault="005A4EA0" w:rsidP="004679E6">
      <w:pPr>
        <w:pStyle w:val="HTMLPreformatted"/>
        <w:rPr>
          <w:rFonts w:ascii="Times New Roman" w:hAnsi="Times New Roman" w:cs="Times New Roman"/>
          <w:i/>
          <w:iCs/>
          <w:color w:val="0000FF"/>
          <w:sz w:val="24"/>
        </w:rPr>
      </w:pPr>
    </w:p>
    <w:p w14:paraId="49840318" w14:textId="77777777" w:rsidR="005A4EA0" w:rsidRDefault="005A4EA0" w:rsidP="00936FEE">
      <w:pPr>
        <w:pStyle w:val="Heading2"/>
      </w:pPr>
      <w:r>
        <w:t>1</w:t>
      </w:r>
      <w:r w:rsidR="00E5056A">
        <w:t>4</w:t>
      </w:r>
      <w:r>
        <w:t>.</w:t>
      </w:r>
      <w:r w:rsidR="00066E43">
        <w:t>3</w:t>
      </w:r>
      <w:r w:rsidR="00F57DAC">
        <w:t>2</w:t>
      </w:r>
      <w:r>
        <w:t xml:space="preserve"> </w:t>
      </w:r>
      <w:r w:rsidR="004679E6">
        <w:t xml:space="preserve">Regulation M  </w:t>
      </w:r>
    </w:p>
    <w:p w14:paraId="68779D56" w14:textId="77777777" w:rsidR="004679E6" w:rsidRDefault="004679E6" w:rsidP="004679E6">
      <w:pPr>
        <w:pStyle w:val="HTMLPreformatted"/>
        <w:rPr>
          <w:rFonts w:ascii="Times New Roman" w:hAnsi="Times New Roman" w:cs="Times New Roman"/>
          <w:i/>
          <w:iCs/>
          <w:sz w:val="24"/>
        </w:rPr>
      </w:pPr>
      <w:r>
        <w:rPr>
          <w:rFonts w:ascii="Times New Roman" w:hAnsi="Times New Roman" w:cs="Times New Roman"/>
          <w:sz w:val="24"/>
        </w:rPr>
        <w:t>The Company does not participate in Regulation M offerings (secondary issue offerings).</w:t>
      </w:r>
    </w:p>
    <w:p w14:paraId="4FDBE27A" w14:textId="77777777" w:rsidR="004679E6" w:rsidRDefault="004679E6" w:rsidP="004679E6">
      <w:pPr>
        <w:jc w:val="both"/>
        <w:rPr>
          <w:sz w:val="24"/>
        </w:rPr>
      </w:pPr>
    </w:p>
    <w:p w14:paraId="418C5449" w14:textId="77777777" w:rsidR="00D01377" w:rsidRDefault="00D01377" w:rsidP="004679E6">
      <w:pPr>
        <w:autoSpaceDE w:val="0"/>
        <w:autoSpaceDN w:val="0"/>
        <w:adjustRightInd w:val="0"/>
        <w:rPr>
          <w:i/>
          <w:iCs/>
          <w:color w:val="0000FF"/>
          <w:sz w:val="24"/>
        </w:rPr>
      </w:pPr>
    </w:p>
    <w:p w14:paraId="3F8A58EC" w14:textId="77777777" w:rsidR="004679E6" w:rsidRDefault="005A4EA0" w:rsidP="00936FEE">
      <w:pPr>
        <w:pStyle w:val="Heading2"/>
      </w:pPr>
      <w:r>
        <w:t>1</w:t>
      </w:r>
      <w:r w:rsidR="00E5056A">
        <w:t>4</w:t>
      </w:r>
      <w:r>
        <w:t>.3</w:t>
      </w:r>
      <w:r w:rsidR="00F57DAC">
        <w:t>3</w:t>
      </w:r>
      <w:r>
        <w:t xml:space="preserve"> </w:t>
      </w:r>
      <w:r w:rsidR="004679E6">
        <w:t xml:space="preserve">Non-Cash Compensation </w:t>
      </w:r>
    </w:p>
    <w:p w14:paraId="39823EDC" w14:textId="77777777" w:rsidR="00C7655E" w:rsidRPr="00E503D6" w:rsidRDefault="00324CD1" w:rsidP="004679E6">
      <w:pPr>
        <w:autoSpaceDE w:val="0"/>
        <w:autoSpaceDN w:val="0"/>
        <w:adjustRightInd w:val="0"/>
        <w:rPr>
          <w:sz w:val="24"/>
        </w:rPr>
      </w:pPr>
      <w:r w:rsidRPr="00E503D6">
        <w:rPr>
          <w:sz w:val="24"/>
        </w:rPr>
        <w:t>Regulatory rules restrict compensation relating to the sale and distribution of debt, equity, direct participation program (DPP), REIT securities, and municipal securities. Associated Persons may not accept (directly or indirectly) cash or non-cash compensation from outside firms or person.  The only exception includes compensation arrangements specifically approved by the Company.</w:t>
      </w:r>
    </w:p>
    <w:p w14:paraId="54B251B1" w14:textId="77777777" w:rsidR="00324CD1" w:rsidRPr="00E503D6" w:rsidRDefault="00324CD1" w:rsidP="004679E6">
      <w:pPr>
        <w:autoSpaceDE w:val="0"/>
        <w:autoSpaceDN w:val="0"/>
        <w:adjustRightInd w:val="0"/>
        <w:rPr>
          <w:sz w:val="24"/>
        </w:rPr>
      </w:pPr>
    </w:p>
    <w:p w14:paraId="57F4CFFC" w14:textId="77777777" w:rsidR="004679E6" w:rsidRPr="00324CD1" w:rsidRDefault="004679E6" w:rsidP="004679E6">
      <w:pPr>
        <w:autoSpaceDE w:val="0"/>
        <w:autoSpaceDN w:val="0"/>
        <w:adjustRightInd w:val="0"/>
        <w:rPr>
          <w:b/>
          <w:i/>
          <w:sz w:val="24"/>
        </w:rPr>
      </w:pPr>
      <w:r w:rsidRPr="00324CD1">
        <w:rPr>
          <w:b/>
          <w:i/>
          <w:sz w:val="24"/>
        </w:rPr>
        <w:t>Definitions</w:t>
      </w:r>
    </w:p>
    <w:p w14:paraId="65DBEAD5" w14:textId="77777777" w:rsidR="004679E6" w:rsidRDefault="004679E6" w:rsidP="00C7655E">
      <w:pPr>
        <w:autoSpaceDE w:val="0"/>
        <w:autoSpaceDN w:val="0"/>
        <w:adjustRightInd w:val="0"/>
        <w:jc w:val="both"/>
        <w:rPr>
          <w:sz w:val="24"/>
        </w:rPr>
      </w:pPr>
      <w:r>
        <w:rPr>
          <w:sz w:val="24"/>
        </w:rPr>
        <w:t>The terms “compensation,” “non-cash compensation” and “offeror” as used in this Section shall have the following meanings:</w:t>
      </w:r>
    </w:p>
    <w:p w14:paraId="40CCE9FC" w14:textId="77777777" w:rsidR="004679E6" w:rsidRDefault="004679E6" w:rsidP="00C7655E">
      <w:pPr>
        <w:autoSpaceDE w:val="0"/>
        <w:autoSpaceDN w:val="0"/>
        <w:adjustRightInd w:val="0"/>
        <w:jc w:val="both"/>
        <w:rPr>
          <w:sz w:val="24"/>
        </w:rPr>
      </w:pPr>
      <w:r>
        <w:rPr>
          <w:sz w:val="24"/>
        </w:rPr>
        <w:t>(A) “Compensation” shall mean cash compensation and non-cash compensation.</w:t>
      </w:r>
    </w:p>
    <w:p w14:paraId="10394503" w14:textId="3D5BC097" w:rsidR="004679E6" w:rsidRDefault="004679E6" w:rsidP="00C7655E">
      <w:pPr>
        <w:autoSpaceDE w:val="0"/>
        <w:autoSpaceDN w:val="0"/>
        <w:adjustRightInd w:val="0"/>
        <w:jc w:val="both"/>
        <w:rPr>
          <w:sz w:val="24"/>
        </w:rPr>
      </w:pPr>
      <w:r>
        <w:rPr>
          <w:sz w:val="24"/>
        </w:rPr>
        <w:t xml:space="preserve">(B) “Non-cash compensation” shall mean any form of compensation received in connection with the sale and distribution of securities that is not cash compensation, including but not limited to merchandise, gifts and prizes, travel expenses, </w:t>
      </w:r>
      <w:r w:rsidR="00B33A95">
        <w:rPr>
          <w:sz w:val="24"/>
        </w:rPr>
        <w:t>meals,</w:t>
      </w:r>
      <w:r>
        <w:rPr>
          <w:sz w:val="24"/>
        </w:rPr>
        <w:t xml:space="preserve"> and lodging.</w:t>
      </w:r>
    </w:p>
    <w:p w14:paraId="00193D1D" w14:textId="5A91FE04" w:rsidR="004679E6" w:rsidRDefault="004679E6" w:rsidP="00C7655E">
      <w:pPr>
        <w:autoSpaceDE w:val="0"/>
        <w:autoSpaceDN w:val="0"/>
        <w:adjustRightInd w:val="0"/>
        <w:jc w:val="both"/>
        <w:rPr>
          <w:sz w:val="24"/>
        </w:rPr>
      </w:pPr>
      <w:r>
        <w:rPr>
          <w:sz w:val="24"/>
        </w:rPr>
        <w:t xml:space="preserve">(C) “Offeror” shall mean an issuer, an adviser to an issuer, an </w:t>
      </w:r>
      <w:r w:rsidR="00B33A95">
        <w:rPr>
          <w:sz w:val="24"/>
        </w:rPr>
        <w:t>underwriter,</w:t>
      </w:r>
      <w:r>
        <w:rPr>
          <w:sz w:val="24"/>
        </w:rPr>
        <w:t xml:space="preserve"> and any affiliated person of such entities.</w:t>
      </w:r>
    </w:p>
    <w:p w14:paraId="634A3DC7" w14:textId="77777777" w:rsidR="004679E6" w:rsidRDefault="004679E6" w:rsidP="00C7655E">
      <w:pPr>
        <w:autoSpaceDE w:val="0"/>
        <w:autoSpaceDN w:val="0"/>
        <w:adjustRightInd w:val="0"/>
        <w:jc w:val="both"/>
        <w:rPr>
          <w:sz w:val="24"/>
        </w:rPr>
      </w:pPr>
    </w:p>
    <w:p w14:paraId="3230D6A2" w14:textId="77777777" w:rsidR="004679E6" w:rsidRPr="001803F3" w:rsidRDefault="005A4EA0" w:rsidP="001A7509">
      <w:pPr>
        <w:pStyle w:val="Heading3"/>
      </w:pPr>
      <w:bookmarkStart w:id="267" w:name="PPNonCashComp"/>
      <w:bookmarkEnd w:id="267"/>
      <w:r>
        <w:t>1</w:t>
      </w:r>
      <w:r w:rsidR="00E5056A">
        <w:t>4</w:t>
      </w:r>
      <w:r>
        <w:t>.3</w:t>
      </w:r>
      <w:r w:rsidR="00F57DAC">
        <w:t>3</w:t>
      </w:r>
      <w:r>
        <w:t xml:space="preserve">.1 </w:t>
      </w:r>
      <w:r w:rsidR="004679E6">
        <w:t>Restrictions on Non-Cash Compensation</w:t>
      </w:r>
    </w:p>
    <w:p w14:paraId="16A6D614" w14:textId="77777777" w:rsidR="004679E6" w:rsidRDefault="004679E6" w:rsidP="00C7655E">
      <w:pPr>
        <w:autoSpaceDE w:val="0"/>
        <w:autoSpaceDN w:val="0"/>
        <w:adjustRightInd w:val="0"/>
        <w:ind w:left="270"/>
        <w:jc w:val="both"/>
        <w:rPr>
          <w:sz w:val="24"/>
        </w:rPr>
      </w:pPr>
      <w:r>
        <w:rPr>
          <w:sz w:val="24"/>
        </w:rPr>
        <w:t>In connection with the sale and distribution of a public offering of securities, no member or person associated with a member shall directly or indirectly accept or make payments or offers of payments of any non-cash compensation, except as provided in this provision. Non-cash compensation arrangements are limited to the following:</w:t>
      </w:r>
    </w:p>
    <w:p w14:paraId="196F6CD9" w14:textId="77777777" w:rsidR="004679E6" w:rsidRDefault="004679E6" w:rsidP="00C7655E">
      <w:pPr>
        <w:autoSpaceDE w:val="0"/>
        <w:autoSpaceDN w:val="0"/>
        <w:adjustRightInd w:val="0"/>
        <w:ind w:left="270"/>
        <w:jc w:val="both"/>
        <w:rPr>
          <w:sz w:val="24"/>
        </w:rPr>
      </w:pPr>
    </w:p>
    <w:p w14:paraId="62AF816B" w14:textId="77777777" w:rsidR="004679E6" w:rsidRDefault="004679E6" w:rsidP="00C7655E">
      <w:pPr>
        <w:autoSpaceDE w:val="0"/>
        <w:autoSpaceDN w:val="0"/>
        <w:adjustRightInd w:val="0"/>
        <w:ind w:left="270"/>
        <w:jc w:val="both"/>
        <w:rPr>
          <w:sz w:val="24"/>
        </w:rPr>
      </w:pPr>
      <w:r>
        <w:rPr>
          <w:sz w:val="24"/>
        </w:rPr>
        <w:t>(A) Gifts that do not exceed an annual amount per person fixed periodically by the Board of Governors (currently $100)</w:t>
      </w:r>
      <w:r>
        <w:rPr>
          <w:sz w:val="24"/>
          <w:szCs w:val="10"/>
        </w:rPr>
        <w:t xml:space="preserve"> </w:t>
      </w:r>
      <w:r>
        <w:rPr>
          <w:sz w:val="24"/>
        </w:rPr>
        <w:t>and are not preconditioned on achievement of a sales target.</w:t>
      </w:r>
    </w:p>
    <w:p w14:paraId="0204D5BE" w14:textId="77777777" w:rsidR="004679E6" w:rsidRDefault="004679E6" w:rsidP="00C7655E">
      <w:pPr>
        <w:autoSpaceDE w:val="0"/>
        <w:autoSpaceDN w:val="0"/>
        <w:adjustRightInd w:val="0"/>
        <w:ind w:left="270"/>
        <w:jc w:val="both"/>
        <w:rPr>
          <w:sz w:val="24"/>
        </w:rPr>
      </w:pPr>
      <w:r>
        <w:rPr>
          <w:sz w:val="24"/>
        </w:rPr>
        <w:t>(B) An occasional meal, a ticket to a sporting event or the theater, or comparable entertainment which is neither so frequent nor so extensive as to raise any question of propriety and is not preconditioned on achievement of a sales target.</w:t>
      </w:r>
    </w:p>
    <w:p w14:paraId="0E8894C5" w14:textId="77777777" w:rsidR="004679E6" w:rsidRDefault="004679E6" w:rsidP="00C7655E">
      <w:pPr>
        <w:autoSpaceDE w:val="0"/>
        <w:autoSpaceDN w:val="0"/>
        <w:adjustRightInd w:val="0"/>
        <w:ind w:left="270"/>
        <w:jc w:val="both"/>
        <w:rPr>
          <w:sz w:val="24"/>
        </w:rPr>
      </w:pPr>
      <w:r>
        <w:rPr>
          <w:sz w:val="24"/>
          <w:szCs w:val="24"/>
        </w:rPr>
        <w:t>(C) Payment or reimbursement by offerors in connection with meetings held by an offeror or by a member for the purpose of training or education of associated persons of a member, provided that:   (</w:t>
      </w:r>
      <w:proofErr w:type="spellStart"/>
      <w:r>
        <w:rPr>
          <w:sz w:val="24"/>
          <w:szCs w:val="24"/>
        </w:rPr>
        <w:t>i</w:t>
      </w:r>
      <w:proofErr w:type="spellEnd"/>
      <w:r>
        <w:rPr>
          <w:sz w:val="24"/>
          <w:szCs w:val="24"/>
        </w:rPr>
        <w:t xml:space="preserve">) associated persons obtain the member’s prior approval to attend the meeting and attendance by a member’s associated persons is not conditioned by the member on the achievement of a sales target or any other incentives pursuant to a non-cash compensation arrangement permitted by subparagraph (d)(2)(D) of </w:t>
      </w:r>
      <w:r>
        <w:rPr>
          <w:b/>
          <w:bCs/>
          <w:sz w:val="24"/>
          <w:szCs w:val="24"/>
        </w:rPr>
        <w:t>Rules 2710</w:t>
      </w:r>
      <w:r>
        <w:rPr>
          <w:sz w:val="24"/>
          <w:szCs w:val="24"/>
        </w:rPr>
        <w:t xml:space="preserve"> and </w:t>
      </w:r>
      <w:r>
        <w:rPr>
          <w:b/>
          <w:bCs/>
          <w:sz w:val="24"/>
          <w:szCs w:val="24"/>
        </w:rPr>
        <w:t>2810</w:t>
      </w:r>
      <w:r>
        <w:rPr>
          <w:sz w:val="24"/>
          <w:szCs w:val="24"/>
        </w:rPr>
        <w:t xml:space="preserve">;     (ii) the location </w:t>
      </w:r>
      <w:r>
        <w:rPr>
          <w:sz w:val="24"/>
          <w:szCs w:val="24"/>
        </w:rPr>
        <w:lastRenderedPageBreak/>
        <w:t xml:space="preserve">is appropriate to the purpose of the meeting, which shall mean an office of the issuer or affiliate thereof, the office of the member, or a facility located in the vicinity of such office, or a regional location with respect to regional meetings;   (iii) the payment or reimbursement is not applied to the expenses of guests of the associated person; and   (iv) the payment or reimbursement by the issuer or affiliate of the issuer is not conditioned by the issuer or an affiliate of the issuer on the achievement of a sales target or any other non-cash </w:t>
      </w:r>
      <w:r>
        <w:rPr>
          <w:sz w:val="24"/>
        </w:rPr>
        <w:t xml:space="preserve">compensation arrangement permitted by subparagraph (d)(2)(D) of Rule </w:t>
      </w:r>
      <w:r>
        <w:rPr>
          <w:b/>
          <w:bCs/>
          <w:sz w:val="24"/>
        </w:rPr>
        <w:t>2710</w:t>
      </w:r>
      <w:r>
        <w:rPr>
          <w:sz w:val="24"/>
        </w:rPr>
        <w:t xml:space="preserve"> and </w:t>
      </w:r>
      <w:r>
        <w:rPr>
          <w:b/>
          <w:bCs/>
          <w:sz w:val="24"/>
        </w:rPr>
        <w:t>2810</w:t>
      </w:r>
      <w:r>
        <w:rPr>
          <w:sz w:val="24"/>
        </w:rPr>
        <w:t>.</w:t>
      </w:r>
    </w:p>
    <w:p w14:paraId="28C00CA2" w14:textId="77777777" w:rsidR="004679E6" w:rsidRDefault="004679E6" w:rsidP="00C7655E">
      <w:pPr>
        <w:autoSpaceDE w:val="0"/>
        <w:autoSpaceDN w:val="0"/>
        <w:adjustRightInd w:val="0"/>
        <w:ind w:left="270"/>
        <w:jc w:val="both"/>
        <w:rPr>
          <w:sz w:val="24"/>
        </w:rPr>
      </w:pPr>
      <w:r>
        <w:rPr>
          <w:sz w:val="24"/>
        </w:rPr>
        <w:t>(D) Non-cash compensation arrangements between a member and its associated persons or a company that controls a member company and the member’s associated persons, provided that no unaffiliated non-member company or other unaffiliated member directly or indirectly participates in the member’s or non-member’s organization of a permissible non-cash</w:t>
      </w:r>
      <w:r w:rsidR="00B837BB">
        <w:rPr>
          <w:sz w:val="24"/>
        </w:rPr>
        <w:t xml:space="preserve"> </w:t>
      </w:r>
      <w:r>
        <w:rPr>
          <w:sz w:val="24"/>
        </w:rPr>
        <w:t xml:space="preserve">compensation arrangement; and </w:t>
      </w:r>
    </w:p>
    <w:p w14:paraId="6AB15CC5" w14:textId="77777777" w:rsidR="004679E6" w:rsidRDefault="004679E6" w:rsidP="00C7655E">
      <w:pPr>
        <w:autoSpaceDE w:val="0"/>
        <w:autoSpaceDN w:val="0"/>
        <w:adjustRightInd w:val="0"/>
        <w:ind w:left="270"/>
        <w:jc w:val="both"/>
        <w:rPr>
          <w:sz w:val="24"/>
        </w:rPr>
      </w:pPr>
      <w:r>
        <w:rPr>
          <w:sz w:val="24"/>
        </w:rPr>
        <w:t xml:space="preserve">(E) Contributions by a non-member company or other member to a non-cash compensation arrangement between a member and its associated persons, provided that the arrangement meets the criteria in subparagraph (d)(2)(D) of Rule </w:t>
      </w:r>
      <w:r>
        <w:rPr>
          <w:b/>
          <w:bCs/>
          <w:sz w:val="24"/>
        </w:rPr>
        <w:t>2710</w:t>
      </w:r>
      <w:r>
        <w:rPr>
          <w:sz w:val="24"/>
        </w:rPr>
        <w:t xml:space="preserve"> and </w:t>
      </w:r>
      <w:r>
        <w:rPr>
          <w:b/>
          <w:bCs/>
          <w:sz w:val="24"/>
        </w:rPr>
        <w:t>2810</w:t>
      </w:r>
      <w:r>
        <w:rPr>
          <w:sz w:val="24"/>
        </w:rPr>
        <w:t>.</w:t>
      </w:r>
    </w:p>
    <w:p w14:paraId="3140DB11" w14:textId="77777777" w:rsidR="004679E6" w:rsidRDefault="004679E6" w:rsidP="00C7655E">
      <w:pPr>
        <w:autoSpaceDE w:val="0"/>
        <w:autoSpaceDN w:val="0"/>
        <w:adjustRightInd w:val="0"/>
        <w:ind w:left="270"/>
        <w:jc w:val="both"/>
        <w:rPr>
          <w:sz w:val="24"/>
        </w:rPr>
      </w:pPr>
    </w:p>
    <w:p w14:paraId="2020EB6D" w14:textId="77777777" w:rsidR="004679E6" w:rsidRDefault="004679E6" w:rsidP="00C7655E">
      <w:pPr>
        <w:autoSpaceDE w:val="0"/>
        <w:autoSpaceDN w:val="0"/>
        <w:adjustRightInd w:val="0"/>
        <w:ind w:left="270"/>
        <w:jc w:val="both"/>
        <w:rPr>
          <w:sz w:val="24"/>
        </w:rPr>
      </w:pPr>
      <w:r>
        <w:rPr>
          <w:sz w:val="24"/>
        </w:rPr>
        <w:t xml:space="preserve">Morris Monroe shall have the responsibility of supervising and approving such activities.  The Company shall maintain records of all non-cash compensation received by the Company or its associated persons in arrangements permitted by subparagraphs (d)(2)(C)-(E) of </w:t>
      </w:r>
      <w:r>
        <w:rPr>
          <w:b/>
          <w:bCs/>
          <w:sz w:val="24"/>
        </w:rPr>
        <w:t>Rules 2710</w:t>
      </w:r>
      <w:r>
        <w:rPr>
          <w:sz w:val="24"/>
        </w:rPr>
        <w:t xml:space="preserve"> and </w:t>
      </w:r>
      <w:r>
        <w:rPr>
          <w:b/>
          <w:bCs/>
          <w:sz w:val="24"/>
        </w:rPr>
        <w:t>2810</w:t>
      </w:r>
      <w:r>
        <w:rPr>
          <w:sz w:val="24"/>
        </w:rPr>
        <w:t xml:space="preserve">.  The records shall include: the names of the offerors, non-members or other members making the non-cash compensation contributions; the names of the associated persons participating in the arrangements; the nature and value of non-cash compensation received; the location of training and education meetings; and any other information that proves compliance by the Company and its associated persons with subparagraph (d)(2)(C)-(E) of </w:t>
      </w:r>
      <w:r>
        <w:rPr>
          <w:b/>
          <w:bCs/>
          <w:sz w:val="24"/>
        </w:rPr>
        <w:t>Rules 2710</w:t>
      </w:r>
      <w:r>
        <w:rPr>
          <w:sz w:val="24"/>
        </w:rPr>
        <w:t xml:space="preserve"> and 2810.</w:t>
      </w:r>
    </w:p>
    <w:p w14:paraId="29F47CAE" w14:textId="77777777" w:rsidR="004679E6" w:rsidRDefault="004679E6" w:rsidP="005A4EA0">
      <w:pPr>
        <w:ind w:left="270"/>
        <w:jc w:val="both"/>
        <w:rPr>
          <w:sz w:val="24"/>
        </w:rPr>
      </w:pPr>
    </w:p>
    <w:p w14:paraId="235FEF03" w14:textId="77777777" w:rsidR="004679E6" w:rsidRDefault="004679E6" w:rsidP="005A4EA0">
      <w:pPr>
        <w:ind w:left="270"/>
        <w:jc w:val="both"/>
        <w:rPr>
          <w:sz w:val="24"/>
        </w:rPr>
      </w:pPr>
      <w:r>
        <w:rPr>
          <w:sz w:val="24"/>
        </w:rPr>
        <w:t>Further, Morris Monroe shall be responsible for maintaining a listing of all underwritings in which the Company has participated, including the name of the underwriting, the allotment, retention, price per share, and the roll in which the Company acted (i.e. Selling Group Member or Underwriter).</w:t>
      </w:r>
    </w:p>
    <w:p w14:paraId="32610ABA" w14:textId="77777777" w:rsidR="00AC5505" w:rsidRDefault="00AC5505" w:rsidP="005A4EA0">
      <w:pPr>
        <w:ind w:left="270"/>
        <w:jc w:val="both"/>
        <w:rPr>
          <w:sz w:val="24"/>
        </w:rPr>
      </w:pPr>
    </w:p>
    <w:p w14:paraId="4FE543BB" w14:textId="77777777" w:rsidR="00E34E59" w:rsidRDefault="00E34E59" w:rsidP="005A4EA0">
      <w:pPr>
        <w:ind w:left="270"/>
        <w:rPr>
          <w:color w:val="0000FF"/>
          <w:sz w:val="24"/>
        </w:rPr>
      </w:pPr>
    </w:p>
    <w:p w14:paraId="296445AF" w14:textId="77777777" w:rsidR="00E34E59" w:rsidRPr="00E34E59" w:rsidRDefault="005A4EA0" w:rsidP="00936FEE">
      <w:pPr>
        <w:pStyle w:val="Heading2"/>
      </w:pPr>
      <w:r>
        <w:t>1</w:t>
      </w:r>
      <w:r w:rsidR="00E5056A">
        <w:t>4</w:t>
      </w:r>
      <w:r>
        <w:t>.3</w:t>
      </w:r>
      <w:r w:rsidR="003F4D32">
        <w:t>4</w:t>
      </w:r>
      <w:r>
        <w:t xml:space="preserve"> I</w:t>
      </w:r>
      <w:r w:rsidR="00E34E59">
        <w:t>nvestment Banking</w:t>
      </w:r>
    </w:p>
    <w:p w14:paraId="06D221DF" w14:textId="77777777" w:rsidR="00E34E59" w:rsidRDefault="00E34E59" w:rsidP="00E34E59">
      <w:pPr>
        <w:jc w:val="both"/>
        <w:rPr>
          <w:sz w:val="24"/>
        </w:rPr>
      </w:pPr>
      <w:r>
        <w:rPr>
          <w:sz w:val="24"/>
        </w:rPr>
        <w:t>A</w:t>
      </w:r>
      <w:r w:rsidR="00DC4126">
        <w:rPr>
          <w:sz w:val="24"/>
        </w:rPr>
        <w:t>ny</w:t>
      </w:r>
      <w:r>
        <w:rPr>
          <w:sz w:val="24"/>
        </w:rPr>
        <w:t xml:space="preserve"> investment banking and corporate finance transactions conducted by Associated Persons and the Company and all correspondence dealing with said solicitation of s</w:t>
      </w:r>
      <w:r w:rsidR="00DC4126">
        <w:rPr>
          <w:sz w:val="24"/>
        </w:rPr>
        <w:t>uch</w:t>
      </w:r>
      <w:r>
        <w:rPr>
          <w:sz w:val="24"/>
        </w:rPr>
        <w:t xml:space="preserve"> transactions with customers will be reviewed and approved by Morris Monroe or his designee in writing.  Further, all investment banking and corporate finance </w:t>
      </w:r>
      <w:r w:rsidR="00D05E2B">
        <w:rPr>
          <w:sz w:val="24"/>
        </w:rPr>
        <w:t xml:space="preserve">activity and </w:t>
      </w:r>
      <w:r>
        <w:rPr>
          <w:sz w:val="24"/>
        </w:rPr>
        <w:t xml:space="preserve">transactions shall be reviewed by Morris Monroe or his designee for compliance with </w:t>
      </w:r>
      <w:r w:rsidRPr="0035367E">
        <w:rPr>
          <w:sz w:val="24"/>
        </w:rPr>
        <w:t>FINRA Rules and Company policies designed to prevent unauthorized dissemination of confidential information in accordance with the Company's Chinese Wall Procedures to prevent Insider Trading violations.</w:t>
      </w:r>
      <w:r w:rsidR="00D05E2B">
        <w:rPr>
          <w:sz w:val="24"/>
        </w:rPr>
        <w:t xml:space="preserve">  All related records will be maintained in accordance with respective regulations.</w:t>
      </w:r>
    </w:p>
    <w:p w14:paraId="466A0C94" w14:textId="77777777" w:rsidR="004B52DA" w:rsidRDefault="004B52DA" w:rsidP="00E34E59">
      <w:pPr>
        <w:jc w:val="both"/>
        <w:rPr>
          <w:sz w:val="24"/>
        </w:rPr>
      </w:pPr>
    </w:p>
    <w:p w14:paraId="6D7155D1" w14:textId="77777777" w:rsidR="004B52DA" w:rsidRDefault="004B52DA" w:rsidP="00936FEE">
      <w:pPr>
        <w:pStyle w:val="Heading2"/>
      </w:pPr>
      <w:r>
        <w:t>1</w:t>
      </w:r>
      <w:r w:rsidR="00E5056A">
        <w:t>4</w:t>
      </w:r>
      <w:r>
        <w:t>.3</w:t>
      </w:r>
      <w:r w:rsidR="003F4D32">
        <w:t>5</w:t>
      </w:r>
      <w:r>
        <w:t xml:space="preserve"> Complex Products</w:t>
      </w:r>
    </w:p>
    <w:p w14:paraId="2FF61AC7" w14:textId="77777777" w:rsidR="004B52DA" w:rsidRPr="001670E4" w:rsidRDefault="004B52DA" w:rsidP="004B52DA">
      <w:pPr>
        <w:pStyle w:val="Normal1"/>
        <w:shd w:val="clear" w:color="auto" w:fill="FFFFFF"/>
        <w:rPr>
          <w:rFonts w:ascii="Times New Roman" w:hAnsi="Times New Roman" w:cs="Times New Roman"/>
          <w:sz w:val="24"/>
          <w:szCs w:val="24"/>
        </w:rPr>
      </w:pPr>
      <w:r w:rsidRPr="001670E4">
        <w:rPr>
          <w:rFonts w:ascii="Times New Roman" w:hAnsi="Times New Roman" w:cs="Times New Roman"/>
          <w:sz w:val="24"/>
          <w:szCs w:val="24"/>
        </w:rPr>
        <w:t xml:space="preserve">FINRA guidance has indicated that complex products warrant particular care in how they are scrutinized and sold to retail customers. FINRA indicates that a product that is complex is one that "presents an additional risk to retail investors because its complexity adds a further dimension to the investment decision process beyond the fundamentals of market forces." This is only a general description since all the potential variations in </w:t>
      </w:r>
      <w:r w:rsidRPr="001670E4">
        <w:rPr>
          <w:rFonts w:ascii="Times New Roman" w:hAnsi="Times New Roman" w:cs="Times New Roman"/>
          <w:sz w:val="24"/>
          <w:szCs w:val="24"/>
        </w:rPr>
        <w:lastRenderedPageBreak/>
        <w:t>products make it difficult to clearly define the term. The last subsection of this section includes examples of complex products from FINRA Regulatory Notice 12-03.</w:t>
      </w:r>
    </w:p>
    <w:p w14:paraId="0F6E14D8" w14:textId="77777777" w:rsidR="004B52DA" w:rsidRPr="001670E4" w:rsidRDefault="004B52DA" w:rsidP="004B52DA">
      <w:pPr>
        <w:pStyle w:val="Normal1"/>
        <w:shd w:val="clear" w:color="auto" w:fill="FFFFFF"/>
        <w:rPr>
          <w:rFonts w:ascii="Times New Roman" w:hAnsi="Times New Roman" w:cs="Times New Roman"/>
          <w:sz w:val="24"/>
          <w:szCs w:val="24"/>
        </w:rPr>
      </w:pPr>
      <w:r w:rsidRPr="001670E4">
        <w:rPr>
          <w:rFonts w:ascii="Times New Roman" w:hAnsi="Times New Roman" w:cs="Times New Roman"/>
          <w:sz w:val="24"/>
          <w:szCs w:val="24"/>
        </w:rPr>
        <w:t>The complexity of products imposes additional obligations on RRs who sell such products, as well as on Company to supervise their sale. Other sections in this chapter that discuss specific complex products include:</w:t>
      </w:r>
    </w:p>
    <w:p w14:paraId="0D226010" w14:textId="77777777" w:rsidR="004B52DA" w:rsidRPr="001670E4" w:rsidRDefault="004B52DA" w:rsidP="003E7B18">
      <w:pPr>
        <w:numPr>
          <w:ilvl w:val="0"/>
          <w:numId w:val="165"/>
        </w:numPr>
        <w:shd w:val="clear" w:color="auto" w:fill="FFFFFF"/>
        <w:rPr>
          <w:spacing w:val="8"/>
          <w:sz w:val="24"/>
          <w:szCs w:val="24"/>
        </w:rPr>
      </w:pPr>
      <w:r w:rsidRPr="001670E4">
        <w:rPr>
          <w:i/>
          <w:iCs/>
          <w:spacing w:val="8"/>
          <w:sz w:val="24"/>
          <w:szCs w:val="24"/>
        </w:rPr>
        <w:t>Hedge Funds</w:t>
      </w:r>
      <w:r w:rsidRPr="001670E4">
        <w:rPr>
          <w:spacing w:val="8"/>
          <w:sz w:val="24"/>
          <w:szCs w:val="24"/>
        </w:rPr>
        <w:t xml:space="preserve"> </w:t>
      </w:r>
    </w:p>
    <w:p w14:paraId="7ACC0520" w14:textId="77777777" w:rsidR="004B52DA" w:rsidRPr="001670E4" w:rsidRDefault="004B52DA" w:rsidP="003E7B18">
      <w:pPr>
        <w:numPr>
          <w:ilvl w:val="0"/>
          <w:numId w:val="165"/>
        </w:numPr>
        <w:shd w:val="clear" w:color="auto" w:fill="FFFFFF"/>
        <w:rPr>
          <w:spacing w:val="8"/>
          <w:sz w:val="24"/>
          <w:szCs w:val="24"/>
        </w:rPr>
      </w:pPr>
      <w:r w:rsidRPr="001670E4">
        <w:rPr>
          <w:i/>
          <w:iCs/>
          <w:spacing w:val="8"/>
          <w:sz w:val="24"/>
          <w:szCs w:val="24"/>
        </w:rPr>
        <w:t>Exchange-Traded Funds</w:t>
      </w:r>
      <w:r w:rsidRPr="001670E4">
        <w:rPr>
          <w:spacing w:val="8"/>
          <w:sz w:val="24"/>
          <w:szCs w:val="24"/>
        </w:rPr>
        <w:t xml:space="preserve"> </w:t>
      </w:r>
    </w:p>
    <w:p w14:paraId="7FED891E" w14:textId="77777777" w:rsidR="004B52DA" w:rsidRPr="001670E4" w:rsidRDefault="004B52DA" w:rsidP="003E7B18">
      <w:pPr>
        <w:numPr>
          <w:ilvl w:val="0"/>
          <w:numId w:val="165"/>
        </w:numPr>
        <w:shd w:val="clear" w:color="auto" w:fill="FFFFFF"/>
        <w:rPr>
          <w:spacing w:val="8"/>
          <w:sz w:val="24"/>
          <w:szCs w:val="24"/>
        </w:rPr>
      </w:pPr>
      <w:r w:rsidRPr="001670E4">
        <w:rPr>
          <w:i/>
          <w:iCs/>
          <w:spacing w:val="8"/>
          <w:sz w:val="24"/>
          <w:szCs w:val="24"/>
        </w:rPr>
        <w:t>Commodity Futures-Linked Securities</w:t>
      </w:r>
      <w:r w:rsidRPr="001670E4">
        <w:rPr>
          <w:spacing w:val="8"/>
          <w:sz w:val="24"/>
          <w:szCs w:val="24"/>
        </w:rPr>
        <w:t xml:space="preserve"> </w:t>
      </w:r>
    </w:p>
    <w:p w14:paraId="56B244B3" w14:textId="77777777" w:rsidR="004B52DA" w:rsidRPr="001670E4" w:rsidRDefault="004B52DA" w:rsidP="003E7B18">
      <w:pPr>
        <w:numPr>
          <w:ilvl w:val="0"/>
          <w:numId w:val="165"/>
        </w:numPr>
        <w:shd w:val="clear" w:color="auto" w:fill="FFFFFF"/>
        <w:rPr>
          <w:spacing w:val="8"/>
          <w:sz w:val="24"/>
          <w:szCs w:val="24"/>
        </w:rPr>
      </w:pPr>
      <w:r w:rsidRPr="001670E4">
        <w:rPr>
          <w:i/>
          <w:iCs/>
          <w:spacing w:val="8"/>
          <w:sz w:val="24"/>
          <w:szCs w:val="24"/>
        </w:rPr>
        <w:t>Non-Conventional Investments (NCIs)</w:t>
      </w:r>
      <w:r w:rsidRPr="001670E4">
        <w:rPr>
          <w:spacing w:val="8"/>
          <w:sz w:val="24"/>
          <w:szCs w:val="24"/>
        </w:rPr>
        <w:t xml:space="preserve"> </w:t>
      </w:r>
    </w:p>
    <w:p w14:paraId="10026A29" w14:textId="77777777" w:rsidR="004B52DA" w:rsidRPr="001670E4" w:rsidRDefault="004B52DA" w:rsidP="003E7B18">
      <w:pPr>
        <w:numPr>
          <w:ilvl w:val="0"/>
          <w:numId w:val="165"/>
        </w:numPr>
        <w:shd w:val="clear" w:color="auto" w:fill="FFFFFF"/>
        <w:rPr>
          <w:spacing w:val="8"/>
          <w:sz w:val="24"/>
          <w:szCs w:val="24"/>
        </w:rPr>
      </w:pPr>
      <w:r w:rsidRPr="001670E4">
        <w:rPr>
          <w:i/>
          <w:iCs/>
          <w:spacing w:val="8"/>
          <w:sz w:val="24"/>
          <w:szCs w:val="24"/>
        </w:rPr>
        <w:t>Structured Products</w:t>
      </w:r>
      <w:r w:rsidRPr="001670E4">
        <w:rPr>
          <w:spacing w:val="8"/>
          <w:sz w:val="24"/>
          <w:szCs w:val="24"/>
        </w:rPr>
        <w:t xml:space="preserve"> </w:t>
      </w:r>
    </w:p>
    <w:p w14:paraId="47AF6649" w14:textId="77777777" w:rsidR="004B52DA" w:rsidRPr="001670E4" w:rsidRDefault="004B52DA" w:rsidP="003E7B18">
      <w:pPr>
        <w:numPr>
          <w:ilvl w:val="0"/>
          <w:numId w:val="165"/>
        </w:numPr>
        <w:shd w:val="clear" w:color="auto" w:fill="FFFFFF"/>
        <w:rPr>
          <w:spacing w:val="8"/>
          <w:sz w:val="24"/>
          <w:szCs w:val="24"/>
        </w:rPr>
      </w:pPr>
      <w:r w:rsidRPr="001670E4">
        <w:rPr>
          <w:i/>
          <w:iCs/>
          <w:spacing w:val="8"/>
          <w:sz w:val="24"/>
          <w:szCs w:val="24"/>
        </w:rPr>
        <w:t>Exempt Insurance Products and Equity-Indexed Annuities</w:t>
      </w:r>
    </w:p>
    <w:p w14:paraId="2EF3CB9F" w14:textId="77777777" w:rsidR="004B52DA" w:rsidRPr="001670E4" w:rsidRDefault="004B52DA" w:rsidP="002D3B3A">
      <w:pPr>
        <w:rPr>
          <w:spacing w:val="8"/>
          <w:sz w:val="24"/>
          <w:szCs w:val="24"/>
        </w:rPr>
      </w:pPr>
      <w:r w:rsidRPr="001670E4">
        <w:rPr>
          <w:spacing w:val="8"/>
          <w:sz w:val="24"/>
          <w:szCs w:val="24"/>
        </w:rPr>
        <w:t> </w:t>
      </w:r>
      <w:bookmarkStart w:id="268" w:name="sction_id_Sec_Chp_050310120047310_050310"/>
    </w:p>
    <w:p w14:paraId="59D76914" w14:textId="77777777" w:rsidR="004B52DA" w:rsidRPr="001670E4" w:rsidRDefault="004B52DA" w:rsidP="0048209F">
      <w:pPr>
        <w:pStyle w:val="Heading3"/>
        <w:shd w:val="clear" w:color="auto" w:fill="FFFFFF"/>
      </w:pPr>
      <w:r w:rsidRPr="001670E4">
        <w:t>1</w:t>
      </w:r>
      <w:r w:rsidR="00E5056A">
        <w:t>4</w:t>
      </w:r>
      <w:r w:rsidRPr="001670E4">
        <w:t>.3</w:t>
      </w:r>
      <w:r w:rsidR="003F4D32">
        <w:t>5</w:t>
      </w:r>
      <w:r w:rsidRPr="001670E4">
        <w:t>.1 Approval o</w:t>
      </w:r>
      <w:r w:rsidR="0048209F" w:rsidRPr="001670E4">
        <w:t>f t</w:t>
      </w:r>
      <w:r w:rsidRPr="001670E4">
        <w:t xml:space="preserve">he Product </w:t>
      </w:r>
    </w:p>
    <w:p w14:paraId="37E707B2" w14:textId="77777777" w:rsidR="004B52DA" w:rsidRPr="001670E4" w:rsidRDefault="004B52DA" w:rsidP="0048209F">
      <w:pPr>
        <w:pStyle w:val="Normal1"/>
        <w:shd w:val="clear" w:color="auto" w:fill="FFFFFF"/>
        <w:spacing w:before="0" w:after="0" w:afterAutospacing="0" w:line="240" w:lineRule="auto"/>
        <w:ind w:left="274"/>
        <w:rPr>
          <w:rFonts w:ascii="Times New Roman" w:hAnsi="Times New Roman" w:cs="Times New Roman"/>
          <w:sz w:val="24"/>
          <w:szCs w:val="24"/>
        </w:rPr>
      </w:pPr>
      <w:r w:rsidRPr="001670E4">
        <w:rPr>
          <w:rFonts w:ascii="Times New Roman" w:hAnsi="Times New Roman" w:cs="Times New Roman"/>
          <w:sz w:val="24"/>
          <w:szCs w:val="24"/>
        </w:rPr>
        <w:t>All new products are subject to Company's new product review process, and for complex products, there is a heightened level of review. If a complex product is approved for sale, training and other informational materials will be provided to RRs and, if appropriate, to potential investors. The types of investors suitable for the product will also be identified and communicated to RRs. </w:t>
      </w:r>
    </w:p>
    <w:p w14:paraId="351F12ED" w14:textId="77777777" w:rsidR="004B52DA" w:rsidRPr="001670E4" w:rsidRDefault="004B52DA" w:rsidP="0048209F">
      <w:pPr>
        <w:shd w:val="clear" w:color="auto" w:fill="FFFFFF"/>
        <w:ind w:left="274"/>
        <w:rPr>
          <w:spacing w:val="8"/>
          <w:sz w:val="24"/>
          <w:szCs w:val="24"/>
        </w:rPr>
      </w:pPr>
    </w:p>
    <w:p w14:paraId="0425F115" w14:textId="77777777" w:rsidR="004B52DA" w:rsidRPr="001670E4" w:rsidRDefault="0048209F" w:rsidP="0048209F">
      <w:pPr>
        <w:pStyle w:val="Heading3"/>
        <w:shd w:val="clear" w:color="auto" w:fill="FFFFFF"/>
        <w:ind w:left="274"/>
      </w:pPr>
      <w:r w:rsidRPr="001670E4">
        <w:t>1</w:t>
      </w:r>
      <w:r w:rsidR="00E5056A">
        <w:t>4</w:t>
      </w:r>
      <w:r w:rsidRPr="001670E4">
        <w:t>.3</w:t>
      </w:r>
      <w:r w:rsidR="003F4D32">
        <w:t>5</w:t>
      </w:r>
      <w:r w:rsidRPr="001670E4">
        <w:t>.2 Knowledge of t</w:t>
      </w:r>
      <w:r w:rsidR="004B52DA" w:rsidRPr="001670E4">
        <w:t xml:space="preserve">he Product </w:t>
      </w:r>
    </w:p>
    <w:p w14:paraId="3E9E6415" w14:textId="77777777" w:rsidR="004B52DA" w:rsidRPr="001670E4" w:rsidRDefault="004B52DA" w:rsidP="0048209F">
      <w:pPr>
        <w:pStyle w:val="Normal1"/>
        <w:shd w:val="clear" w:color="auto" w:fill="FFFFFF"/>
        <w:spacing w:before="0" w:after="0" w:afterAutospacing="0" w:line="240" w:lineRule="auto"/>
        <w:ind w:left="274"/>
        <w:rPr>
          <w:rFonts w:ascii="Times New Roman" w:hAnsi="Times New Roman" w:cs="Times New Roman"/>
          <w:sz w:val="24"/>
          <w:szCs w:val="24"/>
        </w:rPr>
      </w:pPr>
      <w:r w:rsidRPr="001670E4">
        <w:rPr>
          <w:rFonts w:ascii="Times New Roman" w:hAnsi="Times New Roman" w:cs="Times New Roman"/>
          <w:sz w:val="24"/>
          <w:szCs w:val="24"/>
        </w:rPr>
        <w:t>The RR will be provided training regarding the features of a complex product</w:t>
      </w:r>
      <w:r w:rsidR="002D3B3A">
        <w:rPr>
          <w:rFonts w:ascii="Times New Roman" w:hAnsi="Times New Roman" w:cs="Times New Roman"/>
          <w:sz w:val="24"/>
          <w:szCs w:val="24"/>
        </w:rPr>
        <w:t xml:space="preserve"> </w:t>
      </w:r>
      <w:r w:rsidR="002D3B3A" w:rsidRPr="00EB36DF">
        <w:rPr>
          <w:rFonts w:ascii="Times New Roman" w:hAnsi="Times New Roman" w:cs="Times New Roman"/>
          <w:sz w:val="24"/>
          <w:szCs w:val="24"/>
        </w:rPr>
        <w:t>and/or provided guidelines and overviews of products on Company’s website as a reference</w:t>
      </w:r>
      <w:r w:rsidRPr="00EB36DF">
        <w:rPr>
          <w:rFonts w:ascii="Times New Roman" w:hAnsi="Times New Roman" w:cs="Times New Roman"/>
          <w:sz w:val="24"/>
          <w:szCs w:val="24"/>
        </w:rPr>
        <w:t xml:space="preserve">. </w:t>
      </w:r>
      <w:r w:rsidRPr="001670E4">
        <w:rPr>
          <w:rFonts w:ascii="Times New Roman" w:hAnsi="Times New Roman" w:cs="Times New Roman"/>
          <w:sz w:val="24"/>
          <w:szCs w:val="24"/>
        </w:rPr>
        <w:t>Before recommending complex products, RRs must understand the features and characteristics of the product and any reference asset (where applicable) including its historic performance and volatility and correlation with specific asset classes; any interrelationship between multiple reference assets; the likelihood that the complex product may be called by the issuer; and the extent and limitation of any principal protection. Knowledge of these aspects as well as how the product is expected to perform in normal market conditions and the risks are necessary to be able to present accurate information to prospective investors and to be able to make suitable recommendations. </w:t>
      </w:r>
    </w:p>
    <w:p w14:paraId="5D724EF9" w14:textId="77777777" w:rsidR="004B52DA" w:rsidRPr="001670E4" w:rsidRDefault="004B52DA" w:rsidP="0048209F">
      <w:pPr>
        <w:shd w:val="clear" w:color="auto" w:fill="FFFFFF"/>
        <w:ind w:left="274"/>
        <w:rPr>
          <w:spacing w:val="8"/>
          <w:sz w:val="24"/>
          <w:szCs w:val="24"/>
        </w:rPr>
      </w:pPr>
    </w:p>
    <w:p w14:paraId="054C7C07" w14:textId="77E308CA" w:rsidR="004B52DA" w:rsidRPr="001670E4" w:rsidRDefault="0048209F" w:rsidP="0048209F">
      <w:pPr>
        <w:pStyle w:val="Heading3"/>
        <w:shd w:val="clear" w:color="auto" w:fill="FFFFFF"/>
        <w:ind w:left="274"/>
      </w:pPr>
      <w:r w:rsidRPr="001670E4">
        <w:t>1</w:t>
      </w:r>
      <w:r w:rsidR="00E5056A">
        <w:t>4</w:t>
      </w:r>
      <w:r w:rsidRPr="001670E4">
        <w:t>.3</w:t>
      </w:r>
      <w:r w:rsidR="003F4D32">
        <w:t>5</w:t>
      </w:r>
      <w:r w:rsidRPr="001670E4">
        <w:t xml:space="preserve">.3 </w:t>
      </w:r>
      <w:r w:rsidR="00BD17CF">
        <w:t xml:space="preserve">BI </w:t>
      </w:r>
      <w:r w:rsidR="00A867CF">
        <w:t>o</w:t>
      </w:r>
      <w:r w:rsidR="004B52DA" w:rsidRPr="001670E4">
        <w:t xml:space="preserve">f Recommendations </w:t>
      </w:r>
    </w:p>
    <w:p w14:paraId="623EDCA7" w14:textId="47B9BAA0" w:rsidR="004B52DA" w:rsidRPr="001670E4" w:rsidRDefault="004B52DA" w:rsidP="004B52DA">
      <w:pPr>
        <w:pStyle w:val="Normal1"/>
        <w:shd w:val="clear" w:color="auto" w:fill="FFFFFF"/>
        <w:ind w:left="270"/>
        <w:rPr>
          <w:rFonts w:ascii="Times New Roman" w:hAnsi="Times New Roman" w:cs="Times New Roman"/>
          <w:sz w:val="24"/>
          <w:szCs w:val="24"/>
        </w:rPr>
      </w:pPr>
      <w:r w:rsidRPr="001670E4">
        <w:rPr>
          <w:rFonts w:ascii="Times New Roman" w:hAnsi="Times New Roman" w:cs="Times New Roman"/>
          <w:sz w:val="24"/>
          <w:szCs w:val="24"/>
        </w:rPr>
        <w:t xml:space="preserve">Knowledge of the product is key to making </w:t>
      </w:r>
      <w:r w:rsidR="00BD17CF" w:rsidRPr="00BD17CF">
        <w:rPr>
          <w:rFonts w:ascii="Times New Roman" w:hAnsi="Times New Roman" w:cs="Times New Roman"/>
          <w:color w:val="FF0000"/>
          <w:sz w:val="24"/>
          <w:szCs w:val="24"/>
        </w:rPr>
        <w:t>BI</w:t>
      </w:r>
      <w:r w:rsidRPr="001670E4">
        <w:rPr>
          <w:rFonts w:ascii="Times New Roman" w:hAnsi="Times New Roman" w:cs="Times New Roman"/>
          <w:sz w:val="24"/>
          <w:szCs w:val="24"/>
        </w:rPr>
        <w:t xml:space="preserve"> recommendation. The other key aspects of a suitable recommendation include:</w:t>
      </w:r>
    </w:p>
    <w:p w14:paraId="20A3D0C8" w14:textId="77777777" w:rsidR="004B52DA" w:rsidRPr="001670E4" w:rsidRDefault="004B52DA" w:rsidP="003E7B18">
      <w:pPr>
        <w:numPr>
          <w:ilvl w:val="0"/>
          <w:numId w:val="166"/>
        </w:numPr>
        <w:shd w:val="clear" w:color="auto" w:fill="FFFFFF"/>
        <w:rPr>
          <w:spacing w:val="8"/>
          <w:sz w:val="24"/>
          <w:szCs w:val="24"/>
        </w:rPr>
      </w:pPr>
      <w:r w:rsidRPr="001670E4">
        <w:rPr>
          <w:spacing w:val="8"/>
          <w:sz w:val="24"/>
          <w:szCs w:val="24"/>
        </w:rPr>
        <w:t>The customer's investment experience</w:t>
      </w:r>
      <w:r w:rsidR="00495E8C" w:rsidRPr="001670E4">
        <w:rPr>
          <w:spacing w:val="8"/>
          <w:sz w:val="24"/>
          <w:szCs w:val="24"/>
        </w:rPr>
        <w:t>;</w:t>
      </w:r>
      <w:r w:rsidRPr="001670E4">
        <w:rPr>
          <w:spacing w:val="8"/>
          <w:sz w:val="24"/>
          <w:szCs w:val="24"/>
        </w:rPr>
        <w:t xml:space="preserve"> </w:t>
      </w:r>
    </w:p>
    <w:p w14:paraId="478D4187" w14:textId="77777777" w:rsidR="004B52DA" w:rsidRPr="001670E4" w:rsidRDefault="004B52DA" w:rsidP="003E7B18">
      <w:pPr>
        <w:numPr>
          <w:ilvl w:val="0"/>
          <w:numId w:val="166"/>
        </w:numPr>
        <w:shd w:val="clear" w:color="auto" w:fill="FFFFFF"/>
        <w:rPr>
          <w:spacing w:val="8"/>
          <w:sz w:val="24"/>
          <w:szCs w:val="24"/>
        </w:rPr>
      </w:pPr>
      <w:r w:rsidRPr="001670E4">
        <w:rPr>
          <w:spacing w:val="8"/>
          <w:sz w:val="24"/>
          <w:szCs w:val="24"/>
        </w:rPr>
        <w:t>The customer's risk tolerance</w:t>
      </w:r>
      <w:r w:rsidR="00495E8C" w:rsidRPr="001670E4">
        <w:rPr>
          <w:spacing w:val="8"/>
          <w:sz w:val="24"/>
          <w:szCs w:val="24"/>
        </w:rPr>
        <w:t>;</w:t>
      </w:r>
      <w:r w:rsidRPr="001670E4">
        <w:rPr>
          <w:spacing w:val="8"/>
          <w:sz w:val="24"/>
          <w:szCs w:val="24"/>
        </w:rPr>
        <w:t xml:space="preserve"> </w:t>
      </w:r>
    </w:p>
    <w:p w14:paraId="1117ACB7" w14:textId="77777777" w:rsidR="004B52DA" w:rsidRPr="001670E4" w:rsidRDefault="004B52DA" w:rsidP="003E7B18">
      <w:pPr>
        <w:numPr>
          <w:ilvl w:val="0"/>
          <w:numId w:val="166"/>
        </w:numPr>
        <w:shd w:val="clear" w:color="auto" w:fill="FFFFFF"/>
        <w:rPr>
          <w:spacing w:val="8"/>
          <w:sz w:val="24"/>
          <w:szCs w:val="24"/>
        </w:rPr>
      </w:pPr>
      <w:r w:rsidRPr="001670E4">
        <w:rPr>
          <w:spacing w:val="8"/>
          <w:sz w:val="24"/>
          <w:szCs w:val="24"/>
        </w:rPr>
        <w:t>A reasonable basis for believing, at the time of recommendation, that the customer has the knowledge and experience in financial matters that he/she may reasonably be expected to be capable of evaluating the risks</w:t>
      </w:r>
      <w:r w:rsidR="00495E8C" w:rsidRPr="001670E4">
        <w:rPr>
          <w:spacing w:val="8"/>
          <w:sz w:val="24"/>
          <w:szCs w:val="24"/>
        </w:rPr>
        <w:t xml:space="preserve">; </w:t>
      </w:r>
      <w:r w:rsidRPr="001670E4">
        <w:rPr>
          <w:spacing w:val="8"/>
          <w:sz w:val="24"/>
          <w:szCs w:val="24"/>
        </w:rPr>
        <w:t xml:space="preserve"> </w:t>
      </w:r>
    </w:p>
    <w:p w14:paraId="5449A5B2" w14:textId="77777777" w:rsidR="004B52DA" w:rsidRDefault="004B52DA" w:rsidP="003E7B18">
      <w:pPr>
        <w:numPr>
          <w:ilvl w:val="0"/>
          <w:numId w:val="166"/>
        </w:numPr>
        <w:shd w:val="clear" w:color="auto" w:fill="FFFFFF"/>
        <w:rPr>
          <w:spacing w:val="8"/>
          <w:sz w:val="24"/>
          <w:szCs w:val="24"/>
        </w:rPr>
      </w:pPr>
      <w:r w:rsidRPr="001670E4">
        <w:rPr>
          <w:spacing w:val="8"/>
          <w:sz w:val="24"/>
          <w:szCs w:val="24"/>
        </w:rPr>
        <w:t>The customer is financially able to bear the risks of the investment</w:t>
      </w:r>
      <w:r w:rsidR="008655B5">
        <w:rPr>
          <w:spacing w:val="8"/>
          <w:sz w:val="24"/>
          <w:szCs w:val="24"/>
        </w:rPr>
        <w:t>;</w:t>
      </w:r>
    </w:p>
    <w:p w14:paraId="286686DD" w14:textId="77777777" w:rsidR="008655B5" w:rsidRPr="001312BA" w:rsidRDefault="008655B5" w:rsidP="003E7B18">
      <w:pPr>
        <w:numPr>
          <w:ilvl w:val="0"/>
          <w:numId w:val="166"/>
        </w:numPr>
        <w:shd w:val="clear" w:color="auto" w:fill="FFFFFF"/>
        <w:rPr>
          <w:spacing w:val="8"/>
          <w:sz w:val="24"/>
          <w:szCs w:val="24"/>
        </w:rPr>
      </w:pPr>
      <w:r w:rsidRPr="001312BA">
        <w:rPr>
          <w:spacing w:val="8"/>
          <w:sz w:val="24"/>
          <w:szCs w:val="24"/>
        </w:rPr>
        <w:t xml:space="preserve">If the customer if close to retirement age or is retired; </w:t>
      </w:r>
    </w:p>
    <w:p w14:paraId="0050A707" w14:textId="77777777" w:rsidR="008655B5" w:rsidRPr="001312BA" w:rsidRDefault="008655B5" w:rsidP="003E7B18">
      <w:pPr>
        <w:numPr>
          <w:ilvl w:val="0"/>
          <w:numId w:val="166"/>
        </w:numPr>
        <w:shd w:val="clear" w:color="auto" w:fill="FFFFFF"/>
        <w:rPr>
          <w:spacing w:val="8"/>
          <w:sz w:val="24"/>
          <w:szCs w:val="24"/>
        </w:rPr>
      </w:pPr>
      <w:r w:rsidRPr="001312BA">
        <w:rPr>
          <w:spacing w:val="8"/>
          <w:sz w:val="24"/>
          <w:szCs w:val="24"/>
        </w:rPr>
        <w:t>The percentage the investment represents (concentration) of the customer’s holdings;</w:t>
      </w:r>
    </w:p>
    <w:p w14:paraId="312469BF" w14:textId="77777777" w:rsidR="008655B5" w:rsidRPr="001312BA" w:rsidRDefault="008655B5" w:rsidP="003E7B18">
      <w:pPr>
        <w:numPr>
          <w:ilvl w:val="0"/>
          <w:numId w:val="166"/>
        </w:numPr>
        <w:shd w:val="clear" w:color="auto" w:fill="FFFFFF"/>
        <w:rPr>
          <w:spacing w:val="8"/>
          <w:sz w:val="24"/>
          <w:szCs w:val="24"/>
        </w:rPr>
      </w:pPr>
      <w:r w:rsidRPr="001312BA">
        <w:rPr>
          <w:spacing w:val="8"/>
          <w:sz w:val="24"/>
          <w:szCs w:val="24"/>
        </w:rPr>
        <w:t>The effect of early withdrawals including fees, taxes, or penalties; and</w:t>
      </w:r>
    </w:p>
    <w:p w14:paraId="5CF992B0" w14:textId="77777777" w:rsidR="008655B5" w:rsidRPr="001312BA" w:rsidRDefault="008655B5" w:rsidP="003E7B18">
      <w:pPr>
        <w:numPr>
          <w:ilvl w:val="0"/>
          <w:numId w:val="166"/>
        </w:numPr>
        <w:shd w:val="clear" w:color="auto" w:fill="FFFFFF"/>
        <w:rPr>
          <w:spacing w:val="8"/>
          <w:sz w:val="24"/>
          <w:szCs w:val="24"/>
        </w:rPr>
      </w:pPr>
      <w:r w:rsidRPr="001312BA">
        <w:rPr>
          <w:spacing w:val="8"/>
          <w:sz w:val="24"/>
          <w:szCs w:val="24"/>
        </w:rPr>
        <w:t>Any state securities rules and requirements.</w:t>
      </w:r>
    </w:p>
    <w:p w14:paraId="6D7D4B0B" w14:textId="77777777" w:rsidR="00495E8C" w:rsidRPr="001312BA" w:rsidRDefault="00495E8C" w:rsidP="00495E8C">
      <w:pPr>
        <w:shd w:val="clear" w:color="auto" w:fill="FFFFFF"/>
        <w:ind w:left="720"/>
        <w:rPr>
          <w:spacing w:val="8"/>
          <w:sz w:val="24"/>
          <w:szCs w:val="24"/>
        </w:rPr>
      </w:pPr>
    </w:p>
    <w:p w14:paraId="7AB4CE6B" w14:textId="77777777" w:rsidR="004B52DA" w:rsidRPr="001670E4" w:rsidRDefault="004B52DA" w:rsidP="0048209F">
      <w:pPr>
        <w:pStyle w:val="Normal1"/>
        <w:shd w:val="clear" w:color="auto" w:fill="FFFFFF"/>
        <w:spacing w:before="0" w:after="0" w:afterAutospacing="0" w:line="240" w:lineRule="auto"/>
        <w:ind w:left="274"/>
        <w:rPr>
          <w:rFonts w:ascii="Times New Roman" w:hAnsi="Times New Roman" w:cs="Times New Roman"/>
          <w:sz w:val="24"/>
          <w:szCs w:val="24"/>
        </w:rPr>
      </w:pPr>
      <w:r w:rsidRPr="001670E4">
        <w:rPr>
          <w:rFonts w:ascii="Times New Roman" w:hAnsi="Times New Roman" w:cs="Times New Roman"/>
          <w:sz w:val="24"/>
          <w:szCs w:val="24"/>
        </w:rPr>
        <w:t>The RR should discuss the features of the product with retail customers including how it is expected to perform under different market conditions, the risks and possible benefits, scenarios in which the product may perform poorly, and the costs of the product. The RR should consider whether it seems the retail customer understands the basic features of the product such as the fundamental payout structure and the nature of underlying collateral or a reference index or asset.</w:t>
      </w:r>
    </w:p>
    <w:p w14:paraId="055FCE98" w14:textId="77777777" w:rsidR="004B52DA" w:rsidRPr="001670E4" w:rsidRDefault="004B52DA" w:rsidP="0048209F">
      <w:pPr>
        <w:ind w:left="274"/>
        <w:rPr>
          <w:spacing w:val="8"/>
          <w:sz w:val="24"/>
          <w:szCs w:val="24"/>
        </w:rPr>
      </w:pPr>
      <w:r w:rsidRPr="001670E4">
        <w:rPr>
          <w:spacing w:val="8"/>
          <w:sz w:val="24"/>
          <w:szCs w:val="24"/>
        </w:rPr>
        <w:t> </w:t>
      </w:r>
    </w:p>
    <w:p w14:paraId="47854A1A" w14:textId="77777777" w:rsidR="004B52DA" w:rsidRPr="001670E4" w:rsidRDefault="00495E8C" w:rsidP="004610F5">
      <w:pPr>
        <w:pStyle w:val="Heading3"/>
        <w:shd w:val="clear" w:color="auto" w:fill="FFFFFF"/>
        <w:ind w:left="274"/>
      </w:pPr>
      <w:r w:rsidRPr="001670E4">
        <w:t>1</w:t>
      </w:r>
      <w:r w:rsidR="00E5056A">
        <w:t>4</w:t>
      </w:r>
      <w:r w:rsidRPr="001670E4">
        <w:t>.3</w:t>
      </w:r>
      <w:r w:rsidR="003F4D32">
        <w:t>5</w:t>
      </w:r>
      <w:r w:rsidRPr="001670E4">
        <w:t xml:space="preserve">.4 </w:t>
      </w:r>
      <w:r w:rsidR="004B52DA" w:rsidRPr="001670E4">
        <w:t xml:space="preserve">Other Requirements </w:t>
      </w:r>
    </w:p>
    <w:p w14:paraId="5F7899B7" w14:textId="77777777" w:rsidR="004B52DA" w:rsidRPr="001670E4" w:rsidRDefault="004B52DA" w:rsidP="004610F5">
      <w:pPr>
        <w:pStyle w:val="Normal1"/>
        <w:shd w:val="clear" w:color="auto" w:fill="FFFFFF"/>
        <w:spacing w:before="0" w:after="0" w:afterAutospacing="0" w:line="240" w:lineRule="auto"/>
        <w:ind w:left="270"/>
        <w:rPr>
          <w:rFonts w:ascii="Times New Roman" w:hAnsi="Times New Roman" w:cs="Times New Roman"/>
          <w:sz w:val="24"/>
          <w:szCs w:val="24"/>
        </w:rPr>
      </w:pPr>
      <w:r w:rsidRPr="001670E4">
        <w:rPr>
          <w:rFonts w:ascii="Times New Roman" w:hAnsi="Times New Roman" w:cs="Times New Roman"/>
          <w:sz w:val="24"/>
          <w:szCs w:val="24"/>
        </w:rPr>
        <w:t>There may be other requirements related to the sale of a complex product, including:</w:t>
      </w:r>
    </w:p>
    <w:p w14:paraId="30ADEC41" w14:textId="77777777" w:rsidR="004B52DA" w:rsidRPr="001670E4" w:rsidRDefault="004B52DA" w:rsidP="003E7B18">
      <w:pPr>
        <w:numPr>
          <w:ilvl w:val="0"/>
          <w:numId w:val="167"/>
        </w:numPr>
        <w:shd w:val="clear" w:color="auto" w:fill="FFFFFF"/>
        <w:spacing w:before="100" w:beforeAutospacing="1" w:after="100" w:afterAutospacing="1" w:line="240" w:lineRule="atLeast"/>
        <w:rPr>
          <w:spacing w:val="8"/>
          <w:sz w:val="24"/>
          <w:szCs w:val="24"/>
        </w:rPr>
      </w:pPr>
      <w:r w:rsidRPr="001670E4">
        <w:rPr>
          <w:spacing w:val="8"/>
          <w:sz w:val="24"/>
          <w:szCs w:val="24"/>
        </w:rPr>
        <w:t>Limits or conditions on the sale of the product, such as concentration limits or limits on the types of investors who may purchase the product</w:t>
      </w:r>
      <w:r w:rsidR="00495E8C" w:rsidRPr="001670E4">
        <w:rPr>
          <w:spacing w:val="8"/>
          <w:sz w:val="24"/>
          <w:szCs w:val="24"/>
        </w:rPr>
        <w:t>;</w:t>
      </w:r>
      <w:r w:rsidRPr="001670E4">
        <w:rPr>
          <w:spacing w:val="8"/>
          <w:sz w:val="24"/>
          <w:szCs w:val="24"/>
        </w:rPr>
        <w:t xml:space="preserve"> </w:t>
      </w:r>
    </w:p>
    <w:p w14:paraId="1B4D4D3C" w14:textId="77777777" w:rsidR="004B52DA" w:rsidRPr="001670E4" w:rsidRDefault="004B52DA" w:rsidP="003E7B18">
      <w:pPr>
        <w:numPr>
          <w:ilvl w:val="0"/>
          <w:numId w:val="167"/>
        </w:numPr>
        <w:shd w:val="clear" w:color="auto" w:fill="FFFFFF"/>
        <w:spacing w:before="100" w:beforeAutospacing="1" w:after="100" w:afterAutospacing="1" w:line="240" w:lineRule="atLeast"/>
        <w:rPr>
          <w:spacing w:val="8"/>
          <w:sz w:val="24"/>
          <w:szCs w:val="24"/>
        </w:rPr>
      </w:pPr>
      <w:r w:rsidRPr="001670E4">
        <w:rPr>
          <w:spacing w:val="8"/>
          <w:sz w:val="24"/>
          <w:szCs w:val="24"/>
        </w:rPr>
        <w:t>Investor qualification agreements to p</w:t>
      </w:r>
      <w:r w:rsidR="00495E8C" w:rsidRPr="001670E4">
        <w:rPr>
          <w:spacing w:val="8"/>
          <w:sz w:val="24"/>
          <w:szCs w:val="24"/>
        </w:rPr>
        <w:t>re-qualify potential purchasers;</w:t>
      </w:r>
    </w:p>
    <w:p w14:paraId="7F98C58B" w14:textId="77777777" w:rsidR="004B52DA" w:rsidRPr="001670E4" w:rsidRDefault="004B52DA" w:rsidP="003E7B18">
      <w:pPr>
        <w:numPr>
          <w:ilvl w:val="0"/>
          <w:numId w:val="167"/>
        </w:numPr>
        <w:shd w:val="clear" w:color="auto" w:fill="FFFFFF"/>
        <w:spacing w:before="100" w:beforeAutospacing="1" w:after="100" w:afterAutospacing="1" w:line="240" w:lineRule="atLeast"/>
        <w:rPr>
          <w:spacing w:val="8"/>
          <w:sz w:val="24"/>
          <w:szCs w:val="24"/>
        </w:rPr>
      </w:pPr>
      <w:r w:rsidRPr="001670E4">
        <w:rPr>
          <w:spacing w:val="8"/>
          <w:sz w:val="24"/>
          <w:szCs w:val="24"/>
        </w:rPr>
        <w:t>Limitation on purchasers to those who have been approved for option trading, which provides a minimum qualification to participate in the investment</w:t>
      </w:r>
      <w:r w:rsidR="00495E8C" w:rsidRPr="001670E4">
        <w:rPr>
          <w:spacing w:val="8"/>
          <w:sz w:val="24"/>
          <w:szCs w:val="24"/>
        </w:rPr>
        <w:t>.</w:t>
      </w:r>
    </w:p>
    <w:p w14:paraId="22DF6207" w14:textId="77777777" w:rsidR="004B52DA" w:rsidRPr="001670E4" w:rsidRDefault="004B52DA" w:rsidP="00495E8C">
      <w:pPr>
        <w:spacing w:line="240" w:lineRule="atLeast"/>
        <w:rPr>
          <w:spacing w:val="8"/>
          <w:sz w:val="24"/>
          <w:szCs w:val="24"/>
        </w:rPr>
      </w:pPr>
      <w:r w:rsidRPr="001670E4">
        <w:rPr>
          <w:spacing w:val="8"/>
          <w:sz w:val="24"/>
          <w:szCs w:val="24"/>
        </w:rPr>
        <w:t> </w:t>
      </w:r>
      <w:bookmarkEnd w:id="268"/>
    </w:p>
    <w:p w14:paraId="6EC07C2F" w14:textId="77777777" w:rsidR="004B52DA" w:rsidRPr="001670E4" w:rsidRDefault="00495E8C" w:rsidP="004B52DA">
      <w:pPr>
        <w:pStyle w:val="Heading3"/>
        <w:shd w:val="clear" w:color="auto" w:fill="FFFFFF"/>
        <w:spacing w:line="240" w:lineRule="atLeast"/>
      </w:pPr>
      <w:r w:rsidRPr="001670E4">
        <w:t>1</w:t>
      </w:r>
      <w:r w:rsidR="00E5056A">
        <w:t>4</w:t>
      </w:r>
      <w:r w:rsidRPr="001670E4">
        <w:t>.3</w:t>
      </w:r>
      <w:r w:rsidR="003F4D32">
        <w:t>5</w:t>
      </w:r>
      <w:r w:rsidRPr="001670E4">
        <w:t xml:space="preserve">.5 </w:t>
      </w:r>
      <w:r w:rsidR="00A867CF">
        <w:t>Examples o</w:t>
      </w:r>
      <w:r w:rsidR="004B52DA" w:rsidRPr="001670E4">
        <w:t xml:space="preserve">f Complex Products </w:t>
      </w:r>
    </w:p>
    <w:p w14:paraId="69690883" w14:textId="77777777" w:rsidR="004B52DA" w:rsidRPr="001670E4" w:rsidRDefault="004B52DA" w:rsidP="003E7B18">
      <w:pPr>
        <w:numPr>
          <w:ilvl w:val="0"/>
          <w:numId w:val="168"/>
        </w:numPr>
        <w:shd w:val="clear" w:color="auto" w:fill="FFFFFF"/>
        <w:spacing w:before="100" w:beforeAutospacing="1" w:after="100" w:afterAutospacing="1" w:line="240" w:lineRule="atLeast"/>
        <w:rPr>
          <w:spacing w:val="8"/>
          <w:sz w:val="24"/>
          <w:szCs w:val="24"/>
        </w:rPr>
      </w:pPr>
      <w:r w:rsidRPr="001670E4">
        <w:rPr>
          <w:spacing w:val="8"/>
          <w:sz w:val="24"/>
          <w:szCs w:val="24"/>
        </w:rPr>
        <w:t xml:space="preserve">Asset-backed securities that are secured by a pool of collateral such as mortgages, payments from consumer credit cards or future royalty payments on popular music, may be difficult for retail investors to understand. With these securities, the creditworthiness of the underlying borrowers or the existence of prepayment risks, though critical to the evaluation of the product, may not be readily apparent to retail investors. Similarly, unlisted REITs may present liquidity and valuation issues for a retail investor. </w:t>
      </w:r>
    </w:p>
    <w:p w14:paraId="7D788A17" w14:textId="77777777" w:rsidR="004B52DA" w:rsidRPr="001670E4" w:rsidRDefault="004B52DA" w:rsidP="003E7B18">
      <w:pPr>
        <w:numPr>
          <w:ilvl w:val="0"/>
          <w:numId w:val="168"/>
        </w:numPr>
        <w:shd w:val="clear" w:color="auto" w:fill="FFFFFF"/>
        <w:spacing w:before="100" w:beforeAutospacing="1" w:after="100" w:afterAutospacing="1" w:line="240" w:lineRule="atLeast"/>
        <w:rPr>
          <w:spacing w:val="8"/>
          <w:sz w:val="24"/>
          <w:szCs w:val="24"/>
        </w:rPr>
      </w:pPr>
      <w:r w:rsidRPr="001670E4">
        <w:rPr>
          <w:spacing w:val="8"/>
          <w:sz w:val="24"/>
          <w:szCs w:val="24"/>
        </w:rPr>
        <w:t>Products that include an embedded derivative component that may be difficult to understand, such as those</w:t>
      </w:r>
      <w:r w:rsidR="00495E8C" w:rsidRPr="001670E4">
        <w:rPr>
          <w:spacing w:val="8"/>
          <w:sz w:val="24"/>
          <w:szCs w:val="24"/>
        </w:rPr>
        <w:t xml:space="preserve"> in which</w:t>
      </w:r>
      <w:r w:rsidRPr="001670E4">
        <w:rPr>
          <w:spacing w:val="8"/>
          <w:sz w:val="24"/>
          <w:szCs w:val="24"/>
        </w:rPr>
        <w:t xml:space="preserve">: </w:t>
      </w:r>
    </w:p>
    <w:p w14:paraId="145681E7" w14:textId="77777777" w:rsidR="004B52DA" w:rsidRPr="001670E4" w:rsidRDefault="00495E8C" w:rsidP="003E7B18">
      <w:pPr>
        <w:numPr>
          <w:ilvl w:val="1"/>
          <w:numId w:val="168"/>
        </w:numPr>
        <w:shd w:val="clear" w:color="auto" w:fill="FFFFFF"/>
        <w:spacing w:before="100" w:beforeAutospacing="1" w:after="100" w:afterAutospacing="1" w:line="240" w:lineRule="atLeast"/>
        <w:rPr>
          <w:spacing w:val="8"/>
          <w:sz w:val="24"/>
          <w:szCs w:val="24"/>
        </w:rPr>
      </w:pPr>
      <w:r w:rsidRPr="001670E4">
        <w:rPr>
          <w:spacing w:val="8"/>
          <w:sz w:val="24"/>
          <w:szCs w:val="24"/>
        </w:rPr>
        <w:t>Repayment</w:t>
      </w:r>
      <w:r w:rsidR="004B52DA" w:rsidRPr="001670E4">
        <w:rPr>
          <w:spacing w:val="8"/>
          <w:sz w:val="24"/>
          <w:szCs w:val="24"/>
        </w:rPr>
        <w:t xml:space="preserve"> of principal or payment of yield depends upon a reference </w:t>
      </w:r>
      <w:proofErr w:type="gramStart"/>
      <w:r w:rsidR="004B52DA" w:rsidRPr="001670E4">
        <w:rPr>
          <w:spacing w:val="8"/>
          <w:sz w:val="24"/>
          <w:szCs w:val="24"/>
        </w:rPr>
        <w:t>asset, when</w:t>
      </w:r>
      <w:proofErr w:type="gramEnd"/>
      <w:r w:rsidR="004B52DA" w:rsidRPr="001670E4">
        <w:rPr>
          <w:spacing w:val="8"/>
          <w:sz w:val="24"/>
          <w:szCs w:val="24"/>
        </w:rPr>
        <w:t xml:space="preserve"> information about the performance of the reference asset is not readily available to investors. An example is structured notes with an embedded derivative for which the reference asset is a constant maturity swap rate. </w:t>
      </w:r>
    </w:p>
    <w:p w14:paraId="55C243F9" w14:textId="77777777" w:rsidR="004B52DA" w:rsidRPr="001670E4" w:rsidRDefault="00495E8C" w:rsidP="003E7B18">
      <w:pPr>
        <w:numPr>
          <w:ilvl w:val="1"/>
          <w:numId w:val="168"/>
        </w:numPr>
        <w:shd w:val="clear" w:color="auto" w:fill="FFFFFF"/>
        <w:spacing w:before="100" w:beforeAutospacing="1" w:after="100" w:afterAutospacing="1" w:line="240" w:lineRule="atLeast"/>
        <w:rPr>
          <w:spacing w:val="8"/>
          <w:sz w:val="24"/>
          <w:szCs w:val="24"/>
        </w:rPr>
      </w:pPr>
      <w:r w:rsidRPr="001670E4">
        <w:rPr>
          <w:spacing w:val="8"/>
          <w:sz w:val="24"/>
          <w:szCs w:val="24"/>
        </w:rPr>
        <w:t>There are d</w:t>
      </w:r>
      <w:r w:rsidR="004B52DA" w:rsidRPr="001670E4">
        <w:rPr>
          <w:spacing w:val="8"/>
          <w:sz w:val="24"/>
          <w:szCs w:val="24"/>
        </w:rPr>
        <w:t>ifferent stated returns throughout the lifetime of the product. For example, "</w:t>
      </w:r>
      <w:proofErr w:type="spellStart"/>
      <w:r w:rsidR="004B52DA" w:rsidRPr="001670E4">
        <w:rPr>
          <w:spacing w:val="8"/>
          <w:sz w:val="24"/>
          <w:szCs w:val="24"/>
        </w:rPr>
        <w:t>steepener</w:t>
      </w:r>
      <w:proofErr w:type="spellEnd"/>
      <w:r w:rsidR="004B52DA" w:rsidRPr="001670E4">
        <w:rPr>
          <w:spacing w:val="8"/>
          <w:sz w:val="24"/>
          <w:szCs w:val="24"/>
        </w:rPr>
        <w:t xml:space="preserve">" notes typically offer a relatively high teaser coupon rate for the first year, after which they offer variable rates determined by the steepness of a yield curve. Similarly, some firms have offered structured notes with payoffs contingent on whether one or more reference asset performs within a certain range. </w:t>
      </w:r>
    </w:p>
    <w:p w14:paraId="18B6851F" w14:textId="77777777" w:rsidR="004B52DA" w:rsidRPr="001670E4" w:rsidRDefault="00495E8C" w:rsidP="003E7B18">
      <w:pPr>
        <w:numPr>
          <w:ilvl w:val="1"/>
          <w:numId w:val="168"/>
        </w:numPr>
        <w:shd w:val="clear" w:color="auto" w:fill="FFFFFF"/>
        <w:spacing w:before="100" w:beforeAutospacing="1" w:after="100" w:afterAutospacing="1" w:line="240" w:lineRule="atLeast"/>
        <w:rPr>
          <w:spacing w:val="8"/>
          <w:sz w:val="24"/>
          <w:szCs w:val="24"/>
        </w:rPr>
      </w:pPr>
      <w:r w:rsidRPr="001670E4">
        <w:rPr>
          <w:spacing w:val="8"/>
          <w:sz w:val="24"/>
          <w:szCs w:val="24"/>
        </w:rPr>
        <w:t>T</w:t>
      </w:r>
      <w:r w:rsidR="004B52DA" w:rsidRPr="001670E4">
        <w:rPr>
          <w:spacing w:val="8"/>
          <w:sz w:val="24"/>
          <w:szCs w:val="24"/>
        </w:rPr>
        <w:t xml:space="preserve">he investor might incur a capital loss as a result of the fall in the value of the reference asset without being able to participate in an increase in its value. So-called "reverse convertible notes" may fall into this category. </w:t>
      </w:r>
    </w:p>
    <w:p w14:paraId="2D1DABB0" w14:textId="77777777" w:rsidR="004B52DA" w:rsidRPr="001670E4" w:rsidRDefault="00495E8C" w:rsidP="003E7B18">
      <w:pPr>
        <w:numPr>
          <w:ilvl w:val="1"/>
          <w:numId w:val="168"/>
        </w:numPr>
        <w:shd w:val="clear" w:color="auto" w:fill="FFFFFF"/>
        <w:spacing w:before="100" w:beforeAutospacing="1" w:after="100" w:afterAutospacing="1" w:line="240" w:lineRule="atLeast"/>
        <w:rPr>
          <w:spacing w:val="8"/>
          <w:sz w:val="24"/>
          <w:szCs w:val="24"/>
        </w:rPr>
      </w:pPr>
      <w:r w:rsidRPr="001670E4">
        <w:rPr>
          <w:spacing w:val="8"/>
          <w:sz w:val="24"/>
          <w:szCs w:val="24"/>
        </w:rPr>
        <w:t>A</w:t>
      </w:r>
      <w:r w:rsidR="004B52DA" w:rsidRPr="001670E4">
        <w:rPr>
          <w:spacing w:val="8"/>
          <w:sz w:val="24"/>
          <w:szCs w:val="24"/>
        </w:rPr>
        <w:t xml:space="preserve"> change in the performance of the reference asset can have a disproportionate impact on the repayment of capital or on the payment of return. For example, "knock in" or "knock out" features associated with reverse convertible notes, in which a drop in the value of the reference asset to a pre-defined level, can affect determination of an investor's gains or losses.</w:t>
      </w:r>
    </w:p>
    <w:p w14:paraId="665045F8" w14:textId="77777777" w:rsidR="004B52DA" w:rsidRPr="001670E4" w:rsidRDefault="004B52DA" w:rsidP="003E7B18">
      <w:pPr>
        <w:numPr>
          <w:ilvl w:val="0"/>
          <w:numId w:val="168"/>
        </w:numPr>
        <w:shd w:val="clear" w:color="auto" w:fill="FFFFFF"/>
        <w:spacing w:before="100" w:beforeAutospacing="1" w:after="100" w:afterAutospacing="1" w:line="240" w:lineRule="atLeast"/>
        <w:rPr>
          <w:spacing w:val="8"/>
          <w:sz w:val="24"/>
          <w:szCs w:val="24"/>
        </w:rPr>
      </w:pPr>
      <w:r w:rsidRPr="001670E4">
        <w:rPr>
          <w:spacing w:val="8"/>
          <w:sz w:val="24"/>
          <w:szCs w:val="24"/>
        </w:rPr>
        <w:lastRenderedPageBreak/>
        <w:t xml:space="preserve">Products with contingencies in gains or losses, particularly those that depend upon multiple mechanisms, such as the simultaneous occurrence of several conditions across different asset classes. An example is range accrual notes for which the return of principal can depend upon the value of two or more reference assets on certain pre-defined dates. </w:t>
      </w:r>
    </w:p>
    <w:p w14:paraId="30991C6D" w14:textId="77777777" w:rsidR="004B52DA" w:rsidRPr="001670E4" w:rsidRDefault="004B52DA" w:rsidP="003E7B18">
      <w:pPr>
        <w:numPr>
          <w:ilvl w:val="0"/>
          <w:numId w:val="168"/>
        </w:numPr>
        <w:shd w:val="clear" w:color="auto" w:fill="FFFFFF"/>
        <w:spacing w:before="100" w:beforeAutospacing="1" w:after="100" w:afterAutospacing="1" w:line="240" w:lineRule="atLeast"/>
        <w:rPr>
          <w:spacing w:val="8"/>
          <w:sz w:val="24"/>
          <w:szCs w:val="24"/>
        </w:rPr>
      </w:pPr>
      <w:r w:rsidRPr="001670E4">
        <w:rPr>
          <w:spacing w:val="8"/>
          <w:sz w:val="24"/>
          <w:szCs w:val="24"/>
        </w:rPr>
        <w:t xml:space="preserve">Structured notes with "worst-of" features, which provide payoffs </w:t>
      </w:r>
      <w:r w:rsidR="000A2C68" w:rsidRPr="001670E4">
        <w:rPr>
          <w:spacing w:val="8"/>
          <w:sz w:val="24"/>
          <w:szCs w:val="24"/>
        </w:rPr>
        <w:t>that</w:t>
      </w:r>
      <w:r w:rsidRPr="001670E4">
        <w:rPr>
          <w:spacing w:val="8"/>
          <w:sz w:val="24"/>
          <w:szCs w:val="24"/>
        </w:rPr>
        <w:t xml:space="preserve"> depend upon the worst performing reference index in a pre-specified group. These notes can limit the return of principal at maturity if either the reference index falls by a stated percentage (</w:t>
      </w:r>
      <w:r w:rsidRPr="001670E4">
        <w:rPr>
          <w:i/>
          <w:iCs/>
          <w:spacing w:val="8"/>
          <w:sz w:val="24"/>
          <w:szCs w:val="24"/>
        </w:rPr>
        <w:t>e.g.,</w:t>
      </w:r>
      <w:r w:rsidRPr="001670E4">
        <w:rPr>
          <w:spacing w:val="8"/>
          <w:sz w:val="24"/>
          <w:szCs w:val="24"/>
        </w:rPr>
        <w:t xml:space="preserve"> 30 percent) or if any of the reference indices decline in value since the date of issue. </w:t>
      </w:r>
    </w:p>
    <w:p w14:paraId="7CE4598F" w14:textId="77777777" w:rsidR="004B52DA" w:rsidRPr="001670E4" w:rsidRDefault="004B52DA" w:rsidP="003E7B18">
      <w:pPr>
        <w:numPr>
          <w:ilvl w:val="0"/>
          <w:numId w:val="168"/>
        </w:numPr>
        <w:shd w:val="clear" w:color="auto" w:fill="FFFFFF"/>
        <w:spacing w:before="100" w:beforeAutospacing="1" w:after="100" w:afterAutospacing="1" w:line="240" w:lineRule="atLeast"/>
        <w:rPr>
          <w:spacing w:val="8"/>
          <w:sz w:val="24"/>
          <w:szCs w:val="24"/>
        </w:rPr>
      </w:pPr>
      <w:r w:rsidRPr="001670E4">
        <w:rPr>
          <w:spacing w:val="8"/>
          <w:sz w:val="24"/>
          <w:szCs w:val="24"/>
        </w:rPr>
        <w:t xml:space="preserve">Investments tied to the performance of markets that may not be well understood by many investors. For example, some exchange-traded products offer retail investors exposure to stock market volatility. Some of these products also provide inverse or leveraged exposure. The investable form of volatility may be in the form of futures on the CBOE Volatility Index (VIX) that reflect the market's expectation of volatility. Some investors may not understand that the product's return may not be based on VIX fluctuations actually experienced on a given day, but on the market's expectation of future volatility. </w:t>
      </w:r>
    </w:p>
    <w:p w14:paraId="5F4CCC97" w14:textId="77777777" w:rsidR="004B52DA" w:rsidRPr="001670E4" w:rsidRDefault="004B52DA" w:rsidP="003E7B18">
      <w:pPr>
        <w:numPr>
          <w:ilvl w:val="0"/>
          <w:numId w:val="168"/>
        </w:numPr>
        <w:shd w:val="clear" w:color="auto" w:fill="FFFFFF"/>
        <w:spacing w:before="100" w:beforeAutospacing="1" w:after="100" w:afterAutospacing="1" w:line="240" w:lineRule="atLeast"/>
        <w:rPr>
          <w:spacing w:val="8"/>
          <w:sz w:val="24"/>
          <w:szCs w:val="24"/>
        </w:rPr>
      </w:pPr>
      <w:r w:rsidRPr="001670E4">
        <w:rPr>
          <w:spacing w:val="8"/>
          <w:sz w:val="24"/>
          <w:szCs w:val="24"/>
        </w:rPr>
        <w:t xml:space="preserve">Products with principal protection that is conditional or partial, or that can be withdrawn by the product sponsor upon the occurrence of certain events. Notes that can lose their principal protection based upon a stated event represent an example of a product with this feature. </w:t>
      </w:r>
    </w:p>
    <w:p w14:paraId="2051B09F" w14:textId="77777777" w:rsidR="004B52DA" w:rsidRPr="001670E4" w:rsidRDefault="004B52DA" w:rsidP="003E7B18">
      <w:pPr>
        <w:numPr>
          <w:ilvl w:val="0"/>
          <w:numId w:val="168"/>
        </w:numPr>
        <w:shd w:val="clear" w:color="auto" w:fill="FFFFFF"/>
        <w:spacing w:before="100" w:beforeAutospacing="1" w:after="100" w:afterAutospacing="1" w:line="240" w:lineRule="atLeast"/>
        <w:rPr>
          <w:spacing w:val="8"/>
          <w:sz w:val="24"/>
          <w:szCs w:val="24"/>
        </w:rPr>
      </w:pPr>
      <w:r w:rsidRPr="001670E4">
        <w:rPr>
          <w:spacing w:val="8"/>
          <w:sz w:val="24"/>
          <w:szCs w:val="24"/>
        </w:rPr>
        <w:t xml:space="preserve">Product structures that can lead to performance that is significantly different from what an investor may expect, such as products with leveraged returns that are reset daily. Leveraged or inverse exchange-traded funds exemplify this feature. Many leveraged and inverse ETFs "reset" daily, meaning that they are designed to achieve their stated leverage or inverse objectives on a daily basis. Their performance over longer periods of time can differ significantly from what might be expected based on their daily leverage or inverse factor. </w:t>
      </w:r>
    </w:p>
    <w:p w14:paraId="78F18F96" w14:textId="77777777" w:rsidR="004B52DA" w:rsidRPr="004610F5" w:rsidRDefault="004B52DA" w:rsidP="003E7B18">
      <w:pPr>
        <w:numPr>
          <w:ilvl w:val="0"/>
          <w:numId w:val="168"/>
        </w:numPr>
        <w:shd w:val="clear" w:color="auto" w:fill="FFFFFF"/>
        <w:spacing w:before="100" w:beforeAutospacing="1" w:after="100" w:afterAutospacing="1" w:line="240" w:lineRule="atLeast"/>
        <w:rPr>
          <w:spacing w:val="8"/>
          <w:sz w:val="24"/>
          <w:szCs w:val="24"/>
        </w:rPr>
      </w:pPr>
      <w:r w:rsidRPr="004610F5">
        <w:rPr>
          <w:spacing w:val="8"/>
          <w:sz w:val="24"/>
          <w:szCs w:val="24"/>
        </w:rPr>
        <w:t>Products with complicated limits or formulas for the calculation of investor gains. For example, some structured notes have a payout structure that tracks the upside performance of a reference asset one-for-four, but if the reference asset's performance exceeds a specified threshold the payoff is reduced to a much lower, pre-set level, regardless of how it performs afterward.</w:t>
      </w:r>
    </w:p>
    <w:p w14:paraId="661E66CD" w14:textId="77777777" w:rsidR="004B52DA" w:rsidRPr="004B52DA" w:rsidRDefault="004B52DA" w:rsidP="004B52DA">
      <w:pPr>
        <w:rPr>
          <w:color w:val="FF0000"/>
          <w:sz w:val="24"/>
          <w:szCs w:val="24"/>
        </w:rPr>
      </w:pPr>
    </w:p>
    <w:p w14:paraId="375AA34F" w14:textId="77777777" w:rsidR="0048023D" w:rsidRDefault="00066E43" w:rsidP="001312BA">
      <w:pPr>
        <w:jc w:val="both"/>
      </w:pPr>
      <w:r>
        <w:rPr>
          <w:sz w:val="24"/>
        </w:rPr>
        <w:br w:type="page"/>
      </w:r>
      <w:bookmarkStart w:id="269" w:name="InsuranceProducts"/>
    </w:p>
    <w:p w14:paraId="2B37E990" w14:textId="77777777" w:rsidR="001312BA" w:rsidRDefault="001312BA" w:rsidP="0048023D">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270" w:name="_Toc227820452"/>
      <w:bookmarkStart w:id="271" w:name="_Toc227821717"/>
      <w:bookmarkStart w:id="272" w:name="_Toc227821835"/>
    </w:p>
    <w:p w14:paraId="1B080751" w14:textId="77777777" w:rsidR="0048023D" w:rsidRDefault="00F3760C" w:rsidP="0048023D">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273" w:name="_Toc535916180"/>
      <w:r>
        <w:t>1</w:t>
      </w:r>
      <w:r w:rsidR="00DD4858">
        <w:t>5</w:t>
      </w:r>
      <w:r w:rsidR="000C099C">
        <w:t>.</w:t>
      </w:r>
      <w:r w:rsidR="00D218EE">
        <w:t xml:space="preserve">  </w:t>
      </w:r>
      <w:r w:rsidR="000C099C">
        <w:t xml:space="preserve">INSURANCE </w:t>
      </w:r>
      <w:r w:rsidR="0048023D">
        <w:t>PRODUCTS</w:t>
      </w:r>
      <w:bookmarkEnd w:id="270"/>
      <w:bookmarkEnd w:id="271"/>
      <w:bookmarkEnd w:id="272"/>
      <w:bookmarkEnd w:id="273"/>
    </w:p>
    <w:p w14:paraId="1E0D6547" w14:textId="77777777" w:rsidR="0048023D" w:rsidRDefault="0048023D" w:rsidP="0048023D">
      <w:pPr>
        <w:pStyle w:val="Heading1"/>
        <w:pBdr>
          <w:top w:val="double" w:sz="12" w:space="1" w:color="000099"/>
          <w:left w:val="double" w:sz="12" w:space="4" w:color="000099"/>
          <w:bottom w:val="double" w:sz="12" w:space="1" w:color="000099"/>
          <w:right w:val="double" w:sz="12" w:space="4" w:color="000099"/>
        </w:pBdr>
        <w:shd w:val="pct10" w:color="0000FF" w:fill="auto"/>
        <w:jc w:val="center"/>
      </w:pPr>
    </w:p>
    <w:bookmarkEnd w:id="269"/>
    <w:p w14:paraId="02F306C6" w14:textId="77777777" w:rsidR="000C099C" w:rsidRDefault="000C099C">
      <w:pPr>
        <w:jc w:val="both"/>
        <w:rPr>
          <w:sz w:val="24"/>
        </w:rPr>
      </w:pPr>
    </w:p>
    <w:p w14:paraId="40579353" w14:textId="77777777" w:rsidR="000C099C" w:rsidRDefault="000C099C">
      <w:pPr>
        <w:jc w:val="both"/>
        <w:rPr>
          <w:sz w:val="24"/>
        </w:rPr>
      </w:pPr>
    </w:p>
    <w:p w14:paraId="7ABBB63C" w14:textId="77777777" w:rsidR="0003130B" w:rsidRDefault="0003130B" w:rsidP="00936FEE">
      <w:pPr>
        <w:pStyle w:val="Heading2"/>
      </w:pPr>
      <w:r>
        <w:t>1</w:t>
      </w:r>
      <w:r w:rsidR="00DD4858">
        <w:t>5</w:t>
      </w:r>
      <w:r>
        <w:t>.1</w:t>
      </w:r>
      <w:r w:rsidR="0010141E">
        <w:t xml:space="preserve"> </w:t>
      </w:r>
      <w:r>
        <w:t>Introduction</w:t>
      </w:r>
    </w:p>
    <w:p w14:paraId="0E4B1FE6" w14:textId="77777777" w:rsidR="00937E88" w:rsidRPr="00671FC0" w:rsidRDefault="00937E88" w:rsidP="00937E88">
      <w:pPr>
        <w:shd w:val="clear" w:color="auto" w:fill="FFFFFF"/>
        <w:jc w:val="both"/>
        <w:rPr>
          <w:color w:val="000000"/>
          <w:spacing w:val="8"/>
          <w:sz w:val="24"/>
          <w:szCs w:val="24"/>
        </w:rPr>
      </w:pPr>
      <w:r w:rsidRPr="00671FC0">
        <w:rPr>
          <w:color w:val="000000"/>
          <w:spacing w:val="8"/>
          <w:sz w:val="24"/>
          <w:szCs w:val="24"/>
        </w:rPr>
        <w:t>This section outlines requirements and procedures when offering insurance products to customers. Insurance products include the following:</w:t>
      </w:r>
    </w:p>
    <w:p w14:paraId="73137705" w14:textId="77777777" w:rsidR="001D29A5" w:rsidRPr="00671FC0" w:rsidRDefault="001D29A5" w:rsidP="00937E88">
      <w:pPr>
        <w:shd w:val="clear" w:color="auto" w:fill="FFFFFF"/>
        <w:jc w:val="both"/>
        <w:rPr>
          <w:color w:val="000000"/>
          <w:spacing w:val="8"/>
          <w:sz w:val="24"/>
          <w:szCs w:val="24"/>
        </w:rPr>
      </w:pPr>
    </w:p>
    <w:p w14:paraId="4CC9EB0F" w14:textId="77777777" w:rsidR="001D29A5" w:rsidRPr="00671FC0" w:rsidRDefault="00937E88" w:rsidP="00C1728B">
      <w:pPr>
        <w:numPr>
          <w:ilvl w:val="0"/>
          <w:numId w:val="110"/>
        </w:numPr>
        <w:shd w:val="clear" w:color="auto" w:fill="FFFFFF"/>
        <w:jc w:val="both"/>
        <w:rPr>
          <w:color w:val="000000"/>
          <w:spacing w:val="8"/>
          <w:sz w:val="24"/>
          <w:szCs w:val="24"/>
        </w:rPr>
      </w:pPr>
      <w:r w:rsidRPr="00671FC0">
        <w:rPr>
          <w:color w:val="000000"/>
          <w:spacing w:val="8"/>
          <w:sz w:val="24"/>
          <w:szCs w:val="24"/>
        </w:rPr>
        <w:t xml:space="preserve">Variable </w:t>
      </w:r>
      <w:r w:rsidR="001D29A5" w:rsidRPr="00671FC0">
        <w:rPr>
          <w:color w:val="000000"/>
          <w:spacing w:val="8"/>
          <w:sz w:val="24"/>
          <w:szCs w:val="24"/>
        </w:rPr>
        <w:t>Annuities</w:t>
      </w:r>
    </w:p>
    <w:p w14:paraId="794B7C2E" w14:textId="77777777" w:rsidR="00937E88" w:rsidRPr="00671FC0" w:rsidRDefault="001D29A5" w:rsidP="00C1728B">
      <w:pPr>
        <w:numPr>
          <w:ilvl w:val="0"/>
          <w:numId w:val="110"/>
        </w:numPr>
        <w:shd w:val="clear" w:color="auto" w:fill="FFFFFF"/>
        <w:jc w:val="both"/>
        <w:rPr>
          <w:color w:val="000000"/>
          <w:spacing w:val="8"/>
          <w:sz w:val="24"/>
          <w:szCs w:val="24"/>
        </w:rPr>
      </w:pPr>
      <w:r w:rsidRPr="00671FC0">
        <w:rPr>
          <w:color w:val="000000"/>
          <w:spacing w:val="8"/>
          <w:sz w:val="24"/>
          <w:szCs w:val="24"/>
        </w:rPr>
        <w:t>V</w:t>
      </w:r>
      <w:r w:rsidR="00937E88" w:rsidRPr="00671FC0">
        <w:rPr>
          <w:color w:val="000000"/>
          <w:spacing w:val="8"/>
          <w:sz w:val="24"/>
          <w:szCs w:val="24"/>
        </w:rPr>
        <w:t xml:space="preserve">ariable </w:t>
      </w:r>
      <w:r w:rsidRPr="00671FC0">
        <w:rPr>
          <w:color w:val="000000"/>
          <w:spacing w:val="8"/>
          <w:sz w:val="24"/>
          <w:szCs w:val="24"/>
        </w:rPr>
        <w:t>L</w:t>
      </w:r>
      <w:r w:rsidR="00937E88" w:rsidRPr="00671FC0">
        <w:rPr>
          <w:color w:val="000000"/>
          <w:spacing w:val="8"/>
          <w:sz w:val="24"/>
          <w:szCs w:val="24"/>
        </w:rPr>
        <w:t>ife</w:t>
      </w:r>
      <w:r w:rsidRPr="00671FC0">
        <w:rPr>
          <w:color w:val="000000"/>
          <w:spacing w:val="8"/>
          <w:sz w:val="24"/>
          <w:szCs w:val="24"/>
        </w:rPr>
        <w:t xml:space="preserve"> Contracts</w:t>
      </w:r>
      <w:r w:rsidR="00937E88" w:rsidRPr="00671FC0">
        <w:rPr>
          <w:color w:val="000000"/>
          <w:spacing w:val="8"/>
          <w:sz w:val="24"/>
          <w:szCs w:val="24"/>
        </w:rPr>
        <w:t>;</w:t>
      </w:r>
    </w:p>
    <w:p w14:paraId="5FE7F9D4" w14:textId="551E3C7F" w:rsidR="001D29A5" w:rsidRPr="00671FC0" w:rsidRDefault="00937E88" w:rsidP="00C1728B">
      <w:pPr>
        <w:numPr>
          <w:ilvl w:val="0"/>
          <w:numId w:val="110"/>
        </w:numPr>
        <w:shd w:val="clear" w:color="auto" w:fill="FFFFFF"/>
        <w:jc w:val="both"/>
        <w:rPr>
          <w:color w:val="000000"/>
          <w:spacing w:val="8"/>
          <w:sz w:val="24"/>
          <w:szCs w:val="24"/>
        </w:rPr>
      </w:pPr>
      <w:r w:rsidRPr="00671FC0">
        <w:rPr>
          <w:color w:val="000000"/>
          <w:spacing w:val="8"/>
          <w:sz w:val="24"/>
          <w:szCs w:val="24"/>
        </w:rPr>
        <w:t>Fixed Annuities</w:t>
      </w:r>
      <w:r w:rsidR="00C25794">
        <w:rPr>
          <w:color w:val="000000"/>
          <w:spacing w:val="8"/>
          <w:sz w:val="24"/>
          <w:szCs w:val="24"/>
        </w:rPr>
        <w:t xml:space="preserve"> </w:t>
      </w:r>
      <w:r w:rsidR="00971621" w:rsidRPr="008D1FF0">
        <w:rPr>
          <w:spacing w:val="8"/>
          <w:sz w:val="24"/>
          <w:szCs w:val="24"/>
        </w:rPr>
        <w:t xml:space="preserve">(submitted </w:t>
      </w:r>
      <w:r w:rsidR="00C25794" w:rsidRPr="008D1FF0">
        <w:rPr>
          <w:spacing w:val="8"/>
          <w:sz w:val="24"/>
          <w:szCs w:val="24"/>
        </w:rPr>
        <w:t>through Company</w:t>
      </w:r>
      <w:r w:rsidR="00971621" w:rsidRPr="008D1FF0">
        <w:rPr>
          <w:spacing w:val="8"/>
          <w:sz w:val="24"/>
          <w:szCs w:val="24"/>
        </w:rPr>
        <w:t>)</w:t>
      </w:r>
      <w:r w:rsidR="001D29A5" w:rsidRPr="008D1FF0">
        <w:rPr>
          <w:spacing w:val="8"/>
          <w:sz w:val="24"/>
          <w:szCs w:val="24"/>
        </w:rPr>
        <w:t>;</w:t>
      </w:r>
      <w:r w:rsidR="001D29A5" w:rsidRPr="00671FC0">
        <w:rPr>
          <w:color w:val="000000"/>
          <w:spacing w:val="8"/>
          <w:sz w:val="24"/>
          <w:szCs w:val="24"/>
        </w:rPr>
        <w:t xml:space="preserve"> </w:t>
      </w:r>
      <w:r w:rsidRPr="00671FC0">
        <w:rPr>
          <w:color w:val="000000"/>
          <w:spacing w:val="8"/>
          <w:sz w:val="24"/>
          <w:szCs w:val="24"/>
        </w:rPr>
        <w:t xml:space="preserve">and </w:t>
      </w:r>
    </w:p>
    <w:p w14:paraId="61682370" w14:textId="77777777" w:rsidR="00937E88" w:rsidRPr="00671FC0" w:rsidRDefault="00937E88" w:rsidP="00C1728B">
      <w:pPr>
        <w:numPr>
          <w:ilvl w:val="0"/>
          <w:numId w:val="110"/>
        </w:numPr>
        <w:shd w:val="clear" w:color="auto" w:fill="FFFFFF"/>
        <w:jc w:val="both"/>
        <w:rPr>
          <w:color w:val="000000"/>
          <w:spacing w:val="8"/>
          <w:sz w:val="24"/>
          <w:szCs w:val="24"/>
        </w:rPr>
      </w:pPr>
      <w:r w:rsidRPr="00671FC0">
        <w:rPr>
          <w:color w:val="000000"/>
          <w:spacing w:val="8"/>
          <w:sz w:val="24"/>
          <w:szCs w:val="24"/>
        </w:rPr>
        <w:t>Indexed Annuities</w:t>
      </w:r>
    </w:p>
    <w:p w14:paraId="73246F54" w14:textId="77777777" w:rsidR="00937E88" w:rsidRPr="00671FC0" w:rsidRDefault="00937E88" w:rsidP="00937E88">
      <w:pPr>
        <w:shd w:val="clear" w:color="auto" w:fill="FFFFFF"/>
        <w:jc w:val="both"/>
        <w:rPr>
          <w:color w:val="000000"/>
          <w:spacing w:val="8"/>
          <w:sz w:val="24"/>
          <w:szCs w:val="24"/>
        </w:rPr>
      </w:pPr>
    </w:p>
    <w:p w14:paraId="57CFDC14" w14:textId="7416E372" w:rsidR="00937E88" w:rsidRDefault="00937E88" w:rsidP="00937E88">
      <w:pPr>
        <w:shd w:val="clear" w:color="auto" w:fill="FFFFFF"/>
        <w:jc w:val="both"/>
        <w:rPr>
          <w:color w:val="000000"/>
          <w:spacing w:val="8"/>
          <w:sz w:val="24"/>
          <w:szCs w:val="24"/>
        </w:rPr>
      </w:pPr>
      <w:r w:rsidRPr="00671FC0">
        <w:rPr>
          <w:color w:val="000000"/>
          <w:spacing w:val="8"/>
          <w:sz w:val="24"/>
          <w:szCs w:val="24"/>
        </w:rPr>
        <w:t>Designated supervisors have the responsibility for overseeing insurance transactions.</w:t>
      </w:r>
    </w:p>
    <w:p w14:paraId="5C3AE120" w14:textId="77777777" w:rsidR="001A4FEA" w:rsidRDefault="001A4FEA" w:rsidP="00937E88">
      <w:pPr>
        <w:shd w:val="clear" w:color="auto" w:fill="FFFFFF"/>
        <w:jc w:val="both"/>
        <w:rPr>
          <w:color w:val="000000"/>
          <w:spacing w:val="8"/>
          <w:sz w:val="24"/>
          <w:szCs w:val="24"/>
        </w:rPr>
      </w:pPr>
    </w:p>
    <w:p w14:paraId="59DB7E1C" w14:textId="329D1C9A" w:rsidR="001A4FEA" w:rsidRPr="001A4FEA" w:rsidRDefault="001A4FEA" w:rsidP="0045023F">
      <w:pPr>
        <w:shd w:val="clear" w:color="auto" w:fill="FFFFFF"/>
        <w:rPr>
          <w:color w:val="000000"/>
          <w:spacing w:val="8"/>
          <w:sz w:val="24"/>
          <w:szCs w:val="24"/>
        </w:rPr>
      </w:pPr>
      <w:r w:rsidRPr="001670E4">
        <w:rPr>
          <w:spacing w:val="8"/>
          <w:sz w:val="24"/>
          <w:szCs w:val="24"/>
        </w:rPr>
        <w:t>In addition, Company will adhere to the NAIC Military Sales Practices Model Regulation guidelines</w:t>
      </w:r>
      <w:r w:rsidR="00CD239A">
        <w:rPr>
          <w:spacing w:val="8"/>
          <w:sz w:val="24"/>
          <w:szCs w:val="24"/>
        </w:rPr>
        <w:t xml:space="preserve"> and the </w:t>
      </w:r>
      <w:r w:rsidR="00CD239A" w:rsidRPr="008D1FF0">
        <w:rPr>
          <w:spacing w:val="8"/>
          <w:sz w:val="24"/>
          <w:szCs w:val="24"/>
        </w:rPr>
        <w:t>NAIC Suitability in Annuity Transactions Model</w:t>
      </w:r>
      <w:r w:rsidR="00270F62" w:rsidRPr="008D1FF0">
        <w:rPr>
          <w:spacing w:val="8"/>
          <w:sz w:val="24"/>
          <w:szCs w:val="24"/>
        </w:rPr>
        <w:t xml:space="preserve"> (amended and effective 09/01/21)</w:t>
      </w:r>
      <w:r w:rsidRPr="008D1FF0">
        <w:rPr>
          <w:spacing w:val="8"/>
          <w:sz w:val="24"/>
          <w:szCs w:val="24"/>
        </w:rPr>
        <w:t xml:space="preserve">.  </w:t>
      </w:r>
      <w:r w:rsidRPr="001670E4">
        <w:rPr>
          <w:spacing w:val="8"/>
          <w:sz w:val="24"/>
          <w:szCs w:val="24"/>
        </w:rPr>
        <w:t xml:space="preserve">Company will follow the applicable standards to protect members of the Armed Forces from dishonest and predatory insurance sales practices while on or off military installations.  However, Company prohibits the sale of any insurance products </w:t>
      </w:r>
      <w:r w:rsidR="00777235" w:rsidRPr="001670E4">
        <w:rPr>
          <w:spacing w:val="8"/>
          <w:sz w:val="24"/>
          <w:szCs w:val="24"/>
        </w:rPr>
        <w:t>on military installations.</w:t>
      </w:r>
      <w:r w:rsidR="000F0920" w:rsidRPr="001670E4">
        <w:rPr>
          <w:spacing w:val="8"/>
          <w:sz w:val="24"/>
          <w:szCs w:val="24"/>
        </w:rPr>
        <w:t xml:space="preserve">  Further information on the regulations can be found at</w:t>
      </w:r>
      <w:r w:rsidR="000F0920">
        <w:rPr>
          <w:color w:val="FF0000"/>
          <w:spacing w:val="8"/>
          <w:sz w:val="24"/>
          <w:szCs w:val="24"/>
        </w:rPr>
        <w:t xml:space="preserve"> </w:t>
      </w:r>
      <w:hyperlink r:id="rId104" w:history="1">
        <w:r w:rsidR="0045023F" w:rsidRPr="00B73CD1">
          <w:rPr>
            <w:rStyle w:val="Hyperlink"/>
            <w:spacing w:val="8"/>
            <w:sz w:val="24"/>
            <w:szCs w:val="24"/>
          </w:rPr>
          <w:t>https://www.naic.org</w:t>
        </w:r>
      </w:hyperlink>
      <w:r w:rsidR="0045023F">
        <w:rPr>
          <w:color w:val="FF0000"/>
          <w:spacing w:val="8"/>
          <w:sz w:val="24"/>
          <w:szCs w:val="24"/>
        </w:rPr>
        <w:t xml:space="preserve"> </w:t>
      </w:r>
      <w:r w:rsidR="0045023F" w:rsidRPr="001670E4">
        <w:rPr>
          <w:spacing w:val="8"/>
          <w:sz w:val="24"/>
          <w:szCs w:val="24"/>
        </w:rPr>
        <w:t xml:space="preserve">and </w:t>
      </w:r>
      <w:hyperlink r:id="rId105" w:history="1">
        <w:r w:rsidR="000F0920" w:rsidRPr="00B73CD1">
          <w:rPr>
            <w:rStyle w:val="Hyperlink"/>
            <w:spacing w:val="8"/>
            <w:sz w:val="24"/>
            <w:szCs w:val="24"/>
          </w:rPr>
          <w:t>http://www.naic.org/documents/topics_military_life_report_to_congress.pdf</w:t>
        </w:r>
      </w:hyperlink>
      <w:r w:rsidR="000F0920">
        <w:rPr>
          <w:color w:val="FF0000"/>
          <w:spacing w:val="8"/>
          <w:sz w:val="24"/>
          <w:szCs w:val="24"/>
        </w:rPr>
        <w:t xml:space="preserve">.  </w:t>
      </w:r>
      <w:r w:rsidRPr="001A4FEA">
        <w:rPr>
          <w:color w:val="000000"/>
          <w:spacing w:val="8"/>
          <w:sz w:val="24"/>
          <w:szCs w:val="24"/>
        </w:rPr>
        <w:t xml:space="preserve"> </w:t>
      </w:r>
    </w:p>
    <w:p w14:paraId="5481F12E" w14:textId="77777777" w:rsidR="00937E88" w:rsidRPr="001A4FEA" w:rsidRDefault="00937E88" w:rsidP="00937E88">
      <w:pPr>
        <w:shd w:val="clear" w:color="auto" w:fill="FFFFFF"/>
        <w:jc w:val="both"/>
        <w:rPr>
          <w:color w:val="000000"/>
          <w:spacing w:val="8"/>
          <w:sz w:val="24"/>
          <w:szCs w:val="24"/>
        </w:rPr>
      </w:pPr>
    </w:p>
    <w:p w14:paraId="5205281F" w14:textId="77777777" w:rsidR="00BC3F9E" w:rsidRPr="00B33A95" w:rsidRDefault="00BC3F9E" w:rsidP="00BC3F9E">
      <w:pPr>
        <w:jc w:val="both"/>
        <w:rPr>
          <w:sz w:val="24"/>
          <w:szCs w:val="24"/>
        </w:rPr>
      </w:pPr>
      <w:r w:rsidRPr="00B33A95">
        <w:rPr>
          <w:spacing w:val="8"/>
          <w:sz w:val="24"/>
          <w:szCs w:val="24"/>
          <w:shd w:val="clear" w:color="auto" w:fill="FFFFFF"/>
        </w:rPr>
        <w:t>References to "suitability" apply only to those recommendations NOT subject to Regulation Best Interest (BI) which applies to retail customers and is addressed in a separate chapter by that name. Suitability requirements apply to entities and institutions (</w:t>
      </w:r>
      <w:r w:rsidRPr="00B33A95">
        <w:rPr>
          <w:i/>
          <w:iCs/>
          <w:spacing w:val="8"/>
          <w:sz w:val="24"/>
          <w:szCs w:val="24"/>
          <w:shd w:val="clear" w:color="auto" w:fill="FFFFFF"/>
        </w:rPr>
        <w:t>e.g.,</w:t>
      </w:r>
      <w:r w:rsidRPr="00B33A95">
        <w:rPr>
          <w:spacing w:val="8"/>
          <w:sz w:val="24"/>
          <w:szCs w:val="24"/>
          <w:shd w:val="clear" w:color="auto" w:fill="FFFFFF"/>
        </w:rPr>
        <w:t> pension funds) and natural persons who will not use recommendations primarily for personal, family, or household purposes (</w:t>
      </w:r>
      <w:r w:rsidRPr="00B33A95">
        <w:rPr>
          <w:i/>
          <w:iCs/>
          <w:spacing w:val="8"/>
          <w:sz w:val="24"/>
          <w:szCs w:val="24"/>
          <w:shd w:val="clear" w:color="auto" w:fill="FFFFFF"/>
        </w:rPr>
        <w:t>e.g.,</w:t>
      </w:r>
      <w:r w:rsidRPr="00B33A95">
        <w:rPr>
          <w:spacing w:val="8"/>
          <w:sz w:val="24"/>
          <w:szCs w:val="24"/>
          <w:shd w:val="clear" w:color="auto" w:fill="FFFFFF"/>
        </w:rPr>
        <w:t> small business owners and charitable trusts). Refer to the Section 5.7 </w:t>
      </w:r>
      <w:r w:rsidRPr="00B33A95">
        <w:rPr>
          <w:i/>
          <w:iCs/>
          <w:spacing w:val="8"/>
          <w:sz w:val="24"/>
          <w:szCs w:val="24"/>
          <w:shd w:val="clear" w:color="auto" w:fill="FFFFFF"/>
        </w:rPr>
        <w:t>REGULATION BEST INTEREST (BI)</w:t>
      </w:r>
      <w:r w:rsidRPr="00B33A95">
        <w:rPr>
          <w:spacing w:val="8"/>
          <w:sz w:val="24"/>
          <w:szCs w:val="24"/>
          <w:shd w:val="clear" w:color="auto" w:fill="FFFFFF"/>
        </w:rPr>
        <w:t> for requirements when dealing with retail customers.</w:t>
      </w:r>
    </w:p>
    <w:p w14:paraId="180E58F7" w14:textId="2AE0FF16" w:rsidR="00937E88" w:rsidRDefault="00937E88" w:rsidP="00937E88">
      <w:pPr>
        <w:shd w:val="clear" w:color="auto" w:fill="FFFFFF"/>
        <w:jc w:val="both"/>
        <w:rPr>
          <w:color w:val="000000"/>
          <w:spacing w:val="8"/>
          <w:sz w:val="24"/>
          <w:szCs w:val="24"/>
        </w:rPr>
      </w:pPr>
    </w:p>
    <w:p w14:paraId="14A6AFF5" w14:textId="77777777" w:rsidR="00BC3F9E" w:rsidRPr="00671FC0" w:rsidRDefault="00BC3F9E" w:rsidP="00937E88">
      <w:pPr>
        <w:shd w:val="clear" w:color="auto" w:fill="FFFFFF"/>
        <w:jc w:val="both"/>
        <w:rPr>
          <w:color w:val="000000"/>
          <w:spacing w:val="8"/>
          <w:sz w:val="24"/>
          <w:szCs w:val="24"/>
        </w:rPr>
      </w:pPr>
    </w:p>
    <w:p w14:paraId="7977BABE" w14:textId="77777777" w:rsidR="00937E88" w:rsidRPr="00671FC0" w:rsidRDefault="00937E88" w:rsidP="00936FEE">
      <w:pPr>
        <w:pStyle w:val="Heading2"/>
      </w:pPr>
      <w:r w:rsidRPr="00671FC0">
        <w:t>1</w:t>
      </w:r>
      <w:r w:rsidR="00DD4858">
        <w:t>5</w:t>
      </w:r>
      <w:r w:rsidRPr="00671FC0">
        <w:t>.2</w:t>
      </w:r>
      <w:r w:rsidR="0010141E" w:rsidRPr="00671FC0">
        <w:t xml:space="preserve"> </w:t>
      </w:r>
      <w:r w:rsidRPr="00671FC0">
        <w:t>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50"/>
        <w:gridCol w:w="7122"/>
      </w:tblGrid>
      <w:tr w:rsidR="00937E88" w:rsidRPr="00671FC0" w14:paraId="16FC4EDE" w14:textId="77777777" w:rsidTr="00937E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1440204" w14:textId="77777777" w:rsidR="00937E88" w:rsidRPr="00671FC0" w:rsidRDefault="00937E88" w:rsidP="00937E88">
            <w:pPr>
              <w:jc w:val="center"/>
              <w:rPr>
                <w:b/>
                <w:bCs/>
                <w:color w:val="000000"/>
                <w:spacing w:val="8"/>
                <w:sz w:val="24"/>
                <w:szCs w:val="24"/>
              </w:rPr>
            </w:pPr>
            <w:r w:rsidRPr="00671FC0">
              <w:rPr>
                <w:b/>
                <w:bCs/>
                <w:color w:val="000000"/>
                <w:spacing w:val="8"/>
                <w:sz w:val="24"/>
                <w:szCs w:val="24"/>
              </w:rPr>
              <w:t>Responsibility</w:t>
            </w:r>
          </w:p>
        </w:tc>
        <w:tc>
          <w:tcPr>
            <w:tcW w:w="0" w:type="auto"/>
            <w:tcBorders>
              <w:top w:val="outset" w:sz="6" w:space="0" w:color="auto"/>
              <w:left w:val="outset" w:sz="6" w:space="0" w:color="auto"/>
              <w:bottom w:val="outset" w:sz="6" w:space="0" w:color="auto"/>
              <w:right w:val="outset" w:sz="6" w:space="0" w:color="auto"/>
            </w:tcBorders>
            <w:vAlign w:val="center"/>
          </w:tcPr>
          <w:p w14:paraId="290DF1A7" w14:textId="77777777" w:rsidR="00937E88" w:rsidRPr="00671FC0" w:rsidRDefault="00937E88" w:rsidP="00C1728B">
            <w:pPr>
              <w:numPr>
                <w:ilvl w:val="0"/>
                <w:numId w:val="59"/>
              </w:numPr>
              <w:rPr>
                <w:color w:val="000000"/>
                <w:spacing w:val="8"/>
                <w:sz w:val="24"/>
                <w:szCs w:val="24"/>
              </w:rPr>
            </w:pPr>
            <w:r w:rsidRPr="00671FC0">
              <w:rPr>
                <w:color w:val="000000"/>
                <w:spacing w:val="8"/>
                <w:sz w:val="24"/>
                <w:szCs w:val="24"/>
              </w:rPr>
              <w:t>Designated Supervisors or Principal</w:t>
            </w:r>
          </w:p>
        </w:tc>
      </w:tr>
      <w:tr w:rsidR="00937E88" w:rsidRPr="00671FC0" w14:paraId="3901951A" w14:textId="77777777" w:rsidTr="00937E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86A464B" w14:textId="77777777" w:rsidR="00937E88" w:rsidRPr="00671FC0" w:rsidRDefault="00937E88" w:rsidP="00937E88">
            <w:pPr>
              <w:jc w:val="center"/>
              <w:rPr>
                <w:b/>
                <w:bCs/>
                <w:color w:val="000000"/>
                <w:spacing w:val="8"/>
                <w:sz w:val="24"/>
                <w:szCs w:val="24"/>
              </w:rPr>
            </w:pPr>
            <w:r w:rsidRPr="00671FC0">
              <w:rPr>
                <w:b/>
                <w:bCs/>
                <w:color w:val="000000"/>
                <w:spacing w:val="8"/>
                <w:sz w:val="24"/>
                <w:szCs w:val="24"/>
              </w:rPr>
              <w:t>Statutes</w:t>
            </w:r>
          </w:p>
        </w:tc>
        <w:tc>
          <w:tcPr>
            <w:tcW w:w="0" w:type="auto"/>
            <w:tcBorders>
              <w:top w:val="outset" w:sz="6" w:space="0" w:color="auto"/>
              <w:left w:val="outset" w:sz="6" w:space="0" w:color="auto"/>
              <w:bottom w:val="outset" w:sz="6" w:space="0" w:color="auto"/>
              <w:right w:val="outset" w:sz="6" w:space="0" w:color="auto"/>
            </w:tcBorders>
            <w:vAlign w:val="center"/>
          </w:tcPr>
          <w:p w14:paraId="501790D0" w14:textId="77777777" w:rsidR="00937E88" w:rsidRPr="008D1FF0" w:rsidRDefault="00937E88" w:rsidP="00C1728B">
            <w:pPr>
              <w:numPr>
                <w:ilvl w:val="0"/>
                <w:numId w:val="60"/>
              </w:numPr>
              <w:rPr>
                <w:spacing w:val="8"/>
                <w:sz w:val="24"/>
                <w:szCs w:val="24"/>
              </w:rPr>
            </w:pPr>
            <w:r w:rsidRPr="008D1FF0">
              <w:rPr>
                <w:spacing w:val="8"/>
                <w:sz w:val="24"/>
                <w:szCs w:val="24"/>
              </w:rPr>
              <w:t>FINRA Rule 2320 – Variable Contracts</w:t>
            </w:r>
          </w:p>
          <w:p w14:paraId="1973DD2F" w14:textId="77777777" w:rsidR="00937E88" w:rsidRPr="008D1FF0" w:rsidRDefault="00937E88" w:rsidP="00C1728B">
            <w:pPr>
              <w:numPr>
                <w:ilvl w:val="0"/>
                <w:numId w:val="60"/>
              </w:numPr>
              <w:rPr>
                <w:spacing w:val="8"/>
                <w:sz w:val="24"/>
                <w:szCs w:val="24"/>
              </w:rPr>
            </w:pPr>
            <w:r w:rsidRPr="008D1FF0">
              <w:rPr>
                <w:sz w:val="24"/>
                <w:szCs w:val="24"/>
              </w:rPr>
              <w:t>FINRA Rule 28</w:t>
            </w:r>
            <w:r w:rsidR="00D47F29" w:rsidRPr="008D1FF0">
              <w:rPr>
                <w:sz w:val="24"/>
                <w:szCs w:val="24"/>
              </w:rPr>
              <w:t>2</w:t>
            </w:r>
            <w:r w:rsidRPr="008D1FF0">
              <w:rPr>
                <w:sz w:val="24"/>
                <w:szCs w:val="24"/>
              </w:rPr>
              <w:t>1 – Deferred Variable Annuities</w:t>
            </w:r>
          </w:p>
          <w:p w14:paraId="331B4A63" w14:textId="47AF3EDA" w:rsidR="00C25794" w:rsidRPr="008D1FF0" w:rsidRDefault="00C25794" w:rsidP="00C1728B">
            <w:pPr>
              <w:numPr>
                <w:ilvl w:val="0"/>
                <w:numId w:val="60"/>
              </w:numPr>
              <w:rPr>
                <w:spacing w:val="8"/>
                <w:sz w:val="24"/>
                <w:szCs w:val="24"/>
              </w:rPr>
            </w:pPr>
            <w:r w:rsidRPr="008D1FF0">
              <w:rPr>
                <w:sz w:val="24"/>
                <w:szCs w:val="24"/>
              </w:rPr>
              <w:t>NAIC Suitability in Annuity Transactions Model</w:t>
            </w:r>
          </w:p>
        </w:tc>
      </w:tr>
      <w:tr w:rsidR="00937E88" w:rsidRPr="00671FC0" w14:paraId="247AB89A" w14:textId="77777777" w:rsidTr="00937E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CC1D7D2" w14:textId="77777777" w:rsidR="00937E88" w:rsidRPr="00671FC0" w:rsidRDefault="00937E88" w:rsidP="00937E88">
            <w:pPr>
              <w:jc w:val="center"/>
              <w:rPr>
                <w:b/>
                <w:bCs/>
                <w:color w:val="000000"/>
                <w:spacing w:val="8"/>
                <w:sz w:val="24"/>
                <w:szCs w:val="24"/>
              </w:rPr>
            </w:pPr>
            <w:r w:rsidRPr="00671FC0">
              <w:rPr>
                <w:b/>
                <w:bCs/>
                <w:color w:val="000000"/>
                <w:spacing w:val="8"/>
                <w:sz w:val="24"/>
                <w:szCs w:val="24"/>
              </w:rPr>
              <w:t>Frequency</w:t>
            </w:r>
          </w:p>
        </w:tc>
        <w:tc>
          <w:tcPr>
            <w:tcW w:w="0" w:type="auto"/>
            <w:tcBorders>
              <w:top w:val="outset" w:sz="6" w:space="0" w:color="auto"/>
              <w:left w:val="outset" w:sz="6" w:space="0" w:color="auto"/>
              <w:bottom w:val="outset" w:sz="6" w:space="0" w:color="auto"/>
              <w:right w:val="outset" w:sz="6" w:space="0" w:color="auto"/>
            </w:tcBorders>
            <w:vAlign w:val="center"/>
          </w:tcPr>
          <w:p w14:paraId="038150CF" w14:textId="77777777" w:rsidR="00937E88" w:rsidRPr="00671FC0" w:rsidRDefault="00937E88" w:rsidP="00C1728B">
            <w:pPr>
              <w:numPr>
                <w:ilvl w:val="0"/>
                <w:numId w:val="60"/>
              </w:numPr>
              <w:rPr>
                <w:color w:val="000000"/>
                <w:spacing w:val="8"/>
                <w:sz w:val="24"/>
                <w:szCs w:val="24"/>
              </w:rPr>
            </w:pPr>
            <w:r w:rsidRPr="00671FC0">
              <w:rPr>
                <w:color w:val="000000"/>
                <w:spacing w:val="8"/>
                <w:sz w:val="24"/>
                <w:szCs w:val="24"/>
              </w:rPr>
              <w:t>As required</w:t>
            </w:r>
          </w:p>
          <w:p w14:paraId="1305CD8C" w14:textId="77777777" w:rsidR="00937E88" w:rsidRPr="00671FC0" w:rsidRDefault="00937E88" w:rsidP="00C1728B">
            <w:pPr>
              <w:numPr>
                <w:ilvl w:val="0"/>
                <w:numId w:val="60"/>
              </w:numPr>
              <w:rPr>
                <w:color w:val="000000"/>
                <w:spacing w:val="8"/>
                <w:sz w:val="24"/>
                <w:szCs w:val="24"/>
              </w:rPr>
            </w:pPr>
            <w:r w:rsidRPr="00671FC0">
              <w:rPr>
                <w:color w:val="000000"/>
                <w:spacing w:val="8"/>
                <w:sz w:val="24"/>
                <w:szCs w:val="24"/>
              </w:rPr>
              <w:t>Daily trade blotters</w:t>
            </w:r>
          </w:p>
          <w:p w14:paraId="60AB3E1D" w14:textId="77777777" w:rsidR="00937E88" w:rsidRPr="00671FC0" w:rsidRDefault="00937E88" w:rsidP="00C1728B">
            <w:pPr>
              <w:numPr>
                <w:ilvl w:val="0"/>
                <w:numId w:val="60"/>
              </w:numPr>
              <w:rPr>
                <w:color w:val="000000"/>
                <w:spacing w:val="8"/>
                <w:sz w:val="24"/>
                <w:szCs w:val="24"/>
              </w:rPr>
            </w:pPr>
            <w:r w:rsidRPr="00671FC0">
              <w:rPr>
                <w:color w:val="000000"/>
                <w:spacing w:val="8"/>
                <w:sz w:val="24"/>
                <w:szCs w:val="24"/>
              </w:rPr>
              <w:t>Annual training</w:t>
            </w:r>
          </w:p>
        </w:tc>
      </w:tr>
      <w:tr w:rsidR="00937E88" w:rsidRPr="00671FC0" w14:paraId="4CD1EEC0" w14:textId="77777777" w:rsidTr="00937E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308AC29" w14:textId="77777777" w:rsidR="00937E88" w:rsidRPr="00671FC0" w:rsidRDefault="00937E88" w:rsidP="00937E88">
            <w:pPr>
              <w:jc w:val="center"/>
              <w:rPr>
                <w:b/>
                <w:bCs/>
                <w:color w:val="000000"/>
                <w:spacing w:val="8"/>
                <w:sz w:val="24"/>
                <w:szCs w:val="24"/>
              </w:rPr>
            </w:pPr>
            <w:r w:rsidRPr="00671FC0">
              <w:rPr>
                <w:b/>
                <w:bCs/>
                <w:color w:val="000000"/>
                <w:spacing w:val="8"/>
                <w:sz w:val="24"/>
                <w:szCs w:val="24"/>
              </w:rPr>
              <w:t>Actions</w:t>
            </w:r>
          </w:p>
        </w:tc>
        <w:tc>
          <w:tcPr>
            <w:tcW w:w="0" w:type="auto"/>
            <w:tcBorders>
              <w:top w:val="outset" w:sz="6" w:space="0" w:color="auto"/>
              <w:left w:val="outset" w:sz="6" w:space="0" w:color="auto"/>
              <w:bottom w:val="outset" w:sz="6" w:space="0" w:color="auto"/>
              <w:right w:val="outset" w:sz="6" w:space="0" w:color="auto"/>
            </w:tcBorders>
            <w:vAlign w:val="center"/>
          </w:tcPr>
          <w:p w14:paraId="4EC16DEC" w14:textId="77777777" w:rsidR="00937E88" w:rsidRPr="00671FC0" w:rsidRDefault="00937E88" w:rsidP="00C1728B">
            <w:pPr>
              <w:numPr>
                <w:ilvl w:val="0"/>
                <w:numId w:val="97"/>
              </w:numPr>
              <w:rPr>
                <w:color w:val="000000"/>
                <w:spacing w:val="8"/>
                <w:sz w:val="24"/>
                <w:szCs w:val="24"/>
              </w:rPr>
            </w:pPr>
            <w:r w:rsidRPr="00671FC0">
              <w:rPr>
                <w:color w:val="000000"/>
                <w:spacing w:val="8"/>
                <w:sz w:val="24"/>
                <w:szCs w:val="24"/>
              </w:rPr>
              <w:t xml:space="preserve">Review of order information </w:t>
            </w:r>
          </w:p>
          <w:p w14:paraId="6DA2C615" w14:textId="77777777" w:rsidR="00937E88" w:rsidRPr="00671FC0" w:rsidRDefault="00937E88" w:rsidP="00C1728B">
            <w:pPr>
              <w:numPr>
                <w:ilvl w:val="0"/>
                <w:numId w:val="97"/>
              </w:numPr>
              <w:rPr>
                <w:color w:val="000000"/>
                <w:spacing w:val="8"/>
                <w:sz w:val="24"/>
                <w:szCs w:val="24"/>
              </w:rPr>
            </w:pPr>
            <w:r w:rsidRPr="00671FC0">
              <w:rPr>
                <w:color w:val="000000"/>
                <w:spacing w:val="8"/>
                <w:sz w:val="24"/>
                <w:szCs w:val="24"/>
              </w:rPr>
              <w:t>Review of TRACE reporting</w:t>
            </w:r>
          </w:p>
          <w:p w14:paraId="1895FB2F" w14:textId="77777777" w:rsidR="00937E88" w:rsidRPr="00671FC0" w:rsidRDefault="00937E88" w:rsidP="00C1728B">
            <w:pPr>
              <w:numPr>
                <w:ilvl w:val="0"/>
                <w:numId w:val="94"/>
              </w:numPr>
              <w:rPr>
                <w:color w:val="000000"/>
                <w:spacing w:val="8"/>
                <w:sz w:val="24"/>
                <w:szCs w:val="24"/>
              </w:rPr>
            </w:pPr>
            <w:r w:rsidRPr="00671FC0">
              <w:rPr>
                <w:color w:val="000000"/>
                <w:spacing w:val="8"/>
                <w:sz w:val="24"/>
                <w:szCs w:val="24"/>
              </w:rPr>
              <w:t>Provide training to Associated Persons</w:t>
            </w:r>
          </w:p>
        </w:tc>
      </w:tr>
      <w:tr w:rsidR="00937E88" w:rsidRPr="00671FC0" w14:paraId="3A647D48" w14:textId="77777777" w:rsidTr="00937E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CC109D4" w14:textId="77777777" w:rsidR="00937E88" w:rsidRPr="00671FC0" w:rsidRDefault="00937E88" w:rsidP="00937E88">
            <w:pPr>
              <w:jc w:val="center"/>
              <w:rPr>
                <w:b/>
                <w:bCs/>
                <w:color w:val="000000"/>
                <w:spacing w:val="8"/>
                <w:sz w:val="24"/>
                <w:szCs w:val="24"/>
              </w:rPr>
            </w:pPr>
            <w:r w:rsidRPr="00671FC0">
              <w:rPr>
                <w:b/>
                <w:bCs/>
                <w:color w:val="000000"/>
                <w:spacing w:val="8"/>
                <w:sz w:val="24"/>
                <w:szCs w:val="24"/>
              </w:rPr>
              <w:lastRenderedPageBreak/>
              <w:t>Records</w:t>
            </w:r>
          </w:p>
        </w:tc>
        <w:tc>
          <w:tcPr>
            <w:tcW w:w="0" w:type="auto"/>
            <w:tcBorders>
              <w:top w:val="outset" w:sz="6" w:space="0" w:color="auto"/>
              <w:left w:val="outset" w:sz="6" w:space="0" w:color="auto"/>
              <w:bottom w:val="outset" w:sz="6" w:space="0" w:color="auto"/>
              <w:right w:val="outset" w:sz="6" w:space="0" w:color="auto"/>
            </w:tcBorders>
            <w:vAlign w:val="center"/>
          </w:tcPr>
          <w:p w14:paraId="04A2C7D6" w14:textId="77777777" w:rsidR="00937E88" w:rsidRPr="00671FC0" w:rsidRDefault="00937E88" w:rsidP="00C1728B">
            <w:pPr>
              <w:numPr>
                <w:ilvl w:val="0"/>
                <w:numId w:val="95"/>
              </w:numPr>
              <w:rPr>
                <w:color w:val="000000"/>
                <w:spacing w:val="8"/>
                <w:sz w:val="24"/>
                <w:szCs w:val="24"/>
              </w:rPr>
            </w:pPr>
            <w:r w:rsidRPr="00671FC0">
              <w:rPr>
                <w:color w:val="000000"/>
                <w:spacing w:val="8"/>
                <w:sz w:val="24"/>
                <w:szCs w:val="24"/>
              </w:rPr>
              <w:t>Trade blotters</w:t>
            </w:r>
          </w:p>
          <w:p w14:paraId="73D90A98" w14:textId="77777777" w:rsidR="00937E88" w:rsidRPr="00671FC0" w:rsidRDefault="00C63590" w:rsidP="00C1728B">
            <w:pPr>
              <w:numPr>
                <w:ilvl w:val="0"/>
                <w:numId w:val="95"/>
              </w:numPr>
              <w:rPr>
                <w:color w:val="000000"/>
                <w:spacing w:val="8"/>
                <w:sz w:val="24"/>
                <w:szCs w:val="24"/>
              </w:rPr>
            </w:pPr>
            <w:r w:rsidRPr="00671FC0">
              <w:rPr>
                <w:color w:val="000000"/>
                <w:spacing w:val="8"/>
                <w:sz w:val="24"/>
                <w:szCs w:val="24"/>
              </w:rPr>
              <w:t>Application Documents</w:t>
            </w:r>
          </w:p>
          <w:p w14:paraId="68786FB7" w14:textId="77777777" w:rsidR="00C63590" w:rsidRPr="00671FC0" w:rsidRDefault="00C63590" w:rsidP="00C1728B">
            <w:pPr>
              <w:numPr>
                <w:ilvl w:val="0"/>
                <w:numId w:val="95"/>
              </w:numPr>
              <w:rPr>
                <w:color w:val="000000"/>
                <w:spacing w:val="8"/>
                <w:sz w:val="24"/>
                <w:szCs w:val="24"/>
              </w:rPr>
            </w:pPr>
            <w:r w:rsidRPr="00671FC0">
              <w:rPr>
                <w:color w:val="000000"/>
                <w:spacing w:val="8"/>
                <w:sz w:val="24"/>
                <w:szCs w:val="24"/>
              </w:rPr>
              <w:t>Tickets for Approval (Vas)</w:t>
            </w:r>
          </w:p>
          <w:p w14:paraId="6F629B1D" w14:textId="77777777" w:rsidR="00D47F29" w:rsidRPr="00671FC0" w:rsidRDefault="00D47F29" w:rsidP="00C1728B">
            <w:pPr>
              <w:numPr>
                <w:ilvl w:val="0"/>
                <w:numId w:val="95"/>
              </w:numPr>
              <w:rPr>
                <w:color w:val="000000"/>
                <w:spacing w:val="8"/>
                <w:sz w:val="24"/>
                <w:szCs w:val="24"/>
              </w:rPr>
            </w:pPr>
            <w:r w:rsidRPr="00671FC0">
              <w:rPr>
                <w:color w:val="000000"/>
                <w:spacing w:val="8"/>
                <w:sz w:val="24"/>
                <w:szCs w:val="24"/>
              </w:rPr>
              <w:t>New Account Forms</w:t>
            </w:r>
          </w:p>
          <w:p w14:paraId="34E5AD5C" w14:textId="77777777" w:rsidR="00D47F29" w:rsidRPr="00671FC0" w:rsidRDefault="00D47F29" w:rsidP="00C1728B">
            <w:pPr>
              <w:numPr>
                <w:ilvl w:val="0"/>
                <w:numId w:val="95"/>
              </w:numPr>
              <w:rPr>
                <w:color w:val="000000"/>
                <w:spacing w:val="8"/>
                <w:sz w:val="24"/>
                <w:szCs w:val="24"/>
              </w:rPr>
            </w:pPr>
            <w:r w:rsidRPr="00671FC0">
              <w:rPr>
                <w:color w:val="000000"/>
                <w:spacing w:val="8"/>
                <w:sz w:val="24"/>
                <w:szCs w:val="24"/>
              </w:rPr>
              <w:t>Disclosure Forms and VA Worksheets</w:t>
            </w:r>
          </w:p>
          <w:p w14:paraId="6A3865C8" w14:textId="77777777" w:rsidR="003F3610" w:rsidRPr="00671FC0" w:rsidRDefault="003F3610" w:rsidP="00C1728B">
            <w:pPr>
              <w:numPr>
                <w:ilvl w:val="0"/>
                <w:numId w:val="95"/>
              </w:numPr>
              <w:rPr>
                <w:color w:val="000000"/>
                <w:spacing w:val="8"/>
                <w:sz w:val="24"/>
                <w:szCs w:val="24"/>
              </w:rPr>
            </w:pPr>
            <w:r w:rsidRPr="00671FC0">
              <w:rPr>
                <w:color w:val="000000"/>
                <w:spacing w:val="8"/>
                <w:sz w:val="24"/>
                <w:szCs w:val="24"/>
              </w:rPr>
              <w:t xml:space="preserve">Insurance </w:t>
            </w:r>
            <w:r w:rsidR="00B37A45">
              <w:rPr>
                <w:color w:val="000000"/>
                <w:spacing w:val="8"/>
                <w:sz w:val="24"/>
                <w:szCs w:val="24"/>
              </w:rPr>
              <w:t>retail communication</w:t>
            </w:r>
          </w:p>
          <w:p w14:paraId="10A58ED0" w14:textId="77777777" w:rsidR="00937E88" w:rsidRPr="00671FC0" w:rsidRDefault="00937E88" w:rsidP="00C1728B">
            <w:pPr>
              <w:numPr>
                <w:ilvl w:val="0"/>
                <w:numId w:val="95"/>
              </w:numPr>
              <w:rPr>
                <w:color w:val="000000"/>
                <w:spacing w:val="8"/>
                <w:sz w:val="24"/>
                <w:szCs w:val="24"/>
              </w:rPr>
            </w:pPr>
            <w:r w:rsidRPr="00671FC0">
              <w:rPr>
                <w:color w:val="000000"/>
                <w:spacing w:val="8"/>
                <w:sz w:val="24"/>
                <w:szCs w:val="24"/>
              </w:rPr>
              <w:t>Training records</w:t>
            </w:r>
          </w:p>
        </w:tc>
      </w:tr>
    </w:tbl>
    <w:p w14:paraId="3C270414" w14:textId="77777777" w:rsidR="00937E88" w:rsidRPr="00671FC0" w:rsidRDefault="00937E88" w:rsidP="00937E88">
      <w:pPr>
        <w:shd w:val="clear" w:color="auto" w:fill="FFFFFF"/>
        <w:jc w:val="both"/>
        <w:rPr>
          <w:color w:val="000000"/>
          <w:spacing w:val="8"/>
          <w:sz w:val="24"/>
          <w:szCs w:val="24"/>
        </w:rPr>
      </w:pPr>
    </w:p>
    <w:p w14:paraId="3FD453B3" w14:textId="77777777" w:rsidR="00C82FF4" w:rsidRPr="00671FC0" w:rsidRDefault="00C82FF4" w:rsidP="007057DF">
      <w:pPr>
        <w:rPr>
          <w:color w:val="000000"/>
        </w:rPr>
      </w:pPr>
      <w:bookmarkStart w:id="274" w:name="_Toc149007239"/>
    </w:p>
    <w:p w14:paraId="4F9BCB19" w14:textId="77777777" w:rsidR="00C82FF4" w:rsidRPr="00671FC0" w:rsidRDefault="00C82FF4" w:rsidP="00936FEE">
      <w:pPr>
        <w:pStyle w:val="Heading2"/>
      </w:pPr>
      <w:r w:rsidRPr="00671FC0">
        <w:t>1</w:t>
      </w:r>
      <w:r w:rsidR="00DD4858">
        <w:t>5</w:t>
      </w:r>
      <w:r w:rsidRPr="00671FC0">
        <w:t>.3 Selling Agreements</w:t>
      </w:r>
      <w:bookmarkEnd w:id="274"/>
    </w:p>
    <w:p w14:paraId="26CB6C74" w14:textId="77777777" w:rsidR="00C82FF4" w:rsidRPr="00671FC0" w:rsidRDefault="00C82FF4" w:rsidP="00C82FF4">
      <w:pPr>
        <w:pStyle w:val="MRS"/>
        <w:rPr>
          <w:color w:val="000000"/>
        </w:rPr>
      </w:pPr>
      <w:r w:rsidRPr="00671FC0">
        <w:rPr>
          <w:color w:val="000000"/>
        </w:rPr>
        <w:t xml:space="preserve">All Insurance Products offered by </w:t>
      </w:r>
      <w:r w:rsidR="000262CE">
        <w:rPr>
          <w:color w:val="000000"/>
        </w:rPr>
        <w:t>the Company</w:t>
      </w:r>
      <w:r w:rsidRPr="00671FC0">
        <w:rPr>
          <w:color w:val="000000"/>
        </w:rPr>
        <w:t xml:space="preserve"> must be approved by Morris Monroe or his designee.  Such approval will be evidenced by a Selling Agreement and include which product/s offered by the sponsor will be utilized by the Company.  Such Selling Agreement will be maintained by the Company and for three years subsequent to termination of the agreement.</w:t>
      </w:r>
    </w:p>
    <w:p w14:paraId="650C66F8" w14:textId="77777777" w:rsidR="00C82FF4" w:rsidRPr="00671FC0" w:rsidRDefault="00C82FF4" w:rsidP="007057DF">
      <w:pPr>
        <w:rPr>
          <w:color w:val="000000"/>
        </w:rPr>
      </w:pPr>
      <w:bookmarkStart w:id="275" w:name="VAs"/>
    </w:p>
    <w:p w14:paraId="27D72737" w14:textId="77777777" w:rsidR="00C82FF4" w:rsidRPr="00671FC0" w:rsidRDefault="00C82FF4" w:rsidP="007057DF">
      <w:pPr>
        <w:rPr>
          <w:color w:val="000000"/>
        </w:rPr>
      </w:pPr>
    </w:p>
    <w:p w14:paraId="04082AC6" w14:textId="77777777" w:rsidR="000C099C" w:rsidRPr="00671FC0" w:rsidRDefault="003F3610" w:rsidP="00936FEE">
      <w:pPr>
        <w:pStyle w:val="Heading2"/>
      </w:pPr>
      <w:r w:rsidRPr="00671FC0">
        <w:t>1</w:t>
      </w:r>
      <w:r w:rsidR="00DD4858">
        <w:t>5</w:t>
      </w:r>
      <w:r w:rsidRPr="00671FC0">
        <w:t>.</w:t>
      </w:r>
      <w:r w:rsidR="00C82FF4" w:rsidRPr="00671FC0">
        <w:t xml:space="preserve">4 </w:t>
      </w:r>
      <w:r w:rsidR="000C099C" w:rsidRPr="00671FC0">
        <w:t>Variable Insurance Products</w:t>
      </w:r>
    </w:p>
    <w:bookmarkEnd w:id="275"/>
    <w:p w14:paraId="485D8D79" w14:textId="77777777" w:rsidR="003F3610" w:rsidRPr="00671FC0" w:rsidRDefault="003F3610" w:rsidP="003F3610">
      <w:pPr>
        <w:shd w:val="clear" w:color="auto" w:fill="FFFFFF"/>
        <w:jc w:val="both"/>
        <w:rPr>
          <w:color w:val="000000"/>
          <w:spacing w:val="8"/>
          <w:sz w:val="24"/>
          <w:szCs w:val="24"/>
        </w:rPr>
      </w:pPr>
      <w:r w:rsidRPr="00671FC0">
        <w:rPr>
          <w:color w:val="000000"/>
          <w:spacing w:val="8"/>
          <w:sz w:val="24"/>
          <w:szCs w:val="24"/>
        </w:rPr>
        <w:t>Variable products are insurance contracts with underlying investments generally in investment company (mutual fund) securities. They are a hybrid of insurance and securities products. There are different types of variable products with differing requirements. Key requirements are listed below:</w:t>
      </w:r>
    </w:p>
    <w:p w14:paraId="480946DB" w14:textId="77777777" w:rsidR="003F3610" w:rsidRPr="00671FC0" w:rsidRDefault="003F3610" w:rsidP="003F3610">
      <w:pPr>
        <w:shd w:val="clear" w:color="auto" w:fill="FFFFFF"/>
        <w:jc w:val="both"/>
        <w:rPr>
          <w:color w:val="000000"/>
          <w:spacing w:val="8"/>
          <w:sz w:val="24"/>
          <w:szCs w:val="24"/>
        </w:rPr>
      </w:pPr>
      <w:r w:rsidRPr="00671FC0">
        <w:rPr>
          <w:color w:val="000000"/>
          <w:spacing w:val="8"/>
          <w:sz w:val="24"/>
          <w:szCs w:val="24"/>
        </w:rPr>
        <w:t xml:space="preserve"> </w:t>
      </w:r>
    </w:p>
    <w:p w14:paraId="26F0089E" w14:textId="77777777" w:rsidR="003F3610" w:rsidRPr="00671FC0" w:rsidRDefault="003F3610" w:rsidP="00C1728B">
      <w:pPr>
        <w:numPr>
          <w:ilvl w:val="0"/>
          <w:numId w:val="111"/>
        </w:numPr>
        <w:shd w:val="clear" w:color="auto" w:fill="FFFFFF"/>
        <w:jc w:val="both"/>
        <w:rPr>
          <w:color w:val="000000"/>
          <w:spacing w:val="8"/>
          <w:sz w:val="24"/>
          <w:szCs w:val="24"/>
        </w:rPr>
      </w:pPr>
      <w:r w:rsidRPr="00671FC0">
        <w:rPr>
          <w:color w:val="000000"/>
          <w:spacing w:val="8"/>
          <w:sz w:val="24"/>
          <w:szCs w:val="24"/>
        </w:rPr>
        <w:t xml:space="preserve">RRs must have </w:t>
      </w:r>
      <w:r w:rsidRPr="00671FC0">
        <w:rPr>
          <w:b/>
          <w:bCs/>
          <w:color w:val="000000"/>
          <w:spacing w:val="8"/>
          <w:sz w:val="24"/>
          <w:szCs w:val="24"/>
        </w:rPr>
        <w:t>necessary licensing</w:t>
      </w:r>
      <w:r w:rsidRPr="00671FC0">
        <w:rPr>
          <w:color w:val="000000"/>
          <w:spacing w:val="8"/>
          <w:sz w:val="24"/>
          <w:szCs w:val="24"/>
        </w:rPr>
        <w:t xml:space="preserve"> to sell variable products, including: </w:t>
      </w:r>
    </w:p>
    <w:p w14:paraId="61874CB2" w14:textId="77777777" w:rsidR="003F3610" w:rsidRPr="00671FC0" w:rsidRDefault="003F3610" w:rsidP="00C1728B">
      <w:pPr>
        <w:numPr>
          <w:ilvl w:val="1"/>
          <w:numId w:val="111"/>
        </w:numPr>
        <w:shd w:val="clear" w:color="auto" w:fill="FFFFFF"/>
        <w:jc w:val="both"/>
        <w:rPr>
          <w:color w:val="000000"/>
          <w:spacing w:val="8"/>
          <w:sz w:val="24"/>
          <w:szCs w:val="24"/>
        </w:rPr>
      </w:pPr>
      <w:r w:rsidRPr="00671FC0">
        <w:rPr>
          <w:color w:val="000000"/>
          <w:spacing w:val="8"/>
          <w:sz w:val="24"/>
          <w:szCs w:val="24"/>
        </w:rPr>
        <w:t>securities licensing with FINRA</w:t>
      </w:r>
    </w:p>
    <w:p w14:paraId="1E962474" w14:textId="77777777" w:rsidR="003F3610" w:rsidRPr="00671FC0" w:rsidRDefault="003F3610" w:rsidP="00C1728B">
      <w:pPr>
        <w:numPr>
          <w:ilvl w:val="1"/>
          <w:numId w:val="111"/>
        </w:numPr>
        <w:shd w:val="clear" w:color="auto" w:fill="FFFFFF"/>
        <w:jc w:val="both"/>
        <w:rPr>
          <w:color w:val="000000"/>
          <w:spacing w:val="8"/>
          <w:sz w:val="24"/>
          <w:szCs w:val="24"/>
        </w:rPr>
      </w:pPr>
      <w:r w:rsidRPr="00671FC0">
        <w:rPr>
          <w:color w:val="000000"/>
          <w:spacing w:val="8"/>
          <w:sz w:val="24"/>
          <w:szCs w:val="24"/>
        </w:rPr>
        <w:t xml:space="preserve">securities licensing in the state where the customer resides (some states waive securities licensing to sell variable products) </w:t>
      </w:r>
    </w:p>
    <w:p w14:paraId="01013D2D" w14:textId="77777777" w:rsidR="003F3610" w:rsidRDefault="003F3610" w:rsidP="00C1728B">
      <w:pPr>
        <w:numPr>
          <w:ilvl w:val="1"/>
          <w:numId w:val="111"/>
        </w:numPr>
        <w:shd w:val="clear" w:color="auto" w:fill="FFFFFF"/>
        <w:jc w:val="both"/>
        <w:rPr>
          <w:color w:val="000000"/>
          <w:spacing w:val="8"/>
          <w:sz w:val="24"/>
          <w:szCs w:val="24"/>
        </w:rPr>
      </w:pPr>
      <w:r w:rsidRPr="00671FC0">
        <w:rPr>
          <w:color w:val="000000"/>
          <w:spacing w:val="8"/>
          <w:sz w:val="24"/>
          <w:szCs w:val="24"/>
        </w:rPr>
        <w:t>insurance licensing in the state where the customer resides</w:t>
      </w:r>
    </w:p>
    <w:p w14:paraId="2794A251" w14:textId="77777777" w:rsidR="00C2651B" w:rsidRPr="00671FC0" w:rsidRDefault="00C2651B" w:rsidP="00C2651B">
      <w:pPr>
        <w:shd w:val="clear" w:color="auto" w:fill="FFFFFF"/>
        <w:ind w:left="1440"/>
        <w:jc w:val="both"/>
        <w:rPr>
          <w:color w:val="000000"/>
          <w:spacing w:val="8"/>
          <w:sz w:val="24"/>
          <w:szCs w:val="24"/>
        </w:rPr>
      </w:pPr>
    </w:p>
    <w:p w14:paraId="0C23D565" w14:textId="77777777" w:rsidR="00C2651B" w:rsidRPr="00C2651B" w:rsidRDefault="003F3610" w:rsidP="00C1728B">
      <w:pPr>
        <w:numPr>
          <w:ilvl w:val="0"/>
          <w:numId w:val="111"/>
        </w:numPr>
        <w:shd w:val="clear" w:color="auto" w:fill="FFFFFF"/>
        <w:jc w:val="both"/>
        <w:rPr>
          <w:color w:val="000000"/>
          <w:spacing w:val="8"/>
          <w:sz w:val="24"/>
          <w:szCs w:val="24"/>
        </w:rPr>
      </w:pPr>
      <w:r w:rsidRPr="00671FC0">
        <w:rPr>
          <w:b/>
          <w:bCs/>
          <w:color w:val="000000"/>
          <w:spacing w:val="8"/>
          <w:sz w:val="24"/>
          <w:szCs w:val="24"/>
        </w:rPr>
        <w:t>Supervisors</w:t>
      </w:r>
      <w:r w:rsidRPr="00671FC0">
        <w:rPr>
          <w:color w:val="000000"/>
          <w:spacing w:val="8"/>
          <w:sz w:val="24"/>
          <w:szCs w:val="24"/>
        </w:rPr>
        <w:t xml:space="preserve"> of RRs who sell variable products </w:t>
      </w:r>
      <w:r w:rsidRPr="00671FC0">
        <w:rPr>
          <w:b/>
          <w:bCs/>
          <w:color w:val="000000"/>
          <w:spacing w:val="8"/>
          <w:sz w:val="24"/>
          <w:szCs w:val="24"/>
        </w:rPr>
        <w:t>must have required securities supervisory licenses.</w:t>
      </w:r>
    </w:p>
    <w:p w14:paraId="55BE4C1C" w14:textId="77777777" w:rsidR="003F3610" w:rsidRPr="00671FC0" w:rsidRDefault="003F3610" w:rsidP="00C2651B">
      <w:pPr>
        <w:shd w:val="clear" w:color="auto" w:fill="FFFFFF"/>
        <w:ind w:left="720"/>
        <w:jc w:val="both"/>
        <w:rPr>
          <w:color w:val="000000"/>
          <w:spacing w:val="8"/>
          <w:sz w:val="24"/>
          <w:szCs w:val="24"/>
        </w:rPr>
      </w:pPr>
      <w:r w:rsidRPr="00671FC0">
        <w:rPr>
          <w:color w:val="000000"/>
          <w:spacing w:val="8"/>
          <w:sz w:val="24"/>
          <w:szCs w:val="24"/>
        </w:rPr>
        <w:t xml:space="preserve"> </w:t>
      </w:r>
    </w:p>
    <w:p w14:paraId="007AAA27" w14:textId="77777777" w:rsidR="003F3610" w:rsidRDefault="003F3610" w:rsidP="00C1728B">
      <w:pPr>
        <w:numPr>
          <w:ilvl w:val="0"/>
          <w:numId w:val="111"/>
        </w:numPr>
        <w:shd w:val="clear" w:color="auto" w:fill="FFFFFF"/>
        <w:jc w:val="both"/>
        <w:rPr>
          <w:color w:val="000000"/>
          <w:spacing w:val="8"/>
          <w:sz w:val="24"/>
          <w:szCs w:val="24"/>
        </w:rPr>
      </w:pPr>
      <w:r w:rsidRPr="00671FC0">
        <w:rPr>
          <w:color w:val="000000"/>
          <w:spacing w:val="8"/>
          <w:sz w:val="24"/>
          <w:szCs w:val="24"/>
        </w:rPr>
        <w:t xml:space="preserve">RRs must be </w:t>
      </w:r>
      <w:r w:rsidRPr="00671FC0">
        <w:rPr>
          <w:b/>
          <w:bCs/>
          <w:color w:val="000000"/>
          <w:spacing w:val="8"/>
          <w:sz w:val="24"/>
          <w:szCs w:val="24"/>
        </w:rPr>
        <w:t>familiar with features</w:t>
      </w:r>
      <w:r w:rsidRPr="00671FC0">
        <w:rPr>
          <w:color w:val="000000"/>
          <w:spacing w:val="8"/>
          <w:sz w:val="24"/>
          <w:szCs w:val="24"/>
        </w:rPr>
        <w:t xml:space="preserve"> of variable products before recommending them and explain the features to the customer. Features may include a death benefit, fees and expenses, subaccount choices, special features, withdrawal privileges, and tax treatment. Each product must be reviewed because features vary considerably. </w:t>
      </w:r>
    </w:p>
    <w:p w14:paraId="7CDE3909" w14:textId="77777777" w:rsidR="00C2651B" w:rsidRPr="00671FC0" w:rsidRDefault="00C2651B" w:rsidP="00C2651B">
      <w:pPr>
        <w:shd w:val="clear" w:color="auto" w:fill="FFFFFF"/>
        <w:jc w:val="both"/>
        <w:rPr>
          <w:color w:val="000000"/>
          <w:spacing w:val="8"/>
          <w:sz w:val="24"/>
          <w:szCs w:val="24"/>
        </w:rPr>
      </w:pPr>
    </w:p>
    <w:p w14:paraId="743F082D" w14:textId="77777777" w:rsidR="003F3610" w:rsidRDefault="003F3610" w:rsidP="00C1728B">
      <w:pPr>
        <w:numPr>
          <w:ilvl w:val="0"/>
          <w:numId w:val="111"/>
        </w:numPr>
        <w:shd w:val="clear" w:color="auto" w:fill="FFFFFF"/>
        <w:jc w:val="both"/>
        <w:rPr>
          <w:color w:val="000000"/>
          <w:spacing w:val="8"/>
          <w:sz w:val="24"/>
          <w:szCs w:val="24"/>
        </w:rPr>
      </w:pPr>
      <w:r w:rsidRPr="00671FC0">
        <w:rPr>
          <w:b/>
          <w:bCs/>
          <w:color w:val="000000"/>
          <w:spacing w:val="8"/>
          <w:sz w:val="24"/>
          <w:szCs w:val="24"/>
        </w:rPr>
        <w:t>Recommendations must be suitable</w:t>
      </w:r>
      <w:r w:rsidRPr="00671FC0">
        <w:rPr>
          <w:color w:val="000000"/>
          <w:spacing w:val="8"/>
          <w:sz w:val="24"/>
          <w:szCs w:val="24"/>
        </w:rPr>
        <w:t xml:space="preserve"> considering whether features of the product meet the customer's investment needs. </w:t>
      </w:r>
    </w:p>
    <w:p w14:paraId="3129A01B" w14:textId="77777777" w:rsidR="00C2651B" w:rsidRPr="00671FC0" w:rsidRDefault="00C2651B" w:rsidP="00C2651B">
      <w:pPr>
        <w:shd w:val="clear" w:color="auto" w:fill="FFFFFF"/>
        <w:jc w:val="both"/>
        <w:rPr>
          <w:color w:val="000000"/>
          <w:spacing w:val="8"/>
          <w:sz w:val="24"/>
          <w:szCs w:val="24"/>
        </w:rPr>
      </w:pPr>
    </w:p>
    <w:p w14:paraId="24F00C18" w14:textId="77777777" w:rsidR="003F3610" w:rsidRPr="00E503D6" w:rsidRDefault="003F3610" w:rsidP="003E7B18">
      <w:pPr>
        <w:widowControl w:val="0"/>
        <w:numPr>
          <w:ilvl w:val="0"/>
          <w:numId w:val="156"/>
        </w:numPr>
        <w:autoSpaceDE w:val="0"/>
        <w:autoSpaceDN w:val="0"/>
        <w:jc w:val="both"/>
        <w:rPr>
          <w:sz w:val="24"/>
          <w:szCs w:val="24"/>
        </w:rPr>
      </w:pPr>
      <w:r w:rsidRPr="00671FC0">
        <w:rPr>
          <w:b/>
          <w:bCs/>
          <w:color w:val="000000"/>
          <w:spacing w:val="8"/>
          <w:sz w:val="24"/>
          <w:szCs w:val="24"/>
        </w:rPr>
        <w:t>If replacing one annuity with another,</w:t>
      </w:r>
      <w:r w:rsidRPr="00671FC0">
        <w:rPr>
          <w:color w:val="000000"/>
          <w:spacing w:val="8"/>
          <w:sz w:val="24"/>
          <w:szCs w:val="24"/>
        </w:rPr>
        <w:t xml:space="preserve"> a replacement letter</w:t>
      </w:r>
      <w:r w:rsidR="00C2651B">
        <w:rPr>
          <w:color w:val="000000"/>
          <w:spacing w:val="8"/>
          <w:sz w:val="24"/>
          <w:szCs w:val="24"/>
        </w:rPr>
        <w:t>/form</w:t>
      </w:r>
      <w:r w:rsidRPr="00671FC0">
        <w:rPr>
          <w:color w:val="000000"/>
          <w:spacing w:val="8"/>
          <w:sz w:val="24"/>
          <w:szCs w:val="24"/>
        </w:rPr>
        <w:t xml:space="preserve"> must be </w:t>
      </w:r>
      <w:r w:rsidR="007270E0" w:rsidRPr="00671FC0">
        <w:rPr>
          <w:color w:val="000000"/>
          <w:spacing w:val="8"/>
          <w:sz w:val="24"/>
          <w:szCs w:val="24"/>
        </w:rPr>
        <w:t>submitted,</w:t>
      </w:r>
      <w:r w:rsidRPr="00671FC0">
        <w:rPr>
          <w:color w:val="000000"/>
          <w:spacing w:val="8"/>
          <w:sz w:val="24"/>
          <w:szCs w:val="24"/>
        </w:rPr>
        <w:t xml:space="preserve"> and the exchange must be justified. </w:t>
      </w:r>
      <w:r w:rsidR="00C2651B" w:rsidRPr="00E503D6">
        <w:rPr>
          <w:sz w:val="24"/>
          <w:szCs w:val="24"/>
        </w:rPr>
        <w:t xml:space="preserve">Factors that must be considered include whether the customer: (1) would incur a surrender charge, be subject to a new surrender period, lose existing benefits, or be subject to increased fees or charges; (2) would benefit from product enhancements and improvements; and (3) has </w:t>
      </w:r>
      <w:proofErr w:type="gramStart"/>
      <w:r w:rsidR="00C2651B" w:rsidRPr="00E503D6">
        <w:rPr>
          <w:sz w:val="24"/>
          <w:szCs w:val="24"/>
        </w:rPr>
        <w:t>effected</w:t>
      </w:r>
      <w:proofErr w:type="gramEnd"/>
      <w:r w:rsidR="00C2651B" w:rsidRPr="00E503D6">
        <w:rPr>
          <w:sz w:val="24"/>
          <w:szCs w:val="24"/>
        </w:rPr>
        <w:t xml:space="preserve"> another deferred variable annuity exchange within the preceding 36 months (whether at the </w:t>
      </w:r>
      <w:r w:rsidR="000262CE">
        <w:rPr>
          <w:sz w:val="24"/>
          <w:szCs w:val="24"/>
        </w:rPr>
        <w:t>Co</w:t>
      </w:r>
      <w:r w:rsidR="00C2651B" w:rsidRPr="00E503D6">
        <w:rPr>
          <w:sz w:val="24"/>
          <w:szCs w:val="24"/>
        </w:rPr>
        <w:t>m</w:t>
      </w:r>
      <w:r w:rsidR="000262CE">
        <w:rPr>
          <w:sz w:val="24"/>
          <w:szCs w:val="24"/>
        </w:rPr>
        <w:t>pany</w:t>
      </w:r>
      <w:r w:rsidR="00C2651B" w:rsidRPr="00E503D6">
        <w:rPr>
          <w:sz w:val="24"/>
          <w:szCs w:val="24"/>
        </w:rPr>
        <w:t xml:space="preserve"> or another broker-dealer).</w:t>
      </w:r>
    </w:p>
    <w:p w14:paraId="280CB7DB" w14:textId="77777777" w:rsidR="00C2651B" w:rsidRPr="00E503D6" w:rsidRDefault="00C2651B" w:rsidP="00C2651B">
      <w:pPr>
        <w:widowControl w:val="0"/>
        <w:autoSpaceDE w:val="0"/>
        <w:autoSpaceDN w:val="0"/>
        <w:ind w:left="360"/>
        <w:jc w:val="both"/>
        <w:rPr>
          <w:sz w:val="24"/>
          <w:szCs w:val="24"/>
        </w:rPr>
      </w:pPr>
    </w:p>
    <w:p w14:paraId="0AF61CCF" w14:textId="77777777" w:rsidR="00C2651B" w:rsidRDefault="003F3610" w:rsidP="00C1728B">
      <w:pPr>
        <w:numPr>
          <w:ilvl w:val="0"/>
          <w:numId w:val="111"/>
        </w:numPr>
        <w:shd w:val="clear" w:color="auto" w:fill="FFFFFF"/>
        <w:jc w:val="both"/>
        <w:rPr>
          <w:color w:val="000000"/>
          <w:spacing w:val="8"/>
          <w:sz w:val="24"/>
          <w:szCs w:val="24"/>
        </w:rPr>
      </w:pPr>
      <w:r w:rsidRPr="00671FC0">
        <w:rPr>
          <w:color w:val="000000"/>
          <w:spacing w:val="8"/>
          <w:sz w:val="24"/>
          <w:szCs w:val="24"/>
        </w:rPr>
        <w:lastRenderedPageBreak/>
        <w:t xml:space="preserve">Purchases or exchanges of deferred variable annuities require completion of the </w:t>
      </w:r>
      <w:r w:rsidRPr="00671FC0">
        <w:rPr>
          <w:b/>
          <w:bCs/>
          <w:color w:val="000000"/>
          <w:spacing w:val="8"/>
          <w:sz w:val="24"/>
          <w:szCs w:val="24"/>
        </w:rPr>
        <w:t>Deferred Variable Annuity Worksheet</w:t>
      </w:r>
      <w:r w:rsidRPr="00671FC0">
        <w:rPr>
          <w:color w:val="000000"/>
          <w:spacing w:val="8"/>
          <w:sz w:val="24"/>
          <w:szCs w:val="24"/>
        </w:rPr>
        <w:t xml:space="preserve"> which is provided to the supervisor with a copy of the purchase contract and new account information about the customer</w:t>
      </w:r>
      <w:r w:rsidR="00C2651B">
        <w:rPr>
          <w:color w:val="000000"/>
          <w:spacing w:val="8"/>
          <w:sz w:val="24"/>
          <w:szCs w:val="24"/>
        </w:rPr>
        <w:t>.</w:t>
      </w:r>
    </w:p>
    <w:p w14:paraId="1EBBF948" w14:textId="77777777" w:rsidR="003F3610" w:rsidRPr="00671FC0" w:rsidRDefault="003F3610" w:rsidP="00C2651B">
      <w:pPr>
        <w:shd w:val="clear" w:color="auto" w:fill="FFFFFF"/>
        <w:ind w:left="720"/>
        <w:jc w:val="both"/>
        <w:rPr>
          <w:color w:val="000000"/>
          <w:spacing w:val="8"/>
          <w:sz w:val="24"/>
          <w:szCs w:val="24"/>
        </w:rPr>
      </w:pPr>
      <w:r w:rsidRPr="00671FC0">
        <w:rPr>
          <w:color w:val="000000"/>
          <w:spacing w:val="8"/>
          <w:sz w:val="24"/>
          <w:szCs w:val="24"/>
        </w:rPr>
        <w:t xml:space="preserve"> </w:t>
      </w:r>
    </w:p>
    <w:p w14:paraId="2C570EF5" w14:textId="77777777" w:rsidR="003F3610" w:rsidRDefault="003F3610" w:rsidP="00C1728B">
      <w:pPr>
        <w:numPr>
          <w:ilvl w:val="0"/>
          <w:numId w:val="111"/>
        </w:numPr>
        <w:shd w:val="clear" w:color="auto" w:fill="FFFFFF"/>
        <w:jc w:val="both"/>
        <w:rPr>
          <w:color w:val="000000"/>
          <w:spacing w:val="8"/>
          <w:sz w:val="24"/>
          <w:szCs w:val="24"/>
        </w:rPr>
      </w:pPr>
      <w:r w:rsidRPr="00671FC0">
        <w:rPr>
          <w:color w:val="000000"/>
          <w:spacing w:val="8"/>
          <w:sz w:val="24"/>
          <w:szCs w:val="24"/>
        </w:rPr>
        <w:t xml:space="preserve">There are specific </w:t>
      </w:r>
      <w:r w:rsidRPr="00671FC0">
        <w:rPr>
          <w:b/>
          <w:bCs/>
          <w:color w:val="000000"/>
          <w:spacing w:val="8"/>
          <w:sz w:val="24"/>
          <w:szCs w:val="24"/>
        </w:rPr>
        <w:t>requirements that apply to advertising and other communications</w:t>
      </w:r>
      <w:r w:rsidRPr="00671FC0">
        <w:rPr>
          <w:color w:val="000000"/>
          <w:spacing w:val="8"/>
          <w:sz w:val="24"/>
          <w:szCs w:val="24"/>
        </w:rPr>
        <w:t xml:space="preserve"> about variable products, particularly regarding yield, dollar cost averaging, and other representations of return. </w:t>
      </w:r>
    </w:p>
    <w:p w14:paraId="22E591A4" w14:textId="77777777" w:rsidR="00C2651B" w:rsidRPr="00671FC0" w:rsidRDefault="00C2651B" w:rsidP="00C2651B">
      <w:pPr>
        <w:shd w:val="clear" w:color="auto" w:fill="FFFFFF"/>
        <w:jc w:val="both"/>
        <w:rPr>
          <w:color w:val="000000"/>
          <w:spacing w:val="8"/>
          <w:sz w:val="24"/>
          <w:szCs w:val="24"/>
        </w:rPr>
      </w:pPr>
    </w:p>
    <w:p w14:paraId="5C1102BD" w14:textId="77777777" w:rsidR="003F3610" w:rsidRPr="00671FC0" w:rsidRDefault="003F3610" w:rsidP="00C1728B">
      <w:pPr>
        <w:numPr>
          <w:ilvl w:val="0"/>
          <w:numId w:val="111"/>
        </w:numPr>
        <w:shd w:val="clear" w:color="auto" w:fill="FFFFFF"/>
        <w:jc w:val="both"/>
        <w:rPr>
          <w:color w:val="000000"/>
          <w:spacing w:val="8"/>
          <w:sz w:val="24"/>
          <w:szCs w:val="24"/>
        </w:rPr>
      </w:pPr>
      <w:r w:rsidRPr="00671FC0">
        <w:rPr>
          <w:color w:val="000000"/>
          <w:spacing w:val="8"/>
          <w:sz w:val="24"/>
          <w:szCs w:val="24"/>
        </w:rPr>
        <w:t xml:space="preserve">When a </w:t>
      </w:r>
      <w:r w:rsidRPr="00671FC0">
        <w:rPr>
          <w:b/>
          <w:bCs/>
          <w:color w:val="000000"/>
          <w:spacing w:val="8"/>
          <w:sz w:val="24"/>
          <w:szCs w:val="24"/>
        </w:rPr>
        <w:t>customer redeems an annuity,</w:t>
      </w:r>
      <w:r w:rsidRPr="00671FC0">
        <w:rPr>
          <w:color w:val="000000"/>
          <w:spacing w:val="8"/>
          <w:sz w:val="24"/>
          <w:szCs w:val="24"/>
        </w:rPr>
        <w:t xml:space="preserve"> a signed redemption form must be submitted with the customer's signature guaranteed.</w:t>
      </w:r>
    </w:p>
    <w:p w14:paraId="13A2F56A" w14:textId="77777777" w:rsidR="003F3610" w:rsidRPr="00671FC0" w:rsidRDefault="003F3610">
      <w:pPr>
        <w:jc w:val="both"/>
        <w:rPr>
          <w:color w:val="000000"/>
          <w:sz w:val="24"/>
        </w:rPr>
      </w:pPr>
    </w:p>
    <w:p w14:paraId="6DAD946F" w14:textId="77777777" w:rsidR="00C82FF4" w:rsidRPr="00671FC0" w:rsidRDefault="00C82FF4" w:rsidP="001A7509">
      <w:pPr>
        <w:pStyle w:val="Heading3"/>
        <w:rPr>
          <w:color w:val="000000"/>
        </w:rPr>
      </w:pPr>
      <w:r w:rsidRPr="00671FC0">
        <w:rPr>
          <w:color w:val="000000"/>
        </w:rPr>
        <w:t>1</w:t>
      </w:r>
      <w:r w:rsidR="007270E0">
        <w:rPr>
          <w:color w:val="000000"/>
        </w:rPr>
        <w:t>5</w:t>
      </w:r>
      <w:r w:rsidRPr="00671FC0">
        <w:rPr>
          <w:color w:val="000000"/>
        </w:rPr>
        <w:t>.4</w:t>
      </w:r>
      <w:r w:rsidR="007057DF" w:rsidRPr="00671FC0">
        <w:rPr>
          <w:color w:val="000000"/>
        </w:rPr>
        <w:t>.1</w:t>
      </w:r>
      <w:r w:rsidR="00C61885">
        <w:rPr>
          <w:color w:val="000000"/>
        </w:rPr>
        <w:t xml:space="preserve"> </w:t>
      </w:r>
      <w:r w:rsidRPr="00671FC0">
        <w:rPr>
          <w:color w:val="000000"/>
        </w:rPr>
        <w:t>Suitability</w:t>
      </w:r>
    </w:p>
    <w:p w14:paraId="3724579E" w14:textId="10DFF574" w:rsidR="000C099C" w:rsidRDefault="000C099C" w:rsidP="00C82FF4">
      <w:pPr>
        <w:ind w:left="270"/>
        <w:jc w:val="both"/>
        <w:rPr>
          <w:sz w:val="24"/>
        </w:rPr>
      </w:pPr>
      <w:r w:rsidRPr="00671FC0">
        <w:rPr>
          <w:color w:val="000000"/>
          <w:sz w:val="24"/>
        </w:rPr>
        <w:t xml:space="preserve">In recommending the purchase of a variable contract, a registered representative of the </w:t>
      </w:r>
      <w:r w:rsidR="003F3610" w:rsidRPr="00671FC0">
        <w:rPr>
          <w:color w:val="000000"/>
          <w:sz w:val="24"/>
        </w:rPr>
        <w:t>C</w:t>
      </w:r>
      <w:r w:rsidRPr="00671FC0">
        <w:rPr>
          <w:color w:val="000000"/>
          <w:sz w:val="24"/>
        </w:rPr>
        <w:t>ompany should have reasonable grounds for believing that the recommendation is suitable</w:t>
      </w:r>
      <w:r>
        <w:rPr>
          <w:sz w:val="24"/>
        </w:rPr>
        <w:t xml:space="preserve"> for such customer as to his or her other security holdings and as to his or her financial situation or needs. Suitability for these products must be assessed on a </w:t>
      </w:r>
      <w:r w:rsidR="00E810C6">
        <w:rPr>
          <w:sz w:val="24"/>
        </w:rPr>
        <w:t>case-by-case</w:t>
      </w:r>
      <w:r>
        <w:rPr>
          <w:sz w:val="24"/>
        </w:rPr>
        <w:t xml:space="preserve"> basis by first the registered representative and then the Designated Principal. </w:t>
      </w:r>
    </w:p>
    <w:p w14:paraId="08421474" w14:textId="77777777" w:rsidR="007057DF" w:rsidRDefault="007057DF" w:rsidP="00C82FF4">
      <w:pPr>
        <w:ind w:left="270"/>
        <w:jc w:val="both"/>
        <w:rPr>
          <w:sz w:val="24"/>
        </w:rPr>
      </w:pPr>
    </w:p>
    <w:p w14:paraId="6A1767A0" w14:textId="77777777" w:rsidR="000C099C" w:rsidRDefault="007057DF" w:rsidP="00C82FF4">
      <w:pPr>
        <w:ind w:left="270"/>
        <w:jc w:val="both"/>
        <w:rPr>
          <w:sz w:val="24"/>
        </w:rPr>
      </w:pPr>
      <w:r>
        <w:rPr>
          <w:sz w:val="24"/>
        </w:rPr>
        <w:t>A suitability review must be conducted as evidenced by the New Account form.  All the same requirements as with other products apply to variable insurance products, including OFAC search, driver’s license copy, etc.</w:t>
      </w:r>
    </w:p>
    <w:p w14:paraId="1EEF5BE4" w14:textId="77777777" w:rsidR="007057DF" w:rsidRDefault="007057DF" w:rsidP="00C82FF4">
      <w:pPr>
        <w:pStyle w:val="MRS"/>
        <w:ind w:left="270"/>
      </w:pPr>
    </w:p>
    <w:p w14:paraId="5FA4E97B" w14:textId="30570DEB" w:rsidR="000C099C" w:rsidRDefault="000C099C" w:rsidP="00C82FF4">
      <w:pPr>
        <w:pStyle w:val="MRS"/>
        <w:ind w:left="270"/>
      </w:pPr>
      <w:r>
        <w:t xml:space="preserve">Insurance Products are long-term investments which may provide tax deferral benefits for clients.  Rarely should Insurance Products account for more than fifty percent (50%) of a client’s portfolio.  Representatives must ensure that the characteristics of the underlying investment accounts are suitable for the customers.    Any replacement of an existing insurance contract will be closely scrutinized prior to approval to ensure the new contract’s suitability for the client.  Switching from one contract to another similar contract will only be allowed if it can be shown that the client will receive a substantial benefit from the switch.  A comparison such as “Average </w:t>
      </w:r>
      <w:r w:rsidR="007270E0">
        <w:t>Five-Year</w:t>
      </w:r>
      <w:r>
        <w:t xml:space="preserve"> Annual Returns” is not adequate to justify subjecting the customer to extended withdrawal periods and other potential costs associated with switching.  The registered representative and the Designated Principal will determine, based on the information provided by the customer and their own knowledge of the product features that replacing the existing contract with a new contract is suitable for the customer. Consideration should be given to such matters as product enhancements and improvements, lower cost structures, and surrender charges.  Associated Persons will use the WSC Investment Products Receipt and Disclosure Form for Insurance Products or the Product Questionnaire provided by the insurance company to disclose pertinent information about the product as well as any applicable exchange or replacement.</w:t>
      </w:r>
    </w:p>
    <w:p w14:paraId="549E019A" w14:textId="77777777" w:rsidR="000C099C" w:rsidRDefault="000C099C" w:rsidP="00C82FF4">
      <w:pPr>
        <w:ind w:left="270"/>
        <w:jc w:val="both"/>
        <w:rPr>
          <w:sz w:val="24"/>
        </w:rPr>
      </w:pPr>
    </w:p>
    <w:p w14:paraId="4CB05CB1" w14:textId="77777777" w:rsidR="000C099C" w:rsidRDefault="000C099C" w:rsidP="00C82FF4">
      <w:pPr>
        <w:ind w:left="270"/>
        <w:jc w:val="both"/>
        <w:rPr>
          <w:sz w:val="24"/>
        </w:rPr>
      </w:pPr>
      <w:r>
        <w:rPr>
          <w:sz w:val="24"/>
        </w:rPr>
        <w:t xml:space="preserve">Further, while the investment accounts offered with many Insurance Products are modeled after or may be “clones” of existing mutual funds, Representatives shall not lead customers to believe that these products are mutual funds and shall not use the performance history of the original funds as a predictor for the investment accounts within the Insurance Products.  This prohibition extends to both verbal and written solicitations.   </w:t>
      </w:r>
    </w:p>
    <w:p w14:paraId="24E0D3C9" w14:textId="77777777" w:rsidR="000C099C" w:rsidRDefault="000C099C" w:rsidP="00C82FF4">
      <w:pPr>
        <w:ind w:left="270"/>
        <w:jc w:val="both"/>
        <w:rPr>
          <w:sz w:val="24"/>
        </w:rPr>
      </w:pPr>
    </w:p>
    <w:p w14:paraId="6029858F" w14:textId="77777777" w:rsidR="000C099C" w:rsidRDefault="000C099C" w:rsidP="00C82FF4">
      <w:pPr>
        <w:autoSpaceDE w:val="0"/>
        <w:autoSpaceDN w:val="0"/>
        <w:adjustRightInd w:val="0"/>
        <w:ind w:left="270"/>
        <w:jc w:val="both"/>
        <w:rPr>
          <w:sz w:val="24"/>
        </w:rPr>
      </w:pPr>
      <w:r>
        <w:rPr>
          <w:sz w:val="24"/>
        </w:rPr>
        <w:t xml:space="preserve">When recommending a variable annuity, registered representatives will make reasonable efforts to obtain comprehensive customer information, including the customer’s occupation, marital status, age, number of dependents, investment objectives, risk tolerance, tax status, </w:t>
      </w:r>
      <w:r>
        <w:rPr>
          <w:sz w:val="24"/>
        </w:rPr>
        <w:lastRenderedPageBreak/>
        <w:t xml:space="preserve">previous investment experience, liquid net worth, other investments and savings, and annual income.  Retention of this customer information will be made in conjunction with the maintenance of basic customer account information. </w:t>
      </w:r>
    </w:p>
    <w:p w14:paraId="33F599FD" w14:textId="77777777" w:rsidR="000C099C" w:rsidRDefault="000C099C">
      <w:pPr>
        <w:autoSpaceDE w:val="0"/>
        <w:autoSpaceDN w:val="0"/>
        <w:adjustRightInd w:val="0"/>
        <w:jc w:val="both"/>
        <w:rPr>
          <w:sz w:val="24"/>
        </w:rPr>
      </w:pPr>
    </w:p>
    <w:p w14:paraId="70214CFC" w14:textId="77777777" w:rsidR="000C099C" w:rsidRDefault="000C099C" w:rsidP="00C82FF4">
      <w:pPr>
        <w:autoSpaceDE w:val="0"/>
        <w:autoSpaceDN w:val="0"/>
        <w:adjustRightInd w:val="0"/>
        <w:ind w:left="270"/>
        <w:jc w:val="both"/>
        <w:rPr>
          <w:sz w:val="24"/>
        </w:rPr>
      </w:pPr>
      <w:r>
        <w:rPr>
          <w:sz w:val="24"/>
        </w:rPr>
        <w:t>The registered representative will seek to ensure that the variable annuity application and any other information provided by the customer is complete and accurate, and promptly forwarded to a registered principal for review.</w:t>
      </w:r>
    </w:p>
    <w:p w14:paraId="489343BA" w14:textId="77777777" w:rsidR="000C099C" w:rsidRDefault="000C099C" w:rsidP="00C82FF4">
      <w:pPr>
        <w:autoSpaceDE w:val="0"/>
        <w:autoSpaceDN w:val="0"/>
        <w:adjustRightInd w:val="0"/>
        <w:ind w:left="270"/>
        <w:jc w:val="both"/>
        <w:rPr>
          <w:sz w:val="24"/>
        </w:rPr>
      </w:pPr>
    </w:p>
    <w:p w14:paraId="549A0ADD" w14:textId="77777777" w:rsidR="000C099C" w:rsidRDefault="000C099C" w:rsidP="00C82FF4">
      <w:pPr>
        <w:ind w:left="270"/>
        <w:jc w:val="both"/>
        <w:rPr>
          <w:sz w:val="24"/>
        </w:rPr>
      </w:pPr>
      <w:r>
        <w:rPr>
          <w:sz w:val="24"/>
        </w:rPr>
        <w:t>When a variable annuity transaction is recommended to a customer, the registered representative and the Designated Principal will review the customer’s investment objectives, risk tolerance, and other information to determine that the variable annuity contract as a whole and the underlying sub accounts recommended to the customer are suitable. The Designated Principal will compare the information in the account application with other relevant information sources,</w:t>
      </w:r>
      <w:r>
        <w:rPr>
          <w:i/>
          <w:sz w:val="24"/>
        </w:rPr>
        <w:t xml:space="preserve"> e.g.,</w:t>
      </w:r>
      <w:r>
        <w:rPr>
          <w:sz w:val="24"/>
        </w:rPr>
        <w:t xml:space="preserve"> an account information form, to check for apparent accuracy and consistency prior to approving the transaction.</w:t>
      </w:r>
    </w:p>
    <w:p w14:paraId="349FA763" w14:textId="77777777" w:rsidR="009405EF" w:rsidRDefault="009405EF" w:rsidP="00C82FF4">
      <w:pPr>
        <w:ind w:left="270"/>
        <w:jc w:val="both"/>
        <w:rPr>
          <w:sz w:val="24"/>
        </w:rPr>
      </w:pPr>
    </w:p>
    <w:p w14:paraId="6BE55867" w14:textId="77777777" w:rsidR="009405EF" w:rsidRDefault="009405EF" w:rsidP="001A587F">
      <w:pPr>
        <w:pStyle w:val="Heading4"/>
      </w:pPr>
      <w:r>
        <w:t>1</w:t>
      </w:r>
      <w:r w:rsidR="007270E0">
        <w:t>5</w:t>
      </w:r>
      <w:r>
        <w:t xml:space="preserve">.4.1.1 </w:t>
      </w:r>
      <w:r w:rsidR="00121C58">
        <w:t xml:space="preserve">Suitability of </w:t>
      </w:r>
      <w:r w:rsidR="00FE5792">
        <w:t>Multi-</w:t>
      </w:r>
      <w:r>
        <w:t>Class</w:t>
      </w:r>
      <w:r w:rsidR="00FE5792">
        <w:t xml:space="preserve"> Variable Annuities</w:t>
      </w:r>
    </w:p>
    <w:p w14:paraId="587D66A5" w14:textId="77777777" w:rsidR="00FE5792" w:rsidRPr="003B397D" w:rsidRDefault="00FE5792" w:rsidP="00FE5792">
      <w:pPr>
        <w:ind w:left="360"/>
        <w:rPr>
          <w:sz w:val="24"/>
          <w:szCs w:val="24"/>
        </w:rPr>
      </w:pPr>
      <w:r w:rsidRPr="003B397D">
        <w:rPr>
          <w:sz w:val="24"/>
          <w:szCs w:val="24"/>
        </w:rPr>
        <w:t>Some variable annuities are "multi-class" and offer different features depending on the class of the annuity. An example of classes includes the following:</w:t>
      </w:r>
    </w:p>
    <w:p w14:paraId="5DD7B243" w14:textId="77777777" w:rsidR="00FE5792" w:rsidRPr="003B397D" w:rsidRDefault="00FE5792" w:rsidP="003E7B18">
      <w:pPr>
        <w:numPr>
          <w:ilvl w:val="0"/>
          <w:numId w:val="303"/>
        </w:numPr>
        <w:tabs>
          <w:tab w:val="clear" w:pos="720"/>
          <w:tab w:val="num" w:pos="810"/>
        </w:tabs>
        <w:spacing w:before="100" w:beforeAutospacing="1" w:after="100" w:afterAutospacing="1"/>
        <w:ind w:left="810" w:hanging="270"/>
        <w:rPr>
          <w:sz w:val="24"/>
          <w:szCs w:val="24"/>
        </w:rPr>
      </w:pPr>
      <w:r w:rsidRPr="003B397D">
        <w:rPr>
          <w:sz w:val="24"/>
          <w:szCs w:val="24"/>
        </w:rPr>
        <w:t>A Shares: Up-front sales charge, typically no surrender period</w:t>
      </w:r>
    </w:p>
    <w:p w14:paraId="36DEAAE1" w14:textId="77777777" w:rsidR="00FE5792" w:rsidRPr="003B397D" w:rsidRDefault="00FE5792" w:rsidP="003E7B18">
      <w:pPr>
        <w:numPr>
          <w:ilvl w:val="0"/>
          <w:numId w:val="303"/>
        </w:numPr>
        <w:tabs>
          <w:tab w:val="clear" w:pos="720"/>
          <w:tab w:val="num" w:pos="810"/>
        </w:tabs>
        <w:spacing w:before="100" w:beforeAutospacing="1" w:after="100" w:afterAutospacing="1"/>
        <w:ind w:left="810" w:hanging="270"/>
        <w:rPr>
          <w:sz w:val="24"/>
          <w:szCs w:val="24"/>
        </w:rPr>
      </w:pPr>
      <w:r w:rsidRPr="003B397D">
        <w:rPr>
          <w:sz w:val="24"/>
          <w:szCs w:val="24"/>
        </w:rPr>
        <w:t>B Shares: Longer surrender period, typically lowest mortality and expense risk (M&amp;E) fees</w:t>
      </w:r>
    </w:p>
    <w:p w14:paraId="174E3ADB" w14:textId="77777777" w:rsidR="00FE5792" w:rsidRPr="003B397D" w:rsidRDefault="00FE5792" w:rsidP="003E7B18">
      <w:pPr>
        <w:numPr>
          <w:ilvl w:val="0"/>
          <w:numId w:val="303"/>
        </w:numPr>
        <w:tabs>
          <w:tab w:val="clear" w:pos="720"/>
          <w:tab w:val="num" w:pos="810"/>
        </w:tabs>
        <w:spacing w:before="100" w:beforeAutospacing="1" w:after="100" w:afterAutospacing="1"/>
        <w:ind w:left="810" w:hanging="270"/>
        <w:rPr>
          <w:sz w:val="24"/>
          <w:szCs w:val="24"/>
        </w:rPr>
      </w:pPr>
      <w:r w:rsidRPr="003B397D">
        <w:rPr>
          <w:sz w:val="24"/>
          <w:szCs w:val="24"/>
        </w:rPr>
        <w:t>C Shares: No surrender period, higher M&amp;E fees</w:t>
      </w:r>
    </w:p>
    <w:p w14:paraId="2F34911E" w14:textId="77777777" w:rsidR="00FE5792" w:rsidRPr="003B397D" w:rsidRDefault="00FE5792" w:rsidP="003E7B18">
      <w:pPr>
        <w:numPr>
          <w:ilvl w:val="0"/>
          <w:numId w:val="303"/>
        </w:numPr>
        <w:tabs>
          <w:tab w:val="clear" w:pos="720"/>
          <w:tab w:val="num" w:pos="810"/>
        </w:tabs>
        <w:spacing w:before="100" w:beforeAutospacing="1" w:after="100" w:afterAutospacing="1"/>
        <w:ind w:left="810" w:hanging="270"/>
        <w:rPr>
          <w:sz w:val="24"/>
          <w:szCs w:val="24"/>
        </w:rPr>
      </w:pPr>
      <w:r w:rsidRPr="003B397D">
        <w:rPr>
          <w:sz w:val="24"/>
          <w:szCs w:val="24"/>
        </w:rPr>
        <w:t>L Shares: Shorter surrender period, higher M&amp;E fees</w:t>
      </w:r>
    </w:p>
    <w:p w14:paraId="0EAFF029" w14:textId="77777777" w:rsidR="00FE5792" w:rsidRPr="003B397D" w:rsidRDefault="00FE5792" w:rsidP="003E7B18">
      <w:pPr>
        <w:numPr>
          <w:ilvl w:val="0"/>
          <w:numId w:val="303"/>
        </w:numPr>
        <w:tabs>
          <w:tab w:val="clear" w:pos="720"/>
          <w:tab w:val="num" w:pos="810"/>
        </w:tabs>
        <w:spacing w:before="100" w:beforeAutospacing="1" w:after="100" w:afterAutospacing="1"/>
        <w:ind w:left="810" w:hanging="270"/>
        <w:rPr>
          <w:sz w:val="24"/>
          <w:szCs w:val="24"/>
        </w:rPr>
      </w:pPr>
      <w:r w:rsidRPr="003B397D">
        <w:rPr>
          <w:sz w:val="24"/>
          <w:szCs w:val="24"/>
        </w:rPr>
        <w:t>O Shares: No up-front sales charge, surrender period similar to B-Shares, progressively declining M&amp;E fees</w:t>
      </w:r>
    </w:p>
    <w:p w14:paraId="0E9D1A95" w14:textId="77777777" w:rsidR="00FE5792" w:rsidRPr="003B397D" w:rsidRDefault="00FE5792" w:rsidP="003E7B18">
      <w:pPr>
        <w:numPr>
          <w:ilvl w:val="0"/>
          <w:numId w:val="303"/>
        </w:numPr>
        <w:tabs>
          <w:tab w:val="clear" w:pos="720"/>
          <w:tab w:val="num" w:pos="810"/>
        </w:tabs>
        <w:spacing w:before="100" w:beforeAutospacing="1" w:after="100" w:afterAutospacing="1"/>
        <w:ind w:left="810" w:hanging="270"/>
        <w:rPr>
          <w:sz w:val="24"/>
          <w:szCs w:val="24"/>
        </w:rPr>
      </w:pPr>
      <w:r w:rsidRPr="003B397D">
        <w:rPr>
          <w:sz w:val="24"/>
          <w:szCs w:val="24"/>
        </w:rPr>
        <w:t>X Shares: "Bonus Shares" or "Premium Enhanced," longer surrender period, moderate M&amp;E fees, up-front bonus investment credit</w:t>
      </w:r>
    </w:p>
    <w:p w14:paraId="3C1176C2" w14:textId="77777777" w:rsidR="00FE5792" w:rsidRPr="003B397D" w:rsidRDefault="00FE5792" w:rsidP="00FE5792">
      <w:pPr>
        <w:spacing w:before="100" w:beforeAutospacing="1" w:after="100" w:afterAutospacing="1"/>
        <w:ind w:left="360"/>
        <w:rPr>
          <w:sz w:val="24"/>
          <w:szCs w:val="24"/>
        </w:rPr>
      </w:pPr>
      <w:r w:rsidRPr="003B397D">
        <w:rPr>
          <w:sz w:val="24"/>
          <w:szCs w:val="24"/>
        </w:rPr>
        <w:t>Different variable annuities may also offer "riders" which are optional add-ons that annuity buyers may choose, usually at extra cost which may be an annual fee. Two popular types of VA living benefit riders are guaranteed minimum withdrawal benefits (GMWBs) and guaranteed minimum income benefits (GMIBs). Riders may or may not pay off depending on how long the customer holds the annuity, the age of the customer, and other factors that must be considered when determining the suitability of riders. In particular, long-term income riders may not be appropriate when considering L-shares for investors since L-shares have a shorter-term surrender period.</w:t>
      </w:r>
    </w:p>
    <w:p w14:paraId="0505C5E6" w14:textId="77777777" w:rsidR="00FE5792" w:rsidRPr="003B397D" w:rsidRDefault="00FE5792" w:rsidP="00FE5792">
      <w:pPr>
        <w:spacing w:before="100" w:beforeAutospacing="1" w:after="100" w:afterAutospacing="1"/>
        <w:ind w:left="360"/>
        <w:rPr>
          <w:sz w:val="24"/>
          <w:szCs w:val="24"/>
        </w:rPr>
      </w:pPr>
      <w:r w:rsidRPr="003B397D">
        <w:rPr>
          <w:sz w:val="24"/>
          <w:szCs w:val="24"/>
        </w:rPr>
        <w:t>When recommending multi-class shares, RRs must consider the following:</w:t>
      </w:r>
    </w:p>
    <w:p w14:paraId="4985BEBA" w14:textId="77777777" w:rsidR="00FE5792" w:rsidRPr="003B397D" w:rsidRDefault="00FE5792" w:rsidP="003E7B18">
      <w:pPr>
        <w:numPr>
          <w:ilvl w:val="0"/>
          <w:numId w:val="304"/>
        </w:numPr>
        <w:tabs>
          <w:tab w:val="clear" w:pos="720"/>
          <w:tab w:val="num" w:pos="810"/>
        </w:tabs>
        <w:spacing w:before="100" w:beforeAutospacing="1" w:after="100" w:afterAutospacing="1"/>
        <w:ind w:left="810" w:hanging="270"/>
        <w:rPr>
          <w:sz w:val="24"/>
          <w:szCs w:val="24"/>
        </w:rPr>
      </w:pPr>
      <w:r w:rsidRPr="003B397D">
        <w:rPr>
          <w:sz w:val="24"/>
          <w:szCs w:val="24"/>
        </w:rPr>
        <w:t>Assessing and documenting suitability</w:t>
      </w:r>
    </w:p>
    <w:p w14:paraId="2AF2CBED" w14:textId="77777777" w:rsidR="00FE5792" w:rsidRPr="003B397D" w:rsidRDefault="00FE5792" w:rsidP="003E7B18">
      <w:pPr>
        <w:numPr>
          <w:ilvl w:val="0"/>
          <w:numId w:val="304"/>
        </w:numPr>
        <w:tabs>
          <w:tab w:val="clear" w:pos="720"/>
          <w:tab w:val="num" w:pos="810"/>
        </w:tabs>
        <w:spacing w:before="100" w:beforeAutospacing="1" w:after="100" w:afterAutospacing="1"/>
        <w:ind w:left="810" w:hanging="270"/>
        <w:rPr>
          <w:sz w:val="24"/>
          <w:szCs w:val="24"/>
        </w:rPr>
      </w:pPr>
      <w:r w:rsidRPr="003B397D">
        <w:rPr>
          <w:sz w:val="24"/>
          <w:szCs w:val="24"/>
        </w:rPr>
        <w:t>Education of the customer regarding class options</w:t>
      </w:r>
    </w:p>
    <w:p w14:paraId="3F85FB38" w14:textId="77777777" w:rsidR="00FE5792" w:rsidRPr="003B397D" w:rsidRDefault="00FE5792" w:rsidP="003E7B18">
      <w:pPr>
        <w:numPr>
          <w:ilvl w:val="0"/>
          <w:numId w:val="304"/>
        </w:numPr>
        <w:tabs>
          <w:tab w:val="clear" w:pos="720"/>
          <w:tab w:val="num" w:pos="810"/>
        </w:tabs>
        <w:spacing w:before="100" w:beforeAutospacing="1" w:after="100" w:afterAutospacing="1"/>
        <w:ind w:left="810" w:hanging="270"/>
        <w:rPr>
          <w:sz w:val="24"/>
          <w:szCs w:val="24"/>
        </w:rPr>
      </w:pPr>
      <w:r w:rsidRPr="003B397D">
        <w:rPr>
          <w:sz w:val="24"/>
          <w:szCs w:val="24"/>
        </w:rPr>
        <w:t>Relatively higher M&amp;E fees (one class vs. another)</w:t>
      </w:r>
    </w:p>
    <w:p w14:paraId="12036F0F" w14:textId="77777777" w:rsidR="00FE5792" w:rsidRPr="003B397D" w:rsidRDefault="00FE5792" w:rsidP="003E7B18">
      <w:pPr>
        <w:numPr>
          <w:ilvl w:val="0"/>
          <w:numId w:val="304"/>
        </w:numPr>
        <w:tabs>
          <w:tab w:val="clear" w:pos="720"/>
          <w:tab w:val="num" w:pos="810"/>
        </w:tabs>
        <w:spacing w:before="100" w:beforeAutospacing="1" w:after="100" w:afterAutospacing="1"/>
        <w:ind w:left="810" w:hanging="270"/>
        <w:rPr>
          <w:sz w:val="24"/>
          <w:szCs w:val="24"/>
        </w:rPr>
      </w:pPr>
      <w:r w:rsidRPr="003B397D">
        <w:rPr>
          <w:sz w:val="24"/>
          <w:szCs w:val="24"/>
        </w:rPr>
        <w:t>Impact of fees on overall returns</w:t>
      </w:r>
    </w:p>
    <w:p w14:paraId="28C85284" w14:textId="77777777" w:rsidR="00FE5792" w:rsidRPr="003B397D" w:rsidRDefault="00FE5792" w:rsidP="003E7B18">
      <w:pPr>
        <w:numPr>
          <w:ilvl w:val="0"/>
          <w:numId w:val="304"/>
        </w:numPr>
        <w:tabs>
          <w:tab w:val="clear" w:pos="720"/>
          <w:tab w:val="num" w:pos="810"/>
        </w:tabs>
        <w:spacing w:before="100" w:beforeAutospacing="1" w:after="100" w:afterAutospacing="1"/>
        <w:ind w:left="810" w:hanging="270"/>
        <w:rPr>
          <w:sz w:val="24"/>
          <w:szCs w:val="24"/>
        </w:rPr>
      </w:pPr>
      <w:r w:rsidRPr="003B397D">
        <w:rPr>
          <w:sz w:val="24"/>
          <w:szCs w:val="24"/>
        </w:rPr>
        <w:t>Benefits over other share classes</w:t>
      </w:r>
    </w:p>
    <w:p w14:paraId="2812510B" w14:textId="77777777" w:rsidR="00FE5792" w:rsidRPr="003B397D" w:rsidRDefault="00FE5792" w:rsidP="003E7B18">
      <w:pPr>
        <w:numPr>
          <w:ilvl w:val="0"/>
          <w:numId w:val="304"/>
        </w:numPr>
        <w:tabs>
          <w:tab w:val="clear" w:pos="720"/>
          <w:tab w:val="num" w:pos="810"/>
        </w:tabs>
        <w:spacing w:before="100" w:beforeAutospacing="1" w:after="100" w:afterAutospacing="1"/>
        <w:ind w:left="810" w:hanging="270"/>
        <w:rPr>
          <w:sz w:val="24"/>
          <w:szCs w:val="24"/>
        </w:rPr>
      </w:pPr>
      <w:r w:rsidRPr="003B397D">
        <w:rPr>
          <w:sz w:val="24"/>
          <w:szCs w:val="24"/>
        </w:rPr>
        <w:t>Commissions influencing recommendations</w:t>
      </w:r>
    </w:p>
    <w:p w14:paraId="61BBEA96" w14:textId="77777777" w:rsidR="00FE5792" w:rsidRPr="003B397D" w:rsidRDefault="00FE5792" w:rsidP="003E7B18">
      <w:pPr>
        <w:numPr>
          <w:ilvl w:val="0"/>
          <w:numId w:val="304"/>
        </w:numPr>
        <w:tabs>
          <w:tab w:val="clear" w:pos="720"/>
          <w:tab w:val="num" w:pos="810"/>
        </w:tabs>
        <w:spacing w:before="100" w:beforeAutospacing="1" w:after="100" w:afterAutospacing="1"/>
        <w:ind w:left="810" w:hanging="270"/>
        <w:rPr>
          <w:sz w:val="24"/>
          <w:szCs w:val="24"/>
        </w:rPr>
      </w:pPr>
      <w:r w:rsidRPr="003B397D">
        <w:rPr>
          <w:sz w:val="24"/>
          <w:szCs w:val="24"/>
        </w:rPr>
        <w:t>Suitability of riders and related cost, potential payback</w:t>
      </w:r>
    </w:p>
    <w:p w14:paraId="0123634C" w14:textId="77777777" w:rsidR="00FE5792" w:rsidRPr="003B397D" w:rsidRDefault="00FE5792" w:rsidP="003E7B18">
      <w:pPr>
        <w:numPr>
          <w:ilvl w:val="0"/>
          <w:numId w:val="304"/>
        </w:numPr>
        <w:tabs>
          <w:tab w:val="clear" w:pos="720"/>
          <w:tab w:val="num" w:pos="810"/>
        </w:tabs>
        <w:spacing w:before="100" w:beforeAutospacing="1" w:after="100" w:afterAutospacing="1"/>
        <w:ind w:left="810" w:hanging="270"/>
        <w:rPr>
          <w:sz w:val="24"/>
          <w:szCs w:val="24"/>
        </w:rPr>
      </w:pPr>
      <w:r w:rsidRPr="003B397D">
        <w:rPr>
          <w:sz w:val="24"/>
          <w:szCs w:val="24"/>
        </w:rPr>
        <w:lastRenderedPageBreak/>
        <w:t>Assure customer awareness of fee differentials</w:t>
      </w:r>
    </w:p>
    <w:p w14:paraId="45A5162D" w14:textId="77777777" w:rsidR="000C099C" w:rsidRPr="003B397D" w:rsidRDefault="00FE5792" w:rsidP="003E7B18">
      <w:pPr>
        <w:numPr>
          <w:ilvl w:val="0"/>
          <w:numId w:val="304"/>
        </w:numPr>
        <w:tabs>
          <w:tab w:val="clear" w:pos="720"/>
          <w:tab w:val="num" w:pos="810"/>
        </w:tabs>
        <w:spacing w:before="100" w:beforeAutospacing="1" w:after="100" w:afterAutospacing="1"/>
        <w:ind w:left="810" w:hanging="270"/>
        <w:jc w:val="both"/>
        <w:rPr>
          <w:sz w:val="24"/>
        </w:rPr>
      </w:pPr>
      <w:r w:rsidRPr="003B397D">
        <w:rPr>
          <w:sz w:val="24"/>
          <w:szCs w:val="24"/>
        </w:rPr>
        <w:t>Explanation of rationale for recommendation</w:t>
      </w:r>
    </w:p>
    <w:p w14:paraId="6950A5B2" w14:textId="77777777" w:rsidR="007057DF" w:rsidRDefault="007057DF" w:rsidP="001A7509">
      <w:pPr>
        <w:pStyle w:val="Heading3"/>
      </w:pPr>
      <w:r>
        <w:t>1</w:t>
      </w:r>
      <w:r w:rsidR="007270E0">
        <w:t>5</w:t>
      </w:r>
      <w:r>
        <w:t xml:space="preserve">.4.2 </w:t>
      </w:r>
      <w:r w:rsidR="00D25B33">
        <w:t xml:space="preserve">Processing </w:t>
      </w:r>
    </w:p>
    <w:p w14:paraId="55F191CD" w14:textId="77777777" w:rsidR="007057DF" w:rsidRDefault="007057DF" w:rsidP="00D25B33">
      <w:pPr>
        <w:ind w:left="270"/>
        <w:jc w:val="both"/>
        <w:rPr>
          <w:sz w:val="24"/>
        </w:rPr>
      </w:pPr>
      <w:r>
        <w:rPr>
          <w:sz w:val="24"/>
        </w:rPr>
        <w:t xml:space="preserve">After the Registered Representative receives a completed application and a check made out to the appropriate product sponsor, the application will be forwarded to the designated principal or designee, for a suitability review and approval.  The application and check will be forwarded to the product sponsor and a copy will be placed in the customer’s file.  The receipt and forwarding of the check will be entered on the “Checks Received and Delivered Blotter” or “Trade Blotter” under “Trade Date” and applications will be forwarded to the issuer.   Checks must be forwarded to the sponsor on or before noon of the business day following receipt by the representative.  Contracts will be promptly forwarded to the recipient upon receipt by the Company.  The Insurance Products Investment Receipt and Disclosure form must also be completed and </w:t>
      </w:r>
      <w:r w:rsidR="007270E0">
        <w:rPr>
          <w:sz w:val="24"/>
        </w:rPr>
        <w:t>signed,</w:t>
      </w:r>
      <w:r>
        <w:rPr>
          <w:sz w:val="24"/>
        </w:rPr>
        <w:t xml:space="preserve"> and a copy forwarded to the Company.</w:t>
      </w:r>
    </w:p>
    <w:p w14:paraId="2F735425" w14:textId="77777777" w:rsidR="000C099C" w:rsidRDefault="000C099C">
      <w:pPr>
        <w:jc w:val="both"/>
        <w:rPr>
          <w:sz w:val="24"/>
        </w:rPr>
      </w:pPr>
    </w:p>
    <w:p w14:paraId="766FCDC7" w14:textId="77777777" w:rsidR="000C099C" w:rsidRDefault="00C82FF4" w:rsidP="001A7509">
      <w:pPr>
        <w:pStyle w:val="Heading3"/>
      </w:pPr>
      <w:bookmarkStart w:id="276" w:name="_Toc153361431"/>
      <w:bookmarkStart w:id="277" w:name="_Toc153361658"/>
      <w:r>
        <w:t>1</w:t>
      </w:r>
      <w:r w:rsidR="007270E0">
        <w:t>5</w:t>
      </w:r>
      <w:r>
        <w:t>.4.</w:t>
      </w:r>
      <w:r w:rsidR="00D25B33">
        <w:t>3</w:t>
      </w:r>
      <w:r>
        <w:t xml:space="preserve"> </w:t>
      </w:r>
      <w:r w:rsidR="000C099C">
        <w:t>Sales Charges</w:t>
      </w:r>
      <w:bookmarkEnd w:id="276"/>
      <w:bookmarkEnd w:id="277"/>
    </w:p>
    <w:p w14:paraId="3A36504B" w14:textId="77777777" w:rsidR="000C099C" w:rsidRDefault="000C099C" w:rsidP="00C82FF4">
      <w:pPr>
        <w:ind w:left="270"/>
        <w:jc w:val="both"/>
        <w:rPr>
          <w:sz w:val="24"/>
        </w:rPr>
      </w:pPr>
      <w:r>
        <w:rPr>
          <w:sz w:val="24"/>
        </w:rPr>
        <w:t>The company will not participate in the offering or in the sale of variable annuity contracts if the purchase payment includes a sales charge which is excessive:</w:t>
      </w:r>
    </w:p>
    <w:p w14:paraId="50B3109B" w14:textId="77777777" w:rsidR="000C099C" w:rsidRDefault="000C099C" w:rsidP="00C82FF4">
      <w:pPr>
        <w:ind w:left="270"/>
        <w:jc w:val="both"/>
        <w:rPr>
          <w:sz w:val="24"/>
        </w:rPr>
      </w:pPr>
    </w:p>
    <w:p w14:paraId="0090EF77" w14:textId="77777777" w:rsidR="000C099C" w:rsidRDefault="000C099C" w:rsidP="00C82FF4">
      <w:pPr>
        <w:spacing w:before="60" w:after="60"/>
        <w:ind w:left="270"/>
        <w:jc w:val="both"/>
        <w:rPr>
          <w:sz w:val="24"/>
        </w:rPr>
      </w:pPr>
      <w:r>
        <w:rPr>
          <w:sz w:val="24"/>
        </w:rPr>
        <w:t>(1) Under contracts providing for multiple payments, a sales charge shall not be deemed to be excessive if the sales charge stated in the prospectus does not exceed 8.5% of the total payments to be made thereon as of a date not later than the end of the twelfth year of such payments, provided that if a contract be issued for any stipulated shorter payment period, the sales charge under such contract typically should not exceed 8.5% of the total payments thereunder for such period.</w:t>
      </w:r>
    </w:p>
    <w:p w14:paraId="533F63F3" w14:textId="77777777" w:rsidR="000C099C" w:rsidRDefault="000C099C" w:rsidP="00C82FF4">
      <w:pPr>
        <w:pStyle w:val="BodyText"/>
        <w:spacing w:after="0"/>
        <w:ind w:left="270"/>
      </w:pPr>
      <w:r>
        <w:t>(2) Under contracts providing for single payments, a sales charge shall not be deemed to be excessive if the prospectus sets forth a scale of reducing sales charges related to the amount of the purchase payment which is not greater than the following schedule:</w:t>
      </w:r>
    </w:p>
    <w:p w14:paraId="41EA3234" w14:textId="77777777" w:rsidR="000C099C" w:rsidRDefault="000C099C" w:rsidP="00C82FF4">
      <w:pPr>
        <w:ind w:left="270"/>
        <w:jc w:val="both"/>
      </w:pPr>
    </w:p>
    <w:p w14:paraId="5094BA6C" w14:textId="77777777" w:rsidR="000C099C" w:rsidRDefault="000C099C" w:rsidP="00C1728B">
      <w:pPr>
        <w:numPr>
          <w:ilvl w:val="0"/>
          <w:numId w:val="35"/>
        </w:numPr>
        <w:tabs>
          <w:tab w:val="left" w:pos="720"/>
          <w:tab w:val="decimal" w:pos="2700"/>
          <w:tab w:val="left" w:pos="3600"/>
        </w:tabs>
        <w:jc w:val="both"/>
        <w:rPr>
          <w:sz w:val="24"/>
        </w:rPr>
      </w:pPr>
      <w:r>
        <w:rPr>
          <w:sz w:val="24"/>
        </w:rPr>
        <w:t>First $25,000</w:t>
      </w:r>
      <w:r>
        <w:rPr>
          <w:sz w:val="24"/>
        </w:rPr>
        <w:tab/>
        <w:t>8.5%</w:t>
      </w:r>
      <w:r>
        <w:rPr>
          <w:sz w:val="24"/>
        </w:rPr>
        <w:tab/>
        <w:t>of purchase payment</w:t>
      </w:r>
    </w:p>
    <w:p w14:paraId="74C0B0A6" w14:textId="77777777" w:rsidR="000C099C" w:rsidRDefault="000C099C" w:rsidP="00C1728B">
      <w:pPr>
        <w:numPr>
          <w:ilvl w:val="0"/>
          <w:numId w:val="35"/>
        </w:numPr>
        <w:tabs>
          <w:tab w:val="left" w:pos="720"/>
          <w:tab w:val="decimal" w:pos="2700"/>
          <w:tab w:val="left" w:pos="3600"/>
        </w:tabs>
        <w:jc w:val="both"/>
        <w:rPr>
          <w:sz w:val="24"/>
        </w:rPr>
      </w:pPr>
      <w:r>
        <w:rPr>
          <w:sz w:val="24"/>
        </w:rPr>
        <w:t>Next $25,000</w:t>
      </w:r>
      <w:r>
        <w:rPr>
          <w:sz w:val="24"/>
        </w:rPr>
        <w:tab/>
        <w:t>7.5%</w:t>
      </w:r>
      <w:r>
        <w:rPr>
          <w:sz w:val="24"/>
        </w:rPr>
        <w:tab/>
        <w:t>of purchase payment</w:t>
      </w:r>
    </w:p>
    <w:p w14:paraId="1F45D455" w14:textId="77777777" w:rsidR="000C099C" w:rsidRDefault="000C099C" w:rsidP="00C1728B">
      <w:pPr>
        <w:numPr>
          <w:ilvl w:val="0"/>
          <w:numId w:val="35"/>
        </w:numPr>
        <w:tabs>
          <w:tab w:val="left" w:pos="720"/>
          <w:tab w:val="decimal" w:pos="2700"/>
          <w:tab w:val="left" w:pos="3600"/>
        </w:tabs>
        <w:jc w:val="both"/>
        <w:rPr>
          <w:sz w:val="24"/>
        </w:rPr>
      </w:pPr>
      <w:r>
        <w:rPr>
          <w:sz w:val="24"/>
        </w:rPr>
        <w:t>Over $50,000</w:t>
      </w:r>
      <w:r>
        <w:rPr>
          <w:sz w:val="24"/>
        </w:rPr>
        <w:tab/>
        <w:t>6.5%</w:t>
      </w:r>
      <w:r>
        <w:rPr>
          <w:sz w:val="24"/>
        </w:rPr>
        <w:tab/>
        <w:t>of purchase payment</w:t>
      </w:r>
    </w:p>
    <w:p w14:paraId="54EF7674" w14:textId="77777777" w:rsidR="000C099C" w:rsidRDefault="000C099C" w:rsidP="00C82FF4">
      <w:pPr>
        <w:spacing w:before="60" w:after="60"/>
        <w:ind w:left="270"/>
        <w:jc w:val="both"/>
        <w:rPr>
          <w:sz w:val="24"/>
        </w:rPr>
      </w:pPr>
      <w:r>
        <w:rPr>
          <w:sz w:val="24"/>
        </w:rPr>
        <w:t xml:space="preserve">(3) Under contracts where sales charges and other deductions for purchase payments are not stated separately in the prospectus the total deductions from purchase payments (excluding those for insurance premiums and premium taxes) shall be treated as a sales charge for purposes of this </w:t>
      </w:r>
      <w:r w:rsidR="007270E0">
        <w:rPr>
          <w:sz w:val="24"/>
        </w:rPr>
        <w:t>Rule and</w:t>
      </w:r>
      <w:r>
        <w:rPr>
          <w:sz w:val="24"/>
        </w:rPr>
        <w:t xml:space="preserve"> shall not be deemed to be excessive if they do not exceed the percentage set forth above.</w:t>
      </w:r>
    </w:p>
    <w:p w14:paraId="01A0151D" w14:textId="70FC9346" w:rsidR="000C099C" w:rsidRDefault="000C099C" w:rsidP="00D25B33">
      <w:pPr>
        <w:spacing w:before="60" w:after="60"/>
        <w:ind w:left="270"/>
        <w:jc w:val="both"/>
        <w:rPr>
          <w:sz w:val="24"/>
        </w:rPr>
      </w:pPr>
      <w:r>
        <w:rPr>
          <w:sz w:val="24"/>
        </w:rPr>
        <w:t xml:space="preserve">The Company will not participate in the offering or in the sale of a variable contract on any basis other than at a value to be determined following receipt of payment therefore in accordance with the provisions of the contract, and, if applicable, the prospectus, the Investment Company Act of </w:t>
      </w:r>
      <w:r w:rsidR="00E810C6">
        <w:rPr>
          <w:sz w:val="24"/>
        </w:rPr>
        <w:t>1940,</w:t>
      </w:r>
      <w:r>
        <w:rPr>
          <w:sz w:val="24"/>
        </w:rPr>
        <w:t xml:space="preserve"> and applicable rules thereunder. Payments need not be considered as received until the contract application has been accepted by the insurance company.</w:t>
      </w:r>
    </w:p>
    <w:p w14:paraId="7556AC42" w14:textId="77777777" w:rsidR="000C099C" w:rsidRDefault="000C099C" w:rsidP="00D25B33">
      <w:pPr>
        <w:spacing w:before="60" w:after="60"/>
        <w:ind w:left="270"/>
        <w:jc w:val="both"/>
        <w:rPr>
          <w:sz w:val="24"/>
        </w:rPr>
      </w:pPr>
      <w:r>
        <w:rPr>
          <w:sz w:val="24"/>
        </w:rPr>
        <w:t xml:space="preserve">The Company will not participate in the offering or in the sale of a variable contract unless the insurance company, upon receipt of a request in proper form for partial or total redemption in accordance with the provisions of the contract undertakes to make prompt payment of the amounts requested and payable under the contract in accordance with the terms thereof, and, if </w:t>
      </w:r>
      <w:r>
        <w:rPr>
          <w:sz w:val="24"/>
        </w:rPr>
        <w:lastRenderedPageBreak/>
        <w:t>applicable, the prospectus, the Investment Company Act of 1940 and applicable rules thereunder.</w:t>
      </w:r>
    </w:p>
    <w:p w14:paraId="191B5F0F" w14:textId="77777777" w:rsidR="000C099C" w:rsidRDefault="000C099C" w:rsidP="00D25B33">
      <w:pPr>
        <w:spacing w:before="60" w:after="60"/>
        <w:ind w:left="270"/>
        <w:jc w:val="both"/>
        <w:rPr>
          <w:sz w:val="24"/>
        </w:rPr>
      </w:pPr>
    </w:p>
    <w:p w14:paraId="4A1A83DD" w14:textId="77777777" w:rsidR="000C099C" w:rsidRDefault="00D25B33" w:rsidP="001A7509">
      <w:pPr>
        <w:pStyle w:val="Heading3"/>
      </w:pPr>
      <w:bookmarkStart w:id="278" w:name="_Toc153361432"/>
      <w:bookmarkStart w:id="279" w:name="_Toc153361659"/>
      <w:r>
        <w:t>1</w:t>
      </w:r>
      <w:r w:rsidR="007270E0">
        <w:t>5</w:t>
      </w:r>
      <w:r>
        <w:t xml:space="preserve">.4.4 </w:t>
      </w:r>
      <w:r w:rsidR="000C099C">
        <w:t>Compensation</w:t>
      </w:r>
      <w:bookmarkEnd w:id="278"/>
      <w:bookmarkEnd w:id="279"/>
    </w:p>
    <w:p w14:paraId="76417EB6" w14:textId="77777777" w:rsidR="000C099C" w:rsidRDefault="000C099C" w:rsidP="00D25B33">
      <w:pPr>
        <w:ind w:left="270"/>
        <w:jc w:val="both"/>
        <w:rPr>
          <w:sz w:val="24"/>
        </w:rPr>
      </w:pPr>
      <w:r>
        <w:rPr>
          <w:sz w:val="24"/>
        </w:rPr>
        <w:t>In connection with the sale and distribution of variable contracts:</w:t>
      </w:r>
    </w:p>
    <w:p w14:paraId="49A70C9E" w14:textId="77777777" w:rsidR="000C099C" w:rsidRDefault="000C099C" w:rsidP="001670E4">
      <w:pPr>
        <w:spacing w:before="60" w:after="60"/>
        <w:ind w:left="270"/>
        <w:rPr>
          <w:sz w:val="24"/>
        </w:rPr>
      </w:pPr>
      <w:r>
        <w:rPr>
          <w:sz w:val="24"/>
        </w:rPr>
        <w:t>(1) Except as described below, the Company or any associated person w</w:t>
      </w:r>
      <w:r w:rsidR="003A06AA">
        <w:rPr>
          <w:sz w:val="24"/>
        </w:rPr>
        <w:t xml:space="preserve">ill not accept any compensation </w:t>
      </w:r>
      <w:r>
        <w:rPr>
          <w:sz w:val="24"/>
        </w:rPr>
        <w:t xml:space="preserve">from anyone other than the company.  This requirement will not prohibit </w:t>
      </w:r>
      <w:r w:rsidR="006F453C">
        <w:rPr>
          <w:sz w:val="24"/>
        </w:rPr>
        <w:t xml:space="preserve">arrangements where a </w:t>
      </w:r>
      <w:r>
        <w:rPr>
          <w:sz w:val="24"/>
        </w:rPr>
        <w:t>non-member company pays compensation directly to associated persons, provided that:</w:t>
      </w:r>
    </w:p>
    <w:p w14:paraId="289BF705" w14:textId="77777777" w:rsidR="000C099C" w:rsidRDefault="000C099C">
      <w:pPr>
        <w:spacing w:before="60" w:after="60"/>
        <w:ind w:firstLine="720"/>
        <w:jc w:val="both"/>
        <w:rPr>
          <w:sz w:val="24"/>
        </w:rPr>
      </w:pPr>
      <w:r>
        <w:rPr>
          <w:sz w:val="24"/>
        </w:rPr>
        <w:t xml:space="preserve">(A)  </w:t>
      </w:r>
      <w:r w:rsidR="006F453C">
        <w:rPr>
          <w:sz w:val="24"/>
        </w:rPr>
        <w:t xml:space="preserve"> The</w:t>
      </w:r>
      <w:r>
        <w:rPr>
          <w:sz w:val="24"/>
        </w:rPr>
        <w:t xml:space="preserve"> arrangement is agreed to by the Company;</w:t>
      </w:r>
    </w:p>
    <w:p w14:paraId="02604AB2" w14:textId="77777777" w:rsidR="000C099C" w:rsidRDefault="006F453C">
      <w:pPr>
        <w:spacing w:before="60" w:after="60"/>
        <w:ind w:left="1170" w:hanging="450"/>
        <w:jc w:val="both"/>
        <w:rPr>
          <w:sz w:val="24"/>
        </w:rPr>
      </w:pPr>
      <w:r>
        <w:rPr>
          <w:sz w:val="24"/>
        </w:rPr>
        <w:t>(B) The</w:t>
      </w:r>
      <w:r w:rsidR="000C099C">
        <w:rPr>
          <w:sz w:val="24"/>
        </w:rPr>
        <w:t xml:space="preserve"> Company relies on an appropriate rule, regulation, interpretive release, interpretive letter, or "no-action" letter issued by the Commission that applies to the specific fact situation of the arrangement;</w:t>
      </w:r>
    </w:p>
    <w:p w14:paraId="431E33E7" w14:textId="77777777" w:rsidR="000C099C" w:rsidRDefault="006F453C">
      <w:pPr>
        <w:spacing w:before="60" w:after="60"/>
        <w:ind w:left="1170" w:hanging="450"/>
        <w:jc w:val="both"/>
        <w:rPr>
          <w:sz w:val="24"/>
        </w:rPr>
      </w:pPr>
      <w:r>
        <w:rPr>
          <w:sz w:val="24"/>
        </w:rPr>
        <w:t>(C) The</w:t>
      </w:r>
      <w:r w:rsidR="000C099C">
        <w:rPr>
          <w:sz w:val="24"/>
        </w:rPr>
        <w:t xml:space="preserve"> receipt by associated persons of such compensation is treated as compensation received by the member for purposes of the Rules of the Association; and</w:t>
      </w:r>
    </w:p>
    <w:p w14:paraId="78BA0952" w14:textId="77777777" w:rsidR="000C099C" w:rsidRDefault="000C099C">
      <w:pPr>
        <w:spacing w:before="60" w:after="60"/>
        <w:ind w:firstLine="720"/>
        <w:jc w:val="both"/>
        <w:rPr>
          <w:sz w:val="24"/>
        </w:rPr>
      </w:pPr>
      <w:r>
        <w:rPr>
          <w:sz w:val="24"/>
        </w:rPr>
        <w:t xml:space="preserve">(D)  </w:t>
      </w:r>
      <w:r w:rsidR="006F453C">
        <w:rPr>
          <w:sz w:val="24"/>
        </w:rPr>
        <w:t>The</w:t>
      </w:r>
      <w:r>
        <w:rPr>
          <w:sz w:val="24"/>
        </w:rPr>
        <w:t xml:space="preserve"> record keeping requirement in paragraph (3) is satisfied.</w:t>
      </w:r>
    </w:p>
    <w:p w14:paraId="14048EEB" w14:textId="77777777" w:rsidR="000C099C" w:rsidRDefault="000C099C" w:rsidP="00D25B33">
      <w:pPr>
        <w:spacing w:before="60" w:after="60"/>
        <w:ind w:left="270"/>
        <w:jc w:val="both"/>
        <w:rPr>
          <w:sz w:val="24"/>
        </w:rPr>
      </w:pPr>
      <w:r>
        <w:rPr>
          <w:sz w:val="24"/>
        </w:rPr>
        <w:t>(2) The company or any associated person will not accept any compensation from an offeror which is in the form of securities of any kind.</w:t>
      </w:r>
    </w:p>
    <w:p w14:paraId="0DEB983A" w14:textId="77777777" w:rsidR="000C099C" w:rsidRDefault="000C099C" w:rsidP="00D25B33">
      <w:pPr>
        <w:spacing w:before="60" w:after="60"/>
        <w:ind w:left="270"/>
        <w:jc w:val="both"/>
        <w:rPr>
          <w:sz w:val="24"/>
        </w:rPr>
      </w:pPr>
      <w:r>
        <w:rPr>
          <w:sz w:val="24"/>
        </w:rPr>
        <w:t>(3) Except for items as described in subparagraphs (4)(A) and (B), the Company will maintain records of all compensation received by the Company or its associated persons from offerors. The records shall include the names of the offerors, the names of the associated persons, the amount of cash, the nature and, if known, the value of non-cash compensation received.</w:t>
      </w:r>
    </w:p>
    <w:p w14:paraId="223BAE28" w14:textId="77777777" w:rsidR="000C099C" w:rsidRDefault="000C099C" w:rsidP="00D25B33">
      <w:pPr>
        <w:spacing w:before="60" w:after="60"/>
        <w:ind w:left="270"/>
        <w:jc w:val="both"/>
        <w:rPr>
          <w:sz w:val="24"/>
        </w:rPr>
      </w:pPr>
      <w:r>
        <w:rPr>
          <w:sz w:val="24"/>
        </w:rPr>
        <w:t>(4) The Company or its associated persons will not directly or indirectly accept or make payments or offers of payments of any non-cash compensation, except as provided in this provision. Notwithstanding the provisions of paragraph (h)(1), the following non-cash compensation arrangements are permitted:</w:t>
      </w:r>
    </w:p>
    <w:p w14:paraId="6694FA23" w14:textId="77777777" w:rsidR="000C099C" w:rsidRDefault="000C099C">
      <w:pPr>
        <w:spacing w:before="60" w:after="60"/>
        <w:ind w:left="1170" w:hanging="450"/>
        <w:jc w:val="both"/>
        <w:rPr>
          <w:sz w:val="24"/>
        </w:rPr>
      </w:pPr>
      <w:r>
        <w:rPr>
          <w:sz w:val="24"/>
        </w:rPr>
        <w:t>(A) Gifts that do not exceed an annual amount per person fixed periodically by the Association</w:t>
      </w:r>
      <w:r w:rsidR="003A06AA">
        <w:rPr>
          <w:sz w:val="24"/>
        </w:rPr>
        <w:t xml:space="preserve"> </w:t>
      </w:r>
      <w:r>
        <w:rPr>
          <w:sz w:val="24"/>
        </w:rPr>
        <w:t>and are not preconditioned on achievement of a sales target.</w:t>
      </w:r>
    </w:p>
    <w:p w14:paraId="7C4D0719" w14:textId="77777777" w:rsidR="000C099C" w:rsidRDefault="000C099C">
      <w:pPr>
        <w:spacing w:before="60" w:after="60"/>
        <w:ind w:left="1170" w:hanging="450"/>
        <w:jc w:val="both"/>
        <w:rPr>
          <w:sz w:val="24"/>
        </w:rPr>
      </w:pPr>
      <w:r>
        <w:rPr>
          <w:sz w:val="24"/>
        </w:rPr>
        <w:t>(B) An occasional meal, a ticket to a sporting event or the theater, or comparable entertainment which is neither so frequent nor so extensive as to raise any question of propriety and is not preconditioned on achievement of a sales target.</w:t>
      </w:r>
    </w:p>
    <w:p w14:paraId="321649FC" w14:textId="77777777" w:rsidR="000C099C" w:rsidRDefault="000C099C">
      <w:pPr>
        <w:spacing w:before="60" w:after="60"/>
        <w:ind w:left="1080" w:hanging="360"/>
        <w:jc w:val="both"/>
        <w:rPr>
          <w:sz w:val="24"/>
        </w:rPr>
      </w:pPr>
      <w:r>
        <w:rPr>
          <w:sz w:val="24"/>
        </w:rPr>
        <w:t>(C) Payment or reimbursement by offerors in connection with meetings held by an offeror or by a member for the purpose of training or education of associated persons of a member, provided that:</w:t>
      </w:r>
    </w:p>
    <w:p w14:paraId="1C2124C9" w14:textId="77777777" w:rsidR="000C099C" w:rsidRDefault="000C099C">
      <w:pPr>
        <w:spacing w:before="60" w:after="60"/>
        <w:ind w:left="1440"/>
        <w:jc w:val="both"/>
        <w:rPr>
          <w:sz w:val="24"/>
        </w:rPr>
      </w:pPr>
      <w:r>
        <w:rPr>
          <w:sz w:val="24"/>
        </w:rPr>
        <w:t>(</w:t>
      </w:r>
      <w:proofErr w:type="spellStart"/>
      <w:r>
        <w:rPr>
          <w:sz w:val="24"/>
        </w:rPr>
        <w:t>i</w:t>
      </w:r>
      <w:proofErr w:type="spellEnd"/>
      <w:r>
        <w:rPr>
          <w:sz w:val="24"/>
        </w:rPr>
        <w:t xml:space="preserve">) </w:t>
      </w:r>
      <w:r w:rsidR="00E731A2">
        <w:rPr>
          <w:sz w:val="24"/>
        </w:rPr>
        <w:t>The</w:t>
      </w:r>
      <w:r>
        <w:rPr>
          <w:sz w:val="24"/>
        </w:rPr>
        <w:t xml:space="preserve"> record keeping requirement in paragraph (3) is satisfied;</w:t>
      </w:r>
    </w:p>
    <w:p w14:paraId="3E8CFD80" w14:textId="77777777" w:rsidR="000C099C" w:rsidRDefault="000C099C">
      <w:pPr>
        <w:spacing w:before="60" w:after="60"/>
        <w:ind w:left="1440"/>
        <w:jc w:val="both"/>
        <w:rPr>
          <w:sz w:val="24"/>
        </w:rPr>
      </w:pPr>
      <w:r>
        <w:rPr>
          <w:sz w:val="24"/>
        </w:rPr>
        <w:t>(ii) associated persons obtain the Company’s prior approval to attend the meeting and attendance by a member's associated persons is not preconditioned by the member on the achievement of a sales target or any other incentives pursuant to a non-cash compensation arrangement permitted by paragraph (4)(D);</w:t>
      </w:r>
    </w:p>
    <w:p w14:paraId="41E5E01B" w14:textId="77777777" w:rsidR="000C099C" w:rsidRDefault="000C099C">
      <w:pPr>
        <w:pStyle w:val="BodyText"/>
        <w:spacing w:before="60" w:after="60"/>
        <w:ind w:left="1440"/>
      </w:pPr>
      <w:r>
        <w:t xml:space="preserve">(iii) </w:t>
      </w:r>
      <w:r w:rsidR="00E731A2">
        <w:t>The</w:t>
      </w:r>
      <w:r>
        <w:t xml:space="preserve"> location is appropriate to the purpose of the meeting, which shall mean an office of the offeror or the member, or a facility located in the vicinity of such office, or a regional location with respect to regional meetings; </w:t>
      </w:r>
    </w:p>
    <w:p w14:paraId="2AD34606" w14:textId="77777777" w:rsidR="000C099C" w:rsidRDefault="000C099C">
      <w:pPr>
        <w:spacing w:before="60" w:after="60"/>
        <w:ind w:left="1440"/>
        <w:jc w:val="both"/>
        <w:rPr>
          <w:sz w:val="24"/>
        </w:rPr>
      </w:pPr>
      <w:r>
        <w:rPr>
          <w:sz w:val="24"/>
        </w:rPr>
        <w:t xml:space="preserve">(iv) </w:t>
      </w:r>
      <w:r w:rsidR="00E731A2">
        <w:rPr>
          <w:sz w:val="24"/>
        </w:rPr>
        <w:t>The</w:t>
      </w:r>
      <w:r>
        <w:rPr>
          <w:sz w:val="24"/>
        </w:rPr>
        <w:t xml:space="preserve"> payment or reimbursement is not applied to the expenses of guests of the associated person; and</w:t>
      </w:r>
    </w:p>
    <w:p w14:paraId="06322255" w14:textId="77777777" w:rsidR="000C099C" w:rsidRDefault="000C099C">
      <w:pPr>
        <w:spacing w:before="60" w:after="60"/>
        <w:ind w:left="1440"/>
        <w:jc w:val="both"/>
        <w:rPr>
          <w:sz w:val="24"/>
        </w:rPr>
      </w:pPr>
      <w:r>
        <w:rPr>
          <w:sz w:val="24"/>
        </w:rPr>
        <w:lastRenderedPageBreak/>
        <w:t xml:space="preserve">(v) </w:t>
      </w:r>
      <w:r w:rsidR="00E731A2">
        <w:rPr>
          <w:sz w:val="24"/>
        </w:rPr>
        <w:t>The</w:t>
      </w:r>
      <w:r>
        <w:rPr>
          <w:sz w:val="24"/>
        </w:rPr>
        <w:t xml:space="preserve"> payment or reimbursement by the offeror is not preconditioned by the offeror on the achievement of a sales target or any other non-cash compensation arrangement permitted by paragraph (4)(D).</w:t>
      </w:r>
    </w:p>
    <w:p w14:paraId="4C5BDBAA" w14:textId="77777777" w:rsidR="000C099C" w:rsidRDefault="008B29F1" w:rsidP="008B29F1">
      <w:pPr>
        <w:spacing w:before="60" w:after="60"/>
        <w:ind w:left="1170" w:hanging="450"/>
        <w:jc w:val="both"/>
        <w:rPr>
          <w:sz w:val="24"/>
        </w:rPr>
      </w:pPr>
      <w:r>
        <w:rPr>
          <w:sz w:val="24"/>
        </w:rPr>
        <w:t xml:space="preserve">(D) </w:t>
      </w:r>
      <w:r w:rsidR="000C099C">
        <w:rPr>
          <w:sz w:val="24"/>
        </w:rPr>
        <w:t xml:space="preserve">Non-cash compensation arrangements between the Company and its associated </w:t>
      </w:r>
      <w:r>
        <w:rPr>
          <w:sz w:val="24"/>
        </w:rPr>
        <w:t xml:space="preserve">    </w:t>
      </w:r>
      <w:r w:rsidR="000C099C">
        <w:rPr>
          <w:sz w:val="24"/>
        </w:rPr>
        <w:t>persons or a non-member company and its sales personnel who are associated persons of an affiliated member, provided that:</w:t>
      </w:r>
    </w:p>
    <w:p w14:paraId="7B06D8DA" w14:textId="77777777" w:rsidR="000C099C" w:rsidRDefault="000C099C">
      <w:pPr>
        <w:spacing w:before="60" w:after="60"/>
        <w:ind w:left="1440"/>
        <w:jc w:val="both"/>
        <w:rPr>
          <w:sz w:val="24"/>
        </w:rPr>
      </w:pPr>
      <w:r>
        <w:rPr>
          <w:sz w:val="24"/>
        </w:rPr>
        <w:t>(</w:t>
      </w:r>
      <w:proofErr w:type="spellStart"/>
      <w:r>
        <w:rPr>
          <w:sz w:val="24"/>
        </w:rPr>
        <w:t>i</w:t>
      </w:r>
      <w:proofErr w:type="spellEnd"/>
      <w:r>
        <w:rPr>
          <w:sz w:val="24"/>
        </w:rPr>
        <w:t xml:space="preserve">) </w:t>
      </w:r>
      <w:r w:rsidR="00E731A2">
        <w:rPr>
          <w:sz w:val="24"/>
        </w:rPr>
        <w:t>The</w:t>
      </w:r>
      <w:r>
        <w:rPr>
          <w:sz w:val="24"/>
        </w:rPr>
        <w:t xml:space="preserve"> member's or non-member's non-cash compensation arrangement, if it includes variable contract securities, is based on the total production of associated persons with respect to all variable contract securities distributed by the member;</w:t>
      </w:r>
    </w:p>
    <w:p w14:paraId="50BA2A11" w14:textId="77777777" w:rsidR="000C099C" w:rsidRDefault="000C099C">
      <w:pPr>
        <w:spacing w:before="60" w:after="60"/>
        <w:ind w:left="1440"/>
        <w:jc w:val="both"/>
        <w:rPr>
          <w:sz w:val="24"/>
        </w:rPr>
      </w:pPr>
      <w:r>
        <w:rPr>
          <w:sz w:val="24"/>
        </w:rPr>
        <w:t xml:space="preserve">(ii) </w:t>
      </w:r>
      <w:r w:rsidR="00E731A2">
        <w:rPr>
          <w:sz w:val="24"/>
        </w:rPr>
        <w:t>The</w:t>
      </w:r>
      <w:r>
        <w:rPr>
          <w:sz w:val="24"/>
        </w:rPr>
        <w:t xml:space="preserve"> non-cash compensation arrangement requires that the credit received for each variable contract security is equally weighted;</w:t>
      </w:r>
    </w:p>
    <w:p w14:paraId="10ECA638" w14:textId="77777777" w:rsidR="000C099C" w:rsidRDefault="000C099C">
      <w:pPr>
        <w:spacing w:before="60" w:after="60"/>
        <w:ind w:left="1440"/>
        <w:jc w:val="both"/>
        <w:rPr>
          <w:sz w:val="24"/>
        </w:rPr>
      </w:pPr>
      <w:r>
        <w:rPr>
          <w:sz w:val="24"/>
        </w:rPr>
        <w:t xml:space="preserve">(iii) </w:t>
      </w:r>
      <w:r w:rsidR="00E731A2">
        <w:rPr>
          <w:sz w:val="24"/>
        </w:rPr>
        <w:t>No</w:t>
      </w:r>
      <w:r>
        <w:rPr>
          <w:sz w:val="24"/>
        </w:rPr>
        <w:t xml:space="preserve"> unaffiliated non-member company or other unaffiliated member directly or indirectly participates in the member's or non-member's organization of a permissible non-cash compensation arrangement; and</w:t>
      </w:r>
    </w:p>
    <w:p w14:paraId="61B1763A" w14:textId="77777777" w:rsidR="000C099C" w:rsidRDefault="000C099C">
      <w:pPr>
        <w:spacing w:before="60" w:after="60"/>
        <w:ind w:left="1440"/>
        <w:jc w:val="both"/>
        <w:rPr>
          <w:sz w:val="24"/>
        </w:rPr>
      </w:pPr>
      <w:r>
        <w:rPr>
          <w:sz w:val="24"/>
        </w:rPr>
        <w:t xml:space="preserve">(iv) </w:t>
      </w:r>
      <w:r w:rsidR="00E731A2">
        <w:rPr>
          <w:sz w:val="24"/>
        </w:rPr>
        <w:t>The</w:t>
      </w:r>
      <w:r>
        <w:rPr>
          <w:sz w:val="24"/>
        </w:rPr>
        <w:t xml:space="preserve"> record keeping requirement in paragraph (3) is satisfied.</w:t>
      </w:r>
    </w:p>
    <w:p w14:paraId="70117EA3" w14:textId="77777777" w:rsidR="000C099C" w:rsidRDefault="000C099C">
      <w:pPr>
        <w:tabs>
          <w:tab w:val="left" w:pos="720"/>
        </w:tabs>
        <w:spacing w:before="60" w:after="60"/>
        <w:ind w:left="1260" w:hanging="540"/>
        <w:jc w:val="both"/>
        <w:rPr>
          <w:sz w:val="24"/>
        </w:rPr>
      </w:pPr>
      <w:r>
        <w:rPr>
          <w:sz w:val="24"/>
        </w:rPr>
        <w:t>(E) Contributions by a non-member company or other member to a non-cash compensation arrangement between a member and its associated persons, provided that the arrangement meets the criteria in subparagraph (4)(D).</w:t>
      </w:r>
    </w:p>
    <w:p w14:paraId="6A341ECF" w14:textId="77777777" w:rsidR="009826E9" w:rsidRDefault="009826E9" w:rsidP="009826E9"/>
    <w:p w14:paraId="6C8EE51B" w14:textId="77777777" w:rsidR="000C099C" w:rsidRDefault="00D25B33" w:rsidP="001A7509">
      <w:pPr>
        <w:pStyle w:val="Heading3"/>
      </w:pPr>
      <w:r>
        <w:t>1</w:t>
      </w:r>
      <w:r w:rsidR="007270E0">
        <w:t>5</w:t>
      </w:r>
      <w:r>
        <w:t xml:space="preserve">.4.5 </w:t>
      </w:r>
      <w:r w:rsidR="00B37A45">
        <w:t>Retail Communication</w:t>
      </w:r>
    </w:p>
    <w:p w14:paraId="40F82AF4" w14:textId="77777777" w:rsidR="000C099C" w:rsidRPr="00A867CF" w:rsidRDefault="00B37A45" w:rsidP="00D25B33">
      <w:pPr>
        <w:ind w:left="270"/>
        <w:jc w:val="both"/>
        <w:rPr>
          <w:sz w:val="24"/>
        </w:rPr>
      </w:pPr>
      <w:r w:rsidRPr="00A867CF">
        <w:rPr>
          <w:sz w:val="24"/>
        </w:rPr>
        <w:t>Retail communication</w:t>
      </w:r>
      <w:r w:rsidR="000C099C" w:rsidRPr="00A867CF">
        <w:rPr>
          <w:sz w:val="24"/>
        </w:rPr>
        <w:t xml:space="preserve"> of variable products must provide a level of disclosure sufficient to allow the customer to make a fair and informed investment decision.</w:t>
      </w:r>
    </w:p>
    <w:p w14:paraId="0B94AD15" w14:textId="77777777" w:rsidR="000C099C" w:rsidRPr="00A867CF" w:rsidRDefault="000C099C" w:rsidP="00D25B33">
      <w:pPr>
        <w:ind w:left="270"/>
        <w:jc w:val="both"/>
        <w:rPr>
          <w:sz w:val="24"/>
        </w:rPr>
      </w:pPr>
    </w:p>
    <w:p w14:paraId="61C0BB52" w14:textId="77777777" w:rsidR="000C099C" w:rsidRDefault="000C099C" w:rsidP="00D25B33">
      <w:pPr>
        <w:ind w:left="270"/>
        <w:jc w:val="both"/>
        <w:rPr>
          <w:sz w:val="24"/>
        </w:rPr>
      </w:pPr>
      <w:r w:rsidRPr="00A867CF">
        <w:rPr>
          <w:sz w:val="24"/>
        </w:rPr>
        <w:t xml:space="preserve">All </w:t>
      </w:r>
      <w:r w:rsidR="00B37A45" w:rsidRPr="00A867CF">
        <w:rPr>
          <w:sz w:val="24"/>
        </w:rPr>
        <w:t>retail communication</w:t>
      </w:r>
      <w:r w:rsidRPr="00A867CF">
        <w:rPr>
          <w:sz w:val="24"/>
        </w:rPr>
        <w:t xml:space="preserve"> </w:t>
      </w:r>
      <w:r>
        <w:rPr>
          <w:sz w:val="24"/>
        </w:rPr>
        <w:t xml:space="preserve">concerning variable contracts shall be filed with the </w:t>
      </w:r>
      <w:r w:rsidRPr="0035367E">
        <w:rPr>
          <w:sz w:val="24"/>
        </w:rPr>
        <w:t>FINRA Advertising Depa</w:t>
      </w:r>
      <w:bookmarkStart w:id="280" w:name="_Hlt32304745"/>
      <w:bookmarkEnd w:id="280"/>
      <w:r w:rsidRPr="0035367E">
        <w:rPr>
          <w:sz w:val="24"/>
        </w:rPr>
        <w:t>rtment within 10 days after its first use or publication; however, such material shall be filed in advance of use whenever feasible. If any such material incorporates the use of rankings, it shall be filed with the FINRA at least 10 days prior to its initial use.  Morris Monroe</w:t>
      </w:r>
      <w:r>
        <w:rPr>
          <w:sz w:val="24"/>
        </w:rPr>
        <w:t xml:space="preserve"> or his designee will indicate his approval of the </w:t>
      </w:r>
      <w:r w:rsidR="00B37A45">
        <w:rPr>
          <w:sz w:val="24"/>
        </w:rPr>
        <w:t>material</w:t>
      </w:r>
      <w:r>
        <w:rPr>
          <w:sz w:val="24"/>
        </w:rPr>
        <w:t xml:space="preserve"> by initialing the document and placing it in the advertising folder.</w:t>
      </w:r>
    </w:p>
    <w:p w14:paraId="39DF1793" w14:textId="77777777" w:rsidR="000C099C" w:rsidRDefault="000C099C" w:rsidP="00D25B33">
      <w:pPr>
        <w:pStyle w:val="BodyText"/>
        <w:spacing w:before="0" w:after="0"/>
        <w:ind w:left="270"/>
      </w:pPr>
    </w:p>
    <w:p w14:paraId="3E9833A0" w14:textId="77777777" w:rsidR="000C099C" w:rsidRDefault="000C099C" w:rsidP="00D25B33">
      <w:pPr>
        <w:pStyle w:val="BodyText"/>
        <w:spacing w:before="60" w:after="60"/>
        <w:ind w:left="270"/>
      </w:pPr>
      <w:r>
        <w:t>In light of the complexities and unique nature of variable products, it is essential that potential investors understand what they are being offered. Consequently, the Guidelines require that communications concerning variable products must clearly identify the product. Where product type is identified in a proprietary name, it is not necessary to include a generalized statement identifying product type. In order to prevent confusion in variable product sales material, no statement or presentation may indicate or imply that the product offered or its underlying account is a mutual fund. Although variable product separate accounts may ultimately be invested in mutual funds, there are significant material differences between a variable product investment and a direct mutual fund investment.</w:t>
      </w:r>
    </w:p>
    <w:p w14:paraId="70015711" w14:textId="77777777" w:rsidR="000C099C" w:rsidRDefault="000C099C" w:rsidP="00D25B33">
      <w:pPr>
        <w:spacing w:before="60" w:after="60"/>
        <w:ind w:left="270"/>
        <w:jc w:val="both"/>
        <w:rPr>
          <w:sz w:val="24"/>
        </w:rPr>
      </w:pPr>
      <w:r>
        <w:rPr>
          <w:sz w:val="24"/>
        </w:rPr>
        <w:t>As products with potentially substantial tax penalties and charges for early withdrawal, variable products must not be presented by members as short-term, liquid investments. Any discussions or presentations concerning liquidity or accessibility to investment values must be balanced by disclosure of the impact of early withdrawal, such as sales loads, tax penalties, and potential loss of principal. Additionally, regarding the liquidity of variable life insurance products, a balanced presentation requires a discussion of the impact of loans and withdrawals on cash values and death benefits.</w:t>
      </w:r>
    </w:p>
    <w:p w14:paraId="7E760E20" w14:textId="77777777" w:rsidR="000C099C" w:rsidRDefault="000C099C" w:rsidP="00D25B33">
      <w:pPr>
        <w:spacing w:before="60" w:after="60"/>
        <w:ind w:left="270"/>
        <w:jc w:val="both"/>
        <w:rPr>
          <w:sz w:val="24"/>
        </w:rPr>
      </w:pPr>
      <w:r>
        <w:rPr>
          <w:sz w:val="24"/>
        </w:rPr>
        <w:lastRenderedPageBreak/>
        <w:t>Guarantees by insurance companies, such as a minimum death benefit, a schedule of annuity payments, or a fixed return on the investment account, all depend on the claims-paying ability of the issuing insurance company, and thus must not be exaggerated. The company is prohibited from representing or implying that the investment return or principal value of the separate investment account is guaranteed, or that an insurance company’s financial ratings apply to the separate account.</w:t>
      </w:r>
    </w:p>
    <w:p w14:paraId="1208D1A5" w14:textId="77777777" w:rsidR="000C099C" w:rsidRDefault="000C099C" w:rsidP="00D25B33">
      <w:pPr>
        <w:spacing w:before="60" w:after="60"/>
        <w:ind w:left="270"/>
        <w:jc w:val="both"/>
        <w:rPr>
          <w:sz w:val="24"/>
        </w:rPr>
      </w:pPr>
      <w:r>
        <w:rPr>
          <w:sz w:val="24"/>
        </w:rPr>
        <w:t xml:space="preserve">Pursuant to amendments made to the </w:t>
      </w:r>
      <w:r w:rsidRPr="0035367E">
        <w:rPr>
          <w:sz w:val="24"/>
        </w:rPr>
        <w:t>FINRA</w:t>
      </w:r>
      <w:r>
        <w:rPr>
          <w:sz w:val="24"/>
        </w:rPr>
        <w:t xml:space="preserve"> Rules regarding Group Variable </w:t>
      </w:r>
      <w:r w:rsidR="00E731A2">
        <w:rPr>
          <w:sz w:val="24"/>
        </w:rPr>
        <w:t>Contracts (</w:t>
      </w:r>
      <w:r>
        <w:rPr>
          <w:sz w:val="24"/>
        </w:rPr>
        <w:t xml:space="preserve">GVCs) in August 1996, all sales of GVCs must be submitted through the Company and presented for approval by the assigned principal.  The new account form must be completed prior to sale as evidence of suitability review and approval.   Any sales made prior to August 1996 are exempt from this requirement. </w:t>
      </w:r>
    </w:p>
    <w:p w14:paraId="775F6FB2" w14:textId="77777777" w:rsidR="000C099C" w:rsidRDefault="000C099C" w:rsidP="00D25B33">
      <w:bookmarkStart w:id="281" w:name="_Toc9403826"/>
      <w:bookmarkStart w:id="282" w:name="_Toc98821306"/>
      <w:bookmarkStart w:id="283" w:name="_Toc149007243"/>
    </w:p>
    <w:p w14:paraId="234CE7D1" w14:textId="77777777" w:rsidR="00553479" w:rsidRDefault="00553479" w:rsidP="00553479">
      <w:pPr>
        <w:autoSpaceDE w:val="0"/>
        <w:autoSpaceDN w:val="0"/>
        <w:adjustRightInd w:val="0"/>
        <w:ind w:left="270"/>
        <w:jc w:val="both"/>
        <w:rPr>
          <w:b/>
          <w:bCs/>
          <w:iCs/>
          <w:sz w:val="24"/>
        </w:rPr>
      </w:pPr>
      <w:r>
        <w:rPr>
          <w:b/>
          <w:bCs/>
          <w:iCs/>
          <w:sz w:val="24"/>
        </w:rPr>
        <w:t>Fund Performance</w:t>
      </w:r>
    </w:p>
    <w:p w14:paraId="586602FC" w14:textId="77777777" w:rsidR="00553479" w:rsidRDefault="00553479" w:rsidP="00553479">
      <w:pPr>
        <w:autoSpaceDE w:val="0"/>
        <w:autoSpaceDN w:val="0"/>
        <w:adjustRightInd w:val="0"/>
        <w:ind w:left="270"/>
        <w:jc w:val="both"/>
        <w:rPr>
          <w:sz w:val="24"/>
        </w:rPr>
      </w:pPr>
      <w:r>
        <w:rPr>
          <w:sz w:val="24"/>
        </w:rPr>
        <w:t xml:space="preserve">In order to show how an existing fund would have performed, had it been an investment option in a variable life insurance policy or variable annuity, communications may contain the fund’s historical performance that predates its inclusion in the policy or annuity.  Such performance may only be used provided that no significant changes occurred to the fund at the time or after it became part of the variable product.  However, communications may not include the performance of an existing fund for the purposes of promoting investing in a similar investment option available in a variable contract.  The presentation of historical performance and future projections must conform to all </w:t>
      </w:r>
      <w:r w:rsidRPr="0035367E">
        <w:rPr>
          <w:sz w:val="24"/>
        </w:rPr>
        <w:t>FINRA</w:t>
      </w:r>
      <w:r>
        <w:rPr>
          <w:sz w:val="24"/>
        </w:rPr>
        <w:t xml:space="preserve"> and SEC standards and specifically with Rule 2210(d) and IM-2210-2.  Attention must be given to including all elements of return and deducting applicable charges and expenses.  </w:t>
      </w:r>
    </w:p>
    <w:p w14:paraId="5C8D5104" w14:textId="77777777" w:rsidR="00553479" w:rsidRPr="00D25B33" w:rsidRDefault="00553479" w:rsidP="00D25B33"/>
    <w:p w14:paraId="3469EDA1" w14:textId="77777777" w:rsidR="000C099C" w:rsidRDefault="00D25B33" w:rsidP="001A7509">
      <w:pPr>
        <w:pStyle w:val="Heading3"/>
      </w:pPr>
      <w:r>
        <w:t>1</w:t>
      </w:r>
      <w:r w:rsidR="007270E0">
        <w:t>5</w:t>
      </w:r>
      <w:r>
        <w:t xml:space="preserve">.4.6 </w:t>
      </w:r>
      <w:r w:rsidR="000C099C">
        <w:t>1035 Exchanges</w:t>
      </w:r>
      <w:bookmarkEnd w:id="281"/>
      <w:bookmarkEnd w:id="282"/>
      <w:bookmarkEnd w:id="283"/>
      <w:r w:rsidR="00847FC7">
        <w:t>/ Replacements</w:t>
      </w:r>
    </w:p>
    <w:p w14:paraId="5ECE17E5" w14:textId="77777777" w:rsidR="000C099C" w:rsidRDefault="000C099C" w:rsidP="00D25B33">
      <w:pPr>
        <w:pStyle w:val="BodyText2"/>
        <w:widowControl/>
        <w:ind w:left="270"/>
        <w:jc w:val="both"/>
        <w:rPr>
          <w:szCs w:val="24"/>
        </w:rPr>
      </w:pPr>
      <w:r>
        <w:rPr>
          <w:szCs w:val="24"/>
        </w:rPr>
        <w:t xml:space="preserve">1035 exchanges are permitted under the Internal Revenue Code that permits a contract owner to exchange a variable annuity contract without paying tax on the income and investment gains on the original contract.  All 1035 exchanges will require completion of the “Replacement Information” section of the Variable Insurance Product Questionnaire or a comparable form provided by the </w:t>
      </w:r>
      <w:r w:rsidR="006A37CE">
        <w:rPr>
          <w:szCs w:val="24"/>
        </w:rPr>
        <w:t>i</w:t>
      </w:r>
      <w:r>
        <w:rPr>
          <w:szCs w:val="24"/>
        </w:rPr>
        <w:t xml:space="preserve">nsurance company.  </w:t>
      </w:r>
      <w:bookmarkStart w:id="284" w:name="_Hlk253387072"/>
      <w:r w:rsidR="00847FC7" w:rsidRPr="007A1667">
        <w:t>Exchanges must be suitable with particular concerns for senior (65+) investors regarding investment objectives and the costs of making the exchange which must be justified in account or order records</w:t>
      </w:r>
      <w:r w:rsidR="00847FC7" w:rsidRPr="00847FC7">
        <w:rPr>
          <w:color w:val="FF0000"/>
        </w:rPr>
        <w:t>.</w:t>
      </w:r>
      <w:r w:rsidR="00847FC7">
        <w:rPr>
          <w:szCs w:val="24"/>
        </w:rPr>
        <w:t xml:space="preserve"> </w:t>
      </w:r>
      <w:r w:rsidR="00BC4ACC">
        <w:rPr>
          <w:szCs w:val="24"/>
        </w:rPr>
        <w:t>Subsequently, the principal will review all relevant factors to determine if such exchange is in the best interest of the customer.  Any rejections will be marked on Company’s Insurance Products Disclosure document and the reason(s).  Orders are reviewed also by Compliance.  At a minimum, exchanges will be reviewed annually or sooner if required.  Any inappropriate number of exchanges will be further reviewed by Morris Monroe who will determine what course of action to take.  Any such actions will be documented in the Associated Person records (may be in WinOps)</w:t>
      </w:r>
    </w:p>
    <w:bookmarkEnd w:id="284"/>
    <w:p w14:paraId="2377A74D" w14:textId="77777777" w:rsidR="000C099C" w:rsidRDefault="000C099C">
      <w:pPr>
        <w:pStyle w:val="BodyText2"/>
        <w:widowControl/>
        <w:jc w:val="both"/>
        <w:rPr>
          <w:szCs w:val="24"/>
        </w:rPr>
      </w:pPr>
    </w:p>
    <w:p w14:paraId="4059F928" w14:textId="77777777" w:rsidR="000C099C" w:rsidRDefault="00D25B33" w:rsidP="001A7509">
      <w:pPr>
        <w:pStyle w:val="Heading3"/>
      </w:pPr>
      <w:bookmarkStart w:id="285" w:name="_Toc98821308"/>
      <w:bookmarkStart w:id="286" w:name="_Toc149007244"/>
      <w:r>
        <w:t>1</w:t>
      </w:r>
      <w:r w:rsidR="007270E0">
        <w:t>5</w:t>
      </w:r>
      <w:r>
        <w:t xml:space="preserve">.4.7 </w:t>
      </w:r>
      <w:r w:rsidR="000C099C">
        <w:t>Tax Implications of Variable Products</w:t>
      </w:r>
      <w:bookmarkEnd w:id="285"/>
      <w:bookmarkEnd w:id="286"/>
    </w:p>
    <w:p w14:paraId="56B8589C" w14:textId="77777777" w:rsidR="000C099C" w:rsidRDefault="000C099C" w:rsidP="00D25B33">
      <w:pPr>
        <w:tabs>
          <w:tab w:val="left" w:pos="900"/>
          <w:tab w:val="left" w:pos="1980"/>
        </w:tabs>
        <w:ind w:left="270"/>
        <w:jc w:val="both"/>
        <w:rPr>
          <w:sz w:val="24"/>
        </w:rPr>
      </w:pPr>
      <w:r>
        <w:rPr>
          <w:sz w:val="24"/>
        </w:rPr>
        <w:t>Customers should be notified of the tax disadvantages of variable products such as tax on any increase in value at ordinary income rates upon distribution, and inclusion of the entire value of the annuity in calculation of the estate tax, and estate tax consequences of naming the insured as the owner of a variable life policy.</w:t>
      </w:r>
    </w:p>
    <w:p w14:paraId="792C33C8" w14:textId="77777777" w:rsidR="000C099C" w:rsidRDefault="000C099C" w:rsidP="00D25B33">
      <w:pPr>
        <w:tabs>
          <w:tab w:val="left" w:pos="900"/>
          <w:tab w:val="left" w:pos="1980"/>
        </w:tabs>
        <w:ind w:left="270"/>
        <w:jc w:val="both"/>
        <w:rPr>
          <w:sz w:val="24"/>
        </w:rPr>
      </w:pPr>
    </w:p>
    <w:p w14:paraId="2FCB7B11" w14:textId="77777777" w:rsidR="000C099C" w:rsidRDefault="000C099C" w:rsidP="00D25B33">
      <w:pPr>
        <w:autoSpaceDE w:val="0"/>
        <w:autoSpaceDN w:val="0"/>
        <w:adjustRightInd w:val="0"/>
        <w:ind w:left="270"/>
        <w:jc w:val="both"/>
        <w:rPr>
          <w:sz w:val="24"/>
        </w:rPr>
      </w:pPr>
      <w:r>
        <w:rPr>
          <w:sz w:val="24"/>
        </w:rPr>
        <w:t>When a registered representative recommends the purchase of a variable annuity for any tax-qualified retirement account (</w:t>
      </w:r>
      <w:r>
        <w:rPr>
          <w:i/>
          <w:sz w:val="24"/>
        </w:rPr>
        <w:t xml:space="preserve">e.g., </w:t>
      </w:r>
      <w:r>
        <w:rPr>
          <w:sz w:val="24"/>
        </w:rPr>
        <w:t xml:space="preserve">401(k) plan, IRA), the registered representative will disclose to the customer that the tax deferred accrual feature is provided by the tax-qualified retirement plan and that the tax deferred accrual feature of the variable annuity is unnecessary. The </w:t>
      </w:r>
      <w:r>
        <w:rPr>
          <w:sz w:val="24"/>
        </w:rPr>
        <w:lastRenderedPageBreak/>
        <w:t xml:space="preserve">registered representative should recommend a variable annuity only when its other benefits, such as lifetime income payments, family protection through the death benefit, and guaranteed fees, support the recommendation.  The Designated Principal will conduct a comprehensive suitability analysis prior to approving the sale of a variable annuity with surrender charges to a customer in a tax-qualified account subject to plan minimum distribution requirements.  All applications and Variable Insurance disclosures will be maintained </w:t>
      </w:r>
      <w:r w:rsidR="00E052CC">
        <w:rPr>
          <w:sz w:val="24"/>
        </w:rPr>
        <w:t>with t</w:t>
      </w:r>
      <w:r>
        <w:rPr>
          <w:sz w:val="24"/>
        </w:rPr>
        <w:t xml:space="preserve">he customer account </w:t>
      </w:r>
      <w:r w:rsidR="00E052CC">
        <w:rPr>
          <w:sz w:val="24"/>
        </w:rPr>
        <w:t>information</w:t>
      </w:r>
      <w:r>
        <w:rPr>
          <w:sz w:val="24"/>
        </w:rPr>
        <w:t xml:space="preserve"> for at least three years and in a readily accessible place for at least two years.  </w:t>
      </w:r>
    </w:p>
    <w:p w14:paraId="2C3CF4F2" w14:textId="77777777" w:rsidR="000C099C" w:rsidRDefault="000C099C">
      <w:pPr>
        <w:pStyle w:val="MRS"/>
      </w:pPr>
    </w:p>
    <w:p w14:paraId="398DC37A" w14:textId="77777777" w:rsidR="000C099C" w:rsidRDefault="0010141E" w:rsidP="001A7509">
      <w:pPr>
        <w:pStyle w:val="Heading3"/>
      </w:pPr>
      <w:bookmarkStart w:id="287" w:name="_Toc15715675"/>
      <w:bookmarkStart w:id="288" w:name="_Toc15716020"/>
      <w:bookmarkStart w:id="289" w:name="_Toc30401869"/>
      <w:bookmarkStart w:id="290" w:name="_Toc34115876"/>
      <w:bookmarkStart w:id="291" w:name="_Toc98821310"/>
      <w:bookmarkStart w:id="292" w:name="_Toc149007246"/>
      <w:r>
        <w:t>1</w:t>
      </w:r>
      <w:r w:rsidR="007270E0">
        <w:t>5</w:t>
      </w:r>
      <w:r>
        <w:t xml:space="preserve">.4.8 </w:t>
      </w:r>
      <w:r w:rsidR="000C099C">
        <w:t>Delivery of Variable Contracts</w:t>
      </w:r>
      <w:bookmarkEnd w:id="287"/>
      <w:bookmarkEnd w:id="288"/>
      <w:bookmarkEnd w:id="289"/>
      <w:bookmarkEnd w:id="290"/>
      <w:bookmarkEnd w:id="291"/>
      <w:bookmarkEnd w:id="292"/>
    </w:p>
    <w:p w14:paraId="0E90F7D0" w14:textId="77777777" w:rsidR="000C099C" w:rsidRPr="0035367E" w:rsidRDefault="000C099C" w:rsidP="00E542F7">
      <w:pPr>
        <w:autoSpaceDE w:val="0"/>
        <w:autoSpaceDN w:val="0"/>
        <w:adjustRightInd w:val="0"/>
        <w:ind w:left="270"/>
        <w:jc w:val="both"/>
        <w:rPr>
          <w:sz w:val="24"/>
        </w:rPr>
      </w:pPr>
      <w:r>
        <w:rPr>
          <w:sz w:val="24"/>
        </w:rPr>
        <w:t xml:space="preserve">Variable Annuity Contracts will be forwarded to the customer via overnight mail </w:t>
      </w:r>
      <w:r w:rsidRPr="0035367E">
        <w:rPr>
          <w:sz w:val="24"/>
        </w:rPr>
        <w:t>and the date and description logged into WinOps Sent Log.</w:t>
      </w:r>
    </w:p>
    <w:p w14:paraId="6A7FADE4" w14:textId="77777777" w:rsidR="000C099C" w:rsidRPr="0035367E" w:rsidRDefault="000C099C" w:rsidP="00E542F7">
      <w:pPr>
        <w:pStyle w:val="MRS"/>
        <w:ind w:left="270"/>
        <w:rPr>
          <w:i/>
          <w:szCs w:val="24"/>
        </w:rPr>
      </w:pPr>
      <w:bookmarkStart w:id="293" w:name="_Toc98821311"/>
    </w:p>
    <w:p w14:paraId="3F3F0109" w14:textId="77777777" w:rsidR="000C099C" w:rsidRDefault="0010141E" w:rsidP="001A7509">
      <w:pPr>
        <w:pStyle w:val="Heading3"/>
      </w:pPr>
      <w:bookmarkStart w:id="294" w:name="_Toc149007247"/>
      <w:r>
        <w:t>1</w:t>
      </w:r>
      <w:r w:rsidR="007270E0">
        <w:t>5</w:t>
      </w:r>
      <w:r>
        <w:t xml:space="preserve">.4.9 </w:t>
      </w:r>
      <w:r w:rsidR="000C099C">
        <w:t>Forwarding of Applications and Payments</w:t>
      </w:r>
      <w:bookmarkEnd w:id="293"/>
      <w:bookmarkEnd w:id="294"/>
    </w:p>
    <w:p w14:paraId="6F177DC0" w14:textId="77777777" w:rsidR="000C099C" w:rsidRDefault="000C099C" w:rsidP="00E542F7">
      <w:pPr>
        <w:autoSpaceDE w:val="0"/>
        <w:autoSpaceDN w:val="0"/>
        <w:adjustRightInd w:val="0"/>
        <w:ind w:left="270"/>
        <w:jc w:val="both"/>
        <w:rPr>
          <w:sz w:val="24"/>
        </w:rPr>
      </w:pPr>
      <w:r>
        <w:rPr>
          <w:sz w:val="24"/>
        </w:rPr>
        <w:t xml:space="preserve">Applications and/or purchase payments and at least that portion of the purchase payment required to be credited to the contract for variable contracts shall be transmitted promptly to the issuer. The date the application and/or purchase payment is received will be logged on the blotter along with the date forwarded to the insurance company. </w:t>
      </w:r>
    </w:p>
    <w:p w14:paraId="73401387" w14:textId="77777777" w:rsidR="000C099C" w:rsidRDefault="000C099C" w:rsidP="00E542F7">
      <w:pPr>
        <w:ind w:left="270"/>
        <w:jc w:val="both"/>
        <w:rPr>
          <w:sz w:val="24"/>
        </w:rPr>
      </w:pPr>
    </w:p>
    <w:p w14:paraId="7C3A07B8" w14:textId="77777777" w:rsidR="000C099C" w:rsidRDefault="00553479" w:rsidP="00D34986">
      <w:pPr>
        <w:pStyle w:val="Heading3"/>
      </w:pPr>
      <w:bookmarkStart w:id="295" w:name="_Toc98821313"/>
      <w:bookmarkStart w:id="296" w:name="_Toc149007249"/>
      <w:r>
        <w:t>1</w:t>
      </w:r>
      <w:r w:rsidR="007270E0">
        <w:t>5</w:t>
      </w:r>
      <w:r>
        <w:t xml:space="preserve">.4.10 </w:t>
      </w:r>
      <w:r w:rsidR="000C099C">
        <w:t>Variable Product Financing</w:t>
      </w:r>
      <w:bookmarkEnd w:id="295"/>
      <w:bookmarkEnd w:id="296"/>
    </w:p>
    <w:p w14:paraId="59470A6A" w14:textId="77777777" w:rsidR="000C099C" w:rsidRDefault="000C099C" w:rsidP="00E542F7">
      <w:pPr>
        <w:autoSpaceDE w:val="0"/>
        <w:autoSpaceDN w:val="0"/>
        <w:adjustRightInd w:val="0"/>
        <w:ind w:left="270"/>
        <w:jc w:val="both"/>
        <w:rPr>
          <w:sz w:val="24"/>
        </w:rPr>
      </w:pPr>
      <w:r>
        <w:rPr>
          <w:sz w:val="24"/>
        </w:rPr>
        <w:t xml:space="preserve">Should a customer decide to finance a variable product he/she should be informed; that borrowing against cash value in an existing annuity will deplete the cash value and that there is an interest rate risk associated with any variable rate loan. Registered representatives are not permitted to recommend that a customer mortgage their home or utilize home equity to finance the purchase of a variable annuity.  The Designated Principal must approve any financing prior to the financing of any variable contract. </w:t>
      </w:r>
    </w:p>
    <w:p w14:paraId="156765FE" w14:textId="77777777" w:rsidR="000C099C" w:rsidRDefault="000C099C" w:rsidP="00E542F7">
      <w:pPr>
        <w:pStyle w:val="MRS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s>
        <w:autoSpaceDE w:val="0"/>
        <w:autoSpaceDN w:val="0"/>
        <w:adjustRightInd w:val="0"/>
        <w:spacing w:line="240" w:lineRule="auto"/>
        <w:ind w:left="270"/>
        <w:rPr>
          <w:szCs w:val="24"/>
        </w:rPr>
      </w:pPr>
    </w:p>
    <w:p w14:paraId="3AC080D0" w14:textId="77777777" w:rsidR="000C099C" w:rsidRDefault="00E542F7" w:rsidP="001A7509">
      <w:pPr>
        <w:pStyle w:val="Heading3"/>
      </w:pPr>
      <w:bookmarkStart w:id="297" w:name="_Toc98821315"/>
      <w:bookmarkStart w:id="298" w:name="_Toc149007251"/>
      <w:r>
        <w:t>1</w:t>
      </w:r>
      <w:r w:rsidR="007270E0">
        <w:t>5</w:t>
      </w:r>
      <w:r>
        <w:t xml:space="preserve">.4.11 </w:t>
      </w:r>
      <w:r w:rsidR="000C099C">
        <w:t>Twisting</w:t>
      </w:r>
      <w:bookmarkEnd w:id="297"/>
      <w:bookmarkEnd w:id="298"/>
    </w:p>
    <w:p w14:paraId="061A869B" w14:textId="77777777" w:rsidR="000C099C" w:rsidRDefault="000C099C" w:rsidP="00E542F7">
      <w:pPr>
        <w:autoSpaceDE w:val="0"/>
        <w:autoSpaceDN w:val="0"/>
        <w:adjustRightInd w:val="0"/>
        <w:ind w:left="270"/>
        <w:jc w:val="both"/>
        <w:rPr>
          <w:sz w:val="24"/>
        </w:rPr>
      </w:pPr>
      <w:r>
        <w:rPr>
          <w:sz w:val="24"/>
        </w:rPr>
        <w:t>“Twisting”, which refers to executing trades in a client's account for the primary purpose of generating fees, is forbidden by the Company.</w:t>
      </w:r>
    </w:p>
    <w:p w14:paraId="42AA9005" w14:textId="77777777" w:rsidR="00852CA5" w:rsidRDefault="00852CA5" w:rsidP="00E542F7">
      <w:pPr>
        <w:autoSpaceDE w:val="0"/>
        <w:autoSpaceDN w:val="0"/>
        <w:adjustRightInd w:val="0"/>
        <w:ind w:left="270"/>
        <w:jc w:val="both"/>
        <w:rPr>
          <w:sz w:val="24"/>
        </w:rPr>
      </w:pPr>
    </w:p>
    <w:p w14:paraId="2463F3FF" w14:textId="77777777" w:rsidR="00852CA5" w:rsidRDefault="00852CA5" w:rsidP="00852CA5">
      <w:pPr>
        <w:pStyle w:val="Heading3"/>
      </w:pPr>
      <w:r>
        <w:t>1</w:t>
      </w:r>
      <w:r w:rsidR="007270E0">
        <w:t>5</w:t>
      </w:r>
      <w:r>
        <w:t>.4.12 Market Timing</w:t>
      </w:r>
    </w:p>
    <w:p w14:paraId="299451DC" w14:textId="77777777" w:rsidR="000C099C" w:rsidRPr="00E503D6" w:rsidRDefault="00852CA5" w:rsidP="00E542F7">
      <w:pPr>
        <w:pStyle w:val="MRS"/>
        <w:ind w:left="270"/>
        <w:rPr>
          <w:b/>
          <w:szCs w:val="24"/>
        </w:rPr>
      </w:pPr>
      <w:r w:rsidRPr="00E503D6">
        <w:rPr>
          <w:szCs w:val="24"/>
        </w:rPr>
        <w:t>Associated Persons may not facilitate or permit customer engagement in market timing in sub-accounts.  Market timing is rapid and repetitive in-and-out trading to take advantage of market movements.  Variable annuities are intended for longer-term investing and most (if not all) insurance companies do not permit market timing of investments in sub-accounts.</w:t>
      </w:r>
      <w:r w:rsidR="008D75A0" w:rsidRPr="00E503D6">
        <w:rPr>
          <w:szCs w:val="24"/>
        </w:rPr>
        <w:t xml:space="preserve">  </w:t>
      </w:r>
      <w:r w:rsidR="008D75A0" w:rsidRPr="00E503D6">
        <w:rPr>
          <w:b/>
          <w:szCs w:val="24"/>
        </w:rPr>
        <w:t>Engaging in market timing or knowingly aiding someone in that activity is strictly prohibited.</w:t>
      </w:r>
    </w:p>
    <w:p w14:paraId="3A151EB1" w14:textId="77777777" w:rsidR="00852CA5" w:rsidRPr="00E503D6" w:rsidRDefault="00852CA5" w:rsidP="00E542F7">
      <w:pPr>
        <w:pStyle w:val="MRS"/>
        <w:ind w:left="270"/>
        <w:rPr>
          <w:szCs w:val="24"/>
        </w:rPr>
      </w:pPr>
    </w:p>
    <w:p w14:paraId="574747DD" w14:textId="77777777" w:rsidR="000C099C" w:rsidRDefault="00E542F7" w:rsidP="001A7509">
      <w:pPr>
        <w:pStyle w:val="Heading3"/>
      </w:pPr>
      <w:bookmarkStart w:id="299" w:name="_Toc98821316"/>
      <w:bookmarkStart w:id="300" w:name="_Toc149007252"/>
      <w:r>
        <w:t>1</w:t>
      </w:r>
      <w:r w:rsidR="007270E0">
        <w:t>5</w:t>
      </w:r>
      <w:r>
        <w:t>.4.1</w:t>
      </w:r>
      <w:r w:rsidR="00852CA5">
        <w:t>3</w:t>
      </w:r>
      <w:r>
        <w:t xml:space="preserve"> </w:t>
      </w:r>
      <w:r w:rsidR="000C099C">
        <w:t>Redemption Procedures</w:t>
      </w:r>
      <w:bookmarkEnd w:id="299"/>
      <w:bookmarkEnd w:id="300"/>
    </w:p>
    <w:p w14:paraId="649CC1C6" w14:textId="77777777" w:rsidR="000C099C" w:rsidRDefault="000C099C" w:rsidP="00E542F7">
      <w:pPr>
        <w:autoSpaceDE w:val="0"/>
        <w:autoSpaceDN w:val="0"/>
        <w:adjustRightInd w:val="0"/>
        <w:ind w:left="270"/>
        <w:jc w:val="both"/>
        <w:rPr>
          <w:sz w:val="24"/>
        </w:rPr>
      </w:pPr>
      <w:r>
        <w:rPr>
          <w:sz w:val="24"/>
        </w:rPr>
        <w:t>Clients must be made aware that variable annuities are long-term investments and that getting out early can mean taking a loss.  Many variable annuities assess surrender charges for withdrawals within a specified period, which can be as long as six to eight years.  Also, any withdrawals before an investor reaches the age of 59 ½ are generally subject to a 10% tax penalty in addition to any gain being taxed as ordinary income.</w:t>
      </w:r>
    </w:p>
    <w:p w14:paraId="6CC2B69F" w14:textId="77777777" w:rsidR="000C099C" w:rsidRDefault="000C099C" w:rsidP="00E542F7">
      <w:pPr>
        <w:pStyle w:val="NormalWeb"/>
        <w:spacing w:before="0" w:beforeAutospacing="0" w:after="0" w:afterAutospacing="0"/>
        <w:ind w:left="270"/>
        <w:jc w:val="both"/>
        <w:rPr>
          <w:rFonts w:ascii="Times New Roman" w:hAnsi="Times New Roman" w:cs="Times New Roman"/>
          <w:color w:val="auto"/>
        </w:rPr>
      </w:pPr>
    </w:p>
    <w:p w14:paraId="04E4EEF9" w14:textId="77777777" w:rsidR="000C099C" w:rsidRDefault="000C099C" w:rsidP="00E542F7">
      <w:pPr>
        <w:autoSpaceDE w:val="0"/>
        <w:autoSpaceDN w:val="0"/>
        <w:adjustRightInd w:val="0"/>
        <w:ind w:left="270"/>
        <w:jc w:val="both"/>
        <w:rPr>
          <w:sz w:val="24"/>
        </w:rPr>
      </w:pPr>
      <w:r>
        <w:rPr>
          <w:sz w:val="24"/>
        </w:rPr>
        <w:t xml:space="preserve">Additionally, clients must be made aware that most variable annuities have a sales charge. Like Class B shares of mutual funds, many variable annuities </w:t>
      </w:r>
      <w:proofErr w:type="gramStart"/>
      <w:r>
        <w:rPr>
          <w:sz w:val="24"/>
        </w:rPr>
        <w:t>shares</w:t>
      </w:r>
      <w:proofErr w:type="gramEnd"/>
      <w:r>
        <w:rPr>
          <w:sz w:val="24"/>
        </w:rPr>
        <w:t xml:space="preserve"> typically do not charge a front-end sales charge, but they do impose asset-based sales charges or surrender charges. These charges normally decline and eventually are eliminated the longer the contract is held. For </w:t>
      </w:r>
      <w:r>
        <w:rPr>
          <w:sz w:val="24"/>
        </w:rPr>
        <w:lastRenderedPageBreak/>
        <w:t xml:space="preserve">example, a surrender charge could start at 7% in the first year and decline by 1% per year until it reaches zero.  </w:t>
      </w:r>
    </w:p>
    <w:p w14:paraId="5DB067A6" w14:textId="77777777" w:rsidR="009F33BD" w:rsidRDefault="009F33BD" w:rsidP="00E542F7">
      <w:pPr>
        <w:autoSpaceDE w:val="0"/>
        <w:autoSpaceDN w:val="0"/>
        <w:adjustRightInd w:val="0"/>
        <w:ind w:left="270"/>
        <w:jc w:val="both"/>
        <w:rPr>
          <w:sz w:val="24"/>
        </w:rPr>
      </w:pPr>
    </w:p>
    <w:p w14:paraId="5385370D" w14:textId="77777777" w:rsidR="009F33BD" w:rsidRDefault="009F33BD" w:rsidP="009F33BD">
      <w:pPr>
        <w:pStyle w:val="Heading3"/>
      </w:pPr>
      <w:r>
        <w:t>1</w:t>
      </w:r>
      <w:r w:rsidR="007270E0">
        <w:t>5</w:t>
      </w:r>
      <w:r>
        <w:t>.4.14 Annuity Buybacks</w:t>
      </w:r>
    </w:p>
    <w:p w14:paraId="389DCF35" w14:textId="77777777" w:rsidR="009F33BD" w:rsidRPr="007A1667" w:rsidRDefault="009F33BD" w:rsidP="009F33BD">
      <w:pPr>
        <w:ind w:left="270"/>
        <w:rPr>
          <w:sz w:val="24"/>
          <w:szCs w:val="24"/>
        </w:rPr>
      </w:pPr>
      <w:r w:rsidRPr="007A1667">
        <w:rPr>
          <w:sz w:val="24"/>
          <w:szCs w:val="24"/>
        </w:rPr>
        <w:t>Insurance companies sometimes offer to buy back an investor's variable annuity product. RRs may not recommend the customer accept the buyback unless the customer understands if an alternative variable product has less favorable terms and those terms are disclosed to the customer.</w:t>
      </w:r>
    </w:p>
    <w:p w14:paraId="1922E3CC" w14:textId="77777777" w:rsidR="000C099C" w:rsidRDefault="000C099C" w:rsidP="00E542F7">
      <w:pPr>
        <w:tabs>
          <w:tab w:val="left" w:pos="288"/>
          <w:tab w:val="left" w:pos="720"/>
        </w:tabs>
        <w:ind w:left="270"/>
        <w:jc w:val="both"/>
        <w:rPr>
          <w:sz w:val="24"/>
        </w:rPr>
      </w:pPr>
    </w:p>
    <w:p w14:paraId="6A89BDC8" w14:textId="77777777" w:rsidR="000C099C" w:rsidRDefault="00E542F7" w:rsidP="001A7509">
      <w:pPr>
        <w:pStyle w:val="Heading3"/>
      </w:pPr>
      <w:bookmarkStart w:id="301" w:name="_Toc98821317"/>
      <w:bookmarkStart w:id="302" w:name="_Toc149007253"/>
      <w:r>
        <w:t>1</w:t>
      </w:r>
      <w:r w:rsidR="007270E0">
        <w:t>5</w:t>
      </w:r>
      <w:r>
        <w:t>.4.1</w:t>
      </w:r>
      <w:r w:rsidR="009F33BD">
        <w:t>5</w:t>
      </w:r>
      <w:r>
        <w:t xml:space="preserve"> </w:t>
      </w:r>
      <w:r w:rsidR="000C099C">
        <w:t>Change of Address</w:t>
      </w:r>
      <w:bookmarkEnd w:id="301"/>
      <w:bookmarkEnd w:id="302"/>
      <w:r>
        <w:t>es</w:t>
      </w:r>
    </w:p>
    <w:p w14:paraId="41429618" w14:textId="77777777" w:rsidR="000C099C" w:rsidRDefault="000C099C" w:rsidP="00E542F7">
      <w:pPr>
        <w:autoSpaceDE w:val="0"/>
        <w:autoSpaceDN w:val="0"/>
        <w:adjustRightInd w:val="0"/>
        <w:ind w:left="270"/>
        <w:jc w:val="both"/>
        <w:rPr>
          <w:sz w:val="24"/>
        </w:rPr>
      </w:pPr>
      <w:r>
        <w:rPr>
          <w:sz w:val="24"/>
        </w:rPr>
        <w:t xml:space="preserve">The Company will confirm in writing, any requests to change a customer’s address to the new and old address. </w:t>
      </w:r>
    </w:p>
    <w:p w14:paraId="3284FAE6" w14:textId="77777777" w:rsidR="00E542F7" w:rsidRDefault="00E542F7" w:rsidP="00E542F7">
      <w:pPr>
        <w:autoSpaceDE w:val="0"/>
        <w:autoSpaceDN w:val="0"/>
        <w:adjustRightInd w:val="0"/>
        <w:ind w:left="270"/>
        <w:jc w:val="both"/>
        <w:rPr>
          <w:b/>
          <w:bCs/>
          <w:sz w:val="24"/>
        </w:rPr>
      </w:pPr>
      <w:bookmarkStart w:id="303" w:name="_Toc98821314"/>
      <w:bookmarkStart w:id="304" w:name="_Toc149007250"/>
    </w:p>
    <w:p w14:paraId="329A1DC6" w14:textId="77777777" w:rsidR="00E542F7" w:rsidRDefault="00E542F7" w:rsidP="001A7509">
      <w:pPr>
        <w:pStyle w:val="Heading3"/>
      </w:pPr>
      <w:r>
        <w:t>1</w:t>
      </w:r>
      <w:r w:rsidR="007270E0">
        <w:t>5</w:t>
      </w:r>
      <w:r>
        <w:t>.4.1</w:t>
      </w:r>
      <w:r w:rsidR="009F33BD">
        <w:t>6</w:t>
      </w:r>
      <w:r>
        <w:t xml:space="preserve"> Training</w:t>
      </w:r>
      <w:bookmarkEnd w:id="303"/>
      <w:bookmarkEnd w:id="304"/>
    </w:p>
    <w:p w14:paraId="5D751510" w14:textId="77777777" w:rsidR="00E542F7" w:rsidRDefault="00E542F7" w:rsidP="00E542F7">
      <w:pPr>
        <w:autoSpaceDE w:val="0"/>
        <w:autoSpaceDN w:val="0"/>
        <w:adjustRightInd w:val="0"/>
        <w:ind w:left="270"/>
        <w:jc w:val="both"/>
        <w:rPr>
          <w:sz w:val="24"/>
        </w:rPr>
      </w:pPr>
      <w:r>
        <w:rPr>
          <w:sz w:val="24"/>
        </w:rPr>
        <w:t>Registered representatives who will be engaging in variable annuity business will be trained in these procedures as well as a possible training course in variable products if warranted.  Ongoing training will be provided at the annual compliance meeting.</w:t>
      </w:r>
      <w:r w:rsidR="007D2073">
        <w:rPr>
          <w:sz w:val="24"/>
        </w:rPr>
        <w:t xml:space="preserve">  In addition, many insurance companies require their proprietary product training prior to reps engaging in sales.</w:t>
      </w:r>
    </w:p>
    <w:p w14:paraId="6FB5E25F" w14:textId="77777777" w:rsidR="000C099C" w:rsidRDefault="000C099C">
      <w:pPr>
        <w:jc w:val="both"/>
      </w:pPr>
    </w:p>
    <w:p w14:paraId="2FBA555E" w14:textId="77777777" w:rsidR="00E542F7" w:rsidRDefault="00E542F7">
      <w:pPr>
        <w:jc w:val="both"/>
        <w:rPr>
          <w:b/>
          <w:bCs/>
          <w:sz w:val="24"/>
        </w:rPr>
      </w:pPr>
    </w:p>
    <w:p w14:paraId="1A69BE8F" w14:textId="77777777" w:rsidR="000C099C" w:rsidRPr="0035367E" w:rsidRDefault="00E542F7" w:rsidP="00936FEE">
      <w:pPr>
        <w:pStyle w:val="Heading2"/>
      </w:pPr>
      <w:r>
        <w:t>1</w:t>
      </w:r>
      <w:r w:rsidR="00E42E43">
        <w:t>5</w:t>
      </w:r>
      <w:r w:rsidR="006B12F1">
        <w:t xml:space="preserve">.5 </w:t>
      </w:r>
      <w:r w:rsidR="000C099C" w:rsidRPr="0035367E">
        <w:t>FINRA Rule 2</w:t>
      </w:r>
      <w:r w:rsidR="008E0EA9">
        <w:t>330</w:t>
      </w:r>
      <w:r w:rsidR="000C099C" w:rsidRPr="0035367E">
        <w:t>: Deferred Variable Annuity Transactions</w:t>
      </w:r>
    </w:p>
    <w:p w14:paraId="65C02B65" w14:textId="77777777" w:rsidR="000C099C" w:rsidRPr="0035367E" w:rsidRDefault="000C099C">
      <w:pPr>
        <w:jc w:val="both"/>
        <w:rPr>
          <w:sz w:val="24"/>
        </w:rPr>
      </w:pPr>
      <w:r w:rsidRPr="0035367E">
        <w:rPr>
          <w:sz w:val="24"/>
        </w:rPr>
        <w:t xml:space="preserve">Rule 2821 was developed to enhance broker/dealer operations compliance and supervisory systems for variable deferred annuities which, because of their features and often complex contract options, can cause confusion for both the reps who sell them and the investors who purchase them.  The new rule is effective </w:t>
      </w:r>
      <w:r w:rsidRPr="0035367E">
        <w:rPr>
          <w:b/>
          <w:bCs/>
          <w:sz w:val="24"/>
        </w:rPr>
        <w:t xml:space="preserve">May 5, </w:t>
      </w:r>
      <w:proofErr w:type="gramStart"/>
      <w:r w:rsidRPr="0035367E">
        <w:rPr>
          <w:b/>
          <w:bCs/>
          <w:sz w:val="24"/>
        </w:rPr>
        <w:t>2008</w:t>
      </w:r>
      <w:proofErr w:type="gramEnd"/>
      <w:r w:rsidR="0003441D">
        <w:rPr>
          <w:sz w:val="24"/>
        </w:rPr>
        <w:t xml:space="preserve"> </w:t>
      </w:r>
      <w:r w:rsidR="008E0EA9">
        <w:rPr>
          <w:sz w:val="24"/>
        </w:rPr>
        <w:t>with revisions eff 2/8/10</w:t>
      </w:r>
      <w:r w:rsidR="006A37CE">
        <w:rPr>
          <w:sz w:val="24"/>
        </w:rPr>
        <w:t>.</w:t>
      </w:r>
    </w:p>
    <w:p w14:paraId="184DAB6B" w14:textId="77777777" w:rsidR="000C099C" w:rsidRPr="0035367E" w:rsidRDefault="000C099C">
      <w:pPr>
        <w:jc w:val="both"/>
        <w:rPr>
          <w:sz w:val="24"/>
        </w:rPr>
      </w:pPr>
      <w:r w:rsidRPr="0035367E">
        <w:rPr>
          <w:sz w:val="24"/>
        </w:rPr>
        <w:t xml:space="preserve"> </w:t>
      </w:r>
    </w:p>
    <w:p w14:paraId="76B5E6A8" w14:textId="77777777" w:rsidR="000C099C" w:rsidRPr="0035367E" w:rsidRDefault="000C099C">
      <w:pPr>
        <w:jc w:val="both"/>
        <w:rPr>
          <w:sz w:val="24"/>
          <w:u w:val="single"/>
        </w:rPr>
      </w:pPr>
      <w:r w:rsidRPr="0035367E">
        <w:rPr>
          <w:sz w:val="24"/>
          <w:u w:val="single"/>
        </w:rPr>
        <w:t>(a) General Guidelines</w:t>
      </w:r>
    </w:p>
    <w:p w14:paraId="3B5EC37A" w14:textId="77777777" w:rsidR="000C099C" w:rsidRPr="0035367E" w:rsidRDefault="000C099C">
      <w:pPr>
        <w:jc w:val="both"/>
        <w:rPr>
          <w:sz w:val="24"/>
          <w:u w:val="single"/>
        </w:rPr>
      </w:pPr>
    </w:p>
    <w:p w14:paraId="3D7DF051" w14:textId="77777777" w:rsidR="000C099C" w:rsidRPr="0035367E" w:rsidRDefault="000C099C">
      <w:pPr>
        <w:jc w:val="both"/>
        <w:rPr>
          <w:sz w:val="24"/>
        </w:rPr>
      </w:pPr>
      <w:r w:rsidRPr="0035367E">
        <w:rPr>
          <w:sz w:val="24"/>
        </w:rPr>
        <w:t>(1) Application:  The rule applies to the purchase or exchange of a deferred variable annuity and the subaccount allocations. This Rule does not apply to reallocations of subaccounts made or to funds paid after the initial purchase or exchange of a deferred variable annuity. This Rule also does not apply to deferred variable annuity transactions made in connection with any tax qualified, employer-sponsored retirement or benefit plan that either is defined as a “qualified plan” under Section 3(a)(12)(C) of the Securities Exchange Act of 1934 or meets the requirements of Internal Revenue Code Sections 403(b), 457(b), or 457(f), unless, in the case of any such plan, a member or person associated with a member makes recommendations to an individual plan participant regarding a deferred variable annuity, in which case the Rule would apply as to the individual plan participant to whom the member or person associated with the member makes such recommendations.</w:t>
      </w:r>
    </w:p>
    <w:p w14:paraId="23793AD4" w14:textId="77777777" w:rsidR="000C099C" w:rsidRPr="0035367E" w:rsidRDefault="000C099C">
      <w:pPr>
        <w:jc w:val="both"/>
        <w:rPr>
          <w:sz w:val="24"/>
        </w:rPr>
      </w:pPr>
    </w:p>
    <w:p w14:paraId="7CD2A3F7" w14:textId="77777777" w:rsidR="000C099C" w:rsidRPr="0035367E" w:rsidRDefault="000C099C">
      <w:pPr>
        <w:jc w:val="both"/>
        <w:rPr>
          <w:sz w:val="24"/>
        </w:rPr>
      </w:pPr>
      <w:r w:rsidRPr="0035367E">
        <w:rPr>
          <w:sz w:val="24"/>
        </w:rPr>
        <w:t>(2) Creation, Storage, and Transmission of Documents:  For purposes of this Rule, documents may be created, stored, and transmitted in electronic or paper form, and signatures may be evidenced in electronic or other written form.</w:t>
      </w:r>
    </w:p>
    <w:p w14:paraId="37E9297A" w14:textId="77777777" w:rsidR="000C099C" w:rsidRPr="0035367E" w:rsidRDefault="000C099C">
      <w:pPr>
        <w:jc w:val="both"/>
        <w:rPr>
          <w:sz w:val="24"/>
        </w:rPr>
      </w:pPr>
    </w:p>
    <w:p w14:paraId="06E8F2C8" w14:textId="77777777" w:rsidR="000C099C" w:rsidRPr="0035367E" w:rsidRDefault="000C099C">
      <w:pPr>
        <w:jc w:val="both"/>
        <w:rPr>
          <w:sz w:val="24"/>
        </w:rPr>
      </w:pPr>
      <w:r w:rsidRPr="0035367E">
        <w:rPr>
          <w:sz w:val="24"/>
        </w:rPr>
        <w:t xml:space="preserve">(3) Definitions:  For purposes of this Rule, the term “registered principal” shall mean a person registered as a General Securities Sales Supervisor (Series 9/10), a General Securities Principal (Series 24), or an Investment Company Products/Variable Contracts Principal (Series 26), as applicable. </w:t>
      </w:r>
    </w:p>
    <w:p w14:paraId="31B6A4BF" w14:textId="77777777" w:rsidR="000C099C" w:rsidRPr="0035367E" w:rsidRDefault="000C099C">
      <w:pPr>
        <w:jc w:val="both"/>
        <w:rPr>
          <w:sz w:val="24"/>
        </w:rPr>
      </w:pPr>
    </w:p>
    <w:p w14:paraId="46DAEECE" w14:textId="77777777" w:rsidR="000C099C" w:rsidRPr="0035367E" w:rsidRDefault="000C099C">
      <w:pPr>
        <w:jc w:val="both"/>
        <w:rPr>
          <w:sz w:val="24"/>
          <w:u w:val="single"/>
        </w:rPr>
      </w:pPr>
      <w:r w:rsidRPr="0035367E">
        <w:rPr>
          <w:sz w:val="24"/>
          <w:u w:val="single"/>
        </w:rPr>
        <w:lastRenderedPageBreak/>
        <w:t>(b) Recommendation Requirements</w:t>
      </w:r>
    </w:p>
    <w:p w14:paraId="5808303F" w14:textId="77777777" w:rsidR="000C099C" w:rsidRPr="0035367E" w:rsidRDefault="000C099C">
      <w:pPr>
        <w:jc w:val="both"/>
        <w:rPr>
          <w:sz w:val="24"/>
        </w:rPr>
      </w:pPr>
    </w:p>
    <w:p w14:paraId="4D2FD1CE" w14:textId="77777777" w:rsidR="000C099C" w:rsidRPr="0035367E" w:rsidRDefault="000C099C">
      <w:pPr>
        <w:jc w:val="both"/>
        <w:rPr>
          <w:sz w:val="24"/>
        </w:rPr>
      </w:pPr>
      <w:r w:rsidRPr="0035367E">
        <w:rPr>
          <w:sz w:val="24"/>
        </w:rPr>
        <w:t xml:space="preserve">(1) No member or person associated with a member shall recommend to any customer the purchase or exchange of a deferred variable annuity unless such member or person associated with a member has a reasonable basis to believe </w:t>
      </w:r>
    </w:p>
    <w:p w14:paraId="3E909B69" w14:textId="77777777" w:rsidR="000C099C" w:rsidRPr="0035367E" w:rsidRDefault="000C099C">
      <w:pPr>
        <w:jc w:val="both"/>
        <w:rPr>
          <w:sz w:val="24"/>
        </w:rPr>
      </w:pPr>
    </w:p>
    <w:p w14:paraId="4CA6E13D" w14:textId="77777777" w:rsidR="000C099C" w:rsidRPr="0035367E" w:rsidRDefault="000C099C">
      <w:pPr>
        <w:ind w:left="720"/>
        <w:jc w:val="both"/>
        <w:rPr>
          <w:sz w:val="24"/>
        </w:rPr>
      </w:pPr>
      <w:r w:rsidRPr="0035367E">
        <w:rPr>
          <w:sz w:val="24"/>
        </w:rPr>
        <w:t xml:space="preserve">(A) </w:t>
      </w:r>
      <w:r w:rsidR="001B5019" w:rsidRPr="0035367E">
        <w:rPr>
          <w:sz w:val="24"/>
        </w:rPr>
        <w:t>That</w:t>
      </w:r>
      <w:r w:rsidRPr="0035367E">
        <w:rPr>
          <w:sz w:val="24"/>
        </w:rPr>
        <w:t xml:space="preserve"> the transaction is suitable in accordance with Rule 2310 and, in particular, that there is a reasonable basis to believe that</w:t>
      </w:r>
    </w:p>
    <w:p w14:paraId="391BAFB0" w14:textId="77777777" w:rsidR="000C099C" w:rsidRPr="0035367E" w:rsidRDefault="000C099C">
      <w:pPr>
        <w:ind w:left="720"/>
        <w:jc w:val="both"/>
        <w:rPr>
          <w:sz w:val="24"/>
        </w:rPr>
      </w:pPr>
    </w:p>
    <w:p w14:paraId="762FB432" w14:textId="77777777" w:rsidR="000C099C" w:rsidRPr="0035367E" w:rsidRDefault="000C099C">
      <w:pPr>
        <w:ind w:left="1440"/>
        <w:jc w:val="both"/>
        <w:rPr>
          <w:sz w:val="24"/>
        </w:rPr>
      </w:pPr>
      <w:r w:rsidRPr="0035367E">
        <w:rPr>
          <w:sz w:val="24"/>
        </w:rPr>
        <w:t>(</w:t>
      </w:r>
      <w:proofErr w:type="spellStart"/>
      <w:r w:rsidRPr="0035367E">
        <w:rPr>
          <w:sz w:val="24"/>
        </w:rPr>
        <w:t>i</w:t>
      </w:r>
      <w:proofErr w:type="spellEnd"/>
      <w:r w:rsidRPr="0035367E">
        <w:rPr>
          <w:sz w:val="24"/>
        </w:rPr>
        <w:t xml:space="preserve">) </w:t>
      </w:r>
      <w:r w:rsidR="001B5019">
        <w:rPr>
          <w:sz w:val="24"/>
        </w:rPr>
        <w:t>T</w:t>
      </w:r>
      <w:r w:rsidRPr="0035367E">
        <w:rPr>
          <w:sz w:val="24"/>
        </w:rPr>
        <w:t>he customer has been informed, in general terms, of various features of deferred variable annuities, such as the potential surrender period and surrender charge; potential tax penalty if customers sell or redeem deferred variable annuities before reaching the age of 59½;</w:t>
      </w:r>
      <w:r w:rsidR="007861FB">
        <w:rPr>
          <w:sz w:val="24"/>
        </w:rPr>
        <w:t xml:space="preserve"> </w:t>
      </w:r>
      <w:r w:rsidRPr="0035367E">
        <w:rPr>
          <w:sz w:val="24"/>
        </w:rPr>
        <w:t>mortality and expense fees; investment advisory fees; potential charges for and features of riders; the insurance and investment components of deferred variable annuities; and market risk;</w:t>
      </w:r>
    </w:p>
    <w:p w14:paraId="1F20EA63" w14:textId="77777777" w:rsidR="000C099C" w:rsidRPr="0035367E" w:rsidRDefault="000C099C">
      <w:pPr>
        <w:ind w:left="1440"/>
        <w:jc w:val="both"/>
        <w:rPr>
          <w:sz w:val="24"/>
        </w:rPr>
      </w:pPr>
      <w:r w:rsidRPr="0035367E">
        <w:rPr>
          <w:sz w:val="24"/>
        </w:rPr>
        <w:t xml:space="preserve">(ii) </w:t>
      </w:r>
      <w:r w:rsidR="001B5019" w:rsidRPr="0035367E">
        <w:rPr>
          <w:sz w:val="24"/>
        </w:rPr>
        <w:t>The</w:t>
      </w:r>
      <w:r w:rsidRPr="0035367E">
        <w:rPr>
          <w:sz w:val="24"/>
        </w:rPr>
        <w:t xml:space="preserve"> customer would benefit from certain features of deferred variable annuities, such as tax-deferred growth, annuitization, or a death or living benefit; and </w:t>
      </w:r>
    </w:p>
    <w:p w14:paraId="4CCC9422" w14:textId="77777777" w:rsidR="000C099C" w:rsidRPr="0035367E" w:rsidRDefault="001B5019">
      <w:pPr>
        <w:ind w:left="1440"/>
        <w:jc w:val="both"/>
        <w:rPr>
          <w:sz w:val="24"/>
        </w:rPr>
      </w:pPr>
      <w:r>
        <w:rPr>
          <w:sz w:val="24"/>
        </w:rPr>
        <w:t>(iii) T</w:t>
      </w:r>
      <w:r w:rsidR="000C099C" w:rsidRPr="0035367E">
        <w:rPr>
          <w:sz w:val="24"/>
        </w:rPr>
        <w:t>he particular deferred variable annuity as a whole, the underlying subaccounts to which funds are allocated at the time of the purchase or exchange of the deferred variable annuity, and riders and similar product enhancements, if any, are suitable (and, in the case of an exchange, the transaction as a whole also is suitable) for the particular customer based on the information required by paragraph (b)(2) below of this section; and</w:t>
      </w:r>
    </w:p>
    <w:p w14:paraId="5F5BB0B8" w14:textId="77777777" w:rsidR="000C099C" w:rsidRPr="0035367E" w:rsidRDefault="000C099C">
      <w:pPr>
        <w:ind w:left="720" w:firstLine="720"/>
        <w:jc w:val="both"/>
        <w:rPr>
          <w:sz w:val="24"/>
        </w:rPr>
      </w:pPr>
    </w:p>
    <w:p w14:paraId="5B9770E9" w14:textId="77777777" w:rsidR="000C099C" w:rsidRPr="0035367E" w:rsidRDefault="000C099C">
      <w:pPr>
        <w:ind w:left="720"/>
        <w:jc w:val="both"/>
        <w:rPr>
          <w:sz w:val="24"/>
        </w:rPr>
      </w:pPr>
      <w:r w:rsidRPr="0035367E">
        <w:rPr>
          <w:sz w:val="24"/>
        </w:rPr>
        <w:t xml:space="preserve">(B) </w:t>
      </w:r>
      <w:r w:rsidR="001B5019" w:rsidRPr="0035367E">
        <w:rPr>
          <w:sz w:val="24"/>
        </w:rPr>
        <w:t>In</w:t>
      </w:r>
      <w:r w:rsidRPr="0035367E">
        <w:rPr>
          <w:sz w:val="24"/>
        </w:rPr>
        <w:t xml:space="preserve"> the case of an exchange of a deferred variable annuity, the exchange also is consistent with the suitability determination required by subparagraph (b)(1)(A) of this Rule, taking into consideration whether</w:t>
      </w:r>
    </w:p>
    <w:p w14:paraId="5BD39454" w14:textId="77777777" w:rsidR="000C099C" w:rsidRPr="0035367E" w:rsidRDefault="000C099C">
      <w:pPr>
        <w:ind w:left="720"/>
        <w:jc w:val="both"/>
        <w:rPr>
          <w:sz w:val="24"/>
        </w:rPr>
      </w:pPr>
    </w:p>
    <w:p w14:paraId="5EEE33C1" w14:textId="77777777" w:rsidR="000C099C" w:rsidRPr="0035367E" w:rsidRDefault="00D24184">
      <w:pPr>
        <w:ind w:left="1440"/>
        <w:jc w:val="both"/>
        <w:rPr>
          <w:sz w:val="24"/>
        </w:rPr>
      </w:pPr>
      <w:r>
        <w:rPr>
          <w:sz w:val="24"/>
        </w:rPr>
        <w:t>(</w:t>
      </w:r>
      <w:proofErr w:type="spellStart"/>
      <w:r>
        <w:rPr>
          <w:sz w:val="24"/>
        </w:rPr>
        <w:t>i</w:t>
      </w:r>
      <w:proofErr w:type="spellEnd"/>
      <w:r>
        <w:rPr>
          <w:sz w:val="24"/>
        </w:rPr>
        <w:t>) T</w:t>
      </w:r>
      <w:r w:rsidR="000C099C" w:rsidRPr="0035367E">
        <w:rPr>
          <w:sz w:val="24"/>
        </w:rPr>
        <w:t>he customer would incur a surrender charge, be subject to the commencement of a new surrender period, lose existing benefits (such as death, living, or other contractual benefits), or be subject to increased fees or charges (such as mortality and expense fees, investment advisory fees, or charges for riders and similar product enhancements);</w:t>
      </w:r>
    </w:p>
    <w:p w14:paraId="734459C3" w14:textId="77777777" w:rsidR="000C099C" w:rsidRPr="0035367E" w:rsidRDefault="000C099C">
      <w:pPr>
        <w:ind w:left="1440"/>
        <w:jc w:val="both"/>
        <w:rPr>
          <w:sz w:val="24"/>
        </w:rPr>
      </w:pPr>
      <w:r w:rsidRPr="0035367E">
        <w:rPr>
          <w:sz w:val="24"/>
        </w:rPr>
        <w:t xml:space="preserve">(ii) </w:t>
      </w:r>
      <w:r w:rsidR="00D24184" w:rsidRPr="0035367E">
        <w:rPr>
          <w:sz w:val="24"/>
        </w:rPr>
        <w:t>The</w:t>
      </w:r>
      <w:r w:rsidRPr="0035367E">
        <w:rPr>
          <w:sz w:val="24"/>
        </w:rPr>
        <w:t xml:space="preserve"> customer would benefit from product enhancements and improvements; and</w:t>
      </w:r>
    </w:p>
    <w:p w14:paraId="20348833" w14:textId="77777777" w:rsidR="000C099C" w:rsidRPr="0035367E" w:rsidRDefault="000C099C">
      <w:pPr>
        <w:ind w:left="1440"/>
        <w:jc w:val="both"/>
        <w:rPr>
          <w:sz w:val="24"/>
        </w:rPr>
      </w:pPr>
      <w:r w:rsidRPr="0035367E">
        <w:rPr>
          <w:sz w:val="24"/>
        </w:rPr>
        <w:t xml:space="preserve">(iii) </w:t>
      </w:r>
      <w:r w:rsidR="00D24184" w:rsidRPr="0035367E">
        <w:rPr>
          <w:sz w:val="24"/>
        </w:rPr>
        <w:t>The</w:t>
      </w:r>
      <w:r w:rsidRPr="0035367E">
        <w:rPr>
          <w:sz w:val="24"/>
        </w:rPr>
        <w:t xml:space="preserve"> customer’s account has had another deferred variable annuity exchange within the preceding 36months.</w:t>
      </w:r>
    </w:p>
    <w:p w14:paraId="1A59D7D5" w14:textId="77777777" w:rsidR="000C099C" w:rsidRPr="0035367E" w:rsidRDefault="000C099C">
      <w:pPr>
        <w:ind w:left="1440"/>
        <w:jc w:val="both"/>
        <w:rPr>
          <w:sz w:val="24"/>
        </w:rPr>
      </w:pPr>
    </w:p>
    <w:p w14:paraId="03B9CEEA" w14:textId="77777777" w:rsidR="000C099C" w:rsidRPr="0035367E" w:rsidRDefault="000C099C">
      <w:pPr>
        <w:ind w:left="720"/>
        <w:jc w:val="both"/>
        <w:rPr>
          <w:sz w:val="24"/>
        </w:rPr>
      </w:pPr>
      <w:r w:rsidRPr="0035367E">
        <w:rPr>
          <w:sz w:val="24"/>
        </w:rPr>
        <w:t>The determinations required by this paragraph shall be documented and signed by the associated person recommending the transaction.</w:t>
      </w:r>
    </w:p>
    <w:p w14:paraId="0A4393E5" w14:textId="77777777" w:rsidR="000C099C" w:rsidRPr="0035367E" w:rsidRDefault="000C099C">
      <w:pPr>
        <w:jc w:val="both"/>
        <w:rPr>
          <w:sz w:val="24"/>
        </w:rPr>
      </w:pPr>
    </w:p>
    <w:p w14:paraId="5D8D6419" w14:textId="77777777" w:rsidR="000C099C" w:rsidRPr="0035367E" w:rsidRDefault="000C099C">
      <w:pPr>
        <w:jc w:val="both"/>
        <w:rPr>
          <w:sz w:val="24"/>
        </w:rPr>
      </w:pPr>
      <w:r w:rsidRPr="0035367E">
        <w:rPr>
          <w:sz w:val="24"/>
        </w:rPr>
        <w:t>(2) Prior to recommending the purchase or exchange of a deferred variable annuity, an Associated Person shall make reasonable efforts to obtain, at a minimum, information concerning the customer’s age, annual income, financial situation and needs, investment experience, investment objectives, intended use of the deferred variable annuity, investment time horizon, existing assets (including investment and life insurance holdings), liquidity needs, liquid net worth, risk tolerance, tax status, and such other information used or considered to be reasonable by the member or person associated with the member in making recommendations to customers.</w:t>
      </w:r>
    </w:p>
    <w:p w14:paraId="1445FDDC" w14:textId="77777777" w:rsidR="000C099C" w:rsidRPr="0035367E" w:rsidRDefault="000C099C">
      <w:pPr>
        <w:ind w:left="1440"/>
        <w:jc w:val="both"/>
        <w:rPr>
          <w:sz w:val="24"/>
        </w:rPr>
      </w:pPr>
      <w:r w:rsidRPr="0035367E">
        <w:rPr>
          <w:sz w:val="24"/>
        </w:rPr>
        <w:lastRenderedPageBreak/>
        <w:t xml:space="preserve"> </w:t>
      </w:r>
    </w:p>
    <w:p w14:paraId="5C288E2D" w14:textId="77777777" w:rsidR="000C099C" w:rsidRPr="0035367E" w:rsidRDefault="000C099C">
      <w:pPr>
        <w:jc w:val="both"/>
        <w:rPr>
          <w:sz w:val="24"/>
          <w:u w:val="single"/>
        </w:rPr>
      </w:pPr>
      <w:r w:rsidRPr="0035367E">
        <w:rPr>
          <w:sz w:val="24"/>
          <w:u w:val="single"/>
        </w:rPr>
        <w:t>(c) Principal Review and Approval</w:t>
      </w:r>
    </w:p>
    <w:p w14:paraId="1AE34977" w14:textId="77777777" w:rsidR="000C099C" w:rsidRPr="0035367E" w:rsidRDefault="000C099C">
      <w:pPr>
        <w:jc w:val="both"/>
        <w:rPr>
          <w:sz w:val="24"/>
        </w:rPr>
      </w:pPr>
      <w:r w:rsidRPr="0035367E">
        <w:rPr>
          <w:sz w:val="24"/>
        </w:rPr>
        <w:t xml:space="preserve">Prior to transmitting a customer’s application for a deferred variable annuity to the issuing insurance company for processing, but no later than seven business days after the customer signs the application, a registered principal shall review and determine whether he or she approves of the purchase or exchange of the deferred variable annuity. Subject to the exception in this </w:t>
      </w:r>
      <w:r w:rsidR="00E42E43" w:rsidRPr="0035367E">
        <w:rPr>
          <w:sz w:val="24"/>
        </w:rPr>
        <w:t>paragraph and</w:t>
      </w:r>
      <w:r w:rsidRPr="0035367E">
        <w:rPr>
          <w:sz w:val="24"/>
        </w:rPr>
        <w:t xml:space="preserve"> treating all transactions as if they have been recommended for purposes of this principal review, a registered principal shall approve the transaction only if the registered principal has determined that there is a reasonable basis to believe that the transaction would be</w:t>
      </w:r>
      <w:r w:rsidR="00D24184">
        <w:rPr>
          <w:sz w:val="24"/>
        </w:rPr>
        <w:t xml:space="preserve"> </w:t>
      </w:r>
      <w:r w:rsidRPr="0035367E">
        <w:rPr>
          <w:sz w:val="24"/>
        </w:rPr>
        <w:t xml:space="preserve">suitable based on the factors delineated paragraph (b) above. </w:t>
      </w:r>
    </w:p>
    <w:p w14:paraId="1C860A0A" w14:textId="77777777" w:rsidR="000C099C" w:rsidRPr="0035367E" w:rsidRDefault="000C099C">
      <w:pPr>
        <w:jc w:val="both"/>
        <w:rPr>
          <w:sz w:val="24"/>
        </w:rPr>
      </w:pPr>
    </w:p>
    <w:p w14:paraId="5D3BD0C3" w14:textId="77777777" w:rsidR="000C099C" w:rsidRPr="0035367E" w:rsidRDefault="000C099C">
      <w:pPr>
        <w:jc w:val="both"/>
        <w:rPr>
          <w:sz w:val="24"/>
        </w:rPr>
      </w:pPr>
      <w:r w:rsidRPr="0035367E">
        <w:rPr>
          <w:sz w:val="24"/>
        </w:rPr>
        <w:t xml:space="preserve">Notwithstanding the foregoing, a registered principal may authorize the processing of the transaction </w:t>
      </w:r>
    </w:p>
    <w:p w14:paraId="5AC4AC58" w14:textId="77777777" w:rsidR="000C099C" w:rsidRPr="0035367E" w:rsidRDefault="000C099C">
      <w:pPr>
        <w:jc w:val="both"/>
        <w:rPr>
          <w:sz w:val="24"/>
        </w:rPr>
      </w:pPr>
    </w:p>
    <w:p w14:paraId="46148E33" w14:textId="77777777" w:rsidR="000C099C" w:rsidRPr="0035367E" w:rsidRDefault="000C099C">
      <w:pPr>
        <w:ind w:left="720"/>
        <w:jc w:val="both"/>
        <w:rPr>
          <w:sz w:val="24"/>
        </w:rPr>
      </w:pPr>
      <w:r w:rsidRPr="0035367E">
        <w:rPr>
          <w:sz w:val="24"/>
        </w:rPr>
        <w:t>(</w:t>
      </w:r>
      <w:proofErr w:type="spellStart"/>
      <w:r w:rsidRPr="0035367E">
        <w:rPr>
          <w:sz w:val="24"/>
        </w:rPr>
        <w:t>i</w:t>
      </w:r>
      <w:proofErr w:type="spellEnd"/>
      <w:r w:rsidRPr="0035367E">
        <w:rPr>
          <w:sz w:val="24"/>
        </w:rPr>
        <w:t xml:space="preserve">) </w:t>
      </w:r>
      <w:r w:rsidR="004242EF" w:rsidRPr="0035367E">
        <w:rPr>
          <w:sz w:val="24"/>
        </w:rPr>
        <w:t>If</w:t>
      </w:r>
      <w:r w:rsidR="00FF7BFF">
        <w:rPr>
          <w:sz w:val="24"/>
        </w:rPr>
        <w:t xml:space="preserve"> they deter</w:t>
      </w:r>
      <w:r w:rsidR="00FF7BFF" w:rsidRPr="0035367E">
        <w:rPr>
          <w:sz w:val="24"/>
        </w:rPr>
        <w:t>mine</w:t>
      </w:r>
      <w:r w:rsidRPr="0035367E">
        <w:rPr>
          <w:sz w:val="24"/>
        </w:rPr>
        <w:t xml:space="preserve"> the transaction was not recommended; and</w:t>
      </w:r>
    </w:p>
    <w:p w14:paraId="1DA01964" w14:textId="77777777" w:rsidR="000C099C" w:rsidRPr="0035367E" w:rsidRDefault="000C099C">
      <w:pPr>
        <w:ind w:left="720"/>
        <w:jc w:val="both"/>
        <w:rPr>
          <w:sz w:val="24"/>
        </w:rPr>
      </w:pPr>
      <w:r w:rsidRPr="0035367E">
        <w:rPr>
          <w:sz w:val="24"/>
        </w:rPr>
        <w:t xml:space="preserve">(ii) </w:t>
      </w:r>
      <w:r w:rsidR="004242EF" w:rsidRPr="0035367E">
        <w:rPr>
          <w:sz w:val="24"/>
        </w:rPr>
        <w:t>That</w:t>
      </w:r>
      <w:r w:rsidRPr="0035367E">
        <w:rPr>
          <w:sz w:val="24"/>
        </w:rPr>
        <w:t xml:space="preserve"> the customer, after being informed of the reason why the registered principal has not approved the transaction, affirms that he or she wants to proceed with the purchase or exchange of the deferred variable annuity. </w:t>
      </w:r>
    </w:p>
    <w:p w14:paraId="21FAC328" w14:textId="77777777" w:rsidR="000C099C" w:rsidRPr="0035367E" w:rsidRDefault="000C099C">
      <w:pPr>
        <w:jc w:val="both"/>
        <w:rPr>
          <w:sz w:val="24"/>
        </w:rPr>
      </w:pPr>
    </w:p>
    <w:p w14:paraId="2C1DA75B" w14:textId="77777777" w:rsidR="000C099C" w:rsidRPr="0035367E" w:rsidRDefault="000C099C">
      <w:pPr>
        <w:jc w:val="both"/>
        <w:rPr>
          <w:sz w:val="24"/>
        </w:rPr>
      </w:pPr>
      <w:r w:rsidRPr="0035367E">
        <w:rPr>
          <w:sz w:val="24"/>
        </w:rPr>
        <w:t>The determinations required by this paragraph shall be documented and signed by the registered principal who reviewed and approved, rejected, or authorized the transaction.</w:t>
      </w:r>
    </w:p>
    <w:p w14:paraId="08AA0F06" w14:textId="77777777" w:rsidR="000C099C" w:rsidRPr="0035367E" w:rsidRDefault="000C099C">
      <w:pPr>
        <w:jc w:val="both"/>
        <w:rPr>
          <w:sz w:val="24"/>
        </w:rPr>
      </w:pPr>
    </w:p>
    <w:p w14:paraId="7F0F1F29" w14:textId="77777777" w:rsidR="000C099C" w:rsidRPr="0035367E" w:rsidRDefault="000C099C">
      <w:pPr>
        <w:jc w:val="both"/>
        <w:rPr>
          <w:sz w:val="24"/>
          <w:u w:val="single"/>
        </w:rPr>
      </w:pPr>
      <w:r w:rsidRPr="0035367E">
        <w:rPr>
          <w:sz w:val="24"/>
          <w:u w:val="single"/>
        </w:rPr>
        <w:t>(d) Supervisory Procedures</w:t>
      </w:r>
    </w:p>
    <w:p w14:paraId="022B5AC4" w14:textId="77777777" w:rsidR="000C099C" w:rsidRPr="0035367E" w:rsidRDefault="000C099C">
      <w:pPr>
        <w:jc w:val="both"/>
        <w:rPr>
          <w:sz w:val="24"/>
        </w:rPr>
      </w:pPr>
      <w:r w:rsidRPr="0035367E">
        <w:rPr>
          <w:sz w:val="24"/>
        </w:rPr>
        <w:t>In addition to the general supervisory and recordkeeping requirements of Rules 3010, 3012, 3013, and 3110, the Company has established these written supervisory procedures reasonably designed to achieve compliance with the standards set forth in this Rule. The Company also has (1) implemented surveillance procedures through the WinOps program to determine if any of the Company’s Associated Persons have rates of effecting deferred variable annuity exchanges that may upon review evidence conduct inconsistent with the applicable provisions of this Rule, other applicable FINRA rules, or the federal securities laws (“inappropriate exchanges”) and,  (2) has adopted policies and procedures reasonably designed to implement corrective measures to address inappropriate exchanges and the conduct of associated persons who engage in inappropriate exchanges.  Such corrective measures may include a warning, a cancellation of any applicable order(s) with full recourse to the customer, reversal of commissions, and/or fines or termination.</w:t>
      </w:r>
    </w:p>
    <w:p w14:paraId="5445AFD9" w14:textId="77777777" w:rsidR="000C099C" w:rsidRPr="0035367E" w:rsidRDefault="000C099C">
      <w:pPr>
        <w:jc w:val="both"/>
        <w:rPr>
          <w:sz w:val="24"/>
        </w:rPr>
      </w:pPr>
    </w:p>
    <w:p w14:paraId="1077FCD7" w14:textId="77777777" w:rsidR="000C099C" w:rsidRPr="0035367E" w:rsidRDefault="000C099C">
      <w:pPr>
        <w:jc w:val="both"/>
        <w:rPr>
          <w:sz w:val="24"/>
          <w:u w:val="single"/>
        </w:rPr>
      </w:pPr>
      <w:r w:rsidRPr="0035367E">
        <w:rPr>
          <w:sz w:val="24"/>
          <w:u w:val="single"/>
        </w:rPr>
        <w:t>(e) Training</w:t>
      </w:r>
    </w:p>
    <w:p w14:paraId="662B88E3" w14:textId="77777777" w:rsidR="000C099C" w:rsidRPr="0035367E" w:rsidRDefault="000C099C">
      <w:pPr>
        <w:jc w:val="both"/>
        <w:rPr>
          <w:sz w:val="24"/>
        </w:rPr>
      </w:pPr>
      <w:r w:rsidRPr="0035367E">
        <w:rPr>
          <w:sz w:val="24"/>
        </w:rPr>
        <w:t>The Company will develop and document specific training policies or programs reasonably designed to ensure that associated persons who effect and registered principals who review transactions in deferred variable annuities comply with the requirements of this Rule and that they understand the material features of deferred variable annuities, including those described in the preceding paragraphs of this section.  The first training will take place January 5, 2008.</w:t>
      </w:r>
    </w:p>
    <w:p w14:paraId="2F2F62EE" w14:textId="77777777" w:rsidR="009826E9" w:rsidRDefault="009826E9">
      <w:pPr>
        <w:rPr>
          <w:b/>
          <w:bCs/>
          <w:sz w:val="24"/>
        </w:rPr>
      </w:pPr>
    </w:p>
    <w:p w14:paraId="47F2FE9B" w14:textId="77777777" w:rsidR="009826E9" w:rsidRDefault="009826E9">
      <w:pPr>
        <w:rPr>
          <w:b/>
          <w:bCs/>
          <w:sz w:val="24"/>
        </w:rPr>
      </w:pPr>
    </w:p>
    <w:p w14:paraId="501E5859" w14:textId="77777777" w:rsidR="00282CD0" w:rsidRDefault="00282CD0" w:rsidP="00936FEE">
      <w:pPr>
        <w:pStyle w:val="Heading2"/>
      </w:pPr>
      <w:r>
        <w:t>1</w:t>
      </w:r>
      <w:r w:rsidR="00F263D9">
        <w:t>6</w:t>
      </w:r>
      <w:r w:rsidR="006B12F1">
        <w:t xml:space="preserve">.6 </w:t>
      </w:r>
      <w:r>
        <w:t>Variable Life Insurance</w:t>
      </w:r>
    </w:p>
    <w:p w14:paraId="37303895" w14:textId="77777777" w:rsidR="00282CD0" w:rsidRPr="00671FC0" w:rsidRDefault="00282CD0" w:rsidP="00282CD0">
      <w:pPr>
        <w:pStyle w:val="Normal1"/>
        <w:shd w:val="clear" w:color="auto" w:fill="FFFFFF"/>
        <w:spacing w:before="0" w:after="0" w:afterAutospacing="0" w:line="240" w:lineRule="auto"/>
        <w:jc w:val="both"/>
        <w:rPr>
          <w:rFonts w:ascii="Times New Roman" w:hAnsi="Times New Roman" w:cs="Times New Roman"/>
          <w:color w:val="000000"/>
          <w:sz w:val="24"/>
          <w:szCs w:val="24"/>
        </w:rPr>
      </w:pPr>
      <w:r w:rsidRPr="00671FC0">
        <w:rPr>
          <w:rFonts w:ascii="Times New Roman" w:hAnsi="Times New Roman" w:cs="Times New Roman"/>
          <w:color w:val="000000"/>
          <w:sz w:val="24"/>
          <w:szCs w:val="24"/>
        </w:rPr>
        <w:t xml:space="preserve">Variable life insurance is a life insurance contract with an underlying investment component in securities investments. Variable life contracts include two types of policies: variable whole-life and variable universal life. Both allow the policyholder to invest part of the premium in mutual fund-like investment pools called sub-accounts which often </w:t>
      </w:r>
      <w:r w:rsidRPr="00671FC0">
        <w:rPr>
          <w:rFonts w:ascii="Times New Roman" w:hAnsi="Times New Roman" w:cs="Times New Roman"/>
          <w:color w:val="000000"/>
          <w:sz w:val="24"/>
          <w:szCs w:val="24"/>
        </w:rPr>
        <w:lastRenderedPageBreak/>
        <w:t xml:space="preserve">include a broad selection of funds from major mutual fund companies. Variable whole-life policies require fixed premiums; variable universal life policies allow the policyholder to vary payments. Variable life insurance offers a death benefit, similar to traditional life insurance. The cash value generated by the investment element is not guaranteed by the insurance company and can fluctuate depending on the performance of the investments. </w:t>
      </w:r>
    </w:p>
    <w:p w14:paraId="4FF77555" w14:textId="77777777" w:rsidR="00F0146C" w:rsidRPr="00671FC0" w:rsidRDefault="00F0146C" w:rsidP="00282CD0">
      <w:pPr>
        <w:pStyle w:val="Normal1"/>
        <w:shd w:val="clear" w:color="auto" w:fill="FFFFFF"/>
        <w:spacing w:before="0" w:after="0" w:afterAutospacing="0" w:line="240" w:lineRule="auto"/>
        <w:jc w:val="both"/>
        <w:rPr>
          <w:rFonts w:ascii="Times New Roman" w:hAnsi="Times New Roman" w:cs="Times New Roman"/>
          <w:color w:val="000000"/>
          <w:sz w:val="24"/>
          <w:szCs w:val="24"/>
        </w:rPr>
      </w:pPr>
    </w:p>
    <w:p w14:paraId="635D2979" w14:textId="77777777" w:rsidR="00282CD0" w:rsidRPr="00671FC0" w:rsidRDefault="00282CD0" w:rsidP="00C1728B">
      <w:pPr>
        <w:numPr>
          <w:ilvl w:val="0"/>
          <w:numId w:val="112"/>
        </w:numPr>
        <w:shd w:val="clear" w:color="auto" w:fill="FFFFFF"/>
        <w:jc w:val="both"/>
        <w:rPr>
          <w:color w:val="000000"/>
          <w:spacing w:val="8"/>
          <w:sz w:val="24"/>
          <w:szCs w:val="24"/>
        </w:rPr>
      </w:pPr>
      <w:r w:rsidRPr="00671FC0">
        <w:rPr>
          <w:color w:val="000000"/>
          <w:spacing w:val="8"/>
          <w:sz w:val="24"/>
          <w:szCs w:val="24"/>
        </w:rPr>
        <w:t xml:space="preserve">Customers must be advised of the risks of variable life insurance including the risk of loss in the underlying investments which may result in a cash value of the policy that is either too low to maintain the value of the death benefit or will become too low if the policyholder does not pay higher premiums. </w:t>
      </w:r>
    </w:p>
    <w:p w14:paraId="080D00DE" w14:textId="77777777" w:rsidR="00282CD0" w:rsidRPr="00671FC0" w:rsidRDefault="00282CD0" w:rsidP="00C1728B">
      <w:pPr>
        <w:numPr>
          <w:ilvl w:val="0"/>
          <w:numId w:val="112"/>
        </w:numPr>
        <w:shd w:val="clear" w:color="auto" w:fill="FFFFFF"/>
        <w:jc w:val="both"/>
        <w:rPr>
          <w:color w:val="000000"/>
          <w:spacing w:val="8"/>
          <w:sz w:val="24"/>
          <w:szCs w:val="24"/>
        </w:rPr>
      </w:pPr>
      <w:r w:rsidRPr="00671FC0">
        <w:rPr>
          <w:color w:val="000000"/>
          <w:spacing w:val="8"/>
          <w:sz w:val="24"/>
          <w:szCs w:val="24"/>
        </w:rPr>
        <w:t xml:space="preserve">Disclosure documents available for variable life products must be provided to the customer at the time of recommendation. A record should be made of provision of the disclosure document (when and to who provided). </w:t>
      </w:r>
      <w:r w:rsidR="00F0146C" w:rsidRPr="00671FC0">
        <w:rPr>
          <w:color w:val="000000"/>
          <w:spacing w:val="8"/>
          <w:sz w:val="24"/>
          <w:szCs w:val="24"/>
        </w:rPr>
        <w:t>Many insurance companies provide proprietary disclosure forms as well.</w:t>
      </w:r>
    </w:p>
    <w:p w14:paraId="75E70C6D" w14:textId="77777777" w:rsidR="00282CD0" w:rsidRPr="00671FC0" w:rsidRDefault="00282CD0" w:rsidP="00C1728B">
      <w:pPr>
        <w:numPr>
          <w:ilvl w:val="0"/>
          <w:numId w:val="112"/>
        </w:numPr>
        <w:shd w:val="clear" w:color="auto" w:fill="FFFFFF"/>
        <w:jc w:val="both"/>
        <w:rPr>
          <w:color w:val="000000"/>
          <w:spacing w:val="8"/>
          <w:sz w:val="24"/>
          <w:szCs w:val="24"/>
        </w:rPr>
      </w:pPr>
      <w:r w:rsidRPr="00671FC0">
        <w:rPr>
          <w:color w:val="000000"/>
          <w:spacing w:val="8"/>
          <w:sz w:val="24"/>
          <w:szCs w:val="24"/>
        </w:rPr>
        <w:t xml:space="preserve">For variable life insurance contracts, has the customer's need for life insurance already been met? </w:t>
      </w:r>
    </w:p>
    <w:p w14:paraId="3BD4B240" w14:textId="77777777" w:rsidR="00282CD0" w:rsidRPr="00671FC0" w:rsidRDefault="00282CD0" w:rsidP="00C1728B">
      <w:pPr>
        <w:numPr>
          <w:ilvl w:val="0"/>
          <w:numId w:val="112"/>
        </w:numPr>
        <w:shd w:val="clear" w:color="auto" w:fill="FFFFFF"/>
        <w:jc w:val="both"/>
        <w:rPr>
          <w:color w:val="000000"/>
          <w:spacing w:val="8"/>
          <w:sz w:val="24"/>
          <w:szCs w:val="24"/>
        </w:rPr>
      </w:pPr>
      <w:r w:rsidRPr="00671FC0">
        <w:rPr>
          <w:color w:val="000000"/>
          <w:spacing w:val="8"/>
          <w:sz w:val="24"/>
          <w:szCs w:val="24"/>
        </w:rPr>
        <w:t>RRs should not recommend that customer finance a variable life insurance policy from the value of another insurance policy or annuity, such as through the use of loans or cash values, unless the transaction is otherwise suitable for the customer. It may be difficult to justify such a financing arrangement and the practice is strongly discouraged.</w:t>
      </w:r>
    </w:p>
    <w:p w14:paraId="69C71671" w14:textId="77777777" w:rsidR="00282CD0" w:rsidRPr="00671FC0" w:rsidRDefault="00282CD0">
      <w:pPr>
        <w:rPr>
          <w:b/>
          <w:bCs/>
          <w:color w:val="000000"/>
          <w:sz w:val="24"/>
        </w:rPr>
      </w:pPr>
    </w:p>
    <w:p w14:paraId="15B4DB0C" w14:textId="77777777" w:rsidR="009160C6" w:rsidRDefault="009160C6">
      <w:pPr>
        <w:rPr>
          <w:b/>
          <w:bCs/>
          <w:sz w:val="24"/>
        </w:rPr>
      </w:pPr>
    </w:p>
    <w:p w14:paraId="564427B6" w14:textId="5F56BF43" w:rsidR="000C099C" w:rsidRPr="009826E9" w:rsidRDefault="009826E9" w:rsidP="00936FEE">
      <w:pPr>
        <w:pStyle w:val="Heading2"/>
      </w:pPr>
      <w:r>
        <w:t>1</w:t>
      </w:r>
      <w:r w:rsidR="00E42E43">
        <w:t>5</w:t>
      </w:r>
      <w:r>
        <w:t>.</w:t>
      </w:r>
      <w:r w:rsidR="00773CF1">
        <w:t>7</w:t>
      </w:r>
      <w:r w:rsidR="006B12F1">
        <w:t xml:space="preserve"> </w:t>
      </w:r>
      <w:r w:rsidR="000C099C" w:rsidRPr="009826E9">
        <w:t>Fixed Annuit</w:t>
      </w:r>
      <w:r w:rsidR="00C24F1F">
        <w:t>ies</w:t>
      </w:r>
    </w:p>
    <w:p w14:paraId="0FB44E7B" w14:textId="107AC7E0" w:rsidR="000C099C" w:rsidRPr="00930C77" w:rsidRDefault="00551959" w:rsidP="009826E9">
      <w:pPr>
        <w:jc w:val="both"/>
        <w:rPr>
          <w:sz w:val="24"/>
        </w:rPr>
      </w:pPr>
      <w:r>
        <w:rPr>
          <w:sz w:val="24"/>
        </w:rPr>
        <w:t>Fi</w:t>
      </w:r>
      <w:r w:rsidR="000C099C" w:rsidRPr="0035367E">
        <w:rPr>
          <w:sz w:val="24"/>
        </w:rPr>
        <w:t xml:space="preserve">xed annuities come under the guidelines pursuant to </w:t>
      </w:r>
      <w:r w:rsidR="00C25794">
        <w:rPr>
          <w:sz w:val="24"/>
        </w:rPr>
        <w:t xml:space="preserve">the </w:t>
      </w:r>
      <w:r w:rsidR="00C25794" w:rsidRPr="00930C77">
        <w:rPr>
          <w:sz w:val="24"/>
        </w:rPr>
        <w:t xml:space="preserve">NAIC Suitability in Annuity Transactions Model </w:t>
      </w:r>
      <w:r w:rsidR="007D2073" w:rsidRPr="00930C77">
        <w:rPr>
          <w:sz w:val="24"/>
        </w:rPr>
        <w:t>for those reps required to submit such business to the Company</w:t>
      </w:r>
      <w:r w:rsidR="00E370C5">
        <w:rPr>
          <w:sz w:val="24"/>
        </w:rPr>
        <w:t xml:space="preserve"> </w:t>
      </w:r>
      <w:r w:rsidR="00E370C5" w:rsidRPr="00551959">
        <w:rPr>
          <w:color w:val="FF0000"/>
          <w:sz w:val="24"/>
        </w:rPr>
        <w:t xml:space="preserve">(and/or PTE 84-24 for qualified </w:t>
      </w:r>
      <w:r w:rsidR="00E370C5">
        <w:rPr>
          <w:color w:val="FF0000"/>
          <w:sz w:val="24"/>
        </w:rPr>
        <w:t>accounts</w:t>
      </w:r>
      <w:r w:rsidR="00E370C5" w:rsidRPr="00551959">
        <w:rPr>
          <w:color w:val="FF0000"/>
          <w:sz w:val="24"/>
        </w:rPr>
        <w:t>)</w:t>
      </w:r>
      <w:r w:rsidR="000C099C" w:rsidRPr="00930C77">
        <w:rPr>
          <w:sz w:val="24"/>
        </w:rPr>
        <w:t xml:space="preserve">.  </w:t>
      </w:r>
      <w:r w:rsidR="007D2073" w:rsidRPr="00930C77">
        <w:rPr>
          <w:sz w:val="24"/>
        </w:rPr>
        <w:t xml:space="preserve">Reps required to submit their fixed annuity business only include home office reps.  </w:t>
      </w:r>
      <w:r w:rsidR="000C099C" w:rsidRPr="00930C77">
        <w:rPr>
          <w:sz w:val="24"/>
        </w:rPr>
        <w:t xml:space="preserve">A suitability review must be conducted for each prospective purchaser as evidenced by </w:t>
      </w:r>
      <w:r w:rsidR="0091744B" w:rsidRPr="0091744B">
        <w:rPr>
          <w:color w:val="FF0000"/>
          <w:sz w:val="24"/>
        </w:rPr>
        <w:t xml:space="preserve">either </w:t>
      </w:r>
      <w:r w:rsidR="000C099C" w:rsidRPr="00930C77">
        <w:rPr>
          <w:sz w:val="24"/>
        </w:rPr>
        <w:t xml:space="preserve">the new account form along with principal approval </w:t>
      </w:r>
      <w:r w:rsidR="0091744B" w:rsidRPr="0091744B">
        <w:rPr>
          <w:color w:val="FF0000"/>
          <w:sz w:val="24"/>
        </w:rPr>
        <w:t xml:space="preserve">or the insurance company suitability review forms </w:t>
      </w:r>
      <w:r w:rsidR="000C099C" w:rsidRPr="00930C77">
        <w:rPr>
          <w:sz w:val="24"/>
        </w:rPr>
        <w:t xml:space="preserve">for in-house </w:t>
      </w:r>
      <w:r w:rsidR="00E810C6" w:rsidRPr="00930C77">
        <w:rPr>
          <w:sz w:val="24"/>
        </w:rPr>
        <w:t>A</w:t>
      </w:r>
      <w:r w:rsidR="000C099C" w:rsidRPr="00930C77">
        <w:rPr>
          <w:sz w:val="24"/>
        </w:rPr>
        <w:t xml:space="preserve">ssociated </w:t>
      </w:r>
      <w:r w:rsidR="00E810C6" w:rsidRPr="00930C77">
        <w:rPr>
          <w:sz w:val="24"/>
        </w:rPr>
        <w:t>P</w:t>
      </w:r>
      <w:r w:rsidR="000C099C" w:rsidRPr="00930C77">
        <w:rPr>
          <w:sz w:val="24"/>
        </w:rPr>
        <w:t xml:space="preserve">ersons.  </w:t>
      </w:r>
      <w:r w:rsidR="00C25794" w:rsidRPr="00930C77">
        <w:rPr>
          <w:sz w:val="24"/>
        </w:rPr>
        <w:t xml:space="preserve">As well as the three, new forms required by the NAIC Suitability in Annuity Transactions Model which include: </w:t>
      </w:r>
    </w:p>
    <w:p w14:paraId="072A7091" w14:textId="38E82D21" w:rsidR="00C25794" w:rsidRPr="00930C77" w:rsidRDefault="00C25794" w:rsidP="0005402C">
      <w:pPr>
        <w:pStyle w:val="ListParagraph"/>
        <w:numPr>
          <w:ilvl w:val="0"/>
          <w:numId w:val="386"/>
        </w:numPr>
        <w:jc w:val="both"/>
        <w:rPr>
          <w:sz w:val="24"/>
        </w:rPr>
      </w:pPr>
      <w:r w:rsidRPr="00930C77">
        <w:rPr>
          <w:sz w:val="24"/>
        </w:rPr>
        <w:t>Insurance Agent Disclosure for Annuities;</w:t>
      </w:r>
    </w:p>
    <w:p w14:paraId="29A3A292" w14:textId="75C62699" w:rsidR="00C25794" w:rsidRPr="00930C77" w:rsidRDefault="00C25794" w:rsidP="0005402C">
      <w:pPr>
        <w:pStyle w:val="ListParagraph"/>
        <w:numPr>
          <w:ilvl w:val="0"/>
          <w:numId w:val="386"/>
        </w:numPr>
        <w:jc w:val="both"/>
        <w:rPr>
          <w:sz w:val="24"/>
        </w:rPr>
      </w:pPr>
      <w:r w:rsidRPr="00930C77">
        <w:rPr>
          <w:sz w:val="24"/>
        </w:rPr>
        <w:t>Consumer Refusal to Provide Information; and</w:t>
      </w:r>
    </w:p>
    <w:p w14:paraId="4DC3BDBB" w14:textId="0C280676" w:rsidR="00C25794" w:rsidRPr="00930C77" w:rsidRDefault="00C25794" w:rsidP="0005402C">
      <w:pPr>
        <w:pStyle w:val="ListParagraph"/>
        <w:numPr>
          <w:ilvl w:val="0"/>
          <w:numId w:val="386"/>
        </w:numPr>
        <w:jc w:val="both"/>
        <w:rPr>
          <w:sz w:val="24"/>
        </w:rPr>
      </w:pPr>
      <w:r w:rsidRPr="00930C77">
        <w:rPr>
          <w:sz w:val="24"/>
        </w:rPr>
        <w:t>Consumer Decision to Purchase an Annuity Not Based on a Recommendation.</w:t>
      </w:r>
    </w:p>
    <w:p w14:paraId="1333849A" w14:textId="77777777" w:rsidR="000C099C" w:rsidRDefault="000C099C" w:rsidP="009826E9">
      <w:pPr>
        <w:jc w:val="both"/>
        <w:rPr>
          <w:sz w:val="24"/>
        </w:rPr>
      </w:pPr>
    </w:p>
    <w:p w14:paraId="3A72B919" w14:textId="6CB78879" w:rsidR="000C099C" w:rsidRDefault="000C099C" w:rsidP="009826E9">
      <w:pPr>
        <w:jc w:val="both"/>
        <w:rPr>
          <w:sz w:val="24"/>
        </w:rPr>
      </w:pPr>
      <w:r>
        <w:rPr>
          <w:sz w:val="24"/>
        </w:rPr>
        <w:t xml:space="preserve">Prior to or simultaneous with any transaction with an insurance company, a general agent contract, if applicable, must be in place OR both the </w:t>
      </w:r>
      <w:r w:rsidR="000B3A57">
        <w:rPr>
          <w:sz w:val="24"/>
        </w:rPr>
        <w:t>Company</w:t>
      </w:r>
      <w:r>
        <w:rPr>
          <w:sz w:val="24"/>
        </w:rPr>
        <w:t xml:space="preserve"> and the agent must be appointed with the applicable insurance company.  Any checks received for an application must be entered into the Checks Received and Forwarded Blotter and forwarded within 24 hours of receipt.  In addition, a record of the transaction will be entered into the Daily Blotter.  The Insurance Products Investment Receipt and Disclosure Form must accompany the account paperwork.</w:t>
      </w:r>
    </w:p>
    <w:p w14:paraId="57FB70AF" w14:textId="6ABDDB59" w:rsidR="00C24F1F" w:rsidRDefault="00C24F1F">
      <w:pPr>
        <w:rPr>
          <w:sz w:val="24"/>
        </w:rPr>
      </w:pPr>
      <w:r>
        <w:rPr>
          <w:sz w:val="24"/>
        </w:rPr>
        <w:br w:type="page"/>
      </w:r>
    </w:p>
    <w:p w14:paraId="20E7D115" w14:textId="77777777" w:rsidR="00385394" w:rsidRDefault="00385394" w:rsidP="00385394">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305" w:name="CDs"/>
    </w:p>
    <w:p w14:paraId="784CD084" w14:textId="77777777" w:rsidR="00385394" w:rsidRDefault="00E34E59" w:rsidP="00385394">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306" w:name="_Toc227820453"/>
      <w:bookmarkStart w:id="307" w:name="_Toc227821718"/>
      <w:bookmarkStart w:id="308" w:name="_Toc227821836"/>
      <w:bookmarkStart w:id="309" w:name="_Toc535916181"/>
      <w:r>
        <w:t>1</w:t>
      </w:r>
      <w:r w:rsidR="00E42E43">
        <w:t>6</w:t>
      </w:r>
      <w:r w:rsidR="0048023D">
        <w:t>.</w:t>
      </w:r>
      <w:r w:rsidR="00D218EE">
        <w:t xml:space="preserve">  </w:t>
      </w:r>
      <w:r w:rsidR="000C099C">
        <w:t xml:space="preserve">CERTIFICATES OF </w:t>
      </w:r>
      <w:r w:rsidR="00385394">
        <w:t>DEPOSIT</w:t>
      </w:r>
      <w:bookmarkEnd w:id="306"/>
      <w:bookmarkEnd w:id="307"/>
      <w:bookmarkEnd w:id="308"/>
      <w:bookmarkEnd w:id="309"/>
    </w:p>
    <w:p w14:paraId="35E85981" w14:textId="77777777" w:rsidR="00385394" w:rsidRDefault="00385394" w:rsidP="00385394">
      <w:pPr>
        <w:pStyle w:val="Heading1"/>
        <w:pBdr>
          <w:top w:val="double" w:sz="12" w:space="1" w:color="000099"/>
          <w:left w:val="double" w:sz="12" w:space="4" w:color="000099"/>
          <w:bottom w:val="double" w:sz="12" w:space="1" w:color="000099"/>
          <w:right w:val="double" w:sz="12" w:space="4" w:color="000099"/>
        </w:pBdr>
        <w:shd w:val="pct10" w:color="0000FF" w:fill="auto"/>
        <w:jc w:val="center"/>
      </w:pPr>
    </w:p>
    <w:bookmarkEnd w:id="305"/>
    <w:p w14:paraId="2DBE85F4" w14:textId="77777777" w:rsidR="000C099C" w:rsidRDefault="000C099C" w:rsidP="00566378"/>
    <w:p w14:paraId="01259E30" w14:textId="77777777" w:rsidR="00385394" w:rsidRDefault="00385394" w:rsidP="00385394"/>
    <w:p w14:paraId="1B3241ED" w14:textId="77777777" w:rsidR="00143F6E" w:rsidRDefault="00730BE5" w:rsidP="00936FEE">
      <w:pPr>
        <w:pStyle w:val="Heading2"/>
      </w:pPr>
      <w:r>
        <w:t>1</w:t>
      </w:r>
      <w:r w:rsidR="00E42E43">
        <w:t>6</w:t>
      </w:r>
      <w:r w:rsidR="00143F6E">
        <w:t>.1 Introduction</w:t>
      </w:r>
    </w:p>
    <w:p w14:paraId="7217D432" w14:textId="77777777" w:rsidR="00143F6E" w:rsidRDefault="00143F6E" w:rsidP="00385394">
      <w:pPr>
        <w:rPr>
          <w:sz w:val="24"/>
          <w:szCs w:val="24"/>
        </w:rPr>
      </w:pPr>
      <w:r>
        <w:rPr>
          <w:sz w:val="24"/>
          <w:szCs w:val="24"/>
        </w:rPr>
        <w:t xml:space="preserve">This section addresses rules and procedures related to the offer and sale of Certificates of Deposit.  Although not considered a security by the SEC or FINRA, many state securities boards deem them to be, including Texas.  </w:t>
      </w:r>
    </w:p>
    <w:p w14:paraId="1734893A" w14:textId="7C5DC38B" w:rsidR="00143F6E" w:rsidRDefault="00143F6E" w:rsidP="00385394">
      <w:pPr>
        <w:rPr>
          <w:sz w:val="24"/>
          <w:szCs w:val="24"/>
        </w:rPr>
      </w:pPr>
    </w:p>
    <w:p w14:paraId="541AAAD4" w14:textId="77777777" w:rsidR="002A6D7C" w:rsidRPr="00E810C6" w:rsidRDefault="002A6D7C" w:rsidP="002A6D7C">
      <w:pPr>
        <w:jc w:val="both"/>
        <w:rPr>
          <w:sz w:val="24"/>
          <w:szCs w:val="24"/>
        </w:rPr>
      </w:pPr>
      <w:r w:rsidRPr="00E810C6">
        <w:rPr>
          <w:spacing w:val="8"/>
          <w:sz w:val="24"/>
          <w:szCs w:val="24"/>
          <w:shd w:val="clear" w:color="auto" w:fill="FFFFFF"/>
        </w:rPr>
        <w:t>References to "suitability" apply only to those recommendations NOT subject to Regulation Best Interest (BI) which applies to retail customers and is addressed in a separate chapter by that name. Suitability requirements apply to entities and institutions (</w:t>
      </w:r>
      <w:r w:rsidRPr="00E810C6">
        <w:rPr>
          <w:i/>
          <w:iCs/>
          <w:spacing w:val="8"/>
          <w:sz w:val="24"/>
          <w:szCs w:val="24"/>
          <w:shd w:val="clear" w:color="auto" w:fill="FFFFFF"/>
        </w:rPr>
        <w:t>e.g.,</w:t>
      </w:r>
      <w:r w:rsidRPr="00E810C6">
        <w:rPr>
          <w:spacing w:val="8"/>
          <w:sz w:val="24"/>
          <w:szCs w:val="24"/>
          <w:shd w:val="clear" w:color="auto" w:fill="FFFFFF"/>
        </w:rPr>
        <w:t> pension funds) and natural persons who will not use recommendations primarily for personal, family, or household purposes (</w:t>
      </w:r>
      <w:r w:rsidRPr="00E810C6">
        <w:rPr>
          <w:i/>
          <w:iCs/>
          <w:spacing w:val="8"/>
          <w:sz w:val="24"/>
          <w:szCs w:val="24"/>
          <w:shd w:val="clear" w:color="auto" w:fill="FFFFFF"/>
        </w:rPr>
        <w:t>e.g.,</w:t>
      </w:r>
      <w:r w:rsidRPr="00E810C6">
        <w:rPr>
          <w:spacing w:val="8"/>
          <w:sz w:val="24"/>
          <w:szCs w:val="24"/>
          <w:shd w:val="clear" w:color="auto" w:fill="FFFFFF"/>
        </w:rPr>
        <w:t> small business owners and charitable trusts). Refer to the Section 5.7 </w:t>
      </w:r>
      <w:r w:rsidRPr="00E810C6">
        <w:rPr>
          <w:i/>
          <w:iCs/>
          <w:spacing w:val="8"/>
          <w:sz w:val="24"/>
          <w:szCs w:val="24"/>
          <w:shd w:val="clear" w:color="auto" w:fill="FFFFFF"/>
        </w:rPr>
        <w:t>REGULATION BEST INTEREST (BI)</w:t>
      </w:r>
      <w:r w:rsidRPr="00E810C6">
        <w:rPr>
          <w:spacing w:val="8"/>
          <w:sz w:val="24"/>
          <w:szCs w:val="24"/>
          <w:shd w:val="clear" w:color="auto" w:fill="FFFFFF"/>
        </w:rPr>
        <w:t> for requirements when dealing with retail customers.</w:t>
      </w:r>
    </w:p>
    <w:p w14:paraId="34239512" w14:textId="77777777" w:rsidR="002A6D7C" w:rsidRPr="00E810C6" w:rsidRDefault="002A6D7C" w:rsidP="00385394">
      <w:pPr>
        <w:rPr>
          <w:sz w:val="24"/>
          <w:szCs w:val="24"/>
        </w:rPr>
      </w:pPr>
    </w:p>
    <w:p w14:paraId="55812619" w14:textId="77777777" w:rsidR="00143F6E" w:rsidRDefault="00143F6E" w:rsidP="00385394">
      <w:pPr>
        <w:rPr>
          <w:sz w:val="24"/>
          <w:szCs w:val="24"/>
        </w:rPr>
      </w:pPr>
    </w:p>
    <w:p w14:paraId="569F777B" w14:textId="77777777" w:rsidR="00143F6E" w:rsidRDefault="00143F6E" w:rsidP="00936FEE">
      <w:pPr>
        <w:pStyle w:val="Heading2"/>
      </w:pPr>
      <w:r>
        <w:t>1</w:t>
      </w:r>
      <w:r w:rsidR="00E42E43">
        <w:t>6</w:t>
      </w:r>
      <w:r>
        <w:t>.2 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81"/>
        <w:gridCol w:w="6991"/>
      </w:tblGrid>
      <w:tr w:rsidR="00143F6E" w:rsidRPr="0033456B" w14:paraId="4D17DB05" w14:textId="77777777" w:rsidTr="00143F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EB780D3" w14:textId="77777777" w:rsidR="00143F6E" w:rsidRPr="0033456B" w:rsidRDefault="00143F6E" w:rsidP="00143F6E">
            <w:pPr>
              <w:jc w:val="center"/>
              <w:rPr>
                <w:b/>
                <w:bCs/>
                <w:color w:val="000000"/>
                <w:spacing w:val="8"/>
                <w:sz w:val="24"/>
                <w:szCs w:val="24"/>
              </w:rPr>
            </w:pPr>
            <w:r w:rsidRPr="0033456B">
              <w:rPr>
                <w:b/>
                <w:bCs/>
                <w:color w:val="000000"/>
                <w:spacing w:val="8"/>
                <w:sz w:val="24"/>
                <w:szCs w:val="24"/>
              </w:rPr>
              <w:t>Responsibility</w:t>
            </w:r>
          </w:p>
        </w:tc>
        <w:tc>
          <w:tcPr>
            <w:tcW w:w="0" w:type="auto"/>
            <w:tcBorders>
              <w:top w:val="outset" w:sz="6" w:space="0" w:color="auto"/>
              <w:left w:val="outset" w:sz="6" w:space="0" w:color="auto"/>
              <w:bottom w:val="outset" w:sz="6" w:space="0" w:color="auto"/>
              <w:right w:val="outset" w:sz="6" w:space="0" w:color="auto"/>
            </w:tcBorders>
            <w:vAlign w:val="center"/>
          </w:tcPr>
          <w:p w14:paraId="20D60202" w14:textId="77777777" w:rsidR="00143F6E" w:rsidRPr="0033456B" w:rsidRDefault="00143F6E" w:rsidP="00C1728B">
            <w:pPr>
              <w:numPr>
                <w:ilvl w:val="0"/>
                <w:numId w:val="59"/>
              </w:numPr>
              <w:rPr>
                <w:color w:val="000000"/>
                <w:spacing w:val="8"/>
                <w:sz w:val="24"/>
                <w:szCs w:val="24"/>
              </w:rPr>
            </w:pPr>
            <w:r w:rsidRPr="0033456B">
              <w:rPr>
                <w:color w:val="000000"/>
                <w:spacing w:val="8"/>
                <w:sz w:val="24"/>
                <w:szCs w:val="24"/>
              </w:rPr>
              <w:t>Designated Supervisors or Principal</w:t>
            </w:r>
          </w:p>
        </w:tc>
      </w:tr>
      <w:tr w:rsidR="00143F6E" w:rsidRPr="0033456B" w14:paraId="344EBAEC" w14:textId="77777777" w:rsidTr="00143F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73A35EB" w14:textId="77777777" w:rsidR="00143F6E" w:rsidRPr="0033456B" w:rsidRDefault="00143F6E" w:rsidP="00143F6E">
            <w:pPr>
              <w:jc w:val="center"/>
              <w:rPr>
                <w:b/>
                <w:bCs/>
                <w:color w:val="000000"/>
                <w:spacing w:val="8"/>
                <w:sz w:val="24"/>
                <w:szCs w:val="24"/>
              </w:rPr>
            </w:pPr>
            <w:r w:rsidRPr="0033456B">
              <w:rPr>
                <w:b/>
                <w:bCs/>
                <w:color w:val="000000"/>
                <w:spacing w:val="8"/>
                <w:sz w:val="24"/>
                <w:szCs w:val="24"/>
              </w:rPr>
              <w:t>Statutes</w:t>
            </w:r>
          </w:p>
        </w:tc>
        <w:tc>
          <w:tcPr>
            <w:tcW w:w="0" w:type="auto"/>
            <w:tcBorders>
              <w:top w:val="outset" w:sz="6" w:space="0" w:color="auto"/>
              <w:left w:val="outset" w:sz="6" w:space="0" w:color="auto"/>
              <w:bottom w:val="outset" w:sz="6" w:space="0" w:color="auto"/>
              <w:right w:val="outset" w:sz="6" w:space="0" w:color="auto"/>
            </w:tcBorders>
            <w:vAlign w:val="center"/>
          </w:tcPr>
          <w:p w14:paraId="7F334FCF" w14:textId="77777777" w:rsidR="00143F6E" w:rsidRPr="0033456B" w:rsidRDefault="008A59F9" w:rsidP="00C1728B">
            <w:pPr>
              <w:numPr>
                <w:ilvl w:val="0"/>
                <w:numId w:val="60"/>
              </w:numPr>
              <w:rPr>
                <w:color w:val="000000"/>
                <w:spacing w:val="8"/>
                <w:sz w:val="24"/>
                <w:szCs w:val="24"/>
              </w:rPr>
            </w:pPr>
            <w:r w:rsidRPr="0033456B">
              <w:rPr>
                <w:color w:val="000000"/>
                <w:spacing w:val="8"/>
                <w:sz w:val="24"/>
                <w:szCs w:val="24"/>
              </w:rPr>
              <w:t>State Securities Board Rules</w:t>
            </w:r>
          </w:p>
          <w:p w14:paraId="6E89B76D" w14:textId="77777777" w:rsidR="008A59F9" w:rsidRPr="0033456B" w:rsidRDefault="008A59F9" w:rsidP="00C1728B">
            <w:pPr>
              <w:numPr>
                <w:ilvl w:val="0"/>
                <w:numId w:val="60"/>
              </w:numPr>
              <w:rPr>
                <w:color w:val="000000"/>
                <w:spacing w:val="8"/>
                <w:sz w:val="24"/>
                <w:szCs w:val="24"/>
              </w:rPr>
            </w:pPr>
            <w:r w:rsidRPr="0033456B">
              <w:rPr>
                <w:color w:val="000000"/>
                <w:spacing w:val="8"/>
                <w:sz w:val="24"/>
                <w:szCs w:val="24"/>
              </w:rPr>
              <w:t>FINRA Notice To Members 02-28, 02-69</w:t>
            </w:r>
          </w:p>
        </w:tc>
      </w:tr>
      <w:tr w:rsidR="00143F6E" w:rsidRPr="0033456B" w14:paraId="15FC557B" w14:textId="77777777" w:rsidTr="00143F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B65BFFB" w14:textId="77777777" w:rsidR="00143F6E" w:rsidRPr="0033456B" w:rsidRDefault="00143F6E" w:rsidP="00143F6E">
            <w:pPr>
              <w:jc w:val="center"/>
              <w:rPr>
                <w:b/>
                <w:bCs/>
                <w:color w:val="000000"/>
                <w:spacing w:val="8"/>
                <w:sz w:val="24"/>
                <w:szCs w:val="24"/>
              </w:rPr>
            </w:pPr>
            <w:r w:rsidRPr="0033456B">
              <w:rPr>
                <w:b/>
                <w:bCs/>
                <w:color w:val="000000"/>
                <w:spacing w:val="8"/>
                <w:sz w:val="24"/>
                <w:szCs w:val="24"/>
              </w:rPr>
              <w:t>Frequency</w:t>
            </w:r>
          </w:p>
        </w:tc>
        <w:tc>
          <w:tcPr>
            <w:tcW w:w="0" w:type="auto"/>
            <w:tcBorders>
              <w:top w:val="outset" w:sz="6" w:space="0" w:color="auto"/>
              <w:left w:val="outset" w:sz="6" w:space="0" w:color="auto"/>
              <w:bottom w:val="outset" w:sz="6" w:space="0" w:color="auto"/>
              <w:right w:val="outset" w:sz="6" w:space="0" w:color="auto"/>
            </w:tcBorders>
            <w:vAlign w:val="center"/>
          </w:tcPr>
          <w:p w14:paraId="1982EEA1" w14:textId="77777777" w:rsidR="00143F6E" w:rsidRPr="0033456B" w:rsidRDefault="00143F6E" w:rsidP="00C1728B">
            <w:pPr>
              <w:numPr>
                <w:ilvl w:val="0"/>
                <w:numId w:val="60"/>
              </w:numPr>
              <w:rPr>
                <w:color w:val="000000"/>
                <w:spacing w:val="8"/>
                <w:sz w:val="24"/>
                <w:szCs w:val="24"/>
              </w:rPr>
            </w:pPr>
            <w:r w:rsidRPr="0033456B">
              <w:rPr>
                <w:color w:val="000000"/>
                <w:spacing w:val="8"/>
                <w:sz w:val="24"/>
                <w:szCs w:val="24"/>
              </w:rPr>
              <w:t>As required</w:t>
            </w:r>
          </w:p>
          <w:p w14:paraId="4F096649" w14:textId="77777777" w:rsidR="00143F6E" w:rsidRPr="0033456B" w:rsidRDefault="00143F6E" w:rsidP="00C1728B">
            <w:pPr>
              <w:numPr>
                <w:ilvl w:val="0"/>
                <w:numId w:val="60"/>
              </w:numPr>
              <w:rPr>
                <w:color w:val="000000"/>
                <w:spacing w:val="8"/>
                <w:sz w:val="24"/>
                <w:szCs w:val="24"/>
              </w:rPr>
            </w:pPr>
            <w:r w:rsidRPr="0033456B">
              <w:rPr>
                <w:color w:val="000000"/>
                <w:spacing w:val="8"/>
                <w:sz w:val="24"/>
                <w:szCs w:val="24"/>
              </w:rPr>
              <w:t>Daily trade blotters</w:t>
            </w:r>
          </w:p>
          <w:p w14:paraId="36A5E985" w14:textId="77777777" w:rsidR="00143F6E" w:rsidRPr="0033456B" w:rsidRDefault="00143F6E" w:rsidP="00C1728B">
            <w:pPr>
              <w:numPr>
                <w:ilvl w:val="0"/>
                <w:numId w:val="60"/>
              </w:numPr>
              <w:rPr>
                <w:color w:val="000000"/>
                <w:spacing w:val="8"/>
                <w:sz w:val="24"/>
                <w:szCs w:val="24"/>
              </w:rPr>
            </w:pPr>
            <w:r w:rsidRPr="0033456B">
              <w:rPr>
                <w:color w:val="000000"/>
                <w:spacing w:val="8"/>
                <w:sz w:val="24"/>
                <w:szCs w:val="24"/>
              </w:rPr>
              <w:t>Annual training</w:t>
            </w:r>
          </w:p>
        </w:tc>
      </w:tr>
      <w:tr w:rsidR="00143F6E" w:rsidRPr="0033456B" w14:paraId="1255007F" w14:textId="77777777" w:rsidTr="00143F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C681213" w14:textId="77777777" w:rsidR="00143F6E" w:rsidRPr="0033456B" w:rsidRDefault="00143F6E" w:rsidP="00143F6E">
            <w:pPr>
              <w:jc w:val="center"/>
              <w:rPr>
                <w:b/>
                <w:bCs/>
                <w:color w:val="000000"/>
                <w:spacing w:val="8"/>
                <w:sz w:val="24"/>
                <w:szCs w:val="24"/>
              </w:rPr>
            </w:pPr>
            <w:r w:rsidRPr="0033456B">
              <w:rPr>
                <w:b/>
                <w:bCs/>
                <w:color w:val="000000"/>
                <w:spacing w:val="8"/>
                <w:sz w:val="24"/>
                <w:szCs w:val="24"/>
              </w:rPr>
              <w:t>Actions</w:t>
            </w:r>
          </w:p>
        </w:tc>
        <w:tc>
          <w:tcPr>
            <w:tcW w:w="0" w:type="auto"/>
            <w:tcBorders>
              <w:top w:val="outset" w:sz="6" w:space="0" w:color="auto"/>
              <w:left w:val="outset" w:sz="6" w:space="0" w:color="auto"/>
              <w:bottom w:val="outset" w:sz="6" w:space="0" w:color="auto"/>
              <w:right w:val="outset" w:sz="6" w:space="0" w:color="auto"/>
            </w:tcBorders>
            <w:vAlign w:val="center"/>
          </w:tcPr>
          <w:p w14:paraId="0F8A13D5" w14:textId="77777777" w:rsidR="00143F6E" w:rsidRPr="0033456B" w:rsidRDefault="00143F6E" w:rsidP="00C1728B">
            <w:pPr>
              <w:numPr>
                <w:ilvl w:val="0"/>
                <w:numId w:val="97"/>
              </w:numPr>
              <w:rPr>
                <w:color w:val="000000"/>
                <w:spacing w:val="8"/>
                <w:sz w:val="24"/>
                <w:szCs w:val="24"/>
              </w:rPr>
            </w:pPr>
            <w:r w:rsidRPr="0033456B">
              <w:rPr>
                <w:color w:val="000000"/>
                <w:spacing w:val="8"/>
                <w:sz w:val="24"/>
                <w:szCs w:val="24"/>
              </w:rPr>
              <w:t xml:space="preserve">Review of order information </w:t>
            </w:r>
          </w:p>
          <w:p w14:paraId="3F279D4F" w14:textId="77777777" w:rsidR="00143F6E" w:rsidRPr="0033456B" w:rsidRDefault="00143F6E" w:rsidP="00C1728B">
            <w:pPr>
              <w:numPr>
                <w:ilvl w:val="0"/>
                <w:numId w:val="97"/>
              </w:numPr>
              <w:rPr>
                <w:color w:val="000000"/>
                <w:spacing w:val="8"/>
                <w:sz w:val="24"/>
                <w:szCs w:val="24"/>
              </w:rPr>
            </w:pPr>
            <w:r w:rsidRPr="0033456B">
              <w:rPr>
                <w:color w:val="000000"/>
                <w:spacing w:val="8"/>
                <w:sz w:val="24"/>
                <w:szCs w:val="24"/>
              </w:rPr>
              <w:t>Review of New Account documents</w:t>
            </w:r>
          </w:p>
          <w:p w14:paraId="6DCAABC0" w14:textId="77777777" w:rsidR="00143F6E" w:rsidRDefault="00143F6E" w:rsidP="00C1728B">
            <w:pPr>
              <w:numPr>
                <w:ilvl w:val="0"/>
                <w:numId w:val="94"/>
              </w:numPr>
              <w:rPr>
                <w:color w:val="000000"/>
                <w:spacing w:val="8"/>
                <w:sz w:val="24"/>
                <w:szCs w:val="24"/>
              </w:rPr>
            </w:pPr>
            <w:r w:rsidRPr="0033456B">
              <w:rPr>
                <w:color w:val="000000"/>
                <w:spacing w:val="8"/>
                <w:sz w:val="24"/>
                <w:szCs w:val="24"/>
              </w:rPr>
              <w:t>Review of Disclosure Forms if applicable</w:t>
            </w:r>
          </w:p>
          <w:p w14:paraId="132BCC9B" w14:textId="77777777" w:rsidR="00422B24" w:rsidRPr="00782454" w:rsidRDefault="00422B24" w:rsidP="00C1728B">
            <w:pPr>
              <w:numPr>
                <w:ilvl w:val="0"/>
                <w:numId w:val="94"/>
              </w:numPr>
              <w:rPr>
                <w:spacing w:val="8"/>
                <w:sz w:val="24"/>
                <w:szCs w:val="24"/>
              </w:rPr>
            </w:pPr>
            <w:r w:rsidRPr="00782454">
              <w:rPr>
                <w:spacing w:val="8"/>
                <w:sz w:val="24"/>
                <w:szCs w:val="24"/>
              </w:rPr>
              <w:t>Review of any Retail Communication</w:t>
            </w:r>
          </w:p>
        </w:tc>
      </w:tr>
      <w:tr w:rsidR="00143F6E" w:rsidRPr="0033456B" w14:paraId="26A934E8" w14:textId="77777777" w:rsidTr="00143F6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200C5BA" w14:textId="77777777" w:rsidR="00143F6E" w:rsidRPr="0033456B" w:rsidRDefault="00143F6E" w:rsidP="00143F6E">
            <w:pPr>
              <w:jc w:val="center"/>
              <w:rPr>
                <w:b/>
                <w:bCs/>
                <w:color w:val="000000"/>
                <w:spacing w:val="8"/>
                <w:sz w:val="24"/>
                <w:szCs w:val="24"/>
              </w:rPr>
            </w:pPr>
            <w:r w:rsidRPr="0033456B">
              <w:rPr>
                <w:b/>
                <w:bCs/>
                <w:color w:val="000000"/>
                <w:spacing w:val="8"/>
                <w:sz w:val="24"/>
                <w:szCs w:val="24"/>
              </w:rPr>
              <w:t>Records</w:t>
            </w:r>
          </w:p>
        </w:tc>
        <w:tc>
          <w:tcPr>
            <w:tcW w:w="0" w:type="auto"/>
            <w:tcBorders>
              <w:top w:val="outset" w:sz="6" w:space="0" w:color="auto"/>
              <w:left w:val="outset" w:sz="6" w:space="0" w:color="auto"/>
              <w:bottom w:val="outset" w:sz="6" w:space="0" w:color="auto"/>
              <w:right w:val="outset" w:sz="6" w:space="0" w:color="auto"/>
            </w:tcBorders>
            <w:vAlign w:val="center"/>
          </w:tcPr>
          <w:p w14:paraId="52AE563F" w14:textId="77777777" w:rsidR="00143F6E" w:rsidRPr="0033456B" w:rsidRDefault="00143F6E" w:rsidP="00C1728B">
            <w:pPr>
              <w:numPr>
                <w:ilvl w:val="0"/>
                <w:numId w:val="95"/>
              </w:numPr>
              <w:rPr>
                <w:color w:val="000000"/>
                <w:spacing w:val="8"/>
                <w:sz w:val="24"/>
                <w:szCs w:val="24"/>
              </w:rPr>
            </w:pPr>
            <w:r w:rsidRPr="0033456B">
              <w:rPr>
                <w:color w:val="000000"/>
                <w:spacing w:val="8"/>
                <w:sz w:val="24"/>
                <w:szCs w:val="24"/>
              </w:rPr>
              <w:t>Trade blotters</w:t>
            </w:r>
          </w:p>
          <w:p w14:paraId="052F9B63" w14:textId="77777777" w:rsidR="00143F6E" w:rsidRPr="0033456B" w:rsidRDefault="00143F6E" w:rsidP="00C1728B">
            <w:pPr>
              <w:numPr>
                <w:ilvl w:val="0"/>
                <w:numId w:val="95"/>
              </w:numPr>
              <w:rPr>
                <w:color w:val="000000"/>
                <w:spacing w:val="8"/>
                <w:sz w:val="24"/>
                <w:szCs w:val="24"/>
              </w:rPr>
            </w:pPr>
            <w:r w:rsidRPr="0033456B">
              <w:rPr>
                <w:color w:val="000000"/>
                <w:spacing w:val="8"/>
                <w:sz w:val="24"/>
                <w:szCs w:val="24"/>
              </w:rPr>
              <w:t>Account Documents</w:t>
            </w:r>
          </w:p>
          <w:p w14:paraId="0E68D90B" w14:textId="77777777" w:rsidR="00143F6E" w:rsidRDefault="00143F6E" w:rsidP="00C1728B">
            <w:pPr>
              <w:numPr>
                <w:ilvl w:val="0"/>
                <w:numId w:val="95"/>
              </w:numPr>
              <w:rPr>
                <w:color w:val="000000"/>
                <w:spacing w:val="8"/>
                <w:sz w:val="24"/>
                <w:szCs w:val="24"/>
              </w:rPr>
            </w:pPr>
            <w:r w:rsidRPr="0033456B">
              <w:rPr>
                <w:color w:val="000000"/>
                <w:spacing w:val="8"/>
                <w:sz w:val="24"/>
                <w:szCs w:val="24"/>
              </w:rPr>
              <w:t xml:space="preserve">Disclosure Forms </w:t>
            </w:r>
          </w:p>
          <w:p w14:paraId="675B37B0" w14:textId="77777777" w:rsidR="00422B24" w:rsidRPr="00782454" w:rsidRDefault="00422B24" w:rsidP="00C1728B">
            <w:pPr>
              <w:numPr>
                <w:ilvl w:val="0"/>
                <w:numId w:val="95"/>
              </w:numPr>
              <w:rPr>
                <w:spacing w:val="8"/>
                <w:sz w:val="24"/>
                <w:szCs w:val="24"/>
              </w:rPr>
            </w:pPr>
            <w:r w:rsidRPr="00782454">
              <w:rPr>
                <w:spacing w:val="8"/>
                <w:sz w:val="24"/>
                <w:szCs w:val="24"/>
              </w:rPr>
              <w:t>Retail Communication</w:t>
            </w:r>
          </w:p>
          <w:p w14:paraId="317439B9" w14:textId="77777777" w:rsidR="00143F6E" w:rsidRPr="0033456B" w:rsidRDefault="00143F6E" w:rsidP="00C1728B">
            <w:pPr>
              <w:numPr>
                <w:ilvl w:val="0"/>
                <w:numId w:val="95"/>
              </w:numPr>
              <w:rPr>
                <w:color w:val="000000"/>
                <w:spacing w:val="8"/>
                <w:sz w:val="24"/>
                <w:szCs w:val="24"/>
              </w:rPr>
            </w:pPr>
            <w:r w:rsidRPr="0033456B">
              <w:rPr>
                <w:color w:val="000000"/>
                <w:spacing w:val="8"/>
                <w:sz w:val="24"/>
                <w:szCs w:val="24"/>
              </w:rPr>
              <w:t>Confidential Surveys</w:t>
            </w:r>
          </w:p>
          <w:p w14:paraId="52D73F6E" w14:textId="77777777" w:rsidR="00143F6E" w:rsidRPr="0033456B" w:rsidRDefault="00143F6E" w:rsidP="00C1728B">
            <w:pPr>
              <w:numPr>
                <w:ilvl w:val="0"/>
                <w:numId w:val="95"/>
              </w:numPr>
              <w:rPr>
                <w:color w:val="000000"/>
                <w:spacing w:val="8"/>
                <w:sz w:val="24"/>
                <w:szCs w:val="24"/>
              </w:rPr>
            </w:pPr>
            <w:r w:rsidRPr="0033456B">
              <w:rPr>
                <w:color w:val="000000"/>
                <w:spacing w:val="8"/>
                <w:sz w:val="24"/>
                <w:szCs w:val="24"/>
              </w:rPr>
              <w:t>Training records</w:t>
            </w:r>
          </w:p>
        </w:tc>
      </w:tr>
    </w:tbl>
    <w:p w14:paraId="445F68DF" w14:textId="77777777" w:rsidR="00143F6E" w:rsidRDefault="00143F6E" w:rsidP="00385394">
      <w:pPr>
        <w:rPr>
          <w:sz w:val="24"/>
          <w:szCs w:val="24"/>
        </w:rPr>
      </w:pPr>
    </w:p>
    <w:p w14:paraId="1B46FC85" w14:textId="77777777" w:rsidR="00143F6E" w:rsidRPr="00143F6E" w:rsidRDefault="00143F6E" w:rsidP="00385394">
      <w:pPr>
        <w:rPr>
          <w:sz w:val="24"/>
          <w:szCs w:val="24"/>
        </w:rPr>
      </w:pPr>
    </w:p>
    <w:p w14:paraId="0D523510" w14:textId="77777777" w:rsidR="001803F3" w:rsidRPr="00143F6E" w:rsidRDefault="00143F6E" w:rsidP="00936FEE">
      <w:pPr>
        <w:pStyle w:val="Heading2"/>
      </w:pPr>
      <w:r>
        <w:t>1</w:t>
      </w:r>
      <w:r w:rsidR="00E42E43">
        <w:t>6</w:t>
      </w:r>
      <w:r>
        <w:t xml:space="preserve">.3 </w:t>
      </w:r>
      <w:r w:rsidR="001803F3" w:rsidRPr="00143F6E">
        <w:t>Non-Callable CDs</w:t>
      </w:r>
    </w:p>
    <w:p w14:paraId="25CA69E0" w14:textId="77777777" w:rsidR="000C099C" w:rsidRDefault="000C099C">
      <w:pPr>
        <w:jc w:val="both"/>
        <w:rPr>
          <w:sz w:val="24"/>
        </w:rPr>
      </w:pPr>
      <w:r>
        <w:rPr>
          <w:sz w:val="24"/>
        </w:rPr>
        <w:t xml:space="preserve">Non-Callable CDs are also FDIC insured up to $100,000.  Just as with callable CDs, non-callable CD purchasers must also be suitable for this type of investment.  The same suitability review must be conducted for these type investors along with New Account procedures and principal approval.  Prior to executing any transaction for a non-callable CD, </w:t>
      </w:r>
      <w:r w:rsidR="00BD0CD2">
        <w:rPr>
          <w:sz w:val="24"/>
        </w:rPr>
        <w:t>Company</w:t>
      </w:r>
      <w:r>
        <w:rPr>
          <w:sz w:val="24"/>
        </w:rPr>
        <w:t xml:space="preserve"> </w:t>
      </w:r>
      <w:r w:rsidR="00BD0CD2">
        <w:rPr>
          <w:sz w:val="24"/>
        </w:rPr>
        <w:t>may need</w:t>
      </w:r>
      <w:r>
        <w:rPr>
          <w:sz w:val="24"/>
        </w:rPr>
        <w:t xml:space="preserve"> a selling agreement </w:t>
      </w:r>
      <w:r w:rsidR="00BD0CD2">
        <w:rPr>
          <w:sz w:val="24"/>
        </w:rPr>
        <w:t xml:space="preserve">in place </w:t>
      </w:r>
      <w:r>
        <w:rPr>
          <w:sz w:val="24"/>
        </w:rPr>
        <w:t>with the provider</w:t>
      </w:r>
      <w:r w:rsidR="009A3E83">
        <w:rPr>
          <w:sz w:val="24"/>
        </w:rPr>
        <w:t xml:space="preserve"> </w:t>
      </w:r>
      <w:r w:rsidR="009A3E83" w:rsidRPr="00E42E43">
        <w:rPr>
          <w:sz w:val="24"/>
        </w:rPr>
        <w:t>(if outside of HTS)</w:t>
      </w:r>
      <w:r w:rsidRPr="00E42E43">
        <w:rPr>
          <w:sz w:val="24"/>
        </w:rPr>
        <w:t xml:space="preserve">.  Trades must be called in or faxed to the home office the day of the trade for daily entry blotter purposes and commission invoicing to the </w:t>
      </w:r>
      <w:r w:rsidRPr="00E42E43">
        <w:rPr>
          <w:sz w:val="24"/>
        </w:rPr>
        <w:lastRenderedPageBreak/>
        <w:t>provider</w:t>
      </w:r>
      <w:r w:rsidR="009A3E83" w:rsidRPr="00E42E43">
        <w:rPr>
          <w:sz w:val="24"/>
        </w:rPr>
        <w:t>, if applicable</w:t>
      </w:r>
      <w:r w:rsidRPr="00E42E43">
        <w:rPr>
          <w:sz w:val="24"/>
        </w:rPr>
        <w:t xml:space="preserve">.  Any checks received for the </w:t>
      </w:r>
      <w:r>
        <w:rPr>
          <w:sz w:val="24"/>
        </w:rPr>
        <w:t xml:space="preserve">purchase of a CD will be entered into the Checks Received and Forwarded Blotter and forwarded to the intended recipient within 24 hours of receipt. </w:t>
      </w:r>
    </w:p>
    <w:p w14:paraId="614C7FA7" w14:textId="77777777" w:rsidR="000C099C" w:rsidRDefault="000C099C" w:rsidP="00C8640E"/>
    <w:p w14:paraId="4ECA1C3C" w14:textId="77777777" w:rsidR="000C099C" w:rsidRPr="00C8640E" w:rsidRDefault="00C8640E" w:rsidP="00936FEE">
      <w:pPr>
        <w:pStyle w:val="Heading2"/>
      </w:pPr>
      <w:bookmarkStart w:id="310" w:name="_Toc153361434"/>
      <w:bookmarkStart w:id="311" w:name="_Toc153361661"/>
      <w:r>
        <w:t>1</w:t>
      </w:r>
      <w:r w:rsidR="00E42E43">
        <w:t>6</w:t>
      </w:r>
      <w:r>
        <w:t xml:space="preserve">.4 </w:t>
      </w:r>
      <w:r w:rsidR="000C099C" w:rsidRPr="00C8640E">
        <w:t>Callable Certificates of Deposit</w:t>
      </w:r>
      <w:bookmarkEnd w:id="310"/>
      <w:bookmarkEnd w:id="311"/>
    </w:p>
    <w:p w14:paraId="3AA9F939" w14:textId="77777777" w:rsidR="000C099C" w:rsidRDefault="000C099C">
      <w:pPr>
        <w:jc w:val="both"/>
        <w:rPr>
          <w:sz w:val="24"/>
        </w:rPr>
      </w:pPr>
      <w:r>
        <w:rPr>
          <w:sz w:val="24"/>
        </w:rPr>
        <w:t xml:space="preserve">Callable Certificates of Deposit (“CD”) are insured by the Federal Deposit Insurance Corp. up to $100,000.  They can be called by the bank before they mature; therefore, they offer a higher rate of interest.   With callable CD’s the bank does not permit the customer to withdraw funds until maturity but the CD can be sold in the secondary market without penalty.   The callable, book entry, certificates of deposit will be cleared through </w:t>
      </w:r>
      <w:r w:rsidR="00571E34" w:rsidRPr="003B397D">
        <w:rPr>
          <w:sz w:val="24"/>
        </w:rPr>
        <w:t>Hilltop</w:t>
      </w:r>
      <w:r>
        <w:rPr>
          <w:sz w:val="24"/>
        </w:rPr>
        <w:t xml:space="preserve"> Securities, Inc. </w:t>
      </w:r>
    </w:p>
    <w:p w14:paraId="25CAC7DD" w14:textId="77777777" w:rsidR="000C099C" w:rsidRDefault="000C099C">
      <w:pPr>
        <w:jc w:val="both"/>
        <w:rPr>
          <w:sz w:val="24"/>
        </w:rPr>
      </w:pPr>
    </w:p>
    <w:p w14:paraId="6F62400D" w14:textId="77777777" w:rsidR="000C099C" w:rsidRDefault="00C8640E" w:rsidP="001A7509">
      <w:pPr>
        <w:pStyle w:val="Heading3"/>
      </w:pPr>
      <w:r>
        <w:t>1</w:t>
      </w:r>
      <w:r w:rsidR="00E42E43">
        <w:t>6</w:t>
      </w:r>
      <w:r>
        <w:t xml:space="preserve">.4.1 </w:t>
      </w:r>
      <w:r w:rsidR="000C099C">
        <w:t xml:space="preserve">Suitability  </w:t>
      </w:r>
    </w:p>
    <w:p w14:paraId="2740199A" w14:textId="77777777" w:rsidR="000C099C" w:rsidRDefault="000C099C" w:rsidP="00C8640E">
      <w:pPr>
        <w:ind w:left="270"/>
        <w:jc w:val="both"/>
        <w:rPr>
          <w:sz w:val="24"/>
        </w:rPr>
      </w:pPr>
      <w:r>
        <w:rPr>
          <w:sz w:val="24"/>
        </w:rPr>
        <w:t>Callable Certificate of Deposits sold as securities require accurate disclosure as with any security.  The callable CDs are sometimes sold to older customers that are on a fixed income.  In addition to obtaining the regular customer account information, each customer must be informed that the bank may call the certificates before maturity.  Their funds cannot be withdrawn until maturity.  They may be sold in the secondary market if there is a market for the particular CD, however, may and likely will incur loss of principal and interest.</w:t>
      </w:r>
    </w:p>
    <w:p w14:paraId="6122EB8E" w14:textId="77777777" w:rsidR="000C099C" w:rsidRDefault="000C099C" w:rsidP="00C8640E">
      <w:pPr>
        <w:ind w:left="270"/>
        <w:jc w:val="both"/>
        <w:rPr>
          <w:sz w:val="24"/>
        </w:rPr>
      </w:pPr>
    </w:p>
    <w:p w14:paraId="13B392C9" w14:textId="77777777" w:rsidR="000C099C" w:rsidRDefault="00C8640E" w:rsidP="001A7509">
      <w:pPr>
        <w:pStyle w:val="Heading3"/>
      </w:pPr>
      <w:r>
        <w:t>1</w:t>
      </w:r>
      <w:r w:rsidR="00E42E43">
        <w:t>6</w:t>
      </w:r>
      <w:r>
        <w:t xml:space="preserve">.4.2 </w:t>
      </w:r>
      <w:r w:rsidR="000C099C">
        <w:t>Guidelines for the Sale of Callable CDs:</w:t>
      </w:r>
    </w:p>
    <w:p w14:paraId="6B12E795" w14:textId="77777777" w:rsidR="000C099C" w:rsidRDefault="000C099C" w:rsidP="00C8640E">
      <w:pPr>
        <w:pStyle w:val="BodyText"/>
        <w:spacing w:before="0" w:after="0"/>
        <w:ind w:left="270"/>
      </w:pPr>
      <w:r>
        <w:t xml:space="preserve">In connection with the sale and distribution of callable CDs, </w:t>
      </w:r>
      <w:r w:rsidR="00586052">
        <w:t>A</w:t>
      </w:r>
      <w:r>
        <w:t xml:space="preserve">ssociated </w:t>
      </w:r>
      <w:r w:rsidR="00586052">
        <w:t>P</w:t>
      </w:r>
      <w:r>
        <w:t>ersons must adhere to the following guidelines:</w:t>
      </w:r>
    </w:p>
    <w:p w14:paraId="4F4B32AB" w14:textId="77777777" w:rsidR="000C099C" w:rsidRDefault="000C099C">
      <w:pPr>
        <w:jc w:val="both"/>
        <w:rPr>
          <w:sz w:val="24"/>
        </w:rPr>
      </w:pPr>
    </w:p>
    <w:p w14:paraId="12E3A78F" w14:textId="77777777" w:rsidR="000C099C" w:rsidRDefault="000C099C" w:rsidP="003E7B18">
      <w:pPr>
        <w:numPr>
          <w:ilvl w:val="0"/>
          <w:numId w:val="147"/>
        </w:numPr>
        <w:jc w:val="both"/>
        <w:rPr>
          <w:sz w:val="24"/>
        </w:rPr>
      </w:pPr>
      <w:r>
        <w:rPr>
          <w:sz w:val="24"/>
        </w:rPr>
        <w:t>A thorough suitability review must be conducted by completing the WSC New Account Form in full for a new customer.   It is the associated person’s responsibility to make a best effort attempt at gathering background information on a potential customer.  It is vital to ascertain a customer’s financial, employment, and investment experience background.  However, if a client will not disclose certain personal information, it must be indicated on the form and should be taken into consideration.  This form must be completed prior to initiating a trade for a new customer.  Because of the long-term nature of callable CDs, associated persons must ascertain the suitability in particular of older investors.</w:t>
      </w:r>
    </w:p>
    <w:p w14:paraId="429FDFD5" w14:textId="77777777" w:rsidR="006A37CE" w:rsidRDefault="006A37CE" w:rsidP="006A37CE">
      <w:pPr>
        <w:ind w:left="1185"/>
        <w:jc w:val="both"/>
        <w:rPr>
          <w:sz w:val="24"/>
        </w:rPr>
      </w:pPr>
    </w:p>
    <w:p w14:paraId="0A5AC1C7" w14:textId="120B177C" w:rsidR="000C099C" w:rsidRPr="006A37CE" w:rsidRDefault="000C099C" w:rsidP="003E7B18">
      <w:pPr>
        <w:numPr>
          <w:ilvl w:val="0"/>
          <w:numId w:val="147"/>
        </w:numPr>
        <w:jc w:val="both"/>
        <w:rPr>
          <w:sz w:val="24"/>
          <w:u w:val="single"/>
        </w:rPr>
      </w:pPr>
      <w:r>
        <w:rPr>
          <w:sz w:val="24"/>
        </w:rPr>
        <w:t xml:space="preserve">The WSC Investment Products Receipt and Disclosure Form for Callable CDs </w:t>
      </w:r>
      <w:r>
        <w:rPr>
          <w:sz w:val="24"/>
          <w:u w:val="single"/>
        </w:rPr>
        <w:t>with attachments</w:t>
      </w:r>
      <w:r w:rsidR="00D72C74">
        <w:rPr>
          <w:sz w:val="24"/>
        </w:rPr>
        <w:t xml:space="preserve"> should be given to, explained, and signed by the customer prior to initiating a trade for a new customer or an existing customer with no prior history of callable CD purchases. </w:t>
      </w:r>
      <w:r w:rsidR="00D72C74" w:rsidRPr="00E42E43">
        <w:rPr>
          <w:sz w:val="24"/>
        </w:rPr>
        <w:t xml:space="preserve">The form includes </w:t>
      </w:r>
      <w:r w:rsidRPr="00E42E43">
        <w:rPr>
          <w:sz w:val="24"/>
        </w:rPr>
        <w:t>1) The Certificate of Deposit Disclosure Statement</w:t>
      </w:r>
      <w:r w:rsidR="00D72C74" w:rsidRPr="00E42E43">
        <w:rPr>
          <w:sz w:val="24"/>
        </w:rPr>
        <w:t>, and 2</w:t>
      </w:r>
      <w:r w:rsidRPr="00E42E43">
        <w:rPr>
          <w:sz w:val="24"/>
        </w:rPr>
        <w:t xml:space="preserve">) </w:t>
      </w:r>
      <w:r w:rsidR="00D72C74" w:rsidRPr="00E42E43">
        <w:rPr>
          <w:sz w:val="24"/>
        </w:rPr>
        <w:t xml:space="preserve">the </w:t>
      </w:r>
      <w:r w:rsidRPr="00E42E43">
        <w:rPr>
          <w:sz w:val="24"/>
        </w:rPr>
        <w:t xml:space="preserve">SEC </w:t>
      </w:r>
      <w:r w:rsidR="00D72C74" w:rsidRPr="00E42E43">
        <w:rPr>
          <w:sz w:val="24"/>
        </w:rPr>
        <w:t>Publication, “High Yield CDs: Protect Your Money by Checking the Fine Print.”</w:t>
      </w:r>
      <w:r w:rsidRPr="00E42E43">
        <w:rPr>
          <w:sz w:val="24"/>
        </w:rPr>
        <w:t xml:space="preserve"> Because of the </w:t>
      </w:r>
      <w:r w:rsidR="00B33276" w:rsidRPr="00E42E43">
        <w:rPr>
          <w:sz w:val="24"/>
        </w:rPr>
        <w:t>longer-term</w:t>
      </w:r>
      <w:r w:rsidRPr="00E42E43">
        <w:rPr>
          <w:sz w:val="24"/>
        </w:rPr>
        <w:t xml:space="preserve"> maturities </w:t>
      </w:r>
      <w:r>
        <w:rPr>
          <w:sz w:val="24"/>
        </w:rPr>
        <w:t xml:space="preserve">and the call features inherent in </w:t>
      </w:r>
      <w:r w:rsidR="0010267A">
        <w:rPr>
          <w:sz w:val="24"/>
        </w:rPr>
        <w:t>callable CDs, it is imperative Associated P</w:t>
      </w:r>
      <w:r>
        <w:rPr>
          <w:sz w:val="24"/>
        </w:rPr>
        <w:t>ersons disclose and obtain evidence of disclosure prior to initiating a trade.  In addition, the maturity date should be written in long form (i.e. January 11, 2018) as opposed to numerical format (i.e. 01/11/18) and it is recommended the customer initial the maturity date.</w:t>
      </w:r>
    </w:p>
    <w:p w14:paraId="56C8A923" w14:textId="77777777" w:rsidR="006A37CE" w:rsidRDefault="006A37CE" w:rsidP="006A37CE">
      <w:pPr>
        <w:jc w:val="both"/>
        <w:rPr>
          <w:sz w:val="24"/>
          <w:u w:val="single"/>
        </w:rPr>
      </w:pPr>
    </w:p>
    <w:p w14:paraId="6B0D863E" w14:textId="77777777" w:rsidR="000C099C" w:rsidRPr="00586052" w:rsidRDefault="000C099C" w:rsidP="003E7B18">
      <w:pPr>
        <w:numPr>
          <w:ilvl w:val="0"/>
          <w:numId w:val="147"/>
        </w:numPr>
        <w:jc w:val="both"/>
        <w:rPr>
          <w:sz w:val="24"/>
          <w:u w:val="single"/>
        </w:rPr>
      </w:pPr>
      <w:r>
        <w:rPr>
          <w:sz w:val="24"/>
        </w:rPr>
        <w:t xml:space="preserve">A principal must review and approve the New Account form prior to executing a trade for a new customer.  Subsequent to callable CD purchases for new buyers, </w:t>
      </w:r>
      <w:r w:rsidR="00BD0CD2">
        <w:rPr>
          <w:sz w:val="24"/>
        </w:rPr>
        <w:t>Company</w:t>
      </w:r>
      <w:r>
        <w:rPr>
          <w:sz w:val="24"/>
        </w:rPr>
        <w:t xml:space="preserve"> will forward the Confidential Customer Questionnaire that confirms the customer’s understanding of their purchase and detect any problems.  Copy of </w:t>
      </w:r>
      <w:r>
        <w:rPr>
          <w:sz w:val="24"/>
        </w:rPr>
        <w:lastRenderedPageBreak/>
        <w:t>returned questionnaires will be maintained in a central location as well as in the customer file.</w:t>
      </w:r>
    </w:p>
    <w:p w14:paraId="00E3F343" w14:textId="77777777" w:rsidR="00586052" w:rsidRDefault="00586052" w:rsidP="00586052">
      <w:pPr>
        <w:jc w:val="both"/>
        <w:rPr>
          <w:sz w:val="24"/>
          <w:u w:val="single"/>
        </w:rPr>
      </w:pPr>
    </w:p>
    <w:p w14:paraId="43F7F2D5" w14:textId="77777777" w:rsidR="000C099C" w:rsidRDefault="000C099C" w:rsidP="003E7B18">
      <w:pPr>
        <w:numPr>
          <w:ilvl w:val="0"/>
          <w:numId w:val="147"/>
        </w:numPr>
        <w:jc w:val="both"/>
        <w:rPr>
          <w:sz w:val="24"/>
          <w:u w:val="single"/>
        </w:rPr>
      </w:pPr>
      <w:r>
        <w:rPr>
          <w:sz w:val="24"/>
        </w:rPr>
        <w:t xml:space="preserve">A selling agreement with wholesalers or issuers </w:t>
      </w:r>
      <w:r w:rsidR="00586052" w:rsidRPr="00EC5E16">
        <w:rPr>
          <w:sz w:val="24"/>
        </w:rPr>
        <w:t>may need to</w:t>
      </w:r>
      <w:r w:rsidRPr="00EC5E16">
        <w:rPr>
          <w:sz w:val="24"/>
        </w:rPr>
        <w:t xml:space="preserve"> be initiated prior to transacting any orders</w:t>
      </w:r>
      <w:r w:rsidR="00586052" w:rsidRPr="00EC5E16">
        <w:rPr>
          <w:sz w:val="24"/>
        </w:rPr>
        <w:t xml:space="preserve"> (if outside of HTS)</w:t>
      </w:r>
      <w:r w:rsidRPr="00EC5E16">
        <w:rPr>
          <w:sz w:val="24"/>
        </w:rPr>
        <w:t xml:space="preserve">.  If an </w:t>
      </w:r>
      <w:r w:rsidR="00586052" w:rsidRPr="00EC5E16">
        <w:rPr>
          <w:sz w:val="24"/>
        </w:rPr>
        <w:t>A</w:t>
      </w:r>
      <w:r w:rsidRPr="00EC5E16">
        <w:rPr>
          <w:sz w:val="24"/>
        </w:rPr>
        <w:t xml:space="preserve">ssociated </w:t>
      </w:r>
      <w:r w:rsidR="00586052" w:rsidRPr="00EC5E16">
        <w:rPr>
          <w:sz w:val="24"/>
        </w:rPr>
        <w:t>P</w:t>
      </w:r>
      <w:r w:rsidRPr="00EC5E16">
        <w:rPr>
          <w:sz w:val="24"/>
        </w:rPr>
        <w:t>erson is interested in a particular issuer, contact the home office for processing</w:t>
      </w:r>
      <w:r>
        <w:rPr>
          <w:sz w:val="24"/>
        </w:rPr>
        <w:t>.</w:t>
      </w:r>
    </w:p>
    <w:p w14:paraId="1A2BB6A4" w14:textId="77777777" w:rsidR="001803F3" w:rsidRDefault="001803F3" w:rsidP="001803F3">
      <w:pPr>
        <w:ind w:left="360" w:hanging="360"/>
        <w:jc w:val="both"/>
        <w:rPr>
          <w:b/>
          <w:sz w:val="24"/>
        </w:rPr>
      </w:pPr>
    </w:p>
    <w:p w14:paraId="1A0A67AE" w14:textId="77777777" w:rsidR="001803F3" w:rsidRDefault="001803F3" w:rsidP="001803F3">
      <w:pPr>
        <w:ind w:left="360" w:hanging="360"/>
        <w:jc w:val="both"/>
        <w:rPr>
          <w:b/>
          <w:sz w:val="24"/>
        </w:rPr>
      </w:pPr>
    </w:p>
    <w:p w14:paraId="1C38373C" w14:textId="77777777" w:rsidR="001803F3" w:rsidRDefault="00566378" w:rsidP="001A7509">
      <w:pPr>
        <w:pStyle w:val="Heading3"/>
      </w:pPr>
      <w:r>
        <w:t>1</w:t>
      </w:r>
      <w:r w:rsidR="00F263D9">
        <w:t>7</w:t>
      </w:r>
      <w:r>
        <w:t xml:space="preserve">.4.3 </w:t>
      </w:r>
      <w:r w:rsidR="00422B24">
        <w:t>Retail Communication</w:t>
      </w:r>
    </w:p>
    <w:p w14:paraId="33ABB50A" w14:textId="77777777" w:rsidR="001803F3" w:rsidRDefault="001803F3" w:rsidP="00566378">
      <w:pPr>
        <w:ind w:left="270"/>
        <w:jc w:val="both"/>
        <w:rPr>
          <w:sz w:val="24"/>
        </w:rPr>
      </w:pPr>
      <w:r>
        <w:rPr>
          <w:sz w:val="24"/>
        </w:rPr>
        <w:t xml:space="preserve">All callable CD </w:t>
      </w:r>
      <w:r w:rsidR="00422B24" w:rsidRPr="00782454">
        <w:rPr>
          <w:sz w:val="24"/>
        </w:rPr>
        <w:t>retail communication</w:t>
      </w:r>
      <w:r>
        <w:rPr>
          <w:sz w:val="24"/>
        </w:rPr>
        <w:t xml:space="preserve"> must be reviewed and approved by the home office prior to use.  All </w:t>
      </w:r>
      <w:r w:rsidR="00422B24">
        <w:rPr>
          <w:sz w:val="24"/>
        </w:rPr>
        <w:t>such material</w:t>
      </w:r>
      <w:r>
        <w:rPr>
          <w:sz w:val="24"/>
        </w:rPr>
        <w:t xml:space="preserve"> must provide a level of disclosure sufficient to allow the customer to make an informed investment decision.  This includes the term of the issue to be prominently displayed close to the rate information and rates specified in A.P.Y. with “Annual Percentage Yield” spelled out</w:t>
      </w:r>
      <w:r w:rsidR="005F0895">
        <w:rPr>
          <w:sz w:val="24"/>
        </w:rPr>
        <w:t xml:space="preserve"> </w:t>
      </w:r>
      <w:r w:rsidR="005F0895" w:rsidRPr="00EC5E16">
        <w:rPr>
          <w:sz w:val="24"/>
        </w:rPr>
        <w:t>in the disclosure section</w:t>
      </w:r>
      <w:r w:rsidRPr="00EC5E16">
        <w:rPr>
          <w:sz w:val="24"/>
        </w:rPr>
        <w:t>.  I</w:t>
      </w:r>
      <w:r>
        <w:rPr>
          <w:sz w:val="24"/>
        </w:rPr>
        <w:t xml:space="preserve">n addition, for callable CDs, it must be clear that only the Issuer can call in a CD and </w:t>
      </w:r>
      <w:r w:rsidR="00F2361A" w:rsidRPr="00FA5443">
        <w:rPr>
          <w:color w:val="000000" w:themeColor="text1"/>
          <w:sz w:val="24"/>
        </w:rPr>
        <w:t xml:space="preserve">not </w:t>
      </w:r>
      <w:r>
        <w:rPr>
          <w:sz w:val="24"/>
        </w:rPr>
        <w:t>the purchaser.  It must be disclosed that the purchaser may receive less than originally invested if sold prior to maturity.</w:t>
      </w:r>
    </w:p>
    <w:p w14:paraId="5D4D1BF8" w14:textId="77777777" w:rsidR="001803F3" w:rsidRPr="001803F3" w:rsidRDefault="001803F3" w:rsidP="00566378">
      <w:pPr>
        <w:ind w:left="270"/>
        <w:jc w:val="both"/>
        <w:rPr>
          <w:sz w:val="24"/>
        </w:rPr>
      </w:pPr>
    </w:p>
    <w:p w14:paraId="7236E30A" w14:textId="77777777" w:rsidR="000C099C" w:rsidRPr="00856867" w:rsidRDefault="000C099C" w:rsidP="00566378">
      <w:pPr>
        <w:ind w:left="270"/>
        <w:jc w:val="both"/>
        <w:rPr>
          <w:sz w:val="24"/>
          <w:szCs w:val="24"/>
        </w:rPr>
      </w:pPr>
      <w:bookmarkStart w:id="312" w:name="_Toc153361437"/>
      <w:bookmarkStart w:id="313" w:name="_Toc153361664"/>
      <w:bookmarkStart w:id="314" w:name="_Toc153373436"/>
      <w:bookmarkStart w:id="315" w:name="_Toc227660778"/>
      <w:bookmarkStart w:id="316" w:name="_Toc227675994"/>
      <w:bookmarkStart w:id="317" w:name="_Toc227820457"/>
      <w:r w:rsidRPr="00856867">
        <w:rPr>
          <w:sz w:val="24"/>
          <w:szCs w:val="24"/>
        </w:rPr>
        <w:t>In light of the unique features of callable CDs, it is essential that potential investors understand what they are being offered.  Consequently, communications concerning callable CDs must clearly identify the product as such, including the term, and to prevent any confusion, no statement or presentation that may indicate otherwise.</w:t>
      </w:r>
      <w:bookmarkEnd w:id="312"/>
      <w:bookmarkEnd w:id="313"/>
      <w:bookmarkEnd w:id="314"/>
      <w:bookmarkEnd w:id="315"/>
      <w:bookmarkEnd w:id="316"/>
      <w:bookmarkEnd w:id="317"/>
      <w:r w:rsidRPr="00856867">
        <w:rPr>
          <w:sz w:val="24"/>
          <w:szCs w:val="24"/>
        </w:rPr>
        <w:t xml:space="preserve">  </w:t>
      </w:r>
    </w:p>
    <w:p w14:paraId="3EB0F0B1" w14:textId="77777777" w:rsidR="000C099C" w:rsidRDefault="000C099C" w:rsidP="00566378">
      <w:pPr>
        <w:pStyle w:val="FootnoteText"/>
        <w:ind w:left="270"/>
        <w:jc w:val="both"/>
      </w:pPr>
    </w:p>
    <w:p w14:paraId="250E8C18" w14:textId="77777777" w:rsidR="000C099C" w:rsidRDefault="000C099C" w:rsidP="00566378">
      <w:pPr>
        <w:pStyle w:val="BodyTextIndent"/>
        <w:tabs>
          <w:tab w:val="clear" w:pos="1800"/>
          <w:tab w:val="left" w:pos="0"/>
        </w:tabs>
        <w:ind w:left="270" w:firstLine="0"/>
      </w:pPr>
      <w:r>
        <w:t>In addition, all communications with the public must disclose prominently the Woodlands Securities name or state “A Branch Office of Woodlands Securities Corporation” under the applicable office name.</w:t>
      </w:r>
    </w:p>
    <w:p w14:paraId="3A214DBC" w14:textId="77777777" w:rsidR="000C099C" w:rsidRDefault="000C099C" w:rsidP="00566378">
      <w:pPr>
        <w:pStyle w:val="BodyTextIndent"/>
        <w:tabs>
          <w:tab w:val="clear" w:pos="1800"/>
          <w:tab w:val="left" w:pos="0"/>
        </w:tabs>
        <w:ind w:left="270" w:firstLine="0"/>
      </w:pPr>
    </w:p>
    <w:p w14:paraId="2AAFF70C" w14:textId="77777777" w:rsidR="000C099C" w:rsidRDefault="00566378" w:rsidP="001A7509">
      <w:pPr>
        <w:pStyle w:val="Heading3"/>
      </w:pPr>
      <w:r>
        <w:t>1</w:t>
      </w:r>
      <w:r w:rsidR="00EC5E16">
        <w:t>6</w:t>
      </w:r>
      <w:r>
        <w:t xml:space="preserve">.4.4 </w:t>
      </w:r>
      <w:r w:rsidR="000C099C">
        <w:t xml:space="preserve">Ongoing Training and Continuing Education  </w:t>
      </w:r>
    </w:p>
    <w:p w14:paraId="3BA5415B" w14:textId="77777777" w:rsidR="000C099C" w:rsidRDefault="00F80DD9" w:rsidP="00566378">
      <w:pPr>
        <w:pStyle w:val="BodyTextIndent"/>
        <w:tabs>
          <w:tab w:val="clear" w:pos="1800"/>
          <w:tab w:val="left" w:pos="0"/>
        </w:tabs>
        <w:ind w:left="270" w:firstLine="0"/>
      </w:pPr>
      <w:r>
        <w:t>Company</w:t>
      </w:r>
      <w:r w:rsidR="000C099C">
        <w:t xml:space="preserve"> will conduct a thorough training session with each associated person of these new procedures effective 03/09/2001 which will be evidenced by a log with signatures.  Thereafter, the </w:t>
      </w:r>
      <w:r>
        <w:t>Company</w:t>
      </w:r>
      <w:r w:rsidR="000C099C">
        <w:t xml:space="preserve"> will conduct continuing education sessions related to callable CD transactions on at least an annual basis, as long as the product </w:t>
      </w:r>
      <w:r w:rsidR="000C099C" w:rsidRPr="00EC5E16">
        <w:t xml:space="preserve">is </w:t>
      </w:r>
      <w:r w:rsidR="007F73C1" w:rsidRPr="00EC5E16">
        <w:t>being sold</w:t>
      </w:r>
      <w:r w:rsidR="000C099C">
        <w:t xml:space="preserve">, </w:t>
      </w:r>
      <w:r w:rsidR="007F73C1">
        <w:t xml:space="preserve">or </w:t>
      </w:r>
      <w:r w:rsidR="000C099C">
        <w:t>sooner if needed.  A record of attendance a</w:t>
      </w:r>
      <w:r w:rsidR="0010267A">
        <w:t>nd understanding, evidenced by A</w:t>
      </w:r>
      <w:r w:rsidR="000C099C">
        <w:t xml:space="preserve">ssociated </w:t>
      </w:r>
      <w:r w:rsidR="0010267A">
        <w:t>P</w:t>
      </w:r>
      <w:r w:rsidR="000C099C">
        <w:t xml:space="preserve">erson’s signature, will be maintained as part of the </w:t>
      </w:r>
      <w:r>
        <w:t>Company</w:t>
      </w:r>
      <w:r w:rsidR="000C099C">
        <w:t>’s books and records.</w:t>
      </w:r>
    </w:p>
    <w:p w14:paraId="4DC90A2A" w14:textId="77777777" w:rsidR="000C099C" w:rsidRDefault="000C099C" w:rsidP="003D216B">
      <w:pPr>
        <w:pStyle w:val="BodyTextIndent"/>
        <w:tabs>
          <w:tab w:val="clear" w:pos="1800"/>
          <w:tab w:val="left" w:pos="0"/>
        </w:tabs>
        <w:ind w:left="0" w:firstLine="0"/>
        <w:rPr>
          <w:b/>
        </w:rPr>
      </w:pPr>
      <w:r>
        <w:br w:type="page"/>
      </w:r>
      <w:bookmarkStart w:id="318" w:name="_Hlk305181146"/>
    </w:p>
    <w:p w14:paraId="3497B963" w14:textId="77777777" w:rsidR="00A96798" w:rsidRDefault="00A96798" w:rsidP="00A96798">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319" w:name="BCP"/>
      <w:bookmarkStart w:id="320" w:name="_Toc227660792"/>
      <w:bookmarkStart w:id="321" w:name="_Toc227676008"/>
    </w:p>
    <w:p w14:paraId="3BAFD36C" w14:textId="77777777" w:rsidR="00A96798" w:rsidRDefault="00F3760C" w:rsidP="00A96798">
      <w:pPr>
        <w:pStyle w:val="Heading1"/>
        <w:pBdr>
          <w:top w:val="double" w:sz="12" w:space="1" w:color="000099"/>
          <w:left w:val="double" w:sz="12" w:space="4" w:color="000099"/>
          <w:bottom w:val="double" w:sz="12" w:space="1" w:color="000099"/>
          <w:right w:val="double" w:sz="12" w:space="4" w:color="000099"/>
        </w:pBdr>
        <w:shd w:val="pct10" w:color="0000FF" w:fill="auto"/>
        <w:jc w:val="center"/>
      </w:pPr>
      <w:bookmarkStart w:id="322" w:name="_Toc227820458"/>
      <w:bookmarkStart w:id="323" w:name="_Toc227821719"/>
      <w:bookmarkStart w:id="324" w:name="_Toc227821837"/>
      <w:bookmarkStart w:id="325" w:name="_Toc535916182"/>
      <w:r>
        <w:t>1</w:t>
      </w:r>
      <w:r w:rsidR="00EC5E16">
        <w:t>7</w:t>
      </w:r>
      <w:r w:rsidR="0048023D">
        <w:t>.</w:t>
      </w:r>
      <w:r w:rsidR="00D218EE">
        <w:t xml:space="preserve">  </w:t>
      </w:r>
      <w:r w:rsidR="000C099C">
        <w:t xml:space="preserve">BUSINESS </w:t>
      </w:r>
      <w:r w:rsidR="00A96798">
        <w:t>CONTINUITY MANAGEMENT</w:t>
      </w:r>
      <w:bookmarkEnd w:id="322"/>
      <w:bookmarkEnd w:id="323"/>
      <w:bookmarkEnd w:id="324"/>
      <w:bookmarkEnd w:id="325"/>
    </w:p>
    <w:p w14:paraId="634EA282" w14:textId="77777777" w:rsidR="00A96798" w:rsidRDefault="00A96798" w:rsidP="00A96798">
      <w:pPr>
        <w:pStyle w:val="Heading1"/>
        <w:pBdr>
          <w:top w:val="double" w:sz="12" w:space="1" w:color="000099"/>
          <w:left w:val="double" w:sz="12" w:space="4" w:color="000099"/>
          <w:bottom w:val="double" w:sz="12" w:space="1" w:color="000099"/>
          <w:right w:val="double" w:sz="12" w:space="4" w:color="000099"/>
        </w:pBdr>
        <w:shd w:val="pct10" w:color="0000FF" w:fill="auto"/>
        <w:jc w:val="center"/>
      </w:pPr>
    </w:p>
    <w:bookmarkEnd w:id="319"/>
    <w:bookmarkEnd w:id="320"/>
    <w:bookmarkEnd w:id="321"/>
    <w:p w14:paraId="5ABD51FB" w14:textId="77777777" w:rsidR="000C099C" w:rsidRDefault="000C099C">
      <w:pPr>
        <w:pStyle w:val="MRS"/>
        <w:rPr>
          <w:b/>
          <w:snapToGrid w:val="0"/>
          <w:color w:val="FFFFFF"/>
        </w:rPr>
      </w:pPr>
      <w:r>
        <w:rPr>
          <w:color w:val="FFFFFF"/>
        </w:rPr>
        <w:t>Stock Volatility</w:t>
      </w:r>
    </w:p>
    <w:p w14:paraId="2BFEF495" w14:textId="77777777" w:rsidR="000C099C" w:rsidRDefault="000C099C">
      <w:pPr>
        <w:pStyle w:val="MRS"/>
      </w:pPr>
    </w:p>
    <w:p w14:paraId="6EF9CF45" w14:textId="77777777" w:rsidR="00CB1CB2" w:rsidRPr="00CB1CB2" w:rsidRDefault="00CB1CB2" w:rsidP="00936FEE">
      <w:pPr>
        <w:pStyle w:val="Heading2"/>
      </w:pPr>
      <w:r>
        <w:t>1</w:t>
      </w:r>
      <w:r w:rsidR="00EC5E16">
        <w:t>7</w:t>
      </w:r>
      <w:r w:rsidR="006B12F1">
        <w:t xml:space="preserve">.1 </w:t>
      </w:r>
      <w:r>
        <w:t>Introduction</w:t>
      </w:r>
    </w:p>
    <w:p w14:paraId="00916D6D" w14:textId="77777777" w:rsidR="000C099C" w:rsidRDefault="000C099C" w:rsidP="00CB1CB2">
      <w:pPr>
        <w:pStyle w:val="BodyText"/>
        <w:spacing w:before="0" w:after="0"/>
      </w:pPr>
      <w:r>
        <w:t xml:space="preserve">Pursuant to a broker/dealer’s fiduciary duty to its clients as well as expectations of its clients, the Company has developed the following business continuity plans to respond to emergencies, disasters, and contingencies.  </w:t>
      </w:r>
      <w:r w:rsidR="00107C50">
        <w:t xml:space="preserve">In addition, it is the Company’s policy to respond to a Significant Business Disruption (SBD) by safeguarding employees’ lives and Company property, making a financial and operational assessment, quickly recovering and resuming operations, protecting the </w:t>
      </w:r>
      <w:r w:rsidR="00CB1414">
        <w:t>Co</w:t>
      </w:r>
      <w:r w:rsidR="00107C50">
        <w:t>m</w:t>
      </w:r>
      <w:r w:rsidR="00CB1414">
        <w:t>pany</w:t>
      </w:r>
      <w:r w:rsidR="00107C50">
        <w:t xml:space="preserve">’s books and records, </w:t>
      </w:r>
      <w:r>
        <w:t xml:space="preserve">Morris Monroe and Laura Hendricks will be responsible for the development and implementation of these procedures designed to provide the strategic and operational framework to both review, and where appropriate, redesign the way the Company provides its products and services while increasing its resilience to disruption, interruption, or loss.  In addition, Morris Monroe and Laura Hendricks are the Company’s two emergency contact persons.  These names will be updated in event of a material </w:t>
      </w:r>
      <w:r w:rsidR="00463A82">
        <w:t>change and</w:t>
      </w:r>
      <w:r>
        <w:t xml:space="preserve"> will be reviewed within 17 business days of the end of each calendar quarter.  </w:t>
      </w:r>
    </w:p>
    <w:p w14:paraId="661F9CAD" w14:textId="77777777" w:rsidR="00CB1CB2" w:rsidRDefault="00CB1CB2">
      <w:pPr>
        <w:pStyle w:val="BodyText"/>
      </w:pPr>
    </w:p>
    <w:p w14:paraId="65CA8DE3" w14:textId="77777777" w:rsidR="00CB1CB2" w:rsidRDefault="00CB1CB2" w:rsidP="00936FEE">
      <w:pPr>
        <w:pStyle w:val="Heading2"/>
      </w:pPr>
      <w:r>
        <w:t>1</w:t>
      </w:r>
      <w:r w:rsidR="00EC5E16">
        <w:t>7</w:t>
      </w:r>
      <w:r>
        <w:t>.2 Compliance Chart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86"/>
        <w:gridCol w:w="7586"/>
      </w:tblGrid>
      <w:tr w:rsidR="00CB1CB2" w:rsidRPr="0033456B" w14:paraId="5915FBE9" w14:textId="77777777" w:rsidTr="00CB1C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6B21821" w14:textId="77777777" w:rsidR="00CB1CB2" w:rsidRPr="0033456B" w:rsidRDefault="00CB1CB2" w:rsidP="00CB1CB2">
            <w:pPr>
              <w:jc w:val="center"/>
              <w:rPr>
                <w:b/>
                <w:bCs/>
                <w:color w:val="000000"/>
                <w:spacing w:val="8"/>
                <w:sz w:val="24"/>
                <w:szCs w:val="24"/>
              </w:rPr>
            </w:pPr>
            <w:r w:rsidRPr="0033456B">
              <w:rPr>
                <w:b/>
                <w:bCs/>
                <w:color w:val="000000"/>
                <w:spacing w:val="8"/>
                <w:sz w:val="24"/>
                <w:szCs w:val="24"/>
              </w:rPr>
              <w:t>Responsibility</w:t>
            </w:r>
          </w:p>
        </w:tc>
        <w:tc>
          <w:tcPr>
            <w:tcW w:w="0" w:type="auto"/>
            <w:tcBorders>
              <w:top w:val="outset" w:sz="6" w:space="0" w:color="auto"/>
              <w:left w:val="outset" w:sz="6" w:space="0" w:color="auto"/>
              <w:bottom w:val="outset" w:sz="6" w:space="0" w:color="auto"/>
              <w:right w:val="outset" w:sz="6" w:space="0" w:color="auto"/>
            </w:tcBorders>
            <w:vAlign w:val="center"/>
          </w:tcPr>
          <w:p w14:paraId="19547B96" w14:textId="77777777" w:rsidR="00CB1CB2" w:rsidRPr="0033456B" w:rsidRDefault="00CB1CB2" w:rsidP="00C1728B">
            <w:pPr>
              <w:numPr>
                <w:ilvl w:val="0"/>
                <w:numId w:val="59"/>
              </w:numPr>
              <w:rPr>
                <w:color w:val="000000"/>
                <w:spacing w:val="8"/>
                <w:sz w:val="24"/>
                <w:szCs w:val="24"/>
              </w:rPr>
            </w:pPr>
            <w:r w:rsidRPr="0033456B">
              <w:rPr>
                <w:color w:val="000000"/>
                <w:spacing w:val="8"/>
                <w:sz w:val="24"/>
                <w:szCs w:val="24"/>
              </w:rPr>
              <w:t>Designated Supervisors or Principal</w:t>
            </w:r>
            <w:r w:rsidR="00447BA6" w:rsidRPr="0033456B">
              <w:rPr>
                <w:color w:val="000000"/>
                <w:spacing w:val="8"/>
                <w:sz w:val="24"/>
                <w:szCs w:val="24"/>
              </w:rPr>
              <w:t>s</w:t>
            </w:r>
          </w:p>
        </w:tc>
      </w:tr>
      <w:tr w:rsidR="00CB1CB2" w:rsidRPr="0033456B" w14:paraId="3390F090" w14:textId="77777777" w:rsidTr="00CB1C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B6E125B" w14:textId="77777777" w:rsidR="00CB1CB2" w:rsidRPr="0033456B" w:rsidRDefault="00CB1CB2" w:rsidP="00CB1CB2">
            <w:pPr>
              <w:jc w:val="center"/>
              <w:rPr>
                <w:b/>
                <w:bCs/>
                <w:color w:val="000000"/>
                <w:spacing w:val="8"/>
                <w:sz w:val="24"/>
                <w:szCs w:val="24"/>
              </w:rPr>
            </w:pPr>
            <w:r w:rsidRPr="0033456B">
              <w:rPr>
                <w:b/>
                <w:bCs/>
                <w:color w:val="000000"/>
                <w:spacing w:val="8"/>
                <w:sz w:val="24"/>
                <w:szCs w:val="24"/>
              </w:rPr>
              <w:t>Statutes</w:t>
            </w:r>
          </w:p>
        </w:tc>
        <w:tc>
          <w:tcPr>
            <w:tcW w:w="0" w:type="auto"/>
            <w:tcBorders>
              <w:top w:val="outset" w:sz="6" w:space="0" w:color="auto"/>
              <w:left w:val="outset" w:sz="6" w:space="0" w:color="auto"/>
              <w:bottom w:val="outset" w:sz="6" w:space="0" w:color="auto"/>
              <w:right w:val="outset" w:sz="6" w:space="0" w:color="auto"/>
            </w:tcBorders>
            <w:vAlign w:val="center"/>
          </w:tcPr>
          <w:p w14:paraId="08C2F871" w14:textId="77777777" w:rsidR="00CB1CB2" w:rsidRPr="0033456B" w:rsidRDefault="00CB1CB2" w:rsidP="00C1728B">
            <w:pPr>
              <w:numPr>
                <w:ilvl w:val="0"/>
                <w:numId w:val="60"/>
              </w:numPr>
              <w:rPr>
                <w:color w:val="000000"/>
                <w:spacing w:val="8"/>
                <w:sz w:val="24"/>
                <w:szCs w:val="24"/>
              </w:rPr>
            </w:pPr>
            <w:r w:rsidRPr="0033456B">
              <w:rPr>
                <w:color w:val="000000"/>
                <w:sz w:val="24"/>
                <w:szCs w:val="24"/>
              </w:rPr>
              <w:t>SEC Rule 17a-3 and 17a-4 – books and records (34 Act Section 240)</w:t>
            </w:r>
          </w:p>
          <w:p w14:paraId="3AC1B030" w14:textId="77777777" w:rsidR="00CB1CB2" w:rsidRPr="0033456B" w:rsidRDefault="00CB1CB2" w:rsidP="00C1728B">
            <w:pPr>
              <w:numPr>
                <w:ilvl w:val="0"/>
                <w:numId w:val="60"/>
              </w:numPr>
              <w:rPr>
                <w:color w:val="000000"/>
                <w:spacing w:val="8"/>
                <w:sz w:val="24"/>
                <w:szCs w:val="24"/>
              </w:rPr>
            </w:pPr>
            <w:r w:rsidRPr="0033456B">
              <w:rPr>
                <w:color w:val="000000"/>
                <w:sz w:val="24"/>
                <w:szCs w:val="24"/>
              </w:rPr>
              <w:t>FINRA Rule 4370</w:t>
            </w:r>
            <w:r w:rsidR="006B59F6">
              <w:rPr>
                <w:color w:val="000000"/>
                <w:sz w:val="24"/>
                <w:szCs w:val="24"/>
              </w:rPr>
              <w:t xml:space="preserve">, </w:t>
            </w:r>
            <w:r w:rsidR="006B59F6" w:rsidRPr="00EC5E16">
              <w:rPr>
                <w:sz w:val="24"/>
                <w:szCs w:val="24"/>
              </w:rPr>
              <w:t>4517</w:t>
            </w:r>
            <w:r w:rsidRPr="0033456B">
              <w:rPr>
                <w:color w:val="000000"/>
                <w:sz w:val="24"/>
                <w:szCs w:val="24"/>
              </w:rPr>
              <w:t xml:space="preserve"> – BCP and Emergency Contact </w:t>
            </w:r>
            <w:r w:rsidR="00640185" w:rsidRPr="0033456B">
              <w:rPr>
                <w:color w:val="000000"/>
                <w:sz w:val="24"/>
                <w:szCs w:val="24"/>
              </w:rPr>
              <w:t>(and Notices to Members 06-74 and 04-37)</w:t>
            </w:r>
          </w:p>
        </w:tc>
      </w:tr>
      <w:tr w:rsidR="00CB1CB2" w:rsidRPr="0033456B" w14:paraId="733F5A1C" w14:textId="77777777" w:rsidTr="00CB1C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A6996F5" w14:textId="77777777" w:rsidR="00CB1CB2" w:rsidRPr="0033456B" w:rsidRDefault="00CB1CB2" w:rsidP="00CB1CB2">
            <w:pPr>
              <w:jc w:val="center"/>
              <w:rPr>
                <w:b/>
                <w:bCs/>
                <w:color w:val="000000"/>
                <w:spacing w:val="8"/>
                <w:sz w:val="24"/>
                <w:szCs w:val="24"/>
              </w:rPr>
            </w:pPr>
            <w:r w:rsidRPr="0033456B">
              <w:rPr>
                <w:b/>
                <w:bCs/>
                <w:color w:val="000000"/>
                <w:spacing w:val="8"/>
                <w:sz w:val="24"/>
                <w:szCs w:val="24"/>
              </w:rPr>
              <w:t>Frequency</w:t>
            </w:r>
          </w:p>
        </w:tc>
        <w:tc>
          <w:tcPr>
            <w:tcW w:w="0" w:type="auto"/>
            <w:tcBorders>
              <w:top w:val="outset" w:sz="6" w:space="0" w:color="auto"/>
              <w:left w:val="outset" w:sz="6" w:space="0" w:color="auto"/>
              <w:bottom w:val="outset" w:sz="6" w:space="0" w:color="auto"/>
              <w:right w:val="outset" w:sz="6" w:space="0" w:color="auto"/>
            </w:tcBorders>
            <w:vAlign w:val="center"/>
          </w:tcPr>
          <w:p w14:paraId="1FD11C42" w14:textId="77777777" w:rsidR="00CB1CB2" w:rsidRPr="0033456B" w:rsidRDefault="00CB1CB2" w:rsidP="00C1728B">
            <w:pPr>
              <w:numPr>
                <w:ilvl w:val="0"/>
                <w:numId w:val="60"/>
              </w:numPr>
              <w:rPr>
                <w:color w:val="000000"/>
                <w:spacing w:val="8"/>
                <w:sz w:val="24"/>
                <w:szCs w:val="24"/>
              </w:rPr>
            </w:pPr>
            <w:r w:rsidRPr="0033456B">
              <w:rPr>
                <w:color w:val="000000"/>
                <w:spacing w:val="8"/>
                <w:sz w:val="24"/>
                <w:szCs w:val="24"/>
              </w:rPr>
              <w:t>As required</w:t>
            </w:r>
          </w:p>
          <w:p w14:paraId="3435CEFE" w14:textId="77777777" w:rsidR="00CB1CB2" w:rsidRPr="0033456B" w:rsidRDefault="00CB1CB2" w:rsidP="00C1728B">
            <w:pPr>
              <w:numPr>
                <w:ilvl w:val="0"/>
                <w:numId w:val="60"/>
              </w:numPr>
              <w:rPr>
                <w:color w:val="000000"/>
                <w:spacing w:val="8"/>
                <w:sz w:val="24"/>
                <w:szCs w:val="24"/>
              </w:rPr>
            </w:pPr>
            <w:r w:rsidRPr="0033456B">
              <w:rPr>
                <w:color w:val="000000"/>
                <w:spacing w:val="8"/>
                <w:sz w:val="24"/>
                <w:szCs w:val="24"/>
              </w:rPr>
              <w:t>Annual review</w:t>
            </w:r>
          </w:p>
          <w:p w14:paraId="0F52B6E6" w14:textId="77777777" w:rsidR="00CB1CB2" w:rsidRPr="0033456B" w:rsidRDefault="00CB1CB2" w:rsidP="00C1728B">
            <w:pPr>
              <w:numPr>
                <w:ilvl w:val="0"/>
                <w:numId w:val="60"/>
              </w:numPr>
              <w:rPr>
                <w:color w:val="000000"/>
                <w:spacing w:val="8"/>
                <w:sz w:val="24"/>
                <w:szCs w:val="24"/>
              </w:rPr>
            </w:pPr>
            <w:r w:rsidRPr="0033456B">
              <w:rPr>
                <w:color w:val="000000"/>
                <w:spacing w:val="8"/>
                <w:sz w:val="24"/>
                <w:szCs w:val="24"/>
              </w:rPr>
              <w:t>Annual training</w:t>
            </w:r>
          </w:p>
        </w:tc>
      </w:tr>
      <w:tr w:rsidR="00CB1CB2" w:rsidRPr="0033456B" w14:paraId="0C6D2B59" w14:textId="77777777" w:rsidTr="00CB1C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070EC17" w14:textId="77777777" w:rsidR="00CB1CB2" w:rsidRPr="0033456B" w:rsidRDefault="00CB1CB2" w:rsidP="00CB1CB2">
            <w:pPr>
              <w:jc w:val="center"/>
              <w:rPr>
                <w:b/>
                <w:bCs/>
                <w:color w:val="000000"/>
                <w:spacing w:val="8"/>
                <w:sz w:val="24"/>
                <w:szCs w:val="24"/>
              </w:rPr>
            </w:pPr>
            <w:r w:rsidRPr="0033456B">
              <w:rPr>
                <w:b/>
                <w:bCs/>
                <w:color w:val="000000"/>
                <w:spacing w:val="8"/>
                <w:sz w:val="24"/>
                <w:szCs w:val="24"/>
              </w:rPr>
              <w:t>Actions</w:t>
            </w:r>
          </w:p>
        </w:tc>
        <w:tc>
          <w:tcPr>
            <w:tcW w:w="0" w:type="auto"/>
            <w:tcBorders>
              <w:top w:val="outset" w:sz="6" w:space="0" w:color="auto"/>
              <w:left w:val="outset" w:sz="6" w:space="0" w:color="auto"/>
              <w:bottom w:val="outset" w:sz="6" w:space="0" w:color="auto"/>
              <w:right w:val="outset" w:sz="6" w:space="0" w:color="auto"/>
            </w:tcBorders>
            <w:vAlign w:val="center"/>
          </w:tcPr>
          <w:p w14:paraId="671E1B60" w14:textId="77777777" w:rsidR="00CB1CB2" w:rsidRPr="0033456B" w:rsidRDefault="00640185" w:rsidP="00C1728B">
            <w:pPr>
              <w:numPr>
                <w:ilvl w:val="0"/>
                <w:numId w:val="97"/>
              </w:numPr>
              <w:rPr>
                <w:color w:val="000000"/>
                <w:spacing w:val="8"/>
                <w:sz w:val="24"/>
                <w:szCs w:val="24"/>
              </w:rPr>
            </w:pPr>
            <w:r w:rsidRPr="0033456B">
              <w:rPr>
                <w:color w:val="000000"/>
                <w:spacing w:val="8"/>
                <w:sz w:val="24"/>
                <w:szCs w:val="24"/>
              </w:rPr>
              <w:t>Maintain and update plan as needed</w:t>
            </w:r>
          </w:p>
          <w:p w14:paraId="090D16BB" w14:textId="77777777" w:rsidR="00CB1CB2" w:rsidRPr="0033456B" w:rsidRDefault="00640185" w:rsidP="00C1728B">
            <w:pPr>
              <w:numPr>
                <w:ilvl w:val="0"/>
                <w:numId w:val="97"/>
              </w:numPr>
              <w:rPr>
                <w:color w:val="000000"/>
                <w:spacing w:val="8"/>
                <w:sz w:val="24"/>
                <w:szCs w:val="24"/>
              </w:rPr>
            </w:pPr>
            <w:r w:rsidRPr="0033456B">
              <w:rPr>
                <w:color w:val="000000"/>
                <w:spacing w:val="8"/>
                <w:sz w:val="24"/>
                <w:szCs w:val="24"/>
              </w:rPr>
              <w:t>Implementation of Plan if disruption occurs</w:t>
            </w:r>
          </w:p>
          <w:p w14:paraId="562DCA24" w14:textId="77777777" w:rsidR="00CB1CB2" w:rsidRPr="0033456B" w:rsidRDefault="00640185" w:rsidP="00C1728B">
            <w:pPr>
              <w:numPr>
                <w:ilvl w:val="0"/>
                <w:numId w:val="97"/>
              </w:numPr>
              <w:rPr>
                <w:color w:val="000000"/>
                <w:spacing w:val="8"/>
                <w:sz w:val="24"/>
                <w:szCs w:val="24"/>
              </w:rPr>
            </w:pPr>
            <w:r w:rsidRPr="0033456B">
              <w:rPr>
                <w:color w:val="000000"/>
                <w:spacing w:val="8"/>
                <w:sz w:val="24"/>
                <w:szCs w:val="24"/>
              </w:rPr>
              <w:t>Provide Plan summary information to customers at account opening and offer annually</w:t>
            </w:r>
          </w:p>
          <w:p w14:paraId="35B0A87C" w14:textId="77777777" w:rsidR="00CB1CB2" w:rsidRPr="0033456B" w:rsidRDefault="00640185" w:rsidP="00C1728B">
            <w:pPr>
              <w:numPr>
                <w:ilvl w:val="0"/>
                <w:numId w:val="97"/>
              </w:numPr>
              <w:rPr>
                <w:color w:val="000000"/>
                <w:spacing w:val="8"/>
                <w:sz w:val="24"/>
                <w:szCs w:val="24"/>
              </w:rPr>
            </w:pPr>
            <w:r w:rsidRPr="0033456B">
              <w:rPr>
                <w:color w:val="000000"/>
                <w:spacing w:val="8"/>
                <w:sz w:val="24"/>
                <w:szCs w:val="24"/>
              </w:rPr>
              <w:t>Post Plan information on Company Website and update as needed</w:t>
            </w:r>
          </w:p>
          <w:p w14:paraId="60FA19B2" w14:textId="77777777" w:rsidR="00CB1CB2" w:rsidRDefault="00CB1CB2" w:rsidP="00C1728B">
            <w:pPr>
              <w:numPr>
                <w:ilvl w:val="0"/>
                <w:numId w:val="94"/>
              </w:numPr>
              <w:rPr>
                <w:color w:val="000000"/>
                <w:spacing w:val="8"/>
                <w:sz w:val="24"/>
                <w:szCs w:val="24"/>
              </w:rPr>
            </w:pPr>
            <w:r w:rsidRPr="0033456B">
              <w:rPr>
                <w:color w:val="000000"/>
                <w:spacing w:val="8"/>
                <w:sz w:val="24"/>
                <w:szCs w:val="24"/>
              </w:rPr>
              <w:t xml:space="preserve">Provide training to Associated Persons on </w:t>
            </w:r>
            <w:r w:rsidR="00640185" w:rsidRPr="0033456B">
              <w:rPr>
                <w:color w:val="000000"/>
                <w:spacing w:val="8"/>
                <w:sz w:val="24"/>
                <w:szCs w:val="24"/>
              </w:rPr>
              <w:t>BCP</w:t>
            </w:r>
          </w:p>
          <w:p w14:paraId="553C7BFB" w14:textId="72543DC5" w:rsidR="006C2BA2" w:rsidRPr="0033456B" w:rsidRDefault="006C2BA2" w:rsidP="00C1728B">
            <w:pPr>
              <w:numPr>
                <w:ilvl w:val="0"/>
                <w:numId w:val="94"/>
              </w:numPr>
              <w:rPr>
                <w:color w:val="000000"/>
                <w:spacing w:val="8"/>
                <w:sz w:val="24"/>
                <w:szCs w:val="24"/>
              </w:rPr>
            </w:pPr>
            <w:r w:rsidRPr="00E810C6">
              <w:rPr>
                <w:spacing w:val="8"/>
                <w:sz w:val="24"/>
                <w:szCs w:val="24"/>
              </w:rPr>
              <w:t xml:space="preserve">Notify FINRA </w:t>
            </w:r>
            <w:r w:rsidR="00702455" w:rsidRPr="00E810C6">
              <w:rPr>
                <w:spacing w:val="8"/>
                <w:sz w:val="24"/>
                <w:szCs w:val="24"/>
              </w:rPr>
              <w:t>if BCP implemented</w:t>
            </w:r>
            <w:r w:rsidR="00216BDC" w:rsidRPr="00E810C6">
              <w:rPr>
                <w:spacing w:val="8"/>
                <w:sz w:val="24"/>
                <w:szCs w:val="24"/>
              </w:rPr>
              <w:t xml:space="preserve">, </w:t>
            </w:r>
            <w:r w:rsidR="00702455" w:rsidRPr="00E810C6">
              <w:rPr>
                <w:spacing w:val="8"/>
                <w:sz w:val="24"/>
                <w:szCs w:val="24"/>
              </w:rPr>
              <w:t>any emergency offices activated and contact information</w:t>
            </w:r>
            <w:r w:rsidR="00216BDC" w:rsidRPr="00E810C6">
              <w:rPr>
                <w:spacing w:val="8"/>
                <w:sz w:val="24"/>
                <w:szCs w:val="24"/>
              </w:rPr>
              <w:t xml:space="preserve">, and any </w:t>
            </w:r>
            <w:r w:rsidR="00A50CFB" w:rsidRPr="00E810C6">
              <w:rPr>
                <w:spacing w:val="8"/>
                <w:sz w:val="24"/>
                <w:szCs w:val="24"/>
              </w:rPr>
              <w:t xml:space="preserve">request for </w:t>
            </w:r>
            <w:r w:rsidR="00216BDC" w:rsidRPr="00E810C6">
              <w:rPr>
                <w:spacing w:val="8"/>
                <w:sz w:val="24"/>
                <w:szCs w:val="24"/>
              </w:rPr>
              <w:t>extension of filings or other items (i.e. CE) if applicable</w:t>
            </w:r>
            <w:r w:rsidR="00702455" w:rsidRPr="00E810C6">
              <w:rPr>
                <w:spacing w:val="8"/>
                <w:sz w:val="24"/>
                <w:szCs w:val="24"/>
              </w:rPr>
              <w:t>.</w:t>
            </w:r>
          </w:p>
        </w:tc>
      </w:tr>
      <w:tr w:rsidR="00CB1CB2" w:rsidRPr="0033456B" w14:paraId="3D3FE9CC" w14:textId="77777777" w:rsidTr="00CB1CB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3249CAB" w14:textId="77777777" w:rsidR="00CB1CB2" w:rsidRPr="0033456B" w:rsidRDefault="00CB1CB2" w:rsidP="00CB1CB2">
            <w:pPr>
              <w:jc w:val="center"/>
              <w:rPr>
                <w:b/>
                <w:bCs/>
                <w:color w:val="000000"/>
                <w:spacing w:val="8"/>
                <w:sz w:val="24"/>
                <w:szCs w:val="24"/>
              </w:rPr>
            </w:pPr>
            <w:r w:rsidRPr="0033456B">
              <w:rPr>
                <w:b/>
                <w:bCs/>
                <w:color w:val="000000"/>
                <w:spacing w:val="8"/>
                <w:sz w:val="24"/>
                <w:szCs w:val="24"/>
              </w:rPr>
              <w:t>Records</w:t>
            </w:r>
          </w:p>
        </w:tc>
        <w:tc>
          <w:tcPr>
            <w:tcW w:w="0" w:type="auto"/>
            <w:tcBorders>
              <w:top w:val="outset" w:sz="6" w:space="0" w:color="auto"/>
              <w:left w:val="outset" w:sz="6" w:space="0" w:color="auto"/>
              <w:bottom w:val="outset" w:sz="6" w:space="0" w:color="auto"/>
              <w:right w:val="outset" w:sz="6" w:space="0" w:color="auto"/>
            </w:tcBorders>
            <w:vAlign w:val="center"/>
          </w:tcPr>
          <w:p w14:paraId="3E9B33D2" w14:textId="77777777" w:rsidR="00CB1CB2" w:rsidRPr="0033456B" w:rsidRDefault="00CB1CB2" w:rsidP="00C1728B">
            <w:pPr>
              <w:numPr>
                <w:ilvl w:val="0"/>
                <w:numId w:val="95"/>
              </w:numPr>
              <w:rPr>
                <w:color w:val="000000"/>
                <w:spacing w:val="8"/>
                <w:sz w:val="24"/>
                <w:szCs w:val="24"/>
              </w:rPr>
            </w:pPr>
            <w:r w:rsidRPr="0033456B">
              <w:rPr>
                <w:color w:val="000000"/>
                <w:spacing w:val="8"/>
                <w:sz w:val="24"/>
                <w:szCs w:val="24"/>
              </w:rPr>
              <w:t>Customer account documents</w:t>
            </w:r>
          </w:p>
          <w:p w14:paraId="631FE81D" w14:textId="77777777" w:rsidR="00CB1CB2" w:rsidRPr="0033456B" w:rsidRDefault="00640185" w:rsidP="00C1728B">
            <w:pPr>
              <w:numPr>
                <w:ilvl w:val="0"/>
                <w:numId w:val="95"/>
              </w:numPr>
              <w:rPr>
                <w:color w:val="000000"/>
                <w:spacing w:val="8"/>
                <w:sz w:val="24"/>
                <w:szCs w:val="24"/>
              </w:rPr>
            </w:pPr>
            <w:r w:rsidRPr="0033456B">
              <w:rPr>
                <w:color w:val="000000"/>
                <w:spacing w:val="8"/>
                <w:sz w:val="24"/>
                <w:szCs w:val="24"/>
              </w:rPr>
              <w:t>Annual offer to customers</w:t>
            </w:r>
          </w:p>
          <w:p w14:paraId="5A187ECB" w14:textId="77777777" w:rsidR="00CB1CB2" w:rsidRPr="0033456B" w:rsidRDefault="00CB1CB2" w:rsidP="00C1728B">
            <w:pPr>
              <w:numPr>
                <w:ilvl w:val="0"/>
                <w:numId w:val="95"/>
              </w:numPr>
              <w:rPr>
                <w:color w:val="000000"/>
                <w:spacing w:val="8"/>
                <w:sz w:val="24"/>
                <w:szCs w:val="24"/>
              </w:rPr>
            </w:pPr>
            <w:r w:rsidRPr="0033456B">
              <w:rPr>
                <w:color w:val="000000"/>
                <w:spacing w:val="8"/>
                <w:sz w:val="24"/>
                <w:szCs w:val="24"/>
              </w:rPr>
              <w:t>Training records</w:t>
            </w:r>
          </w:p>
          <w:p w14:paraId="78C51EEA" w14:textId="77777777" w:rsidR="00640185" w:rsidRPr="0033456B" w:rsidRDefault="00640185" w:rsidP="00C1728B">
            <w:pPr>
              <w:numPr>
                <w:ilvl w:val="0"/>
                <w:numId w:val="95"/>
              </w:numPr>
              <w:rPr>
                <w:color w:val="000000"/>
                <w:spacing w:val="8"/>
                <w:sz w:val="24"/>
                <w:szCs w:val="24"/>
              </w:rPr>
            </w:pPr>
            <w:r w:rsidRPr="0033456B">
              <w:rPr>
                <w:color w:val="000000"/>
                <w:spacing w:val="8"/>
                <w:sz w:val="24"/>
                <w:szCs w:val="24"/>
              </w:rPr>
              <w:t xml:space="preserve">Website </w:t>
            </w:r>
          </w:p>
        </w:tc>
      </w:tr>
    </w:tbl>
    <w:p w14:paraId="57F91B70" w14:textId="77777777" w:rsidR="00CB1CB2" w:rsidRPr="00CB1CB2" w:rsidRDefault="00CB1CB2" w:rsidP="00CB1CB2"/>
    <w:p w14:paraId="0A9E79D9" w14:textId="77777777" w:rsidR="0074650E" w:rsidRDefault="0074650E">
      <w:pPr>
        <w:pStyle w:val="BodyText"/>
        <w:rPr>
          <w:b/>
        </w:rPr>
      </w:pPr>
    </w:p>
    <w:p w14:paraId="7CB52B5B" w14:textId="77777777" w:rsidR="00CB1CB2" w:rsidRPr="00C317F4" w:rsidRDefault="00C317F4" w:rsidP="00936FEE">
      <w:pPr>
        <w:pStyle w:val="Heading2"/>
        <w:rPr>
          <w:i/>
          <w:sz w:val="20"/>
        </w:rPr>
      </w:pPr>
      <w:r>
        <w:lastRenderedPageBreak/>
        <w:t>1</w:t>
      </w:r>
      <w:r w:rsidR="00EC5E16">
        <w:t>7</w:t>
      </w:r>
      <w:r>
        <w:t xml:space="preserve">.3 </w:t>
      </w:r>
      <w:r w:rsidR="00CB1CB2">
        <w:t xml:space="preserve">FINRA Rule 4370. BCP &amp; Emergency Contacts </w:t>
      </w:r>
      <w:r w:rsidR="00CB1CB2" w:rsidRPr="00C317F4">
        <w:rPr>
          <w:i/>
          <w:sz w:val="20"/>
        </w:rPr>
        <w:t>(</w:t>
      </w:r>
      <w:proofErr w:type="gramStart"/>
      <w:r w:rsidR="00CB1CB2" w:rsidRPr="00C317F4">
        <w:rPr>
          <w:i/>
          <w:sz w:val="20"/>
        </w:rPr>
        <w:t>eff</w:t>
      </w:r>
      <w:proofErr w:type="gramEnd"/>
      <w:r w:rsidR="00CB1CB2" w:rsidRPr="00C317F4">
        <w:rPr>
          <w:i/>
          <w:sz w:val="20"/>
        </w:rPr>
        <w:t xml:space="preserve"> 12/14/09)</w:t>
      </w:r>
    </w:p>
    <w:p w14:paraId="4D4D44BC" w14:textId="47E18959" w:rsidR="004F6B7B" w:rsidRPr="0033456B" w:rsidRDefault="0074650E" w:rsidP="00463A82">
      <w:pPr>
        <w:shd w:val="clear" w:color="auto" w:fill="FFFFFF"/>
        <w:rPr>
          <w:color w:val="000000"/>
          <w:sz w:val="24"/>
          <w:szCs w:val="24"/>
        </w:rPr>
      </w:pPr>
      <w:r w:rsidRPr="0033456B">
        <w:rPr>
          <w:color w:val="000000"/>
          <w:sz w:val="24"/>
          <w:szCs w:val="24"/>
        </w:rPr>
        <w:t xml:space="preserve">Pursuant to </w:t>
      </w:r>
      <w:r w:rsidR="002D0A29" w:rsidRPr="0033456B">
        <w:rPr>
          <w:color w:val="000000"/>
          <w:sz w:val="24"/>
          <w:szCs w:val="24"/>
        </w:rPr>
        <w:t xml:space="preserve">Rule 4370, Company has </w:t>
      </w:r>
      <w:r w:rsidRPr="0033456B">
        <w:rPr>
          <w:color w:val="000000"/>
          <w:sz w:val="24"/>
          <w:szCs w:val="24"/>
        </w:rPr>
        <w:t>create</w:t>
      </w:r>
      <w:r w:rsidR="002D0A29" w:rsidRPr="0033456B">
        <w:rPr>
          <w:color w:val="000000"/>
          <w:sz w:val="24"/>
          <w:szCs w:val="24"/>
        </w:rPr>
        <w:t>d</w:t>
      </w:r>
      <w:r w:rsidRPr="0033456B">
        <w:rPr>
          <w:color w:val="000000"/>
          <w:sz w:val="24"/>
          <w:szCs w:val="24"/>
        </w:rPr>
        <w:t xml:space="preserve"> and </w:t>
      </w:r>
      <w:r w:rsidR="002D0A29" w:rsidRPr="0033456B">
        <w:rPr>
          <w:color w:val="000000"/>
          <w:sz w:val="24"/>
          <w:szCs w:val="24"/>
        </w:rPr>
        <w:t xml:space="preserve">will </w:t>
      </w:r>
      <w:r w:rsidRPr="0033456B">
        <w:rPr>
          <w:color w:val="000000"/>
          <w:sz w:val="24"/>
          <w:szCs w:val="24"/>
        </w:rPr>
        <w:t xml:space="preserve">maintain </w:t>
      </w:r>
      <w:r w:rsidR="00463A82" w:rsidRPr="0033456B">
        <w:rPr>
          <w:color w:val="000000"/>
          <w:sz w:val="24"/>
          <w:szCs w:val="24"/>
        </w:rPr>
        <w:t xml:space="preserve">a </w:t>
      </w:r>
      <w:r w:rsidR="00E810C6" w:rsidRPr="0033456B">
        <w:rPr>
          <w:color w:val="000000"/>
          <w:sz w:val="24"/>
          <w:szCs w:val="24"/>
        </w:rPr>
        <w:t>written business continuity plan identifying procedure</w:t>
      </w:r>
      <w:r w:rsidRPr="0033456B">
        <w:rPr>
          <w:color w:val="000000"/>
          <w:sz w:val="24"/>
          <w:szCs w:val="24"/>
        </w:rPr>
        <w:t xml:space="preserve"> relating to an emergency or significant business disruption. Such procedures must be reasonably designed to enable </w:t>
      </w:r>
      <w:r w:rsidR="002D0A29" w:rsidRPr="0033456B">
        <w:rPr>
          <w:color w:val="000000"/>
          <w:sz w:val="24"/>
          <w:szCs w:val="24"/>
        </w:rPr>
        <w:t>Company</w:t>
      </w:r>
      <w:r w:rsidRPr="0033456B">
        <w:rPr>
          <w:color w:val="000000"/>
          <w:sz w:val="24"/>
          <w:szCs w:val="24"/>
        </w:rPr>
        <w:t xml:space="preserve"> to meet its existing obligations to customers. In addition, such procedures must address </w:t>
      </w:r>
      <w:r w:rsidR="002D0A29" w:rsidRPr="0033456B">
        <w:rPr>
          <w:color w:val="000000"/>
          <w:sz w:val="24"/>
          <w:szCs w:val="24"/>
        </w:rPr>
        <w:t>Company’s</w:t>
      </w:r>
      <w:r w:rsidRPr="0033456B">
        <w:rPr>
          <w:color w:val="000000"/>
          <w:sz w:val="24"/>
          <w:szCs w:val="24"/>
        </w:rPr>
        <w:t xml:space="preserve"> existing relationships with other broker-dealers and </w:t>
      </w:r>
      <w:r w:rsidR="00E810C6" w:rsidRPr="0033456B">
        <w:rPr>
          <w:color w:val="000000"/>
          <w:sz w:val="24"/>
          <w:szCs w:val="24"/>
        </w:rPr>
        <w:t>counterparties</w:t>
      </w:r>
      <w:r w:rsidRPr="0033456B">
        <w:rPr>
          <w:color w:val="000000"/>
          <w:sz w:val="24"/>
          <w:szCs w:val="24"/>
        </w:rPr>
        <w:t xml:space="preserve">. The business continuity plan </w:t>
      </w:r>
      <w:r w:rsidR="002D0A29" w:rsidRPr="0033456B">
        <w:rPr>
          <w:color w:val="000000"/>
          <w:sz w:val="24"/>
          <w:szCs w:val="24"/>
        </w:rPr>
        <w:t>shall</w:t>
      </w:r>
      <w:r w:rsidRPr="0033456B">
        <w:rPr>
          <w:color w:val="000000"/>
          <w:sz w:val="24"/>
          <w:szCs w:val="24"/>
        </w:rPr>
        <w:t xml:space="preserve"> be made available promptly upon request to </w:t>
      </w:r>
      <w:r w:rsidRPr="0033456B">
        <w:rPr>
          <w:rStyle w:val="us"/>
          <w:color w:val="000000"/>
          <w:sz w:val="24"/>
          <w:szCs w:val="24"/>
        </w:rPr>
        <w:t>FINRA</w:t>
      </w:r>
      <w:r w:rsidRPr="0033456B">
        <w:rPr>
          <w:color w:val="000000"/>
          <w:sz w:val="24"/>
          <w:szCs w:val="24"/>
        </w:rPr>
        <w:t xml:space="preserve"> staff. </w:t>
      </w:r>
      <w:r w:rsidR="00947DA3" w:rsidRPr="0033456B">
        <w:rPr>
          <w:color w:val="000000"/>
          <w:sz w:val="24"/>
          <w:szCs w:val="24"/>
        </w:rPr>
        <w:t xml:space="preserve"> Company </w:t>
      </w:r>
      <w:r w:rsidR="004F6B7B" w:rsidRPr="0033456B">
        <w:rPr>
          <w:color w:val="000000"/>
          <w:sz w:val="24"/>
          <w:szCs w:val="24"/>
        </w:rPr>
        <w:t>shall</w:t>
      </w:r>
      <w:r w:rsidR="00947DA3" w:rsidRPr="0033456B">
        <w:rPr>
          <w:color w:val="000000"/>
          <w:sz w:val="24"/>
          <w:szCs w:val="24"/>
        </w:rPr>
        <w:t xml:space="preserve"> update its plan in the event of any material change to the member's operations, structure, </w:t>
      </w:r>
      <w:r w:rsidR="00E810C6" w:rsidRPr="0033456B">
        <w:rPr>
          <w:color w:val="000000"/>
          <w:sz w:val="24"/>
          <w:szCs w:val="24"/>
        </w:rPr>
        <w:t>business,</w:t>
      </w:r>
      <w:r w:rsidR="00947DA3" w:rsidRPr="0033456B">
        <w:rPr>
          <w:color w:val="000000"/>
          <w:sz w:val="24"/>
          <w:szCs w:val="24"/>
        </w:rPr>
        <w:t xml:space="preserve"> or location. </w:t>
      </w:r>
      <w:r w:rsidR="004F6B7B" w:rsidRPr="0033456B">
        <w:rPr>
          <w:color w:val="000000"/>
          <w:sz w:val="24"/>
          <w:szCs w:val="24"/>
        </w:rPr>
        <w:t xml:space="preserve">Company’s plan </w:t>
      </w:r>
      <w:r w:rsidR="00FF1F00" w:rsidRPr="0033456B">
        <w:rPr>
          <w:color w:val="000000"/>
          <w:sz w:val="24"/>
          <w:szCs w:val="24"/>
        </w:rPr>
        <w:t>shall at</w:t>
      </w:r>
      <w:r w:rsidR="004F6B7B" w:rsidRPr="0033456B">
        <w:rPr>
          <w:color w:val="000000"/>
          <w:sz w:val="24"/>
          <w:szCs w:val="24"/>
        </w:rPr>
        <w:t xml:space="preserve"> a minimum, address the following:</w:t>
      </w:r>
    </w:p>
    <w:p w14:paraId="2852B1BF" w14:textId="77777777" w:rsidR="004F6B7B" w:rsidRPr="0033456B" w:rsidRDefault="004F6B7B" w:rsidP="00947DA3">
      <w:pPr>
        <w:shd w:val="clear" w:color="auto" w:fill="FFFFFF"/>
        <w:jc w:val="both"/>
        <w:rPr>
          <w:color w:val="000000"/>
          <w:sz w:val="24"/>
          <w:szCs w:val="24"/>
        </w:rPr>
      </w:pPr>
    </w:p>
    <w:p w14:paraId="0779B0E0" w14:textId="77777777" w:rsidR="004F6B7B" w:rsidRPr="0033456B" w:rsidRDefault="004F6B7B" w:rsidP="004F6B7B">
      <w:pPr>
        <w:shd w:val="clear" w:color="auto" w:fill="FFFFFF"/>
        <w:spacing w:line="270" w:lineRule="atLeast"/>
        <w:rPr>
          <w:color w:val="000000"/>
          <w:sz w:val="24"/>
          <w:szCs w:val="24"/>
        </w:rPr>
      </w:pPr>
      <w:r w:rsidRPr="0033456B">
        <w:rPr>
          <w:color w:val="000000"/>
          <w:sz w:val="24"/>
          <w:szCs w:val="24"/>
        </w:rPr>
        <w:t xml:space="preserve">(1) </w:t>
      </w:r>
      <w:r w:rsidR="00AB56D7">
        <w:rPr>
          <w:color w:val="000000"/>
          <w:sz w:val="24"/>
          <w:szCs w:val="24"/>
        </w:rPr>
        <w:t xml:space="preserve">  </w:t>
      </w:r>
      <w:r w:rsidRPr="0033456B">
        <w:rPr>
          <w:color w:val="000000"/>
          <w:sz w:val="24"/>
          <w:szCs w:val="24"/>
        </w:rPr>
        <w:t xml:space="preserve">Data back-up and recovery; </w:t>
      </w:r>
    </w:p>
    <w:p w14:paraId="62833599" w14:textId="77777777" w:rsidR="004F6B7B" w:rsidRPr="0033456B" w:rsidRDefault="004F6B7B" w:rsidP="004F6B7B">
      <w:pPr>
        <w:shd w:val="clear" w:color="auto" w:fill="FFFFFF"/>
        <w:spacing w:line="270" w:lineRule="atLeast"/>
        <w:rPr>
          <w:color w:val="000000"/>
          <w:sz w:val="24"/>
          <w:szCs w:val="24"/>
        </w:rPr>
      </w:pPr>
      <w:r w:rsidRPr="0033456B">
        <w:rPr>
          <w:color w:val="000000"/>
          <w:sz w:val="24"/>
          <w:szCs w:val="24"/>
        </w:rPr>
        <w:t>(2)</w:t>
      </w:r>
      <w:r w:rsidR="00AB56D7">
        <w:rPr>
          <w:color w:val="000000"/>
          <w:sz w:val="24"/>
          <w:szCs w:val="24"/>
        </w:rPr>
        <w:t xml:space="preserve">  </w:t>
      </w:r>
      <w:r w:rsidRPr="0033456B">
        <w:rPr>
          <w:color w:val="000000"/>
          <w:sz w:val="24"/>
          <w:szCs w:val="24"/>
        </w:rPr>
        <w:t xml:space="preserve"> All mission critical systems; </w:t>
      </w:r>
    </w:p>
    <w:p w14:paraId="5EAC1F93" w14:textId="77777777" w:rsidR="004F6B7B" w:rsidRPr="0033456B" w:rsidRDefault="004F6B7B" w:rsidP="004F6B7B">
      <w:pPr>
        <w:shd w:val="clear" w:color="auto" w:fill="FFFFFF"/>
        <w:spacing w:line="270" w:lineRule="atLeast"/>
        <w:rPr>
          <w:color w:val="000000"/>
          <w:sz w:val="24"/>
          <w:szCs w:val="24"/>
        </w:rPr>
      </w:pPr>
      <w:r w:rsidRPr="0033456B">
        <w:rPr>
          <w:color w:val="000000"/>
          <w:sz w:val="24"/>
          <w:szCs w:val="24"/>
        </w:rPr>
        <w:t xml:space="preserve">(3) </w:t>
      </w:r>
      <w:r w:rsidR="00AB56D7">
        <w:rPr>
          <w:color w:val="000000"/>
          <w:sz w:val="24"/>
          <w:szCs w:val="24"/>
        </w:rPr>
        <w:t xml:space="preserve">  </w:t>
      </w:r>
      <w:r w:rsidRPr="0033456B">
        <w:rPr>
          <w:color w:val="000000"/>
          <w:sz w:val="24"/>
          <w:szCs w:val="24"/>
        </w:rPr>
        <w:t xml:space="preserve">Financial and operational assessments; </w:t>
      </w:r>
    </w:p>
    <w:p w14:paraId="0C4420F3" w14:textId="77777777" w:rsidR="004F6B7B" w:rsidRPr="0033456B" w:rsidRDefault="004F6B7B" w:rsidP="004F6B7B">
      <w:pPr>
        <w:shd w:val="clear" w:color="auto" w:fill="FFFFFF"/>
        <w:spacing w:line="270" w:lineRule="atLeast"/>
        <w:rPr>
          <w:color w:val="000000"/>
          <w:sz w:val="24"/>
          <w:szCs w:val="24"/>
        </w:rPr>
      </w:pPr>
      <w:r w:rsidRPr="0033456B">
        <w:rPr>
          <w:color w:val="000000"/>
          <w:sz w:val="24"/>
          <w:szCs w:val="24"/>
        </w:rPr>
        <w:t xml:space="preserve">(4) </w:t>
      </w:r>
      <w:r w:rsidR="00AB56D7">
        <w:rPr>
          <w:color w:val="000000"/>
          <w:sz w:val="24"/>
          <w:szCs w:val="24"/>
        </w:rPr>
        <w:t xml:space="preserve">  </w:t>
      </w:r>
      <w:r w:rsidRPr="0033456B">
        <w:rPr>
          <w:color w:val="000000"/>
          <w:sz w:val="24"/>
          <w:szCs w:val="24"/>
        </w:rPr>
        <w:t xml:space="preserve">Alternate communications between customers and the member; </w:t>
      </w:r>
    </w:p>
    <w:p w14:paraId="2CB0B5E3" w14:textId="77777777" w:rsidR="004F6B7B" w:rsidRPr="0033456B" w:rsidRDefault="004F6B7B" w:rsidP="004F6B7B">
      <w:pPr>
        <w:shd w:val="clear" w:color="auto" w:fill="FFFFFF"/>
        <w:spacing w:line="270" w:lineRule="atLeast"/>
        <w:rPr>
          <w:color w:val="000000"/>
          <w:sz w:val="24"/>
          <w:szCs w:val="24"/>
        </w:rPr>
      </w:pPr>
      <w:r w:rsidRPr="0033456B">
        <w:rPr>
          <w:color w:val="000000"/>
          <w:sz w:val="24"/>
          <w:szCs w:val="24"/>
        </w:rPr>
        <w:t xml:space="preserve">(5) </w:t>
      </w:r>
      <w:r w:rsidR="00AB56D7">
        <w:rPr>
          <w:color w:val="000000"/>
          <w:sz w:val="24"/>
          <w:szCs w:val="24"/>
        </w:rPr>
        <w:t xml:space="preserve">  </w:t>
      </w:r>
      <w:r w:rsidRPr="0033456B">
        <w:rPr>
          <w:color w:val="000000"/>
          <w:sz w:val="24"/>
          <w:szCs w:val="24"/>
        </w:rPr>
        <w:t xml:space="preserve">Alternate communications between the member and its employees; </w:t>
      </w:r>
    </w:p>
    <w:p w14:paraId="123E945E" w14:textId="77777777" w:rsidR="004F6B7B" w:rsidRPr="0033456B" w:rsidRDefault="004F6B7B" w:rsidP="004F6B7B">
      <w:pPr>
        <w:shd w:val="clear" w:color="auto" w:fill="FFFFFF"/>
        <w:spacing w:line="270" w:lineRule="atLeast"/>
        <w:rPr>
          <w:color w:val="000000"/>
          <w:sz w:val="24"/>
          <w:szCs w:val="24"/>
        </w:rPr>
      </w:pPr>
      <w:r w:rsidRPr="0033456B">
        <w:rPr>
          <w:color w:val="000000"/>
          <w:sz w:val="24"/>
          <w:szCs w:val="24"/>
        </w:rPr>
        <w:t xml:space="preserve">(6) </w:t>
      </w:r>
      <w:r w:rsidR="00AB56D7">
        <w:rPr>
          <w:color w:val="000000"/>
          <w:sz w:val="24"/>
          <w:szCs w:val="24"/>
        </w:rPr>
        <w:t xml:space="preserve">  </w:t>
      </w:r>
      <w:r w:rsidRPr="0033456B">
        <w:rPr>
          <w:color w:val="000000"/>
          <w:sz w:val="24"/>
          <w:szCs w:val="24"/>
        </w:rPr>
        <w:t xml:space="preserve">Alternate physical location of employees; </w:t>
      </w:r>
    </w:p>
    <w:p w14:paraId="05CE97E5" w14:textId="77777777" w:rsidR="004F6B7B" w:rsidRPr="0033456B" w:rsidRDefault="004F6B7B" w:rsidP="004F6B7B">
      <w:pPr>
        <w:shd w:val="clear" w:color="auto" w:fill="FFFFFF"/>
        <w:spacing w:line="270" w:lineRule="atLeast"/>
        <w:rPr>
          <w:color w:val="000000"/>
          <w:sz w:val="24"/>
          <w:szCs w:val="24"/>
        </w:rPr>
      </w:pPr>
      <w:r w:rsidRPr="0033456B">
        <w:rPr>
          <w:color w:val="000000"/>
          <w:sz w:val="24"/>
          <w:szCs w:val="24"/>
        </w:rPr>
        <w:t xml:space="preserve">(7) </w:t>
      </w:r>
      <w:r w:rsidR="00AB56D7">
        <w:rPr>
          <w:color w:val="000000"/>
          <w:sz w:val="24"/>
          <w:szCs w:val="24"/>
        </w:rPr>
        <w:t xml:space="preserve">  </w:t>
      </w:r>
      <w:r w:rsidRPr="0033456B">
        <w:rPr>
          <w:color w:val="000000"/>
          <w:sz w:val="24"/>
          <w:szCs w:val="24"/>
        </w:rPr>
        <w:t xml:space="preserve">Critical business constituent, bank, and counter-party impact; </w:t>
      </w:r>
    </w:p>
    <w:p w14:paraId="61A5D314" w14:textId="77777777" w:rsidR="004F6B7B" w:rsidRPr="0033456B" w:rsidRDefault="004F6B7B" w:rsidP="004F6B7B">
      <w:pPr>
        <w:shd w:val="clear" w:color="auto" w:fill="FFFFFF"/>
        <w:spacing w:line="270" w:lineRule="atLeast"/>
        <w:rPr>
          <w:color w:val="000000"/>
          <w:sz w:val="24"/>
          <w:szCs w:val="24"/>
        </w:rPr>
      </w:pPr>
      <w:r w:rsidRPr="0033456B">
        <w:rPr>
          <w:color w:val="000000"/>
          <w:sz w:val="24"/>
          <w:szCs w:val="24"/>
        </w:rPr>
        <w:t xml:space="preserve">(8) </w:t>
      </w:r>
      <w:r w:rsidR="00AB56D7">
        <w:rPr>
          <w:color w:val="000000"/>
          <w:sz w:val="24"/>
          <w:szCs w:val="24"/>
        </w:rPr>
        <w:t xml:space="preserve">  </w:t>
      </w:r>
      <w:r w:rsidRPr="0033456B">
        <w:rPr>
          <w:color w:val="000000"/>
          <w:sz w:val="24"/>
          <w:szCs w:val="24"/>
        </w:rPr>
        <w:t xml:space="preserve">Regulatory reporting; </w:t>
      </w:r>
    </w:p>
    <w:p w14:paraId="319F8A85" w14:textId="77777777" w:rsidR="004F6B7B" w:rsidRPr="0033456B" w:rsidRDefault="004F6B7B" w:rsidP="004F6B7B">
      <w:pPr>
        <w:shd w:val="clear" w:color="auto" w:fill="FFFFFF"/>
        <w:spacing w:line="270" w:lineRule="atLeast"/>
        <w:rPr>
          <w:color w:val="000000"/>
          <w:sz w:val="24"/>
          <w:szCs w:val="24"/>
        </w:rPr>
      </w:pPr>
      <w:r w:rsidRPr="0033456B">
        <w:rPr>
          <w:color w:val="000000"/>
          <w:sz w:val="24"/>
          <w:szCs w:val="24"/>
        </w:rPr>
        <w:t xml:space="preserve">(9) </w:t>
      </w:r>
      <w:r w:rsidR="00AB56D7">
        <w:rPr>
          <w:color w:val="000000"/>
          <w:sz w:val="24"/>
          <w:szCs w:val="24"/>
        </w:rPr>
        <w:t xml:space="preserve">  </w:t>
      </w:r>
      <w:r w:rsidRPr="0033456B">
        <w:rPr>
          <w:color w:val="000000"/>
          <w:sz w:val="24"/>
          <w:szCs w:val="24"/>
        </w:rPr>
        <w:t xml:space="preserve">Communications with regulators; and </w:t>
      </w:r>
    </w:p>
    <w:p w14:paraId="5091EB81" w14:textId="77777777" w:rsidR="004F6B7B" w:rsidRPr="0033456B" w:rsidRDefault="004F6B7B" w:rsidP="004F6B7B">
      <w:pPr>
        <w:shd w:val="clear" w:color="auto" w:fill="FFFFFF"/>
        <w:spacing w:line="270" w:lineRule="atLeast"/>
        <w:rPr>
          <w:color w:val="000000"/>
          <w:sz w:val="24"/>
          <w:szCs w:val="24"/>
        </w:rPr>
      </w:pPr>
      <w:r w:rsidRPr="0033456B">
        <w:rPr>
          <w:color w:val="000000"/>
          <w:sz w:val="24"/>
          <w:szCs w:val="24"/>
        </w:rPr>
        <w:t xml:space="preserve">(10) How the member will assure customers' prompt access to their funds and securities in the event that the member determines that it is unable to continue its business. </w:t>
      </w:r>
    </w:p>
    <w:p w14:paraId="09048FE1" w14:textId="77777777" w:rsidR="004F6B7B" w:rsidRPr="0033456B" w:rsidRDefault="004F6B7B" w:rsidP="004F6B7B">
      <w:pPr>
        <w:shd w:val="clear" w:color="auto" w:fill="FFFFFF"/>
        <w:spacing w:line="270" w:lineRule="atLeast"/>
        <w:rPr>
          <w:color w:val="000000"/>
          <w:sz w:val="24"/>
          <w:szCs w:val="24"/>
        </w:rPr>
      </w:pPr>
    </w:p>
    <w:p w14:paraId="0F106051" w14:textId="77777777" w:rsidR="00252127" w:rsidRPr="0033456B" w:rsidRDefault="00252127" w:rsidP="00252127">
      <w:pPr>
        <w:shd w:val="clear" w:color="auto" w:fill="FFFFFF"/>
        <w:spacing w:line="270" w:lineRule="atLeast"/>
        <w:jc w:val="both"/>
        <w:rPr>
          <w:color w:val="000000"/>
          <w:sz w:val="24"/>
          <w:szCs w:val="24"/>
        </w:rPr>
      </w:pPr>
      <w:r w:rsidRPr="0033456B">
        <w:rPr>
          <w:color w:val="000000"/>
          <w:sz w:val="24"/>
          <w:szCs w:val="24"/>
        </w:rPr>
        <w:t xml:space="preserve">Company shall address the above-listed categories to the extent applicable and necessary. If any of the above-listed categories is not applicable, Company need not address the category and Company shall document the rationale for not including such category in its plan. If Company relies on another entity for any one of the above-listed categories or any mission critical system, Company’s plan shall address this relationship. Morris Monroe shall approve the plan and he or Laura Hendricks shall be responsible for conducting the required annual review (any such reviewer shall be a registered principal). </w:t>
      </w:r>
    </w:p>
    <w:p w14:paraId="024BB209" w14:textId="77777777" w:rsidR="00252127" w:rsidRPr="0033456B" w:rsidRDefault="00252127" w:rsidP="008B536E">
      <w:pPr>
        <w:shd w:val="clear" w:color="auto" w:fill="FFFFFF"/>
        <w:jc w:val="both"/>
        <w:rPr>
          <w:color w:val="000000"/>
          <w:sz w:val="24"/>
          <w:szCs w:val="24"/>
        </w:rPr>
      </w:pPr>
    </w:p>
    <w:p w14:paraId="2CF9B5FF" w14:textId="77777777" w:rsidR="008B536E" w:rsidRPr="0033456B" w:rsidRDefault="004F6B7B" w:rsidP="008B536E">
      <w:pPr>
        <w:shd w:val="clear" w:color="auto" w:fill="FFFFFF"/>
        <w:jc w:val="both"/>
        <w:rPr>
          <w:color w:val="000000"/>
          <w:sz w:val="24"/>
          <w:szCs w:val="24"/>
        </w:rPr>
      </w:pPr>
      <w:r w:rsidRPr="0033456B">
        <w:rPr>
          <w:color w:val="000000"/>
          <w:sz w:val="24"/>
          <w:szCs w:val="24"/>
        </w:rPr>
        <w:t>Company shall designate a member of senior management to approve the plan and he or she shall be responsible for conducting the required annual review. The member of senior management must also be a registered principal.</w:t>
      </w:r>
      <w:r w:rsidR="008B536E" w:rsidRPr="0033456B">
        <w:rPr>
          <w:color w:val="000000"/>
          <w:sz w:val="24"/>
          <w:szCs w:val="24"/>
        </w:rPr>
        <w:t xml:space="preserve">  Company shall disclose to its customers how its business continuity plan addresses the possibility of a future significant business disruption and how </w:t>
      </w:r>
      <w:r w:rsidR="00007D55" w:rsidRPr="0033456B">
        <w:rPr>
          <w:color w:val="000000"/>
          <w:sz w:val="24"/>
          <w:szCs w:val="24"/>
        </w:rPr>
        <w:t>it plans</w:t>
      </w:r>
      <w:r w:rsidR="008B536E" w:rsidRPr="0033456B">
        <w:rPr>
          <w:color w:val="000000"/>
          <w:sz w:val="24"/>
          <w:szCs w:val="24"/>
        </w:rPr>
        <w:t xml:space="preserve"> to respond to events of varying scope.   At a minimum, such disclosure shall be made in writing to customers at account opening, posted on Company's Web site and mailed to customers upon request. </w:t>
      </w:r>
    </w:p>
    <w:p w14:paraId="02C7D05C" w14:textId="77777777" w:rsidR="008B536E" w:rsidRPr="0033456B" w:rsidRDefault="008B536E" w:rsidP="008B536E">
      <w:pPr>
        <w:shd w:val="clear" w:color="auto" w:fill="FFFFFF"/>
        <w:jc w:val="both"/>
        <w:rPr>
          <w:color w:val="000000"/>
          <w:sz w:val="24"/>
          <w:szCs w:val="24"/>
        </w:rPr>
      </w:pPr>
    </w:p>
    <w:p w14:paraId="4690FFEF" w14:textId="77777777" w:rsidR="00947DA3" w:rsidRPr="0033456B" w:rsidRDefault="00947DA3" w:rsidP="0074650E">
      <w:pPr>
        <w:shd w:val="clear" w:color="auto" w:fill="FFFFFF"/>
        <w:spacing w:line="270" w:lineRule="atLeast"/>
        <w:jc w:val="both"/>
        <w:rPr>
          <w:color w:val="000000"/>
          <w:sz w:val="24"/>
          <w:szCs w:val="24"/>
        </w:rPr>
      </w:pPr>
    </w:p>
    <w:p w14:paraId="43B75B9A" w14:textId="77777777" w:rsidR="00C07EFB" w:rsidRPr="00107C50" w:rsidRDefault="00C07EFB" w:rsidP="00936FEE">
      <w:pPr>
        <w:pStyle w:val="Heading2"/>
      </w:pPr>
      <w:r>
        <w:t>1</w:t>
      </w:r>
      <w:r w:rsidR="00EC5E16">
        <w:t>7</w:t>
      </w:r>
      <w:r>
        <w:t xml:space="preserve">.4 </w:t>
      </w:r>
      <w:r w:rsidRPr="00107C50">
        <w:t>Definitions</w:t>
      </w:r>
    </w:p>
    <w:p w14:paraId="6C420360" w14:textId="77777777" w:rsidR="00C07EFB" w:rsidRDefault="00C07EFB" w:rsidP="00C07EFB">
      <w:pPr>
        <w:shd w:val="clear" w:color="auto" w:fill="FFFFFF"/>
        <w:spacing w:line="270" w:lineRule="atLeast"/>
        <w:jc w:val="both"/>
        <w:rPr>
          <w:color w:val="000000"/>
          <w:sz w:val="24"/>
          <w:szCs w:val="24"/>
        </w:rPr>
      </w:pPr>
      <w:r w:rsidRPr="0074650E">
        <w:rPr>
          <w:color w:val="000000"/>
          <w:sz w:val="24"/>
          <w:szCs w:val="24"/>
        </w:rPr>
        <w:t xml:space="preserve">For purposes of this </w:t>
      </w:r>
      <w:r w:rsidRPr="0074650E">
        <w:rPr>
          <w:rStyle w:val="us"/>
          <w:color w:val="000000"/>
          <w:sz w:val="24"/>
          <w:szCs w:val="24"/>
        </w:rPr>
        <w:t>R</w:t>
      </w:r>
      <w:r w:rsidRPr="0074650E">
        <w:rPr>
          <w:color w:val="000000"/>
          <w:sz w:val="24"/>
          <w:szCs w:val="24"/>
        </w:rPr>
        <w:t xml:space="preserve">ule, the following terms shall have the meanings specified below: </w:t>
      </w:r>
    </w:p>
    <w:p w14:paraId="3B887150" w14:textId="77777777" w:rsidR="00C07EFB" w:rsidRPr="0074650E" w:rsidRDefault="00C07EFB" w:rsidP="00C07EFB">
      <w:pPr>
        <w:shd w:val="clear" w:color="auto" w:fill="FFFFFF"/>
        <w:spacing w:line="270" w:lineRule="atLeast"/>
        <w:jc w:val="both"/>
        <w:rPr>
          <w:color w:val="000000"/>
          <w:sz w:val="24"/>
          <w:szCs w:val="24"/>
        </w:rPr>
      </w:pPr>
    </w:p>
    <w:p w14:paraId="7C6FD237" w14:textId="77777777" w:rsidR="00C07EFB" w:rsidRDefault="00C07EFB" w:rsidP="00C07EFB">
      <w:pPr>
        <w:shd w:val="clear" w:color="auto" w:fill="FFFFFF"/>
        <w:spacing w:line="270" w:lineRule="atLeast"/>
        <w:jc w:val="both"/>
        <w:rPr>
          <w:color w:val="000000"/>
          <w:sz w:val="24"/>
          <w:szCs w:val="24"/>
        </w:rPr>
      </w:pPr>
      <w:r w:rsidRPr="0074650E">
        <w:rPr>
          <w:color w:val="000000"/>
          <w:sz w:val="24"/>
          <w:szCs w:val="24"/>
        </w:rPr>
        <w:t xml:space="preserve">(1) "Mission critical system" means any system that is necessary, depending on the nature of a member's business, to ensure prompt and accurate processing of securities transactions, including, but not limited to, order taking, order entry, execution, comparison, allocation, clearance and settlement of securities transactions, the maintenance of customer accounts, access to customer accounts and the delivery of funds and securities. </w:t>
      </w:r>
    </w:p>
    <w:p w14:paraId="68E0851C" w14:textId="77777777" w:rsidR="00C07EFB" w:rsidRPr="0074650E" w:rsidRDefault="00C07EFB" w:rsidP="00C07EFB">
      <w:pPr>
        <w:shd w:val="clear" w:color="auto" w:fill="FFFFFF"/>
        <w:spacing w:line="270" w:lineRule="atLeast"/>
        <w:jc w:val="both"/>
        <w:rPr>
          <w:color w:val="000000"/>
          <w:sz w:val="24"/>
          <w:szCs w:val="24"/>
        </w:rPr>
      </w:pPr>
    </w:p>
    <w:p w14:paraId="085F6A34" w14:textId="77777777" w:rsidR="00C07EFB" w:rsidRPr="0074650E" w:rsidRDefault="00C07EFB" w:rsidP="00C07EFB">
      <w:pPr>
        <w:shd w:val="clear" w:color="auto" w:fill="FFFFFF"/>
        <w:spacing w:line="270" w:lineRule="atLeast"/>
        <w:jc w:val="both"/>
        <w:rPr>
          <w:color w:val="000000"/>
          <w:sz w:val="24"/>
          <w:szCs w:val="24"/>
        </w:rPr>
      </w:pPr>
      <w:r w:rsidRPr="0074650E">
        <w:rPr>
          <w:color w:val="000000"/>
          <w:sz w:val="24"/>
          <w:szCs w:val="24"/>
        </w:rPr>
        <w:lastRenderedPageBreak/>
        <w:t xml:space="preserve">(2) "Financial and operational assessment" means a set of written procedures that allow a member to identify changes in its operational, financial, and credit risk exposures. </w:t>
      </w:r>
    </w:p>
    <w:p w14:paraId="4F79F700" w14:textId="77777777" w:rsidR="00C07EFB" w:rsidRPr="0074650E" w:rsidRDefault="00C07EFB" w:rsidP="0074650E">
      <w:pPr>
        <w:shd w:val="clear" w:color="auto" w:fill="FFFFFF"/>
        <w:spacing w:line="270" w:lineRule="atLeast"/>
        <w:jc w:val="both"/>
        <w:rPr>
          <w:color w:val="000000"/>
          <w:sz w:val="24"/>
          <w:szCs w:val="24"/>
        </w:rPr>
      </w:pPr>
    </w:p>
    <w:p w14:paraId="150597FD" w14:textId="77777777" w:rsidR="003B37A5" w:rsidRPr="0074650E" w:rsidRDefault="003B37A5" w:rsidP="0074650E">
      <w:pPr>
        <w:shd w:val="clear" w:color="auto" w:fill="FFFFFF"/>
        <w:spacing w:line="270" w:lineRule="atLeast"/>
        <w:jc w:val="both"/>
        <w:rPr>
          <w:color w:val="000000"/>
          <w:sz w:val="24"/>
          <w:szCs w:val="24"/>
        </w:rPr>
      </w:pPr>
    </w:p>
    <w:p w14:paraId="12A48859" w14:textId="77777777" w:rsidR="00334F16" w:rsidRPr="00334F16" w:rsidRDefault="00C07EFB" w:rsidP="00936FEE">
      <w:pPr>
        <w:pStyle w:val="Heading2"/>
      </w:pPr>
      <w:r>
        <w:t>1</w:t>
      </w:r>
      <w:r w:rsidR="00EC5E16">
        <w:t>7</w:t>
      </w:r>
      <w:r>
        <w:t xml:space="preserve">.5 </w:t>
      </w:r>
      <w:r w:rsidR="00334F16">
        <w:t>Customer Notice</w:t>
      </w:r>
      <w:r w:rsidR="00C317F4">
        <w:t>s</w:t>
      </w:r>
    </w:p>
    <w:p w14:paraId="4D0F8417" w14:textId="77777777" w:rsidR="001718B2" w:rsidRDefault="003B37A5" w:rsidP="001718B2">
      <w:pPr>
        <w:pStyle w:val="BodyText"/>
        <w:tabs>
          <w:tab w:val="left" w:pos="0"/>
        </w:tabs>
        <w:spacing w:before="0" w:after="0"/>
      </w:pPr>
      <w:r>
        <w:rPr>
          <w:color w:val="000000"/>
          <w:szCs w:val="24"/>
        </w:rPr>
        <w:t>Company shall</w:t>
      </w:r>
      <w:r w:rsidR="0074650E" w:rsidRPr="0074650E">
        <w:rPr>
          <w:color w:val="000000"/>
          <w:szCs w:val="24"/>
        </w:rPr>
        <w:t xml:space="preserve"> disclose to its customers how its business continuity plan addresses the possibility of a future significant business disruption and how </w:t>
      </w:r>
      <w:r>
        <w:rPr>
          <w:color w:val="000000"/>
          <w:szCs w:val="24"/>
        </w:rPr>
        <w:t>it</w:t>
      </w:r>
      <w:r w:rsidR="0074650E" w:rsidRPr="0074650E">
        <w:rPr>
          <w:color w:val="000000"/>
          <w:szCs w:val="24"/>
        </w:rPr>
        <w:t xml:space="preserve"> plans to respond to events of varying scope. At a minimum, such disclosure </w:t>
      </w:r>
      <w:r>
        <w:rPr>
          <w:color w:val="000000"/>
          <w:szCs w:val="24"/>
        </w:rPr>
        <w:t>shall</w:t>
      </w:r>
      <w:r w:rsidR="0074650E" w:rsidRPr="0074650E">
        <w:rPr>
          <w:color w:val="000000"/>
          <w:szCs w:val="24"/>
        </w:rPr>
        <w:t xml:space="preserve"> be made in writing to customers at account opening, posted on </w:t>
      </w:r>
      <w:r>
        <w:rPr>
          <w:color w:val="000000"/>
          <w:szCs w:val="24"/>
        </w:rPr>
        <w:t>Company’s</w:t>
      </w:r>
      <w:r w:rsidR="0074650E" w:rsidRPr="0074650E">
        <w:rPr>
          <w:color w:val="000000"/>
          <w:szCs w:val="24"/>
        </w:rPr>
        <w:t xml:space="preserve"> </w:t>
      </w:r>
      <w:r>
        <w:rPr>
          <w:color w:val="000000"/>
          <w:szCs w:val="24"/>
        </w:rPr>
        <w:t>w</w:t>
      </w:r>
      <w:r w:rsidR="0074650E" w:rsidRPr="0074650E">
        <w:rPr>
          <w:color w:val="000000"/>
          <w:szCs w:val="24"/>
        </w:rPr>
        <w:t>eb</w:t>
      </w:r>
      <w:r>
        <w:rPr>
          <w:color w:val="000000"/>
          <w:szCs w:val="24"/>
        </w:rPr>
        <w:t>site</w:t>
      </w:r>
      <w:r w:rsidR="0074650E" w:rsidRPr="0074650E">
        <w:rPr>
          <w:color w:val="000000"/>
          <w:szCs w:val="24"/>
        </w:rPr>
        <w:t xml:space="preserve">, and mailed to customers upon request. </w:t>
      </w:r>
      <w:r w:rsidR="001718B2">
        <w:t xml:space="preserve">Our summary addresses the possibility of a future SBD and how we plan to respond to events of varying scope.   In addressing the events of varying scope, our summary (1) provides specific scenarios of varying severity (e.g., a firm-only business disruption, a disruption to a single building, a disruption to a business district, a city-wide business disruption, and a regional disruption); (2) states whether we plan to continue business during that scenario and, if so, our planned recovery time; and (3) provides general information on our intended response.  Our summary discloses the existence of back-up facilities and arrangements.  </w:t>
      </w:r>
    </w:p>
    <w:p w14:paraId="674B4450" w14:textId="77777777" w:rsidR="00334F16" w:rsidRDefault="00334F16" w:rsidP="0074650E">
      <w:pPr>
        <w:shd w:val="clear" w:color="auto" w:fill="FFFFFF"/>
        <w:spacing w:line="270" w:lineRule="atLeast"/>
        <w:jc w:val="both"/>
        <w:rPr>
          <w:rStyle w:val="us"/>
          <w:color w:val="000000"/>
          <w:sz w:val="24"/>
          <w:szCs w:val="24"/>
        </w:rPr>
      </w:pPr>
    </w:p>
    <w:p w14:paraId="4D88A8B9" w14:textId="77777777" w:rsidR="00C07EFB" w:rsidRDefault="00C07EFB" w:rsidP="0074650E">
      <w:pPr>
        <w:shd w:val="clear" w:color="auto" w:fill="FFFFFF"/>
        <w:spacing w:line="270" w:lineRule="atLeast"/>
        <w:jc w:val="both"/>
        <w:rPr>
          <w:rStyle w:val="us"/>
          <w:b/>
          <w:color w:val="000000"/>
          <w:sz w:val="24"/>
          <w:szCs w:val="24"/>
        </w:rPr>
      </w:pPr>
    </w:p>
    <w:p w14:paraId="0EBD9E1F" w14:textId="77777777" w:rsidR="00334F16" w:rsidRPr="001718B2" w:rsidRDefault="00730BE5" w:rsidP="00936FEE">
      <w:pPr>
        <w:pStyle w:val="Heading2"/>
        <w:rPr>
          <w:rStyle w:val="us"/>
        </w:rPr>
      </w:pPr>
      <w:r>
        <w:rPr>
          <w:rStyle w:val="us"/>
        </w:rPr>
        <w:t>1</w:t>
      </w:r>
      <w:r w:rsidR="00EC5E16">
        <w:rPr>
          <w:rStyle w:val="us"/>
        </w:rPr>
        <w:t>7</w:t>
      </w:r>
      <w:r w:rsidR="006B12F1">
        <w:rPr>
          <w:rStyle w:val="us"/>
        </w:rPr>
        <w:t xml:space="preserve">.6 </w:t>
      </w:r>
      <w:r w:rsidR="00334F16" w:rsidRPr="001718B2">
        <w:rPr>
          <w:rStyle w:val="us"/>
        </w:rPr>
        <w:t>FINRA Notice</w:t>
      </w:r>
      <w:r w:rsidR="00C317F4" w:rsidRPr="001718B2">
        <w:rPr>
          <w:rStyle w:val="us"/>
        </w:rPr>
        <w:t>s</w:t>
      </w:r>
    </w:p>
    <w:p w14:paraId="1B67C7BB" w14:textId="77777777" w:rsidR="0074650E" w:rsidRDefault="00334F16" w:rsidP="0074650E">
      <w:pPr>
        <w:shd w:val="clear" w:color="auto" w:fill="FFFFFF"/>
        <w:spacing w:line="270" w:lineRule="atLeast"/>
        <w:jc w:val="both"/>
        <w:rPr>
          <w:color w:val="000000"/>
          <w:sz w:val="24"/>
          <w:szCs w:val="24"/>
        </w:rPr>
      </w:pPr>
      <w:r>
        <w:rPr>
          <w:rStyle w:val="us"/>
          <w:color w:val="000000"/>
          <w:sz w:val="24"/>
          <w:szCs w:val="24"/>
        </w:rPr>
        <w:t>Company</w:t>
      </w:r>
      <w:r w:rsidR="0074650E" w:rsidRPr="0074650E">
        <w:rPr>
          <w:rStyle w:val="us"/>
          <w:color w:val="000000"/>
          <w:sz w:val="24"/>
          <w:szCs w:val="24"/>
        </w:rPr>
        <w:t xml:space="preserve"> shall report to FINRA, via such electronic or other means as FINRA may specify, prescribed emergency contact information for </w:t>
      </w:r>
      <w:r>
        <w:rPr>
          <w:rStyle w:val="us"/>
          <w:color w:val="000000"/>
          <w:sz w:val="24"/>
          <w:szCs w:val="24"/>
        </w:rPr>
        <w:t>Company</w:t>
      </w:r>
      <w:r w:rsidR="0074650E" w:rsidRPr="0074650E">
        <w:rPr>
          <w:rStyle w:val="us"/>
          <w:color w:val="000000"/>
          <w:sz w:val="24"/>
          <w:szCs w:val="24"/>
        </w:rPr>
        <w:t xml:space="preserve">. The emergency contact information for the member includes designation of two </w:t>
      </w:r>
      <w:r w:rsidR="00500B5B">
        <w:rPr>
          <w:rStyle w:val="us"/>
          <w:color w:val="000000"/>
          <w:sz w:val="24"/>
          <w:szCs w:val="24"/>
        </w:rPr>
        <w:t>A</w:t>
      </w:r>
      <w:r w:rsidR="0074650E" w:rsidRPr="0074650E">
        <w:rPr>
          <w:rStyle w:val="us"/>
          <w:color w:val="000000"/>
          <w:sz w:val="24"/>
          <w:szCs w:val="24"/>
        </w:rPr>
        <w:t xml:space="preserve">ssociated </w:t>
      </w:r>
      <w:r w:rsidR="00500B5B">
        <w:rPr>
          <w:rStyle w:val="us"/>
          <w:color w:val="000000"/>
          <w:sz w:val="24"/>
          <w:szCs w:val="24"/>
        </w:rPr>
        <w:t>P</w:t>
      </w:r>
      <w:r w:rsidR="0074650E" w:rsidRPr="0074650E">
        <w:rPr>
          <w:rStyle w:val="us"/>
          <w:color w:val="000000"/>
          <w:sz w:val="24"/>
          <w:szCs w:val="24"/>
        </w:rPr>
        <w:t>ersons as emergency contact</w:t>
      </w:r>
      <w:r w:rsidR="00E60AFA">
        <w:rPr>
          <w:rStyle w:val="us"/>
          <w:color w:val="000000"/>
          <w:sz w:val="24"/>
          <w:szCs w:val="24"/>
        </w:rPr>
        <w:t>s</w:t>
      </w:r>
      <w:r w:rsidR="0074650E" w:rsidRPr="0074650E">
        <w:rPr>
          <w:rStyle w:val="us"/>
          <w:color w:val="000000"/>
          <w:sz w:val="24"/>
          <w:szCs w:val="24"/>
        </w:rPr>
        <w:t xml:space="preserve">. At least one emergency contact person shall be a </w:t>
      </w:r>
      <w:r>
        <w:rPr>
          <w:rStyle w:val="us"/>
          <w:color w:val="000000"/>
          <w:sz w:val="24"/>
          <w:szCs w:val="24"/>
        </w:rPr>
        <w:t>Company</w:t>
      </w:r>
      <w:r w:rsidR="0074650E" w:rsidRPr="0074650E">
        <w:rPr>
          <w:rStyle w:val="us"/>
          <w:color w:val="000000"/>
          <w:sz w:val="24"/>
          <w:szCs w:val="24"/>
        </w:rPr>
        <w:t xml:space="preserve"> senior management and a registered principal. If </w:t>
      </w:r>
      <w:r>
        <w:rPr>
          <w:rStyle w:val="us"/>
          <w:color w:val="000000"/>
          <w:sz w:val="24"/>
          <w:szCs w:val="24"/>
        </w:rPr>
        <w:t>Company</w:t>
      </w:r>
      <w:r w:rsidR="0074650E" w:rsidRPr="0074650E">
        <w:rPr>
          <w:rStyle w:val="us"/>
          <w:color w:val="000000"/>
          <w:sz w:val="24"/>
          <w:szCs w:val="24"/>
        </w:rPr>
        <w:t xml:space="preserve"> designates a second emergency contact person who is not a registered principal, such person shall be </w:t>
      </w:r>
      <w:r>
        <w:rPr>
          <w:rStyle w:val="us"/>
          <w:color w:val="000000"/>
          <w:sz w:val="24"/>
          <w:szCs w:val="24"/>
        </w:rPr>
        <w:t>a</w:t>
      </w:r>
      <w:r w:rsidR="0074650E" w:rsidRPr="0074650E">
        <w:rPr>
          <w:rStyle w:val="us"/>
          <w:color w:val="000000"/>
          <w:sz w:val="24"/>
          <w:szCs w:val="24"/>
        </w:rPr>
        <w:t xml:space="preserve"> member of </w:t>
      </w:r>
      <w:r>
        <w:rPr>
          <w:rStyle w:val="us"/>
          <w:color w:val="000000"/>
          <w:sz w:val="24"/>
          <w:szCs w:val="24"/>
        </w:rPr>
        <w:t xml:space="preserve">Company’s </w:t>
      </w:r>
      <w:r w:rsidR="0074650E" w:rsidRPr="0074650E">
        <w:rPr>
          <w:rStyle w:val="us"/>
          <w:color w:val="000000"/>
          <w:sz w:val="24"/>
          <w:szCs w:val="24"/>
        </w:rPr>
        <w:t xml:space="preserve">senior management who has knowledge of the </w:t>
      </w:r>
      <w:r>
        <w:rPr>
          <w:rStyle w:val="us"/>
          <w:color w:val="000000"/>
          <w:sz w:val="24"/>
          <w:szCs w:val="24"/>
        </w:rPr>
        <w:t>Company</w:t>
      </w:r>
      <w:r w:rsidR="0074650E" w:rsidRPr="0074650E">
        <w:rPr>
          <w:rStyle w:val="us"/>
          <w:color w:val="000000"/>
          <w:sz w:val="24"/>
          <w:szCs w:val="24"/>
        </w:rPr>
        <w:t xml:space="preserve">'s business operations. </w:t>
      </w:r>
      <w:r w:rsidR="0043591B">
        <w:rPr>
          <w:rStyle w:val="us"/>
          <w:color w:val="000000"/>
          <w:sz w:val="24"/>
          <w:szCs w:val="24"/>
        </w:rPr>
        <w:t xml:space="preserve">If Company </w:t>
      </w:r>
      <w:r w:rsidR="0074650E" w:rsidRPr="0074650E">
        <w:rPr>
          <w:rStyle w:val="us"/>
          <w:color w:val="000000"/>
          <w:sz w:val="24"/>
          <w:szCs w:val="24"/>
        </w:rPr>
        <w:t>h</w:t>
      </w:r>
      <w:r w:rsidR="0043591B">
        <w:rPr>
          <w:rStyle w:val="us"/>
          <w:color w:val="000000"/>
          <w:sz w:val="24"/>
          <w:szCs w:val="24"/>
        </w:rPr>
        <w:t>as</w:t>
      </w:r>
      <w:r w:rsidR="0074650E" w:rsidRPr="0074650E">
        <w:rPr>
          <w:rStyle w:val="us"/>
          <w:color w:val="000000"/>
          <w:sz w:val="24"/>
          <w:szCs w:val="24"/>
        </w:rPr>
        <w:t xml:space="preserve"> only one associated person</w:t>
      </w:r>
      <w:r w:rsidR="0043591B">
        <w:rPr>
          <w:rStyle w:val="us"/>
          <w:color w:val="000000"/>
          <w:sz w:val="24"/>
          <w:szCs w:val="24"/>
        </w:rPr>
        <w:t xml:space="preserve">, then it </w:t>
      </w:r>
      <w:r w:rsidR="0074650E" w:rsidRPr="0074650E">
        <w:rPr>
          <w:rStyle w:val="us"/>
          <w:color w:val="000000"/>
          <w:sz w:val="24"/>
          <w:szCs w:val="24"/>
        </w:rPr>
        <w:t xml:space="preserve">shall designate as a second emergency contact </w:t>
      </w:r>
      <w:r w:rsidR="00F77E35">
        <w:rPr>
          <w:rStyle w:val="us"/>
          <w:color w:val="000000"/>
          <w:sz w:val="24"/>
          <w:szCs w:val="24"/>
        </w:rPr>
        <w:t xml:space="preserve">person an </w:t>
      </w:r>
      <w:r w:rsidR="0074650E" w:rsidRPr="0074650E">
        <w:rPr>
          <w:rStyle w:val="us"/>
          <w:color w:val="000000"/>
          <w:sz w:val="24"/>
          <w:szCs w:val="24"/>
        </w:rPr>
        <w:t xml:space="preserve">individual, either registered with another firm or nonregistered, who has knowledge of the </w:t>
      </w:r>
      <w:r w:rsidR="0043591B">
        <w:rPr>
          <w:rStyle w:val="us"/>
          <w:color w:val="000000"/>
          <w:sz w:val="24"/>
          <w:szCs w:val="24"/>
        </w:rPr>
        <w:t>Company</w:t>
      </w:r>
      <w:r w:rsidR="0074650E" w:rsidRPr="0074650E">
        <w:rPr>
          <w:rStyle w:val="us"/>
          <w:color w:val="000000"/>
          <w:sz w:val="24"/>
          <w:szCs w:val="24"/>
        </w:rPr>
        <w:t xml:space="preserve">'s business operations (e.g., </w:t>
      </w:r>
      <w:r w:rsidR="003E0873">
        <w:rPr>
          <w:rStyle w:val="us"/>
          <w:color w:val="000000"/>
          <w:sz w:val="24"/>
          <w:szCs w:val="24"/>
        </w:rPr>
        <w:t>its</w:t>
      </w:r>
      <w:r w:rsidR="0043591B">
        <w:rPr>
          <w:rStyle w:val="us"/>
          <w:color w:val="000000"/>
          <w:sz w:val="24"/>
          <w:szCs w:val="24"/>
        </w:rPr>
        <w:t xml:space="preserve"> </w:t>
      </w:r>
      <w:r w:rsidR="0074650E" w:rsidRPr="0074650E">
        <w:rPr>
          <w:rStyle w:val="us"/>
          <w:color w:val="000000"/>
          <w:sz w:val="24"/>
          <w:szCs w:val="24"/>
        </w:rPr>
        <w:t>attorney, accountant, or clearing firm contact).</w:t>
      </w:r>
      <w:r w:rsidR="0074650E" w:rsidRPr="0074650E">
        <w:rPr>
          <w:color w:val="000000"/>
          <w:sz w:val="24"/>
          <w:szCs w:val="24"/>
        </w:rPr>
        <w:t xml:space="preserve"> </w:t>
      </w:r>
    </w:p>
    <w:p w14:paraId="77661ACF" w14:textId="77777777" w:rsidR="00007D55" w:rsidRPr="0074650E" w:rsidRDefault="00007D55" w:rsidP="0074650E">
      <w:pPr>
        <w:shd w:val="clear" w:color="auto" w:fill="FFFFFF"/>
        <w:spacing w:line="270" w:lineRule="atLeast"/>
        <w:jc w:val="both"/>
        <w:rPr>
          <w:color w:val="000000"/>
          <w:sz w:val="24"/>
          <w:szCs w:val="24"/>
        </w:rPr>
      </w:pPr>
    </w:p>
    <w:p w14:paraId="231F7B26" w14:textId="77777777" w:rsidR="0074650E" w:rsidRDefault="00107C50" w:rsidP="0074650E">
      <w:pPr>
        <w:shd w:val="clear" w:color="auto" w:fill="FFFFFF"/>
        <w:spacing w:line="270" w:lineRule="atLeast"/>
        <w:jc w:val="both"/>
        <w:rPr>
          <w:color w:val="000000"/>
          <w:sz w:val="24"/>
          <w:szCs w:val="24"/>
        </w:rPr>
      </w:pPr>
      <w:r>
        <w:rPr>
          <w:rStyle w:val="us"/>
          <w:color w:val="000000"/>
          <w:sz w:val="24"/>
          <w:szCs w:val="24"/>
        </w:rPr>
        <w:t>The Company shall</w:t>
      </w:r>
      <w:r w:rsidR="0074650E" w:rsidRPr="0074650E">
        <w:rPr>
          <w:rStyle w:val="us"/>
          <w:color w:val="000000"/>
          <w:sz w:val="24"/>
          <w:szCs w:val="24"/>
        </w:rPr>
        <w:t xml:space="preserve"> promptly update its emergency contact information, via such electronic or other means as FINRA may specify, in the event of any material change. With respect to the designated emergency contact persons, </w:t>
      </w:r>
      <w:r>
        <w:rPr>
          <w:rStyle w:val="us"/>
          <w:color w:val="000000"/>
          <w:sz w:val="24"/>
          <w:szCs w:val="24"/>
        </w:rPr>
        <w:t xml:space="preserve">Company shall </w:t>
      </w:r>
      <w:r w:rsidR="0074650E" w:rsidRPr="0074650E">
        <w:rPr>
          <w:rStyle w:val="us"/>
          <w:color w:val="000000"/>
          <w:sz w:val="24"/>
          <w:szCs w:val="24"/>
        </w:rPr>
        <w:t xml:space="preserve">identify, review, and, if necessary, update such designations in the manner prescribed by </w:t>
      </w:r>
      <w:hyperlink r:id="rId106" w:tgtFrame="_blank" w:history="1">
        <w:r w:rsidR="0074650E" w:rsidRPr="00EC5E16">
          <w:rPr>
            <w:rStyle w:val="Hyperlink"/>
            <w:color w:val="auto"/>
            <w:sz w:val="24"/>
            <w:szCs w:val="24"/>
          </w:rPr>
          <w:t xml:space="preserve">Rule </w:t>
        </w:r>
        <w:r w:rsidR="00F53579" w:rsidRPr="00EC5E16">
          <w:rPr>
            <w:rStyle w:val="Hyperlink"/>
            <w:color w:val="auto"/>
            <w:sz w:val="24"/>
            <w:szCs w:val="24"/>
          </w:rPr>
          <w:t>4517</w:t>
        </w:r>
      </w:hyperlink>
      <w:r w:rsidR="0074650E" w:rsidRPr="0074650E">
        <w:rPr>
          <w:rStyle w:val="us"/>
          <w:color w:val="000000"/>
          <w:sz w:val="24"/>
          <w:szCs w:val="24"/>
        </w:rPr>
        <w:t>.</w:t>
      </w:r>
      <w:r w:rsidR="0074650E" w:rsidRPr="0074650E">
        <w:rPr>
          <w:color w:val="000000"/>
          <w:sz w:val="24"/>
          <w:szCs w:val="24"/>
        </w:rPr>
        <w:t xml:space="preserve"> </w:t>
      </w:r>
    </w:p>
    <w:p w14:paraId="09C435B4" w14:textId="77777777" w:rsidR="00107C50" w:rsidRPr="0074650E" w:rsidRDefault="00107C50" w:rsidP="0074650E">
      <w:pPr>
        <w:shd w:val="clear" w:color="auto" w:fill="FFFFFF"/>
        <w:spacing w:line="270" w:lineRule="atLeast"/>
        <w:jc w:val="both"/>
        <w:rPr>
          <w:color w:val="000000"/>
          <w:sz w:val="24"/>
          <w:szCs w:val="24"/>
        </w:rPr>
      </w:pPr>
    </w:p>
    <w:p w14:paraId="474CE626" w14:textId="77777777" w:rsidR="00CB1CB2" w:rsidRPr="0074650E" w:rsidRDefault="00CB1CB2" w:rsidP="0074650E">
      <w:pPr>
        <w:pStyle w:val="BodyText"/>
        <w:spacing w:before="0" w:after="0"/>
        <w:rPr>
          <w:szCs w:val="24"/>
        </w:rPr>
      </w:pPr>
    </w:p>
    <w:p w14:paraId="6C261CA3" w14:textId="77777777" w:rsidR="005A525A" w:rsidRDefault="005A525A" w:rsidP="00936FEE">
      <w:pPr>
        <w:pStyle w:val="Heading2"/>
      </w:pPr>
      <w:r>
        <w:t>1</w:t>
      </w:r>
      <w:r w:rsidR="00EC5E16">
        <w:t>7</w:t>
      </w:r>
      <w:r>
        <w:t>.</w:t>
      </w:r>
      <w:r w:rsidR="001718B2">
        <w:t>7</w:t>
      </w:r>
      <w:r>
        <w:t xml:space="preserve"> Plan Guidelines</w:t>
      </w:r>
    </w:p>
    <w:p w14:paraId="0D259B72" w14:textId="77777777" w:rsidR="000C099C" w:rsidRDefault="000C099C" w:rsidP="005A525A">
      <w:pPr>
        <w:pStyle w:val="BodyText"/>
        <w:spacing w:before="0" w:after="0"/>
      </w:pPr>
      <w:r>
        <w:t xml:space="preserve">These guidelines are designed to address two kinds of SBDs.  Internal SBDs affect only our </w:t>
      </w:r>
      <w:r w:rsidR="003E0873">
        <w:t>Company</w:t>
      </w:r>
      <w:r>
        <w:t>’s ability to communicate and do business, such as a fire in our building.  External SBDs prevent the operation of the securities markets or a number of firms, such as a terrorist attack, a city flood, or a wide-scale, regional disruption.  Our response to an external SBD relies more heavily on other organizations and systems, especially on the capabilities of our clearing firm.</w:t>
      </w:r>
    </w:p>
    <w:p w14:paraId="76C90C33" w14:textId="77777777" w:rsidR="003E0873" w:rsidRDefault="003E0873" w:rsidP="005A525A">
      <w:pPr>
        <w:pStyle w:val="BodyText"/>
        <w:spacing w:before="0" w:after="0"/>
      </w:pPr>
    </w:p>
    <w:p w14:paraId="19E5EBAD" w14:textId="77777777" w:rsidR="000C099C" w:rsidRDefault="000C099C" w:rsidP="005A525A">
      <w:pPr>
        <w:pStyle w:val="BodyText"/>
        <w:spacing w:before="0" w:after="0"/>
      </w:pPr>
      <w:r>
        <w:t xml:space="preserve">The </w:t>
      </w:r>
      <w:r w:rsidR="002965E4">
        <w:t>purpose of these guidelines is</w:t>
      </w:r>
      <w:r>
        <w:t xml:space="preserve"> not intended to be all inclusive, restrictive or overly detailed processes to cover every eventuality that may affect the Company.  It is recognized that there may be other courses of action and guidelines may need to be modified or customized to meet specific needs.  Such plans are subject to modification, any updates will be posted to our website at </w:t>
      </w:r>
      <w:hyperlink r:id="rId107" w:history="1">
        <w:r>
          <w:rPr>
            <w:rStyle w:val="Hyperlink"/>
          </w:rPr>
          <w:t>www.woodlandssecurities.com</w:t>
        </w:r>
      </w:hyperlink>
      <w:r w:rsidR="00D9040D">
        <w:rPr>
          <w:rStyle w:val="Hyperlink"/>
          <w:u w:val="none"/>
        </w:rPr>
        <w:t xml:space="preserve"> </w:t>
      </w:r>
      <w:r w:rsidR="00D9040D" w:rsidRPr="00EC5E16">
        <w:rPr>
          <w:rStyle w:val="Hyperlink"/>
          <w:color w:val="auto"/>
          <w:u w:val="none"/>
        </w:rPr>
        <w:t>or social media</w:t>
      </w:r>
      <w:r>
        <w:t>, and customers may alternatively obtain updated plans by requesting a written copy of the plans by mail</w:t>
      </w:r>
      <w:r w:rsidR="00B20D24">
        <w:t>.</w:t>
      </w:r>
    </w:p>
    <w:p w14:paraId="248F1C19" w14:textId="77777777" w:rsidR="005A525A" w:rsidRDefault="005A525A" w:rsidP="005A525A">
      <w:pPr>
        <w:pStyle w:val="BodyText"/>
        <w:spacing w:before="0" w:after="0"/>
        <w:rPr>
          <w:b/>
          <w:bCs/>
        </w:rPr>
      </w:pPr>
    </w:p>
    <w:p w14:paraId="2135B32A" w14:textId="77777777" w:rsidR="000C099C" w:rsidRDefault="005A525A" w:rsidP="001A7509">
      <w:pPr>
        <w:pStyle w:val="Heading3"/>
      </w:pPr>
      <w:r>
        <w:t>1</w:t>
      </w:r>
      <w:r w:rsidR="00EC5E16">
        <w:t>7</w:t>
      </w:r>
      <w:r>
        <w:t>.</w:t>
      </w:r>
      <w:r w:rsidR="001718B2">
        <w:t>7</w:t>
      </w:r>
      <w:r w:rsidR="006B12F1">
        <w:t xml:space="preserve">.1 </w:t>
      </w:r>
      <w:r w:rsidR="000C099C" w:rsidRPr="005A525A">
        <w:t>C</w:t>
      </w:r>
      <w:r>
        <w:t>OMPANY ASSESSMENT</w:t>
      </w:r>
      <w:r w:rsidR="00324CD8">
        <w:t>/ SYSTEMS LIST</w:t>
      </w:r>
    </w:p>
    <w:p w14:paraId="2427220F" w14:textId="77777777" w:rsidR="000C099C" w:rsidRDefault="000C099C" w:rsidP="005A525A">
      <w:pPr>
        <w:pStyle w:val="BodyText"/>
        <w:spacing w:before="0" w:after="0"/>
        <w:ind w:left="270"/>
      </w:pPr>
      <w:r>
        <w:t xml:space="preserve">The Company, being in the financial services industry relies on many different factors to conduct its business.  The Company is an introducing firm and does not perform any type of clearing function for itself or others.  We do not hold customer funds or securities.  We accept and enter orders.  Clearing firm trades are sent to </w:t>
      </w:r>
      <w:r w:rsidR="001073DB" w:rsidRPr="00EA0A5B">
        <w:t>Hilltop</w:t>
      </w:r>
      <w:r w:rsidR="001073DB" w:rsidRPr="001073DB">
        <w:rPr>
          <w:color w:val="FF0000"/>
        </w:rPr>
        <w:t xml:space="preserve"> </w:t>
      </w:r>
      <w:r>
        <w:t>Securities, Inc. (</w:t>
      </w:r>
      <w:r w:rsidR="001073DB" w:rsidRPr="00EA0A5B">
        <w:t>HT</w:t>
      </w:r>
      <w:r>
        <w:t xml:space="preserve">S) our clearing firm, who executes, compares, allocates, clears and settles our trades.  </w:t>
      </w:r>
      <w:r w:rsidR="001073DB" w:rsidRPr="00EA0A5B">
        <w:t>HT</w:t>
      </w:r>
      <w:r>
        <w:t>S maintains our customers’ funds and securities and as such can grant customers access to same as well as deliver funds and securities.  The following factors will be considered in any continuity plan:</w:t>
      </w:r>
    </w:p>
    <w:p w14:paraId="0C525E16" w14:textId="77777777" w:rsidR="000C099C" w:rsidRPr="002379C8" w:rsidRDefault="000C099C" w:rsidP="00A72C7F">
      <w:pPr>
        <w:pStyle w:val="BodyText"/>
        <w:ind w:left="900" w:hanging="60"/>
        <w:jc w:val="left"/>
      </w:pPr>
      <w:r>
        <w:rPr>
          <w:b/>
          <w:bCs/>
        </w:rPr>
        <w:t>Physical facilities</w:t>
      </w:r>
      <w:r>
        <w:t>:  l</w:t>
      </w:r>
      <w:r w:rsidR="00A72C7F">
        <w:t xml:space="preserve">ocated in a multi-tenant, </w:t>
      </w:r>
      <w:r w:rsidR="009B1EDB">
        <w:t>2</w:t>
      </w:r>
      <w:r w:rsidR="00A72C7F">
        <w:t>-</w:t>
      </w:r>
      <w:r>
        <w:t>story</w:t>
      </w:r>
      <w:r w:rsidR="00A72C7F">
        <w:t>,</w:t>
      </w:r>
      <w:r>
        <w:t xml:space="preserve"> leased office building in The Woodlands TX at </w:t>
      </w:r>
      <w:r w:rsidR="003E0873" w:rsidRPr="004F46F5">
        <w:t>10655 Six Pines Dr Ste 100</w:t>
      </w:r>
      <w:r w:rsidR="00A72C7F">
        <w:t>, (281) 367-2483</w:t>
      </w:r>
      <w:r w:rsidRPr="004F46F5">
        <w:t xml:space="preserve">.  Building Management:  </w:t>
      </w:r>
      <w:r w:rsidR="00A72C7F" w:rsidRPr="00782454">
        <w:t>Six Pines Partners</w:t>
      </w:r>
      <w:r w:rsidRPr="00782454">
        <w:t xml:space="preserve">, </w:t>
      </w:r>
      <w:r w:rsidR="00A72C7F" w:rsidRPr="00782454">
        <w:t xml:space="preserve">same address/phone, </w:t>
      </w:r>
      <w:r w:rsidRPr="00782454">
        <w:t xml:space="preserve">Contact: </w:t>
      </w:r>
      <w:r w:rsidR="00BD21A8" w:rsidRPr="002379C8">
        <w:t>Shannon Johns</w:t>
      </w:r>
      <w:r w:rsidR="00FE2CAD" w:rsidRPr="002379C8">
        <w:t>t</w:t>
      </w:r>
      <w:r w:rsidR="00BD21A8" w:rsidRPr="002379C8">
        <w:t>on</w:t>
      </w:r>
      <w:r w:rsidRPr="002379C8">
        <w:t>,</w:t>
      </w:r>
      <w:r w:rsidR="00A72C7F" w:rsidRPr="002379C8">
        <w:t xml:space="preserve"> </w:t>
      </w:r>
      <w:hyperlink r:id="rId108" w:history="1">
        <w:r w:rsidR="002379C8" w:rsidRPr="001F2842">
          <w:rPr>
            <w:rStyle w:val="Hyperlink"/>
          </w:rPr>
          <w:t>sjohnston@woodfininc.com</w:t>
        </w:r>
      </w:hyperlink>
      <w:r w:rsidR="00904980">
        <w:rPr>
          <w:rStyle w:val="Hyperlink"/>
          <w:u w:val="none"/>
        </w:rPr>
        <w:t xml:space="preserve"> </w:t>
      </w:r>
      <w:r w:rsidR="00904980" w:rsidRPr="00EC5E16">
        <w:rPr>
          <w:rStyle w:val="Hyperlink"/>
          <w:color w:val="auto"/>
          <w:u w:val="none"/>
        </w:rPr>
        <w:t>or Christina Jenkins</w:t>
      </w:r>
      <w:r w:rsidRPr="00EC5E16">
        <w:t>.</w:t>
      </w:r>
    </w:p>
    <w:p w14:paraId="4EF03427" w14:textId="77777777" w:rsidR="003B0091" w:rsidRDefault="000C099C" w:rsidP="006D508B">
      <w:pPr>
        <w:pStyle w:val="BodyText"/>
        <w:ind w:left="900" w:hanging="60"/>
      </w:pPr>
      <w:r w:rsidRPr="00FD38E4">
        <w:rPr>
          <w:b/>
        </w:rPr>
        <w:t>Branch Offices</w:t>
      </w:r>
      <w:r>
        <w:t xml:space="preserve"> </w:t>
      </w:r>
    </w:p>
    <w:p w14:paraId="567CA2A9" w14:textId="77777777" w:rsidR="000C099C" w:rsidRDefault="000C099C" w:rsidP="003E7B18">
      <w:pPr>
        <w:pStyle w:val="BodyText"/>
        <w:numPr>
          <w:ilvl w:val="0"/>
          <w:numId w:val="325"/>
        </w:numPr>
      </w:pPr>
      <w:r>
        <w:t>14425 Torrey Chase #350 in Houston TX (281) 631-8520, FX (281) 537-6203 which can be reached by car or bus.  No order processing.</w:t>
      </w:r>
    </w:p>
    <w:p w14:paraId="06791EC4" w14:textId="77777777" w:rsidR="000C099C" w:rsidRDefault="000C099C" w:rsidP="006D508B">
      <w:pPr>
        <w:pStyle w:val="BodyText"/>
        <w:ind w:left="900" w:hanging="60"/>
      </w:pPr>
      <w:r w:rsidRPr="00FD38E4">
        <w:rPr>
          <w:b/>
        </w:rPr>
        <w:t>Alternate Facility</w:t>
      </w:r>
      <w:r>
        <w:t xml:space="preserve"> – 1941 Sawdust Rd, The Woodlands TX 77380, </w:t>
      </w:r>
      <w:r w:rsidR="00A2795B">
        <w:t xml:space="preserve">(281) 364-1254, </w:t>
      </w:r>
      <w:r>
        <w:t>(</w:t>
      </w:r>
      <w:r w:rsidR="00A46E2F">
        <w:t>7</w:t>
      </w:r>
      <w:r>
        <w:t>1</w:t>
      </w:r>
      <w:r w:rsidR="00A46E2F">
        <w:t>3</w:t>
      </w:r>
      <w:r>
        <w:t xml:space="preserve">) </w:t>
      </w:r>
      <w:r w:rsidR="00A46E2F">
        <w:t>806-4076.</w:t>
      </w:r>
    </w:p>
    <w:p w14:paraId="6F9DF1DC" w14:textId="77777777" w:rsidR="00893A88" w:rsidRDefault="00CC0C28" w:rsidP="0064191F">
      <w:pPr>
        <w:pStyle w:val="BodyText"/>
        <w:ind w:left="810" w:firstLine="30"/>
      </w:pPr>
      <w:r w:rsidRPr="00FD38E4">
        <w:rPr>
          <w:b/>
        </w:rPr>
        <w:t>Additional Remote access</w:t>
      </w:r>
      <w:r w:rsidR="007E595C">
        <w:rPr>
          <w:bCs/>
        </w:rPr>
        <w:t>:</w:t>
      </w:r>
      <w:r w:rsidRPr="00C21C75">
        <w:t xml:space="preserve"> </w:t>
      </w:r>
    </w:p>
    <w:p w14:paraId="563F9F84" w14:textId="4F752997" w:rsidR="00893A88" w:rsidRDefault="00FD38E4" w:rsidP="003D40C7">
      <w:pPr>
        <w:pStyle w:val="BodyText"/>
        <w:numPr>
          <w:ilvl w:val="2"/>
          <w:numId w:val="94"/>
        </w:numPr>
      </w:pPr>
      <w:r>
        <w:t xml:space="preserve"> </w:t>
      </w:r>
      <w:r w:rsidR="002B6D9F" w:rsidRPr="00EA0A5B">
        <w:t>9049 Willow Springs Ln</w:t>
      </w:r>
      <w:r w:rsidR="00CC0C28" w:rsidRPr="00E503D6">
        <w:t xml:space="preserve">, </w:t>
      </w:r>
      <w:r w:rsidR="005803F9" w:rsidRPr="00E503D6">
        <w:t xml:space="preserve">Conroe TX </w:t>
      </w:r>
      <w:r w:rsidR="00CC0C28" w:rsidRPr="00E503D6">
        <w:t>(</w:t>
      </w:r>
      <w:r w:rsidR="005803F9" w:rsidRPr="00E503D6">
        <w:t>936</w:t>
      </w:r>
      <w:r w:rsidR="00CC0C28" w:rsidRPr="00E503D6">
        <w:t xml:space="preserve">) </w:t>
      </w:r>
      <w:r w:rsidR="005803F9" w:rsidRPr="00E503D6">
        <w:t>32</w:t>
      </w:r>
      <w:r w:rsidR="00CC0C28" w:rsidRPr="00E503D6">
        <w:t>1-</w:t>
      </w:r>
      <w:r w:rsidR="00A24FAE" w:rsidRPr="00E503D6">
        <w:t>1287</w:t>
      </w:r>
      <w:r w:rsidR="00B62C5A">
        <w:t xml:space="preserve">, </w:t>
      </w:r>
      <w:r w:rsidR="00B62C5A" w:rsidRPr="00930C77">
        <w:t>(816) 805-7016</w:t>
      </w:r>
      <w:r w:rsidR="00D92CEE">
        <w:t>;</w:t>
      </w:r>
      <w:r w:rsidR="003B1EF8">
        <w:t xml:space="preserve"> and </w:t>
      </w:r>
      <w:r w:rsidR="00E44CFC">
        <w:t xml:space="preserve"> </w:t>
      </w:r>
      <w:bookmarkStart w:id="326" w:name="_Hlk11826999"/>
    </w:p>
    <w:p w14:paraId="61D7646A" w14:textId="77777777" w:rsidR="00176C39" w:rsidRPr="000522AF" w:rsidRDefault="00E44CFC" w:rsidP="00893A88">
      <w:pPr>
        <w:pStyle w:val="BodyText"/>
        <w:numPr>
          <w:ilvl w:val="2"/>
          <w:numId w:val="94"/>
        </w:numPr>
      </w:pPr>
      <w:r w:rsidRPr="000522AF">
        <w:t>1162 Tuscan Ridge, New Braunfels TX 78130</w:t>
      </w:r>
      <w:bookmarkEnd w:id="326"/>
      <w:r w:rsidR="00176C39" w:rsidRPr="000522AF">
        <w:t>.</w:t>
      </w:r>
    </w:p>
    <w:p w14:paraId="1F343211" w14:textId="77777777" w:rsidR="000C099C" w:rsidRPr="000522AF" w:rsidRDefault="000C099C" w:rsidP="0064191F">
      <w:pPr>
        <w:pStyle w:val="BodyText"/>
        <w:ind w:left="810"/>
      </w:pPr>
      <w:r w:rsidRPr="000522AF">
        <w:rPr>
          <w:b/>
          <w:bCs/>
        </w:rPr>
        <w:t>Employees</w:t>
      </w:r>
      <w:r w:rsidRPr="000522AF">
        <w:t xml:space="preserve">:  Currently have </w:t>
      </w:r>
      <w:r w:rsidR="00893A88" w:rsidRPr="000522AF">
        <w:t xml:space="preserve">under 20 </w:t>
      </w:r>
      <w:r w:rsidRPr="000522AF">
        <w:t>persons including office staff and reps</w:t>
      </w:r>
      <w:r w:rsidR="0052373D" w:rsidRPr="000522AF">
        <w:t xml:space="preserve"> </w:t>
      </w:r>
      <w:r w:rsidR="00A46E2F" w:rsidRPr="000522AF">
        <w:t>and</w:t>
      </w:r>
      <w:r w:rsidRPr="000522AF">
        <w:t xml:space="preserve"> alternate location</w:t>
      </w:r>
      <w:r w:rsidR="00A46E2F" w:rsidRPr="000522AF">
        <w:t>s</w:t>
      </w:r>
      <w:r w:rsidRPr="000522AF">
        <w:t xml:space="preserve"> in </w:t>
      </w:r>
      <w:r w:rsidR="00A46E2F" w:rsidRPr="000522AF">
        <w:t xml:space="preserve">Conroe, </w:t>
      </w:r>
      <w:r w:rsidR="0052373D" w:rsidRPr="000522AF">
        <w:t>Spring</w:t>
      </w:r>
      <w:r w:rsidR="00A46E2F" w:rsidRPr="000522AF">
        <w:t>, and Houston</w:t>
      </w:r>
      <w:r w:rsidR="0052373D" w:rsidRPr="000522AF">
        <w:t xml:space="preserve"> with additional remote access available</w:t>
      </w:r>
      <w:r w:rsidR="008C155B" w:rsidRPr="000522AF">
        <w:t xml:space="preserve"> above</w:t>
      </w:r>
      <w:r w:rsidRPr="000522AF">
        <w:t>.  See contact list below for key team personnel.</w:t>
      </w:r>
    </w:p>
    <w:p w14:paraId="30717DCF" w14:textId="77777777" w:rsidR="000C099C" w:rsidRDefault="000C099C" w:rsidP="0064191F">
      <w:pPr>
        <w:pStyle w:val="BodyText"/>
        <w:ind w:left="810" w:firstLine="30"/>
      </w:pPr>
      <w:r>
        <w:rPr>
          <w:b/>
          <w:bCs/>
        </w:rPr>
        <w:t>Communications</w:t>
      </w:r>
      <w:r>
        <w:t xml:space="preserve">:  </w:t>
      </w:r>
      <w:r w:rsidR="00E731A2">
        <w:t>the use of data lines, internet, telephones, servers, email is</w:t>
      </w:r>
      <w:r>
        <w:t xml:space="preserve"> all used as part of our daily communications.</w:t>
      </w:r>
    </w:p>
    <w:p w14:paraId="0CF43A8E" w14:textId="77777777" w:rsidR="000C099C" w:rsidRDefault="000C099C" w:rsidP="0064191F">
      <w:pPr>
        <w:pStyle w:val="BodyText"/>
        <w:ind w:left="810" w:firstLine="30"/>
      </w:pPr>
      <w:r>
        <w:rPr>
          <w:b/>
          <w:bCs/>
        </w:rPr>
        <w:t>Mission Critical Systems</w:t>
      </w:r>
      <w:r>
        <w:t xml:space="preserve">:  We have contacted our mission critical and business constituents and determined the extent to which we can continue our business relationship with them </w:t>
      </w:r>
      <w:r w:rsidR="00DC609D" w:rsidRPr="00EC5E16">
        <w:t>considering</w:t>
      </w:r>
      <w:r w:rsidRPr="00EC5E16">
        <w:t xml:space="preserve"> </w:t>
      </w:r>
      <w:r>
        <w:t xml:space="preserve">the internal or external SBD.  We will quickly establish alternative arrangements if a business constituent can no longer provide the needed goods or services when we need them because of </w:t>
      </w:r>
      <w:proofErr w:type="gramStart"/>
      <w:r>
        <w:t>a</w:t>
      </w:r>
      <w:proofErr w:type="gramEnd"/>
      <w:r>
        <w:t xml:space="preserve"> SBD to them or our firm.  The following programs and sources are used:</w:t>
      </w:r>
    </w:p>
    <w:p w14:paraId="3C37E8FC" w14:textId="14143FC9" w:rsidR="00FA2DE8" w:rsidRPr="00FA2DE8" w:rsidRDefault="00FA2DE8" w:rsidP="00FA2DE8">
      <w:pPr>
        <w:pStyle w:val="ListParagraph"/>
        <w:numPr>
          <w:ilvl w:val="0"/>
          <w:numId w:val="22"/>
        </w:numPr>
        <w:autoSpaceDE w:val="0"/>
        <w:autoSpaceDN w:val="0"/>
        <w:adjustRightInd w:val="0"/>
        <w:spacing w:before="100"/>
        <w:rPr>
          <w:rFonts w:ascii="Comic Sans MS" w:hAnsi="Comic Sans MS" w:cs="Comic Sans MS"/>
          <w:color w:val="1F497D"/>
          <w:sz w:val="24"/>
          <w:szCs w:val="24"/>
          <w:u w:val="single"/>
        </w:rPr>
      </w:pPr>
      <w:r w:rsidRPr="00E664BF">
        <w:rPr>
          <w:b/>
          <w:bCs/>
          <w:sz w:val="24"/>
          <w:szCs w:val="24"/>
        </w:rPr>
        <w:t>Momentum</w:t>
      </w:r>
      <w:r w:rsidR="000C099C" w:rsidRPr="00FA2DE8">
        <w:rPr>
          <w:sz w:val="24"/>
          <w:szCs w:val="24"/>
        </w:rPr>
        <w:t xml:space="preserve"> – Internet based program for </w:t>
      </w:r>
      <w:r w:rsidR="00CF5F8B" w:rsidRPr="00FA2DE8">
        <w:rPr>
          <w:sz w:val="24"/>
          <w:szCs w:val="24"/>
        </w:rPr>
        <w:t>HTS</w:t>
      </w:r>
      <w:r w:rsidR="000C099C" w:rsidRPr="00FA2DE8">
        <w:rPr>
          <w:sz w:val="24"/>
          <w:szCs w:val="24"/>
        </w:rPr>
        <w:t xml:space="preserve"> trading, account information, history, etc</w:t>
      </w:r>
      <w:r w:rsidR="00B42FC1" w:rsidRPr="00FA2DE8">
        <w:rPr>
          <w:sz w:val="24"/>
          <w:szCs w:val="24"/>
        </w:rPr>
        <w:t xml:space="preserve">., </w:t>
      </w:r>
      <w:hyperlink r:id="rId109" w:history="1">
        <w:r w:rsidR="00B42FC1" w:rsidRPr="00FA2DE8">
          <w:rPr>
            <w:rStyle w:val="Hyperlink"/>
            <w:sz w:val="24"/>
            <w:szCs w:val="24"/>
          </w:rPr>
          <w:t>www.hiltopsecurities.com</w:t>
        </w:r>
      </w:hyperlink>
      <w:r w:rsidR="00B42FC1" w:rsidRPr="00FA2DE8">
        <w:rPr>
          <w:color w:val="FF0000"/>
          <w:sz w:val="24"/>
          <w:szCs w:val="24"/>
        </w:rPr>
        <w:t xml:space="preserve"> </w:t>
      </w:r>
      <w:r w:rsidR="00B42FC1" w:rsidRPr="00FA2DE8">
        <w:rPr>
          <w:sz w:val="24"/>
          <w:szCs w:val="24"/>
        </w:rPr>
        <w:t>and</w:t>
      </w:r>
      <w:r w:rsidR="00E33177" w:rsidRPr="00FA2DE8">
        <w:rPr>
          <w:color w:val="FF0000"/>
          <w:sz w:val="24"/>
          <w:szCs w:val="24"/>
        </w:rPr>
        <w:t xml:space="preserve">  </w:t>
      </w:r>
      <w:hyperlink r:id="rId110" w:history="1">
        <w:r w:rsidR="00C03D85" w:rsidRPr="00FA2DE8">
          <w:rPr>
            <w:rStyle w:val="Hyperlink"/>
            <w:sz w:val="24"/>
            <w:szCs w:val="24"/>
          </w:rPr>
          <w:t>https://support.hilltopsecurities.com/</w:t>
        </w:r>
      </w:hyperlink>
      <w:r w:rsidR="00E33177" w:rsidRPr="00FA2DE8">
        <w:rPr>
          <w:color w:val="0000FF"/>
          <w:sz w:val="24"/>
          <w:szCs w:val="24"/>
        </w:rPr>
        <w:t xml:space="preserve"> </w:t>
      </w:r>
      <w:r w:rsidR="00E33177" w:rsidRPr="00FA2DE8">
        <w:rPr>
          <w:sz w:val="24"/>
          <w:szCs w:val="24"/>
        </w:rPr>
        <w:t xml:space="preserve">214-859-9165; main 214-859-1800. </w:t>
      </w:r>
      <w:r w:rsidR="00501377" w:rsidRPr="00FA2DE8">
        <w:rPr>
          <w:sz w:val="24"/>
          <w:szCs w:val="24"/>
        </w:rPr>
        <w:t xml:space="preserve"> </w:t>
      </w:r>
      <w:r w:rsidR="001F6FD0">
        <w:rPr>
          <w:sz w:val="24"/>
          <w:szCs w:val="24"/>
        </w:rPr>
        <w:t xml:space="preserve">There is a </w:t>
      </w:r>
      <w:r w:rsidR="00176C39" w:rsidRPr="00FA2DE8">
        <w:rPr>
          <w:sz w:val="24"/>
          <w:szCs w:val="24"/>
        </w:rPr>
        <w:t xml:space="preserve">Relationship </w:t>
      </w:r>
      <w:r w:rsidR="000522AF" w:rsidRPr="00FA2DE8">
        <w:rPr>
          <w:sz w:val="24"/>
          <w:szCs w:val="24"/>
        </w:rPr>
        <w:t>Mgr.</w:t>
      </w:r>
      <w:r w:rsidR="00176C39" w:rsidRPr="00FA2DE8">
        <w:rPr>
          <w:sz w:val="24"/>
          <w:szCs w:val="24"/>
        </w:rPr>
        <w:t xml:space="preserve">, Hilltop Securities, Inc. (HTS) </w:t>
      </w:r>
      <w:r w:rsidR="00A24760">
        <w:rPr>
          <w:sz w:val="24"/>
          <w:szCs w:val="24"/>
        </w:rPr>
        <w:t>717 N Harwood Dr</w:t>
      </w:r>
      <w:r w:rsidR="00176C39" w:rsidRPr="00FA2DE8">
        <w:rPr>
          <w:sz w:val="24"/>
          <w:szCs w:val="24"/>
        </w:rPr>
        <w:t>, Dallas TX 75270.</w:t>
      </w:r>
      <w:r w:rsidRPr="00FA2DE8">
        <w:rPr>
          <w:sz w:val="24"/>
          <w:szCs w:val="24"/>
        </w:rPr>
        <w:t xml:space="preserve">  </w:t>
      </w:r>
    </w:p>
    <w:p w14:paraId="307A07F3" w14:textId="1AF1740A" w:rsidR="00FA2DE8" w:rsidRPr="00FA2DE8" w:rsidRDefault="00FA2DE8" w:rsidP="00FA2DE8">
      <w:pPr>
        <w:pStyle w:val="ListParagraph"/>
        <w:autoSpaceDE w:val="0"/>
        <w:autoSpaceDN w:val="0"/>
        <w:adjustRightInd w:val="0"/>
        <w:spacing w:before="100"/>
        <w:ind w:left="1560"/>
        <w:rPr>
          <w:rFonts w:ascii="Comic Sans MS" w:hAnsi="Comic Sans MS" w:cs="Comic Sans MS"/>
          <w:color w:val="1F497D"/>
          <w:sz w:val="24"/>
          <w:szCs w:val="24"/>
          <w:u w:val="single"/>
        </w:rPr>
      </w:pPr>
      <w:r w:rsidRPr="00E664BF">
        <w:rPr>
          <w:sz w:val="24"/>
          <w:szCs w:val="24"/>
        </w:rPr>
        <w:t xml:space="preserve">Back Office access: </w:t>
      </w:r>
      <w:hyperlink r:id="rId111" w:history="1">
        <w:r w:rsidR="00E664BF" w:rsidRPr="00861DEF">
          <w:rPr>
            <w:rStyle w:val="Hyperlink"/>
            <w:sz w:val="24"/>
            <w:szCs w:val="24"/>
          </w:rPr>
          <w:t>https://momentum.hilltopsecurities.com/advisor/HTS</w:t>
        </w:r>
      </w:hyperlink>
      <w:r>
        <w:rPr>
          <w:color w:val="FF0000"/>
          <w:sz w:val="24"/>
          <w:szCs w:val="24"/>
        </w:rPr>
        <w:t xml:space="preserve">; </w:t>
      </w:r>
    </w:p>
    <w:p w14:paraId="143B570A" w14:textId="26584500" w:rsidR="00FA2DE8" w:rsidRPr="00FA2DE8" w:rsidRDefault="00FA2DE8" w:rsidP="00FA2DE8">
      <w:pPr>
        <w:autoSpaceDE w:val="0"/>
        <w:autoSpaceDN w:val="0"/>
        <w:adjustRightInd w:val="0"/>
        <w:spacing w:before="100"/>
        <w:ind w:firstLine="1530"/>
        <w:rPr>
          <w:color w:val="FF0000"/>
          <w:sz w:val="24"/>
          <w:szCs w:val="24"/>
        </w:rPr>
      </w:pPr>
      <w:r w:rsidRPr="00E664BF">
        <w:rPr>
          <w:sz w:val="24"/>
          <w:szCs w:val="24"/>
        </w:rPr>
        <w:t>Clients:</w:t>
      </w:r>
      <w:r w:rsidRPr="00FA2DE8">
        <w:rPr>
          <w:color w:val="FF0000"/>
          <w:sz w:val="32"/>
          <w:szCs w:val="32"/>
        </w:rPr>
        <w:t xml:space="preserve"> </w:t>
      </w:r>
      <w:hyperlink r:id="rId112" w:history="1">
        <w:r w:rsidR="00E664BF" w:rsidRPr="00861DEF">
          <w:rPr>
            <w:rStyle w:val="Hyperlink"/>
            <w:sz w:val="24"/>
            <w:szCs w:val="24"/>
          </w:rPr>
          <w:t>https://momentum.hilltopsecurities.com/investor/HTS</w:t>
        </w:r>
      </w:hyperlink>
      <w:r w:rsidR="00E664BF">
        <w:rPr>
          <w:sz w:val="24"/>
          <w:szCs w:val="24"/>
        </w:rPr>
        <w:t xml:space="preserve"> </w:t>
      </w:r>
      <w:r w:rsidR="00E664BF" w:rsidRPr="00E664BF">
        <w:rPr>
          <w:sz w:val="24"/>
          <w:szCs w:val="24"/>
        </w:rPr>
        <w:t xml:space="preserve"> </w:t>
      </w:r>
      <w:r w:rsidR="00E664BF">
        <w:rPr>
          <w:rStyle w:val="Hyperlink"/>
          <w:color w:val="FF0000"/>
          <w:sz w:val="24"/>
          <w:szCs w:val="24"/>
        </w:rPr>
        <w:t xml:space="preserve"> </w:t>
      </w:r>
    </w:p>
    <w:p w14:paraId="507181BC" w14:textId="4386E33D" w:rsidR="00FA2DE8" w:rsidRPr="00FA2DE8" w:rsidRDefault="00FA2DE8" w:rsidP="00FA2DE8">
      <w:pPr>
        <w:pStyle w:val="ListParagraph"/>
        <w:autoSpaceDE w:val="0"/>
        <w:autoSpaceDN w:val="0"/>
        <w:adjustRightInd w:val="0"/>
        <w:spacing w:before="100"/>
        <w:ind w:left="1560"/>
        <w:rPr>
          <w:rFonts w:ascii="Comic Sans MS" w:hAnsi="Comic Sans MS" w:cs="Comic Sans MS"/>
          <w:color w:val="1F497D"/>
          <w:sz w:val="24"/>
          <w:szCs w:val="24"/>
          <w:u w:val="single"/>
        </w:rPr>
      </w:pPr>
    </w:p>
    <w:p w14:paraId="42C40A68" w14:textId="41546022" w:rsidR="00E33177" w:rsidRPr="000579F8" w:rsidRDefault="00E33177" w:rsidP="00216F83">
      <w:pPr>
        <w:pStyle w:val="BodyText"/>
        <w:numPr>
          <w:ilvl w:val="0"/>
          <w:numId w:val="22"/>
        </w:numPr>
        <w:jc w:val="left"/>
      </w:pPr>
      <w:r w:rsidRPr="006C6E5E">
        <w:rPr>
          <w:b/>
          <w:bCs/>
        </w:rPr>
        <w:lastRenderedPageBreak/>
        <w:t>Gorilla Software</w:t>
      </w:r>
      <w:r>
        <w:t xml:space="preserve">:  </w:t>
      </w:r>
      <w:r w:rsidR="003720AE">
        <w:t xml:space="preserve">Marketing </w:t>
      </w:r>
      <w:r>
        <w:t xml:space="preserve">database.  Bill Good – </w:t>
      </w:r>
      <w:hyperlink r:id="rId113" w:history="1">
        <w:r w:rsidR="00E664BF" w:rsidRPr="00861DEF">
          <w:rPr>
            <w:rStyle w:val="Hyperlink"/>
          </w:rPr>
          <w:t>www.billgood.com</w:t>
        </w:r>
      </w:hyperlink>
      <w:r>
        <w:t>; 800-678-1480.</w:t>
      </w:r>
      <w:r w:rsidR="00445266">
        <w:t xml:space="preserve">  </w:t>
      </w:r>
      <w:r w:rsidR="00445266" w:rsidRPr="000579F8">
        <w:t>Will still maintain for marketing letter access, etc.</w:t>
      </w:r>
    </w:p>
    <w:p w14:paraId="11B1F5DB" w14:textId="2CA0434A" w:rsidR="000B6F67" w:rsidRPr="000579F8" w:rsidRDefault="0043359E" w:rsidP="00902DD9">
      <w:pPr>
        <w:pStyle w:val="ListParagraph"/>
        <w:numPr>
          <w:ilvl w:val="0"/>
          <w:numId w:val="22"/>
        </w:numPr>
        <w:rPr>
          <w:sz w:val="24"/>
          <w:szCs w:val="24"/>
        </w:rPr>
      </w:pPr>
      <w:bookmarkStart w:id="327" w:name="_Hlk57122499"/>
      <w:r w:rsidRPr="0043359E">
        <w:rPr>
          <w:b/>
          <w:bCs/>
          <w:color w:val="FF0000"/>
          <w:sz w:val="24"/>
          <w:szCs w:val="24"/>
        </w:rPr>
        <w:t>Cloud-Based</w:t>
      </w:r>
      <w:r w:rsidR="002379F0" w:rsidRPr="000579F8">
        <w:rPr>
          <w:sz w:val="24"/>
          <w:szCs w:val="24"/>
        </w:rPr>
        <w:t xml:space="preserve">: Internet-based CRM </w:t>
      </w:r>
      <w:r w:rsidR="001B5843" w:rsidRPr="000579F8">
        <w:rPr>
          <w:sz w:val="24"/>
          <w:szCs w:val="24"/>
        </w:rPr>
        <w:t>–</w:t>
      </w:r>
      <w:r w:rsidR="002379F0" w:rsidRPr="000579F8">
        <w:rPr>
          <w:sz w:val="24"/>
          <w:szCs w:val="24"/>
        </w:rPr>
        <w:t xml:space="preserve"> </w:t>
      </w:r>
      <w:r w:rsidR="000B6F67" w:rsidRPr="000579F8">
        <w:rPr>
          <w:sz w:val="24"/>
          <w:szCs w:val="24"/>
        </w:rPr>
        <w:t>(904) 565-5791, 9000 Southside Blvd. Suite 7500, Jacksonville, FL 32256. Company access:</w:t>
      </w:r>
    </w:p>
    <w:p w14:paraId="36927F53" w14:textId="1E690C9C" w:rsidR="000B6F67" w:rsidRPr="000579F8" w:rsidRDefault="00D6319C" w:rsidP="000B6F67">
      <w:pPr>
        <w:pStyle w:val="ListParagraph"/>
        <w:ind w:left="1560"/>
        <w:rPr>
          <w:sz w:val="24"/>
          <w:szCs w:val="24"/>
        </w:rPr>
      </w:pPr>
      <w:hyperlink r:id="rId114" w:history="1">
        <w:r w:rsidR="000579F8" w:rsidRPr="00861DEF">
          <w:rPr>
            <w:rStyle w:val="Hyperlink"/>
            <w:sz w:val="24"/>
            <w:szCs w:val="24"/>
          </w:rPr>
          <w:t xml:space="preserve">https://woodlands.crm.dynamics.com/ </w:t>
        </w:r>
      </w:hyperlink>
      <w:r w:rsidR="000B6F67" w:rsidRPr="000579F8">
        <w:rPr>
          <w:sz w:val="24"/>
          <w:szCs w:val="24"/>
        </w:rPr>
        <w:t>(Email credentials)</w:t>
      </w:r>
    </w:p>
    <w:p w14:paraId="556BD2E4" w14:textId="6636BAC7" w:rsidR="001B5843" w:rsidRPr="000B6F67" w:rsidRDefault="001B5843" w:rsidP="000B6F67">
      <w:pPr>
        <w:pStyle w:val="ListParagraph"/>
        <w:ind w:left="1555"/>
        <w:rPr>
          <w:color w:val="FF0000"/>
          <w:sz w:val="24"/>
          <w:szCs w:val="24"/>
        </w:rPr>
      </w:pPr>
      <w:r w:rsidRPr="000579F8">
        <w:rPr>
          <w:sz w:val="24"/>
          <w:szCs w:val="24"/>
        </w:rPr>
        <w:t xml:space="preserve">Sales: Brooke </w:t>
      </w:r>
      <w:proofErr w:type="spellStart"/>
      <w:r w:rsidRPr="000579F8">
        <w:rPr>
          <w:sz w:val="24"/>
          <w:szCs w:val="24"/>
        </w:rPr>
        <w:t>Deese</w:t>
      </w:r>
      <w:proofErr w:type="spellEnd"/>
      <w:r w:rsidRPr="000579F8">
        <w:rPr>
          <w:sz w:val="24"/>
          <w:szCs w:val="24"/>
        </w:rPr>
        <w:t xml:space="preserve"> McNally: </w:t>
      </w:r>
      <w:r w:rsidRPr="000B6F67">
        <w:rPr>
          <w:color w:val="FF0000"/>
          <w:sz w:val="24"/>
          <w:szCs w:val="24"/>
        </w:rPr>
        <w:t xml:space="preserve"> </w:t>
      </w:r>
      <w:hyperlink r:id="rId115" w:history="1">
        <w:r w:rsidR="000579F8" w:rsidRPr="00861DEF">
          <w:rPr>
            <w:rStyle w:val="Hyperlink"/>
            <w:sz w:val="24"/>
            <w:szCs w:val="24"/>
          </w:rPr>
          <w:t>bmcnally@sscinc.com</w:t>
        </w:r>
      </w:hyperlink>
      <w:r w:rsidR="000579F8">
        <w:rPr>
          <w:rStyle w:val="Hyperlink"/>
          <w:color w:val="FF0000"/>
          <w:sz w:val="24"/>
          <w:szCs w:val="24"/>
        </w:rPr>
        <w:t xml:space="preserve">  </w:t>
      </w:r>
    </w:p>
    <w:bookmarkEnd w:id="327"/>
    <w:p w14:paraId="75D00F4B" w14:textId="77777777" w:rsidR="000C099C" w:rsidRDefault="000C099C" w:rsidP="001B5843">
      <w:pPr>
        <w:pStyle w:val="BodyText"/>
        <w:numPr>
          <w:ilvl w:val="0"/>
          <w:numId w:val="22"/>
        </w:numPr>
      </w:pPr>
      <w:r w:rsidRPr="006C6E5E">
        <w:rPr>
          <w:b/>
          <w:bCs/>
        </w:rPr>
        <w:t>Microsoft Office</w:t>
      </w:r>
      <w:r w:rsidR="00076AF4" w:rsidRPr="006C6E5E">
        <w:rPr>
          <w:b/>
          <w:bCs/>
        </w:rPr>
        <w:t>/Office 365</w:t>
      </w:r>
      <w:r>
        <w:t>: used for file records, word processing, etc.</w:t>
      </w:r>
    </w:p>
    <w:p w14:paraId="0E1DD4ED" w14:textId="77777777" w:rsidR="009D44F1" w:rsidRDefault="000C099C" w:rsidP="009D44F1">
      <w:pPr>
        <w:pStyle w:val="BodyText"/>
        <w:numPr>
          <w:ilvl w:val="0"/>
          <w:numId w:val="22"/>
        </w:numPr>
      </w:pPr>
      <w:proofErr w:type="spellStart"/>
      <w:r w:rsidRPr="006C6E5E">
        <w:rPr>
          <w:b/>
          <w:bCs/>
          <w:u w:val="single"/>
        </w:rPr>
        <w:t>Esignal</w:t>
      </w:r>
      <w:proofErr w:type="spellEnd"/>
      <w:r>
        <w:t>: internet</w:t>
      </w:r>
      <w:r w:rsidR="008E5D76">
        <w:t>-b</w:t>
      </w:r>
      <w:r>
        <w:t>ased market information, quotes, etc.</w:t>
      </w:r>
      <w:r w:rsidR="009A50D2">
        <w:t xml:space="preserve"> - </w:t>
      </w:r>
      <w:r w:rsidR="009A50D2" w:rsidRPr="004F46F5">
        <w:rPr>
          <w:szCs w:val="24"/>
        </w:rPr>
        <w:t>3955 Point Eden Way</w:t>
      </w:r>
      <w:r w:rsidR="009A50D2" w:rsidRPr="004F46F5">
        <w:rPr>
          <w:szCs w:val="24"/>
        </w:rPr>
        <w:br/>
        <w:t xml:space="preserve">Hayward, CA 94545 </w:t>
      </w:r>
      <w:r w:rsidR="009A50D2" w:rsidRPr="004F46F5">
        <w:t>(</w:t>
      </w:r>
      <w:r w:rsidR="000522AF" w:rsidRPr="004F46F5">
        <w:t>Ph.</w:t>
      </w:r>
      <w:r w:rsidR="009A50D2" w:rsidRPr="004F46F5">
        <w:t>: 800-815-8256</w:t>
      </w:r>
      <w:r w:rsidR="001B7E9D" w:rsidRPr="004F46F5">
        <w:t>, 510-266-6000, Fax: 510-266-6100</w:t>
      </w:r>
      <w:r w:rsidR="009A50D2" w:rsidRPr="004F46F5">
        <w:t>)</w:t>
      </w:r>
      <w:r w:rsidR="001B7E9D" w:rsidRPr="004F46F5">
        <w:t>.</w:t>
      </w:r>
    </w:p>
    <w:p w14:paraId="6646E354" w14:textId="4E99C9A6" w:rsidR="00CA5452" w:rsidRPr="000579F8" w:rsidRDefault="00CA5452" w:rsidP="009D44F1">
      <w:pPr>
        <w:pStyle w:val="BodyText"/>
        <w:numPr>
          <w:ilvl w:val="0"/>
          <w:numId w:val="22"/>
        </w:numPr>
        <w:rPr>
          <w:sz w:val="22"/>
          <w:szCs w:val="22"/>
        </w:rPr>
      </w:pPr>
      <w:r w:rsidRPr="000579F8">
        <w:rPr>
          <w:b/>
          <w:bCs/>
        </w:rPr>
        <w:t xml:space="preserve">Bloomberg </w:t>
      </w:r>
      <w:r w:rsidRPr="000579F8">
        <w:t xml:space="preserve">- (212) 318-2000, 731 Lexington Ave, New York NY 10022, </w:t>
      </w:r>
      <w:bookmarkStart w:id="328" w:name="_Hlk57122593"/>
      <w:r w:rsidR="009D44F1" w:rsidRPr="000579F8">
        <w:rPr>
          <w:szCs w:val="24"/>
        </w:rPr>
        <w:t xml:space="preserve">Jacqueline Aresco, </w:t>
      </w:r>
      <w:hyperlink r:id="rId116" w:history="1">
        <w:r w:rsidR="000579F8" w:rsidRPr="00861DEF">
          <w:rPr>
            <w:rStyle w:val="Hyperlink"/>
            <w:szCs w:val="24"/>
          </w:rPr>
          <w:t>jaresco3@bloomberg.net</w:t>
        </w:r>
      </w:hyperlink>
      <w:r w:rsidR="000579F8" w:rsidRPr="000579F8">
        <w:rPr>
          <w:szCs w:val="24"/>
        </w:rPr>
        <w:t xml:space="preserve">, </w:t>
      </w:r>
      <w:r w:rsidR="009D44F1" w:rsidRPr="000579F8">
        <w:rPr>
          <w:rStyle w:val="bbscopedstyle3281212454567947"/>
        </w:rPr>
        <w:t>212-617-0538; Bloomberg Vault: Di Yusupov.</w:t>
      </w:r>
    </w:p>
    <w:bookmarkEnd w:id="328"/>
    <w:p w14:paraId="594EF32D" w14:textId="77777777" w:rsidR="000C099C" w:rsidRDefault="007E045B" w:rsidP="001B5843">
      <w:pPr>
        <w:pStyle w:val="BodyText"/>
        <w:numPr>
          <w:ilvl w:val="0"/>
          <w:numId w:val="22"/>
        </w:numPr>
      </w:pPr>
      <w:r w:rsidRPr="006C6E5E">
        <w:rPr>
          <w:b/>
          <w:bCs/>
        </w:rPr>
        <w:t>QuickBooks</w:t>
      </w:r>
      <w:r w:rsidR="0034032B" w:rsidRPr="006C6E5E">
        <w:rPr>
          <w:b/>
          <w:bCs/>
        </w:rPr>
        <w:t>/Yardi</w:t>
      </w:r>
      <w:r w:rsidR="000C099C">
        <w:t>: accounting and financial information software program.</w:t>
      </w:r>
    </w:p>
    <w:p w14:paraId="44D3F54A" w14:textId="77777777" w:rsidR="007D10D5" w:rsidRPr="002379C8" w:rsidRDefault="000C099C" w:rsidP="001B5843">
      <w:pPr>
        <w:pStyle w:val="BodyText"/>
        <w:numPr>
          <w:ilvl w:val="0"/>
          <w:numId w:val="22"/>
        </w:numPr>
        <w:spacing w:before="0" w:after="0"/>
        <w:jc w:val="left"/>
      </w:pPr>
      <w:r w:rsidRPr="006C6E5E">
        <w:rPr>
          <w:b/>
          <w:bCs/>
        </w:rPr>
        <w:t>Win</w:t>
      </w:r>
      <w:r w:rsidR="004F46F5" w:rsidRPr="006C6E5E">
        <w:rPr>
          <w:b/>
          <w:bCs/>
        </w:rPr>
        <w:t>O</w:t>
      </w:r>
      <w:r w:rsidRPr="006C6E5E">
        <w:rPr>
          <w:b/>
          <w:bCs/>
        </w:rPr>
        <w:t>ps: Backoffice program</w:t>
      </w:r>
      <w:r w:rsidR="002965E4" w:rsidRPr="006C6E5E">
        <w:rPr>
          <w:b/>
          <w:bCs/>
        </w:rPr>
        <w:t xml:space="preserve"> </w:t>
      </w:r>
      <w:r w:rsidR="007A1667" w:rsidRPr="006C6E5E">
        <w:rPr>
          <w:b/>
          <w:bCs/>
        </w:rPr>
        <w:t>–</w:t>
      </w:r>
      <w:r w:rsidRPr="006C6E5E">
        <w:rPr>
          <w:b/>
          <w:bCs/>
        </w:rPr>
        <w:t xml:space="preserve"> </w:t>
      </w:r>
      <w:r w:rsidR="007A1667" w:rsidRPr="006C6E5E">
        <w:rPr>
          <w:b/>
          <w:bCs/>
        </w:rPr>
        <w:t>Techmate, Inc</w:t>
      </w:r>
      <w:r w:rsidR="007A1667" w:rsidRPr="002379C8">
        <w:t>.</w:t>
      </w:r>
      <w:r w:rsidR="00B37B3E" w:rsidRPr="002379C8">
        <w:t xml:space="preserve"> (C5 Solutions)</w:t>
      </w:r>
      <w:r w:rsidRPr="002379C8">
        <w:t xml:space="preserve">:  </w:t>
      </w:r>
      <w:r w:rsidR="007D10D5" w:rsidRPr="002379C8">
        <w:t xml:space="preserve">8960 W Hampden Ave., Lakewood, CO  80235, (303) 985-9956, Rod Lueck Cell: (303) 356-5962, Email: </w:t>
      </w:r>
      <w:hyperlink r:id="rId117" w:history="1">
        <w:r w:rsidR="00FE1266" w:rsidRPr="00D445BD">
          <w:rPr>
            <w:rStyle w:val="Hyperlink"/>
          </w:rPr>
          <w:t>support@c5solutions.com</w:t>
        </w:r>
      </w:hyperlink>
      <w:r w:rsidR="007D10D5" w:rsidRPr="002379C8">
        <w:t xml:space="preserve">, website: </w:t>
      </w:r>
      <w:hyperlink r:id="rId118" w:history="1">
        <w:r w:rsidR="007D10D5" w:rsidRPr="002379C8">
          <w:rPr>
            <w:rStyle w:val="Hyperlink"/>
          </w:rPr>
          <w:t>http://www.opsplus.com</w:t>
        </w:r>
      </w:hyperlink>
      <w:r w:rsidR="007D10D5" w:rsidRPr="002379C8">
        <w:t xml:space="preserve">. </w:t>
      </w:r>
    </w:p>
    <w:p w14:paraId="1275FFF6" w14:textId="77777777" w:rsidR="007D10D5" w:rsidRPr="002379C8" w:rsidRDefault="007D10D5" w:rsidP="007D10D5">
      <w:pPr>
        <w:pStyle w:val="BodyText"/>
        <w:spacing w:before="0" w:after="0"/>
        <w:ind w:left="1560"/>
        <w:jc w:val="left"/>
      </w:pPr>
      <w:r w:rsidRPr="002379C8">
        <w:t xml:space="preserve">Remote Desktop Connection - ftp: 173.239.1114.36; Dashboard: </w:t>
      </w:r>
      <w:hyperlink r:id="rId119" w:history="1">
        <w:r w:rsidRPr="002379C8">
          <w:rPr>
            <w:rStyle w:val="Hyperlink"/>
          </w:rPr>
          <w:t>https://woodlands.repdashboard.com</w:t>
        </w:r>
      </w:hyperlink>
      <w:r w:rsidRPr="002379C8">
        <w:t xml:space="preserve">. </w:t>
      </w:r>
    </w:p>
    <w:p w14:paraId="53E93F4E" w14:textId="77777777" w:rsidR="00CF6781" w:rsidRPr="0033456B" w:rsidRDefault="00CF6781" w:rsidP="007D10D5">
      <w:pPr>
        <w:pStyle w:val="BodyText"/>
        <w:spacing w:before="0" w:after="0"/>
        <w:ind w:left="1560"/>
        <w:jc w:val="left"/>
        <w:rPr>
          <w:color w:val="000000"/>
        </w:rPr>
      </w:pPr>
    </w:p>
    <w:p w14:paraId="362E835B" w14:textId="77777777" w:rsidR="00F7494A" w:rsidRPr="000522AF" w:rsidRDefault="005262CC" w:rsidP="001B5843">
      <w:pPr>
        <w:pStyle w:val="BodyText"/>
        <w:numPr>
          <w:ilvl w:val="0"/>
          <w:numId w:val="22"/>
        </w:numPr>
        <w:spacing w:before="0" w:after="0"/>
        <w:jc w:val="left"/>
      </w:pPr>
      <w:r w:rsidRPr="006C6E5E">
        <w:rPr>
          <w:b/>
          <w:bCs/>
        </w:rPr>
        <w:t>Global Relay</w:t>
      </w:r>
      <w:r w:rsidR="00CF6781" w:rsidRPr="000522AF">
        <w:t xml:space="preserve">: Email retention and archiving: </w:t>
      </w:r>
      <w:r w:rsidR="00F7494A" w:rsidRPr="000522AF">
        <w:t xml:space="preserve">866-484-6630 </w:t>
      </w:r>
      <w:r w:rsidR="007F5FB5" w:rsidRPr="000522AF">
        <w:rPr>
          <w:rStyle w:val="Hyperlink"/>
          <w:color w:val="auto"/>
        </w:rPr>
        <w:t>https://www.globalrelay.com/gr-services/message</w:t>
      </w:r>
      <w:r w:rsidR="00F7494A" w:rsidRPr="000522AF">
        <w:t xml:space="preserve">, </w:t>
      </w:r>
    </w:p>
    <w:p w14:paraId="317202BE" w14:textId="77777777" w:rsidR="009C12D7" w:rsidRPr="000522AF" w:rsidRDefault="00F7494A" w:rsidP="00F7494A">
      <w:pPr>
        <w:pStyle w:val="BodyText"/>
        <w:spacing w:before="0" w:after="0"/>
        <w:ind w:left="1560"/>
        <w:jc w:val="left"/>
      </w:pPr>
      <w:r w:rsidRPr="000522AF">
        <w:t>S</w:t>
      </w:r>
      <w:r w:rsidR="00CF6781" w:rsidRPr="000522AF">
        <w:t xml:space="preserve">upport- </w:t>
      </w:r>
      <w:hyperlink r:id="rId120" w:history="1">
        <w:r w:rsidR="00DB37BA" w:rsidRPr="000522AF">
          <w:rPr>
            <w:rStyle w:val="Hyperlink"/>
            <w:rFonts w:ascii="open-sans" w:hAnsi="open-sans"/>
            <w:color w:val="auto"/>
            <w:szCs w:val="24"/>
          </w:rPr>
          <w:t>support@globalrelay.net</w:t>
        </w:r>
      </w:hyperlink>
      <w:r w:rsidR="00DB37BA" w:rsidRPr="000522AF">
        <w:t xml:space="preserve">, </w:t>
      </w:r>
    </w:p>
    <w:p w14:paraId="7DDFEDD7" w14:textId="1B5A614E" w:rsidR="000D73D1" w:rsidRDefault="009C12D7" w:rsidP="000D73D1">
      <w:pPr>
        <w:ind w:firstLine="1530"/>
        <w:rPr>
          <w:rStyle w:val="Hyperlink"/>
          <w:color w:val="auto"/>
          <w:sz w:val="24"/>
          <w:szCs w:val="24"/>
          <w:u w:val="none"/>
        </w:rPr>
      </w:pPr>
      <w:r w:rsidRPr="000522AF">
        <w:rPr>
          <w:sz w:val="24"/>
          <w:szCs w:val="24"/>
        </w:rPr>
        <w:t>Hosted Exchange</w:t>
      </w:r>
      <w:r w:rsidR="00DB37BA" w:rsidRPr="000522AF">
        <w:rPr>
          <w:sz w:val="24"/>
          <w:szCs w:val="24"/>
        </w:rPr>
        <w:t xml:space="preserve"> (Office 365)</w:t>
      </w:r>
      <w:r w:rsidRPr="000522AF">
        <w:rPr>
          <w:sz w:val="24"/>
          <w:szCs w:val="24"/>
        </w:rPr>
        <w:t xml:space="preserve">:  </w:t>
      </w:r>
      <w:hyperlink r:id="rId121" w:history="1">
        <w:r w:rsidR="00DB37BA" w:rsidRPr="000522AF">
          <w:rPr>
            <w:rStyle w:val="Hyperlink"/>
            <w:color w:val="auto"/>
            <w:sz w:val="24"/>
            <w:szCs w:val="24"/>
          </w:rPr>
          <w:t>https://login.microsoftonline.com/</w:t>
        </w:r>
      </w:hyperlink>
      <w:r w:rsidR="00DB37BA" w:rsidRPr="000522AF">
        <w:rPr>
          <w:rStyle w:val="Hyperlink"/>
          <w:color w:val="auto"/>
          <w:sz w:val="24"/>
          <w:szCs w:val="24"/>
          <w:u w:val="none"/>
        </w:rPr>
        <w:t>.</w:t>
      </w:r>
    </w:p>
    <w:p w14:paraId="7553B710" w14:textId="27A2D6D4" w:rsidR="006C6E5E" w:rsidRDefault="006C6E5E" w:rsidP="000D73D1">
      <w:pPr>
        <w:ind w:firstLine="1530"/>
        <w:rPr>
          <w:rStyle w:val="Hyperlink"/>
          <w:color w:val="auto"/>
          <w:sz w:val="24"/>
          <w:szCs w:val="24"/>
          <w:u w:val="none"/>
        </w:rPr>
      </w:pPr>
    </w:p>
    <w:p w14:paraId="12B44180" w14:textId="1B422ED9" w:rsidR="000C099C" w:rsidRDefault="000C099C" w:rsidP="001B5843">
      <w:pPr>
        <w:pStyle w:val="BodyText"/>
        <w:numPr>
          <w:ilvl w:val="0"/>
          <w:numId w:val="22"/>
        </w:numPr>
        <w:jc w:val="left"/>
        <w:rPr>
          <w:color w:val="FF0000"/>
        </w:rPr>
      </w:pPr>
      <w:r w:rsidRPr="006C6E5E">
        <w:rPr>
          <w:b/>
          <w:bCs/>
        </w:rPr>
        <w:t>Ullrich</w:t>
      </w:r>
      <w:r w:rsidR="0006210D" w:rsidRPr="006C6E5E">
        <w:rPr>
          <w:b/>
          <w:bCs/>
          <w:color w:val="FF0000"/>
        </w:rPr>
        <w:t xml:space="preserve"> </w:t>
      </w:r>
      <w:r w:rsidR="0006210D" w:rsidRPr="006C6E5E">
        <w:rPr>
          <w:b/>
          <w:bCs/>
        </w:rPr>
        <w:t>Cordray &amp; Assoc</w:t>
      </w:r>
      <w:r w:rsidR="00435329" w:rsidRPr="006C6E5E">
        <w:rPr>
          <w:b/>
          <w:bCs/>
        </w:rPr>
        <w:t>.</w:t>
      </w:r>
      <w:r w:rsidR="0006210D" w:rsidRPr="006C6E5E">
        <w:rPr>
          <w:b/>
          <w:bCs/>
        </w:rPr>
        <w:t xml:space="preserve"> LLC</w:t>
      </w:r>
      <w:r w:rsidRPr="00EC5E16">
        <w:t xml:space="preserve"> </w:t>
      </w:r>
      <w:r>
        <w:t>–</w:t>
      </w:r>
      <w:r w:rsidRPr="00EB5FB0">
        <w:t xml:space="preserve"> </w:t>
      </w:r>
      <w:r w:rsidR="006C6E5E">
        <w:t xml:space="preserve">some partnership </w:t>
      </w:r>
      <w:r w:rsidRPr="00EB5FB0">
        <w:t>tax return</w:t>
      </w:r>
      <w:r w:rsidR="006C6E5E">
        <w:t>s</w:t>
      </w:r>
      <w:r w:rsidRPr="00EB5FB0">
        <w:t>, 1510 IH-45N, Conroe TX 77301, Ph-9</w:t>
      </w:r>
      <w:r w:rsidR="0033456B">
        <w:t xml:space="preserve">36-441-3655, Fax-936-756-8563; </w:t>
      </w:r>
      <w:r w:rsidR="0033456B" w:rsidRPr="007E045B">
        <w:t>Jeff Ullrich</w:t>
      </w:r>
      <w:r w:rsidRPr="007E045B">
        <w:t xml:space="preserve"> email</w:t>
      </w:r>
      <w:r w:rsidR="00B70E49" w:rsidRPr="00C022C0">
        <w:rPr>
          <w:color w:val="FF0000"/>
        </w:rPr>
        <w:t xml:space="preserve"> </w:t>
      </w:r>
      <w:hyperlink r:id="rId122" w:history="1">
        <w:r w:rsidR="007E045B" w:rsidRPr="00D61EA2">
          <w:rPr>
            <w:rStyle w:val="Hyperlink"/>
          </w:rPr>
          <w:t>jeffu192@cs.comm</w:t>
        </w:r>
      </w:hyperlink>
      <w:r w:rsidR="007E045B">
        <w:t xml:space="preserve"> </w:t>
      </w:r>
      <w:r w:rsidR="00B70E49">
        <w:t xml:space="preserve"> or </w:t>
      </w:r>
      <w:r w:rsidR="00BB0692" w:rsidRPr="00EC5E16">
        <w:t xml:space="preserve">John Cordray,  </w:t>
      </w:r>
      <w:hyperlink r:id="rId123" w:history="1">
        <w:r w:rsidR="00BB0692" w:rsidRPr="00EC5E16">
          <w:rPr>
            <w:rStyle w:val="Hyperlink"/>
          </w:rPr>
          <w:t>johncordray@compuserve.com</w:t>
        </w:r>
      </w:hyperlink>
      <w:r w:rsidR="00BB0692">
        <w:t>.</w:t>
      </w:r>
      <w:r w:rsidRPr="00C022C0">
        <w:rPr>
          <w:color w:val="FF0000"/>
        </w:rPr>
        <w:t xml:space="preserve"> </w:t>
      </w:r>
    </w:p>
    <w:p w14:paraId="550C00D0" w14:textId="59F11C19" w:rsidR="0043359E" w:rsidRPr="00C022C0" w:rsidRDefault="0043359E" w:rsidP="001B5843">
      <w:pPr>
        <w:pStyle w:val="BodyText"/>
        <w:numPr>
          <w:ilvl w:val="0"/>
          <w:numId w:val="22"/>
        </w:numPr>
        <w:jc w:val="left"/>
        <w:rPr>
          <w:color w:val="FF0000"/>
        </w:rPr>
      </w:pPr>
      <w:r w:rsidRPr="0043359E">
        <w:rPr>
          <w:b/>
          <w:bCs/>
          <w:color w:val="FF0000"/>
        </w:rPr>
        <w:t xml:space="preserve">Ascend Technology Group </w:t>
      </w:r>
      <w:r w:rsidRPr="0043359E">
        <w:rPr>
          <w:color w:val="FF0000"/>
        </w:rPr>
        <w:t xml:space="preserve">– IT – John Gerdes, (402) 403-4199; </w:t>
      </w:r>
      <w:hyperlink r:id="rId124" w:history="1">
        <w:r w:rsidRPr="0043359E">
          <w:rPr>
            <w:rStyle w:val="Hyperlink"/>
            <w:color w:val="FF0000"/>
          </w:rPr>
          <w:t>support@ascendtg.com</w:t>
        </w:r>
      </w:hyperlink>
      <w:r w:rsidRPr="0043359E">
        <w:rPr>
          <w:color w:val="FF0000"/>
        </w:rPr>
        <w:t>; 11003 I Street</w:t>
      </w:r>
      <w:r>
        <w:rPr>
          <w:color w:val="FF0000"/>
        </w:rPr>
        <w:t>, Omaha NE 68137</w:t>
      </w:r>
    </w:p>
    <w:p w14:paraId="284190A9" w14:textId="77777777" w:rsidR="0032343A" w:rsidRPr="00C022C0" w:rsidRDefault="000C099C" w:rsidP="001B5843">
      <w:pPr>
        <w:pStyle w:val="BodyText"/>
        <w:numPr>
          <w:ilvl w:val="0"/>
          <w:numId w:val="22"/>
        </w:numPr>
        <w:rPr>
          <w:color w:val="FF0000"/>
        </w:rPr>
      </w:pPr>
      <w:r w:rsidRPr="008D2122">
        <w:rPr>
          <w:b/>
          <w:bCs/>
        </w:rPr>
        <w:t>Dennis McCullough:  IT Administrator</w:t>
      </w:r>
      <w:r>
        <w:t xml:space="preserve"> - </w:t>
      </w:r>
      <w:r w:rsidRPr="00E87775">
        <w:t>2</w:t>
      </w:r>
      <w:r w:rsidR="00BD36BE" w:rsidRPr="00E87775">
        <w:t>11</w:t>
      </w:r>
      <w:r w:rsidRPr="00E87775">
        <w:t xml:space="preserve"> </w:t>
      </w:r>
      <w:r w:rsidR="00BD36BE" w:rsidRPr="00E87775">
        <w:t>East Shepherd</w:t>
      </w:r>
      <w:r>
        <w:t>, Lufkin TX 7590</w:t>
      </w:r>
      <w:r w:rsidR="00BD36BE">
        <w:t>1</w:t>
      </w:r>
      <w:r>
        <w:t xml:space="preserve">, cell (936) 414-1114.  Backup IT will be </w:t>
      </w:r>
      <w:r w:rsidR="0032343A" w:rsidRPr="002379C8">
        <w:t>Jeff Griggs, Miraculous Solutions, (936) 240-3093.</w:t>
      </w:r>
    </w:p>
    <w:p w14:paraId="76576FF8" w14:textId="77777777" w:rsidR="000C099C" w:rsidRDefault="000C099C" w:rsidP="001B5843">
      <w:pPr>
        <w:pStyle w:val="BodyText"/>
        <w:numPr>
          <w:ilvl w:val="0"/>
          <w:numId w:val="22"/>
        </w:numPr>
        <w:jc w:val="left"/>
      </w:pPr>
      <w:r w:rsidRPr="008D2122">
        <w:rPr>
          <w:b/>
          <w:bCs/>
        </w:rPr>
        <w:t>Amegy Bank</w:t>
      </w:r>
      <w:r>
        <w:t xml:space="preserve">: 10101 </w:t>
      </w:r>
      <w:proofErr w:type="spellStart"/>
      <w:r>
        <w:t>Grogans</w:t>
      </w:r>
      <w:proofErr w:type="spellEnd"/>
      <w:r>
        <w:t xml:space="preserve"> Mill Rd, The Woodlands TX 77380, Contact: Jill Vaughan, (281) 320-6909, Fax: (281) 320-6908 Email: </w:t>
      </w:r>
      <w:hyperlink r:id="rId125" w:history="1">
        <w:r>
          <w:rPr>
            <w:rStyle w:val="Hyperlink"/>
          </w:rPr>
          <w:t>jill.vaughan@amegybank.com</w:t>
        </w:r>
      </w:hyperlink>
      <w:r>
        <w:t xml:space="preserve">.  Contact has been made to determine financing availability in the event of an SBD.  </w:t>
      </w:r>
    </w:p>
    <w:p w14:paraId="136F6F5D" w14:textId="77777777" w:rsidR="000C099C" w:rsidRPr="001F7B35" w:rsidRDefault="000C099C" w:rsidP="001B5843">
      <w:pPr>
        <w:pStyle w:val="BodyText"/>
        <w:numPr>
          <w:ilvl w:val="0"/>
          <w:numId w:val="22"/>
        </w:numPr>
        <w:jc w:val="left"/>
        <w:rPr>
          <w:color w:val="FF0000"/>
          <w:szCs w:val="24"/>
        </w:rPr>
      </w:pPr>
      <w:r w:rsidRPr="008D2122">
        <w:rPr>
          <w:b/>
          <w:bCs/>
        </w:rPr>
        <w:t>Website</w:t>
      </w:r>
      <w:r>
        <w:t xml:space="preserve">: </w:t>
      </w:r>
      <w:hyperlink r:id="rId126" w:history="1">
        <w:r>
          <w:rPr>
            <w:rStyle w:val="Hyperlink"/>
          </w:rPr>
          <w:t>www.woodlandssecurities.com</w:t>
        </w:r>
      </w:hyperlink>
      <w:r>
        <w:t xml:space="preserve"> </w:t>
      </w:r>
      <w:r w:rsidR="00CA2EC0" w:rsidRPr="00E87775">
        <w:t xml:space="preserve">hosted through </w:t>
      </w:r>
      <w:r w:rsidR="00841C20" w:rsidRPr="008D2122">
        <w:rPr>
          <w:b/>
          <w:bCs/>
        </w:rPr>
        <w:t>FMG Suite</w:t>
      </w:r>
      <w:r w:rsidR="00841C20" w:rsidRPr="00E87775">
        <w:t xml:space="preserve"> (</w:t>
      </w:r>
      <w:r w:rsidR="000522AF" w:rsidRPr="000579F8">
        <w:t xml:space="preserve">old </w:t>
      </w:r>
      <w:proofErr w:type="spellStart"/>
      <w:r w:rsidR="00FC0934">
        <w:t>Smarsh</w:t>
      </w:r>
      <w:proofErr w:type="spellEnd"/>
      <w:r w:rsidR="00FC0934">
        <w:t xml:space="preserve">, </w:t>
      </w:r>
      <w:r w:rsidR="00841C20" w:rsidRPr="00E87775">
        <w:t>old-</w:t>
      </w:r>
      <w:r w:rsidR="00CA2EC0" w:rsidRPr="00E87775">
        <w:t>Advisor Launchpad</w:t>
      </w:r>
      <w:r w:rsidR="00240EDF">
        <w:t xml:space="preserve">) </w:t>
      </w:r>
      <w:hyperlink r:id="rId127" w:history="1">
        <w:r w:rsidR="00240EDF" w:rsidRPr="00EC5E16">
          <w:rPr>
            <w:rStyle w:val="Hyperlink"/>
          </w:rPr>
          <w:t>www.fmgsuite.com</w:t>
        </w:r>
      </w:hyperlink>
      <w:r w:rsidR="00240EDF" w:rsidRPr="00EC5E16">
        <w:rPr>
          <w:color w:val="0000FF"/>
        </w:rPr>
        <w:t xml:space="preserve"> and </w:t>
      </w:r>
      <w:hyperlink r:id="rId128" w:history="1">
        <w:r w:rsidR="00240EDF" w:rsidRPr="00EC5E16">
          <w:rPr>
            <w:rStyle w:val="Hyperlink"/>
          </w:rPr>
          <w:t>https://secure.fmgsuite.com</w:t>
        </w:r>
      </w:hyperlink>
      <w:r w:rsidR="00CA2EC0" w:rsidRPr="00E87775">
        <w:t xml:space="preserve">, 888-379-5724 </w:t>
      </w:r>
      <w:r w:rsidR="00FC0934" w:rsidRPr="00EC5E16">
        <w:t xml:space="preserve">and (858) 251-2420 </w:t>
      </w:r>
      <w:r w:rsidR="00CA2EC0" w:rsidRPr="00E87775">
        <w:t xml:space="preserve">(Site ID# 19047). </w:t>
      </w:r>
      <w:r w:rsidR="001F7B35">
        <w:t xml:space="preserve"> </w:t>
      </w:r>
      <w:r w:rsidR="001F7B35" w:rsidRPr="00EC5E16">
        <w:rPr>
          <w:szCs w:val="24"/>
        </w:rPr>
        <w:t xml:space="preserve">Facebook: </w:t>
      </w:r>
      <w:r w:rsidR="001F7B35" w:rsidRPr="00EC5E16">
        <w:rPr>
          <w:color w:val="0000FF"/>
          <w:szCs w:val="24"/>
        </w:rPr>
        <w:t>https://www.facebook.com/woodlandssecurities/</w:t>
      </w:r>
      <w:r w:rsidR="001F7B35" w:rsidRPr="00EC5E16">
        <w:rPr>
          <w:szCs w:val="24"/>
        </w:rPr>
        <w:t>.</w:t>
      </w:r>
    </w:p>
    <w:p w14:paraId="350FF669" w14:textId="3A916941" w:rsidR="00C72285" w:rsidRPr="0043359E" w:rsidRDefault="000C099C" w:rsidP="001B5843">
      <w:pPr>
        <w:pStyle w:val="BodyText"/>
        <w:numPr>
          <w:ilvl w:val="0"/>
          <w:numId w:val="22"/>
        </w:numPr>
        <w:jc w:val="left"/>
        <w:rPr>
          <w:iCs/>
          <w:color w:val="FF0000"/>
        </w:rPr>
      </w:pPr>
      <w:r w:rsidRPr="0043359E">
        <w:rPr>
          <w:b/>
          <w:bCs/>
          <w:color w:val="FF0000"/>
        </w:rPr>
        <w:t xml:space="preserve">Telephone System: </w:t>
      </w:r>
      <w:r w:rsidR="0043359E" w:rsidRPr="0043359E">
        <w:rPr>
          <w:b/>
          <w:bCs/>
          <w:color w:val="FF0000"/>
        </w:rPr>
        <w:t>Microsoft Teams</w:t>
      </w:r>
      <w:r w:rsidR="00C72285" w:rsidRPr="0043359E">
        <w:rPr>
          <w:color w:val="FF0000"/>
        </w:rPr>
        <w:t xml:space="preserve"> – </w:t>
      </w:r>
      <w:r w:rsidR="0043359E" w:rsidRPr="0043359E">
        <w:rPr>
          <w:color w:val="FF0000"/>
        </w:rPr>
        <w:t>managed through Ascend Technology.</w:t>
      </w:r>
    </w:p>
    <w:p w14:paraId="406CF9C1" w14:textId="77777777" w:rsidR="003B7476" w:rsidRPr="00C72285" w:rsidRDefault="003271ED" w:rsidP="001B5843">
      <w:pPr>
        <w:pStyle w:val="BodyText"/>
        <w:numPr>
          <w:ilvl w:val="0"/>
          <w:numId w:val="22"/>
        </w:numPr>
        <w:jc w:val="left"/>
        <w:rPr>
          <w:iCs/>
        </w:rPr>
      </w:pPr>
      <w:r w:rsidRPr="008D2122">
        <w:rPr>
          <w:b/>
          <w:bCs/>
          <w:iCs/>
        </w:rPr>
        <w:lastRenderedPageBreak/>
        <w:t>LiveVault</w:t>
      </w:r>
      <w:r w:rsidRPr="00C72285">
        <w:rPr>
          <w:iCs/>
        </w:rPr>
        <w:t xml:space="preserve"> – </w:t>
      </w:r>
      <w:r w:rsidR="00735D23" w:rsidRPr="00C72285">
        <w:rPr>
          <w:iCs/>
        </w:rPr>
        <w:t>HP Autonomy</w:t>
      </w:r>
      <w:r w:rsidR="003B7476" w:rsidRPr="00C72285">
        <w:rPr>
          <w:iCs/>
        </w:rPr>
        <w:t>: Data backup,</w:t>
      </w:r>
      <w:r w:rsidR="00735D23" w:rsidRPr="00C72285">
        <w:rPr>
          <w:iCs/>
        </w:rPr>
        <w:t xml:space="preserve"> </w:t>
      </w:r>
      <w:r w:rsidR="00005480" w:rsidRPr="00C72285">
        <w:rPr>
          <w:iCs/>
        </w:rPr>
        <w:t xml:space="preserve">120 Turnpike Rd, </w:t>
      </w:r>
      <w:r w:rsidR="008F50CF" w:rsidRPr="00C72285">
        <w:rPr>
          <w:iCs/>
        </w:rPr>
        <w:t>Southborough MA 01772; (508) 808-</w:t>
      </w:r>
      <w:r w:rsidR="00970B7C" w:rsidRPr="00C72285">
        <w:rPr>
          <w:iCs/>
        </w:rPr>
        <w:t>7489,</w:t>
      </w:r>
      <w:r w:rsidR="008F50CF" w:rsidRPr="00C72285">
        <w:rPr>
          <w:iCs/>
        </w:rPr>
        <w:t xml:space="preserve"> </w:t>
      </w:r>
      <w:r w:rsidR="00970B7C" w:rsidRPr="00C72285">
        <w:rPr>
          <w:iCs/>
        </w:rPr>
        <w:t>(800) 638-5518,</w:t>
      </w:r>
      <w:r w:rsidR="00735D23" w:rsidRPr="00C72285">
        <w:rPr>
          <w:iCs/>
        </w:rPr>
        <w:t xml:space="preserve"> (855) 288-6778, </w:t>
      </w:r>
      <w:hyperlink r:id="rId129" w:history="1">
        <w:r w:rsidR="003B7476" w:rsidRPr="00C72285">
          <w:rPr>
            <w:rStyle w:val="Hyperlink"/>
            <w:szCs w:val="24"/>
            <w:shd w:val="clear" w:color="auto" w:fill="FFFFFF"/>
          </w:rPr>
          <w:t>https://livevaultservice.livevault.com/Account/Login</w:t>
        </w:r>
      </w:hyperlink>
      <w:r w:rsidR="003B7476" w:rsidRPr="00C72285">
        <w:rPr>
          <w:color w:val="0000FF"/>
          <w:szCs w:val="24"/>
          <w:shd w:val="clear" w:color="auto" w:fill="FFFFFF"/>
        </w:rPr>
        <w:t xml:space="preserve">  </w:t>
      </w:r>
    </w:p>
    <w:p w14:paraId="2FB63243" w14:textId="77777777" w:rsidR="003B7476" w:rsidRPr="00353B16" w:rsidRDefault="003B7476" w:rsidP="003B7476">
      <w:pPr>
        <w:pStyle w:val="BodyText"/>
        <w:spacing w:before="0" w:after="0"/>
        <w:ind w:left="840" w:firstLine="720"/>
        <w:rPr>
          <w:iCs/>
        </w:rPr>
      </w:pPr>
      <w:r w:rsidRPr="00353B16">
        <w:rPr>
          <w:i/>
          <w:iCs/>
          <w:sz w:val="18"/>
          <w:szCs w:val="18"/>
        </w:rPr>
        <w:t>(Autonomy bought Iron Mountain Digital and HP bought Autonomy)</w:t>
      </w:r>
    </w:p>
    <w:p w14:paraId="7BB30350" w14:textId="77777777" w:rsidR="007906A4" w:rsidRPr="002379C8" w:rsidRDefault="00D6319C" w:rsidP="003B7476">
      <w:pPr>
        <w:pStyle w:val="BodyText"/>
        <w:spacing w:before="0" w:after="0"/>
        <w:ind w:left="1560"/>
        <w:jc w:val="left"/>
        <w:rPr>
          <w:iCs/>
        </w:rPr>
      </w:pPr>
      <w:hyperlink r:id="rId130" w:history="1">
        <w:r w:rsidR="003B7476" w:rsidRPr="00E34A84">
          <w:rPr>
            <w:rStyle w:val="Hyperlink"/>
            <w:iCs/>
          </w:rPr>
          <w:t>nils.hansen@autonomy.com</w:t>
        </w:r>
      </w:hyperlink>
      <w:r w:rsidR="00735D23" w:rsidRPr="002379C8">
        <w:rPr>
          <w:iCs/>
        </w:rPr>
        <w:t xml:space="preserve"> or </w:t>
      </w:r>
      <w:hyperlink r:id="rId131" w:history="1">
        <w:r w:rsidR="00735D23" w:rsidRPr="002379C8">
          <w:rPr>
            <w:rStyle w:val="Hyperlink"/>
            <w:iCs/>
          </w:rPr>
          <w:t>livevaultsupport@hp.com</w:t>
        </w:r>
      </w:hyperlink>
      <w:r w:rsidR="00DD2F96" w:rsidRPr="002379C8">
        <w:rPr>
          <w:iCs/>
        </w:rPr>
        <w:t>.</w:t>
      </w:r>
    </w:p>
    <w:p w14:paraId="1D92FF23" w14:textId="77777777" w:rsidR="007906A4" w:rsidRDefault="007906A4" w:rsidP="007906A4">
      <w:pPr>
        <w:pStyle w:val="BodyText"/>
        <w:spacing w:before="0" w:after="0"/>
        <w:ind w:left="1200" w:firstLine="240"/>
        <w:rPr>
          <w:iCs/>
          <w:color w:val="FF0000"/>
        </w:rPr>
      </w:pPr>
    </w:p>
    <w:p w14:paraId="2B52AAEC" w14:textId="77777777" w:rsidR="007906A4" w:rsidRDefault="007906A4" w:rsidP="001B5843">
      <w:pPr>
        <w:pStyle w:val="BodyText"/>
        <w:numPr>
          <w:ilvl w:val="0"/>
          <w:numId w:val="22"/>
        </w:numPr>
        <w:spacing w:before="0" w:after="0"/>
        <w:jc w:val="left"/>
        <w:rPr>
          <w:iCs/>
        </w:rPr>
      </w:pPr>
      <w:bookmarkStart w:id="329" w:name="_Hlk57122794"/>
      <w:r w:rsidRPr="008D2122">
        <w:rPr>
          <w:b/>
          <w:bCs/>
          <w:iCs/>
        </w:rPr>
        <w:t>Ir</w:t>
      </w:r>
      <w:r w:rsidR="00C13FF5" w:rsidRPr="008D2122">
        <w:rPr>
          <w:b/>
          <w:bCs/>
          <w:iCs/>
        </w:rPr>
        <w:t>on Mountain</w:t>
      </w:r>
      <w:r w:rsidR="00477718" w:rsidRPr="007906A4">
        <w:rPr>
          <w:iCs/>
        </w:rPr>
        <w:t xml:space="preserve"> – Shredding: </w:t>
      </w:r>
      <w:r w:rsidR="00C13FF5" w:rsidRPr="007906A4">
        <w:rPr>
          <w:iCs/>
        </w:rPr>
        <w:t xml:space="preserve"> </w:t>
      </w:r>
      <w:r w:rsidR="00742B20" w:rsidRPr="007906A4">
        <w:rPr>
          <w:iCs/>
        </w:rPr>
        <w:t>5249 Glenmont Houston TX 77081</w:t>
      </w:r>
      <w:r w:rsidR="006E1355" w:rsidRPr="007906A4">
        <w:rPr>
          <w:iCs/>
        </w:rPr>
        <w:t xml:space="preserve">; </w:t>
      </w:r>
      <w:r w:rsidR="00742B20" w:rsidRPr="007906A4">
        <w:rPr>
          <w:iCs/>
        </w:rPr>
        <w:t>8</w:t>
      </w:r>
      <w:r w:rsidR="00423701" w:rsidRPr="007906A4">
        <w:rPr>
          <w:iCs/>
        </w:rPr>
        <w:t>00-</w:t>
      </w:r>
      <w:r w:rsidR="00742B20" w:rsidRPr="007906A4">
        <w:rPr>
          <w:iCs/>
        </w:rPr>
        <w:t>9</w:t>
      </w:r>
      <w:r w:rsidR="00423701" w:rsidRPr="007906A4">
        <w:rPr>
          <w:iCs/>
        </w:rPr>
        <w:t>34</w:t>
      </w:r>
      <w:r w:rsidR="00742B20" w:rsidRPr="007906A4">
        <w:rPr>
          <w:iCs/>
        </w:rPr>
        <w:t>-</w:t>
      </w:r>
      <w:r w:rsidR="00423701" w:rsidRPr="007906A4">
        <w:rPr>
          <w:iCs/>
        </w:rPr>
        <w:t>3453</w:t>
      </w:r>
      <w:r w:rsidR="00E87775" w:rsidRPr="007906A4">
        <w:rPr>
          <w:iCs/>
        </w:rPr>
        <w:t>, Fax</w:t>
      </w:r>
      <w:r w:rsidR="00477718" w:rsidRPr="007906A4">
        <w:rPr>
          <w:iCs/>
        </w:rPr>
        <w:t># 281-970-0144, Customer# 4041X</w:t>
      </w:r>
      <w:r w:rsidR="006E1355" w:rsidRPr="007906A4">
        <w:rPr>
          <w:iCs/>
        </w:rPr>
        <w:t>.</w:t>
      </w:r>
      <w:r w:rsidRPr="007906A4">
        <w:rPr>
          <w:iCs/>
        </w:rPr>
        <w:t xml:space="preserve"> </w:t>
      </w:r>
    </w:p>
    <w:bookmarkEnd w:id="329"/>
    <w:p w14:paraId="1D73E4F8" w14:textId="77777777" w:rsidR="007906A4" w:rsidRPr="001206AA" w:rsidRDefault="007906A4" w:rsidP="001206AA">
      <w:pPr>
        <w:rPr>
          <w:szCs w:val="24"/>
        </w:rPr>
      </w:pPr>
    </w:p>
    <w:p w14:paraId="0223D1A5" w14:textId="71E71033" w:rsidR="007906A4" w:rsidRPr="007906A4" w:rsidRDefault="005D6392" w:rsidP="001B5843">
      <w:pPr>
        <w:pStyle w:val="BodyText"/>
        <w:numPr>
          <w:ilvl w:val="0"/>
          <w:numId w:val="22"/>
        </w:numPr>
        <w:spacing w:before="0" w:after="0"/>
        <w:jc w:val="left"/>
      </w:pPr>
      <w:r w:rsidRPr="008D2122">
        <w:rPr>
          <w:b/>
          <w:bCs/>
          <w:szCs w:val="24"/>
        </w:rPr>
        <w:t>Harper &amp; Pearson Company, P.C</w:t>
      </w:r>
      <w:r w:rsidRPr="007906A4">
        <w:rPr>
          <w:szCs w:val="24"/>
        </w:rPr>
        <w:t>.</w:t>
      </w:r>
      <w:r w:rsidR="00742F39">
        <w:rPr>
          <w:szCs w:val="24"/>
        </w:rPr>
        <w:t xml:space="preserve">: </w:t>
      </w:r>
      <w:r w:rsidRPr="007906A4">
        <w:rPr>
          <w:szCs w:val="24"/>
        </w:rPr>
        <w:t xml:space="preserve"> </w:t>
      </w:r>
      <w:r w:rsidR="00742F39" w:rsidRPr="007906A4">
        <w:rPr>
          <w:szCs w:val="24"/>
        </w:rPr>
        <w:t xml:space="preserve">PCAOB member for annual financial audit </w:t>
      </w:r>
      <w:r w:rsidRPr="007906A4">
        <w:rPr>
          <w:szCs w:val="24"/>
        </w:rPr>
        <w:t xml:space="preserve">– </w:t>
      </w:r>
      <w:r w:rsidR="0072783B" w:rsidRPr="007906A4">
        <w:rPr>
          <w:szCs w:val="24"/>
        </w:rPr>
        <w:t xml:space="preserve">Steve Palmerton, </w:t>
      </w:r>
      <w:r w:rsidRPr="007906A4">
        <w:rPr>
          <w:szCs w:val="24"/>
        </w:rPr>
        <w:t>One Riverway Suite 1000, Houston, Texas  77056-1973</w:t>
      </w:r>
      <w:r w:rsidR="0072783B" w:rsidRPr="007906A4">
        <w:rPr>
          <w:szCs w:val="24"/>
        </w:rPr>
        <w:t xml:space="preserve">; 713-622-2310;  Fax: 713-579-2444; </w:t>
      </w:r>
      <w:hyperlink r:id="rId132" w:history="1">
        <w:r w:rsidR="0072783B" w:rsidRPr="007906A4">
          <w:rPr>
            <w:rStyle w:val="Hyperlink"/>
            <w:szCs w:val="24"/>
          </w:rPr>
          <w:t>spalmerton@harperpearson.com</w:t>
        </w:r>
      </w:hyperlink>
      <w:r w:rsidR="002D7D32" w:rsidRPr="007906A4">
        <w:rPr>
          <w:color w:val="FF0000"/>
          <w:szCs w:val="24"/>
        </w:rPr>
        <w:t>.</w:t>
      </w:r>
      <w:r w:rsidR="007906A4" w:rsidRPr="007906A4">
        <w:rPr>
          <w:color w:val="FF0000"/>
          <w:szCs w:val="24"/>
        </w:rPr>
        <w:t xml:space="preserve"> </w:t>
      </w:r>
    </w:p>
    <w:p w14:paraId="332E485C" w14:textId="77777777" w:rsidR="0034022D" w:rsidRPr="0052373D" w:rsidRDefault="0034022D" w:rsidP="0052373D">
      <w:pPr>
        <w:pStyle w:val="BodyText"/>
        <w:spacing w:before="0" w:after="0"/>
        <w:jc w:val="left"/>
        <w:rPr>
          <w:color w:val="FF0000"/>
        </w:rPr>
      </w:pPr>
    </w:p>
    <w:p w14:paraId="119ACBB7" w14:textId="243A50AD" w:rsidR="007906A4" w:rsidRPr="008A33FB" w:rsidRDefault="00D007C4" w:rsidP="001B5843">
      <w:pPr>
        <w:pStyle w:val="BodyText"/>
        <w:numPr>
          <w:ilvl w:val="0"/>
          <w:numId w:val="22"/>
        </w:numPr>
        <w:spacing w:before="0" w:after="0"/>
        <w:jc w:val="left"/>
        <w:rPr>
          <w:szCs w:val="24"/>
        </w:rPr>
      </w:pPr>
      <w:r w:rsidRPr="008D2122">
        <w:rPr>
          <w:b/>
          <w:bCs/>
        </w:rPr>
        <w:t>STAMP Signature Guarantee Program</w:t>
      </w:r>
      <w:r w:rsidRPr="008F3D2A">
        <w:t>: (845) 620-9300, FAX: (845) 620-9340</w:t>
      </w:r>
      <w:r w:rsidR="00BC6995" w:rsidRPr="008F3D2A">
        <w:t>, ID</w:t>
      </w:r>
      <w:r w:rsidRPr="008F3D2A">
        <w:t xml:space="preserve"># </w:t>
      </w:r>
      <w:r w:rsidR="00CA7EAB" w:rsidRPr="002379C8">
        <w:t>D</w:t>
      </w:r>
      <w:r w:rsidRPr="002379C8">
        <w:t xml:space="preserve">0096768, Location ID# </w:t>
      </w:r>
      <w:r w:rsidR="00CA7EAB" w:rsidRPr="002379C8">
        <w:t>07</w:t>
      </w:r>
      <w:r w:rsidR="00E847BE">
        <w:t>,</w:t>
      </w:r>
      <w:r w:rsidR="00F26D4D">
        <w:t xml:space="preserve"> </w:t>
      </w:r>
      <w:r w:rsidRPr="002379C8">
        <w:t>0</w:t>
      </w:r>
      <w:r w:rsidR="00CA7EAB" w:rsidRPr="002379C8">
        <w:t>8</w:t>
      </w:r>
      <w:r w:rsidRPr="002379C8">
        <w:t xml:space="preserve">, </w:t>
      </w:r>
      <w:r w:rsidRPr="008F3D2A">
        <w:t xml:space="preserve">Corporate Key: 20x5vg, certification and CE – </w:t>
      </w:r>
      <w:hyperlink r:id="rId133" w:history="1">
        <w:r w:rsidRPr="002379C8">
          <w:rPr>
            <w:rStyle w:val="Hyperlink"/>
          </w:rPr>
          <w:t>www.Stampesource.com</w:t>
        </w:r>
      </w:hyperlink>
      <w:r w:rsidRPr="008F3D2A">
        <w:t>.  Program Administrator- Ke</w:t>
      </w:r>
      <w:r w:rsidR="0034022D" w:rsidRPr="008F3D2A">
        <w:t>m</w:t>
      </w:r>
      <w:r w:rsidRPr="008F3D2A">
        <w:t>ark Financial</w:t>
      </w:r>
      <w:r w:rsidR="0034022D" w:rsidRPr="008F3D2A">
        <w:t xml:space="preserve"> Services</w:t>
      </w:r>
      <w:r w:rsidRPr="008F3D2A">
        <w:t xml:space="preserve"> -</w:t>
      </w:r>
      <w:r w:rsidR="0034022D" w:rsidRPr="008F3D2A">
        <w:t xml:space="preserve"> </w:t>
      </w:r>
      <w:r w:rsidR="0034022D" w:rsidRPr="008F3D2A">
        <w:rPr>
          <w:szCs w:val="24"/>
        </w:rPr>
        <w:t xml:space="preserve">One Blue Hill Plaza, 11th Floor, Pearl River, NY 10965-8686, Phone: 845-620-9300,  Fax: 845-620-9340,  E-Mail: </w:t>
      </w:r>
      <w:hyperlink r:id="rId134" w:history="1">
        <w:r w:rsidR="0034022D" w:rsidRPr="002379C8">
          <w:rPr>
            <w:color w:val="0000FF"/>
            <w:szCs w:val="24"/>
            <w:u w:val="single"/>
          </w:rPr>
          <w:t>ContactKFS@kemark.com</w:t>
        </w:r>
      </w:hyperlink>
      <w:r w:rsidR="0034022D" w:rsidRPr="008F3D2A">
        <w:rPr>
          <w:szCs w:val="24"/>
        </w:rPr>
        <w:t xml:space="preserve">, website- </w:t>
      </w:r>
      <w:hyperlink r:id="rId135" w:history="1">
        <w:r w:rsidRPr="002379C8">
          <w:rPr>
            <w:rStyle w:val="Hyperlink"/>
          </w:rPr>
          <w:t>http://www.kemarkfinancial.com</w:t>
        </w:r>
      </w:hyperlink>
      <w:r w:rsidR="0034022D" w:rsidRPr="008F3D2A">
        <w:t xml:space="preserve">. </w:t>
      </w:r>
    </w:p>
    <w:p w14:paraId="121EF446" w14:textId="77777777" w:rsidR="008A33FB" w:rsidRDefault="008A33FB" w:rsidP="008A33FB">
      <w:pPr>
        <w:pStyle w:val="ListParagraph"/>
        <w:rPr>
          <w:szCs w:val="24"/>
        </w:rPr>
      </w:pPr>
    </w:p>
    <w:p w14:paraId="545FAFE2" w14:textId="451001EF" w:rsidR="008A33FB" w:rsidRPr="000579F8" w:rsidRDefault="0043359E" w:rsidP="001B5843">
      <w:pPr>
        <w:pStyle w:val="BodyText"/>
        <w:numPr>
          <w:ilvl w:val="0"/>
          <w:numId w:val="22"/>
        </w:numPr>
        <w:spacing w:before="0" w:after="0"/>
        <w:jc w:val="left"/>
        <w:rPr>
          <w:szCs w:val="24"/>
        </w:rPr>
      </w:pPr>
      <w:r w:rsidRPr="0043359E">
        <w:rPr>
          <w:b/>
          <w:bCs/>
          <w:color w:val="FF0000"/>
          <w:szCs w:val="24"/>
        </w:rPr>
        <w:t>RIA</w:t>
      </w:r>
      <w:r w:rsidR="008A33FB" w:rsidRPr="000579F8">
        <w:rPr>
          <w:szCs w:val="24"/>
        </w:rPr>
        <w:t xml:space="preserve">: </w:t>
      </w:r>
    </w:p>
    <w:p w14:paraId="75EB60AB" w14:textId="77777777" w:rsidR="008A33FB" w:rsidRPr="000579F8" w:rsidRDefault="008A33FB" w:rsidP="008A33FB">
      <w:pPr>
        <w:pStyle w:val="ListParagraph"/>
        <w:rPr>
          <w:szCs w:val="24"/>
        </w:rPr>
      </w:pPr>
    </w:p>
    <w:p w14:paraId="4415BFBF" w14:textId="7E25C9EB" w:rsidR="00CC4776" w:rsidRPr="000579F8" w:rsidRDefault="008A33FB" w:rsidP="00835AA5">
      <w:pPr>
        <w:pStyle w:val="BodyText"/>
        <w:numPr>
          <w:ilvl w:val="1"/>
          <w:numId w:val="61"/>
        </w:numPr>
        <w:spacing w:before="0" w:after="0"/>
        <w:ind w:left="1890" w:hanging="180"/>
        <w:jc w:val="left"/>
        <w:rPr>
          <w:szCs w:val="24"/>
        </w:rPr>
      </w:pPr>
      <w:r w:rsidRPr="000579F8">
        <w:rPr>
          <w:b/>
          <w:bCs/>
          <w:szCs w:val="24"/>
        </w:rPr>
        <w:t>Schwab</w:t>
      </w:r>
      <w:r w:rsidRPr="000579F8">
        <w:rPr>
          <w:szCs w:val="24"/>
        </w:rPr>
        <w:t xml:space="preserve"> – </w:t>
      </w:r>
      <w:r w:rsidR="006C580C" w:rsidRPr="000579F8">
        <w:rPr>
          <w:szCs w:val="24"/>
        </w:rPr>
        <w:t xml:space="preserve">Custodian - </w:t>
      </w:r>
      <w:r w:rsidR="006C78D1" w:rsidRPr="000579F8">
        <w:rPr>
          <w:szCs w:val="24"/>
        </w:rPr>
        <w:t xml:space="preserve">Texoma Team: (877) 738-6813, </w:t>
      </w:r>
      <w:r w:rsidR="008345E5" w:rsidRPr="000579F8">
        <w:rPr>
          <w:szCs w:val="24"/>
        </w:rPr>
        <w:t xml:space="preserve">Schwab Alliance (Clients): 800-515-2157, </w:t>
      </w:r>
      <w:r w:rsidR="006C78D1" w:rsidRPr="000579F8">
        <w:rPr>
          <w:szCs w:val="24"/>
        </w:rPr>
        <w:t>Relationship Mgr</w:t>
      </w:r>
      <w:r w:rsidR="00672DAC">
        <w:rPr>
          <w:szCs w:val="24"/>
        </w:rPr>
        <w:t>.</w:t>
      </w:r>
      <w:r w:rsidR="006C78D1" w:rsidRPr="000579F8">
        <w:rPr>
          <w:szCs w:val="24"/>
        </w:rPr>
        <w:t xml:space="preserve">: </w:t>
      </w:r>
      <w:r w:rsidRPr="000579F8">
        <w:rPr>
          <w:szCs w:val="24"/>
        </w:rPr>
        <w:t xml:space="preserve">Susanna Schlangen: </w:t>
      </w:r>
      <w:r w:rsidR="008345E5" w:rsidRPr="000579F8">
        <w:rPr>
          <w:szCs w:val="24"/>
        </w:rPr>
        <w:t xml:space="preserve">(713) 212-3129, </w:t>
      </w:r>
      <w:hyperlink r:id="rId136" w:history="1">
        <w:r w:rsidR="005556C3" w:rsidRPr="00861DEF">
          <w:rPr>
            <w:rStyle w:val="Hyperlink"/>
            <w:szCs w:val="24"/>
          </w:rPr>
          <w:t>Susanna.Schlangen@Schwab.com</w:t>
        </w:r>
      </w:hyperlink>
      <w:r w:rsidR="006C78D1" w:rsidRPr="000579F8">
        <w:rPr>
          <w:szCs w:val="24"/>
        </w:rPr>
        <w:t xml:space="preserve">, </w:t>
      </w:r>
      <w:r w:rsidRPr="000579F8">
        <w:rPr>
          <w:szCs w:val="24"/>
        </w:rPr>
        <w:t>1958 Summit Park Dr Ste 400, Orlando, FL 32810-5938</w:t>
      </w:r>
      <w:r w:rsidR="008345E5" w:rsidRPr="000579F8">
        <w:rPr>
          <w:szCs w:val="24"/>
        </w:rPr>
        <w:t xml:space="preserve">, Advisor Site: </w:t>
      </w:r>
      <w:r w:rsidR="009F0B02">
        <w:fldChar w:fldCharType="begin"/>
      </w:r>
      <w:r w:rsidR="009F0B02">
        <w:instrText>HYPERLINK</w:instrText>
      </w:r>
      <w:r w:rsidR="009F0B02">
        <w:fldChar w:fldCharType="separate"/>
      </w:r>
      <w:r w:rsidR="009F0B02">
        <w:rPr>
          <w:b/>
          <w:bCs/>
        </w:rPr>
        <w:t>Error! Hyperlink reference not valid.</w:t>
      </w:r>
      <w:r w:rsidR="009F0B02">
        <w:rPr>
          <w:b/>
          <w:bCs/>
        </w:rPr>
        <w:fldChar w:fldCharType="end"/>
      </w:r>
      <w:r w:rsidR="00CC4776" w:rsidRPr="000579F8">
        <w:rPr>
          <w:szCs w:val="24"/>
        </w:rPr>
        <w:t>.</w:t>
      </w:r>
    </w:p>
    <w:p w14:paraId="44291C51" w14:textId="77777777" w:rsidR="00105689" w:rsidRPr="000579F8" w:rsidRDefault="00105689" w:rsidP="00835AA5">
      <w:pPr>
        <w:pStyle w:val="BodyText"/>
        <w:spacing w:before="0" w:after="0"/>
        <w:ind w:left="1890"/>
        <w:jc w:val="left"/>
        <w:rPr>
          <w:szCs w:val="24"/>
        </w:rPr>
      </w:pPr>
    </w:p>
    <w:p w14:paraId="233A9422" w14:textId="3BEB2F8F" w:rsidR="00105689" w:rsidRPr="000579F8" w:rsidRDefault="00105689" w:rsidP="00835AA5">
      <w:pPr>
        <w:pStyle w:val="BodyText"/>
        <w:numPr>
          <w:ilvl w:val="1"/>
          <w:numId w:val="61"/>
        </w:numPr>
        <w:spacing w:before="0" w:after="0"/>
        <w:ind w:left="1890" w:hanging="180"/>
        <w:jc w:val="left"/>
        <w:rPr>
          <w:szCs w:val="24"/>
        </w:rPr>
      </w:pPr>
      <w:r w:rsidRPr="000579F8">
        <w:rPr>
          <w:b/>
          <w:bCs/>
          <w:szCs w:val="24"/>
        </w:rPr>
        <w:t xml:space="preserve">Nationwide </w:t>
      </w:r>
      <w:r w:rsidRPr="000579F8">
        <w:rPr>
          <w:szCs w:val="24"/>
        </w:rPr>
        <w:t xml:space="preserve">– VA Custodian - (866) 667-0561, 10350 Ormsby Park Place, Louisville, KY  40223, </w:t>
      </w:r>
      <w:hyperlink r:id="rId137" w:history="1">
        <w:r w:rsidR="005556C3" w:rsidRPr="00861DEF">
          <w:rPr>
            <w:rStyle w:val="Hyperlink"/>
            <w:szCs w:val="24"/>
          </w:rPr>
          <w:t>https://www.nationwideadvisory.com/</w:t>
        </w:r>
      </w:hyperlink>
      <w:r w:rsidRPr="000579F8">
        <w:rPr>
          <w:szCs w:val="24"/>
        </w:rPr>
        <w:t>.</w:t>
      </w:r>
    </w:p>
    <w:p w14:paraId="181F7D90" w14:textId="77777777" w:rsidR="00477963" w:rsidRPr="000579F8" w:rsidRDefault="00477963" w:rsidP="00835AA5">
      <w:pPr>
        <w:pStyle w:val="BodyText"/>
        <w:spacing w:before="0" w:after="0"/>
        <w:ind w:left="1890"/>
        <w:jc w:val="left"/>
        <w:rPr>
          <w:szCs w:val="24"/>
        </w:rPr>
      </w:pPr>
    </w:p>
    <w:p w14:paraId="196C409C" w14:textId="0E430F8E" w:rsidR="00CA5452" w:rsidRPr="00F408A1" w:rsidRDefault="00CC4776" w:rsidP="00C00F7C">
      <w:pPr>
        <w:pStyle w:val="BodyText"/>
        <w:numPr>
          <w:ilvl w:val="1"/>
          <w:numId w:val="61"/>
        </w:numPr>
        <w:spacing w:before="0" w:after="0"/>
        <w:ind w:left="1890" w:hanging="180"/>
        <w:jc w:val="left"/>
        <w:rPr>
          <w:szCs w:val="24"/>
        </w:rPr>
      </w:pPr>
      <w:r w:rsidRPr="00F408A1">
        <w:rPr>
          <w:b/>
          <w:bCs/>
          <w:szCs w:val="24"/>
        </w:rPr>
        <w:t xml:space="preserve">Black Diamond </w:t>
      </w:r>
      <w:r w:rsidRPr="00F408A1">
        <w:rPr>
          <w:szCs w:val="24"/>
        </w:rPr>
        <w:t xml:space="preserve">– </w:t>
      </w:r>
      <w:r w:rsidR="006C580C" w:rsidRPr="00F408A1">
        <w:rPr>
          <w:szCs w:val="24"/>
        </w:rPr>
        <w:t xml:space="preserve">Client Reporting/ Billing - </w:t>
      </w:r>
      <w:r w:rsidRPr="00F408A1">
        <w:rPr>
          <w:szCs w:val="24"/>
        </w:rPr>
        <w:t xml:space="preserve">Contact: Jason Crowe, (904) 241-2444, 10151 Deerwood Park Boulevard, Building 400, Suite 300, Jacksonville, FL 32256, </w:t>
      </w:r>
      <w:r w:rsidR="006C580C" w:rsidRPr="00F408A1">
        <w:rPr>
          <w:szCs w:val="24"/>
        </w:rPr>
        <w:t xml:space="preserve">Advisor Access: </w:t>
      </w:r>
      <w:r w:rsidR="009F0B02" w:rsidRPr="00F408A1">
        <w:fldChar w:fldCharType="begin"/>
      </w:r>
      <w:r w:rsidR="009F0B02">
        <w:instrText>HYPERLINK</w:instrText>
      </w:r>
      <w:r w:rsidR="009F0B02" w:rsidRPr="00F408A1">
        <w:fldChar w:fldCharType="separate"/>
      </w:r>
      <w:r w:rsidR="009F0B02" w:rsidRPr="00F408A1">
        <w:rPr>
          <w:b/>
          <w:bCs/>
        </w:rPr>
        <w:t>Error! Hyperlink reference not valid.</w:t>
      </w:r>
      <w:r w:rsidR="009F0B02" w:rsidRPr="00F408A1">
        <w:rPr>
          <w:b/>
          <w:bCs/>
        </w:rPr>
        <w:fldChar w:fldCharType="end"/>
      </w:r>
      <w:r w:rsidR="002F01BE" w:rsidRPr="00F408A1">
        <w:rPr>
          <w:szCs w:val="24"/>
        </w:rPr>
        <w:t xml:space="preserve"> </w:t>
      </w:r>
    </w:p>
    <w:p w14:paraId="7A85F13C" w14:textId="77777777" w:rsidR="006A1E64" w:rsidRPr="000579F8" w:rsidRDefault="006A1E64">
      <w:pPr>
        <w:pStyle w:val="BodyText"/>
      </w:pPr>
    </w:p>
    <w:p w14:paraId="7F848F1E" w14:textId="77777777" w:rsidR="000C099C" w:rsidRDefault="000C099C" w:rsidP="00CE1348">
      <w:pPr>
        <w:pStyle w:val="BodyText"/>
        <w:ind w:left="1170"/>
      </w:pPr>
      <w:r>
        <w:rPr>
          <w:b/>
          <w:bCs/>
        </w:rPr>
        <w:t>Clients</w:t>
      </w:r>
      <w:r>
        <w:t>:  Client accounts are under custody of either:</w:t>
      </w:r>
    </w:p>
    <w:p w14:paraId="1B7369B6" w14:textId="2B16EA48" w:rsidR="000C099C" w:rsidRDefault="00CF5F8B" w:rsidP="00AB1A01">
      <w:pPr>
        <w:pStyle w:val="BodyText"/>
        <w:numPr>
          <w:ilvl w:val="0"/>
          <w:numId w:val="23"/>
        </w:numPr>
        <w:ind w:hanging="240"/>
        <w:jc w:val="left"/>
      </w:pPr>
      <w:r w:rsidRPr="00EA0A5B">
        <w:t>HT</w:t>
      </w:r>
      <w:r w:rsidR="000C099C" w:rsidRPr="00EA0A5B">
        <w:t>S</w:t>
      </w:r>
      <w:r w:rsidR="000C099C">
        <w:t xml:space="preserve">: </w:t>
      </w:r>
      <w:r w:rsidR="00A24760" w:rsidRPr="00A24760">
        <w:rPr>
          <w:color w:val="FF0000"/>
        </w:rPr>
        <w:t>717 N Harwood Dr</w:t>
      </w:r>
      <w:r w:rsidR="000C099C">
        <w:t xml:space="preserve">, Dallas TX 75270, (214) 859-1800, </w:t>
      </w:r>
      <w:r w:rsidR="00A24760" w:rsidRPr="00A24760">
        <w:rPr>
          <w:color w:val="FF0000"/>
        </w:rPr>
        <w:t>carolyn.segura</w:t>
      </w:r>
      <w:r w:rsidR="00CA2EC0" w:rsidRPr="00CA2EC0">
        <w:t>@hilltopsecurities.com</w:t>
      </w:r>
      <w:r w:rsidR="000C099C">
        <w:t xml:space="preserve">.   Website </w:t>
      </w:r>
      <w:hyperlink r:id="rId138" w:history="1">
        <w:r w:rsidR="00CA2EC0" w:rsidRPr="00EA239A">
          <w:rPr>
            <w:rStyle w:val="Hyperlink"/>
          </w:rPr>
          <w:t>www.hilltopsecurities.com</w:t>
        </w:r>
      </w:hyperlink>
      <w:r w:rsidR="00AB1A01">
        <w:t>.</w:t>
      </w:r>
    </w:p>
    <w:p w14:paraId="35AB2FAD" w14:textId="77777777" w:rsidR="000C099C" w:rsidRDefault="000C099C" w:rsidP="00216F83">
      <w:pPr>
        <w:pStyle w:val="BodyText"/>
        <w:numPr>
          <w:ilvl w:val="0"/>
          <w:numId w:val="23"/>
        </w:numPr>
        <w:ind w:hanging="240"/>
        <w:jc w:val="left"/>
      </w:pPr>
      <w:r>
        <w:t>Outside Investments: placed directly with mutual fund or insurance companies.</w:t>
      </w:r>
    </w:p>
    <w:p w14:paraId="50E4194A" w14:textId="3BF20FAC" w:rsidR="00DE270E" w:rsidRDefault="000C099C" w:rsidP="00DE270E">
      <w:pPr>
        <w:pStyle w:val="BodyText"/>
        <w:spacing w:before="0" w:after="0"/>
        <w:ind w:left="1170"/>
        <w:jc w:val="left"/>
      </w:pPr>
      <w:r>
        <w:t xml:space="preserve">Custodians are responsible for daily account operations, </w:t>
      </w:r>
      <w:r w:rsidR="007E045B">
        <w:t>confirmations, and statements (m</w:t>
      </w:r>
      <w:r w:rsidR="00726454">
        <w:t xml:space="preserve">ost statements available from the respective websites, </w:t>
      </w:r>
      <w:r w:rsidR="00F65299" w:rsidRPr="005556C3">
        <w:t>HT</w:t>
      </w:r>
      <w:r w:rsidR="00726454">
        <w:t xml:space="preserve">S, and </w:t>
      </w:r>
      <w:hyperlink r:id="rId139" w:history="1">
        <w:r w:rsidR="00726454" w:rsidRPr="00C70BA9">
          <w:rPr>
            <w:rStyle w:val="Hyperlink"/>
          </w:rPr>
          <w:t>www.dstvision.com</w:t>
        </w:r>
      </w:hyperlink>
      <w:r w:rsidR="007E045B">
        <w:t>)</w:t>
      </w:r>
      <w:r w:rsidR="00726454">
        <w:t xml:space="preserve">. </w:t>
      </w:r>
    </w:p>
    <w:p w14:paraId="59AB02CD" w14:textId="77777777" w:rsidR="00DE270E" w:rsidRDefault="00DE270E" w:rsidP="00DE270E">
      <w:pPr>
        <w:pStyle w:val="BodyText"/>
        <w:spacing w:before="0" w:after="0"/>
        <w:ind w:left="1170"/>
        <w:jc w:val="left"/>
      </w:pPr>
    </w:p>
    <w:p w14:paraId="109757EE" w14:textId="77777777" w:rsidR="000C099C" w:rsidRDefault="000C099C" w:rsidP="00CE1348">
      <w:pPr>
        <w:pStyle w:val="BodyText"/>
        <w:tabs>
          <w:tab w:val="left" w:pos="1170"/>
        </w:tabs>
        <w:spacing w:before="0" w:after="0"/>
        <w:ind w:left="1350" w:hanging="180"/>
        <w:jc w:val="left"/>
      </w:pPr>
      <w:r>
        <w:rPr>
          <w:b/>
          <w:bCs/>
        </w:rPr>
        <w:t>Regulatory Agencies</w:t>
      </w:r>
      <w:r>
        <w:t>:</w:t>
      </w:r>
    </w:p>
    <w:p w14:paraId="1914F6B1" w14:textId="77777777" w:rsidR="000C099C" w:rsidRDefault="000C099C" w:rsidP="003E7B18">
      <w:pPr>
        <w:pStyle w:val="BodyText"/>
        <w:numPr>
          <w:ilvl w:val="0"/>
          <w:numId w:val="326"/>
        </w:numPr>
        <w:tabs>
          <w:tab w:val="left" w:pos="1170"/>
        </w:tabs>
        <w:jc w:val="left"/>
      </w:pPr>
      <w:r>
        <w:lastRenderedPageBreak/>
        <w:t xml:space="preserve">US Securities and Exchange Commission </w:t>
      </w:r>
      <w:r w:rsidR="008E2BBE">
        <w:t xml:space="preserve">(SEC)) </w:t>
      </w:r>
      <w:r>
        <w:t>–  File # 801-55551, 801 Cherry St #1900</w:t>
      </w:r>
      <w:r w:rsidR="00320B84">
        <w:t xml:space="preserve"> </w:t>
      </w:r>
      <w:r w:rsidR="00320B84" w:rsidRPr="00C21C75">
        <w:t>Unit 18</w:t>
      </w:r>
      <w:r w:rsidRPr="00C21C75">
        <w:t xml:space="preserve">, Fort Worth, Texas, (817) 978-3821, Fax (817) 978-4944; </w:t>
      </w:r>
      <w:r w:rsidR="00320B84" w:rsidRPr="00C21C75">
        <w:t>100 F St NE</w:t>
      </w:r>
      <w:r w:rsidRPr="00C21C75">
        <w:t>,</w:t>
      </w:r>
      <w:r>
        <w:t xml:space="preserve"> Washington DC 20549, (202) 942-8088, </w:t>
      </w:r>
      <w:hyperlink r:id="rId140" w:history="1">
        <w:r>
          <w:rPr>
            <w:rStyle w:val="Hyperlink"/>
          </w:rPr>
          <w:t>www.sec.gov</w:t>
        </w:r>
      </w:hyperlink>
      <w:r>
        <w:t>.</w:t>
      </w:r>
    </w:p>
    <w:p w14:paraId="5448A4BD" w14:textId="77777777" w:rsidR="000C099C" w:rsidRDefault="000C099C" w:rsidP="003E7B18">
      <w:pPr>
        <w:pStyle w:val="BodyText"/>
        <w:numPr>
          <w:ilvl w:val="0"/>
          <w:numId w:val="326"/>
        </w:numPr>
        <w:tabs>
          <w:tab w:val="left" w:pos="1170"/>
        </w:tabs>
        <w:jc w:val="left"/>
      </w:pPr>
      <w:r w:rsidRPr="003A0A7B">
        <w:t>Financial Industry Regulatory Authority (FINRA</w:t>
      </w:r>
      <w:r w:rsidR="00E07A92">
        <w:t>)</w:t>
      </w:r>
      <w:r>
        <w:t xml:space="preserve"> – 12801 N. Central Expwy # 1050, Dallas TX 75243, (972) 701-8554, Fax (972) 716-7646; 1390 Piccard Dr, Rockville MD 20850, (301) 590-6500, Fax (301) 590-6340. </w:t>
      </w:r>
      <w:hyperlink r:id="rId141" w:history="1">
        <w:r w:rsidR="00E07A92" w:rsidRPr="000A5FCD">
          <w:rPr>
            <w:rStyle w:val="Hyperlink"/>
          </w:rPr>
          <w:t>www.FINRA.org</w:t>
        </w:r>
      </w:hyperlink>
      <w:r>
        <w:t xml:space="preserve"> and</w:t>
      </w:r>
      <w:r w:rsidR="00D20E3A">
        <w:t xml:space="preserve"> </w:t>
      </w:r>
      <w:hyperlink r:id="rId142" w:history="1">
        <w:r w:rsidR="00D20E3A" w:rsidRPr="001E29BC">
          <w:rPr>
            <w:rStyle w:val="Hyperlink"/>
          </w:rPr>
          <w:t>https://firms.finra.org</w:t>
        </w:r>
      </w:hyperlink>
      <w:r>
        <w:t>.</w:t>
      </w:r>
      <w:r w:rsidR="00501377">
        <w:t xml:space="preserve">  </w:t>
      </w:r>
    </w:p>
    <w:p w14:paraId="01E4C898" w14:textId="7C6E4508" w:rsidR="00501377" w:rsidRPr="00DE270E" w:rsidRDefault="00501377" w:rsidP="008E2BBE">
      <w:pPr>
        <w:pStyle w:val="BodyText"/>
        <w:tabs>
          <w:tab w:val="left" w:pos="1170"/>
          <w:tab w:val="num" w:pos="1890"/>
        </w:tabs>
        <w:ind w:left="1890"/>
        <w:jc w:val="left"/>
        <w:rPr>
          <w:szCs w:val="24"/>
        </w:rPr>
      </w:pPr>
      <w:r w:rsidRPr="00DE270E">
        <w:t>Examining Team/</w:t>
      </w:r>
      <w:r w:rsidR="00A72159" w:rsidRPr="00DE270E">
        <w:t>Liaison</w:t>
      </w:r>
      <w:r w:rsidRPr="00DE270E">
        <w:t xml:space="preserve"> – New Orleans Office:  </w:t>
      </w:r>
      <w:r w:rsidR="003B7A90" w:rsidRPr="005556C3">
        <w:rPr>
          <w:rFonts w:cs="Calibri"/>
          <w:bCs/>
          <w:szCs w:val="24"/>
        </w:rPr>
        <w:t>Brady Perniciaro</w:t>
      </w:r>
      <w:r w:rsidRPr="005556C3">
        <w:t xml:space="preserve">, </w:t>
      </w:r>
      <w:r w:rsidRPr="005556C3">
        <w:rPr>
          <w:szCs w:val="24"/>
        </w:rPr>
        <w:t>504-412-24</w:t>
      </w:r>
      <w:r w:rsidR="003B7A90" w:rsidRPr="005556C3">
        <w:rPr>
          <w:szCs w:val="24"/>
        </w:rPr>
        <w:t>45</w:t>
      </w:r>
      <w:r w:rsidRPr="00DE270E">
        <w:rPr>
          <w:szCs w:val="24"/>
        </w:rPr>
        <w:t xml:space="preserve">,  </w:t>
      </w:r>
      <w:hyperlink r:id="rId143" w:history="1">
        <w:r w:rsidR="005556C3" w:rsidRPr="00861DEF">
          <w:rPr>
            <w:rStyle w:val="Hyperlink"/>
            <w:rFonts w:cs="Calibri"/>
            <w:szCs w:val="24"/>
          </w:rPr>
          <w:t>brady.perniciaro@finra.org</w:t>
        </w:r>
      </w:hyperlink>
      <w:r w:rsidRPr="00DE270E">
        <w:rPr>
          <w:szCs w:val="24"/>
        </w:rPr>
        <w:t>; 1100 Poydras Street, Energy Centre, Suite 850, New Orleans, LA 70163; T (504) 522-6527 | F (504) 581-3699</w:t>
      </w:r>
    </w:p>
    <w:p w14:paraId="40F03234" w14:textId="77777777" w:rsidR="00CB4403" w:rsidRDefault="00CB4403" w:rsidP="003E7B18">
      <w:pPr>
        <w:pStyle w:val="BodyText"/>
        <w:numPr>
          <w:ilvl w:val="0"/>
          <w:numId w:val="326"/>
        </w:numPr>
        <w:tabs>
          <w:tab w:val="left" w:pos="1170"/>
        </w:tabs>
        <w:jc w:val="left"/>
      </w:pPr>
      <w:r>
        <w:t xml:space="preserve">Municipal Securities Rulemaking Board (MSRB) – 1900 Duke Street Ste 600, Alexandria VA 22314, Main-(703) 797-6600,  Fax-797-6700 or Fax-Transaction Reporting-(703) 797-6706, </w:t>
      </w:r>
      <w:hyperlink r:id="rId144" w:history="1">
        <w:r w:rsidRPr="00C70BA9">
          <w:rPr>
            <w:rStyle w:val="Hyperlink"/>
          </w:rPr>
          <w:t>www.msrb.org</w:t>
        </w:r>
      </w:hyperlink>
      <w:r>
        <w:t xml:space="preserve">. </w:t>
      </w:r>
    </w:p>
    <w:p w14:paraId="59C2DD91" w14:textId="77777777" w:rsidR="000C099C" w:rsidRDefault="000C099C" w:rsidP="003E7B18">
      <w:pPr>
        <w:pStyle w:val="BodyText"/>
        <w:numPr>
          <w:ilvl w:val="0"/>
          <w:numId w:val="326"/>
        </w:numPr>
        <w:tabs>
          <w:tab w:val="left" w:pos="1170"/>
        </w:tabs>
        <w:jc w:val="left"/>
      </w:pPr>
      <w:r>
        <w:t xml:space="preserve">Texas State Securities Board:  File # 26417, 208 East 10th Street, 5th Floor, </w:t>
      </w:r>
      <w:r>
        <w:br/>
        <w:t xml:space="preserve">Austin, Texas 78701, (512) 305-8300, Fax: (512) 305-8310, </w:t>
      </w:r>
      <w:hyperlink r:id="rId145" w:history="1">
        <w:r>
          <w:rPr>
            <w:rStyle w:val="Hyperlink"/>
          </w:rPr>
          <w:t>www.ssb.state.tx.us</w:t>
        </w:r>
      </w:hyperlink>
      <w:r>
        <w:t>.</w:t>
      </w:r>
    </w:p>
    <w:p w14:paraId="23BAEB01" w14:textId="77777777" w:rsidR="00CB4403" w:rsidRDefault="00CB4403">
      <w:pPr>
        <w:pStyle w:val="BodyText"/>
        <w:tabs>
          <w:tab w:val="left" w:pos="1170"/>
          <w:tab w:val="num" w:pos="1530"/>
        </w:tabs>
        <w:ind w:left="1530" w:hanging="360"/>
        <w:jc w:val="left"/>
      </w:pPr>
    </w:p>
    <w:p w14:paraId="54D64B58" w14:textId="77777777" w:rsidR="000C099C" w:rsidRDefault="005A525A" w:rsidP="001A7509">
      <w:pPr>
        <w:pStyle w:val="Heading3"/>
      </w:pPr>
      <w:r>
        <w:t>1</w:t>
      </w:r>
      <w:r w:rsidR="00CD2210">
        <w:t>7</w:t>
      </w:r>
      <w:r>
        <w:t>.</w:t>
      </w:r>
      <w:r w:rsidR="001718B2">
        <w:t>7</w:t>
      </w:r>
      <w:r w:rsidR="006B12F1">
        <w:t xml:space="preserve">.2 </w:t>
      </w:r>
      <w:r w:rsidR="000C099C">
        <w:t>C</w:t>
      </w:r>
      <w:r>
        <w:t>O</w:t>
      </w:r>
      <w:r w:rsidR="000C099C">
        <w:t>NTINUITY TEAM</w:t>
      </w:r>
    </w:p>
    <w:p w14:paraId="3C1561D6" w14:textId="77777777" w:rsidR="000C099C" w:rsidRDefault="000C099C" w:rsidP="005A525A">
      <w:pPr>
        <w:pStyle w:val="BodyText"/>
        <w:tabs>
          <w:tab w:val="left" w:pos="0"/>
        </w:tabs>
        <w:spacing w:before="0" w:after="0"/>
        <w:ind w:left="270"/>
        <w:jc w:val="left"/>
      </w:pPr>
      <w:r>
        <w:t>In the event of any need for continuity plan, the Company has established the following teams to implement certain processes:</w:t>
      </w:r>
    </w:p>
    <w:p w14:paraId="1B5713AE" w14:textId="77777777" w:rsidR="00D20E3A" w:rsidRDefault="000C099C" w:rsidP="00216F83">
      <w:pPr>
        <w:pStyle w:val="BodyText"/>
        <w:numPr>
          <w:ilvl w:val="1"/>
          <w:numId w:val="23"/>
        </w:numPr>
        <w:tabs>
          <w:tab w:val="left" w:pos="360"/>
        </w:tabs>
        <w:jc w:val="left"/>
      </w:pPr>
      <w:r>
        <w:t xml:space="preserve">Senior Management:  Morris Monroe (MLM), Laura Hendricks (LMH) </w:t>
      </w:r>
    </w:p>
    <w:p w14:paraId="769AB1E1" w14:textId="1D95854A" w:rsidR="000C099C" w:rsidRDefault="000C099C" w:rsidP="00216F83">
      <w:pPr>
        <w:pStyle w:val="BodyText"/>
        <w:numPr>
          <w:ilvl w:val="1"/>
          <w:numId w:val="23"/>
        </w:numPr>
        <w:tabs>
          <w:tab w:val="left" w:pos="360"/>
        </w:tabs>
        <w:jc w:val="left"/>
      </w:pPr>
      <w:r>
        <w:t xml:space="preserve">Technology: </w:t>
      </w:r>
      <w:r w:rsidR="00F408A1" w:rsidRPr="00F408A1">
        <w:rPr>
          <w:color w:val="FF0000"/>
        </w:rPr>
        <w:t>Ascend Technology</w:t>
      </w:r>
      <w:r w:rsidR="00F408A1">
        <w:rPr>
          <w:color w:val="FF0000"/>
        </w:rPr>
        <w:t>,</w:t>
      </w:r>
      <w:r w:rsidR="00F408A1">
        <w:t xml:space="preserve"> </w:t>
      </w:r>
      <w:r>
        <w:t>Dennis McCullough (DM)</w:t>
      </w:r>
      <w:r w:rsidR="00F408A1">
        <w:t xml:space="preserve">, </w:t>
      </w:r>
    </w:p>
    <w:p w14:paraId="27A7035E" w14:textId="77777777" w:rsidR="000C099C" w:rsidRDefault="000C099C" w:rsidP="00216F83">
      <w:pPr>
        <w:pStyle w:val="BodyText"/>
        <w:numPr>
          <w:ilvl w:val="1"/>
          <w:numId w:val="23"/>
        </w:numPr>
        <w:tabs>
          <w:tab w:val="left" w:pos="360"/>
        </w:tabs>
        <w:jc w:val="left"/>
      </w:pPr>
      <w:r>
        <w:t>Compliance:  Laura Hendricks</w:t>
      </w:r>
      <w:r w:rsidR="00D20E3A">
        <w:t xml:space="preserve"> (LMH)</w:t>
      </w:r>
    </w:p>
    <w:p w14:paraId="4D390616" w14:textId="2448FD04" w:rsidR="000C099C" w:rsidRPr="00714E49" w:rsidRDefault="000C099C" w:rsidP="00216F83">
      <w:pPr>
        <w:pStyle w:val="BodyText"/>
        <w:numPr>
          <w:ilvl w:val="1"/>
          <w:numId w:val="23"/>
        </w:numPr>
        <w:tabs>
          <w:tab w:val="left" w:pos="360"/>
        </w:tabs>
        <w:jc w:val="left"/>
        <w:rPr>
          <w:color w:val="FF0000"/>
        </w:rPr>
      </w:pPr>
      <w:r>
        <w:t xml:space="preserve">Operations: </w:t>
      </w:r>
      <w:r w:rsidR="00C97EEF">
        <w:t xml:space="preserve"> </w:t>
      </w:r>
      <w:r w:rsidR="00CF3321">
        <w:t>Christina Jenkins</w:t>
      </w:r>
      <w:r w:rsidR="00D20E3A">
        <w:t xml:space="preserve"> (CAJ)</w:t>
      </w:r>
      <w:r w:rsidR="00DE3607">
        <w:t xml:space="preserve">, </w:t>
      </w:r>
      <w:r w:rsidR="001646A3" w:rsidRPr="001646A3">
        <w:rPr>
          <w:color w:val="FF0000"/>
        </w:rPr>
        <w:t>Dan Baker (DEB)</w:t>
      </w:r>
      <w:r w:rsidR="00DD66C1">
        <w:t xml:space="preserve">, </w:t>
      </w:r>
      <w:r w:rsidR="00DD66C1" w:rsidRPr="005556C3">
        <w:t>Gloria Sedita (GKS)</w:t>
      </w:r>
      <w:r w:rsidR="00714E49">
        <w:t xml:space="preserve">, </w:t>
      </w:r>
      <w:r w:rsidR="00714E49" w:rsidRPr="00714E49">
        <w:rPr>
          <w:color w:val="FF0000"/>
        </w:rPr>
        <w:t>Laura Hendricks (LMH)</w:t>
      </w:r>
    </w:p>
    <w:p w14:paraId="1FAB6B23" w14:textId="27222DA8" w:rsidR="000C099C" w:rsidRDefault="000C099C" w:rsidP="00216F83">
      <w:pPr>
        <w:pStyle w:val="BodyText"/>
        <w:numPr>
          <w:ilvl w:val="1"/>
          <w:numId w:val="23"/>
        </w:numPr>
        <w:tabs>
          <w:tab w:val="left" w:pos="360"/>
        </w:tabs>
        <w:jc w:val="left"/>
      </w:pPr>
      <w:r>
        <w:t xml:space="preserve">Accounting and Administration:  </w:t>
      </w:r>
      <w:r w:rsidR="00B348BB" w:rsidRPr="00B348BB">
        <w:rPr>
          <w:color w:val="FF0000"/>
        </w:rPr>
        <w:t>Anna Garcia (AG)</w:t>
      </w:r>
      <w:r w:rsidR="00B348BB">
        <w:t xml:space="preserve">, </w:t>
      </w:r>
      <w:r>
        <w:t>Connie Smith (CS), Laura Hendricks</w:t>
      </w:r>
    </w:p>
    <w:p w14:paraId="0E39DBD5" w14:textId="77777777" w:rsidR="000C099C" w:rsidRDefault="000C099C" w:rsidP="004C3532">
      <w:pPr>
        <w:pStyle w:val="BodyText"/>
        <w:tabs>
          <w:tab w:val="left" w:pos="-90"/>
        </w:tabs>
        <w:ind w:left="270"/>
        <w:jc w:val="left"/>
      </w:pPr>
      <w:r>
        <w:t>All key team members will maintain a copy of these procedur</w:t>
      </w:r>
      <w:r w:rsidR="00C35D81">
        <w:t>es offsite or at their residence</w:t>
      </w:r>
      <w:r>
        <w:t xml:space="preserve">. In addition, these procedures are posted on our secured access website. The team will confer at a minimum </w:t>
      </w:r>
      <w:r w:rsidR="00C35D81">
        <w:t>a</w:t>
      </w:r>
      <w:r>
        <w:t>nnually to establish clear business responsibility among the team and communication procedures during a continuity plan implementation.</w:t>
      </w:r>
    </w:p>
    <w:p w14:paraId="5CB3441B" w14:textId="77777777" w:rsidR="000C099C" w:rsidRDefault="000C099C" w:rsidP="004C3532">
      <w:pPr>
        <w:pStyle w:val="BodyText"/>
        <w:tabs>
          <w:tab w:val="left" w:pos="-90"/>
        </w:tabs>
        <w:jc w:val="left"/>
      </w:pPr>
    </w:p>
    <w:p w14:paraId="6448B5D2" w14:textId="77777777" w:rsidR="000C099C" w:rsidRDefault="005A525A" w:rsidP="004C3532">
      <w:pPr>
        <w:pStyle w:val="Heading3"/>
        <w:jc w:val="left"/>
      </w:pPr>
      <w:r>
        <w:t>1</w:t>
      </w:r>
      <w:r w:rsidR="00CD2210">
        <w:t>7</w:t>
      </w:r>
      <w:r>
        <w:t>.</w:t>
      </w:r>
      <w:r w:rsidR="001718B2">
        <w:t>7</w:t>
      </w:r>
      <w:r>
        <w:t xml:space="preserve">.3 </w:t>
      </w:r>
      <w:r w:rsidR="000C099C">
        <w:t>CUSTOMERS’ ACCESS TO FUNDS AND SECURITIES</w:t>
      </w:r>
    </w:p>
    <w:p w14:paraId="54741659" w14:textId="77777777" w:rsidR="000C099C" w:rsidRPr="00E87775" w:rsidRDefault="000C099C" w:rsidP="004C3532">
      <w:pPr>
        <w:pStyle w:val="BodyText"/>
        <w:tabs>
          <w:tab w:val="left" w:pos="-90"/>
        </w:tabs>
        <w:spacing w:before="0" w:after="0"/>
        <w:ind w:left="270"/>
        <w:jc w:val="left"/>
      </w:pPr>
      <w:r>
        <w:t xml:space="preserve">The Company does not maintain custody of customers’ funds or securities, which are maintained at </w:t>
      </w:r>
      <w:r w:rsidR="00D71A34" w:rsidRPr="00E87775">
        <w:t>HT</w:t>
      </w:r>
      <w:r w:rsidRPr="00E87775">
        <w:t>S</w:t>
      </w:r>
      <w:r w:rsidR="001F737C" w:rsidRPr="00E87775">
        <w:t xml:space="preserve"> or various vendors for direct application business</w:t>
      </w:r>
      <w:r w:rsidRPr="00E87775">
        <w:t xml:space="preserve">.  In the event of an internal or external SBD, if telephone service is available, our representatives will continue to take </w:t>
      </w:r>
      <w:r w:rsidR="001F737C" w:rsidRPr="00E87775">
        <w:t xml:space="preserve">market </w:t>
      </w:r>
      <w:r w:rsidR="00F65A82" w:rsidRPr="00E87775">
        <w:t>customers’</w:t>
      </w:r>
      <w:r w:rsidR="007E045B" w:rsidRPr="00E87775">
        <w:t xml:space="preserve"> orders and contact</w:t>
      </w:r>
      <w:r w:rsidRPr="00E87775">
        <w:t xml:space="preserve"> </w:t>
      </w:r>
      <w:r w:rsidR="00D71A34" w:rsidRPr="00E87775">
        <w:t>HT</w:t>
      </w:r>
      <w:r w:rsidRPr="00E87775">
        <w:t xml:space="preserve">S for processing.  If our website is available, the Company will post information on the website that customers may access their funds and securities by contacting </w:t>
      </w:r>
      <w:r w:rsidR="00D71A34" w:rsidRPr="00E87775">
        <w:t>HT</w:t>
      </w:r>
      <w:r w:rsidRPr="00E87775">
        <w:t xml:space="preserve">S and list their contact information.  If SIPC determines that we are unable to meet our obligations to our customers or if our liabilities exceed our assets in violation of SEC rules, SIPC may seek to appoint a trustee to disburse our assets to </w:t>
      </w:r>
      <w:r w:rsidRPr="00E87775">
        <w:lastRenderedPageBreak/>
        <w:t>customers.  We will assist SIPC and the trustee by providing our books and records identifying customer accounts subject to SIPC regulation.</w:t>
      </w:r>
    </w:p>
    <w:p w14:paraId="048A451A" w14:textId="77777777" w:rsidR="005A525A" w:rsidRPr="00E87775" w:rsidRDefault="005A525A" w:rsidP="004C3532">
      <w:pPr>
        <w:pStyle w:val="BodyText"/>
        <w:tabs>
          <w:tab w:val="left" w:pos="-90"/>
        </w:tabs>
        <w:spacing w:before="0" w:after="0"/>
        <w:ind w:left="270"/>
        <w:jc w:val="left"/>
      </w:pPr>
    </w:p>
    <w:p w14:paraId="4789B815" w14:textId="77777777" w:rsidR="000C099C" w:rsidRPr="00E87775" w:rsidRDefault="005A525A" w:rsidP="004C3532">
      <w:pPr>
        <w:pStyle w:val="Heading3"/>
        <w:jc w:val="left"/>
      </w:pPr>
      <w:r w:rsidRPr="00E87775">
        <w:t>1</w:t>
      </w:r>
      <w:r w:rsidR="00CD2210">
        <w:t>7</w:t>
      </w:r>
      <w:r w:rsidRPr="00E87775">
        <w:t>.</w:t>
      </w:r>
      <w:r w:rsidR="00FD5F8D" w:rsidRPr="00E87775">
        <w:t>7</w:t>
      </w:r>
      <w:r w:rsidR="006B12F1" w:rsidRPr="00E87775">
        <w:t xml:space="preserve">.4 </w:t>
      </w:r>
      <w:r w:rsidR="000C099C" w:rsidRPr="00E87775">
        <w:t xml:space="preserve">DATA BACK-UP AND RECOVERY </w:t>
      </w:r>
    </w:p>
    <w:p w14:paraId="0967DBF8" w14:textId="71A58D62" w:rsidR="000C099C" w:rsidRPr="00E87775" w:rsidRDefault="00F65A82" w:rsidP="004C3532">
      <w:pPr>
        <w:pStyle w:val="BodyText"/>
        <w:tabs>
          <w:tab w:val="left" w:pos="-90"/>
        </w:tabs>
        <w:spacing w:before="0" w:after="0"/>
        <w:ind w:left="270"/>
        <w:jc w:val="left"/>
      </w:pPr>
      <w:r w:rsidRPr="00CD2210">
        <w:t>Also s</w:t>
      </w:r>
      <w:r w:rsidR="000C099C" w:rsidRPr="00CD2210">
        <w:t xml:space="preserve">ee Section </w:t>
      </w:r>
      <w:r w:rsidR="00520586" w:rsidRPr="00CD2210">
        <w:t>10</w:t>
      </w:r>
      <w:r w:rsidR="000C099C" w:rsidRPr="00CD2210">
        <w:t xml:space="preserve"> of th</w:t>
      </w:r>
      <w:r w:rsidRPr="00CD2210">
        <w:t>e</w:t>
      </w:r>
      <w:r w:rsidR="000C099C" w:rsidRPr="00CD2210">
        <w:t xml:space="preserve"> </w:t>
      </w:r>
      <w:r w:rsidRPr="00CD2210">
        <w:t>WSP</w:t>
      </w:r>
      <w:r w:rsidR="000C099C" w:rsidRPr="00CD2210">
        <w:t xml:space="preserve">. </w:t>
      </w:r>
      <w:r w:rsidR="000C099C" w:rsidRPr="00E87775">
        <w:t xml:space="preserve"> In the event of an internal or external SBD that causes the loss of paper records, the Company will physically recover any records available in electronic format from </w:t>
      </w:r>
      <w:r w:rsidR="00520586" w:rsidRPr="00E87775">
        <w:t>Company’s</w:t>
      </w:r>
      <w:r w:rsidR="000C099C" w:rsidRPr="00E87775">
        <w:t xml:space="preserve"> </w:t>
      </w:r>
      <w:r w:rsidR="00D20E3A" w:rsidRPr="00E87775">
        <w:t>offsite</w:t>
      </w:r>
      <w:r w:rsidR="003727F4" w:rsidRPr="00E87775">
        <w:t xml:space="preserve"> backup from Live</w:t>
      </w:r>
      <w:r w:rsidR="001F737C" w:rsidRPr="00E87775">
        <w:t>Vault</w:t>
      </w:r>
      <w:r w:rsidR="000C099C" w:rsidRPr="00E87775">
        <w:t xml:space="preserve">.  </w:t>
      </w:r>
      <w:r>
        <w:t>R</w:t>
      </w:r>
      <w:r w:rsidR="000C099C" w:rsidRPr="00E87775">
        <w:t xml:space="preserve">ecords are also available from </w:t>
      </w:r>
      <w:r w:rsidR="00AB1A01" w:rsidRPr="00E87775">
        <w:t>HTS</w:t>
      </w:r>
      <w:r w:rsidR="000C099C" w:rsidRPr="00E87775">
        <w:t xml:space="preserve"> stored electronically.  </w:t>
      </w:r>
      <w:r w:rsidR="00F43EB9" w:rsidRPr="00E87775">
        <w:t xml:space="preserve">If the primary physical site is inoperable, operations will continue from the back-up physical site at 1941 Sawdust Rd, The Woodlands, Texas or an alternate location. </w:t>
      </w:r>
      <w:r w:rsidR="000C099C" w:rsidRPr="00E87775">
        <w:t xml:space="preserve"> In addition, </w:t>
      </w:r>
      <w:r w:rsidR="00F43EB9" w:rsidRPr="00E87775">
        <w:t>there is</w:t>
      </w:r>
      <w:r w:rsidR="000C099C" w:rsidRPr="00E87775">
        <w:t xml:space="preserve"> offsite backup of Win</w:t>
      </w:r>
      <w:r w:rsidR="00462A1B" w:rsidRPr="00E87775">
        <w:t>O</w:t>
      </w:r>
      <w:r w:rsidR="000C099C" w:rsidRPr="00E87775">
        <w:t xml:space="preserve">ps </w:t>
      </w:r>
      <w:r w:rsidR="001F737C" w:rsidRPr="00E87775">
        <w:t>c</w:t>
      </w:r>
      <w:r w:rsidR="000C099C" w:rsidRPr="00E87775">
        <w:t xml:space="preserve">ustomer data is stored on </w:t>
      </w:r>
      <w:r w:rsidR="00D71A34" w:rsidRPr="00E87775">
        <w:t>Company</w:t>
      </w:r>
      <w:r w:rsidR="000C099C" w:rsidRPr="00E87775">
        <w:t xml:space="preserve"> server.  </w:t>
      </w:r>
      <w:r w:rsidR="003727F4" w:rsidRPr="00E87775">
        <w:t xml:space="preserve">Other remote facilities in The Woodlands, </w:t>
      </w:r>
      <w:r w:rsidR="00F43EB9" w:rsidRPr="00E87775">
        <w:t>Conroe</w:t>
      </w:r>
      <w:r w:rsidR="00DF3934">
        <w:t xml:space="preserve">, </w:t>
      </w:r>
      <w:r w:rsidR="00DF3934" w:rsidRPr="00CD2210">
        <w:t>and New Braunfels</w:t>
      </w:r>
      <w:r w:rsidR="00F43EB9" w:rsidRPr="00CD2210">
        <w:t xml:space="preserve"> </w:t>
      </w:r>
      <w:r w:rsidR="003727F4" w:rsidRPr="00E87775">
        <w:t>may also be used.</w:t>
      </w:r>
    </w:p>
    <w:p w14:paraId="706E6081" w14:textId="77777777" w:rsidR="005B3372" w:rsidRPr="00E87775" w:rsidRDefault="005B3372" w:rsidP="004C3532">
      <w:pPr>
        <w:pStyle w:val="BodyText"/>
        <w:tabs>
          <w:tab w:val="left" w:pos="0"/>
        </w:tabs>
        <w:spacing w:before="0" w:after="0"/>
        <w:jc w:val="left"/>
        <w:rPr>
          <w:b/>
          <w:bCs/>
        </w:rPr>
      </w:pPr>
    </w:p>
    <w:p w14:paraId="55792388" w14:textId="77777777" w:rsidR="000C099C" w:rsidRPr="00DE270E" w:rsidRDefault="005A525A" w:rsidP="004C3532">
      <w:pPr>
        <w:pStyle w:val="Heading3"/>
        <w:jc w:val="left"/>
      </w:pPr>
      <w:r w:rsidRPr="00DE270E">
        <w:t>1</w:t>
      </w:r>
      <w:r w:rsidR="00CD2210">
        <w:t>7</w:t>
      </w:r>
      <w:r w:rsidRPr="00DE270E">
        <w:t>.</w:t>
      </w:r>
      <w:r w:rsidR="00FD5F8D" w:rsidRPr="00DE270E">
        <w:t>7</w:t>
      </w:r>
      <w:r w:rsidRPr="00DE270E">
        <w:t xml:space="preserve">.5 </w:t>
      </w:r>
      <w:r w:rsidR="000C099C" w:rsidRPr="00DE270E">
        <w:t>FINANCIAL AND OPERATIONAL ASSESSMENTS</w:t>
      </w:r>
    </w:p>
    <w:p w14:paraId="2354FD30" w14:textId="69AD52A3" w:rsidR="00B70E49" w:rsidRPr="00CD2210" w:rsidRDefault="000C099C" w:rsidP="004C3532">
      <w:pPr>
        <w:pStyle w:val="BodyText"/>
        <w:tabs>
          <w:tab w:val="left" w:pos="0"/>
        </w:tabs>
        <w:spacing w:before="0" w:after="0"/>
        <w:ind w:left="270"/>
        <w:jc w:val="left"/>
      </w:pPr>
      <w:r w:rsidRPr="00DE270E">
        <w:t xml:space="preserve">In the event of an SBD, </w:t>
      </w:r>
      <w:r w:rsidR="00DC7249" w:rsidRPr="00DE270E">
        <w:t>Company</w:t>
      </w:r>
      <w:r w:rsidRPr="00DE270E">
        <w:t xml:space="preserve"> will immediately identify what means will permit communicat</w:t>
      </w:r>
      <w:r w:rsidR="00DC7249" w:rsidRPr="00DE270E">
        <w:t>ion</w:t>
      </w:r>
      <w:r w:rsidRPr="00DE270E">
        <w:t xml:space="preserve"> with customers, employees, critical business constituents, critical banks, critical </w:t>
      </w:r>
      <w:r w:rsidR="00BB653C" w:rsidRPr="00DE270E">
        <w:t>counterparties</w:t>
      </w:r>
      <w:r w:rsidRPr="00DE270E">
        <w:t>, and regulators.  Although the effects of an SBD will determine the means of alternative communication, the options employ</w:t>
      </w:r>
      <w:r w:rsidR="00DC7249" w:rsidRPr="00DE270E">
        <w:t xml:space="preserve">ed </w:t>
      </w:r>
      <w:r w:rsidR="006D6AEA" w:rsidRPr="00CD2210">
        <w:t>may</w:t>
      </w:r>
      <w:r w:rsidR="00DC7249" w:rsidRPr="00CD2210">
        <w:t xml:space="preserve"> include Company</w:t>
      </w:r>
      <w:r w:rsidRPr="00CD2210">
        <w:t xml:space="preserve"> website, telephone voicemail, </w:t>
      </w:r>
      <w:r w:rsidR="006D6AEA" w:rsidRPr="00CD2210">
        <w:t xml:space="preserve">social media, </w:t>
      </w:r>
      <w:r w:rsidR="00DC7249" w:rsidRPr="00CD2210">
        <w:t xml:space="preserve">texts, </w:t>
      </w:r>
      <w:r w:rsidRPr="00CD2210">
        <w:t xml:space="preserve">and email.  </w:t>
      </w:r>
    </w:p>
    <w:p w14:paraId="0E81D9AE" w14:textId="77777777" w:rsidR="00B70E49" w:rsidRDefault="00B70E49" w:rsidP="004C3532">
      <w:pPr>
        <w:pStyle w:val="BodyText"/>
        <w:tabs>
          <w:tab w:val="left" w:pos="0"/>
        </w:tabs>
        <w:spacing w:before="0" w:after="0"/>
        <w:ind w:left="270"/>
        <w:jc w:val="left"/>
      </w:pPr>
    </w:p>
    <w:p w14:paraId="2688A761" w14:textId="1ECE4039" w:rsidR="000C099C" w:rsidRDefault="000C099C" w:rsidP="004C3532">
      <w:pPr>
        <w:pStyle w:val="BodyText"/>
        <w:tabs>
          <w:tab w:val="left" w:pos="-90"/>
        </w:tabs>
        <w:spacing w:before="0" w:after="0"/>
        <w:ind w:left="270"/>
        <w:jc w:val="left"/>
      </w:pPr>
      <w:r>
        <w:t xml:space="preserve">In addition, </w:t>
      </w:r>
      <w:r w:rsidR="000421A8">
        <w:t>Company</w:t>
      </w:r>
      <w:r>
        <w:t xml:space="preserve"> will determine the value and liquidity of </w:t>
      </w:r>
      <w:r w:rsidR="000421A8">
        <w:t>its</w:t>
      </w:r>
      <w:r>
        <w:t xml:space="preserve"> investments and other assets to evaluate </w:t>
      </w:r>
      <w:r w:rsidR="000421A8">
        <w:t>the</w:t>
      </w:r>
      <w:r>
        <w:t xml:space="preserve"> ability to continue to fund operations and maintain capital compliance.  </w:t>
      </w:r>
      <w:r w:rsidR="000421A8">
        <w:t xml:space="preserve">Company </w:t>
      </w:r>
      <w:r>
        <w:t xml:space="preserve">will contact </w:t>
      </w:r>
      <w:r w:rsidR="00D71A34" w:rsidRPr="00E87775">
        <w:t>HT</w:t>
      </w:r>
      <w:r>
        <w:t xml:space="preserve">S, critical banks, and investors to apprise them of </w:t>
      </w:r>
      <w:r w:rsidR="000421A8">
        <w:t>its</w:t>
      </w:r>
      <w:r>
        <w:t xml:space="preserve"> financial status.  If determine</w:t>
      </w:r>
      <w:r w:rsidR="000421A8">
        <w:t>d</w:t>
      </w:r>
      <w:r>
        <w:t xml:space="preserve"> that </w:t>
      </w:r>
      <w:r w:rsidR="000421A8">
        <w:t>Company</w:t>
      </w:r>
      <w:r>
        <w:t xml:space="preserve"> may be unable to meet </w:t>
      </w:r>
      <w:r w:rsidR="000421A8">
        <w:t>its</w:t>
      </w:r>
      <w:r>
        <w:t xml:space="preserve"> obligations to those </w:t>
      </w:r>
      <w:r w:rsidR="00BB653C">
        <w:t>counterparties</w:t>
      </w:r>
      <w:r>
        <w:t xml:space="preserve"> or otherwise continue to fund operations, </w:t>
      </w:r>
      <w:r w:rsidR="000421A8">
        <w:t>Company</w:t>
      </w:r>
      <w:r>
        <w:t xml:space="preserve"> will request additional financing from </w:t>
      </w:r>
      <w:r w:rsidR="000421A8">
        <w:t>its</w:t>
      </w:r>
      <w:r>
        <w:t xml:space="preserve"> bank</w:t>
      </w:r>
      <w:r w:rsidR="000421A8">
        <w:t>(s)</w:t>
      </w:r>
      <w:r>
        <w:t xml:space="preserve"> or other credit sources to fulfill </w:t>
      </w:r>
      <w:r w:rsidR="000421A8">
        <w:t>its</w:t>
      </w:r>
      <w:r>
        <w:t xml:space="preserve"> obligations to customers and clients.  If </w:t>
      </w:r>
      <w:r w:rsidR="000421A8">
        <w:t>Company</w:t>
      </w:r>
      <w:r>
        <w:t xml:space="preserve"> cannot remedy a capital deficiency, </w:t>
      </w:r>
      <w:r w:rsidR="000421A8">
        <w:t>the</w:t>
      </w:r>
      <w:r>
        <w:t xml:space="preserve"> </w:t>
      </w:r>
      <w:r w:rsidR="000421A8">
        <w:t xml:space="preserve">appropriate notices will be </w:t>
      </w:r>
      <w:r>
        <w:t>file</w:t>
      </w:r>
      <w:r w:rsidR="000421A8">
        <w:t>d</w:t>
      </w:r>
      <w:r>
        <w:t xml:space="preserve"> with</w:t>
      </w:r>
      <w:r w:rsidR="00C60D4A">
        <w:t xml:space="preserve"> </w:t>
      </w:r>
      <w:r>
        <w:t>regulators.</w:t>
      </w:r>
    </w:p>
    <w:p w14:paraId="6389EC6F" w14:textId="77777777" w:rsidR="005A525A" w:rsidRDefault="005A525A" w:rsidP="004C3532">
      <w:pPr>
        <w:pStyle w:val="BodyText"/>
        <w:tabs>
          <w:tab w:val="left" w:pos="-90"/>
        </w:tabs>
        <w:spacing w:before="0" w:after="0"/>
        <w:jc w:val="left"/>
        <w:rPr>
          <w:b/>
          <w:bCs/>
        </w:rPr>
      </w:pPr>
    </w:p>
    <w:p w14:paraId="3D404101" w14:textId="77777777" w:rsidR="005A525A" w:rsidRDefault="005A525A" w:rsidP="004C3532">
      <w:pPr>
        <w:pStyle w:val="BodyText"/>
        <w:tabs>
          <w:tab w:val="left" w:pos="-90"/>
        </w:tabs>
        <w:spacing w:before="0" w:after="0"/>
        <w:jc w:val="left"/>
        <w:rPr>
          <w:b/>
          <w:bCs/>
        </w:rPr>
      </w:pPr>
    </w:p>
    <w:p w14:paraId="650AA5AB" w14:textId="77777777" w:rsidR="000C099C" w:rsidRDefault="005A525A" w:rsidP="004C3532">
      <w:pPr>
        <w:pStyle w:val="Heading3"/>
        <w:jc w:val="left"/>
      </w:pPr>
      <w:r>
        <w:t>1</w:t>
      </w:r>
      <w:r w:rsidR="00CD2210">
        <w:t>7</w:t>
      </w:r>
      <w:r>
        <w:t>.</w:t>
      </w:r>
      <w:r w:rsidR="00FD5F8D">
        <w:t>7</w:t>
      </w:r>
      <w:r>
        <w:t xml:space="preserve">.6 </w:t>
      </w:r>
      <w:r w:rsidR="000C099C">
        <w:t>MISSION CRITICAL SYSTEMS</w:t>
      </w:r>
    </w:p>
    <w:p w14:paraId="648276F2" w14:textId="77777777" w:rsidR="000C099C" w:rsidRDefault="00322904" w:rsidP="004C3532">
      <w:pPr>
        <w:pStyle w:val="BodyText"/>
        <w:tabs>
          <w:tab w:val="left" w:pos="-90"/>
        </w:tabs>
        <w:spacing w:before="0" w:after="0"/>
        <w:ind w:left="270"/>
        <w:jc w:val="left"/>
      </w:pPr>
      <w:r>
        <w:t>Co</w:t>
      </w:r>
      <w:r w:rsidR="000C099C">
        <w:t>m</w:t>
      </w:r>
      <w:r>
        <w:t>pany</w:t>
      </w:r>
      <w:r w:rsidR="000C099C">
        <w:t>’s “mission critical systems” are those that ensure prompt and accurate processing of securities transactions, including order taking, entry, exe</w:t>
      </w:r>
      <w:r w:rsidR="008E7F37">
        <w:t>cution, comparison, allocation, t</w:t>
      </w:r>
      <w:r w:rsidR="000C099C">
        <w:t xml:space="preserve">he maintenance of customer accounts, access to customer accounts, and </w:t>
      </w:r>
      <w:r w:rsidR="008E7F37">
        <w:t>assist</w:t>
      </w:r>
      <w:r w:rsidR="00262F5F">
        <w:t>ing</w:t>
      </w:r>
      <w:r w:rsidR="008E7F37">
        <w:t xml:space="preserve"> in </w:t>
      </w:r>
      <w:r w:rsidR="000C099C">
        <w:t>the delivery of funds and securities.  More specifically, these systems include those listed above under Company Assessment.</w:t>
      </w:r>
    </w:p>
    <w:p w14:paraId="7C1A1C58" w14:textId="00BFB0DF" w:rsidR="006316A5" w:rsidRDefault="000C099C" w:rsidP="004C3532">
      <w:pPr>
        <w:pStyle w:val="BodyText"/>
        <w:tabs>
          <w:tab w:val="left" w:pos="-90"/>
        </w:tabs>
        <w:ind w:left="270"/>
        <w:jc w:val="left"/>
      </w:pPr>
      <w:r>
        <w:t xml:space="preserve">The Company has the primary responsibility </w:t>
      </w:r>
      <w:r w:rsidRPr="00CD2210">
        <w:t>o</w:t>
      </w:r>
      <w:r w:rsidR="00786EB3" w:rsidRPr="00CD2210">
        <w:t>f</w:t>
      </w:r>
      <w:r>
        <w:t xml:space="preserve"> establishing and maintaining business relationships with customers and the sole responsibility for mission critical functions of order taking and entry.  </w:t>
      </w:r>
      <w:r w:rsidR="000421A8">
        <w:t>The</w:t>
      </w:r>
      <w:r>
        <w:t xml:space="preserve"> clearing firm provides, through contract, the execution, comparison, allocation, clearance and settlement of securities transactions, the maintenance of customer accounts, access to customer accounts, delivery of funds and securities, and reporting trades to </w:t>
      </w:r>
      <w:r w:rsidR="001D3685" w:rsidRPr="00930C77">
        <w:t>CAT</w:t>
      </w:r>
      <w:r>
        <w:t xml:space="preserve">, TRACE and MSRB/RTRS.   </w:t>
      </w:r>
    </w:p>
    <w:p w14:paraId="10BE5488" w14:textId="77777777" w:rsidR="006316A5" w:rsidRDefault="000421A8" w:rsidP="004C3532">
      <w:pPr>
        <w:pStyle w:val="BodyText"/>
        <w:tabs>
          <w:tab w:val="left" w:pos="-90"/>
        </w:tabs>
        <w:ind w:left="270"/>
        <w:jc w:val="left"/>
      </w:pPr>
      <w:r>
        <w:t>The</w:t>
      </w:r>
      <w:r w:rsidR="000C099C">
        <w:t xml:space="preserve"> clearing firm provides that it will maintain a business continuity plan and the capacity to execute that plan.  </w:t>
      </w:r>
      <w:r>
        <w:t>The</w:t>
      </w:r>
      <w:r w:rsidR="000C099C">
        <w:t xml:space="preserve"> clearing firm represents that it will advise </w:t>
      </w:r>
      <w:r>
        <w:t>Company</w:t>
      </w:r>
      <w:r w:rsidR="000C099C">
        <w:t xml:space="preserve"> of any material changes to its plan that might affect </w:t>
      </w:r>
      <w:r>
        <w:t>Company’s</w:t>
      </w:r>
      <w:r w:rsidR="000C099C">
        <w:t xml:space="preserve"> ab</w:t>
      </w:r>
      <w:r w:rsidR="0080252C">
        <w:t xml:space="preserve">ility to maintain </w:t>
      </w:r>
      <w:r>
        <w:t>its</w:t>
      </w:r>
      <w:r w:rsidR="0080252C">
        <w:t xml:space="preserve"> business (the</w:t>
      </w:r>
      <w:r w:rsidR="000C099C">
        <w:t xml:space="preserve"> summary of its plan</w:t>
      </w:r>
      <w:r w:rsidR="0080252C">
        <w:t xml:space="preserve"> is</w:t>
      </w:r>
      <w:r w:rsidR="000C099C">
        <w:t xml:space="preserve"> posted on the </w:t>
      </w:r>
      <w:r w:rsidR="001C25AD" w:rsidRPr="00E87775">
        <w:t>HT</w:t>
      </w:r>
      <w:r w:rsidR="000C099C">
        <w:t xml:space="preserve">S website at </w:t>
      </w:r>
      <w:hyperlink r:id="rId146" w:history="1">
        <w:r w:rsidR="00EA0A5B" w:rsidRPr="002B41A2">
          <w:rPr>
            <w:rStyle w:val="Hyperlink"/>
          </w:rPr>
          <w:t>www.hilltopsecurities.com</w:t>
        </w:r>
      </w:hyperlink>
      <w:r w:rsidR="0080252C">
        <w:t>)</w:t>
      </w:r>
      <w:r w:rsidR="000C099C">
        <w:t xml:space="preserve">.  In the event </w:t>
      </w:r>
      <w:r>
        <w:t>the</w:t>
      </w:r>
      <w:r w:rsidR="000C099C">
        <w:t xml:space="preserve"> clearing firm executes its plan, it represents that it will notify </w:t>
      </w:r>
      <w:r>
        <w:t>Company</w:t>
      </w:r>
      <w:r w:rsidR="000C099C">
        <w:t xml:space="preserve"> of such execution and provide equal access to services as its other customers.  If </w:t>
      </w:r>
      <w:r>
        <w:t>reasonably d</w:t>
      </w:r>
      <w:r w:rsidR="000C099C">
        <w:t>etermine</w:t>
      </w:r>
      <w:r>
        <w:t>d</w:t>
      </w:r>
      <w:r w:rsidR="000C099C">
        <w:t xml:space="preserve"> that </w:t>
      </w:r>
      <w:r>
        <w:t>the</w:t>
      </w:r>
      <w:r w:rsidR="000C099C">
        <w:t xml:space="preserve"> </w:t>
      </w:r>
      <w:r w:rsidR="000C099C">
        <w:lastRenderedPageBreak/>
        <w:t xml:space="preserve">clearing firm has not or cannot put its plan in place quickly enough to meet </w:t>
      </w:r>
      <w:r>
        <w:t>Company’s</w:t>
      </w:r>
      <w:r w:rsidR="000C099C">
        <w:t xml:space="preserve"> </w:t>
      </w:r>
      <w:r w:rsidR="00786EB3">
        <w:t>needs or</w:t>
      </w:r>
      <w:r w:rsidR="000C099C">
        <w:t xml:space="preserve"> is otherwise unable to prov</w:t>
      </w:r>
      <w:r>
        <w:t>ide access to such services, the</w:t>
      </w:r>
      <w:r w:rsidR="000C099C">
        <w:t xml:space="preserve"> clearing firm represents that it will assist </w:t>
      </w:r>
      <w:r>
        <w:t>Company</w:t>
      </w:r>
      <w:r w:rsidR="000C099C">
        <w:t xml:space="preserve"> in seeking services from an alternative source.  </w:t>
      </w:r>
      <w:r>
        <w:t>The</w:t>
      </w:r>
      <w:r w:rsidR="000C099C">
        <w:t xml:space="preserve"> clearing firm represents that it backs up records at a remote site. </w:t>
      </w:r>
      <w:r>
        <w:t xml:space="preserve"> The</w:t>
      </w:r>
      <w:r w:rsidR="000C099C">
        <w:t xml:space="preserve"> clearing firm represents that it operates a back-up operating facility in a geographically separate area with the capability to conduct the same volume of busi</w:t>
      </w:r>
      <w:r>
        <w:t>ness as its primary site.  C</w:t>
      </w:r>
      <w:r w:rsidR="000C099C">
        <w:t xml:space="preserve">learing firm has also confirmed the effectiveness of its back-up arrangements to recover from a wide scale disruption by testing, and it has confirmed that it tests its back-up arrangements.  </w:t>
      </w:r>
    </w:p>
    <w:p w14:paraId="70BDA2EB" w14:textId="77777777" w:rsidR="000C099C" w:rsidRDefault="000C099C" w:rsidP="004C3532">
      <w:pPr>
        <w:pStyle w:val="BodyText"/>
        <w:tabs>
          <w:tab w:val="left" w:pos="-90"/>
        </w:tabs>
        <w:ind w:left="270"/>
        <w:jc w:val="left"/>
      </w:pPr>
      <w:r>
        <w:t xml:space="preserve">Recovery-time objectives provide concrete goals to plan for and test against.  They are not, however, hard and fast deadlines that must be met in every emergency situation, and various external factors surrounding a disruption, such as time of day, scope of disruption, and status of critical infrastructure—particularly telecommunications—can affect actual recovery times.  Recovery refers to the restoration of clearing and settlement activities after a wide-scale disruption; resumption refers to the capacity to accept and process new transactions and payments after a wide-scale disruption.  </w:t>
      </w:r>
    </w:p>
    <w:p w14:paraId="36201672" w14:textId="77777777" w:rsidR="000C099C" w:rsidRDefault="000C099C" w:rsidP="004C3532">
      <w:pPr>
        <w:pStyle w:val="BodyText"/>
        <w:tabs>
          <w:tab w:val="left" w:pos="-90"/>
        </w:tabs>
        <w:ind w:left="270"/>
        <w:jc w:val="left"/>
        <w:rPr>
          <w:color w:val="454545"/>
        </w:rPr>
      </w:pPr>
      <w:r>
        <w:t>All customer information stored in WinOps can be readily available with an internet connection since the data is maintained on a server in Colorado.</w:t>
      </w:r>
    </w:p>
    <w:p w14:paraId="0809DDAC" w14:textId="77777777" w:rsidR="000C099C" w:rsidRDefault="000C099C" w:rsidP="004C3532">
      <w:pPr>
        <w:ind w:left="270"/>
      </w:pPr>
    </w:p>
    <w:p w14:paraId="7D89C32E" w14:textId="77777777" w:rsidR="000C099C" w:rsidRPr="00B70E49" w:rsidRDefault="000C099C" w:rsidP="004C3532">
      <w:pPr>
        <w:ind w:left="270"/>
        <w:rPr>
          <w:sz w:val="24"/>
        </w:rPr>
      </w:pPr>
      <w:r>
        <w:rPr>
          <w:b/>
          <w:bCs/>
          <w:sz w:val="24"/>
          <w:u w:val="single"/>
        </w:rPr>
        <w:t>Order Taking</w:t>
      </w:r>
      <w:r>
        <w:rPr>
          <w:sz w:val="24"/>
        </w:rPr>
        <w:t xml:space="preserve">:  </w:t>
      </w:r>
      <w:r w:rsidRPr="00B70E49">
        <w:rPr>
          <w:bCs/>
          <w:sz w:val="24"/>
        </w:rPr>
        <w:t xml:space="preserve">Currently, </w:t>
      </w:r>
      <w:r w:rsidR="00CF3321" w:rsidRPr="00B70E49">
        <w:rPr>
          <w:bCs/>
          <w:sz w:val="24"/>
        </w:rPr>
        <w:t>Company</w:t>
      </w:r>
      <w:r w:rsidRPr="00B70E49">
        <w:rPr>
          <w:bCs/>
          <w:sz w:val="24"/>
        </w:rPr>
        <w:t xml:space="preserve"> </w:t>
      </w:r>
      <w:r w:rsidR="00CF3321" w:rsidRPr="00B70E49">
        <w:rPr>
          <w:bCs/>
          <w:sz w:val="24"/>
        </w:rPr>
        <w:t xml:space="preserve">may </w:t>
      </w:r>
      <w:r w:rsidRPr="00B70E49">
        <w:rPr>
          <w:bCs/>
          <w:sz w:val="24"/>
        </w:rPr>
        <w:t xml:space="preserve">receive orders from customers via telephone/e-mail and in person visits by the customer.  During an SBD, either internal or external, </w:t>
      </w:r>
      <w:r w:rsidR="00B01A41">
        <w:rPr>
          <w:bCs/>
          <w:sz w:val="24"/>
        </w:rPr>
        <w:t>Company</w:t>
      </w:r>
      <w:r w:rsidRPr="00B70E49">
        <w:rPr>
          <w:bCs/>
          <w:sz w:val="24"/>
        </w:rPr>
        <w:t xml:space="preserve"> will continue to take orders through any of these methods that are available and reliable, and in addition, as communications permit, inform customers when communications become available</w:t>
      </w:r>
      <w:r w:rsidR="00B01A41">
        <w:rPr>
          <w:bCs/>
          <w:sz w:val="24"/>
        </w:rPr>
        <w:t xml:space="preserve">, </w:t>
      </w:r>
      <w:r w:rsidRPr="00B70E49">
        <w:rPr>
          <w:bCs/>
          <w:sz w:val="24"/>
        </w:rPr>
        <w:t xml:space="preserve"> </w:t>
      </w:r>
      <w:r w:rsidR="00B0402B">
        <w:rPr>
          <w:bCs/>
          <w:sz w:val="24"/>
        </w:rPr>
        <w:t xml:space="preserve">what </w:t>
      </w:r>
      <w:r w:rsidRPr="00B70E49">
        <w:rPr>
          <w:bCs/>
          <w:sz w:val="24"/>
        </w:rPr>
        <w:t xml:space="preserve">alternatives </w:t>
      </w:r>
      <w:r w:rsidR="00FE2022" w:rsidRPr="00CD2210">
        <w:rPr>
          <w:bCs/>
          <w:sz w:val="24"/>
        </w:rPr>
        <w:t xml:space="preserve">can be used </w:t>
      </w:r>
      <w:r w:rsidRPr="00CD2210">
        <w:rPr>
          <w:bCs/>
          <w:sz w:val="24"/>
        </w:rPr>
        <w:t>to send</w:t>
      </w:r>
      <w:r w:rsidR="00B0402B" w:rsidRPr="00CD2210">
        <w:rPr>
          <w:bCs/>
          <w:sz w:val="24"/>
        </w:rPr>
        <w:t xml:space="preserve"> their</w:t>
      </w:r>
      <w:r w:rsidRPr="00CD2210">
        <w:rPr>
          <w:bCs/>
          <w:sz w:val="24"/>
        </w:rPr>
        <w:t xml:space="preserve"> orders.  Customers will be informed of alternatives by telephone, email, our website, </w:t>
      </w:r>
      <w:r w:rsidR="00786EB3" w:rsidRPr="00CD2210">
        <w:rPr>
          <w:bCs/>
          <w:sz w:val="24"/>
        </w:rPr>
        <w:t xml:space="preserve">social media, </w:t>
      </w:r>
      <w:r w:rsidRPr="00B70E49">
        <w:rPr>
          <w:bCs/>
          <w:sz w:val="24"/>
        </w:rPr>
        <w:t xml:space="preserve">or postal service.  If necessary, </w:t>
      </w:r>
      <w:r w:rsidR="00B01A41">
        <w:rPr>
          <w:bCs/>
          <w:sz w:val="24"/>
        </w:rPr>
        <w:t xml:space="preserve">Company </w:t>
      </w:r>
      <w:r w:rsidRPr="00B70E49">
        <w:rPr>
          <w:bCs/>
          <w:sz w:val="24"/>
        </w:rPr>
        <w:t xml:space="preserve">will </w:t>
      </w:r>
      <w:r w:rsidR="00CF3321" w:rsidRPr="00B70E49">
        <w:rPr>
          <w:bCs/>
          <w:sz w:val="24"/>
        </w:rPr>
        <w:t xml:space="preserve">call </w:t>
      </w:r>
      <w:r w:rsidR="00D71A34" w:rsidRPr="00E87775">
        <w:rPr>
          <w:bCs/>
          <w:sz w:val="24"/>
        </w:rPr>
        <w:t>HT</w:t>
      </w:r>
      <w:r w:rsidR="00CF3321" w:rsidRPr="00E87775">
        <w:rPr>
          <w:bCs/>
          <w:sz w:val="24"/>
        </w:rPr>
        <w:t xml:space="preserve">S to place orders or in rare instances, </w:t>
      </w:r>
      <w:r w:rsidRPr="00E87775">
        <w:rPr>
          <w:bCs/>
          <w:sz w:val="24"/>
        </w:rPr>
        <w:t xml:space="preserve">advise customers to place orders directly with </w:t>
      </w:r>
      <w:r w:rsidR="00B01A41" w:rsidRPr="00E87775">
        <w:rPr>
          <w:bCs/>
          <w:sz w:val="24"/>
        </w:rPr>
        <w:t>the</w:t>
      </w:r>
      <w:r w:rsidRPr="00E87775">
        <w:rPr>
          <w:bCs/>
          <w:sz w:val="24"/>
        </w:rPr>
        <w:t xml:space="preserve"> clearing firm at </w:t>
      </w:r>
      <w:r w:rsidR="00D71A34" w:rsidRPr="00E87775">
        <w:rPr>
          <w:bCs/>
          <w:sz w:val="24"/>
        </w:rPr>
        <w:t>HT</w:t>
      </w:r>
      <w:r w:rsidRPr="00E87775">
        <w:rPr>
          <w:bCs/>
          <w:sz w:val="24"/>
        </w:rPr>
        <w:t>S</w:t>
      </w:r>
      <w:r w:rsidRPr="00B70E49">
        <w:rPr>
          <w:bCs/>
          <w:sz w:val="24"/>
        </w:rPr>
        <w:t>.</w:t>
      </w:r>
    </w:p>
    <w:p w14:paraId="2911C8A7" w14:textId="77777777" w:rsidR="000C099C" w:rsidRPr="00B70E49" w:rsidRDefault="000C099C" w:rsidP="004C3532">
      <w:pPr>
        <w:ind w:left="270"/>
        <w:rPr>
          <w:b/>
          <w:bCs/>
          <w:sz w:val="24"/>
          <w:u w:val="single"/>
        </w:rPr>
      </w:pPr>
    </w:p>
    <w:p w14:paraId="2A4B7BC5" w14:textId="77777777" w:rsidR="000C099C" w:rsidRPr="00CD2210" w:rsidRDefault="000C099C" w:rsidP="004C3532">
      <w:pPr>
        <w:ind w:left="270"/>
        <w:rPr>
          <w:bCs/>
          <w:sz w:val="24"/>
        </w:rPr>
      </w:pPr>
      <w:r>
        <w:rPr>
          <w:b/>
          <w:bCs/>
          <w:sz w:val="24"/>
          <w:u w:val="single"/>
        </w:rPr>
        <w:t>Order Entry</w:t>
      </w:r>
      <w:r w:rsidR="00082280">
        <w:rPr>
          <w:b/>
          <w:bCs/>
          <w:sz w:val="24"/>
          <w:u w:val="single"/>
        </w:rPr>
        <w:t xml:space="preserve"> and Execution</w:t>
      </w:r>
      <w:r>
        <w:rPr>
          <w:sz w:val="24"/>
        </w:rPr>
        <w:t xml:space="preserve">:  </w:t>
      </w:r>
      <w:r>
        <w:rPr>
          <w:bCs/>
          <w:sz w:val="24"/>
        </w:rPr>
        <w:t xml:space="preserve">Currently, </w:t>
      </w:r>
      <w:r w:rsidR="00CF3321">
        <w:rPr>
          <w:bCs/>
          <w:sz w:val="24"/>
        </w:rPr>
        <w:t>Company</w:t>
      </w:r>
      <w:r>
        <w:rPr>
          <w:bCs/>
          <w:sz w:val="24"/>
        </w:rPr>
        <w:t xml:space="preserve"> enters orders by recording them on paper or electronically and sending them to </w:t>
      </w:r>
      <w:r w:rsidR="00E5649A">
        <w:rPr>
          <w:bCs/>
          <w:sz w:val="24"/>
        </w:rPr>
        <w:t>the</w:t>
      </w:r>
      <w:r>
        <w:rPr>
          <w:bCs/>
          <w:sz w:val="24"/>
        </w:rPr>
        <w:t xml:space="preserve"> clearing firm electronically or telephonically.  </w:t>
      </w:r>
      <w:r w:rsidR="00082280" w:rsidRPr="00CD2210">
        <w:rPr>
          <w:bCs/>
          <w:sz w:val="24"/>
        </w:rPr>
        <w:t xml:space="preserve">In addition, </w:t>
      </w:r>
      <w:r w:rsidRPr="00CD2210">
        <w:rPr>
          <w:bCs/>
          <w:sz w:val="24"/>
        </w:rPr>
        <w:t>paper applications sent directly to the fund or vendor</w:t>
      </w:r>
      <w:r w:rsidRPr="00CD2210">
        <w:rPr>
          <w:bCs/>
          <w:i/>
          <w:iCs/>
          <w:sz w:val="24"/>
        </w:rPr>
        <w:t>.</w:t>
      </w:r>
      <w:r w:rsidRPr="00CD2210">
        <w:rPr>
          <w:bCs/>
          <w:sz w:val="24"/>
        </w:rPr>
        <w:t xml:space="preserve">  In the event of an internal SBD, we will enter and send records to </w:t>
      </w:r>
      <w:r w:rsidR="00E5649A" w:rsidRPr="00CD2210">
        <w:rPr>
          <w:bCs/>
          <w:sz w:val="24"/>
        </w:rPr>
        <w:t>the</w:t>
      </w:r>
      <w:r w:rsidRPr="00CD2210">
        <w:rPr>
          <w:bCs/>
          <w:sz w:val="24"/>
        </w:rPr>
        <w:t xml:space="preserve"> clearing firm by the fastest alternative means available, which </w:t>
      </w:r>
      <w:r w:rsidR="00082280" w:rsidRPr="00CD2210">
        <w:rPr>
          <w:bCs/>
          <w:sz w:val="24"/>
        </w:rPr>
        <w:t xml:space="preserve">may </w:t>
      </w:r>
      <w:r w:rsidRPr="00CD2210">
        <w:rPr>
          <w:bCs/>
          <w:sz w:val="24"/>
        </w:rPr>
        <w:t xml:space="preserve">include by telephone or entry from an alternate location.  In the event of an external SBD, </w:t>
      </w:r>
      <w:r w:rsidR="00E5649A" w:rsidRPr="00CD2210">
        <w:rPr>
          <w:bCs/>
          <w:sz w:val="24"/>
        </w:rPr>
        <w:t xml:space="preserve">the order </w:t>
      </w:r>
      <w:r w:rsidRPr="00CD2210">
        <w:rPr>
          <w:bCs/>
          <w:sz w:val="24"/>
        </w:rPr>
        <w:t xml:space="preserve">will </w:t>
      </w:r>
      <w:r w:rsidR="00E5649A" w:rsidRPr="00CD2210">
        <w:rPr>
          <w:bCs/>
          <w:sz w:val="24"/>
        </w:rPr>
        <w:t xml:space="preserve">be </w:t>
      </w:r>
      <w:r w:rsidRPr="00CD2210">
        <w:rPr>
          <w:bCs/>
          <w:sz w:val="24"/>
        </w:rPr>
        <w:t>maintain</w:t>
      </w:r>
      <w:r w:rsidR="00E5649A" w:rsidRPr="00CD2210">
        <w:rPr>
          <w:bCs/>
          <w:sz w:val="24"/>
        </w:rPr>
        <w:t>ed</w:t>
      </w:r>
      <w:r w:rsidRPr="00CD2210">
        <w:rPr>
          <w:bCs/>
          <w:sz w:val="24"/>
        </w:rPr>
        <w:t xml:space="preserve"> in electronic or paper </w:t>
      </w:r>
      <w:r w:rsidR="00082280" w:rsidRPr="00CD2210">
        <w:rPr>
          <w:bCs/>
          <w:sz w:val="24"/>
        </w:rPr>
        <w:t>format and</w:t>
      </w:r>
      <w:r w:rsidRPr="00CD2210">
        <w:rPr>
          <w:bCs/>
          <w:sz w:val="24"/>
        </w:rPr>
        <w:t xml:space="preserve"> deliver the order to the clearing firm by the fastest means available when it resumes operations.  In addition, during an internal SBD, </w:t>
      </w:r>
      <w:r w:rsidR="00082280" w:rsidRPr="00CD2210">
        <w:rPr>
          <w:bCs/>
          <w:sz w:val="24"/>
        </w:rPr>
        <w:t>Company</w:t>
      </w:r>
      <w:r w:rsidRPr="00CD2210">
        <w:rPr>
          <w:bCs/>
          <w:sz w:val="24"/>
        </w:rPr>
        <w:t xml:space="preserve"> may need to refer customers to deal directly with </w:t>
      </w:r>
      <w:r w:rsidR="00E5649A" w:rsidRPr="00CD2210">
        <w:rPr>
          <w:bCs/>
          <w:sz w:val="24"/>
        </w:rPr>
        <w:t>the</w:t>
      </w:r>
      <w:r w:rsidRPr="00CD2210">
        <w:rPr>
          <w:bCs/>
          <w:sz w:val="24"/>
        </w:rPr>
        <w:t xml:space="preserve"> clearing firm for order entry.  </w:t>
      </w:r>
      <w:r w:rsidR="00082280" w:rsidRPr="00CD2210">
        <w:rPr>
          <w:bCs/>
          <w:sz w:val="24"/>
        </w:rPr>
        <w:t xml:space="preserve">Paper applications could continue to be forwarded via email, fax, USPS, or overnight delivery services depending on </w:t>
      </w:r>
      <w:r w:rsidR="00B0402B" w:rsidRPr="00CD2210">
        <w:rPr>
          <w:bCs/>
          <w:sz w:val="24"/>
        </w:rPr>
        <w:t xml:space="preserve">each mode’s </w:t>
      </w:r>
      <w:r w:rsidR="00082280" w:rsidRPr="00CD2210">
        <w:rPr>
          <w:bCs/>
          <w:sz w:val="24"/>
        </w:rPr>
        <w:t>availability</w:t>
      </w:r>
      <w:r w:rsidR="00B0402B" w:rsidRPr="00CD2210">
        <w:rPr>
          <w:bCs/>
          <w:sz w:val="24"/>
        </w:rPr>
        <w:t>.</w:t>
      </w:r>
    </w:p>
    <w:p w14:paraId="2CD80AE3" w14:textId="77777777" w:rsidR="000C099C" w:rsidRPr="00CD2210" w:rsidRDefault="000C099C" w:rsidP="00082280">
      <w:pPr>
        <w:rPr>
          <w:bCs/>
          <w:sz w:val="24"/>
        </w:rPr>
      </w:pPr>
    </w:p>
    <w:p w14:paraId="77266387" w14:textId="751C257E" w:rsidR="000C099C" w:rsidRDefault="000C099C" w:rsidP="004C3532">
      <w:pPr>
        <w:ind w:left="270"/>
        <w:rPr>
          <w:bCs/>
          <w:sz w:val="24"/>
        </w:rPr>
      </w:pPr>
      <w:r>
        <w:rPr>
          <w:b/>
          <w:bCs/>
          <w:sz w:val="24"/>
          <w:u w:val="single"/>
        </w:rPr>
        <w:t>Trade Reporting</w:t>
      </w:r>
      <w:r>
        <w:rPr>
          <w:bCs/>
          <w:sz w:val="24"/>
        </w:rPr>
        <w:t xml:space="preserve">:  </w:t>
      </w:r>
      <w:r w:rsidR="00D71A34" w:rsidRPr="00E87775">
        <w:rPr>
          <w:bCs/>
          <w:sz w:val="24"/>
        </w:rPr>
        <w:t>HT</w:t>
      </w:r>
      <w:r w:rsidRPr="00E87775">
        <w:rPr>
          <w:bCs/>
          <w:sz w:val="24"/>
        </w:rPr>
        <w:t xml:space="preserve">S currently reports all trades applicable to </w:t>
      </w:r>
      <w:r w:rsidR="00BE4FF6" w:rsidRPr="00930C77">
        <w:rPr>
          <w:bCs/>
          <w:sz w:val="24"/>
        </w:rPr>
        <w:t>C</w:t>
      </w:r>
      <w:r w:rsidRPr="00930C77">
        <w:rPr>
          <w:bCs/>
          <w:sz w:val="24"/>
        </w:rPr>
        <w:t>AT</w:t>
      </w:r>
      <w:r w:rsidRPr="00E87775">
        <w:rPr>
          <w:bCs/>
          <w:sz w:val="24"/>
        </w:rPr>
        <w:t xml:space="preserve">, TRACE, and MSRB/RTRS.  However, in the event of an SBD for </w:t>
      </w:r>
      <w:r w:rsidR="00D71A34" w:rsidRPr="00E87775">
        <w:rPr>
          <w:bCs/>
          <w:sz w:val="24"/>
        </w:rPr>
        <w:t>HT</w:t>
      </w:r>
      <w:r w:rsidRPr="00E87775">
        <w:rPr>
          <w:bCs/>
          <w:sz w:val="24"/>
        </w:rPr>
        <w:t>S</w:t>
      </w:r>
      <w:r>
        <w:rPr>
          <w:bCs/>
          <w:sz w:val="24"/>
        </w:rPr>
        <w:t>, the Company is registered to report its own trades on all three systems by either Morris Monroe or Laura Hendricks if necessary.</w:t>
      </w:r>
    </w:p>
    <w:p w14:paraId="16C533AC" w14:textId="77777777" w:rsidR="000C099C" w:rsidRDefault="000C099C" w:rsidP="005A525A">
      <w:pPr>
        <w:ind w:left="270"/>
        <w:jc w:val="both"/>
        <w:rPr>
          <w:bCs/>
          <w:sz w:val="24"/>
        </w:rPr>
      </w:pPr>
    </w:p>
    <w:p w14:paraId="265C0A41" w14:textId="77777777" w:rsidR="005A525A" w:rsidRDefault="005A525A">
      <w:pPr>
        <w:rPr>
          <w:b/>
          <w:sz w:val="24"/>
        </w:rPr>
      </w:pPr>
    </w:p>
    <w:p w14:paraId="34021F01" w14:textId="77777777" w:rsidR="000C099C" w:rsidRDefault="005A525A" w:rsidP="001A7509">
      <w:pPr>
        <w:pStyle w:val="Heading3"/>
      </w:pPr>
      <w:r>
        <w:t>1</w:t>
      </w:r>
      <w:r w:rsidR="00CD2210">
        <w:t>7</w:t>
      </w:r>
      <w:r>
        <w:t>.</w:t>
      </w:r>
      <w:r w:rsidR="00FD5F8D">
        <w:t>7</w:t>
      </w:r>
      <w:r>
        <w:t>.7</w:t>
      </w:r>
      <w:r w:rsidR="00B47074">
        <w:t xml:space="preserve"> </w:t>
      </w:r>
      <w:r w:rsidR="000C099C">
        <w:t>ALTERNATE COMMUNICATIONS</w:t>
      </w:r>
    </w:p>
    <w:p w14:paraId="506C3677" w14:textId="77777777" w:rsidR="000C099C" w:rsidRDefault="000C099C" w:rsidP="005A525A">
      <w:pPr>
        <w:ind w:left="270"/>
        <w:rPr>
          <w:b/>
          <w:sz w:val="24"/>
        </w:rPr>
      </w:pPr>
    </w:p>
    <w:p w14:paraId="6272498C" w14:textId="77777777" w:rsidR="000C099C" w:rsidRDefault="000C099C" w:rsidP="005A525A">
      <w:pPr>
        <w:ind w:left="270"/>
        <w:rPr>
          <w:sz w:val="24"/>
        </w:rPr>
      </w:pPr>
      <w:r>
        <w:rPr>
          <w:b/>
          <w:sz w:val="24"/>
          <w:u w:val="single"/>
        </w:rPr>
        <w:t>Customers</w:t>
      </w:r>
      <w:r>
        <w:rPr>
          <w:bCs/>
          <w:sz w:val="24"/>
        </w:rPr>
        <w:t xml:space="preserve">:  </w:t>
      </w:r>
      <w:r w:rsidR="000A0F56">
        <w:rPr>
          <w:sz w:val="24"/>
        </w:rPr>
        <w:t>Company</w:t>
      </w:r>
      <w:r>
        <w:rPr>
          <w:sz w:val="24"/>
        </w:rPr>
        <w:t xml:space="preserve"> communicate</w:t>
      </w:r>
      <w:r w:rsidR="000A0F56">
        <w:rPr>
          <w:sz w:val="24"/>
        </w:rPr>
        <w:t>s</w:t>
      </w:r>
      <w:r>
        <w:rPr>
          <w:sz w:val="24"/>
        </w:rPr>
        <w:t xml:space="preserve"> with customers using telephone, e-mail, our Web site, fax, U.S. mail, and in person visits at our firm or at the other’s location.  In the event of an </w:t>
      </w:r>
      <w:r>
        <w:rPr>
          <w:sz w:val="24"/>
        </w:rPr>
        <w:lastRenderedPageBreak/>
        <w:t xml:space="preserve">SBD, </w:t>
      </w:r>
      <w:r w:rsidR="000A0F56">
        <w:rPr>
          <w:sz w:val="24"/>
        </w:rPr>
        <w:t>Company</w:t>
      </w:r>
      <w:r>
        <w:rPr>
          <w:sz w:val="24"/>
        </w:rPr>
        <w:t xml:space="preserve"> will assess which means of communication are still available</w:t>
      </w:r>
      <w:r w:rsidR="00C01B79">
        <w:rPr>
          <w:sz w:val="24"/>
        </w:rPr>
        <w:t xml:space="preserve">, </w:t>
      </w:r>
      <w:r w:rsidR="00C01B79" w:rsidRPr="00CD2210">
        <w:rPr>
          <w:sz w:val="24"/>
        </w:rPr>
        <w:t>including social media,</w:t>
      </w:r>
      <w:r w:rsidRPr="00CD2210">
        <w:rPr>
          <w:sz w:val="24"/>
        </w:rPr>
        <w:t xml:space="preserve"> and use the means closest in speed and form (written or oral) to communicate with the </w:t>
      </w:r>
      <w:r>
        <w:rPr>
          <w:sz w:val="24"/>
        </w:rPr>
        <w:t xml:space="preserve">other party. For example, if </w:t>
      </w:r>
      <w:r w:rsidR="000A0F56">
        <w:rPr>
          <w:sz w:val="24"/>
        </w:rPr>
        <w:t>Company</w:t>
      </w:r>
      <w:r>
        <w:rPr>
          <w:sz w:val="24"/>
        </w:rPr>
        <w:t xml:space="preserve"> ha</w:t>
      </w:r>
      <w:r w:rsidR="000A0F56">
        <w:rPr>
          <w:sz w:val="24"/>
        </w:rPr>
        <w:t>s normally</w:t>
      </w:r>
      <w:r>
        <w:rPr>
          <w:sz w:val="24"/>
        </w:rPr>
        <w:t xml:space="preserve"> communicated with a party by e-mail but the I</w:t>
      </w:r>
      <w:r w:rsidR="000A0F56">
        <w:rPr>
          <w:sz w:val="24"/>
        </w:rPr>
        <w:t xml:space="preserve">nternet is unavailable, a telephone </w:t>
      </w:r>
      <w:r>
        <w:rPr>
          <w:sz w:val="24"/>
        </w:rPr>
        <w:t xml:space="preserve">call </w:t>
      </w:r>
      <w:r w:rsidR="000A0F56">
        <w:rPr>
          <w:sz w:val="24"/>
        </w:rPr>
        <w:t>can be placed</w:t>
      </w:r>
      <w:r>
        <w:rPr>
          <w:sz w:val="24"/>
        </w:rPr>
        <w:t xml:space="preserve"> and follow up where a record is needed with paper copy in the U.S. mail.  </w:t>
      </w:r>
    </w:p>
    <w:p w14:paraId="557C634A" w14:textId="77777777" w:rsidR="000C099C" w:rsidRDefault="000C099C" w:rsidP="005A525A">
      <w:pPr>
        <w:ind w:left="270"/>
        <w:rPr>
          <w:sz w:val="24"/>
        </w:rPr>
      </w:pPr>
    </w:p>
    <w:p w14:paraId="1FF9E926" w14:textId="77777777" w:rsidR="000C099C" w:rsidRDefault="000C099C" w:rsidP="005A525A">
      <w:pPr>
        <w:ind w:left="270"/>
        <w:rPr>
          <w:sz w:val="24"/>
        </w:rPr>
      </w:pPr>
      <w:r>
        <w:rPr>
          <w:b/>
          <w:bCs/>
          <w:sz w:val="24"/>
          <w:u w:val="single"/>
        </w:rPr>
        <w:t>Employees</w:t>
      </w:r>
      <w:r>
        <w:rPr>
          <w:sz w:val="24"/>
        </w:rPr>
        <w:t xml:space="preserve">:  </w:t>
      </w:r>
      <w:r w:rsidR="006464F1">
        <w:rPr>
          <w:sz w:val="24"/>
        </w:rPr>
        <w:t>Company</w:t>
      </w:r>
      <w:r>
        <w:rPr>
          <w:sz w:val="24"/>
        </w:rPr>
        <w:t xml:space="preserve"> communicate</w:t>
      </w:r>
      <w:r w:rsidR="006464F1">
        <w:rPr>
          <w:sz w:val="24"/>
        </w:rPr>
        <w:t>s</w:t>
      </w:r>
      <w:r>
        <w:rPr>
          <w:sz w:val="24"/>
        </w:rPr>
        <w:t xml:space="preserve"> with </w:t>
      </w:r>
      <w:r w:rsidR="006464F1">
        <w:rPr>
          <w:sz w:val="24"/>
        </w:rPr>
        <w:t>its</w:t>
      </w:r>
      <w:r>
        <w:rPr>
          <w:sz w:val="24"/>
        </w:rPr>
        <w:t xml:space="preserve"> employee using telephone, e-mail, and in person.  In the event of an SBD, </w:t>
      </w:r>
      <w:r w:rsidR="006464F1">
        <w:rPr>
          <w:sz w:val="24"/>
        </w:rPr>
        <w:t>it</w:t>
      </w:r>
      <w:r>
        <w:rPr>
          <w:sz w:val="24"/>
        </w:rPr>
        <w:t xml:space="preserve"> will assess which means of communication are still available and use the means closest in speed and form (written or oral) </w:t>
      </w:r>
      <w:r w:rsidR="000877F6" w:rsidRPr="00CD2210">
        <w:rPr>
          <w:sz w:val="24"/>
        </w:rPr>
        <w:t>and may also include texts or social media</w:t>
      </w:r>
      <w:r w:rsidRPr="00CD2210">
        <w:rPr>
          <w:sz w:val="24"/>
        </w:rPr>
        <w:t xml:space="preserve">. </w:t>
      </w:r>
      <w:r w:rsidR="006464F1" w:rsidRPr="00CD2210">
        <w:rPr>
          <w:sz w:val="24"/>
        </w:rPr>
        <w:t xml:space="preserve"> A call tree </w:t>
      </w:r>
      <w:r w:rsidRPr="00CD2210">
        <w:rPr>
          <w:sz w:val="24"/>
        </w:rPr>
        <w:t xml:space="preserve">will also </w:t>
      </w:r>
      <w:r w:rsidR="006464F1" w:rsidRPr="00CD2210">
        <w:rPr>
          <w:sz w:val="24"/>
        </w:rPr>
        <w:t xml:space="preserve">be </w:t>
      </w:r>
      <w:r w:rsidRPr="00CD2210">
        <w:rPr>
          <w:sz w:val="24"/>
        </w:rPr>
        <w:t>employ</w:t>
      </w:r>
      <w:r w:rsidR="006464F1" w:rsidRPr="00CD2210">
        <w:rPr>
          <w:sz w:val="24"/>
        </w:rPr>
        <w:t>ed</w:t>
      </w:r>
      <w:r w:rsidRPr="00CD2210">
        <w:rPr>
          <w:sz w:val="24"/>
        </w:rPr>
        <w:t xml:space="preserve"> so that senior management can reach </w:t>
      </w:r>
      <w:r>
        <w:rPr>
          <w:sz w:val="24"/>
        </w:rPr>
        <w:t xml:space="preserve">all employees quickly during an SBD.  The call tree includes all staff home and office phone numbers.  </w:t>
      </w:r>
      <w:r w:rsidR="006464F1">
        <w:rPr>
          <w:sz w:val="24"/>
        </w:rPr>
        <w:t xml:space="preserve">Persons </w:t>
      </w:r>
      <w:r>
        <w:rPr>
          <w:sz w:val="24"/>
        </w:rPr>
        <w:t xml:space="preserve">have </w:t>
      </w:r>
      <w:r w:rsidR="006464F1">
        <w:rPr>
          <w:sz w:val="24"/>
        </w:rPr>
        <w:t>been identified,</w:t>
      </w:r>
      <w:r>
        <w:rPr>
          <w:sz w:val="24"/>
        </w:rPr>
        <w:t xml:space="preserve"> noted below, who live near each other and may reach each other in person:</w:t>
      </w:r>
    </w:p>
    <w:p w14:paraId="5172136C" w14:textId="77777777" w:rsidR="00DE270E" w:rsidRDefault="00DE270E" w:rsidP="005A525A">
      <w:pPr>
        <w:ind w:left="270"/>
        <w:rPr>
          <w:sz w:val="24"/>
        </w:rPr>
      </w:pPr>
    </w:p>
    <w:p w14:paraId="205FEE0D" w14:textId="069F7DFE" w:rsidR="000C099C" w:rsidRPr="007A1667" w:rsidRDefault="000C099C" w:rsidP="005A525A">
      <w:pPr>
        <w:ind w:left="270"/>
        <w:rPr>
          <w:sz w:val="24"/>
        </w:rPr>
      </w:pPr>
      <w:r>
        <w:rPr>
          <w:sz w:val="24"/>
        </w:rPr>
        <w:t>The person to invoke use of the call tree is either Laura Hendricks</w:t>
      </w:r>
      <w:r w:rsidR="00527543">
        <w:rPr>
          <w:sz w:val="24"/>
        </w:rPr>
        <w:t xml:space="preserve">, </w:t>
      </w:r>
      <w:r>
        <w:rPr>
          <w:sz w:val="24"/>
        </w:rPr>
        <w:t xml:space="preserve">or </w:t>
      </w:r>
      <w:r w:rsidR="00DE270E" w:rsidRPr="007A1667">
        <w:rPr>
          <w:sz w:val="24"/>
        </w:rPr>
        <w:t>other Compliance personnel</w:t>
      </w:r>
      <w:r w:rsidR="004C3532" w:rsidRPr="007A1667">
        <w:rPr>
          <w:sz w:val="24"/>
        </w:rPr>
        <w:t>.</w:t>
      </w:r>
    </w:p>
    <w:p w14:paraId="1B3C3E12" w14:textId="77777777" w:rsidR="004C3532" w:rsidRDefault="004C3532">
      <w:pPr>
        <w:rPr>
          <w:sz w:val="24"/>
        </w:rPr>
      </w:pPr>
    </w:p>
    <w:tbl>
      <w:tblPr>
        <w:tblW w:w="918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2160"/>
        <w:gridCol w:w="1710"/>
        <w:gridCol w:w="1594"/>
        <w:gridCol w:w="1826"/>
      </w:tblGrid>
      <w:tr w:rsidR="000C099C" w14:paraId="4A09CF3E" w14:textId="77777777" w:rsidTr="00B62DA6">
        <w:trPr>
          <w:cantSplit/>
        </w:trPr>
        <w:tc>
          <w:tcPr>
            <w:tcW w:w="1890" w:type="dxa"/>
            <w:tcBorders>
              <w:bottom w:val="single" w:sz="4" w:space="0" w:color="auto"/>
            </w:tcBorders>
            <w:shd w:val="pct25" w:color="auto" w:fill="auto"/>
          </w:tcPr>
          <w:p w14:paraId="7125E7BE" w14:textId="77777777" w:rsidR="000C099C" w:rsidRDefault="000C099C">
            <w:pPr>
              <w:rPr>
                <w:rFonts w:ascii="Arial" w:hAnsi="Arial" w:cs="Arial"/>
                <w:b/>
                <w:sz w:val="24"/>
              </w:rPr>
            </w:pPr>
            <w:r>
              <w:rPr>
                <w:rFonts w:ascii="Arial" w:hAnsi="Arial" w:cs="Arial"/>
                <w:b/>
                <w:sz w:val="24"/>
              </w:rPr>
              <w:t xml:space="preserve">   Caller</w:t>
            </w:r>
          </w:p>
        </w:tc>
        <w:tc>
          <w:tcPr>
            <w:tcW w:w="2160" w:type="dxa"/>
            <w:tcBorders>
              <w:bottom w:val="single" w:sz="4" w:space="0" w:color="auto"/>
            </w:tcBorders>
            <w:shd w:val="pct25" w:color="auto" w:fill="auto"/>
          </w:tcPr>
          <w:p w14:paraId="56384E7F" w14:textId="77777777" w:rsidR="000C099C" w:rsidRDefault="000C099C">
            <w:pPr>
              <w:rPr>
                <w:rFonts w:ascii="Arial" w:hAnsi="Arial" w:cs="Arial"/>
                <w:b/>
                <w:sz w:val="24"/>
              </w:rPr>
            </w:pPr>
            <w:r>
              <w:rPr>
                <w:rFonts w:ascii="Arial" w:hAnsi="Arial" w:cs="Arial"/>
                <w:b/>
                <w:sz w:val="24"/>
              </w:rPr>
              <w:t xml:space="preserve"> Call Recipients</w:t>
            </w:r>
          </w:p>
        </w:tc>
        <w:tc>
          <w:tcPr>
            <w:tcW w:w="1710" w:type="dxa"/>
            <w:shd w:val="pct25" w:color="auto" w:fill="auto"/>
          </w:tcPr>
          <w:p w14:paraId="49283C52" w14:textId="77777777" w:rsidR="000C099C" w:rsidRDefault="000C099C">
            <w:pPr>
              <w:rPr>
                <w:rFonts w:ascii="Arial" w:hAnsi="Arial" w:cs="Arial"/>
                <w:b/>
                <w:sz w:val="24"/>
              </w:rPr>
            </w:pPr>
            <w:r>
              <w:rPr>
                <w:rFonts w:ascii="Arial" w:hAnsi="Arial" w:cs="Arial"/>
                <w:b/>
                <w:sz w:val="24"/>
              </w:rPr>
              <w:t>Home Number</w:t>
            </w:r>
          </w:p>
        </w:tc>
        <w:tc>
          <w:tcPr>
            <w:tcW w:w="1594" w:type="dxa"/>
            <w:shd w:val="pct25" w:color="auto" w:fill="auto"/>
          </w:tcPr>
          <w:p w14:paraId="279EFBFE" w14:textId="77777777" w:rsidR="000C099C" w:rsidRDefault="000C099C">
            <w:pPr>
              <w:rPr>
                <w:rFonts w:ascii="Arial" w:hAnsi="Arial" w:cs="Arial"/>
                <w:b/>
                <w:sz w:val="24"/>
              </w:rPr>
            </w:pPr>
            <w:r>
              <w:rPr>
                <w:rFonts w:ascii="Arial" w:hAnsi="Arial" w:cs="Arial"/>
                <w:b/>
                <w:sz w:val="24"/>
              </w:rPr>
              <w:t>Office Number</w:t>
            </w:r>
          </w:p>
        </w:tc>
        <w:tc>
          <w:tcPr>
            <w:tcW w:w="1826" w:type="dxa"/>
            <w:shd w:val="pct25" w:color="auto" w:fill="auto"/>
          </w:tcPr>
          <w:p w14:paraId="19360FD3" w14:textId="77777777" w:rsidR="000C099C" w:rsidRDefault="000C099C">
            <w:pPr>
              <w:rPr>
                <w:rFonts w:ascii="Arial" w:hAnsi="Arial" w:cs="Arial"/>
                <w:b/>
                <w:sz w:val="24"/>
              </w:rPr>
            </w:pPr>
            <w:r>
              <w:rPr>
                <w:rFonts w:ascii="Arial" w:hAnsi="Arial" w:cs="Arial"/>
                <w:b/>
                <w:sz w:val="24"/>
              </w:rPr>
              <w:t>Cell Number</w:t>
            </w:r>
          </w:p>
        </w:tc>
      </w:tr>
      <w:tr w:rsidR="00E80A76" w14:paraId="45A90CC5" w14:textId="77777777" w:rsidTr="00B62DA6">
        <w:trPr>
          <w:cantSplit/>
          <w:trHeight w:val="285"/>
        </w:trPr>
        <w:tc>
          <w:tcPr>
            <w:tcW w:w="1890" w:type="dxa"/>
            <w:vMerge w:val="restart"/>
            <w:tcBorders>
              <w:left w:val="single" w:sz="4" w:space="0" w:color="auto"/>
              <w:right w:val="single" w:sz="4" w:space="0" w:color="auto"/>
            </w:tcBorders>
          </w:tcPr>
          <w:p w14:paraId="2A5A2F28" w14:textId="77777777" w:rsidR="003E77F5" w:rsidRDefault="003E77F5" w:rsidP="003E77F5">
            <w:pPr>
              <w:pStyle w:val="Header"/>
              <w:tabs>
                <w:tab w:val="clear" w:pos="4320"/>
                <w:tab w:val="clear" w:pos="8640"/>
              </w:tabs>
              <w:rPr>
                <w:i/>
                <w:iCs/>
                <w:sz w:val="24"/>
              </w:rPr>
            </w:pPr>
            <w:r>
              <w:rPr>
                <w:i/>
                <w:iCs/>
                <w:sz w:val="24"/>
              </w:rPr>
              <w:t>Laura Hendricks</w:t>
            </w:r>
          </w:p>
          <w:p w14:paraId="60CFE9F2" w14:textId="77777777" w:rsidR="003E77F5" w:rsidRPr="005556C3" w:rsidRDefault="003E77F5" w:rsidP="003E77F5">
            <w:pPr>
              <w:pStyle w:val="Level1"/>
              <w:overflowPunct/>
              <w:autoSpaceDE/>
              <w:autoSpaceDN/>
              <w:adjustRightInd/>
              <w:textAlignment w:val="auto"/>
              <w:rPr>
                <w:i/>
                <w:iCs/>
              </w:rPr>
            </w:pPr>
            <w:r>
              <w:rPr>
                <w:rFonts w:ascii="Times New Roman" w:hAnsi="Times New Roman"/>
                <w:b w:val="0"/>
                <w:i/>
                <w:iCs/>
                <w:szCs w:val="24"/>
              </w:rPr>
              <w:t xml:space="preserve">(who has an outside  area code) </w:t>
            </w:r>
            <w:r w:rsidRPr="005556C3">
              <w:rPr>
                <w:rFonts w:ascii="Times New Roman" w:hAnsi="Times New Roman"/>
                <w:b w:val="0"/>
                <w:i/>
              </w:rPr>
              <w:t>or</w:t>
            </w:r>
          </w:p>
          <w:p w14:paraId="3505E1D7" w14:textId="234ECFA5" w:rsidR="00E80A76" w:rsidRDefault="003E77F5" w:rsidP="003E77F5">
            <w:pPr>
              <w:pStyle w:val="Header"/>
              <w:rPr>
                <w:rFonts w:cs="Arial"/>
                <w:i/>
                <w:sz w:val="24"/>
              </w:rPr>
            </w:pPr>
            <w:r>
              <w:rPr>
                <w:rFonts w:cs="Arial"/>
                <w:bCs/>
                <w:i/>
                <w:sz w:val="24"/>
              </w:rPr>
              <w:t>Morris Monroe</w:t>
            </w:r>
          </w:p>
        </w:tc>
        <w:tc>
          <w:tcPr>
            <w:tcW w:w="2160" w:type="dxa"/>
            <w:tcBorders>
              <w:top w:val="single" w:sz="4" w:space="0" w:color="auto"/>
              <w:left w:val="single" w:sz="4" w:space="0" w:color="auto"/>
              <w:bottom w:val="single" w:sz="4" w:space="0" w:color="auto"/>
            </w:tcBorders>
          </w:tcPr>
          <w:p w14:paraId="3DB5D218" w14:textId="77777777" w:rsidR="00E80A76" w:rsidRDefault="00E80A76">
            <w:pPr>
              <w:pStyle w:val="Header"/>
              <w:rPr>
                <w:rFonts w:cs="Arial"/>
                <w:i/>
                <w:sz w:val="24"/>
              </w:rPr>
            </w:pPr>
            <w:r>
              <w:rPr>
                <w:rFonts w:cs="Arial"/>
                <w:i/>
                <w:sz w:val="24"/>
              </w:rPr>
              <w:t>Jim Harris or</w:t>
            </w:r>
          </w:p>
        </w:tc>
        <w:tc>
          <w:tcPr>
            <w:tcW w:w="1710" w:type="dxa"/>
            <w:tcBorders>
              <w:bottom w:val="single" w:sz="4" w:space="0" w:color="auto"/>
            </w:tcBorders>
          </w:tcPr>
          <w:p w14:paraId="0349A629" w14:textId="77777777" w:rsidR="00E80A76" w:rsidRDefault="00E80A76">
            <w:pPr>
              <w:pStyle w:val="Header"/>
              <w:rPr>
                <w:rFonts w:cs="Arial"/>
                <w:i/>
                <w:sz w:val="24"/>
              </w:rPr>
            </w:pPr>
            <w:r>
              <w:rPr>
                <w:rFonts w:cs="Arial"/>
                <w:i/>
                <w:sz w:val="24"/>
              </w:rPr>
              <w:t>281-583-8213</w:t>
            </w:r>
          </w:p>
        </w:tc>
        <w:tc>
          <w:tcPr>
            <w:tcW w:w="1594" w:type="dxa"/>
            <w:tcBorders>
              <w:bottom w:val="single" w:sz="4" w:space="0" w:color="auto"/>
            </w:tcBorders>
          </w:tcPr>
          <w:p w14:paraId="3B78124A" w14:textId="77777777" w:rsidR="00E80A76" w:rsidRDefault="00E80A76">
            <w:pPr>
              <w:pStyle w:val="Header"/>
              <w:tabs>
                <w:tab w:val="clear" w:pos="4320"/>
                <w:tab w:val="clear" w:pos="8640"/>
              </w:tabs>
              <w:rPr>
                <w:rFonts w:cs="Arial"/>
                <w:i/>
                <w:sz w:val="24"/>
              </w:rPr>
            </w:pPr>
            <w:r>
              <w:rPr>
                <w:rFonts w:cs="Arial"/>
                <w:i/>
                <w:sz w:val="24"/>
              </w:rPr>
              <w:t>281-631-8520</w:t>
            </w:r>
          </w:p>
        </w:tc>
        <w:tc>
          <w:tcPr>
            <w:tcW w:w="1826" w:type="dxa"/>
            <w:tcBorders>
              <w:bottom w:val="single" w:sz="4" w:space="0" w:color="auto"/>
            </w:tcBorders>
          </w:tcPr>
          <w:p w14:paraId="08627ED9" w14:textId="77777777" w:rsidR="00E80A76" w:rsidRDefault="00E80A76">
            <w:pPr>
              <w:pStyle w:val="Header"/>
              <w:rPr>
                <w:rFonts w:cs="Arial"/>
                <w:i/>
                <w:sz w:val="24"/>
              </w:rPr>
            </w:pPr>
            <w:r>
              <w:rPr>
                <w:rFonts w:cs="Arial"/>
                <w:i/>
                <w:sz w:val="24"/>
              </w:rPr>
              <w:t>713-825-1421</w:t>
            </w:r>
          </w:p>
        </w:tc>
      </w:tr>
      <w:tr w:rsidR="00E80A76" w14:paraId="0DB9350C" w14:textId="77777777" w:rsidTr="00B62DA6">
        <w:trPr>
          <w:cantSplit/>
          <w:trHeight w:val="300"/>
        </w:trPr>
        <w:tc>
          <w:tcPr>
            <w:tcW w:w="1890" w:type="dxa"/>
            <w:vMerge/>
            <w:tcBorders>
              <w:left w:val="single" w:sz="4" w:space="0" w:color="auto"/>
              <w:right w:val="single" w:sz="4" w:space="0" w:color="auto"/>
            </w:tcBorders>
          </w:tcPr>
          <w:p w14:paraId="015BB56A" w14:textId="77777777" w:rsidR="00E80A76" w:rsidRDefault="00E80A76">
            <w:pPr>
              <w:pStyle w:val="Header"/>
              <w:rPr>
                <w:rFonts w:cs="Arial"/>
                <w:i/>
                <w:sz w:val="24"/>
              </w:rPr>
            </w:pPr>
          </w:p>
        </w:tc>
        <w:tc>
          <w:tcPr>
            <w:tcW w:w="2160" w:type="dxa"/>
            <w:tcBorders>
              <w:top w:val="single" w:sz="4" w:space="0" w:color="auto"/>
              <w:left w:val="single" w:sz="4" w:space="0" w:color="auto"/>
            </w:tcBorders>
          </w:tcPr>
          <w:p w14:paraId="364B60CD" w14:textId="77777777" w:rsidR="00E80A76" w:rsidRDefault="00E80A76">
            <w:pPr>
              <w:pStyle w:val="Header"/>
              <w:rPr>
                <w:rFonts w:cs="Arial"/>
                <w:i/>
                <w:sz w:val="24"/>
              </w:rPr>
            </w:pPr>
            <w:r>
              <w:rPr>
                <w:rFonts w:cs="Arial"/>
                <w:i/>
                <w:sz w:val="24"/>
              </w:rPr>
              <w:t>Cheryl Hurl</w:t>
            </w:r>
          </w:p>
        </w:tc>
        <w:tc>
          <w:tcPr>
            <w:tcW w:w="1710" w:type="dxa"/>
            <w:tcBorders>
              <w:top w:val="single" w:sz="4" w:space="0" w:color="auto"/>
            </w:tcBorders>
          </w:tcPr>
          <w:p w14:paraId="04CD6248" w14:textId="77777777" w:rsidR="00E80A76" w:rsidRDefault="00E80A76">
            <w:pPr>
              <w:pStyle w:val="Header"/>
              <w:rPr>
                <w:rFonts w:cs="Arial"/>
                <w:i/>
                <w:sz w:val="24"/>
              </w:rPr>
            </w:pPr>
            <w:r>
              <w:rPr>
                <w:rFonts w:cs="Arial"/>
                <w:i/>
                <w:sz w:val="24"/>
              </w:rPr>
              <w:t>281-487-1447</w:t>
            </w:r>
          </w:p>
        </w:tc>
        <w:tc>
          <w:tcPr>
            <w:tcW w:w="1594" w:type="dxa"/>
            <w:tcBorders>
              <w:top w:val="single" w:sz="4" w:space="0" w:color="auto"/>
            </w:tcBorders>
          </w:tcPr>
          <w:p w14:paraId="56401FE0" w14:textId="77777777" w:rsidR="00E80A76" w:rsidRDefault="00E80A76">
            <w:pPr>
              <w:pStyle w:val="Header"/>
              <w:rPr>
                <w:rFonts w:cs="Arial"/>
                <w:i/>
                <w:sz w:val="24"/>
              </w:rPr>
            </w:pPr>
            <w:r>
              <w:rPr>
                <w:rFonts w:cs="Arial"/>
                <w:i/>
                <w:sz w:val="24"/>
              </w:rPr>
              <w:t>281-631-8520</w:t>
            </w:r>
          </w:p>
        </w:tc>
        <w:tc>
          <w:tcPr>
            <w:tcW w:w="1826" w:type="dxa"/>
            <w:tcBorders>
              <w:top w:val="single" w:sz="4" w:space="0" w:color="auto"/>
            </w:tcBorders>
          </w:tcPr>
          <w:p w14:paraId="7513A54B" w14:textId="77777777" w:rsidR="00E80A76" w:rsidRDefault="00E80A76">
            <w:pPr>
              <w:pStyle w:val="Header"/>
              <w:rPr>
                <w:rFonts w:cs="Arial"/>
                <w:i/>
                <w:sz w:val="24"/>
              </w:rPr>
            </w:pPr>
            <w:r>
              <w:rPr>
                <w:rFonts w:cs="Arial"/>
                <w:i/>
                <w:sz w:val="24"/>
              </w:rPr>
              <w:t>281-684-0739</w:t>
            </w:r>
          </w:p>
        </w:tc>
      </w:tr>
      <w:tr w:rsidR="00E80A76" w14:paraId="55ED520C" w14:textId="77777777" w:rsidTr="00B62DA6">
        <w:trPr>
          <w:cantSplit/>
        </w:trPr>
        <w:tc>
          <w:tcPr>
            <w:tcW w:w="1890" w:type="dxa"/>
            <w:vMerge/>
            <w:tcBorders>
              <w:left w:val="single" w:sz="4" w:space="0" w:color="auto"/>
              <w:right w:val="single" w:sz="4" w:space="0" w:color="auto"/>
            </w:tcBorders>
          </w:tcPr>
          <w:p w14:paraId="1534B825" w14:textId="77777777" w:rsidR="00E80A76" w:rsidRDefault="00E80A76">
            <w:pPr>
              <w:pStyle w:val="Header"/>
              <w:tabs>
                <w:tab w:val="clear" w:pos="4320"/>
                <w:tab w:val="clear" w:pos="8640"/>
              </w:tabs>
              <w:ind w:left="360"/>
              <w:rPr>
                <w:rFonts w:cs="Arial"/>
                <w:bCs/>
                <w:i/>
                <w:sz w:val="24"/>
              </w:rPr>
            </w:pPr>
          </w:p>
        </w:tc>
        <w:tc>
          <w:tcPr>
            <w:tcW w:w="2160" w:type="dxa"/>
            <w:tcBorders>
              <w:left w:val="single" w:sz="4" w:space="0" w:color="auto"/>
            </w:tcBorders>
          </w:tcPr>
          <w:p w14:paraId="2289326B" w14:textId="77777777" w:rsidR="00E80A76" w:rsidRDefault="00E80A76" w:rsidP="00976734">
            <w:pPr>
              <w:rPr>
                <w:rFonts w:cs="Arial"/>
                <w:i/>
                <w:sz w:val="24"/>
              </w:rPr>
            </w:pPr>
            <w:r>
              <w:rPr>
                <w:rFonts w:cs="Arial"/>
                <w:i/>
                <w:sz w:val="24"/>
              </w:rPr>
              <w:t>Morris Monroe</w:t>
            </w:r>
          </w:p>
        </w:tc>
        <w:tc>
          <w:tcPr>
            <w:tcW w:w="1710" w:type="dxa"/>
          </w:tcPr>
          <w:p w14:paraId="045FF796" w14:textId="77777777" w:rsidR="00E80A76" w:rsidRPr="00B35659" w:rsidRDefault="00E80A76" w:rsidP="00976734">
            <w:pPr>
              <w:rPr>
                <w:bCs/>
                <w:i/>
                <w:iCs/>
                <w:sz w:val="24"/>
                <w:szCs w:val="24"/>
              </w:rPr>
            </w:pPr>
            <w:r w:rsidRPr="00B35659">
              <w:rPr>
                <w:bCs/>
                <w:i/>
                <w:iCs/>
                <w:sz w:val="24"/>
                <w:szCs w:val="24"/>
              </w:rPr>
              <w:t xml:space="preserve">281-364-1254    </w:t>
            </w:r>
          </w:p>
        </w:tc>
        <w:tc>
          <w:tcPr>
            <w:tcW w:w="1594" w:type="dxa"/>
          </w:tcPr>
          <w:p w14:paraId="70A9D842" w14:textId="77777777" w:rsidR="00E80A76" w:rsidRPr="00B35659" w:rsidRDefault="00E80A76" w:rsidP="00976734">
            <w:pPr>
              <w:rPr>
                <w:bCs/>
                <w:i/>
                <w:iCs/>
                <w:sz w:val="24"/>
                <w:szCs w:val="24"/>
              </w:rPr>
            </w:pPr>
            <w:r w:rsidRPr="00B35659">
              <w:rPr>
                <w:bCs/>
                <w:i/>
                <w:iCs/>
                <w:sz w:val="24"/>
                <w:szCs w:val="24"/>
              </w:rPr>
              <w:t xml:space="preserve">281-367-2483  </w:t>
            </w:r>
          </w:p>
        </w:tc>
        <w:tc>
          <w:tcPr>
            <w:tcW w:w="1826" w:type="dxa"/>
          </w:tcPr>
          <w:p w14:paraId="3EDA409B" w14:textId="77777777" w:rsidR="00E80A76" w:rsidRPr="00B35659" w:rsidRDefault="00E80A76" w:rsidP="00976734">
            <w:pPr>
              <w:rPr>
                <w:bCs/>
                <w:i/>
                <w:iCs/>
                <w:sz w:val="24"/>
                <w:szCs w:val="24"/>
              </w:rPr>
            </w:pPr>
            <w:r w:rsidRPr="00B35659">
              <w:rPr>
                <w:bCs/>
                <w:i/>
                <w:iCs/>
                <w:sz w:val="24"/>
                <w:szCs w:val="24"/>
              </w:rPr>
              <w:t>713-806-4076</w:t>
            </w:r>
          </w:p>
        </w:tc>
      </w:tr>
      <w:tr w:rsidR="00E80A76" w14:paraId="6DD81BA1" w14:textId="77777777" w:rsidTr="00B62DA6">
        <w:trPr>
          <w:cantSplit/>
        </w:trPr>
        <w:tc>
          <w:tcPr>
            <w:tcW w:w="1890" w:type="dxa"/>
            <w:vMerge/>
            <w:tcBorders>
              <w:left w:val="single" w:sz="4" w:space="0" w:color="auto"/>
              <w:right w:val="single" w:sz="4" w:space="0" w:color="auto"/>
            </w:tcBorders>
          </w:tcPr>
          <w:p w14:paraId="0C718B1A" w14:textId="77777777" w:rsidR="00E80A76" w:rsidRDefault="00E80A76">
            <w:pPr>
              <w:pStyle w:val="Header"/>
              <w:tabs>
                <w:tab w:val="clear" w:pos="4320"/>
                <w:tab w:val="clear" w:pos="8640"/>
              </w:tabs>
              <w:ind w:left="360"/>
              <w:rPr>
                <w:rFonts w:cs="Arial"/>
                <w:bCs/>
                <w:i/>
                <w:sz w:val="24"/>
              </w:rPr>
            </w:pPr>
          </w:p>
        </w:tc>
        <w:tc>
          <w:tcPr>
            <w:tcW w:w="2160" w:type="dxa"/>
            <w:tcBorders>
              <w:left w:val="single" w:sz="4" w:space="0" w:color="auto"/>
            </w:tcBorders>
          </w:tcPr>
          <w:p w14:paraId="7AF217C5" w14:textId="77777777" w:rsidR="00E80A76" w:rsidRDefault="00E80A76">
            <w:pPr>
              <w:rPr>
                <w:rFonts w:cs="Arial"/>
                <w:i/>
                <w:sz w:val="24"/>
              </w:rPr>
            </w:pPr>
            <w:r>
              <w:rPr>
                <w:rFonts w:cs="Arial"/>
                <w:i/>
                <w:sz w:val="24"/>
              </w:rPr>
              <w:t>Dennis McCullough</w:t>
            </w:r>
          </w:p>
        </w:tc>
        <w:tc>
          <w:tcPr>
            <w:tcW w:w="1710" w:type="dxa"/>
          </w:tcPr>
          <w:p w14:paraId="3486CAAA" w14:textId="77777777" w:rsidR="00E80A76" w:rsidRDefault="00E80A76">
            <w:pPr>
              <w:rPr>
                <w:rFonts w:cs="Arial"/>
                <w:i/>
                <w:sz w:val="24"/>
              </w:rPr>
            </w:pPr>
            <w:r>
              <w:rPr>
                <w:rFonts w:cs="Arial"/>
                <w:i/>
                <w:sz w:val="24"/>
              </w:rPr>
              <w:t>936-699-3079</w:t>
            </w:r>
          </w:p>
        </w:tc>
        <w:tc>
          <w:tcPr>
            <w:tcW w:w="1594" w:type="dxa"/>
          </w:tcPr>
          <w:p w14:paraId="3219BD64" w14:textId="77777777" w:rsidR="00E80A76" w:rsidRDefault="00E80A76">
            <w:pPr>
              <w:rPr>
                <w:rFonts w:cs="Arial"/>
                <w:i/>
                <w:sz w:val="24"/>
              </w:rPr>
            </w:pPr>
            <w:r>
              <w:rPr>
                <w:rFonts w:cs="Arial"/>
                <w:i/>
                <w:sz w:val="24"/>
              </w:rPr>
              <w:t>936-634-3378</w:t>
            </w:r>
          </w:p>
        </w:tc>
        <w:tc>
          <w:tcPr>
            <w:tcW w:w="1826" w:type="dxa"/>
          </w:tcPr>
          <w:p w14:paraId="208372CE" w14:textId="77777777" w:rsidR="00E80A76" w:rsidRDefault="00E80A76">
            <w:pPr>
              <w:rPr>
                <w:rFonts w:cs="Arial"/>
                <w:i/>
                <w:sz w:val="24"/>
              </w:rPr>
            </w:pPr>
            <w:r>
              <w:rPr>
                <w:rFonts w:cs="Arial"/>
                <w:i/>
                <w:sz w:val="24"/>
              </w:rPr>
              <w:t>936-414-1114</w:t>
            </w:r>
          </w:p>
        </w:tc>
      </w:tr>
      <w:tr w:rsidR="00E80A76" w14:paraId="305D6C9F" w14:textId="77777777" w:rsidTr="00B62DA6">
        <w:trPr>
          <w:cantSplit/>
        </w:trPr>
        <w:tc>
          <w:tcPr>
            <w:tcW w:w="1890" w:type="dxa"/>
            <w:vMerge/>
            <w:tcBorders>
              <w:left w:val="single" w:sz="4" w:space="0" w:color="auto"/>
              <w:right w:val="single" w:sz="4" w:space="0" w:color="auto"/>
            </w:tcBorders>
          </w:tcPr>
          <w:p w14:paraId="16A8E4AE" w14:textId="77777777" w:rsidR="00E80A76" w:rsidRDefault="00E80A76">
            <w:pPr>
              <w:pStyle w:val="Header"/>
              <w:tabs>
                <w:tab w:val="clear" w:pos="4320"/>
                <w:tab w:val="clear" w:pos="8640"/>
              </w:tabs>
              <w:ind w:left="360"/>
              <w:rPr>
                <w:rFonts w:cs="Arial"/>
                <w:bCs/>
                <w:i/>
                <w:sz w:val="24"/>
              </w:rPr>
            </w:pPr>
          </w:p>
        </w:tc>
        <w:tc>
          <w:tcPr>
            <w:tcW w:w="2160" w:type="dxa"/>
            <w:tcBorders>
              <w:left w:val="single" w:sz="4" w:space="0" w:color="auto"/>
            </w:tcBorders>
          </w:tcPr>
          <w:p w14:paraId="68599DFB" w14:textId="77777777" w:rsidR="00E80A76" w:rsidRDefault="00E80A76">
            <w:pPr>
              <w:rPr>
                <w:rFonts w:cs="Arial"/>
                <w:i/>
                <w:sz w:val="24"/>
              </w:rPr>
            </w:pPr>
            <w:r>
              <w:rPr>
                <w:rFonts w:cs="Arial"/>
                <w:i/>
                <w:sz w:val="24"/>
              </w:rPr>
              <w:t>Laura Hendricks</w:t>
            </w:r>
          </w:p>
        </w:tc>
        <w:tc>
          <w:tcPr>
            <w:tcW w:w="1710" w:type="dxa"/>
          </w:tcPr>
          <w:p w14:paraId="510E9DEB" w14:textId="77777777" w:rsidR="00E80A76" w:rsidRPr="008F3D2A" w:rsidRDefault="00E80A76">
            <w:pPr>
              <w:rPr>
                <w:rFonts w:cs="Arial"/>
                <w:i/>
                <w:sz w:val="24"/>
                <w:szCs w:val="24"/>
              </w:rPr>
            </w:pPr>
            <w:r w:rsidRPr="008F3D2A">
              <w:rPr>
                <w:bCs/>
                <w:i/>
                <w:iCs/>
                <w:sz w:val="24"/>
                <w:szCs w:val="24"/>
              </w:rPr>
              <w:t>936-321-1287</w:t>
            </w:r>
          </w:p>
        </w:tc>
        <w:tc>
          <w:tcPr>
            <w:tcW w:w="1594" w:type="dxa"/>
          </w:tcPr>
          <w:p w14:paraId="38CD2440" w14:textId="77777777" w:rsidR="00E80A76" w:rsidRPr="008F3D2A" w:rsidRDefault="00E80A76">
            <w:pPr>
              <w:rPr>
                <w:rFonts w:cs="Arial"/>
                <w:i/>
                <w:sz w:val="24"/>
                <w:szCs w:val="24"/>
              </w:rPr>
            </w:pPr>
            <w:r w:rsidRPr="008F3D2A">
              <w:rPr>
                <w:bCs/>
                <w:i/>
                <w:iCs/>
                <w:sz w:val="24"/>
                <w:szCs w:val="24"/>
              </w:rPr>
              <w:t>same</w:t>
            </w:r>
            <w:r w:rsidRPr="008F3D2A">
              <w:rPr>
                <w:bCs/>
                <w:i/>
                <w:iCs/>
                <w:sz w:val="24"/>
                <w:szCs w:val="24"/>
              </w:rPr>
              <w:tab/>
            </w:r>
          </w:p>
        </w:tc>
        <w:tc>
          <w:tcPr>
            <w:tcW w:w="1826" w:type="dxa"/>
          </w:tcPr>
          <w:p w14:paraId="30F489F6" w14:textId="77777777" w:rsidR="00E80A76" w:rsidRPr="00C21C75" w:rsidRDefault="00E80A76">
            <w:pPr>
              <w:rPr>
                <w:rFonts w:cs="Arial"/>
                <w:i/>
                <w:sz w:val="24"/>
                <w:szCs w:val="24"/>
              </w:rPr>
            </w:pPr>
            <w:r w:rsidRPr="00C21C75">
              <w:rPr>
                <w:bCs/>
                <w:i/>
                <w:iCs/>
                <w:sz w:val="24"/>
                <w:szCs w:val="24"/>
              </w:rPr>
              <w:t>816-805-7016</w:t>
            </w:r>
          </w:p>
        </w:tc>
      </w:tr>
      <w:tr w:rsidR="00E80A76" w14:paraId="1C8EF93E" w14:textId="77777777" w:rsidTr="00B62DA6">
        <w:trPr>
          <w:cantSplit/>
        </w:trPr>
        <w:tc>
          <w:tcPr>
            <w:tcW w:w="1890" w:type="dxa"/>
            <w:vMerge/>
            <w:tcBorders>
              <w:left w:val="single" w:sz="4" w:space="0" w:color="auto"/>
              <w:right w:val="single" w:sz="4" w:space="0" w:color="auto"/>
            </w:tcBorders>
          </w:tcPr>
          <w:p w14:paraId="0B1CE9D4" w14:textId="77777777" w:rsidR="00E80A76" w:rsidRDefault="00E80A76">
            <w:pPr>
              <w:pStyle w:val="Header"/>
              <w:tabs>
                <w:tab w:val="clear" w:pos="4320"/>
                <w:tab w:val="clear" w:pos="8640"/>
              </w:tabs>
              <w:ind w:left="360"/>
              <w:rPr>
                <w:rFonts w:cs="Arial"/>
                <w:bCs/>
                <w:i/>
                <w:sz w:val="24"/>
              </w:rPr>
            </w:pPr>
          </w:p>
        </w:tc>
        <w:tc>
          <w:tcPr>
            <w:tcW w:w="2160" w:type="dxa"/>
            <w:tcBorders>
              <w:left w:val="single" w:sz="4" w:space="0" w:color="auto"/>
            </w:tcBorders>
          </w:tcPr>
          <w:p w14:paraId="6F432A3A" w14:textId="77777777" w:rsidR="00E80A76" w:rsidRDefault="00E80A76">
            <w:pPr>
              <w:rPr>
                <w:rFonts w:cs="Arial"/>
                <w:i/>
                <w:sz w:val="24"/>
              </w:rPr>
            </w:pPr>
            <w:r>
              <w:rPr>
                <w:rFonts w:cs="Arial"/>
                <w:i/>
                <w:sz w:val="24"/>
              </w:rPr>
              <w:t>Gloria Sedita</w:t>
            </w:r>
          </w:p>
        </w:tc>
        <w:tc>
          <w:tcPr>
            <w:tcW w:w="1710" w:type="dxa"/>
          </w:tcPr>
          <w:p w14:paraId="7EB7E675" w14:textId="77777777" w:rsidR="00E80A76" w:rsidRPr="008F3D2A" w:rsidRDefault="00E80A76">
            <w:pPr>
              <w:rPr>
                <w:bCs/>
                <w:i/>
                <w:iCs/>
                <w:sz w:val="24"/>
                <w:szCs w:val="24"/>
              </w:rPr>
            </w:pPr>
            <w:r w:rsidRPr="008F3D2A">
              <w:rPr>
                <w:bCs/>
                <w:i/>
                <w:iCs/>
                <w:sz w:val="24"/>
                <w:szCs w:val="24"/>
              </w:rPr>
              <w:t>281-893-2795</w:t>
            </w:r>
          </w:p>
        </w:tc>
        <w:tc>
          <w:tcPr>
            <w:tcW w:w="1594" w:type="dxa"/>
          </w:tcPr>
          <w:p w14:paraId="70110C37" w14:textId="77777777" w:rsidR="00E80A76" w:rsidRPr="008F3D2A" w:rsidRDefault="00E80A76" w:rsidP="007E045B">
            <w:pPr>
              <w:rPr>
                <w:bCs/>
                <w:i/>
                <w:iCs/>
                <w:sz w:val="24"/>
                <w:szCs w:val="24"/>
              </w:rPr>
            </w:pPr>
            <w:r w:rsidRPr="008F3D2A">
              <w:rPr>
                <w:bCs/>
                <w:i/>
                <w:iCs/>
                <w:sz w:val="24"/>
                <w:szCs w:val="24"/>
              </w:rPr>
              <w:t>281-367-2483</w:t>
            </w:r>
          </w:p>
        </w:tc>
        <w:tc>
          <w:tcPr>
            <w:tcW w:w="1826" w:type="dxa"/>
          </w:tcPr>
          <w:p w14:paraId="590E819B" w14:textId="77777777" w:rsidR="00E80A76" w:rsidRPr="00C21C75" w:rsidRDefault="00E80A76">
            <w:pPr>
              <w:rPr>
                <w:bCs/>
                <w:i/>
                <w:iCs/>
                <w:sz w:val="24"/>
                <w:szCs w:val="24"/>
              </w:rPr>
            </w:pPr>
            <w:r w:rsidRPr="00C21C75">
              <w:rPr>
                <w:bCs/>
                <w:i/>
                <w:iCs/>
                <w:sz w:val="24"/>
                <w:szCs w:val="24"/>
              </w:rPr>
              <w:t>713-443-5852</w:t>
            </w:r>
          </w:p>
        </w:tc>
      </w:tr>
      <w:tr w:rsidR="00E80A76" w:rsidRPr="00CD2210" w14:paraId="17396583" w14:textId="77777777" w:rsidTr="00B62DA6">
        <w:trPr>
          <w:cantSplit/>
        </w:trPr>
        <w:tc>
          <w:tcPr>
            <w:tcW w:w="1890" w:type="dxa"/>
            <w:vMerge/>
            <w:tcBorders>
              <w:left w:val="single" w:sz="4" w:space="0" w:color="auto"/>
              <w:right w:val="single" w:sz="4" w:space="0" w:color="auto"/>
            </w:tcBorders>
          </w:tcPr>
          <w:p w14:paraId="33FC8283" w14:textId="77777777" w:rsidR="00E80A76" w:rsidRPr="00CD2210" w:rsidRDefault="00E80A76">
            <w:pPr>
              <w:pStyle w:val="Header"/>
              <w:tabs>
                <w:tab w:val="clear" w:pos="4320"/>
                <w:tab w:val="clear" w:pos="8640"/>
              </w:tabs>
              <w:ind w:left="360"/>
              <w:rPr>
                <w:rFonts w:cs="Arial"/>
                <w:bCs/>
                <w:i/>
                <w:sz w:val="24"/>
              </w:rPr>
            </w:pPr>
          </w:p>
        </w:tc>
        <w:tc>
          <w:tcPr>
            <w:tcW w:w="2160" w:type="dxa"/>
            <w:tcBorders>
              <w:left w:val="single" w:sz="4" w:space="0" w:color="auto"/>
            </w:tcBorders>
          </w:tcPr>
          <w:p w14:paraId="79279DE6" w14:textId="77777777" w:rsidR="00E80A76" w:rsidRPr="00CD2210" w:rsidRDefault="00E80A76">
            <w:pPr>
              <w:rPr>
                <w:rFonts w:cs="Arial"/>
                <w:i/>
                <w:sz w:val="24"/>
              </w:rPr>
            </w:pPr>
            <w:r w:rsidRPr="00CD2210">
              <w:rPr>
                <w:rFonts w:cs="Arial"/>
                <w:i/>
                <w:sz w:val="24"/>
              </w:rPr>
              <w:t>Christina Jenkins</w:t>
            </w:r>
          </w:p>
        </w:tc>
        <w:tc>
          <w:tcPr>
            <w:tcW w:w="1710" w:type="dxa"/>
          </w:tcPr>
          <w:p w14:paraId="7FE1773D" w14:textId="77777777" w:rsidR="00E80A76" w:rsidRPr="00CD2210" w:rsidRDefault="00E80A76">
            <w:pPr>
              <w:rPr>
                <w:bCs/>
                <w:i/>
                <w:iCs/>
                <w:sz w:val="24"/>
                <w:szCs w:val="24"/>
              </w:rPr>
            </w:pPr>
          </w:p>
        </w:tc>
        <w:tc>
          <w:tcPr>
            <w:tcW w:w="1594" w:type="dxa"/>
          </w:tcPr>
          <w:p w14:paraId="07A85494" w14:textId="77777777" w:rsidR="00E80A76" w:rsidRPr="00CD2210" w:rsidRDefault="00384B8D" w:rsidP="007E045B">
            <w:pPr>
              <w:rPr>
                <w:bCs/>
                <w:i/>
                <w:iCs/>
                <w:sz w:val="24"/>
                <w:szCs w:val="24"/>
              </w:rPr>
            </w:pPr>
            <w:r>
              <w:rPr>
                <w:bCs/>
                <w:i/>
                <w:iCs/>
                <w:sz w:val="24"/>
                <w:szCs w:val="24"/>
              </w:rPr>
              <w:t>281-367-2483</w:t>
            </w:r>
          </w:p>
        </w:tc>
        <w:tc>
          <w:tcPr>
            <w:tcW w:w="1826" w:type="dxa"/>
          </w:tcPr>
          <w:p w14:paraId="5FC15727" w14:textId="62A9FED9" w:rsidR="00E80A76" w:rsidRPr="00930C77" w:rsidRDefault="008523E1">
            <w:pPr>
              <w:rPr>
                <w:bCs/>
                <w:i/>
                <w:iCs/>
              </w:rPr>
            </w:pPr>
            <w:r w:rsidRPr="008523E1">
              <w:rPr>
                <w:bCs/>
                <w:i/>
                <w:iCs/>
                <w:color w:val="FF0000"/>
                <w:sz w:val="24"/>
              </w:rPr>
              <w:t>281-223-0075</w:t>
            </w:r>
          </w:p>
        </w:tc>
      </w:tr>
      <w:tr w:rsidR="00E80A76" w:rsidRPr="00CD2210" w14:paraId="5088A006" w14:textId="77777777" w:rsidTr="00B62DA6">
        <w:trPr>
          <w:cantSplit/>
        </w:trPr>
        <w:tc>
          <w:tcPr>
            <w:tcW w:w="1890" w:type="dxa"/>
            <w:vMerge/>
            <w:tcBorders>
              <w:left w:val="single" w:sz="4" w:space="0" w:color="auto"/>
              <w:right w:val="single" w:sz="4" w:space="0" w:color="auto"/>
            </w:tcBorders>
          </w:tcPr>
          <w:p w14:paraId="0FF80D1D" w14:textId="77777777" w:rsidR="00E80A76" w:rsidRPr="00CD2210" w:rsidRDefault="00E80A76">
            <w:pPr>
              <w:pStyle w:val="Header"/>
              <w:tabs>
                <w:tab w:val="clear" w:pos="4320"/>
                <w:tab w:val="clear" w:pos="8640"/>
              </w:tabs>
              <w:ind w:left="360"/>
              <w:rPr>
                <w:rFonts w:cs="Arial"/>
                <w:bCs/>
                <w:i/>
                <w:sz w:val="24"/>
              </w:rPr>
            </w:pPr>
          </w:p>
        </w:tc>
        <w:tc>
          <w:tcPr>
            <w:tcW w:w="2160" w:type="dxa"/>
            <w:tcBorders>
              <w:left w:val="single" w:sz="4" w:space="0" w:color="auto"/>
            </w:tcBorders>
          </w:tcPr>
          <w:p w14:paraId="3A1BBFB1" w14:textId="77777777" w:rsidR="00E80A76" w:rsidRPr="00CD2210" w:rsidRDefault="00E80A76" w:rsidP="00976734">
            <w:pPr>
              <w:rPr>
                <w:rFonts w:cs="Arial"/>
                <w:i/>
                <w:sz w:val="24"/>
              </w:rPr>
            </w:pPr>
            <w:r w:rsidRPr="00CD2210">
              <w:rPr>
                <w:rFonts w:cs="Arial"/>
                <w:i/>
                <w:sz w:val="24"/>
              </w:rPr>
              <w:t>David Vaughan</w:t>
            </w:r>
          </w:p>
        </w:tc>
        <w:tc>
          <w:tcPr>
            <w:tcW w:w="1710" w:type="dxa"/>
          </w:tcPr>
          <w:p w14:paraId="5595BEF1" w14:textId="77777777" w:rsidR="00E80A76" w:rsidRPr="00CD2210" w:rsidRDefault="00E80A76" w:rsidP="00976734">
            <w:pPr>
              <w:rPr>
                <w:rFonts w:cs="Arial"/>
                <w:i/>
                <w:sz w:val="24"/>
              </w:rPr>
            </w:pPr>
            <w:r w:rsidRPr="00CD2210">
              <w:rPr>
                <w:rFonts w:cs="Arial"/>
                <w:i/>
                <w:sz w:val="24"/>
              </w:rPr>
              <w:t>936-448-2017</w:t>
            </w:r>
          </w:p>
        </w:tc>
        <w:tc>
          <w:tcPr>
            <w:tcW w:w="1594" w:type="dxa"/>
          </w:tcPr>
          <w:p w14:paraId="6CCB14FD" w14:textId="77777777" w:rsidR="00E80A76" w:rsidRPr="00CD2210" w:rsidRDefault="00E80A76" w:rsidP="00976734">
            <w:pPr>
              <w:rPr>
                <w:rFonts w:cs="Arial"/>
                <w:i/>
                <w:sz w:val="24"/>
              </w:rPr>
            </w:pPr>
            <w:r w:rsidRPr="00CD2210">
              <w:rPr>
                <w:rFonts w:cs="Arial"/>
                <w:i/>
                <w:sz w:val="24"/>
              </w:rPr>
              <w:t>281-367-2483</w:t>
            </w:r>
          </w:p>
        </w:tc>
        <w:tc>
          <w:tcPr>
            <w:tcW w:w="1826" w:type="dxa"/>
          </w:tcPr>
          <w:p w14:paraId="45F12E43" w14:textId="77777777" w:rsidR="00E80A76" w:rsidRPr="00CD2210" w:rsidRDefault="00E80A76" w:rsidP="00976734">
            <w:pPr>
              <w:rPr>
                <w:rFonts w:cs="Arial"/>
                <w:i/>
                <w:sz w:val="24"/>
              </w:rPr>
            </w:pPr>
            <w:r w:rsidRPr="00CD2210">
              <w:rPr>
                <w:rFonts w:cs="Arial"/>
                <w:i/>
                <w:sz w:val="24"/>
              </w:rPr>
              <w:t>713-254-5454</w:t>
            </w:r>
          </w:p>
        </w:tc>
      </w:tr>
      <w:tr w:rsidR="00372974" w:rsidRPr="00CD2210" w14:paraId="127344B7" w14:textId="77777777" w:rsidTr="00B62DA6">
        <w:trPr>
          <w:cantSplit/>
        </w:trPr>
        <w:tc>
          <w:tcPr>
            <w:tcW w:w="1890" w:type="dxa"/>
            <w:tcBorders>
              <w:left w:val="single" w:sz="4" w:space="0" w:color="auto"/>
              <w:right w:val="single" w:sz="4" w:space="0" w:color="auto"/>
            </w:tcBorders>
          </w:tcPr>
          <w:p w14:paraId="5F12450A" w14:textId="77777777" w:rsidR="00372974" w:rsidRPr="00CD2210" w:rsidRDefault="00372974" w:rsidP="00372974">
            <w:pPr>
              <w:pStyle w:val="Header"/>
              <w:tabs>
                <w:tab w:val="clear" w:pos="4320"/>
                <w:tab w:val="clear" w:pos="8640"/>
              </w:tabs>
              <w:ind w:left="360"/>
              <w:rPr>
                <w:rFonts w:cs="Arial"/>
                <w:bCs/>
                <w:i/>
                <w:sz w:val="24"/>
              </w:rPr>
            </w:pPr>
          </w:p>
        </w:tc>
        <w:tc>
          <w:tcPr>
            <w:tcW w:w="2160" w:type="dxa"/>
            <w:tcBorders>
              <w:left w:val="single" w:sz="4" w:space="0" w:color="auto"/>
            </w:tcBorders>
          </w:tcPr>
          <w:p w14:paraId="5AEF7A5B" w14:textId="3A5D3D3E" w:rsidR="00372974" w:rsidRPr="00FD07DA" w:rsidRDefault="00FD07DA" w:rsidP="00372974">
            <w:pPr>
              <w:rPr>
                <w:rFonts w:cs="Arial"/>
                <w:i/>
                <w:color w:val="FF0000"/>
                <w:sz w:val="24"/>
              </w:rPr>
            </w:pPr>
            <w:r w:rsidRPr="00FD07DA">
              <w:rPr>
                <w:rFonts w:cs="Arial"/>
                <w:i/>
                <w:color w:val="FF0000"/>
                <w:sz w:val="24"/>
              </w:rPr>
              <w:t>Dan Baker</w:t>
            </w:r>
          </w:p>
        </w:tc>
        <w:tc>
          <w:tcPr>
            <w:tcW w:w="1710" w:type="dxa"/>
          </w:tcPr>
          <w:p w14:paraId="3035DA37" w14:textId="77777777" w:rsidR="00372974" w:rsidRPr="00FD07DA" w:rsidRDefault="00372974" w:rsidP="00372974">
            <w:pPr>
              <w:rPr>
                <w:i/>
                <w:color w:val="FF0000"/>
                <w:sz w:val="24"/>
                <w:szCs w:val="24"/>
              </w:rPr>
            </w:pPr>
          </w:p>
        </w:tc>
        <w:tc>
          <w:tcPr>
            <w:tcW w:w="1594" w:type="dxa"/>
          </w:tcPr>
          <w:p w14:paraId="1D012BB3" w14:textId="77777777" w:rsidR="00372974" w:rsidRPr="00FD07DA" w:rsidRDefault="00372974" w:rsidP="00372974">
            <w:pPr>
              <w:rPr>
                <w:color w:val="FF0000"/>
              </w:rPr>
            </w:pPr>
            <w:r w:rsidRPr="00FD07DA">
              <w:rPr>
                <w:rFonts w:cs="Arial"/>
                <w:i/>
                <w:color w:val="FF0000"/>
                <w:sz w:val="24"/>
              </w:rPr>
              <w:t>281-367-2483</w:t>
            </w:r>
          </w:p>
        </w:tc>
        <w:tc>
          <w:tcPr>
            <w:tcW w:w="1826" w:type="dxa"/>
          </w:tcPr>
          <w:p w14:paraId="50F642F3" w14:textId="493B01D6" w:rsidR="00372974" w:rsidRPr="00FD07DA" w:rsidRDefault="00FD07DA" w:rsidP="00372974">
            <w:pPr>
              <w:rPr>
                <w:bCs/>
                <w:i/>
                <w:iCs/>
                <w:color w:val="FF0000"/>
                <w:sz w:val="22"/>
                <w:szCs w:val="22"/>
              </w:rPr>
            </w:pPr>
            <w:r w:rsidRPr="00FD07DA">
              <w:rPr>
                <w:bCs/>
                <w:i/>
                <w:iCs/>
                <w:color w:val="FF0000"/>
                <w:sz w:val="22"/>
                <w:szCs w:val="22"/>
              </w:rPr>
              <w:t>(281) 961-4957</w:t>
            </w:r>
          </w:p>
        </w:tc>
      </w:tr>
      <w:tr w:rsidR="001E74F4" w:rsidRPr="00CD2210" w14:paraId="6E0E88F2" w14:textId="77777777" w:rsidTr="00B62DA6">
        <w:trPr>
          <w:cantSplit/>
        </w:trPr>
        <w:tc>
          <w:tcPr>
            <w:tcW w:w="1890" w:type="dxa"/>
            <w:tcBorders>
              <w:left w:val="single" w:sz="4" w:space="0" w:color="auto"/>
              <w:right w:val="single" w:sz="4" w:space="0" w:color="auto"/>
            </w:tcBorders>
          </w:tcPr>
          <w:p w14:paraId="76C441CC" w14:textId="77777777" w:rsidR="001E74F4" w:rsidRPr="00CD2210" w:rsidRDefault="001E74F4" w:rsidP="00372974">
            <w:pPr>
              <w:pStyle w:val="Header"/>
              <w:tabs>
                <w:tab w:val="clear" w:pos="4320"/>
                <w:tab w:val="clear" w:pos="8640"/>
              </w:tabs>
              <w:ind w:left="360"/>
              <w:rPr>
                <w:rFonts w:cs="Arial"/>
                <w:bCs/>
                <w:i/>
                <w:sz w:val="24"/>
              </w:rPr>
            </w:pPr>
          </w:p>
        </w:tc>
        <w:tc>
          <w:tcPr>
            <w:tcW w:w="2160" w:type="dxa"/>
            <w:tcBorders>
              <w:left w:val="single" w:sz="4" w:space="0" w:color="auto"/>
            </w:tcBorders>
          </w:tcPr>
          <w:p w14:paraId="621D34C8" w14:textId="42ED7B31" w:rsidR="001E74F4" w:rsidRPr="005556C3" w:rsidRDefault="001E74F4" w:rsidP="00372974">
            <w:pPr>
              <w:rPr>
                <w:rFonts w:cs="Arial"/>
                <w:i/>
                <w:sz w:val="24"/>
              </w:rPr>
            </w:pPr>
            <w:r w:rsidRPr="005556C3">
              <w:rPr>
                <w:rFonts w:cs="Arial"/>
                <w:i/>
                <w:sz w:val="24"/>
              </w:rPr>
              <w:t>Anna Garcia</w:t>
            </w:r>
          </w:p>
        </w:tc>
        <w:tc>
          <w:tcPr>
            <w:tcW w:w="1710" w:type="dxa"/>
          </w:tcPr>
          <w:p w14:paraId="157EB84C" w14:textId="77777777" w:rsidR="001E74F4" w:rsidRPr="005556C3" w:rsidRDefault="001E74F4" w:rsidP="00372974">
            <w:pPr>
              <w:rPr>
                <w:i/>
                <w:sz w:val="24"/>
                <w:szCs w:val="24"/>
              </w:rPr>
            </w:pPr>
          </w:p>
        </w:tc>
        <w:tc>
          <w:tcPr>
            <w:tcW w:w="1594" w:type="dxa"/>
          </w:tcPr>
          <w:p w14:paraId="3970F4B5" w14:textId="77777777" w:rsidR="001E74F4" w:rsidRPr="005556C3" w:rsidRDefault="001E74F4" w:rsidP="00372974">
            <w:pPr>
              <w:rPr>
                <w:rFonts w:cs="Arial"/>
                <w:i/>
                <w:sz w:val="24"/>
              </w:rPr>
            </w:pPr>
          </w:p>
        </w:tc>
        <w:tc>
          <w:tcPr>
            <w:tcW w:w="1826" w:type="dxa"/>
          </w:tcPr>
          <w:p w14:paraId="3D6886F7" w14:textId="65E90F1F" w:rsidR="001E74F4" w:rsidRPr="005556C3" w:rsidRDefault="001E74F4" w:rsidP="00372974">
            <w:pPr>
              <w:rPr>
                <w:bCs/>
                <w:i/>
                <w:iCs/>
                <w:sz w:val="22"/>
                <w:szCs w:val="22"/>
              </w:rPr>
            </w:pPr>
            <w:r w:rsidRPr="005556C3">
              <w:rPr>
                <w:bCs/>
                <w:i/>
                <w:iCs/>
                <w:sz w:val="22"/>
                <w:szCs w:val="22"/>
              </w:rPr>
              <w:t>(936) 240-9598</w:t>
            </w:r>
          </w:p>
        </w:tc>
      </w:tr>
      <w:tr w:rsidR="001E74F4" w:rsidRPr="00CD2210" w14:paraId="0557E602" w14:textId="77777777" w:rsidTr="00B62DA6">
        <w:trPr>
          <w:cantSplit/>
        </w:trPr>
        <w:tc>
          <w:tcPr>
            <w:tcW w:w="1890" w:type="dxa"/>
            <w:tcBorders>
              <w:left w:val="single" w:sz="4" w:space="0" w:color="auto"/>
              <w:right w:val="single" w:sz="4" w:space="0" w:color="auto"/>
            </w:tcBorders>
          </w:tcPr>
          <w:p w14:paraId="60BD9692" w14:textId="77777777" w:rsidR="001E74F4" w:rsidRPr="00CD2210" w:rsidRDefault="001E74F4" w:rsidP="00372974">
            <w:pPr>
              <w:pStyle w:val="Header"/>
              <w:tabs>
                <w:tab w:val="clear" w:pos="4320"/>
                <w:tab w:val="clear" w:pos="8640"/>
              </w:tabs>
              <w:ind w:left="360"/>
              <w:rPr>
                <w:rFonts w:cs="Arial"/>
                <w:bCs/>
                <w:i/>
                <w:sz w:val="24"/>
              </w:rPr>
            </w:pPr>
          </w:p>
        </w:tc>
        <w:tc>
          <w:tcPr>
            <w:tcW w:w="2160" w:type="dxa"/>
            <w:tcBorders>
              <w:left w:val="single" w:sz="4" w:space="0" w:color="auto"/>
            </w:tcBorders>
          </w:tcPr>
          <w:p w14:paraId="64465918" w14:textId="624E50B3" w:rsidR="001E74F4" w:rsidRPr="005556C3" w:rsidRDefault="001E74F4" w:rsidP="00372974">
            <w:pPr>
              <w:rPr>
                <w:rFonts w:cs="Arial"/>
                <w:i/>
                <w:sz w:val="24"/>
              </w:rPr>
            </w:pPr>
            <w:r w:rsidRPr="005556C3">
              <w:rPr>
                <w:rFonts w:cs="Arial"/>
                <w:i/>
                <w:sz w:val="24"/>
              </w:rPr>
              <w:t>Rehan Merchant</w:t>
            </w:r>
          </w:p>
        </w:tc>
        <w:tc>
          <w:tcPr>
            <w:tcW w:w="1710" w:type="dxa"/>
          </w:tcPr>
          <w:p w14:paraId="79D4E9CC" w14:textId="77777777" w:rsidR="001E74F4" w:rsidRPr="005556C3" w:rsidRDefault="001E74F4" w:rsidP="00372974">
            <w:pPr>
              <w:rPr>
                <w:i/>
                <w:sz w:val="24"/>
                <w:szCs w:val="24"/>
              </w:rPr>
            </w:pPr>
          </w:p>
        </w:tc>
        <w:tc>
          <w:tcPr>
            <w:tcW w:w="1594" w:type="dxa"/>
          </w:tcPr>
          <w:p w14:paraId="781A2F84" w14:textId="77777777" w:rsidR="001E74F4" w:rsidRPr="005556C3" w:rsidRDefault="001E74F4" w:rsidP="00372974">
            <w:pPr>
              <w:rPr>
                <w:rFonts w:cs="Arial"/>
                <w:i/>
                <w:sz w:val="24"/>
              </w:rPr>
            </w:pPr>
          </w:p>
        </w:tc>
        <w:tc>
          <w:tcPr>
            <w:tcW w:w="1826" w:type="dxa"/>
          </w:tcPr>
          <w:p w14:paraId="1F9DD743" w14:textId="1C4A6219" w:rsidR="001E74F4" w:rsidRPr="005556C3" w:rsidRDefault="001E74F4" w:rsidP="00372974">
            <w:pPr>
              <w:rPr>
                <w:bCs/>
                <w:i/>
                <w:iCs/>
                <w:sz w:val="22"/>
                <w:szCs w:val="22"/>
              </w:rPr>
            </w:pPr>
            <w:r w:rsidRPr="005556C3">
              <w:rPr>
                <w:bCs/>
                <w:i/>
                <w:iCs/>
                <w:sz w:val="22"/>
                <w:szCs w:val="22"/>
              </w:rPr>
              <w:t>(281) 546-6679</w:t>
            </w:r>
          </w:p>
        </w:tc>
      </w:tr>
      <w:tr w:rsidR="00F43809" w:rsidRPr="00CD2210" w14:paraId="6AD44BB0" w14:textId="77777777" w:rsidTr="00B62DA6">
        <w:trPr>
          <w:cantSplit/>
        </w:trPr>
        <w:tc>
          <w:tcPr>
            <w:tcW w:w="1890" w:type="dxa"/>
            <w:tcBorders>
              <w:left w:val="single" w:sz="4" w:space="0" w:color="auto"/>
              <w:right w:val="single" w:sz="4" w:space="0" w:color="auto"/>
            </w:tcBorders>
          </w:tcPr>
          <w:p w14:paraId="3E113F1C" w14:textId="77777777" w:rsidR="00F43809" w:rsidRPr="00CD2210" w:rsidRDefault="00F43809" w:rsidP="00372974">
            <w:pPr>
              <w:pStyle w:val="Header"/>
              <w:tabs>
                <w:tab w:val="clear" w:pos="4320"/>
                <w:tab w:val="clear" w:pos="8640"/>
              </w:tabs>
              <w:ind w:left="360"/>
              <w:rPr>
                <w:rFonts w:cs="Arial"/>
                <w:bCs/>
                <w:i/>
                <w:sz w:val="24"/>
              </w:rPr>
            </w:pPr>
          </w:p>
        </w:tc>
        <w:tc>
          <w:tcPr>
            <w:tcW w:w="2160" w:type="dxa"/>
            <w:tcBorders>
              <w:left w:val="single" w:sz="4" w:space="0" w:color="auto"/>
            </w:tcBorders>
          </w:tcPr>
          <w:p w14:paraId="36AEE69F" w14:textId="19CE4B38" w:rsidR="00F43809" w:rsidRPr="005556C3" w:rsidRDefault="00F43809" w:rsidP="00372974">
            <w:pPr>
              <w:rPr>
                <w:rFonts w:cs="Arial"/>
                <w:i/>
                <w:sz w:val="24"/>
              </w:rPr>
            </w:pPr>
            <w:r w:rsidRPr="005556C3">
              <w:rPr>
                <w:rFonts w:cs="Arial"/>
                <w:i/>
                <w:sz w:val="24"/>
              </w:rPr>
              <w:t>Connie Smith</w:t>
            </w:r>
          </w:p>
        </w:tc>
        <w:tc>
          <w:tcPr>
            <w:tcW w:w="1710" w:type="dxa"/>
          </w:tcPr>
          <w:p w14:paraId="6ED2263E" w14:textId="77777777" w:rsidR="00F43809" w:rsidRPr="005556C3" w:rsidRDefault="00F43809" w:rsidP="00372974">
            <w:pPr>
              <w:rPr>
                <w:i/>
                <w:sz w:val="24"/>
                <w:szCs w:val="24"/>
              </w:rPr>
            </w:pPr>
          </w:p>
        </w:tc>
        <w:tc>
          <w:tcPr>
            <w:tcW w:w="1594" w:type="dxa"/>
          </w:tcPr>
          <w:p w14:paraId="0F12197A" w14:textId="77777777" w:rsidR="00F43809" w:rsidRPr="005556C3" w:rsidRDefault="00F43809" w:rsidP="00372974">
            <w:pPr>
              <w:rPr>
                <w:rFonts w:cs="Arial"/>
                <w:i/>
                <w:sz w:val="24"/>
              </w:rPr>
            </w:pPr>
          </w:p>
        </w:tc>
        <w:tc>
          <w:tcPr>
            <w:tcW w:w="1826" w:type="dxa"/>
          </w:tcPr>
          <w:p w14:paraId="44682806" w14:textId="7DB2E064" w:rsidR="00F43809" w:rsidRPr="005556C3" w:rsidRDefault="00F43809" w:rsidP="00372974">
            <w:pPr>
              <w:rPr>
                <w:bCs/>
                <w:i/>
                <w:iCs/>
                <w:sz w:val="22"/>
                <w:szCs w:val="22"/>
              </w:rPr>
            </w:pPr>
            <w:r w:rsidRPr="005556C3">
              <w:rPr>
                <w:bCs/>
                <w:i/>
                <w:iCs/>
                <w:sz w:val="22"/>
                <w:szCs w:val="22"/>
              </w:rPr>
              <w:t>(936) 524-0203</w:t>
            </w:r>
          </w:p>
        </w:tc>
      </w:tr>
    </w:tbl>
    <w:p w14:paraId="6B1FCB30" w14:textId="77777777" w:rsidR="000C099C" w:rsidRPr="00CD2210" w:rsidRDefault="000C099C">
      <w:pPr>
        <w:ind w:left="360"/>
        <w:rPr>
          <w:bCs/>
          <w:i/>
          <w:iCs/>
        </w:rPr>
      </w:pPr>
      <w:r w:rsidRPr="00CD2210">
        <w:rPr>
          <w:bCs/>
          <w:i/>
          <w:iCs/>
        </w:rPr>
        <w:t xml:space="preserve">               </w:t>
      </w:r>
    </w:p>
    <w:p w14:paraId="3DC2DECF" w14:textId="77777777" w:rsidR="000C099C" w:rsidRDefault="000C099C" w:rsidP="00216F83">
      <w:pPr>
        <w:numPr>
          <w:ilvl w:val="1"/>
          <w:numId w:val="23"/>
        </w:numPr>
        <w:tabs>
          <w:tab w:val="clear" w:pos="2250"/>
          <w:tab w:val="num" w:pos="810"/>
        </w:tabs>
        <w:ind w:left="810" w:hanging="450"/>
        <w:rPr>
          <w:bCs/>
          <w:i/>
          <w:iCs/>
          <w:color w:val="0000FF"/>
          <w:sz w:val="24"/>
          <w:szCs w:val="24"/>
        </w:rPr>
      </w:pPr>
      <w:r>
        <w:rPr>
          <w:bCs/>
          <w:i/>
          <w:iCs/>
          <w:color w:val="0000FF"/>
          <w:sz w:val="24"/>
          <w:szCs w:val="24"/>
        </w:rPr>
        <w:t>Text Messaging may work more effectively for cell phone calls depending on disruption, as well as area codes outside the local area of disruption may work more effectively (Laura Hendricks</w:t>
      </w:r>
      <w:r w:rsidR="003727F4">
        <w:rPr>
          <w:bCs/>
          <w:i/>
          <w:iCs/>
          <w:color w:val="0000FF"/>
          <w:sz w:val="24"/>
          <w:szCs w:val="24"/>
        </w:rPr>
        <w:t xml:space="preserve"> – 816-805-7016</w:t>
      </w:r>
      <w:r>
        <w:rPr>
          <w:bCs/>
          <w:i/>
          <w:iCs/>
          <w:color w:val="0000FF"/>
          <w:sz w:val="24"/>
          <w:szCs w:val="24"/>
        </w:rPr>
        <w:t>).</w:t>
      </w:r>
    </w:p>
    <w:p w14:paraId="77EA741A" w14:textId="77777777" w:rsidR="000C099C" w:rsidRDefault="000C099C">
      <w:pPr>
        <w:ind w:left="1890"/>
        <w:rPr>
          <w:bCs/>
          <w:i/>
          <w:iCs/>
        </w:rPr>
      </w:pPr>
    </w:p>
    <w:p w14:paraId="7874FF87" w14:textId="77777777" w:rsidR="000C099C" w:rsidRDefault="000C099C">
      <w:pPr>
        <w:rPr>
          <w:b/>
          <w:sz w:val="24"/>
          <w:u w:val="single"/>
        </w:rPr>
      </w:pPr>
    </w:p>
    <w:p w14:paraId="3B7BE870" w14:textId="77777777" w:rsidR="000C099C" w:rsidRDefault="000C099C" w:rsidP="004C3532">
      <w:pPr>
        <w:ind w:left="270"/>
        <w:rPr>
          <w:sz w:val="24"/>
        </w:rPr>
      </w:pPr>
      <w:r>
        <w:rPr>
          <w:b/>
          <w:sz w:val="24"/>
          <w:u w:val="single"/>
        </w:rPr>
        <w:t>Regulators</w:t>
      </w:r>
      <w:r>
        <w:rPr>
          <w:bCs/>
          <w:sz w:val="24"/>
        </w:rPr>
        <w:t xml:space="preserve">:  </w:t>
      </w:r>
      <w:r w:rsidR="00B35659">
        <w:rPr>
          <w:bCs/>
          <w:sz w:val="24"/>
        </w:rPr>
        <w:t>Company</w:t>
      </w:r>
      <w:r>
        <w:rPr>
          <w:sz w:val="24"/>
        </w:rPr>
        <w:t xml:space="preserve"> </w:t>
      </w:r>
      <w:r w:rsidR="00372974">
        <w:rPr>
          <w:sz w:val="24"/>
        </w:rPr>
        <w:t xml:space="preserve">is </w:t>
      </w:r>
      <w:r>
        <w:rPr>
          <w:sz w:val="24"/>
        </w:rPr>
        <w:t>currently member of the SROs listed above under Company</w:t>
      </w:r>
      <w:r w:rsidR="005E394F">
        <w:rPr>
          <w:sz w:val="24"/>
        </w:rPr>
        <w:t xml:space="preserve"> </w:t>
      </w:r>
      <w:r>
        <w:rPr>
          <w:sz w:val="24"/>
        </w:rPr>
        <w:t>Assessment</w:t>
      </w:r>
      <w:r>
        <w:rPr>
          <w:i/>
          <w:iCs/>
          <w:sz w:val="24"/>
        </w:rPr>
        <w:t xml:space="preserve">.  </w:t>
      </w:r>
      <w:r w:rsidR="00B35659" w:rsidRPr="00B35659">
        <w:rPr>
          <w:iCs/>
          <w:sz w:val="24"/>
        </w:rPr>
        <w:t>C</w:t>
      </w:r>
      <w:r w:rsidRPr="00B35659">
        <w:rPr>
          <w:sz w:val="24"/>
        </w:rPr>
        <w:t>o</w:t>
      </w:r>
      <w:r w:rsidR="00B35659">
        <w:rPr>
          <w:sz w:val="24"/>
        </w:rPr>
        <w:t>mmunication</w:t>
      </w:r>
      <w:r>
        <w:rPr>
          <w:sz w:val="24"/>
        </w:rPr>
        <w:t xml:space="preserve"> with regulators </w:t>
      </w:r>
      <w:r w:rsidR="00B35659">
        <w:rPr>
          <w:sz w:val="24"/>
        </w:rPr>
        <w:t xml:space="preserve">occurs </w:t>
      </w:r>
      <w:r>
        <w:rPr>
          <w:sz w:val="24"/>
        </w:rPr>
        <w:t xml:space="preserve">using telephone, e-mail, fax, U.S. mail, and in person.  In the event of an SBD, </w:t>
      </w:r>
      <w:r w:rsidR="00B35659">
        <w:rPr>
          <w:sz w:val="24"/>
        </w:rPr>
        <w:t>Company</w:t>
      </w:r>
      <w:r>
        <w:rPr>
          <w:sz w:val="24"/>
        </w:rPr>
        <w:t xml:space="preserve"> will assess which means of co</w:t>
      </w:r>
      <w:r w:rsidR="00B35659">
        <w:rPr>
          <w:sz w:val="24"/>
        </w:rPr>
        <w:t xml:space="preserve">mmunication are still </w:t>
      </w:r>
      <w:r w:rsidR="00372974">
        <w:rPr>
          <w:sz w:val="24"/>
        </w:rPr>
        <w:t>available and</w:t>
      </w:r>
      <w:r>
        <w:rPr>
          <w:sz w:val="24"/>
        </w:rPr>
        <w:t xml:space="preserve"> use the means closest in speed and form (written or oral) to the </w:t>
      </w:r>
      <w:r w:rsidR="00D71A34">
        <w:rPr>
          <w:sz w:val="24"/>
        </w:rPr>
        <w:t>means used</w:t>
      </w:r>
      <w:r>
        <w:rPr>
          <w:sz w:val="24"/>
        </w:rPr>
        <w:t xml:space="preserve"> in the past.   In addition, </w:t>
      </w:r>
      <w:r w:rsidR="00B35659">
        <w:rPr>
          <w:sz w:val="24"/>
        </w:rPr>
        <w:t>Company</w:t>
      </w:r>
      <w:r>
        <w:rPr>
          <w:sz w:val="24"/>
        </w:rPr>
        <w:t xml:space="preserve"> will check with the SEC, </w:t>
      </w:r>
      <w:r w:rsidRPr="003A0A7B">
        <w:rPr>
          <w:sz w:val="24"/>
        </w:rPr>
        <w:t>FINRA</w:t>
      </w:r>
      <w:r>
        <w:rPr>
          <w:sz w:val="24"/>
        </w:rPr>
        <w:t xml:space="preserve">, and other regulators to determine which means of filing are still available </w:t>
      </w:r>
      <w:r w:rsidR="00B35659">
        <w:rPr>
          <w:sz w:val="24"/>
        </w:rPr>
        <w:t>in</w:t>
      </w:r>
      <w:r>
        <w:rPr>
          <w:sz w:val="24"/>
        </w:rPr>
        <w:t xml:space="preserve"> the event of an </w:t>
      </w:r>
      <w:r w:rsidR="00372974">
        <w:rPr>
          <w:sz w:val="24"/>
        </w:rPr>
        <w:t>SBD and</w:t>
      </w:r>
      <w:r>
        <w:rPr>
          <w:sz w:val="24"/>
        </w:rPr>
        <w:t xml:space="preserve"> use the means closest in speed and form (written or oral) to our previous filing method.  </w:t>
      </w:r>
      <w:r w:rsidR="00372974">
        <w:rPr>
          <w:sz w:val="24"/>
        </w:rPr>
        <w:t>If</w:t>
      </w:r>
      <w:r>
        <w:rPr>
          <w:sz w:val="24"/>
        </w:rPr>
        <w:t xml:space="preserve"> </w:t>
      </w:r>
      <w:r w:rsidR="00B35659">
        <w:rPr>
          <w:sz w:val="24"/>
        </w:rPr>
        <w:t>Company</w:t>
      </w:r>
      <w:r>
        <w:rPr>
          <w:sz w:val="24"/>
        </w:rPr>
        <w:t xml:space="preserve"> cannot contact regulators, </w:t>
      </w:r>
      <w:r w:rsidR="00B35659">
        <w:rPr>
          <w:sz w:val="24"/>
        </w:rPr>
        <w:t>it</w:t>
      </w:r>
      <w:r>
        <w:rPr>
          <w:sz w:val="24"/>
        </w:rPr>
        <w:t xml:space="preserve"> will continue to file required reports using the communication means available.  </w:t>
      </w:r>
    </w:p>
    <w:p w14:paraId="1B90D70C" w14:textId="77777777" w:rsidR="00520586" w:rsidRDefault="00520586" w:rsidP="004C3532">
      <w:pPr>
        <w:rPr>
          <w:sz w:val="24"/>
        </w:rPr>
      </w:pPr>
    </w:p>
    <w:p w14:paraId="1E96B058" w14:textId="77777777" w:rsidR="00520586" w:rsidRDefault="00520586" w:rsidP="004C3532"/>
    <w:p w14:paraId="15F7D04D" w14:textId="77777777" w:rsidR="000C099C" w:rsidRDefault="005A525A" w:rsidP="004C3532">
      <w:pPr>
        <w:pStyle w:val="Heading3"/>
        <w:jc w:val="left"/>
      </w:pPr>
      <w:r>
        <w:lastRenderedPageBreak/>
        <w:t>1</w:t>
      </w:r>
      <w:r w:rsidR="00CD2210">
        <w:t>7</w:t>
      </w:r>
      <w:r>
        <w:t>.</w:t>
      </w:r>
      <w:r w:rsidR="00FD5F8D">
        <w:t>7</w:t>
      </w:r>
      <w:r w:rsidR="00B47074">
        <w:t xml:space="preserve">.8 </w:t>
      </w:r>
      <w:r w:rsidR="000C099C">
        <w:t>PROCEDURE GRID</w:t>
      </w:r>
    </w:p>
    <w:p w14:paraId="5EFED384" w14:textId="77777777" w:rsidR="000C099C" w:rsidRDefault="000C099C" w:rsidP="004C3532">
      <w:pPr>
        <w:pStyle w:val="BodyText"/>
        <w:tabs>
          <w:tab w:val="left" w:pos="0"/>
        </w:tabs>
        <w:spacing w:before="0" w:after="0"/>
        <w:ind w:left="270"/>
        <w:jc w:val="left"/>
      </w:pPr>
      <w:r>
        <w:t>The following procedures have been established in the event a continuity plan had to be implemented</w:t>
      </w:r>
      <w:r w:rsidR="00947E92">
        <w:t>.</w:t>
      </w:r>
      <w:r>
        <w:t xml:space="preserve"> They are numbered and described and will be assigned to various types of contingencies plans for implementation.</w:t>
      </w:r>
    </w:p>
    <w:p w14:paraId="71055BF9" w14:textId="77777777" w:rsidR="005A525A" w:rsidRDefault="005A525A" w:rsidP="005A525A">
      <w:pPr>
        <w:pStyle w:val="BodyText"/>
        <w:tabs>
          <w:tab w:val="left" w:pos="0"/>
        </w:tabs>
        <w:spacing w:before="0" w:after="0"/>
        <w:ind w:left="27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665"/>
        <w:gridCol w:w="4228"/>
        <w:gridCol w:w="1455"/>
      </w:tblGrid>
      <w:tr w:rsidR="000C099C" w14:paraId="40D15F6F" w14:textId="77777777">
        <w:tc>
          <w:tcPr>
            <w:tcW w:w="570" w:type="dxa"/>
            <w:shd w:val="clear" w:color="auto" w:fill="E6E6E6"/>
          </w:tcPr>
          <w:p w14:paraId="75A6444F" w14:textId="77777777" w:rsidR="000C099C" w:rsidRDefault="000C099C">
            <w:pPr>
              <w:pStyle w:val="BodyText"/>
              <w:tabs>
                <w:tab w:val="left" w:pos="360"/>
              </w:tabs>
              <w:jc w:val="left"/>
              <w:rPr>
                <w:b/>
                <w:bCs/>
              </w:rPr>
            </w:pPr>
            <w:r>
              <w:rPr>
                <w:b/>
                <w:bCs/>
              </w:rPr>
              <w:t>No.</w:t>
            </w:r>
          </w:p>
        </w:tc>
        <w:tc>
          <w:tcPr>
            <w:tcW w:w="2868" w:type="dxa"/>
            <w:shd w:val="clear" w:color="auto" w:fill="E6E6E6"/>
          </w:tcPr>
          <w:p w14:paraId="0697776D" w14:textId="77777777" w:rsidR="000C099C" w:rsidRDefault="000C099C">
            <w:pPr>
              <w:pStyle w:val="BodyText"/>
              <w:tabs>
                <w:tab w:val="left" w:pos="360"/>
              </w:tabs>
              <w:jc w:val="left"/>
              <w:rPr>
                <w:b/>
                <w:bCs/>
              </w:rPr>
            </w:pPr>
            <w:r>
              <w:rPr>
                <w:b/>
                <w:bCs/>
              </w:rPr>
              <w:t>Effected Area</w:t>
            </w:r>
          </w:p>
        </w:tc>
        <w:tc>
          <w:tcPr>
            <w:tcW w:w="4320" w:type="dxa"/>
            <w:shd w:val="clear" w:color="auto" w:fill="E6E6E6"/>
          </w:tcPr>
          <w:p w14:paraId="7BCD3349" w14:textId="77777777" w:rsidR="000C099C" w:rsidRDefault="000C099C">
            <w:pPr>
              <w:pStyle w:val="BodyText"/>
              <w:tabs>
                <w:tab w:val="left" w:pos="360"/>
              </w:tabs>
              <w:jc w:val="left"/>
              <w:rPr>
                <w:b/>
                <w:bCs/>
              </w:rPr>
            </w:pPr>
            <w:r>
              <w:rPr>
                <w:b/>
                <w:bCs/>
              </w:rPr>
              <w:t>Procedure</w:t>
            </w:r>
          </w:p>
        </w:tc>
        <w:tc>
          <w:tcPr>
            <w:tcW w:w="1458" w:type="dxa"/>
            <w:shd w:val="clear" w:color="auto" w:fill="E6E6E6"/>
          </w:tcPr>
          <w:p w14:paraId="0A357B8C" w14:textId="77777777" w:rsidR="000C099C" w:rsidRDefault="000C099C">
            <w:pPr>
              <w:pStyle w:val="BodyText"/>
              <w:tabs>
                <w:tab w:val="left" w:pos="360"/>
              </w:tabs>
              <w:jc w:val="left"/>
              <w:rPr>
                <w:b/>
                <w:bCs/>
              </w:rPr>
            </w:pPr>
            <w:r>
              <w:rPr>
                <w:b/>
                <w:bCs/>
              </w:rPr>
              <w:t>Person(s) Responsible</w:t>
            </w:r>
          </w:p>
        </w:tc>
      </w:tr>
      <w:tr w:rsidR="000C099C" w14:paraId="5BE7B332" w14:textId="77777777">
        <w:tc>
          <w:tcPr>
            <w:tcW w:w="570" w:type="dxa"/>
          </w:tcPr>
          <w:p w14:paraId="3B46FA4B" w14:textId="77777777" w:rsidR="000C099C" w:rsidRDefault="000C099C">
            <w:pPr>
              <w:pStyle w:val="BodyText"/>
              <w:tabs>
                <w:tab w:val="left" w:pos="360"/>
              </w:tabs>
              <w:jc w:val="center"/>
              <w:rPr>
                <w:b/>
                <w:bCs/>
              </w:rPr>
            </w:pPr>
            <w:r>
              <w:rPr>
                <w:b/>
                <w:bCs/>
              </w:rPr>
              <w:t>1</w:t>
            </w:r>
          </w:p>
        </w:tc>
        <w:tc>
          <w:tcPr>
            <w:tcW w:w="2868" w:type="dxa"/>
          </w:tcPr>
          <w:p w14:paraId="2CFCE856" w14:textId="77777777" w:rsidR="000C099C" w:rsidRDefault="000C099C">
            <w:pPr>
              <w:pStyle w:val="BodyText"/>
              <w:tabs>
                <w:tab w:val="left" w:pos="360"/>
              </w:tabs>
              <w:jc w:val="left"/>
            </w:pPr>
            <w:r>
              <w:t xml:space="preserve">Telephone System </w:t>
            </w:r>
          </w:p>
          <w:p w14:paraId="7D6A03F4" w14:textId="77777777" w:rsidR="000C099C" w:rsidRDefault="000C099C">
            <w:pPr>
              <w:pStyle w:val="BodyText"/>
              <w:tabs>
                <w:tab w:val="left" w:pos="360"/>
              </w:tabs>
              <w:jc w:val="left"/>
            </w:pPr>
          </w:p>
        </w:tc>
        <w:tc>
          <w:tcPr>
            <w:tcW w:w="4320" w:type="dxa"/>
          </w:tcPr>
          <w:p w14:paraId="6726AA3D" w14:textId="77777777" w:rsidR="000C099C" w:rsidRPr="000522AF" w:rsidRDefault="000C099C" w:rsidP="000E0F24">
            <w:pPr>
              <w:pStyle w:val="BodyText"/>
              <w:tabs>
                <w:tab w:val="left" w:pos="360"/>
              </w:tabs>
              <w:jc w:val="left"/>
            </w:pPr>
            <w:r>
              <w:t xml:space="preserve">Contact </w:t>
            </w:r>
            <w:r w:rsidR="00876142" w:rsidRPr="000522AF">
              <w:t>DataVox</w:t>
            </w:r>
            <w:r w:rsidRPr="000522AF">
              <w:t xml:space="preserve"> </w:t>
            </w:r>
            <w:r w:rsidR="00876142" w:rsidRPr="000522AF">
              <w:rPr>
                <w:szCs w:val="24"/>
              </w:rPr>
              <w:t xml:space="preserve">713-881-5353; </w:t>
            </w:r>
            <w:r w:rsidR="00FF091B" w:rsidRPr="000522AF">
              <w:t>Report</w:t>
            </w:r>
            <w:r w:rsidRPr="000522AF">
              <w:t xml:space="preserve"> outage for repair to be setup, forward lines if applicable or </w:t>
            </w:r>
            <w:r w:rsidR="00B62232" w:rsidRPr="000522AF">
              <w:t xml:space="preserve">to </w:t>
            </w:r>
            <w:r w:rsidRPr="000522AF">
              <w:t>temporary cell phone. (</w:t>
            </w:r>
            <w:r w:rsidR="000E0F24" w:rsidRPr="000522AF">
              <w:t>A</w:t>
            </w:r>
            <w:r w:rsidRPr="000522AF">
              <w:t>lso inform Dennis McCullough 936-414-1114).</w:t>
            </w:r>
          </w:p>
          <w:p w14:paraId="515DD714" w14:textId="77777777" w:rsidR="00D17FE7" w:rsidRDefault="00D17FE7" w:rsidP="00D17FE7">
            <w:pPr>
              <w:pStyle w:val="BodyText"/>
              <w:tabs>
                <w:tab w:val="left" w:pos="360"/>
              </w:tabs>
              <w:spacing w:before="0" w:after="0"/>
              <w:jc w:val="left"/>
            </w:pPr>
            <w:r w:rsidRPr="000522AF">
              <w:t xml:space="preserve">Avaya Web Manger: 207.200.186.147 Login: </w:t>
            </w:r>
            <w:proofErr w:type="spellStart"/>
            <w:r w:rsidRPr="000522AF">
              <w:t>lmh</w:t>
            </w:r>
            <w:proofErr w:type="spellEnd"/>
            <w:r w:rsidRPr="000522AF">
              <w:t xml:space="preserve"> info/ System Settings/ Incoming Call Routing/ Edit main number/ Edit Main 5000 to new destination number (preceded by a “9”)/ Update/ and Update again.</w:t>
            </w:r>
          </w:p>
        </w:tc>
        <w:tc>
          <w:tcPr>
            <w:tcW w:w="1458" w:type="dxa"/>
          </w:tcPr>
          <w:p w14:paraId="1810E9D8" w14:textId="3E506F4E" w:rsidR="000C099C" w:rsidRDefault="000C099C" w:rsidP="00543B25">
            <w:pPr>
              <w:pStyle w:val="BodyText"/>
              <w:tabs>
                <w:tab w:val="left" w:pos="360"/>
              </w:tabs>
              <w:jc w:val="left"/>
            </w:pPr>
            <w:r>
              <w:t>MLM, LMH, CAJ</w:t>
            </w:r>
            <w:r w:rsidR="00C17316">
              <w:t xml:space="preserve">, </w:t>
            </w:r>
          </w:p>
        </w:tc>
      </w:tr>
      <w:tr w:rsidR="000C099C" w14:paraId="43BCF9B9" w14:textId="77777777">
        <w:tc>
          <w:tcPr>
            <w:tcW w:w="570" w:type="dxa"/>
          </w:tcPr>
          <w:p w14:paraId="62D27A0D" w14:textId="77777777" w:rsidR="000C099C" w:rsidRDefault="000C099C">
            <w:pPr>
              <w:pStyle w:val="BodyText"/>
              <w:tabs>
                <w:tab w:val="left" w:pos="360"/>
              </w:tabs>
              <w:jc w:val="center"/>
              <w:rPr>
                <w:b/>
                <w:bCs/>
              </w:rPr>
            </w:pPr>
            <w:r>
              <w:rPr>
                <w:b/>
                <w:bCs/>
              </w:rPr>
              <w:t>2</w:t>
            </w:r>
          </w:p>
        </w:tc>
        <w:tc>
          <w:tcPr>
            <w:tcW w:w="2868" w:type="dxa"/>
          </w:tcPr>
          <w:p w14:paraId="3FA12C59" w14:textId="77777777" w:rsidR="000C099C" w:rsidRDefault="000C099C">
            <w:pPr>
              <w:pStyle w:val="BodyText"/>
              <w:tabs>
                <w:tab w:val="left" w:pos="360"/>
              </w:tabs>
              <w:jc w:val="left"/>
            </w:pPr>
            <w:r>
              <w:t>Data Line (Internet Connection)</w:t>
            </w:r>
          </w:p>
        </w:tc>
        <w:tc>
          <w:tcPr>
            <w:tcW w:w="4320" w:type="dxa"/>
          </w:tcPr>
          <w:p w14:paraId="252F3431" w14:textId="77777777" w:rsidR="000C099C" w:rsidRDefault="000C099C">
            <w:pPr>
              <w:pStyle w:val="BodyText"/>
              <w:tabs>
                <w:tab w:val="left" w:pos="360"/>
              </w:tabs>
              <w:jc w:val="left"/>
            </w:pPr>
            <w:r>
              <w:t xml:space="preserve">Same as above.  If extended interruption, any </w:t>
            </w:r>
            <w:r w:rsidR="00FF091B">
              <w:t>offsite</w:t>
            </w:r>
            <w:r>
              <w:t xml:space="preserve"> computer with internet connection may be used for internet services.</w:t>
            </w:r>
          </w:p>
        </w:tc>
        <w:tc>
          <w:tcPr>
            <w:tcW w:w="1458" w:type="dxa"/>
          </w:tcPr>
          <w:p w14:paraId="1EF1F7D2" w14:textId="77777777" w:rsidR="000C099C" w:rsidRDefault="000C099C" w:rsidP="00C55A44">
            <w:pPr>
              <w:pStyle w:val="BodyText"/>
              <w:tabs>
                <w:tab w:val="left" w:pos="360"/>
              </w:tabs>
              <w:jc w:val="left"/>
            </w:pPr>
            <w:r>
              <w:t>MLM, CAJ</w:t>
            </w:r>
          </w:p>
        </w:tc>
      </w:tr>
      <w:tr w:rsidR="000C099C" w14:paraId="770087A8" w14:textId="77777777">
        <w:tc>
          <w:tcPr>
            <w:tcW w:w="570" w:type="dxa"/>
          </w:tcPr>
          <w:p w14:paraId="43C4FE28" w14:textId="77777777" w:rsidR="000C099C" w:rsidRDefault="000C099C">
            <w:pPr>
              <w:pStyle w:val="BodyText"/>
              <w:tabs>
                <w:tab w:val="left" w:pos="360"/>
              </w:tabs>
              <w:jc w:val="center"/>
              <w:rPr>
                <w:b/>
                <w:bCs/>
              </w:rPr>
            </w:pPr>
            <w:r>
              <w:rPr>
                <w:b/>
                <w:bCs/>
              </w:rPr>
              <w:t>3</w:t>
            </w:r>
          </w:p>
        </w:tc>
        <w:tc>
          <w:tcPr>
            <w:tcW w:w="2868" w:type="dxa"/>
          </w:tcPr>
          <w:p w14:paraId="77571719" w14:textId="77777777" w:rsidR="000C099C" w:rsidRDefault="000C099C">
            <w:pPr>
              <w:pStyle w:val="BodyText"/>
              <w:tabs>
                <w:tab w:val="left" w:pos="360"/>
              </w:tabs>
              <w:jc w:val="left"/>
            </w:pPr>
            <w:r>
              <w:t>Server/Computer Damage</w:t>
            </w:r>
          </w:p>
        </w:tc>
        <w:tc>
          <w:tcPr>
            <w:tcW w:w="4320" w:type="dxa"/>
          </w:tcPr>
          <w:p w14:paraId="631E20BA" w14:textId="77777777" w:rsidR="000C099C" w:rsidRDefault="000C099C">
            <w:pPr>
              <w:pStyle w:val="BodyText"/>
              <w:tabs>
                <w:tab w:val="left" w:pos="360"/>
              </w:tabs>
              <w:jc w:val="left"/>
            </w:pPr>
            <w:r>
              <w:t>Contact Dennis McCullough (936) 414-1114.  Obtain backup tape to restore latest information on a given computer, if applicable, or back onto server.  Implement offsite internet access to applicable programs or offsite employee loaded programs.</w:t>
            </w:r>
          </w:p>
        </w:tc>
        <w:tc>
          <w:tcPr>
            <w:tcW w:w="1458" w:type="dxa"/>
          </w:tcPr>
          <w:p w14:paraId="15DA6926" w14:textId="26358709" w:rsidR="000C099C" w:rsidRDefault="000C099C" w:rsidP="00543B25">
            <w:pPr>
              <w:pStyle w:val="BodyText"/>
              <w:tabs>
                <w:tab w:val="left" w:pos="360"/>
              </w:tabs>
              <w:jc w:val="left"/>
            </w:pPr>
            <w:r>
              <w:t>MLM, LMH, CAJ</w:t>
            </w:r>
            <w:r w:rsidR="00543B25">
              <w:t xml:space="preserve">, </w:t>
            </w:r>
          </w:p>
        </w:tc>
      </w:tr>
      <w:tr w:rsidR="000C099C" w14:paraId="50AA0436" w14:textId="77777777">
        <w:tc>
          <w:tcPr>
            <w:tcW w:w="570" w:type="dxa"/>
          </w:tcPr>
          <w:p w14:paraId="6A61225A" w14:textId="77777777" w:rsidR="000C099C" w:rsidRDefault="000C099C">
            <w:pPr>
              <w:pStyle w:val="BodyText"/>
              <w:tabs>
                <w:tab w:val="left" w:pos="360"/>
              </w:tabs>
              <w:jc w:val="center"/>
              <w:rPr>
                <w:b/>
                <w:bCs/>
              </w:rPr>
            </w:pPr>
            <w:r>
              <w:rPr>
                <w:b/>
                <w:bCs/>
              </w:rPr>
              <w:t>4</w:t>
            </w:r>
          </w:p>
        </w:tc>
        <w:tc>
          <w:tcPr>
            <w:tcW w:w="2868" w:type="dxa"/>
          </w:tcPr>
          <w:p w14:paraId="2B6FCD4F" w14:textId="77777777" w:rsidR="000C099C" w:rsidRDefault="000C099C">
            <w:pPr>
              <w:pStyle w:val="BodyText"/>
              <w:tabs>
                <w:tab w:val="left" w:pos="360"/>
              </w:tabs>
              <w:jc w:val="left"/>
            </w:pPr>
            <w:r>
              <w:t>Information Resources</w:t>
            </w:r>
          </w:p>
        </w:tc>
        <w:tc>
          <w:tcPr>
            <w:tcW w:w="4320" w:type="dxa"/>
          </w:tcPr>
          <w:p w14:paraId="7B2417C7" w14:textId="77777777" w:rsidR="000C099C" w:rsidRDefault="000C099C">
            <w:pPr>
              <w:pStyle w:val="BodyText"/>
              <w:tabs>
                <w:tab w:val="left" w:pos="360"/>
              </w:tabs>
              <w:jc w:val="left"/>
            </w:pPr>
            <w:r>
              <w:t xml:space="preserve">See resources from the above list for contact information.  Report information problem.  All </w:t>
            </w:r>
            <w:r w:rsidR="005E36C9">
              <w:t>internet-based</w:t>
            </w:r>
            <w:r>
              <w:t xml:space="preserve"> programs can be accessed from any computer with internet access</w:t>
            </w:r>
          </w:p>
        </w:tc>
        <w:tc>
          <w:tcPr>
            <w:tcW w:w="1458" w:type="dxa"/>
          </w:tcPr>
          <w:p w14:paraId="32B12375" w14:textId="77777777" w:rsidR="000C099C" w:rsidRDefault="000C099C">
            <w:pPr>
              <w:pStyle w:val="BodyText"/>
              <w:tabs>
                <w:tab w:val="left" w:pos="360"/>
              </w:tabs>
              <w:jc w:val="left"/>
            </w:pPr>
            <w:r>
              <w:t>All</w:t>
            </w:r>
          </w:p>
        </w:tc>
      </w:tr>
      <w:tr w:rsidR="000C099C" w14:paraId="469C57DB" w14:textId="77777777">
        <w:tc>
          <w:tcPr>
            <w:tcW w:w="570" w:type="dxa"/>
          </w:tcPr>
          <w:p w14:paraId="25707B1D" w14:textId="77777777" w:rsidR="000C099C" w:rsidRDefault="000C099C">
            <w:pPr>
              <w:pStyle w:val="BodyText"/>
              <w:tabs>
                <w:tab w:val="left" w:pos="360"/>
              </w:tabs>
              <w:jc w:val="center"/>
              <w:rPr>
                <w:b/>
                <w:bCs/>
              </w:rPr>
            </w:pPr>
            <w:r>
              <w:rPr>
                <w:b/>
                <w:bCs/>
              </w:rPr>
              <w:t>5</w:t>
            </w:r>
          </w:p>
        </w:tc>
        <w:tc>
          <w:tcPr>
            <w:tcW w:w="2868" w:type="dxa"/>
          </w:tcPr>
          <w:p w14:paraId="672FC5CC" w14:textId="77777777" w:rsidR="000C099C" w:rsidRDefault="000C099C">
            <w:pPr>
              <w:pStyle w:val="BodyText"/>
              <w:tabs>
                <w:tab w:val="left" w:pos="360"/>
              </w:tabs>
              <w:jc w:val="left"/>
            </w:pPr>
            <w:r>
              <w:t xml:space="preserve">Trading </w:t>
            </w:r>
            <w:r w:rsidR="00FF091B">
              <w:t>Interrupted</w:t>
            </w:r>
          </w:p>
        </w:tc>
        <w:tc>
          <w:tcPr>
            <w:tcW w:w="4320" w:type="dxa"/>
          </w:tcPr>
          <w:p w14:paraId="2EC42124" w14:textId="772E32E4" w:rsidR="000C099C" w:rsidRPr="00E87775" w:rsidRDefault="000C099C" w:rsidP="001C25AD">
            <w:pPr>
              <w:pStyle w:val="BodyText"/>
              <w:tabs>
                <w:tab w:val="left" w:pos="360"/>
              </w:tabs>
              <w:jc w:val="left"/>
            </w:pPr>
            <w:r w:rsidRPr="00E87775">
              <w:t xml:space="preserve">Anyone with access to internet can continue trading procedures through </w:t>
            </w:r>
            <w:r w:rsidR="00D71A34" w:rsidRPr="00E87775">
              <w:t>HT</w:t>
            </w:r>
            <w:r w:rsidRPr="00E87775">
              <w:t xml:space="preserve">S.  In </w:t>
            </w:r>
            <w:r w:rsidR="005E36C9" w:rsidRPr="00E87775">
              <w:t>addition,</w:t>
            </w:r>
            <w:r w:rsidRPr="00E87775">
              <w:t xml:space="preserve"> orders can be called in to </w:t>
            </w:r>
            <w:r w:rsidR="001C25AD" w:rsidRPr="00E87775">
              <w:t>HT</w:t>
            </w:r>
            <w:r w:rsidRPr="00E87775">
              <w:t>S (214) 859-1800.  Trading functions could be conducted from offsite personnel locations.</w:t>
            </w:r>
          </w:p>
        </w:tc>
        <w:tc>
          <w:tcPr>
            <w:tcW w:w="1458" w:type="dxa"/>
          </w:tcPr>
          <w:p w14:paraId="3538297C" w14:textId="481A8909" w:rsidR="000C099C" w:rsidRPr="00E87775" w:rsidRDefault="000C099C" w:rsidP="00543B25">
            <w:pPr>
              <w:pStyle w:val="BodyText"/>
              <w:tabs>
                <w:tab w:val="left" w:pos="360"/>
              </w:tabs>
              <w:jc w:val="left"/>
            </w:pPr>
            <w:r w:rsidRPr="00E87775">
              <w:t>LMH, MLM, DPV</w:t>
            </w:r>
            <w:r w:rsidR="00672437">
              <w:t>, GKS</w:t>
            </w:r>
          </w:p>
        </w:tc>
      </w:tr>
      <w:tr w:rsidR="000C099C" w14:paraId="0AB2FFFC" w14:textId="77777777">
        <w:tc>
          <w:tcPr>
            <w:tcW w:w="570" w:type="dxa"/>
          </w:tcPr>
          <w:p w14:paraId="76E35648" w14:textId="77777777" w:rsidR="000C099C" w:rsidRDefault="000C099C">
            <w:pPr>
              <w:pStyle w:val="BodyText"/>
              <w:tabs>
                <w:tab w:val="left" w:pos="360"/>
              </w:tabs>
              <w:jc w:val="center"/>
              <w:rPr>
                <w:b/>
                <w:bCs/>
              </w:rPr>
            </w:pPr>
            <w:r>
              <w:rPr>
                <w:b/>
                <w:bCs/>
              </w:rPr>
              <w:t>6</w:t>
            </w:r>
          </w:p>
        </w:tc>
        <w:tc>
          <w:tcPr>
            <w:tcW w:w="2868" w:type="dxa"/>
          </w:tcPr>
          <w:p w14:paraId="0A71ED50" w14:textId="77777777" w:rsidR="000C099C" w:rsidRDefault="000C099C">
            <w:pPr>
              <w:pStyle w:val="BodyText"/>
              <w:tabs>
                <w:tab w:val="left" w:pos="360"/>
              </w:tabs>
              <w:jc w:val="left"/>
            </w:pPr>
            <w:r>
              <w:t>Customer Account Information</w:t>
            </w:r>
          </w:p>
        </w:tc>
        <w:tc>
          <w:tcPr>
            <w:tcW w:w="4320" w:type="dxa"/>
          </w:tcPr>
          <w:p w14:paraId="4FA9D1EE" w14:textId="77777777" w:rsidR="000C099C" w:rsidRPr="00E87775" w:rsidRDefault="000C099C" w:rsidP="00D71A34">
            <w:pPr>
              <w:pStyle w:val="BodyText"/>
              <w:tabs>
                <w:tab w:val="left" w:pos="360"/>
              </w:tabs>
              <w:jc w:val="left"/>
            </w:pPr>
            <w:r w:rsidRPr="00E87775">
              <w:t xml:space="preserve">Contact Custodian </w:t>
            </w:r>
            <w:r w:rsidR="00D71A34" w:rsidRPr="00E87775">
              <w:t>HT</w:t>
            </w:r>
            <w:r w:rsidRPr="00E87775">
              <w:t xml:space="preserve">S (see information above under Resources).  All customer information can be accessed via internet </w:t>
            </w:r>
            <w:r w:rsidRPr="00E87775">
              <w:lastRenderedPageBreak/>
              <w:t>connection.  All confirms and st</w:t>
            </w:r>
            <w:r w:rsidR="007B7E08" w:rsidRPr="00E87775">
              <w:t>atements provided by Custodians.</w:t>
            </w:r>
          </w:p>
        </w:tc>
        <w:tc>
          <w:tcPr>
            <w:tcW w:w="1458" w:type="dxa"/>
          </w:tcPr>
          <w:p w14:paraId="40E77652" w14:textId="3C491DA1" w:rsidR="000C099C" w:rsidRPr="00E87775" w:rsidRDefault="000C099C" w:rsidP="001C25AD">
            <w:pPr>
              <w:pStyle w:val="BodyText"/>
              <w:tabs>
                <w:tab w:val="left" w:pos="360"/>
              </w:tabs>
              <w:jc w:val="left"/>
            </w:pPr>
            <w:r w:rsidRPr="00E87775">
              <w:lastRenderedPageBreak/>
              <w:t>MLM, LMH, G</w:t>
            </w:r>
            <w:r w:rsidR="00672437">
              <w:t>K</w:t>
            </w:r>
            <w:r w:rsidRPr="00E87775">
              <w:t xml:space="preserve">S, </w:t>
            </w:r>
            <w:r w:rsidR="00536622">
              <w:t xml:space="preserve"> DEB</w:t>
            </w:r>
          </w:p>
        </w:tc>
      </w:tr>
      <w:tr w:rsidR="000C099C" w14:paraId="7DEAF31D" w14:textId="77777777">
        <w:tc>
          <w:tcPr>
            <w:tcW w:w="570" w:type="dxa"/>
          </w:tcPr>
          <w:p w14:paraId="10131202" w14:textId="77777777" w:rsidR="000C099C" w:rsidRDefault="000C099C">
            <w:pPr>
              <w:pStyle w:val="BodyText"/>
              <w:tabs>
                <w:tab w:val="left" w:pos="360"/>
              </w:tabs>
              <w:jc w:val="center"/>
              <w:rPr>
                <w:b/>
                <w:bCs/>
              </w:rPr>
            </w:pPr>
            <w:r>
              <w:rPr>
                <w:b/>
                <w:bCs/>
              </w:rPr>
              <w:t>7</w:t>
            </w:r>
          </w:p>
        </w:tc>
        <w:tc>
          <w:tcPr>
            <w:tcW w:w="2868" w:type="dxa"/>
          </w:tcPr>
          <w:p w14:paraId="46A697B0" w14:textId="77777777" w:rsidR="000C099C" w:rsidRDefault="000C099C">
            <w:pPr>
              <w:pStyle w:val="BodyText"/>
              <w:tabs>
                <w:tab w:val="left" w:pos="360"/>
              </w:tabs>
              <w:jc w:val="left"/>
            </w:pPr>
            <w:r>
              <w:t>Employee Contact</w:t>
            </w:r>
          </w:p>
        </w:tc>
        <w:tc>
          <w:tcPr>
            <w:tcW w:w="4320" w:type="dxa"/>
          </w:tcPr>
          <w:p w14:paraId="0016274A" w14:textId="77777777" w:rsidR="000C099C" w:rsidRDefault="000C099C">
            <w:pPr>
              <w:pStyle w:val="BodyText"/>
              <w:tabs>
                <w:tab w:val="left" w:pos="360"/>
              </w:tabs>
              <w:jc w:val="left"/>
            </w:pPr>
            <w:r>
              <w:t xml:space="preserve">See employee contact information below.  In the event employees need to be contacted, all modes of communication will be attempted.  In the event of a disaster, all employees available will be contacted and meet at MLM residence for further conference for implementation of planning and processes. </w:t>
            </w:r>
          </w:p>
        </w:tc>
        <w:tc>
          <w:tcPr>
            <w:tcW w:w="1458" w:type="dxa"/>
          </w:tcPr>
          <w:p w14:paraId="6CEDE805" w14:textId="77777777" w:rsidR="000C099C" w:rsidRDefault="000C099C">
            <w:pPr>
              <w:pStyle w:val="BodyText"/>
              <w:tabs>
                <w:tab w:val="left" w:pos="360"/>
              </w:tabs>
              <w:jc w:val="left"/>
            </w:pPr>
            <w:r>
              <w:t>All</w:t>
            </w:r>
          </w:p>
        </w:tc>
      </w:tr>
      <w:tr w:rsidR="000C099C" w14:paraId="093CD9B3" w14:textId="77777777">
        <w:tc>
          <w:tcPr>
            <w:tcW w:w="570" w:type="dxa"/>
          </w:tcPr>
          <w:p w14:paraId="397D8B5C" w14:textId="77777777" w:rsidR="000C099C" w:rsidRDefault="000C099C">
            <w:pPr>
              <w:pStyle w:val="BodyText"/>
              <w:tabs>
                <w:tab w:val="left" w:pos="360"/>
              </w:tabs>
              <w:jc w:val="center"/>
              <w:rPr>
                <w:b/>
                <w:bCs/>
              </w:rPr>
            </w:pPr>
            <w:r>
              <w:rPr>
                <w:b/>
                <w:bCs/>
              </w:rPr>
              <w:t>8</w:t>
            </w:r>
          </w:p>
        </w:tc>
        <w:tc>
          <w:tcPr>
            <w:tcW w:w="2868" w:type="dxa"/>
          </w:tcPr>
          <w:p w14:paraId="20580A96" w14:textId="77777777" w:rsidR="000C099C" w:rsidRDefault="000C099C">
            <w:pPr>
              <w:pStyle w:val="BodyText"/>
              <w:tabs>
                <w:tab w:val="left" w:pos="360"/>
              </w:tabs>
              <w:jc w:val="left"/>
            </w:pPr>
            <w:r>
              <w:t xml:space="preserve">Email </w:t>
            </w:r>
          </w:p>
        </w:tc>
        <w:tc>
          <w:tcPr>
            <w:tcW w:w="4320" w:type="dxa"/>
          </w:tcPr>
          <w:p w14:paraId="6C9ADEE0" w14:textId="77777777" w:rsidR="000C099C" w:rsidRDefault="000C099C">
            <w:pPr>
              <w:pStyle w:val="BodyText"/>
              <w:tabs>
                <w:tab w:val="left" w:pos="360"/>
              </w:tabs>
              <w:jc w:val="left"/>
            </w:pPr>
            <w:r>
              <w:t>In the event email is disrupted, use the following email addresses:</w:t>
            </w:r>
          </w:p>
          <w:p w14:paraId="0C653509" w14:textId="77777777" w:rsidR="000C099C" w:rsidRDefault="000C099C">
            <w:pPr>
              <w:pStyle w:val="BodyText"/>
              <w:tabs>
                <w:tab w:val="left" w:pos="360"/>
              </w:tabs>
              <w:jc w:val="left"/>
            </w:pPr>
            <w:r>
              <w:t xml:space="preserve">Morris Monroe: </w:t>
            </w:r>
            <w:hyperlink r:id="rId147" w:history="1">
              <w:r w:rsidR="00EF75C4" w:rsidRPr="00C21C75">
                <w:rPr>
                  <w:rStyle w:val="Hyperlink"/>
                </w:rPr>
                <w:t>tesa@the4monroes.com</w:t>
              </w:r>
            </w:hyperlink>
          </w:p>
          <w:p w14:paraId="21B03EE9" w14:textId="77777777" w:rsidR="000C099C" w:rsidRDefault="000C099C">
            <w:pPr>
              <w:pStyle w:val="BodyText"/>
              <w:tabs>
                <w:tab w:val="left" w:pos="360"/>
              </w:tabs>
              <w:jc w:val="left"/>
            </w:pPr>
            <w:r>
              <w:t xml:space="preserve">Laura Hendricks: </w:t>
            </w:r>
            <w:hyperlink r:id="rId148" w:history="1">
              <w:r w:rsidR="005528CB" w:rsidRPr="003E7B07">
                <w:rPr>
                  <w:rStyle w:val="Hyperlink"/>
                </w:rPr>
                <w:t>hendricks5@live.com</w:t>
              </w:r>
            </w:hyperlink>
            <w:r w:rsidR="005528CB">
              <w:rPr>
                <w:color w:val="FF0000"/>
                <w:u w:val="single"/>
              </w:rPr>
              <w:t xml:space="preserve"> </w:t>
            </w:r>
          </w:p>
          <w:p w14:paraId="016A43AB" w14:textId="77777777" w:rsidR="000C099C" w:rsidRDefault="000C099C">
            <w:pPr>
              <w:pStyle w:val="BodyText"/>
              <w:tabs>
                <w:tab w:val="left" w:pos="360"/>
              </w:tabs>
              <w:jc w:val="left"/>
            </w:pPr>
            <w:r>
              <w:t xml:space="preserve">Gloria Sedita: </w:t>
            </w:r>
            <w:hyperlink r:id="rId149" w:history="1">
              <w:r w:rsidR="00E07A92" w:rsidRPr="000A5FCD">
                <w:rPr>
                  <w:rStyle w:val="Hyperlink"/>
                </w:rPr>
                <w:t>gsedita@yahoo.com</w:t>
              </w:r>
            </w:hyperlink>
          </w:p>
          <w:p w14:paraId="64B2B47C" w14:textId="77777777" w:rsidR="000C099C" w:rsidRDefault="000C099C">
            <w:pPr>
              <w:pStyle w:val="BodyText"/>
              <w:tabs>
                <w:tab w:val="left" w:pos="360"/>
              </w:tabs>
              <w:jc w:val="left"/>
            </w:pPr>
            <w:r>
              <w:t xml:space="preserve">Dennis McCullough: </w:t>
            </w:r>
            <w:hyperlink r:id="rId150" w:history="1">
              <w:r w:rsidR="004A6405" w:rsidRPr="00625238">
                <w:rPr>
                  <w:rStyle w:val="Hyperlink"/>
                </w:rPr>
                <w:t>dmccullough@pivtech.com</w:t>
              </w:r>
            </w:hyperlink>
          </w:p>
          <w:p w14:paraId="36C2F02F" w14:textId="77777777" w:rsidR="000C099C" w:rsidRDefault="000C099C">
            <w:pPr>
              <w:pStyle w:val="BodyText"/>
              <w:tabs>
                <w:tab w:val="left" w:pos="360"/>
              </w:tabs>
              <w:jc w:val="left"/>
            </w:pPr>
            <w:r>
              <w:t xml:space="preserve">Connie Smith: </w:t>
            </w:r>
            <w:hyperlink r:id="rId151" w:history="1">
              <w:r>
                <w:rPr>
                  <w:rStyle w:val="Hyperlink"/>
                </w:rPr>
                <w:t>csmith4523@aol.com</w:t>
              </w:r>
            </w:hyperlink>
          </w:p>
          <w:p w14:paraId="6F851908" w14:textId="77777777" w:rsidR="000C099C" w:rsidRDefault="000C099C">
            <w:pPr>
              <w:pStyle w:val="BodyText"/>
              <w:tabs>
                <w:tab w:val="left" w:pos="360"/>
              </w:tabs>
              <w:jc w:val="left"/>
            </w:pPr>
            <w:r>
              <w:t xml:space="preserve">Christina Jenkins: </w:t>
            </w:r>
            <w:hyperlink r:id="rId152" w:history="1">
              <w:r>
                <w:rPr>
                  <w:rStyle w:val="Hyperlink"/>
                </w:rPr>
                <w:t>christinajenkins2005@yahoo.com</w:t>
              </w:r>
            </w:hyperlink>
          </w:p>
          <w:p w14:paraId="68D06111" w14:textId="7A37BEDD" w:rsidR="00FE5030" w:rsidRDefault="00536622" w:rsidP="00E87775">
            <w:pPr>
              <w:pStyle w:val="BodyText"/>
              <w:tabs>
                <w:tab w:val="left" w:pos="360"/>
              </w:tabs>
              <w:jc w:val="left"/>
              <w:rPr>
                <w:color w:val="FF0000"/>
              </w:rPr>
            </w:pPr>
            <w:r w:rsidRPr="00E22B55">
              <w:rPr>
                <w:rStyle w:val="Hyperlink"/>
                <w:color w:val="FF0000"/>
                <w:u w:val="none"/>
              </w:rPr>
              <w:t>Daniel Baker</w:t>
            </w:r>
            <w:r w:rsidR="00D61561" w:rsidRPr="00E22B55">
              <w:rPr>
                <w:rStyle w:val="Hyperlink"/>
                <w:color w:val="FF0000"/>
                <w:u w:val="none"/>
              </w:rPr>
              <w:t xml:space="preserve">      </w:t>
            </w:r>
            <w:hyperlink r:id="rId153" w:history="1">
              <w:r w:rsidR="00E22B55" w:rsidRPr="00E22B55">
                <w:rPr>
                  <w:rStyle w:val="Hyperlink"/>
                  <w:color w:val="FF0000"/>
                </w:rPr>
                <w:t>dan64baker@yahoo.com</w:t>
              </w:r>
            </w:hyperlink>
            <w:r w:rsidR="00E22B55" w:rsidRPr="00E22B55">
              <w:rPr>
                <w:color w:val="FF0000"/>
              </w:rPr>
              <w:t xml:space="preserve"> </w:t>
            </w:r>
            <w:r w:rsidR="00D61561" w:rsidRPr="00E22B55">
              <w:rPr>
                <w:rStyle w:val="Hyperlink"/>
                <w:color w:val="FF0000"/>
                <w:u w:val="none"/>
              </w:rPr>
              <w:t xml:space="preserve"> </w:t>
            </w:r>
            <w:r w:rsidR="00FE5030" w:rsidRPr="00E22B55">
              <w:rPr>
                <w:color w:val="FF0000"/>
              </w:rPr>
              <w:t xml:space="preserve"> </w:t>
            </w:r>
          </w:p>
          <w:p w14:paraId="4C5A7214" w14:textId="68294DB2" w:rsidR="006247C7" w:rsidRPr="006247C7" w:rsidRDefault="006247C7" w:rsidP="00E87775">
            <w:pPr>
              <w:pStyle w:val="BodyText"/>
              <w:tabs>
                <w:tab w:val="left" w:pos="360"/>
              </w:tabs>
              <w:jc w:val="left"/>
              <w:rPr>
                <w:color w:val="FF0000"/>
              </w:rPr>
            </w:pPr>
            <w:r w:rsidRPr="005556C3">
              <w:t xml:space="preserve">Ana Garcia        </w:t>
            </w:r>
            <w:hyperlink r:id="rId154" w:history="1">
              <w:r w:rsidR="005556C3" w:rsidRPr="00861DEF">
                <w:rPr>
                  <w:rStyle w:val="Hyperlink"/>
                </w:rPr>
                <w:t xml:space="preserve">anagarcia054@gmail.com  </w:t>
              </w:r>
            </w:hyperlink>
            <w:r w:rsidR="005556C3">
              <w:rPr>
                <w:rStyle w:val="Hyperlink"/>
                <w:color w:val="FF0000"/>
              </w:rPr>
              <w:t xml:space="preserve"> </w:t>
            </w:r>
            <w:r w:rsidRPr="006247C7">
              <w:rPr>
                <w:color w:val="FF0000"/>
              </w:rPr>
              <w:t xml:space="preserve"> </w:t>
            </w:r>
          </w:p>
          <w:p w14:paraId="66638F31" w14:textId="3B34DED1" w:rsidR="00FF60B0" w:rsidRPr="006247C7" w:rsidRDefault="006247C7" w:rsidP="00E87775">
            <w:pPr>
              <w:pStyle w:val="BodyText"/>
              <w:tabs>
                <w:tab w:val="left" w:pos="360"/>
              </w:tabs>
              <w:jc w:val="left"/>
              <w:rPr>
                <w:color w:val="FF0000"/>
              </w:rPr>
            </w:pPr>
            <w:r w:rsidRPr="005556C3">
              <w:t xml:space="preserve">Rehan Merchant  </w:t>
            </w:r>
            <w:hyperlink r:id="rId155" w:history="1">
              <w:r w:rsidR="005556C3" w:rsidRPr="00861DEF">
                <w:rPr>
                  <w:rStyle w:val="Hyperlink"/>
                </w:rPr>
                <w:t xml:space="preserve">rehan@rehanmerchantconsulting.com </w:t>
              </w:r>
            </w:hyperlink>
            <w:r w:rsidRPr="006247C7">
              <w:rPr>
                <w:color w:val="FF0000"/>
              </w:rPr>
              <w:t xml:space="preserve"> </w:t>
            </w:r>
          </w:p>
        </w:tc>
        <w:tc>
          <w:tcPr>
            <w:tcW w:w="1458" w:type="dxa"/>
          </w:tcPr>
          <w:p w14:paraId="147936ED" w14:textId="77777777" w:rsidR="000C099C" w:rsidRDefault="000C099C">
            <w:pPr>
              <w:pStyle w:val="BodyText"/>
              <w:tabs>
                <w:tab w:val="left" w:pos="360"/>
              </w:tabs>
              <w:jc w:val="left"/>
            </w:pPr>
            <w:r>
              <w:t>All</w:t>
            </w:r>
          </w:p>
        </w:tc>
      </w:tr>
      <w:tr w:rsidR="000C099C" w14:paraId="226801F3" w14:textId="77777777">
        <w:tc>
          <w:tcPr>
            <w:tcW w:w="570" w:type="dxa"/>
          </w:tcPr>
          <w:p w14:paraId="7E7852F5" w14:textId="77777777" w:rsidR="000C099C" w:rsidRDefault="000C099C">
            <w:pPr>
              <w:pStyle w:val="BodyText"/>
              <w:tabs>
                <w:tab w:val="left" w:pos="360"/>
              </w:tabs>
              <w:jc w:val="center"/>
              <w:rPr>
                <w:b/>
                <w:bCs/>
              </w:rPr>
            </w:pPr>
            <w:r>
              <w:rPr>
                <w:b/>
                <w:bCs/>
              </w:rPr>
              <w:t>9</w:t>
            </w:r>
          </w:p>
        </w:tc>
        <w:tc>
          <w:tcPr>
            <w:tcW w:w="2868" w:type="dxa"/>
          </w:tcPr>
          <w:p w14:paraId="69138447" w14:textId="77777777" w:rsidR="000C099C" w:rsidRDefault="000C099C">
            <w:pPr>
              <w:pStyle w:val="BodyText"/>
              <w:tabs>
                <w:tab w:val="left" w:pos="360"/>
              </w:tabs>
              <w:jc w:val="left"/>
            </w:pPr>
            <w:r>
              <w:t>Customer files</w:t>
            </w:r>
          </w:p>
        </w:tc>
        <w:tc>
          <w:tcPr>
            <w:tcW w:w="4320" w:type="dxa"/>
          </w:tcPr>
          <w:p w14:paraId="2CC67AA0" w14:textId="77777777" w:rsidR="000C099C" w:rsidRDefault="000C099C" w:rsidP="004C3532">
            <w:pPr>
              <w:pStyle w:val="BodyText"/>
              <w:tabs>
                <w:tab w:val="left" w:pos="360"/>
              </w:tabs>
              <w:jc w:val="left"/>
            </w:pPr>
            <w:r>
              <w:t xml:space="preserve">Company has put into action steps to start the scanning and/or imaging of customer files into computer software programs as an alternate source.  </w:t>
            </w:r>
            <w:r w:rsidRPr="003A0A7B">
              <w:t>Win</w:t>
            </w:r>
            <w:r w:rsidR="004C3532">
              <w:t>O</w:t>
            </w:r>
            <w:r w:rsidRPr="003A0A7B">
              <w:t>ps has most Customer account records scanned since 2004.  The database is now housed on an outside company server for ease of access</w:t>
            </w:r>
            <w:r>
              <w:rPr>
                <w:color w:val="FF0000"/>
              </w:rPr>
              <w:t>.</w:t>
            </w:r>
          </w:p>
        </w:tc>
        <w:tc>
          <w:tcPr>
            <w:tcW w:w="1458" w:type="dxa"/>
          </w:tcPr>
          <w:p w14:paraId="555B1601" w14:textId="77777777" w:rsidR="000C099C" w:rsidRDefault="000C099C">
            <w:pPr>
              <w:pStyle w:val="BodyText"/>
              <w:tabs>
                <w:tab w:val="left" w:pos="360"/>
              </w:tabs>
              <w:jc w:val="left"/>
            </w:pPr>
          </w:p>
        </w:tc>
      </w:tr>
      <w:tr w:rsidR="000C099C" w14:paraId="35A18C78" w14:textId="77777777">
        <w:tc>
          <w:tcPr>
            <w:tcW w:w="570" w:type="dxa"/>
          </w:tcPr>
          <w:p w14:paraId="0B1F9C1A" w14:textId="77777777" w:rsidR="000C099C" w:rsidRDefault="000C099C">
            <w:pPr>
              <w:pStyle w:val="BodyText"/>
              <w:tabs>
                <w:tab w:val="left" w:pos="360"/>
              </w:tabs>
              <w:jc w:val="center"/>
              <w:rPr>
                <w:b/>
                <w:bCs/>
              </w:rPr>
            </w:pPr>
            <w:r>
              <w:rPr>
                <w:b/>
                <w:bCs/>
              </w:rPr>
              <w:t>10</w:t>
            </w:r>
          </w:p>
        </w:tc>
        <w:tc>
          <w:tcPr>
            <w:tcW w:w="2868" w:type="dxa"/>
          </w:tcPr>
          <w:p w14:paraId="56B4363C" w14:textId="77777777" w:rsidR="000C099C" w:rsidRDefault="000C099C">
            <w:pPr>
              <w:pStyle w:val="BodyText"/>
              <w:tabs>
                <w:tab w:val="left" w:pos="360"/>
              </w:tabs>
              <w:jc w:val="left"/>
            </w:pPr>
            <w:r>
              <w:t>Employee Emergency, Disaster, Death</w:t>
            </w:r>
          </w:p>
        </w:tc>
        <w:tc>
          <w:tcPr>
            <w:tcW w:w="4320" w:type="dxa"/>
          </w:tcPr>
          <w:p w14:paraId="5A917CC1" w14:textId="77777777" w:rsidR="000C099C" w:rsidRDefault="000C099C">
            <w:pPr>
              <w:pStyle w:val="BodyText"/>
              <w:tabs>
                <w:tab w:val="left" w:pos="360"/>
              </w:tabs>
              <w:jc w:val="left"/>
            </w:pPr>
            <w:r>
              <w:t>Implement Employee Backup (See Contacts below).</w:t>
            </w:r>
          </w:p>
        </w:tc>
        <w:tc>
          <w:tcPr>
            <w:tcW w:w="1458" w:type="dxa"/>
          </w:tcPr>
          <w:p w14:paraId="1A6BD39A" w14:textId="77777777" w:rsidR="000C099C" w:rsidRDefault="000C099C">
            <w:pPr>
              <w:pStyle w:val="BodyText"/>
              <w:tabs>
                <w:tab w:val="left" w:pos="360"/>
              </w:tabs>
              <w:jc w:val="left"/>
            </w:pPr>
            <w:r>
              <w:t>All</w:t>
            </w:r>
          </w:p>
        </w:tc>
      </w:tr>
      <w:tr w:rsidR="000C099C" w14:paraId="4BEB8EBB" w14:textId="77777777">
        <w:tc>
          <w:tcPr>
            <w:tcW w:w="570" w:type="dxa"/>
          </w:tcPr>
          <w:p w14:paraId="1196A30D" w14:textId="77777777" w:rsidR="000C099C" w:rsidRDefault="000C099C">
            <w:pPr>
              <w:pStyle w:val="BodyText"/>
              <w:tabs>
                <w:tab w:val="left" w:pos="360"/>
              </w:tabs>
              <w:jc w:val="center"/>
              <w:rPr>
                <w:b/>
                <w:bCs/>
              </w:rPr>
            </w:pPr>
            <w:r>
              <w:rPr>
                <w:b/>
                <w:bCs/>
              </w:rPr>
              <w:t>11</w:t>
            </w:r>
          </w:p>
        </w:tc>
        <w:tc>
          <w:tcPr>
            <w:tcW w:w="2868" w:type="dxa"/>
          </w:tcPr>
          <w:p w14:paraId="5AF9D9D3" w14:textId="77777777" w:rsidR="000C099C" w:rsidRDefault="000C099C">
            <w:pPr>
              <w:pStyle w:val="BodyText"/>
              <w:tabs>
                <w:tab w:val="left" w:pos="360"/>
              </w:tabs>
              <w:jc w:val="left"/>
            </w:pPr>
            <w:r>
              <w:t>Trade Reporting</w:t>
            </w:r>
          </w:p>
        </w:tc>
        <w:tc>
          <w:tcPr>
            <w:tcW w:w="4320" w:type="dxa"/>
          </w:tcPr>
          <w:p w14:paraId="2C954EF4" w14:textId="4D8942B9" w:rsidR="00D9429A" w:rsidRPr="00930C77" w:rsidRDefault="009E1269" w:rsidP="001C25AD">
            <w:pPr>
              <w:pStyle w:val="BodyText"/>
              <w:tabs>
                <w:tab w:val="left" w:pos="360"/>
              </w:tabs>
              <w:jc w:val="left"/>
              <w:rPr>
                <w:b/>
                <w:sz w:val="20"/>
              </w:rPr>
            </w:pPr>
            <w:r w:rsidRPr="00930C77">
              <w:rPr>
                <w:b/>
              </w:rPr>
              <w:t>C</w:t>
            </w:r>
            <w:r w:rsidR="000C099C" w:rsidRPr="00930C77">
              <w:rPr>
                <w:b/>
              </w:rPr>
              <w:t>AT:</w:t>
            </w:r>
            <w:r w:rsidR="000C099C" w:rsidRPr="00930C77">
              <w:t xml:space="preserve">  </w:t>
            </w:r>
            <w:hyperlink r:id="rId156" w:history="1">
              <w:r w:rsidRPr="00930C77">
                <w:rPr>
                  <w:rStyle w:val="Hyperlink"/>
                </w:rPr>
                <w:t>https://ews-public.fip.catnms.com/auth/logon?</w:t>
              </w:r>
            </w:hyperlink>
            <w:r w:rsidR="000C099C" w:rsidRPr="00930C77">
              <w:t xml:space="preserve">  </w:t>
            </w:r>
            <w:r w:rsidR="000C099C" w:rsidRPr="00930C77">
              <w:rPr>
                <w:sz w:val="22"/>
                <w:szCs w:val="22"/>
              </w:rPr>
              <w:t>User</w:t>
            </w:r>
            <w:r w:rsidR="00FF091B" w:rsidRPr="00930C77">
              <w:rPr>
                <w:sz w:val="22"/>
                <w:szCs w:val="22"/>
              </w:rPr>
              <w:t xml:space="preserve"> </w:t>
            </w:r>
            <w:r w:rsidR="000C099C" w:rsidRPr="00930C77">
              <w:rPr>
                <w:sz w:val="22"/>
                <w:szCs w:val="22"/>
              </w:rPr>
              <w:t xml:space="preserve">ID: </w:t>
            </w:r>
            <w:r w:rsidRPr="00930C77">
              <w:rPr>
                <w:sz w:val="22"/>
                <w:szCs w:val="22"/>
              </w:rPr>
              <w:t>same as FINRA</w:t>
            </w:r>
            <w:r w:rsidR="000C099C" w:rsidRPr="00930C77">
              <w:rPr>
                <w:sz w:val="22"/>
                <w:szCs w:val="22"/>
              </w:rPr>
              <w:t xml:space="preserve">; MPID: WODL, OSO#: </w:t>
            </w:r>
            <w:r w:rsidR="000C099C" w:rsidRPr="00930C77">
              <w:rPr>
                <w:sz w:val="22"/>
                <w:szCs w:val="22"/>
              </w:rPr>
              <w:lastRenderedPageBreak/>
              <w:t xml:space="preserve">2697; </w:t>
            </w:r>
            <w:r w:rsidR="00D9429A" w:rsidRPr="00930C77">
              <w:rPr>
                <w:sz w:val="22"/>
                <w:szCs w:val="22"/>
              </w:rPr>
              <w:t>HTS Reporting ID: 93005</w:t>
            </w:r>
            <w:r w:rsidR="000C099C" w:rsidRPr="00930C77">
              <w:t xml:space="preserve">.  </w:t>
            </w:r>
            <w:hyperlink r:id="rId157" w:history="1">
              <w:r w:rsidR="00D9429A" w:rsidRPr="00930C77">
                <w:rPr>
                  <w:rStyle w:val="Hyperlink"/>
                  <w:b/>
                  <w:sz w:val="20"/>
                </w:rPr>
                <w:t>help@finracat.com</w:t>
              </w:r>
            </w:hyperlink>
          </w:p>
          <w:p w14:paraId="61FE43D6" w14:textId="2669A768" w:rsidR="00B70E49" w:rsidRDefault="000C099C" w:rsidP="001C25AD">
            <w:pPr>
              <w:pStyle w:val="BodyText"/>
              <w:tabs>
                <w:tab w:val="left" w:pos="360"/>
              </w:tabs>
              <w:jc w:val="left"/>
            </w:pPr>
            <w:r>
              <w:rPr>
                <w:b/>
              </w:rPr>
              <w:t>TRACE</w:t>
            </w:r>
            <w:r>
              <w:t xml:space="preserve">:  </w:t>
            </w:r>
            <w:r w:rsidR="004C3532" w:rsidRPr="007A1667">
              <w:rPr>
                <w:color w:val="0000FF"/>
                <w:u w:val="single"/>
              </w:rPr>
              <w:t>https://www.finratraqs.org/</w:t>
            </w:r>
            <w:r w:rsidRPr="007A1667">
              <w:rPr>
                <w:color w:val="0000FF"/>
              </w:rPr>
              <w:t xml:space="preserve">  </w:t>
            </w:r>
            <w:r w:rsidR="004C3532" w:rsidRPr="007A1667">
              <w:rPr>
                <w:color w:val="0000FF"/>
              </w:rPr>
              <w:t xml:space="preserve"> </w:t>
            </w:r>
            <w:r w:rsidR="00930C77" w:rsidRPr="00930C77">
              <w:rPr>
                <w:color w:val="FF0000"/>
              </w:rPr>
              <w:t>email</w:t>
            </w:r>
            <w:r w:rsidR="004F62D0">
              <w:rPr>
                <w:color w:val="FF0000"/>
              </w:rPr>
              <w:t xml:space="preserve"> (12/22/21)</w:t>
            </w:r>
            <w:r>
              <w:t xml:space="preserve">, call </w:t>
            </w:r>
            <w:r>
              <w:rPr>
                <w:b/>
              </w:rPr>
              <w:t>800-243-4284</w:t>
            </w:r>
            <w:r>
              <w:t xml:space="preserve"> Tier 1 Customer Service/option 3 and access </w:t>
            </w:r>
            <w:hyperlink r:id="rId158" w:history="1">
              <w:r>
                <w:rPr>
                  <w:rStyle w:val="Hyperlink"/>
                </w:rPr>
                <w:t>https://security.</w:t>
              </w:r>
              <w:r w:rsidRPr="003A0A7B">
                <w:rPr>
                  <w:rStyle w:val="Hyperlink"/>
                </w:rPr>
                <w:t>FINRA</w:t>
              </w:r>
              <w:r>
                <w:rPr>
                  <w:rStyle w:val="Hyperlink"/>
                </w:rPr>
                <w:t>aq.com</w:t>
              </w:r>
            </w:hyperlink>
            <w:r>
              <w:t xml:space="preserve"> and they will issue </w:t>
            </w:r>
            <w:r w:rsidR="00E23C2A">
              <w:t>pin #</w:t>
            </w:r>
            <w:r>
              <w:t xml:space="preserve"> to register the certificate.   </w:t>
            </w:r>
            <w:r>
              <w:rPr>
                <w:b/>
              </w:rPr>
              <w:t>MSRB/RTRS</w:t>
            </w:r>
            <w:r>
              <w:t xml:space="preserve">:  </w:t>
            </w:r>
            <w:hyperlink r:id="rId159" w:history="1">
              <w:r>
                <w:rPr>
                  <w:rStyle w:val="Hyperlink"/>
                </w:rPr>
                <w:t>http://www.msrb.org</w:t>
              </w:r>
            </w:hyperlink>
            <w:r>
              <w:t xml:space="preserve"> – Login-</w:t>
            </w:r>
            <w:proofErr w:type="spellStart"/>
            <w:r>
              <w:t>lhendricks</w:t>
            </w:r>
            <w:proofErr w:type="spellEnd"/>
            <w:r>
              <w:t xml:space="preserve">. RTRS Web interface Must have a security certificate downloaded – can be accessed through web interfaced by selecting Retrieve your current RTRS Web x.509 Certificate. </w:t>
            </w:r>
            <w:r>
              <w:rPr>
                <w:b/>
              </w:rPr>
              <w:t>703-797-6700</w:t>
            </w:r>
            <w:r>
              <w:t xml:space="preserve"> for help.</w:t>
            </w:r>
          </w:p>
        </w:tc>
        <w:tc>
          <w:tcPr>
            <w:tcW w:w="1458" w:type="dxa"/>
          </w:tcPr>
          <w:p w14:paraId="727D4C78" w14:textId="612C9B11" w:rsidR="000C099C" w:rsidRDefault="000C099C" w:rsidP="00543B25">
            <w:pPr>
              <w:pStyle w:val="BodyText"/>
              <w:tabs>
                <w:tab w:val="left" w:pos="360"/>
              </w:tabs>
              <w:jc w:val="left"/>
            </w:pPr>
            <w:r>
              <w:lastRenderedPageBreak/>
              <w:t>LMH, MLM</w:t>
            </w:r>
            <w:r w:rsidR="00C17316">
              <w:t xml:space="preserve">, </w:t>
            </w:r>
            <w:r w:rsidR="0000384C" w:rsidRPr="00CD2210">
              <w:t>G</w:t>
            </w:r>
            <w:r w:rsidR="00672437">
              <w:t>KS</w:t>
            </w:r>
          </w:p>
        </w:tc>
      </w:tr>
      <w:tr w:rsidR="0088030F" w14:paraId="080FCF46" w14:textId="77777777">
        <w:tc>
          <w:tcPr>
            <w:tcW w:w="570" w:type="dxa"/>
          </w:tcPr>
          <w:p w14:paraId="26CF6E95" w14:textId="77777777" w:rsidR="0088030F" w:rsidRPr="00166E4E" w:rsidRDefault="0088030F" w:rsidP="0088030F">
            <w:pPr>
              <w:pStyle w:val="BodyText"/>
              <w:tabs>
                <w:tab w:val="left" w:pos="360"/>
              </w:tabs>
              <w:jc w:val="left"/>
              <w:rPr>
                <w:b/>
                <w:bCs/>
              </w:rPr>
            </w:pPr>
            <w:r w:rsidRPr="00166E4E">
              <w:rPr>
                <w:b/>
                <w:bCs/>
              </w:rPr>
              <w:t>12</w:t>
            </w:r>
          </w:p>
        </w:tc>
        <w:tc>
          <w:tcPr>
            <w:tcW w:w="2868" w:type="dxa"/>
          </w:tcPr>
          <w:p w14:paraId="7ED20B03" w14:textId="77777777" w:rsidR="0088030F" w:rsidRPr="000522AF" w:rsidRDefault="0088030F" w:rsidP="00AE7ED7">
            <w:pPr>
              <w:pStyle w:val="BodyText"/>
              <w:tabs>
                <w:tab w:val="left" w:pos="360"/>
              </w:tabs>
              <w:jc w:val="left"/>
            </w:pPr>
            <w:r w:rsidRPr="000522AF">
              <w:t xml:space="preserve">Death </w:t>
            </w:r>
            <w:r w:rsidR="0063412A" w:rsidRPr="000522AF">
              <w:t xml:space="preserve">or incapacitation </w:t>
            </w:r>
            <w:r w:rsidRPr="000522AF">
              <w:t>of Morris Monroe</w:t>
            </w:r>
          </w:p>
        </w:tc>
        <w:tc>
          <w:tcPr>
            <w:tcW w:w="4320" w:type="dxa"/>
          </w:tcPr>
          <w:p w14:paraId="5AFD7DD4" w14:textId="77777777" w:rsidR="0088030F" w:rsidRPr="000522AF" w:rsidRDefault="0088030F" w:rsidP="003E7B18">
            <w:pPr>
              <w:pStyle w:val="BodyText"/>
              <w:numPr>
                <w:ilvl w:val="0"/>
                <w:numId w:val="225"/>
              </w:numPr>
              <w:tabs>
                <w:tab w:val="clear" w:pos="720"/>
                <w:tab w:val="num" w:pos="342"/>
              </w:tabs>
              <w:spacing w:before="0" w:after="0"/>
              <w:ind w:left="346" w:hanging="274"/>
              <w:jc w:val="left"/>
            </w:pPr>
            <w:r w:rsidRPr="000522AF">
              <w:t>Notify staff and agents.</w:t>
            </w:r>
          </w:p>
          <w:p w14:paraId="49D12514" w14:textId="77777777" w:rsidR="00FE4FD7" w:rsidRPr="000522AF" w:rsidRDefault="00FE4FD7" w:rsidP="003E7B18">
            <w:pPr>
              <w:pStyle w:val="BodyText"/>
              <w:numPr>
                <w:ilvl w:val="0"/>
                <w:numId w:val="225"/>
              </w:numPr>
              <w:tabs>
                <w:tab w:val="clear" w:pos="720"/>
                <w:tab w:val="num" w:pos="342"/>
              </w:tabs>
              <w:spacing w:before="0" w:after="0"/>
              <w:ind w:left="346" w:hanging="274"/>
              <w:jc w:val="left"/>
            </w:pPr>
            <w:r w:rsidRPr="000522AF">
              <w:t>Notify SEC/ FINRA/ TX State Sec Board, any other regulators</w:t>
            </w:r>
          </w:p>
          <w:p w14:paraId="77883BCA" w14:textId="77777777" w:rsidR="0088030F" w:rsidRPr="000522AF" w:rsidRDefault="00FE4FD7" w:rsidP="003E7B18">
            <w:pPr>
              <w:pStyle w:val="BodyText"/>
              <w:numPr>
                <w:ilvl w:val="0"/>
                <w:numId w:val="225"/>
              </w:numPr>
              <w:tabs>
                <w:tab w:val="clear" w:pos="720"/>
                <w:tab w:val="num" w:pos="342"/>
              </w:tabs>
              <w:spacing w:before="0" w:after="0"/>
              <w:ind w:left="346" w:hanging="274"/>
              <w:jc w:val="left"/>
            </w:pPr>
            <w:r w:rsidRPr="000522AF">
              <w:t>Amend Form BD, ADV, etc.</w:t>
            </w:r>
          </w:p>
          <w:p w14:paraId="406AB82F" w14:textId="77777777" w:rsidR="0088030F" w:rsidRPr="000522AF" w:rsidRDefault="00454C14" w:rsidP="003E7B18">
            <w:pPr>
              <w:pStyle w:val="BodyText"/>
              <w:numPr>
                <w:ilvl w:val="0"/>
                <w:numId w:val="225"/>
              </w:numPr>
              <w:tabs>
                <w:tab w:val="clear" w:pos="720"/>
                <w:tab w:val="num" w:pos="342"/>
              </w:tabs>
              <w:spacing w:before="0" w:after="0"/>
              <w:ind w:left="346" w:hanging="274"/>
              <w:jc w:val="left"/>
            </w:pPr>
            <w:r w:rsidRPr="000522AF">
              <w:t>Continue daily operations</w:t>
            </w:r>
            <w:r w:rsidR="0006295F" w:rsidRPr="000522AF">
              <w:t>; potentially CSM is willing to move here and assume Morris’ positions.</w:t>
            </w:r>
            <w:r w:rsidRPr="000522AF">
              <w:t xml:space="preserve"> </w:t>
            </w:r>
          </w:p>
        </w:tc>
        <w:tc>
          <w:tcPr>
            <w:tcW w:w="1458" w:type="dxa"/>
          </w:tcPr>
          <w:p w14:paraId="5928AA08" w14:textId="56E97FE8" w:rsidR="0088030F" w:rsidRPr="00166E4E" w:rsidRDefault="005355E0" w:rsidP="00AE7ED7">
            <w:pPr>
              <w:pStyle w:val="BodyText"/>
              <w:tabs>
                <w:tab w:val="left" w:pos="360"/>
              </w:tabs>
              <w:jc w:val="left"/>
            </w:pPr>
            <w:r>
              <w:t>All</w:t>
            </w:r>
          </w:p>
        </w:tc>
      </w:tr>
      <w:tr w:rsidR="007B410C" w14:paraId="66B60159" w14:textId="77777777">
        <w:tc>
          <w:tcPr>
            <w:tcW w:w="570" w:type="dxa"/>
          </w:tcPr>
          <w:p w14:paraId="5BFFBBFE" w14:textId="1D8DB24A" w:rsidR="007B410C" w:rsidRPr="00166E4E" w:rsidRDefault="007B410C" w:rsidP="0088030F">
            <w:pPr>
              <w:pStyle w:val="BodyText"/>
              <w:tabs>
                <w:tab w:val="left" w:pos="360"/>
              </w:tabs>
              <w:jc w:val="left"/>
              <w:rPr>
                <w:b/>
                <w:bCs/>
              </w:rPr>
            </w:pPr>
            <w:r>
              <w:rPr>
                <w:b/>
                <w:bCs/>
              </w:rPr>
              <w:t>13</w:t>
            </w:r>
          </w:p>
        </w:tc>
        <w:tc>
          <w:tcPr>
            <w:tcW w:w="2868" w:type="dxa"/>
          </w:tcPr>
          <w:p w14:paraId="7CDBE519" w14:textId="5229E08A" w:rsidR="007B410C" w:rsidRPr="007B410C" w:rsidRDefault="007B410C" w:rsidP="00AE7ED7">
            <w:pPr>
              <w:pStyle w:val="BodyText"/>
              <w:tabs>
                <w:tab w:val="left" w:pos="360"/>
              </w:tabs>
              <w:jc w:val="left"/>
              <w:rPr>
                <w:color w:val="FF0000"/>
              </w:rPr>
            </w:pPr>
            <w:r w:rsidRPr="005556C3">
              <w:t>Widespread Health Emergency</w:t>
            </w:r>
          </w:p>
        </w:tc>
        <w:tc>
          <w:tcPr>
            <w:tcW w:w="4320" w:type="dxa"/>
          </w:tcPr>
          <w:p w14:paraId="0A4A8B2C" w14:textId="77777777" w:rsidR="007B410C" w:rsidRPr="005556C3" w:rsidRDefault="007B410C" w:rsidP="007B410C">
            <w:pPr>
              <w:pStyle w:val="BodyText"/>
              <w:spacing w:before="0" w:after="0"/>
              <w:jc w:val="left"/>
            </w:pPr>
            <w:r w:rsidRPr="005556C3">
              <w:t>1. Continuity Team assess situation and notify Dennis McCullough may need more widespread remote working.</w:t>
            </w:r>
          </w:p>
          <w:p w14:paraId="3D760AA2" w14:textId="11F09130" w:rsidR="007B410C" w:rsidRPr="005556C3" w:rsidRDefault="007B410C" w:rsidP="007B410C">
            <w:pPr>
              <w:pStyle w:val="BodyText"/>
              <w:spacing w:before="0" w:after="0"/>
              <w:jc w:val="left"/>
            </w:pPr>
            <w:r w:rsidRPr="005556C3">
              <w:t>2. May need to implement remote working;</w:t>
            </w:r>
          </w:p>
          <w:p w14:paraId="1AF0EA84" w14:textId="0820DF1C" w:rsidR="007B410C" w:rsidRPr="007B410C" w:rsidRDefault="007B410C" w:rsidP="007B410C">
            <w:pPr>
              <w:pStyle w:val="BodyText"/>
              <w:spacing w:before="0" w:after="0"/>
              <w:jc w:val="left"/>
              <w:rPr>
                <w:color w:val="FF0000"/>
              </w:rPr>
            </w:pPr>
            <w:r w:rsidRPr="005556C3">
              <w:t xml:space="preserve">3. Use other offices, companies to help implement daily activities. </w:t>
            </w:r>
          </w:p>
        </w:tc>
        <w:tc>
          <w:tcPr>
            <w:tcW w:w="1458" w:type="dxa"/>
          </w:tcPr>
          <w:p w14:paraId="27619C4D" w14:textId="0FBB1DA2" w:rsidR="007B410C" w:rsidRDefault="007B410C" w:rsidP="00AE7ED7">
            <w:pPr>
              <w:pStyle w:val="BodyText"/>
              <w:tabs>
                <w:tab w:val="left" w:pos="360"/>
              </w:tabs>
              <w:jc w:val="left"/>
            </w:pPr>
            <w:r w:rsidRPr="005556C3">
              <w:t>MLM, LMH, IT</w:t>
            </w:r>
          </w:p>
        </w:tc>
      </w:tr>
    </w:tbl>
    <w:p w14:paraId="618F6627" w14:textId="77777777" w:rsidR="000C099C" w:rsidRDefault="000C099C">
      <w:pPr>
        <w:pStyle w:val="BodyText"/>
        <w:tabs>
          <w:tab w:val="left" w:pos="360"/>
        </w:tabs>
        <w:ind w:left="360"/>
        <w:jc w:val="left"/>
        <w:rPr>
          <w:b/>
          <w:bCs/>
        </w:rPr>
      </w:pPr>
    </w:p>
    <w:p w14:paraId="554EC913" w14:textId="77777777" w:rsidR="000C099C" w:rsidRDefault="005A525A" w:rsidP="00F77E35">
      <w:pPr>
        <w:pStyle w:val="Heading3"/>
        <w:ind w:firstLine="90"/>
      </w:pPr>
      <w:r>
        <w:t>1</w:t>
      </w:r>
      <w:r w:rsidR="00CD2210">
        <w:t>7</w:t>
      </w:r>
      <w:r>
        <w:t>.</w:t>
      </w:r>
      <w:r w:rsidR="00F77E35">
        <w:t>7</w:t>
      </w:r>
      <w:r>
        <w:t xml:space="preserve">.9 </w:t>
      </w:r>
      <w:r w:rsidR="000C099C">
        <w:t>TYPES OF CONTINGENCIES</w:t>
      </w:r>
    </w:p>
    <w:p w14:paraId="4A84AEC0" w14:textId="22FC377D" w:rsidR="000C099C" w:rsidRDefault="000C099C" w:rsidP="005A525A">
      <w:pPr>
        <w:pStyle w:val="BodyText"/>
        <w:tabs>
          <w:tab w:val="left" w:pos="360"/>
        </w:tabs>
        <w:spacing w:before="0" w:after="0"/>
        <w:ind w:left="360"/>
        <w:jc w:val="left"/>
      </w:pPr>
      <w:r>
        <w:t>Although there may be many types of contingencies that could affect the business operations, the following have been determined to be the most critical or probable</w:t>
      </w:r>
      <w:r w:rsidR="007133DF">
        <w:t xml:space="preserve"> and a section added for widespread health emergencies.</w:t>
      </w:r>
    </w:p>
    <w:p w14:paraId="5F30D536" w14:textId="3E4800EC" w:rsidR="005A525A" w:rsidRDefault="005A525A" w:rsidP="005A525A">
      <w:pPr>
        <w:pStyle w:val="BodyText"/>
        <w:tabs>
          <w:tab w:val="left" w:pos="360"/>
        </w:tabs>
        <w:spacing w:before="0" w:after="0"/>
        <w:ind w:left="360"/>
        <w:jc w:val="left"/>
      </w:pPr>
    </w:p>
    <w:p w14:paraId="6B5823CA" w14:textId="77777777" w:rsidR="004F62D0" w:rsidRDefault="004F62D0" w:rsidP="005A525A">
      <w:pPr>
        <w:pStyle w:val="BodyText"/>
        <w:tabs>
          <w:tab w:val="left" w:pos="360"/>
        </w:tabs>
        <w:spacing w:before="0" w:after="0"/>
        <w:ind w:left="360"/>
        <w:jc w:val="left"/>
      </w:pPr>
    </w:p>
    <w:p w14:paraId="2F0A192F" w14:textId="100091BF" w:rsidR="009E18EA" w:rsidRDefault="009E18EA" w:rsidP="001A587F">
      <w:pPr>
        <w:pStyle w:val="Heading4"/>
      </w:pPr>
      <w:r>
        <w:t>17.</w:t>
      </w:r>
      <w:r w:rsidR="0029730E">
        <w:t>7.</w:t>
      </w:r>
      <w:r>
        <w:t>9.1 Overview</w:t>
      </w:r>
      <w:r w:rsidR="006F5746">
        <w:t xml:space="preserve"> Chart</w:t>
      </w:r>
    </w:p>
    <w:p w14:paraId="6F70742C" w14:textId="77777777" w:rsidR="0063412A" w:rsidRDefault="0063412A" w:rsidP="005A525A">
      <w:pPr>
        <w:pStyle w:val="BodyText"/>
        <w:tabs>
          <w:tab w:val="left" w:pos="360"/>
        </w:tabs>
        <w:spacing w:before="0" w:after="0"/>
        <w:ind w:left="360"/>
        <w:jc w:val="left"/>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528"/>
      </w:tblGrid>
      <w:tr w:rsidR="000C099C" w14:paraId="025E3B22" w14:textId="77777777">
        <w:tc>
          <w:tcPr>
            <w:tcW w:w="3402" w:type="dxa"/>
            <w:shd w:val="clear" w:color="auto" w:fill="E6E6E6"/>
          </w:tcPr>
          <w:p w14:paraId="4825A9FB" w14:textId="77777777" w:rsidR="000C099C" w:rsidRDefault="000C099C">
            <w:pPr>
              <w:pStyle w:val="BodyText"/>
              <w:tabs>
                <w:tab w:val="left" w:pos="360"/>
              </w:tabs>
              <w:jc w:val="left"/>
              <w:rPr>
                <w:b/>
                <w:bCs/>
              </w:rPr>
            </w:pPr>
            <w:r>
              <w:rPr>
                <w:b/>
                <w:bCs/>
              </w:rPr>
              <w:t>TYPE</w:t>
            </w:r>
          </w:p>
        </w:tc>
        <w:tc>
          <w:tcPr>
            <w:tcW w:w="3528" w:type="dxa"/>
            <w:shd w:val="clear" w:color="auto" w:fill="E6E6E6"/>
          </w:tcPr>
          <w:p w14:paraId="67F6CE89" w14:textId="77777777" w:rsidR="000C099C" w:rsidRDefault="000C099C">
            <w:pPr>
              <w:pStyle w:val="BodyText"/>
              <w:tabs>
                <w:tab w:val="left" w:pos="360"/>
              </w:tabs>
              <w:jc w:val="left"/>
              <w:rPr>
                <w:b/>
                <w:bCs/>
              </w:rPr>
            </w:pPr>
            <w:r>
              <w:rPr>
                <w:b/>
                <w:bCs/>
              </w:rPr>
              <w:t>PROCEDURES FROM GRID</w:t>
            </w:r>
          </w:p>
        </w:tc>
      </w:tr>
      <w:tr w:rsidR="000C099C" w14:paraId="3E0D0241" w14:textId="77777777">
        <w:tc>
          <w:tcPr>
            <w:tcW w:w="3402" w:type="dxa"/>
          </w:tcPr>
          <w:p w14:paraId="740F4743" w14:textId="77777777" w:rsidR="000C099C" w:rsidRDefault="000C099C">
            <w:pPr>
              <w:pStyle w:val="BodyText"/>
              <w:tabs>
                <w:tab w:val="left" w:pos="360"/>
              </w:tabs>
              <w:jc w:val="left"/>
            </w:pPr>
            <w:r>
              <w:t>Hurricane</w:t>
            </w:r>
          </w:p>
        </w:tc>
        <w:tc>
          <w:tcPr>
            <w:tcW w:w="3528" w:type="dxa"/>
          </w:tcPr>
          <w:p w14:paraId="092DD33A" w14:textId="77777777" w:rsidR="000C099C" w:rsidRDefault="000C099C">
            <w:pPr>
              <w:pStyle w:val="BodyText"/>
              <w:tabs>
                <w:tab w:val="left" w:pos="360"/>
              </w:tabs>
              <w:jc w:val="left"/>
            </w:pPr>
            <w:r>
              <w:t>Could be all</w:t>
            </w:r>
          </w:p>
        </w:tc>
      </w:tr>
      <w:tr w:rsidR="000C099C" w14:paraId="38E0FC31" w14:textId="77777777">
        <w:tc>
          <w:tcPr>
            <w:tcW w:w="3402" w:type="dxa"/>
          </w:tcPr>
          <w:p w14:paraId="141C5B92" w14:textId="77777777" w:rsidR="000C099C" w:rsidRDefault="000C099C">
            <w:pPr>
              <w:pStyle w:val="BodyText"/>
              <w:tabs>
                <w:tab w:val="left" w:pos="360"/>
              </w:tabs>
              <w:jc w:val="left"/>
            </w:pPr>
            <w:r>
              <w:t>Flooding</w:t>
            </w:r>
          </w:p>
        </w:tc>
        <w:tc>
          <w:tcPr>
            <w:tcW w:w="3528" w:type="dxa"/>
          </w:tcPr>
          <w:p w14:paraId="1EF1AF5B" w14:textId="77777777" w:rsidR="000C099C" w:rsidRDefault="000C099C">
            <w:pPr>
              <w:pStyle w:val="BodyText"/>
              <w:tabs>
                <w:tab w:val="left" w:pos="360"/>
              </w:tabs>
              <w:jc w:val="left"/>
            </w:pPr>
            <w:r>
              <w:t>Could be all</w:t>
            </w:r>
          </w:p>
        </w:tc>
      </w:tr>
      <w:tr w:rsidR="000C099C" w14:paraId="4629D5C4" w14:textId="77777777">
        <w:tc>
          <w:tcPr>
            <w:tcW w:w="3402" w:type="dxa"/>
          </w:tcPr>
          <w:p w14:paraId="2A37BE3E" w14:textId="77777777" w:rsidR="000C099C" w:rsidRDefault="000C099C">
            <w:pPr>
              <w:pStyle w:val="BodyText"/>
              <w:tabs>
                <w:tab w:val="left" w:pos="360"/>
              </w:tabs>
              <w:jc w:val="left"/>
            </w:pPr>
            <w:r>
              <w:t>Fire</w:t>
            </w:r>
          </w:p>
        </w:tc>
        <w:tc>
          <w:tcPr>
            <w:tcW w:w="3528" w:type="dxa"/>
          </w:tcPr>
          <w:p w14:paraId="378A0D37" w14:textId="77777777" w:rsidR="000C099C" w:rsidRDefault="000C099C">
            <w:pPr>
              <w:pStyle w:val="BodyText"/>
              <w:tabs>
                <w:tab w:val="left" w:pos="360"/>
              </w:tabs>
              <w:jc w:val="left"/>
            </w:pPr>
            <w:r>
              <w:t>All</w:t>
            </w:r>
          </w:p>
        </w:tc>
      </w:tr>
      <w:tr w:rsidR="000C099C" w14:paraId="2EE50D16" w14:textId="77777777">
        <w:tc>
          <w:tcPr>
            <w:tcW w:w="3402" w:type="dxa"/>
          </w:tcPr>
          <w:p w14:paraId="4DFA916D" w14:textId="77777777" w:rsidR="000C099C" w:rsidRDefault="000C099C">
            <w:pPr>
              <w:pStyle w:val="BodyText"/>
              <w:tabs>
                <w:tab w:val="left" w:pos="360"/>
              </w:tabs>
              <w:jc w:val="left"/>
            </w:pPr>
            <w:r>
              <w:t>Terrorist Act</w:t>
            </w:r>
          </w:p>
        </w:tc>
        <w:tc>
          <w:tcPr>
            <w:tcW w:w="3528" w:type="dxa"/>
          </w:tcPr>
          <w:p w14:paraId="20A9D88B" w14:textId="77777777" w:rsidR="000C099C" w:rsidRDefault="000C099C">
            <w:pPr>
              <w:pStyle w:val="BodyText"/>
              <w:tabs>
                <w:tab w:val="left" w:pos="360"/>
              </w:tabs>
              <w:jc w:val="left"/>
            </w:pPr>
            <w:r>
              <w:t>All</w:t>
            </w:r>
          </w:p>
        </w:tc>
      </w:tr>
      <w:tr w:rsidR="000C099C" w14:paraId="100696F3" w14:textId="77777777">
        <w:tc>
          <w:tcPr>
            <w:tcW w:w="3402" w:type="dxa"/>
          </w:tcPr>
          <w:p w14:paraId="2433CE80" w14:textId="77777777" w:rsidR="000C099C" w:rsidRDefault="000C099C">
            <w:pPr>
              <w:pStyle w:val="BodyText"/>
              <w:tabs>
                <w:tab w:val="left" w:pos="360"/>
              </w:tabs>
              <w:jc w:val="left"/>
            </w:pPr>
            <w:r>
              <w:lastRenderedPageBreak/>
              <w:t>Tornado</w:t>
            </w:r>
          </w:p>
        </w:tc>
        <w:tc>
          <w:tcPr>
            <w:tcW w:w="3528" w:type="dxa"/>
          </w:tcPr>
          <w:p w14:paraId="7285BF3E" w14:textId="77777777" w:rsidR="000C099C" w:rsidRDefault="000C099C">
            <w:pPr>
              <w:pStyle w:val="BodyText"/>
              <w:tabs>
                <w:tab w:val="left" w:pos="360"/>
              </w:tabs>
              <w:jc w:val="left"/>
            </w:pPr>
            <w:r>
              <w:t>Could be all</w:t>
            </w:r>
          </w:p>
        </w:tc>
      </w:tr>
      <w:tr w:rsidR="000C099C" w14:paraId="49FD1C7B" w14:textId="77777777">
        <w:tc>
          <w:tcPr>
            <w:tcW w:w="3402" w:type="dxa"/>
          </w:tcPr>
          <w:p w14:paraId="67D9B1A1" w14:textId="77777777" w:rsidR="000C099C" w:rsidRDefault="000C099C">
            <w:pPr>
              <w:pStyle w:val="BodyText"/>
              <w:tabs>
                <w:tab w:val="left" w:pos="360"/>
              </w:tabs>
              <w:jc w:val="left"/>
            </w:pPr>
            <w:r>
              <w:t>Phone lines disrupted</w:t>
            </w:r>
          </w:p>
        </w:tc>
        <w:tc>
          <w:tcPr>
            <w:tcW w:w="3528" w:type="dxa"/>
          </w:tcPr>
          <w:p w14:paraId="25806706" w14:textId="77777777" w:rsidR="000C099C" w:rsidRDefault="000C099C">
            <w:pPr>
              <w:pStyle w:val="BodyText"/>
              <w:tabs>
                <w:tab w:val="left" w:pos="360"/>
              </w:tabs>
              <w:jc w:val="left"/>
            </w:pPr>
            <w:r>
              <w:t>1, 6</w:t>
            </w:r>
          </w:p>
        </w:tc>
      </w:tr>
      <w:tr w:rsidR="000C099C" w14:paraId="4305335C" w14:textId="77777777">
        <w:tc>
          <w:tcPr>
            <w:tcW w:w="3402" w:type="dxa"/>
          </w:tcPr>
          <w:p w14:paraId="0E3A8995" w14:textId="77777777" w:rsidR="000C099C" w:rsidRDefault="000C099C">
            <w:pPr>
              <w:pStyle w:val="BodyText"/>
              <w:tabs>
                <w:tab w:val="left" w:pos="360"/>
              </w:tabs>
              <w:jc w:val="left"/>
            </w:pPr>
            <w:r>
              <w:t>Computer System Failure</w:t>
            </w:r>
          </w:p>
        </w:tc>
        <w:tc>
          <w:tcPr>
            <w:tcW w:w="3528" w:type="dxa"/>
          </w:tcPr>
          <w:p w14:paraId="76BCC602" w14:textId="77777777" w:rsidR="000C099C" w:rsidRDefault="000C099C">
            <w:pPr>
              <w:pStyle w:val="BodyText"/>
              <w:tabs>
                <w:tab w:val="left" w:pos="360"/>
              </w:tabs>
              <w:jc w:val="left"/>
            </w:pPr>
            <w:r>
              <w:t>2,3, 6</w:t>
            </w:r>
          </w:p>
        </w:tc>
      </w:tr>
      <w:tr w:rsidR="000C099C" w14:paraId="04EC818E" w14:textId="77777777">
        <w:tc>
          <w:tcPr>
            <w:tcW w:w="3402" w:type="dxa"/>
          </w:tcPr>
          <w:p w14:paraId="39903B58" w14:textId="77777777" w:rsidR="000C099C" w:rsidRDefault="000C099C">
            <w:pPr>
              <w:pStyle w:val="BodyText"/>
              <w:tabs>
                <w:tab w:val="left" w:pos="360"/>
              </w:tabs>
              <w:jc w:val="left"/>
            </w:pPr>
            <w:r>
              <w:t>Extended Electrical Outage</w:t>
            </w:r>
          </w:p>
        </w:tc>
        <w:tc>
          <w:tcPr>
            <w:tcW w:w="3528" w:type="dxa"/>
          </w:tcPr>
          <w:p w14:paraId="6D418086" w14:textId="77777777" w:rsidR="000C099C" w:rsidRDefault="000C099C">
            <w:pPr>
              <w:pStyle w:val="BodyText"/>
              <w:tabs>
                <w:tab w:val="left" w:pos="360"/>
              </w:tabs>
              <w:jc w:val="left"/>
            </w:pPr>
            <w:r>
              <w:t>All</w:t>
            </w:r>
          </w:p>
        </w:tc>
      </w:tr>
      <w:tr w:rsidR="009E18EA" w14:paraId="2F3BB647" w14:textId="77777777">
        <w:tc>
          <w:tcPr>
            <w:tcW w:w="3402" w:type="dxa"/>
          </w:tcPr>
          <w:p w14:paraId="5055FAEA" w14:textId="421B2CDD" w:rsidR="009E18EA" w:rsidRPr="005556C3" w:rsidRDefault="009E18EA">
            <w:pPr>
              <w:pStyle w:val="BodyText"/>
              <w:tabs>
                <w:tab w:val="left" w:pos="360"/>
              </w:tabs>
              <w:jc w:val="left"/>
            </w:pPr>
            <w:r w:rsidRPr="005556C3">
              <w:t>Widespread Health Emergencies</w:t>
            </w:r>
          </w:p>
        </w:tc>
        <w:tc>
          <w:tcPr>
            <w:tcW w:w="3528" w:type="dxa"/>
          </w:tcPr>
          <w:p w14:paraId="0D87D67A" w14:textId="0C58B933" w:rsidR="009E18EA" w:rsidRPr="005556C3" w:rsidRDefault="009E18EA">
            <w:pPr>
              <w:pStyle w:val="BodyText"/>
              <w:tabs>
                <w:tab w:val="left" w:pos="360"/>
              </w:tabs>
              <w:jc w:val="left"/>
            </w:pPr>
            <w:r w:rsidRPr="005556C3">
              <w:t>Could be all</w:t>
            </w:r>
          </w:p>
        </w:tc>
      </w:tr>
    </w:tbl>
    <w:p w14:paraId="0032D538" w14:textId="7B95817E" w:rsidR="000C099C" w:rsidRDefault="000C099C">
      <w:pPr>
        <w:pStyle w:val="BodyText"/>
        <w:tabs>
          <w:tab w:val="left" w:pos="360"/>
        </w:tabs>
        <w:ind w:left="360"/>
        <w:jc w:val="left"/>
        <w:rPr>
          <w:b/>
          <w:bCs/>
        </w:rPr>
      </w:pPr>
    </w:p>
    <w:p w14:paraId="3195AEA5" w14:textId="1631D54A" w:rsidR="009E18EA" w:rsidRDefault="009E18EA" w:rsidP="001A587F">
      <w:pPr>
        <w:pStyle w:val="Heading4"/>
        <w:rPr>
          <w:bCs/>
          <w:shd w:val="clear" w:color="auto" w:fill="FFFFFF"/>
        </w:rPr>
      </w:pPr>
      <w:r>
        <w:t xml:space="preserve">17.7.9.2 </w:t>
      </w:r>
      <w:r w:rsidRPr="0027306B">
        <w:rPr>
          <w:shd w:val="clear" w:color="auto" w:fill="FFFFFF"/>
        </w:rPr>
        <w:t>Widespread Health Emergencies</w:t>
      </w:r>
    </w:p>
    <w:p w14:paraId="10D03926" w14:textId="52117A3F" w:rsidR="009E18EA" w:rsidRPr="005556C3" w:rsidRDefault="009E18EA" w:rsidP="001567D1">
      <w:pPr>
        <w:ind w:left="634"/>
        <w:rPr>
          <w:spacing w:val="8"/>
          <w:sz w:val="24"/>
          <w:szCs w:val="24"/>
          <w:shd w:val="clear" w:color="auto" w:fill="FFFFFF"/>
        </w:rPr>
      </w:pPr>
      <w:r w:rsidRPr="005556C3">
        <w:rPr>
          <w:spacing w:val="8"/>
          <w:sz w:val="24"/>
          <w:szCs w:val="24"/>
          <w:shd w:val="clear" w:color="auto" w:fill="FFFFFF"/>
        </w:rPr>
        <w:t>A widespread pandemic or any biologically based threat could have significant impact on the ability of the Company to continue conducting business. This section outlines the steps Company has</w:t>
      </w:r>
      <w:r w:rsidR="00E90710" w:rsidRPr="005556C3">
        <w:rPr>
          <w:spacing w:val="8"/>
          <w:sz w:val="24"/>
          <w:szCs w:val="24"/>
          <w:shd w:val="clear" w:color="auto" w:fill="FFFFFF"/>
        </w:rPr>
        <w:t xml:space="preserve"> or will</w:t>
      </w:r>
      <w:r w:rsidRPr="005556C3">
        <w:rPr>
          <w:spacing w:val="8"/>
          <w:sz w:val="24"/>
          <w:szCs w:val="24"/>
          <w:shd w:val="clear" w:color="auto" w:fill="FFFFFF"/>
        </w:rPr>
        <w:t xml:space="preserve"> take in the event of a widespread pandemic.</w:t>
      </w:r>
    </w:p>
    <w:p w14:paraId="64F84AB7" w14:textId="24573C2D" w:rsidR="00E90710" w:rsidRPr="005556C3" w:rsidRDefault="00E90710" w:rsidP="00E90710">
      <w:pPr>
        <w:ind w:left="630"/>
        <w:rPr>
          <w:spacing w:val="8"/>
          <w:sz w:val="24"/>
          <w:szCs w:val="24"/>
          <w:shd w:val="clear" w:color="auto" w:fill="FFFFFF"/>
        </w:rPr>
      </w:pPr>
    </w:p>
    <w:p w14:paraId="1ACB1594" w14:textId="4711B144" w:rsidR="00E90710" w:rsidRPr="005556C3" w:rsidRDefault="00E90710" w:rsidP="00424ACA">
      <w:pPr>
        <w:ind w:firstLine="630"/>
        <w:rPr>
          <w:b/>
          <w:bCs/>
          <w:sz w:val="24"/>
          <w:szCs w:val="24"/>
        </w:rPr>
      </w:pPr>
      <w:r w:rsidRPr="005556C3">
        <w:rPr>
          <w:b/>
          <w:bCs/>
          <w:sz w:val="24"/>
          <w:szCs w:val="24"/>
        </w:rPr>
        <w:t xml:space="preserve">Preparatory Steps </w:t>
      </w:r>
    </w:p>
    <w:p w14:paraId="0CCA5AEB" w14:textId="77777777" w:rsidR="00424ACA" w:rsidRPr="005556C3" w:rsidRDefault="00424ACA" w:rsidP="00424ACA">
      <w:pPr>
        <w:ind w:firstLine="630"/>
        <w:rPr>
          <w:b/>
          <w:bCs/>
          <w:sz w:val="12"/>
          <w:szCs w:val="12"/>
        </w:rPr>
      </w:pPr>
    </w:p>
    <w:p w14:paraId="7C078310" w14:textId="434D81D0" w:rsidR="00E90710" w:rsidRPr="005556C3" w:rsidRDefault="00E90710" w:rsidP="0005402C">
      <w:pPr>
        <w:numPr>
          <w:ilvl w:val="0"/>
          <w:numId w:val="350"/>
        </w:numPr>
        <w:tabs>
          <w:tab w:val="clear" w:pos="720"/>
          <w:tab w:val="num" w:pos="1080"/>
        </w:tabs>
        <w:ind w:left="1080" w:hanging="274"/>
        <w:rPr>
          <w:spacing w:val="8"/>
          <w:sz w:val="24"/>
          <w:szCs w:val="24"/>
        </w:rPr>
      </w:pPr>
      <w:r w:rsidRPr="005556C3">
        <w:rPr>
          <w:spacing w:val="8"/>
          <w:sz w:val="24"/>
          <w:szCs w:val="24"/>
        </w:rPr>
        <w:t xml:space="preserve">Compliance </w:t>
      </w:r>
      <w:r w:rsidR="002B6C8D" w:rsidRPr="005556C3">
        <w:rPr>
          <w:spacing w:val="8"/>
          <w:sz w:val="24"/>
          <w:szCs w:val="24"/>
        </w:rPr>
        <w:t>will note</w:t>
      </w:r>
      <w:r w:rsidRPr="005556C3">
        <w:rPr>
          <w:spacing w:val="8"/>
          <w:sz w:val="24"/>
          <w:szCs w:val="24"/>
        </w:rPr>
        <w:t xml:space="preserve"> government resources for information about a pending pandemic (i.e. news outlets, CDC, federal government, etc.)</w:t>
      </w:r>
      <w:r w:rsidR="00C06ED8" w:rsidRPr="005556C3">
        <w:rPr>
          <w:spacing w:val="8"/>
          <w:sz w:val="24"/>
          <w:szCs w:val="24"/>
        </w:rPr>
        <w:t>;</w:t>
      </w:r>
    </w:p>
    <w:p w14:paraId="473BF4C6" w14:textId="535E2E22" w:rsidR="00E90710" w:rsidRPr="005556C3" w:rsidRDefault="00E90710" w:rsidP="0005402C">
      <w:pPr>
        <w:numPr>
          <w:ilvl w:val="0"/>
          <w:numId w:val="350"/>
        </w:numPr>
        <w:tabs>
          <w:tab w:val="clear" w:pos="720"/>
          <w:tab w:val="num" w:pos="1080"/>
        </w:tabs>
        <w:ind w:left="1080" w:hanging="270"/>
        <w:rPr>
          <w:spacing w:val="8"/>
          <w:sz w:val="24"/>
          <w:szCs w:val="24"/>
        </w:rPr>
      </w:pPr>
      <w:r w:rsidRPr="005556C3">
        <w:rPr>
          <w:spacing w:val="8"/>
          <w:sz w:val="24"/>
          <w:szCs w:val="24"/>
        </w:rPr>
        <w:t xml:space="preserve">Engage relevant cybersecurity procedures (see the </w:t>
      </w:r>
      <w:r w:rsidR="002B6C8D" w:rsidRPr="005556C3">
        <w:rPr>
          <w:spacing w:val="8"/>
          <w:sz w:val="24"/>
          <w:szCs w:val="24"/>
        </w:rPr>
        <w:t>Chapter 6, Section 6.2.9</w:t>
      </w:r>
      <w:r w:rsidRPr="005556C3">
        <w:rPr>
          <w:spacing w:val="8"/>
          <w:sz w:val="24"/>
          <w:szCs w:val="24"/>
        </w:rPr>
        <w:t xml:space="preserve">: </w:t>
      </w:r>
      <w:r w:rsidRPr="005556C3">
        <w:rPr>
          <w:i/>
          <w:iCs/>
          <w:spacing w:val="8"/>
          <w:sz w:val="24"/>
          <w:szCs w:val="24"/>
        </w:rPr>
        <w:t>CYBERSECURITY</w:t>
      </w:r>
      <w:r w:rsidR="002B6C8D" w:rsidRPr="005556C3">
        <w:rPr>
          <w:i/>
          <w:iCs/>
          <w:spacing w:val="8"/>
          <w:sz w:val="24"/>
          <w:szCs w:val="24"/>
        </w:rPr>
        <w:t xml:space="preserve"> GOVERNANCE</w:t>
      </w:r>
      <w:r w:rsidRPr="005556C3">
        <w:rPr>
          <w:spacing w:val="8"/>
          <w:sz w:val="24"/>
          <w:szCs w:val="24"/>
        </w:rPr>
        <w:t>)</w:t>
      </w:r>
      <w:r w:rsidR="00C06ED8" w:rsidRPr="005556C3">
        <w:rPr>
          <w:spacing w:val="8"/>
          <w:sz w:val="24"/>
          <w:szCs w:val="24"/>
        </w:rPr>
        <w:t>;</w:t>
      </w:r>
    </w:p>
    <w:p w14:paraId="622A226D" w14:textId="67673DAB" w:rsidR="00E90710" w:rsidRPr="005556C3" w:rsidRDefault="00E90710" w:rsidP="0005402C">
      <w:pPr>
        <w:numPr>
          <w:ilvl w:val="0"/>
          <w:numId w:val="350"/>
        </w:numPr>
        <w:tabs>
          <w:tab w:val="clear" w:pos="720"/>
          <w:tab w:val="num" w:pos="1080"/>
        </w:tabs>
        <w:ind w:left="1080" w:hanging="270"/>
        <w:rPr>
          <w:spacing w:val="8"/>
          <w:sz w:val="24"/>
          <w:szCs w:val="24"/>
        </w:rPr>
      </w:pPr>
      <w:r w:rsidRPr="005556C3">
        <w:rPr>
          <w:spacing w:val="8"/>
          <w:sz w:val="24"/>
          <w:szCs w:val="24"/>
        </w:rPr>
        <w:t>Identify any alternative firm or firms to handle Company's business for extended periods of time</w:t>
      </w:r>
      <w:r w:rsidR="00C06ED8" w:rsidRPr="005556C3">
        <w:rPr>
          <w:spacing w:val="8"/>
          <w:sz w:val="24"/>
          <w:szCs w:val="24"/>
        </w:rPr>
        <w:t xml:space="preserve"> if needed;</w:t>
      </w:r>
    </w:p>
    <w:p w14:paraId="55CC4043" w14:textId="1EA5EA94" w:rsidR="00E90710" w:rsidRPr="005556C3" w:rsidRDefault="00E90710" w:rsidP="0005402C">
      <w:pPr>
        <w:numPr>
          <w:ilvl w:val="0"/>
          <w:numId w:val="350"/>
        </w:numPr>
        <w:tabs>
          <w:tab w:val="clear" w:pos="720"/>
          <w:tab w:val="num" w:pos="1080"/>
        </w:tabs>
        <w:ind w:left="1080" w:hanging="270"/>
        <w:rPr>
          <w:spacing w:val="8"/>
          <w:sz w:val="24"/>
          <w:szCs w:val="24"/>
        </w:rPr>
      </w:pPr>
      <w:r w:rsidRPr="005556C3">
        <w:rPr>
          <w:spacing w:val="8"/>
          <w:sz w:val="24"/>
          <w:szCs w:val="24"/>
        </w:rPr>
        <w:t>Stock antibacterial and other hygiene products for use by employees</w:t>
      </w:r>
      <w:r w:rsidR="00C06ED8" w:rsidRPr="005556C3">
        <w:rPr>
          <w:spacing w:val="8"/>
          <w:sz w:val="24"/>
          <w:szCs w:val="24"/>
        </w:rPr>
        <w:t>;</w:t>
      </w:r>
      <w:r w:rsidRPr="005556C3">
        <w:rPr>
          <w:spacing w:val="8"/>
          <w:sz w:val="24"/>
          <w:szCs w:val="24"/>
        </w:rPr>
        <w:t xml:space="preserve"> </w:t>
      </w:r>
    </w:p>
    <w:p w14:paraId="17CA4094" w14:textId="3AC8C72A" w:rsidR="00E90710" w:rsidRPr="005556C3" w:rsidRDefault="00E90710" w:rsidP="0005402C">
      <w:pPr>
        <w:numPr>
          <w:ilvl w:val="0"/>
          <w:numId w:val="350"/>
        </w:numPr>
        <w:tabs>
          <w:tab w:val="clear" w:pos="720"/>
          <w:tab w:val="num" w:pos="1080"/>
        </w:tabs>
        <w:ind w:left="1080" w:hanging="270"/>
        <w:rPr>
          <w:spacing w:val="8"/>
          <w:sz w:val="24"/>
          <w:szCs w:val="24"/>
        </w:rPr>
      </w:pPr>
      <w:r w:rsidRPr="005556C3">
        <w:rPr>
          <w:spacing w:val="8"/>
          <w:sz w:val="24"/>
          <w:szCs w:val="24"/>
        </w:rPr>
        <w:t>Identify alternative work sites</w:t>
      </w:r>
      <w:r w:rsidR="00424ACA" w:rsidRPr="005556C3">
        <w:rPr>
          <w:spacing w:val="8"/>
          <w:sz w:val="24"/>
          <w:szCs w:val="24"/>
        </w:rPr>
        <w:t xml:space="preserve">; </w:t>
      </w:r>
    </w:p>
    <w:p w14:paraId="451C395E" w14:textId="6D676AE3" w:rsidR="00E90710" w:rsidRPr="005556C3" w:rsidRDefault="00E90710" w:rsidP="0005402C">
      <w:pPr>
        <w:numPr>
          <w:ilvl w:val="0"/>
          <w:numId w:val="350"/>
        </w:numPr>
        <w:tabs>
          <w:tab w:val="clear" w:pos="720"/>
          <w:tab w:val="num" w:pos="1080"/>
        </w:tabs>
        <w:ind w:left="1080" w:hanging="270"/>
        <w:rPr>
          <w:spacing w:val="8"/>
          <w:sz w:val="24"/>
          <w:szCs w:val="24"/>
        </w:rPr>
      </w:pPr>
      <w:r w:rsidRPr="005556C3">
        <w:rPr>
          <w:spacing w:val="8"/>
          <w:sz w:val="24"/>
          <w:szCs w:val="24"/>
        </w:rPr>
        <w:t>Identify employees who can telecommute and establish a list of those employees and what computers and technology will be necessary</w:t>
      </w:r>
      <w:r w:rsidR="00424ACA" w:rsidRPr="005556C3">
        <w:rPr>
          <w:spacing w:val="8"/>
          <w:sz w:val="24"/>
          <w:szCs w:val="24"/>
        </w:rPr>
        <w:t xml:space="preserve">; </w:t>
      </w:r>
      <w:r w:rsidR="00042FC3" w:rsidRPr="005556C3">
        <w:rPr>
          <w:spacing w:val="8"/>
          <w:sz w:val="24"/>
          <w:szCs w:val="24"/>
        </w:rPr>
        <w:t>and</w:t>
      </w:r>
    </w:p>
    <w:p w14:paraId="66D1AF8D" w14:textId="4F9701A2" w:rsidR="00E90710" w:rsidRPr="005556C3" w:rsidRDefault="00E90710" w:rsidP="0005402C">
      <w:pPr>
        <w:numPr>
          <w:ilvl w:val="0"/>
          <w:numId w:val="350"/>
        </w:numPr>
        <w:tabs>
          <w:tab w:val="clear" w:pos="720"/>
          <w:tab w:val="num" w:pos="1080"/>
        </w:tabs>
        <w:ind w:left="1080" w:hanging="274"/>
        <w:rPr>
          <w:spacing w:val="8"/>
          <w:sz w:val="24"/>
          <w:szCs w:val="24"/>
        </w:rPr>
      </w:pPr>
      <w:r w:rsidRPr="005556C3">
        <w:rPr>
          <w:spacing w:val="8"/>
          <w:sz w:val="24"/>
          <w:szCs w:val="24"/>
        </w:rPr>
        <w:t>Establish supervisory procedures to oversee employees who will telecommute or are relocated to an alternative site</w:t>
      </w:r>
      <w:r w:rsidR="00042FC3" w:rsidRPr="005556C3">
        <w:rPr>
          <w:spacing w:val="8"/>
          <w:sz w:val="24"/>
          <w:szCs w:val="24"/>
        </w:rPr>
        <w:t>.</w:t>
      </w:r>
    </w:p>
    <w:p w14:paraId="6F268781" w14:textId="77777777" w:rsidR="00042FC3" w:rsidRPr="005556C3" w:rsidRDefault="00042FC3" w:rsidP="00042FC3">
      <w:pPr>
        <w:ind w:left="1080"/>
        <w:rPr>
          <w:spacing w:val="8"/>
          <w:sz w:val="24"/>
          <w:szCs w:val="24"/>
        </w:rPr>
      </w:pPr>
    </w:p>
    <w:p w14:paraId="5115CD3B" w14:textId="226F06B1" w:rsidR="00424ACA" w:rsidRPr="005556C3" w:rsidRDefault="007F63E3" w:rsidP="007F63E3">
      <w:pPr>
        <w:ind w:left="634"/>
        <w:rPr>
          <w:b/>
          <w:bCs/>
          <w:spacing w:val="8"/>
          <w:sz w:val="24"/>
          <w:szCs w:val="24"/>
        </w:rPr>
      </w:pPr>
      <w:r w:rsidRPr="005556C3">
        <w:rPr>
          <w:b/>
          <w:bCs/>
          <w:spacing w:val="8"/>
          <w:sz w:val="24"/>
          <w:szCs w:val="24"/>
        </w:rPr>
        <w:t>Actions</w:t>
      </w:r>
    </w:p>
    <w:p w14:paraId="186073C5" w14:textId="77777777" w:rsidR="007F63E3" w:rsidRPr="005556C3" w:rsidRDefault="007F63E3" w:rsidP="007F63E3">
      <w:pPr>
        <w:ind w:left="634"/>
        <w:rPr>
          <w:b/>
          <w:bCs/>
          <w:spacing w:val="8"/>
          <w:sz w:val="12"/>
          <w:szCs w:val="12"/>
        </w:rPr>
      </w:pPr>
    </w:p>
    <w:p w14:paraId="67A5A298" w14:textId="12A1D3EE" w:rsidR="007F63E3" w:rsidRPr="005556C3" w:rsidRDefault="007F63E3" w:rsidP="007F63E3">
      <w:pPr>
        <w:ind w:left="634"/>
        <w:rPr>
          <w:spacing w:val="8"/>
          <w:sz w:val="24"/>
          <w:szCs w:val="24"/>
        </w:rPr>
      </w:pPr>
      <w:r w:rsidRPr="005556C3">
        <w:rPr>
          <w:spacing w:val="8"/>
          <w:sz w:val="24"/>
          <w:szCs w:val="24"/>
        </w:rPr>
        <w:t>The following procedures will be followed in the event of a threatened health emergency.</w:t>
      </w:r>
    </w:p>
    <w:p w14:paraId="654C1F89" w14:textId="77777777" w:rsidR="00042FC3" w:rsidRPr="005556C3" w:rsidRDefault="00042FC3" w:rsidP="00042FC3">
      <w:pPr>
        <w:rPr>
          <w:spacing w:val="8"/>
          <w:sz w:val="18"/>
          <w:szCs w:val="18"/>
        </w:rPr>
      </w:pPr>
    </w:p>
    <w:p w14:paraId="415C6F1A" w14:textId="731724CC" w:rsidR="00042FC3" w:rsidRPr="005556C3" w:rsidRDefault="00042FC3" w:rsidP="0005402C">
      <w:pPr>
        <w:numPr>
          <w:ilvl w:val="0"/>
          <w:numId w:val="351"/>
        </w:numPr>
        <w:tabs>
          <w:tab w:val="clear" w:pos="720"/>
          <w:tab w:val="num" w:pos="1080"/>
        </w:tabs>
        <w:ind w:left="1080" w:hanging="270"/>
        <w:rPr>
          <w:spacing w:val="8"/>
          <w:sz w:val="24"/>
          <w:szCs w:val="24"/>
        </w:rPr>
      </w:pPr>
      <w:r w:rsidRPr="005556C3">
        <w:rPr>
          <w:spacing w:val="8"/>
          <w:sz w:val="24"/>
          <w:szCs w:val="24"/>
        </w:rPr>
        <w:t>Senior Management</w:t>
      </w:r>
      <w:r w:rsidR="007F63E3" w:rsidRPr="005556C3">
        <w:rPr>
          <w:spacing w:val="8"/>
          <w:sz w:val="24"/>
          <w:szCs w:val="24"/>
        </w:rPr>
        <w:t xml:space="preserve"> will meet to determine the potential seriousness of the threat and what action </w:t>
      </w:r>
      <w:r w:rsidRPr="005556C3">
        <w:rPr>
          <w:spacing w:val="8"/>
          <w:sz w:val="24"/>
          <w:szCs w:val="24"/>
        </w:rPr>
        <w:t xml:space="preserve">is </w:t>
      </w:r>
      <w:r w:rsidR="007F63E3" w:rsidRPr="005556C3">
        <w:rPr>
          <w:spacing w:val="8"/>
          <w:sz w:val="24"/>
          <w:szCs w:val="24"/>
        </w:rPr>
        <w:t>to be taken</w:t>
      </w:r>
      <w:r w:rsidRPr="005556C3">
        <w:rPr>
          <w:spacing w:val="8"/>
          <w:sz w:val="24"/>
          <w:szCs w:val="24"/>
        </w:rPr>
        <w:t xml:space="preserve"> if the </w:t>
      </w:r>
      <w:r w:rsidR="007F63E3" w:rsidRPr="005556C3">
        <w:rPr>
          <w:spacing w:val="8"/>
          <w:sz w:val="24"/>
          <w:szCs w:val="24"/>
        </w:rPr>
        <w:t xml:space="preserve">threat escalates. </w:t>
      </w:r>
    </w:p>
    <w:p w14:paraId="59EB8FE8" w14:textId="77777777" w:rsidR="009A2FA4" w:rsidRPr="005556C3" w:rsidRDefault="009A2FA4" w:rsidP="009A2FA4">
      <w:pPr>
        <w:ind w:left="1080"/>
        <w:rPr>
          <w:spacing w:val="8"/>
          <w:sz w:val="24"/>
          <w:szCs w:val="24"/>
        </w:rPr>
      </w:pPr>
    </w:p>
    <w:p w14:paraId="1BCCFC50" w14:textId="6829EA0A" w:rsidR="00B2112E" w:rsidRPr="005556C3" w:rsidRDefault="00B2112E" w:rsidP="0005402C">
      <w:pPr>
        <w:numPr>
          <w:ilvl w:val="0"/>
          <w:numId w:val="351"/>
        </w:numPr>
        <w:tabs>
          <w:tab w:val="clear" w:pos="720"/>
          <w:tab w:val="num" w:pos="1080"/>
        </w:tabs>
        <w:ind w:left="1080" w:hanging="270"/>
        <w:rPr>
          <w:spacing w:val="8"/>
          <w:sz w:val="24"/>
          <w:szCs w:val="24"/>
        </w:rPr>
      </w:pPr>
      <w:r w:rsidRPr="005556C3">
        <w:rPr>
          <w:spacing w:val="8"/>
          <w:sz w:val="24"/>
          <w:szCs w:val="24"/>
        </w:rPr>
        <w:t>Determine if employees should work remotely.</w:t>
      </w:r>
    </w:p>
    <w:p w14:paraId="73B20F60" w14:textId="77777777" w:rsidR="00042FC3" w:rsidRPr="005556C3" w:rsidRDefault="00042FC3" w:rsidP="00042FC3">
      <w:pPr>
        <w:ind w:left="1080"/>
        <w:rPr>
          <w:spacing w:val="8"/>
          <w:sz w:val="14"/>
          <w:szCs w:val="14"/>
        </w:rPr>
      </w:pPr>
    </w:p>
    <w:p w14:paraId="4C9D514E" w14:textId="77777777" w:rsidR="007F63E3" w:rsidRPr="005556C3" w:rsidRDefault="007F63E3" w:rsidP="0005402C">
      <w:pPr>
        <w:numPr>
          <w:ilvl w:val="0"/>
          <w:numId w:val="351"/>
        </w:numPr>
        <w:tabs>
          <w:tab w:val="clear" w:pos="720"/>
          <w:tab w:val="num" w:pos="1080"/>
        </w:tabs>
        <w:ind w:left="1080" w:hanging="270"/>
        <w:rPr>
          <w:spacing w:val="8"/>
          <w:sz w:val="24"/>
          <w:szCs w:val="24"/>
        </w:rPr>
      </w:pPr>
      <w:r w:rsidRPr="005556C3">
        <w:rPr>
          <w:spacing w:val="8"/>
          <w:sz w:val="24"/>
          <w:szCs w:val="24"/>
        </w:rPr>
        <w:t>Notify employees of:</w:t>
      </w:r>
    </w:p>
    <w:p w14:paraId="4A44FB12" w14:textId="31CFDB9B" w:rsidR="007F63E3" w:rsidRPr="005556C3" w:rsidRDefault="007F63E3" w:rsidP="0005402C">
      <w:pPr>
        <w:numPr>
          <w:ilvl w:val="1"/>
          <w:numId w:val="351"/>
        </w:numPr>
        <w:rPr>
          <w:spacing w:val="8"/>
          <w:sz w:val="24"/>
          <w:szCs w:val="24"/>
        </w:rPr>
      </w:pPr>
      <w:r w:rsidRPr="005556C3">
        <w:rPr>
          <w:spacing w:val="8"/>
          <w:sz w:val="24"/>
          <w:szCs w:val="24"/>
        </w:rPr>
        <w:t>available vaccinations or other medication and whether they are mandated</w:t>
      </w:r>
      <w:r w:rsidR="00042FC3" w:rsidRPr="005556C3">
        <w:rPr>
          <w:spacing w:val="8"/>
          <w:sz w:val="24"/>
          <w:szCs w:val="24"/>
        </w:rPr>
        <w:t>;</w:t>
      </w:r>
      <w:r w:rsidRPr="005556C3">
        <w:rPr>
          <w:spacing w:val="8"/>
          <w:sz w:val="24"/>
          <w:szCs w:val="24"/>
        </w:rPr>
        <w:t xml:space="preserve"> </w:t>
      </w:r>
    </w:p>
    <w:p w14:paraId="5360C44B" w14:textId="0E28A5C7" w:rsidR="007F63E3" w:rsidRPr="005556C3" w:rsidRDefault="007F63E3" w:rsidP="0005402C">
      <w:pPr>
        <w:numPr>
          <w:ilvl w:val="1"/>
          <w:numId w:val="351"/>
        </w:numPr>
        <w:rPr>
          <w:spacing w:val="8"/>
          <w:sz w:val="24"/>
          <w:szCs w:val="24"/>
        </w:rPr>
      </w:pPr>
      <w:r w:rsidRPr="005556C3">
        <w:rPr>
          <w:spacing w:val="8"/>
          <w:sz w:val="24"/>
          <w:szCs w:val="24"/>
        </w:rPr>
        <w:t>necessary conduct such as avoiding personal contact such as handshaking</w:t>
      </w:r>
      <w:r w:rsidR="00042FC3" w:rsidRPr="005556C3">
        <w:rPr>
          <w:spacing w:val="8"/>
          <w:sz w:val="24"/>
          <w:szCs w:val="24"/>
        </w:rPr>
        <w:t>;</w:t>
      </w:r>
    </w:p>
    <w:p w14:paraId="42575A85" w14:textId="486C6CF4" w:rsidR="007F63E3" w:rsidRPr="005556C3" w:rsidRDefault="007F63E3" w:rsidP="0005402C">
      <w:pPr>
        <w:numPr>
          <w:ilvl w:val="1"/>
          <w:numId w:val="351"/>
        </w:numPr>
        <w:rPr>
          <w:spacing w:val="8"/>
          <w:sz w:val="24"/>
          <w:szCs w:val="24"/>
        </w:rPr>
      </w:pPr>
      <w:r w:rsidRPr="005556C3">
        <w:rPr>
          <w:spacing w:val="8"/>
          <w:sz w:val="24"/>
          <w:szCs w:val="24"/>
        </w:rPr>
        <w:t>access to antibacterial or other hygiene products to reduce infections and transmission of communicable diseases</w:t>
      </w:r>
      <w:r w:rsidR="00042FC3" w:rsidRPr="005556C3">
        <w:rPr>
          <w:spacing w:val="8"/>
          <w:sz w:val="24"/>
          <w:szCs w:val="24"/>
        </w:rPr>
        <w:t>;</w:t>
      </w:r>
      <w:r w:rsidRPr="005556C3">
        <w:rPr>
          <w:spacing w:val="8"/>
          <w:sz w:val="24"/>
          <w:szCs w:val="24"/>
        </w:rPr>
        <w:t xml:space="preserve"> </w:t>
      </w:r>
    </w:p>
    <w:p w14:paraId="2C388206" w14:textId="08417E04" w:rsidR="007F63E3" w:rsidRPr="005556C3" w:rsidRDefault="00042FC3" w:rsidP="0005402C">
      <w:pPr>
        <w:numPr>
          <w:ilvl w:val="1"/>
          <w:numId w:val="351"/>
        </w:numPr>
        <w:rPr>
          <w:spacing w:val="8"/>
          <w:sz w:val="24"/>
          <w:szCs w:val="24"/>
        </w:rPr>
      </w:pPr>
      <w:r w:rsidRPr="005556C3">
        <w:rPr>
          <w:spacing w:val="8"/>
          <w:sz w:val="24"/>
          <w:szCs w:val="24"/>
        </w:rPr>
        <w:t xml:space="preserve">any </w:t>
      </w:r>
      <w:r w:rsidR="007F63E3" w:rsidRPr="005556C3">
        <w:rPr>
          <w:spacing w:val="8"/>
          <w:sz w:val="24"/>
          <w:szCs w:val="24"/>
        </w:rPr>
        <w:t>requirement to stay home and telecommute</w:t>
      </w:r>
      <w:r w:rsidRPr="005556C3">
        <w:rPr>
          <w:spacing w:val="8"/>
          <w:sz w:val="24"/>
          <w:szCs w:val="24"/>
        </w:rPr>
        <w:t xml:space="preserve">; </w:t>
      </w:r>
    </w:p>
    <w:p w14:paraId="0EE0F4A1" w14:textId="55B9FE7A" w:rsidR="007F63E3" w:rsidRPr="005556C3" w:rsidRDefault="007F63E3" w:rsidP="0005402C">
      <w:pPr>
        <w:numPr>
          <w:ilvl w:val="1"/>
          <w:numId w:val="351"/>
        </w:numPr>
        <w:rPr>
          <w:spacing w:val="8"/>
          <w:sz w:val="24"/>
          <w:szCs w:val="24"/>
        </w:rPr>
      </w:pPr>
      <w:r w:rsidRPr="005556C3">
        <w:rPr>
          <w:spacing w:val="8"/>
          <w:sz w:val="24"/>
          <w:szCs w:val="24"/>
        </w:rPr>
        <w:t>transfer of business/functions to other firms</w:t>
      </w:r>
      <w:r w:rsidR="00042FC3" w:rsidRPr="005556C3">
        <w:rPr>
          <w:spacing w:val="8"/>
          <w:sz w:val="24"/>
          <w:szCs w:val="24"/>
        </w:rPr>
        <w:t xml:space="preserve"> if applicable; and</w:t>
      </w:r>
    </w:p>
    <w:p w14:paraId="67156CCC" w14:textId="10BD59BC" w:rsidR="007F63E3" w:rsidRPr="005556C3" w:rsidRDefault="00042FC3" w:rsidP="0005402C">
      <w:pPr>
        <w:numPr>
          <w:ilvl w:val="1"/>
          <w:numId w:val="351"/>
        </w:numPr>
        <w:rPr>
          <w:spacing w:val="8"/>
          <w:sz w:val="24"/>
          <w:szCs w:val="24"/>
        </w:rPr>
      </w:pPr>
      <w:r w:rsidRPr="005556C3">
        <w:rPr>
          <w:spacing w:val="8"/>
          <w:sz w:val="24"/>
          <w:szCs w:val="24"/>
        </w:rPr>
        <w:t xml:space="preserve">ensure employees have </w:t>
      </w:r>
      <w:r w:rsidR="007F63E3" w:rsidRPr="005556C3">
        <w:rPr>
          <w:spacing w:val="8"/>
          <w:sz w:val="24"/>
          <w:szCs w:val="24"/>
        </w:rPr>
        <w:t>contact list of key personnel</w:t>
      </w:r>
      <w:r w:rsidRPr="005556C3">
        <w:rPr>
          <w:spacing w:val="8"/>
          <w:sz w:val="24"/>
          <w:szCs w:val="24"/>
        </w:rPr>
        <w:t>.</w:t>
      </w:r>
    </w:p>
    <w:p w14:paraId="4B2846AE" w14:textId="77777777" w:rsidR="00042FC3" w:rsidRPr="005556C3" w:rsidRDefault="00042FC3" w:rsidP="00042FC3">
      <w:pPr>
        <w:ind w:left="1440"/>
        <w:rPr>
          <w:spacing w:val="8"/>
          <w:sz w:val="18"/>
          <w:szCs w:val="18"/>
        </w:rPr>
      </w:pPr>
    </w:p>
    <w:p w14:paraId="3BFBC3AC" w14:textId="632C62B1" w:rsidR="007F63E3" w:rsidRPr="005556C3" w:rsidRDefault="007F63E3" w:rsidP="0005402C">
      <w:pPr>
        <w:numPr>
          <w:ilvl w:val="0"/>
          <w:numId w:val="351"/>
        </w:numPr>
        <w:tabs>
          <w:tab w:val="clear" w:pos="720"/>
          <w:tab w:val="num" w:pos="1080"/>
        </w:tabs>
        <w:ind w:left="1080" w:hanging="270"/>
        <w:rPr>
          <w:spacing w:val="8"/>
          <w:sz w:val="24"/>
          <w:szCs w:val="24"/>
        </w:rPr>
      </w:pPr>
      <w:r w:rsidRPr="005556C3">
        <w:rPr>
          <w:spacing w:val="8"/>
          <w:sz w:val="24"/>
          <w:szCs w:val="24"/>
        </w:rPr>
        <w:t xml:space="preserve">Restrict access to Woodlands Securities Corp by outsiders (customers, vendors, </w:t>
      </w:r>
      <w:r w:rsidRPr="005556C3">
        <w:rPr>
          <w:i/>
          <w:iCs/>
          <w:spacing w:val="8"/>
          <w:sz w:val="24"/>
          <w:szCs w:val="24"/>
        </w:rPr>
        <w:t>etc.</w:t>
      </w:r>
      <w:r w:rsidRPr="005556C3">
        <w:rPr>
          <w:spacing w:val="8"/>
          <w:sz w:val="24"/>
          <w:szCs w:val="24"/>
        </w:rPr>
        <w:t xml:space="preserve">). </w:t>
      </w:r>
    </w:p>
    <w:p w14:paraId="38D30634" w14:textId="77777777" w:rsidR="00042FC3" w:rsidRPr="005556C3" w:rsidRDefault="00042FC3" w:rsidP="00042FC3">
      <w:pPr>
        <w:ind w:left="1080"/>
        <w:rPr>
          <w:spacing w:val="8"/>
          <w:sz w:val="18"/>
          <w:szCs w:val="18"/>
        </w:rPr>
      </w:pPr>
    </w:p>
    <w:p w14:paraId="448E7719" w14:textId="77777777" w:rsidR="007F63E3" w:rsidRPr="005556C3" w:rsidRDefault="007F63E3" w:rsidP="0005402C">
      <w:pPr>
        <w:numPr>
          <w:ilvl w:val="0"/>
          <w:numId w:val="351"/>
        </w:numPr>
        <w:tabs>
          <w:tab w:val="clear" w:pos="720"/>
          <w:tab w:val="num" w:pos="1080"/>
        </w:tabs>
        <w:ind w:left="1080" w:hanging="270"/>
        <w:rPr>
          <w:spacing w:val="8"/>
          <w:sz w:val="24"/>
          <w:szCs w:val="24"/>
        </w:rPr>
      </w:pPr>
      <w:r w:rsidRPr="005556C3">
        <w:rPr>
          <w:spacing w:val="8"/>
          <w:sz w:val="24"/>
          <w:szCs w:val="24"/>
        </w:rPr>
        <w:t>The Emergency Response Team will meet or communicate regularly to determine steps to be taken.</w:t>
      </w:r>
    </w:p>
    <w:p w14:paraId="3F20CB49" w14:textId="77777777" w:rsidR="00830DC5" w:rsidRPr="005556C3" w:rsidRDefault="00830DC5" w:rsidP="00830DC5">
      <w:pPr>
        <w:ind w:left="634"/>
        <w:rPr>
          <w:b/>
          <w:bCs/>
          <w:spacing w:val="8"/>
          <w:sz w:val="24"/>
          <w:szCs w:val="24"/>
        </w:rPr>
      </w:pPr>
    </w:p>
    <w:p w14:paraId="5048A824" w14:textId="3A8A16B9" w:rsidR="007F63E3" w:rsidRPr="005556C3" w:rsidRDefault="001E1D60" w:rsidP="001A587F">
      <w:pPr>
        <w:pStyle w:val="Heading4"/>
      </w:pPr>
      <w:r w:rsidRPr="005556C3">
        <w:t xml:space="preserve">17.7.9.3 </w:t>
      </w:r>
      <w:r w:rsidR="00830DC5" w:rsidRPr="005556C3">
        <w:t>Remote</w:t>
      </w:r>
      <w:r w:rsidR="003A4476" w:rsidRPr="005556C3">
        <w:t xml:space="preserve"> Work</w:t>
      </w:r>
    </w:p>
    <w:p w14:paraId="18F3EEB6" w14:textId="0354F4CB" w:rsidR="00830DC5" w:rsidRPr="005556C3" w:rsidRDefault="00830DC5" w:rsidP="00DC1CF8">
      <w:pPr>
        <w:ind w:left="634"/>
        <w:rPr>
          <w:spacing w:val="8"/>
          <w:sz w:val="24"/>
          <w:szCs w:val="24"/>
        </w:rPr>
      </w:pPr>
      <w:bookmarkStart w:id="330" w:name="_Hlk59439443"/>
      <w:r w:rsidRPr="005556C3">
        <w:rPr>
          <w:spacing w:val="8"/>
          <w:sz w:val="24"/>
          <w:szCs w:val="24"/>
        </w:rPr>
        <w:t xml:space="preserve">If Company decides that </w:t>
      </w:r>
      <w:r w:rsidR="00324DFC" w:rsidRPr="005556C3">
        <w:rPr>
          <w:spacing w:val="8"/>
          <w:sz w:val="24"/>
          <w:szCs w:val="24"/>
        </w:rPr>
        <w:t xml:space="preserve">multiple </w:t>
      </w:r>
      <w:r w:rsidRPr="005556C3">
        <w:rPr>
          <w:spacing w:val="8"/>
          <w:sz w:val="24"/>
          <w:szCs w:val="24"/>
        </w:rPr>
        <w:t>employees will work remotely, procedures include the following:</w:t>
      </w:r>
    </w:p>
    <w:p w14:paraId="6D3FBB21" w14:textId="77777777" w:rsidR="00415738" w:rsidRPr="005556C3" w:rsidRDefault="00415738" w:rsidP="00415738">
      <w:pPr>
        <w:ind w:left="634"/>
        <w:rPr>
          <w:spacing w:val="8"/>
          <w:sz w:val="12"/>
          <w:szCs w:val="12"/>
        </w:rPr>
      </w:pPr>
    </w:p>
    <w:p w14:paraId="61198266" w14:textId="10F0FC9A" w:rsidR="00830DC5" w:rsidRPr="005556C3" w:rsidRDefault="00830DC5" w:rsidP="0005402C">
      <w:pPr>
        <w:numPr>
          <w:ilvl w:val="0"/>
          <w:numId w:val="368"/>
        </w:numPr>
        <w:tabs>
          <w:tab w:val="clear" w:pos="720"/>
          <w:tab w:val="num" w:pos="1080"/>
        </w:tabs>
        <w:ind w:left="1080" w:hanging="270"/>
        <w:rPr>
          <w:spacing w:val="8"/>
          <w:sz w:val="24"/>
          <w:szCs w:val="24"/>
        </w:rPr>
      </w:pPr>
      <w:r w:rsidRPr="005556C3">
        <w:rPr>
          <w:spacing w:val="8"/>
          <w:sz w:val="24"/>
          <w:szCs w:val="24"/>
        </w:rPr>
        <w:t>Provide back-up contact information and redirect phone lines to facilitate customer communications</w:t>
      </w:r>
      <w:r w:rsidR="00324DFC" w:rsidRPr="005556C3">
        <w:rPr>
          <w:spacing w:val="8"/>
          <w:sz w:val="24"/>
          <w:szCs w:val="24"/>
        </w:rPr>
        <w:t>;</w:t>
      </w:r>
    </w:p>
    <w:p w14:paraId="2AAC6B6E" w14:textId="08175333" w:rsidR="00830DC5" w:rsidRPr="005556C3" w:rsidRDefault="00830DC5" w:rsidP="0005402C">
      <w:pPr>
        <w:numPr>
          <w:ilvl w:val="0"/>
          <w:numId w:val="368"/>
        </w:numPr>
        <w:tabs>
          <w:tab w:val="clear" w:pos="720"/>
          <w:tab w:val="num" w:pos="1080"/>
        </w:tabs>
        <w:spacing w:before="100" w:beforeAutospacing="1" w:after="100" w:afterAutospacing="1"/>
        <w:ind w:left="1080" w:hanging="270"/>
        <w:rPr>
          <w:spacing w:val="8"/>
          <w:sz w:val="24"/>
          <w:szCs w:val="24"/>
        </w:rPr>
      </w:pPr>
      <w:r w:rsidRPr="005556C3">
        <w:rPr>
          <w:spacing w:val="8"/>
          <w:sz w:val="24"/>
          <w:szCs w:val="24"/>
        </w:rPr>
        <w:t>Ask remote staff to report their location to their supervisors, requiring approval prior to making changes to location</w:t>
      </w:r>
      <w:r w:rsidR="00324DFC" w:rsidRPr="005556C3">
        <w:rPr>
          <w:spacing w:val="8"/>
          <w:sz w:val="24"/>
          <w:szCs w:val="24"/>
        </w:rPr>
        <w:t>;</w:t>
      </w:r>
    </w:p>
    <w:p w14:paraId="33A235C6" w14:textId="72F9A1F1" w:rsidR="00830DC5" w:rsidRPr="005556C3" w:rsidRDefault="00830DC5" w:rsidP="0005402C">
      <w:pPr>
        <w:numPr>
          <w:ilvl w:val="0"/>
          <w:numId w:val="368"/>
        </w:numPr>
        <w:tabs>
          <w:tab w:val="clear" w:pos="720"/>
          <w:tab w:val="num" w:pos="1080"/>
        </w:tabs>
        <w:spacing w:before="100" w:beforeAutospacing="1" w:after="100" w:afterAutospacing="1"/>
        <w:ind w:left="1080" w:hanging="270"/>
        <w:rPr>
          <w:spacing w:val="8"/>
          <w:sz w:val="24"/>
          <w:szCs w:val="24"/>
        </w:rPr>
      </w:pPr>
      <w:r w:rsidRPr="005556C3">
        <w:rPr>
          <w:spacing w:val="8"/>
          <w:sz w:val="24"/>
          <w:szCs w:val="24"/>
        </w:rPr>
        <w:t xml:space="preserve">Provide additional support and communication to staff which may include firm-wide calls and video conferences to provide updates; virtual training; communicating clear guidance about firm expectations; provide additional technology tools, if necessary, for remote workers; provide digital collaboration platforms and applications; and disseminate additional guidance and training regarding technology, </w:t>
      </w:r>
      <w:r w:rsidR="00DC1CF8" w:rsidRPr="005556C3">
        <w:rPr>
          <w:spacing w:val="8"/>
          <w:sz w:val="24"/>
          <w:szCs w:val="24"/>
        </w:rPr>
        <w:t>tools,</w:t>
      </w:r>
      <w:r w:rsidRPr="005556C3">
        <w:rPr>
          <w:spacing w:val="8"/>
          <w:sz w:val="24"/>
          <w:szCs w:val="24"/>
        </w:rPr>
        <w:t xml:space="preserve"> and services in a remote work environment</w:t>
      </w:r>
      <w:r w:rsidR="00324DFC" w:rsidRPr="005556C3">
        <w:rPr>
          <w:spacing w:val="8"/>
          <w:sz w:val="24"/>
          <w:szCs w:val="24"/>
        </w:rPr>
        <w:t>; and</w:t>
      </w:r>
    </w:p>
    <w:p w14:paraId="70F5CC76" w14:textId="3040B508" w:rsidR="00830DC5" w:rsidRPr="005556C3" w:rsidRDefault="00830DC5" w:rsidP="0005402C">
      <w:pPr>
        <w:numPr>
          <w:ilvl w:val="0"/>
          <w:numId w:val="368"/>
        </w:numPr>
        <w:tabs>
          <w:tab w:val="clear" w:pos="720"/>
          <w:tab w:val="num" w:pos="1080"/>
        </w:tabs>
        <w:spacing w:before="100" w:beforeAutospacing="1" w:after="100" w:afterAutospacing="1"/>
        <w:ind w:left="1080" w:hanging="270"/>
        <w:rPr>
          <w:spacing w:val="8"/>
          <w:sz w:val="24"/>
          <w:szCs w:val="24"/>
        </w:rPr>
      </w:pPr>
      <w:r w:rsidRPr="005556C3">
        <w:rPr>
          <w:spacing w:val="8"/>
          <w:sz w:val="24"/>
          <w:szCs w:val="24"/>
        </w:rPr>
        <w:t>Reminding staff about confidentiality of firm and customer information and cybersecurity and fraud risks</w:t>
      </w:r>
      <w:r w:rsidR="00324DFC" w:rsidRPr="005556C3">
        <w:rPr>
          <w:spacing w:val="8"/>
          <w:sz w:val="24"/>
          <w:szCs w:val="24"/>
        </w:rPr>
        <w:t>.</w:t>
      </w:r>
    </w:p>
    <w:p w14:paraId="20DEA0B7" w14:textId="692D2713" w:rsidR="00830DC5" w:rsidRPr="005556C3" w:rsidRDefault="00324DFC" w:rsidP="00324DFC">
      <w:pPr>
        <w:ind w:left="634"/>
        <w:rPr>
          <w:b/>
          <w:bCs/>
          <w:spacing w:val="8"/>
          <w:sz w:val="24"/>
          <w:szCs w:val="24"/>
        </w:rPr>
      </w:pPr>
      <w:r w:rsidRPr="005556C3">
        <w:rPr>
          <w:b/>
          <w:bCs/>
          <w:spacing w:val="8"/>
          <w:sz w:val="24"/>
          <w:szCs w:val="24"/>
        </w:rPr>
        <w:t>Supervision</w:t>
      </w:r>
    </w:p>
    <w:p w14:paraId="59BB690F" w14:textId="0993E50E" w:rsidR="00324DFC" w:rsidRPr="005556C3" w:rsidRDefault="00324DFC" w:rsidP="0005402C">
      <w:pPr>
        <w:numPr>
          <w:ilvl w:val="0"/>
          <w:numId w:val="369"/>
        </w:numPr>
        <w:shd w:val="clear" w:color="auto" w:fill="FFFFFF"/>
        <w:tabs>
          <w:tab w:val="clear" w:pos="720"/>
          <w:tab w:val="num" w:pos="1080"/>
        </w:tabs>
        <w:ind w:left="1080" w:hanging="270"/>
        <w:rPr>
          <w:spacing w:val="8"/>
          <w:sz w:val="24"/>
          <w:szCs w:val="24"/>
        </w:rPr>
      </w:pPr>
      <w:r w:rsidRPr="005556C3">
        <w:rPr>
          <w:spacing w:val="8"/>
          <w:sz w:val="24"/>
          <w:szCs w:val="24"/>
        </w:rPr>
        <w:t>Provide guidance and resources to supervisors which may include regular meetings with senior leadership and supervisors to provide updates, emphasize importance of escalating issues, contacting Compliance regarding concerns and questions, providing electronic checklists and attestations</w:t>
      </w:r>
      <w:r w:rsidR="00415738" w:rsidRPr="005556C3">
        <w:rPr>
          <w:spacing w:val="8"/>
          <w:sz w:val="24"/>
          <w:szCs w:val="24"/>
        </w:rPr>
        <w:t xml:space="preserve"> if determined necessary</w:t>
      </w:r>
      <w:r w:rsidRPr="005556C3">
        <w:rPr>
          <w:spacing w:val="8"/>
          <w:sz w:val="24"/>
          <w:szCs w:val="24"/>
        </w:rPr>
        <w:t>;</w:t>
      </w:r>
    </w:p>
    <w:p w14:paraId="05BA5585" w14:textId="04073FBD" w:rsidR="00324DFC" w:rsidRPr="005556C3" w:rsidRDefault="00324DFC" w:rsidP="0005402C">
      <w:pPr>
        <w:numPr>
          <w:ilvl w:val="0"/>
          <w:numId w:val="369"/>
        </w:numPr>
        <w:shd w:val="clear" w:color="auto" w:fill="FFFFFF"/>
        <w:tabs>
          <w:tab w:val="clear" w:pos="720"/>
          <w:tab w:val="num" w:pos="1080"/>
        </w:tabs>
        <w:spacing w:before="100" w:beforeAutospacing="1" w:after="100" w:afterAutospacing="1"/>
        <w:ind w:left="1080" w:hanging="270"/>
        <w:rPr>
          <w:spacing w:val="8"/>
          <w:sz w:val="24"/>
          <w:szCs w:val="24"/>
        </w:rPr>
      </w:pPr>
      <w:r w:rsidRPr="005556C3">
        <w:rPr>
          <w:spacing w:val="8"/>
          <w:sz w:val="24"/>
          <w:szCs w:val="24"/>
        </w:rPr>
        <w:t>Analyze emerging risks via alerts, exception reports, and any customer complaints;</w:t>
      </w:r>
    </w:p>
    <w:p w14:paraId="586F8676" w14:textId="38205659" w:rsidR="00324DFC" w:rsidRPr="005556C3" w:rsidRDefault="00324DFC" w:rsidP="0005402C">
      <w:pPr>
        <w:numPr>
          <w:ilvl w:val="0"/>
          <w:numId w:val="369"/>
        </w:numPr>
        <w:shd w:val="clear" w:color="auto" w:fill="FFFFFF"/>
        <w:tabs>
          <w:tab w:val="clear" w:pos="720"/>
          <w:tab w:val="num" w:pos="1080"/>
        </w:tabs>
        <w:spacing w:before="100" w:beforeAutospacing="1" w:after="100" w:afterAutospacing="1"/>
        <w:ind w:left="1080" w:hanging="270"/>
        <w:rPr>
          <w:spacing w:val="8"/>
          <w:sz w:val="24"/>
          <w:szCs w:val="24"/>
        </w:rPr>
      </w:pPr>
      <w:r w:rsidRPr="005556C3">
        <w:rPr>
          <w:spacing w:val="8"/>
          <w:sz w:val="24"/>
          <w:szCs w:val="24"/>
        </w:rPr>
        <w:t xml:space="preserve">Request </w:t>
      </w:r>
      <w:r w:rsidR="00415738" w:rsidRPr="005556C3">
        <w:rPr>
          <w:spacing w:val="8"/>
          <w:sz w:val="24"/>
          <w:szCs w:val="24"/>
        </w:rPr>
        <w:t xml:space="preserve">and/or seek </w:t>
      </w:r>
      <w:r w:rsidRPr="005556C3">
        <w:rPr>
          <w:spacing w:val="8"/>
          <w:sz w:val="24"/>
          <w:szCs w:val="24"/>
        </w:rPr>
        <w:t>feedback from staff;</w:t>
      </w:r>
    </w:p>
    <w:p w14:paraId="49865115" w14:textId="77777777" w:rsidR="00324DFC" w:rsidRPr="005556C3" w:rsidRDefault="00324DFC" w:rsidP="0005402C">
      <w:pPr>
        <w:numPr>
          <w:ilvl w:val="0"/>
          <w:numId w:val="369"/>
        </w:numPr>
        <w:shd w:val="clear" w:color="auto" w:fill="FFFFFF"/>
        <w:tabs>
          <w:tab w:val="clear" w:pos="720"/>
          <w:tab w:val="num" w:pos="1080"/>
        </w:tabs>
        <w:spacing w:before="100" w:beforeAutospacing="1" w:after="100" w:afterAutospacing="1"/>
        <w:ind w:left="1080" w:hanging="270"/>
        <w:rPr>
          <w:spacing w:val="8"/>
          <w:sz w:val="24"/>
          <w:szCs w:val="24"/>
        </w:rPr>
      </w:pPr>
      <w:r w:rsidRPr="005556C3">
        <w:rPr>
          <w:spacing w:val="8"/>
          <w:sz w:val="24"/>
          <w:szCs w:val="24"/>
        </w:rPr>
        <w:t>For remote trading supervision, consider enhanced oversight which may include:</w:t>
      </w:r>
    </w:p>
    <w:p w14:paraId="40E161E7" w14:textId="77777777" w:rsidR="00324DFC" w:rsidRPr="005556C3" w:rsidRDefault="00324DFC" w:rsidP="0005402C">
      <w:pPr>
        <w:numPr>
          <w:ilvl w:val="1"/>
          <w:numId w:val="369"/>
        </w:numPr>
        <w:shd w:val="clear" w:color="auto" w:fill="FFFFFF"/>
        <w:tabs>
          <w:tab w:val="clear" w:pos="1440"/>
          <w:tab w:val="num" w:pos="1530"/>
        </w:tabs>
        <w:spacing w:before="100" w:beforeAutospacing="1" w:after="100" w:afterAutospacing="1"/>
        <w:ind w:left="1530" w:hanging="270"/>
        <w:rPr>
          <w:spacing w:val="8"/>
          <w:sz w:val="24"/>
          <w:szCs w:val="24"/>
        </w:rPr>
      </w:pPr>
      <w:r w:rsidRPr="005556C3">
        <w:rPr>
          <w:spacing w:val="8"/>
          <w:sz w:val="24"/>
          <w:szCs w:val="24"/>
        </w:rPr>
        <w:t>attestations from traders</w:t>
      </w:r>
    </w:p>
    <w:p w14:paraId="2175BB81" w14:textId="77777777" w:rsidR="00324DFC" w:rsidRPr="005556C3" w:rsidRDefault="00324DFC" w:rsidP="0005402C">
      <w:pPr>
        <w:numPr>
          <w:ilvl w:val="1"/>
          <w:numId w:val="369"/>
        </w:numPr>
        <w:shd w:val="clear" w:color="auto" w:fill="FFFFFF"/>
        <w:tabs>
          <w:tab w:val="clear" w:pos="1440"/>
          <w:tab w:val="num" w:pos="1530"/>
        </w:tabs>
        <w:spacing w:before="100" w:beforeAutospacing="1" w:after="100" w:afterAutospacing="1"/>
        <w:ind w:left="1530" w:hanging="270"/>
        <w:rPr>
          <w:spacing w:val="8"/>
          <w:sz w:val="24"/>
          <w:szCs w:val="24"/>
        </w:rPr>
      </w:pPr>
      <w:r w:rsidRPr="005556C3">
        <w:rPr>
          <w:spacing w:val="8"/>
          <w:sz w:val="24"/>
          <w:szCs w:val="24"/>
        </w:rPr>
        <w:t>approval for each trader to work remotely</w:t>
      </w:r>
    </w:p>
    <w:p w14:paraId="3CA6FC82" w14:textId="77777777" w:rsidR="00324DFC" w:rsidRPr="005556C3" w:rsidRDefault="00324DFC" w:rsidP="0005402C">
      <w:pPr>
        <w:numPr>
          <w:ilvl w:val="1"/>
          <w:numId w:val="369"/>
        </w:numPr>
        <w:shd w:val="clear" w:color="auto" w:fill="FFFFFF"/>
        <w:tabs>
          <w:tab w:val="clear" w:pos="1440"/>
          <w:tab w:val="num" w:pos="1530"/>
        </w:tabs>
        <w:spacing w:before="100" w:beforeAutospacing="1" w:after="100" w:afterAutospacing="1"/>
        <w:ind w:left="1530" w:hanging="270"/>
        <w:rPr>
          <w:spacing w:val="8"/>
          <w:sz w:val="24"/>
          <w:szCs w:val="24"/>
        </w:rPr>
      </w:pPr>
      <w:r w:rsidRPr="005556C3">
        <w:rPr>
          <w:spacing w:val="8"/>
          <w:sz w:val="24"/>
          <w:szCs w:val="24"/>
        </w:rPr>
        <w:t>testing trader's remote trading capabilities and review of test results</w:t>
      </w:r>
    </w:p>
    <w:p w14:paraId="6D31ED5A" w14:textId="215A81A6" w:rsidR="00324DFC" w:rsidRPr="005556C3" w:rsidRDefault="00324DFC" w:rsidP="0005402C">
      <w:pPr>
        <w:numPr>
          <w:ilvl w:val="1"/>
          <w:numId w:val="369"/>
        </w:numPr>
        <w:shd w:val="clear" w:color="auto" w:fill="FFFFFF"/>
        <w:tabs>
          <w:tab w:val="clear" w:pos="1440"/>
          <w:tab w:val="num" w:pos="1530"/>
        </w:tabs>
        <w:spacing w:before="100" w:beforeAutospacing="1" w:after="100" w:afterAutospacing="1"/>
        <w:ind w:left="1530" w:hanging="270"/>
        <w:rPr>
          <w:spacing w:val="8"/>
          <w:sz w:val="24"/>
          <w:szCs w:val="24"/>
        </w:rPr>
      </w:pPr>
      <w:r w:rsidRPr="005556C3">
        <w:rPr>
          <w:spacing w:val="8"/>
          <w:sz w:val="24"/>
          <w:szCs w:val="24"/>
        </w:rPr>
        <w:t>provide supervisors a special supervisory checklist</w:t>
      </w:r>
      <w:r w:rsidR="00415738" w:rsidRPr="005556C3">
        <w:rPr>
          <w:spacing w:val="8"/>
          <w:sz w:val="24"/>
          <w:szCs w:val="24"/>
        </w:rPr>
        <w:t xml:space="preserve"> if necessary</w:t>
      </w:r>
    </w:p>
    <w:p w14:paraId="2F6B85A4" w14:textId="77777777" w:rsidR="00324DFC" w:rsidRPr="005556C3" w:rsidRDefault="00324DFC" w:rsidP="0005402C">
      <w:pPr>
        <w:numPr>
          <w:ilvl w:val="1"/>
          <w:numId w:val="369"/>
        </w:numPr>
        <w:shd w:val="clear" w:color="auto" w:fill="FFFFFF"/>
        <w:tabs>
          <w:tab w:val="clear" w:pos="1440"/>
          <w:tab w:val="num" w:pos="1530"/>
        </w:tabs>
        <w:spacing w:before="100" w:beforeAutospacing="1" w:after="100" w:afterAutospacing="1"/>
        <w:ind w:left="1530" w:hanging="270"/>
        <w:rPr>
          <w:spacing w:val="8"/>
          <w:sz w:val="24"/>
          <w:szCs w:val="24"/>
        </w:rPr>
      </w:pPr>
      <w:r w:rsidRPr="005556C3">
        <w:rPr>
          <w:spacing w:val="8"/>
          <w:sz w:val="24"/>
          <w:szCs w:val="24"/>
        </w:rPr>
        <w:t>maintain and update daily a list of all remote traders</w:t>
      </w:r>
    </w:p>
    <w:p w14:paraId="4AF2A671" w14:textId="77777777" w:rsidR="00324DFC" w:rsidRPr="005556C3" w:rsidRDefault="00324DFC" w:rsidP="0005402C">
      <w:pPr>
        <w:numPr>
          <w:ilvl w:val="1"/>
          <w:numId w:val="369"/>
        </w:numPr>
        <w:shd w:val="clear" w:color="auto" w:fill="FFFFFF"/>
        <w:tabs>
          <w:tab w:val="clear" w:pos="1440"/>
          <w:tab w:val="num" w:pos="1530"/>
        </w:tabs>
        <w:spacing w:before="100" w:beforeAutospacing="1" w:after="100" w:afterAutospacing="1"/>
        <w:ind w:left="1530" w:hanging="270"/>
        <w:rPr>
          <w:spacing w:val="8"/>
          <w:sz w:val="24"/>
          <w:szCs w:val="24"/>
        </w:rPr>
      </w:pPr>
      <w:r w:rsidRPr="005556C3">
        <w:rPr>
          <w:spacing w:val="8"/>
          <w:sz w:val="24"/>
          <w:szCs w:val="24"/>
        </w:rPr>
        <w:t>increase frequency of reviews</w:t>
      </w:r>
    </w:p>
    <w:p w14:paraId="59E809ED" w14:textId="77777777" w:rsidR="00324DFC" w:rsidRPr="005556C3" w:rsidRDefault="00324DFC" w:rsidP="0005402C">
      <w:pPr>
        <w:numPr>
          <w:ilvl w:val="1"/>
          <w:numId w:val="369"/>
        </w:numPr>
        <w:shd w:val="clear" w:color="auto" w:fill="FFFFFF"/>
        <w:tabs>
          <w:tab w:val="clear" w:pos="1440"/>
          <w:tab w:val="num" w:pos="1530"/>
        </w:tabs>
        <w:spacing w:before="100" w:beforeAutospacing="1" w:after="100" w:afterAutospacing="1"/>
        <w:ind w:left="1530" w:hanging="270"/>
        <w:rPr>
          <w:spacing w:val="8"/>
          <w:sz w:val="24"/>
          <w:szCs w:val="24"/>
        </w:rPr>
      </w:pPr>
      <w:r w:rsidRPr="005556C3">
        <w:rPr>
          <w:spacing w:val="8"/>
          <w:sz w:val="24"/>
          <w:szCs w:val="24"/>
        </w:rPr>
        <w:t>use communication tools possibly including cameras, chat rooms, daily calls, collaboration tools and conference calls</w:t>
      </w:r>
    </w:p>
    <w:p w14:paraId="35D1B0E0" w14:textId="14E6B8A3" w:rsidR="00324DFC" w:rsidRPr="005556C3" w:rsidRDefault="00415738" w:rsidP="0005402C">
      <w:pPr>
        <w:numPr>
          <w:ilvl w:val="1"/>
          <w:numId w:val="369"/>
        </w:numPr>
        <w:shd w:val="clear" w:color="auto" w:fill="FFFFFF"/>
        <w:tabs>
          <w:tab w:val="clear" w:pos="1440"/>
          <w:tab w:val="num" w:pos="1530"/>
        </w:tabs>
        <w:spacing w:before="100" w:beforeAutospacing="1" w:after="100" w:afterAutospacing="1"/>
        <w:ind w:left="1530" w:hanging="270"/>
        <w:rPr>
          <w:spacing w:val="8"/>
          <w:sz w:val="24"/>
          <w:szCs w:val="24"/>
        </w:rPr>
      </w:pPr>
      <w:r w:rsidRPr="005556C3">
        <w:rPr>
          <w:spacing w:val="8"/>
          <w:sz w:val="24"/>
          <w:szCs w:val="24"/>
        </w:rPr>
        <w:t xml:space="preserve">consider </w:t>
      </w:r>
      <w:r w:rsidR="00324DFC" w:rsidRPr="005556C3">
        <w:rPr>
          <w:spacing w:val="8"/>
          <w:sz w:val="24"/>
          <w:szCs w:val="24"/>
        </w:rPr>
        <w:t>record</w:t>
      </w:r>
      <w:r w:rsidRPr="005556C3">
        <w:rPr>
          <w:spacing w:val="8"/>
          <w:sz w:val="24"/>
          <w:szCs w:val="24"/>
        </w:rPr>
        <w:t>ing</w:t>
      </w:r>
      <w:r w:rsidR="00324DFC" w:rsidRPr="005556C3">
        <w:rPr>
          <w:spacing w:val="8"/>
          <w:sz w:val="24"/>
          <w:szCs w:val="24"/>
        </w:rPr>
        <w:t xml:space="preserve"> trading staff and review of conversations</w:t>
      </w:r>
    </w:p>
    <w:p w14:paraId="487B4ACE" w14:textId="77777777" w:rsidR="00324DFC" w:rsidRPr="005556C3" w:rsidRDefault="00324DFC" w:rsidP="0005402C">
      <w:pPr>
        <w:numPr>
          <w:ilvl w:val="1"/>
          <w:numId w:val="369"/>
        </w:numPr>
        <w:shd w:val="clear" w:color="auto" w:fill="FFFFFF"/>
        <w:tabs>
          <w:tab w:val="clear" w:pos="1440"/>
          <w:tab w:val="num" w:pos="1530"/>
        </w:tabs>
        <w:spacing w:before="100" w:beforeAutospacing="1" w:after="100" w:afterAutospacing="1"/>
        <w:ind w:left="1530" w:hanging="270"/>
        <w:rPr>
          <w:spacing w:val="8"/>
          <w:sz w:val="24"/>
          <w:szCs w:val="24"/>
        </w:rPr>
      </w:pPr>
      <w:r w:rsidRPr="005556C3">
        <w:rPr>
          <w:spacing w:val="8"/>
          <w:sz w:val="24"/>
          <w:szCs w:val="24"/>
        </w:rPr>
        <w:t>implement additional central monitoring and reviews</w:t>
      </w:r>
    </w:p>
    <w:p w14:paraId="3CF19AFA" w14:textId="77777777" w:rsidR="00324DFC" w:rsidRPr="005556C3" w:rsidRDefault="00324DFC" w:rsidP="0005402C">
      <w:pPr>
        <w:numPr>
          <w:ilvl w:val="0"/>
          <w:numId w:val="369"/>
        </w:numPr>
        <w:shd w:val="clear" w:color="auto" w:fill="FFFFFF"/>
        <w:tabs>
          <w:tab w:val="clear" w:pos="720"/>
          <w:tab w:val="num" w:pos="1170"/>
        </w:tabs>
        <w:spacing w:before="100" w:beforeAutospacing="1" w:after="100" w:afterAutospacing="1"/>
        <w:ind w:left="1170"/>
        <w:rPr>
          <w:spacing w:val="8"/>
          <w:sz w:val="24"/>
          <w:szCs w:val="24"/>
        </w:rPr>
      </w:pPr>
      <w:r w:rsidRPr="005556C3">
        <w:rPr>
          <w:spacing w:val="8"/>
          <w:sz w:val="24"/>
          <w:szCs w:val="24"/>
        </w:rPr>
        <w:t>Oversight of customer communications which may include:</w:t>
      </w:r>
    </w:p>
    <w:p w14:paraId="1BD33001" w14:textId="77777777" w:rsidR="00324DFC" w:rsidRPr="005556C3" w:rsidRDefault="00324DFC" w:rsidP="0005402C">
      <w:pPr>
        <w:numPr>
          <w:ilvl w:val="1"/>
          <w:numId w:val="369"/>
        </w:numPr>
        <w:shd w:val="clear" w:color="auto" w:fill="FFFFFF"/>
        <w:tabs>
          <w:tab w:val="clear" w:pos="1440"/>
          <w:tab w:val="num" w:pos="1620"/>
        </w:tabs>
        <w:spacing w:before="100" w:beforeAutospacing="1" w:after="100" w:afterAutospacing="1"/>
        <w:ind w:left="1530" w:hanging="270"/>
        <w:rPr>
          <w:spacing w:val="8"/>
          <w:sz w:val="24"/>
          <w:szCs w:val="24"/>
        </w:rPr>
      </w:pPr>
      <w:r w:rsidRPr="005556C3">
        <w:rPr>
          <w:spacing w:val="8"/>
          <w:sz w:val="24"/>
          <w:szCs w:val="24"/>
        </w:rPr>
        <w:t>increased email review</w:t>
      </w:r>
    </w:p>
    <w:p w14:paraId="0FE55F46" w14:textId="77777777" w:rsidR="00324DFC" w:rsidRPr="005556C3" w:rsidRDefault="00324DFC" w:rsidP="0005402C">
      <w:pPr>
        <w:numPr>
          <w:ilvl w:val="1"/>
          <w:numId w:val="369"/>
        </w:numPr>
        <w:shd w:val="clear" w:color="auto" w:fill="FFFFFF"/>
        <w:tabs>
          <w:tab w:val="clear" w:pos="1440"/>
          <w:tab w:val="num" w:pos="1620"/>
        </w:tabs>
        <w:spacing w:before="100" w:beforeAutospacing="1" w:after="100" w:afterAutospacing="1"/>
        <w:ind w:left="1530" w:hanging="270"/>
        <w:rPr>
          <w:spacing w:val="8"/>
          <w:sz w:val="24"/>
          <w:szCs w:val="24"/>
        </w:rPr>
      </w:pPr>
      <w:r w:rsidRPr="005556C3">
        <w:rPr>
          <w:spacing w:val="8"/>
          <w:sz w:val="24"/>
          <w:szCs w:val="24"/>
        </w:rPr>
        <w:t>additional keyword surveillance</w:t>
      </w:r>
    </w:p>
    <w:p w14:paraId="6D84A9CA" w14:textId="02FDDCBA" w:rsidR="00324DFC" w:rsidRPr="005556C3" w:rsidRDefault="00415738" w:rsidP="0005402C">
      <w:pPr>
        <w:numPr>
          <w:ilvl w:val="1"/>
          <w:numId w:val="369"/>
        </w:numPr>
        <w:shd w:val="clear" w:color="auto" w:fill="FFFFFF"/>
        <w:tabs>
          <w:tab w:val="clear" w:pos="1440"/>
          <w:tab w:val="num" w:pos="1620"/>
        </w:tabs>
        <w:spacing w:before="100" w:beforeAutospacing="1" w:after="100" w:afterAutospacing="1"/>
        <w:ind w:left="1530" w:hanging="270"/>
        <w:rPr>
          <w:spacing w:val="8"/>
          <w:sz w:val="24"/>
          <w:szCs w:val="24"/>
        </w:rPr>
      </w:pPr>
      <w:r w:rsidRPr="005556C3">
        <w:rPr>
          <w:spacing w:val="8"/>
          <w:sz w:val="24"/>
          <w:szCs w:val="24"/>
        </w:rPr>
        <w:lastRenderedPageBreak/>
        <w:t xml:space="preserve">consider </w:t>
      </w:r>
      <w:r w:rsidR="00324DFC" w:rsidRPr="005556C3">
        <w:rPr>
          <w:spacing w:val="8"/>
          <w:sz w:val="24"/>
          <w:szCs w:val="24"/>
        </w:rPr>
        <w:t>disabl</w:t>
      </w:r>
      <w:r w:rsidRPr="005556C3">
        <w:rPr>
          <w:spacing w:val="8"/>
          <w:sz w:val="24"/>
          <w:szCs w:val="24"/>
        </w:rPr>
        <w:t>ing</w:t>
      </w:r>
      <w:r w:rsidR="00324DFC" w:rsidRPr="005556C3">
        <w:rPr>
          <w:spacing w:val="8"/>
          <w:sz w:val="24"/>
          <w:szCs w:val="24"/>
        </w:rPr>
        <w:t xml:space="preserve"> certain features of video conferencing platforms, such as chat, that would be subject to recordkeeping obligations impractical in remote locations</w:t>
      </w:r>
    </w:p>
    <w:p w14:paraId="65837923" w14:textId="07B4422A" w:rsidR="009E18EA" w:rsidRPr="005556C3" w:rsidRDefault="00324DFC" w:rsidP="0005402C">
      <w:pPr>
        <w:numPr>
          <w:ilvl w:val="0"/>
          <w:numId w:val="369"/>
        </w:numPr>
        <w:shd w:val="clear" w:color="auto" w:fill="FFFFFF"/>
        <w:tabs>
          <w:tab w:val="clear" w:pos="720"/>
          <w:tab w:val="num" w:pos="1170"/>
        </w:tabs>
        <w:spacing w:before="100" w:beforeAutospacing="1" w:after="100" w:afterAutospacing="1"/>
        <w:ind w:firstLine="90"/>
      </w:pPr>
      <w:r w:rsidRPr="005556C3">
        <w:rPr>
          <w:spacing w:val="8"/>
          <w:sz w:val="24"/>
          <w:szCs w:val="24"/>
        </w:rPr>
        <w:t>Enable remote branch inspections if on-site inspections are stopped.</w:t>
      </w:r>
    </w:p>
    <w:p w14:paraId="295B07B9" w14:textId="15172311" w:rsidR="00E5327C" w:rsidRPr="005556C3" w:rsidRDefault="00E5327C" w:rsidP="001A587F">
      <w:pPr>
        <w:pStyle w:val="Heading4"/>
      </w:pPr>
      <w:r w:rsidRPr="005556C3">
        <w:t>17.7.9.4 Transition Plan</w:t>
      </w:r>
    </w:p>
    <w:p w14:paraId="7D76DD5B" w14:textId="365FE5C0" w:rsidR="00E5327C" w:rsidRPr="005556C3" w:rsidRDefault="00E5327C" w:rsidP="00E5327C">
      <w:pPr>
        <w:ind w:left="360"/>
        <w:rPr>
          <w:spacing w:val="8"/>
          <w:sz w:val="24"/>
          <w:szCs w:val="24"/>
        </w:rPr>
      </w:pPr>
      <w:r w:rsidRPr="005556C3">
        <w:rPr>
          <w:spacing w:val="8"/>
          <w:sz w:val="24"/>
          <w:szCs w:val="24"/>
        </w:rPr>
        <w:t xml:space="preserve">Company intends to  have in place a transition plan that facilitates a smooth transition of management or ownership of Company and avoids a disruption of the </w:t>
      </w:r>
      <w:r w:rsidR="007A56EF" w:rsidRPr="005556C3">
        <w:rPr>
          <w:spacing w:val="8"/>
          <w:sz w:val="24"/>
          <w:szCs w:val="24"/>
        </w:rPr>
        <w:t>brokerage</w:t>
      </w:r>
      <w:r w:rsidRPr="005556C3">
        <w:rPr>
          <w:spacing w:val="8"/>
          <w:sz w:val="24"/>
          <w:szCs w:val="24"/>
        </w:rPr>
        <w:t xml:space="preserve"> services it provides to clients.</w:t>
      </w:r>
    </w:p>
    <w:p w14:paraId="5416F7CD" w14:textId="77777777" w:rsidR="00E5327C" w:rsidRPr="005556C3" w:rsidRDefault="00E5327C" w:rsidP="0005402C">
      <w:pPr>
        <w:numPr>
          <w:ilvl w:val="0"/>
          <w:numId w:val="377"/>
        </w:numPr>
        <w:tabs>
          <w:tab w:val="clear" w:pos="720"/>
          <w:tab w:val="num" w:pos="900"/>
        </w:tabs>
        <w:spacing w:before="100" w:beforeAutospacing="1" w:after="100" w:afterAutospacing="1"/>
        <w:ind w:hanging="180"/>
        <w:rPr>
          <w:spacing w:val="8"/>
          <w:sz w:val="24"/>
          <w:szCs w:val="24"/>
        </w:rPr>
      </w:pPr>
      <w:r w:rsidRPr="005556C3">
        <w:rPr>
          <w:b/>
          <w:bCs/>
          <w:spacing w:val="8"/>
          <w:sz w:val="24"/>
          <w:szCs w:val="24"/>
        </w:rPr>
        <w:t>Notice</w:t>
      </w:r>
      <w:r w:rsidRPr="005556C3">
        <w:rPr>
          <w:spacing w:val="8"/>
          <w:sz w:val="24"/>
          <w:szCs w:val="24"/>
        </w:rPr>
        <w:t>. Company shall provide notice to clients:</w:t>
      </w:r>
    </w:p>
    <w:p w14:paraId="102D442C" w14:textId="037DC1AB" w:rsidR="00E5327C" w:rsidRPr="005556C3" w:rsidRDefault="00E5327C" w:rsidP="0005402C">
      <w:pPr>
        <w:numPr>
          <w:ilvl w:val="1"/>
          <w:numId w:val="377"/>
        </w:numPr>
        <w:tabs>
          <w:tab w:val="clear" w:pos="1440"/>
          <w:tab w:val="num" w:pos="1350"/>
        </w:tabs>
        <w:spacing w:before="100" w:beforeAutospacing="1" w:after="100" w:afterAutospacing="1"/>
        <w:ind w:left="1350" w:hanging="270"/>
        <w:rPr>
          <w:spacing w:val="8"/>
          <w:sz w:val="24"/>
          <w:szCs w:val="24"/>
        </w:rPr>
      </w:pPr>
      <w:r w:rsidRPr="005556C3">
        <w:rPr>
          <w:spacing w:val="8"/>
          <w:sz w:val="24"/>
          <w:szCs w:val="24"/>
        </w:rPr>
        <w:t xml:space="preserve">within five business days from the death, incapacity, termination, </w:t>
      </w:r>
      <w:r w:rsidR="007A56EF" w:rsidRPr="005556C3">
        <w:rPr>
          <w:spacing w:val="8"/>
          <w:sz w:val="24"/>
          <w:szCs w:val="24"/>
        </w:rPr>
        <w:t>retirement,</w:t>
      </w:r>
      <w:r w:rsidRPr="005556C3">
        <w:rPr>
          <w:spacing w:val="8"/>
          <w:sz w:val="24"/>
          <w:szCs w:val="24"/>
        </w:rPr>
        <w:t xml:space="preserve"> or resignation of Morris Monroe; and</w:t>
      </w:r>
    </w:p>
    <w:p w14:paraId="339D1783" w14:textId="77777777" w:rsidR="00E5327C" w:rsidRPr="005556C3" w:rsidRDefault="00E5327C" w:rsidP="0005402C">
      <w:pPr>
        <w:numPr>
          <w:ilvl w:val="1"/>
          <w:numId w:val="377"/>
        </w:numPr>
        <w:tabs>
          <w:tab w:val="clear" w:pos="1440"/>
          <w:tab w:val="num" w:pos="1350"/>
        </w:tabs>
        <w:spacing w:before="100" w:beforeAutospacing="1" w:after="100" w:afterAutospacing="1"/>
        <w:ind w:left="1350" w:hanging="270"/>
        <w:rPr>
          <w:spacing w:val="8"/>
          <w:sz w:val="24"/>
          <w:szCs w:val="24"/>
        </w:rPr>
      </w:pPr>
      <w:r w:rsidRPr="005556C3">
        <w:rPr>
          <w:spacing w:val="8"/>
          <w:sz w:val="24"/>
          <w:szCs w:val="24"/>
        </w:rPr>
        <w:t>within 30 business days from the decision to close, sell, or appoint a successor manager(s) of Company.</w:t>
      </w:r>
    </w:p>
    <w:p w14:paraId="2C9BDA07" w14:textId="17F4C656" w:rsidR="00E5327C" w:rsidRPr="005556C3" w:rsidRDefault="00E5327C" w:rsidP="0005402C">
      <w:pPr>
        <w:numPr>
          <w:ilvl w:val="0"/>
          <w:numId w:val="377"/>
        </w:numPr>
        <w:tabs>
          <w:tab w:val="clear" w:pos="720"/>
          <w:tab w:val="num" w:pos="900"/>
        </w:tabs>
        <w:spacing w:before="100" w:beforeAutospacing="1" w:after="100" w:afterAutospacing="1"/>
        <w:ind w:left="900"/>
        <w:rPr>
          <w:spacing w:val="8"/>
          <w:sz w:val="24"/>
          <w:szCs w:val="24"/>
        </w:rPr>
      </w:pPr>
      <w:r w:rsidRPr="005556C3">
        <w:rPr>
          <w:b/>
          <w:bCs/>
          <w:spacing w:val="8"/>
          <w:sz w:val="24"/>
          <w:szCs w:val="24"/>
        </w:rPr>
        <w:t>Transition Team</w:t>
      </w:r>
      <w:r w:rsidRPr="005556C3">
        <w:rPr>
          <w:spacing w:val="8"/>
          <w:sz w:val="24"/>
          <w:szCs w:val="24"/>
        </w:rPr>
        <w:t>. The following employees are designated members of the transition team who are responsible for implementing these procedures and taking all other actions to affect a smooth transition:</w:t>
      </w:r>
    </w:p>
    <w:p w14:paraId="7208056C" w14:textId="76DCD292" w:rsidR="00E5327C" w:rsidRPr="005556C3" w:rsidRDefault="00E5327C" w:rsidP="0005402C">
      <w:pPr>
        <w:numPr>
          <w:ilvl w:val="1"/>
          <w:numId w:val="377"/>
        </w:numPr>
        <w:tabs>
          <w:tab w:val="clear" w:pos="1440"/>
          <w:tab w:val="num" w:pos="1350"/>
        </w:tabs>
        <w:spacing w:before="100" w:beforeAutospacing="1" w:after="100" w:afterAutospacing="1"/>
        <w:ind w:left="1350" w:hanging="270"/>
        <w:rPr>
          <w:spacing w:val="8"/>
          <w:sz w:val="24"/>
          <w:szCs w:val="24"/>
        </w:rPr>
      </w:pPr>
      <w:r w:rsidRPr="005556C3">
        <w:rPr>
          <w:spacing w:val="8"/>
          <w:sz w:val="24"/>
          <w:szCs w:val="24"/>
        </w:rPr>
        <w:t xml:space="preserve">Laura Hendricks (and any other team member deemed necessary). </w:t>
      </w:r>
    </w:p>
    <w:p w14:paraId="38C4F9FE" w14:textId="1E2B2B5F" w:rsidR="00E5327C" w:rsidRPr="005556C3" w:rsidRDefault="00E5327C" w:rsidP="0005402C">
      <w:pPr>
        <w:numPr>
          <w:ilvl w:val="0"/>
          <w:numId w:val="377"/>
        </w:numPr>
        <w:tabs>
          <w:tab w:val="clear" w:pos="720"/>
          <w:tab w:val="num" w:pos="990"/>
        </w:tabs>
        <w:spacing w:before="100" w:beforeAutospacing="1" w:after="100" w:afterAutospacing="1"/>
        <w:ind w:left="990" w:hanging="450"/>
        <w:rPr>
          <w:spacing w:val="8"/>
          <w:sz w:val="24"/>
          <w:szCs w:val="24"/>
        </w:rPr>
      </w:pPr>
      <w:r w:rsidRPr="005556C3">
        <w:rPr>
          <w:b/>
          <w:bCs/>
          <w:spacing w:val="8"/>
          <w:sz w:val="24"/>
          <w:szCs w:val="24"/>
        </w:rPr>
        <w:t>Monitoring of Client Accounts</w:t>
      </w:r>
      <w:r w:rsidRPr="005556C3">
        <w:rPr>
          <w:spacing w:val="8"/>
          <w:sz w:val="24"/>
          <w:szCs w:val="24"/>
        </w:rPr>
        <w:t xml:space="preserve">. If transferring any client accounts, each account will be monitored on a daily basis until an orderly liquidation, </w:t>
      </w:r>
      <w:r w:rsidR="007A56EF" w:rsidRPr="005556C3">
        <w:rPr>
          <w:spacing w:val="8"/>
          <w:sz w:val="24"/>
          <w:szCs w:val="24"/>
        </w:rPr>
        <w:t>distribution,</w:t>
      </w:r>
      <w:r w:rsidRPr="005556C3">
        <w:rPr>
          <w:spacing w:val="8"/>
          <w:sz w:val="24"/>
          <w:szCs w:val="24"/>
        </w:rPr>
        <w:t xml:space="preserve"> or transfer of the client's </w:t>
      </w:r>
      <w:r w:rsidR="00CC713E" w:rsidRPr="005556C3">
        <w:rPr>
          <w:spacing w:val="8"/>
          <w:sz w:val="24"/>
          <w:szCs w:val="24"/>
        </w:rPr>
        <w:t>account(s)</w:t>
      </w:r>
      <w:r w:rsidRPr="005556C3">
        <w:rPr>
          <w:spacing w:val="8"/>
          <w:sz w:val="24"/>
          <w:szCs w:val="24"/>
        </w:rPr>
        <w:t xml:space="preserve"> to another </w:t>
      </w:r>
      <w:r w:rsidR="00CC713E" w:rsidRPr="005556C3">
        <w:rPr>
          <w:spacing w:val="8"/>
          <w:sz w:val="24"/>
          <w:szCs w:val="24"/>
        </w:rPr>
        <w:t>agent or company</w:t>
      </w:r>
      <w:r w:rsidRPr="005556C3">
        <w:rPr>
          <w:spacing w:val="8"/>
          <w:sz w:val="24"/>
          <w:szCs w:val="24"/>
        </w:rPr>
        <w:t xml:space="preserve"> can be achieved.</w:t>
      </w:r>
    </w:p>
    <w:p w14:paraId="77B7658E" w14:textId="3C3BEC2B" w:rsidR="00E5327C" w:rsidRPr="005556C3" w:rsidRDefault="00E5327C" w:rsidP="0005402C">
      <w:pPr>
        <w:numPr>
          <w:ilvl w:val="0"/>
          <w:numId w:val="377"/>
        </w:numPr>
        <w:tabs>
          <w:tab w:val="clear" w:pos="720"/>
          <w:tab w:val="num" w:pos="990"/>
        </w:tabs>
        <w:spacing w:before="100" w:beforeAutospacing="1" w:after="100" w:afterAutospacing="1"/>
        <w:ind w:left="990" w:hanging="450"/>
        <w:rPr>
          <w:spacing w:val="8"/>
          <w:sz w:val="24"/>
          <w:szCs w:val="24"/>
        </w:rPr>
      </w:pPr>
      <w:r w:rsidRPr="005556C3">
        <w:rPr>
          <w:b/>
          <w:bCs/>
          <w:spacing w:val="8"/>
          <w:sz w:val="24"/>
          <w:szCs w:val="24"/>
        </w:rPr>
        <w:t>Successor Candidates</w:t>
      </w:r>
      <w:r w:rsidRPr="005556C3">
        <w:rPr>
          <w:spacing w:val="8"/>
          <w:sz w:val="24"/>
          <w:szCs w:val="24"/>
        </w:rPr>
        <w:t xml:space="preserve">. Company shall identify and maintain a list of potential </w:t>
      </w:r>
      <w:r w:rsidR="00CC713E" w:rsidRPr="005556C3">
        <w:rPr>
          <w:spacing w:val="8"/>
          <w:sz w:val="24"/>
          <w:szCs w:val="24"/>
        </w:rPr>
        <w:t>individuals or companies</w:t>
      </w:r>
      <w:r w:rsidRPr="005556C3">
        <w:rPr>
          <w:spacing w:val="8"/>
          <w:sz w:val="24"/>
          <w:szCs w:val="24"/>
        </w:rPr>
        <w:t xml:space="preserve"> that can act as a short-term substitute or long-term successor. During this process, Company will verify registrations in relevant states, professional certifications, educational background, disciplinary </w:t>
      </w:r>
      <w:r w:rsidR="00CC713E" w:rsidRPr="005556C3">
        <w:rPr>
          <w:spacing w:val="8"/>
          <w:sz w:val="24"/>
          <w:szCs w:val="24"/>
        </w:rPr>
        <w:t>history,</w:t>
      </w:r>
      <w:r w:rsidRPr="005556C3">
        <w:rPr>
          <w:spacing w:val="8"/>
          <w:sz w:val="24"/>
          <w:szCs w:val="24"/>
        </w:rPr>
        <w:t xml:space="preserve"> and work experience.  </w:t>
      </w:r>
    </w:p>
    <w:p w14:paraId="51BFE216" w14:textId="77777777" w:rsidR="00E5327C" w:rsidRPr="005556C3" w:rsidRDefault="00E5327C" w:rsidP="0005402C">
      <w:pPr>
        <w:numPr>
          <w:ilvl w:val="0"/>
          <w:numId w:val="377"/>
        </w:numPr>
        <w:tabs>
          <w:tab w:val="clear" w:pos="720"/>
          <w:tab w:val="num" w:pos="990"/>
        </w:tabs>
        <w:spacing w:before="100" w:beforeAutospacing="1" w:after="100" w:afterAutospacing="1"/>
        <w:ind w:left="990" w:hanging="450"/>
        <w:rPr>
          <w:spacing w:val="8"/>
          <w:sz w:val="24"/>
          <w:szCs w:val="24"/>
        </w:rPr>
      </w:pPr>
      <w:r w:rsidRPr="005556C3">
        <w:rPr>
          <w:b/>
          <w:bCs/>
          <w:spacing w:val="8"/>
          <w:sz w:val="24"/>
          <w:szCs w:val="24"/>
        </w:rPr>
        <w:t>Employment Agreements</w:t>
      </w:r>
      <w:r w:rsidRPr="005556C3">
        <w:rPr>
          <w:spacing w:val="8"/>
          <w:sz w:val="24"/>
          <w:szCs w:val="24"/>
        </w:rPr>
        <w:t>. Company's employment agreements with key personnel, if possible, will contain provisions:</w:t>
      </w:r>
    </w:p>
    <w:p w14:paraId="4951363D" w14:textId="77777777" w:rsidR="00E5327C" w:rsidRPr="005556C3" w:rsidRDefault="00E5327C" w:rsidP="0005402C">
      <w:pPr>
        <w:numPr>
          <w:ilvl w:val="1"/>
          <w:numId w:val="377"/>
        </w:numPr>
        <w:tabs>
          <w:tab w:val="clear" w:pos="1440"/>
          <w:tab w:val="num" w:pos="1350"/>
        </w:tabs>
        <w:spacing w:before="100" w:beforeAutospacing="1" w:after="100" w:afterAutospacing="1"/>
        <w:ind w:left="1350" w:hanging="270"/>
        <w:rPr>
          <w:spacing w:val="8"/>
          <w:sz w:val="24"/>
          <w:szCs w:val="24"/>
        </w:rPr>
      </w:pPr>
      <w:r w:rsidRPr="005556C3">
        <w:rPr>
          <w:spacing w:val="8"/>
          <w:sz w:val="24"/>
          <w:szCs w:val="24"/>
        </w:rPr>
        <w:t>protecting Company's proprietary interests in client relationships;</w:t>
      </w:r>
    </w:p>
    <w:p w14:paraId="4B9AB09B" w14:textId="77777777" w:rsidR="00E5327C" w:rsidRPr="005556C3" w:rsidRDefault="00E5327C" w:rsidP="0005402C">
      <w:pPr>
        <w:numPr>
          <w:ilvl w:val="1"/>
          <w:numId w:val="377"/>
        </w:numPr>
        <w:tabs>
          <w:tab w:val="clear" w:pos="1440"/>
          <w:tab w:val="num" w:pos="1350"/>
        </w:tabs>
        <w:spacing w:before="100" w:beforeAutospacing="1" w:after="100" w:afterAutospacing="1"/>
        <w:ind w:left="1350" w:hanging="270"/>
        <w:rPr>
          <w:spacing w:val="8"/>
          <w:sz w:val="24"/>
          <w:szCs w:val="24"/>
        </w:rPr>
      </w:pPr>
      <w:r w:rsidRPr="005556C3">
        <w:rPr>
          <w:spacing w:val="8"/>
          <w:sz w:val="24"/>
          <w:szCs w:val="24"/>
        </w:rPr>
        <w:t>requiring at least 60 days' notification of resignation; and</w:t>
      </w:r>
    </w:p>
    <w:p w14:paraId="0875FA1C" w14:textId="263FF416" w:rsidR="00E5327C" w:rsidRPr="005556C3" w:rsidRDefault="00E5327C" w:rsidP="0005402C">
      <w:pPr>
        <w:numPr>
          <w:ilvl w:val="1"/>
          <w:numId w:val="377"/>
        </w:numPr>
        <w:tabs>
          <w:tab w:val="clear" w:pos="1440"/>
          <w:tab w:val="num" w:pos="1350"/>
        </w:tabs>
        <w:spacing w:before="100" w:beforeAutospacing="1" w:after="100" w:afterAutospacing="1"/>
        <w:ind w:left="1350" w:hanging="270"/>
        <w:rPr>
          <w:spacing w:val="8"/>
          <w:sz w:val="24"/>
          <w:szCs w:val="24"/>
        </w:rPr>
      </w:pPr>
      <w:r w:rsidRPr="005556C3">
        <w:rPr>
          <w:spacing w:val="8"/>
          <w:sz w:val="24"/>
          <w:szCs w:val="24"/>
        </w:rPr>
        <w:t xml:space="preserve">training by such key personnel of other </w:t>
      </w:r>
      <w:r w:rsidR="00CC713E" w:rsidRPr="005556C3">
        <w:rPr>
          <w:spacing w:val="8"/>
          <w:sz w:val="24"/>
          <w:szCs w:val="24"/>
        </w:rPr>
        <w:t>company</w:t>
      </w:r>
      <w:r w:rsidRPr="005556C3">
        <w:rPr>
          <w:spacing w:val="8"/>
          <w:sz w:val="24"/>
          <w:szCs w:val="24"/>
        </w:rPr>
        <w:t xml:space="preserve"> personnel who can substitute for them after they depart.</w:t>
      </w:r>
    </w:p>
    <w:p w14:paraId="3108C8CF" w14:textId="69C82285" w:rsidR="00E5327C" w:rsidRPr="005556C3" w:rsidRDefault="00E5327C" w:rsidP="0005402C">
      <w:pPr>
        <w:numPr>
          <w:ilvl w:val="0"/>
          <w:numId w:val="377"/>
        </w:numPr>
        <w:tabs>
          <w:tab w:val="clear" w:pos="720"/>
          <w:tab w:val="num" w:pos="990"/>
        </w:tabs>
        <w:spacing w:before="100" w:beforeAutospacing="1" w:after="100" w:afterAutospacing="1"/>
        <w:ind w:left="990" w:hanging="450"/>
        <w:rPr>
          <w:spacing w:val="8"/>
          <w:sz w:val="24"/>
          <w:szCs w:val="24"/>
        </w:rPr>
      </w:pPr>
      <w:r w:rsidRPr="005556C3">
        <w:rPr>
          <w:b/>
          <w:bCs/>
          <w:spacing w:val="8"/>
          <w:sz w:val="24"/>
          <w:szCs w:val="24"/>
        </w:rPr>
        <w:t>Custodian and Other Key Service Providers</w:t>
      </w:r>
      <w:r w:rsidRPr="005556C3">
        <w:rPr>
          <w:spacing w:val="8"/>
          <w:sz w:val="24"/>
          <w:szCs w:val="24"/>
        </w:rPr>
        <w:t xml:space="preserve">. Company will maintain any specific documents or processes that must be completed for client accounts serviced by the third-party service provider to allow the substitute </w:t>
      </w:r>
      <w:r w:rsidR="00CC713E" w:rsidRPr="005556C3">
        <w:rPr>
          <w:spacing w:val="8"/>
          <w:sz w:val="24"/>
          <w:szCs w:val="24"/>
        </w:rPr>
        <w:t>agent</w:t>
      </w:r>
      <w:r w:rsidRPr="005556C3">
        <w:rPr>
          <w:spacing w:val="8"/>
          <w:sz w:val="24"/>
          <w:szCs w:val="24"/>
        </w:rPr>
        <w:t xml:space="preserve"> to transact business.</w:t>
      </w:r>
    </w:p>
    <w:p w14:paraId="390C6F5D" w14:textId="50E56F52" w:rsidR="00E5327C" w:rsidRPr="005556C3" w:rsidRDefault="00E5327C" w:rsidP="0005402C">
      <w:pPr>
        <w:numPr>
          <w:ilvl w:val="0"/>
          <w:numId w:val="377"/>
        </w:numPr>
        <w:tabs>
          <w:tab w:val="clear" w:pos="720"/>
          <w:tab w:val="num" w:pos="990"/>
        </w:tabs>
        <w:spacing w:before="100" w:beforeAutospacing="1" w:after="100" w:afterAutospacing="1"/>
        <w:ind w:left="990" w:hanging="450"/>
        <w:rPr>
          <w:spacing w:val="8"/>
          <w:sz w:val="24"/>
          <w:szCs w:val="24"/>
        </w:rPr>
      </w:pPr>
      <w:r w:rsidRPr="005556C3">
        <w:rPr>
          <w:b/>
          <w:bCs/>
          <w:spacing w:val="8"/>
          <w:sz w:val="24"/>
          <w:szCs w:val="24"/>
        </w:rPr>
        <w:t>Illiquid Assets</w:t>
      </w:r>
      <w:r w:rsidRPr="005556C3">
        <w:rPr>
          <w:spacing w:val="8"/>
          <w:sz w:val="24"/>
          <w:szCs w:val="24"/>
        </w:rPr>
        <w:t xml:space="preserve">. In the event of a likely succession or incapacitation of Company, Company will review client accounts for illiquid assets and form a plan on how they may be orderly liquidated, distributed or transferred to another </w:t>
      </w:r>
      <w:r w:rsidR="00CC713E" w:rsidRPr="005556C3">
        <w:rPr>
          <w:spacing w:val="8"/>
          <w:sz w:val="24"/>
          <w:szCs w:val="24"/>
        </w:rPr>
        <w:t>agent or company</w:t>
      </w:r>
      <w:r w:rsidRPr="005556C3">
        <w:rPr>
          <w:spacing w:val="8"/>
          <w:sz w:val="24"/>
          <w:szCs w:val="24"/>
        </w:rPr>
        <w:t xml:space="preserve"> can be achieved.</w:t>
      </w:r>
    </w:p>
    <w:p w14:paraId="2D19052C" w14:textId="39907DC5" w:rsidR="00E5327C" w:rsidRPr="005556C3" w:rsidRDefault="00CC713E" w:rsidP="0005402C">
      <w:pPr>
        <w:numPr>
          <w:ilvl w:val="0"/>
          <w:numId w:val="377"/>
        </w:numPr>
        <w:tabs>
          <w:tab w:val="clear" w:pos="720"/>
          <w:tab w:val="num" w:pos="990"/>
        </w:tabs>
        <w:spacing w:before="100" w:beforeAutospacing="1" w:after="100" w:afterAutospacing="1"/>
        <w:ind w:left="990" w:hanging="450"/>
        <w:rPr>
          <w:spacing w:val="8"/>
          <w:sz w:val="24"/>
          <w:szCs w:val="24"/>
        </w:rPr>
      </w:pPr>
      <w:r w:rsidRPr="005556C3">
        <w:rPr>
          <w:b/>
          <w:bCs/>
          <w:spacing w:val="8"/>
          <w:sz w:val="24"/>
          <w:szCs w:val="24"/>
        </w:rPr>
        <w:t>Account</w:t>
      </w:r>
      <w:r w:rsidR="00E5327C" w:rsidRPr="005556C3">
        <w:rPr>
          <w:b/>
          <w:bCs/>
          <w:spacing w:val="8"/>
          <w:sz w:val="24"/>
          <w:szCs w:val="24"/>
        </w:rPr>
        <w:t xml:space="preserve"> Transition</w:t>
      </w:r>
      <w:r w:rsidR="00E5327C" w:rsidRPr="005556C3">
        <w:rPr>
          <w:spacing w:val="8"/>
          <w:sz w:val="24"/>
          <w:szCs w:val="24"/>
        </w:rPr>
        <w:t xml:space="preserve">. Company will cooperate with the successor </w:t>
      </w:r>
      <w:r w:rsidRPr="005556C3">
        <w:rPr>
          <w:spacing w:val="8"/>
          <w:sz w:val="24"/>
          <w:szCs w:val="24"/>
        </w:rPr>
        <w:t>agent or company</w:t>
      </w:r>
      <w:r w:rsidR="00E5327C" w:rsidRPr="005556C3">
        <w:rPr>
          <w:spacing w:val="8"/>
          <w:sz w:val="24"/>
          <w:szCs w:val="24"/>
        </w:rPr>
        <w:t xml:space="preserve"> or transition manager in terms of restructuring client </w:t>
      </w:r>
      <w:r w:rsidRPr="005556C3">
        <w:rPr>
          <w:spacing w:val="8"/>
          <w:sz w:val="24"/>
          <w:szCs w:val="24"/>
        </w:rPr>
        <w:t>accounts</w:t>
      </w:r>
      <w:r w:rsidR="00E5327C" w:rsidRPr="005556C3">
        <w:rPr>
          <w:spacing w:val="8"/>
          <w:sz w:val="24"/>
          <w:szCs w:val="24"/>
        </w:rPr>
        <w:t xml:space="preserve"> so that they may be transitioned to the successor in a manner consistent with the investment strategy employed by such successor.</w:t>
      </w:r>
    </w:p>
    <w:p w14:paraId="5804F911" w14:textId="77777777" w:rsidR="00E5327C" w:rsidRPr="005556C3" w:rsidRDefault="00E5327C" w:rsidP="00E5327C">
      <w:pPr>
        <w:shd w:val="clear" w:color="auto" w:fill="FFFFFF"/>
        <w:tabs>
          <w:tab w:val="num" w:pos="990"/>
        </w:tabs>
        <w:ind w:left="990" w:hanging="450"/>
      </w:pPr>
    </w:p>
    <w:bookmarkEnd w:id="330"/>
    <w:p w14:paraId="392A7466" w14:textId="77777777" w:rsidR="000C099C" w:rsidRDefault="000C099C" w:rsidP="00E5327C">
      <w:pPr>
        <w:pStyle w:val="Heading3"/>
        <w:tabs>
          <w:tab w:val="num" w:pos="990"/>
        </w:tabs>
        <w:ind w:left="990" w:hanging="450"/>
      </w:pPr>
      <w:r w:rsidRPr="005556C3">
        <w:br w:type="page"/>
      </w:r>
      <w:r w:rsidR="005A525A">
        <w:lastRenderedPageBreak/>
        <w:t>1</w:t>
      </w:r>
      <w:r w:rsidR="00CD2210">
        <w:t>7</w:t>
      </w:r>
      <w:r w:rsidR="005A525A">
        <w:t>.</w:t>
      </w:r>
      <w:r w:rsidR="00FD5F8D">
        <w:t>7</w:t>
      </w:r>
      <w:r w:rsidR="005A525A">
        <w:t>.</w:t>
      </w:r>
      <w:r w:rsidR="00F77E35">
        <w:t>10</w:t>
      </w:r>
      <w:r w:rsidR="00D21824">
        <w:t xml:space="preserve"> </w:t>
      </w:r>
      <w:r>
        <w:t>VARYING TYPES OF SIGNIFICANT BUSINESS DISRUPTIONS (SBD)</w:t>
      </w:r>
    </w:p>
    <w:p w14:paraId="2CC04998" w14:textId="77777777" w:rsidR="005A525A" w:rsidRPr="005A525A" w:rsidRDefault="005A525A" w:rsidP="005A525A"/>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489"/>
        <w:gridCol w:w="5313"/>
      </w:tblGrid>
      <w:tr w:rsidR="000C099C" w14:paraId="34CEC2DF" w14:textId="77777777">
        <w:tc>
          <w:tcPr>
            <w:tcW w:w="2160" w:type="dxa"/>
            <w:shd w:val="clear" w:color="auto" w:fill="E6E6E6"/>
          </w:tcPr>
          <w:p w14:paraId="67D41A97" w14:textId="77777777" w:rsidR="000C099C" w:rsidRDefault="000C099C">
            <w:pPr>
              <w:pStyle w:val="BodyText"/>
              <w:tabs>
                <w:tab w:val="left" w:pos="360"/>
              </w:tabs>
              <w:jc w:val="left"/>
              <w:rPr>
                <w:b/>
                <w:bCs/>
              </w:rPr>
            </w:pPr>
            <w:r>
              <w:rPr>
                <w:b/>
                <w:bCs/>
              </w:rPr>
              <w:t>SBD TYPE</w:t>
            </w:r>
          </w:p>
        </w:tc>
        <w:tc>
          <w:tcPr>
            <w:tcW w:w="2520" w:type="dxa"/>
            <w:shd w:val="clear" w:color="auto" w:fill="E6E6E6"/>
          </w:tcPr>
          <w:p w14:paraId="4F0D12E8" w14:textId="77777777" w:rsidR="000C099C" w:rsidRDefault="000C099C">
            <w:pPr>
              <w:pStyle w:val="BodyText"/>
              <w:tabs>
                <w:tab w:val="left" w:pos="360"/>
              </w:tabs>
              <w:jc w:val="left"/>
              <w:rPr>
                <w:b/>
                <w:bCs/>
              </w:rPr>
            </w:pPr>
            <w:r>
              <w:rPr>
                <w:b/>
                <w:bCs/>
              </w:rPr>
              <w:t>BUSINESS CONTINUATION</w:t>
            </w:r>
          </w:p>
        </w:tc>
        <w:tc>
          <w:tcPr>
            <w:tcW w:w="5490" w:type="dxa"/>
            <w:shd w:val="clear" w:color="auto" w:fill="E6E6E6"/>
          </w:tcPr>
          <w:p w14:paraId="439B3861" w14:textId="77777777" w:rsidR="000C099C" w:rsidRDefault="000C099C">
            <w:pPr>
              <w:pStyle w:val="BodyText"/>
              <w:tabs>
                <w:tab w:val="left" w:pos="360"/>
              </w:tabs>
              <w:jc w:val="left"/>
              <w:rPr>
                <w:b/>
                <w:bCs/>
              </w:rPr>
            </w:pPr>
            <w:r>
              <w:rPr>
                <w:b/>
                <w:bCs/>
              </w:rPr>
              <w:t>INTENDED RESPONSE/RECOVERY TIME</w:t>
            </w:r>
          </w:p>
        </w:tc>
      </w:tr>
      <w:tr w:rsidR="000C099C" w14:paraId="683A7445" w14:textId="77777777">
        <w:tc>
          <w:tcPr>
            <w:tcW w:w="2160" w:type="dxa"/>
          </w:tcPr>
          <w:p w14:paraId="7B16B27C" w14:textId="77777777" w:rsidR="000C099C" w:rsidRDefault="000C099C">
            <w:pPr>
              <w:pStyle w:val="BodyText"/>
              <w:tabs>
                <w:tab w:val="left" w:pos="360"/>
              </w:tabs>
              <w:jc w:val="left"/>
            </w:pPr>
            <w:r>
              <w:t>Firm only disruption, Office Building disruption, City-wide disruption</w:t>
            </w:r>
          </w:p>
        </w:tc>
        <w:tc>
          <w:tcPr>
            <w:tcW w:w="2520" w:type="dxa"/>
          </w:tcPr>
          <w:p w14:paraId="30CA3835" w14:textId="77777777" w:rsidR="000C099C" w:rsidRDefault="000C099C">
            <w:pPr>
              <w:pStyle w:val="BodyText"/>
              <w:tabs>
                <w:tab w:val="left" w:pos="360"/>
              </w:tabs>
              <w:jc w:val="left"/>
            </w:pPr>
            <w:r>
              <w:t>Yes</w:t>
            </w:r>
          </w:p>
        </w:tc>
        <w:tc>
          <w:tcPr>
            <w:tcW w:w="5490" w:type="dxa"/>
          </w:tcPr>
          <w:p w14:paraId="58DB1827" w14:textId="77777777" w:rsidR="000C099C" w:rsidRDefault="000C099C" w:rsidP="00C55A44">
            <w:pPr>
              <w:pStyle w:val="BodyText"/>
              <w:tabs>
                <w:tab w:val="left" w:pos="360"/>
              </w:tabs>
              <w:jc w:val="left"/>
              <w:rPr>
                <w:color w:val="FF0000"/>
              </w:rPr>
            </w:pPr>
            <w:r>
              <w:t xml:space="preserve">Contingency procedures in place to handle order processing, telephones, emails, etc.  Further information to be posted on our website at </w:t>
            </w:r>
            <w:hyperlink r:id="rId160" w:history="1">
              <w:r>
                <w:rPr>
                  <w:rStyle w:val="Hyperlink"/>
                </w:rPr>
                <w:t>www.woodlandssecurities.com</w:t>
              </w:r>
            </w:hyperlink>
            <w:r>
              <w:t>.  Recovery time should be within 24 hours or with minimal disruption if backup must be restored from alternate facility.  Also have three alternate facilities with remote access in The Woodlands</w:t>
            </w:r>
            <w:r w:rsidR="00367A90">
              <w:t xml:space="preserve">, </w:t>
            </w:r>
            <w:r w:rsidR="00367A90" w:rsidRPr="00CD2210">
              <w:t>Conroe, and New Braunfels</w:t>
            </w:r>
            <w:r w:rsidRPr="00CD2210">
              <w:t xml:space="preserve">.  In addition, WinOps is </w:t>
            </w:r>
            <w:r w:rsidRPr="003A0A7B">
              <w:t>housed on an outside terminal in Colorado, and data can be accessed via any computer with internet connection.</w:t>
            </w:r>
          </w:p>
        </w:tc>
      </w:tr>
      <w:tr w:rsidR="000C099C" w14:paraId="35FEE9F5" w14:textId="77777777">
        <w:tc>
          <w:tcPr>
            <w:tcW w:w="2160" w:type="dxa"/>
          </w:tcPr>
          <w:p w14:paraId="258B6EAF" w14:textId="77777777" w:rsidR="000C099C" w:rsidRDefault="000C099C">
            <w:pPr>
              <w:pStyle w:val="BodyText"/>
              <w:tabs>
                <w:tab w:val="left" w:pos="360"/>
              </w:tabs>
              <w:jc w:val="left"/>
            </w:pPr>
            <w:r>
              <w:t>Regional disruption</w:t>
            </w:r>
          </w:p>
        </w:tc>
        <w:tc>
          <w:tcPr>
            <w:tcW w:w="2520" w:type="dxa"/>
          </w:tcPr>
          <w:p w14:paraId="7121ED76" w14:textId="77777777" w:rsidR="000C099C" w:rsidRDefault="000C099C" w:rsidP="001C25AD">
            <w:pPr>
              <w:pStyle w:val="BodyText"/>
              <w:tabs>
                <w:tab w:val="left" w:pos="360"/>
              </w:tabs>
              <w:jc w:val="left"/>
            </w:pPr>
            <w:r>
              <w:t xml:space="preserve">Possibility of order processing disruption depending on availability of </w:t>
            </w:r>
            <w:r w:rsidR="001C25AD" w:rsidRPr="00E87775">
              <w:t>HTS</w:t>
            </w:r>
            <w:r>
              <w:t>.</w:t>
            </w:r>
          </w:p>
        </w:tc>
        <w:tc>
          <w:tcPr>
            <w:tcW w:w="5490" w:type="dxa"/>
          </w:tcPr>
          <w:p w14:paraId="3D9FC96B" w14:textId="3BE184BE" w:rsidR="000C099C" w:rsidRDefault="00551059" w:rsidP="00D71A34">
            <w:pPr>
              <w:pStyle w:val="BodyText"/>
              <w:tabs>
                <w:tab w:val="left" w:pos="360"/>
              </w:tabs>
              <w:jc w:val="left"/>
            </w:pPr>
            <w:r>
              <w:t>Alternate facilities in</w:t>
            </w:r>
            <w:r w:rsidR="000C099C">
              <w:t xml:space="preserve"> </w:t>
            </w:r>
            <w:r w:rsidR="00367A90">
              <w:t>C</w:t>
            </w:r>
            <w:r w:rsidR="00BA546B">
              <w:t>onroe</w:t>
            </w:r>
            <w:r w:rsidR="00367A90">
              <w:t xml:space="preserve">, </w:t>
            </w:r>
            <w:r w:rsidR="00367A90" w:rsidRPr="00CD2210">
              <w:t>and New</w:t>
            </w:r>
            <w:r w:rsidR="009326E1" w:rsidRPr="00CD2210">
              <w:t xml:space="preserve"> Braunfels</w:t>
            </w:r>
            <w:r w:rsidR="00BA546B" w:rsidRPr="00CD2210">
              <w:t xml:space="preserve"> TX</w:t>
            </w:r>
            <w:r w:rsidRPr="00CD2210">
              <w:t xml:space="preserve"> </w:t>
            </w:r>
            <w:r w:rsidR="000C099C" w:rsidRPr="00CD2210">
              <w:t xml:space="preserve">available to facilitate continuation </w:t>
            </w:r>
            <w:r w:rsidR="000C099C">
              <w:t>of operations</w:t>
            </w:r>
            <w:r w:rsidR="006A45EE">
              <w:t>, however</w:t>
            </w:r>
            <w:r w:rsidR="000C099C">
              <w:t xml:space="preserve">, depending on availability of </w:t>
            </w:r>
            <w:r w:rsidR="00D71A34" w:rsidRPr="00E87775">
              <w:t>HT</w:t>
            </w:r>
            <w:r w:rsidR="000C099C" w:rsidRPr="00E87775">
              <w:t xml:space="preserve">S for trade </w:t>
            </w:r>
            <w:r w:rsidR="004C3532" w:rsidRPr="00E87775">
              <w:t>processing;</w:t>
            </w:r>
            <w:r w:rsidR="000C099C" w:rsidRPr="00E87775">
              <w:t xml:space="preserve"> this function may be temporarily processed through an alternate facility based on </w:t>
            </w:r>
            <w:r w:rsidR="00D71A34" w:rsidRPr="00E87775">
              <w:t>HT</w:t>
            </w:r>
            <w:r w:rsidR="000C099C" w:rsidRPr="00E87775">
              <w:t xml:space="preserve">S and/or Schwab contingency </w:t>
            </w:r>
            <w:r w:rsidR="000C099C">
              <w:t xml:space="preserve">procedures.  Their BCP information is posted at </w:t>
            </w:r>
            <w:hyperlink r:id="rId161" w:history="1">
              <w:r w:rsidR="00EA0A5B" w:rsidRPr="002B41A2">
                <w:rPr>
                  <w:rStyle w:val="Hyperlink"/>
                </w:rPr>
                <w:t>www.hilltopsecurities.com</w:t>
              </w:r>
            </w:hyperlink>
            <w:r w:rsidR="00EA0A5B">
              <w:t xml:space="preserve"> </w:t>
            </w:r>
            <w:r w:rsidR="000C099C">
              <w:t xml:space="preserve">and </w:t>
            </w:r>
            <w:hyperlink r:id="rId162" w:history="1">
              <w:r w:rsidR="000C099C">
                <w:rPr>
                  <w:rStyle w:val="Hyperlink"/>
                </w:rPr>
                <w:t>www.charleschwab.com</w:t>
              </w:r>
            </w:hyperlink>
            <w:r w:rsidR="000C099C">
              <w:t xml:space="preserve"> respectively.  Recovery time could be between 24 hours to several days depending on availability of backup from alternate facility. </w:t>
            </w:r>
            <w:r w:rsidR="000C099C" w:rsidRPr="003A0A7B">
              <w:t>(WinOps is now housed on an outside terminal in Colorado, and data can be accessed via any computer with internet connection.)</w:t>
            </w:r>
          </w:p>
        </w:tc>
      </w:tr>
    </w:tbl>
    <w:p w14:paraId="0F623EEA" w14:textId="77777777" w:rsidR="007A1713" w:rsidRDefault="007A1713">
      <w:pPr>
        <w:pStyle w:val="BodyText"/>
        <w:tabs>
          <w:tab w:val="left" w:pos="360"/>
        </w:tabs>
        <w:ind w:left="360"/>
        <w:jc w:val="left"/>
        <w:rPr>
          <w:b/>
          <w:bCs/>
        </w:rPr>
      </w:pPr>
    </w:p>
    <w:p w14:paraId="4714417E" w14:textId="77777777" w:rsidR="000C099C" w:rsidRDefault="007A1713" w:rsidP="001A7509">
      <w:pPr>
        <w:pStyle w:val="Heading3"/>
      </w:pPr>
      <w:r>
        <w:br w:type="page"/>
      </w:r>
      <w:r w:rsidR="005A525A">
        <w:lastRenderedPageBreak/>
        <w:t>1</w:t>
      </w:r>
      <w:r w:rsidR="00CD2210">
        <w:t>7</w:t>
      </w:r>
      <w:r w:rsidR="005A525A">
        <w:t>.</w:t>
      </w:r>
      <w:r w:rsidR="00FD5F8D">
        <w:t>7</w:t>
      </w:r>
      <w:r w:rsidR="005A525A">
        <w:t>.1</w:t>
      </w:r>
      <w:r w:rsidR="00F77E35">
        <w:t>1</w:t>
      </w:r>
      <w:r w:rsidR="00D21824">
        <w:t xml:space="preserve"> </w:t>
      </w:r>
      <w:r w:rsidR="000C099C">
        <w:t>TEAM CONTACT INFORMATION</w:t>
      </w:r>
    </w:p>
    <w:p w14:paraId="6F21583C" w14:textId="77777777" w:rsidR="005A525A" w:rsidRPr="005A525A" w:rsidRDefault="005A525A" w:rsidP="005A525A"/>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980"/>
        <w:gridCol w:w="1530"/>
        <w:gridCol w:w="990"/>
        <w:gridCol w:w="1530"/>
        <w:gridCol w:w="2430"/>
        <w:gridCol w:w="720"/>
      </w:tblGrid>
      <w:tr w:rsidR="000C099C" w14:paraId="10077D3D" w14:textId="77777777" w:rsidTr="00B81E1B">
        <w:tc>
          <w:tcPr>
            <w:tcW w:w="1350" w:type="dxa"/>
            <w:shd w:val="clear" w:color="auto" w:fill="E6E6E6"/>
          </w:tcPr>
          <w:p w14:paraId="6D42F15A" w14:textId="77777777" w:rsidR="000C099C" w:rsidRDefault="000C099C">
            <w:pPr>
              <w:pStyle w:val="BodyText"/>
              <w:tabs>
                <w:tab w:val="left" w:pos="1170"/>
              </w:tabs>
              <w:jc w:val="left"/>
              <w:rPr>
                <w:b/>
                <w:bCs/>
                <w:sz w:val="20"/>
              </w:rPr>
            </w:pPr>
            <w:r>
              <w:rPr>
                <w:b/>
                <w:bCs/>
                <w:sz w:val="20"/>
              </w:rPr>
              <w:t>Name</w:t>
            </w:r>
          </w:p>
        </w:tc>
        <w:tc>
          <w:tcPr>
            <w:tcW w:w="1980" w:type="dxa"/>
            <w:shd w:val="clear" w:color="auto" w:fill="E6E6E6"/>
          </w:tcPr>
          <w:p w14:paraId="3C31F7C4" w14:textId="77777777" w:rsidR="000C099C" w:rsidRDefault="000C099C">
            <w:pPr>
              <w:pStyle w:val="BodyText"/>
              <w:tabs>
                <w:tab w:val="left" w:pos="1170"/>
              </w:tabs>
              <w:jc w:val="left"/>
              <w:rPr>
                <w:b/>
                <w:bCs/>
                <w:sz w:val="20"/>
              </w:rPr>
            </w:pPr>
            <w:r>
              <w:rPr>
                <w:b/>
                <w:bCs/>
                <w:sz w:val="20"/>
              </w:rPr>
              <w:t>Address</w:t>
            </w:r>
          </w:p>
        </w:tc>
        <w:tc>
          <w:tcPr>
            <w:tcW w:w="1530" w:type="dxa"/>
            <w:shd w:val="clear" w:color="auto" w:fill="E6E6E6"/>
          </w:tcPr>
          <w:p w14:paraId="63FAED99" w14:textId="77777777" w:rsidR="000C099C" w:rsidRDefault="000C099C">
            <w:pPr>
              <w:pStyle w:val="BodyText"/>
              <w:tabs>
                <w:tab w:val="left" w:pos="1170"/>
              </w:tabs>
              <w:jc w:val="left"/>
              <w:rPr>
                <w:b/>
                <w:bCs/>
                <w:sz w:val="20"/>
              </w:rPr>
            </w:pPr>
            <w:r>
              <w:rPr>
                <w:b/>
                <w:bCs/>
                <w:sz w:val="20"/>
              </w:rPr>
              <w:t>Home Phone</w:t>
            </w:r>
          </w:p>
        </w:tc>
        <w:tc>
          <w:tcPr>
            <w:tcW w:w="990" w:type="dxa"/>
            <w:shd w:val="clear" w:color="auto" w:fill="E6E6E6"/>
          </w:tcPr>
          <w:p w14:paraId="2C79E6CB" w14:textId="77777777" w:rsidR="000C099C" w:rsidRDefault="000C099C">
            <w:pPr>
              <w:pStyle w:val="BodyText"/>
              <w:tabs>
                <w:tab w:val="left" w:pos="1170"/>
              </w:tabs>
              <w:jc w:val="left"/>
              <w:rPr>
                <w:b/>
                <w:bCs/>
                <w:sz w:val="20"/>
              </w:rPr>
            </w:pPr>
            <w:r>
              <w:rPr>
                <w:b/>
                <w:bCs/>
                <w:sz w:val="20"/>
              </w:rPr>
              <w:t>Fax Number</w:t>
            </w:r>
          </w:p>
        </w:tc>
        <w:tc>
          <w:tcPr>
            <w:tcW w:w="1530" w:type="dxa"/>
            <w:shd w:val="clear" w:color="auto" w:fill="E6E6E6"/>
          </w:tcPr>
          <w:p w14:paraId="5B97B5EA" w14:textId="77777777" w:rsidR="000C099C" w:rsidRDefault="000C099C">
            <w:pPr>
              <w:pStyle w:val="BodyText"/>
              <w:tabs>
                <w:tab w:val="left" w:pos="1170"/>
              </w:tabs>
              <w:jc w:val="left"/>
              <w:rPr>
                <w:b/>
                <w:bCs/>
                <w:sz w:val="20"/>
              </w:rPr>
            </w:pPr>
            <w:r>
              <w:rPr>
                <w:b/>
                <w:bCs/>
                <w:sz w:val="20"/>
              </w:rPr>
              <w:t>Cell</w:t>
            </w:r>
          </w:p>
        </w:tc>
        <w:tc>
          <w:tcPr>
            <w:tcW w:w="2430" w:type="dxa"/>
            <w:shd w:val="clear" w:color="auto" w:fill="E6E6E6"/>
          </w:tcPr>
          <w:p w14:paraId="662AA660" w14:textId="5EBC51E2" w:rsidR="000C099C" w:rsidRDefault="004B3687">
            <w:pPr>
              <w:pStyle w:val="BodyText"/>
              <w:tabs>
                <w:tab w:val="left" w:pos="1170"/>
              </w:tabs>
              <w:jc w:val="left"/>
              <w:rPr>
                <w:b/>
                <w:bCs/>
                <w:sz w:val="20"/>
              </w:rPr>
            </w:pPr>
            <w:r w:rsidRPr="004F62D0">
              <w:rPr>
                <w:b/>
                <w:bCs/>
                <w:sz w:val="20"/>
              </w:rPr>
              <w:t xml:space="preserve">Other </w:t>
            </w:r>
            <w:r w:rsidR="000C099C">
              <w:rPr>
                <w:b/>
                <w:bCs/>
                <w:sz w:val="20"/>
              </w:rPr>
              <w:t>Email</w:t>
            </w:r>
          </w:p>
        </w:tc>
        <w:tc>
          <w:tcPr>
            <w:tcW w:w="720" w:type="dxa"/>
            <w:shd w:val="clear" w:color="auto" w:fill="E6E6E6"/>
          </w:tcPr>
          <w:p w14:paraId="0D3D9EF3" w14:textId="77777777" w:rsidR="000C099C" w:rsidRDefault="00FF091B" w:rsidP="00760E42">
            <w:pPr>
              <w:pStyle w:val="BodyText"/>
              <w:tabs>
                <w:tab w:val="left" w:pos="1170"/>
              </w:tabs>
              <w:jc w:val="left"/>
              <w:rPr>
                <w:b/>
                <w:bCs/>
                <w:sz w:val="20"/>
              </w:rPr>
            </w:pPr>
            <w:r>
              <w:rPr>
                <w:b/>
                <w:bCs/>
                <w:sz w:val="20"/>
              </w:rPr>
              <w:t xml:space="preserve">Backup Team </w:t>
            </w:r>
          </w:p>
        </w:tc>
      </w:tr>
      <w:tr w:rsidR="007F03AF" w14:paraId="2DBCCA49" w14:textId="77777777" w:rsidTr="00B81E1B">
        <w:tc>
          <w:tcPr>
            <w:tcW w:w="1350" w:type="dxa"/>
          </w:tcPr>
          <w:p w14:paraId="0A5C400A" w14:textId="77777777" w:rsidR="007F03AF" w:rsidRDefault="007F03AF" w:rsidP="007F03AF">
            <w:pPr>
              <w:pStyle w:val="BodyText"/>
              <w:tabs>
                <w:tab w:val="left" w:pos="1170"/>
              </w:tabs>
              <w:jc w:val="left"/>
              <w:rPr>
                <w:sz w:val="20"/>
              </w:rPr>
            </w:pPr>
            <w:r>
              <w:rPr>
                <w:sz w:val="20"/>
              </w:rPr>
              <w:t>Monroe, Morris</w:t>
            </w:r>
          </w:p>
        </w:tc>
        <w:tc>
          <w:tcPr>
            <w:tcW w:w="1980" w:type="dxa"/>
          </w:tcPr>
          <w:p w14:paraId="10117FED" w14:textId="77777777" w:rsidR="007F03AF" w:rsidRPr="008F3D2A" w:rsidRDefault="007F03AF" w:rsidP="007F03AF">
            <w:pPr>
              <w:pStyle w:val="BodyText"/>
              <w:tabs>
                <w:tab w:val="left" w:pos="1170"/>
              </w:tabs>
              <w:jc w:val="left"/>
              <w:rPr>
                <w:sz w:val="20"/>
              </w:rPr>
            </w:pPr>
            <w:r w:rsidRPr="008F3D2A">
              <w:rPr>
                <w:sz w:val="20"/>
              </w:rPr>
              <w:t>1241 Sawdust Rd, Spring</w:t>
            </w:r>
          </w:p>
        </w:tc>
        <w:tc>
          <w:tcPr>
            <w:tcW w:w="1530" w:type="dxa"/>
          </w:tcPr>
          <w:p w14:paraId="0A6554BC" w14:textId="77777777" w:rsidR="007F03AF" w:rsidRPr="00C47341" w:rsidRDefault="00C47341" w:rsidP="007F03AF">
            <w:pPr>
              <w:pStyle w:val="BodyText"/>
              <w:tabs>
                <w:tab w:val="left" w:pos="1170"/>
              </w:tabs>
              <w:jc w:val="left"/>
              <w:rPr>
                <w:color w:val="FF0000"/>
                <w:sz w:val="20"/>
              </w:rPr>
            </w:pPr>
            <w:r w:rsidRPr="00CD2210">
              <w:rPr>
                <w:sz w:val="20"/>
              </w:rPr>
              <w:t>281-364-1254</w:t>
            </w:r>
          </w:p>
        </w:tc>
        <w:tc>
          <w:tcPr>
            <w:tcW w:w="990" w:type="dxa"/>
          </w:tcPr>
          <w:p w14:paraId="6C705529" w14:textId="77777777" w:rsidR="007F03AF" w:rsidRPr="008F3D2A" w:rsidRDefault="007F03AF" w:rsidP="007F03AF">
            <w:pPr>
              <w:pStyle w:val="BodyText"/>
              <w:tabs>
                <w:tab w:val="left" w:pos="1170"/>
              </w:tabs>
              <w:jc w:val="left"/>
              <w:rPr>
                <w:sz w:val="20"/>
              </w:rPr>
            </w:pPr>
          </w:p>
        </w:tc>
        <w:tc>
          <w:tcPr>
            <w:tcW w:w="1530" w:type="dxa"/>
          </w:tcPr>
          <w:p w14:paraId="2C7FEDD2" w14:textId="77777777" w:rsidR="007F03AF" w:rsidRPr="008F3D2A" w:rsidRDefault="007F03AF" w:rsidP="007F03AF">
            <w:pPr>
              <w:pStyle w:val="BodyText"/>
              <w:tabs>
                <w:tab w:val="left" w:pos="1170"/>
              </w:tabs>
              <w:jc w:val="left"/>
              <w:rPr>
                <w:sz w:val="20"/>
              </w:rPr>
            </w:pPr>
            <w:r w:rsidRPr="008F3D2A">
              <w:rPr>
                <w:sz w:val="20"/>
              </w:rPr>
              <w:t>713-806-4076</w:t>
            </w:r>
          </w:p>
        </w:tc>
        <w:tc>
          <w:tcPr>
            <w:tcW w:w="2430" w:type="dxa"/>
          </w:tcPr>
          <w:p w14:paraId="42D368BB" w14:textId="77777777" w:rsidR="007F03AF" w:rsidRPr="00C21C75" w:rsidRDefault="00D6319C" w:rsidP="007F03AF">
            <w:pPr>
              <w:pStyle w:val="BodyText"/>
              <w:tabs>
                <w:tab w:val="left" w:pos="1170"/>
              </w:tabs>
              <w:jc w:val="left"/>
              <w:rPr>
                <w:color w:val="0000FF"/>
                <w:sz w:val="20"/>
              </w:rPr>
            </w:pPr>
            <w:hyperlink r:id="rId163" w:history="1">
              <w:r w:rsidR="007F03AF" w:rsidRPr="00C21C75">
                <w:rPr>
                  <w:rStyle w:val="Hyperlink"/>
                  <w:sz w:val="20"/>
                </w:rPr>
                <w:t>tesa@the4monroes.com</w:t>
              </w:r>
            </w:hyperlink>
          </w:p>
        </w:tc>
        <w:tc>
          <w:tcPr>
            <w:tcW w:w="720" w:type="dxa"/>
          </w:tcPr>
          <w:p w14:paraId="4365A6CC" w14:textId="77777777" w:rsidR="007F03AF" w:rsidRDefault="007F03AF" w:rsidP="008339E0">
            <w:pPr>
              <w:pStyle w:val="BodyText"/>
              <w:tabs>
                <w:tab w:val="left" w:pos="1170"/>
              </w:tabs>
              <w:jc w:val="left"/>
              <w:rPr>
                <w:sz w:val="20"/>
              </w:rPr>
            </w:pPr>
            <w:r>
              <w:rPr>
                <w:sz w:val="20"/>
              </w:rPr>
              <w:t>DPV, LMH</w:t>
            </w:r>
            <w:r w:rsidR="0063412A">
              <w:rPr>
                <w:sz w:val="20"/>
              </w:rPr>
              <w:t>,CSM</w:t>
            </w:r>
          </w:p>
        </w:tc>
      </w:tr>
      <w:tr w:rsidR="007F03AF" w14:paraId="4D791CEA" w14:textId="77777777" w:rsidTr="00B81E1B">
        <w:tc>
          <w:tcPr>
            <w:tcW w:w="1350" w:type="dxa"/>
          </w:tcPr>
          <w:p w14:paraId="3EA914C2" w14:textId="77777777" w:rsidR="007F03AF" w:rsidRDefault="007F03AF" w:rsidP="007F03AF">
            <w:pPr>
              <w:pStyle w:val="BodyText"/>
              <w:tabs>
                <w:tab w:val="left" w:pos="1170"/>
              </w:tabs>
              <w:jc w:val="left"/>
              <w:rPr>
                <w:sz w:val="20"/>
              </w:rPr>
            </w:pPr>
            <w:r>
              <w:rPr>
                <w:sz w:val="20"/>
              </w:rPr>
              <w:t>Hendricks Laura</w:t>
            </w:r>
          </w:p>
        </w:tc>
        <w:tc>
          <w:tcPr>
            <w:tcW w:w="1980" w:type="dxa"/>
          </w:tcPr>
          <w:p w14:paraId="778E1FD4" w14:textId="77777777" w:rsidR="007F03AF" w:rsidRPr="008F3D2A" w:rsidRDefault="007F03AF" w:rsidP="007F03AF">
            <w:pPr>
              <w:pStyle w:val="BodyText"/>
              <w:tabs>
                <w:tab w:val="left" w:pos="1170"/>
              </w:tabs>
              <w:jc w:val="left"/>
              <w:rPr>
                <w:sz w:val="20"/>
              </w:rPr>
            </w:pPr>
            <w:r>
              <w:rPr>
                <w:sz w:val="20"/>
              </w:rPr>
              <w:t>9049 Willow Springs</w:t>
            </w:r>
            <w:r w:rsidRPr="008F3D2A">
              <w:rPr>
                <w:sz w:val="20"/>
              </w:rPr>
              <w:t xml:space="preserve">   Conroe TX 77302</w:t>
            </w:r>
          </w:p>
        </w:tc>
        <w:tc>
          <w:tcPr>
            <w:tcW w:w="1530" w:type="dxa"/>
          </w:tcPr>
          <w:p w14:paraId="2268018D" w14:textId="77777777" w:rsidR="007F03AF" w:rsidRPr="008F3D2A" w:rsidRDefault="007F03AF" w:rsidP="007F03AF">
            <w:pPr>
              <w:pStyle w:val="BodyText"/>
              <w:tabs>
                <w:tab w:val="left" w:pos="1170"/>
              </w:tabs>
              <w:jc w:val="left"/>
              <w:rPr>
                <w:sz w:val="20"/>
              </w:rPr>
            </w:pPr>
            <w:r w:rsidRPr="008F3D2A">
              <w:rPr>
                <w:sz w:val="20"/>
              </w:rPr>
              <w:t>(936) 321-1287</w:t>
            </w:r>
          </w:p>
        </w:tc>
        <w:tc>
          <w:tcPr>
            <w:tcW w:w="990" w:type="dxa"/>
          </w:tcPr>
          <w:p w14:paraId="0B1049AE" w14:textId="77777777" w:rsidR="007F03AF" w:rsidRPr="008F3D2A" w:rsidRDefault="007F03AF" w:rsidP="007F03AF">
            <w:pPr>
              <w:pStyle w:val="BodyText"/>
              <w:tabs>
                <w:tab w:val="left" w:pos="1170"/>
              </w:tabs>
              <w:jc w:val="left"/>
              <w:rPr>
                <w:sz w:val="20"/>
              </w:rPr>
            </w:pPr>
            <w:r w:rsidRPr="008F3D2A">
              <w:rPr>
                <w:sz w:val="20"/>
              </w:rPr>
              <w:t>(936) 321-1287</w:t>
            </w:r>
          </w:p>
        </w:tc>
        <w:tc>
          <w:tcPr>
            <w:tcW w:w="1530" w:type="dxa"/>
          </w:tcPr>
          <w:p w14:paraId="0AE74852" w14:textId="77777777" w:rsidR="007F03AF" w:rsidRPr="008F3D2A" w:rsidRDefault="007F03AF" w:rsidP="007F03AF">
            <w:pPr>
              <w:pStyle w:val="BodyText"/>
              <w:tabs>
                <w:tab w:val="left" w:pos="1170"/>
              </w:tabs>
              <w:jc w:val="left"/>
              <w:rPr>
                <w:sz w:val="20"/>
              </w:rPr>
            </w:pPr>
            <w:r w:rsidRPr="008F3D2A">
              <w:rPr>
                <w:sz w:val="20"/>
              </w:rPr>
              <w:t>(816) 805-7016</w:t>
            </w:r>
          </w:p>
        </w:tc>
        <w:tc>
          <w:tcPr>
            <w:tcW w:w="2430" w:type="dxa"/>
          </w:tcPr>
          <w:p w14:paraId="65CE166D" w14:textId="77777777" w:rsidR="007F03AF" w:rsidRPr="004C3532" w:rsidRDefault="00D6319C" w:rsidP="007F03AF">
            <w:pPr>
              <w:pStyle w:val="BodyText"/>
              <w:tabs>
                <w:tab w:val="left" w:pos="1170"/>
              </w:tabs>
              <w:jc w:val="left"/>
              <w:rPr>
                <w:color w:val="FF0000"/>
                <w:sz w:val="20"/>
              </w:rPr>
            </w:pPr>
            <w:hyperlink r:id="rId164" w:history="1">
              <w:r w:rsidR="007F03AF" w:rsidRPr="00ED27F1">
                <w:rPr>
                  <w:rStyle w:val="Hyperlink"/>
                  <w:sz w:val="20"/>
                </w:rPr>
                <w:t>hendricks5@live.com</w:t>
              </w:r>
            </w:hyperlink>
          </w:p>
        </w:tc>
        <w:tc>
          <w:tcPr>
            <w:tcW w:w="720" w:type="dxa"/>
          </w:tcPr>
          <w:p w14:paraId="2E3F4CFC" w14:textId="326BDB00" w:rsidR="001A32F4" w:rsidRPr="00CD2210" w:rsidRDefault="009967CD" w:rsidP="009967CD">
            <w:pPr>
              <w:pStyle w:val="BodyText"/>
              <w:tabs>
                <w:tab w:val="left" w:pos="1170"/>
              </w:tabs>
              <w:jc w:val="left"/>
              <w:rPr>
                <w:sz w:val="20"/>
              </w:rPr>
            </w:pPr>
            <w:r w:rsidRPr="00CD2210">
              <w:rPr>
                <w:sz w:val="20"/>
              </w:rPr>
              <w:t>CAJ</w:t>
            </w:r>
            <w:r w:rsidR="00464FAC">
              <w:rPr>
                <w:sz w:val="20"/>
              </w:rPr>
              <w:t>, GKS</w:t>
            </w:r>
          </w:p>
        </w:tc>
      </w:tr>
      <w:tr w:rsidR="007F03AF" w14:paraId="12C61C4C" w14:textId="77777777" w:rsidTr="00B81E1B">
        <w:tc>
          <w:tcPr>
            <w:tcW w:w="1350" w:type="dxa"/>
          </w:tcPr>
          <w:p w14:paraId="3A570DC8" w14:textId="77777777" w:rsidR="007F03AF" w:rsidRDefault="007F03AF" w:rsidP="007F03AF">
            <w:pPr>
              <w:pStyle w:val="BodyText"/>
              <w:tabs>
                <w:tab w:val="left" w:pos="1170"/>
              </w:tabs>
              <w:jc w:val="left"/>
              <w:rPr>
                <w:sz w:val="20"/>
              </w:rPr>
            </w:pPr>
            <w:r>
              <w:rPr>
                <w:sz w:val="20"/>
              </w:rPr>
              <w:t>McCullough, Dennis</w:t>
            </w:r>
          </w:p>
        </w:tc>
        <w:tc>
          <w:tcPr>
            <w:tcW w:w="1980" w:type="dxa"/>
          </w:tcPr>
          <w:p w14:paraId="38B88427" w14:textId="77777777" w:rsidR="007F03AF" w:rsidRPr="008F3D2A" w:rsidRDefault="007F03AF" w:rsidP="007F03AF">
            <w:pPr>
              <w:pStyle w:val="BodyText"/>
              <w:tabs>
                <w:tab w:val="left" w:pos="1170"/>
              </w:tabs>
              <w:jc w:val="left"/>
              <w:rPr>
                <w:sz w:val="20"/>
              </w:rPr>
            </w:pPr>
            <w:r w:rsidRPr="008F3D2A">
              <w:rPr>
                <w:sz w:val="20"/>
              </w:rPr>
              <w:t>203 Brooks, Lufkin 75901</w:t>
            </w:r>
          </w:p>
        </w:tc>
        <w:tc>
          <w:tcPr>
            <w:tcW w:w="1530" w:type="dxa"/>
          </w:tcPr>
          <w:p w14:paraId="19B2A57C" w14:textId="77777777" w:rsidR="007F03AF" w:rsidRPr="008F3D2A" w:rsidRDefault="007F03AF" w:rsidP="007F03AF">
            <w:pPr>
              <w:pStyle w:val="BodyText"/>
              <w:tabs>
                <w:tab w:val="left" w:pos="1170"/>
              </w:tabs>
              <w:jc w:val="left"/>
              <w:rPr>
                <w:sz w:val="20"/>
              </w:rPr>
            </w:pPr>
            <w:r w:rsidRPr="008F3D2A">
              <w:rPr>
                <w:sz w:val="20"/>
              </w:rPr>
              <w:t>(936) 699-3079</w:t>
            </w:r>
          </w:p>
        </w:tc>
        <w:tc>
          <w:tcPr>
            <w:tcW w:w="990" w:type="dxa"/>
          </w:tcPr>
          <w:p w14:paraId="75834D4D" w14:textId="77777777" w:rsidR="007F03AF" w:rsidRPr="008F3D2A" w:rsidRDefault="007F03AF" w:rsidP="007F03AF">
            <w:pPr>
              <w:pStyle w:val="BodyText"/>
              <w:tabs>
                <w:tab w:val="left" w:pos="1170"/>
              </w:tabs>
              <w:jc w:val="left"/>
              <w:rPr>
                <w:sz w:val="20"/>
              </w:rPr>
            </w:pPr>
          </w:p>
        </w:tc>
        <w:tc>
          <w:tcPr>
            <w:tcW w:w="1530" w:type="dxa"/>
          </w:tcPr>
          <w:p w14:paraId="49397936" w14:textId="77777777" w:rsidR="007F03AF" w:rsidRPr="008F3D2A" w:rsidRDefault="007F03AF" w:rsidP="007F03AF">
            <w:pPr>
              <w:pStyle w:val="BodyText"/>
              <w:tabs>
                <w:tab w:val="left" w:pos="1170"/>
              </w:tabs>
              <w:jc w:val="left"/>
              <w:rPr>
                <w:sz w:val="20"/>
              </w:rPr>
            </w:pPr>
            <w:r w:rsidRPr="008F3D2A">
              <w:rPr>
                <w:sz w:val="20"/>
              </w:rPr>
              <w:t>(936) 414-1114</w:t>
            </w:r>
          </w:p>
        </w:tc>
        <w:tc>
          <w:tcPr>
            <w:tcW w:w="2430" w:type="dxa"/>
          </w:tcPr>
          <w:p w14:paraId="3CEBD85F" w14:textId="77777777" w:rsidR="007F03AF" w:rsidRDefault="00D6319C" w:rsidP="007F03AF">
            <w:pPr>
              <w:pStyle w:val="BodyText"/>
              <w:tabs>
                <w:tab w:val="left" w:pos="1170"/>
              </w:tabs>
              <w:jc w:val="left"/>
              <w:rPr>
                <w:sz w:val="20"/>
              </w:rPr>
            </w:pPr>
            <w:hyperlink r:id="rId165" w:history="1">
              <w:r w:rsidR="007F03AF">
                <w:rPr>
                  <w:rStyle w:val="Hyperlink"/>
                  <w:sz w:val="20"/>
                </w:rPr>
                <w:t>dmccullough@tafgonline.com</w:t>
              </w:r>
            </w:hyperlink>
          </w:p>
        </w:tc>
        <w:tc>
          <w:tcPr>
            <w:tcW w:w="720" w:type="dxa"/>
          </w:tcPr>
          <w:p w14:paraId="3ED8807D" w14:textId="77777777" w:rsidR="007F03AF" w:rsidRPr="00CD2210" w:rsidRDefault="0063412A" w:rsidP="007F03AF">
            <w:pPr>
              <w:pStyle w:val="BodyText"/>
              <w:tabs>
                <w:tab w:val="left" w:pos="1170"/>
              </w:tabs>
              <w:jc w:val="left"/>
              <w:rPr>
                <w:sz w:val="16"/>
                <w:szCs w:val="16"/>
              </w:rPr>
            </w:pPr>
            <w:r>
              <w:rPr>
                <w:sz w:val="16"/>
                <w:szCs w:val="16"/>
              </w:rPr>
              <w:t>Griggs</w:t>
            </w:r>
          </w:p>
        </w:tc>
      </w:tr>
      <w:tr w:rsidR="007F03AF" w14:paraId="73EB628A" w14:textId="77777777" w:rsidTr="00B81E1B">
        <w:tc>
          <w:tcPr>
            <w:tcW w:w="1350" w:type="dxa"/>
          </w:tcPr>
          <w:p w14:paraId="55383DC4" w14:textId="77777777" w:rsidR="007F03AF" w:rsidRDefault="007F03AF" w:rsidP="007F03AF">
            <w:pPr>
              <w:pStyle w:val="BodyText"/>
              <w:tabs>
                <w:tab w:val="left" w:pos="1170"/>
              </w:tabs>
              <w:jc w:val="left"/>
              <w:rPr>
                <w:sz w:val="20"/>
              </w:rPr>
            </w:pPr>
            <w:r>
              <w:rPr>
                <w:sz w:val="20"/>
              </w:rPr>
              <w:t>Sedita, Gloria</w:t>
            </w:r>
          </w:p>
        </w:tc>
        <w:tc>
          <w:tcPr>
            <w:tcW w:w="1980" w:type="dxa"/>
          </w:tcPr>
          <w:p w14:paraId="69A65DD8" w14:textId="77777777" w:rsidR="007F03AF" w:rsidRPr="008F3D2A" w:rsidRDefault="007F03AF" w:rsidP="007F03AF">
            <w:pPr>
              <w:pStyle w:val="BodyText"/>
              <w:tabs>
                <w:tab w:val="left" w:pos="1170"/>
              </w:tabs>
              <w:jc w:val="left"/>
              <w:rPr>
                <w:sz w:val="20"/>
              </w:rPr>
            </w:pPr>
            <w:r w:rsidRPr="008F3D2A">
              <w:rPr>
                <w:sz w:val="20"/>
              </w:rPr>
              <w:t>5726 Spanish Oak Dr Houston 77066</w:t>
            </w:r>
          </w:p>
        </w:tc>
        <w:tc>
          <w:tcPr>
            <w:tcW w:w="1530" w:type="dxa"/>
          </w:tcPr>
          <w:p w14:paraId="2E6B18E9" w14:textId="77777777" w:rsidR="007F03AF" w:rsidRPr="008F3D2A" w:rsidRDefault="007F03AF" w:rsidP="007F03AF">
            <w:pPr>
              <w:pStyle w:val="BodyText"/>
              <w:tabs>
                <w:tab w:val="left" w:pos="1170"/>
              </w:tabs>
              <w:jc w:val="left"/>
              <w:rPr>
                <w:sz w:val="20"/>
              </w:rPr>
            </w:pPr>
            <w:r w:rsidRPr="008F3D2A">
              <w:rPr>
                <w:sz w:val="20"/>
              </w:rPr>
              <w:t>(281) 893-2795</w:t>
            </w:r>
          </w:p>
        </w:tc>
        <w:tc>
          <w:tcPr>
            <w:tcW w:w="990" w:type="dxa"/>
          </w:tcPr>
          <w:p w14:paraId="5DA77CA2" w14:textId="77777777" w:rsidR="007F03AF" w:rsidRPr="008F3D2A" w:rsidRDefault="007F03AF" w:rsidP="007F03AF">
            <w:pPr>
              <w:pStyle w:val="BodyText"/>
              <w:tabs>
                <w:tab w:val="left" w:pos="1170"/>
              </w:tabs>
              <w:jc w:val="left"/>
              <w:rPr>
                <w:sz w:val="20"/>
              </w:rPr>
            </w:pPr>
            <w:r w:rsidRPr="008F3D2A">
              <w:rPr>
                <w:sz w:val="20"/>
              </w:rPr>
              <w:t>Same</w:t>
            </w:r>
          </w:p>
        </w:tc>
        <w:tc>
          <w:tcPr>
            <w:tcW w:w="1530" w:type="dxa"/>
          </w:tcPr>
          <w:p w14:paraId="7D653275" w14:textId="77777777" w:rsidR="007F03AF" w:rsidRPr="008F3D2A" w:rsidRDefault="007F03AF" w:rsidP="007F03AF">
            <w:pPr>
              <w:pStyle w:val="BodyText"/>
              <w:tabs>
                <w:tab w:val="left" w:pos="1170"/>
              </w:tabs>
              <w:jc w:val="left"/>
              <w:rPr>
                <w:sz w:val="20"/>
              </w:rPr>
            </w:pPr>
            <w:r w:rsidRPr="008F3D2A">
              <w:rPr>
                <w:sz w:val="20"/>
              </w:rPr>
              <w:t>(713) 443-5852</w:t>
            </w:r>
          </w:p>
        </w:tc>
        <w:tc>
          <w:tcPr>
            <w:tcW w:w="2430" w:type="dxa"/>
          </w:tcPr>
          <w:p w14:paraId="2E4DAA04" w14:textId="77777777" w:rsidR="007F03AF" w:rsidRPr="008F3D2A" w:rsidRDefault="00D6319C" w:rsidP="007F03AF">
            <w:pPr>
              <w:pStyle w:val="BodyText"/>
              <w:tabs>
                <w:tab w:val="left" w:pos="1170"/>
              </w:tabs>
              <w:jc w:val="left"/>
              <w:rPr>
                <w:color w:val="0000FF"/>
                <w:sz w:val="20"/>
              </w:rPr>
            </w:pPr>
            <w:hyperlink r:id="rId166" w:history="1">
              <w:r w:rsidR="007F03AF" w:rsidRPr="008F3D2A">
                <w:rPr>
                  <w:rStyle w:val="Hyperlink"/>
                  <w:sz w:val="20"/>
                </w:rPr>
                <w:t>gloria.sedita@yahoo.com</w:t>
              </w:r>
            </w:hyperlink>
            <w:r w:rsidR="007F03AF" w:rsidRPr="008F3D2A">
              <w:rPr>
                <w:color w:val="0000FF"/>
                <w:sz w:val="20"/>
              </w:rPr>
              <w:t xml:space="preserve">  </w:t>
            </w:r>
            <w:r w:rsidR="007F03AF" w:rsidRPr="008F3D2A">
              <w:rPr>
                <w:sz w:val="20"/>
              </w:rPr>
              <w:t>(03/09/11)</w:t>
            </w:r>
          </w:p>
        </w:tc>
        <w:tc>
          <w:tcPr>
            <w:tcW w:w="720" w:type="dxa"/>
          </w:tcPr>
          <w:p w14:paraId="74802A80" w14:textId="0DE1F25E" w:rsidR="007F03AF" w:rsidRPr="00CD2210" w:rsidRDefault="007F03AF" w:rsidP="007F03AF">
            <w:pPr>
              <w:pStyle w:val="BodyText"/>
              <w:tabs>
                <w:tab w:val="left" w:pos="1170"/>
              </w:tabs>
              <w:jc w:val="left"/>
              <w:rPr>
                <w:sz w:val="20"/>
              </w:rPr>
            </w:pPr>
            <w:r w:rsidRPr="00CD2210">
              <w:rPr>
                <w:sz w:val="20"/>
              </w:rPr>
              <w:t>LMH</w:t>
            </w:r>
            <w:r w:rsidR="008339E0" w:rsidRPr="00CD2210">
              <w:rPr>
                <w:sz w:val="20"/>
              </w:rPr>
              <w:t>,</w:t>
            </w:r>
            <w:r w:rsidR="00736F28">
              <w:rPr>
                <w:sz w:val="20"/>
              </w:rPr>
              <w:t xml:space="preserve"> </w:t>
            </w:r>
            <w:r w:rsidR="00736F28" w:rsidRPr="00736F28">
              <w:rPr>
                <w:color w:val="FF0000"/>
                <w:sz w:val="20"/>
              </w:rPr>
              <w:t>DEB</w:t>
            </w:r>
          </w:p>
        </w:tc>
      </w:tr>
      <w:tr w:rsidR="007F03AF" w14:paraId="0B670357" w14:textId="77777777" w:rsidTr="00B81E1B">
        <w:tc>
          <w:tcPr>
            <w:tcW w:w="1350" w:type="dxa"/>
          </w:tcPr>
          <w:p w14:paraId="283033A8" w14:textId="301BACF5" w:rsidR="007F03AF" w:rsidRDefault="00736F28" w:rsidP="007F03AF">
            <w:pPr>
              <w:pStyle w:val="BodyText"/>
              <w:tabs>
                <w:tab w:val="left" w:pos="1170"/>
              </w:tabs>
              <w:jc w:val="left"/>
              <w:rPr>
                <w:sz w:val="20"/>
              </w:rPr>
            </w:pPr>
            <w:r>
              <w:rPr>
                <w:sz w:val="20"/>
              </w:rPr>
              <w:t>C</w:t>
            </w:r>
            <w:r w:rsidR="007F03AF">
              <w:rPr>
                <w:sz w:val="20"/>
              </w:rPr>
              <w:t>hristina</w:t>
            </w:r>
          </w:p>
        </w:tc>
        <w:tc>
          <w:tcPr>
            <w:tcW w:w="1980" w:type="dxa"/>
          </w:tcPr>
          <w:p w14:paraId="5C3A80AE" w14:textId="77777777" w:rsidR="007F03AF" w:rsidRPr="008F3D2A" w:rsidRDefault="007F03AF" w:rsidP="007F03AF">
            <w:r w:rsidRPr="008F3D2A">
              <w:t>51Joyce Rd  Cleveland 77328</w:t>
            </w:r>
          </w:p>
        </w:tc>
        <w:tc>
          <w:tcPr>
            <w:tcW w:w="1530" w:type="dxa"/>
          </w:tcPr>
          <w:p w14:paraId="4B678C72" w14:textId="77777777" w:rsidR="007F03AF" w:rsidRPr="008F3D2A" w:rsidRDefault="007F03AF" w:rsidP="007F03AF">
            <w:r w:rsidRPr="008F3D2A">
              <w:t>None</w:t>
            </w:r>
          </w:p>
        </w:tc>
        <w:tc>
          <w:tcPr>
            <w:tcW w:w="990" w:type="dxa"/>
          </w:tcPr>
          <w:p w14:paraId="5E83C735" w14:textId="77777777" w:rsidR="007F03AF" w:rsidRPr="008F3D2A" w:rsidRDefault="007F03AF" w:rsidP="007F03AF"/>
        </w:tc>
        <w:tc>
          <w:tcPr>
            <w:tcW w:w="1530" w:type="dxa"/>
          </w:tcPr>
          <w:p w14:paraId="007E1546" w14:textId="4A445D5E" w:rsidR="007F03AF" w:rsidRPr="004F62D0" w:rsidRDefault="008523E1" w:rsidP="007F03AF">
            <w:r w:rsidRPr="008523E1">
              <w:rPr>
                <w:color w:val="FF0000"/>
              </w:rPr>
              <w:t>(281) 223-0075</w:t>
            </w:r>
          </w:p>
        </w:tc>
        <w:tc>
          <w:tcPr>
            <w:tcW w:w="2430" w:type="dxa"/>
          </w:tcPr>
          <w:p w14:paraId="0002C9D1" w14:textId="77777777" w:rsidR="007F03AF" w:rsidRDefault="00D6319C" w:rsidP="007F03AF">
            <w:pPr>
              <w:pStyle w:val="BodyText"/>
              <w:tabs>
                <w:tab w:val="left" w:pos="1170"/>
              </w:tabs>
              <w:jc w:val="left"/>
              <w:rPr>
                <w:sz w:val="20"/>
              </w:rPr>
            </w:pPr>
            <w:hyperlink r:id="rId167" w:history="1">
              <w:r w:rsidR="007F03AF">
                <w:rPr>
                  <w:rStyle w:val="Hyperlink"/>
                  <w:sz w:val="20"/>
                </w:rPr>
                <w:t>Christinajenkins2005@yahoo.com</w:t>
              </w:r>
            </w:hyperlink>
          </w:p>
        </w:tc>
        <w:tc>
          <w:tcPr>
            <w:tcW w:w="720" w:type="dxa"/>
          </w:tcPr>
          <w:p w14:paraId="060510ED" w14:textId="11DB0779" w:rsidR="007F03AF" w:rsidRPr="00CD2210" w:rsidRDefault="007F03AF" w:rsidP="007F03AF">
            <w:pPr>
              <w:pStyle w:val="BodyText"/>
              <w:tabs>
                <w:tab w:val="left" w:pos="1170"/>
              </w:tabs>
              <w:jc w:val="left"/>
              <w:rPr>
                <w:sz w:val="20"/>
              </w:rPr>
            </w:pPr>
            <w:r w:rsidRPr="00CD2210">
              <w:rPr>
                <w:sz w:val="20"/>
              </w:rPr>
              <w:t>L</w:t>
            </w:r>
            <w:r w:rsidR="008339E0" w:rsidRPr="00CD2210">
              <w:rPr>
                <w:sz w:val="20"/>
              </w:rPr>
              <w:t>M</w:t>
            </w:r>
            <w:r w:rsidRPr="00CD2210">
              <w:rPr>
                <w:sz w:val="20"/>
              </w:rPr>
              <w:t>H</w:t>
            </w:r>
            <w:r w:rsidR="008339E0" w:rsidRPr="00CD2210">
              <w:rPr>
                <w:sz w:val="20"/>
              </w:rPr>
              <w:t>,</w:t>
            </w:r>
            <w:r w:rsidR="00416C13">
              <w:rPr>
                <w:sz w:val="20"/>
              </w:rPr>
              <w:t xml:space="preserve">GKS, </w:t>
            </w:r>
            <w:r w:rsidR="00464FAC">
              <w:rPr>
                <w:sz w:val="20"/>
              </w:rPr>
              <w:t>DEB</w:t>
            </w:r>
          </w:p>
        </w:tc>
      </w:tr>
      <w:tr w:rsidR="007F03AF" w14:paraId="40D1B901" w14:textId="77777777" w:rsidTr="00B81E1B">
        <w:tc>
          <w:tcPr>
            <w:tcW w:w="1350" w:type="dxa"/>
          </w:tcPr>
          <w:p w14:paraId="09F7E6B9" w14:textId="77777777" w:rsidR="007F03AF" w:rsidRDefault="007F03AF" w:rsidP="007F03AF">
            <w:pPr>
              <w:pStyle w:val="BodyText"/>
              <w:tabs>
                <w:tab w:val="left" w:pos="1170"/>
              </w:tabs>
              <w:jc w:val="left"/>
              <w:rPr>
                <w:sz w:val="20"/>
              </w:rPr>
            </w:pPr>
            <w:r>
              <w:rPr>
                <w:sz w:val="20"/>
              </w:rPr>
              <w:t>Smith, Connie</w:t>
            </w:r>
          </w:p>
        </w:tc>
        <w:tc>
          <w:tcPr>
            <w:tcW w:w="1980" w:type="dxa"/>
          </w:tcPr>
          <w:p w14:paraId="065B0323" w14:textId="77777777" w:rsidR="007F03AF" w:rsidRPr="008F3D2A" w:rsidRDefault="000608A8" w:rsidP="007F03AF">
            <w:pPr>
              <w:pStyle w:val="BodyText"/>
              <w:tabs>
                <w:tab w:val="left" w:pos="1170"/>
              </w:tabs>
              <w:jc w:val="left"/>
              <w:rPr>
                <w:sz w:val="20"/>
              </w:rPr>
            </w:pPr>
            <w:r w:rsidRPr="000522AF">
              <w:rPr>
                <w:sz w:val="20"/>
              </w:rPr>
              <w:t>15861 FM 782 N Henderson 75652</w:t>
            </w:r>
          </w:p>
        </w:tc>
        <w:tc>
          <w:tcPr>
            <w:tcW w:w="1530" w:type="dxa"/>
          </w:tcPr>
          <w:p w14:paraId="6C93F6AA" w14:textId="77777777" w:rsidR="007F03AF" w:rsidRPr="008F3D2A" w:rsidRDefault="007F03AF" w:rsidP="007F03AF">
            <w:pPr>
              <w:pStyle w:val="BodyText"/>
              <w:tabs>
                <w:tab w:val="left" w:pos="1170"/>
              </w:tabs>
              <w:jc w:val="left"/>
              <w:rPr>
                <w:sz w:val="20"/>
              </w:rPr>
            </w:pPr>
          </w:p>
        </w:tc>
        <w:tc>
          <w:tcPr>
            <w:tcW w:w="990" w:type="dxa"/>
          </w:tcPr>
          <w:p w14:paraId="036AB674" w14:textId="77777777" w:rsidR="007F03AF" w:rsidRPr="008F3D2A" w:rsidRDefault="007F03AF" w:rsidP="007F03AF">
            <w:pPr>
              <w:pStyle w:val="BodyText"/>
              <w:tabs>
                <w:tab w:val="left" w:pos="1170"/>
              </w:tabs>
              <w:jc w:val="left"/>
              <w:rPr>
                <w:sz w:val="20"/>
              </w:rPr>
            </w:pPr>
          </w:p>
        </w:tc>
        <w:tc>
          <w:tcPr>
            <w:tcW w:w="1530" w:type="dxa"/>
          </w:tcPr>
          <w:p w14:paraId="2FE62BFA" w14:textId="77777777" w:rsidR="007F03AF" w:rsidRPr="008F3D2A" w:rsidRDefault="007F03AF" w:rsidP="007F03AF">
            <w:pPr>
              <w:pStyle w:val="BodyText"/>
              <w:tabs>
                <w:tab w:val="left" w:pos="1170"/>
              </w:tabs>
              <w:jc w:val="left"/>
              <w:rPr>
                <w:sz w:val="20"/>
              </w:rPr>
            </w:pPr>
            <w:r w:rsidRPr="008F3D2A">
              <w:rPr>
                <w:sz w:val="20"/>
              </w:rPr>
              <w:t>(936) 524-0203</w:t>
            </w:r>
          </w:p>
        </w:tc>
        <w:tc>
          <w:tcPr>
            <w:tcW w:w="2430" w:type="dxa"/>
          </w:tcPr>
          <w:p w14:paraId="2C31D343" w14:textId="77777777" w:rsidR="007F03AF" w:rsidRDefault="00D6319C" w:rsidP="007F03AF">
            <w:pPr>
              <w:pStyle w:val="BodyText"/>
              <w:tabs>
                <w:tab w:val="left" w:pos="1170"/>
              </w:tabs>
              <w:jc w:val="left"/>
              <w:rPr>
                <w:sz w:val="20"/>
              </w:rPr>
            </w:pPr>
            <w:hyperlink r:id="rId168" w:history="1">
              <w:r w:rsidR="007F03AF">
                <w:rPr>
                  <w:rStyle w:val="Hyperlink"/>
                  <w:sz w:val="20"/>
                </w:rPr>
                <w:t>csmith4523@aol.com</w:t>
              </w:r>
            </w:hyperlink>
          </w:p>
        </w:tc>
        <w:tc>
          <w:tcPr>
            <w:tcW w:w="720" w:type="dxa"/>
          </w:tcPr>
          <w:p w14:paraId="0E828916" w14:textId="77777777" w:rsidR="007F03AF" w:rsidRPr="00CD2210" w:rsidRDefault="007F03AF" w:rsidP="007F03AF">
            <w:pPr>
              <w:pStyle w:val="BodyText"/>
              <w:tabs>
                <w:tab w:val="left" w:pos="1170"/>
              </w:tabs>
              <w:jc w:val="left"/>
              <w:rPr>
                <w:sz w:val="20"/>
              </w:rPr>
            </w:pPr>
            <w:r w:rsidRPr="00CD2210">
              <w:rPr>
                <w:sz w:val="20"/>
              </w:rPr>
              <w:t>LMH</w:t>
            </w:r>
          </w:p>
        </w:tc>
      </w:tr>
      <w:tr w:rsidR="007F03AF" w14:paraId="75EF3CD3" w14:textId="77777777" w:rsidTr="00B81E1B">
        <w:tc>
          <w:tcPr>
            <w:tcW w:w="1350" w:type="dxa"/>
          </w:tcPr>
          <w:p w14:paraId="48B3350D" w14:textId="77777777" w:rsidR="007F03AF" w:rsidRDefault="007F03AF" w:rsidP="007F03AF">
            <w:pPr>
              <w:pStyle w:val="BodyText"/>
              <w:tabs>
                <w:tab w:val="left" w:pos="1170"/>
              </w:tabs>
              <w:jc w:val="left"/>
              <w:rPr>
                <w:sz w:val="20"/>
              </w:rPr>
            </w:pPr>
            <w:r>
              <w:rPr>
                <w:sz w:val="20"/>
              </w:rPr>
              <w:t>Vaughan, David</w:t>
            </w:r>
          </w:p>
        </w:tc>
        <w:tc>
          <w:tcPr>
            <w:tcW w:w="1980" w:type="dxa"/>
          </w:tcPr>
          <w:p w14:paraId="1E071DD3" w14:textId="77777777" w:rsidR="007F03AF" w:rsidRPr="008F3D2A" w:rsidRDefault="007F03AF" w:rsidP="007F03AF">
            <w:pPr>
              <w:pStyle w:val="BodyText"/>
              <w:tabs>
                <w:tab w:val="left" w:pos="1170"/>
              </w:tabs>
              <w:jc w:val="left"/>
              <w:rPr>
                <w:sz w:val="20"/>
              </w:rPr>
            </w:pPr>
            <w:r w:rsidRPr="008F3D2A">
              <w:rPr>
                <w:sz w:val="20"/>
              </w:rPr>
              <w:t>12575 Pearson Rd Montgomery TX 77356</w:t>
            </w:r>
          </w:p>
        </w:tc>
        <w:tc>
          <w:tcPr>
            <w:tcW w:w="1530" w:type="dxa"/>
          </w:tcPr>
          <w:p w14:paraId="120FE2EC" w14:textId="77777777" w:rsidR="007F03AF" w:rsidRPr="008F3D2A" w:rsidRDefault="007F03AF" w:rsidP="007F03AF">
            <w:pPr>
              <w:pStyle w:val="BodyText"/>
              <w:tabs>
                <w:tab w:val="left" w:pos="1170"/>
              </w:tabs>
              <w:jc w:val="left"/>
              <w:rPr>
                <w:sz w:val="20"/>
              </w:rPr>
            </w:pPr>
            <w:r w:rsidRPr="008F3D2A">
              <w:rPr>
                <w:sz w:val="20"/>
              </w:rPr>
              <w:t>(936) 448-2017</w:t>
            </w:r>
          </w:p>
        </w:tc>
        <w:tc>
          <w:tcPr>
            <w:tcW w:w="990" w:type="dxa"/>
          </w:tcPr>
          <w:p w14:paraId="06814537" w14:textId="77777777" w:rsidR="007F03AF" w:rsidRPr="008F3D2A" w:rsidRDefault="007F03AF" w:rsidP="007F03AF">
            <w:pPr>
              <w:pStyle w:val="BodyText"/>
              <w:tabs>
                <w:tab w:val="left" w:pos="1170"/>
              </w:tabs>
              <w:jc w:val="left"/>
              <w:rPr>
                <w:sz w:val="20"/>
              </w:rPr>
            </w:pPr>
          </w:p>
        </w:tc>
        <w:tc>
          <w:tcPr>
            <w:tcW w:w="1530" w:type="dxa"/>
          </w:tcPr>
          <w:p w14:paraId="2848FB6A" w14:textId="77777777" w:rsidR="007F03AF" w:rsidRPr="008F3D2A" w:rsidRDefault="007F03AF" w:rsidP="007F03AF">
            <w:pPr>
              <w:pStyle w:val="BodyText"/>
              <w:tabs>
                <w:tab w:val="left" w:pos="1170"/>
              </w:tabs>
              <w:jc w:val="left"/>
              <w:rPr>
                <w:sz w:val="20"/>
              </w:rPr>
            </w:pPr>
            <w:r w:rsidRPr="008F3D2A">
              <w:rPr>
                <w:sz w:val="20"/>
              </w:rPr>
              <w:t>(713) 254-5454</w:t>
            </w:r>
          </w:p>
        </w:tc>
        <w:tc>
          <w:tcPr>
            <w:tcW w:w="2430" w:type="dxa"/>
          </w:tcPr>
          <w:p w14:paraId="12E1E056" w14:textId="77777777" w:rsidR="007F03AF" w:rsidRDefault="00D6319C" w:rsidP="007F03AF">
            <w:pPr>
              <w:pStyle w:val="BodyText"/>
              <w:tabs>
                <w:tab w:val="left" w:pos="1170"/>
              </w:tabs>
              <w:jc w:val="left"/>
              <w:rPr>
                <w:sz w:val="20"/>
              </w:rPr>
            </w:pPr>
            <w:hyperlink r:id="rId169" w:history="1">
              <w:r w:rsidR="007F03AF">
                <w:rPr>
                  <w:rStyle w:val="Hyperlink"/>
                  <w:sz w:val="20"/>
                </w:rPr>
                <w:t>Dvaughan@hotmail.com</w:t>
              </w:r>
            </w:hyperlink>
          </w:p>
        </w:tc>
        <w:tc>
          <w:tcPr>
            <w:tcW w:w="720" w:type="dxa"/>
          </w:tcPr>
          <w:p w14:paraId="7E67FA03" w14:textId="2BC3D748" w:rsidR="007F03AF" w:rsidRPr="00CD2210" w:rsidRDefault="007F03AF" w:rsidP="008339E0">
            <w:pPr>
              <w:pStyle w:val="BodyText"/>
              <w:tabs>
                <w:tab w:val="left" w:pos="1170"/>
              </w:tabs>
              <w:jc w:val="left"/>
              <w:rPr>
                <w:sz w:val="20"/>
              </w:rPr>
            </w:pPr>
            <w:r w:rsidRPr="00CD2210">
              <w:rPr>
                <w:sz w:val="20"/>
              </w:rPr>
              <w:t>MLM</w:t>
            </w:r>
            <w:r w:rsidR="00736F28">
              <w:rPr>
                <w:sz w:val="20"/>
              </w:rPr>
              <w:t xml:space="preserve"> </w:t>
            </w:r>
            <w:r w:rsidR="00736F28" w:rsidRPr="00736F28">
              <w:rPr>
                <w:color w:val="FF0000"/>
                <w:sz w:val="20"/>
              </w:rPr>
              <w:t>LMH</w:t>
            </w:r>
          </w:p>
        </w:tc>
      </w:tr>
      <w:tr w:rsidR="00E04A51" w14:paraId="15E4395E" w14:textId="77777777" w:rsidTr="00B81E1B">
        <w:tc>
          <w:tcPr>
            <w:tcW w:w="1350" w:type="dxa"/>
          </w:tcPr>
          <w:p w14:paraId="7C52729C" w14:textId="257EA1EF" w:rsidR="005A77BA" w:rsidRPr="005A77BA" w:rsidRDefault="005A77BA" w:rsidP="005A77BA">
            <w:pPr>
              <w:pStyle w:val="BodyText"/>
              <w:tabs>
                <w:tab w:val="left" w:pos="1170"/>
              </w:tabs>
              <w:jc w:val="left"/>
              <w:rPr>
                <w:color w:val="FF0000"/>
                <w:sz w:val="20"/>
              </w:rPr>
            </w:pPr>
            <w:r w:rsidRPr="005A77BA">
              <w:rPr>
                <w:color w:val="FF0000"/>
                <w:sz w:val="20"/>
              </w:rPr>
              <w:t>Baker, Dan</w:t>
            </w:r>
          </w:p>
        </w:tc>
        <w:tc>
          <w:tcPr>
            <w:tcW w:w="1980" w:type="dxa"/>
          </w:tcPr>
          <w:p w14:paraId="0203C316" w14:textId="6A374105" w:rsidR="00E04A51" w:rsidRPr="005A77BA" w:rsidRDefault="005A77BA" w:rsidP="007F03AF">
            <w:pPr>
              <w:pStyle w:val="BodyText"/>
              <w:tabs>
                <w:tab w:val="left" w:pos="1170"/>
              </w:tabs>
              <w:jc w:val="left"/>
              <w:rPr>
                <w:color w:val="FF0000"/>
                <w:sz w:val="20"/>
              </w:rPr>
            </w:pPr>
            <w:r w:rsidRPr="005A77BA">
              <w:rPr>
                <w:color w:val="FF0000"/>
                <w:sz w:val="20"/>
              </w:rPr>
              <w:t>3222 Lazy Lake Ln</w:t>
            </w:r>
            <w:r w:rsidR="007A2DD7" w:rsidRPr="005A77BA">
              <w:rPr>
                <w:color w:val="FF0000"/>
                <w:sz w:val="20"/>
              </w:rPr>
              <w:t xml:space="preserve">, </w:t>
            </w:r>
            <w:r w:rsidRPr="005A77BA">
              <w:rPr>
                <w:color w:val="FF0000"/>
                <w:sz w:val="20"/>
              </w:rPr>
              <w:t xml:space="preserve">Montgomery </w:t>
            </w:r>
            <w:r w:rsidR="007A2DD7" w:rsidRPr="005A77BA">
              <w:rPr>
                <w:color w:val="FF0000"/>
                <w:sz w:val="20"/>
              </w:rPr>
              <w:t>773</w:t>
            </w:r>
            <w:r w:rsidRPr="005A77BA">
              <w:rPr>
                <w:color w:val="FF0000"/>
                <w:sz w:val="20"/>
              </w:rPr>
              <w:t>5</w:t>
            </w:r>
            <w:r w:rsidR="007A2DD7" w:rsidRPr="005A77BA">
              <w:rPr>
                <w:color w:val="FF0000"/>
                <w:sz w:val="20"/>
              </w:rPr>
              <w:t>6</w:t>
            </w:r>
          </w:p>
        </w:tc>
        <w:tc>
          <w:tcPr>
            <w:tcW w:w="1530" w:type="dxa"/>
          </w:tcPr>
          <w:p w14:paraId="655FD292" w14:textId="77777777" w:rsidR="00E04A51" w:rsidRPr="005A77BA" w:rsidRDefault="007A2DD7" w:rsidP="007F03AF">
            <w:pPr>
              <w:pStyle w:val="BodyText"/>
              <w:tabs>
                <w:tab w:val="left" w:pos="1170"/>
              </w:tabs>
              <w:jc w:val="left"/>
              <w:rPr>
                <w:color w:val="FF0000"/>
                <w:sz w:val="20"/>
              </w:rPr>
            </w:pPr>
            <w:r w:rsidRPr="005A77BA">
              <w:rPr>
                <w:color w:val="FF0000"/>
                <w:sz w:val="20"/>
              </w:rPr>
              <w:t>(713) 817-8663</w:t>
            </w:r>
          </w:p>
        </w:tc>
        <w:tc>
          <w:tcPr>
            <w:tcW w:w="990" w:type="dxa"/>
          </w:tcPr>
          <w:p w14:paraId="281E11FF" w14:textId="77777777" w:rsidR="00E04A51" w:rsidRPr="005A77BA" w:rsidRDefault="00E04A51" w:rsidP="007F03AF">
            <w:pPr>
              <w:pStyle w:val="BodyText"/>
              <w:tabs>
                <w:tab w:val="left" w:pos="1170"/>
              </w:tabs>
              <w:jc w:val="left"/>
              <w:rPr>
                <w:color w:val="FF0000"/>
                <w:sz w:val="20"/>
              </w:rPr>
            </w:pPr>
          </w:p>
        </w:tc>
        <w:tc>
          <w:tcPr>
            <w:tcW w:w="1530" w:type="dxa"/>
          </w:tcPr>
          <w:p w14:paraId="24A51DC8" w14:textId="0AA470B0" w:rsidR="00E04A51" w:rsidRPr="005A77BA" w:rsidRDefault="005A77BA" w:rsidP="007F03AF">
            <w:pPr>
              <w:pStyle w:val="BodyText"/>
              <w:tabs>
                <w:tab w:val="left" w:pos="1170"/>
              </w:tabs>
              <w:jc w:val="left"/>
              <w:rPr>
                <w:color w:val="FF0000"/>
                <w:sz w:val="20"/>
              </w:rPr>
            </w:pPr>
            <w:r w:rsidRPr="005A77BA">
              <w:rPr>
                <w:color w:val="FF0000"/>
                <w:sz w:val="20"/>
              </w:rPr>
              <w:t>(281) 961-4957</w:t>
            </w:r>
          </w:p>
        </w:tc>
        <w:tc>
          <w:tcPr>
            <w:tcW w:w="2430" w:type="dxa"/>
          </w:tcPr>
          <w:p w14:paraId="6D7459B2" w14:textId="0A914888" w:rsidR="00E04A51" w:rsidRPr="005A77BA" w:rsidRDefault="00D6319C" w:rsidP="007F03AF">
            <w:pPr>
              <w:pStyle w:val="BodyText"/>
              <w:tabs>
                <w:tab w:val="left" w:pos="1170"/>
              </w:tabs>
              <w:jc w:val="left"/>
              <w:rPr>
                <w:color w:val="FF0000"/>
                <w:sz w:val="20"/>
              </w:rPr>
            </w:pPr>
            <w:hyperlink r:id="rId170" w:history="1">
              <w:r w:rsidR="005A77BA" w:rsidRPr="005A77BA">
                <w:rPr>
                  <w:rStyle w:val="Hyperlink"/>
                  <w:color w:val="FF0000"/>
                  <w:sz w:val="20"/>
                  <w:szCs w:val="16"/>
                </w:rPr>
                <w:t>dan64baker@yahoo.com</w:t>
              </w:r>
            </w:hyperlink>
            <w:r w:rsidR="005A77BA" w:rsidRPr="005A77BA">
              <w:rPr>
                <w:color w:val="FF0000"/>
                <w:sz w:val="16"/>
                <w:szCs w:val="16"/>
              </w:rPr>
              <w:t xml:space="preserve"> </w:t>
            </w:r>
          </w:p>
        </w:tc>
        <w:tc>
          <w:tcPr>
            <w:tcW w:w="720" w:type="dxa"/>
          </w:tcPr>
          <w:p w14:paraId="23A1EBEA" w14:textId="07C6C471" w:rsidR="00E04A51" w:rsidRPr="00CD2210" w:rsidRDefault="00697EC0" w:rsidP="007F03AF">
            <w:pPr>
              <w:pStyle w:val="BodyText"/>
              <w:tabs>
                <w:tab w:val="left" w:pos="1170"/>
              </w:tabs>
              <w:jc w:val="left"/>
              <w:rPr>
                <w:sz w:val="20"/>
              </w:rPr>
            </w:pPr>
            <w:r>
              <w:rPr>
                <w:sz w:val="20"/>
              </w:rPr>
              <w:t>GKS</w:t>
            </w:r>
            <w:r w:rsidR="00464FAC">
              <w:rPr>
                <w:sz w:val="20"/>
              </w:rPr>
              <w:t xml:space="preserve">, </w:t>
            </w:r>
            <w:r w:rsidR="00464FAC" w:rsidRPr="00736F28">
              <w:rPr>
                <w:color w:val="FF0000"/>
                <w:sz w:val="20"/>
              </w:rPr>
              <w:t>LMH</w:t>
            </w:r>
          </w:p>
        </w:tc>
      </w:tr>
      <w:tr w:rsidR="00EA3AAD" w14:paraId="2F21A20C" w14:textId="77777777" w:rsidTr="00B81E1B">
        <w:tc>
          <w:tcPr>
            <w:tcW w:w="1350" w:type="dxa"/>
          </w:tcPr>
          <w:p w14:paraId="2D085555" w14:textId="5F351C2F" w:rsidR="00EA3AAD" w:rsidRPr="005556C3" w:rsidRDefault="00EA3AAD" w:rsidP="00EA3AAD">
            <w:pPr>
              <w:pStyle w:val="BodyText"/>
              <w:tabs>
                <w:tab w:val="left" w:pos="1170"/>
              </w:tabs>
              <w:jc w:val="left"/>
              <w:rPr>
                <w:sz w:val="20"/>
              </w:rPr>
            </w:pPr>
            <w:r w:rsidRPr="005556C3">
              <w:rPr>
                <w:sz w:val="20"/>
              </w:rPr>
              <w:t>Hayes, Fonville</w:t>
            </w:r>
          </w:p>
        </w:tc>
        <w:tc>
          <w:tcPr>
            <w:tcW w:w="1980" w:type="dxa"/>
          </w:tcPr>
          <w:p w14:paraId="13873256" w14:textId="77777777" w:rsidR="00EA3AAD" w:rsidRPr="005556C3" w:rsidRDefault="00EA3AAD" w:rsidP="00EA3AAD">
            <w:r w:rsidRPr="005556C3">
              <w:t>4380 Jericho Road</w:t>
            </w:r>
          </w:p>
          <w:p w14:paraId="33BE6C7B" w14:textId="44A2B900" w:rsidR="00EA3AAD" w:rsidRPr="005556C3" w:rsidRDefault="00EA3AAD" w:rsidP="00EA3AAD">
            <w:pPr>
              <w:pStyle w:val="BodyText"/>
              <w:tabs>
                <w:tab w:val="left" w:pos="1170"/>
              </w:tabs>
              <w:spacing w:before="0" w:after="0"/>
              <w:jc w:val="left"/>
              <w:rPr>
                <w:sz w:val="20"/>
              </w:rPr>
            </w:pPr>
            <w:r w:rsidRPr="005556C3">
              <w:rPr>
                <w:sz w:val="20"/>
              </w:rPr>
              <w:t>Ruther Glen, VA 22546</w:t>
            </w:r>
          </w:p>
        </w:tc>
        <w:tc>
          <w:tcPr>
            <w:tcW w:w="1530" w:type="dxa"/>
          </w:tcPr>
          <w:p w14:paraId="2B5472EB" w14:textId="77777777" w:rsidR="00EA3AAD" w:rsidRPr="005556C3" w:rsidRDefault="00EA3AAD" w:rsidP="00EA3AAD">
            <w:pPr>
              <w:pStyle w:val="BodyText"/>
              <w:tabs>
                <w:tab w:val="left" w:pos="1170"/>
              </w:tabs>
              <w:jc w:val="left"/>
              <w:rPr>
                <w:sz w:val="20"/>
              </w:rPr>
            </w:pPr>
          </w:p>
        </w:tc>
        <w:tc>
          <w:tcPr>
            <w:tcW w:w="990" w:type="dxa"/>
          </w:tcPr>
          <w:p w14:paraId="61C958BE" w14:textId="77777777" w:rsidR="00EA3AAD" w:rsidRPr="005556C3" w:rsidRDefault="00EA3AAD" w:rsidP="00EA3AAD">
            <w:pPr>
              <w:pStyle w:val="BodyText"/>
              <w:tabs>
                <w:tab w:val="left" w:pos="1170"/>
              </w:tabs>
              <w:jc w:val="left"/>
              <w:rPr>
                <w:sz w:val="20"/>
              </w:rPr>
            </w:pPr>
          </w:p>
        </w:tc>
        <w:tc>
          <w:tcPr>
            <w:tcW w:w="1530" w:type="dxa"/>
          </w:tcPr>
          <w:p w14:paraId="045E53C8" w14:textId="33DABBE1" w:rsidR="00EA3AAD" w:rsidRPr="005556C3" w:rsidRDefault="00B71EEA" w:rsidP="00EA3AAD">
            <w:pPr>
              <w:pStyle w:val="BodyText"/>
              <w:tabs>
                <w:tab w:val="left" w:pos="1170"/>
              </w:tabs>
              <w:jc w:val="left"/>
              <w:rPr>
                <w:sz w:val="20"/>
              </w:rPr>
            </w:pPr>
            <w:r w:rsidRPr="005556C3">
              <w:rPr>
                <w:sz w:val="20"/>
              </w:rPr>
              <w:t>(</w:t>
            </w:r>
            <w:r w:rsidR="00EA3AAD" w:rsidRPr="005556C3">
              <w:rPr>
                <w:sz w:val="20"/>
              </w:rPr>
              <w:t>804</w:t>
            </w:r>
            <w:r w:rsidRPr="005556C3">
              <w:rPr>
                <w:sz w:val="20"/>
              </w:rPr>
              <w:t xml:space="preserve">) </w:t>
            </w:r>
            <w:r w:rsidR="00EA3AAD" w:rsidRPr="005556C3">
              <w:rPr>
                <w:sz w:val="20"/>
              </w:rPr>
              <w:t>994-1638</w:t>
            </w:r>
          </w:p>
        </w:tc>
        <w:tc>
          <w:tcPr>
            <w:tcW w:w="2430" w:type="dxa"/>
          </w:tcPr>
          <w:p w14:paraId="64D91A9A" w14:textId="77777777" w:rsidR="00EA3AAD" w:rsidRPr="00903E6F" w:rsidRDefault="00EA3AAD" w:rsidP="00EA3AAD">
            <w:pPr>
              <w:rPr>
                <w:color w:val="FF0000"/>
              </w:rPr>
            </w:pPr>
          </w:p>
          <w:p w14:paraId="31C0E292" w14:textId="0A2A21BC" w:rsidR="00EA3AAD" w:rsidRDefault="00D6319C" w:rsidP="00EA3AAD">
            <w:pPr>
              <w:pStyle w:val="BodyText"/>
              <w:tabs>
                <w:tab w:val="left" w:pos="1170"/>
              </w:tabs>
              <w:jc w:val="left"/>
            </w:pPr>
            <w:hyperlink r:id="rId171" w:history="1">
              <w:r w:rsidR="005556C3" w:rsidRPr="00861DEF">
                <w:rPr>
                  <w:rStyle w:val="Hyperlink"/>
                  <w:sz w:val="20"/>
                  <w:szCs w:val="16"/>
                </w:rPr>
                <w:t xml:space="preserve">Fonville.hayes@gmail.com </w:t>
              </w:r>
            </w:hyperlink>
          </w:p>
        </w:tc>
        <w:tc>
          <w:tcPr>
            <w:tcW w:w="720" w:type="dxa"/>
          </w:tcPr>
          <w:p w14:paraId="4FC0B662" w14:textId="2D0705E9" w:rsidR="00EA3AAD" w:rsidRPr="005556C3" w:rsidRDefault="00EA3AAD" w:rsidP="00EA3AAD">
            <w:pPr>
              <w:pStyle w:val="BodyText"/>
              <w:tabs>
                <w:tab w:val="left" w:pos="1170"/>
              </w:tabs>
              <w:jc w:val="left"/>
              <w:rPr>
                <w:sz w:val="20"/>
              </w:rPr>
            </w:pPr>
            <w:r w:rsidRPr="005556C3">
              <w:rPr>
                <w:sz w:val="20"/>
              </w:rPr>
              <w:t>CAJ, LMH</w:t>
            </w:r>
          </w:p>
        </w:tc>
      </w:tr>
      <w:tr w:rsidR="002034BC" w14:paraId="1EB04BE5" w14:textId="77777777" w:rsidTr="00B81E1B">
        <w:tc>
          <w:tcPr>
            <w:tcW w:w="1350" w:type="dxa"/>
          </w:tcPr>
          <w:p w14:paraId="09CFD350" w14:textId="7FF93385" w:rsidR="002034BC" w:rsidRPr="005556C3" w:rsidRDefault="002034BC" w:rsidP="007F03AF">
            <w:pPr>
              <w:pStyle w:val="BodyText"/>
              <w:tabs>
                <w:tab w:val="left" w:pos="1170"/>
              </w:tabs>
              <w:jc w:val="left"/>
              <w:rPr>
                <w:sz w:val="20"/>
              </w:rPr>
            </w:pPr>
            <w:r w:rsidRPr="005556C3">
              <w:rPr>
                <w:sz w:val="20"/>
              </w:rPr>
              <w:t>Garcia, Ana</w:t>
            </w:r>
          </w:p>
        </w:tc>
        <w:tc>
          <w:tcPr>
            <w:tcW w:w="1980" w:type="dxa"/>
          </w:tcPr>
          <w:p w14:paraId="04EA62C8" w14:textId="51A1C767" w:rsidR="002034BC" w:rsidRPr="005556C3" w:rsidRDefault="002034BC" w:rsidP="007F03AF">
            <w:pPr>
              <w:pStyle w:val="BodyText"/>
              <w:tabs>
                <w:tab w:val="left" w:pos="1170"/>
              </w:tabs>
              <w:jc w:val="left"/>
              <w:rPr>
                <w:sz w:val="20"/>
              </w:rPr>
            </w:pPr>
            <w:r w:rsidRPr="005556C3">
              <w:rPr>
                <w:sz w:val="18"/>
                <w:szCs w:val="18"/>
              </w:rPr>
              <w:t>3703 Great Timbers Ln. Spring TX 77386</w:t>
            </w:r>
          </w:p>
        </w:tc>
        <w:tc>
          <w:tcPr>
            <w:tcW w:w="1530" w:type="dxa"/>
          </w:tcPr>
          <w:p w14:paraId="2EDC4768" w14:textId="77777777" w:rsidR="002034BC" w:rsidRPr="005556C3" w:rsidRDefault="002034BC" w:rsidP="007F03AF">
            <w:pPr>
              <w:pStyle w:val="BodyText"/>
              <w:tabs>
                <w:tab w:val="left" w:pos="1170"/>
              </w:tabs>
              <w:jc w:val="left"/>
              <w:rPr>
                <w:sz w:val="20"/>
              </w:rPr>
            </w:pPr>
          </w:p>
        </w:tc>
        <w:tc>
          <w:tcPr>
            <w:tcW w:w="990" w:type="dxa"/>
          </w:tcPr>
          <w:p w14:paraId="53AC35D3" w14:textId="77777777" w:rsidR="002034BC" w:rsidRPr="005556C3" w:rsidRDefault="002034BC" w:rsidP="007F03AF">
            <w:pPr>
              <w:pStyle w:val="BodyText"/>
              <w:tabs>
                <w:tab w:val="left" w:pos="1170"/>
              </w:tabs>
              <w:jc w:val="left"/>
              <w:rPr>
                <w:sz w:val="20"/>
              </w:rPr>
            </w:pPr>
          </w:p>
        </w:tc>
        <w:tc>
          <w:tcPr>
            <w:tcW w:w="1530" w:type="dxa"/>
          </w:tcPr>
          <w:p w14:paraId="1099BFB7" w14:textId="65F613E5" w:rsidR="002034BC" w:rsidRPr="005556C3" w:rsidRDefault="002034BC" w:rsidP="007F03AF">
            <w:pPr>
              <w:pStyle w:val="BodyText"/>
              <w:tabs>
                <w:tab w:val="left" w:pos="1170"/>
              </w:tabs>
              <w:jc w:val="left"/>
              <w:rPr>
                <w:sz w:val="20"/>
              </w:rPr>
            </w:pPr>
            <w:r w:rsidRPr="005556C3">
              <w:rPr>
                <w:sz w:val="20"/>
              </w:rPr>
              <w:t>(936) 240-9598</w:t>
            </w:r>
          </w:p>
        </w:tc>
        <w:tc>
          <w:tcPr>
            <w:tcW w:w="2430" w:type="dxa"/>
          </w:tcPr>
          <w:p w14:paraId="755C7DB5" w14:textId="271CDE63" w:rsidR="002034BC" w:rsidRPr="002034BC" w:rsidRDefault="00D6319C" w:rsidP="007F03AF">
            <w:pPr>
              <w:pStyle w:val="BodyText"/>
              <w:tabs>
                <w:tab w:val="left" w:pos="1170"/>
              </w:tabs>
              <w:jc w:val="left"/>
              <w:rPr>
                <w:color w:val="FF0000"/>
              </w:rPr>
            </w:pPr>
            <w:hyperlink r:id="rId172" w:history="1">
              <w:r w:rsidR="005556C3" w:rsidRPr="00861DEF">
                <w:rPr>
                  <w:rStyle w:val="Hyperlink"/>
                  <w:sz w:val="20"/>
                  <w:szCs w:val="16"/>
                </w:rPr>
                <w:t xml:space="preserve">anagarcia054@gmail.com </w:t>
              </w:r>
            </w:hyperlink>
            <w:r w:rsidR="002034BC" w:rsidRPr="002034BC">
              <w:rPr>
                <w:color w:val="FF0000"/>
                <w:sz w:val="20"/>
                <w:szCs w:val="16"/>
              </w:rPr>
              <w:t xml:space="preserve"> </w:t>
            </w:r>
          </w:p>
        </w:tc>
        <w:tc>
          <w:tcPr>
            <w:tcW w:w="720" w:type="dxa"/>
          </w:tcPr>
          <w:p w14:paraId="4589E39F" w14:textId="77777777" w:rsidR="002034BC" w:rsidRPr="005556C3" w:rsidRDefault="002034BC" w:rsidP="002034BC">
            <w:pPr>
              <w:pStyle w:val="BodyText"/>
              <w:tabs>
                <w:tab w:val="left" w:pos="1170"/>
              </w:tabs>
              <w:spacing w:before="0" w:after="0"/>
              <w:jc w:val="left"/>
              <w:rPr>
                <w:sz w:val="20"/>
              </w:rPr>
            </w:pPr>
            <w:r w:rsidRPr="005556C3">
              <w:rPr>
                <w:sz w:val="20"/>
              </w:rPr>
              <w:t>RM,</w:t>
            </w:r>
          </w:p>
          <w:p w14:paraId="784F8BBA" w14:textId="56604026" w:rsidR="002034BC" w:rsidRPr="005556C3" w:rsidRDefault="002034BC" w:rsidP="002034BC">
            <w:pPr>
              <w:pStyle w:val="BodyText"/>
              <w:tabs>
                <w:tab w:val="left" w:pos="1170"/>
              </w:tabs>
              <w:spacing w:before="0" w:after="0"/>
              <w:jc w:val="left"/>
              <w:rPr>
                <w:sz w:val="20"/>
              </w:rPr>
            </w:pPr>
            <w:r w:rsidRPr="005556C3">
              <w:rPr>
                <w:sz w:val="20"/>
              </w:rPr>
              <w:t>CS</w:t>
            </w:r>
          </w:p>
        </w:tc>
      </w:tr>
      <w:tr w:rsidR="002034BC" w14:paraId="5A2069E1" w14:textId="77777777" w:rsidTr="00B81E1B">
        <w:tc>
          <w:tcPr>
            <w:tcW w:w="1350" w:type="dxa"/>
          </w:tcPr>
          <w:p w14:paraId="4BAEAE2A" w14:textId="4440F5E0" w:rsidR="002034BC" w:rsidRPr="005556C3" w:rsidRDefault="002034BC" w:rsidP="007F03AF">
            <w:pPr>
              <w:pStyle w:val="BodyText"/>
              <w:tabs>
                <w:tab w:val="left" w:pos="1170"/>
              </w:tabs>
              <w:jc w:val="left"/>
              <w:rPr>
                <w:sz w:val="20"/>
              </w:rPr>
            </w:pPr>
            <w:r w:rsidRPr="005556C3">
              <w:rPr>
                <w:sz w:val="20"/>
              </w:rPr>
              <w:t>Merchant, Rehan</w:t>
            </w:r>
          </w:p>
        </w:tc>
        <w:tc>
          <w:tcPr>
            <w:tcW w:w="1980" w:type="dxa"/>
          </w:tcPr>
          <w:p w14:paraId="075C545B" w14:textId="208C4E62" w:rsidR="00A568D8" w:rsidRPr="005556C3" w:rsidRDefault="00A568D8" w:rsidP="007F03AF">
            <w:pPr>
              <w:pStyle w:val="BodyText"/>
              <w:tabs>
                <w:tab w:val="left" w:pos="1170"/>
              </w:tabs>
              <w:jc w:val="left"/>
              <w:rPr>
                <w:sz w:val="18"/>
                <w:szCs w:val="18"/>
              </w:rPr>
            </w:pPr>
            <w:r w:rsidRPr="005556C3">
              <w:rPr>
                <w:sz w:val="18"/>
                <w:szCs w:val="18"/>
              </w:rPr>
              <w:t>5915 Vinland Shores Ct Spring TX 77379</w:t>
            </w:r>
          </w:p>
        </w:tc>
        <w:tc>
          <w:tcPr>
            <w:tcW w:w="1530" w:type="dxa"/>
          </w:tcPr>
          <w:p w14:paraId="7C1CEB64" w14:textId="77777777" w:rsidR="002034BC" w:rsidRPr="002034BC" w:rsidRDefault="002034BC" w:rsidP="007F03AF">
            <w:pPr>
              <w:pStyle w:val="BodyText"/>
              <w:tabs>
                <w:tab w:val="left" w:pos="1170"/>
              </w:tabs>
              <w:jc w:val="left"/>
              <w:rPr>
                <w:color w:val="FF0000"/>
                <w:sz w:val="20"/>
              </w:rPr>
            </w:pPr>
          </w:p>
        </w:tc>
        <w:tc>
          <w:tcPr>
            <w:tcW w:w="990" w:type="dxa"/>
          </w:tcPr>
          <w:p w14:paraId="7C7F4E57" w14:textId="77777777" w:rsidR="002034BC" w:rsidRPr="002034BC" w:rsidRDefault="002034BC" w:rsidP="007F03AF">
            <w:pPr>
              <w:pStyle w:val="BodyText"/>
              <w:tabs>
                <w:tab w:val="left" w:pos="1170"/>
              </w:tabs>
              <w:jc w:val="left"/>
              <w:rPr>
                <w:color w:val="FF0000"/>
                <w:sz w:val="20"/>
              </w:rPr>
            </w:pPr>
          </w:p>
        </w:tc>
        <w:tc>
          <w:tcPr>
            <w:tcW w:w="1530" w:type="dxa"/>
          </w:tcPr>
          <w:p w14:paraId="3AED58EA" w14:textId="1EEB6BA6" w:rsidR="002034BC" w:rsidRPr="002034BC" w:rsidRDefault="00A568D8" w:rsidP="007F03AF">
            <w:pPr>
              <w:pStyle w:val="BodyText"/>
              <w:tabs>
                <w:tab w:val="left" w:pos="1170"/>
              </w:tabs>
              <w:jc w:val="left"/>
              <w:rPr>
                <w:color w:val="FF0000"/>
                <w:sz w:val="20"/>
              </w:rPr>
            </w:pPr>
            <w:r w:rsidRPr="005556C3">
              <w:rPr>
                <w:sz w:val="20"/>
              </w:rPr>
              <w:t>(281) 546-6679</w:t>
            </w:r>
          </w:p>
        </w:tc>
        <w:tc>
          <w:tcPr>
            <w:tcW w:w="2430" w:type="dxa"/>
          </w:tcPr>
          <w:p w14:paraId="3E78E5D8" w14:textId="70950623" w:rsidR="002034BC" w:rsidRPr="00A568D8" w:rsidRDefault="00D6319C" w:rsidP="007F03AF">
            <w:pPr>
              <w:pStyle w:val="BodyText"/>
              <w:tabs>
                <w:tab w:val="left" w:pos="1170"/>
              </w:tabs>
              <w:jc w:val="left"/>
              <w:rPr>
                <w:color w:val="FF0000"/>
                <w:sz w:val="16"/>
                <w:szCs w:val="12"/>
              </w:rPr>
            </w:pPr>
            <w:hyperlink r:id="rId173" w:history="1">
              <w:r w:rsidR="005556C3" w:rsidRPr="00861DEF">
                <w:rPr>
                  <w:rStyle w:val="Hyperlink"/>
                  <w:sz w:val="16"/>
                  <w:szCs w:val="12"/>
                </w:rPr>
                <w:t>rehan@rehanmerchantconsulting.com</w:t>
              </w:r>
            </w:hyperlink>
            <w:r w:rsidR="005556C3">
              <w:rPr>
                <w:color w:val="FF0000"/>
                <w:sz w:val="16"/>
                <w:szCs w:val="12"/>
              </w:rPr>
              <w:t xml:space="preserve"> </w:t>
            </w:r>
          </w:p>
        </w:tc>
        <w:tc>
          <w:tcPr>
            <w:tcW w:w="720" w:type="dxa"/>
          </w:tcPr>
          <w:p w14:paraId="3F166B55" w14:textId="77F01E76" w:rsidR="002034BC" w:rsidRPr="005556C3" w:rsidRDefault="00A568D8" w:rsidP="002034BC">
            <w:pPr>
              <w:pStyle w:val="BodyText"/>
              <w:tabs>
                <w:tab w:val="left" w:pos="1170"/>
              </w:tabs>
              <w:spacing w:before="0" w:after="0"/>
              <w:jc w:val="left"/>
              <w:rPr>
                <w:sz w:val="20"/>
              </w:rPr>
            </w:pPr>
            <w:r w:rsidRPr="005556C3">
              <w:rPr>
                <w:sz w:val="20"/>
              </w:rPr>
              <w:t>CS,     AG</w:t>
            </w:r>
          </w:p>
        </w:tc>
      </w:tr>
    </w:tbl>
    <w:p w14:paraId="74B34332" w14:textId="77777777" w:rsidR="00E541AA" w:rsidRDefault="00E541AA" w:rsidP="00E541AA">
      <w:pPr>
        <w:ind w:left="-540"/>
        <w:rPr>
          <w:bCs/>
          <w:i/>
          <w:iCs/>
        </w:rPr>
      </w:pPr>
    </w:p>
    <w:p w14:paraId="1C25BF6A" w14:textId="77777777" w:rsidR="00E541AA" w:rsidRDefault="00E731A2" w:rsidP="00E541AA">
      <w:pPr>
        <w:ind w:left="-540"/>
        <w:rPr>
          <w:bCs/>
          <w:i/>
          <w:iCs/>
          <w:sz w:val="24"/>
          <w:szCs w:val="24"/>
        </w:rPr>
      </w:pPr>
      <w:r w:rsidRPr="00E731A2">
        <w:rPr>
          <w:bCs/>
          <w:i/>
          <w:iCs/>
          <w:sz w:val="24"/>
          <w:szCs w:val="24"/>
        </w:rPr>
        <w:t>* Text</w:t>
      </w:r>
      <w:r w:rsidR="00E541AA">
        <w:rPr>
          <w:bCs/>
          <w:i/>
          <w:iCs/>
          <w:sz w:val="24"/>
          <w:szCs w:val="24"/>
        </w:rPr>
        <w:t xml:space="preserve"> messaging may work more effectively for cell phone calls depending on disruption as well as area codes that are outside the local are of disruption may work more effectively.</w:t>
      </w:r>
    </w:p>
    <w:p w14:paraId="6F2D0EDC" w14:textId="77777777" w:rsidR="00E541AA" w:rsidRDefault="00E541AA">
      <w:pPr>
        <w:pStyle w:val="BodyText"/>
        <w:tabs>
          <w:tab w:val="left" w:pos="360"/>
        </w:tabs>
        <w:ind w:left="360"/>
        <w:jc w:val="left"/>
        <w:rPr>
          <w:b/>
          <w:bCs/>
        </w:rPr>
      </w:pPr>
    </w:p>
    <w:p w14:paraId="2EA00775" w14:textId="77777777" w:rsidR="00D21824" w:rsidRDefault="00D21824" w:rsidP="001A7509">
      <w:pPr>
        <w:pStyle w:val="Heading3"/>
      </w:pPr>
      <w:r>
        <w:t>1</w:t>
      </w:r>
      <w:r w:rsidR="00CD2210">
        <w:t>7</w:t>
      </w:r>
      <w:r>
        <w:t>.</w:t>
      </w:r>
      <w:r w:rsidR="00FD5F8D">
        <w:t>7</w:t>
      </w:r>
      <w:r>
        <w:t>.1</w:t>
      </w:r>
      <w:r w:rsidR="00F77E35">
        <w:t>2</w:t>
      </w:r>
      <w:r>
        <w:t xml:space="preserve"> </w:t>
      </w:r>
      <w:r w:rsidR="000C099C">
        <w:t xml:space="preserve">ALTERNATE FACILITY  </w:t>
      </w:r>
    </w:p>
    <w:p w14:paraId="4C4ADEF5" w14:textId="5FBA7218" w:rsidR="00060AD3" w:rsidRPr="004F62D0" w:rsidRDefault="000C099C" w:rsidP="00060AD3">
      <w:pPr>
        <w:pStyle w:val="BodyText"/>
        <w:tabs>
          <w:tab w:val="left" w:pos="180"/>
        </w:tabs>
        <w:spacing w:before="0" w:after="0"/>
        <w:ind w:left="270"/>
        <w:jc w:val="left"/>
      </w:pPr>
      <w:r>
        <w:t>In the event a continuity plan requires an offsite facility, the following site will be used as the main facility: Morris Monroe, 194</w:t>
      </w:r>
      <w:r w:rsidR="003F67BE">
        <w:t xml:space="preserve">1 Sawdust Rd, Spring TX 77380 </w:t>
      </w:r>
      <w:r w:rsidR="00E309EE" w:rsidRPr="00CD2210">
        <w:t>(281) 364-1</w:t>
      </w:r>
      <w:r w:rsidR="00C43F4E" w:rsidRPr="00CD2210">
        <w:t>2</w:t>
      </w:r>
      <w:r w:rsidR="00E309EE" w:rsidRPr="00CD2210">
        <w:t xml:space="preserve">54 </w:t>
      </w:r>
      <w:r w:rsidR="00E309EE">
        <w:t xml:space="preserve">and </w:t>
      </w:r>
      <w:r w:rsidR="003F67BE" w:rsidRPr="00E309EE">
        <w:t>(7</w:t>
      </w:r>
      <w:r w:rsidRPr="00E309EE">
        <w:t>1</w:t>
      </w:r>
      <w:r w:rsidR="003F67BE" w:rsidRPr="00E309EE">
        <w:t>3</w:t>
      </w:r>
      <w:r w:rsidRPr="00E309EE">
        <w:t xml:space="preserve">) </w:t>
      </w:r>
      <w:r w:rsidR="003F67BE" w:rsidRPr="00E309EE">
        <w:t>806-4076</w:t>
      </w:r>
      <w:r>
        <w:t>,</w:t>
      </w:r>
      <w:r w:rsidR="0005137A">
        <w:t xml:space="preserve"> </w:t>
      </w:r>
      <w:hyperlink r:id="rId174" w:history="1">
        <w:r w:rsidR="0005137A" w:rsidRPr="00C21C75">
          <w:rPr>
            <w:rStyle w:val="Hyperlink"/>
          </w:rPr>
          <w:t>tesa@the4monroes.com</w:t>
        </w:r>
      </w:hyperlink>
      <w:r w:rsidR="0005137A" w:rsidRPr="00C21C75">
        <w:t xml:space="preserve">. </w:t>
      </w:r>
      <w:r>
        <w:t xml:space="preserve">  Other facilities with remote access and/or trading capabilities are: 1)</w:t>
      </w:r>
      <w:r w:rsidR="00C375E8">
        <w:t>.</w:t>
      </w:r>
      <w:r>
        <w:t xml:space="preserve"> Laura Hendricks home; </w:t>
      </w:r>
      <w:r w:rsidR="003E7FD6">
        <w:t xml:space="preserve">and </w:t>
      </w:r>
      <w:r w:rsidR="00D0386A">
        <w:t>2)</w:t>
      </w:r>
      <w:r w:rsidR="00C375E8">
        <w:t>.</w:t>
      </w:r>
      <w:r w:rsidR="00D0386A">
        <w:t xml:space="preserve"> </w:t>
      </w:r>
      <w:r w:rsidR="00C375E8" w:rsidRPr="004F62D0">
        <w:t>1162 Tuscan Ridge, New Braunfels TX 78130.</w:t>
      </w:r>
      <w:r w:rsidR="00060AD3" w:rsidRPr="004F62D0">
        <w:t xml:space="preserve">  </w:t>
      </w:r>
    </w:p>
    <w:p w14:paraId="6F583378" w14:textId="77777777" w:rsidR="00D21824" w:rsidRPr="00CD2210" w:rsidRDefault="00D21824" w:rsidP="00D21824">
      <w:pPr>
        <w:pStyle w:val="BodyText"/>
        <w:tabs>
          <w:tab w:val="left" w:pos="360"/>
        </w:tabs>
        <w:spacing w:before="0" w:after="0"/>
        <w:ind w:left="270"/>
        <w:jc w:val="left"/>
      </w:pPr>
    </w:p>
    <w:p w14:paraId="25BB73F6" w14:textId="77777777" w:rsidR="00D21824" w:rsidRPr="00CD2210" w:rsidRDefault="00D21824" w:rsidP="001A7509">
      <w:pPr>
        <w:pStyle w:val="Heading3"/>
      </w:pPr>
      <w:r w:rsidRPr="00CD2210">
        <w:lastRenderedPageBreak/>
        <w:t>1</w:t>
      </w:r>
      <w:r w:rsidR="00CD2210">
        <w:t>7</w:t>
      </w:r>
      <w:r w:rsidRPr="00CD2210">
        <w:t>.</w:t>
      </w:r>
      <w:r w:rsidR="00FD5F8D" w:rsidRPr="00CD2210">
        <w:t>7</w:t>
      </w:r>
      <w:r w:rsidRPr="00CD2210">
        <w:t>.1</w:t>
      </w:r>
      <w:r w:rsidR="00F77E35" w:rsidRPr="00CD2210">
        <w:t>3</w:t>
      </w:r>
      <w:r w:rsidRPr="00CD2210">
        <w:t xml:space="preserve"> </w:t>
      </w:r>
      <w:r w:rsidR="000C099C" w:rsidRPr="00CD2210">
        <w:t xml:space="preserve">BUDGETING  </w:t>
      </w:r>
    </w:p>
    <w:p w14:paraId="235C7777" w14:textId="77777777" w:rsidR="000C099C" w:rsidRPr="00CD2210" w:rsidRDefault="000C099C" w:rsidP="00D21824">
      <w:pPr>
        <w:pStyle w:val="BodyText"/>
        <w:tabs>
          <w:tab w:val="left" w:pos="360"/>
        </w:tabs>
        <w:spacing w:before="0" w:after="0"/>
        <w:ind w:left="270"/>
        <w:jc w:val="left"/>
      </w:pPr>
      <w:r w:rsidRPr="00CD2210">
        <w:t xml:space="preserve">At this time, the Company does not have a separate account setup for addressing continuity planning management.  However, </w:t>
      </w:r>
      <w:r w:rsidR="00FD0687" w:rsidRPr="00CD2210">
        <w:t>Company can and will allocate funds to cover certain expenses in the event of an SBD to facilitate continuing operations.</w:t>
      </w:r>
    </w:p>
    <w:p w14:paraId="2D5FD491" w14:textId="77777777" w:rsidR="00060AD3" w:rsidRPr="00CD2210" w:rsidRDefault="00060AD3" w:rsidP="00060AD3"/>
    <w:p w14:paraId="506A8B54" w14:textId="77777777" w:rsidR="00060AD3" w:rsidRPr="00CD2210" w:rsidRDefault="00060AD3" w:rsidP="00060AD3"/>
    <w:p w14:paraId="226FE863" w14:textId="77777777" w:rsidR="001718B2" w:rsidRPr="00CD2210" w:rsidRDefault="001718B2" w:rsidP="001A7509">
      <w:pPr>
        <w:pStyle w:val="Heading3"/>
      </w:pPr>
      <w:r w:rsidRPr="00CD2210">
        <w:t>1</w:t>
      </w:r>
      <w:r w:rsidR="00CD2210">
        <w:t>7</w:t>
      </w:r>
      <w:r w:rsidRPr="00CD2210">
        <w:t>.</w:t>
      </w:r>
      <w:r w:rsidR="00FD5F8D" w:rsidRPr="00CD2210">
        <w:t>7</w:t>
      </w:r>
      <w:r w:rsidRPr="00CD2210">
        <w:t>.1</w:t>
      </w:r>
      <w:r w:rsidR="00F77E35" w:rsidRPr="00CD2210">
        <w:t>4</w:t>
      </w:r>
      <w:r w:rsidRPr="00CD2210">
        <w:t xml:space="preserve"> </w:t>
      </w:r>
      <w:r w:rsidR="000C099C" w:rsidRPr="00CD2210">
        <w:t xml:space="preserve">TESTING  </w:t>
      </w:r>
    </w:p>
    <w:p w14:paraId="3A32F3C2" w14:textId="77777777" w:rsidR="000C099C" w:rsidRPr="00CD2210" w:rsidRDefault="000C099C" w:rsidP="001718B2">
      <w:pPr>
        <w:pStyle w:val="BodyText"/>
        <w:tabs>
          <w:tab w:val="left" w:pos="360"/>
        </w:tabs>
        <w:spacing w:before="0" w:after="0"/>
        <w:ind w:left="274"/>
        <w:jc w:val="left"/>
      </w:pPr>
      <w:r w:rsidRPr="00CD2210">
        <w:t xml:space="preserve">To keep our plan current and effective, Company will perform periodic testing of various functions to ensure completion or success.  </w:t>
      </w:r>
      <w:r w:rsidR="00ED0F63" w:rsidRPr="00CD2210">
        <w:t>These include:</w:t>
      </w:r>
    </w:p>
    <w:p w14:paraId="4FBE327E" w14:textId="77777777" w:rsidR="003F67BE" w:rsidRPr="00CD2210" w:rsidRDefault="000C099C" w:rsidP="00B204F2">
      <w:pPr>
        <w:pStyle w:val="BodyText"/>
        <w:numPr>
          <w:ilvl w:val="0"/>
          <w:numId w:val="24"/>
        </w:numPr>
        <w:tabs>
          <w:tab w:val="left" w:pos="360"/>
        </w:tabs>
        <w:jc w:val="left"/>
      </w:pPr>
      <w:r w:rsidRPr="00CD2210">
        <w:t xml:space="preserve">Backup Data:  </w:t>
      </w:r>
      <w:r w:rsidR="00E21D7D" w:rsidRPr="00CD2210">
        <w:t xml:space="preserve">Selected </w:t>
      </w:r>
      <w:r w:rsidRPr="00CD2210">
        <w:t xml:space="preserve">data </w:t>
      </w:r>
      <w:r w:rsidR="00E21D7D" w:rsidRPr="00CD2210">
        <w:t xml:space="preserve">is backed up monthly and </w:t>
      </w:r>
      <w:r w:rsidRPr="00CD2210">
        <w:t>reloaded into system for accuracy and completion.</w:t>
      </w:r>
      <w:r w:rsidR="00050F10" w:rsidRPr="00CD2210">
        <w:t xml:space="preserve">  </w:t>
      </w:r>
      <w:r w:rsidR="005076C7" w:rsidRPr="00CD2210">
        <w:t xml:space="preserve">A </w:t>
      </w:r>
      <w:r w:rsidR="00050F10" w:rsidRPr="00CD2210">
        <w:t xml:space="preserve">log </w:t>
      </w:r>
      <w:r w:rsidR="005076C7" w:rsidRPr="00CD2210">
        <w:t xml:space="preserve">is maintained of </w:t>
      </w:r>
      <w:r w:rsidR="00050F10" w:rsidRPr="00CD2210">
        <w:t>any backup data restorations</w:t>
      </w:r>
      <w:r w:rsidR="00BB6E3C" w:rsidRPr="00CD2210">
        <w:t xml:space="preserve"> </w:t>
      </w:r>
      <w:r w:rsidR="00050F10" w:rsidRPr="00CD2210">
        <w:t xml:space="preserve">and </w:t>
      </w:r>
      <w:r w:rsidR="00F416AB" w:rsidRPr="00CD2210">
        <w:t>testing.</w:t>
      </w:r>
    </w:p>
    <w:p w14:paraId="4EA3DD85" w14:textId="77777777" w:rsidR="000C099C" w:rsidRPr="00CD2210" w:rsidRDefault="000C099C" w:rsidP="00B204F2">
      <w:pPr>
        <w:pStyle w:val="BodyText"/>
        <w:numPr>
          <w:ilvl w:val="0"/>
          <w:numId w:val="24"/>
        </w:numPr>
        <w:tabs>
          <w:tab w:val="left" w:pos="360"/>
        </w:tabs>
        <w:jc w:val="left"/>
      </w:pPr>
      <w:r w:rsidRPr="00CD2210">
        <w:t xml:space="preserve">Trading:  Trading </w:t>
      </w:r>
      <w:r w:rsidR="005B1F3D" w:rsidRPr="00CD2210">
        <w:t>is</w:t>
      </w:r>
      <w:r w:rsidRPr="00CD2210">
        <w:t xml:space="preserve"> occasionally conducted from offsite locations to ensure functionality</w:t>
      </w:r>
      <w:r w:rsidR="005D2F1D" w:rsidRPr="00CD2210">
        <w:t xml:space="preserve"> on an ongoing basis</w:t>
      </w:r>
      <w:r w:rsidRPr="00CD2210">
        <w:t>.</w:t>
      </w:r>
    </w:p>
    <w:p w14:paraId="7F7617AC" w14:textId="77777777" w:rsidR="000C099C" w:rsidRPr="00CD2210" w:rsidRDefault="000C099C" w:rsidP="00216F83">
      <w:pPr>
        <w:pStyle w:val="BodyText"/>
        <w:numPr>
          <w:ilvl w:val="0"/>
          <w:numId w:val="24"/>
        </w:numPr>
        <w:tabs>
          <w:tab w:val="left" w:pos="360"/>
        </w:tabs>
        <w:jc w:val="left"/>
      </w:pPr>
      <w:r w:rsidRPr="00CD2210">
        <w:t xml:space="preserve">Telephone system:  </w:t>
      </w:r>
      <w:r w:rsidR="005D2F1D" w:rsidRPr="00CD2210">
        <w:t xml:space="preserve">phones </w:t>
      </w:r>
      <w:r w:rsidR="005B1F3D" w:rsidRPr="00CD2210">
        <w:t>have been forwarded</w:t>
      </w:r>
      <w:r w:rsidR="007E2A42" w:rsidRPr="00CD2210">
        <w:t xml:space="preserve"> </w:t>
      </w:r>
      <w:r w:rsidR="005D2F1D" w:rsidRPr="00CD2210">
        <w:t>suc</w:t>
      </w:r>
      <w:r w:rsidRPr="00CD2210">
        <w:t>cessfully</w:t>
      </w:r>
      <w:r w:rsidR="007E2A42" w:rsidRPr="00CD2210">
        <w:t xml:space="preserve"> </w:t>
      </w:r>
      <w:r w:rsidR="005B1F3D" w:rsidRPr="00CD2210">
        <w:t>through periodic testing</w:t>
      </w:r>
      <w:r w:rsidRPr="00CD2210">
        <w:t>.</w:t>
      </w:r>
    </w:p>
    <w:p w14:paraId="707711F3" w14:textId="77777777" w:rsidR="000C099C" w:rsidRPr="00CD2210" w:rsidRDefault="000C099C" w:rsidP="00216F83">
      <w:pPr>
        <w:pStyle w:val="BodyText"/>
        <w:numPr>
          <w:ilvl w:val="0"/>
          <w:numId w:val="24"/>
        </w:numPr>
        <w:tabs>
          <w:tab w:val="left" w:pos="360"/>
        </w:tabs>
        <w:jc w:val="left"/>
      </w:pPr>
      <w:r w:rsidRPr="00CD2210">
        <w:t>All alternate emails have been used intermittently.</w:t>
      </w:r>
      <w:r w:rsidR="005D2F1D" w:rsidRPr="00CD2210">
        <w:t xml:space="preserve">  Internet based Outlook tested on an ongoing basis since October 2008 (in the event Company network is unavailable).</w:t>
      </w:r>
    </w:p>
    <w:p w14:paraId="22F889D8" w14:textId="77777777" w:rsidR="000C099C" w:rsidRPr="00CD2210" w:rsidRDefault="000C099C" w:rsidP="00CA1A37">
      <w:pPr>
        <w:pStyle w:val="BodyText"/>
        <w:numPr>
          <w:ilvl w:val="0"/>
          <w:numId w:val="24"/>
        </w:numPr>
        <w:tabs>
          <w:tab w:val="left" w:pos="360"/>
        </w:tabs>
        <w:spacing w:before="0" w:after="0"/>
        <w:jc w:val="left"/>
      </w:pPr>
      <w:r w:rsidRPr="00CD2210">
        <w:t xml:space="preserve">Alternate Facility:  personnel work </w:t>
      </w:r>
      <w:r w:rsidR="005D6412" w:rsidRPr="00CD2210">
        <w:t>in</w:t>
      </w:r>
      <w:r w:rsidRPr="00CD2210">
        <w:t xml:space="preserve"> alternate facilit</w:t>
      </w:r>
      <w:r w:rsidR="005D6412" w:rsidRPr="00CD2210">
        <w:t>ies (including non-workdays)</w:t>
      </w:r>
      <w:r w:rsidR="005D2F1D" w:rsidRPr="00CD2210">
        <w:t xml:space="preserve"> </w:t>
      </w:r>
      <w:r w:rsidR="005D6412" w:rsidRPr="00CD2210">
        <w:t>on an ongoing basis to test functionality</w:t>
      </w:r>
      <w:r w:rsidRPr="00CD2210">
        <w:t>.</w:t>
      </w:r>
    </w:p>
    <w:p w14:paraId="33CCF2F8" w14:textId="77777777" w:rsidR="00CA1A37" w:rsidRDefault="00CA1A37" w:rsidP="00CA1A37">
      <w:pPr>
        <w:pStyle w:val="BodyText"/>
        <w:tabs>
          <w:tab w:val="left" w:pos="360"/>
        </w:tabs>
        <w:spacing w:before="0" w:after="0"/>
        <w:ind w:left="270"/>
        <w:jc w:val="left"/>
        <w:rPr>
          <w:b/>
          <w:color w:val="FF0000"/>
        </w:rPr>
      </w:pPr>
    </w:p>
    <w:p w14:paraId="5891E338" w14:textId="77777777" w:rsidR="00CA1A37" w:rsidRPr="00EA0A5B" w:rsidRDefault="00CA1A37" w:rsidP="00CA1A37">
      <w:pPr>
        <w:pStyle w:val="BodyText"/>
        <w:tabs>
          <w:tab w:val="left" w:pos="360"/>
        </w:tabs>
        <w:spacing w:before="0" w:after="0"/>
        <w:ind w:left="270"/>
        <w:jc w:val="left"/>
        <w:rPr>
          <w:b/>
        </w:rPr>
      </w:pPr>
      <w:r w:rsidRPr="00EA0A5B">
        <w:rPr>
          <w:b/>
        </w:rPr>
        <w:t xml:space="preserve">Industry Testing </w:t>
      </w:r>
    </w:p>
    <w:p w14:paraId="6FC6ADFD" w14:textId="77777777" w:rsidR="00CA1A37" w:rsidRPr="00EA0A5B" w:rsidRDefault="00CA1A37" w:rsidP="00CA1A37">
      <w:pPr>
        <w:pStyle w:val="Normal20"/>
        <w:spacing w:before="0" w:beforeAutospacing="0" w:after="0" w:afterAutospacing="0"/>
        <w:ind w:left="270"/>
      </w:pPr>
      <w:r w:rsidRPr="00EA0A5B">
        <w:t>Regulators designate certain firms to participate in industry-wide business continuity/disaster recovery testing. Testing is conducted once a year; firms are notified that they are required to participate. Firms may also participate on a voluntary basis by submitting a request to FINRA.</w:t>
      </w:r>
    </w:p>
    <w:p w14:paraId="340DAA2A" w14:textId="77777777" w:rsidR="00CA1A37" w:rsidRPr="00EA0A5B" w:rsidRDefault="00CA1A37" w:rsidP="00CA1A37">
      <w:pPr>
        <w:pStyle w:val="Normal20"/>
        <w:spacing w:before="0" w:beforeAutospacing="0" w:after="0" w:afterAutospacing="0"/>
        <w:ind w:left="270"/>
      </w:pPr>
      <w:r w:rsidRPr="00EA0A5B">
        <w:t xml:space="preserve">Morris Monroe (or other designated supervisor) is responsible for complying with mandatory testing or designating someone to oversee the testing within the timeframes established by FINRA. Firms are expected to fulfill certain testing requirements which could include, for example, bringing up systems on the designated testing day and processing test scripts to simulate trading activity. Firms may also have to report test results or provide other reports to FINRA.  </w:t>
      </w:r>
      <w:r w:rsidR="00D20EEF">
        <w:t>Any re</w:t>
      </w:r>
      <w:r w:rsidRPr="00EA0A5B">
        <w:t xml:space="preserve">cords of testing </w:t>
      </w:r>
      <w:r w:rsidR="00D20EEF" w:rsidRPr="00EA0A5B">
        <w:t>conducted,</w:t>
      </w:r>
      <w:r w:rsidRPr="00EA0A5B">
        <w:t xml:space="preserve"> and information provided to FINRA will be retained by Compliance. Anomalies identified during testing will be reviewed and corrected and records retained, if applicable.</w:t>
      </w:r>
    </w:p>
    <w:p w14:paraId="0B45CC6D" w14:textId="77777777" w:rsidR="00CA1A37" w:rsidRPr="00CA1A37" w:rsidRDefault="00CA1A37" w:rsidP="00CA1A37">
      <w:pPr>
        <w:pStyle w:val="BodyText"/>
        <w:tabs>
          <w:tab w:val="left" w:pos="360"/>
        </w:tabs>
        <w:spacing w:before="0" w:after="0"/>
        <w:ind w:left="270"/>
        <w:jc w:val="left"/>
        <w:rPr>
          <w:color w:val="FF0000"/>
        </w:rPr>
      </w:pPr>
    </w:p>
    <w:p w14:paraId="0FC029CC" w14:textId="77777777" w:rsidR="000C099C" w:rsidRDefault="00730BE5" w:rsidP="001A7509">
      <w:pPr>
        <w:pStyle w:val="Heading3"/>
      </w:pPr>
      <w:r>
        <w:t>1</w:t>
      </w:r>
      <w:r w:rsidR="00CD2210">
        <w:t>7</w:t>
      </w:r>
      <w:r w:rsidR="001718B2">
        <w:t>.</w:t>
      </w:r>
      <w:r w:rsidR="00FD5F8D">
        <w:t>7</w:t>
      </w:r>
      <w:r w:rsidR="001718B2">
        <w:t>.1</w:t>
      </w:r>
      <w:r w:rsidR="007C256B">
        <w:t>5</w:t>
      </w:r>
      <w:r w:rsidR="001718B2">
        <w:t xml:space="preserve"> </w:t>
      </w:r>
      <w:r w:rsidR="000C099C">
        <w:t>TRAINING</w:t>
      </w:r>
    </w:p>
    <w:p w14:paraId="5A10336D" w14:textId="77777777" w:rsidR="000C099C" w:rsidRDefault="000C099C" w:rsidP="001718B2">
      <w:pPr>
        <w:pStyle w:val="BodyText"/>
        <w:tabs>
          <w:tab w:val="left" w:pos="0"/>
        </w:tabs>
        <w:spacing w:before="0" w:after="0"/>
        <w:ind w:left="274"/>
        <w:jc w:val="left"/>
      </w:pPr>
      <w:r>
        <w:t xml:space="preserve">All key team members will be trained at least annually on reviewing procedures and soliciting input for improvements.  </w:t>
      </w:r>
      <w:r w:rsidR="00AB0BA2">
        <w:t>A</w:t>
      </w:r>
      <w:r>
        <w:t xml:space="preserve">nnual </w:t>
      </w:r>
      <w:r w:rsidRPr="00CD2210">
        <w:t xml:space="preserve">training </w:t>
      </w:r>
      <w:r w:rsidR="00F416AB" w:rsidRPr="00CD2210">
        <w:t xml:space="preserve">is </w:t>
      </w:r>
      <w:r w:rsidRPr="00CD2210">
        <w:t xml:space="preserve">part of the annual compliance meeting and </w:t>
      </w:r>
      <w:r w:rsidR="00AB0BA2" w:rsidRPr="00CD2210">
        <w:t xml:space="preserve">records are </w:t>
      </w:r>
      <w:r w:rsidRPr="00CD2210">
        <w:t>maintained for a period of three</w:t>
      </w:r>
      <w:r>
        <w:t xml:space="preserve"> years.</w:t>
      </w:r>
    </w:p>
    <w:p w14:paraId="3A91BEE7" w14:textId="77777777" w:rsidR="000C099C" w:rsidRDefault="000C099C">
      <w:pPr>
        <w:pStyle w:val="BodyText"/>
        <w:tabs>
          <w:tab w:val="left" w:pos="0"/>
        </w:tabs>
        <w:jc w:val="left"/>
        <w:rPr>
          <w:b/>
          <w:bCs/>
        </w:rPr>
      </w:pPr>
    </w:p>
    <w:p w14:paraId="045589C0" w14:textId="77777777" w:rsidR="000C099C" w:rsidRPr="00B85B1A" w:rsidRDefault="00FD5F8D" w:rsidP="00936FEE">
      <w:pPr>
        <w:pStyle w:val="Heading2"/>
      </w:pPr>
      <w:r w:rsidRPr="00B85B1A">
        <w:t>1</w:t>
      </w:r>
      <w:r w:rsidR="00CD2210">
        <w:t>7</w:t>
      </w:r>
      <w:r w:rsidRPr="00B85B1A">
        <w:t xml:space="preserve">.8   </w:t>
      </w:r>
      <w:r w:rsidR="000C099C" w:rsidRPr="00B85B1A">
        <w:t>R</w:t>
      </w:r>
      <w:r w:rsidRPr="00B85B1A">
        <w:t>eview of Procedures</w:t>
      </w:r>
    </w:p>
    <w:p w14:paraId="60923874" w14:textId="77777777" w:rsidR="000C099C" w:rsidRDefault="000C099C" w:rsidP="00FD5F8D">
      <w:pPr>
        <w:pStyle w:val="BodyText2"/>
        <w:widowControl/>
      </w:pPr>
      <w:r>
        <w:t xml:space="preserve">The business continuity management plans will be approved and reviewed at least annually by Morris Monroe and/or Laura Hendricks on or before 12/31.  Revisions will be made as operations or business environments materially change including operations, structure, business or location or to those of </w:t>
      </w:r>
      <w:r w:rsidR="00C91B43">
        <w:t>the</w:t>
      </w:r>
      <w:r>
        <w:t xml:space="preserve"> clearing firm.  Any changes will be evidenced by the copy date of the </w:t>
      </w:r>
      <w:r w:rsidR="00FC6024" w:rsidRPr="00CD2210">
        <w:t>WSP</w:t>
      </w:r>
      <w:r w:rsidRPr="00CD2210">
        <w:t>.</w:t>
      </w:r>
    </w:p>
    <w:p w14:paraId="648CB2B3" w14:textId="77777777" w:rsidR="000C099C" w:rsidRDefault="000C099C">
      <w:pPr>
        <w:rPr>
          <w:sz w:val="24"/>
        </w:rPr>
      </w:pPr>
    </w:p>
    <w:p w14:paraId="04B060D6" w14:textId="77777777" w:rsidR="000C099C" w:rsidRDefault="000C099C">
      <w:pPr>
        <w:rPr>
          <w:sz w:val="24"/>
        </w:rPr>
      </w:pPr>
    </w:p>
    <w:p w14:paraId="7D7FA31E" w14:textId="77777777" w:rsidR="006E20D9" w:rsidRDefault="006E20D9" w:rsidP="00936FEE">
      <w:pPr>
        <w:pStyle w:val="Heading2"/>
      </w:pPr>
      <w:r>
        <w:lastRenderedPageBreak/>
        <w:t>1</w:t>
      </w:r>
      <w:r w:rsidR="00CD2210">
        <w:t>7</w:t>
      </w:r>
      <w:r>
        <w:t>.9   Approval</w:t>
      </w:r>
    </w:p>
    <w:p w14:paraId="24A1AAA4" w14:textId="77777777" w:rsidR="006E20D9" w:rsidRPr="006E20D9" w:rsidRDefault="006E20D9" w:rsidP="006E20D9"/>
    <w:p w14:paraId="691C090D" w14:textId="77777777" w:rsidR="000C099C" w:rsidRDefault="000C099C">
      <w:pPr>
        <w:rPr>
          <w:sz w:val="24"/>
        </w:rPr>
      </w:pPr>
      <w:r>
        <w:rPr>
          <w:sz w:val="24"/>
        </w:rPr>
        <w:t xml:space="preserve">THESE PROCEDURES HAVE BEEN REVIEWED AND APPROVED BY </w:t>
      </w:r>
      <w:r>
        <w:rPr>
          <w:sz w:val="24"/>
          <w:u w:val="single"/>
        </w:rPr>
        <w:t>MORRIS</w:t>
      </w:r>
      <w:r>
        <w:rPr>
          <w:sz w:val="24"/>
        </w:rPr>
        <w:t xml:space="preserve"> </w:t>
      </w:r>
      <w:r>
        <w:rPr>
          <w:sz w:val="24"/>
          <w:u w:val="single"/>
        </w:rPr>
        <w:t>MONROE</w:t>
      </w:r>
      <w:r>
        <w:rPr>
          <w:sz w:val="24"/>
        </w:rPr>
        <w:t xml:space="preserve">, PRESIDENT, </w:t>
      </w:r>
      <w:r w:rsidR="008A5966">
        <w:rPr>
          <w:sz w:val="24"/>
        </w:rPr>
        <w:t>AND GENERAL</w:t>
      </w:r>
      <w:r>
        <w:rPr>
          <w:sz w:val="24"/>
        </w:rPr>
        <w:t xml:space="preserve"> PRINCIPAL.</w:t>
      </w:r>
    </w:p>
    <w:p w14:paraId="73942FC1" w14:textId="77777777" w:rsidR="000C099C" w:rsidRDefault="00CC1D9E">
      <w:pPr>
        <w:rPr>
          <w:sz w:val="24"/>
          <w:u w:val="single"/>
        </w:rPr>
      </w:pPr>
      <w:r>
        <w:rPr>
          <w:noProof/>
        </w:rPr>
        <w:drawing>
          <wp:anchor distT="0" distB="0" distL="114300" distR="114300" simplePos="0" relativeHeight="251655680" behindDoc="1" locked="0" layoutInCell="1" allowOverlap="1" wp14:anchorId="7DC50606" wp14:editId="0A850E51">
            <wp:simplePos x="0" y="0"/>
            <wp:positionH relativeFrom="column">
              <wp:posOffset>0</wp:posOffset>
            </wp:positionH>
            <wp:positionV relativeFrom="paragraph">
              <wp:posOffset>70485</wp:posOffset>
            </wp:positionV>
            <wp:extent cx="1569720" cy="495300"/>
            <wp:effectExtent l="0" t="0" r="0" b="0"/>
            <wp:wrapNone/>
            <wp:docPr id="44" name="Picture 44" descr="M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LM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69720" cy="495300"/>
                    </a:xfrm>
                    <a:prstGeom prst="rect">
                      <a:avLst/>
                    </a:prstGeom>
                    <a:noFill/>
                  </pic:spPr>
                </pic:pic>
              </a:graphicData>
            </a:graphic>
            <wp14:sizeRelH relativeFrom="page">
              <wp14:pctWidth>0</wp14:pctWidth>
            </wp14:sizeRelH>
            <wp14:sizeRelV relativeFrom="page">
              <wp14:pctHeight>0</wp14:pctHeight>
            </wp14:sizeRelV>
          </wp:anchor>
        </w:drawing>
      </w:r>
    </w:p>
    <w:p w14:paraId="16F8FEDE" w14:textId="2B3D0172" w:rsidR="004B79AF" w:rsidRDefault="000C099C">
      <w:pPr>
        <w:rPr>
          <w:sz w:val="24"/>
        </w:rPr>
      </w:pPr>
      <w:r>
        <w:t xml:space="preserve">                                                                                   </w:t>
      </w:r>
      <w:r w:rsidR="00E23C2A">
        <w:t xml:space="preserve">                                     </w:t>
      </w:r>
      <w:r>
        <w:t xml:space="preserve">   </w:t>
      </w:r>
      <w:r>
        <w:rPr>
          <w:sz w:val="24"/>
        </w:rPr>
        <w:t>__</w:t>
      </w:r>
      <w:r w:rsidR="00CC1D9E">
        <w:rPr>
          <w:sz w:val="24"/>
        </w:rPr>
        <w:t>_____________________________</w:t>
      </w:r>
      <w:r>
        <w:rPr>
          <w:sz w:val="24"/>
        </w:rPr>
        <w:t>_</w:t>
      </w:r>
      <w:r w:rsidR="00CC1D9E">
        <w:rPr>
          <w:sz w:val="24"/>
        </w:rPr>
        <w:t xml:space="preserve">                                       </w:t>
      </w:r>
      <w:r w:rsidR="005556C3">
        <w:rPr>
          <w:sz w:val="24"/>
          <w:u w:val="single"/>
        </w:rPr>
        <w:t>__</w:t>
      </w:r>
      <w:r w:rsidR="002250D0">
        <w:rPr>
          <w:sz w:val="24"/>
          <w:u w:val="single"/>
        </w:rPr>
        <w:t>12/21/2</w:t>
      </w:r>
      <w:r w:rsidR="00802F70">
        <w:rPr>
          <w:sz w:val="24"/>
          <w:u w:val="single"/>
        </w:rPr>
        <w:t>2</w:t>
      </w:r>
      <w:r w:rsidR="005556C3">
        <w:rPr>
          <w:sz w:val="24"/>
          <w:u w:val="single"/>
        </w:rPr>
        <w:t>__</w:t>
      </w:r>
    </w:p>
    <w:p w14:paraId="695658F2" w14:textId="77777777" w:rsidR="000C099C" w:rsidRDefault="000C099C" w:rsidP="000D7B54">
      <w:pPr>
        <w:pStyle w:val="Heading3"/>
        <w:ind w:left="0"/>
      </w:pPr>
      <w:r w:rsidRPr="000D7B54">
        <w:rPr>
          <w:b w:val="0"/>
        </w:rPr>
        <w:t>Signature</w:t>
      </w:r>
      <w:r>
        <w:t xml:space="preserve">                                                                                            </w:t>
      </w:r>
      <w:r w:rsidRPr="000D7B54">
        <w:rPr>
          <w:b w:val="0"/>
        </w:rPr>
        <w:t>Date</w:t>
      </w:r>
    </w:p>
    <w:p w14:paraId="309F3500" w14:textId="77777777" w:rsidR="000C099C" w:rsidRDefault="000C099C">
      <w:pPr>
        <w:rPr>
          <w:sz w:val="24"/>
        </w:rPr>
      </w:pPr>
    </w:p>
    <w:p w14:paraId="66C108DB" w14:textId="77777777" w:rsidR="000C099C" w:rsidRDefault="000C099C">
      <w:pPr>
        <w:rPr>
          <w:sz w:val="24"/>
        </w:rPr>
      </w:pPr>
    </w:p>
    <w:bookmarkEnd w:id="318"/>
    <w:p w14:paraId="167D9AD2" w14:textId="77777777" w:rsidR="000C099C" w:rsidRDefault="000C099C" w:rsidP="00936FEE">
      <w:pPr>
        <w:pStyle w:val="Heading2"/>
      </w:pPr>
    </w:p>
    <w:p w14:paraId="6BA914EC" w14:textId="77777777" w:rsidR="00DA7FBB" w:rsidRDefault="00DA7FBB" w:rsidP="005753F5">
      <w:pPr>
        <w:rPr>
          <w:sz w:val="24"/>
        </w:rPr>
      </w:pPr>
    </w:p>
    <w:p w14:paraId="50948922" w14:textId="77777777" w:rsidR="00DA7FBB" w:rsidRDefault="00DA7FBB" w:rsidP="005753F5">
      <w:pPr>
        <w:rPr>
          <w:sz w:val="24"/>
        </w:rPr>
      </w:pPr>
      <w:r>
        <w:rPr>
          <w:sz w:val="24"/>
        </w:rPr>
        <w:br w:type="page"/>
      </w:r>
    </w:p>
    <w:p w14:paraId="6D5DD0AA" w14:textId="77777777" w:rsidR="00DA7FBB" w:rsidRDefault="00DA7FBB" w:rsidP="005753F5">
      <w:pPr>
        <w:rPr>
          <w:sz w:val="24"/>
        </w:rPr>
      </w:pPr>
    </w:p>
    <w:p w14:paraId="431AF881" w14:textId="77777777" w:rsidR="000C099C" w:rsidRDefault="000C099C">
      <w:pPr>
        <w:jc w:val="center"/>
        <w:rPr>
          <w:b/>
          <w:bCs/>
          <w:sz w:val="24"/>
        </w:rPr>
      </w:pPr>
      <w:r>
        <w:rPr>
          <w:b/>
          <w:bCs/>
          <w:sz w:val="24"/>
        </w:rPr>
        <w:t>WOODLANDS SECURITIES CORPORATION</w:t>
      </w:r>
    </w:p>
    <w:p w14:paraId="7CBC3252" w14:textId="77777777" w:rsidR="000C099C" w:rsidRPr="00B825F2" w:rsidRDefault="000C099C" w:rsidP="00B825F2">
      <w:pPr>
        <w:jc w:val="center"/>
        <w:rPr>
          <w:b/>
          <w:sz w:val="24"/>
          <w:szCs w:val="24"/>
        </w:rPr>
      </w:pPr>
      <w:r w:rsidRPr="00B825F2">
        <w:rPr>
          <w:b/>
          <w:sz w:val="24"/>
          <w:szCs w:val="24"/>
        </w:rPr>
        <w:t>SUPERVISORY PROCEDURE MEMORANDUM</w:t>
      </w:r>
    </w:p>
    <w:p w14:paraId="5AE35C3D" w14:textId="77777777" w:rsidR="000C099C" w:rsidRDefault="000C099C">
      <w:pPr>
        <w:jc w:val="center"/>
        <w:rPr>
          <w:b/>
          <w:bCs/>
          <w:sz w:val="24"/>
        </w:rPr>
      </w:pPr>
    </w:p>
    <w:p w14:paraId="5F567217" w14:textId="77777777" w:rsidR="000C099C" w:rsidRDefault="000C099C">
      <w:pPr>
        <w:jc w:val="center"/>
        <w:rPr>
          <w:b/>
          <w:bCs/>
          <w:sz w:val="24"/>
        </w:rPr>
      </w:pPr>
    </w:p>
    <w:p w14:paraId="1263C5B5" w14:textId="77777777" w:rsidR="000E3A38" w:rsidRDefault="000E3A38" w:rsidP="000E3A38">
      <w:pPr>
        <w:jc w:val="both"/>
        <w:rPr>
          <w:b/>
          <w:sz w:val="24"/>
          <w:u w:val="double"/>
        </w:rPr>
      </w:pP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r>
        <w:rPr>
          <w:b/>
          <w:sz w:val="24"/>
          <w:u w:val="double"/>
        </w:rPr>
        <w:tab/>
      </w:r>
    </w:p>
    <w:p w14:paraId="18A47311" w14:textId="77777777" w:rsidR="000C099C" w:rsidRDefault="000C099C">
      <w:pPr>
        <w:jc w:val="center"/>
        <w:rPr>
          <w:b/>
          <w:sz w:val="24"/>
        </w:rPr>
      </w:pPr>
    </w:p>
    <w:p w14:paraId="77DF237F" w14:textId="77777777" w:rsidR="000C099C" w:rsidRDefault="000C099C">
      <w:pPr>
        <w:jc w:val="center"/>
        <w:rPr>
          <w:b/>
          <w:sz w:val="24"/>
        </w:rPr>
      </w:pPr>
    </w:p>
    <w:p w14:paraId="4661B48D" w14:textId="7C3CB362" w:rsidR="000C099C" w:rsidRDefault="000C099C" w:rsidP="00F4126B">
      <w:pPr>
        <w:pStyle w:val="Heading1"/>
        <w:jc w:val="center"/>
      </w:pPr>
      <w:bookmarkStart w:id="331" w:name="_Toc251405849"/>
      <w:bookmarkStart w:id="332" w:name="_Toc535916183"/>
      <w:r>
        <w:t>ACKNOWLEDG</w:t>
      </w:r>
      <w:r w:rsidR="00EF0747">
        <w:t>E</w:t>
      </w:r>
      <w:r>
        <w:t>MENT</w:t>
      </w:r>
      <w:bookmarkEnd w:id="331"/>
      <w:bookmarkEnd w:id="332"/>
    </w:p>
    <w:p w14:paraId="2D5850FA" w14:textId="77777777" w:rsidR="000C099C" w:rsidRDefault="000C099C">
      <w:pPr>
        <w:jc w:val="both"/>
        <w:rPr>
          <w:sz w:val="24"/>
        </w:rPr>
      </w:pPr>
    </w:p>
    <w:p w14:paraId="302752CD" w14:textId="77777777" w:rsidR="000C099C" w:rsidRPr="00463783" w:rsidRDefault="000C099C">
      <w:pPr>
        <w:jc w:val="both"/>
        <w:rPr>
          <w:sz w:val="24"/>
        </w:rPr>
      </w:pPr>
      <w:r>
        <w:rPr>
          <w:sz w:val="24"/>
        </w:rPr>
        <w:t>I, the undersigned have read and understand the foregoing supervisory policies and procedures of the Company and do hereby agree to comply in all respects with such procedures</w:t>
      </w:r>
      <w:r w:rsidR="00E039BB">
        <w:rPr>
          <w:sz w:val="24"/>
        </w:rPr>
        <w:t xml:space="preserve"> </w:t>
      </w:r>
      <w:r w:rsidR="00E039BB" w:rsidRPr="00463783">
        <w:rPr>
          <w:sz w:val="24"/>
        </w:rPr>
        <w:t xml:space="preserve">including </w:t>
      </w:r>
      <w:r w:rsidR="001C53CA" w:rsidRPr="00A34589">
        <w:rPr>
          <w:b/>
          <w:sz w:val="24"/>
        </w:rPr>
        <w:t xml:space="preserve">Anti-Money Laundering, </w:t>
      </w:r>
      <w:r w:rsidR="003B2427" w:rsidRPr="00A34589">
        <w:rPr>
          <w:b/>
          <w:sz w:val="24"/>
        </w:rPr>
        <w:t>Privacy p</w:t>
      </w:r>
      <w:r w:rsidR="00E039BB" w:rsidRPr="00A34589">
        <w:rPr>
          <w:b/>
          <w:sz w:val="24"/>
        </w:rPr>
        <w:t>olicies</w:t>
      </w:r>
      <w:r w:rsidR="00CB25E8">
        <w:rPr>
          <w:sz w:val="24"/>
        </w:rPr>
        <w:t xml:space="preserve">, </w:t>
      </w:r>
      <w:r w:rsidR="00E039BB" w:rsidRPr="00463783">
        <w:rPr>
          <w:sz w:val="24"/>
        </w:rPr>
        <w:t>protection of customer information</w:t>
      </w:r>
      <w:r w:rsidR="00CB25E8">
        <w:rPr>
          <w:sz w:val="24"/>
        </w:rPr>
        <w:t xml:space="preserve">, and the </w:t>
      </w:r>
      <w:r w:rsidR="00CB25E8" w:rsidRPr="00A34589">
        <w:rPr>
          <w:b/>
          <w:sz w:val="24"/>
        </w:rPr>
        <w:t>Prohibited Acts</w:t>
      </w:r>
      <w:r w:rsidR="00CB25E8">
        <w:rPr>
          <w:sz w:val="24"/>
        </w:rPr>
        <w:t xml:space="preserve"> in Section 4.31</w:t>
      </w:r>
      <w:r w:rsidRPr="00463783">
        <w:rPr>
          <w:sz w:val="24"/>
        </w:rPr>
        <w:t>.</w:t>
      </w:r>
    </w:p>
    <w:p w14:paraId="6FA03CFD" w14:textId="77777777" w:rsidR="000C099C" w:rsidRDefault="000C099C">
      <w:pPr>
        <w:jc w:val="both"/>
        <w:rPr>
          <w:sz w:val="24"/>
        </w:rPr>
      </w:pPr>
    </w:p>
    <w:p w14:paraId="7150B0CA" w14:textId="77777777" w:rsidR="00CB25E8" w:rsidRDefault="00CB25E8" w:rsidP="00936FEE">
      <w:pPr>
        <w:pStyle w:val="Heading2"/>
      </w:pPr>
      <w:r>
        <w:t>INSIDER AND CHINESE WALL PROCEDURES</w:t>
      </w:r>
    </w:p>
    <w:p w14:paraId="3F9B3164" w14:textId="77777777" w:rsidR="00CB25E8" w:rsidRPr="001C53CA" w:rsidRDefault="00CB25E8" w:rsidP="00CB25E8">
      <w:pPr>
        <w:jc w:val="both"/>
        <w:rPr>
          <w:sz w:val="24"/>
        </w:rPr>
      </w:pPr>
      <w:r w:rsidRPr="001C53CA">
        <w:rPr>
          <w:sz w:val="24"/>
        </w:rPr>
        <w:t>I, the undersigned have read and understand the foregoing procedures regarding insider trading and Chinese wall p</w:t>
      </w:r>
      <w:r w:rsidR="001C53CA">
        <w:rPr>
          <w:sz w:val="24"/>
        </w:rPr>
        <w:t>rocedures, responsibilities of Associated P</w:t>
      </w:r>
      <w:r w:rsidRPr="001C53CA">
        <w:rPr>
          <w:sz w:val="24"/>
        </w:rPr>
        <w:t>ersons and or designated principals, and I hereby agree to comply in all respects with such procedures. I also understand that any questions rega</w:t>
      </w:r>
      <w:r w:rsidR="001C53CA">
        <w:rPr>
          <w:sz w:val="24"/>
        </w:rPr>
        <w:t>rding insider trading, Chinese W</w:t>
      </w:r>
      <w:r w:rsidRPr="001C53CA">
        <w:rPr>
          <w:sz w:val="24"/>
        </w:rPr>
        <w:t>all proc</w:t>
      </w:r>
      <w:r w:rsidR="001C53CA">
        <w:rPr>
          <w:sz w:val="24"/>
        </w:rPr>
        <w:t>edures and responsibilities of A</w:t>
      </w:r>
      <w:r w:rsidRPr="001C53CA">
        <w:rPr>
          <w:sz w:val="24"/>
        </w:rPr>
        <w:t xml:space="preserve">ssociated </w:t>
      </w:r>
      <w:r w:rsidR="001C53CA">
        <w:rPr>
          <w:sz w:val="24"/>
        </w:rPr>
        <w:t>P</w:t>
      </w:r>
      <w:r w:rsidRPr="001C53CA">
        <w:rPr>
          <w:sz w:val="24"/>
        </w:rPr>
        <w:t>ersons and or designated principals should be directed to Morris Monroe.</w:t>
      </w:r>
    </w:p>
    <w:p w14:paraId="3FC2947B" w14:textId="77777777" w:rsidR="000C099C" w:rsidRDefault="000C099C">
      <w:pPr>
        <w:jc w:val="both"/>
        <w:rPr>
          <w:sz w:val="24"/>
        </w:rPr>
      </w:pPr>
    </w:p>
    <w:p w14:paraId="26C713A5" w14:textId="77777777" w:rsidR="00CB25E8" w:rsidRDefault="00CB25E8">
      <w:pPr>
        <w:jc w:val="both"/>
        <w:rPr>
          <w:sz w:val="24"/>
        </w:rPr>
      </w:pPr>
    </w:p>
    <w:p w14:paraId="3E495611" w14:textId="77777777" w:rsidR="000C099C" w:rsidRPr="00B94C5C" w:rsidRDefault="00B94C5C">
      <w:pPr>
        <w:jc w:val="both"/>
        <w:rPr>
          <w:sz w:val="24"/>
        </w:rPr>
      </w:pPr>
      <w:r w:rsidRPr="00B94C5C">
        <w:rPr>
          <w:sz w:val="24"/>
        </w:rPr>
        <w:t>_________________________________________________________________________</w:t>
      </w:r>
    </w:p>
    <w:p w14:paraId="1E779BB3" w14:textId="77777777" w:rsidR="000C099C" w:rsidRDefault="000C099C">
      <w:pPr>
        <w:jc w:val="both"/>
        <w:rPr>
          <w:sz w:val="24"/>
        </w:rPr>
      </w:pPr>
      <w:r>
        <w:rPr>
          <w:sz w:val="24"/>
        </w:rPr>
        <w:t>Signature                                                                                           Date</w:t>
      </w:r>
    </w:p>
    <w:p w14:paraId="6D9CED7A" w14:textId="77777777" w:rsidR="000C099C" w:rsidRDefault="000C099C">
      <w:pPr>
        <w:jc w:val="both"/>
        <w:rPr>
          <w:sz w:val="24"/>
        </w:rPr>
      </w:pPr>
    </w:p>
    <w:p w14:paraId="384F5E27" w14:textId="77777777" w:rsidR="000C099C" w:rsidRDefault="000C099C">
      <w:pPr>
        <w:jc w:val="both"/>
        <w:rPr>
          <w:sz w:val="24"/>
          <w:u w:val="single"/>
        </w:rPr>
      </w:pPr>
      <w:r>
        <w:rPr>
          <w:sz w:val="24"/>
        </w:rPr>
        <w:t>Name</w:t>
      </w:r>
      <w:r w:rsidR="000E3A38">
        <w:rPr>
          <w:sz w:val="24"/>
        </w:rPr>
        <w:t xml:space="preserve"> </w:t>
      </w:r>
      <w:r w:rsidR="00B94C5C">
        <w:rPr>
          <w:sz w:val="24"/>
        </w:rPr>
        <w:t>_____________________________________</w:t>
      </w:r>
    </w:p>
    <w:p w14:paraId="57DBC952" w14:textId="77777777" w:rsidR="000C099C" w:rsidRDefault="000C099C">
      <w:pPr>
        <w:jc w:val="both"/>
        <w:rPr>
          <w:sz w:val="24"/>
        </w:rPr>
      </w:pPr>
    </w:p>
    <w:p w14:paraId="25C72FC0" w14:textId="77777777" w:rsidR="000C099C" w:rsidRDefault="000C099C">
      <w:pPr>
        <w:jc w:val="both"/>
        <w:rPr>
          <w:sz w:val="24"/>
        </w:rPr>
      </w:pPr>
    </w:p>
    <w:p w14:paraId="0B952D33" w14:textId="77777777" w:rsidR="000C099C" w:rsidRDefault="000C099C">
      <w:pPr>
        <w:jc w:val="both"/>
        <w:rPr>
          <w:b/>
          <w:sz w:val="24"/>
          <w:u w:val="double"/>
        </w:rPr>
      </w:pPr>
    </w:p>
    <w:p w14:paraId="74F3A250" w14:textId="77777777" w:rsidR="00C368E1" w:rsidRDefault="00C368E1">
      <w:pPr>
        <w:jc w:val="both"/>
        <w:rPr>
          <w:b/>
          <w:sz w:val="24"/>
          <w:u w:val="double"/>
        </w:rPr>
      </w:pPr>
    </w:p>
    <w:p w14:paraId="41A6DE62" w14:textId="77777777" w:rsidR="00C368E1" w:rsidRDefault="00C368E1" w:rsidP="00C368E1">
      <w:pPr>
        <w:jc w:val="both"/>
        <w:rPr>
          <w:b/>
          <w:sz w:val="24"/>
          <w:u w:val="double"/>
        </w:rPr>
      </w:pPr>
      <w:r>
        <w:rPr>
          <w:b/>
          <w:sz w:val="24"/>
          <w:u w:val="double"/>
        </w:rPr>
        <w:br w:type="page"/>
      </w:r>
    </w:p>
    <w:p w14:paraId="39AE313D" w14:textId="77777777" w:rsidR="00C368E1" w:rsidRDefault="00C368E1" w:rsidP="00C368E1">
      <w:pPr>
        <w:jc w:val="center"/>
        <w:rPr>
          <w:b/>
          <w:sz w:val="24"/>
        </w:rPr>
      </w:pPr>
    </w:p>
    <w:p w14:paraId="6AA3D09E" w14:textId="77777777" w:rsidR="00C368E1" w:rsidRDefault="00C368E1" w:rsidP="00C368E1">
      <w:pPr>
        <w:jc w:val="center"/>
        <w:rPr>
          <w:b/>
          <w:sz w:val="24"/>
        </w:rPr>
      </w:pPr>
    </w:p>
    <w:p w14:paraId="298726F9" w14:textId="77777777" w:rsidR="00FC584E" w:rsidRDefault="00FC584E" w:rsidP="00FC584E"/>
    <w:p w14:paraId="40EEF5AD" w14:textId="77777777" w:rsidR="00FC584E" w:rsidRPr="00B778E1" w:rsidRDefault="00FC584E" w:rsidP="00936FEE">
      <w:pPr>
        <w:pStyle w:val="Heading2"/>
      </w:pPr>
      <w:r>
        <w:t>MSRB Rule G-37: St</w:t>
      </w:r>
      <w:r w:rsidR="009A7E67">
        <w:t>atement</w:t>
      </w:r>
      <w:r>
        <w:t xml:space="preserve"> of Representations</w:t>
      </w:r>
    </w:p>
    <w:p w14:paraId="2A53B1CF" w14:textId="77777777" w:rsidR="00FC584E" w:rsidRDefault="00FC584E" w:rsidP="00FC584E">
      <w:pPr>
        <w:tabs>
          <w:tab w:val="left" w:pos="576"/>
          <w:tab w:val="left" w:pos="720"/>
          <w:tab w:val="left" w:pos="2592"/>
          <w:tab w:val="left" w:pos="7200"/>
        </w:tabs>
        <w:jc w:val="both"/>
        <w:rPr>
          <w:sz w:val="24"/>
        </w:rPr>
      </w:pPr>
    </w:p>
    <w:p w14:paraId="67D9225F" w14:textId="77777777" w:rsidR="00FC584E" w:rsidRDefault="00FC584E" w:rsidP="00FC584E">
      <w:pPr>
        <w:tabs>
          <w:tab w:val="left" w:pos="576"/>
          <w:tab w:val="left" w:pos="720"/>
          <w:tab w:val="left" w:pos="2592"/>
          <w:tab w:val="left" w:pos="7200"/>
        </w:tabs>
        <w:jc w:val="both"/>
        <w:rPr>
          <w:sz w:val="24"/>
        </w:rPr>
      </w:pPr>
    </w:p>
    <w:p w14:paraId="10087DFE" w14:textId="77777777" w:rsidR="00FC584E" w:rsidRDefault="00FC584E" w:rsidP="00FC584E">
      <w:pPr>
        <w:keepLines/>
        <w:pBdr>
          <w:top w:val="double" w:sz="12" w:space="0" w:color="000000" w:shadow="1"/>
          <w:left w:val="double" w:sz="12" w:space="0" w:color="000000" w:shadow="1"/>
          <w:bottom w:val="double" w:sz="12" w:space="0" w:color="000000" w:shadow="1"/>
          <w:right w:val="double" w:sz="12" w:space="0" w:color="000000" w:shadow="1"/>
        </w:pBdr>
        <w:shd w:val="pct10" w:color="auto" w:fill="auto"/>
        <w:tabs>
          <w:tab w:val="left" w:pos="576"/>
          <w:tab w:val="left" w:pos="720"/>
          <w:tab w:val="left" w:pos="2592"/>
          <w:tab w:val="left" w:pos="7200"/>
        </w:tabs>
        <w:jc w:val="center"/>
        <w:rPr>
          <w:sz w:val="28"/>
        </w:rPr>
      </w:pPr>
    </w:p>
    <w:p w14:paraId="30D626D5" w14:textId="77777777" w:rsidR="00FC584E" w:rsidRDefault="00FC584E" w:rsidP="00FC584E">
      <w:pPr>
        <w:keepLines/>
        <w:pBdr>
          <w:top w:val="double" w:sz="12" w:space="0" w:color="000000" w:shadow="1"/>
          <w:left w:val="double" w:sz="12" w:space="0" w:color="000000" w:shadow="1"/>
          <w:bottom w:val="double" w:sz="12" w:space="0" w:color="000000" w:shadow="1"/>
          <w:right w:val="double" w:sz="12" w:space="0" w:color="000000" w:shadow="1"/>
        </w:pBdr>
        <w:shd w:val="pct10" w:color="auto" w:fill="auto"/>
        <w:tabs>
          <w:tab w:val="left" w:pos="576"/>
          <w:tab w:val="left" w:pos="720"/>
          <w:tab w:val="left" w:pos="2592"/>
          <w:tab w:val="left" w:pos="7200"/>
        </w:tabs>
        <w:jc w:val="center"/>
        <w:rPr>
          <w:b/>
          <w:sz w:val="28"/>
        </w:rPr>
      </w:pPr>
      <w:r>
        <w:rPr>
          <w:b/>
          <w:sz w:val="28"/>
        </w:rPr>
        <w:t>Statement of Representations Pursuant to MSRB Rule G-37</w:t>
      </w:r>
    </w:p>
    <w:p w14:paraId="229C7DA4" w14:textId="77777777" w:rsidR="00FC584E" w:rsidRDefault="00FC584E" w:rsidP="00FC584E">
      <w:pPr>
        <w:keepLines/>
        <w:pBdr>
          <w:top w:val="double" w:sz="12" w:space="0" w:color="000000" w:shadow="1"/>
          <w:left w:val="double" w:sz="12" w:space="0" w:color="000000" w:shadow="1"/>
          <w:bottom w:val="double" w:sz="12" w:space="0" w:color="000000" w:shadow="1"/>
          <w:right w:val="double" w:sz="12" w:space="0" w:color="000000" w:shadow="1"/>
        </w:pBdr>
        <w:shd w:val="pct10" w:color="auto" w:fill="auto"/>
        <w:tabs>
          <w:tab w:val="left" w:pos="576"/>
          <w:tab w:val="left" w:pos="720"/>
          <w:tab w:val="left" w:pos="2592"/>
          <w:tab w:val="left" w:pos="7200"/>
        </w:tabs>
        <w:jc w:val="center"/>
        <w:rPr>
          <w:sz w:val="28"/>
        </w:rPr>
      </w:pPr>
    </w:p>
    <w:p w14:paraId="688CC242" w14:textId="77777777" w:rsidR="00FC584E" w:rsidRDefault="00FC584E" w:rsidP="00FC584E">
      <w:pPr>
        <w:keepLines/>
        <w:pBdr>
          <w:top w:val="double" w:sz="12" w:space="0" w:color="000000" w:shadow="1"/>
          <w:left w:val="double" w:sz="12" w:space="0" w:color="000000" w:shadow="1"/>
          <w:bottom w:val="double" w:sz="12" w:space="0" w:color="000000" w:shadow="1"/>
          <w:right w:val="double" w:sz="12" w:space="0" w:color="000000" w:shadow="1"/>
        </w:pBdr>
        <w:shd w:val="pct10" w:color="auto" w:fill="auto"/>
        <w:tabs>
          <w:tab w:val="left" w:pos="576"/>
          <w:tab w:val="left" w:pos="720"/>
          <w:tab w:val="left" w:pos="2592"/>
          <w:tab w:val="left" w:pos="7200"/>
        </w:tabs>
        <w:jc w:val="both"/>
        <w:rPr>
          <w:sz w:val="24"/>
        </w:rPr>
      </w:pPr>
    </w:p>
    <w:p w14:paraId="7B055B54" w14:textId="77777777" w:rsidR="00FC584E" w:rsidRDefault="00FC584E" w:rsidP="00FC584E">
      <w:pPr>
        <w:keepLines/>
        <w:pBdr>
          <w:top w:val="double" w:sz="12" w:space="0" w:color="000000" w:shadow="1"/>
          <w:left w:val="double" w:sz="12" w:space="0" w:color="000000" w:shadow="1"/>
          <w:bottom w:val="double" w:sz="12" w:space="0" w:color="000000" w:shadow="1"/>
          <w:right w:val="double" w:sz="12" w:space="0" w:color="000000" w:shadow="1"/>
        </w:pBdr>
        <w:shd w:val="pct10" w:color="auto" w:fill="auto"/>
        <w:tabs>
          <w:tab w:val="left" w:pos="576"/>
          <w:tab w:val="left" w:pos="720"/>
          <w:tab w:val="left" w:pos="2592"/>
          <w:tab w:val="left" w:pos="7200"/>
        </w:tabs>
        <w:jc w:val="both"/>
        <w:rPr>
          <w:sz w:val="24"/>
        </w:rPr>
      </w:pPr>
      <w:r>
        <w:rPr>
          <w:sz w:val="24"/>
        </w:rPr>
        <w:t xml:space="preserve">In accordance with the requirements of MSRB Rule G-37 and G-8, I hereby acknowledge and represent that, to the best of my knowledge, I have not made any political contribution to any </w:t>
      </w:r>
      <w:r w:rsidR="003B3AA7" w:rsidRPr="005A1BB3">
        <w:rPr>
          <w:sz w:val="24"/>
        </w:rPr>
        <w:t>bond ballot campaign</w:t>
      </w:r>
      <w:r w:rsidR="003B3AA7">
        <w:rPr>
          <w:sz w:val="24"/>
        </w:rPr>
        <w:t xml:space="preserve">, </w:t>
      </w:r>
      <w:r>
        <w:rPr>
          <w:sz w:val="24"/>
        </w:rPr>
        <w:t xml:space="preserve">political action committee or any official of a municipal issuer, Municipal Finance Professional (MFP), non-MFP executive officers, consultants or dealer-controlled or MFP-controlled political action committee(s) which would be in violation of the provisions of MSRB Rule G-37, or which would not otherwise comply with the </w:t>
      </w:r>
      <w:r w:rsidR="007A1667">
        <w:rPr>
          <w:sz w:val="24"/>
        </w:rPr>
        <w:t>de</w:t>
      </w:r>
      <w:r w:rsidR="009A7E67">
        <w:rPr>
          <w:sz w:val="24"/>
        </w:rPr>
        <w:t xml:space="preserve"> </w:t>
      </w:r>
      <w:r w:rsidR="007A1667">
        <w:rPr>
          <w:sz w:val="24"/>
        </w:rPr>
        <w:t>minimus</w:t>
      </w:r>
      <w:r>
        <w:rPr>
          <w:sz w:val="24"/>
        </w:rPr>
        <w:t xml:space="preserve"> exemption provided under MSRB Rule G-37. It is my understanding that the </w:t>
      </w:r>
      <w:r w:rsidR="007A1667">
        <w:rPr>
          <w:sz w:val="24"/>
        </w:rPr>
        <w:t>de</w:t>
      </w:r>
      <w:r w:rsidR="009A7E67">
        <w:rPr>
          <w:sz w:val="24"/>
        </w:rPr>
        <w:t xml:space="preserve"> </w:t>
      </w:r>
      <w:r w:rsidR="007A1667">
        <w:rPr>
          <w:sz w:val="24"/>
        </w:rPr>
        <w:t>minimus</w:t>
      </w:r>
      <w:r>
        <w:rPr>
          <w:sz w:val="24"/>
        </w:rPr>
        <w:t xml:space="preserve"> exemption provides that the provisions of Rule G-37 do not apply to contributions made to officials of issuers which are made by municipal finance professionals entitled to vote for such officials, and provided that such contributions, in total, are not in excess of $250.00 per election (primaries and general elections are treated as separate elections for purposes of this exemption, in accordance with MSRB G-37).</w:t>
      </w:r>
    </w:p>
    <w:p w14:paraId="178DA14D" w14:textId="77777777" w:rsidR="00FC584E" w:rsidRDefault="00FC584E" w:rsidP="00FC584E">
      <w:pPr>
        <w:keepLines/>
        <w:pBdr>
          <w:top w:val="double" w:sz="12" w:space="0" w:color="000000" w:shadow="1"/>
          <w:left w:val="double" w:sz="12" w:space="0" w:color="000000" w:shadow="1"/>
          <w:bottom w:val="double" w:sz="12" w:space="0" w:color="000000" w:shadow="1"/>
          <w:right w:val="double" w:sz="12" w:space="0" w:color="000000" w:shadow="1"/>
        </w:pBdr>
        <w:shd w:val="pct10" w:color="auto" w:fill="auto"/>
        <w:tabs>
          <w:tab w:val="left" w:pos="576"/>
          <w:tab w:val="left" w:pos="720"/>
          <w:tab w:val="left" w:pos="2592"/>
          <w:tab w:val="left" w:pos="7200"/>
        </w:tabs>
        <w:jc w:val="both"/>
        <w:rPr>
          <w:sz w:val="24"/>
        </w:rPr>
      </w:pPr>
    </w:p>
    <w:p w14:paraId="2F71BD26" w14:textId="77777777" w:rsidR="00FC584E" w:rsidRDefault="00FC584E" w:rsidP="00FC584E">
      <w:pPr>
        <w:keepLines/>
        <w:pBdr>
          <w:top w:val="double" w:sz="12" w:space="0" w:color="000000" w:shadow="1"/>
          <w:left w:val="double" w:sz="12" w:space="0" w:color="000000" w:shadow="1"/>
          <w:bottom w:val="double" w:sz="12" w:space="0" w:color="000000" w:shadow="1"/>
          <w:right w:val="double" w:sz="12" w:space="0" w:color="000000" w:shadow="1"/>
        </w:pBdr>
        <w:shd w:val="pct10" w:color="auto" w:fill="auto"/>
        <w:tabs>
          <w:tab w:val="left" w:pos="576"/>
          <w:tab w:val="left" w:pos="720"/>
          <w:tab w:val="left" w:pos="2592"/>
          <w:tab w:val="left" w:pos="7200"/>
        </w:tabs>
        <w:rPr>
          <w:sz w:val="24"/>
        </w:rPr>
      </w:pPr>
      <w:r>
        <w:rPr>
          <w:sz w:val="24"/>
        </w:rPr>
        <w:t xml:space="preserve"> ________</w:t>
      </w:r>
      <w:r w:rsidR="00DC179E">
        <w:rPr>
          <w:sz w:val="24"/>
        </w:rPr>
        <w:t>__________________________________</w:t>
      </w:r>
      <w:r>
        <w:rPr>
          <w:sz w:val="24"/>
        </w:rPr>
        <w:t>___________________________________</w:t>
      </w:r>
    </w:p>
    <w:p w14:paraId="39721ACB" w14:textId="77777777" w:rsidR="00FC584E" w:rsidRDefault="00DC179E" w:rsidP="00FC584E">
      <w:pPr>
        <w:keepLines/>
        <w:pBdr>
          <w:top w:val="double" w:sz="12" w:space="0" w:color="000000" w:shadow="1"/>
          <w:left w:val="double" w:sz="12" w:space="0" w:color="000000" w:shadow="1"/>
          <w:bottom w:val="double" w:sz="12" w:space="0" w:color="000000" w:shadow="1"/>
          <w:right w:val="double" w:sz="12" w:space="0" w:color="000000" w:shadow="1"/>
        </w:pBdr>
        <w:shd w:val="pct10" w:color="auto" w:fill="auto"/>
        <w:tabs>
          <w:tab w:val="left" w:pos="576"/>
          <w:tab w:val="left" w:pos="720"/>
          <w:tab w:val="left" w:pos="2592"/>
          <w:tab w:val="left" w:pos="7200"/>
        </w:tabs>
        <w:rPr>
          <w:sz w:val="24"/>
        </w:rPr>
      </w:pPr>
      <w:r>
        <w:rPr>
          <w:sz w:val="24"/>
        </w:rPr>
        <w:t xml:space="preserve">     </w:t>
      </w:r>
      <w:r w:rsidR="00D909B5">
        <w:rPr>
          <w:sz w:val="24"/>
        </w:rPr>
        <w:t>Signature</w:t>
      </w:r>
      <w:r>
        <w:rPr>
          <w:sz w:val="24"/>
        </w:rPr>
        <w:t xml:space="preserve">                                            </w:t>
      </w:r>
      <w:r w:rsidR="00D909B5">
        <w:rPr>
          <w:sz w:val="24"/>
        </w:rPr>
        <w:t xml:space="preserve">         Print Name</w:t>
      </w:r>
      <w:r>
        <w:rPr>
          <w:sz w:val="24"/>
        </w:rPr>
        <w:t xml:space="preserve">                                              Date</w:t>
      </w:r>
    </w:p>
    <w:p w14:paraId="697ABC3A" w14:textId="77777777" w:rsidR="00FC584E" w:rsidRDefault="00FC584E" w:rsidP="00FC584E">
      <w:pPr>
        <w:keepLines/>
        <w:pBdr>
          <w:top w:val="double" w:sz="12" w:space="0" w:color="000000" w:shadow="1"/>
          <w:left w:val="double" w:sz="12" w:space="0" w:color="000000" w:shadow="1"/>
          <w:bottom w:val="double" w:sz="12" w:space="0" w:color="000000" w:shadow="1"/>
          <w:right w:val="double" w:sz="12" w:space="0" w:color="000000" w:shadow="1"/>
        </w:pBdr>
        <w:shd w:val="pct10" w:color="auto" w:fill="auto"/>
        <w:tabs>
          <w:tab w:val="left" w:pos="576"/>
          <w:tab w:val="left" w:pos="720"/>
          <w:tab w:val="left" w:pos="2592"/>
          <w:tab w:val="left" w:pos="7200"/>
        </w:tabs>
        <w:jc w:val="center"/>
        <w:rPr>
          <w:sz w:val="28"/>
        </w:rPr>
      </w:pPr>
    </w:p>
    <w:p w14:paraId="2493FF26" w14:textId="77777777" w:rsidR="00FC584E" w:rsidRDefault="00FC584E" w:rsidP="00FC584E">
      <w:pPr>
        <w:tabs>
          <w:tab w:val="left" w:pos="576"/>
          <w:tab w:val="left" w:pos="720"/>
          <w:tab w:val="left" w:pos="2592"/>
          <w:tab w:val="left" w:pos="7200"/>
        </w:tabs>
        <w:jc w:val="both"/>
        <w:rPr>
          <w:sz w:val="24"/>
        </w:rPr>
      </w:pPr>
    </w:p>
    <w:p w14:paraId="5CB014DE" w14:textId="77777777" w:rsidR="00356B41" w:rsidRPr="00532840" w:rsidRDefault="005A1BB3" w:rsidP="005A1BB3">
      <w:pPr>
        <w:tabs>
          <w:tab w:val="left" w:pos="576"/>
          <w:tab w:val="left" w:pos="720"/>
          <w:tab w:val="left" w:pos="2592"/>
          <w:tab w:val="left" w:pos="7200"/>
        </w:tabs>
        <w:jc w:val="center"/>
        <w:rPr>
          <w:sz w:val="24"/>
        </w:rPr>
      </w:pPr>
      <w:r w:rsidRPr="00532840">
        <w:rPr>
          <w:sz w:val="24"/>
        </w:rPr>
        <w:t>Or</w:t>
      </w:r>
    </w:p>
    <w:p w14:paraId="6A1D6E19" w14:textId="77777777" w:rsidR="00C02E17" w:rsidRDefault="00C02E17" w:rsidP="005A1BB3">
      <w:pPr>
        <w:tabs>
          <w:tab w:val="left" w:pos="576"/>
          <w:tab w:val="left" w:pos="720"/>
          <w:tab w:val="left" w:pos="2592"/>
          <w:tab w:val="left" w:pos="7200"/>
        </w:tabs>
        <w:rPr>
          <w:sz w:val="24"/>
        </w:rPr>
      </w:pPr>
    </w:p>
    <w:p w14:paraId="0615B30A" w14:textId="77777777" w:rsidR="00C02E17" w:rsidRDefault="00C02E17" w:rsidP="005A1BB3">
      <w:pPr>
        <w:tabs>
          <w:tab w:val="left" w:pos="576"/>
          <w:tab w:val="left" w:pos="720"/>
          <w:tab w:val="left" w:pos="2592"/>
          <w:tab w:val="left" w:pos="7200"/>
        </w:tabs>
        <w:rPr>
          <w:sz w:val="24"/>
        </w:rPr>
      </w:pPr>
    </w:p>
    <w:p w14:paraId="09824713" w14:textId="77777777" w:rsidR="005A1BB3" w:rsidRPr="00470C84" w:rsidRDefault="005A1BB3" w:rsidP="005A1BB3">
      <w:pPr>
        <w:tabs>
          <w:tab w:val="left" w:pos="576"/>
          <w:tab w:val="left" w:pos="720"/>
          <w:tab w:val="left" w:pos="2592"/>
          <w:tab w:val="left" w:pos="7200"/>
        </w:tabs>
        <w:rPr>
          <w:sz w:val="24"/>
        </w:rPr>
      </w:pPr>
      <w:r w:rsidRPr="00470C84">
        <w:rPr>
          <w:sz w:val="24"/>
        </w:rPr>
        <w:t xml:space="preserve">I have made the following related contributions as described above: </w:t>
      </w:r>
    </w:p>
    <w:p w14:paraId="65ED5F78" w14:textId="77777777" w:rsidR="005A1BB3" w:rsidRPr="00470C84" w:rsidRDefault="005A1BB3" w:rsidP="005A1BB3">
      <w:pPr>
        <w:tabs>
          <w:tab w:val="left" w:pos="576"/>
          <w:tab w:val="left" w:pos="720"/>
          <w:tab w:val="left" w:pos="2592"/>
          <w:tab w:val="left" w:pos="7200"/>
        </w:tabs>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1163"/>
        <w:gridCol w:w="3552"/>
        <w:gridCol w:w="3051"/>
      </w:tblGrid>
      <w:tr w:rsidR="00141755" w:rsidRPr="00470C84" w14:paraId="16534FB4" w14:textId="77777777" w:rsidTr="000D3E47">
        <w:tc>
          <w:tcPr>
            <w:tcW w:w="1548" w:type="dxa"/>
            <w:shd w:val="clear" w:color="auto" w:fill="BFBFBF"/>
          </w:tcPr>
          <w:p w14:paraId="5E7467F1" w14:textId="77777777" w:rsidR="00141755" w:rsidRPr="00470C84" w:rsidRDefault="00141755" w:rsidP="000D3E47">
            <w:pPr>
              <w:tabs>
                <w:tab w:val="left" w:pos="576"/>
                <w:tab w:val="left" w:pos="720"/>
                <w:tab w:val="left" w:pos="2592"/>
                <w:tab w:val="left" w:pos="7200"/>
              </w:tabs>
              <w:jc w:val="center"/>
              <w:rPr>
                <w:b/>
                <w:sz w:val="24"/>
              </w:rPr>
            </w:pPr>
            <w:r w:rsidRPr="00470C84">
              <w:rPr>
                <w:b/>
                <w:sz w:val="24"/>
              </w:rPr>
              <w:t>Date</w:t>
            </w:r>
          </w:p>
        </w:tc>
        <w:tc>
          <w:tcPr>
            <w:tcW w:w="1170" w:type="dxa"/>
            <w:shd w:val="clear" w:color="auto" w:fill="BFBFBF"/>
          </w:tcPr>
          <w:p w14:paraId="32C4713A" w14:textId="77777777" w:rsidR="00141755" w:rsidRPr="00470C84" w:rsidRDefault="00141755" w:rsidP="000D3E47">
            <w:pPr>
              <w:tabs>
                <w:tab w:val="left" w:pos="576"/>
                <w:tab w:val="left" w:pos="720"/>
                <w:tab w:val="left" w:pos="2592"/>
                <w:tab w:val="left" w:pos="7200"/>
              </w:tabs>
              <w:jc w:val="center"/>
              <w:rPr>
                <w:b/>
                <w:sz w:val="24"/>
              </w:rPr>
            </w:pPr>
            <w:r w:rsidRPr="00470C84">
              <w:rPr>
                <w:b/>
                <w:sz w:val="24"/>
              </w:rPr>
              <w:t>Amount</w:t>
            </w:r>
          </w:p>
        </w:tc>
        <w:tc>
          <w:tcPr>
            <w:tcW w:w="3690" w:type="dxa"/>
            <w:shd w:val="clear" w:color="auto" w:fill="BFBFBF"/>
          </w:tcPr>
          <w:p w14:paraId="35388E65" w14:textId="77777777" w:rsidR="00141755" w:rsidRPr="00470C84" w:rsidRDefault="00141755" w:rsidP="000D3E47">
            <w:pPr>
              <w:tabs>
                <w:tab w:val="left" w:pos="576"/>
                <w:tab w:val="left" w:pos="720"/>
                <w:tab w:val="left" w:pos="2592"/>
                <w:tab w:val="left" w:pos="7200"/>
              </w:tabs>
              <w:jc w:val="center"/>
              <w:rPr>
                <w:b/>
                <w:sz w:val="24"/>
              </w:rPr>
            </w:pPr>
            <w:r w:rsidRPr="00470C84">
              <w:rPr>
                <w:b/>
                <w:sz w:val="24"/>
              </w:rPr>
              <w:t>Sent To</w:t>
            </w:r>
          </w:p>
        </w:tc>
        <w:tc>
          <w:tcPr>
            <w:tcW w:w="3168" w:type="dxa"/>
            <w:shd w:val="clear" w:color="auto" w:fill="BFBFBF"/>
          </w:tcPr>
          <w:p w14:paraId="55BB87BD" w14:textId="77777777" w:rsidR="00141755" w:rsidRPr="00470C84" w:rsidRDefault="00141755" w:rsidP="000D3E47">
            <w:pPr>
              <w:tabs>
                <w:tab w:val="left" w:pos="576"/>
                <w:tab w:val="left" w:pos="720"/>
                <w:tab w:val="left" w:pos="2592"/>
                <w:tab w:val="left" w:pos="7200"/>
              </w:tabs>
              <w:jc w:val="center"/>
              <w:rPr>
                <w:b/>
                <w:sz w:val="24"/>
              </w:rPr>
            </w:pPr>
            <w:r w:rsidRPr="00470C84">
              <w:rPr>
                <w:b/>
                <w:sz w:val="24"/>
              </w:rPr>
              <w:t>Description</w:t>
            </w:r>
          </w:p>
        </w:tc>
      </w:tr>
      <w:tr w:rsidR="00141755" w:rsidRPr="00470C84" w14:paraId="372EC149" w14:textId="77777777" w:rsidTr="000D3E47">
        <w:tc>
          <w:tcPr>
            <w:tcW w:w="1548" w:type="dxa"/>
            <w:shd w:val="clear" w:color="auto" w:fill="D9D9D9"/>
          </w:tcPr>
          <w:p w14:paraId="15257167" w14:textId="77777777" w:rsidR="00141755" w:rsidRPr="00470C84" w:rsidRDefault="00141755" w:rsidP="000D3E47">
            <w:pPr>
              <w:tabs>
                <w:tab w:val="left" w:pos="576"/>
                <w:tab w:val="left" w:pos="720"/>
                <w:tab w:val="left" w:pos="2592"/>
                <w:tab w:val="left" w:pos="7200"/>
              </w:tabs>
              <w:rPr>
                <w:i/>
                <w:sz w:val="22"/>
                <w:szCs w:val="22"/>
              </w:rPr>
            </w:pPr>
            <w:r w:rsidRPr="00470C84">
              <w:rPr>
                <w:i/>
                <w:sz w:val="22"/>
                <w:szCs w:val="22"/>
              </w:rPr>
              <w:t>Ex: 10/15/10</w:t>
            </w:r>
          </w:p>
        </w:tc>
        <w:tc>
          <w:tcPr>
            <w:tcW w:w="1170" w:type="dxa"/>
            <w:shd w:val="clear" w:color="auto" w:fill="D9D9D9"/>
          </w:tcPr>
          <w:p w14:paraId="587C3B0F" w14:textId="77777777" w:rsidR="00141755" w:rsidRPr="00470C84" w:rsidRDefault="00141755" w:rsidP="000D3E47">
            <w:pPr>
              <w:tabs>
                <w:tab w:val="left" w:pos="576"/>
                <w:tab w:val="left" w:pos="720"/>
                <w:tab w:val="left" w:pos="2592"/>
                <w:tab w:val="left" w:pos="7200"/>
              </w:tabs>
              <w:jc w:val="right"/>
              <w:rPr>
                <w:i/>
                <w:sz w:val="22"/>
                <w:szCs w:val="22"/>
              </w:rPr>
            </w:pPr>
            <w:r w:rsidRPr="00470C84">
              <w:rPr>
                <w:i/>
                <w:sz w:val="22"/>
                <w:szCs w:val="22"/>
              </w:rPr>
              <w:t>$50.00</w:t>
            </w:r>
          </w:p>
        </w:tc>
        <w:tc>
          <w:tcPr>
            <w:tcW w:w="3690" w:type="dxa"/>
            <w:shd w:val="clear" w:color="auto" w:fill="D9D9D9"/>
          </w:tcPr>
          <w:p w14:paraId="30F28298" w14:textId="77777777" w:rsidR="00141755" w:rsidRPr="00470C84" w:rsidRDefault="007014C5" w:rsidP="000D3E47">
            <w:pPr>
              <w:tabs>
                <w:tab w:val="left" w:pos="576"/>
                <w:tab w:val="left" w:pos="720"/>
                <w:tab w:val="left" w:pos="2592"/>
                <w:tab w:val="left" w:pos="7200"/>
              </w:tabs>
              <w:rPr>
                <w:i/>
                <w:sz w:val="22"/>
                <w:szCs w:val="22"/>
              </w:rPr>
            </w:pPr>
            <w:r w:rsidRPr="00470C84">
              <w:rPr>
                <w:i/>
                <w:sz w:val="22"/>
                <w:szCs w:val="22"/>
              </w:rPr>
              <w:t>ABC</w:t>
            </w:r>
            <w:r w:rsidR="00141755" w:rsidRPr="00470C84">
              <w:rPr>
                <w:i/>
                <w:sz w:val="22"/>
                <w:szCs w:val="22"/>
              </w:rPr>
              <w:t xml:space="preserve"> Representatives PAC</w:t>
            </w:r>
          </w:p>
        </w:tc>
        <w:tc>
          <w:tcPr>
            <w:tcW w:w="3168" w:type="dxa"/>
            <w:shd w:val="clear" w:color="auto" w:fill="D9D9D9"/>
          </w:tcPr>
          <w:p w14:paraId="6288DA62" w14:textId="77777777" w:rsidR="00141755" w:rsidRPr="00470C84" w:rsidRDefault="00141755" w:rsidP="000D3E47">
            <w:pPr>
              <w:tabs>
                <w:tab w:val="left" w:pos="576"/>
                <w:tab w:val="left" w:pos="720"/>
                <w:tab w:val="left" w:pos="2592"/>
                <w:tab w:val="left" w:pos="7200"/>
              </w:tabs>
              <w:rPr>
                <w:i/>
                <w:sz w:val="22"/>
                <w:szCs w:val="22"/>
              </w:rPr>
            </w:pPr>
            <w:r w:rsidRPr="00470C84">
              <w:rPr>
                <w:i/>
                <w:sz w:val="22"/>
                <w:szCs w:val="22"/>
              </w:rPr>
              <w:t>Political Action Committee</w:t>
            </w:r>
          </w:p>
        </w:tc>
      </w:tr>
      <w:tr w:rsidR="00141755" w:rsidRPr="00470C84" w14:paraId="6C3CDB51" w14:textId="77777777" w:rsidTr="000D3E47">
        <w:tc>
          <w:tcPr>
            <w:tcW w:w="1548" w:type="dxa"/>
          </w:tcPr>
          <w:p w14:paraId="17B9E5A3" w14:textId="77777777" w:rsidR="00141755" w:rsidRPr="00470C84" w:rsidRDefault="007014C5" w:rsidP="000D3E47">
            <w:pPr>
              <w:tabs>
                <w:tab w:val="left" w:pos="576"/>
                <w:tab w:val="left" w:pos="720"/>
                <w:tab w:val="left" w:pos="2592"/>
                <w:tab w:val="left" w:pos="7200"/>
              </w:tabs>
              <w:rPr>
                <w:sz w:val="24"/>
              </w:rPr>
            </w:pPr>
            <w:r w:rsidRPr="00470C84">
              <w:rPr>
                <w:sz w:val="24"/>
              </w:rPr>
              <w:t>1.</w:t>
            </w:r>
          </w:p>
        </w:tc>
        <w:tc>
          <w:tcPr>
            <w:tcW w:w="1170" w:type="dxa"/>
          </w:tcPr>
          <w:p w14:paraId="51AB6911" w14:textId="77777777" w:rsidR="00141755" w:rsidRPr="00470C84" w:rsidRDefault="00141755" w:rsidP="000D3E47">
            <w:pPr>
              <w:tabs>
                <w:tab w:val="left" w:pos="576"/>
                <w:tab w:val="left" w:pos="720"/>
                <w:tab w:val="left" w:pos="2592"/>
                <w:tab w:val="left" w:pos="7200"/>
              </w:tabs>
              <w:jc w:val="right"/>
              <w:rPr>
                <w:i/>
                <w:sz w:val="24"/>
              </w:rPr>
            </w:pPr>
          </w:p>
        </w:tc>
        <w:tc>
          <w:tcPr>
            <w:tcW w:w="3690" w:type="dxa"/>
          </w:tcPr>
          <w:p w14:paraId="37EA9CA0" w14:textId="77777777" w:rsidR="00141755" w:rsidRPr="00470C84" w:rsidRDefault="00141755" w:rsidP="000D3E47">
            <w:pPr>
              <w:tabs>
                <w:tab w:val="left" w:pos="576"/>
                <w:tab w:val="left" w:pos="720"/>
                <w:tab w:val="left" w:pos="2592"/>
                <w:tab w:val="left" w:pos="7200"/>
              </w:tabs>
              <w:rPr>
                <w:i/>
                <w:sz w:val="24"/>
              </w:rPr>
            </w:pPr>
          </w:p>
        </w:tc>
        <w:tc>
          <w:tcPr>
            <w:tcW w:w="3168" w:type="dxa"/>
          </w:tcPr>
          <w:p w14:paraId="3E876BBC" w14:textId="77777777" w:rsidR="00141755" w:rsidRPr="00470C84" w:rsidRDefault="00141755" w:rsidP="000D3E47">
            <w:pPr>
              <w:tabs>
                <w:tab w:val="left" w:pos="576"/>
                <w:tab w:val="left" w:pos="720"/>
                <w:tab w:val="left" w:pos="2592"/>
                <w:tab w:val="left" w:pos="7200"/>
              </w:tabs>
              <w:rPr>
                <w:i/>
                <w:sz w:val="24"/>
              </w:rPr>
            </w:pPr>
          </w:p>
        </w:tc>
      </w:tr>
      <w:tr w:rsidR="00141755" w:rsidRPr="00470C84" w14:paraId="500D27A0" w14:textId="77777777" w:rsidTr="000D3E47">
        <w:tc>
          <w:tcPr>
            <w:tcW w:w="1548" w:type="dxa"/>
          </w:tcPr>
          <w:p w14:paraId="75B6B253" w14:textId="77777777" w:rsidR="00141755" w:rsidRPr="00470C84" w:rsidRDefault="007014C5" w:rsidP="000D3E47">
            <w:pPr>
              <w:tabs>
                <w:tab w:val="left" w:pos="576"/>
                <w:tab w:val="left" w:pos="720"/>
                <w:tab w:val="left" w:pos="2592"/>
                <w:tab w:val="left" w:pos="7200"/>
              </w:tabs>
              <w:rPr>
                <w:sz w:val="24"/>
              </w:rPr>
            </w:pPr>
            <w:r w:rsidRPr="00470C84">
              <w:rPr>
                <w:sz w:val="24"/>
              </w:rPr>
              <w:t>2.</w:t>
            </w:r>
          </w:p>
        </w:tc>
        <w:tc>
          <w:tcPr>
            <w:tcW w:w="1170" w:type="dxa"/>
          </w:tcPr>
          <w:p w14:paraId="7CE41CC0" w14:textId="77777777" w:rsidR="00141755" w:rsidRPr="00470C84" w:rsidRDefault="00141755" w:rsidP="000D3E47">
            <w:pPr>
              <w:tabs>
                <w:tab w:val="left" w:pos="576"/>
                <w:tab w:val="left" w:pos="720"/>
                <w:tab w:val="left" w:pos="2592"/>
                <w:tab w:val="left" w:pos="7200"/>
              </w:tabs>
              <w:jc w:val="right"/>
              <w:rPr>
                <w:i/>
                <w:sz w:val="24"/>
              </w:rPr>
            </w:pPr>
          </w:p>
        </w:tc>
        <w:tc>
          <w:tcPr>
            <w:tcW w:w="3690" w:type="dxa"/>
          </w:tcPr>
          <w:p w14:paraId="562FE2AA" w14:textId="77777777" w:rsidR="00141755" w:rsidRPr="00470C84" w:rsidRDefault="00141755" w:rsidP="000D3E47">
            <w:pPr>
              <w:tabs>
                <w:tab w:val="left" w:pos="576"/>
                <w:tab w:val="left" w:pos="720"/>
                <w:tab w:val="left" w:pos="2592"/>
                <w:tab w:val="left" w:pos="7200"/>
              </w:tabs>
              <w:rPr>
                <w:i/>
                <w:sz w:val="24"/>
              </w:rPr>
            </w:pPr>
          </w:p>
        </w:tc>
        <w:tc>
          <w:tcPr>
            <w:tcW w:w="3168" w:type="dxa"/>
          </w:tcPr>
          <w:p w14:paraId="061789C6" w14:textId="77777777" w:rsidR="00141755" w:rsidRPr="00470C84" w:rsidRDefault="00141755" w:rsidP="000D3E47">
            <w:pPr>
              <w:tabs>
                <w:tab w:val="left" w:pos="576"/>
                <w:tab w:val="left" w:pos="720"/>
                <w:tab w:val="left" w:pos="2592"/>
                <w:tab w:val="left" w:pos="7200"/>
              </w:tabs>
              <w:rPr>
                <w:i/>
                <w:sz w:val="24"/>
              </w:rPr>
            </w:pPr>
          </w:p>
        </w:tc>
      </w:tr>
      <w:tr w:rsidR="00141755" w:rsidRPr="00470C84" w14:paraId="70204643" w14:textId="77777777" w:rsidTr="000D3E47">
        <w:tc>
          <w:tcPr>
            <w:tcW w:w="1548" w:type="dxa"/>
          </w:tcPr>
          <w:p w14:paraId="23B615E5" w14:textId="77777777" w:rsidR="00141755" w:rsidRPr="00470C84" w:rsidRDefault="007014C5" w:rsidP="000D3E47">
            <w:pPr>
              <w:tabs>
                <w:tab w:val="left" w:pos="576"/>
                <w:tab w:val="left" w:pos="720"/>
                <w:tab w:val="left" w:pos="2592"/>
                <w:tab w:val="left" w:pos="7200"/>
              </w:tabs>
              <w:rPr>
                <w:sz w:val="24"/>
              </w:rPr>
            </w:pPr>
            <w:r w:rsidRPr="00470C84">
              <w:rPr>
                <w:sz w:val="24"/>
              </w:rPr>
              <w:t xml:space="preserve">3. </w:t>
            </w:r>
          </w:p>
        </w:tc>
        <w:tc>
          <w:tcPr>
            <w:tcW w:w="1170" w:type="dxa"/>
          </w:tcPr>
          <w:p w14:paraId="1B72B3D5" w14:textId="77777777" w:rsidR="00141755" w:rsidRPr="00470C84" w:rsidRDefault="00141755" w:rsidP="000D3E47">
            <w:pPr>
              <w:tabs>
                <w:tab w:val="left" w:pos="576"/>
                <w:tab w:val="left" w:pos="720"/>
                <w:tab w:val="left" w:pos="2592"/>
                <w:tab w:val="left" w:pos="7200"/>
              </w:tabs>
              <w:jc w:val="right"/>
              <w:rPr>
                <w:i/>
                <w:sz w:val="24"/>
              </w:rPr>
            </w:pPr>
          </w:p>
        </w:tc>
        <w:tc>
          <w:tcPr>
            <w:tcW w:w="3690" w:type="dxa"/>
          </w:tcPr>
          <w:p w14:paraId="1A69AA5A" w14:textId="77777777" w:rsidR="00141755" w:rsidRPr="00470C84" w:rsidRDefault="00141755" w:rsidP="000D3E47">
            <w:pPr>
              <w:tabs>
                <w:tab w:val="left" w:pos="576"/>
                <w:tab w:val="left" w:pos="720"/>
                <w:tab w:val="left" w:pos="2592"/>
                <w:tab w:val="left" w:pos="7200"/>
              </w:tabs>
              <w:rPr>
                <w:i/>
                <w:sz w:val="24"/>
              </w:rPr>
            </w:pPr>
          </w:p>
        </w:tc>
        <w:tc>
          <w:tcPr>
            <w:tcW w:w="3168" w:type="dxa"/>
          </w:tcPr>
          <w:p w14:paraId="62B90C78" w14:textId="77777777" w:rsidR="00141755" w:rsidRPr="00470C84" w:rsidRDefault="00141755" w:rsidP="000D3E47">
            <w:pPr>
              <w:tabs>
                <w:tab w:val="left" w:pos="576"/>
                <w:tab w:val="left" w:pos="720"/>
                <w:tab w:val="left" w:pos="2592"/>
                <w:tab w:val="left" w:pos="7200"/>
              </w:tabs>
              <w:rPr>
                <w:i/>
                <w:sz w:val="24"/>
              </w:rPr>
            </w:pPr>
          </w:p>
        </w:tc>
      </w:tr>
    </w:tbl>
    <w:p w14:paraId="21345D0C" w14:textId="77777777" w:rsidR="005A1BB3" w:rsidRPr="00470C84" w:rsidRDefault="005A1BB3" w:rsidP="005A1BB3">
      <w:pPr>
        <w:tabs>
          <w:tab w:val="left" w:pos="576"/>
          <w:tab w:val="left" w:pos="720"/>
          <w:tab w:val="left" w:pos="2592"/>
          <w:tab w:val="left" w:pos="7200"/>
        </w:tabs>
        <w:rPr>
          <w:i/>
          <w:sz w:val="24"/>
        </w:rPr>
      </w:pPr>
    </w:p>
    <w:p w14:paraId="70E24DA1" w14:textId="77777777" w:rsidR="00BF300D" w:rsidRDefault="00BF300D" w:rsidP="0012364B"/>
    <w:p w14:paraId="34C90323" w14:textId="77777777" w:rsidR="00470C84" w:rsidRPr="00470C84" w:rsidRDefault="00470C84" w:rsidP="0012364B"/>
    <w:p w14:paraId="1E8A340D" w14:textId="77777777" w:rsidR="00BF300D" w:rsidRPr="00470C84" w:rsidRDefault="00BF300D" w:rsidP="0012364B">
      <w:r w:rsidRPr="00470C84">
        <w:t>____________________________________________________________________________________________</w:t>
      </w:r>
    </w:p>
    <w:p w14:paraId="36FBA480" w14:textId="77777777" w:rsidR="0012364B" w:rsidRPr="00C14555" w:rsidRDefault="00BF300D" w:rsidP="0012364B">
      <w:pPr>
        <w:rPr>
          <w:color w:val="FF0000"/>
          <w:sz w:val="24"/>
          <w:szCs w:val="24"/>
        </w:rPr>
      </w:pPr>
      <w:r w:rsidRPr="00470C84">
        <w:rPr>
          <w:sz w:val="24"/>
          <w:szCs w:val="24"/>
        </w:rPr>
        <w:t xml:space="preserve">    Print Name                                            Signature                                                            Date</w:t>
      </w:r>
      <w:r w:rsidR="00356B41" w:rsidRPr="00470C84">
        <w:rPr>
          <w:sz w:val="24"/>
          <w:szCs w:val="24"/>
        </w:rPr>
        <w:br w:type="page"/>
      </w:r>
    </w:p>
    <w:p w14:paraId="6EE28ACE" w14:textId="77777777" w:rsidR="00356B41" w:rsidRPr="007C1667" w:rsidRDefault="00145E32" w:rsidP="00936FEE">
      <w:pPr>
        <w:pStyle w:val="Heading2"/>
      </w:pPr>
      <w:r w:rsidRPr="007C1667">
        <w:lastRenderedPageBreak/>
        <w:t>Re</w:t>
      </w:r>
      <w:r w:rsidR="00356B41" w:rsidRPr="007C1667">
        <w:t>gulatory Compliance Checklist</w:t>
      </w:r>
    </w:p>
    <w:p w14:paraId="03F3E58B" w14:textId="77777777" w:rsidR="00356B41" w:rsidRDefault="00356B41" w:rsidP="00356B41">
      <w:pPr>
        <w:jc w:val="both"/>
        <w:rPr>
          <w:sz w:val="24"/>
        </w:rPr>
      </w:pPr>
    </w:p>
    <w:p w14:paraId="3EB9BDC5" w14:textId="77777777" w:rsidR="00356B41" w:rsidRDefault="00356B41" w:rsidP="00356B41">
      <w:pPr>
        <w:jc w:val="both"/>
        <w:rPr>
          <w:sz w:val="24"/>
        </w:rPr>
      </w:pPr>
      <w:r>
        <w:rPr>
          <w:sz w:val="24"/>
        </w:rPr>
        <w:t xml:space="preserve">PLEASE READ EACH QUESTION AND SIGN WHERE INDICATED, INCOMPLETE FORMS WILL NOT BE ACCEPTED. (If any question does not apply, please mark "N/A"). </w:t>
      </w:r>
    </w:p>
    <w:p w14:paraId="76B1F1D9" w14:textId="77777777" w:rsidR="00356B41" w:rsidRDefault="00356B41" w:rsidP="00356B41">
      <w:pPr>
        <w:jc w:val="both"/>
        <w:rPr>
          <w:sz w:val="24"/>
        </w:rPr>
      </w:pPr>
    </w:p>
    <w:tbl>
      <w:tblPr>
        <w:tblW w:w="105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149"/>
        <w:gridCol w:w="481"/>
        <w:gridCol w:w="83"/>
        <w:gridCol w:w="637"/>
        <w:gridCol w:w="7920"/>
      </w:tblGrid>
      <w:tr w:rsidR="00B0193A" w:rsidRPr="00D345AB" w14:paraId="0019C2A7" w14:textId="77777777" w:rsidTr="00D86E95">
        <w:tc>
          <w:tcPr>
            <w:tcW w:w="630" w:type="dxa"/>
            <w:shd w:val="clear" w:color="auto" w:fill="A6A6A6"/>
          </w:tcPr>
          <w:p w14:paraId="23981662" w14:textId="77777777" w:rsidR="00B0193A" w:rsidRPr="00D345AB" w:rsidRDefault="00B0193A" w:rsidP="00D345AB">
            <w:pPr>
              <w:jc w:val="both"/>
              <w:rPr>
                <w:b/>
                <w:sz w:val="24"/>
              </w:rPr>
            </w:pPr>
            <w:r w:rsidRPr="00D345AB">
              <w:rPr>
                <w:b/>
                <w:sz w:val="24"/>
              </w:rPr>
              <w:t>Yes</w:t>
            </w:r>
          </w:p>
        </w:tc>
        <w:tc>
          <w:tcPr>
            <w:tcW w:w="630" w:type="dxa"/>
            <w:shd w:val="clear" w:color="auto" w:fill="A6A6A6"/>
          </w:tcPr>
          <w:p w14:paraId="1C9F6D85" w14:textId="77777777" w:rsidR="00B0193A" w:rsidRPr="00D345AB" w:rsidRDefault="00B0193A" w:rsidP="00D345AB">
            <w:pPr>
              <w:jc w:val="both"/>
              <w:rPr>
                <w:b/>
                <w:sz w:val="24"/>
              </w:rPr>
            </w:pPr>
            <w:r w:rsidRPr="00D345AB">
              <w:rPr>
                <w:b/>
                <w:sz w:val="24"/>
              </w:rPr>
              <w:t>No</w:t>
            </w:r>
          </w:p>
        </w:tc>
        <w:tc>
          <w:tcPr>
            <w:tcW w:w="630" w:type="dxa"/>
            <w:gridSpan w:val="2"/>
            <w:shd w:val="clear" w:color="auto" w:fill="A6A6A6"/>
          </w:tcPr>
          <w:p w14:paraId="2B393879" w14:textId="77777777" w:rsidR="00B0193A" w:rsidRPr="00D345AB" w:rsidRDefault="00B0193A" w:rsidP="00D345AB">
            <w:pPr>
              <w:jc w:val="both"/>
              <w:rPr>
                <w:b/>
                <w:sz w:val="24"/>
              </w:rPr>
            </w:pPr>
            <w:r w:rsidRPr="00D345AB">
              <w:rPr>
                <w:b/>
                <w:sz w:val="24"/>
              </w:rPr>
              <w:t>N/A</w:t>
            </w:r>
          </w:p>
        </w:tc>
        <w:tc>
          <w:tcPr>
            <w:tcW w:w="8640" w:type="dxa"/>
            <w:gridSpan w:val="3"/>
            <w:shd w:val="clear" w:color="auto" w:fill="A6A6A6"/>
          </w:tcPr>
          <w:p w14:paraId="4D38336D" w14:textId="77777777" w:rsidR="00B0193A" w:rsidRPr="00D345AB" w:rsidRDefault="00B0193A" w:rsidP="00D345AB">
            <w:pPr>
              <w:jc w:val="both"/>
              <w:rPr>
                <w:b/>
                <w:sz w:val="24"/>
              </w:rPr>
            </w:pPr>
            <w:r w:rsidRPr="00D345AB">
              <w:rPr>
                <w:b/>
                <w:sz w:val="24"/>
              </w:rPr>
              <w:t>Question</w:t>
            </w:r>
          </w:p>
        </w:tc>
      </w:tr>
      <w:tr w:rsidR="00B0193A" w:rsidRPr="00D345AB" w14:paraId="22FCD053" w14:textId="77777777" w:rsidTr="00D86E95">
        <w:tc>
          <w:tcPr>
            <w:tcW w:w="630" w:type="dxa"/>
          </w:tcPr>
          <w:p w14:paraId="774D4347" w14:textId="77777777" w:rsidR="00B0193A" w:rsidRPr="00D345AB" w:rsidRDefault="00B0193A" w:rsidP="00D345AB">
            <w:pPr>
              <w:jc w:val="both"/>
              <w:rPr>
                <w:sz w:val="24"/>
              </w:rPr>
            </w:pPr>
          </w:p>
        </w:tc>
        <w:tc>
          <w:tcPr>
            <w:tcW w:w="630" w:type="dxa"/>
          </w:tcPr>
          <w:p w14:paraId="6A1AE6FD" w14:textId="77777777" w:rsidR="00B0193A" w:rsidRPr="00D345AB" w:rsidRDefault="00B0193A" w:rsidP="00D345AB">
            <w:pPr>
              <w:jc w:val="both"/>
              <w:rPr>
                <w:sz w:val="24"/>
              </w:rPr>
            </w:pPr>
          </w:p>
        </w:tc>
        <w:tc>
          <w:tcPr>
            <w:tcW w:w="630" w:type="dxa"/>
            <w:gridSpan w:val="2"/>
          </w:tcPr>
          <w:p w14:paraId="251C6AA1" w14:textId="77777777" w:rsidR="00B0193A" w:rsidRPr="00D345AB" w:rsidRDefault="00B0193A" w:rsidP="00D345AB">
            <w:pPr>
              <w:jc w:val="both"/>
              <w:rPr>
                <w:sz w:val="24"/>
              </w:rPr>
            </w:pPr>
          </w:p>
        </w:tc>
        <w:tc>
          <w:tcPr>
            <w:tcW w:w="8640" w:type="dxa"/>
            <w:gridSpan w:val="3"/>
          </w:tcPr>
          <w:p w14:paraId="4E33597C" w14:textId="77777777" w:rsidR="00B0193A" w:rsidRPr="00D345AB" w:rsidRDefault="00B0193A" w:rsidP="007C1667">
            <w:pPr>
              <w:jc w:val="both"/>
              <w:rPr>
                <w:sz w:val="24"/>
              </w:rPr>
            </w:pPr>
            <w:r w:rsidRPr="00D345AB">
              <w:rPr>
                <w:sz w:val="24"/>
              </w:rPr>
              <w:t xml:space="preserve">Have you received and do you understand the Written Supervisory Procedures </w:t>
            </w:r>
            <w:r w:rsidR="007C1667">
              <w:rPr>
                <w:sz w:val="24"/>
              </w:rPr>
              <w:t>with the Copy D</w:t>
            </w:r>
            <w:r w:rsidRPr="00D345AB">
              <w:rPr>
                <w:sz w:val="24"/>
              </w:rPr>
              <w:t>ate</w:t>
            </w:r>
            <w:r w:rsidR="007C1667">
              <w:rPr>
                <w:sz w:val="24"/>
              </w:rPr>
              <w:t xml:space="preserve"> written</w:t>
            </w:r>
            <w:r w:rsidRPr="00D345AB">
              <w:rPr>
                <w:sz w:val="24"/>
              </w:rPr>
              <w:t xml:space="preserve"> above?</w:t>
            </w:r>
          </w:p>
        </w:tc>
      </w:tr>
      <w:tr w:rsidR="00B0193A" w:rsidRPr="00D345AB" w14:paraId="1AD17BA2" w14:textId="77777777" w:rsidTr="00D86E95">
        <w:tc>
          <w:tcPr>
            <w:tcW w:w="630" w:type="dxa"/>
          </w:tcPr>
          <w:p w14:paraId="57D0D7AB" w14:textId="77777777" w:rsidR="00B0193A" w:rsidRPr="00D345AB" w:rsidRDefault="00B0193A" w:rsidP="00D345AB">
            <w:pPr>
              <w:jc w:val="both"/>
              <w:rPr>
                <w:sz w:val="24"/>
              </w:rPr>
            </w:pPr>
          </w:p>
        </w:tc>
        <w:tc>
          <w:tcPr>
            <w:tcW w:w="630" w:type="dxa"/>
          </w:tcPr>
          <w:p w14:paraId="01EE9AF5" w14:textId="77777777" w:rsidR="00B0193A" w:rsidRPr="00D345AB" w:rsidRDefault="00B0193A" w:rsidP="00D345AB">
            <w:pPr>
              <w:jc w:val="both"/>
              <w:rPr>
                <w:sz w:val="24"/>
              </w:rPr>
            </w:pPr>
          </w:p>
        </w:tc>
        <w:tc>
          <w:tcPr>
            <w:tcW w:w="630" w:type="dxa"/>
            <w:gridSpan w:val="2"/>
          </w:tcPr>
          <w:p w14:paraId="39BB68B2" w14:textId="77777777" w:rsidR="00B0193A" w:rsidRPr="00D345AB" w:rsidRDefault="00B0193A" w:rsidP="00D345AB">
            <w:pPr>
              <w:jc w:val="both"/>
              <w:rPr>
                <w:sz w:val="24"/>
              </w:rPr>
            </w:pPr>
          </w:p>
        </w:tc>
        <w:tc>
          <w:tcPr>
            <w:tcW w:w="8640" w:type="dxa"/>
            <w:gridSpan w:val="3"/>
          </w:tcPr>
          <w:p w14:paraId="65AC3747" w14:textId="77777777" w:rsidR="00B0193A" w:rsidRPr="00D345AB" w:rsidRDefault="00B0193A" w:rsidP="007C1667">
            <w:pPr>
              <w:jc w:val="both"/>
              <w:rPr>
                <w:sz w:val="24"/>
              </w:rPr>
            </w:pPr>
            <w:r w:rsidRPr="00D345AB">
              <w:rPr>
                <w:sz w:val="24"/>
              </w:rPr>
              <w:t>Have you reported to Compliance any complaints you received from a customer or regulatory body?</w:t>
            </w:r>
          </w:p>
        </w:tc>
      </w:tr>
      <w:tr w:rsidR="009A7E67" w:rsidRPr="00D345AB" w14:paraId="38B93D31" w14:textId="77777777" w:rsidTr="009A7E67">
        <w:trPr>
          <w:trHeight w:val="615"/>
        </w:trPr>
        <w:tc>
          <w:tcPr>
            <w:tcW w:w="630" w:type="dxa"/>
            <w:tcBorders>
              <w:bottom w:val="single" w:sz="4" w:space="0" w:color="auto"/>
            </w:tcBorders>
          </w:tcPr>
          <w:p w14:paraId="7180AB59" w14:textId="77777777" w:rsidR="009A7E67" w:rsidRPr="00D345AB" w:rsidRDefault="009A7E67" w:rsidP="00D345AB">
            <w:pPr>
              <w:jc w:val="both"/>
              <w:rPr>
                <w:sz w:val="24"/>
              </w:rPr>
            </w:pPr>
          </w:p>
        </w:tc>
        <w:tc>
          <w:tcPr>
            <w:tcW w:w="630" w:type="dxa"/>
            <w:tcBorders>
              <w:bottom w:val="single" w:sz="4" w:space="0" w:color="auto"/>
            </w:tcBorders>
          </w:tcPr>
          <w:p w14:paraId="703A69B1" w14:textId="77777777" w:rsidR="009A7E67" w:rsidRPr="00D345AB" w:rsidRDefault="009A7E67" w:rsidP="00D345AB">
            <w:pPr>
              <w:jc w:val="both"/>
              <w:rPr>
                <w:sz w:val="24"/>
              </w:rPr>
            </w:pPr>
          </w:p>
        </w:tc>
        <w:tc>
          <w:tcPr>
            <w:tcW w:w="630" w:type="dxa"/>
            <w:gridSpan w:val="2"/>
            <w:tcBorders>
              <w:bottom w:val="single" w:sz="4" w:space="0" w:color="auto"/>
            </w:tcBorders>
          </w:tcPr>
          <w:p w14:paraId="0BF5AEF4" w14:textId="77777777" w:rsidR="009A7E67" w:rsidRPr="00D345AB" w:rsidRDefault="009A7E67" w:rsidP="00D345AB">
            <w:pPr>
              <w:jc w:val="both"/>
              <w:rPr>
                <w:sz w:val="24"/>
              </w:rPr>
            </w:pPr>
          </w:p>
        </w:tc>
        <w:tc>
          <w:tcPr>
            <w:tcW w:w="8640" w:type="dxa"/>
            <w:gridSpan w:val="3"/>
            <w:vMerge w:val="restart"/>
          </w:tcPr>
          <w:p w14:paraId="6B457FA9" w14:textId="77777777" w:rsidR="009A7E67" w:rsidRDefault="009A7E67" w:rsidP="00D345AB">
            <w:pPr>
              <w:jc w:val="both"/>
              <w:rPr>
                <w:sz w:val="24"/>
              </w:rPr>
            </w:pPr>
            <w:r w:rsidRPr="00D345AB">
              <w:rPr>
                <w:sz w:val="24"/>
              </w:rPr>
              <w:t>Have you made a reasonable effort to obtain each item of information required by the New Account form?</w:t>
            </w:r>
          </w:p>
          <w:p w14:paraId="643F5900" w14:textId="77777777" w:rsidR="009A7E67" w:rsidRDefault="009A7E67" w:rsidP="00D345AB">
            <w:pPr>
              <w:jc w:val="both"/>
              <w:rPr>
                <w:sz w:val="24"/>
              </w:rPr>
            </w:pPr>
          </w:p>
          <w:p w14:paraId="6D463056" w14:textId="77777777" w:rsidR="009A7E67" w:rsidRPr="00D345AB" w:rsidRDefault="009A7E67" w:rsidP="00D345AB">
            <w:pPr>
              <w:jc w:val="both"/>
              <w:rPr>
                <w:sz w:val="24"/>
              </w:rPr>
            </w:pPr>
            <w:r>
              <w:rPr>
                <w:sz w:val="24"/>
              </w:rPr>
              <w:t xml:space="preserve">Have you </w:t>
            </w:r>
            <w:r w:rsidRPr="00D345AB">
              <w:rPr>
                <w:sz w:val="24"/>
              </w:rPr>
              <w:t xml:space="preserve">entered false information on a new account form?  </w:t>
            </w:r>
          </w:p>
        </w:tc>
      </w:tr>
      <w:tr w:rsidR="009A7E67" w:rsidRPr="00D345AB" w14:paraId="324FFD12" w14:textId="77777777" w:rsidTr="009A7E67">
        <w:trPr>
          <w:trHeight w:val="480"/>
        </w:trPr>
        <w:tc>
          <w:tcPr>
            <w:tcW w:w="630" w:type="dxa"/>
            <w:tcBorders>
              <w:top w:val="single" w:sz="4" w:space="0" w:color="auto"/>
            </w:tcBorders>
          </w:tcPr>
          <w:p w14:paraId="356D54A6" w14:textId="77777777" w:rsidR="009A7E67" w:rsidRPr="00D345AB" w:rsidRDefault="009A7E67" w:rsidP="00D345AB">
            <w:pPr>
              <w:jc w:val="both"/>
              <w:rPr>
                <w:sz w:val="24"/>
              </w:rPr>
            </w:pPr>
          </w:p>
        </w:tc>
        <w:tc>
          <w:tcPr>
            <w:tcW w:w="630" w:type="dxa"/>
            <w:tcBorders>
              <w:top w:val="single" w:sz="4" w:space="0" w:color="auto"/>
            </w:tcBorders>
          </w:tcPr>
          <w:p w14:paraId="3E552199" w14:textId="77777777" w:rsidR="009A7E67" w:rsidRPr="00D345AB" w:rsidRDefault="009A7E67" w:rsidP="00D345AB">
            <w:pPr>
              <w:jc w:val="both"/>
              <w:rPr>
                <w:sz w:val="24"/>
              </w:rPr>
            </w:pPr>
          </w:p>
        </w:tc>
        <w:tc>
          <w:tcPr>
            <w:tcW w:w="630" w:type="dxa"/>
            <w:gridSpan w:val="2"/>
            <w:tcBorders>
              <w:top w:val="single" w:sz="4" w:space="0" w:color="auto"/>
            </w:tcBorders>
          </w:tcPr>
          <w:p w14:paraId="62F6B462" w14:textId="77777777" w:rsidR="009A7E67" w:rsidRPr="00D345AB" w:rsidRDefault="009A7E67" w:rsidP="00D345AB">
            <w:pPr>
              <w:jc w:val="both"/>
              <w:rPr>
                <w:sz w:val="24"/>
              </w:rPr>
            </w:pPr>
          </w:p>
        </w:tc>
        <w:tc>
          <w:tcPr>
            <w:tcW w:w="8640" w:type="dxa"/>
            <w:gridSpan w:val="3"/>
            <w:vMerge/>
          </w:tcPr>
          <w:p w14:paraId="2D731095" w14:textId="77777777" w:rsidR="009A7E67" w:rsidRPr="00D345AB" w:rsidRDefault="009A7E67" w:rsidP="00D345AB">
            <w:pPr>
              <w:jc w:val="both"/>
              <w:rPr>
                <w:sz w:val="24"/>
              </w:rPr>
            </w:pPr>
          </w:p>
        </w:tc>
      </w:tr>
      <w:tr w:rsidR="00B0193A" w:rsidRPr="00D345AB" w14:paraId="60DB539C" w14:textId="77777777" w:rsidTr="00D86E95">
        <w:tc>
          <w:tcPr>
            <w:tcW w:w="630" w:type="dxa"/>
          </w:tcPr>
          <w:p w14:paraId="41AC6651" w14:textId="77777777" w:rsidR="00B0193A" w:rsidRPr="00D345AB" w:rsidRDefault="00B0193A" w:rsidP="00D345AB">
            <w:pPr>
              <w:jc w:val="both"/>
              <w:rPr>
                <w:sz w:val="24"/>
              </w:rPr>
            </w:pPr>
          </w:p>
        </w:tc>
        <w:tc>
          <w:tcPr>
            <w:tcW w:w="630" w:type="dxa"/>
          </w:tcPr>
          <w:p w14:paraId="0DDE15E8" w14:textId="77777777" w:rsidR="00B0193A" w:rsidRPr="00D345AB" w:rsidRDefault="00B0193A" w:rsidP="00D345AB">
            <w:pPr>
              <w:jc w:val="both"/>
              <w:rPr>
                <w:sz w:val="24"/>
              </w:rPr>
            </w:pPr>
          </w:p>
        </w:tc>
        <w:tc>
          <w:tcPr>
            <w:tcW w:w="630" w:type="dxa"/>
            <w:gridSpan w:val="2"/>
          </w:tcPr>
          <w:p w14:paraId="1BFB2F03" w14:textId="77777777" w:rsidR="00B0193A" w:rsidRPr="00D345AB" w:rsidRDefault="00B0193A" w:rsidP="00D345AB">
            <w:pPr>
              <w:jc w:val="both"/>
              <w:rPr>
                <w:sz w:val="24"/>
              </w:rPr>
            </w:pPr>
          </w:p>
        </w:tc>
        <w:tc>
          <w:tcPr>
            <w:tcW w:w="8640" w:type="dxa"/>
            <w:gridSpan w:val="3"/>
          </w:tcPr>
          <w:p w14:paraId="0E4755BE" w14:textId="77777777" w:rsidR="00B0193A" w:rsidRPr="00D345AB" w:rsidRDefault="000E2DE4" w:rsidP="00D345AB">
            <w:pPr>
              <w:jc w:val="both"/>
              <w:rPr>
                <w:sz w:val="24"/>
              </w:rPr>
            </w:pPr>
            <w:r w:rsidRPr="00D345AB">
              <w:rPr>
                <w:sz w:val="24"/>
              </w:rPr>
              <w:t>Have you conducted all securities and securities related business through the Company?</w:t>
            </w:r>
            <w:r w:rsidR="00BE2708">
              <w:rPr>
                <w:sz w:val="24"/>
              </w:rPr>
              <w:t xml:space="preserve">  </w:t>
            </w:r>
            <w:r w:rsidRPr="00D345AB">
              <w:rPr>
                <w:sz w:val="24"/>
              </w:rPr>
              <w:t>If No, provide explanations</w:t>
            </w:r>
            <w:r w:rsidR="00755F7A">
              <w:rPr>
                <w:sz w:val="24"/>
              </w:rPr>
              <w:t xml:space="preserve"> (may continue on the back of sheet if needed)</w:t>
            </w:r>
            <w:r w:rsidRPr="00D345AB">
              <w:rPr>
                <w:sz w:val="24"/>
              </w:rPr>
              <w:t>:</w:t>
            </w:r>
          </w:p>
          <w:p w14:paraId="61B110B8" w14:textId="77777777" w:rsidR="000E2DE4" w:rsidRPr="00D345AB" w:rsidRDefault="000E2DE4" w:rsidP="00D345AB">
            <w:pPr>
              <w:jc w:val="both"/>
              <w:rPr>
                <w:sz w:val="24"/>
              </w:rPr>
            </w:pPr>
          </w:p>
        </w:tc>
      </w:tr>
      <w:tr w:rsidR="000E2DE4" w:rsidRPr="00D345AB" w14:paraId="4111A063" w14:textId="77777777" w:rsidTr="00D86E95">
        <w:tc>
          <w:tcPr>
            <w:tcW w:w="630" w:type="dxa"/>
          </w:tcPr>
          <w:p w14:paraId="59236FAC" w14:textId="77777777" w:rsidR="000E2DE4" w:rsidRPr="00D345AB" w:rsidRDefault="000E2DE4" w:rsidP="00D345AB">
            <w:pPr>
              <w:jc w:val="both"/>
              <w:rPr>
                <w:sz w:val="24"/>
              </w:rPr>
            </w:pPr>
          </w:p>
        </w:tc>
        <w:tc>
          <w:tcPr>
            <w:tcW w:w="630" w:type="dxa"/>
          </w:tcPr>
          <w:p w14:paraId="3F7FF7D2" w14:textId="77777777" w:rsidR="000E2DE4" w:rsidRPr="00D345AB" w:rsidRDefault="000E2DE4" w:rsidP="00D345AB">
            <w:pPr>
              <w:jc w:val="both"/>
              <w:rPr>
                <w:sz w:val="24"/>
              </w:rPr>
            </w:pPr>
          </w:p>
        </w:tc>
        <w:tc>
          <w:tcPr>
            <w:tcW w:w="630" w:type="dxa"/>
            <w:gridSpan w:val="2"/>
          </w:tcPr>
          <w:p w14:paraId="2B530111" w14:textId="77777777" w:rsidR="000E2DE4" w:rsidRPr="00D345AB" w:rsidRDefault="000E2DE4" w:rsidP="00D345AB">
            <w:pPr>
              <w:jc w:val="both"/>
              <w:rPr>
                <w:sz w:val="24"/>
              </w:rPr>
            </w:pPr>
          </w:p>
        </w:tc>
        <w:tc>
          <w:tcPr>
            <w:tcW w:w="8640" w:type="dxa"/>
            <w:gridSpan w:val="3"/>
          </w:tcPr>
          <w:p w14:paraId="2A5CB17C" w14:textId="77777777" w:rsidR="000E2DE4" w:rsidRPr="00D345AB" w:rsidRDefault="006874C5" w:rsidP="00D345AB">
            <w:pPr>
              <w:jc w:val="both"/>
              <w:rPr>
                <w:sz w:val="24"/>
              </w:rPr>
            </w:pPr>
            <w:r w:rsidRPr="00D345AB">
              <w:rPr>
                <w:sz w:val="24"/>
              </w:rPr>
              <w:t xml:space="preserve">Have you placed all customer orders through the OSJ order or </w:t>
            </w:r>
            <w:proofErr w:type="gramStart"/>
            <w:r w:rsidRPr="00D345AB">
              <w:rPr>
                <w:sz w:val="24"/>
              </w:rPr>
              <w:t>back office</w:t>
            </w:r>
            <w:proofErr w:type="gramEnd"/>
            <w:r w:rsidRPr="00D345AB">
              <w:rPr>
                <w:sz w:val="24"/>
              </w:rPr>
              <w:t xml:space="preserve"> department, including direct mail-in applications?  </w:t>
            </w:r>
          </w:p>
        </w:tc>
      </w:tr>
      <w:tr w:rsidR="00B0193A" w:rsidRPr="00D345AB" w14:paraId="2D71AF7F" w14:textId="77777777" w:rsidTr="00D86E95">
        <w:tc>
          <w:tcPr>
            <w:tcW w:w="630" w:type="dxa"/>
          </w:tcPr>
          <w:p w14:paraId="5C42D499" w14:textId="77777777" w:rsidR="00B0193A" w:rsidRPr="00D345AB" w:rsidRDefault="00B0193A" w:rsidP="00D345AB">
            <w:pPr>
              <w:jc w:val="both"/>
              <w:rPr>
                <w:sz w:val="24"/>
              </w:rPr>
            </w:pPr>
          </w:p>
        </w:tc>
        <w:tc>
          <w:tcPr>
            <w:tcW w:w="630" w:type="dxa"/>
          </w:tcPr>
          <w:p w14:paraId="0AE2DB3C" w14:textId="77777777" w:rsidR="00B0193A" w:rsidRPr="00D345AB" w:rsidRDefault="00B0193A" w:rsidP="00D345AB">
            <w:pPr>
              <w:jc w:val="both"/>
              <w:rPr>
                <w:sz w:val="24"/>
              </w:rPr>
            </w:pPr>
          </w:p>
        </w:tc>
        <w:tc>
          <w:tcPr>
            <w:tcW w:w="630" w:type="dxa"/>
            <w:gridSpan w:val="2"/>
          </w:tcPr>
          <w:p w14:paraId="3C01449E" w14:textId="77777777" w:rsidR="00B0193A" w:rsidRPr="00D345AB" w:rsidRDefault="00B0193A" w:rsidP="00D345AB">
            <w:pPr>
              <w:jc w:val="both"/>
              <w:rPr>
                <w:sz w:val="24"/>
              </w:rPr>
            </w:pPr>
          </w:p>
        </w:tc>
        <w:tc>
          <w:tcPr>
            <w:tcW w:w="8640" w:type="dxa"/>
            <w:gridSpan w:val="3"/>
          </w:tcPr>
          <w:p w14:paraId="17B2479A" w14:textId="4A4D48C7" w:rsidR="00B0193A" w:rsidRPr="00D345AB" w:rsidRDefault="005642CF" w:rsidP="00D345AB">
            <w:pPr>
              <w:jc w:val="both"/>
              <w:rPr>
                <w:sz w:val="24"/>
              </w:rPr>
            </w:pPr>
            <w:r w:rsidRPr="00D345AB">
              <w:rPr>
                <w:sz w:val="24"/>
              </w:rPr>
              <w:t xml:space="preserve">Have you advised every </w:t>
            </w:r>
            <w:r w:rsidR="002A3ACC" w:rsidRPr="002A3ACC">
              <w:rPr>
                <w:color w:val="FF0000"/>
                <w:sz w:val="24"/>
              </w:rPr>
              <w:t>MF</w:t>
            </w:r>
            <w:r w:rsidR="002A3ACC">
              <w:rPr>
                <w:sz w:val="24"/>
              </w:rPr>
              <w:t xml:space="preserve"> </w:t>
            </w:r>
            <w:r w:rsidRPr="00D345AB">
              <w:rPr>
                <w:sz w:val="24"/>
              </w:rPr>
              <w:t xml:space="preserve">customer of breakpoints in sales charges? </w:t>
            </w:r>
          </w:p>
        </w:tc>
      </w:tr>
      <w:tr w:rsidR="006874C5" w:rsidRPr="00D345AB" w14:paraId="71B3A493" w14:textId="77777777" w:rsidTr="00D86E95">
        <w:tc>
          <w:tcPr>
            <w:tcW w:w="630" w:type="dxa"/>
          </w:tcPr>
          <w:p w14:paraId="7D6658B9" w14:textId="77777777" w:rsidR="006874C5" w:rsidRPr="00D345AB" w:rsidRDefault="006874C5" w:rsidP="00D345AB">
            <w:pPr>
              <w:jc w:val="both"/>
              <w:rPr>
                <w:sz w:val="24"/>
              </w:rPr>
            </w:pPr>
          </w:p>
        </w:tc>
        <w:tc>
          <w:tcPr>
            <w:tcW w:w="630" w:type="dxa"/>
          </w:tcPr>
          <w:p w14:paraId="5A66BD3F" w14:textId="77777777" w:rsidR="006874C5" w:rsidRPr="00D345AB" w:rsidRDefault="006874C5" w:rsidP="00D345AB">
            <w:pPr>
              <w:jc w:val="both"/>
              <w:rPr>
                <w:sz w:val="24"/>
              </w:rPr>
            </w:pPr>
          </w:p>
        </w:tc>
        <w:tc>
          <w:tcPr>
            <w:tcW w:w="630" w:type="dxa"/>
            <w:gridSpan w:val="2"/>
          </w:tcPr>
          <w:p w14:paraId="32770675" w14:textId="77777777" w:rsidR="006874C5" w:rsidRPr="00D345AB" w:rsidRDefault="006874C5" w:rsidP="00D345AB">
            <w:pPr>
              <w:jc w:val="both"/>
              <w:rPr>
                <w:sz w:val="24"/>
              </w:rPr>
            </w:pPr>
          </w:p>
        </w:tc>
        <w:tc>
          <w:tcPr>
            <w:tcW w:w="8640" w:type="dxa"/>
            <w:gridSpan w:val="3"/>
          </w:tcPr>
          <w:p w14:paraId="1B3F97EA" w14:textId="77777777" w:rsidR="006874C5" w:rsidRPr="00D345AB" w:rsidRDefault="008230CC" w:rsidP="00D345AB">
            <w:pPr>
              <w:jc w:val="both"/>
              <w:rPr>
                <w:sz w:val="24"/>
              </w:rPr>
            </w:pPr>
            <w:r w:rsidRPr="00D345AB">
              <w:rPr>
                <w:sz w:val="24"/>
              </w:rPr>
              <w:t xml:space="preserve">Have you advised each customer that investment objectives are not guaranteed?  </w:t>
            </w:r>
          </w:p>
        </w:tc>
      </w:tr>
      <w:tr w:rsidR="005642CF" w:rsidRPr="00D345AB" w14:paraId="2DD5D096" w14:textId="77777777" w:rsidTr="00D86E95">
        <w:tc>
          <w:tcPr>
            <w:tcW w:w="630" w:type="dxa"/>
          </w:tcPr>
          <w:p w14:paraId="13BDA0ED" w14:textId="77777777" w:rsidR="005642CF" w:rsidRPr="00D345AB" w:rsidRDefault="005642CF" w:rsidP="00D345AB">
            <w:pPr>
              <w:jc w:val="both"/>
              <w:rPr>
                <w:sz w:val="24"/>
              </w:rPr>
            </w:pPr>
          </w:p>
        </w:tc>
        <w:tc>
          <w:tcPr>
            <w:tcW w:w="630" w:type="dxa"/>
          </w:tcPr>
          <w:p w14:paraId="6CD371F2" w14:textId="77777777" w:rsidR="005642CF" w:rsidRPr="00D345AB" w:rsidRDefault="005642CF" w:rsidP="00D345AB">
            <w:pPr>
              <w:jc w:val="both"/>
              <w:rPr>
                <w:sz w:val="24"/>
              </w:rPr>
            </w:pPr>
          </w:p>
        </w:tc>
        <w:tc>
          <w:tcPr>
            <w:tcW w:w="630" w:type="dxa"/>
            <w:gridSpan w:val="2"/>
          </w:tcPr>
          <w:p w14:paraId="06C7468E" w14:textId="77777777" w:rsidR="005642CF" w:rsidRPr="00D345AB" w:rsidRDefault="005642CF" w:rsidP="00D345AB">
            <w:pPr>
              <w:jc w:val="both"/>
              <w:rPr>
                <w:sz w:val="24"/>
              </w:rPr>
            </w:pPr>
          </w:p>
        </w:tc>
        <w:tc>
          <w:tcPr>
            <w:tcW w:w="8640" w:type="dxa"/>
            <w:gridSpan w:val="3"/>
          </w:tcPr>
          <w:p w14:paraId="25EA6FF5" w14:textId="77777777" w:rsidR="005642CF" w:rsidRPr="00D345AB" w:rsidRDefault="008230CC" w:rsidP="00D345AB">
            <w:pPr>
              <w:jc w:val="both"/>
              <w:rPr>
                <w:sz w:val="24"/>
              </w:rPr>
            </w:pPr>
            <w:r w:rsidRPr="00D345AB">
              <w:rPr>
                <w:sz w:val="24"/>
              </w:rPr>
              <w:t xml:space="preserve">Have you forwarded all customer funds to the OSJ back office for submission to the investment vendor within 24 hours of receipt?  </w:t>
            </w:r>
          </w:p>
        </w:tc>
      </w:tr>
      <w:tr w:rsidR="005642CF" w:rsidRPr="00D345AB" w14:paraId="60B83DB3" w14:textId="77777777" w:rsidTr="00D86E95">
        <w:tc>
          <w:tcPr>
            <w:tcW w:w="630" w:type="dxa"/>
          </w:tcPr>
          <w:p w14:paraId="7EAFE860" w14:textId="77777777" w:rsidR="005642CF" w:rsidRPr="00D345AB" w:rsidRDefault="005642CF" w:rsidP="00D345AB">
            <w:pPr>
              <w:jc w:val="both"/>
              <w:rPr>
                <w:sz w:val="24"/>
              </w:rPr>
            </w:pPr>
          </w:p>
        </w:tc>
        <w:tc>
          <w:tcPr>
            <w:tcW w:w="630" w:type="dxa"/>
          </w:tcPr>
          <w:p w14:paraId="3D729B91" w14:textId="77777777" w:rsidR="005642CF" w:rsidRPr="00D345AB" w:rsidRDefault="005642CF" w:rsidP="00D345AB">
            <w:pPr>
              <w:jc w:val="both"/>
              <w:rPr>
                <w:sz w:val="24"/>
              </w:rPr>
            </w:pPr>
          </w:p>
        </w:tc>
        <w:tc>
          <w:tcPr>
            <w:tcW w:w="630" w:type="dxa"/>
            <w:gridSpan w:val="2"/>
          </w:tcPr>
          <w:p w14:paraId="70C6EAB5" w14:textId="77777777" w:rsidR="005642CF" w:rsidRPr="00D345AB" w:rsidRDefault="005642CF" w:rsidP="00D345AB">
            <w:pPr>
              <w:jc w:val="both"/>
              <w:rPr>
                <w:sz w:val="24"/>
              </w:rPr>
            </w:pPr>
          </w:p>
        </w:tc>
        <w:tc>
          <w:tcPr>
            <w:tcW w:w="8640" w:type="dxa"/>
            <w:gridSpan w:val="3"/>
          </w:tcPr>
          <w:p w14:paraId="1A270436" w14:textId="77777777" w:rsidR="00273E71" w:rsidRPr="00D345AB" w:rsidRDefault="00273E71" w:rsidP="00BE2708">
            <w:pPr>
              <w:jc w:val="both"/>
              <w:rPr>
                <w:sz w:val="24"/>
              </w:rPr>
            </w:pPr>
            <w:r w:rsidRPr="00D345AB">
              <w:rPr>
                <w:sz w:val="24"/>
              </w:rPr>
              <w:t xml:space="preserve">Have you reported any applicable private securities transactions to the Company?  </w:t>
            </w:r>
          </w:p>
          <w:p w14:paraId="65D9592A" w14:textId="77777777" w:rsidR="00AC3666" w:rsidRDefault="00AC3666" w:rsidP="00D345AB">
            <w:pPr>
              <w:jc w:val="both"/>
              <w:rPr>
                <w:sz w:val="24"/>
              </w:rPr>
            </w:pPr>
          </w:p>
          <w:p w14:paraId="5E3EA062" w14:textId="77777777" w:rsidR="00273E71" w:rsidRPr="00D345AB" w:rsidRDefault="00273E71" w:rsidP="00D345AB">
            <w:pPr>
              <w:jc w:val="both"/>
              <w:rPr>
                <w:sz w:val="24"/>
              </w:rPr>
            </w:pPr>
            <w:r w:rsidRPr="00D345AB">
              <w:rPr>
                <w:sz w:val="24"/>
              </w:rPr>
              <w:t>If No, please describe below the business activity, beginning date, and any compensation for such activity:</w:t>
            </w:r>
          </w:p>
          <w:p w14:paraId="239BC0AC" w14:textId="77777777" w:rsidR="005642CF" w:rsidRDefault="005642CF" w:rsidP="00D345AB">
            <w:pPr>
              <w:jc w:val="both"/>
              <w:rPr>
                <w:sz w:val="24"/>
              </w:rPr>
            </w:pPr>
          </w:p>
          <w:p w14:paraId="293B3DA2" w14:textId="77777777" w:rsidR="007509F2" w:rsidRPr="00D345AB" w:rsidRDefault="007509F2" w:rsidP="00D345AB">
            <w:pPr>
              <w:jc w:val="both"/>
              <w:rPr>
                <w:sz w:val="24"/>
              </w:rPr>
            </w:pPr>
          </w:p>
        </w:tc>
      </w:tr>
      <w:tr w:rsidR="008230CC" w:rsidRPr="00D345AB" w14:paraId="3E2FC653" w14:textId="77777777" w:rsidTr="00D86E95">
        <w:tc>
          <w:tcPr>
            <w:tcW w:w="630" w:type="dxa"/>
          </w:tcPr>
          <w:p w14:paraId="1723F1AB" w14:textId="77777777" w:rsidR="008230CC" w:rsidRPr="00D345AB" w:rsidRDefault="008230CC" w:rsidP="00D345AB">
            <w:pPr>
              <w:jc w:val="both"/>
              <w:rPr>
                <w:sz w:val="24"/>
              </w:rPr>
            </w:pPr>
          </w:p>
        </w:tc>
        <w:tc>
          <w:tcPr>
            <w:tcW w:w="630" w:type="dxa"/>
          </w:tcPr>
          <w:p w14:paraId="58FAE757" w14:textId="77777777" w:rsidR="008230CC" w:rsidRPr="00D345AB" w:rsidRDefault="008230CC" w:rsidP="00D345AB">
            <w:pPr>
              <w:jc w:val="both"/>
              <w:rPr>
                <w:sz w:val="24"/>
              </w:rPr>
            </w:pPr>
          </w:p>
        </w:tc>
        <w:tc>
          <w:tcPr>
            <w:tcW w:w="630" w:type="dxa"/>
            <w:gridSpan w:val="2"/>
          </w:tcPr>
          <w:p w14:paraId="2C89D39E" w14:textId="77777777" w:rsidR="008230CC" w:rsidRPr="00D345AB" w:rsidRDefault="008230CC" w:rsidP="00D345AB">
            <w:pPr>
              <w:jc w:val="both"/>
              <w:rPr>
                <w:sz w:val="24"/>
              </w:rPr>
            </w:pPr>
          </w:p>
        </w:tc>
        <w:tc>
          <w:tcPr>
            <w:tcW w:w="8640" w:type="dxa"/>
            <w:gridSpan w:val="3"/>
          </w:tcPr>
          <w:p w14:paraId="3E88142A" w14:textId="77777777" w:rsidR="00AC3666" w:rsidRPr="00DA265F" w:rsidRDefault="00AB05CF" w:rsidP="00ED7BA8">
            <w:pPr>
              <w:rPr>
                <w:sz w:val="24"/>
              </w:rPr>
            </w:pPr>
            <w:r w:rsidRPr="00D345AB">
              <w:rPr>
                <w:sz w:val="24"/>
              </w:rPr>
              <w:t>Have you reported all outside business activities for which you receive compensation</w:t>
            </w:r>
            <w:r w:rsidR="00ED7BA8">
              <w:rPr>
                <w:sz w:val="24"/>
              </w:rPr>
              <w:t xml:space="preserve"> </w:t>
            </w:r>
            <w:r w:rsidR="00ED7BA8" w:rsidRPr="00DA265F">
              <w:rPr>
                <w:sz w:val="24"/>
              </w:rPr>
              <w:t xml:space="preserve">or in which you serve on the board, as an officer, or any controlling position for an entity (including charitable </w:t>
            </w:r>
            <w:r w:rsidR="009D1EFC" w:rsidRPr="00DA265F">
              <w:rPr>
                <w:sz w:val="24"/>
              </w:rPr>
              <w:t>organizations</w:t>
            </w:r>
            <w:r w:rsidR="00ED7BA8" w:rsidRPr="00DA265F">
              <w:rPr>
                <w:sz w:val="24"/>
              </w:rPr>
              <w:t>)</w:t>
            </w:r>
            <w:r w:rsidR="009D1EFC" w:rsidRPr="00DA265F">
              <w:rPr>
                <w:sz w:val="24"/>
              </w:rPr>
              <w:t xml:space="preserve"> for compensation or not</w:t>
            </w:r>
            <w:r w:rsidRPr="00DA265F">
              <w:rPr>
                <w:sz w:val="24"/>
              </w:rPr>
              <w:t>?</w:t>
            </w:r>
            <w:r w:rsidR="00BE2708" w:rsidRPr="00DA265F">
              <w:rPr>
                <w:sz w:val="24"/>
              </w:rPr>
              <w:t xml:space="preserve">  </w:t>
            </w:r>
          </w:p>
          <w:p w14:paraId="057A58D7" w14:textId="77777777" w:rsidR="00AC3666" w:rsidRDefault="00AC3666" w:rsidP="00D345AB">
            <w:pPr>
              <w:jc w:val="both"/>
              <w:rPr>
                <w:sz w:val="24"/>
              </w:rPr>
            </w:pPr>
          </w:p>
          <w:p w14:paraId="41AEF1D1" w14:textId="77777777" w:rsidR="00AB05CF" w:rsidRPr="00D345AB" w:rsidRDefault="00AB05CF" w:rsidP="00D345AB">
            <w:pPr>
              <w:jc w:val="both"/>
              <w:rPr>
                <w:sz w:val="24"/>
              </w:rPr>
            </w:pPr>
            <w:r w:rsidRPr="00D345AB">
              <w:rPr>
                <w:sz w:val="24"/>
              </w:rPr>
              <w:t>If No, please describe activity, beginning date, and compensation for such activity:</w:t>
            </w:r>
          </w:p>
          <w:p w14:paraId="6F7FC43A" w14:textId="77777777" w:rsidR="00755F7A" w:rsidRPr="00D345AB" w:rsidRDefault="00755F7A" w:rsidP="00D345AB">
            <w:pPr>
              <w:jc w:val="both"/>
              <w:rPr>
                <w:sz w:val="24"/>
              </w:rPr>
            </w:pPr>
          </w:p>
          <w:p w14:paraId="1397D517" w14:textId="77777777" w:rsidR="008230CC" w:rsidRDefault="008230CC" w:rsidP="00D345AB">
            <w:pPr>
              <w:jc w:val="both"/>
              <w:rPr>
                <w:sz w:val="24"/>
              </w:rPr>
            </w:pPr>
          </w:p>
          <w:p w14:paraId="42D69C1C" w14:textId="77777777" w:rsidR="007509F2" w:rsidRPr="00D345AB" w:rsidRDefault="007509F2" w:rsidP="00D345AB">
            <w:pPr>
              <w:jc w:val="both"/>
              <w:rPr>
                <w:sz w:val="24"/>
              </w:rPr>
            </w:pPr>
          </w:p>
        </w:tc>
      </w:tr>
      <w:tr w:rsidR="00C62C0B" w:rsidRPr="00D345AB" w14:paraId="370B84F2" w14:textId="77777777" w:rsidTr="00D86E95">
        <w:tc>
          <w:tcPr>
            <w:tcW w:w="630" w:type="dxa"/>
          </w:tcPr>
          <w:p w14:paraId="49D8240F" w14:textId="77777777" w:rsidR="00C62C0B" w:rsidRPr="00D345AB" w:rsidRDefault="00C62C0B" w:rsidP="00D345AB">
            <w:pPr>
              <w:jc w:val="both"/>
              <w:rPr>
                <w:sz w:val="24"/>
              </w:rPr>
            </w:pPr>
          </w:p>
        </w:tc>
        <w:tc>
          <w:tcPr>
            <w:tcW w:w="630" w:type="dxa"/>
          </w:tcPr>
          <w:p w14:paraId="03EC3F5A" w14:textId="77777777" w:rsidR="00C62C0B" w:rsidRPr="00D345AB" w:rsidRDefault="00C62C0B" w:rsidP="00D345AB">
            <w:pPr>
              <w:jc w:val="both"/>
              <w:rPr>
                <w:sz w:val="24"/>
              </w:rPr>
            </w:pPr>
          </w:p>
        </w:tc>
        <w:tc>
          <w:tcPr>
            <w:tcW w:w="630" w:type="dxa"/>
            <w:gridSpan w:val="2"/>
          </w:tcPr>
          <w:p w14:paraId="19470264" w14:textId="77777777" w:rsidR="00C62C0B" w:rsidRPr="00D345AB" w:rsidRDefault="00C62C0B" w:rsidP="00D345AB">
            <w:pPr>
              <w:jc w:val="both"/>
              <w:rPr>
                <w:sz w:val="24"/>
              </w:rPr>
            </w:pPr>
          </w:p>
        </w:tc>
        <w:tc>
          <w:tcPr>
            <w:tcW w:w="8640" w:type="dxa"/>
            <w:gridSpan w:val="3"/>
          </w:tcPr>
          <w:p w14:paraId="54336DA0" w14:textId="77777777" w:rsidR="00C62C0B" w:rsidRPr="00D345AB" w:rsidRDefault="00C62C0B" w:rsidP="00D345AB">
            <w:pPr>
              <w:jc w:val="both"/>
              <w:rPr>
                <w:sz w:val="24"/>
              </w:rPr>
            </w:pPr>
            <w:r w:rsidRPr="00D345AB">
              <w:rPr>
                <w:sz w:val="24"/>
              </w:rPr>
              <w:t xml:space="preserve">Has your home address changed from the previous address reported to the Company or changed in the past year?    </w:t>
            </w:r>
          </w:p>
          <w:p w14:paraId="54016EE9" w14:textId="77777777" w:rsidR="007509F2" w:rsidRDefault="007509F2" w:rsidP="00D345AB">
            <w:pPr>
              <w:jc w:val="both"/>
              <w:rPr>
                <w:sz w:val="24"/>
              </w:rPr>
            </w:pPr>
          </w:p>
          <w:p w14:paraId="5608CE0A" w14:textId="77777777" w:rsidR="00C62C0B" w:rsidRPr="00D345AB" w:rsidRDefault="00C62C0B" w:rsidP="00D345AB">
            <w:pPr>
              <w:jc w:val="both"/>
              <w:rPr>
                <w:sz w:val="24"/>
              </w:rPr>
            </w:pPr>
            <w:r w:rsidRPr="00D345AB">
              <w:rPr>
                <w:sz w:val="24"/>
              </w:rPr>
              <w:t>If Yes, please provide new address and effective date below:</w:t>
            </w:r>
          </w:p>
          <w:p w14:paraId="2AD536F7" w14:textId="77777777" w:rsidR="00C62C0B" w:rsidRPr="00D345AB" w:rsidRDefault="00C62C0B" w:rsidP="008230CC">
            <w:pPr>
              <w:rPr>
                <w:sz w:val="24"/>
              </w:rPr>
            </w:pPr>
          </w:p>
          <w:p w14:paraId="50AA79B2" w14:textId="77777777" w:rsidR="00C62C0B" w:rsidRPr="00D345AB" w:rsidRDefault="00C62C0B" w:rsidP="008230CC">
            <w:pPr>
              <w:rPr>
                <w:sz w:val="24"/>
              </w:rPr>
            </w:pPr>
          </w:p>
        </w:tc>
      </w:tr>
      <w:tr w:rsidR="007509F2" w:rsidRPr="00D345AB" w14:paraId="3F546461" w14:textId="77777777" w:rsidTr="00D86E95">
        <w:tc>
          <w:tcPr>
            <w:tcW w:w="630" w:type="dxa"/>
          </w:tcPr>
          <w:p w14:paraId="4FF8053D" w14:textId="77777777" w:rsidR="007509F2" w:rsidRPr="00D345AB" w:rsidRDefault="007509F2" w:rsidP="00D345AB">
            <w:pPr>
              <w:jc w:val="both"/>
              <w:rPr>
                <w:sz w:val="24"/>
              </w:rPr>
            </w:pPr>
          </w:p>
        </w:tc>
        <w:tc>
          <w:tcPr>
            <w:tcW w:w="630" w:type="dxa"/>
          </w:tcPr>
          <w:p w14:paraId="78EDE061" w14:textId="77777777" w:rsidR="007509F2" w:rsidRPr="00D345AB" w:rsidRDefault="007509F2" w:rsidP="00D345AB">
            <w:pPr>
              <w:jc w:val="both"/>
              <w:rPr>
                <w:sz w:val="24"/>
              </w:rPr>
            </w:pPr>
          </w:p>
        </w:tc>
        <w:tc>
          <w:tcPr>
            <w:tcW w:w="630" w:type="dxa"/>
            <w:gridSpan w:val="2"/>
          </w:tcPr>
          <w:p w14:paraId="58C5E6AB" w14:textId="77777777" w:rsidR="007509F2" w:rsidRPr="00D345AB" w:rsidRDefault="007509F2" w:rsidP="00D345AB">
            <w:pPr>
              <w:jc w:val="both"/>
              <w:rPr>
                <w:sz w:val="24"/>
              </w:rPr>
            </w:pPr>
          </w:p>
        </w:tc>
        <w:tc>
          <w:tcPr>
            <w:tcW w:w="8640" w:type="dxa"/>
            <w:gridSpan w:val="3"/>
          </w:tcPr>
          <w:p w14:paraId="3B2F0AA8" w14:textId="77777777" w:rsidR="00BE2708" w:rsidRDefault="007509F2" w:rsidP="00BE2708">
            <w:pPr>
              <w:jc w:val="both"/>
              <w:rPr>
                <w:sz w:val="24"/>
              </w:rPr>
            </w:pPr>
            <w:r w:rsidRPr="00D345AB">
              <w:rPr>
                <w:sz w:val="24"/>
              </w:rPr>
              <w:t xml:space="preserve">Do you currently maintain a listing in the white or yellow pages of the telephone or other directory?    </w:t>
            </w:r>
          </w:p>
          <w:p w14:paraId="16B8B563" w14:textId="77777777" w:rsidR="008C12A0" w:rsidRDefault="008C12A0" w:rsidP="00BE2708">
            <w:pPr>
              <w:jc w:val="both"/>
              <w:rPr>
                <w:sz w:val="24"/>
              </w:rPr>
            </w:pPr>
          </w:p>
          <w:p w14:paraId="47134F16" w14:textId="77777777" w:rsidR="00EA41B0" w:rsidRDefault="007509F2" w:rsidP="00BE2708">
            <w:pPr>
              <w:jc w:val="both"/>
              <w:rPr>
                <w:sz w:val="24"/>
              </w:rPr>
            </w:pPr>
            <w:r w:rsidRPr="00D345AB">
              <w:rPr>
                <w:sz w:val="24"/>
              </w:rPr>
              <w:t>If Yes, under what name:</w:t>
            </w:r>
          </w:p>
          <w:p w14:paraId="4ACDDAB4" w14:textId="77777777" w:rsidR="00EA41B0" w:rsidRPr="00D345AB" w:rsidRDefault="00EA41B0" w:rsidP="00BE2708">
            <w:pPr>
              <w:jc w:val="both"/>
              <w:rPr>
                <w:sz w:val="24"/>
              </w:rPr>
            </w:pPr>
          </w:p>
          <w:p w14:paraId="564C11D1" w14:textId="77777777" w:rsidR="00BE2708" w:rsidRPr="00D345AB" w:rsidRDefault="00BE2708" w:rsidP="00C62C0B">
            <w:pPr>
              <w:rPr>
                <w:sz w:val="24"/>
              </w:rPr>
            </w:pPr>
          </w:p>
        </w:tc>
      </w:tr>
      <w:tr w:rsidR="00BE2708" w:rsidRPr="00D345AB" w14:paraId="5EC494F4" w14:textId="77777777" w:rsidTr="00216F83">
        <w:tc>
          <w:tcPr>
            <w:tcW w:w="630" w:type="dxa"/>
            <w:shd w:val="clear" w:color="auto" w:fill="A6A6A6"/>
          </w:tcPr>
          <w:p w14:paraId="239BB4D5" w14:textId="77777777" w:rsidR="00BE2708" w:rsidRPr="0034657A" w:rsidRDefault="00BE2708" w:rsidP="008C12A0">
            <w:pPr>
              <w:jc w:val="both"/>
              <w:rPr>
                <w:b/>
                <w:sz w:val="24"/>
              </w:rPr>
            </w:pPr>
            <w:r>
              <w:rPr>
                <w:b/>
                <w:sz w:val="24"/>
              </w:rPr>
              <w:lastRenderedPageBreak/>
              <w:t xml:space="preserve">Yes </w:t>
            </w:r>
          </w:p>
        </w:tc>
        <w:tc>
          <w:tcPr>
            <w:tcW w:w="630" w:type="dxa"/>
            <w:shd w:val="clear" w:color="auto" w:fill="A6A6A6"/>
          </w:tcPr>
          <w:p w14:paraId="27750FD2" w14:textId="77777777" w:rsidR="00BE2708" w:rsidRPr="0034657A" w:rsidRDefault="00BE2708" w:rsidP="008C12A0">
            <w:pPr>
              <w:jc w:val="both"/>
              <w:rPr>
                <w:b/>
                <w:sz w:val="24"/>
              </w:rPr>
            </w:pPr>
            <w:r>
              <w:rPr>
                <w:b/>
                <w:sz w:val="24"/>
              </w:rPr>
              <w:t>No</w:t>
            </w:r>
          </w:p>
        </w:tc>
        <w:tc>
          <w:tcPr>
            <w:tcW w:w="630" w:type="dxa"/>
            <w:gridSpan w:val="2"/>
            <w:shd w:val="clear" w:color="auto" w:fill="A6A6A6"/>
          </w:tcPr>
          <w:p w14:paraId="50ECA6DB" w14:textId="77777777" w:rsidR="00BE2708" w:rsidRPr="0034657A" w:rsidRDefault="00BE2708" w:rsidP="008C12A0">
            <w:pPr>
              <w:jc w:val="both"/>
              <w:rPr>
                <w:b/>
                <w:sz w:val="24"/>
              </w:rPr>
            </w:pPr>
            <w:r>
              <w:rPr>
                <w:b/>
                <w:sz w:val="24"/>
              </w:rPr>
              <w:t>N/A</w:t>
            </w:r>
          </w:p>
        </w:tc>
        <w:tc>
          <w:tcPr>
            <w:tcW w:w="8640" w:type="dxa"/>
            <w:gridSpan w:val="3"/>
            <w:shd w:val="clear" w:color="auto" w:fill="A6A6A6"/>
          </w:tcPr>
          <w:p w14:paraId="21CA08E9" w14:textId="77777777" w:rsidR="00BE2708" w:rsidRPr="0034657A" w:rsidRDefault="00BE2708" w:rsidP="008C12A0">
            <w:pPr>
              <w:rPr>
                <w:b/>
                <w:sz w:val="24"/>
              </w:rPr>
            </w:pPr>
            <w:r>
              <w:rPr>
                <w:b/>
                <w:sz w:val="24"/>
              </w:rPr>
              <w:t>Question</w:t>
            </w:r>
          </w:p>
        </w:tc>
      </w:tr>
      <w:tr w:rsidR="00BE2708" w:rsidRPr="00D345AB" w14:paraId="6927828E" w14:textId="77777777" w:rsidTr="00D86E95">
        <w:tc>
          <w:tcPr>
            <w:tcW w:w="630" w:type="dxa"/>
          </w:tcPr>
          <w:p w14:paraId="36934B54" w14:textId="77777777" w:rsidR="00BE2708" w:rsidRPr="00D345AB" w:rsidRDefault="00BE2708" w:rsidP="00D345AB">
            <w:pPr>
              <w:jc w:val="both"/>
              <w:rPr>
                <w:sz w:val="24"/>
              </w:rPr>
            </w:pPr>
          </w:p>
        </w:tc>
        <w:tc>
          <w:tcPr>
            <w:tcW w:w="630" w:type="dxa"/>
          </w:tcPr>
          <w:p w14:paraId="4BBDA491" w14:textId="77777777" w:rsidR="00BE2708" w:rsidRPr="00D345AB" w:rsidRDefault="00BE2708" w:rsidP="00D345AB">
            <w:pPr>
              <w:jc w:val="both"/>
              <w:rPr>
                <w:sz w:val="24"/>
              </w:rPr>
            </w:pPr>
          </w:p>
        </w:tc>
        <w:tc>
          <w:tcPr>
            <w:tcW w:w="630" w:type="dxa"/>
            <w:gridSpan w:val="2"/>
          </w:tcPr>
          <w:p w14:paraId="455F1A5A" w14:textId="77777777" w:rsidR="00BE2708" w:rsidRPr="00D345AB" w:rsidRDefault="00BE2708" w:rsidP="00D345AB">
            <w:pPr>
              <w:jc w:val="both"/>
              <w:rPr>
                <w:sz w:val="24"/>
              </w:rPr>
            </w:pPr>
          </w:p>
        </w:tc>
        <w:tc>
          <w:tcPr>
            <w:tcW w:w="8640" w:type="dxa"/>
            <w:gridSpan w:val="3"/>
          </w:tcPr>
          <w:p w14:paraId="6C82DA11" w14:textId="77777777" w:rsidR="00BE2708" w:rsidRPr="0089067B" w:rsidRDefault="00BE2708" w:rsidP="008230CC">
            <w:pPr>
              <w:rPr>
                <w:sz w:val="24"/>
                <w:szCs w:val="24"/>
              </w:rPr>
            </w:pPr>
            <w:r w:rsidRPr="0089067B">
              <w:rPr>
                <w:sz w:val="24"/>
              </w:rPr>
              <w:t xml:space="preserve">Do you </w:t>
            </w:r>
            <w:r w:rsidR="003C7F8A" w:rsidRPr="0089067B">
              <w:rPr>
                <w:sz w:val="24"/>
              </w:rPr>
              <w:t xml:space="preserve">or your spouse </w:t>
            </w:r>
            <w:r w:rsidRPr="0089067B">
              <w:rPr>
                <w:sz w:val="24"/>
              </w:rPr>
              <w:t xml:space="preserve">have a personal securities account?   </w:t>
            </w:r>
            <w:r w:rsidR="003C7F8A" w:rsidRPr="0089067B">
              <w:rPr>
                <w:sz w:val="24"/>
                <w:szCs w:val="24"/>
              </w:rPr>
              <w:t>This would include any account where you have a personal beneficial interest or any account where you have control over the investments</w:t>
            </w:r>
          </w:p>
          <w:p w14:paraId="72F4A32D" w14:textId="77777777" w:rsidR="00BE2708" w:rsidRPr="00D345AB" w:rsidRDefault="00BE2708" w:rsidP="008230CC">
            <w:pPr>
              <w:rPr>
                <w:sz w:val="24"/>
              </w:rPr>
            </w:pPr>
            <w:r w:rsidRPr="00D345AB">
              <w:rPr>
                <w:sz w:val="24"/>
              </w:rPr>
              <w:t>Mutual Funds only _____ General Securities _____</w:t>
            </w:r>
          </w:p>
          <w:p w14:paraId="2E24EFDB" w14:textId="77777777" w:rsidR="00BE2708" w:rsidRPr="00D345AB" w:rsidRDefault="00BE2708" w:rsidP="00D345AB">
            <w:pPr>
              <w:ind w:left="720"/>
              <w:jc w:val="both"/>
              <w:rPr>
                <w:sz w:val="24"/>
              </w:rPr>
            </w:pPr>
          </w:p>
          <w:p w14:paraId="5A127DCC" w14:textId="1C9E2C71" w:rsidR="00BE2708" w:rsidRPr="00D345AB" w:rsidRDefault="00BE2708" w:rsidP="00D345AB">
            <w:pPr>
              <w:jc w:val="both"/>
              <w:rPr>
                <w:sz w:val="24"/>
              </w:rPr>
            </w:pPr>
            <w:r w:rsidRPr="00D345AB">
              <w:rPr>
                <w:sz w:val="24"/>
              </w:rPr>
              <w:t xml:space="preserve">If you answered Yes to a General Securities account, and it is held </w:t>
            </w:r>
            <w:r w:rsidRPr="00D345AB">
              <w:rPr>
                <w:sz w:val="24"/>
                <w:u w:val="single"/>
              </w:rPr>
              <w:t>outside</w:t>
            </w:r>
            <w:r w:rsidRPr="00D345AB">
              <w:rPr>
                <w:sz w:val="24"/>
              </w:rPr>
              <w:t xml:space="preserve"> of Woodlands Securities Corporation or </w:t>
            </w:r>
            <w:r w:rsidR="00802F70" w:rsidRPr="00802F70">
              <w:rPr>
                <w:color w:val="FF0000"/>
                <w:sz w:val="24"/>
              </w:rPr>
              <w:t>RIA</w:t>
            </w:r>
            <w:r w:rsidRPr="00D345AB">
              <w:rPr>
                <w:sz w:val="24"/>
              </w:rPr>
              <w:t>, provide the information below:</w:t>
            </w:r>
          </w:p>
          <w:p w14:paraId="1270E1C4" w14:textId="77777777" w:rsidR="00BE2708" w:rsidRPr="00D345AB" w:rsidRDefault="00BE2708" w:rsidP="00D345AB">
            <w:pPr>
              <w:jc w:val="both"/>
              <w:rPr>
                <w:sz w:val="24"/>
              </w:rPr>
            </w:pPr>
          </w:p>
          <w:p w14:paraId="0F91C9D6" w14:textId="77777777" w:rsidR="00BE2708" w:rsidRPr="00DA265F" w:rsidRDefault="00BE2708" w:rsidP="00D345AB">
            <w:pPr>
              <w:ind w:left="720" w:hanging="720"/>
              <w:rPr>
                <w:sz w:val="24"/>
              </w:rPr>
            </w:pPr>
            <w:r w:rsidRPr="00D345AB">
              <w:rPr>
                <w:sz w:val="24"/>
              </w:rPr>
              <w:t>Name of broker/dealer:</w:t>
            </w:r>
            <w:r w:rsidR="00D02980">
              <w:rPr>
                <w:sz w:val="24"/>
              </w:rPr>
              <w:t xml:space="preserve"> _______________________________________________</w:t>
            </w:r>
          </w:p>
          <w:p w14:paraId="66F8E1F8" w14:textId="77777777" w:rsidR="00BE2708" w:rsidRPr="00D345AB" w:rsidRDefault="00BE2708" w:rsidP="00D345AB">
            <w:pPr>
              <w:ind w:left="720" w:hanging="720"/>
              <w:rPr>
                <w:sz w:val="24"/>
              </w:rPr>
            </w:pPr>
          </w:p>
          <w:p w14:paraId="7501CF04" w14:textId="77777777" w:rsidR="00BE2708" w:rsidRPr="00D345AB" w:rsidRDefault="00BE2708" w:rsidP="00D345AB">
            <w:pPr>
              <w:ind w:left="720" w:hanging="720"/>
              <w:rPr>
                <w:sz w:val="24"/>
              </w:rPr>
            </w:pPr>
            <w:r w:rsidRPr="00D345AB">
              <w:rPr>
                <w:sz w:val="24"/>
              </w:rPr>
              <w:t xml:space="preserve">Phone Number: </w:t>
            </w:r>
            <w:r w:rsidR="00D02980">
              <w:rPr>
                <w:sz w:val="24"/>
              </w:rPr>
              <w:t xml:space="preserve">(____) ______________  </w:t>
            </w:r>
            <w:r w:rsidRPr="00D345AB">
              <w:rPr>
                <w:sz w:val="24"/>
              </w:rPr>
              <w:t>Account Number:</w:t>
            </w:r>
            <w:r w:rsidR="00D02980">
              <w:rPr>
                <w:sz w:val="24"/>
              </w:rPr>
              <w:t xml:space="preserve"> _________________</w:t>
            </w:r>
          </w:p>
          <w:p w14:paraId="616FCA2E" w14:textId="77777777" w:rsidR="00BE2708" w:rsidRPr="00D345AB" w:rsidRDefault="00BE2708" w:rsidP="00D345AB">
            <w:pPr>
              <w:ind w:left="720" w:hanging="720"/>
              <w:rPr>
                <w:sz w:val="24"/>
              </w:rPr>
            </w:pPr>
          </w:p>
          <w:p w14:paraId="18AC3F20" w14:textId="77777777" w:rsidR="00BE2708" w:rsidRDefault="00BE2708" w:rsidP="00D345AB">
            <w:pPr>
              <w:ind w:left="720" w:hanging="720"/>
              <w:rPr>
                <w:sz w:val="24"/>
              </w:rPr>
            </w:pPr>
            <w:r w:rsidRPr="00D345AB">
              <w:rPr>
                <w:sz w:val="24"/>
              </w:rPr>
              <w:t>Account Name:</w:t>
            </w:r>
            <w:r w:rsidR="00E8079A">
              <w:rPr>
                <w:sz w:val="24"/>
              </w:rPr>
              <w:t xml:space="preserve"> _____________________________________________________</w:t>
            </w:r>
          </w:p>
          <w:p w14:paraId="22FE5E22" w14:textId="77777777" w:rsidR="00E8079A" w:rsidRPr="00D345AB" w:rsidRDefault="00E8079A" w:rsidP="00D345AB">
            <w:pPr>
              <w:ind w:left="720" w:hanging="720"/>
              <w:rPr>
                <w:sz w:val="24"/>
              </w:rPr>
            </w:pPr>
          </w:p>
          <w:p w14:paraId="136DF7F9" w14:textId="77777777" w:rsidR="00BE2708" w:rsidRPr="00E8079A" w:rsidRDefault="00BE2708" w:rsidP="00D345AB">
            <w:pPr>
              <w:ind w:left="720" w:hanging="720"/>
              <w:rPr>
                <w:sz w:val="24"/>
              </w:rPr>
            </w:pPr>
            <w:r w:rsidRPr="00D345AB">
              <w:rPr>
                <w:sz w:val="24"/>
              </w:rPr>
              <w:t xml:space="preserve">Account Representative: </w:t>
            </w:r>
            <w:r w:rsidR="00E8079A">
              <w:rPr>
                <w:sz w:val="24"/>
              </w:rPr>
              <w:t>______________________________________________</w:t>
            </w:r>
          </w:p>
          <w:p w14:paraId="7CCED914" w14:textId="77777777" w:rsidR="00E8079A" w:rsidRPr="00D345AB" w:rsidRDefault="00E8079A" w:rsidP="00D345AB">
            <w:pPr>
              <w:ind w:left="720" w:hanging="720"/>
              <w:rPr>
                <w:sz w:val="24"/>
              </w:rPr>
            </w:pPr>
          </w:p>
          <w:p w14:paraId="266ADB5D" w14:textId="77777777" w:rsidR="00BE2708" w:rsidRPr="00D345AB" w:rsidRDefault="00BE2708" w:rsidP="00D345AB">
            <w:pPr>
              <w:ind w:left="720" w:hanging="720"/>
              <w:rPr>
                <w:sz w:val="24"/>
              </w:rPr>
            </w:pPr>
            <w:r w:rsidRPr="00D345AB">
              <w:rPr>
                <w:sz w:val="24"/>
              </w:rPr>
              <w:t>Previously reported to Compliance Department:</w:t>
            </w:r>
            <w:r w:rsidRPr="00D345AB">
              <w:rPr>
                <w:sz w:val="24"/>
              </w:rPr>
              <w:tab/>
              <w:t>Yes _____ No _____</w:t>
            </w:r>
          </w:p>
          <w:p w14:paraId="6C6E4571" w14:textId="77777777" w:rsidR="00BE2708" w:rsidRPr="00D345AB" w:rsidRDefault="00BE2708" w:rsidP="00D345AB">
            <w:pPr>
              <w:ind w:left="720" w:hanging="720"/>
              <w:rPr>
                <w:sz w:val="24"/>
              </w:rPr>
            </w:pPr>
          </w:p>
          <w:p w14:paraId="5D6AE4E7" w14:textId="77777777" w:rsidR="00BE2708" w:rsidRPr="00D345AB" w:rsidRDefault="00BE2708" w:rsidP="008230CC">
            <w:pPr>
              <w:rPr>
                <w:sz w:val="24"/>
              </w:rPr>
            </w:pPr>
            <w:r w:rsidRPr="00D345AB">
              <w:rPr>
                <w:sz w:val="24"/>
              </w:rPr>
              <w:t xml:space="preserve">Does the Compliance Department currently receive duplicate monthly statements?   </w:t>
            </w:r>
          </w:p>
          <w:p w14:paraId="68DC5EA3" w14:textId="77777777" w:rsidR="00BE2708" w:rsidRPr="00D345AB" w:rsidRDefault="00BE2708" w:rsidP="00D345AB">
            <w:pPr>
              <w:jc w:val="both"/>
              <w:rPr>
                <w:sz w:val="24"/>
              </w:rPr>
            </w:pPr>
          </w:p>
        </w:tc>
      </w:tr>
      <w:tr w:rsidR="00A34589" w:rsidRPr="00D345AB" w14:paraId="6E747A75" w14:textId="77777777" w:rsidTr="00D6319C">
        <w:trPr>
          <w:trHeight w:val="827"/>
        </w:trPr>
        <w:tc>
          <w:tcPr>
            <w:tcW w:w="630" w:type="dxa"/>
            <w:tcBorders>
              <w:bottom w:val="single" w:sz="4" w:space="0" w:color="auto"/>
            </w:tcBorders>
          </w:tcPr>
          <w:p w14:paraId="2BC87EA5" w14:textId="77777777" w:rsidR="00A34589" w:rsidRPr="00D345AB" w:rsidRDefault="00A34589" w:rsidP="00D345AB">
            <w:pPr>
              <w:jc w:val="both"/>
              <w:rPr>
                <w:sz w:val="24"/>
              </w:rPr>
            </w:pPr>
          </w:p>
        </w:tc>
        <w:tc>
          <w:tcPr>
            <w:tcW w:w="630" w:type="dxa"/>
            <w:tcBorders>
              <w:bottom w:val="single" w:sz="4" w:space="0" w:color="auto"/>
            </w:tcBorders>
          </w:tcPr>
          <w:p w14:paraId="45AF397C" w14:textId="77777777" w:rsidR="00A34589" w:rsidRPr="00D345AB" w:rsidRDefault="00A34589" w:rsidP="00D345AB">
            <w:pPr>
              <w:jc w:val="both"/>
              <w:rPr>
                <w:sz w:val="24"/>
              </w:rPr>
            </w:pPr>
          </w:p>
        </w:tc>
        <w:tc>
          <w:tcPr>
            <w:tcW w:w="630" w:type="dxa"/>
            <w:gridSpan w:val="2"/>
            <w:tcBorders>
              <w:bottom w:val="single" w:sz="4" w:space="0" w:color="auto"/>
            </w:tcBorders>
          </w:tcPr>
          <w:p w14:paraId="6E3D3711" w14:textId="77777777" w:rsidR="00A34589" w:rsidRPr="00D345AB" w:rsidRDefault="00A34589" w:rsidP="00D345AB">
            <w:pPr>
              <w:jc w:val="both"/>
              <w:rPr>
                <w:sz w:val="24"/>
              </w:rPr>
            </w:pPr>
          </w:p>
        </w:tc>
        <w:tc>
          <w:tcPr>
            <w:tcW w:w="8640" w:type="dxa"/>
            <w:gridSpan w:val="3"/>
            <w:tcBorders>
              <w:bottom w:val="single" w:sz="4" w:space="0" w:color="auto"/>
            </w:tcBorders>
          </w:tcPr>
          <w:p w14:paraId="3D766C08" w14:textId="77777777" w:rsidR="00A34589" w:rsidRPr="00C47341" w:rsidRDefault="00C47341" w:rsidP="00D345AB">
            <w:pPr>
              <w:jc w:val="both"/>
              <w:rPr>
                <w:sz w:val="24"/>
              </w:rPr>
            </w:pPr>
            <w:r>
              <w:rPr>
                <w:sz w:val="24"/>
              </w:rPr>
              <w:t>Do you maintain a bank o</w:t>
            </w:r>
            <w:r w:rsidR="00A34589" w:rsidRPr="00C47341">
              <w:rPr>
                <w:sz w:val="24"/>
              </w:rPr>
              <w:t>r securities account with a Company customer that has not been previously reported to the Company?</w:t>
            </w:r>
            <w:r w:rsidR="004963B6" w:rsidRPr="00C47341">
              <w:rPr>
                <w:sz w:val="24"/>
              </w:rPr>
              <w:t xml:space="preserve">  If yes, explain:</w:t>
            </w:r>
          </w:p>
          <w:p w14:paraId="4B574810" w14:textId="77777777" w:rsidR="00A34589" w:rsidRPr="00D345AB" w:rsidRDefault="00A34589" w:rsidP="00D345AB">
            <w:pPr>
              <w:jc w:val="both"/>
              <w:rPr>
                <w:sz w:val="24"/>
              </w:rPr>
            </w:pPr>
          </w:p>
        </w:tc>
      </w:tr>
      <w:tr w:rsidR="00A34589" w:rsidRPr="00D345AB" w14:paraId="75507867" w14:textId="77777777" w:rsidTr="00D6319C">
        <w:trPr>
          <w:trHeight w:val="1260"/>
        </w:trPr>
        <w:tc>
          <w:tcPr>
            <w:tcW w:w="630" w:type="dxa"/>
            <w:tcBorders>
              <w:top w:val="single" w:sz="4" w:space="0" w:color="auto"/>
            </w:tcBorders>
          </w:tcPr>
          <w:p w14:paraId="058AC2E2" w14:textId="77777777" w:rsidR="00A34589" w:rsidRPr="00D345AB" w:rsidRDefault="00A34589" w:rsidP="00D345AB">
            <w:pPr>
              <w:jc w:val="both"/>
              <w:rPr>
                <w:sz w:val="24"/>
              </w:rPr>
            </w:pPr>
          </w:p>
        </w:tc>
        <w:tc>
          <w:tcPr>
            <w:tcW w:w="630" w:type="dxa"/>
            <w:tcBorders>
              <w:top w:val="single" w:sz="4" w:space="0" w:color="auto"/>
            </w:tcBorders>
          </w:tcPr>
          <w:p w14:paraId="37630CA1" w14:textId="77777777" w:rsidR="00A34589" w:rsidRPr="00D345AB" w:rsidRDefault="00A34589" w:rsidP="00D345AB">
            <w:pPr>
              <w:jc w:val="both"/>
              <w:rPr>
                <w:sz w:val="24"/>
              </w:rPr>
            </w:pPr>
          </w:p>
        </w:tc>
        <w:tc>
          <w:tcPr>
            <w:tcW w:w="630" w:type="dxa"/>
            <w:gridSpan w:val="2"/>
            <w:tcBorders>
              <w:top w:val="single" w:sz="4" w:space="0" w:color="auto"/>
            </w:tcBorders>
          </w:tcPr>
          <w:p w14:paraId="6DE83CA0" w14:textId="77777777" w:rsidR="00A34589" w:rsidRPr="00D345AB" w:rsidRDefault="00A34589" w:rsidP="00D345AB">
            <w:pPr>
              <w:jc w:val="both"/>
              <w:rPr>
                <w:sz w:val="24"/>
              </w:rPr>
            </w:pPr>
          </w:p>
        </w:tc>
        <w:tc>
          <w:tcPr>
            <w:tcW w:w="8640" w:type="dxa"/>
            <w:gridSpan w:val="3"/>
            <w:tcBorders>
              <w:top w:val="single" w:sz="4" w:space="0" w:color="auto"/>
            </w:tcBorders>
          </w:tcPr>
          <w:p w14:paraId="2CDE6A42" w14:textId="77777777" w:rsidR="00D6319C" w:rsidRPr="00C47341" w:rsidRDefault="00D6319C" w:rsidP="00D6319C">
            <w:pPr>
              <w:jc w:val="both"/>
              <w:rPr>
                <w:sz w:val="24"/>
              </w:rPr>
            </w:pPr>
            <w:r w:rsidRPr="00C47341">
              <w:rPr>
                <w:sz w:val="24"/>
              </w:rPr>
              <w:t>Do you have any interest in a foreign bank account(s)?</w:t>
            </w:r>
          </w:p>
          <w:p w14:paraId="6B9F2391" w14:textId="77777777" w:rsidR="00D6319C" w:rsidRPr="00C47341" w:rsidRDefault="00D6319C" w:rsidP="00D6319C">
            <w:pPr>
              <w:jc w:val="both"/>
              <w:rPr>
                <w:sz w:val="24"/>
              </w:rPr>
            </w:pPr>
            <w:r w:rsidRPr="00C47341">
              <w:rPr>
                <w:sz w:val="24"/>
              </w:rPr>
              <w:t>If yes, is the amount greater than $10,000?</w:t>
            </w:r>
          </w:p>
          <w:p w14:paraId="5324575A" w14:textId="77777777" w:rsidR="00D6319C" w:rsidRPr="00C47341" w:rsidRDefault="00D6319C" w:rsidP="00D6319C">
            <w:pPr>
              <w:jc w:val="both"/>
              <w:rPr>
                <w:sz w:val="24"/>
              </w:rPr>
            </w:pPr>
            <w:r w:rsidRPr="00C47341">
              <w:rPr>
                <w:sz w:val="24"/>
              </w:rPr>
              <w:t>If so, please provide further details here (name of bank, country, purpose, etc</w:t>
            </w:r>
            <w:r>
              <w:rPr>
                <w:sz w:val="24"/>
              </w:rPr>
              <w:t>.</w:t>
            </w:r>
            <w:r w:rsidRPr="00C47341">
              <w:rPr>
                <w:sz w:val="24"/>
              </w:rPr>
              <w:t>)</w:t>
            </w:r>
          </w:p>
          <w:p w14:paraId="016AB28D" w14:textId="77777777" w:rsidR="00A34589" w:rsidRDefault="00A34589" w:rsidP="00D345AB">
            <w:pPr>
              <w:jc w:val="both"/>
              <w:rPr>
                <w:color w:val="FF0000"/>
                <w:sz w:val="24"/>
              </w:rPr>
            </w:pPr>
          </w:p>
        </w:tc>
      </w:tr>
      <w:tr w:rsidR="00BE2708" w:rsidRPr="00D345AB" w14:paraId="60F0FFCE" w14:textId="77777777" w:rsidTr="00D86E95">
        <w:tc>
          <w:tcPr>
            <w:tcW w:w="630" w:type="dxa"/>
          </w:tcPr>
          <w:p w14:paraId="2B27F591" w14:textId="77777777" w:rsidR="00BE2708" w:rsidRPr="00D345AB" w:rsidRDefault="00BE2708" w:rsidP="00D345AB">
            <w:pPr>
              <w:jc w:val="both"/>
              <w:rPr>
                <w:sz w:val="24"/>
              </w:rPr>
            </w:pPr>
          </w:p>
        </w:tc>
        <w:tc>
          <w:tcPr>
            <w:tcW w:w="630" w:type="dxa"/>
          </w:tcPr>
          <w:p w14:paraId="37047B24" w14:textId="77777777" w:rsidR="00BE2708" w:rsidRPr="00D345AB" w:rsidRDefault="00BE2708" w:rsidP="00D345AB">
            <w:pPr>
              <w:jc w:val="both"/>
              <w:rPr>
                <w:sz w:val="24"/>
              </w:rPr>
            </w:pPr>
          </w:p>
        </w:tc>
        <w:tc>
          <w:tcPr>
            <w:tcW w:w="630" w:type="dxa"/>
            <w:gridSpan w:val="2"/>
          </w:tcPr>
          <w:p w14:paraId="41F4E826" w14:textId="77777777" w:rsidR="00BE2708" w:rsidRPr="00D345AB" w:rsidRDefault="00BE2708" w:rsidP="00D345AB">
            <w:pPr>
              <w:jc w:val="both"/>
              <w:rPr>
                <w:sz w:val="24"/>
              </w:rPr>
            </w:pPr>
          </w:p>
        </w:tc>
        <w:tc>
          <w:tcPr>
            <w:tcW w:w="8640" w:type="dxa"/>
            <w:gridSpan w:val="3"/>
          </w:tcPr>
          <w:p w14:paraId="6B7ACC00" w14:textId="77777777" w:rsidR="00BE2708" w:rsidRPr="00D345AB" w:rsidRDefault="00BE2708" w:rsidP="00D345AB">
            <w:pPr>
              <w:jc w:val="both"/>
              <w:rPr>
                <w:sz w:val="24"/>
              </w:rPr>
            </w:pPr>
            <w:r w:rsidRPr="00D345AB">
              <w:rPr>
                <w:sz w:val="24"/>
              </w:rPr>
              <w:t xml:space="preserve">Have you misstated or omitted a material fact regarding an investment to a customer?  </w:t>
            </w:r>
          </w:p>
        </w:tc>
      </w:tr>
      <w:tr w:rsidR="00BE2708" w:rsidRPr="00D345AB" w14:paraId="5D3C339A" w14:textId="77777777" w:rsidTr="00D86E95">
        <w:tc>
          <w:tcPr>
            <w:tcW w:w="630" w:type="dxa"/>
          </w:tcPr>
          <w:p w14:paraId="18925994" w14:textId="77777777" w:rsidR="00BE2708" w:rsidRPr="00D345AB" w:rsidRDefault="00BE2708" w:rsidP="00D345AB">
            <w:pPr>
              <w:jc w:val="both"/>
              <w:rPr>
                <w:sz w:val="24"/>
              </w:rPr>
            </w:pPr>
          </w:p>
        </w:tc>
        <w:tc>
          <w:tcPr>
            <w:tcW w:w="630" w:type="dxa"/>
          </w:tcPr>
          <w:p w14:paraId="41835124" w14:textId="77777777" w:rsidR="00BE2708" w:rsidRPr="00D345AB" w:rsidRDefault="00BE2708" w:rsidP="00D345AB">
            <w:pPr>
              <w:jc w:val="both"/>
              <w:rPr>
                <w:sz w:val="24"/>
              </w:rPr>
            </w:pPr>
          </w:p>
        </w:tc>
        <w:tc>
          <w:tcPr>
            <w:tcW w:w="630" w:type="dxa"/>
            <w:gridSpan w:val="2"/>
          </w:tcPr>
          <w:p w14:paraId="65CCABC4" w14:textId="77777777" w:rsidR="00BE2708" w:rsidRPr="00D345AB" w:rsidRDefault="00BE2708" w:rsidP="00D345AB">
            <w:pPr>
              <w:jc w:val="both"/>
              <w:rPr>
                <w:sz w:val="24"/>
              </w:rPr>
            </w:pPr>
          </w:p>
        </w:tc>
        <w:tc>
          <w:tcPr>
            <w:tcW w:w="8640" w:type="dxa"/>
            <w:gridSpan w:val="3"/>
          </w:tcPr>
          <w:p w14:paraId="77E6684C" w14:textId="77777777" w:rsidR="00BE2708" w:rsidRPr="00D345AB" w:rsidRDefault="00BE2708" w:rsidP="00D345AB">
            <w:pPr>
              <w:jc w:val="both"/>
              <w:rPr>
                <w:sz w:val="24"/>
              </w:rPr>
            </w:pPr>
            <w:r w:rsidRPr="00D345AB">
              <w:rPr>
                <w:sz w:val="24"/>
              </w:rPr>
              <w:t xml:space="preserve">Have you opened a fictitious account?     </w:t>
            </w:r>
          </w:p>
        </w:tc>
      </w:tr>
      <w:tr w:rsidR="00BE2708" w:rsidRPr="00D345AB" w14:paraId="0148F210" w14:textId="77777777" w:rsidTr="00D86E95">
        <w:tc>
          <w:tcPr>
            <w:tcW w:w="630" w:type="dxa"/>
          </w:tcPr>
          <w:p w14:paraId="69948EDB" w14:textId="77777777" w:rsidR="00BE2708" w:rsidRPr="00D345AB" w:rsidRDefault="00BE2708" w:rsidP="00D345AB">
            <w:pPr>
              <w:jc w:val="both"/>
              <w:rPr>
                <w:sz w:val="24"/>
              </w:rPr>
            </w:pPr>
          </w:p>
        </w:tc>
        <w:tc>
          <w:tcPr>
            <w:tcW w:w="630" w:type="dxa"/>
          </w:tcPr>
          <w:p w14:paraId="033967B1" w14:textId="77777777" w:rsidR="00BE2708" w:rsidRPr="00D345AB" w:rsidRDefault="00BE2708" w:rsidP="00D345AB">
            <w:pPr>
              <w:jc w:val="both"/>
              <w:rPr>
                <w:sz w:val="24"/>
              </w:rPr>
            </w:pPr>
          </w:p>
        </w:tc>
        <w:tc>
          <w:tcPr>
            <w:tcW w:w="630" w:type="dxa"/>
            <w:gridSpan w:val="2"/>
          </w:tcPr>
          <w:p w14:paraId="4C4B95A4" w14:textId="77777777" w:rsidR="00BE2708" w:rsidRPr="00D345AB" w:rsidRDefault="00BE2708" w:rsidP="00D345AB">
            <w:pPr>
              <w:jc w:val="both"/>
              <w:rPr>
                <w:sz w:val="24"/>
              </w:rPr>
            </w:pPr>
          </w:p>
        </w:tc>
        <w:tc>
          <w:tcPr>
            <w:tcW w:w="8640" w:type="dxa"/>
            <w:gridSpan w:val="3"/>
          </w:tcPr>
          <w:p w14:paraId="0AB89218" w14:textId="77777777" w:rsidR="00BE2708" w:rsidRPr="00D345AB" w:rsidRDefault="00BE2708" w:rsidP="00D345AB">
            <w:pPr>
              <w:jc w:val="both"/>
              <w:rPr>
                <w:sz w:val="24"/>
              </w:rPr>
            </w:pPr>
            <w:r w:rsidRPr="00D345AB">
              <w:rPr>
                <w:sz w:val="24"/>
              </w:rPr>
              <w:t xml:space="preserve">Have you solicited business or accepted an order before being properly licensed for the product and fully licensed in the state of residence of the customer?    </w:t>
            </w:r>
          </w:p>
          <w:p w14:paraId="65C96135" w14:textId="77777777" w:rsidR="00BE2708" w:rsidRDefault="00962A1D" w:rsidP="00D345AB">
            <w:pPr>
              <w:jc w:val="both"/>
              <w:rPr>
                <w:sz w:val="24"/>
              </w:rPr>
            </w:pPr>
            <w:r>
              <w:rPr>
                <w:sz w:val="24"/>
              </w:rPr>
              <w:t>If Yes, provide explanation</w:t>
            </w:r>
          </w:p>
          <w:p w14:paraId="79A31AD2" w14:textId="77777777" w:rsidR="00BE2708" w:rsidRPr="00D345AB" w:rsidRDefault="00BE2708" w:rsidP="00D345AB">
            <w:pPr>
              <w:jc w:val="both"/>
              <w:rPr>
                <w:sz w:val="24"/>
              </w:rPr>
            </w:pPr>
          </w:p>
        </w:tc>
      </w:tr>
      <w:tr w:rsidR="00BE2708" w:rsidRPr="00D345AB" w14:paraId="72234279" w14:textId="77777777" w:rsidTr="00D86E95">
        <w:tc>
          <w:tcPr>
            <w:tcW w:w="630" w:type="dxa"/>
          </w:tcPr>
          <w:p w14:paraId="667B0862" w14:textId="77777777" w:rsidR="00BE2708" w:rsidRPr="00D345AB" w:rsidRDefault="00BE2708" w:rsidP="00D345AB">
            <w:pPr>
              <w:jc w:val="both"/>
              <w:rPr>
                <w:sz w:val="24"/>
              </w:rPr>
            </w:pPr>
          </w:p>
        </w:tc>
        <w:tc>
          <w:tcPr>
            <w:tcW w:w="630" w:type="dxa"/>
          </w:tcPr>
          <w:p w14:paraId="18FD76C4" w14:textId="77777777" w:rsidR="00BE2708" w:rsidRPr="00D345AB" w:rsidRDefault="00BE2708" w:rsidP="00D345AB">
            <w:pPr>
              <w:jc w:val="both"/>
              <w:rPr>
                <w:sz w:val="24"/>
              </w:rPr>
            </w:pPr>
          </w:p>
        </w:tc>
        <w:tc>
          <w:tcPr>
            <w:tcW w:w="630" w:type="dxa"/>
            <w:gridSpan w:val="2"/>
          </w:tcPr>
          <w:p w14:paraId="4EC1F001" w14:textId="77777777" w:rsidR="00BE2708" w:rsidRPr="00D345AB" w:rsidRDefault="00BE2708" w:rsidP="00D345AB">
            <w:pPr>
              <w:jc w:val="both"/>
              <w:rPr>
                <w:sz w:val="24"/>
              </w:rPr>
            </w:pPr>
          </w:p>
        </w:tc>
        <w:tc>
          <w:tcPr>
            <w:tcW w:w="8640" w:type="dxa"/>
            <w:gridSpan w:val="3"/>
          </w:tcPr>
          <w:p w14:paraId="0121360D" w14:textId="77777777" w:rsidR="00BE2708" w:rsidRPr="00D345AB" w:rsidRDefault="00BE2708" w:rsidP="00D345AB">
            <w:pPr>
              <w:jc w:val="both"/>
              <w:rPr>
                <w:sz w:val="24"/>
              </w:rPr>
            </w:pPr>
            <w:r w:rsidRPr="00D345AB">
              <w:rPr>
                <w:sz w:val="24"/>
              </w:rPr>
              <w:t>Have you deposited customer funds into a personal or non-company bank account?</w:t>
            </w:r>
          </w:p>
        </w:tc>
      </w:tr>
      <w:tr w:rsidR="00BE2708" w:rsidRPr="00D345AB" w14:paraId="39C618E0" w14:textId="77777777" w:rsidTr="00D86E95">
        <w:tc>
          <w:tcPr>
            <w:tcW w:w="630" w:type="dxa"/>
          </w:tcPr>
          <w:p w14:paraId="4DBA0D2D" w14:textId="77777777" w:rsidR="00BE2708" w:rsidRPr="00D345AB" w:rsidRDefault="00BE2708" w:rsidP="00D345AB">
            <w:pPr>
              <w:jc w:val="both"/>
              <w:rPr>
                <w:sz w:val="24"/>
              </w:rPr>
            </w:pPr>
          </w:p>
        </w:tc>
        <w:tc>
          <w:tcPr>
            <w:tcW w:w="630" w:type="dxa"/>
          </w:tcPr>
          <w:p w14:paraId="7598480B" w14:textId="77777777" w:rsidR="00BE2708" w:rsidRPr="00D345AB" w:rsidRDefault="00BE2708" w:rsidP="00D345AB">
            <w:pPr>
              <w:jc w:val="both"/>
              <w:rPr>
                <w:sz w:val="24"/>
              </w:rPr>
            </w:pPr>
          </w:p>
        </w:tc>
        <w:tc>
          <w:tcPr>
            <w:tcW w:w="630" w:type="dxa"/>
            <w:gridSpan w:val="2"/>
          </w:tcPr>
          <w:p w14:paraId="6E10BFE2" w14:textId="77777777" w:rsidR="00BE2708" w:rsidRPr="00D345AB" w:rsidRDefault="00BE2708" w:rsidP="00D345AB">
            <w:pPr>
              <w:jc w:val="both"/>
              <w:rPr>
                <w:sz w:val="24"/>
              </w:rPr>
            </w:pPr>
          </w:p>
        </w:tc>
        <w:tc>
          <w:tcPr>
            <w:tcW w:w="8640" w:type="dxa"/>
            <w:gridSpan w:val="3"/>
          </w:tcPr>
          <w:p w14:paraId="139E44E7" w14:textId="77777777" w:rsidR="00BE2708" w:rsidRPr="00D345AB" w:rsidRDefault="00BE2708" w:rsidP="004B18BC">
            <w:pPr>
              <w:jc w:val="both"/>
              <w:rPr>
                <w:sz w:val="24"/>
              </w:rPr>
            </w:pPr>
            <w:r w:rsidRPr="00D345AB">
              <w:rPr>
                <w:sz w:val="24"/>
              </w:rPr>
              <w:t>Have you switched a customer out of one family of funds and into another without disclosing that commission fees will be charged</w:t>
            </w:r>
            <w:r>
              <w:rPr>
                <w:sz w:val="24"/>
              </w:rPr>
              <w:t xml:space="preserve"> or other consequences</w:t>
            </w:r>
            <w:r w:rsidRPr="00D345AB">
              <w:rPr>
                <w:sz w:val="24"/>
              </w:rPr>
              <w:t xml:space="preserve">?  </w:t>
            </w:r>
          </w:p>
        </w:tc>
      </w:tr>
      <w:tr w:rsidR="00BE2708" w:rsidRPr="00D345AB" w14:paraId="0B6D7D14" w14:textId="77777777" w:rsidTr="00D86E95">
        <w:tc>
          <w:tcPr>
            <w:tcW w:w="630" w:type="dxa"/>
          </w:tcPr>
          <w:p w14:paraId="7FB523BC" w14:textId="77777777" w:rsidR="00BE2708" w:rsidRPr="00D345AB" w:rsidRDefault="00BE2708" w:rsidP="00D345AB">
            <w:pPr>
              <w:jc w:val="both"/>
              <w:rPr>
                <w:sz w:val="24"/>
              </w:rPr>
            </w:pPr>
          </w:p>
        </w:tc>
        <w:tc>
          <w:tcPr>
            <w:tcW w:w="630" w:type="dxa"/>
          </w:tcPr>
          <w:p w14:paraId="6328E5BF" w14:textId="77777777" w:rsidR="00BE2708" w:rsidRPr="00D345AB" w:rsidRDefault="00BE2708" w:rsidP="00D345AB">
            <w:pPr>
              <w:jc w:val="both"/>
              <w:rPr>
                <w:sz w:val="24"/>
              </w:rPr>
            </w:pPr>
          </w:p>
        </w:tc>
        <w:tc>
          <w:tcPr>
            <w:tcW w:w="630" w:type="dxa"/>
            <w:gridSpan w:val="2"/>
          </w:tcPr>
          <w:p w14:paraId="3302B35E" w14:textId="77777777" w:rsidR="00BE2708" w:rsidRPr="00D345AB" w:rsidRDefault="00BE2708" w:rsidP="00D345AB">
            <w:pPr>
              <w:jc w:val="both"/>
              <w:rPr>
                <w:sz w:val="24"/>
              </w:rPr>
            </w:pPr>
          </w:p>
        </w:tc>
        <w:tc>
          <w:tcPr>
            <w:tcW w:w="8640" w:type="dxa"/>
            <w:gridSpan w:val="3"/>
          </w:tcPr>
          <w:p w14:paraId="09A7F4F8" w14:textId="77777777" w:rsidR="00BE2708" w:rsidRPr="00D345AB" w:rsidRDefault="00BE2708" w:rsidP="005642CF">
            <w:pPr>
              <w:rPr>
                <w:sz w:val="24"/>
              </w:rPr>
            </w:pPr>
            <w:r w:rsidRPr="00D345AB">
              <w:rPr>
                <w:sz w:val="24"/>
              </w:rPr>
              <w:t>Have you advised the limitations of exchange privileges to customers who choose to invest in more than one family of funds?</w:t>
            </w:r>
          </w:p>
        </w:tc>
      </w:tr>
      <w:tr w:rsidR="00BE2708" w:rsidRPr="00D345AB" w14:paraId="0B9AEB3C" w14:textId="77777777" w:rsidTr="00D86E95">
        <w:tc>
          <w:tcPr>
            <w:tcW w:w="630" w:type="dxa"/>
          </w:tcPr>
          <w:p w14:paraId="02641779" w14:textId="77777777" w:rsidR="00BE2708" w:rsidRPr="00D345AB" w:rsidRDefault="00BE2708" w:rsidP="00D345AB">
            <w:pPr>
              <w:jc w:val="both"/>
              <w:rPr>
                <w:sz w:val="24"/>
              </w:rPr>
            </w:pPr>
          </w:p>
        </w:tc>
        <w:tc>
          <w:tcPr>
            <w:tcW w:w="630" w:type="dxa"/>
          </w:tcPr>
          <w:p w14:paraId="54E54111" w14:textId="77777777" w:rsidR="00BE2708" w:rsidRPr="00D345AB" w:rsidRDefault="00BE2708" w:rsidP="00D345AB">
            <w:pPr>
              <w:jc w:val="both"/>
              <w:rPr>
                <w:sz w:val="24"/>
              </w:rPr>
            </w:pPr>
          </w:p>
        </w:tc>
        <w:tc>
          <w:tcPr>
            <w:tcW w:w="630" w:type="dxa"/>
            <w:gridSpan w:val="2"/>
          </w:tcPr>
          <w:p w14:paraId="79FE0749" w14:textId="77777777" w:rsidR="00BE2708" w:rsidRPr="00D345AB" w:rsidRDefault="00BE2708" w:rsidP="00D345AB">
            <w:pPr>
              <w:jc w:val="both"/>
              <w:rPr>
                <w:sz w:val="24"/>
              </w:rPr>
            </w:pPr>
          </w:p>
        </w:tc>
        <w:tc>
          <w:tcPr>
            <w:tcW w:w="8640" w:type="dxa"/>
            <w:gridSpan w:val="3"/>
          </w:tcPr>
          <w:p w14:paraId="216A71C2" w14:textId="77777777" w:rsidR="00BE2708" w:rsidRPr="00D345AB" w:rsidRDefault="00BE2708" w:rsidP="00D345AB">
            <w:pPr>
              <w:jc w:val="both"/>
              <w:rPr>
                <w:sz w:val="24"/>
              </w:rPr>
            </w:pPr>
            <w:r w:rsidRPr="00D345AB">
              <w:rPr>
                <w:sz w:val="24"/>
              </w:rPr>
              <w:t>Have you projected the future value of a security?</w:t>
            </w:r>
          </w:p>
        </w:tc>
      </w:tr>
      <w:tr w:rsidR="00BE2708" w:rsidRPr="00D345AB" w14:paraId="45E11E95" w14:textId="77777777" w:rsidTr="00D86E95">
        <w:tc>
          <w:tcPr>
            <w:tcW w:w="630" w:type="dxa"/>
          </w:tcPr>
          <w:p w14:paraId="513F0269" w14:textId="77777777" w:rsidR="00BE2708" w:rsidRPr="00D345AB" w:rsidRDefault="00BE2708" w:rsidP="00D345AB">
            <w:pPr>
              <w:jc w:val="both"/>
              <w:rPr>
                <w:sz w:val="24"/>
              </w:rPr>
            </w:pPr>
          </w:p>
        </w:tc>
        <w:tc>
          <w:tcPr>
            <w:tcW w:w="630" w:type="dxa"/>
          </w:tcPr>
          <w:p w14:paraId="794C5706" w14:textId="77777777" w:rsidR="00BE2708" w:rsidRPr="00D345AB" w:rsidRDefault="00BE2708" w:rsidP="00D345AB">
            <w:pPr>
              <w:jc w:val="both"/>
              <w:rPr>
                <w:sz w:val="24"/>
              </w:rPr>
            </w:pPr>
          </w:p>
        </w:tc>
        <w:tc>
          <w:tcPr>
            <w:tcW w:w="630" w:type="dxa"/>
            <w:gridSpan w:val="2"/>
          </w:tcPr>
          <w:p w14:paraId="00B37C11" w14:textId="77777777" w:rsidR="00BE2708" w:rsidRPr="00D345AB" w:rsidRDefault="00BE2708" w:rsidP="00D345AB">
            <w:pPr>
              <w:jc w:val="both"/>
              <w:rPr>
                <w:sz w:val="24"/>
              </w:rPr>
            </w:pPr>
          </w:p>
        </w:tc>
        <w:tc>
          <w:tcPr>
            <w:tcW w:w="8640" w:type="dxa"/>
            <w:gridSpan w:val="3"/>
          </w:tcPr>
          <w:p w14:paraId="00AB4776" w14:textId="77777777" w:rsidR="00BE2708" w:rsidRPr="00D345AB" w:rsidRDefault="00BE2708" w:rsidP="00D345AB">
            <w:pPr>
              <w:jc w:val="both"/>
              <w:rPr>
                <w:sz w:val="24"/>
              </w:rPr>
            </w:pPr>
            <w:r w:rsidRPr="00D345AB">
              <w:rPr>
                <w:sz w:val="24"/>
              </w:rPr>
              <w:t xml:space="preserve">Have you agreed to repurchase a security other than a mutual fund as outlined in its current prospectus?  </w:t>
            </w:r>
          </w:p>
        </w:tc>
      </w:tr>
      <w:tr w:rsidR="00BE2708" w:rsidRPr="00D345AB" w14:paraId="31DED867" w14:textId="77777777" w:rsidTr="00D86E95">
        <w:tc>
          <w:tcPr>
            <w:tcW w:w="630" w:type="dxa"/>
          </w:tcPr>
          <w:p w14:paraId="685F1F9D" w14:textId="77777777" w:rsidR="00BE2708" w:rsidRPr="00D345AB" w:rsidRDefault="00BE2708" w:rsidP="00D345AB">
            <w:pPr>
              <w:jc w:val="both"/>
              <w:rPr>
                <w:sz w:val="24"/>
              </w:rPr>
            </w:pPr>
          </w:p>
        </w:tc>
        <w:tc>
          <w:tcPr>
            <w:tcW w:w="630" w:type="dxa"/>
          </w:tcPr>
          <w:p w14:paraId="244CC7B1" w14:textId="77777777" w:rsidR="00BE2708" w:rsidRPr="00D345AB" w:rsidRDefault="00BE2708" w:rsidP="00D345AB">
            <w:pPr>
              <w:jc w:val="both"/>
              <w:rPr>
                <w:sz w:val="24"/>
              </w:rPr>
            </w:pPr>
          </w:p>
        </w:tc>
        <w:tc>
          <w:tcPr>
            <w:tcW w:w="630" w:type="dxa"/>
            <w:gridSpan w:val="2"/>
          </w:tcPr>
          <w:p w14:paraId="30959C3B" w14:textId="77777777" w:rsidR="00BE2708" w:rsidRPr="00D345AB" w:rsidRDefault="00BE2708" w:rsidP="00D345AB">
            <w:pPr>
              <w:jc w:val="both"/>
              <w:rPr>
                <w:sz w:val="24"/>
              </w:rPr>
            </w:pPr>
          </w:p>
        </w:tc>
        <w:tc>
          <w:tcPr>
            <w:tcW w:w="8640" w:type="dxa"/>
            <w:gridSpan w:val="3"/>
          </w:tcPr>
          <w:p w14:paraId="76974F7C" w14:textId="77777777" w:rsidR="00AC3666" w:rsidRDefault="00BE2708" w:rsidP="00D345AB">
            <w:pPr>
              <w:jc w:val="both"/>
              <w:rPr>
                <w:sz w:val="24"/>
              </w:rPr>
            </w:pPr>
            <w:r w:rsidRPr="00D345AB">
              <w:rPr>
                <w:sz w:val="24"/>
              </w:rPr>
              <w:t xml:space="preserve">Have you sent </w:t>
            </w:r>
            <w:r w:rsidR="00B60FFD" w:rsidRPr="0089067B">
              <w:rPr>
                <w:sz w:val="24"/>
              </w:rPr>
              <w:t>retail communications</w:t>
            </w:r>
            <w:r w:rsidRPr="00D345AB">
              <w:rPr>
                <w:sz w:val="24"/>
              </w:rPr>
              <w:t xml:space="preserve"> to customers or conducted advertising without the prior approval of the designated principal or Compliance Department? </w:t>
            </w:r>
          </w:p>
          <w:p w14:paraId="25D12FE6" w14:textId="77777777" w:rsidR="00BE2708" w:rsidRDefault="00BE2708" w:rsidP="00D345AB">
            <w:pPr>
              <w:jc w:val="both"/>
              <w:rPr>
                <w:sz w:val="24"/>
              </w:rPr>
            </w:pPr>
            <w:r w:rsidRPr="00D345AB">
              <w:rPr>
                <w:sz w:val="24"/>
              </w:rPr>
              <w:t>If Yes, provide explanations:</w:t>
            </w:r>
          </w:p>
          <w:p w14:paraId="65275B1A" w14:textId="77777777" w:rsidR="00F73631" w:rsidRPr="00D345AB" w:rsidRDefault="00F73631" w:rsidP="00D345AB">
            <w:pPr>
              <w:jc w:val="both"/>
              <w:rPr>
                <w:sz w:val="24"/>
              </w:rPr>
            </w:pPr>
          </w:p>
        </w:tc>
      </w:tr>
      <w:tr w:rsidR="00BE2708" w:rsidRPr="00D345AB" w14:paraId="14ACB2D4" w14:textId="77777777" w:rsidTr="00D86E95">
        <w:tc>
          <w:tcPr>
            <w:tcW w:w="630" w:type="dxa"/>
          </w:tcPr>
          <w:p w14:paraId="4D20A6BB" w14:textId="77777777" w:rsidR="00BE2708" w:rsidRPr="00D345AB" w:rsidRDefault="00BE2708" w:rsidP="00D345AB">
            <w:pPr>
              <w:jc w:val="both"/>
              <w:rPr>
                <w:sz w:val="24"/>
              </w:rPr>
            </w:pPr>
          </w:p>
        </w:tc>
        <w:tc>
          <w:tcPr>
            <w:tcW w:w="630" w:type="dxa"/>
          </w:tcPr>
          <w:p w14:paraId="78A9406D" w14:textId="77777777" w:rsidR="00BE2708" w:rsidRPr="00D345AB" w:rsidRDefault="00BE2708" w:rsidP="00D345AB">
            <w:pPr>
              <w:jc w:val="both"/>
              <w:rPr>
                <w:sz w:val="24"/>
              </w:rPr>
            </w:pPr>
          </w:p>
        </w:tc>
        <w:tc>
          <w:tcPr>
            <w:tcW w:w="630" w:type="dxa"/>
            <w:gridSpan w:val="2"/>
          </w:tcPr>
          <w:p w14:paraId="10199667" w14:textId="77777777" w:rsidR="00BE2708" w:rsidRPr="00D345AB" w:rsidRDefault="00BE2708" w:rsidP="00D345AB">
            <w:pPr>
              <w:jc w:val="both"/>
              <w:rPr>
                <w:sz w:val="24"/>
              </w:rPr>
            </w:pPr>
          </w:p>
        </w:tc>
        <w:tc>
          <w:tcPr>
            <w:tcW w:w="8640" w:type="dxa"/>
            <w:gridSpan w:val="3"/>
          </w:tcPr>
          <w:p w14:paraId="40ABAA2F" w14:textId="77777777" w:rsidR="00BE2708" w:rsidRPr="00D345AB" w:rsidRDefault="00BE2708" w:rsidP="00D345AB">
            <w:pPr>
              <w:jc w:val="both"/>
              <w:rPr>
                <w:sz w:val="24"/>
              </w:rPr>
            </w:pPr>
            <w:r w:rsidRPr="00D345AB">
              <w:rPr>
                <w:sz w:val="24"/>
              </w:rPr>
              <w:t xml:space="preserve">Do you conduct any telemarketing activities (cold calling)?  </w:t>
            </w:r>
          </w:p>
        </w:tc>
      </w:tr>
      <w:tr w:rsidR="00BE2708" w:rsidRPr="00D345AB" w14:paraId="2055E1C4" w14:textId="77777777" w:rsidTr="00D86E95">
        <w:tc>
          <w:tcPr>
            <w:tcW w:w="630" w:type="dxa"/>
          </w:tcPr>
          <w:p w14:paraId="40553C1E" w14:textId="77777777" w:rsidR="00BE2708" w:rsidRPr="00D345AB" w:rsidRDefault="00BE2708" w:rsidP="00D345AB">
            <w:pPr>
              <w:jc w:val="both"/>
              <w:rPr>
                <w:sz w:val="24"/>
              </w:rPr>
            </w:pPr>
          </w:p>
        </w:tc>
        <w:tc>
          <w:tcPr>
            <w:tcW w:w="630" w:type="dxa"/>
          </w:tcPr>
          <w:p w14:paraId="20F02138" w14:textId="77777777" w:rsidR="00BE2708" w:rsidRPr="00D345AB" w:rsidRDefault="00BE2708" w:rsidP="00D345AB">
            <w:pPr>
              <w:jc w:val="both"/>
              <w:rPr>
                <w:sz w:val="24"/>
              </w:rPr>
            </w:pPr>
          </w:p>
        </w:tc>
        <w:tc>
          <w:tcPr>
            <w:tcW w:w="630" w:type="dxa"/>
            <w:gridSpan w:val="2"/>
          </w:tcPr>
          <w:p w14:paraId="37371E69" w14:textId="77777777" w:rsidR="00BE2708" w:rsidRPr="00D345AB" w:rsidRDefault="00BE2708" w:rsidP="00D345AB">
            <w:pPr>
              <w:jc w:val="both"/>
              <w:rPr>
                <w:sz w:val="24"/>
              </w:rPr>
            </w:pPr>
          </w:p>
        </w:tc>
        <w:tc>
          <w:tcPr>
            <w:tcW w:w="8640" w:type="dxa"/>
            <w:gridSpan w:val="3"/>
          </w:tcPr>
          <w:p w14:paraId="58967D68" w14:textId="77777777" w:rsidR="00BE2708" w:rsidRPr="00D345AB" w:rsidRDefault="00BE2708" w:rsidP="00D345AB">
            <w:pPr>
              <w:jc w:val="both"/>
              <w:rPr>
                <w:sz w:val="24"/>
              </w:rPr>
            </w:pPr>
            <w:r w:rsidRPr="00D345AB">
              <w:rPr>
                <w:sz w:val="24"/>
              </w:rPr>
              <w:t xml:space="preserve">Do you SOLICIT designated securities (penny stocks)?  </w:t>
            </w:r>
          </w:p>
        </w:tc>
      </w:tr>
      <w:tr w:rsidR="0005468B" w:rsidRPr="00D345AB" w14:paraId="73B826C9" w14:textId="77777777" w:rsidTr="0005468B">
        <w:tc>
          <w:tcPr>
            <w:tcW w:w="630" w:type="dxa"/>
            <w:shd w:val="clear" w:color="auto" w:fill="A6A6A6" w:themeFill="background1" w:themeFillShade="A6"/>
          </w:tcPr>
          <w:p w14:paraId="19C2CDA9" w14:textId="77777777" w:rsidR="0005468B" w:rsidRPr="0034657A" w:rsidRDefault="0005468B" w:rsidP="0005468B">
            <w:pPr>
              <w:jc w:val="both"/>
              <w:rPr>
                <w:b/>
                <w:sz w:val="24"/>
              </w:rPr>
            </w:pPr>
            <w:r>
              <w:rPr>
                <w:b/>
                <w:sz w:val="24"/>
              </w:rPr>
              <w:lastRenderedPageBreak/>
              <w:t xml:space="preserve">Yes </w:t>
            </w:r>
          </w:p>
        </w:tc>
        <w:tc>
          <w:tcPr>
            <w:tcW w:w="630" w:type="dxa"/>
            <w:shd w:val="clear" w:color="auto" w:fill="A6A6A6" w:themeFill="background1" w:themeFillShade="A6"/>
          </w:tcPr>
          <w:p w14:paraId="61587B5F" w14:textId="77777777" w:rsidR="0005468B" w:rsidRPr="0034657A" w:rsidRDefault="0005468B" w:rsidP="0005468B">
            <w:pPr>
              <w:jc w:val="both"/>
              <w:rPr>
                <w:b/>
                <w:sz w:val="24"/>
              </w:rPr>
            </w:pPr>
            <w:r>
              <w:rPr>
                <w:b/>
                <w:sz w:val="24"/>
              </w:rPr>
              <w:t>No</w:t>
            </w:r>
          </w:p>
        </w:tc>
        <w:tc>
          <w:tcPr>
            <w:tcW w:w="630" w:type="dxa"/>
            <w:gridSpan w:val="2"/>
            <w:shd w:val="clear" w:color="auto" w:fill="A6A6A6" w:themeFill="background1" w:themeFillShade="A6"/>
          </w:tcPr>
          <w:p w14:paraId="1A81E772" w14:textId="77777777" w:rsidR="0005468B" w:rsidRPr="0034657A" w:rsidRDefault="0005468B" w:rsidP="0005468B">
            <w:pPr>
              <w:jc w:val="both"/>
              <w:rPr>
                <w:b/>
                <w:sz w:val="24"/>
              </w:rPr>
            </w:pPr>
            <w:r>
              <w:rPr>
                <w:b/>
                <w:sz w:val="24"/>
              </w:rPr>
              <w:t>N/A</w:t>
            </w:r>
          </w:p>
        </w:tc>
        <w:tc>
          <w:tcPr>
            <w:tcW w:w="8640" w:type="dxa"/>
            <w:gridSpan w:val="3"/>
            <w:shd w:val="clear" w:color="auto" w:fill="A6A6A6" w:themeFill="background1" w:themeFillShade="A6"/>
          </w:tcPr>
          <w:p w14:paraId="0498C487" w14:textId="77777777" w:rsidR="0005468B" w:rsidRPr="0034657A" w:rsidRDefault="0005468B" w:rsidP="0005468B">
            <w:pPr>
              <w:rPr>
                <w:b/>
                <w:sz w:val="24"/>
              </w:rPr>
            </w:pPr>
            <w:r>
              <w:rPr>
                <w:b/>
                <w:sz w:val="24"/>
              </w:rPr>
              <w:t>Question</w:t>
            </w:r>
          </w:p>
        </w:tc>
      </w:tr>
      <w:tr w:rsidR="00BE2708" w:rsidRPr="00D345AB" w14:paraId="717F679B" w14:textId="77777777" w:rsidTr="00D86E95">
        <w:tc>
          <w:tcPr>
            <w:tcW w:w="630" w:type="dxa"/>
          </w:tcPr>
          <w:p w14:paraId="7AB4F29D" w14:textId="77777777" w:rsidR="00BE2708" w:rsidRPr="00D345AB" w:rsidRDefault="00BE2708" w:rsidP="00D345AB">
            <w:pPr>
              <w:jc w:val="both"/>
              <w:rPr>
                <w:sz w:val="24"/>
              </w:rPr>
            </w:pPr>
          </w:p>
        </w:tc>
        <w:tc>
          <w:tcPr>
            <w:tcW w:w="630" w:type="dxa"/>
          </w:tcPr>
          <w:p w14:paraId="0ACC6C25" w14:textId="77777777" w:rsidR="00BE2708" w:rsidRPr="00D345AB" w:rsidRDefault="00BE2708" w:rsidP="00D345AB">
            <w:pPr>
              <w:jc w:val="both"/>
              <w:rPr>
                <w:sz w:val="24"/>
              </w:rPr>
            </w:pPr>
          </w:p>
        </w:tc>
        <w:tc>
          <w:tcPr>
            <w:tcW w:w="630" w:type="dxa"/>
            <w:gridSpan w:val="2"/>
          </w:tcPr>
          <w:p w14:paraId="5F5D8BB3" w14:textId="77777777" w:rsidR="00BE2708" w:rsidRPr="00D345AB" w:rsidRDefault="00BE2708" w:rsidP="00D345AB">
            <w:pPr>
              <w:jc w:val="both"/>
              <w:rPr>
                <w:sz w:val="24"/>
              </w:rPr>
            </w:pPr>
          </w:p>
        </w:tc>
        <w:tc>
          <w:tcPr>
            <w:tcW w:w="8640" w:type="dxa"/>
            <w:gridSpan w:val="3"/>
          </w:tcPr>
          <w:p w14:paraId="22C53E13" w14:textId="77777777" w:rsidR="00BE2708" w:rsidRDefault="00BE2708" w:rsidP="00D345AB">
            <w:pPr>
              <w:jc w:val="both"/>
              <w:rPr>
                <w:sz w:val="24"/>
              </w:rPr>
            </w:pPr>
            <w:r w:rsidRPr="00D345AB">
              <w:rPr>
                <w:sz w:val="24"/>
              </w:rPr>
              <w:t>Have you intentionally made an unsuitable recommendation to a customer?</w:t>
            </w:r>
          </w:p>
          <w:p w14:paraId="03EB35E6" w14:textId="77777777" w:rsidR="006B482B" w:rsidRPr="00D345AB" w:rsidRDefault="006B482B" w:rsidP="006D66C0">
            <w:pPr>
              <w:jc w:val="both"/>
              <w:rPr>
                <w:sz w:val="24"/>
              </w:rPr>
            </w:pPr>
            <w:r>
              <w:rPr>
                <w:sz w:val="24"/>
              </w:rPr>
              <w:t>If ye</w:t>
            </w:r>
            <w:r w:rsidR="006D66C0">
              <w:rPr>
                <w:sz w:val="24"/>
              </w:rPr>
              <w:t>s</w:t>
            </w:r>
            <w:r>
              <w:rPr>
                <w:sz w:val="24"/>
              </w:rPr>
              <w:t>, provide further explanation</w:t>
            </w:r>
          </w:p>
        </w:tc>
      </w:tr>
      <w:tr w:rsidR="00BE2708" w:rsidRPr="00D345AB" w14:paraId="4CD3BD22" w14:textId="77777777" w:rsidTr="00D86E95">
        <w:tc>
          <w:tcPr>
            <w:tcW w:w="630" w:type="dxa"/>
          </w:tcPr>
          <w:p w14:paraId="3FB6A835" w14:textId="77777777" w:rsidR="00BE2708" w:rsidRPr="00D345AB" w:rsidRDefault="00BE2708" w:rsidP="00D345AB">
            <w:pPr>
              <w:jc w:val="both"/>
              <w:rPr>
                <w:sz w:val="24"/>
              </w:rPr>
            </w:pPr>
          </w:p>
        </w:tc>
        <w:tc>
          <w:tcPr>
            <w:tcW w:w="630" w:type="dxa"/>
          </w:tcPr>
          <w:p w14:paraId="5D5FDFAE" w14:textId="77777777" w:rsidR="00BE2708" w:rsidRPr="00D345AB" w:rsidRDefault="00BE2708" w:rsidP="00D345AB">
            <w:pPr>
              <w:jc w:val="both"/>
              <w:rPr>
                <w:sz w:val="24"/>
              </w:rPr>
            </w:pPr>
          </w:p>
        </w:tc>
        <w:tc>
          <w:tcPr>
            <w:tcW w:w="630" w:type="dxa"/>
            <w:gridSpan w:val="2"/>
          </w:tcPr>
          <w:p w14:paraId="4214FBAA" w14:textId="77777777" w:rsidR="00BE2708" w:rsidRPr="00D345AB" w:rsidRDefault="00BE2708" w:rsidP="00D345AB">
            <w:pPr>
              <w:jc w:val="both"/>
              <w:rPr>
                <w:sz w:val="24"/>
              </w:rPr>
            </w:pPr>
          </w:p>
        </w:tc>
        <w:tc>
          <w:tcPr>
            <w:tcW w:w="8640" w:type="dxa"/>
            <w:gridSpan w:val="3"/>
          </w:tcPr>
          <w:p w14:paraId="3A07805A" w14:textId="77777777" w:rsidR="00BE2708" w:rsidRPr="00D345AB" w:rsidRDefault="00BE2708" w:rsidP="00D345AB">
            <w:pPr>
              <w:jc w:val="both"/>
              <w:rPr>
                <w:sz w:val="24"/>
              </w:rPr>
            </w:pPr>
            <w:r w:rsidRPr="00D345AB">
              <w:rPr>
                <w:sz w:val="24"/>
              </w:rPr>
              <w:t>Have you encouraged a customer to engage in excessive trading activity?</w:t>
            </w:r>
          </w:p>
        </w:tc>
      </w:tr>
      <w:tr w:rsidR="009A521B" w:rsidRPr="00D345AB" w14:paraId="26466856" w14:textId="77777777" w:rsidTr="00D86E95">
        <w:tc>
          <w:tcPr>
            <w:tcW w:w="630" w:type="dxa"/>
          </w:tcPr>
          <w:p w14:paraId="720BA348" w14:textId="77777777" w:rsidR="009A521B" w:rsidRPr="00D345AB" w:rsidRDefault="009A521B" w:rsidP="00D345AB">
            <w:pPr>
              <w:jc w:val="both"/>
              <w:rPr>
                <w:sz w:val="24"/>
              </w:rPr>
            </w:pPr>
          </w:p>
        </w:tc>
        <w:tc>
          <w:tcPr>
            <w:tcW w:w="630" w:type="dxa"/>
          </w:tcPr>
          <w:p w14:paraId="4383EA81" w14:textId="77777777" w:rsidR="009A521B" w:rsidRPr="00D345AB" w:rsidRDefault="009A521B" w:rsidP="00D345AB">
            <w:pPr>
              <w:jc w:val="both"/>
              <w:rPr>
                <w:sz w:val="24"/>
              </w:rPr>
            </w:pPr>
          </w:p>
        </w:tc>
        <w:tc>
          <w:tcPr>
            <w:tcW w:w="630" w:type="dxa"/>
            <w:gridSpan w:val="2"/>
          </w:tcPr>
          <w:p w14:paraId="36C83FB0" w14:textId="77777777" w:rsidR="009A521B" w:rsidRPr="00D345AB" w:rsidRDefault="009A521B" w:rsidP="00D345AB">
            <w:pPr>
              <w:jc w:val="both"/>
              <w:rPr>
                <w:sz w:val="24"/>
              </w:rPr>
            </w:pPr>
          </w:p>
        </w:tc>
        <w:tc>
          <w:tcPr>
            <w:tcW w:w="8640" w:type="dxa"/>
            <w:gridSpan w:val="3"/>
          </w:tcPr>
          <w:p w14:paraId="3B402133" w14:textId="77777777" w:rsidR="009A521B" w:rsidRPr="00D345AB" w:rsidRDefault="009A521B" w:rsidP="00D345AB">
            <w:pPr>
              <w:jc w:val="both"/>
              <w:rPr>
                <w:sz w:val="24"/>
              </w:rPr>
            </w:pPr>
            <w:r w:rsidRPr="00D345AB">
              <w:rPr>
                <w:sz w:val="24"/>
              </w:rPr>
              <w:t xml:space="preserve">Are you a fiduciary for a customer account not disclosed to Company?   </w:t>
            </w:r>
          </w:p>
        </w:tc>
      </w:tr>
      <w:tr w:rsidR="009A521B" w:rsidRPr="00D345AB" w14:paraId="5FE93AD5" w14:textId="77777777" w:rsidTr="00D86E95">
        <w:tc>
          <w:tcPr>
            <w:tcW w:w="630" w:type="dxa"/>
          </w:tcPr>
          <w:p w14:paraId="761D77AB" w14:textId="77777777" w:rsidR="009A521B" w:rsidRPr="00D345AB" w:rsidRDefault="009A521B" w:rsidP="00D345AB">
            <w:pPr>
              <w:jc w:val="both"/>
              <w:rPr>
                <w:sz w:val="24"/>
              </w:rPr>
            </w:pPr>
          </w:p>
        </w:tc>
        <w:tc>
          <w:tcPr>
            <w:tcW w:w="630" w:type="dxa"/>
          </w:tcPr>
          <w:p w14:paraId="6384BF73" w14:textId="77777777" w:rsidR="009A521B" w:rsidRPr="00D345AB" w:rsidRDefault="009A521B" w:rsidP="00D345AB">
            <w:pPr>
              <w:jc w:val="both"/>
              <w:rPr>
                <w:sz w:val="24"/>
              </w:rPr>
            </w:pPr>
          </w:p>
        </w:tc>
        <w:tc>
          <w:tcPr>
            <w:tcW w:w="630" w:type="dxa"/>
            <w:gridSpan w:val="2"/>
          </w:tcPr>
          <w:p w14:paraId="76B18101" w14:textId="77777777" w:rsidR="009A521B" w:rsidRPr="00D345AB" w:rsidRDefault="009A521B" w:rsidP="00D345AB">
            <w:pPr>
              <w:jc w:val="both"/>
              <w:rPr>
                <w:sz w:val="24"/>
              </w:rPr>
            </w:pPr>
          </w:p>
        </w:tc>
        <w:tc>
          <w:tcPr>
            <w:tcW w:w="8640" w:type="dxa"/>
            <w:gridSpan w:val="3"/>
          </w:tcPr>
          <w:p w14:paraId="12AF0897" w14:textId="77777777" w:rsidR="009A521B" w:rsidRPr="00D345AB" w:rsidRDefault="009A521B" w:rsidP="00D345AB">
            <w:pPr>
              <w:jc w:val="both"/>
              <w:rPr>
                <w:sz w:val="24"/>
              </w:rPr>
            </w:pPr>
            <w:r w:rsidRPr="00D345AB">
              <w:rPr>
                <w:sz w:val="24"/>
              </w:rPr>
              <w:t>Do you have possession of signed stock or bond powers or customer certificates?</w:t>
            </w:r>
            <w:r w:rsidRPr="00D345AB">
              <w:rPr>
                <w:sz w:val="24"/>
              </w:rPr>
              <w:tab/>
            </w:r>
          </w:p>
        </w:tc>
      </w:tr>
      <w:tr w:rsidR="00EF067E" w:rsidRPr="00D345AB" w14:paraId="7CA6F493" w14:textId="77777777" w:rsidTr="00EF067E">
        <w:trPr>
          <w:trHeight w:val="1141"/>
        </w:trPr>
        <w:tc>
          <w:tcPr>
            <w:tcW w:w="630" w:type="dxa"/>
            <w:tcBorders>
              <w:bottom w:val="single" w:sz="4" w:space="0" w:color="auto"/>
            </w:tcBorders>
          </w:tcPr>
          <w:p w14:paraId="1182DD24" w14:textId="77777777" w:rsidR="00EF067E" w:rsidRPr="00D345AB" w:rsidRDefault="00EF067E" w:rsidP="00D345AB">
            <w:pPr>
              <w:jc w:val="both"/>
              <w:rPr>
                <w:sz w:val="24"/>
              </w:rPr>
            </w:pPr>
          </w:p>
        </w:tc>
        <w:tc>
          <w:tcPr>
            <w:tcW w:w="630" w:type="dxa"/>
            <w:tcBorders>
              <w:bottom w:val="single" w:sz="4" w:space="0" w:color="auto"/>
            </w:tcBorders>
          </w:tcPr>
          <w:p w14:paraId="646A66CC" w14:textId="77777777" w:rsidR="00EF067E" w:rsidRPr="00D345AB" w:rsidRDefault="00EF067E" w:rsidP="00D345AB">
            <w:pPr>
              <w:jc w:val="both"/>
              <w:rPr>
                <w:sz w:val="24"/>
              </w:rPr>
            </w:pPr>
          </w:p>
        </w:tc>
        <w:tc>
          <w:tcPr>
            <w:tcW w:w="630" w:type="dxa"/>
            <w:gridSpan w:val="2"/>
            <w:tcBorders>
              <w:bottom w:val="single" w:sz="4" w:space="0" w:color="auto"/>
            </w:tcBorders>
          </w:tcPr>
          <w:p w14:paraId="60F68D34" w14:textId="77777777" w:rsidR="00EF067E" w:rsidRPr="00D345AB" w:rsidRDefault="00EF067E" w:rsidP="00D345AB">
            <w:pPr>
              <w:jc w:val="both"/>
              <w:rPr>
                <w:sz w:val="24"/>
              </w:rPr>
            </w:pPr>
          </w:p>
        </w:tc>
        <w:tc>
          <w:tcPr>
            <w:tcW w:w="8640" w:type="dxa"/>
            <w:gridSpan w:val="3"/>
            <w:vMerge w:val="restart"/>
          </w:tcPr>
          <w:p w14:paraId="6D93EFB6" w14:textId="77777777" w:rsidR="00EF067E" w:rsidRPr="00D345AB" w:rsidRDefault="00EF067E" w:rsidP="00D345AB">
            <w:pPr>
              <w:jc w:val="both"/>
              <w:rPr>
                <w:sz w:val="24"/>
              </w:rPr>
            </w:pPr>
            <w:r w:rsidRPr="00D345AB">
              <w:rPr>
                <w:sz w:val="24"/>
              </w:rPr>
              <w:t>Do you use personal email, Instant Messaging, Blogs, PDAs, Social Networks, Blackberry (not through the Company or related company domain), Chat Rooms, or Text Messaging, or any other personal electronic means for securities related business?</w:t>
            </w:r>
          </w:p>
          <w:p w14:paraId="5F600191" w14:textId="77777777" w:rsidR="00EF067E" w:rsidRPr="00D345AB" w:rsidRDefault="00EF067E" w:rsidP="00D345AB">
            <w:pPr>
              <w:jc w:val="both"/>
              <w:rPr>
                <w:sz w:val="24"/>
              </w:rPr>
            </w:pPr>
          </w:p>
          <w:p w14:paraId="0128F99C" w14:textId="77777777" w:rsidR="00EF067E" w:rsidRPr="00D345AB" w:rsidRDefault="00EF067E" w:rsidP="0034657A">
            <w:pPr>
              <w:jc w:val="both"/>
              <w:rPr>
                <w:sz w:val="24"/>
              </w:rPr>
            </w:pPr>
            <w:r w:rsidRPr="00D345AB">
              <w:rPr>
                <w:sz w:val="24"/>
              </w:rPr>
              <w:t xml:space="preserve">If Yes, have you forwarded any applicable electronic communication to your Principal or Compliance Department for review?  </w:t>
            </w:r>
          </w:p>
          <w:p w14:paraId="1BFC98A9" w14:textId="77777777" w:rsidR="00EF067E" w:rsidRPr="00D345AB" w:rsidRDefault="00EF067E" w:rsidP="00D345AB">
            <w:pPr>
              <w:jc w:val="both"/>
              <w:rPr>
                <w:sz w:val="24"/>
              </w:rPr>
            </w:pPr>
            <w:r w:rsidRPr="00D345AB">
              <w:rPr>
                <w:sz w:val="24"/>
              </w:rPr>
              <w:t>Provide additional comments:</w:t>
            </w:r>
          </w:p>
          <w:p w14:paraId="44794DB5" w14:textId="77777777" w:rsidR="00EF067E" w:rsidRPr="00D345AB" w:rsidRDefault="00EF067E" w:rsidP="00D345AB">
            <w:pPr>
              <w:jc w:val="both"/>
              <w:rPr>
                <w:sz w:val="24"/>
              </w:rPr>
            </w:pPr>
          </w:p>
        </w:tc>
      </w:tr>
      <w:tr w:rsidR="00EF067E" w:rsidRPr="00D345AB" w14:paraId="5B404D77" w14:textId="77777777" w:rsidTr="0005468B">
        <w:trPr>
          <w:trHeight w:val="1187"/>
        </w:trPr>
        <w:tc>
          <w:tcPr>
            <w:tcW w:w="630" w:type="dxa"/>
            <w:tcBorders>
              <w:top w:val="single" w:sz="4" w:space="0" w:color="auto"/>
            </w:tcBorders>
          </w:tcPr>
          <w:p w14:paraId="2C01AF6D" w14:textId="77777777" w:rsidR="00EF067E" w:rsidRPr="00D345AB" w:rsidRDefault="00EF067E" w:rsidP="00D345AB">
            <w:pPr>
              <w:jc w:val="both"/>
              <w:rPr>
                <w:sz w:val="24"/>
              </w:rPr>
            </w:pPr>
          </w:p>
        </w:tc>
        <w:tc>
          <w:tcPr>
            <w:tcW w:w="630" w:type="dxa"/>
            <w:tcBorders>
              <w:top w:val="single" w:sz="4" w:space="0" w:color="auto"/>
            </w:tcBorders>
          </w:tcPr>
          <w:p w14:paraId="57B3C489" w14:textId="77777777" w:rsidR="00EF067E" w:rsidRPr="00D345AB" w:rsidRDefault="00EF067E" w:rsidP="00D345AB">
            <w:pPr>
              <w:jc w:val="both"/>
              <w:rPr>
                <w:sz w:val="24"/>
              </w:rPr>
            </w:pPr>
          </w:p>
        </w:tc>
        <w:tc>
          <w:tcPr>
            <w:tcW w:w="630" w:type="dxa"/>
            <w:gridSpan w:val="2"/>
            <w:tcBorders>
              <w:top w:val="single" w:sz="4" w:space="0" w:color="auto"/>
            </w:tcBorders>
          </w:tcPr>
          <w:p w14:paraId="268790BD" w14:textId="77777777" w:rsidR="00EF067E" w:rsidRPr="00D345AB" w:rsidRDefault="00EF067E" w:rsidP="00D345AB">
            <w:pPr>
              <w:jc w:val="both"/>
              <w:rPr>
                <w:sz w:val="24"/>
              </w:rPr>
            </w:pPr>
          </w:p>
        </w:tc>
        <w:tc>
          <w:tcPr>
            <w:tcW w:w="8640" w:type="dxa"/>
            <w:gridSpan w:val="3"/>
            <w:vMerge/>
          </w:tcPr>
          <w:p w14:paraId="39C87BC0" w14:textId="77777777" w:rsidR="00EF067E" w:rsidRPr="00D345AB" w:rsidRDefault="00EF067E" w:rsidP="00D345AB">
            <w:pPr>
              <w:jc w:val="both"/>
              <w:rPr>
                <w:sz w:val="24"/>
              </w:rPr>
            </w:pPr>
          </w:p>
        </w:tc>
      </w:tr>
      <w:tr w:rsidR="00EF067E" w:rsidRPr="00D345AB" w14:paraId="72AB5EB3" w14:textId="77777777" w:rsidTr="00EF067E">
        <w:trPr>
          <w:trHeight w:val="691"/>
        </w:trPr>
        <w:tc>
          <w:tcPr>
            <w:tcW w:w="630" w:type="dxa"/>
            <w:tcBorders>
              <w:bottom w:val="single" w:sz="4" w:space="0" w:color="auto"/>
            </w:tcBorders>
          </w:tcPr>
          <w:p w14:paraId="4CE8AA77" w14:textId="77777777" w:rsidR="00EF067E" w:rsidRPr="00D345AB" w:rsidRDefault="00EF067E" w:rsidP="00D345AB">
            <w:pPr>
              <w:jc w:val="both"/>
              <w:rPr>
                <w:sz w:val="24"/>
              </w:rPr>
            </w:pPr>
          </w:p>
        </w:tc>
        <w:tc>
          <w:tcPr>
            <w:tcW w:w="630" w:type="dxa"/>
            <w:tcBorders>
              <w:bottom w:val="single" w:sz="4" w:space="0" w:color="auto"/>
            </w:tcBorders>
          </w:tcPr>
          <w:p w14:paraId="14E08813" w14:textId="77777777" w:rsidR="00EF067E" w:rsidRPr="00D345AB" w:rsidRDefault="00EF067E" w:rsidP="00D345AB">
            <w:pPr>
              <w:jc w:val="both"/>
              <w:rPr>
                <w:sz w:val="24"/>
              </w:rPr>
            </w:pPr>
          </w:p>
        </w:tc>
        <w:tc>
          <w:tcPr>
            <w:tcW w:w="630" w:type="dxa"/>
            <w:gridSpan w:val="2"/>
            <w:tcBorders>
              <w:bottom w:val="single" w:sz="4" w:space="0" w:color="auto"/>
            </w:tcBorders>
          </w:tcPr>
          <w:p w14:paraId="04D10983" w14:textId="77777777" w:rsidR="00EF067E" w:rsidRPr="00D345AB" w:rsidRDefault="00EF067E" w:rsidP="00D345AB">
            <w:pPr>
              <w:jc w:val="both"/>
              <w:rPr>
                <w:sz w:val="24"/>
              </w:rPr>
            </w:pPr>
          </w:p>
        </w:tc>
        <w:tc>
          <w:tcPr>
            <w:tcW w:w="8640" w:type="dxa"/>
            <w:gridSpan w:val="3"/>
            <w:vMerge w:val="restart"/>
          </w:tcPr>
          <w:p w14:paraId="62669A70" w14:textId="77777777" w:rsidR="00EF067E" w:rsidRPr="008F3D2A" w:rsidRDefault="00EF067E" w:rsidP="00D345AB">
            <w:pPr>
              <w:jc w:val="both"/>
              <w:rPr>
                <w:sz w:val="24"/>
              </w:rPr>
            </w:pPr>
            <w:r w:rsidRPr="00D345AB">
              <w:rPr>
                <w:sz w:val="24"/>
              </w:rPr>
              <w:t xml:space="preserve">Do you use a social network for any </w:t>
            </w:r>
            <w:r w:rsidRPr="008F3D2A">
              <w:rPr>
                <w:sz w:val="24"/>
              </w:rPr>
              <w:t>securities business purpose or only for business networking (i.e. LinkedIn, Facebook, MyLife, etc</w:t>
            </w:r>
            <w:r w:rsidR="00C4330B">
              <w:rPr>
                <w:sz w:val="24"/>
              </w:rPr>
              <w:t>.</w:t>
            </w:r>
            <w:r w:rsidRPr="008F3D2A">
              <w:rPr>
                <w:sz w:val="24"/>
              </w:rPr>
              <w:t xml:space="preserve">)? </w:t>
            </w:r>
            <w:r w:rsidRPr="008F3D2A">
              <w:rPr>
                <w:i/>
                <w:sz w:val="24"/>
              </w:rPr>
              <w:t xml:space="preserve">Please specify:   </w:t>
            </w:r>
          </w:p>
          <w:p w14:paraId="153FAF34" w14:textId="77777777" w:rsidR="00EF067E" w:rsidRPr="008F3D2A" w:rsidRDefault="00EF067E" w:rsidP="00D345AB">
            <w:pPr>
              <w:jc w:val="both"/>
              <w:rPr>
                <w:sz w:val="24"/>
              </w:rPr>
            </w:pPr>
          </w:p>
          <w:p w14:paraId="473122AD" w14:textId="77777777" w:rsidR="00EF067E" w:rsidRPr="008F3D2A" w:rsidRDefault="00EF067E" w:rsidP="00D345AB">
            <w:pPr>
              <w:jc w:val="both"/>
              <w:rPr>
                <w:sz w:val="24"/>
              </w:rPr>
            </w:pPr>
            <w:r w:rsidRPr="008F3D2A">
              <w:rPr>
                <w:sz w:val="24"/>
              </w:rPr>
              <w:t>Used for securities business</w:t>
            </w:r>
            <w:r>
              <w:rPr>
                <w:sz w:val="24"/>
              </w:rPr>
              <w:t>?</w:t>
            </w:r>
          </w:p>
          <w:p w14:paraId="430C16F2" w14:textId="77777777" w:rsidR="00EF067E" w:rsidRPr="008F3D2A" w:rsidRDefault="00EF067E" w:rsidP="00D345AB">
            <w:pPr>
              <w:jc w:val="both"/>
              <w:rPr>
                <w:sz w:val="24"/>
              </w:rPr>
            </w:pPr>
          </w:p>
          <w:p w14:paraId="41D9226C" w14:textId="77777777" w:rsidR="00EF067E" w:rsidRPr="008F3D2A" w:rsidRDefault="00EF067E" w:rsidP="00B85B1A">
            <w:pPr>
              <w:jc w:val="both"/>
              <w:rPr>
                <w:sz w:val="24"/>
              </w:rPr>
            </w:pPr>
            <w:r w:rsidRPr="008F3D2A">
              <w:rPr>
                <w:sz w:val="24"/>
              </w:rPr>
              <w:t>Used only for netwo</w:t>
            </w:r>
            <w:r>
              <w:rPr>
                <w:sz w:val="24"/>
              </w:rPr>
              <w:t>rking and communication contact?</w:t>
            </w:r>
          </w:p>
          <w:p w14:paraId="420A6146" w14:textId="77777777" w:rsidR="00EF067E" w:rsidRPr="008F3D2A" w:rsidRDefault="00EF067E" w:rsidP="00B85B1A">
            <w:pPr>
              <w:jc w:val="both"/>
              <w:rPr>
                <w:sz w:val="24"/>
              </w:rPr>
            </w:pPr>
          </w:p>
          <w:p w14:paraId="2342A4AE" w14:textId="77777777" w:rsidR="00EF067E" w:rsidRPr="004B18BC" w:rsidRDefault="00EF067E" w:rsidP="00B85B1A">
            <w:pPr>
              <w:jc w:val="both"/>
              <w:rPr>
                <w:color w:val="FF0000"/>
                <w:sz w:val="24"/>
              </w:rPr>
            </w:pPr>
            <w:r w:rsidRPr="004B18BC">
              <w:rPr>
                <w:sz w:val="24"/>
              </w:rPr>
              <w:t>H</w:t>
            </w:r>
            <w:r w:rsidRPr="00D345AB">
              <w:rPr>
                <w:sz w:val="24"/>
              </w:rPr>
              <w:t xml:space="preserve">ave you furnished a copy of the social network page(s) to Compliance for review, approval, and recordkeeping?  </w:t>
            </w:r>
          </w:p>
          <w:p w14:paraId="4EB4706A" w14:textId="77777777" w:rsidR="00EF067E" w:rsidRPr="00D345AB" w:rsidRDefault="00EF067E" w:rsidP="00D345AB">
            <w:pPr>
              <w:jc w:val="both"/>
              <w:rPr>
                <w:sz w:val="24"/>
              </w:rPr>
            </w:pPr>
          </w:p>
          <w:p w14:paraId="7B497E1A" w14:textId="77777777" w:rsidR="00EF067E" w:rsidRDefault="00EF067E" w:rsidP="00D345AB">
            <w:pPr>
              <w:jc w:val="both"/>
              <w:rPr>
                <w:sz w:val="24"/>
              </w:rPr>
            </w:pPr>
            <w:r w:rsidRPr="008F3D2A">
              <w:rPr>
                <w:sz w:val="24"/>
              </w:rPr>
              <w:t>If</w:t>
            </w:r>
            <w:r>
              <w:rPr>
                <w:sz w:val="24"/>
              </w:rPr>
              <w:t xml:space="preserve"> you have a social network site</w:t>
            </w:r>
            <w:r w:rsidRPr="008F3D2A">
              <w:rPr>
                <w:sz w:val="24"/>
              </w:rPr>
              <w:t xml:space="preserve">, have you made any changes to your profile since the last Regulatory Checklist?  </w:t>
            </w:r>
          </w:p>
          <w:p w14:paraId="4D77A55A" w14:textId="77777777" w:rsidR="00EF067E" w:rsidRPr="008F3D2A" w:rsidRDefault="00EF067E" w:rsidP="00D345AB">
            <w:pPr>
              <w:jc w:val="both"/>
              <w:rPr>
                <w:sz w:val="24"/>
              </w:rPr>
            </w:pPr>
            <w:r>
              <w:rPr>
                <w:sz w:val="24"/>
              </w:rPr>
              <w:t xml:space="preserve">If Yes, </w:t>
            </w:r>
            <w:r w:rsidRPr="008F3D2A">
              <w:rPr>
                <w:sz w:val="24"/>
              </w:rPr>
              <w:t xml:space="preserve">Have you provided a copy of the changes to Compliance?  </w:t>
            </w:r>
          </w:p>
          <w:p w14:paraId="020F5BEB" w14:textId="77777777" w:rsidR="00EF067E" w:rsidRDefault="00EF067E" w:rsidP="00D345AB">
            <w:pPr>
              <w:jc w:val="both"/>
              <w:rPr>
                <w:sz w:val="24"/>
              </w:rPr>
            </w:pPr>
          </w:p>
          <w:p w14:paraId="22460144" w14:textId="77777777" w:rsidR="00EF067E" w:rsidRPr="00D345AB" w:rsidRDefault="00EF067E" w:rsidP="00D345AB">
            <w:pPr>
              <w:jc w:val="both"/>
              <w:rPr>
                <w:sz w:val="24"/>
              </w:rPr>
            </w:pPr>
            <w:r w:rsidRPr="00D345AB">
              <w:rPr>
                <w:sz w:val="24"/>
              </w:rPr>
              <w:t>P</w:t>
            </w:r>
            <w:r w:rsidR="0005468B">
              <w:rPr>
                <w:sz w:val="24"/>
              </w:rPr>
              <w:t>rovide  any additional comments:</w:t>
            </w:r>
          </w:p>
        </w:tc>
      </w:tr>
      <w:tr w:rsidR="00EF067E" w:rsidRPr="00D345AB" w14:paraId="289AA437" w14:textId="77777777" w:rsidTr="00EF067E">
        <w:trPr>
          <w:trHeight w:val="588"/>
        </w:trPr>
        <w:tc>
          <w:tcPr>
            <w:tcW w:w="630" w:type="dxa"/>
            <w:tcBorders>
              <w:top w:val="single" w:sz="4" w:space="0" w:color="auto"/>
              <w:bottom w:val="single" w:sz="4" w:space="0" w:color="auto"/>
            </w:tcBorders>
          </w:tcPr>
          <w:p w14:paraId="335CF76F" w14:textId="77777777" w:rsidR="00EF067E" w:rsidRPr="00D345AB" w:rsidRDefault="00EF067E" w:rsidP="00D345AB">
            <w:pPr>
              <w:jc w:val="both"/>
              <w:rPr>
                <w:sz w:val="24"/>
              </w:rPr>
            </w:pPr>
          </w:p>
        </w:tc>
        <w:tc>
          <w:tcPr>
            <w:tcW w:w="630" w:type="dxa"/>
            <w:tcBorders>
              <w:top w:val="single" w:sz="4" w:space="0" w:color="auto"/>
              <w:bottom w:val="single" w:sz="4" w:space="0" w:color="auto"/>
            </w:tcBorders>
          </w:tcPr>
          <w:p w14:paraId="108D214A" w14:textId="77777777" w:rsidR="00EF067E" w:rsidRPr="00D345AB" w:rsidRDefault="00EF067E" w:rsidP="00D345AB">
            <w:pPr>
              <w:jc w:val="both"/>
              <w:rPr>
                <w:sz w:val="24"/>
              </w:rPr>
            </w:pPr>
          </w:p>
        </w:tc>
        <w:tc>
          <w:tcPr>
            <w:tcW w:w="630" w:type="dxa"/>
            <w:gridSpan w:val="2"/>
            <w:tcBorders>
              <w:top w:val="single" w:sz="4" w:space="0" w:color="auto"/>
              <w:bottom w:val="single" w:sz="4" w:space="0" w:color="auto"/>
            </w:tcBorders>
          </w:tcPr>
          <w:p w14:paraId="1142BDB2" w14:textId="77777777" w:rsidR="00EF067E" w:rsidRPr="00D345AB" w:rsidRDefault="00EF067E" w:rsidP="00D345AB">
            <w:pPr>
              <w:jc w:val="both"/>
              <w:rPr>
                <w:sz w:val="24"/>
              </w:rPr>
            </w:pPr>
          </w:p>
        </w:tc>
        <w:tc>
          <w:tcPr>
            <w:tcW w:w="8640" w:type="dxa"/>
            <w:gridSpan w:val="3"/>
            <w:vMerge/>
          </w:tcPr>
          <w:p w14:paraId="487416C7" w14:textId="77777777" w:rsidR="00EF067E" w:rsidRPr="00D345AB" w:rsidRDefault="00EF067E" w:rsidP="00D345AB">
            <w:pPr>
              <w:jc w:val="both"/>
              <w:rPr>
                <w:sz w:val="24"/>
              </w:rPr>
            </w:pPr>
          </w:p>
        </w:tc>
      </w:tr>
      <w:tr w:rsidR="00EF067E" w:rsidRPr="00D345AB" w14:paraId="770CA8BD" w14:textId="77777777" w:rsidTr="00EF067E">
        <w:trPr>
          <w:trHeight w:val="587"/>
        </w:trPr>
        <w:tc>
          <w:tcPr>
            <w:tcW w:w="630" w:type="dxa"/>
            <w:tcBorders>
              <w:top w:val="single" w:sz="4" w:space="0" w:color="auto"/>
              <w:bottom w:val="single" w:sz="4" w:space="0" w:color="auto"/>
            </w:tcBorders>
          </w:tcPr>
          <w:p w14:paraId="4F9A963D" w14:textId="77777777" w:rsidR="00EF067E" w:rsidRPr="00D345AB" w:rsidRDefault="00EF067E" w:rsidP="00D345AB">
            <w:pPr>
              <w:jc w:val="both"/>
              <w:rPr>
                <w:sz w:val="24"/>
              </w:rPr>
            </w:pPr>
          </w:p>
        </w:tc>
        <w:tc>
          <w:tcPr>
            <w:tcW w:w="630" w:type="dxa"/>
            <w:tcBorders>
              <w:top w:val="single" w:sz="4" w:space="0" w:color="auto"/>
              <w:bottom w:val="single" w:sz="4" w:space="0" w:color="auto"/>
            </w:tcBorders>
          </w:tcPr>
          <w:p w14:paraId="78828E34" w14:textId="77777777" w:rsidR="00EF067E" w:rsidRPr="00D345AB" w:rsidRDefault="00EF067E" w:rsidP="00D345AB">
            <w:pPr>
              <w:jc w:val="both"/>
              <w:rPr>
                <w:sz w:val="24"/>
              </w:rPr>
            </w:pPr>
          </w:p>
        </w:tc>
        <w:tc>
          <w:tcPr>
            <w:tcW w:w="630" w:type="dxa"/>
            <w:gridSpan w:val="2"/>
            <w:tcBorders>
              <w:top w:val="single" w:sz="4" w:space="0" w:color="auto"/>
              <w:bottom w:val="single" w:sz="4" w:space="0" w:color="auto"/>
            </w:tcBorders>
          </w:tcPr>
          <w:p w14:paraId="43965E3F" w14:textId="77777777" w:rsidR="00EF067E" w:rsidRPr="00D345AB" w:rsidRDefault="00EF067E" w:rsidP="00D345AB">
            <w:pPr>
              <w:jc w:val="both"/>
              <w:rPr>
                <w:sz w:val="24"/>
              </w:rPr>
            </w:pPr>
          </w:p>
        </w:tc>
        <w:tc>
          <w:tcPr>
            <w:tcW w:w="8640" w:type="dxa"/>
            <w:gridSpan w:val="3"/>
            <w:vMerge/>
          </w:tcPr>
          <w:p w14:paraId="7AAA6C60" w14:textId="77777777" w:rsidR="00EF067E" w:rsidRPr="00D345AB" w:rsidRDefault="00EF067E" w:rsidP="00D345AB">
            <w:pPr>
              <w:jc w:val="both"/>
              <w:rPr>
                <w:sz w:val="24"/>
              </w:rPr>
            </w:pPr>
          </w:p>
        </w:tc>
      </w:tr>
      <w:tr w:rsidR="00EF067E" w:rsidRPr="00D345AB" w14:paraId="0B49F1A8" w14:textId="77777777" w:rsidTr="00EF067E">
        <w:trPr>
          <w:trHeight w:val="714"/>
        </w:trPr>
        <w:tc>
          <w:tcPr>
            <w:tcW w:w="630" w:type="dxa"/>
            <w:tcBorders>
              <w:top w:val="single" w:sz="4" w:space="0" w:color="auto"/>
              <w:bottom w:val="single" w:sz="4" w:space="0" w:color="auto"/>
            </w:tcBorders>
          </w:tcPr>
          <w:p w14:paraId="3BB26341" w14:textId="77777777" w:rsidR="00EF067E" w:rsidRPr="00D345AB" w:rsidRDefault="00EF067E" w:rsidP="00D345AB">
            <w:pPr>
              <w:jc w:val="both"/>
              <w:rPr>
                <w:sz w:val="24"/>
              </w:rPr>
            </w:pPr>
          </w:p>
        </w:tc>
        <w:tc>
          <w:tcPr>
            <w:tcW w:w="630" w:type="dxa"/>
            <w:tcBorders>
              <w:top w:val="single" w:sz="4" w:space="0" w:color="auto"/>
              <w:bottom w:val="single" w:sz="4" w:space="0" w:color="auto"/>
            </w:tcBorders>
          </w:tcPr>
          <w:p w14:paraId="4596938C" w14:textId="77777777" w:rsidR="00EF067E" w:rsidRPr="00D345AB" w:rsidRDefault="00EF067E" w:rsidP="00D345AB">
            <w:pPr>
              <w:jc w:val="both"/>
              <w:rPr>
                <w:sz w:val="24"/>
              </w:rPr>
            </w:pPr>
          </w:p>
        </w:tc>
        <w:tc>
          <w:tcPr>
            <w:tcW w:w="630" w:type="dxa"/>
            <w:gridSpan w:val="2"/>
            <w:tcBorders>
              <w:top w:val="single" w:sz="4" w:space="0" w:color="auto"/>
              <w:bottom w:val="single" w:sz="4" w:space="0" w:color="auto"/>
            </w:tcBorders>
          </w:tcPr>
          <w:p w14:paraId="3CA74105" w14:textId="77777777" w:rsidR="00EF067E" w:rsidRPr="00D345AB" w:rsidRDefault="00EF067E" w:rsidP="00D345AB">
            <w:pPr>
              <w:jc w:val="both"/>
              <w:rPr>
                <w:sz w:val="24"/>
              </w:rPr>
            </w:pPr>
          </w:p>
        </w:tc>
        <w:tc>
          <w:tcPr>
            <w:tcW w:w="8640" w:type="dxa"/>
            <w:gridSpan w:val="3"/>
            <w:vMerge/>
          </w:tcPr>
          <w:p w14:paraId="77762A84" w14:textId="77777777" w:rsidR="00EF067E" w:rsidRPr="00D345AB" w:rsidRDefault="00EF067E" w:rsidP="00D345AB">
            <w:pPr>
              <w:jc w:val="both"/>
              <w:rPr>
                <w:sz w:val="24"/>
              </w:rPr>
            </w:pPr>
          </w:p>
        </w:tc>
      </w:tr>
      <w:tr w:rsidR="00EF067E" w:rsidRPr="00D345AB" w14:paraId="44ED45A1" w14:textId="77777777" w:rsidTr="00EF067E">
        <w:trPr>
          <w:trHeight w:val="1187"/>
        </w:trPr>
        <w:tc>
          <w:tcPr>
            <w:tcW w:w="630" w:type="dxa"/>
            <w:tcBorders>
              <w:top w:val="single" w:sz="4" w:space="0" w:color="auto"/>
              <w:bottom w:val="single" w:sz="4" w:space="0" w:color="auto"/>
            </w:tcBorders>
          </w:tcPr>
          <w:p w14:paraId="2EC87C7E" w14:textId="77777777" w:rsidR="00EF067E" w:rsidRPr="00D345AB" w:rsidRDefault="00EF067E" w:rsidP="00D345AB">
            <w:pPr>
              <w:jc w:val="both"/>
              <w:rPr>
                <w:sz w:val="24"/>
              </w:rPr>
            </w:pPr>
          </w:p>
        </w:tc>
        <w:tc>
          <w:tcPr>
            <w:tcW w:w="630" w:type="dxa"/>
            <w:tcBorders>
              <w:top w:val="single" w:sz="4" w:space="0" w:color="auto"/>
              <w:bottom w:val="single" w:sz="4" w:space="0" w:color="auto"/>
            </w:tcBorders>
          </w:tcPr>
          <w:p w14:paraId="5C5CCC08" w14:textId="77777777" w:rsidR="00EF067E" w:rsidRPr="00D345AB" w:rsidRDefault="00EF067E" w:rsidP="00D345AB">
            <w:pPr>
              <w:jc w:val="both"/>
              <w:rPr>
                <w:sz w:val="24"/>
              </w:rPr>
            </w:pPr>
          </w:p>
        </w:tc>
        <w:tc>
          <w:tcPr>
            <w:tcW w:w="630" w:type="dxa"/>
            <w:gridSpan w:val="2"/>
            <w:tcBorders>
              <w:top w:val="single" w:sz="4" w:space="0" w:color="auto"/>
              <w:bottom w:val="single" w:sz="4" w:space="0" w:color="auto"/>
            </w:tcBorders>
          </w:tcPr>
          <w:p w14:paraId="6F0C3C13" w14:textId="77777777" w:rsidR="00EF067E" w:rsidRPr="00D345AB" w:rsidRDefault="00EF067E" w:rsidP="00D345AB">
            <w:pPr>
              <w:jc w:val="both"/>
              <w:rPr>
                <w:sz w:val="24"/>
              </w:rPr>
            </w:pPr>
          </w:p>
        </w:tc>
        <w:tc>
          <w:tcPr>
            <w:tcW w:w="8640" w:type="dxa"/>
            <w:gridSpan w:val="3"/>
            <w:vMerge/>
          </w:tcPr>
          <w:p w14:paraId="436997B1" w14:textId="77777777" w:rsidR="00EF067E" w:rsidRPr="00D345AB" w:rsidRDefault="00EF067E" w:rsidP="00D345AB">
            <w:pPr>
              <w:jc w:val="both"/>
              <w:rPr>
                <w:sz w:val="24"/>
              </w:rPr>
            </w:pPr>
          </w:p>
        </w:tc>
      </w:tr>
      <w:tr w:rsidR="00EF067E" w:rsidRPr="00D345AB" w14:paraId="52CEBC3C" w14:textId="77777777" w:rsidTr="0005468B">
        <w:trPr>
          <w:trHeight w:val="935"/>
        </w:trPr>
        <w:tc>
          <w:tcPr>
            <w:tcW w:w="630" w:type="dxa"/>
            <w:tcBorders>
              <w:top w:val="single" w:sz="4" w:space="0" w:color="auto"/>
            </w:tcBorders>
          </w:tcPr>
          <w:p w14:paraId="5D9513A5" w14:textId="77777777" w:rsidR="00EF067E" w:rsidRPr="00D345AB" w:rsidRDefault="00EF067E" w:rsidP="00D345AB">
            <w:pPr>
              <w:jc w:val="both"/>
              <w:rPr>
                <w:sz w:val="24"/>
              </w:rPr>
            </w:pPr>
          </w:p>
        </w:tc>
        <w:tc>
          <w:tcPr>
            <w:tcW w:w="630" w:type="dxa"/>
            <w:tcBorders>
              <w:top w:val="single" w:sz="4" w:space="0" w:color="auto"/>
            </w:tcBorders>
          </w:tcPr>
          <w:p w14:paraId="3B1F78D5" w14:textId="77777777" w:rsidR="00EF067E" w:rsidRPr="00D345AB" w:rsidRDefault="00EF067E" w:rsidP="00D345AB">
            <w:pPr>
              <w:jc w:val="both"/>
              <w:rPr>
                <w:sz w:val="24"/>
              </w:rPr>
            </w:pPr>
          </w:p>
        </w:tc>
        <w:tc>
          <w:tcPr>
            <w:tcW w:w="630" w:type="dxa"/>
            <w:gridSpan w:val="2"/>
            <w:tcBorders>
              <w:top w:val="single" w:sz="4" w:space="0" w:color="auto"/>
            </w:tcBorders>
          </w:tcPr>
          <w:p w14:paraId="416B5FB1" w14:textId="77777777" w:rsidR="00EF067E" w:rsidRPr="00D345AB" w:rsidRDefault="00EF067E" w:rsidP="00D345AB">
            <w:pPr>
              <w:jc w:val="both"/>
              <w:rPr>
                <w:sz w:val="24"/>
              </w:rPr>
            </w:pPr>
          </w:p>
        </w:tc>
        <w:tc>
          <w:tcPr>
            <w:tcW w:w="8640" w:type="dxa"/>
            <w:gridSpan w:val="3"/>
            <w:vMerge/>
          </w:tcPr>
          <w:p w14:paraId="4F42DABF" w14:textId="77777777" w:rsidR="00EF067E" w:rsidRPr="00D345AB" w:rsidRDefault="00EF067E" w:rsidP="00D345AB">
            <w:pPr>
              <w:jc w:val="both"/>
              <w:rPr>
                <w:sz w:val="24"/>
              </w:rPr>
            </w:pPr>
          </w:p>
        </w:tc>
      </w:tr>
      <w:tr w:rsidR="009A521B" w:rsidRPr="00D345AB" w14:paraId="2CEA91A0" w14:textId="77777777" w:rsidTr="00D86E95">
        <w:tc>
          <w:tcPr>
            <w:tcW w:w="630" w:type="dxa"/>
          </w:tcPr>
          <w:p w14:paraId="60182462" w14:textId="77777777" w:rsidR="009A521B" w:rsidRPr="00D345AB" w:rsidRDefault="009A521B" w:rsidP="00D345AB">
            <w:pPr>
              <w:jc w:val="both"/>
              <w:rPr>
                <w:sz w:val="24"/>
              </w:rPr>
            </w:pPr>
          </w:p>
        </w:tc>
        <w:tc>
          <w:tcPr>
            <w:tcW w:w="630" w:type="dxa"/>
          </w:tcPr>
          <w:p w14:paraId="1938B499" w14:textId="77777777" w:rsidR="009A521B" w:rsidRPr="00D345AB" w:rsidRDefault="009A521B" w:rsidP="00D345AB">
            <w:pPr>
              <w:jc w:val="both"/>
              <w:rPr>
                <w:sz w:val="24"/>
              </w:rPr>
            </w:pPr>
          </w:p>
        </w:tc>
        <w:tc>
          <w:tcPr>
            <w:tcW w:w="630" w:type="dxa"/>
            <w:gridSpan w:val="2"/>
          </w:tcPr>
          <w:p w14:paraId="2F7501C3" w14:textId="77777777" w:rsidR="009A521B" w:rsidRPr="00D345AB" w:rsidRDefault="009A521B" w:rsidP="00D345AB">
            <w:pPr>
              <w:jc w:val="both"/>
              <w:rPr>
                <w:sz w:val="24"/>
              </w:rPr>
            </w:pPr>
          </w:p>
        </w:tc>
        <w:tc>
          <w:tcPr>
            <w:tcW w:w="8640" w:type="dxa"/>
            <w:gridSpan w:val="3"/>
          </w:tcPr>
          <w:p w14:paraId="36D167D0" w14:textId="77777777" w:rsidR="009A521B" w:rsidRPr="0089067B" w:rsidRDefault="009A521B" w:rsidP="00D345AB">
            <w:pPr>
              <w:jc w:val="both"/>
              <w:rPr>
                <w:sz w:val="24"/>
              </w:rPr>
            </w:pPr>
            <w:r w:rsidRPr="00D345AB">
              <w:rPr>
                <w:sz w:val="24"/>
              </w:rPr>
              <w:t xml:space="preserve">Have you </w:t>
            </w:r>
            <w:r>
              <w:rPr>
                <w:sz w:val="24"/>
              </w:rPr>
              <w:t>given or received</w:t>
            </w:r>
            <w:r w:rsidRPr="00D345AB">
              <w:rPr>
                <w:sz w:val="24"/>
              </w:rPr>
              <w:t xml:space="preserve"> a gift</w:t>
            </w:r>
            <w:r>
              <w:rPr>
                <w:sz w:val="24"/>
              </w:rPr>
              <w:t xml:space="preserve">, </w:t>
            </w:r>
            <w:r w:rsidRPr="0089067B">
              <w:rPr>
                <w:sz w:val="24"/>
                <w:szCs w:val="24"/>
              </w:rPr>
              <w:t>including entertainment and gratuities,</w:t>
            </w:r>
            <w:r w:rsidRPr="0089067B">
              <w:rPr>
                <w:sz w:val="24"/>
              </w:rPr>
              <w:t xml:space="preserve"> to/from a customer or to/from the employees or relatives of a customer or anyone that directly </w:t>
            </w:r>
            <w:bookmarkStart w:id="333" w:name="OLE_LINK5"/>
            <w:bookmarkStart w:id="334" w:name="OLE_LINK6"/>
            <w:r w:rsidRPr="0089067B">
              <w:rPr>
                <w:sz w:val="24"/>
              </w:rPr>
              <w:t xml:space="preserve">or indirectly has a relationship with Company, </w:t>
            </w:r>
            <w:r w:rsidRPr="0089067B">
              <w:rPr>
                <w:spacing w:val="8"/>
                <w:sz w:val="24"/>
                <w:szCs w:val="24"/>
              </w:rPr>
              <w:t>including those applicable to foreign government officials</w:t>
            </w:r>
            <w:r w:rsidRPr="0089067B">
              <w:rPr>
                <w:sz w:val="24"/>
              </w:rPr>
              <w:t xml:space="preserve">, in the aggregate in excess of $100 per person in a one-year, calendar period? </w:t>
            </w:r>
            <w:bookmarkEnd w:id="333"/>
            <w:bookmarkEnd w:id="334"/>
            <w:r w:rsidRPr="0089067B">
              <w:rPr>
                <w:sz w:val="24"/>
              </w:rPr>
              <w:t xml:space="preserve">  </w:t>
            </w:r>
          </w:p>
          <w:p w14:paraId="1A886577" w14:textId="77777777" w:rsidR="009A521B" w:rsidRDefault="009A521B" w:rsidP="00D345AB">
            <w:pPr>
              <w:ind w:left="342"/>
              <w:jc w:val="both"/>
              <w:rPr>
                <w:sz w:val="24"/>
              </w:rPr>
            </w:pPr>
          </w:p>
          <w:p w14:paraId="7DA943F8" w14:textId="77777777" w:rsidR="009A521B" w:rsidRPr="00D345AB" w:rsidRDefault="009A521B" w:rsidP="0034657A">
            <w:pPr>
              <w:jc w:val="both"/>
              <w:rPr>
                <w:sz w:val="24"/>
              </w:rPr>
            </w:pPr>
            <w:r w:rsidRPr="00D345AB">
              <w:rPr>
                <w:sz w:val="24"/>
              </w:rPr>
              <w:t xml:space="preserve">If yes, have you reported to the Compliance Department each gift?   </w:t>
            </w:r>
          </w:p>
          <w:p w14:paraId="61A174B5" w14:textId="77777777" w:rsidR="009A521B" w:rsidRDefault="009A521B" w:rsidP="003F72A4">
            <w:pPr>
              <w:jc w:val="both"/>
              <w:rPr>
                <w:sz w:val="24"/>
              </w:rPr>
            </w:pPr>
          </w:p>
          <w:p w14:paraId="0A072816" w14:textId="77777777" w:rsidR="009A521B" w:rsidRDefault="009A521B" w:rsidP="003F72A4">
            <w:pPr>
              <w:jc w:val="both"/>
              <w:rPr>
                <w:sz w:val="24"/>
              </w:rPr>
            </w:pPr>
            <w:r>
              <w:rPr>
                <w:sz w:val="24"/>
              </w:rPr>
              <w:t>If not, please disclose here:</w:t>
            </w:r>
          </w:p>
          <w:p w14:paraId="4F998FC9" w14:textId="77777777" w:rsidR="009A521B" w:rsidRDefault="009A521B" w:rsidP="003F72A4">
            <w:pPr>
              <w:jc w:val="both"/>
              <w:rPr>
                <w:sz w:val="24"/>
              </w:rPr>
            </w:pPr>
          </w:p>
          <w:p w14:paraId="512DE9E9" w14:textId="77777777" w:rsidR="00D960F0" w:rsidRDefault="00D960F0" w:rsidP="003F72A4">
            <w:pPr>
              <w:jc w:val="both"/>
              <w:rPr>
                <w:sz w:val="24"/>
              </w:rPr>
            </w:pPr>
          </w:p>
          <w:p w14:paraId="69736BF4" w14:textId="77777777" w:rsidR="009A521B" w:rsidRDefault="009A521B" w:rsidP="003F72A4">
            <w:pPr>
              <w:jc w:val="both"/>
              <w:rPr>
                <w:sz w:val="24"/>
              </w:rPr>
            </w:pPr>
          </w:p>
          <w:p w14:paraId="0C016774" w14:textId="77777777" w:rsidR="009A521B" w:rsidRPr="00D345AB" w:rsidRDefault="009A521B" w:rsidP="003F72A4">
            <w:pPr>
              <w:jc w:val="both"/>
              <w:rPr>
                <w:sz w:val="24"/>
              </w:rPr>
            </w:pPr>
          </w:p>
        </w:tc>
      </w:tr>
      <w:tr w:rsidR="009A521B" w:rsidRPr="00D345AB" w14:paraId="7D58BBF8" w14:textId="77777777" w:rsidTr="00D86E95">
        <w:tc>
          <w:tcPr>
            <w:tcW w:w="630" w:type="dxa"/>
          </w:tcPr>
          <w:p w14:paraId="3DE181B7" w14:textId="77777777" w:rsidR="009A521B" w:rsidRPr="00D345AB" w:rsidRDefault="009A521B" w:rsidP="00D345AB">
            <w:pPr>
              <w:jc w:val="both"/>
              <w:rPr>
                <w:sz w:val="24"/>
              </w:rPr>
            </w:pPr>
          </w:p>
        </w:tc>
        <w:tc>
          <w:tcPr>
            <w:tcW w:w="630" w:type="dxa"/>
          </w:tcPr>
          <w:p w14:paraId="0F3A141D" w14:textId="77777777" w:rsidR="009A521B" w:rsidRPr="00D345AB" w:rsidRDefault="009A521B" w:rsidP="00D345AB">
            <w:pPr>
              <w:jc w:val="both"/>
              <w:rPr>
                <w:sz w:val="24"/>
              </w:rPr>
            </w:pPr>
          </w:p>
        </w:tc>
        <w:tc>
          <w:tcPr>
            <w:tcW w:w="630" w:type="dxa"/>
            <w:gridSpan w:val="2"/>
          </w:tcPr>
          <w:p w14:paraId="42224CB7" w14:textId="77777777" w:rsidR="009A521B" w:rsidRPr="00D345AB" w:rsidRDefault="009A521B" w:rsidP="00D345AB">
            <w:pPr>
              <w:jc w:val="both"/>
              <w:rPr>
                <w:sz w:val="24"/>
              </w:rPr>
            </w:pPr>
          </w:p>
        </w:tc>
        <w:tc>
          <w:tcPr>
            <w:tcW w:w="8640" w:type="dxa"/>
            <w:gridSpan w:val="3"/>
          </w:tcPr>
          <w:p w14:paraId="38E5DA74" w14:textId="77777777" w:rsidR="009A521B" w:rsidRDefault="009A521B" w:rsidP="00D345AB">
            <w:pPr>
              <w:jc w:val="both"/>
              <w:rPr>
                <w:sz w:val="24"/>
              </w:rPr>
            </w:pPr>
            <w:r w:rsidRPr="00D345AB">
              <w:rPr>
                <w:sz w:val="24"/>
              </w:rPr>
              <w:t xml:space="preserve">Have you been arrested for any reason not previously reported?   </w:t>
            </w:r>
          </w:p>
          <w:p w14:paraId="64FA630A" w14:textId="77777777" w:rsidR="009A521B" w:rsidRDefault="009A521B" w:rsidP="00D345AB">
            <w:pPr>
              <w:jc w:val="both"/>
              <w:rPr>
                <w:sz w:val="24"/>
              </w:rPr>
            </w:pPr>
            <w:r>
              <w:rPr>
                <w:sz w:val="24"/>
              </w:rPr>
              <w:t>If Yes, please provide details:</w:t>
            </w:r>
          </w:p>
          <w:p w14:paraId="74B65ABC" w14:textId="77777777" w:rsidR="009A521B" w:rsidRDefault="009A521B" w:rsidP="00D345AB">
            <w:pPr>
              <w:jc w:val="both"/>
              <w:rPr>
                <w:color w:val="FF0000"/>
                <w:sz w:val="24"/>
                <w:szCs w:val="24"/>
              </w:rPr>
            </w:pPr>
          </w:p>
          <w:p w14:paraId="12C3D1EA" w14:textId="77777777" w:rsidR="00D960F0" w:rsidRPr="003C7F8A" w:rsidRDefault="00D960F0" w:rsidP="00D345AB">
            <w:pPr>
              <w:jc w:val="both"/>
              <w:rPr>
                <w:color w:val="FF0000"/>
                <w:sz w:val="24"/>
                <w:szCs w:val="24"/>
              </w:rPr>
            </w:pPr>
          </w:p>
        </w:tc>
      </w:tr>
      <w:tr w:rsidR="0005468B" w:rsidRPr="00D345AB" w14:paraId="479C8C2F" w14:textId="77777777" w:rsidTr="0005468B">
        <w:tc>
          <w:tcPr>
            <w:tcW w:w="630" w:type="dxa"/>
            <w:shd w:val="clear" w:color="auto" w:fill="A6A6A6" w:themeFill="background1" w:themeFillShade="A6"/>
          </w:tcPr>
          <w:p w14:paraId="5030219D" w14:textId="77777777" w:rsidR="0005468B" w:rsidRPr="0034657A" w:rsidRDefault="0005468B" w:rsidP="0005468B">
            <w:pPr>
              <w:jc w:val="both"/>
              <w:rPr>
                <w:b/>
                <w:sz w:val="24"/>
              </w:rPr>
            </w:pPr>
            <w:r>
              <w:rPr>
                <w:b/>
                <w:sz w:val="24"/>
              </w:rPr>
              <w:lastRenderedPageBreak/>
              <w:t xml:space="preserve">Yes </w:t>
            </w:r>
          </w:p>
        </w:tc>
        <w:tc>
          <w:tcPr>
            <w:tcW w:w="630" w:type="dxa"/>
            <w:shd w:val="clear" w:color="auto" w:fill="A6A6A6" w:themeFill="background1" w:themeFillShade="A6"/>
          </w:tcPr>
          <w:p w14:paraId="61865C13" w14:textId="77777777" w:rsidR="0005468B" w:rsidRPr="0034657A" w:rsidRDefault="0005468B" w:rsidP="0005468B">
            <w:pPr>
              <w:jc w:val="both"/>
              <w:rPr>
                <w:b/>
                <w:sz w:val="24"/>
              </w:rPr>
            </w:pPr>
            <w:r>
              <w:rPr>
                <w:b/>
                <w:sz w:val="24"/>
              </w:rPr>
              <w:t>No</w:t>
            </w:r>
          </w:p>
        </w:tc>
        <w:tc>
          <w:tcPr>
            <w:tcW w:w="630" w:type="dxa"/>
            <w:gridSpan w:val="2"/>
            <w:shd w:val="clear" w:color="auto" w:fill="A6A6A6" w:themeFill="background1" w:themeFillShade="A6"/>
          </w:tcPr>
          <w:p w14:paraId="7A872F26" w14:textId="77777777" w:rsidR="0005468B" w:rsidRPr="0034657A" w:rsidRDefault="0005468B" w:rsidP="0005468B">
            <w:pPr>
              <w:jc w:val="both"/>
              <w:rPr>
                <w:b/>
                <w:sz w:val="24"/>
              </w:rPr>
            </w:pPr>
            <w:r>
              <w:rPr>
                <w:b/>
                <w:sz w:val="24"/>
              </w:rPr>
              <w:t>N/A</w:t>
            </w:r>
          </w:p>
        </w:tc>
        <w:tc>
          <w:tcPr>
            <w:tcW w:w="8640" w:type="dxa"/>
            <w:gridSpan w:val="3"/>
            <w:shd w:val="clear" w:color="auto" w:fill="A6A6A6" w:themeFill="background1" w:themeFillShade="A6"/>
          </w:tcPr>
          <w:p w14:paraId="2F28B460" w14:textId="77777777" w:rsidR="0005468B" w:rsidRPr="0034657A" w:rsidRDefault="0005468B" w:rsidP="0005468B">
            <w:pPr>
              <w:rPr>
                <w:b/>
                <w:sz w:val="24"/>
              </w:rPr>
            </w:pPr>
            <w:r>
              <w:rPr>
                <w:b/>
                <w:sz w:val="24"/>
              </w:rPr>
              <w:t>Question</w:t>
            </w:r>
          </w:p>
        </w:tc>
      </w:tr>
      <w:tr w:rsidR="00FC7CAD" w:rsidRPr="00D345AB" w14:paraId="3121A737" w14:textId="77777777" w:rsidTr="00D86E95">
        <w:tc>
          <w:tcPr>
            <w:tcW w:w="630" w:type="dxa"/>
          </w:tcPr>
          <w:p w14:paraId="5BBAC196" w14:textId="77777777" w:rsidR="00FC7CAD" w:rsidRPr="00D345AB" w:rsidRDefault="00FC7CAD" w:rsidP="00D345AB">
            <w:pPr>
              <w:jc w:val="both"/>
              <w:rPr>
                <w:sz w:val="24"/>
              </w:rPr>
            </w:pPr>
          </w:p>
        </w:tc>
        <w:tc>
          <w:tcPr>
            <w:tcW w:w="630" w:type="dxa"/>
          </w:tcPr>
          <w:p w14:paraId="26A18185" w14:textId="77777777" w:rsidR="00FC7CAD" w:rsidRPr="00D345AB" w:rsidRDefault="00FC7CAD" w:rsidP="00D345AB">
            <w:pPr>
              <w:jc w:val="both"/>
              <w:rPr>
                <w:sz w:val="24"/>
              </w:rPr>
            </w:pPr>
          </w:p>
        </w:tc>
        <w:tc>
          <w:tcPr>
            <w:tcW w:w="630" w:type="dxa"/>
            <w:gridSpan w:val="2"/>
          </w:tcPr>
          <w:p w14:paraId="1CF27F9E" w14:textId="77777777" w:rsidR="00FC7CAD" w:rsidRPr="00D345AB" w:rsidRDefault="00FC7CAD" w:rsidP="00D345AB">
            <w:pPr>
              <w:jc w:val="both"/>
              <w:rPr>
                <w:sz w:val="24"/>
              </w:rPr>
            </w:pPr>
          </w:p>
        </w:tc>
        <w:tc>
          <w:tcPr>
            <w:tcW w:w="8640" w:type="dxa"/>
            <w:gridSpan w:val="3"/>
          </w:tcPr>
          <w:p w14:paraId="1E16A1FF" w14:textId="77777777" w:rsidR="00FC7CAD" w:rsidRPr="0089067B" w:rsidRDefault="00FC7CAD" w:rsidP="00D345AB">
            <w:pPr>
              <w:jc w:val="both"/>
              <w:rPr>
                <w:sz w:val="24"/>
                <w:szCs w:val="24"/>
              </w:rPr>
            </w:pPr>
            <w:r w:rsidRPr="0089067B">
              <w:rPr>
                <w:sz w:val="24"/>
                <w:szCs w:val="24"/>
              </w:rPr>
              <w:t xml:space="preserve">Have you been charged with or convicted of or pled guilty or nolo contendere ("no contest") in a domestic, foreign or military court to any felony or misdemeanor? </w:t>
            </w:r>
          </w:p>
          <w:p w14:paraId="6551860E" w14:textId="77777777" w:rsidR="00FC7CAD" w:rsidRPr="0089067B" w:rsidRDefault="00FC7CAD" w:rsidP="00D345AB">
            <w:pPr>
              <w:jc w:val="both"/>
              <w:rPr>
                <w:sz w:val="24"/>
                <w:szCs w:val="24"/>
              </w:rPr>
            </w:pPr>
            <w:r w:rsidRPr="0089067B">
              <w:rPr>
                <w:sz w:val="24"/>
                <w:szCs w:val="24"/>
              </w:rPr>
              <w:t>If Yes, provide further information with dates, charges, status, disposition, etc.</w:t>
            </w:r>
          </w:p>
          <w:p w14:paraId="0390BFCD" w14:textId="77777777" w:rsidR="00FC7CAD" w:rsidRPr="0089067B" w:rsidRDefault="00FC7CAD" w:rsidP="00D345AB">
            <w:pPr>
              <w:jc w:val="both"/>
              <w:rPr>
                <w:sz w:val="24"/>
                <w:szCs w:val="24"/>
              </w:rPr>
            </w:pPr>
          </w:p>
          <w:p w14:paraId="631AC07C" w14:textId="77777777" w:rsidR="00FC7CAD" w:rsidRPr="0089067B" w:rsidRDefault="00FC7CAD" w:rsidP="00D345AB">
            <w:pPr>
              <w:jc w:val="both"/>
              <w:rPr>
                <w:sz w:val="24"/>
                <w:szCs w:val="24"/>
              </w:rPr>
            </w:pPr>
          </w:p>
          <w:p w14:paraId="14574AE9" w14:textId="77777777" w:rsidR="00FC7CAD" w:rsidRPr="0089067B" w:rsidRDefault="00FC7CAD" w:rsidP="00D345AB">
            <w:pPr>
              <w:jc w:val="both"/>
              <w:rPr>
                <w:sz w:val="24"/>
                <w:szCs w:val="24"/>
              </w:rPr>
            </w:pPr>
          </w:p>
          <w:p w14:paraId="73E19BC4" w14:textId="77777777" w:rsidR="00FC7CAD" w:rsidRPr="0089067B" w:rsidRDefault="00FC7CAD" w:rsidP="00D345AB">
            <w:pPr>
              <w:jc w:val="both"/>
              <w:rPr>
                <w:sz w:val="24"/>
                <w:szCs w:val="24"/>
              </w:rPr>
            </w:pPr>
          </w:p>
        </w:tc>
      </w:tr>
      <w:tr w:rsidR="00FC7CAD" w:rsidRPr="00D345AB" w14:paraId="678D40ED" w14:textId="77777777" w:rsidTr="00D86E95">
        <w:tc>
          <w:tcPr>
            <w:tcW w:w="630" w:type="dxa"/>
          </w:tcPr>
          <w:p w14:paraId="7318A9F1" w14:textId="77777777" w:rsidR="00FC7CAD" w:rsidRPr="00D345AB" w:rsidRDefault="00FC7CAD" w:rsidP="00D345AB">
            <w:pPr>
              <w:jc w:val="both"/>
              <w:rPr>
                <w:sz w:val="24"/>
              </w:rPr>
            </w:pPr>
          </w:p>
        </w:tc>
        <w:tc>
          <w:tcPr>
            <w:tcW w:w="630" w:type="dxa"/>
          </w:tcPr>
          <w:p w14:paraId="143C6EE6" w14:textId="77777777" w:rsidR="00FC7CAD" w:rsidRPr="00D345AB" w:rsidRDefault="00FC7CAD" w:rsidP="00D345AB">
            <w:pPr>
              <w:jc w:val="both"/>
              <w:rPr>
                <w:sz w:val="24"/>
              </w:rPr>
            </w:pPr>
          </w:p>
        </w:tc>
        <w:tc>
          <w:tcPr>
            <w:tcW w:w="630" w:type="dxa"/>
            <w:gridSpan w:val="2"/>
          </w:tcPr>
          <w:p w14:paraId="6D773A34" w14:textId="77777777" w:rsidR="00FC7CAD" w:rsidRPr="00D345AB" w:rsidRDefault="00FC7CAD" w:rsidP="00D345AB">
            <w:pPr>
              <w:jc w:val="both"/>
              <w:rPr>
                <w:sz w:val="24"/>
              </w:rPr>
            </w:pPr>
          </w:p>
        </w:tc>
        <w:tc>
          <w:tcPr>
            <w:tcW w:w="8640" w:type="dxa"/>
            <w:gridSpan w:val="3"/>
          </w:tcPr>
          <w:p w14:paraId="1200D621" w14:textId="77777777" w:rsidR="00FC7CAD" w:rsidRPr="0089067B" w:rsidRDefault="00FC7CAD" w:rsidP="00DF2E02">
            <w:pPr>
              <w:jc w:val="both"/>
              <w:rPr>
                <w:sz w:val="24"/>
                <w:szCs w:val="24"/>
              </w:rPr>
            </w:pPr>
            <w:r w:rsidRPr="0089067B">
              <w:rPr>
                <w:sz w:val="24"/>
                <w:szCs w:val="24"/>
              </w:rPr>
              <w:t>Have you been notified you are currently the subject of an investigation or proceeding or have</w:t>
            </w:r>
            <w:r w:rsidRPr="0089067B">
              <w:rPr>
                <w:sz w:val="16"/>
                <w:szCs w:val="16"/>
              </w:rPr>
              <w:t xml:space="preserve"> </w:t>
            </w:r>
            <w:r w:rsidRPr="0089067B">
              <w:rPr>
                <w:sz w:val="24"/>
                <w:szCs w:val="24"/>
              </w:rPr>
              <w:t>you been found by the SEC, CFTC, other Federal or state regulatory agency (including securities, banking, insurance), foreign financial regulatory authority, National Credit Union Administration or self-regulatory organization (such as FINRA, NYSE, MSRB, other exchanges) to have violated their rules or have any of these agencies imposed a final order that bars or otherwise disciplines you (that has not been previously reported to the Company)?</w:t>
            </w:r>
          </w:p>
          <w:p w14:paraId="45235F91" w14:textId="77777777" w:rsidR="00FC7CAD" w:rsidRPr="0089067B" w:rsidRDefault="00FC7CAD" w:rsidP="00DF2E02">
            <w:pPr>
              <w:jc w:val="both"/>
              <w:rPr>
                <w:sz w:val="24"/>
                <w:szCs w:val="24"/>
              </w:rPr>
            </w:pPr>
            <w:r w:rsidRPr="0089067B">
              <w:rPr>
                <w:sz w:val="24"/>
                <w:szCs w:val="24"/>
              </w:rPr>
              <w:t>If Yes, please provide details:</w:t>
            </w:r>
          </w:p>
          <w:p w14:paraId="791624A0" w14:textId="77777777" w:rsidR="00FC7CAD" w:rsidRPr="0089067B" w:rsidRDefault="00FC7CAD" w:rsidP="00DF2E02">
            <w:pPr>
              <w:jc w:val="both"/>
              <w:rPr>
                <w:sz w:val="24"/>
                <w:szCs w:val="24"/>
              </w:rPr>
            </w:pPr>
          </w:p>
          <w:p w14:paraId="6187FDFE" w14:textId="77777777" w:rsidR="00FC7CAD" w:rsidRPr="0089067B" w:rsidRDefault="00FC7CAD" w:rsidP="00DF2E02">
            <w:pPr>
              <w:jc w:val="both"/>
              <w:rPr>
                <w:sz w:val="24"/>
                <w:szCs w:val="24"/>
              </w:rPr>
            </w:pPr>
          </w:p>
          <w:p w14:paraId="3927DA75" w14:textId="77777777" w:rsidR="00FC7CAD" w:rsidRPr="0089067B" w:rsidRDefault="00FC7CAD" w:rsidP="00DF2E02">
            <w:pPr>
              <w:jc w:val="both"/>
              <w:rPr>
                <w:sz w:val="24"/>
                <w:szCs w:val="24"/>
              </w:rPr>
            </w:pPr>
          </w:p>
          <w:p w14:paraId="48F48488" w14:textId="77777777" w:rsidR="00FC7CAD" w:rsidRPr="0089067B" w:rsidRDefault="00FC7CAD" w:rsidP="00DF2E02">
            <w:pPr>
              <w:jc w:val="both"/>
              <w:rPr>
                <w:sz w:val="24"/>
                <w:szCs w:val="24"/>
              </w:rPr>
            </w:pPr>
          </w:p>
        </w:tc>
      </w:tr>
      <w:tr w:rsidR="00FC7CAD" w:rsidRPr="00D345AB" w14:paraId="313D7B56" w14:textId="77777777" w:rsidTr="00D86E95">
        <w:tc>
          <w:tcPr>
            <w:tcW w:w="630" w:type="dxa"/>
          </w:tcPr>
          <w:p w14:paraId="3100B70A" w14:textId="77777777" w:rsidR="00FC7CAD" w:rsidRPr="00D345AB" w:rsidRDefault="00FC7CAD" w:rsidP="00D345AB">
            <w:pPr>
              <w:jc w:val="both"/>
              <w:rPr>
                <w:sz w:val="24"/>
              </w:rPr>
            </w:pPr>
          </w:p>
        </w:tc>
        <w:tc>
          <w:tcPr>
            <w:tcW w:w="630" w:type="dxa"/>
          </w:tcPr>
          <w:p w14:paraId="037AC68A" w14:textId="77777777" w:rsidR="00FC7CAD" w:rsidRPr="00D345AB" w:rsidRDefault="00FC7CAD" w:rsidP="00D345AB">
            <w:pPr>
              <w:jc w:val="both"/>
              <w:rPr>
                <w:sz w:val="24"/>
              </w:rPr>
            </w:pPr>
          </w:p>
        </w:tc>
        <w:tc>
          <w:tcPr>
            <w:tcW w:w="630" w:type="dxa"/>
            <w:gridSpan w:val="2"/>
          </w:tcPr>
          <w:p w14:paraId="181F4FB0" w14:textId="77777777" w:rsidR="00FC7CAD" w:rsidRPr="00D345AB" w:rsidRDefault="00FC7CAD" w:rsidP="00D345AB">
            <w:pPr>
              <w:jc w:val="both"/>
              <w:rPr>
                <w:sz w:val="24"/>
              </w:rPr>
            </w:pPr>
          </w:p>
        </w:tc>
        <w:tc>
          <w:tcPr>
            <w:tcW w:w="8640" w:type="dxa"/>
            <w:gridSpan w:val="3"/>
          </w:tcPr>
          <w:p w14:paraId="0440C538" w14:textId="77777777" w:rsidR="00FC7CAD" w:rsidRPr="00D345AB" w:rsidRDefault="00FC7CAD" w:rsidP="009A521B">
            <w:pPr>
              <w:jc w:val="both"/>
              <w:rPr>
                <w:sz w:val="24"/>
              </w:rPr>
            </w:pPr>
            <w:r w:rsidRPr="00D345AB">
              <w:rPr>
                <w:sz w:val="24"/>
              </w:rPr>
              <w:t xml:space="preserve">Are you currently involved in or named as a party in an investment related lawsuit or arbitration?     </w:t>
            </w:r>
          </w:p>
          <w:p w14:paraId="43DAA440" w14:textId="77777777" w:rsidR="00FC7CAD" w:rsidRPr="00D345AB" w:rsidRDefault="00FC7CAD" w:rsidP="009A521B">
            <w:pPr>
              <w:tabs>
                <w:tab w:val="num" w:pos="720"/>
              </w:tabs>
              <w:ind w:left="720" w:hanging="720"/>
              <w:jc w:val="both"/>
              <w:rPr>
                <w:sz w:val="24"/>
              </w:rPr>
            </w:pPr>
            <w:r w:rsidRPr="00D345AB">
              <w:rPr>
                <w:sz w:val="24"/>
              </w:rPr>
              <w:t>If Yes, please provide details and dates:</w:t>
            </w:r>
          </w:p>
          <w:p w14:paraId="35DBF9DA" w14:textId="77777777" w:rsidR="00FC7CAD" w:rsidRDefault="00FC7CAD" w:rsidP="009A521B">
            <w:pPr>
              <w:jc w:val="both"/>
              <w:rPr>
                <w:sz w:val="24"/>
              </w:rPr>
            </w:pPr>
          </w:p>
          <w:p w14:paraId="530CE86D" w14:textId="77777777" w:rsidR="00FC7CAD" w:rsidRPr="00D345AB" w:rsidRDefault="00FC7CAD" w:rsidP="00D345AB">
            <w:pPr>
              <w:jc w:val="both"/>
              <w:rPr>
                <w:sz w:val="24"/>
              </w:rPr>
            </w:pPr>
          </w:p>
        </w:tc>
      </w:tr>
      <w:tr w:rsidR="00FC7CAD" w:rsidRPr="00D345AB" w14:paraId="69DF5ED3" w14:textId="77777777" w:rsidTr="00D86E95">
        <w:tc>
          <w:tcPr>
            <w:tcW w:w="630" w:type="dxa"/>
          </w:tcPr>
          <w:p w14:paraId="1EB14EA3" w14:textId="77777777" w:rsidR="00FC7CAD" w:rsidRPr="00D345AB" w:rsidRDefault="00FC7CAD" w:rsidP="00D345AB">
            <w:pPr>
              <w:jc w:val="both"/>
              <w:rPr>
                <w:sz w:val="24"/>
              </w:rPr>
            </w:pPr>
          </w:p>
        </w:tc>
        <w:tc>
          <w:tcPr>
            <w:tcW w:w="630" w:type="dxa"/>
          </w:tcPr>
          <w:p w14:paraId="13228621" w14:textId="77777777" w:rsidR="00FC7CAD" w:rsidRPr="00D345AB" w:rsidRDefault="00FC7CAD" w:rsidP="00D345AB">
            <w:pPr>
              <w:jc w:val="both"/>
              <w:rPr>
                <w:sz w:val="24"/>
              </w:rPr>
            </w:pPr>
          </w:p>
        </w:tc>
        <w:tc>
          <w:tcPr>
            <w:tcW w:w="630" w:type="dxa"/>
            <w:gridSpan w:val="2"/>
          </w:tcPr>
          <w:p w14:paraId="2E805B55" w14:textId="77777777" w:rsidR="00FC7CAD" w:rsidRPr="00D345AB" w:rsidRDefault="00FC7CAD" w:rsidP="00D345AB">
            <w:pPr>
              <w:jc w:val="both"/>
              <w:rPr>
                <w:sz w:val="24"/>
              </w:rPr>
            </w:pPr>
          </w:p>
        </w:tc>
        <w:tc>
          <w:tcPr>
            <w:tcW w:w="8640" w:type="dxa"/>
            <w:gridSpan w:val="3"/>
          </w:tcPr>
          <w:p w14:paraId="0D3CA054" w14:textId="77777777" w:rsidR="00FC7CAD" w:rsidRPr="00D345AB" w:rsidRDefault="00FC7CAD" w:rsidP="00D345AB">
            <w:pPr>
              <w:jc w:val="both"/>
              <w:rPr>
                <w:sz w:val="24"/>
              </w:rPr>
            </w:pPr>
            <w:r w:rsidRPr="00D345AB">
              <w:rPr>
                <w:sz w:val="24"/>
              </w:rPr>
              <w:t xml:space="preserve">Have you been suspended or barred from association with a broker/dealer and/or had a securities registration denied, suspended or revoked that has not been previously reported to the Compliance Department? </w:t>
            </w:r>
          </w:p>
        </w:tc>
      </w:tr>
      <w:tr w:rsidR="00FC7CAD" w:rsidRPr="00D345AB" w14:paraId="7236FD4A" w14:textId="77777777" w:rsidTr="00D86E95">
        <w:tc>
          <w:tcPr>
            <w:tcW w:w="630" w:type="dxa"/>
          </w:tcPr>
          <w:p w14:paraId="3945BA37" w14:textId="77777777" w:rsidR="00FC7CAD" w:rsidRPr="00D345AB" w:rsidRDefault="00FC7CAD" w:rsidP="00D345AB">
            <w:pPr>
              <w:jc w:val="both"/>
              <w:rPr>
                <w:sz w:val="24"/>
              </w:rPr>
            </w:pPr>
          </w:p>
        </w:tc>
        <w:tc>
          <w:tcPr>
            <w:tcW w:w="630" w:type="dxa"/>
          </w:tcPr>
          <w:p w14:paraId="4305A998" w14:textId="77777777" w:rsidR="00FC7CAD" w:rsidRPr="00D345AB" w:rsidRDefault="00FC7CAD" w:rsidP="00D345AB">
            <w:pPr>
              <w:jc w:val="both"/>
              <w:rPr>
                <w:sz w:val="24"/>
              </w:rPr>
            </w:pPr>
          </w:p>
        </w:tc>
        <w:tc>
          <w:tcPr>
            <w:tcW w:w="630" w:type="dxa"/>
            <w:gridSpan w:val="2"/>
          </w:tcPr>
          <w:p w14:paraId="4B480F59" w14:textId="77777777" w:rsidR="00FC7CAD" w:rsidRPr="00D345AB" w:rsidRDefault="00FC7CAD" w:rsidP="00D345AB">
            <w:pPr>
              <w:jc w:val="both"/>
              <w:rPr>
                <w:sz w:val="24"/>
              </w:rPr>
            </w:pPr>
          </w:p>
        </w:tc>
        <w:tc>
          <w:tcPr>
            <w:tcW w:w="8640" w:type="dxa"/>
            <w:gridSpan w:val="3"/>
          </w:tcPr>
          <w:p w14:paraId="2681AF16" w14:textId="77777777" w:rsidR="00FC7CAD" w:rsidRDefault="00FC7CAD" w:rsidP="00D345AB">
            <w:pPr>
              <w:jc w:val="both"/>
              <w:rPr>
                <w:sz w:val="24"/>
              </w:rPr>
            </w:pPr>
            <w:r w:rsidRPr="00D345AB">
              <w:rPr>
                <w:sz w:val="24"/>
              </w:rPr>
              <w:t xml:space="preserve">Have you been found to be the cause of either of the two previous questions above for someone else? </w:t>
            </w:r>
          </w:p>
          <w:p w14:paraId="5826AC18" w14:textId="77777777" w:rsidR="00E8131D" w:rsidRDefault="00E8131D" w:rsidP="00D345AB">
            <w:pPr>
              <w:jc w:val="both"/>
              <w:rPr>
                <w:sz w:val="24"/>
              </w:rPr>
            </w:pPr>
            <w:r>
              <w:rPr>
                <w:sz w:val="24"/>
              </w:rPr>
              <w:t>If Yes, provide details:</w:t>
            </w:r>
          </w:p>
          <w:p w14:paraId="5EA4EB09" w14:textId="77777777" w:rsidR="00E8131D" w:rsidRDefault="00E8131D" w:rsidP="00D345AB">
            <w:pPr>
              <w:jc w:val="both"/>
              <w:rPr>
                <w:sz w:val="24"/>
              </w:rPr>
            </w:pPr>
          </w:p>
          <w:p w14:paraId="77D99BB2" w14:textId="77777777" w:rsidR="00E8131D" w:rsidRPr="00D345AB" w:rsidRDefault="00E8131D" w:rsidP="00D345AB">
            <w:pPr>
              <w:jc w:val="both"/>
              <w:rPr>
                <w:sz w:val="24"/>
              </w:rPr>
            </w:pPr>
          </w:p>
        </w:tc>
      </w:tr>
      <w:tr w:rsidR="00FC7CAD" w:rsidRPr="00D345AB" w14:paraId="7DE5F171" w14:textId="77777777" w:rsidTr="00D86E95">
        <w:tc>
          <w:tcPr>
            <w:tcW w:w="630" w:type="dxa"/>
          </w:tcPr>
          <w:p w14:paraId="429FE303" w14:textId="77777777" w:rsidR="00FC7CAD" w:rsidRPr="00D345AB" w:rsidRDefault="00FC7CAD" w:rsidP="00D345AB">
            <w:pPr>
              <w:jc w:val="both"/>
              <w:rPr>
                <w:sz w:val="24"/>
              </w:rPr>
            </w:pPr>
          </w:p>
        </w:tc>
        <w:tc>
          <w:tcPr>
            <w:tcW w:w="630" w:type="dxa"/>
          </w:tcPr>
          <w:p w14:paraId="0AD4CFEC" w14:textId="77777777" w:rsidR="00FC7CAD" w:rsidRPr="00D345AB" w:rsidRDefault="00FC7CAD" w:rsidP="00D345AB">
            <w:pPr>
              <w:jc w:val="both"/>
              <w:rPr>
                <w:sz w:val="24"/>
              </w:rPr>
            </w:pPr>
          </w:p>
        </w:tc>
        <w:tc>
          <w:tcPr>
            <w:tcW w:w="630" w:type="dxa"/>
            <w:gridSpan w:val="2"/>
          </w:tcPr>
          <w:p w14:paraId="21393E71" w14:textId="77777777" w:rsidR="00FC7CAD" w:rsidRPr="00D345AB" w:rsidRDefault="00FC7CAD" w:rsidP="00D345AB">
            <w:pPr>
              <w:jc w:val="both"/>
              <w:rPr>
                <w:sz w:val="24"/>
              </w:rPr>
            </w:pPr>
          </w:p>
        </w:tc>
        <w:tc>
          <w:tcPr>
            <w:tcW w:w="8640" w:type="dxa"/>
            <w:gridSpan w:val="3"/>
          </w:tcPr>
          <w:p w14:paraId="2C1D4740" w14:textId="77777777" w:rsidR="00FC7CAD" w:rsidRPr="00D345AB" w:rsidRDefault="00FC7CAD" w:rsidP="00D345AB">
            <w:pPr>
              <w:jc w:val="both"/>
              <w:rPr>
                <w:sz w:val="24"/>
              </w:rPr>
            </w:pPr>
            <w:r w:rsidRPr="00D345AB">
              <w:rPr>
                <w:sz w:val="24"/>
              </w:rPr>
              <w:t xml:space="preserve">Have you ever been an officer, director or 10% or more owner of a broker/dealer which was adjudicated bankrupt or for which a Securities Investor Protection Corporation Trustee was appointed?       </w:t>
            </w:r>
          </w:p>
          <w:p w14:paraId="7A431FB0" w14:textId="77777777" w:rsidR="00FC7CAD" w:rsidRPr="00D345AB" w:rsidRDefault="00FC7CAD" w:rsidP="00D345AB">
            <w:pPr>
              <w:ind w:left="720"/>
              <w:jc w:val="both"/>
              <w:rPr>
                <w:sz w:val="24"/>
              </w:rPr>
            </w:pPr>
          </w:p>
          <w:p w14:paraId="7C23A10A" w14:textId="77777777" w:rsidR="00FC7CAD" w:rsidRPr="00D345AB" w:rsidRDefault="00FC7CAD" w:rsidP="00380AFD">
            <w:pPr>
              <w:jc w:val="both"/>
              <w:rPr>
                <w:sz w:val="24"/>
              </w:rPr>
            </w:pPr>
            <w:r w:rsidRPr="00D345AB">
              <w:rPr>
                <w:sz w:val="24"/>
              </w:rPr>
              <w:t xml:space="preserve">To your knowledge, are you associated in a business relationship with anyone to whom any part of this question applies? </w:t>
            </w:r>
            <w:r w:rsidRPr="00D345AB">
              <w:rPr>
                <w:sz w:val="24"/>
              </w:rPr>
              <w:tab/>
              <w:t xml:space="preserve"> </w:t>
            </w:r>
          </w:p>
        </w:tc>
      </w:tr>
      <w:tr w:rsidR="00FC7CAD" w:rsidRPr="00D345AB" w14:paraId="6D3EA3A6" w14:textId="77777777" w:rsidTr="00D86E95">
        <w:tc>
          <w:tcPr>
            <w:tcW w:w="630" w:type="dxa"/>
          </w:tcPr>
          <w:p w14:paraId="796C8325" w14:textId="77777777" w:rsidR="00FC7CAD" w:rsidRPr="00D345AB" w:rsidRDefault="00FC7CAD" w:rsidP="00D345AB">
            <w:pPr>
              <w:jc w:val="both"/>
              <w:rPr>
                <w:sz w:val="24"/>
              </w:rPr>
            </w:pPr>
          </w:p>
        </w:tc>
        <w:tc>
          <w:tcPr>
            <w:tcW w:w="630" w:type="dxa"/>
          </w:tcPr>
          <w:p w14:paraId="52F00F76" w14:textId="77777777" w:rsidR="00FC7CAD" w:rsidRPr="00D345AB" w:rsidRDefault="00FC7CAD" w:rsidP="00D345AB">
            <w:pPr>
              <w:jc w:val="both"/>
              <w:rPr>
                <w:sz w:val="24"/>
              </w:rPr>
            </w:pPr>
          </w:p>
        </w:tc>
        <w:tc>
          <w:tcPr>
            <w:tcW w:w="630" w:type="dxa"/>
            <w:gridSpan w:val="2"/>
          </w:tcPr>
          <w:p w14:paraId="5E8E06CB" w14:textId="77777777" w:rsidR="00FC7CAD" w:rsidRPr="00D345AB" w:rsidRDefault="00FC7CAD" w:rsidP="00D345AB">
            <w:pPr>
              <w:jc w:val="both"/>
              <w:rPr>
                <w:sz w:val="24"/>
              </w:rPr>
            </w:pPr>
          </w:p>
        </w:tc>
        <w:tc>
          <w:tcPr>
            <w:tcW w:w="8640" w:type="dxa"/>
            <w:gridSpan w:val="3"/>
          </w:tcPr>
          <w:p w14:paraId="09A78D4A" w14:textId="77777777" w:rsidR="00FC7CAD" w:rsidRPr="00D345AB" w:rsidRDefault="00FC7CAD" w:rsidP="00D345AB">
            <w:pPr>
              <w:jc w:val="both"/>
              <w:rPr>
                <w:sz w:val="24"/>
              </w:rPr>
            </w:pPr>
            <w:r w:rsidRPr="00D345AB">
              <w:rPr>
                <w:sz w:val="24"/>
              </w:rPr>
              <w:t xml:space="preserve">Have you personally filed for bankruptcy within the last ten years?  </w:t>
            </w:r>
          </w:p>
          <w:p w14:paraId="7BE406CD" w14:textId="77777777" w:rsidR="00FC7CAD" w:rsidRPr="00D345AB" w:rsidRDefault="00FC7CAD" w:rsidP="00D345AB">
            <w:pPr>
              <w:jc w:val="both"/>
              <w:rPr>
                <w:sz w:val="24"/>
              </w:rPr>
            </w:pPr>
            <w:r w:rsidRPr="00D345AB">
              <w:rPr>
                <w:sz w:val="24"/>
              </w:rPr>
              <w:t>If Yes, please provide dates, and details:</w:t>
            </w:r>
          </w:p>
          <w:p w14:paraId="75E5EC24" w14:textId="77777777" w:rsidR="00FC7CAD" w:rsidRDefault="00FC7CAD" w:rsidP="00D345AB">
            <w:pPr>
              <w:jc w:val="both"/>
              <w:rPr>
                <w:sz w:val="24"/>
              </w:rPr>
            </w:pPr>
          </w:p>
          <w:p w14:paraId="10A12315" w14:textId="77777777" w:rsidR="00AE4B51" w:rsidRDefault="00AE4B51" w:rsidP="00D345AB">
            <w:pPr>
              <w:jc w:val="both"/>
              <w:rPr>
                <w:sz w:val="24"/>
              </w:rPr>
            </w:pPr>
          </w:p>
          <w:p w14:paraId="10CB95CD" w14:textId="77777777" w:rsidR="00152180" w:rsidRPr="00D345AB" w:rsidRDefault="00152180" w:rsidP="00D345AB">
            <w:pPr>
              <w:jc w:val="both"/>
              <w:rPr>
                <w:sz w:val="24"/>
              </w:rPr>
            </w:pPr>
          </w:p>
        </w:tc>
      </w:tr>
      <w:tr w:rsidR="00FC7CAD" w:rsidRPr="00D345AB" w14:paraId="4541204D" w14:textId="77777777" w:rsidTr="00D86E95">
        <w:tc>
          <w:tcPr>
            <w:tcW w:w="630" w:type="dxa"/>
          </w:tcPr>
          <w:p w14:paraId="171910C4" w14:textId="77777777" w:rsidR="00FC7CAD" w:rsidRPr="00D345AB" w:rsidRDefault="00FC7CAD" w:rsidP="00D345AB">
            <w:pPr>
              <w:jc w:val="both"/>
              <w:rPr>
                <w:sz w:val="24"/>
              </w:rPr>
            </w:pPr>
          </w:p>
        </w:tc>
        <w:tc>
          <w:tcPr>
            <w:tcW w:w="630" w:type="dxa"/>
          </w:tcPr>
          <w:p w14:paraId="37A4F39D" w14:textId="77777777" w:rsidR="00FC7CAD" w:rsidRPr="00D345AB" w:rsidRDefault="00FC7CAD" w:rsidP="00D345AB">
            <w:pPr>
              <w:jc w:val="both"/>
              <w:rPr>
                <w:sz w:val="24"/>
              </w:rPr>
            </w:pPr>
          </w:p>
        </w:tc>
        <w:tc>
          <w:tcPr>
            <w:tcW w:w="630" w:type="dxa"/>
            <w:gridSpan w:val="2"/>
          </w:tcPr>
          <w:p w14:paraId="4E22A1A8" w14:textId="77777777" w:rsidR="00FC7CAD" w:rsidRPr="00D345AB" w:rsidRDefault="00FC7CAD" w:rsidP="00D345AB">
            <w:pPr>
              <w:jc w:val="both"/>
              <w:rPr>
                <w:sz w:val="24"/>
              </w:rPr>
            </w:pPr>
          </w:p>
        </w:tc>
        <w:tc>
          <w:tcPr>
            <w:tcW w:w="8640" w:type="dxa"/>
            <w:gridSpan w:val="3"/>
          </w:tcPr>
          <w:p w14:paraId="21A078C8" w14:textId="77777777" w:rsidR="00FC7CAD" w:rsidRPr="00C35FA3" w:rsidRDefault="00FC7CAD" w:rsidP="00D345AB">
            <w:pPr>
              <w:jc w:val="both"/>
              <w:rPr>
                <w:sz w:val="24"/>
              </w:rPr>
            </w:pPr>
            <w:r w:rsidRPr="00C35FA3">
              <w:rPr>
                <w:sz w:val="24"/>
              </w:rPr>
              <w:t>Do you have any liens or judgments against you?  If Yes, provide details:</w:t>
            </w:r>
          </w:p>
          <w:p w14:paraId="244666D3" w14:textId="77777777" w:rsidR="00152180" w:rsidRDefault="00152180" w:rsidP="00D345AB">
            <w:pPr>
              <w:jc w:val="both"/>
              <w:rPr>
                <w:sz w:val="24"/>
              </w:rPr>
            </w:pPr>
          </w:p>
          <w:p w14:paraId="3BE38225" w14:textId="77777777" w:rsidR="00F73631" w:rsidRDefault="00F73631" w:rsidP="00D345AB">
            <w:pPr>
              <w:jc w:val="both"/>
              <w:rPr>
                <w:sz w:val="24"/>
              </w:rPr>
            </w:pPr>
          </w:p>
          <w:p w14:paraId="2204A8F3" w14:textId="77777777" w:rsidR="00AE4B51" w:rsidRDefault="00AE4B51" w:rsidP="00D345AB">
            <w:pPr>
              <w:jc w:val="both"/>
              <w:rPr>
                <w:sz w:val="24"/>
              </w:rPr>
            </w:pPr>
          </w:p>
          <w:p w14:paraId="27D22E26" w14:textId="77777777" w:rsidR="00E8131D" w:rsidRPr="00D345AB" w:rsidRDefault="00E8131D" w:rsidP="00D345AB">
            <w:pPr>
              <w:jc w:val="both"/>
              <w:rPr>
                <w:sz w:val="24"/>
              </w:rPr>
            </w:pPr>
          </w:p>
        </w:tc>
      </w:tr>
      <w:tr w:rsidR="0005468B" w:rsidRPr="00D345AB" w14:paraId="105E9965" w14:textId="77777777" w:rsidTr="0005468B">
        <w:tc>
          <w:tcPr>
            <w:tcW w:w="630" w:type="dxa"/>
            <w:shd w:val="clear" w:color="auto" w:fill="A6A6A6" w:themeFill="background1" w:themeFillShade="A6"/>
          </w:tcPr>
          <w:p w14:paraId="6E810229" w14:textId="77777777" w:rsidR="0005468B" w:rsidRPr="0034657A" w:rsidRDefault="0005468B" w:rsidP="0005468B">
            <w:pPr>
              <w:jc w:val="both"/>
              <w:rPr>
                <w:b/>
                <w:sz w:val="24"/>
              </w:rPr>
            </w:pPr>
            <w:r>
              <w:rPr>
                <w:b/>
                <w:sz w:val="24"/>
              </w:rPr>
              <w:lastRenderedPageBreak/>
              <w:t xml:space="preserve">Yes </w:t>
            </w:r>
          </w:p>
        </w:tc>
        <w:tc>
          <w:tcPr>
            <w:tcW w:w="630" w:type="dxa"/>
            <w:shd w:val="clear" w:color="auto" w:fill="A6A6A6" w:themeFill="background1" w:themeFillShade="A6"/>
          </w:tcPr>
          <w:p w14:paraId="663CD714" w14:textId="77777777" w:rsidR="0005468B" w:rsidRPr="0034657A" w:rsidRDefault="0005468B" w:rsidP="0005468B">
            <w:pPr>
              <w:jc w:val="both"/>
              <w:rPr>
                <w:b/>
                <w:sz w:val="24"/>
              </w:rPr>
            </w:pPr>
            <w:r>
              <w:rPr>
                <w:b/>
                <w:sz w:val="24"/>
              </w:rPr>
              <w:t>No</w:t>
            </w:r>
          </w:p>
        </w:tc>
        <w:tc>
          <w:tcPr>
            <w:tcW w:w="630" w:type="dxa"/>
            <w:gridSpan w:val="2"/>
            <w:shd w:val="clear" w:color="auto" w:fill="A6A6A6" w:themeFill="background1" w:themeFillShade="A6"/>
          </w:tcPr>
          <w:p w14:paraId="47140197" w14:textId="77777777" w:rsidR="0005468B" w:rsidRPr="0034657A" w:rsidRDefault="0005468B" w:rsidP="0005468B">
            <w:pPr>
              <w:jc w:val="both"/>
              <w:rPr>
                <w:b/>
                <w:sz w:val="24"/>
              </w:rPr>
            </w:pPr>
            <w:r>
              <w:rPr>
                <w:b/>
                <w:sz w:val="24"/>
              </w:rPr>
              <w:t>N/A</w:t>
            </w:r>
          </w:p>
        </w:tc>
        <w:tc>
          <w:tcPr>
            <w:tcW w:w="8640" w:type="dxa"/>
            <w:gridSpan w:val="3"/>
            <w:shd w:val="clear" w:color="auto" w:fill="A6A6A6" w:themeFill="background1" w:themeFillShade="A6"/>
          </w:tcPr>
          <w:p w14:paraId="658DEA33" w14:textId="77777777" w:rsidR="0005468B" w:rsidRPr="0034657A" w:rsidRDefault="0005468B" w:rsidP="0005468B">
            <w:pPr>
              <w:rPr>
                <w:b/>
                <w:sz w:val="24"/>
              </w:rPr>
            </w:pPr>
            <w:r>
              <w:rPr>
                <w:b/>
                <w:sz w:val="24"/>
              </w:rPr>
              <w:t>Question</w:t>
            </w:r>
          </w:p>
        </w:tc>
      </w:tr>
      <w:tr w:rsidR="00E8131D" w:rsidRPr="00D345AB" w14:paraId="7BA05DE0" w14:textId="77777777" w:rsidTr="00D86E95">
        <w:tc>
          <w:tcPr>
            <w:tcW w:w="630" w:type="dxa"/>
          </w:tcPr>
          <w:p w14:paraId="182F7CA1" w14:textId="77777777" w:rsidR="00E8131D" w:rsidRPr="00D345AB" w:rsidRDefault="00E8131D" w:rsidP="00D345AB">
            <w:pPr>
              <w:jc w:val="both"/>
              <w:rPr>
                <w:sz w:val="24"/>
              </w:rPr>
            </w:pPr>
          </w:p>
        </w:tc>
        <w:tc>
          <w:tcPr>
            <w:tcW w:w="630" w:type="dxa"/>
          </w:tcPr>
          <w:p w14:paraId="70CCE428" w14:textId="77777777" w:rsidR="00E8131D" w:rsidRPr="00D345AB" w:rsidRDefault="00E8131D" w:rsidP="00D345AB">
            <w:pPr>
              <w:jc w:val="both"/>
              <w:rPr>
                <w:sz w:val="24"/>
              </w:rPr>
            </w:pPr>
          </w:p>
        </w:tc>
        <w:tc>
          <w:tcPr>
            <w:tcW w:w="630" w:type="dxa"/>
            <w:gridSpan w:val="2"/>
          </w:tcPr>
          <w:p w14:paraId="7F59D128" w14:textId="77777777" w:rsidR="00E8131D" w:rsidRPr="00D345AB" w:rsidRDefault="00E8131D" w:rsidP="00D345AB">
            <w:pPr>
              <w:jc w:val="both"/>
              <w:rPr>
                <w:sz w:val="24"/>
              </w:rPr>
            </w:pPr>
          </w:p>
        </w:tc>
        <w:tc>
          <w:tcPr>
            <w:tcW w:w="8640" w:type="dxa"/>
            <w:gridSpan w:val="3"/>
          </w:tcPr>
          <w:p w14:paraId="33B9EAD6" w14:textId="2CD56CBF" w:rsidR="00E8131D" w:rsidRPr="00D345AB" w:rsidRDefault="00E8131D" w:rsidP="00D345AB">
            <w:pPr>
              <w:jc w:val="both"/>
              <w:rPr>
                <w:sz w:val="24"/>
              </w:rPr>
            </w:pPr>
            <w:r w:rsidRPr="00D345AB">
              <w:rPr>
                <w:sz w:val="24"/>
              </w:rPr>
              <w:t xml:space="preserve">Have you become licensed with the SEC or state as a Registered Investment Advisor not previously reported (other than with </w:t>
            </w:r>
            <w:r w:rsidRPr="00D343BD">
              <w:rPr>
                <w:color w:val="FF0000"/>
                <w:sz w:val="24"/>
              </w:rPr>
              <w:t>A</w:t>
            </w:r>
            <w:r w:rsidR="00D343BD" w:rsidRPr="00D343BD">
              <w:rPr>
                <w:color w:val="FF0000"/>
                <w:sz w:val="24"/>
              </w:rPr>
              <w:t>vior</w:t>
            </w:r>
            <w:r w:rsidRPr="00D345AB">
              <w:rPr>
                <w:sz w:val="24"/>
              </w:rPr>
              <w:t xml:space="preserve">)? </w:t>
            </w:r>
            <w:r w:rsidRPr="00D345AB">
              <w:rPr>
                <w:sz w:val="24"/>
              </w:rPr>
              <w:tab/>
              <w:t xml:space="preserve"> </w:t>
            </w:r>
          </w:p>
          <w:p w14:paraId="7E72DE98" w14:textId="77777777" w:rsidR="00E8131D" w:rsidRDefault="00E8131D" w:rsidP="0005468B">
            <w:pPr>
              <w:jc w:val="both"/>
              <w:rPr>
                <w:sz w:val="24"/>
              </w:rPr>
            </w:pPr>
            <w:r w:rsidRPr="00D345AB">
              <w:rPr>
                <w:sz w:val="24"/>
              </w:rPr>
              <w:t>If Yes, what company and/or state(s)?</w:t>
            </w:r>
          </w:p>
          <w:p w14:paraId="17D258AB" w14:textId="77777777" w:rsidR="0005468B" w:rsidRPr="00D345AB" w:rsidRDefault="0005468B" w:rsidP="0005468B">
            <w:pPr>
              <w:jc w:val="both"/>
              <w:rPr>
                <w:sz w:val="24"/>
              </w:rPr>
            </w:pPr>
          </w:p>
        </w:tc>
      </w:tr>
      <w:tr w:rsidR="00E8131D" w:rsidRPr="00D345AB" w14:paraId="7F37543A" w14:textId="77777777" w:rsidTr="00D86E95">
        <w:tc>
          <w:tcPr>
            <w:tcW w:w="630" w:type="dxa"/>
          </w:tcPr>
          <w:p w14:paraId="523E5EB3" w14:textId="77777777" w:rsidR="00E8131D" w:rsidRPr="00D345AB" w:rsidRDefault="00E8131D" w:rsidP="00D345AB">
            <w:pPr>
              <w:jc w:val="both"/>
              <w:rPr>
                <w:sz w:val="24"/>
              </w:rPr>
            </w:pPr>
          </w:p>
        </w:tc>
        <w:tc>
          <w:tcPr>
            <w:tcW w:w="630" w:type="dxa"/>
          </w:tcPr>
          <w:p w14:paraId="3DC3CA7A" w14:textId="77777777" w:rsidR="00E8131D" w:rsidRPr="00D345AB" w:rsidRDefault="00E8131D" w:rsidP="00D345AB">
            <w:pPr>
              <w:jc w:val="both"/>
              <w:rPr>
                <w:sz w:val="24"/>
              </w:rPr>
            </w:pPr>
          </w:p>
        </w:tc>
        <w:tc>
          <w:tcPr>
            <w:tcW w:w="630" w:type="dxa"/>
            <w:gridSpan w:val="2"/>
          </w:tcPr>
          <w:p w14:paraId="1B3B6ECF" w14:textId="77777777" w:rsidR="00E8131D" w:rsidRPr="00D345AB" w:rsidRDefault="00E8131D" w:rsidP="00D345AB">
            <w:pPr>
              <w:jc w:val="both"/>
              <w:rPr>
                <w:sz w:val="24"/>
              </w:rPr>
            </w:pPr>
          </w:p>
        </w:tc>
        <w:tc>
          <w:tcPr>
            <w:tcW w:w="8640" w:type="dxa"/>
            <w:gridSpan w:val="3"/>
          </w:tcPr>
          <w:p w14:paraId="5216AF6C" w14:textId="77777777" w:rsidR="00E8131D" w:rsidRDefault="00E8131D" w:rsidP="00D345AB">
            <w:pPr>
              <w:jc w:val="both"/>
              <w:rPr>
                <w:sz w:val="24"/>
              </w:rPr>
            </w:pPr>
            <w:r w:rsidRPr="00D345AB">
              <w:rPr>
                <w:sz w:val="24"/>
              </w:rPr>
              <w:t xml:space="preserve">Have you accepted a fee from a customer for financial planning?   </w:t>
            </w:r>
          </w:p>
          <w:p w14:paraId="4B54B33A" w14:textId="77777777" w:rsidR="00E8131D" w:rsidRDefault="00E8131D" w:rsidP="00D345AB">
            <w:pPr>
              <w:jc w:val="both"/>
              <w:rPr>
                <w:sz w:val="24"/>
              </w:rPr>
            </w:pPr>
            <w:r>
              <w:rPr>
                <w:sz w:val="24"/>
              </w:rPr>
              <w:t>If Yes, provide details:</w:t>
            </w:r>
          </w:p>
          <w:p w14:paraId="0B6C8E9E" w14:textId="77777777" w:rsidR="00E8131D" w:rsidRDefault="00E8131D" w:rsidP="00D345AB">
            <w:pPr>
              <w:jc w:val="both"/>
              <w:rPr>
                <w:sz w:val="24"/>
              </w:rPr>
            </w:pPr>
          </w:p>
          <w:p w14:paraId="5EA7EF01" w14:textId="77777777" w:rsidR="00F73631" w:rsidRDefault="00F73631" w:rsidP="00D345AB">
            <w:pPr>
              <w:jc w:val="both"/>
              <w:rPr>
                <w:sz w:val="24"/>
              </w:rPr>
            </w:pPr>
          </w:p>
          <w:p w14:paraId="6B88EEA0" w14:textId="77777777" w:rsidR="00E8131D" w:rsidRPr="00D345AB" w:rsidRDefault="00E8131D" w:rsidP="00D345AB">
            <w:pPr>
              <w:jc w:val="both"/>
              <w:rPr>
                <w:sz w:val="24"/>
              </w:rPr>
            </w:pPr>
            <w:r w:rsidRPr="00D345AB">
              <w:rPr>
                <w:sz w:val="24"/>
              </w:rPr>
              <w:t xml:space="preserve"> </w:t>
            </w:r>
          </w:p>
        </w:tc>
      </w:tr>
      <w:tr w:rsidR="00E8131D" w:rsidRPr="00D345AB" w14:paraId="3AE64B18" w14:textId="77777777" w:rsidTr="00D86E95">
        <w:trPr>
          <w:trHeight w:val="584"/>
        </w:trPr>
        <w:tc>
          <w:tcPr>
            <w:tcW w:w="630" w:type="dxa"/>
            <w:tcBorders>
              <w:bottom w:val="single" w:sz="4" w:space="0" w:color="auto"/>
            </w:tcBorders>
          </w:tcPr>
          <w:p w14:paraId="08A728B0" w14:textId="77777777" w:rsidR="00E8131D" w:rsidRPr="00D345AB" w:rsidRDefault="00E8131D" w:rsidP="00D345AB">
            <w:pPr>
              <w:jc w:val="both"/>
              <w:rPr>
                <w:sz w:val="24"/>
              </w:rPr>
            </w:pPr>
          </w:p>
        </w:tc>
        <w:tc>
          <w:tcPr>
            <w:tcW w:w="630" w:type="dxa"/>
            <w:tcBorders>
              <w:bottom w:val="single" w:sz="4" w:space="0" w:color="auto"/>
            </w:tcBorders>
          </w:tcPr>
          <w:p w14:paraId="0FD0A5E8" w14:textId="77777777" w:rsidR="00E8131D" w:rsidRPr="00D345AB" w:rsidRDefault="00E8131D" w:rsidP="00D345AB">
            <w:pPr>
              <w:jc w:val="both"/>
              <w:rPr>
                <w:sz w:val="24"/>
              </w:rPr>
            </w:pPr>
          </w:p>
        </w:tc>
        <w:tc>
          <w:tcPr>
            <w:tcW w:w="630" w:type="dxa"/>
            <w:gridSpan w:val="2"/>
            <w:tcBorders>
              <w:bottom w:val="single" w:sz="4" w:space="0" w:color="auto"/>
            </w:tcBorders>
          </w:tcPr>
          <w:p w14:paraId="52797113" w14:textId="77777777" w:rsidR="00E8131D" w:rsidRPr="00D345AB" w:rsidRDefault="00E8131D" w:rsidP="00D345AB">
            <w:pPr>
              <w:jc w:val="both"/>
              <w:rPr>
                <w:sz w:val="24"/>
              </w:rPr>
            </w:pPr>
          </w:p>
        </w:tc>
        <w:tc>
          <w:tcPr>
            <w:tcW w:w="8640" w:type="dxa"/>
            <w:gridSpan w:val="3"/>
            <w:tcBorders>
              <w:bottom w:val="single" w:sz="4" w:space="0" w:color="auto"/>
            </w:tcBorders>
          </w:tcPr>
          <w:p w14:paraId="17F3BDCC" w14:textId="77777777" w:rsidR="00E8131D" w:rsidRDefault="00E8131D" w:rsidP="00D345AB">
            <w:pPr>
              <w:jc w:val="both"/>
              <w:rPr>
                <w:sz w:val="24"/>
              </w:rPr>
            </w:pPr>
            <w:r w:rsidRPr="00D345AB">
              <w:rPr>
                <w:sz w:val="24"/>
              </w:rPr>
              <w:t xml:space="preserve">Have you paid an individual who is not a licensed Associated Person for referral services and/or finders fees?   </w:t>
            </w:r>
          </w:p>
          <w:p w14:paraId="7CC4F10E" w14:textId="77777777" w:rsidR="00E8131D" w:rsidRDefault="00E8131D" w:rsidP="00D345AB">
            <w:pPr>
              <w:jc w:val="both"/>
              <w:rPr>
                <w:sz w:val="24"/>
              </w:rPr>
            </w:pPr>
            <w:r>
              <w:rPr>
                <w:sz w:val="24"/>
              </w:rPr>
              <w:t>If Yes, provide details:</w:t>
            </w:r>
          </w:p>
          <w:p w14:paraId="2A609DE6" w14:textId="77777777" w:rsidR="00E8131D" w:rsidRDefault="00E8131D" w:rsidP="00D345AB">
            <w:pPr>
              <w:jc w:val="both"/>
              <w:rPr>
                <w:sz w:val="24"/>
              </w:rPr>
            </w:pPr>
          </w:p>
          <w:p w14:paraId="5796451D" w14:textId="77777777" w:rsidR="00E8131D" w:rsidRPr="00D345AB" w:rsidRDefault="00E8131D" w:rsidP="00D345AB">
            <w:pPr>
              <w:jc w:val="both"/>
              <w:rPr>
                <w:sz w:val="24"/>
              </w:rPr>
            </w:pPr>
          </w:p>
        </w:tc>
      </w:tr>
      <w:tr w:rsidR="00EF067E" w:rsidRPr="00D345AB" w14:paraId="2D2B6404" w14:textId="77777777" w:rsidTr="00EF067E">
        <w:trPr>
          <w:trHeight w:val="679"/>
        </w:trPr>
        <w:tc>
          <w:tcPr>
            <w:tcW w:w="630" w:type="dxa"/>
            <w:tcBorders>
              <w:top w:val="single" w:sz="4" w:space="0" w:color="auto"/>
              <w:bottom w:val="single" w:sz="4" w:space="0" w:color="auto"/>
            </w:tcBorders>
          </w:tcPr>
          <w:p w14:paraId="2FDB9E3A" w14:textId="77777777" w:rsidR="00EF067E" w:rsidRPr="00D345AB" w:rsidRDefault="00EF067E" w:rsidP="00D345AB">
            <w:pPr>
              <w:jc w:val="both"/>
              <w:rPr>
                <w:sz w:val="24"/>
              </w:rPr>
            </w:pPr>
          </w:p>
        </w:tc>
        <w:tc>
          <w:tcPr>
            <w:tcW w:w="630" w:type="dxa"/>
            <w:tcBorders>
              <w:top w:val="single" w:sz="4" w:space="0" w:color="auto"/>
              <w:bottom w:val="single" w:sz="4" w:space="0" w:color="auto"/>
            </w:tcBorders>
          </w:tcPr>
          <w:p w14:paraId="1751EDFD" w14:textId="77777777" w:rsidR="00EF067E" w:rsidRPr="00D345AB" w:rsidRDefault="00EF067E" w:rsidP="00D345AB">
            <w:pPr>
              <w:jc w:val="both"/>
              <w:rPr>
                <w:sz w:val="24"/>
              </w:rPr>
            </w:pPr>
          </w:p>
        </w:tc>
        <w:tc>
          <w:tcPr>
            <w:tcW w:w="630" w:type="dxa"/>
            <w:gridSpan w:val="2"/>
            <w:tcBorders>
              <w:top w:val="single" w:sz="4" w:space="0" w:color="auto"/>
              <w:bottom w:val="single" w:sz="4" w:space="0" w:color="auto"/>
            </w:tcBorders>
          </w:tcPr>
          <w:p w14:paraId="3D23D15C" w14:textId="77777777" w:rsidR="00EF067E" w:rsidRPr="00D345AB" w:rsidRDefault="00EF067E" w:rsidP="00D345AB">
            <w:pPr>
              <w:jc w:val="both"/>
              <w:rPr>
                <w:sz w:val="24"/>
              </w:rPr>
            </w:pPr>
          </w:p>
        </w:tc>
        <w:tc>
          <w:tcPr>
            <w:tcW w:w="8640" w:type="dxa"/>
            <w:gridSpan w:val="3"/>
            <w:vMerge w:val="restart"/>
            <w:tcBorders>
              <w:top w:val="single" w:sz="4" w:space="0" w:color="auto"/>
            </w:tcBorders>
          </w:tcPr>
          <w:p w14:paraId="22239715" w14:textId="77777777" w:rsidR="00EF067E" w:rsidRDefault="00EF067E" w:rsidP="00D345AB">
            <w:pPr>
              <w:jc w:val="both"/>
              <w:rPr>
                <w:sz w:val="24"/>
                <w:szCs w:val="24"/>
              </w:rPr>
            </w:pPr>
            <w:r w:rsidRPr="0089067B">
              <w:rPr>
                <w:sz w:val="24"/>
                <w:szCs w:val="24"/>
              </w:rPr>
              <w:t xml:space="preserve">Do you use </w:t>
            </w:r>
            <w:r w:rsidRPr="000522AF">
              <w:rPr>
                <w:sz w:val="24"/>
                <w:szCs w:val="24"/>
              </w:rPr>
              <w:t>a</w:t>
            </w:r>
            <w:r w:rsidR="00CB0D19" w:rsidRPr="000522AF">
              <w:rPr>
                <w:sz w:val="24"/>
                <w:szCs w:val="24"/>
              </w:rPr>
              <w:t>ny</w:t>
            </w:r>
            <w:r w:rsidRPr="000522AF">
              <w:rPr>
                <w:sz w:val="24"/>
                <w:szCs w:val="24"/>
              </w:rPr>
              <w:t xml:space="preserve"> </w:t>
            </w:r>
            <w:r w:rsidR="000979B4" w:rsidRPr="000522AF">
              <w:rPr>
                <w:sz w:val="24"/>
                <w:szCs w:val="24"/>
              </w:rPr>
              <w:t xml:space="preserve">professional designation </w:t>
            </w:r>
            <w:r w:rsidR="00CB0D19" w:rsidRPr="000522AF">
              <w:rPr>
                <w:sz w:val="24"/>
                <w:szCs w:val="24"/>
              </w:rPr>
              <w:t>OR</w:t>
            </w:r>
            <w:r w:rsidR="000979B4" w:rsidRPr="000522AF">
              <w:rPr>
                <w:sz w:val="24"/>
                <w:szCs w:val="24"/>
              </w:rPr>
              <w:t xml:space="preserve"> a</w:t>
            </w:r>
            <w:r w:rsidR="00CB0D19" w:rsidRPr="000522AF">
              <w:rPr>
                <w:sz w:val="24"/>
                <w:szCs w:val="24"/>
              </w:rPr>
              <w:t>ny</w:t>
            </w:r>
            <w:r w:rsidR="000979B4" w:rsidRPr="000522AF">
              <w:rPr>
                <w:sz w:val="24"/>
                <w:szCs w:val="24"/>
              </w:rPr>
              <w:t xml:space="preserve"> </w:t>
            </w:r>
            <w:r w:rsidRPr="000522AF">
              <w:rPr>
                <w:sz w:val="24"/>
                <w:szCs w:val="24"/>
              </w:rPr>
              <w:t xml:space="preserve">title </w:t>
            </w:r>
            <w:r w:rsidRPr="0089067B">
              <w:rPr>
                <w:sz w:val="24"/>
                <w:szCs w:val="24"/>
              </w:rPr>
              <w:t>that indicates expertise in dealing with senior investors or other areas of expertise?  If Yes:</w:t>
            </w:r>
          </w:p>
          <w:p w14:paraId="4A67C03E" w14:textId="77777777" w:rsidR="00EF067E" w:rsidRPr="00EF067E" w:rsidRDefault="00EF067E" w:rsidP="00D345AB">
            <w:pPr>
              <w:jc w:val="both"/>
              <w:rPr>
                <w:sz w:val="16"/>
                <w:szCs w:val="16"/>
              </w:rPr>
            </w:pPr>
          </w:p>
          <w:p w14:paraId="0946EC89" w14:textId="77777777" w:rsidR="00EF067E" w:rsidRDefault="00EF067E" w:rsidP="003E7B18">
            <w:pPr>
              <w:numPr>
                <w:ilvl w:val="0"/>
                <w:numId w:val="222"/>
              </w:numPr>
              <w:jc w:val="both"/>
              <w:rPr>
                <w:sz w:val="24"/>
                <w:szCs w:val="24"/>
              </w:rPr>
            </w:pPr>
            <w:r w:rsidRPr="0089067B">
              <w:rPr>
                <w:sz w:val="24"/>
                <w:szCs w:val="24"/>
              </w:rPr>
              <w:t xml:space="preserve"> Has the title been approved by Compliance?</w:t>
            </w:r>
          </w:p>
          <w:p w14:paraId="00ECE75D" w14:textId="77777777" w:rsidR="00EF067E" w:rsidRPr="00EF067E" w:rsidRDefault="00EF067E" w:rsidP="00EF067E">
            <w:pPr>
              <w:ind w:left="720"/>
              <w:jc w:val="both"/>
              <w:rPr>
                <w:sz w:val="16"/>
                <w:szCs w:val="16"/>
              </w:rPr>
            </w:pPr>
          </w:p>
          <w:p w14:paraId="1B7498FA" w14:textId="77777777" w:rsidR="00EF067E" w:rsidRDefault="00EF067E" w:rsidP="003E7B18">
            <w:pPr>
              <w:numPr>
                <w:ilvl w:val="0"/>
                <w:numId w:val="222"/>
              </w:numPr>
              <w:jc w:val="both"/>
              <w:rPr>
                <w:sz w:val="24"/>
                <w:szCs w:val="24"/>
              </w:rPr>
            </w:pPr>
            <w:r w:rsidRPr="0089067B">
              <w:rPr>
                <w:sz w:val="24"/>
                <w:szCs w:val="24"/>
              </w:rPr>
              <w:t xml:space="preserve"> If the title is issued by a professional organization, are you in good standing with that organization?  Indicate N/A if this does not apply. </w:t>
            </w:r>
          </w:p>
          <w:p w14:paraId="631D7F84" w14:textId="77777777" w:rsidR="00EF067E" w:rsidRPr="00EF067E" w:rsidRDefault="00EF067E" w:rsidP="00EF067E">
            <w:pPr>
              <w:ind w:left="720"/>
              <w:jc w:val="both"/>
              <w:rPr>
                <w:sz w:val="16"/>
                <w:szCs w:val="16"/>
              </w:rPr>
            </w:pPr>
          </w:p>
          <w:p w14:paraId="7DB1E858" w14:textId="77777777" w:rsidR="00EF067E" w:rsidRPr="009A521B" w:rsidRDefault="00EF067E" w:rsidP="003E7B18">
            <w:pPr>
              <w:numPr>
                <w:ilvl w:val="0"/>
                <w:numId w:val="222"/>
              </w:numPr>
              <w:ind w:left="702"/>
              <w:jc w:val="both"/>
              <w:rPr>
                <w:color w:val="FF0000"/>
                <w:sz w:val="24"/>
                <w:szCs w:val="24"/>
              </w:rPr>
            </w:pPr>
            <w:r w:rsidRPr="0089067B">
              <w:rPr>
                <w:sz w:val="24"/>
                <w:szCs w:val="24"/>
              </w:rPr>
              <w:t xml:space="preserve"> Have you completed requirements (such as training, continuing education, or other requi</w:t>
            </w:r>
            <w:r>
              <w:rPr>
                <w:sz w:val="24"/>
                <w:szCs w:val="24"/>
              </w:rPr>
              <w:t xml:space="preserve">rements) imposed either by the </w:t>
            </w:r>
            <w:r w:rsidRPr="0089067B">
              <w:rPr>
                <w:sz w:val="24"/>
                <w:szCs w:val="24"/>
              </w:rPr>
              <w:t xml:space="preserve">professional organization or the </w:t>
            </w:r>
            <w:r>
              <w:rPr>
                <w:sz w:val="24"/>
                <w:szCs w:val="24"/>
              </w:rPr>
              <w:t>Company</w:t>
            </w:r>
            <w:r w:rsidRPr="0089067B">
              <w:rPr>
                <w:sz w:val="24"/>
                <w:szCs w:val="24"/>
              </w:rPr>
              <w:t xml:space="preserve"> to use the title?</w:t>
            </w:r>
            <w:r w:rsidRPr="003665FB">
              <w:rPr>
                <w:color w:val="FF0000"/>
                <w:sz w:val="24"/>
                <w:szCs w:val="24"/>
              </w:rPr>
              <w:t xml:space="preserve">  </w:t>
            </w:r>
          </w:p>
        </w:tc>
      </w:tr>
      <w:tr w:rsidR="00EF067E" w:rsidRPr="00D345AB" w14:paraId="4B1CBA6D" w14:textId="77777777" w:rsidTr="00EF067E">
        <w:trPr>
          <w:trHeight w:val="518"/>
        </w:trPr>
        <w:tc>
          <w:tcPr>
            <w:tcW w:w="630" w:type="dxa"/>
            <w:tcBorders>
              <w:top w:val="single" w:sz="4" w:space="0" w:color="auto"/>
              <w:bottom w:val="single" w:sz="4" w:space="0" w:color="auto"/>
            </w:tcBorders>
          </w:tcPr>
          <w:p w14:paraId="74A8C498" w14:textId="77777777" w:rsidR="00EF067E" w:rsidRPr="00D345AB" w:rsidRDefault="00EF067E" w:rsidP="00D345AB">
            <w:pPr>
              <w:jc w:val="both"/>
              <w:rPr>
                <w:sz w:val="24"/>
              </w:rPr>
            </w:pPr>
          </w:p>
        </w:tc>
        <w:tc>
          <w:tcPr>
            <w:tcW w:w="630" w:type="dxa"/>
            <w:tcBorders>
              <w:top w:val="single" w:sz="4" w:space="0" w:color="auto"/>
              <w:bottom w:val="single" w:sz="4" w:space="0" w:color="auto"/>
            </w:tcBorders>
          </w:tcPr>
          <w:p w14:paraId="098ADE94" w14:textId="77777777" w:rsidR="00EF067E" w:rsidRPr="00D345AB" w:rsidRDefault="00EF067E" w:rsidP="00D345AB">
            <w:pPr>
              <w:jc w:val="both"/>
              <w:rPr>
                <w:sz w:val="24"/>
              </w:rPr>
            </w:pPr>
          </w:p>
        </w:tc>
        <w:tc>
          <w:tcPr>
            <w:tcW w:w="630" w:type="dxa"/>
            <w:gridSpan w:val="2"/>
            <w:tcBorders>
              <w:top w:val="single" w:sz="4" w:space="0" w:color="auto"/>
              <w:bottom w:val="single" w:sz="4" w:space="0" w:color="auto"/>
            </w:tcBorders>
          </w:tcPr>
          <w:p w14:paraId="2F8981D9" w14:textId="77777777" w:rsidR="00EF067E" w:rsidRPr="00D345AB" w:rsidRDefault="00EF067E" w:rsidP="00D345AB">
            <w:pPr>
              <w:jc w:val="both"/>
              <w:rPr>
                <w:sz w:val="24"/>
              </w:rPr>
            </w:pPr>
          </w:p>
        </w:tc>
        <w:tc>
          <w:tcPr>
            <w:tcW w:w="8640" w:type="dxa"/>
            <w:gridSpan w:val="3"/>
            <w:vMerge/>
          </w:tcPr>
          <w:p w14:paraId="49473082" w14:textId="77777777" w:rsidR="00EF067E" w:rsidRPr="0089067B" w:rsidRDefault="00EF067E" w:rsidP="00D345AB">
            <w:pPr>
              <w:jc w:val="both"/>
              <w:rPr>
                <w:sz w:val="24"/>
                <w:szCs w:val="24"/>
              </w:rPr>
            </w:pPr>
          </w:p>
        </w:tc>
      </w:tr>
      <w:tr w:rsidR="00EF067E" w:rsidRPr="00D345AB" w14:paraId="218BC508" w14:textId="77777777" w:rsidTr="00EF067E">
        <w:trPr>
          <w:trHeight w:val="691"/>
        </w:trPr>
        <w:tc>
          <w:tcPr>
            <w:tcW w:w="630" w:type="dxa"/>
            <w:tcBorders>
              <w:top w:val="single" w:sz="4" w:space="0" w:color="auto"/>
              <w:bottom w:val="single" w:sz="4" w:space="0" w:color="auto"/>
            </w:tcBorders>
          </w:tcPr>
          <w:p w14:paraId="2828C137" w14:textId="77777777" w:rsidR="00EF067E" w:rsidRPr="00D345AB" w:rsidRDefault="00EF067E" w:rsidP="00D345AB">
            <w:pPr>
              <w:jc w:val="both"/>
              <w:rPr>
                <w:sz w:val="24"/>
              </w:rPr>
            </w:pPr>
          </w:p>
        </w:tc>
        <w:tc>
          <w:tcPr>
            <w:tcW w:w="630" w:type="dxa"/>
            <w:tcBorders>
              <w:top w:val="single" w:sz="4" w:space="0" w:color="auto"/>
              <w:bottom w:val="single" w:sz="4" w:space="0" w:color="auto"/>
            </w:tcBorders>
          </w:tcPr>
          <w:p w14:paraId="3E8917BF" w14:textId="77777777" w:rsidR="00EF067E" w:rsidRPr="00D345AB" w:rsidRDefault="00EF067E" w:rsidP="00D345AB">
            <w:pPr>
              <w:jc w:val="both"/>
              <w:rPr>
                <w:sz w:val="24"/>
              </w:rPr>
            </w:pPr>
          </w:p>
        </w:tc>
        <w:tc>
          <w:tcPr>
            <w:tcW w:w="630" w:type="dxa"/>
            <w:gridSpan w:val="2"/>
            <w:tcBorders>
              <w:top w:val="single" w:sz="4" w:space="0" w:color="auto"/>
              <w:bottom w:val="single" w:sz="4" w:space="0" w:color="auto"/>
            </w:tcBorders>
          </w:tcPr>
          <w:p w14:paraId="2C60E024" w14:textId="77777777" w:rsidR="00EF067E" w:rsidRPr="00D345AB" w:rsidRDefault="00EF067E" w:rsidP="00D345AB">
            <w:pPr>
              <w:jc w:val="both"/>
              <w:rPr>
                <w:sz w:val="24"/>
              </w:rPr>
            </w:pPr>
          </w:p>
        </w:tc>
        <w:tc>
          <w:tcPr>
            <w:tcW w:w="8640" w:type="dxa"/>
            <w:gridSpan w:val="3"/>
            <w:vMerge/>
          </w:tcPr>
          <w:p w14:paraId="1B83922F" w14:textId="77777777" w:rsidR="00EF067E" w:rsidRPr="0089067B" w:rsidRDefault="00EF067E" w:rsidP="00D345AB">
            <w:pPr>
              <w:jc w:val="both"/>
              <w:rPr>
                <w:sz w:val="24"/>
                <w:szCs w:val="24"/>
              </w:rPr>
            </w:pPr>
          </w:p>
        </w:tc>
      </w:tr>
      <w:tr w:rsidR="00EF067E" w:rsidRPr="00D345AB" w14:paraId="651BFA03" w14:textId="77777777" w:rsidTr="002C67BD">
        <w:trPr>
          <w:trHeight w:val="910"/>
        </w:trPr>
        <w:tc>
          <w:tcPr>
            <w:tcW w:w="630" w:type="dxa"/>
            <w:tcBorders>
              <w:top w:val="single" w:sz="4" w:space="0" w:color="auto"/>
            </w:tcBorders>
          </w:tcPr>
          <w:p w14:paraId="0A1280FA" w14:textId="77777777" w:rsidR="00EF067E" w:rsidRPr="00D345AB" w:rsidRDefault="00EF067E" w:rsidP="00D345AB">
            <w:pPr>
              <w:jc w:val="both"/>
              <w:rPr>
                <w:sz w:val="24"/>
              </w:rPr>
            </w:pPr>
          </w:p>
        </w:tc>
        <w:tc>
          <w:tcPr>
            <w:tcW w:w="630" w:type="dxa"/>
            <w:tcBorders>
              <w:top w:val="single" w:sz="4" w:space="0" w:color="auto"/>
            </w:tcBorders>
          </w:tcPr>
          <w:p w14:paraId="02EAABB9" w14:textId="77777777" w:rsidR="00EF067E" w:rsidRPr="00D345AB" w:rsidRDefault="00EF067E" w:rsidP="00D345AB">
            <w:pPr>
              <w:jc w:val="both"/>
              <w:rPr>
                <w:sz w:val="24"/>
              </w:rPr>
            </w:pPr>
          </w:p>
        </w:tc>
        <w:tc>
          <w:tcPr>
            <w:tcW w:w="630" w:type="dxa"/>
            <w:gridSpan w:val="2"/>
            <w:tcBorders>
              <w:top w:val="single" w:sz="4" w:space="0" w:color="auto"/>
            </w:tcBorders>
          </w:tcPr>
          <w:p w14:paraId="7FCA94D2" w14:textId="77777777" w:rsidR="00EF067E" w:rsidRPr="00D345AB" w:rsidRDefault="00EF067E" w:rsidP="00D345AB">
            <w:pPr>
              <w:jc w:val="both"/>
              <w:rPr>
                <w:sz w:val="24"/>
              </w:rPr>
            </w:pPr>
          </w:p>
        </w:tc>
        <w:tc>
          <w:tcPr>
            <w:tcW w:w="8640" w:type="dxa"/>
            <w:gridSpan w:val="3"/>
            <w:vMerge/>
          </w:tcPr>
          <w:p w14:paraId="19BC3A79" w14:textId="77777777" w:rsidR="00EF067E" w:rsidRPr="0089067B" w:rsidRDefault="00EF067E" w:rsidP="00D345AB">
            <w:pPr>
              <w:jc w:val="both"/>
              <w:rPr>
                <w:sz w:val="24"/>
                <w:szCs w:val="24"/>
              </w:rPr>
            </w:pPr>
          </w:p>
        </w:tc>
      </w:tr>
      <w:tr w:rsidR="00E8131D" w:rsidRPr="00D345AB" w14:paraId="5F79B15E" w14:textId="77777777" w:rsidTr="00D86E95">
        <w:trPr>
          <w:trHeight w:val="510"/>
        </w:trPr>
        <w:tc>
          <w:tcPr>
            <w:tcW w:w="630" w:type="dxa"/>
            <w:tcBorders>
              <w:top w:val="single" w:sz="4" w:space="0" w:color="auto"/>
            </w:tcBorders>
          </w:tcPr>
          <w:p w14:paraId="7D533EEB" w14:textId="77777777" w:rsidR="00E8131D" w:rsidRPr="00D345AB" w:rsidRDefault="00E8131D" w:rsidP="00D345AB">
            <w:pPr>
              <w:jc w:val="both"/>
              <w:rPr>
                <w:sz w:val="24"/>
              </w:rPr>
            </w:pPr>
          </w:p>
        </w:tc>
        <w:tc>
          <w:tcPr>
            <w:tcW w:w="630" w:type="dxa"/>
            <w:tcBorders>
              <w:top w:val="single" w:sz="4" w:space="0" w:color="auto"/>
            </w:tcBorders>
          </w:tcPr>
          <w:p w14:paraId="7DA1CAE8" w14:textId="77777777" w:rsidR="00E8131D" w:rsidRPr="00D345AB" w:rsidRDefault="00E8131D" w:rsidP="00D345AB">
            <w:pPr>
              <w:jc w:val="both"/>
              <w:rPr>
                <w:sz w:val="24"/>
              </w:rPr>
            </w:pPr>
          </w:p>
        </w:tc>
        <w:tc>
          <w:tcPr>
            <w:tcW w:w="630" w:type="dxa"/>
            <w:gridSpan w:val="2"/>
            <w:tcBorders>
              <w:top w:val="single" w:sz="4" w:space="0" w:color="auto"/>
            </w:tcBorders>
          </w:tcPr>
          <w:p w14:paraId="42F22B21" w14:textId="77777777" w:rsidR="00E8131D" w:rsidRPr="00D345AB" w:rsidRDefault="00E8131D" w:rsidP="00D345AB">
            <w:pPr>
              <w:jc w:val="both"/>
              <w:rPr>
                <w:sz w:val="24"/>
              </w:rPr>
            </w:pPr>
          </w:p>
        </w:tc>
        <w:tc>
          <w:tcPr>
            <w:tcW w:w="8640" w:type="dxa"/>
            <w:gridSpan w:val="3"/>
            <w:tcBorders>
              <w:top w:val="single" w:sz="4" w:space="0" w:color="auto"/>
            </w:tcBorders>
          </w:tcPr>
          <w:p w14:paraId="5F6D6CC6" w14:textId="77777777" w:rsidR="00E8131D" w:rsidRDefault="00E8131D" w:rsidP="00D345AB">
            <w:pPr>
              <w:jc w:val="both"/>
              <w:rPr>
                <w:sz w:val="24"/>
              </w:rPr>
            </w:pPr>
            <w:r w:rsidRPr="00D345AB">
              <w:rPr>
                <w:sz w:val="24"/>
              </w:rPr>
              <w:t xml:space="preserve">Have you loaned to or borrowed money from a customer that has not been previously reported to the Company?   </w:t>
            </w:r>
          </w:p>
          <w:p w14:paraId="03F2D554" w14:textId="77777777" w:rsidR="00E8131D" w:rsidRDefault="00E8131D" w:rsidP="00D345AB">
            <w:pPr>
              <w:jc w:val="both"/>
              <w:rPr>
                <w:sz w:val="24"/>
              </w:rPr>
            </w:pPr>
            <w:r>
              <w:rPr>
                <w:sz w:val="24"/>
              </w:rPr>
              <w:t>If Yes, provide details</w:t>
            </w:r>
          </w:p>
          <w:p w14:paraId="15EEB27D" w14:textId="77777777" w:rsidR="00E8131D" w:rsidRDefault="00E8131D" w:rsidP="00D345AB">
            <w:pPr>
              <w:jc w:val="both"/>
              <w:rPr>
                <w:sz w:val="24"/>
              </w:rPr>
            </w:pPr>
          </w:p>
          <w:p w14:paraId="01421704" w14:textId="77777777" w:rsidR="00E8131D" w:rsidRPr="00D345AB" w:rsidRDefault="00E8131D" w:rsidP="00D345AB">
            <w:pPr>
              <w:jc w:val="both"/>
              <w:rPr>
                <w:sz w:val="24"/>
              </w:rPr>
            </w:pPr>
          </w:p>
        </w:tc>
      </w:tr>
      <w:tr w:rsidR="00E8131D" w:rsidRPr="00D345AB" w14:paraId="4F1E988D" w14:textId="77777777" w:rsidTr="00D86E95">
        <w:tc>
          <w:tcPr>
            <w:tcW w:w="630" w:type="dxa"/>
          </w:tcPr>
          <w:p w14:paraId="5A9656D6" w14:textId="77777777" w:rsidR="00E8131D" w:rsidRPr="00D345AB" w:rsidRDefault="00E8131D" w:rsidP="00D345AB">
            <w:pPr>
              <w:jc w:val="both"/>
              <w:rPr>
                <w:sz w:val="24"/>
              </w:rPr>
            </w:pPr>
          </w:p>
        </w:tc>
        <w:tc>
          <w:tcPr>
            <w:tcW w:w="630" w:type="dxa"/>
          </w:tcPr>
          <w:p w14:paraId="548E466D" w14:textId="77777777" w:rsidR="00E8131D" w:rsidRPr="00D345AB" w:rsidRDefault="00E8131D" w:rsidP="00D345AB">
            <w:pPr>
              <w:jc w:val="both"/>
              <w:rPr>
                <w:sz w:val="24"/>
              </w:rPr>
            </w:pPr>
          </w:p>
        </w:tc>
        <w:tc>
          <w:tcPr>
            <w:tcW w:w="630" w:type="dxa"/>
            <w:gridSpan w:val="2"/>
          </w:tcPr>
          <w:p w14:paraId="7130B902" w14:textId="77777777" w:rsidR="00E8131D" w:rsidRPr="00D345AB" w:rsidRDefault="00E8131D" w:rsidP="00D345AB">
            <w:pPr>
              <w:jc w:val="both"/>
              <w:rPr>
                <w:sz w:val="24"/>
              </w:rPr>
            </w:pPr>
          </w:p>
        </w:tc>
        <w:tc>
          <w:tcPr>
            <w:tcW w:w="8640" w:type="dxa"/>
            <w:gridSpan w:val="3"/>
          </w:tcPr>
          <w:p w14:paraId="753673C4" w14:textId="77777777" w:rsidR="00E8131D" w:rsidRPr="00D345AB" w:rsidRDefault="00E8131D" w:rsidP="00D345AB">
            <w:pPr>
              <w:jc w:val="both"/>
              <w:rPr>
                <w:sz w:val="24"/>
              </w:rPr>
            </w:pPr>
            <w:r w:rsidRPr="00D345AB">
              <w:rPr>
                <w:sz w:val="24"/>
              </w:rPr>
              <w:t>Have you sponsored or co-sponsored any private placements and/or received compensation for the introduction of investors in any private placement not initiated by the Company?</w:t>
            </w:r>
            <w:r w:rsidRPr="00D345AB">
              <w:rPr>
                <w:sz w:val="24"/>
              </w:rPr>
              <w:tab/>
            </w:r>
            <w:r>
              <w:rPr>
                <w:sz w:val="24"/>
              </w:rPr>
              <w:t xml:space="preserve">  </w:t>
            </w:r>
            <w:r w:rsidRPr="00D345AB">
              <w:rPr>
                <w:sz w:val="24"/>
              </w:rPr>
              <w:t>If yes, complete the following:</w:t>
            </w:r>
          </w:p>
          <w:p w14:paraId="450411BA" w14:textId="77777777" w:rsidR="00E8131D" w:rsidRPr="00D345AB" w:rsidRDefault="00E8131D" w:rsidP="00D345AB">
            <w:pPr>
              <w:ind w:left="720"/>
              <w:jc w:val="both"/>
              <w:rPr>
                <w:sz w:val="24"/>
              </w:rPr>
            </w:pPr>
          </w:p>
          <w:p w14:paraId="4828D939" w14:textId="77777777" w:rsidR="00E8131D" w:rsidRPr="00D345AB" w:rsidRDefault="00E8131D" w:rsidP="00D345AB">
            <w:pPr>
              <w:jc w:val="both"/>
              <w:rPr>
                <w:sz w:val="24"/>
                <w:u w:val="single"/>
              </w:rPr>
            </w:pPr>
            <w:r>
              <w:rPr>
                <w:sz w:val="24"/>
              </w:rPr>
              <w:t>Name of Program: _________________________________________</w:t>
            </w:r>
          </w:p>
          <w:p w14:paraId="62223293" w14:textId="77777777" w:rsidR="00E8131D" w:rsidRPr="00D345AB" w:rsidRDefault="00E8131D" w:rsidP="00D345AB">
            <w:pPr>
              <w:jc w:val="both"/>
              <w:rPr>
                <w:sz w:val="24"/>
              </w:rPr>
            </w:pPr>
          </w:p>
          <w:p w14:paraId="54FB2D8F" w14:textId="77777777" w:rsidR="00E8131D" w:rsidRPr="00D345AB" w:rsidRDefault="00E8131D" w:rsidP="00D345AB">
            <w:pPr>
              <w:jc w:val="both"/>
              <w:rPr>
                <w:sz w:val="24"/>
              </w:rPr>
            </w:pPr>
            <w:r w:rsidRPr="00D345AB">
              <w:rPr>
                <w:sz w:val="24"/>
              </w:rPr>
              <w:t>Capacity of Participation:</w:t>
            </w:r>
            <w:r w:rsidRPr="00D345AB">
              <w:rPr>
                <w:sz w:val="24"/>
                <w:u w:val="single"/>
              </w:rPr>
              <w:t xml:space="preserve"> </w:t>
            </w:r>
            <w:r w:rsidRPr="00D345AB">
              <w:rPr>
                <w:sz w:val="24"/>
                <w:u w:val="single"/>
              </w:rPr>
              <w:tab/>
            </w:r>
            <w:r w:rsidRPr="00D345AB">
              <w:rPr>
                <w:sz w:val="24"/>
                <w:u w:val="single"/>
              </w:rPr>
              <w:tab/>
            </w:r>
            <w:r w:rsidRPr="00D345AB">
              <w:rPr>
                <w:sz w:val="24"/>
                <w:u w:val="single"/>
              </w:rPr>
              <w:tab/>
            </w:r>
            <w:r w:rsidRPr="00D345AB">
              <w:rPr>
                <w:sz w:val="24"/>
                <w:u w:val="single"/>
              </w:rPr>
              <w:tab/>
            </w:r>
            <w:r w:rsidRPr="00D345AB">
              <w:rPr>
                <w:sz w:val="24"/>
                <w:u w:val="single"/>
              </w:rPr>
              <w:tab/>
            </w:r>
            <w:r w:rsidRPr="00D345AB">
              <w:rPr>
                <w:sz w:val="24"/>
                <w:u w:val="single"/>
              </w:rPr>
              <w:tab/>
            </w:r>
            <w:r w:rsidRPr="00D345AB">
              <w:rPr>
                <w:sz w:val="24"/>
                <w:u w:val="single"/>
              </w:rPr>
              <w:tab/>
            </w:r>
          </w:p>
          <w:p w14:paraId="430F9FF7" w14:textId="77777777" w:rsidR="00E8131D" w:rsidRPr="00D345AB" w:rsidRDefault="00E8131D" w:rsidP="00D345AB">
            <w:pPr>
              <w:ind w:left="720" w:hanging="720"/>
              <w:jc w:val="both"/>
              <w:rPr>
                <w:sz w:val="24"/>
              </w:rPr>
            </w:pPr>
          </w:p>
          <w:p w14:paraId="4978987A" w14:textId="77777777" w:rsidR="00E8131D" w:rsidRPr="00D345AB" w:rsidRDefault="00E8131D" w:rsidP="00D345AB">
            <w:pPr>
              <w:ind w:left="720" w:hanging="720"/>
              <w:jc w:val="both"/>
              <w:rPr>
                <w:sz w:val="24"/>
              </w:rPr>
            </w:pPr>
            <w:r w:rsidRPr="00D345AB">
              <w:rPr>
                <w:sz w:val="24"/>
              </w:rPr>
              <w:t>Public Offering / Private Placement Sponsor:</w:t>
            </w:r>
            <w:r w:rsidRPr="00D345AB">
              <w:rPr>
                <w:sz w:val="24"/>
                <w:u w:val="single"/>
              </w:rPr>
              <w:t xml:space="preserve"> </w:t>
            </w:r>
            <w:r w:rsidRPr="00D345AB">
              <w:rPr>
                <w:sz w:val="24"/>
                <w:u w:val="single"/>
              </w:rPr>
              <w:tab/>
            </w:r>
            <w:r w:rsidRPr="00D345AB">
              <w:rPr>
                <w:sz w:val="24"/>
                <w:u w:val="single"/>
              </w:rPr>
              <w:tab/>
            </w:r>
            <w:r w:rsidRPr="00D345AB">
              <w:rPr>
                <w:sz w:val="24"/>
                <w:u w:val="single"/>
              </w:rPr>
              <w:tab/>
            </w:r>
            <w:r w:rsidRPr="00D345AB">
              <w:rPr>
                <w:sz w:val="24"/>
                <w:u w:val="single"/>
              </w:rPr>
              <w:tab/>
            </w:r>
          </w:p>
          <w:p w14:paraId="327E60AE" w14:textId="77777777" w:rsidR="00E8131D" w:rsidRPr="00D345AB" w:rsidRDefault="00E8131D" w:rsidP="00D345AB">
            <w:pPr>
              <w:ind w:left="720" w:hanging="720"/>
              <w:jc w:val="both"/>
              <w:rPr>
                <w:sz w:val="24"/>
              </w:rPr>
            </w:pPr>
          </w:p>
          <w:p w14:paraId="354FBD51" w14:textId="77777777" w:rsidR="00E8131D" w:rsidRPr="00D345AB" w:rsidRDefault="00E8131D" w:rsidP="0005468B">
            <w:pPr>
              <w:ind w:left="720" w:hanging="720"/>
              <w:jc w:val="both"/>
              <w:rPr>
                <w:sz w:val="24"/>
              </w:rPr>
            </w:pPr>
            <w:r w:rsidRPr="00D345AB">
              <w:rPr>
                <w:sz w:val="24"/>
              </w:rPr>
              <w:t>Amount of Compensation Received:</w:t>
            </w:r>
          </w:p>
        </w:tc>
      </w:tr>
      <w:tr w:rsidR="00EF067E" w:rsidRPr="00D345AB" w14:paraId="2BD67030" w14:textId="77777777" w:rsidTr="00EF067E">
        <w:trPr>
          <w:trHeight w:val="507"/>
        </w:trPr>
        <w:tc>
          <w:tcPr>
            <w:tcW w:w="630" w:type="dxa"/>
            <w:tcBorders>
              <w:bottom w:val="single" w:sz="4" w:space="0" w:color="auto"/>
            </w:tcBorders>
          </w:tcPr>
          <w:p w14:paraId="63CF480A" w14:textId="77777777" w:rsidR="00EF067E" w:rsidRPr="00D345AB" w:rsidRDefault="00EF067E" w:rsidP="00D345AB">
            <w:pPr>
              <w:jc w:val="both"/>
              <w:rPr>
                <w:sz w:val="24"/>
              </w:rPr>
            </w:pPr>
          </w:p>
        </w:tc>
        <w:tc>
          <w:tcPr>
            <w:tcW w:w="630" w:type="dxa"/>
            <w:tcBorders>
              <w:bottom w:val="single" w:sz="4" w:space="0" w:color="auto"/>
            </w:tcBorders>
          </w:tcPr>
          <w:p w14:paraId="220B9A46" w14:textId="77777777" w:rsidR="00EF067E" w:rsidRPr="00D345AB" w:rsidRDefault="00EF067E" w:rsidP="00D345AB">
            <w:pPr>
              <w:jc w:val="both"/>
              <w:rPr>
                <w:sz w:val="24"/>
              </w:rPr>
            </w:pPr>
          </w:p>
        </w:tc>
        <w:tc>
          <w:tcPr>
            <w:tcW w:w="630" w:type="dxa"/>
            <w:gridSpan w:val="2"/>
            <w:tcBorders>
              <w:bottom w:val="single" w:sz="4" w:space="0" w:color="auto"/>
            </w:tcBorders>
          </w:tcPr>
          <w:p w14:paraId="322A45D3" w14:textId="77777777" w:rsidR="00EF067E" w:rsidRPr="00D345AB" w:rsidRDefault="00EF067E" w:rsidP="00D345AB">
            <w:pPr>
              <w:jc w:val="both"/>
              <w:rPr>
                <w:sz w:val="24"/>
              </w:rPr>
            </w:pPr>
          </w:p>
        </w:tc>
        <w:tc>
          <w:tcPr>
            <w:tcW w:w="8640" w:type="dxa"/>
            <w:gridSpan w:val="3"/>
            <w:vMerge w:val="restart"/>
          </w:tcPr>
          <w:p w14:paraId="1AC573B1" w14:textId="77777777" w:rsidR="00EF067E" w:rsidRPr="00D345AB" w:rsidRDefault="00EF067E" w:rsidP="00EF067E">
            <w:pPr>
              <w:jc w:val="both"/>
              <w:rPr>
                <w:sz w:val="24"/>
              </w:rPr>
            </w:pPr>
            <w:r w:rsidRPr="00D345AB">
              <w:rPr>
                <w:sz w:val="24"/>
              </w:rPr>
              <w:t xml:space="preserve">Have you been or are you currently in possession of any inside information as defined in the Trading Policies Section of the WSP?               </w:t>
            </w:r>
            <w:r w:rsidRPr="00D345AB">
              <w:rPr>
                <w:sz w:val="24"/>
              </w:rPr>
              <w:tab/>
            </w:r>
          </w:p>
          <w:p w14:paraId="23F3FE15" w14:textId="77777777" w:rsidR="00EF067E" w:rsidRDefault="00EF067E" w:rsidP="00E8131D">
            <w:pPr>
              <w:tabs>
                <w:tab w:val="num" w:pos="720"/>
              </w:tabs>
              <w:jc w:val="both"/>
              <w:rPr>
                <w:sz w:val="24"/>
              </w:rPr>
            </w:pPr>
            <w:r w:rsidRPr="00D345AB">
              <w:rPr>
                <w:sz w:val="24"/>
              </w:rPr>
              <w:t xml:space="preserve">If Yes, have you reported it to the Compliance Department?  </w:t>
            </w:r>
          </w:p>
          <w:p w14:paraId="6267289E" w14:textId="77777777" w:rsidR="00E13B9B" w:rsidRDefault="00E13B9B" w:rsidP="00E8131D">
            <w:pPr>
              <w:tabs>
                <w:tab w:val="num" w:pos="720"/>
              </w:tabs>
              <w:jc w:val="both"/>
              <w:rPr>
                <w:sz w:val="24"/>
              </w:rPr>
            </w:pPr>
          </w:p>
          <w:p w14:paraId="2A8E300F" w14:textId="77777777" w:rsidR="0005468B" w:rsidRPr="00D345AB" w:rsidRDefault="0005468B" w:rsidP="00E8131D">
            <w:pPr>
              <w:tabs>
                <w:tab w:val="num" w:pos="720"/>
              </w:tabs>
              <w:jc w:val="both"/>
              <w:rPr>
                <w:sz w:val="24"/>
              </w:rPr>
            </w:pPr>
          </w:p>
        </w:tc>
      </w:tr>
      <w:tr w:rsidR="00EF067E" w:rsidRPr="00D345AB" w14:paraId="5C45D8DA" w14:textId="77777777" w:rsidTr="00EF067E">
        <w:trPr>
          <w:trHeight w:val="357"/>
        </w:trPr>
        <w:tc>
          <w:tcPr>
            <w:tcW w:w="630" w:type="dxa"/>
            <w:tcBorders>
              <w:top w:val="single" w:sz="4" w:space="0" w:color="auto"/>
            </w:tcBorders>
          </w:tcPr>
          <w:p w14:paraId="5C9AB8E1" w14:textId="77777777" w:rsidR="00EF067E" w:rsidRPr="00D345AB" w:rsidRDefault="00EF067E" w:rsidP="00D345AB">
            <w:pPr>
              <w:jc w:val="both"/>
              <w:rPr>
                <w:sz w:val="24"/>
              </w:rPr>
            </w:pPr>
          </w:p>
        </w:tc>
        <w:tc>
          <w:tcPr>
            <w:tcW w:w="630" w:type="dxa"/>
            <w:tcBorders>
              <w:top w:val="single" w:sz="4" w:space="0" w:color="auto"/>
            </w:tcBorders>
          </w:tcPr>
          <w:p w14:paraId="36B3689B" w14:textId="77777777" w:rsidR="00EF067E" w:rsidRPr="00D345AB" w:rsidRDefault="00EF067E" w:rsidP="00D345AB">
            <w:pPr>
              <w:jc w:val="both"/>
              <w:rPr>
                <w:sz w:val="24"/>
              </w:rPr>
            </w:pPr>
          </w:p>
        </w:tc>
        <w:tc>
          <w:tcPr>
            <w:tcW w:w="630" w:type="dxa"/>
            <w:gridSpan w:val="2"/>
            <w:tcBorders>
              <w:top w:val="single" w:sz="4" w:space="0" w:color="auto"/>
            </w:tcBorders>
          </w:tcPr>
          <w:p w14:paraId="1BC0C61F" w14:textId="77777777" w:rsidR="00EF067E" w:rsidRPr="00D345AB" w:rsidRDefault="00EF067E" w:rsidP="00D345AB">
            <w:pPr>
              <w:jc w:val="both"/>
              <w:rPr>
                <w:sz w:val="24"/>
              </w:rPr>
            </w:pPr>
          </w:p>
        </w:tc>
        <w:tc>
          <w:tcPr>
            <w:tcW w:w="8640" w:type="dxa"/>
            <w:gridSpan w:val="3"/>
            <w:vMerge/>
          </w:tcPr>
          <w:p w14:paraId="4D7D557F" w14:textId="77777777" w:rsidR="00EF067E" w:rsidRPr="00D345AB" w:rsidRDefault="00EF067E" w:rsidP="00EF067E">
            <w:pPr>
              <w:jc w:val="both"/>
              <w:rPr>
                <w:sz w:val="24"/>
              </w:rPr>
            </w:pPr>
          </w:p>
        </w:tc>
      </w:tr>
      <w:tr w:rsidR="00F47311" w:rsidRPr="00D345AB" w14:paraId="07FAA8E5" w14:textId="77777777" w:rsidTr="00EF067E">
        <w:trPr>
          <w:trHeight w:val="357"/>
        </w:trPr>
        <w:tc>
          <w:tcPr>
            <w:tcW w:w="630" w:type="dxa"/>
            <w:tcBorders>
              <w:top w:val="single" w:sz="4" w:space="0" w:color="auto"/>
            </w:tcBorders>
          </w:tcPr>
          <w:p w14:paraId="7E9D1CBA" w14:textId="77777777" w:rsidR="00F47311" w:rsidRPr="00D345AB" w:rsidRDefault="00F47311" w:rsidP="00D345AB">
            <w:pPr>
              <w:jc w:val="both"/>
              <w:rPr>
                <w:sz w:val="24"/>
              </w:rPr>
            </w:pPr>
          </w:p>
        </w:tc>
        <w:tc>
          <w:tcPr>
            <w:tcW w:w="630" w:type="dxa"/>
            <w:tcBorders>
              <w:top w:val="single" w:sz="4" w:space="0" w:color="auto"/>
            </w:tcBorders>
          </w:tcPr>
          <w:p w14:paraId="6C63FD3C" w14:textId="77777777" w:rsidR="00F47311" w:rsidRPr="00D345AB" w:rsidRDefault="00F47311" w:rsidP="00D345AB">
            <w:pPr>
              <w:jc w:val="both"/>
              <w:rPr>
                <w:sz w:val="24"/>
              </w:rPr>
            </w:pPr>
          </w:p>
        </w:tc>
        <w:tc>
          <w:tcPr>
            <w:tcW w:w="630" w:type="dxa"/>
            <w:gridSpan w:val="2"/>
            <w:tcBorders>
              <w:top w:val="single" w:sz="4" w:space="0" w:color="auto"/>
            </w:tcBorders>
          </w:tcPr>
          <w:p w14:paraId="52F6D5C4" w14:textId="77777777" w:rsidR="00F47311" w:rsidRPr="00D345AB" w:rsidRDefault="00F47311" w:rsidP="00D345AB">
            <w:pPr>
              <w:jc w:val="both"/>
              <w:rPr>
                <w:sz w:val="24"/>
              </w:rPr>
            </w:pPr>
          </w:p>
        </w:tc>
        <w:tc>
          <w:tcPr>
            <w:tcW w:w="8640" w:type="dxa"/>
            <w:gridSpan w:val="3"/>
          </w:tcPr>
          <w:p w14:paraId="62739A7D" w14:textId="77777777" w:rsidR="00F47311" w:rsidRPr="00D345AB" w:rsidRDefault="00F47311" w:rsidP="00EF067E">
            <w:pPr>
              <w:jc w:val="both"/>
              <w:rPr>
                <w:sz w:val="24"/>
              </w:rPr>
            </w:pPr>
            <w:r w:rsidRPr="000522AF">
              <w:rPr>
                <w:sz w:val="24"/>
              </w:rPr>
              <w:t>Are you in possession of any customer’s login credentials to access his/her account or execute transactions?</w:t>
            </w:r>
          </w:p>
        </w:tc>
      </w:tr>
      <w:tr w:rsidR="00E8131D" w:rsidRPr="00D345AB" w14:paraId="6479843F" w14:textId="77777777" w:rsidTr="0005468B">
        <w:trPr>
          <w:trHeight w:val="620"/>
        </w:trPr>
        <w:tc>
          <w:tcPr>
            <w:tcW w:w="10530" w:type="dxa"/>
            <w:gridSpan w:val="7"/>
            <w:shd w:val="clear" w:color="auto" w:fill="A6A6A6"/>
          </w:tcPr>
          <w:p w14:paraId="362E19DB" w14:textId="77777777" w:rsidR="00E8131D" w:rsidRDefault="00E8131D" w:rsidP="00C9271D">
            <w:pPr>
              <w:jc w:val="center"/>
              <w:rPr>
                <w:b/>
                <w:sz w:val="18"/>
                <w:szCs w:val="18"/>
              </w:rPr>
            </w:pPr>
          </w:p>
          <w:p w14:paraId="21A2B709" w14:textId="77777777" w:rsidR="00F47311" w:rsidRPr="0005468B" w:rsidRDefault="00F47311" w:rsidP="00C9271D">
            <w:pPr>
              <w:jc w:val="center"/>
              <w:rPr>
                <w:b/>
                <w:sz w:val="18"/>
                <w:szCs w:val="18"/>
              </w:rPr>
            </w:pPr>
          </w:p>
          <w:p w14:paraId="7A548AE4" w14:textId="77777777" w:rsidR="00E8131D" w:rsidRDefault="00E8131D" w:rsidP="00C9271D">
            <w:pPr>
              <w:jc w:val="center"/>
              <w:rPr>
                <w:b/>
                <w:sz w:val="24"/>
              </w:rPr>
            </w:pPr>
            <w:r w:rsidRPr="00C9271D">
              <w:rPr>
                <w:b/>
                <w:sz w:val="24"/>
              </w:rPr>
              <w:t>R</w:t>
            </w:r>
            <w:r>
              <w:rPr>
                <w:b/>
                <w:sz w:val="24"/>
              </w:rPr>
              <w:t xml:space="preserve">EGULATION </w:t>
            </w:r>
            <w:r w:rsidRPr="00C9271D">
              <w:rPr>
                <w:b/>
                <w:sz w:val="24"/>
              </w:rPr>
              <w:t>S-P</w:t>
            </w:r>
            <w:r w:rsidR="00644963" w:rsidRPr="000522AF">
              <w:rPr>
                <w:b/>
                <w:sz w:val="24"/>
              </w:rPr>
              <w:t>/ Cybersecurity</w:t>
            </w:r>
            <w:r w:rsidRPr="00C9271D">
              <w:rPr>
                <w:b/>
                <w:sz w:val="24"/>
              </w:rPr>
              <w:t xml:space="preserve">:   Do you adhere to the following?  </w:t>
            </w:r>
          </w:p>
          <w:p w14:paraId="186136A1" w14:textId="77777777" w:rsidR="00E8131D" w:rsidRPr="0005468B" w:rsidRDefault="00E8131D" w:rsidP="00C9271D">
            <w:pPr>
              <w:jc w:val="center"/>
              <w:rPr>
                <w:b/>
                <w:sz w:val="18"/>
                <w:szCs w:val="18"/>
              </w:rPr>
            </w:pPr>
          </w:p>
        </w:tc>
      </w:tr>
      <w:tr w:rsidR="00E8131D" w:rsidRPr="00D345AB" w14:paraId="3FD59FD8" w14:textId="77777777" w:rsidTr="00AC3666">
        <w:tc>
          <w:tcPr>
            <w:tcW w:w="1409" w:type="dxa"/>
            <w:gridSpan w:val="3"/>
            <w:shd w:val="clear" w:color="auto" w:fill="A6A6A6"/>
          </w:tcPr>
          <w:p w14:paraId="24D342D9" w14:textId="77777777" w:rsidR="00E8131D" w:rsidRPr="00F63607" w:rsidRDefault="00E8131D" w:rsidP="00CA023A">
            <w:pPr>
              <w:jc w:val="both"/>
              <w:rPr>
                <w:b/>
                <w:sz w:val="24"/>
              </w:rPr>
            </w:pPr>
            <w:r>
              <w:rPr>
                <w:b/>
                <w:sz w:val="24"/>
              </w:rPr>
              <w:t>Yes</w:t>
            </w:r>
          </w:p>
        </w:tc>
        <w:tc>
          <w:tcPr>
            <w:tcW w:w="564" w:type="dxa"/>
            <w:gridSpan w:val="2"/>
            <w:shd w:val="clear" w:color="auto" w:fill="A6A6A6"/>
          </w:tcPr>
          <w:p w14:paraId="57B85021" w14:textId="77777777" w:rsidR="00E8131D" w:rsidRPr="00F63607" w:rsidRDefault="00E8131D" w:rsidP="00CA023A">
            <w:pPr>
              <w:jc w:val="both"/>
              <w:rPr>
                <w:b/>
                <w:sz w:val="24"/>
              </w:rPr>
            </w:pPr>
            <w:r>
              <w:rPr>
                <w:b/>
                <w:sz w:val="24"/>
              </w:rPr>
              <w:t>No</w:t>
            </w:r>
          </w:p>
        </w:tc>
        <w:tc>
          <w:tcPr>
            <w:tcW w:w="637" w:type="dxa"/>
            <w:shd w:val="clear" w:color="auto" w:fill="A6A6A6"/>
          </w:tcPr>
          <w:p w14:paraId="54E6DEE6" w14:textId="77777777" w:rsidR="00E8131D" w:rsidRPr="00F63607" w:rsidRDefault="00E8131D" w:rsidP="00CA023A">
            <w:pPr>
              <w:jc w:val="both"/>
              <w:rPr>
                <w:b/>
                <w:sz w:val="24"/>
              </w:rPr>
            </w:pPr>
            <w:r>
              <w:rPr>
                <w:b/>
                <w:sz w:val="24"/>
              </w:rPr>
              <w:t>N/A</w:t>
            </w:r>
          </w:p>
        </w:tc>
        <w:tc>
          <w:tcPr>
            <w:tcW w:w="7920" w:type="dxa"/>
            <w:shd w:val="clear" w:color="auto" w:fill="A6A6A6"/>
          </w:tcPr>
          <w:p w14:paraId="38020063" w14:textId="77777777" w:rsidR="00E8131D" w:rsidRPr="00F63607" w:rsidRDefault="00E8131D" w:rsidP="00CA023A">
            <w:pPr>
              <w:jc w:val="both"/>
              <w:rPr>
                <w:b/>
                <w:sz w:val="24"/>
              </w:rPr>
            </w:pPr>
            <w:r>
              <w:rPr>
                <w:b/>
                <w:sz w:val="24"/>
              </w:rPr>
              <w:t>Question</w:t>
            </w:r>
          </w:p>
        </w:tc>
      </w:tr>
      <w:tr w:rsidR="00E8131D" w:rsidRPr="00D345AB" w14:paraId="62E4CCF3" w14:textId="77777777" w:rsidTr="00AC3666">
        <w:tc>
          <w:tcPr>
            <w:tcW w:w="1409" w:type="dxa"/>
            <w:gridSpan w:val="3"/>
            <w:shd w:val="clear" w:color="auto" w:fill="auto"/>
          </w:tcPr>
          <w:p w14:paraId="0161FF0F" w14:textId="77777777" w:rsidR="00E8131D" w:rsidRDefault="00E8131D" w:rsidP="00CA023A">
            <w:pPr>
              <w:jc w:val="both"/>
              <w:rPr>
                <w:b/>
                <w:sz w:val="24"/>
              </w:rPr>
            </w:pPr>
          </w:p>
        </w:tc>
        <w:tc>
          <w:tcPr>
            <w:tcW w:w="564" w:type="dxa"/>
            <w:gridSpan w:val="2"/>
            <w:shd w:val="clear" w:color="auto" w:fill="auto"/>
          </w:tcPr>
          <w:p w14:paraId="278290E8" w14:textId="77777777" w:rsidR="00E8131D" w:rsidRDefault="00E8131D" w:rsidP="00CA023A">
            <w:pPr>
              <w:jc w:val="both"/>
              <w:rPr>
                <w:b/>
                <w:sz w:val="24"/>
              </w:rPr>
            </w:pPr>
          </w:p>
        </w:tc>
        <w:tc>
          <w:tcPr>
            <w:tcW w:w="637" w:type="dxa"/>
            <w:shd w:val="clear" w:color="auto" w:fill="auto"/>
          </w:tcPr>
          <w:p w14:paraId="56FDDF6F" w14:textId="77777777" w:rsidR="00E8131D" w:rsidRDefault="00E8131D" w:rsidP="00CA023A">
            <w:pPr>
              <w:jc w:val="both"/>
              <w:rPr>
                <w:b/>
                <w:sz w:val="24"/>
              </w:rPr>
            </w:pPr>
          </w:p>
        </w:tc>
        <w:tc>
          <w:tcPr>
            <w:tcW w:w="7920" w:type="dxa"/>
            <w:shd w:val="clear" w:color="auto" w:fill="auto"/>
          </w:tcPr>
          <w:p w14:paraId="647191C8" w14:textId="77777777" w:rsidR="00E8131D" w:rsidRPr="00644963" w:rsidRDefault="00E8131D" w:rsidP="00644963">
            <w:pPr>
              <w:spacing w:before="100" w:beforeAutospacing="1" w:after="100" w:afterAutospacing="1" w:line="300" w:lineRule="atLeast"/>
              <w:rPr>
                <w:sz w:val="24"/>
                <w:szCs w:val="24"/>
              </w:rPr>
            </w:pPr>
            <w:r w:rsidRPr="009C10FF">
              <w:rPr>
                <w:sz w:val="24"/>
              </w:rPr>
              <w:t xml:space="preserve">I maintain on my laptop and/or PC updated security software (which includes antivirus and firewall protection) </w:t>
            </w:r>
            <w:r w:rsidRPr="009C10FF">
              <w:rPr>
                <w:sz w:val="24"/>
                <w:szCs w:val="24"/>
              </w:rPr>
              <w:t>to detect, prevent and respond to attacks, intrusions or other systems failures.</w:t>
            </w:r>
          </w:p>
          <w:p w14:paraId="73F28FC0" w14:textId="77777777" w:rsidR="00E8131D" w:rsidRPr="009C10FF" w:rsidRDefault="00E8131D" w:rsidP="00C9271D">
            <w:pPr>
              <w:tabs>
                <w:tab w:val="num" w:pos="720"/>
              </w:tabs>
              <w:jc w:val="both"/>
              <w:rPr>
                <w:sz w:val="24"/>
              </w:rPr>
            </w:pPr>
            <w:r w:rsidRPr="009C10FF">
              <w:rPr>
                <w:sz w:val="24"/>
              </w:rPr>
              <w:t xml:space="preserve">If No (explain) </w:t>
            </w:r>
          </w:p>
          <w:p w14:paraId="3B81C0BF" w14:textId="77777777" w:rsidR="00E8131D" w:rsidRDefault="00E8131D" w:rsidP="00CA023A">
            <w:pPr>
              <w:jc w:val="both"/>
              <w:rPr>
                <w:b/>
                <w:sz w:val="24"/>
              </w:rPr>
            </w:pPr>
          </w:p>
          <w:p w14:paraId="7BCC2CEF" w14:textId="77777777" w:rsidR="00E8131D" w:rsidRDefault="00E8131D" w:rsidP="00CA023A">
            <w:pPr>
              <w:jc w:val="both"/>
              <w:rPr>
                <w:b/>
                <w:sz w:val="24"/>
              </w:rPr>
            </w:pPr>
          </w:p>
        </w:tc>
      </w:tr>
      <w:tr w:rsidR="00E8131D" w:rsidRPr="00D345AB" w14:paraId="7829F877" w14:textId="77777777" w:rsidTr="00AC3666">
        <w:tc>
          <w:tcPr>
            <w:tcW w:w="1409" w:type="dxa"/>
            <w:gridSpan w:val="3"/>
            <w:shd w:val="clear" w:color="auto" w:fill="auto"/>
          </w:tcPr>
          <w:p w14:paraId="7E97777E" w14:textId="77777777" w:rsidR="00E8131D" w:rsidRDefault="00E8131D" w:rsidP="00CA023A">
            <w:pPr>
              <w:jc w:val="both"/>
              <w:rPr>
                <w:b/>
                <w:sz w:val="24"/>
              </w:rPr>
            </w:pPr>
          </w:p>
        </w:tc>
        <w:tc>
          <w:tcPr>
            <w:tcW w:w="564" w:type="dxa"/>
            <w:gridSpan w:val="2"/>
            <w:shd w:val="clear" w:color="auto" w:fill="auto"/>
          </w:tcPr>
          <w:p w14:paraId="13D00839" w14:textId="77777777" w:rsidR="00E8131D" w:rsidRDefault="00E8131D" w:rsidP="00CA023A">
            <w:pPr>
              <w:jc w:val="both"/>
              <w:rPr>
                <w:b/>
                <w:sz w:val="24"/>
              </w:rPr>
            </w:pPr>
          </w:p>
        </w:tc>
        <w:tc>
          <w:tcPr>
            <w:tcW w:w="637" w:type="dxa"/>
            <w:shd w:val="clear" w:color="auto" w:fill="auto"/>
          </w:tcPr>
          <w:p w14:paraId="2ED83877" w14:textId="77777777" w:rsidR="00E8131D" w:rsidRDefault="00E8131D" w:rsidP="00CA023A">
            <w:pPr>
              <w:jc w:val="both"/>
              <w:rPr>
                <w:b/>
                <w:sz w:val="24"/>
              </w:rPr>
            </w:pPr>
          </w:p>
        </w:tc>
        <w:tc>
          <w:tcPr>
            <w:tcW w:w="7920" w:type="dxa"/>
            <w:shd w:val="clear" w:color="auto" w:fill="auto"/>
          </w:tcPr>
          <w:p w14:paraId="37FB0B31" w14:textId="77777777" w:rsidR="00E8131D" w:rsidRPr="009C10FF" w:rsidRDefault="00E8131D" w:rsidP="00C9271D">
            <w:pPr>
              <w:tabs>
                <w:tab w:val="num" w:pos="720"/>
              </w:tabs>
              <w:jc w:val="both"/>
              <w:rPr>
                <w:sz w:val="24"/>
              </w:rPr>
            </w:pPr>
            <w:r w:rsidRPr="009C10FF">
              <w:rPr>
                <w:sz w:val="24"/>
              </w:rPr>
              <w:t>I use complex passwords that are changed periodically to access any sites or programs with personal customer information.</w:t>
            </w:r>
          </w:p>
          <w:p w14:paraId="34E92819" w14:textId="77777777" w:rsidR="00E8131D" w:rsidRDefault="00E8131D" w:rsidP="00C9271D">
            <w:pPr>
              <w:tabs>
                <w:tab w:val="num" w:pos="720"/>
              </w:tabs>
              <w:jc w:val="both"/>
              <w:rPr>
                <w:sz w:val="24"/>
              </w:rPr>
            </w:pPr>
          </w:p>
          <w:p w14:paraId="6FB423FE" w14:textId="77777777" w:rsidR="00E8131D" w:rsidRPr="009C10FF" w:rsidRDefault="00E8131D" w:rsidP="00C9271D">
            <w:pPr>
              <w:tabs>
                <w:tab w:val="num" w:pos="720"/>
              </w:tabs>
              <w:jc w:val="both"/>
              <w:rPr>
                <w:sz w:val="24"/>
              </w:rPr>
            </w:pPr>
            <w:r w:rsidRPr="009C10FF">
              <w:rPr>
                <w:sz w:val="24"/>
              </w:rPr>
              <w:t>If No, explain:</w:t>
            </w:r>
          </w:p>
          <w:p w14:paraId="6CD5AA1A" w14:textId="77777777" w:rsidR="00E8131D" w:rsidRDefault="00E8131D" w:rsidP="00CA023A">
            <w:pPr>
              <w:jc w:val="both"/>
              <w:rPr>
                <w:b/>
                <w:sz w:val="24"/>
              </w:rPr>
            </w:pPr>
          </w:p>
          <w:p w14:paraId="5BEB97C3" w14:textId="77777777" w:rsidR="00E8131D" w:rsidRDefault="00E8131D" w:rsidP="00CA023A">
            <w:pPr>
              <w:jc w:val="both"/>
              <w:rPr>
                <w:b/>
                <w:sz w:val="24"/>
              </w:rPr>
            </w:pPr>
          </w:p>
        </w:tc>
      </w:tr>
      <w:tr w:rsidR="00E8131D" w:rsidRPr="00D345AB" w14:paraId="3387D119" w14:textId="77777777" w:rsidTr="00AC3666">
        <w:tc>
          <w:tcPr>
            <w:tcW w:w="1409" w:type="dxa"/>
            <w:gridSpan w:val="3"/>
            <w:shd w:val="clear" w:color="auto" w:fill="auto"/>
          </w:tcPr>
          <w:p w14:paraId="7D2DEB42" w14:textId="77777777" w:rsidR="00E8131D" w:rsidRDefault="00E8131D" w:rsidP="00CA023A">
            <w:pPr>
              <w:jc w:val="both"/>
              <w:rPr>
                <w:b/>
                <w:sz w:val="24"/>
              </w:rPr>
            </w:pPr>
          </w:p>
        </w:tc>
        <w:tc>
          <w:tcPr>
            <w:tcW w:w="564" w:type="dxa"/>
            <w:gridSpan w:val="2"/>
            <w:shd w:val="clear" w:color="auto" w:fill="auto"/>
          </w:tcPr>
          <w:p w14:paraId="65A730E5" w14:textId="77777777" w:rsidR="00E8131D" w:rsidRDefault="00E8131D" w:rsidP="00CA023A">
            <w:pPr>
              <w:jc w:val="both"/>
              <w:rPr>
                <w:b/>
                <w:sz w:val="24"/>
              </w:rPr>
            </w:pPr>
          </w:p>
        </w:tc>
        <w:tc>
          <w:tcPr>
            <w:tcW w:w="637" w:type="dxa"/>
            <w:shd w:val="clear" w:color="auto" w:fill="auto"/>
          </w:tcPr>
          <w:p w14:paraId="5A0BAD03" w14:textId="77777777" w:rsidR="00E8131D" w:rsidRDefault="00E8131D" w:rsidP="00CA023A">
            <w:pPr>
              <w:jc w:val="both"/>
              <w:rPr>
                <w:b/>
                <w:sz w:val="24"/>
              </w:rPr>
            </w:pPr>
          </w:p>
        </w:tc>
        <w:tc>
          <w:tcPr>
            <w:tcW w:w="7920" w:type="dxa"/>
            <w:shd w:val="clear" w:color="auto" w:fill="auto"/>
          </w:tcPr>
          <w:p w14:paraId="0CF9348B" w14:textId="77777777" w:rsidR="00E8131D" w:rsidRPr="009C10FF" w:rsidRDefault="00E8131D" w:rsidP="00C9271D">
            <w:pPr>
              <w:tabs>
                <w:tab w:val="num" w:pos="720"/>
              </w:tabs>
              <w:jc w:val="both"/>
              <w:rPr>
                <w:sz w:val="24"/>
              </w:rPr>
            </w:pPr>
            <w:r w:rsidRPr="009C10FF">
              <w:rPr>
                <w:sz w:val="24"/>
              </w:rPr>
              <w:t xml:space="preserve">My computer is set to time-out after at least 20 minutes of no activity and I am required to input a password to re-enter and my computer is locked or on stand-by if I leave my desk for a meeting or lunch with a password required for re-entry.  </w:t>
            </w:r>
          </w:p>
          <w:p w14:paraId="4F6173EA" w14:textId="77777777" w:rsidR="00E8131D" w:rsidRDefault="00E8131D" w:rsidP="00C9271D">
            <w:pPr>
              <w:tabs>
                <w:tab w:val="num" w:pos="720"/>
              </w:tabs>
              <w:jc w:val="both"/>
              <w:rPr>
                <w:sz w:val="24"/>
              </w:rPr>
            </w:pPr>
          </w:p>
          <w:p w14:paraId="68A8B36B" w14:textId="77777777" w:rsidR="00E8131D" w:rsidRPr="009C10FF" w:rsidRDefault="00E8131D" w:rsidP="00C9271D">
            <w:pPr>
              <w:tabs>
                <w:tab w:val="num" w:pos="720"/>
              </w:tabs>
              <w:jc w:val="both"/>
              <w:rPr>
                <w:sz w:val="24"/>
              </w:rPr>
            </w:pPr>
            <w:r w:rsidRPr="009C10FF">
              <w:rPr>
                <w:sz w:val="24"/>
              </w:rPr>
              <w:t>If No, explain:</w:t>
            </w:r>
          </w:p>
          <w:p w14:paraId="2AF800CA" w14:textId="77777777" w:rsidR="00E8131D" w:rsidRPr="009C10FF" w:rsidRDefault="00E8131D" w:rsidP="00C9271D">
            <w:pPr>
              <w:tabs>
                <w:tab w:val="num" w:pos="720"/>
              </w:tabs>
              <w:jc w:val="both"/>
              <w:rPr>
                <w:sz w:val="24"/>
              </w:rPr>
            </w:pPr>
          </w:p>
          <w:p w14:paraId="074314F6" w14:textId="77777777" w:rsidR="00E8131D" w:rsidRDefault="00E8131D" w:rsidP="00CA023A">
            <w:pPr>
              <w:jc w:val="both"/>
              <w:rPr>
                <w:b/>
                <w:sz w:val="24"/>
              </w:rPr>
            </w:pPr>
          </w:p>
        </w:tc>
      </w:tr>
      <w:tr w:rsidR="00E8131D" w:rsidRPr="00D345AB" w14:paraId="57405287" w14:textId="77777777" w:rsidTr="00AC3666">
        <w:tc>
          <w:tcPr>
            <w:tcW w:w="1409" w:type="dxa"/>
            <w:gridSpan w:val="3"/>
            <w:shd w:val="clear" w:color="auto" w:fill="auto"/>
          </w:tcPr>
          <w:p w14:paraId="7C6D7A9B" w14:textId="77777777" w:rsidR="00E8131D" w:rsidRDefault="00E8131D" w:rsidP="00CA023A">
            <w:pPr>
              <w:jc w:val="both"/>
              <w:rPr>
                <w:b/>
                <w:sz w:val="24"/>
              </w:rPr>
            </w:pPr>
          </w:p>
        </w:tc>
        <w:tc>
          <w:tcPr>
            <w:tcW w:w="564" w:type="dxa"/>
            <w:gridSpan w:val="2"/>
            <w:shd w:val="clear" w:color="auto" w:fill="auto"/>
          </w:tcPr>
          <w:p w14:paraId="0F0573F0" w14:textId="77777777" w:rsidR="00E8131D" w:rsidRDefault="00E8131D" w:rsidP="00CA023A">
            <w:pPr>
              <w:jc w:val="both"/>
              <w:rPr>
                <w:b/>
                <w:sz w:val="24"/>
              </w:rPr>
            </w:pPr>
          </w:p>
        </w:tc>
        <w:tc>
          <w:tcPr>
            <w:tcW w:w="637" w:type="dxa"/>
            <w:shd w:val="clear" w:color="auto" w:fill="auto"/>
          </w:tcPr>
          <w:p w14:paraId="5F3D79C1" w14:textId="77777777" w:rsidR="00E8131D" w:rsidRDefault="00E8131D" w:rsidP="00CA023A">
            <w:pPr>
              <w:jc w:val="both"/>
              <w:rPr>
                <w:b/>
                <w:sz w:val="24"/>
              </w:rPr>
            </w:pPr>
          </w:p>
        </w:tc>
        <w:tc>
          <w:tcPr>
            <w:tcW w:w="7920" w:type="dxa"/>
            <w:shd w:val="clear" w:color="auto" w:fill="auto"/>
          </w:tcPr>
          <w:p w14:paraId="5474CA76" w14:textId="77777777" w:rsidR="00E8131D" w:rsidRPr="009C10FF" w:rsidRDefault="00E8131D" w:rsidP="00C9271D">
            <w:pPr>
              <w:tabs>
                <w:tab w:val="num" w:pos="720"/>
              </w:tabs>
              <w:jc w:val="both"/>
              <w:rPr>
                <w:sz w:val="24"/>
              </w:rPr>
            </w:pPr>
            <w:r w:rsidRPr="009C10FF">
              <w:rPr>
                <w:sz w:val="24"/>
              </w:rPr>
              <w:t>At the end of the day all personal customer information is locked away (“clean desk” policy).</w:t>
            </w:r>
          </w:p>
          <w:p w14:paraId="1F87F98B" w14:textId="77777777" w:rsidR="00E8131D" w:rsidRDefault="00E8131D" w:rsidP="00C9271D">
            <w:pPr>
              <w:tabs>
                <w:tab w:val="num" w:pos="720"/>
              </w:tabs>
              <w:jc w:val="both"/>
              <w:rPr>
                <w:sz w:val="24"/>
              </w:rPr>
            </w:pPr>
          </w:p>
          <w:p w14:paraId="3E7D19D2" w14:textId="77777777" w:rsidR="00E8131D" w:rsidRPr="009C10FF" w:rsidRDefault="00E8131D" w:rsidP="00C9271D">
            <w:pPr>
              <w:tabs>
                <w:tab w:val="num" w:pos="720"/>
              </w:tabs>
              <w:jc w:val="both"/>
              <w:rPr>
                <w:sz w:val="24"/>
              </w:rPr>
            </w:pPr>
            <w:r w:rsidRPr="009C10FF">
              <w:rPr>
                <w:sz w:val="24"/>
              </w:rPr>
              <w:t>If No, explain:</w:t>
            </w:r>
          </w:p>
          <w:p w14:paraId="60545C56" w14:textId="77777777" w:rsidR="00E8131D" w:rsidRDefault="00E8131D" w:rsidP="00CA023A">
            <w:pPr>
              <w:jc w:val="both"/>
              <w:rPr>
                <w:b/>
                <w:sz w:val="24"/>
              </w:rPr>
            </w:pPr>
          </w:p>
          <w:p w14:paraId="1F674149" w14:textId="77777777" w:rsidR="00E8131D" w:rsidRDefault="00E8131D" w:rsidP="00CA023A">
            <w:pPr>
              <w:jc w:val="both"/>
              <w:rPr>
                <w:b/>
                <w:sz w:val="24"/>
              </w:rPr>
            </w:pPr>
          </w:p>
        </w:tc>
      </w:tr>
      <w:tr w:rsidR="00E8131D" w:rsidRPr="000522AF" w14:paraId="6D5E8D2F" w14:textId="77777777" w:rsidTr="00AC3666">
        <w:tc>
          <w:tcPr>
            <w:tcW w:w="1409" w:type="dxa"/>
            <w:gridSpan w:val="3"/>
            <w:shd w:val="clear" w:color="auto" w:fill="auto"/>
          </w:tcPr>
          <w:p w14:paraId="59AAEA0C" w14:textId="77777777" w:rsidR="00E8131D" w:rsidRDefault="00E8131D" w:rsidP="00CA023A">
            <w:pPr>
              <w:jc w:val="both"/>
              <w:rPr>
                <w:b/>
                <w:sz w:val="24"/>
              </w:rPr>
            </w:pPr>
          </w:p>
        </w:tc>
        <w:tc>
          <w:tcPr>
            <w:tcW w:w="564" w:type="dxa"/>
            <w:gridSpan w:val="2"/>
            <w:shd w:val="clear" w:color="auto" w:fill="auto"/>
          </w:tcPr>
          <w:p w14:paraId="0CE1A282" w14:textId="77777777" w:rsidR="00E8131D" w:rsidRDefault="00E8131D" w:rsidP="00CA023A">
            <w:pPr>
              <w:jc w:val="both"/>
              <w:rPr>
                <w:b/>
                <w:sz w:val="24"/>
              </w:rPr>
            </w:pPr>
          </w:p>
        </w:tc>
        <w:tc>
          <w:tcPr>
            <w:tcW w:w="637" w:type="dxa"/>
            <w:shd w:val="clear" w:color="auto" w:fill="auto"/>
          </w:tcPr>
          <w:p w14:paraId="47240807" w14:textId="77777777" w:rsidR="00E8131D" w:rsidRDefault="00E8131D" w:rsidP="00CA023A">
            <w:pPr>
              <w:jc w:val="both"/>
              <w:rPr>
                <w:b/>
                <w:sz w:val="24"/>
              </w:rPr>
            </w:pPr>
          </w:p>
        </w:tc>
        <w:tc>
          <w:tcPr>
            <w:tcW w:w="7920" w:type="dxa"/>
            <w:shd w:val="clear" w:color="auto" w:fill="auto"/>
          </w:tcPr>
          <w:p w14:paraId="4C54D43A" w14:textId="77777777" w:rsidR="00E8131D" w:rsidRPr="000522AF" w:rsidRDefault="00E8131D" w:rsidP="00C9271D">
            <w:pPr>
              <w:tabs>
                <w:tab w:val="num" w:pos="720"/>
              </w:tabs>
              <w:jc w:val="both"/>
              <w:rPr>
                <w:sz w:val="24"/>
              </w:rPr>
            </w:pPr>
            <w:r w:rsidRPr="000522AF">
              <w:rPr>
                <w:sz w:val="24"/>
              </w:rPr>
              <w:t xml:space="preserve">I understand and certify that I will comply with Company’s privacy </w:t>
            </w:r>
            <w:r w:rsidR="00644963" w:rsidRPr="000522AF">
              <w:rPr>
                <w:sz w:val="24"/>
              </w:rPr>
              <w:t xml:space="preserve">and cybersecurity </w:t>
            </w:r>
            <w:r w:rsidRPr="000522AF">
              <w:rPr>
                <w:sz w:val="24"/>
              </w:rPr>
              <w:t>policies and procedures.</w:t>
            </w:r>
          </w:p>
        </w:tc>
      </w:tr>
    </w:tbl>
    <w:p w14:paraId="5F5B354A" w14:textId="77777777" w:rsidR="00F539F4" w:rsidRDefault="00356B41" w:rsidP="00A95421">
      <w:pPr>
        <w:jc w:val="both"/>
        <w:rPr>
          <w:sz w:val="24"/>
        </w:rPr>
      </w:pPr>
      <w:r w:rsidRPr="00587A07">
        <w:rPr>
          <w:sz w:val="24"/>
        </w:rPr>
        <w:t xml:space="preserve">         </w:t>
      </w:r>
    </w:p>
    <w:p w14:paraId="49184368" w14:textId="77777777" w:rsidR="00356B41" w:rsidRDefault="00356B41" w:rsidP="00356B41">
      <w:pPr>
        <w:jc w:val="both"/>
        <w:rPr>
          <w:sz w:val="24"/>
        </w:rPr>
      </w:pPr>
    </w:p>
    <w:p w14:paraId="42DEB95C" w14:textId="77777777" w:rsidR="00356B41" w:rsidRPr="00B42DBD" w:rsidRDefault="00356B41" w:rsidP="00F73631">
      <w:pPr>
        <w:pStyle w:val="MRS"/>
        <w:jc w:val="left"/>
        <w:rPr>
          <w:b/>
        </w:rPr>
      </w:pPr>
      <w:r w:rsidRPr="00B42DBD">
        <w:rPr>
          <w:b/>
        </w:rPr>
        <w:t xml:space="preserve">I hereby certify that I have read and understand all of the above, and that my responses given to each question are true and correct to the best of my knowledge. </w:t>
      </w:r>
    </w:p>
    <w:p w14:paraId="7579CA52" w14:textId="77777777" w:rsidR="00356B41" w:rsidRDefault="00356B41" w:rsidP="00F73631">
      <w:pPr>
        <w:rPr>
          <w:sz w:val="24"/>
        </w:rPr>
      </w:pPr>
    </w:p>
    <w:p w14:paraId="5C53AC11" w14:textId="77777777" w:rsidR="00356B41" w:rsidRDefault="00356B41" w:rsidP="00F73631">
      <w:pPr>
        <w:pStyle w:val="MRS"/>
        <w:jc w:val="left"/>
        <w:rPr>
          <w:b/>
          <w:bCs/>
          <w:sz w:val="32"/>
        </w:rPr>
      </w:pPr>
    </w:p>
    <w:p w14:paraId="10FCE0D2" w14:textId="77777777" w:rsidR="00356B41" w:rsidRDefault="00356B41" w:rsidP="00F73631">
      <w:pPr>
        <w:pStyle w:val="MRS"/>
        <w:jc w:val="left"/>
      </w:pPr>
      <w:r>
        <w:rPr>
          <w:b/>
          <w:bCs/>
          <w:sz w:val="32"/>
        </w:rPr>
        <w:t>X</w:t>
      </w:r>
      <w:r>
        <w:t>__________________________________________________________________________</w:t>
      </w:r>
    </w:p>
    <w:p w14:paraId="50498732" w14:textId="77777777" w:rsidR="00356B41" w:rsidRDefault="00356B41" w:rsidP="00F73631">
      <w:pPr>
        <w:rPr>
          <w:sz w:val="24"/>
        </w:rPr>
      </w:pPr>
      <w:r>
        <w:rPr>
          <w:sz w:val="24"/>
        </w:rPr>
        <w:t xml:space="preserve">     Signature                                                    Print Name                                     Date</w:t>
      </w:r>
    </w:p>
    <w:p w14:paraId="2FD457C4" w14:textId="77777777" w:rsidR="00C368E1" w:rsidRDefault="00C9271D" w:rsidP="00C9271D">
      <w:pPr>
        <w:jc w:val="both"/>
      </w:pPr>
      <w:r>
        <w:rPr>
          <w:sz w:val="24"/>
        </w:rPr>
        <w:br w:type="page"/>
      </w:r>
    </w:p>
    <w:p w14:paraId="0037C270" w14:textId="77777777" w:rsidR="00BC62ED" w:rsidRDefault="00BC62ED" w:rsidP="00BC62ED">
      <w:pPr>
        <w:jc w:val="center"/>
        <w:rPr>
          <w:b/>
          <w:i/>
          <w:color w:val="0000FF"/>
          <w:sz w:val="28"/>
        </w:rPr>
      </w:pPr>
      <w:r>
        <w:rPr>
          <w:b/>
          <w:i/>
          <w:color w:val="0000FF"/>
          <w:sz w:val="28"/>
        </w:rPr>
        <w:lastRenderedPageBreak/>
        <w:t xml:space="preserve">PLEASE COMPLETE </w:t>
      </w:r>
    </w:p>
    <w:p w14:paraId="762AFA0E" w14:textId="77777777" w:rsidR="00BC62ED" w:rsidRDefault="00BC62ED" w:rsidP="00936FEE">
      <w:pPr>
        <w:pStyle w:val="Heading2"/>
      </w:pPr>
      <w:r w:rsidRPr="00BC62ED">
        <w:t>Personal File Information</w:t>
      </w:r>
    </w:p>
    <w:p w14:paraId="69C7F434" w14:textId="77777777" w:rsidR="00BC62ED" w:rsidRPr="00BC62ED" w:rsidRDefault="00BC62ED" w:rsidP="00936FEE">
      <w:pPr>
        <w:pStyle w:val="Heading2"/>
      </w:pPr>
    </w:p>
    <w:p w14:paraId="36F0668D" w14:textId="77777777" w:rsidR="00BC62ED" w:rsidRDefault="00BC62ED" w:rsidP="00BC62ED">
      <w:pPr>
        <w:jc w:val="both"/>
        <w:rPr>
          <w:sz w:val="24"/>
        </w:rPr>
      </w:pPr>
    </w:p>
    <w:p w14:paraId="3F9B0C22" w14:textId="77777777" w:rsidR="00BC62ED" w:rsidRDefault="00BC62ED" w:rsidP="00BC62ED">
      <w:pPr>
        <w:jc w:val="both"/>
        <w:rPr>
          <w:sz w:val="24"/>
          <w:u w:val="single"/>
        </w:rPr>
      </w:pPr>
      <w:r>
        <w:rPr>
          <w:sz w:val="24"/>
        </w:rPr>
        <w:t>Mailing Address:</w:t>
      </w:r>
      <w:r w:rsidR="00A95421">
        <w:rPr>
          <w:sz w:val="24"/>
        </w:rPr>
        <w:t xml:space="preserve">  ____________________________________________________________</w:t>
      </w:r>
    </w:p>
    <w:p w14:paraId="3A2D572F" w14:textId="77777777" w:rsidR="00BC62ED" w:rsidRDefault="00BC62ED" w:rsidP="00BC62ED">
      <w:pPr>
        <w:jc w:val="both"/>
        <w:rPr>
          <w:sz w:val="24"/>
          <w:u w:val="single"/>
        </w:rPr>
      </w:pPr>
    </w:p>
    <w:p w14:paraId="78766FF3" w14:textId="77777777" w:rsidR="00BC62ED" w:rsidRDefault="00A95421" w:rsidP="00BC62ED">
      <w:pPr>
        <w:jc w:val="both"/>
        <w:rPr>
          <w:sz w:val="24"/>
        </w:rPr>
      </w:pPr>
      <w:r>
        <w:rPr>
          <w:sz w:val="24"/>
        </w:rPr>
        <w:t>__________________________________________________________________________</w:t>
      </w:r>
    </w:p>
    <w:p w14:paraId="72B1C139" w14:textId="77777777" w:rsidR="00BC62ED" w:rsidRDefault="00BC62ED" w:rsidP="00BC62ED">
      <w:pPr>
        <w:jc w:val="both"/>
        <w:rPr>
          <w:sz w:val="24"/>
        </w:rPr>
      </w:pPr>
    </w:p>
    <w:p w14:paraId="284EA2F7" w14:textId="77777777" w:rsidR="00BC62ED" w:rsidRDefault="00BC62ED" w:rsidP="00BC62ED">
      <w:pPr>
        <w:jc w:val="both"/>
        <w:rPr>
          <w:sz w:val="24"/>
          <w:u w:val="single"/>
        </w:rPr>
      </w:pPr>
      <w:r>
        <w:rPr>
          <w:sz w:val="24"/>
        </w:rPr>
        <w:t>Home Address</w:t>
      </w:r>
      <w:r w:rsidR="00A95421">
        <w:rPr>
          <w:sz w:val="24"/>
        </w:rPr>
        <w:t xml:space="preserve"> ______________________________________________________________</w:t>
      </w:r>
    </w:p>
    <w:p w14:paraId="6BCEAFED" w14:textId="77777777" w:rsidR="00BC62ED" w:rsidRDefault="00BC62ED" w:rsidP="00BC62ED">
      <w:pPr>
        <w:jc w:val="both"/>
        <w:rPr>
          <w:sz w:val="24"/>
          <w:u w:val="single"/>
        </w:rPr>
      </w:pPr>
    </w:p>
    <w:p w14:paraId="733FFAE6" w14:textId="77777777" w:rsidR="00A95421" w:rsidRPr="00A95421" w:rsidRDefault="00A95421" w:rsidP="00BC62ED">
      <w:pPr>
        <w:jc w:val="both"/>
        <w:rPr>
          <w:sz w:val="24"/>
        </w:rPr>
      </w:pPr>
      <w:r>
        <w:rPr>
          <w:sz w:val="24"/>
        </w:rPr>
        <w:t>__________________________________________________________________________</w:t>
      </w:r>
    </w:p>
    <w:p w14:paraId="788947A8" w14:textId="77777777" w:rsidR="00BC62ED" w:rsidRDefault="00BC62ED" w:rsidP="00BC62ED">
      <w:pPr>
        <w:jc w:val="both"/>
        <w:rPr>
          <w:sz w:val="24"/>
        </w:rPr>
      </w:pPr>
    </w:p>
    <w:p w14:paraId="458EECD8" w14:textId="77777777" w:rsidR="00BC62ED" w:rsidRDefault="00BC62ED" w:rsidP="00BC62ED">
      <w:pPr>
        <w:jc w:val="both"/>
        <w:rPr>
          <w:sz w:val="24"/>
        </w:rPr>
      </w:pPr>
      <w:r>
        <w:rPr>
          <w:sz w:val="24"/>
        </w:rPr>
        <w:t>EMAIL Address: _______________________________________________________________</w:t>
      </w:r>
    </w:p>
    <w:p w14:paraId="1720FB34" w14:textId="77777777" w:rsidR="00BC62ED" w:rsidRDefault="00BC62ED" w:rsidP="00BC62ED">
      <w:pPr>
        <w:jc w:val="both"/>
        <w:rPr>
          <w:sz w:val="24"/>
        </w:rPr>
      </w:pPr>
    </w:p>
    <w:p w14:paraId="6751C079" w14:textId="77777777" w:rsidR="00BC62ED" w:rsidRPr="00A95421" w:rsidRDefault="00BC62ED" w:rsidP="00BC62ED">
      <w:pPr>
        <w:jc w:val="both"/>
        <w:rPr>
          <w:sz w:val="24"/>
        </w:rPr>
      </w:pPr>
      <w:r>
        <w:rPr>
          <w:sz w:val="24"/>
        </w:rPr>
        <w:t>Home Phone</w:t>
      </w:r>
      <w:r w:rsidR="00C35FA3">
        <w:rPr>
          <w:sz w:val="24"/>
        </w:rPr>
        <w:t>:</w:t>
      </w:r>
      <w:r w:rsidR="007C0B28">
        <w:rPr>
          <w:sz w:val="24"/>
        </w:rPr>
        <w:t xml:space="preserve"> </w:t>
      </w:r>
      <w:r w:rsidRPr="00A95421">
        <w:rPr>
          <w:sz w:val="24"/>
        </w:rPr>
        <w:t>(</w:t>
      </w:r>
      <w:r w:rsidR="00A95421">
        <w:rPr>
          <w:sz w:val="24"/>
        </w:rPr>
        <w:t>___</w:t>
      </w:r>
      <w:r w:rsidRPr="00A95421">
        <w:rPr>
          <w:sz w:val="24"/>
        </w:rPr>
        <w:t>)</w:t>
      </w:r>
      <w:r w:rsidRPr="00A95421">
        <w:rPr>
          <w:sz w:val="24"/>
        </w:rPr>
        <w:tab/>
      </w:r>
      <w:r w:rsidR="00A95421">
        <w:rPr>
          <w:sz w:val="24"/>
        </w:rPr>
        <w:t>__________</w:t>
      </w:r>
      <w:r w:rsidR="007C0B28" w:rsidRPr="00A95421">
        <w:rPr>
          <w:sz w:val="24"/>
        </w:rPr>
        <w:t>__</w:t>
      </w:r>
      <w:r w:rsidRPr="00A95421">
        <w:rPr>
          <w:sz w:val="24"/>
        </w:rPr>
        <w:tab/>
      </w:r>
      <w:r w:rsidRPr="00A95421">
        <w:rPr>
          <w:sz w:val="24"/>
        </w:rPr>
        <w:tab/>
      </w:r>
      <w:r w:rsidRPr="00A95421">
        <w:rPr>
          <w:sz w:val="24"/>
        </w:rPr>
        <w:tab/>
      </w:r>
      <w:r w:rsidRPr="00A95421">
        <w:rPr>
          <w:sz w:val="24"/>
        </w:rPr>
        <w:tab/>
      </w:r>
    </w:p>
    <w:p w14:paraId="4651BFD8" w14:textId="77777777" w:rsidR="00BC62ED" w:rsidRPr="00A95421" w:rsidRDefault="00BC62ED" w:rsidP="00BC62ED">
      <w:pPr>
        <w:jc w:val="both"/>
        <w:rPr>
          <w:sz w:val="24"/>
        </w:rPr>
      </w:pPr>
    </w:p>
    <w:p w14:paraId="49398BCC" w14:textId="77777777" w:rsidR="00BC62ED" w:rsidRPr="00A95421" w:rsidRDefault="00BC62ED" w:rsidP="00BC62ED">
      <w:pPr>
        <w:jc w:val="both"/>
        <w:rPr>
          <w:sz w:val="24"/>
        </w:rPr>
      </w:pPr>
      <w:r w:rsidRPr="00A95421">
        <w:rPr>
          <w:sz w:val="24"/>
        </w:rPr>
        <w:t>Move Effective Date:</w:t>
      </w:r>
      <w:r w:rsidR="00A95421">
        <w:rPr>
          <w:sz w:val="24"/>
        </w:rPr>
        <w:t xml:space="preserve"> </w:t>
      </w:r>
      <w:r w:rsidR="007C0B28" w:rsidRPr="00A95421">
        <w:rPr>
          <w:sz w:val="24"/>
        </w:rPr>
        <w:t>_</w:t>
      </w:r>
      <w:r w:rsidR="00A95421">
        <w:rPr>
          <w:sz w:val="24"/>
        </w:rPr>
        <w:t>________</w:t>
      </w:r>
      <w:r w:rsidR="007C0B28" w:rsidRPr="00A95421">
        <w:rPr>
          <w:sz w:val="24"/>
        </w:rPr>
        <w:t>__</w:t>
      </w:r>
      <w:r w:rsidRPr="00A95421">
        <w:rPr>
          <w:sz w:val="24"/>
        </w:rPr>
        <w:tab/>
      </w:r>
      <w:r w:rsidRPr="00A95421">
        <w:rPr>
          <w:sz w:val="24"/>
        </w:rPr>
        <w:tab/>
      </w:r>
      <w:r w:rsidRPr="00A95421">
        <w:rPr>
          <w:sz w:val="24"/>
        </w:rPr>
        <w:tab/>
      </w:r>
      <w:r w:rsidRPr="00A95421">
        <w:rPr>
          <w:sz w:val="24"/>
        </w:rPr>
        <w:tab/>
      </w:r>
      <w:r w:rsidRPr="00A95421">
        <w:rPr>
          <w:sz w:val="24"/>
        </w:rPr>
        <w:tab/>
      </w:r>
    </w:p>
    <w:p w14:paraId="3FB4F224" w14:textId="77777777" w:rsidR="00BC62ED" w:rsidRPr="00A95421" w:rsidRDefault="00BC62ED" w:rsidP="00BC62ED">
      <w:pPr>
        <w:jc w:val="both"/>
        <w:rPr>
          <w:sz w:val="24"/>
        </w:rPr>
      </w:pPr>
    </w:p>
    <w:p w14:paraId="1BBA3189" w14:textId="77777777" w:rsidR="00A95421" w:rsidRDefault="00BC62ED" w:rsidP="00A95421">
      <w:pPr>
        <w:rPr>
          <w:sz w:val="24"/>
        </w:rPr>
      </w:pPr>
      <w:r w:rsidRPr="00A95421">
        <w:rPr>
          <w:sz w:val="24"/>
        </w:rPr>
        <w:t xml:space="preserve">Business Address: </w:t>
      </w:r>
      <w:r w:rsidR="00A95421">
        <w:rPr>
          <w:sz w:val="24"/>
        </w:rPr>
        <w:t>______________________________________________________________</w:t>
      </w:r>
    </w:p>
    <w:p w14:paraId="510B222B" w14:textId="77777777" w:rsidR="00A95421" w:rsidRDefault="00A95421" w:rsidP="00A95421">
      <w:pPr>
        <w:rPr>
          <w:sz w:val="24"/>
        </w:rPr>
      </w:pPr>
    </w:p>
    <w:p w14:paraId="332ABDD0" w14:textId="77777777" w:rsidR="00BC62ED" w:rsidRPr="00A95421" w:rsidRDefault="00A95421" w:rsidP="00A95421">
      <w:pPr>
        <w:rPr>
          <w:sz w:val="24"/>
        </w:rPr>
      </w:pPr>
      <w:r>
        <w:rPr>
          <w:sz w:val="24"/>
        </w:rPr>
        <w:t>____________________________________________________________________</w:t>
      </w:r>
      <w:r w:rsidR="007C0B28" w:rsidRPr="00A95421">
        <w:rPr>
          <w:sz w:val="24"/>
        </w:rPr>
        <w:t>__________</w:t>
      </w:r>
      <w:r w:rsidR="00BC62ED" w:rsidRPr="00A95421">
        <w:rPr>
          <w:sz w:val="24"/>
        </w:rPr>
        <w:tab/>
      </w:r>
      <w:r w:rsidR="00BC62ED" w:rsidRPr="00A95421">
        <w:rPr>
          <w:sz w:val="24"/>
        </w:rPr>
        <w:tab/>
      </w:r>
      <w:r w:rsidR="00BC62ED" w:rsidRPr="00A95421">
        <w:rPr>
          <w:sz w:val="24"/>
        </w:rPr>
        <w:tab/>
      </w:r>
      <w:r w:rsidR="00BC62ED" w:rsidRPr="00A95421">
        <w:rPr>
          <w:sz w:val="24"/>
        </w:rPr>
        <w:tab/>
      </w:r>
      <w:r w:rsidR="00BC62ED" w:rsidRPr="00A95421">
        <w:rPr>
          <w:sz w:val="24"/>
        </w:rPr>
        <w:tab/>
      </w:r>
    </w:p>
    <w:p w14:paraId="09C0A783" w14:textId="77777777" w:rsidR="00BC62ED" w:rsidRPr="00A95421" w:rsidRDefault="00BC62ED" w:rsidP="00BC62ED">
      <w:pPr>
        <w:jc w:val="both"/>
        <w:rPr>
          <w:sz w:val="24"/>
        </w:rPr>
      </w:pPr>
    </w:p>
    <w:p w14:paraId="3EE702FD" w14:textId="77777777" w:rsidR="00BC62ED" w:rsidRPr="00A95421" w:rsidRDefault="00BC62ED" w:rsidP="00BC62ED">
      <w:pPr>
        <w:jc w:val="both"/>
        <w:rPr>
          <w:sz w:val="24"/>
        </w:rPr>
      </w:pPr>
      <w:r w:rsidRPr="00A95421">
        <w:rPr>
          <w:sz w:val="24"/>
        </w:rPr>
        <w:t xml:space="preserve">Business </w:t>
      </w:r>
      <w:r w:rsidR="00470C84" w:rsidRPr="00A95421">
        <w:rPr>
          <w:sz w:val="24"/>
        </w:rPr>
        <w:t>Phone (</w:t>
      </w:r>
      <w:r w:rsidR="007C0B28" w:rsidRPr="00A95421">
        <w:rPr>
          <w:sz w:val="24"/>
        </w:rPr>
        <w:t>_</w:t>
      </w:r>
      <w:r w:rsidR="00A95421">
        <w:rPr>
          <w:sz w:val="24"/>
        </w:rPr>
        <w:t>__</w:t>
      </w:r>
      <w:r w:rsidRPr="00A95421">
        <w:rPr>
          <w:sz w:val="24"/>
        </w:rPr>
        <w:tab/>
        <w:t>)</w:t>
      </w:r>
      <w:r w:rsidR="00A95421">
        <w:rPr>
          <w:sz w:val="24"/>
        </w:rPr>
        <w:t xml:space="preserve"> ____</w:t>
      </w:r>
      <w:r w:rsidR="007C0B28" w:rsidRPr="00A95421">
        <w:rPr>
          <w:sz w:val="24"/>
        </w:rPr>
        <w:t>_______</w:t>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p>
    <w:p w14:paraId="3F6A78CE" w14:textId="77777777" w:rsidR="00BC62ED" w:rsidRPr="00A95421" w:rsidRDefault="00BC62ED" w:rsidP="00BC62ED">
      <w:pPr>
        <w:jc w:val="both"/>
        <w:rPr>
          <w:sz w:val="24"/>
        </w:rPr>
      </w:pPr>
    </w:p>
    <w:p w14:paraId="72A948F4" w14:textId="77777777" w:rsidR="00BC62ED" w:rsidRPr="00A95421" w:rsidRDefault="00BC62ED" w:rsidP="00BC62ED">
      <w:pPr>
        <w:jc w:val="both"/>
        <w:rPr>
          <w:sz w:val="24"/>
        </w:rPr>
      </w:pPr>
      <w:r w:rsidRPr="00A95421">
        <w:rPr>
          <w:sz w:val="24"/>
        </w:rPr>
        <w:t>Move Effective Date:</w:t>
      </w:r>
      <w:r w:rsidR="00A95421">
        <w:rPr>
          <w:sz w:val="24"/>
        </w:rPr>
        <w:t xml:space="preserve"> _________</w:t>
      </w:r>
      <w:r w:rsidR="007C0B28" w:rsidRPr="00A95421">
        <w:rPr>
          <w:sz w:val="24"/>
        </w:rPr>
        <w:t>__</w:t>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p>
    <w:p w14:paraId="6360BBD7" w14:textId="77777777" w:rsidR="00BC62ED" w:rsidRPr="00A95421" w:rsidRDefault="00BC62ED" w:rsidP="00BC62ED">
      <w:pPr>
        <w:jc w:val="both"/>
        <w:rPr>
          <w:sz w:val="24"/>
        </w:rPr>
      </w:pPr>
    </w:p>
    <w:p w14:paraId="1113030C" w14:textId="77777777" w:rsidR="00BC62ED" w:rsidRPr="00A95421" w:rsidRDefault="00BC62ED" w:rsidP="00A95421">
      <w:pPr>
        <w:rPr>
          <w:sz w:val="24"/>
        </w:rPr>
      </w:pPr>
      <w:r w:rsidRPr="00A95421">
        <w:rPr>
          <w:sz w:val="24"/>
        </w:rPr>
        <w:t>Spouse's Name:</w:t>
      </w:r>
      <w:r w:rsidR="007C0B28" w:rsidRPr="00A95421">
        <w:rPr>
          <w:sz w:val="24"/>
        </w:rPr>
        <w:t xml:space="preserve"> _____</w:t>
      </w:r>
      <w:r w:rsidR="00A95421">
        <w:rPr>
          <w:sz w:val="24"/>
        </w:rPr>
        <w:t>__________________________________________________________</w:t>
      </w:r>
      <w:r w:rsidR="007C0B28" w:rsidRPr="00A95421">
        <w:rPr>
          <w:sz w:val="24"/>
        </w:rPr>
        <w:t>_</w:t>
      </w:r>
      <w:r w:rsidRPr="00A95421">
        <w:rPr>
          <w:sz w:val="24"/>
        </w:rPr>
        <w:t xml:space="preserve"> </w:t>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p>
    <w:p w14:paraId="216891F8" w14:textId="77777777" w:rsidR="00BC62ED" w:rsidRDefault="00BC62ED" w:rsidP="00A95421">
      <w:pPr>
        <w:rPr>
          <w:sz w:val="24"/>
        </w:rPr>
      </w:pPr>
      <w:r w:rsidRPr="00A95421">
        <w:rPr>
          <w:sz w:val="24"/>
        </w:rPr>
        <w:t>Spouse's Occupation:</w:t>
      </w:r>
      <w:r w:rsidR="007C0B28" w:rsidRPr="00A95421">
        <w:rPr>
          <w:sz w:val="24"/>
        </w:rPr>
        <w:t xml:space="preserve"> </w:t>
      </w:r>
      <w:r w:rsidRPr="00A95421">
        <w:rPr>
          <w:sz w:val="24"/>
        </w:rPr>
        <w:t xml:space="preserve"> </w:t>
      </w:r>
      <w:r w:rsidR="00A95421">
        <w:rPr>
          <w:sz w:val="24"/>
        </w:rPr>
        <w:t>_________________________________________________________</w:t>
      </w:r>
      <w:r w:rsidR="007C0B28" w:rsidRPr="00A95421">
        <w:rPr>
          <w:sz w:val="24"/>
        </w:rPr>
        <w:t>__</w:t>
      </w:r>
    </w:p>
    <w:p w14:paraId="43B489D2" w14:textId="77777777" w:rsidR="00A95421" w:rsidRPr="00A95421" w:rsidRDefault="00A95421" w:rsidP="00A95421">
      <w:pPr>
        <w:rPr>
          <w:sz w:val="24"/>
        </w:rPr>
      </w:pPr>
    </w:p>
    <w:p w14:paraId="00181602" w14:textId="77777777" w:rsidR="00BC62ED" w:rsidRPr="00A95421" w:rsidRDefault="00BC62ED" w:rsidP="00A95421">
      <w:pPr>
        <w:rPr>
          <w:sz w:val="24"/>
        </w:rPr>
      </w:pPr>
      <w:r w:rsidRPr="00A95421">
        <w:rPr>
          <w:sz w:val="24"/>
        </w:rPr>
        <w:t>Spouse's Employer:</w:t>
      </w:r>
      <w:r w:rsidR="007C0B28" w:rsidRPr="00A95421">
        <w:rPr>
          <w:sz w:val="24"/>
        </w:rPr>
        <w:t xml:space="preserve"> </w:t>
      </w:r>
      <w:r w:rsidRPr="00A95421">
        <w:rPr>
          <w:sz w:val="24"/>
        </w:rPr>
        <w:t xml:space="preserve"> </w:t>
      </w:r>
      <w:r w:rsidR="007C0B28" w:rsidRPr="00A95421">
        <w:rPr>
          <w:sz w:val="24"/>
        </w:rPr>
        <w:t>___</w:t>
      </w:r>
      <w:r w:rsidR="00A95421">
        <w:rPr>
          <w:sz w:val="24"/>
        </w:rPr>
        <w:t>_________________________________________________________</w:t>
      </w:r>
    </w:p>
    <w:p w14:paraId="3711009A" w14:textId="77777777" w:rsidR="00BC62ED" w:rsidRDefault="00BC62ED" w:rsidP="00BC62ED">
      <w:pPr>
        <w:jc w:val="both"/>
        <w:rPr>
          <w:sz w:val="24"/>
        </w:rPr>
      </w:pPr>
    </w:p>
    <w:p w14:paraId="2250DE6D" w14:textId="77777777" w:rsidR="00BC62ED" w:rsidRDefault="00BC62ED" w:rsidP="00BC62ED">
      <w:pPr>
        <w:jc w:val="both"/>
        <w:rPr>
          <w:sz w:val="24"/>
        </w:rPr>
      </w:pPr>
      <w:r>
        <w:rPr>
          <w:sz w:val="24"/>
        </w:rPr>
        <w:t xml:space="preserve">Have you changed, added or terminated any outside employment since licensing. If so, complete to the information below: </w:t>
      </w:r>
    </w:p>
    <w:p w14:paraId="1371D1D8" w14:textId="77777777" w:rsidR="00BC62ED" w:rsidRDefault="00BC62ED" w:rsidP="00BC62ED">
      <w:pPr>
        <w:jc w:val="both"/>
        <w:rPr>
          <w:sz w:val="24"/>
        </w:rPr>
      </w:pPr>
    </w:p>
    <w:tbl>
      <w:tblPr>
        <w:tblW w:w="0" w:type="auto"/>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70"/>
        <w:gridCol w:w="1064"/>
        <w:gridCol w:w="1064"/>
        <w:gridCol w:w="2692"/>
      </w:tblGrid>
      <w:tr w:rsidR="00BC62ED" w14:paraId="43CA3D59" w14:textId="77777777" w:rsidTr="00463783">
        <w:tc>
          <w:tcPr>
            <w:tcW w:w="3370" w:type="dxa"/>
            <w:shd w:val="pct30" w:color="C0C0C0" w:fill="FFFFFF"/>
          </w:tcPr>
          <w:p w14:paraId="108C0192" w14:textId="77777777" w:rsidR="00BC62ED" w:rsidRDefault="00BC62ED" w:rsidP="00463783">
            <w:pPr>
              <w:jc w:val="both"/>
              <w:rPr>
                <w:sz w:val="24"/>
              </w:rPr>
            </w:pPr>
            <w:r>
              <w:rPr>
                <w:sz w:val="24"/>
              </w:rPr>
              <w:t>Name and Address of Firm</w:t>
            </w:r>
          </w:p>
        </w:tc>
        <w:tc>
          <w:tcPr>
            <w:tcW w:w="1064" w:type="dxa"/>
            <w:shd w:val="pct30" w:color="C0C0C0" w:fill="FFFFFF"/>
          </w:tcPr>
          <w:p w14:paraId="6624F70F" w14:textId="77777777" w:rsidR="00BC62ED" w:rsidRDefault="00BC62ED" w:rsidP="00463783">
            <w:pPr>
              <w:jc w:val="both"/>
              <w:rPr>
                <w:sz w:val="24"/>
              </w:rPr>
            </w:pPr>
            <w:r>
              <w:rPr>
                <w:sz w:val="24"/>
              </w:rPr>
              <w:t>From</w:t>
            </w:r>
          </w:p>
          <w:p w14:paraId="3326DD0E" w14:textId="77777777" w:rsidR="00BC62ED" w:rsidRDefault="00BC62ED" w:rsidP="00463783">
            <w:pPr>
              <w:jc w:val="both"/>
              <w:rPr>
                <w:sz w:val="24"/>
              </w:rPr>
            </w:pPr>
            <w:r>
              <w:rPr>
                <w:sz w:val="24"/>
              </w:rPr>
              <w:t>Mo/</w:t>
            </w:r>
            <w:proofErr w:type="spellStart"/>
            <w:r>
              <w:rPr>
                <w:sz w:val="24"/>
              </w:rPr>
              <w:t>Yr</w:t>
            </w:r>
            <w:proofErr w:type="spellEnd"/>
          </w:p>
        </w:tc>
        <w:tc>
          <w:tcPr>
            <w:tcW w:w="1064" w:type="dxa"/>
            <w:shd w:val="pct30" w:color="C0C0C0" w:fill="FFFFFF"/>
          </w:tcPr>
          <w:p w14:paraId="74FB3D6C" w14:textId="77777777" w:rsidR="00BC62ED" w:rsidRDefault="00BC62ED" w:rsidP="00463783">
            <w:pPr>
              <w:jc w:val="both"/>
              <w:rPr>
                <w:sz w:val="24"/>
              </w:rPr>
            </w:pPr>
            <w:r>
              <w:rPr>
                <w:sz w:val="24"/>
              </w:rPr>
              <w:t>To</w:t>
            </w:r>
          </w:p>
          <w:p w14:paraId="6570422E" w14:textId="77777777" w:rsidR="00BC62ED" w:rsidRDefault="00BC62ED" w:rsidP="00463783">
            <w:pPr>
              <w:jc w:val="both"/>
              <w:rPr>
                <w:sz w:val="24"/>
              </w:rPr>
            </w:pPr>
            <w:r>
              <w:rPr>
                <w:sz w:val="24"/>
              </w:rPr>
              <w:t>Mo/</w:t>
            </w:r>
            <w:proofErr w:type="spellStart"/>
            <w:r>
              <w:rPr>
                <w:sz w:val="24"/>
              </w:rPr>
              <w:t>Yr</w:t>
            </w:r>
            <w:proofErr w:type="spellEnd"/>
          </w:p>
        </w:tc>
        <w:tc>
          <w:tcPr>
            <w:tcW w:w="2692" w:type="dxa"/>
            <w:shd w:val="pct30" w:color="C0C0C0" w:fill="FFFFFF"/>
          </w:tcPr>
          <w:p w14:paraId="1EA7D8EC" w14:textId="77777777" w:rsidR="00BC62ED" w:rsidRDefault="00BC62ED" w:rsidP="00463783">
            <w:pPr>
              <w:jc w:val="both"/>
              <w:rPr>
                <w:sz w:val="24"/>
              </w:rPr>
            </w:pPr>
          </w:p>
          <w:p w14:paraId="28399307" w14:textId="77777777" w:rsidR="00BC62ED" w:rsidRDefault="00BC62ED" w:rsidP="00463783">
            <w:pPr>
              <w:jc w:val="both"/>
              <w:rPr>
                <w:sz w:val="24"/>
              </w:rPr>
            </w:pPr>
            <w:r>
              <w:rPr>
                <w:sz w:val="24"/>
              </w:rPr>
              <w:t>Position</w:t>
            </w:r>
          </w:p>
        </w:tc>
      </w:tr>
      <w:tr w:rsidR="00BC62ED" w14:paraId="2599A2C1" w14:textId="77777777" w:rsidTr="00463783">
        <w:tc>
          <w:tcPr>
            <w:tcW w:w="3370" w:type="dxa"/>
          </w:tcPr>
          <w:p w14:paraId="40A055F3" w14:textId="77777777" w:rsidR="00BC62ED" w:rsidRDefault="00BC62ED" w:rsidP="00463783">
            <w:pPr>
              <w:jc w:val="both"/>
              <w:rPr>
                <w:sz w:val="24"/>
              </w:rPr>
            </w:pPr>
          </w:p>
        </w:tc>
        <w:tc>
          <w:tcPr>
            <w:tcW w:w="1064" w:type="dxa"/>
          </w:tcPr>
          <w:p w14:paraId="620E2437" w14:textId="77777777" w:rsidR="00BC62ED" w:rsidRDefault="00BC62ED" w:rsidP="00463783">
            <w:pPr>
              <w:jc w:val="both"/>
              <w:rPr>
                <w:sz w:val="24"/>
              </w:rPr>
            </w:pPr>
          </w:p>
        </w:tc>
        <w:tc>
          <w:tcPr>
            <w:tcW w:w="1064" w:type="dxa"/>
          </w:tcPr>
          <w:p w14:paraId="5390431F" w14:textId="77777777" w:rsidR="00BC62ED" w:rsidRDefault="00BC62ED" w:rsidP="00463783">
            <w:pPr>
              <w:jc w:val="both"/>
              <w:rPr>
                <w:sz w:val="24"/>
              </w:rPr>
            </w:pPr>
          </w:p>
        </w:tc>
        <w:tc>
          <w:tcPr>
            <w:tcW w:w="2692" w:type="dxa"/>
          </w:tcPr>
          <w:p w14:paraId="606BE0BD" w14:textId="77777777" w:rsidR="00BC62ED" w:rsidRDefault="00BC62ED" w:rsidP="00463783">
            <w:pPr>
              <w:jc w:val="both"/>
              <w:rPr>
                <w:sz w:val="24"/>
              </w:rPr>
            </w:pPr>
          </w:p>
        </w:tc>
      </w:tr>
      <w:tr w:rsidR="00BC62ED" w14:paraId="6D578696" w14:textId="77777777" w:rsidTr="00463783">
        <w:tc>
          <w:tcPr>
            <w:tcW w:w="3370" w:type="dxa"/>
          </w:tcPr>
          <w:p w14:paraId="120595C4" w14:textId="77777777" w:rsidR="00BC62ED" w:rsidRDefault="00BC62ED" w:rsidP="00463783">
            <w:pPr>
              <w:jc w:val="both"/>
              <w:rPr>
                <w:sz w:val="24"/>
              </w:rPr>
            </w:pPr>
          </w:p>
        </w:tc>
        <w:tc>
          <w:tcPr>
            <w:tcW w:w="1064" w:type="dxa"/>
          </w:tcPr>
          <w:p w14:paraId="7B4F36E6" w14:textId="77777777" w:rsidR="00BC62ED" w:rsidRDefault="00BC62ED" w:rsidP="00463783">
            <w:pPr>
              <w:jc w:val="both"/>
              <w:rPr>
                <w:sz w:val="24"/>
              </w:rPr>
            </w:pPr>
          </w:p>
        </w:tc>
        <w:tc>
          <w:tcPr>
            <w:tcW w:w="1064" w:type="dxa"/>
          </w:tcPr>
          <w:p w14:paraId="28FA0653" w14:textId="77777777" w:rsidR="00BC62ED" w:rsidRDefault="00BC62ED" w:rsidP="00463783">
            <w:pPr>
              <w:jc w:val="both"/>
              <w:rPr>
                <w:sz w:val="24"/>
              </w:rPr>
            </w:pPr>
          </w:p>
        </w:tc>
        <w:tc>
          <w:tcPr>
            <w:tcW w:w="2692" w:type="dxa"/>
          </w:tcPr>
          <w:p w14:paraId="1AD15FDE" w14:textId="77777777" w:rsidR="00BC62ED" w:rsidRDefault="00BC62ED" w:rsidP="00463783">
            <w:pPr>
              <w:jc w:val="both"/>
              <w:rPr>
                <w:sz w:val="24"/>
              </w:rPr>
            </w:pPr>
          </w:p>
        </w:tc>
      </w:tr>
      <w:tr w:rsidR="00BC62ED" w14:paraId="6DEEBE84" w14:textId="77777777" w:rsidTr="00463783">
        <w:tc>
          <w:tcPr>
            <w:tcW w:w="3370" w:type="dxa"/>
          </w:tcPr>
          <w:p w14:paraId="51D31882" w14:textId="77777777" w:rsidR="00BC62ED" w:rsidRDefault="00BC62ED" w:rsidP="00463783">
            <w:pPr>
              <w:jc w:val="both"/>
              <w:rPr>
                <w:sz w:val="24"/>
              </w:rPr>
            </w:pPr>
          </w:p>
        </w:tc>
        <w:tc>
          <w:tcPr>
            <w:tcW w:w="1064" w:type="dxa"/>
          </w:tcPr>
          <w:p w14:paraId="2A602259" w14:textId="77777777" w:rsidR="00BC62ED" w:rsidRDefault="00BC62ED" w:rsidP="00463783">
            <w:pPr>
              <w:jc w:val="both"/>
              <w:rPr>
                <w:sz w:val="24"/>
              </w:rPr>
            </w:pPr>
          </w:p>
        </w:tc>
        <w:tc>
          <w:tcPr>
            <w:tcW w:w="1064" w:type="dxa"/>
          </w:tcPr>
          <w:p w14:paraId="4512721E" w14:textId="77777777" w:rsidR="00BC62ED" w:rsidRDefault="00BC62ED" w:rsidP="00463783">
            <w:pPr>
              <w:jc w:val="both"/>
              <w:rPr>
                <w:sz w:val="24"/>
              </w:rPr>
            </w:pPr>
          </w:p>
        </w:tc>
        <w:tc>
          <w:tcPr>
            <w:tcW w:w="2692" w:type="dxa"/>
          </w:tcPr>
          <w:p w14:paraId="6FB0D52B" w14:textId="77777777" w:rsidR="00BC62ED" w:rsidRDefault="00BC62ED" w:rsidP="00463783">
            <w:pPr>
              <w:jc w:val="both"/>
              <w:rPr>
                <w:sz w:val="24"/>
              </w:rPr>
            </w:pPr>
          </w:p>
        </w:tc>
      </w:tr>
      <w:tr w:rsidR="00BC62ED" w14:paraId="3203FCCB" w14:textId="77777777" w:rsidTr="00463783">
        <w:tc>
          <w:tcPr>
            <w:tcW w:w="3370" w:type="dxa"/>
          </w:tcPr>
          <w:p w14:paraId="7B0FBD5E" w14:textId="77777777" w:rsidR="00BC62ED" w:rsidRDefault="00BC62ED" w:rsidP="00463783">
            <w:pPr>
              <w:jc w:val="both"/>
              <w:rPr>
                <w:sz w:val="24"/>
              </w:rPr>
            </w:pPr>
          </w:p>
        </w:tc>
        <w:tc>
          <w:tcPr>
            <w:tcW w:w="1064" w:type="dxa"/>
          </w:tcPr>
          <w:p w14:paraId="25E0C340" w14:textId="77777777" w:rsidR="00BC62ED" w:rsidRDefault="00BC62ED" w:rsidP="00463783">
            <w:pPr>
              <w:jc w:val="both"/>
              <w:rPr>
                <w:sz w:val="24"/>
              </w:rPr>
            </w:pPr>
          </w:p>
        </w:tc>
        <w:tc>
          <w:tcPr>
            <w:tcW w:w="1064" w:type="dxa"/>
          </w:tcPr>
          <w:p w14:paraId="3AAF2AB8" w14:textId="77777777" w:rsidR="00BC62ED" w:rsidRDefault="00BC62ED" w:rsidP="00463783">
            <w:pPr>
              <w:jc w:val="both"/>
              <w:rPr>
                <w:sz w:val="24"/>
              </w:rPr>
            </w:pPr>
          </w:p>
        </w:tc>
        <w:tc>
          <w:tcPr>
            <w:tcW w:w="2692" w:type="dxa"/>
          </w:tcPr>
          <w:p w14:paraId="6D069EB8" w14:textId="77777777" w:rsidR="00BC62ED" w:rsidRDefault="00BC62ED" w:rsidP="00463783">
            <w:pPr>
              <w:jc w:val="both"/>
              <w:rPr>
                <w:sz w:val="24"/>
              </w:rPr>
            </w:pPr>
          </w:p>
        </w:tc>
      </w:tr>
      <w:tr w:rsidR="00BC62ED" w14:paraId="12B03DCF" w14:textId="77777777" w:rsidTr="00463783">
        <w:tc>
          <w:tcPr>
            <w:tcW w:w="3370" w:type="dxa"/>
          </w:tcPr>
          <w:p w14:paraId="5E05CCA3" w14:textId="77777777" w:rsidR="00BC62ED" w:rsidRDefault="00BC62ED" w:rsidP="00463783">
            <w:pPr>
              <w:jc w:val="both"/>
              <w:rPr>
                <w:sz w:val="24"/>
              </w:rPr>
            </w:pPr>
          </w:p>
        </w:tc>
        <w:tc>
          <w:tcPr>
            <w:tcW w:w="1064" w:type="dxa"/>
          </w:tcPr>
          <w:p w14:paraId="1F8881B4" w14:textId="77777777" w:rsidR="00BC62ED" w:rsidRDefault="00BC62ED" w:rsidP="00463783">
            <w:pPr>
              <w:jc w:val="both"/>
              <w:rPr>
                <w:sz w:val="24"/>
              </w:rPr>
            </w:pPr>
          </w:p>
        </w:tc>
        <w:tc>
          <w:tcPr>
            <w:tcW w:w="1064" w:type="dxa"/>
          </w:tcPr>
          <w:p w14:paraId="52E48CDD" w14:textId="77777777" w:rsidR="00BC62ED" w:rsidRDefault="00BC62ED" w:rsidP="00463783">
            <w:pPr>
              <w:jc w:val="both"/>
              <w:rPr>
                <w:sz w:val="24"/>
              </w:rPr>
            </w:pPr>
          </w:p>
        </w:tc>
        <w:tc>
          <w:tcPr>
            <w:tcW w:w="2692" w:type="dxa"/>
          </w:tcPr>
          <w:p w14:paraId="24FCD626" w14:textId="77777777" w:rsidR="00BC62ED" w:rsidRDefault="00BC62ED" w:rsidP="00463783">
            <w:pPr>
              <w:jc w:val="both"/>
              <w:rPr>
                <w:sz w:val="24"/>
              </w:rPr>
            </w:pPr>
          </w:p>
        </w:tc>
      </w:tr>
    </w:tbl>
    <w:p w14:paraId="0E3FE50D" w14:textId="77777777" w:rsidR="00BC62ED" w:rsidRDefault="00BC62ED" w:rsidP="00BC62ED">
      <w:pPr>
        <w:jc w:val="both"/>
        <w:rPr>
          <w:sz w:val="24"/>
        </w:rPr>
      </w:pPr>
    </w:p>
    <w:p w14:paraId="4442D5B3" w14:textId="77777777" w:rsidR="00BC62ED" w:rsidRDefault="00BC62ED" w:rsidP="00BC62ED">
      <w:pPr>
        <w:jc w:val="center"/>
        <w:rPr>
          <w:i/>
          <w:sz w:val="24"/>
        </w:rPr>
      </w:pPr>
      <w:r>
        <w:rPr>
          <w:i/>
          <w:sz w:val="24"/>
        </w:rPr>
        <w:t xml:space="preserve">(Use an additional sheet of paper if necessary.) </w:t>
      </w:r>
    </w:p>
    <w:p w14:paraId="530D13C9" w14:textId="77777777" w:rsidR="00BC62ED" w:rsidRDefault="00BC62ED" w:rsidP="00BC62ED">
      <w:pPr>
        <w:jc w:val="both"/>
        <w:rPr>
          <w:sz w:val="24"/>
        </w:rPr>
      </w:pPr>
    </w:p>
    <w:p w14:paraId="37BCE51B" w14:textId="77777777" w:rsidR="00BC62ED" w:rsidRDefault="00BC62ED" w:rsidP="00BC62ED">
      <w:pPr>
        <w:jc w:val="both"/>
        <w:rPr>
          <w:sz w:val="24"/>
        </w:rPr>
      </w:pPr>
      <w:r>
        <w:rPr>
          <w:sz w:val="24"/>
        </w:rPr>
        <w:lastRenderedPageBreak/>
        <w:t xml:space="preserve">Are you licensed with another broker/dealer (submitted a Form U- 4)? If so complete the information below. </w:t>
      </w:r>
    </w:p>
    <w:p w14:paraId="64AE038A" w14:textId="77777777" w:rsidR="00BC62ED" w:rsidRDefault="00BC62ED" w:rsidP="00BC62ED">
      <w:pPr>
        <w:jc w:val="both"/>
        <w:rPr>
          <w:sz w:val="24"/>
        </w:rPr>
      </w:pPr>
    </w:p>
    <w:p w14:paraId="02CAB0F5" w14:textId="77777777" w:rsidR="00BC62ED" w:rsidRPr="00A95421" w:rsidRDefault="00BC62ED" w:rsidP="00A95421">
      <w:pPr>
        <w:rPr>
          <w:sz w:val="24"/>
        </w:rPr>
      </w:pPr>
      <w:r w:rsidRPr="00A95421">
        <w:rPr>
          <w:sz w:val="24"/>
        </w:rPr>
        <w:t>Name of Firm:</w:t>
      </w:r>
      <w:r w:rsidR="007C0B28" w:rsidRPr="00A95421">
        <w:rPr>
          <w:sz w:val="24"/>
        </w:rPr>
        <w:t xml:space="preserve"> </w:t>
      </w:r>
      <w:r w:rsidRPr="00A95421">
        <w:rPr>
          <w:sz w:val="24"/>
        </w:rPr>
        <w:t xml:space="preserve"> </w:t>
      </w:r>
      <w:r w:rsidR="00A95421">
        <w:rPr>
          <w:sz w:val="24"/>
        </w:rPr>
        <w:t>______________________</w:t>
      </w:r>
      <w:r w:rsidR="007C0B28" w:rsidRPr="00A95421">
        <w:rPr>
          <w:sz w:val="24"/>
        </w:rPr>
        <w:t>__________________________________________</w:t>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p>
    <w:p w14:paraId="34F36917" w14:textId="77777777" w:rsidR="00BC62ED" w:rsidRPr="00A95421" w:rsidRDefault="00BC62ED" w:rsidP="00A95421">
      <w:pPr>
        <w:rPr>
          <w:sz w:val="24"/>
        </w:rPr>
      </w:pPr>
      <w:bookmarkStart w:id="335" w:name="OLE_LINK7"/>
      <w:bookmarkStart w:id="336" w:name="OLE_LINK8"/>
      <w:r w:rsidRPr="00A95421">
        <w:rPr>
          <w:sz w:val="24"/>
        </w:rPr>
        <w:t>Firm ID#:</w:t>
      </w:r>
      <w:r w:rsidRPr="00A95421">
        <w:rPr>
          <w:sz w:val="24"/>
        </w:rPr>
        <w:tab/>
      </w:r>
      <w:r w:rsidR="007C0B28" w:rsidRPr="00A95421">
        <w:rPr>
          <w:sz w:val="24"/>
        </w:rPr>
        <w:t>_</w:t>
      </w:r>
      <w:r w:rsidR="00A95421">
        <w:rPr>
          <w:sz w:val="24"/>
        </w:rPr>
        <w:t>____________</w:t>
      </w:r>
      <w:r w:rsidR="007C0B28" w:rsidRPr="00A95421">
        <w:rPr>
          <w:sz w:val="24"/>
        </w:rPr>
        <w:t>_</w:t>
      </w:r>
      <w:r w:rsidR="00A95421">
        <w:rPr>
          <w:sz w:val="24"/>
        </w:rPr>
        <w:t>__________</w:t>
      </w:r>
      <w:r w:rsidR="007C0B28" w:rsidRPr="00A95421">
        <w:rPr>
          <w:sz w:val="24"/>
        </w:rPr>
        <w:t>_</w:t>
      </w:r>
      <w:r w:rsidR="00A95421">
        <w:rPr>
          <w:sz w:val="24"/>
        </w:rPr>
        <w:t xml:space="preserve"> </w:t>
      </w:r>
      <w:r w:rsidRPr="00A95421">
        <w:rPr>
          <w:sz w:val="24"/>
        </w:rPr>
        <w:tab/>
        <w:t xml:space="preserve"> Phone No.: </w:t>
      </w:r>
      <w:r w:rsidR="00A95421">
        <w:rPr>
          <w:sz w:val="24"/>
        </w:rPr>
        <w:t>________________________</w:t>
      </w:r>
      <w:r w:rsidR="007C0B28" w:rsidRPr="00A95421">
        <w:rPr>
          <w:sz w:val="24"/>
        </w:rPr>
        <w:t>_______</w:t>
      </w:r>
    </w:p>
    <w:p w14:paraId="79137923" w14:textId="77777777" w:rsidR="00BC62ED" w:rsidRPr="00A95421" w:rsidRDefault="00BC62ED" w:rsidP="00A95421">
      <w:pPr>
        <w:rPr>
          <w:sz w:val="24"/>
        </w:rPr>
      </w:pPr>
    </w:p>
    <w:p w14:paraId="7B1B2621" w14:textId="77777777" w:rsidR="00BC62ED" w:rsidRPr="00A95421" w:rsidRDefault="00BC62ED" w:rsidP="00A95421">
      <w:pPr>
        <w:rPr>
          <w:sz w:val="24"/>
        </w:rPr>
      </w:pPr>
      <w:r w:rsidRPr="00A95421">
        <w:rPr>
          <w:sz w:val="24"/>
        </w:rPr>
        <w:t>Position:</w:t>
      </w:r>
      <w:r w:rsidR="00A95421">
        <w:rPr>
          <w:sz w:val="24"/>
        </w:rPr>
        <w:t xml:space="preserve"> ______________</w:t>
      </w:r>
      <w:r w:rsidR="007C0B28" w:rsidRPr="00A95421">
        <w:rPr>
          <w:sz w:val="24"/>
        </w:rPr>
        <w:t>_____________</w:t>
      </w:r>
      <w:r w:rsidRPr="00A95421">
        <w:rPr>
          <w:sz w:val="24"/>
        </w:rPr>
        <w:tab/>
      </w:r>
      <w:r w:rsidR="007C0B28" w:rsidRPr="00A95421">
        <w:rPr>
          <w:sz w:val="24"/>
        </w:rPr>
        <w:t xml:space="preserve"> R</w:t>
      </w:r>
      <w:r w:rsidRPr="00A95421">
        <w:rPr>
          <w:sz w:val="24"/>
        </w:rPr>
        <w:t>eason:</w:t>
      </w:r>
      <w:r w:rsidR="00A95421">
        <w:rPr>
          <w:sz w:val="24"/>
        </w:rPr>
        <w:t xml:space="preserve"> ____________</w:t>
      </w:r>
      <w:r w:rsidR="007C0B28" w:rsidRPr="00A95421">
        <w:rPr>
          <w:sz w:val="24"/>
        </w:rPr>
        <w:t>______________________</w:t>
      </w:r>
      <w:r w:rsidRPr="00A95421">
        <w:rPr>
          <w:sz w:val="24"/>
        </w:rPr>
        <w:tab/>
      </w:r>
      <w:r w:rsidRPr="00A95421">
        <w:rPr>
          <w:sz w:val="24"/>
        </w:rPr>
        <w:tab/>
      </w:r>
      <w:r w:rsidRPr="00A95421">
        <w:rPr>
          <w:sz w:val="24"/>
        </w:rPr>
        <w:tab/>
      </w:r>
      <w:r w:rsidRPr="00A95421">
        <w:rPr>
          <w:sz w:val="24"/>
        </w:rPr>
        <w:tab/>
      </w:r>
    </w:p>
    <w:bookmarkEnd w:id="335"/>
    <w:bookmarkEnd w:id="336"/>
    <w:p w14:paraId="5B92A7EA" w14:textId="77777777" w:rsidR="00A95421" w:rsidRDefault="00A95421" w:rsidP="00A95421">
      <w:pPr>
        <w:rPr>
          <w:sz w:val="24"/>
        </w:rPr>
      </w:pPr>
    </w:p>
    <w:p w14:paraId="24409373" w14:textId="77777777" w:rsidR="00BC62ED" w:rsidRPr="00A95421" w:rsidRDefault="00BC62ED" w:rsidP="00A95421">
      <w:pPr>
        <w:rPr>
          <w:sz w:val="24"/>
        </w:rPr>
      </w:pPr>
      <w:r w:rsidRPr="00A95421">
        <w:rPr>
          <w:sz w:val="24"/>
        </w:rPr>
        <w:t xml:space="preserve">Name of Firm: </w:t>
      </w:r>
      <w:r w:rsidR="00A95421">
        <w:rPr>
          <w:sz w:val="24"/>
        </w:rPr>
        <w:t>_________________________</w:t>
      </w:r>
      <w:r w:rsidR="007C0B28" w:rsidRPr="00A95421">
        <w:rPr>
          <w:sz w:val="24"/>
        </w:rPr>
        <w:t>________________________________________</w:t>
      </w:r>
      <w:r w:rsidRPr="00A95421">
        <w:rPr>
          <w:sz w:val="24"/>
        </w:rPr>
        <w:tab/>
      </w:r>
    </w:p>
    <w:p w14:paraId="5C657BA4" w14:textId="77777777" w:rsidR="007C0B28" w:rsidRPr="00A95421" w:rsidRDefault="007C0B28" w:rsidP="00A95421">
      <w:pPr>
        <w:rPr>
          <w:sz w:val="24"/>
        </w:rPr>
      </w:pPr>
      <w:r w:rsidRPr="00A95421">
        <w:rPr>
          <w:sz w:val="24"/>
        </w:rPr>
        <w:t>Firm ID#:</w:t>
      </w:r>
      <w:r w:rsidR="00A95421">
        <w:rPr>
          <w:sz w:val="24"/>
        </w:rPr>
        <w:t xml:space="preserve"> ________________</w:t>
      </w:r>
      <w:r w:rsidRPr="00A95421">
        <w:rPr>
          <w:sz w:val="24"/>
        </w:rPr>
        <w:t>__</w:t>
      </w:r>
      <w:r w:rsidR="00A95421">
        <w:rPr>
          <w:sz w:val="24"/>
        </w:rPr>
        <w:t>_______</w:t>
      </w:r>
      <w:r w:rsidRPr="00A95421">
        <w:rPr>
          <w:sz w:val="24"/>
        </w:rPr>
        <w:t>_</w:t>
      </w:r>
      <w:r w:rsidRPr="00A95421">
        <w:rPr>
          <w:sz w:val="24"/>
        </w:rPr>
        <w:tab/>
        <w:t>Phone No.:</w:t>
      </w:r>
      <w:r w:rsidR="00A95421">
        <w:rPr>
          <w:sz w:val="24"/>
        </w:rPr>
        <w:t xml:space="preserve"> ________________________</w:t>
      </w:r>
      <w:r w:rsidRPr="00A95421">
        <w:rPr>
          <w:sz w:val="24"/>
        </w:rPr>
        <w:t>________</w:t>
      </w:r>
    </w:p>
    <w:p w14:paraId="3C452CC1" w14:textId="77777777" w:rsidR="007C0B28" w:rsidRPr="00A95421" w:rsidRDefault="007C0B28" w:rsidP="00A95421">
      <w:pPr>
        <w:rPr>
          <w:sz w:val="24"/>
        </w:rPr>
      </w:pPr>
    </w:p>
    <w:p w14:paraId="44D2AA5A" w14:textId="77777777" w:rsidR="007C0B28" w:rsidRPr="00A95421" w:rsidRDefault="007C0B28" w:rsidP="00A95421">
      <w:pPr>
        <w:rPr>
          <w:sz w:val="24"/>
        </w:rPr>
      </w:pPr>
      <w:r w:rsidRPr="00A95421">
        <w:rPr>
          <w:sz w:val="24"/>
        </w:rPr>
        <w:t>Position: ____________</w:t>
      </w:r>
      <w:r w:rsidR="00A95421">
        <w:rPr>
          <w:sz w:val="24"/>
        </w:rPr>
        <w:t>_______________</w:t>
      </w:r>
      <w:r w:rsidRPr="00A95421">
        <w:rPr>
          <w:sz w:val="24"/>
        </w:rPr>
        <w:t xml:space="preserve">   Reason: </w:t>
      </w:r>
      <w:r w:rsidRPr="00A95421">
        <w:rPr>
          <w:sz w:val="24"/>
        </w:rPr>
        <w:tab/>
        <w:t>_</w:t>
      </w:r>
      <w:r w:rsidR="00A95421">
        <w:rPr>
          <w:sz w:val="24"/>
        </w:rPr>
        <w:t>____________</w:t>
      </w:r>
      <w:r w:rsidRPr="00A95421">
        <w:rPr>
          <w:sz w:val="24"/>
        </w:rPr>
        <w:t>_____________________</w:t>
      </w:r>
      <w:r w:rsidRPr="00A95421">
        <w:rPr>
          <w:sz w:val="24"/>
        </w:rPr>
        <w:tab/>
      </w:r>
      <w:r w:rsidRPr="00A95421">
        <w:rPr>
          <w:sz w:val="24"/>
        </w:rPr>
        <w:tab/>
      </w:r>
      <w:r w:rsidRPr="00A95421">
        <w:rPr>
          <w:sz w:val="24"/>
        </w:rPr>
        <w:tab/>
      </w:r>
      <w:r w:rsidRPr="00A95421">
        <w:rPr>
          <w:sz w:val="24"/>
        </w:rPr>
        <w:tab/>
      </w:r>
    </w:p>
    <w:p w14:paraId="60DE080C" w14:textId="77777777" w:rsidR="00BC62ED" w:rsidRPr="00A95421" w:rsidRDefault="00BC62ED" w:rsidP="00A95421">
      <w:pPr>
        <w:rPr>
          <w:sz w:val="24"/>
        </w:rPr>
      </w:pPr>
    </w:p>
    <w:p w14:paraId="40E7ADE5" w14:textId="77777777" w:rsidR="00BC62ED" w:rsidRPr="00A95421" w:rsidRDefault="00BC62ED" w:rsidP="00A95421">
      <w:pPr>
        <w:rPr>
          <w:sz w:val="24"/>
        </w:rPr>
      </w:pPr>
      <w:r w:rsidRPr="00A95421">
        <w:rPr>
          <w:sz w:val="24"/>
        </w:rPr>
        <w:t>Has this/Have these registration(s) been approved by The Company?</w:t>
      </w:r>
    </w:p>
    <w:p w14:paraId="1306F57F" w14:textId="77777777" w:rsidR="00BC62ED" w:rsidRPr="00A95421" w:rsidRDefault="00BC62ED" w:rsidP="00A95421">
      <w:pPr>
        <w:rPr>
          <w:sz w:val="24"/>
        </w:rPr>
      </w:pPr>
      <w:r w:rsidRPr="00A95421">
        <w:rPr>
          <w:sz w:val="24"/>
        </w:rPr>
        <w:t xml:space="preserve">Yes _____ No _______. </w:t>
      </w:r>
      <w:r w:rsidRPr="00A95421">
        <w:rPr>
          <w:sz w:val="24"/>
        </w:rPr>
        <w:tab/>
        <w:t xml:space="preserve">If so, by whom and when: </w:t>
      </w:r>
    </w:p>
    <w:p w14:paraId="0D04D1AC" w14:textId="77777777" w:rsidR="00BC62ED" w:rsidRPr="00A95421" w:rsidRDefault="00BC62ED" w:rsidP="00A95421">
      <w:pPr>
        <w:rPr>
          <w:sz w:val="24"/>
        </w:rPr>
      </w:pPr>
    </w:p>
    <w:p w14:paraId="0CEC605F" w14:textId="77777777" w:rsidR="00BC62ED" w:rsidRPr="00A95421" w:rsidRDefault="00BC62ED" w:rsidP="00A95421">
      <w:pPr>
        <w:rPr>
          <w:sz w:val="24"/>
        </w:rPr>
      </w:pP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r w:rsidRPr="00A95421">
        <w:rPr>
          <w:sz w:val="24"/>
        </w:rPr>
        <w:tab/>
      </w:r>
    </w:p>
    <w:p w14:paraId="6339C86B" w14:textId="77777777" w:rsidR="00BC62ED" w:rsidRDefault="00BC62ED" w:rsidP="00BC62ED">
      <w:pPr>
        <w:jc w:val="both"/>
        <w:rPr>
          <w:sz w:val="24"/>
        </w:rPr>
      </w:pPr>
    </w:p>
    <w:p w14:paraId="3ACA9BA5" w14:textId="77777777" w:rsidR="00A95421" w:rsidRDefault="00A95421" w:rsidP="00BC62ED">
      <w:pPr>
        <w:jc w:val="both"/>
        <w:rPr>
          <w:sz w:val="24"/>
        </w:rPr>
      </w:pPr>
    </w:p>
    <w:p w14:paraId="09C1DC91" w14:textId="77777777" w:rsidR="00A95421" w:rsidRDefault="00A95421" w:rsidP="00BC62ED">
      <w:pPr>
        <w:jc w:val="both"/>
        <w:rPr>
          <w:sz w:val="24"/>
        </w:rPr>
      </w:pPr>
    </w:p>
    <w:p w14:paraId="6D374F0F" w14:textId="77777777" w:rsidR="00A95421" w:rsidRDefault="00A95421" w:rsidP="00BC62ED">
      <w:pPr>
        <w:jc w:val="both"/>
        <w:rPr>
          <w:sz w:val="24"/>
        </w:rPr>
      </w:pPr>
    </w:p>
    <w:p w14:paraId="7DE0EEFA" w14:textId="77777777" w:rsidR="00BC62ED" w:rsidRDefault="00BC62ED" w:rsidP="00BC62ED">
      <w:pPr>
        <w:jc w:val="both"/>
        <w:rPr>
          <w:sz w:val="24"/>
        </w:rPr>
      </w:pPr>
      <w:r>
        <w:rPr>
          <w:sz w:val="24"/>
        </w:rPr>
        <w:t xml:space="preserve">Attach a copy of your business card(s) in the space below. </w:t>
      </w:r>
    </w:p>
    <w:p w14:paraId="393CE8D4" w14:textId="77777777" w:rsidR="00BC62ED" w:rsidRDefault="00BC62ED" w:rsidP="00BC62ED">
      <w:pPr>
        <w:jc w:val="both"/>
        <w:rPr>
          <w:sz w:val="24"/>
        </w:rPr>
      </w:pPr>
    </w:p>
    <w:p w14:paraId="70BCD82B" w14:textId="77777777" w:rsidR="00BC62ED" w:rsidRDefault="00BC62ED" w:rsidP="00BC62ED">
      <w:pPr>
        <w:jc w:val="both"/>
        <w:rPr>
          <w:sz w:val="24"/>
        </w:rPr>
      </w:pPr>
    </w:p>
    <w:p w14:paraId="17BDCA95" w14:textId="77777777" w:rsidR="00BC62ED" w:rsidRDefault="00BC62ED" w:rsidP="00BC62ED">
      <w:pPr>
        <w:jc w:val="both"/>
        <w:rPr>
          <w:sz w:val="24"/>
        </w:rPr>
      </w:pPr>
    </w:p>
    <w:p w14:paraId="67116B67" w14:textId="77777777" w:rsidR="00BC62ED" w:rsidRDefault="00BC62ED" w:rsidP="00BC62ED">
      <w:pPr>
        <w:jc w:val="both"/>
        <w:rPr>
          <w:sz w:val="24"/>
        </w:rPr>
      </w:pPr>
    </w:p>
    <w:p w14:paraId="22522DE1" w14:textId="77777777" w:rsidR="00BC62ED" w:rsidRDefault="00BC62ED" w:rsidP="00BC62ED">
      <w:pPr>
        <w:jc w:val="center"/>
        <w:rPr>
          <w:i/>
          <w:sz w:val="24"/>
        </w:rPr>
      </w:pPr>
      <w:r>
        <w:rPr>
          <w:i/>
          <w:sz w:val="24"/>
        </w:rPr>
        <w:t>[Attach Business card(s) here]</w:t>
      </w:r>
    </w:p>
    <w:p w14:paraId="45B6D3F3" w14:textId="77777777" w:rsidR="00BC62ED" w:rsidRDefault="00BC62ED" w:rsidP="00BC62ED">
      <w:pPr>
        <w:jc w:val="center"/>
        <w:rPr>
          <w:i/>
          <w:sz w:val="24"/>
        </w:rPr>
      </w:pPr>
    </w:p>
    <w:p w14:paraId="11EDE87F" w14:textId="77777777" w:rsidR="00BC62ED" w:rsidRDefault="00BC62ED" w:rsidP="00BC62ED">
      <w:pPr>
        <w:jc w:val="center"/>
        <w:rPr>
          <w:i/>
          <w:sz w:val="24"/>
        </w:rPr>
      </w:pPr>
      <w:r>
        <w:rPr>
          <w:i/>
          <w:sz w:val="24"/>
        </w:rPr>
        <w:t>Please staple</w:t>
      </w:r>
    </w:p>
    <w:p w14:paraId="6EFD1418" w14:textId="77777777" w:rsidR="00BC62ED" w:rsidRDefault="00BC62ED" w:rsidP="00BC62ED">
      <w:pPr>
        <w:jc w:val="both"/>
        <w:rPr>
          <w:sz w:val="24"/>
        </w:rPr>
      </w:pPr>
    </w:p>
    <w:p w14:paraId="7DF8D340" w14:textId="77777777" w:rsidR="00BC62ED" w:rsidRDefault="00BC62ED" w:rsidP="00BC62ED">
      <w:pPr>
        <w:jc w:val="both"/>
        <w:rPr>
          <w:sz w:val="24"/>
        </w:rPr>
      </w:pPr>
    </w:p>
    <w:p w14:paraId="4DCD4C3D" w14:textId="77777777" w:rsidR="00BC62ED" w:rsidRDefault="00BC62ED" w:rsidP="00BC62ED">
      <w:pPr>
        <w:jc w:val="both"/>
        <w:rPr>
          <w:sz w:val="24"/>
        </w:rPr>
      </w:pPr>
    </w:p>
    <w:p w14:paraId="57F2A217" w14:textId="77777777" w:rsidR="00BC62ED" w:rsidRDefault="00BC62ED" w:rsidP="00BC62ED">
      <w:pPr>
        <w:jc w:val="both"/>
        <w:rPr>
          <w:sz w:val="24"/>
        </w:rPr>
      </w:pPr>
    </w:p>
    <w:p w14:paraId="124135B5" w14:textId="77777777" w:rsidR="00BC62ED" w:rsidRDefault="00BC62ED" w:rsidP="00BC62ED">
      <w:pPr>
        <w:jc w:val="both"/>
        <w:rPr>
          <w:sz w:val="24"/>
        </w:rPr>
      </w:pPr>
    </w:p>
    <w:p w14:paraId="6AB62310" w14:textId="77777777" w:rsidR="00BC62ED" w:rsidRDefault="00BC62ED" w:rsidP="00BC62ED">
      <w:pPr>
        <w:jc w:val="both"/>
        <w:rPr>
          <w:sz w:val="24"/>
        </w:rPr>
      </w:pPr>
      <w:r>
        <w:rPr>
          <w:sz w:val="24"/>
        </w:rPr>
        <w:br w:type="page"/>
      </w:r>
      <w:r>
        <w:rPr>
          <w:sz w:val="24"/>
        </w:rPr>
        <w:lastRenderedPageBreak/>
        <w:t xml:space="preserve">Enclose a copy of the letterhead you use for correspondence with your securities customers. </w:t>
      </w:r>
    </w:p>
    <w:p w14:paraId="686C137F" w14:textId="77777777" w:rsidR="00BC62ED" w:rsidRDefault="00BC62ED" w:rsidP="00BC62ED">
      <w:pPr>
        <w:jc w:val="both"/>
        <w:rPr>
          <w:sz w:val="24"/>
        </w:rPr>
      </w:pPr>
    </w:p>
    <w:p w14:paraId="1534E48D" w14:textId="77777777" w:rsidR="00BC62ED" w:rsidRDefault="00BC62ED" w:rsidP="00BC62ED">
      <w:pPr>
        <w:jc w:val="center"/>
        <w:rPr>
          <w:sz w:val="24"/>
        </w:rPr>
      </w:pPr>
      <w:r>
        <w:rPr>
          <w:sz w:val="24"/>
        </w:rPr>
        <w:t xml:space="preserve">Thank you, and please return this form immediately. </w:t>
      </w:r>
    </w:p>
    <w:p w14:paraId="2930C0E7" w14:textId="77777777" w:rsidR="00BC62ED" w:rsidRDefault="00BC62ED" w:rsidP="00BC62ED">
      <w:pPr>
        <w:jc w:val="both"/>
        <w:rPr>
          <w:sz w:val="24"/>
        </w:rPr>
      </w:pPr>
    </w:p>
    <w:p w14:paraId="4E6522ED" w14:textId="77777777" w:rsidR="00BC62ED" w:rsidRDefault="00BC62ED" w:rsidP="00BC62ED">
      <w:pPr>
        <w:jc w:val="both"/>
        <w:rPr>
          <w:sz w:val="24"/>
        </w:rPr>
      </w:pPr>
    </w:p>
    <w:p w14:paraId="18F9C31B" w14:textId="77777777" w:rsidR="00BC62ED" w:rsidRDefault="00BC62ED" w:rsidP="00BC62ED">
      <w:pPr>
        <w:jc w:val="both"/>
        <w:rPr>
          <w:sz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760"/>
      </w:tblGrid>
      <w:tr w:rsidR="00BC62ED" w14:paraId="4ED2639D" w14:textId="77777777" w:rsidTr="00463783">
        <w:trPr>
          <w:jc w:val="center"/>
        </w:trPr>
        <w:tc>
          <w:tcPr>
            <w:tcW w:w="5760" w:type="dxa"/>
          </w:tcPr>
          <w:p w14:paraId="40BE9097" w14:textId="77777777" w:rsidR="00BC62ED" w:rsidRDefault="00BC62ED" w:rsidP="00463783">
            <w:pPr>
              <w:jc w:val="center"/>
              <w:rPr>
                <w:sz w:val="24"/>
              </w:rPr>
            </w:pPr>
            <w:r>
              <w:rPr>
                <w:sz w:val="24"/>
              </w:rPr>
              <w:t>For Compliance Department Use Only.</w:t>
            </w:r>
          </w:p>
          <w:p w14:paraId="69BDCA05" w14:textId="77777777" w:rsidR="00BC62ED" w:rsidRDefault="00BC62ED" w:rsidP="00463783">
            <w:pPr>
              <w:jc w:val="center"/>
              <w:rPr>
                <w:sz w:val="24"/>
              </w:rPr>
            </w:pPr>
          </w:p>
          <w:p w14:paraId="30FC0180" w14:textId="77777777" w:rsidR="00BC62ED" w:rsidRDefault="00BC62ED" w:rsidP="00463783">
            <w:pPr>
              <w:jc w:val="both"/>
              <w:rPr>
                <w:sz w:val="24"/>
              </w:rPr>
            </w:pPr>
            <w:r>
              <w:rPr>
                <w:sz w:val="24"/>
              </w:rPr>
              <w:t>Received:</w:t>
            </w:r>
          </w:p>
        </w:tc>
      </w:tr>
      <w:tr w:rsidR="00BC62ED" w14:paraId="746CD5B2" w14:textId="77777777" w:rsidTr="00463783">
        <w:trPr>
          <w:jc w:val="center"/>
        </w:trPr>
        <w:tc>
          <w:tcPr>
            <w:tcW w:w="5760" w:type="dxa"/>
          </w:tcPr>
          <w:p w14:paraId="78446F40" w14:textId="77777777" w:rsidR="00BC62ED" w:rsidRDefault="00BC62ED" w:rsidP="00463783">
            <w:pPr>
              <w:jc w:val="both"/>
              <w:rPr>
                <w:sz w:val="24"/>
              </w:rPr>
            </w:pPr>
            <w:r>
              <w:rPr>
                <w:sz w:val="24"/>
              </w:rPr>
              <w:t>Supervisor:</w:t>
            </w:r>
          </w:p>
        </w:tc>
      </w:tr>
      <w:tr w:rsidR="00BC62ED" w14:paraId="06D1720F" w14:textId="77777777" w:rsidTr="00463783">
        <w:trPr>
          <w:jc w:val="center"/>
        </w:trPr>
        <w:tc>
          <w:tcPr>
            <w:tcW w:w="5760" w:type="dxa"/>
          </w:tcPr>
          <w:p w14:paraId="0E4EF9CA" w14:textId="77777777" w:rsidR="00BC62ED" w:rsidRDefault="00BC62ED" w:rsidP="00463783">
            <w:pPr>
              <w:jc w:val="both"/>
              <w:rPr>
                <w:sz w:val="24"/>
              </w:rPr>
            </w:pPr>
            <w:r>
              <w:rPr>
                <w:sz w:val="24"/>
              </w:rPr>
              <w:t>Ok’d By:</w:t>
            </w:r>
          </w:p>
        </w:tc>
      </w:tr>
      <w:tr w:rsidR="00BC62ED" w14:paraId="30EA647D" w14:textId="77777777" w:rsidTr="00463783">
        <w:trPr>
          <w:jc w:val="center"/>
        </w:trPr>
        <w:tc>
          <w:tcPr>
            <w:tcW w:w="5760" w:type="dxa"/>
          </w:tcPr>
          <w:p w14:paraId="2C115B5A" w14:textId="77777777" w:rsidR="00BC62ED" w:rsidRDefault="00BC62ED" w:rsidP="00463783">
            <w:pPr>
              <w:jc w:val="both"/>
              <w:rPr>
                <w:sz w:val="24"/>
              </w:rPr>
            </w:pPr>
            <w:r>
              <w:rPr>
                <w:sz w:val="24"/>
              </w:rPr>
              <w:t>Reviewed By:</w:t>
            </w:r>
          </w:p>
        </w:tc>
      </w:tr>
      <w:tr w:rsidR="00BC62ED" w14:paraId="31319FF9" w14:textId="77777777" w:rsidTr="00463783">
        <w:trPr>
          <w:jc w:val="center"/>
        </w:trPr>
        <w:tc>
          <w:tcPr>
            <w:tcW w:w="5760" w:type="dxa"/>
          </w:tcPr>
          <w:p w14:paraId="2B1DCC41" w14:textId="77777777" w:rsidR="00BC62ED" w:rsidRDefault="00BC62ED" w:rsidP="00463783">
            <w:pPr>
              <w:jc w:val="both"/>
              <w:rPr>
                <w:sz w:val="24"/>
              </w:rPr>
            </w:pPr>
            <w:r>
              <w:rPr>
                <w:sz w:val="24"/>
              </w:rPr>
              <w:t>Date Reviewed:</w:t>
            </w:r>
          </w:p>
        </w:tc>
      </w:tr>
      <w:tr w:rsidR="00BC62ED" w14:paraId="4F5F8B61" w14:textId="77777777" w:rsidTr="00463783">
        <w:trPr>
          <w:jc w:val="center"/>
        </w:trPr>
        <w:tc>
          <w:tcPr>
            <w:tcW w:w="5760" w:type="dxa"/>
          </w:tcPr>
          <w:p w14:paraId="57D2DC70" w14:textId="77777777" w:rsidR="00BC62ED" w:rsidRDefault="00BC62ED" w:rsidP="00463783">
            <w:pPr>
              <w:jc w:val="both"/>
              <w:rPr>
                <w:sz w:val="24"/>
              </w:rPr>
            </w:pPr>
            <w:r>
              <w:rPr>
                <w:sz w:val="24"/>
              </w:rPr>
              <w:t>Comments:</w:t>
            </w:r>
          </w:p>
        </w:tc>
      </w:tr>
      <w:tr w:rsidR="00BC62ED" w14:paraId="1640C077" w14:textId="77777777" w:rsidTr="00463783">
        <w:trPr>
          <w:jc w:val="center"/>
        </w:trPr>
        <w:tc>
          <w:tcPr>
            <w:tcW w:w="5760" w:type="dxa"/>
          </w:tcPr>
          <w:p w14:paraId="1F72E826" w14:textId="77777777" w:rsidR="00BC62ED" w:rsidRDefault="00BC62ED" w:rsidP="00463783">
            <w:pPr>
              <w:jc w:val="both"/>
              <w:rPr>
                <w:sz w:val="24"/>
              </w:rPr>
            </w:pPr>
          </w:p>
        </w:tc>
      </w:tr>
      <w:tr w:rsidR="00BC62ED" w14:paraId="05ACA66B" w14:textId="77777777" w:rsidTr="00463783">
        <w:trPr>
          <w:jc w:val="center"/>
        </w:trPr>
        <w:tc>
          <w:tcPr>
            <w:tcW w:w="5760" w:type="dxa"/>
          </w:tcPr>
          <w:p w14:paraId="4D2453B8" w14:textId="77777777" w:rsidR="00BC62ED" w:rsidRDefault="00BC62ED" w:rsidP="00463783">
            <w:pPr>
              <w:jc w:val="both"/>
              <w:rPr>
                <w:sz w:val="24"/>
              </w:rPr>
            </w:pPr>
          </w:p>
        </w:tc>
      </w:tr>
      <w:tr w:rsidR="00BC62ED" w14:paraId="7EB11CF0" w14:textId="77777777" w:rsidTr="00463783">
        <w:trPr>
          <w:jc w:val="center"/>
        </w:trPr>
        <w:tc>
          <w:tcPr>
            <w:tcW w:w="5760" w:type="dxa"/>
          </w:tcPr>
          <w:p w14:paraId="4B7911EA" w14:textId="77777777" w:rsidR="00BC62ED" w:rsidRDefault="00BC62ED" w:rsidP="00463783">
            <w:pPr>
              <w:jc w:val="both"/>
              <w:rPr>
                <w:sz w:val="24"/>
              </w:rPr>
            </w:pPr>
          </w:p>
        </w:tc>
      </w:tr>
      <w:tr w:rsidR="00BC62ED" w14:paraId="60169BF7" w14:textId="77777777" w:rsidTr="00463783">
        <w:trPr>
          <w:jc w:val="center"/>
        </w:trPr>
        <w:tc>
          <w:tcPr>
            <w:tcW w:w="5760" w:type="dxa"/>
          </w:tcPr>
          <w:p w14:paraId="6BB028B5" w14:textId="77777777" w:rsidR="00BC62ED" w:rsidRDefault="00BC62ED" w:rsidP="00463783">
            <w:pPr>
              <w:jc w:val="both"/>
              <w:rPr>
                <w:sz w:val="24"/>
              </w:rPr>
            </w:pPr>
          </w:p>
        </w:tc>
      </w:tr>
    </w:tbl>
    <w:p w14:paraId="5E6A4871" w14:textId="77777777" w:rsidR="00BC62ED" w:rsidRDefault="00BC62ED" w:rsidP="00BC62ED">
      <w:pPr>
        <w:jc w:val="both"/>
        <w:rPr>
          <w:sz w:val="24"/>
        </w:rPr>
      </w:pPr>
    </w:p>
    <w:p w14:paraId="2E69FE9A" w14:textId="77777777" w:rsidR="00BC62ED" w:rsidRDefault="00BC62ED" w:rsidP="00BC62ED">
      <w:pPr>
        <w:jc w:val="both"/>
        <w:rPr>
          <w:sz w:val="24"/>
        </w:rPr>
      </w:pPr>
    </w:p>
    <w:p w14:paraId="335934D6" w14:textId="77777777" w:rsidR="000C099C" w:rsidRDefault="000C099C" w:rsidP="00936FEE">
      <w:pPr>
        <w:pStyle w:val="Heading2"/>
        <w:sectPr w:rsidR="000C099C" w:rsidSect="007F63E3">
          <w:headerReference w:type="default" r:id="rId175"/>
          <w:footerReference w:type="default" r:id="rId176"/>
          <w:footerReference w:type="first" r:id="rId177"/>
          <w:pgSz w:w="12240" w:h="15840" w:code="1"/>
          <w:pgMar w:top="1152" w:right="1152" w:bottom="1008" w:left="1800" w:header="720" w:footer="720" w:gutter="0"/>
          <w:pgNumType w:start="1"/>
          <w:cols w:space="720"/>
        </w:sectPr>
      </w:pPr>
    </w:p>
    <w:p w14:paraId="004CB5E3" w14:textId="77777777" w:rsidR="000C099C" w:rsidRPr="00637131" w:rsidRDefault="000C099C" w:rsidP="00637131">
      <w:pPr>
        <w:pStyle w:val="Heading1"/>
        <w:jc w:val="center"/>
      </w:pPr>
      <w:bookmarkStart w:id="337" w:name="ExhibitA"/>
      <w:bookmarkStart w:id="338" w:name="_Toc227820461"/>
      <w:bookmarkStart w:id="339" w:name="_Toc227821722"/>
      <w:bookmarkStart w:id="340" w:name="_Toc227821840"/>
      <w:bookmarkStart w:id="341" w:name="_Toc535916184"/>
      <w:r w:rsidRPr="00637131">
        <w:rPr>
          <w:i/>
          <w:sz w:val="28"/>
          <w:szCs w:val="28"/>
        </w:rPr>
        <w:lastRenderedPageBreak/>
        <w:t>Exhibit A</w:t>
      </w:r>
      <w:bookmarkEnd w:id="337"/>
      <w:bookmarkEnd w:id="338"/>
      <w:bookmarkEnd w:id="339"/>
      <w:bookmarkEnd w:id="340"/>
      <w:r w:rsidR="00637131" w:rsidRPr="00637131">
        <w:t xml:space="preserve"> – Supervisory Assignment of </w:t>
      </w:r>
      <w:r w:rsidR="00D80C0A">
        <w:t>Registered Reps</w:t>
      </w:r>
      <w:bookmarkEnd w:id="341"/>
    </w:p>
    <w:p w14:paraId="19EA652A" w14:textId="77777777" w:rsidR="000C099C" w:rsidRDefault="000C099C" w:rsidP="001173B1"/>
    <w:p w14:paraId="5037A95E" w14:textId="77777777" w:rsidR="000C099C" w:rsidRDefault="000C099C" w:rsidP="001173B1">
      <w:pPr>
        <w:rPr>
          <w:u w:val="single"/>
        </w:rPr>
      </w:pPr>
      <w:r>
        <w:t xml:space="preserve">            </w:t>
      </w:r>
      <w:r w:rsidR="0074096A">
        <w:t xml:space="preserve">         </w:t>
      </w:r>
    </w:p>
    <w:tbl>
      <w:tblPr>
        <w:tblW w:w="10251" w:type="dxa"/>
        <w:tblInd w:w="-693"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450"/>
        <w:gridCol w:w="990"/>
        <w:gridCol w:w="3330"/>
        <w:gridCol w:w="1170"/>
        <w:gridCol w:w="1260"/>
        <w:gridCol w:w="3051"/>
      </w:tblGrid>
      <w:tr w:rsidR="000C099C" w14:paraId="1C555A00" w14:textId="77777777" w:rsidTr="00BD21A8">
        <w:trPr>
          <w:cantSplit/>
          <w:trHeight w:val="566"/>
        </w:trPr>
        <w:tc>
          <w:tcPr>
            <w:tcW w:w="10251" w:type="dxa"/>
            <w:gridSpan w:val="6"/>
            <w:shd w:val="pct30" w:color="FFFF00" w:fill="FFFFFF"/>
          </w:tcPr>
          <w:p w14:paraId="02694A55" w14:textId="77777777" w:rsidR="000C099C" w:rsidRDefault="000C099C" w:rsidP="005018B8">
            <w:pPr>
              <w:pStyle w:val="BodyText"/>
              <w:ind w:right="-316"/>
              <w:jc w:val="left"/>
              <w:rPr>
                <w:b/>
              </w:rPr>
            </w:pPr>
            <w:bookmarkStart w:id="342" w:name="_Hlk515531065"/>
            <w:r>
              <w:rPr>
                <w:b/>
              </w:rPr>
              <w:t xml:space="preserve">OFFICE: </w:t>
            </w:r>
            <w:r w:rsidRPr="000A0A1B">
              <w:rPr>
                <w:b/>
              </w:rPr>
              <w:t>10</w:t>
            </w:r>
            <w:r w:rsidR="005018B8" w:rsidRPr="000A0A1B">
              <w:rPr>
                <w:b/>
              </w:rPr>
              <w:t>655</w:t>
            </w:r>
            <w:r w:rsidRPr="000A0A1B">
              <w:rPr>
                <w:b/>
              </w:rPr>
              <w:t xml:space="preserve"> </w:t>
            </w:r>
            <w:r w:rsidR="005018B8" w:rsidRPr="000A0A1B">
              <w:rPr>
                <w:b/>
              </w:rPr>
              <w:t xml:space="preserve">Six Pines Dr Ste </w:t>
            </w:r>
            <w:r w:rsidRPr="000A0A1B">
              <w:rPr>
                <w:b/>
              </w:rPr>
              <w:t>1</w:t>
            </w:r>
            <w:r w:rsidR="005018B8" w:rsidRPr="000A0A1B">
              <w:rPr>
                <w:b/>
              </w:rPr>
              <w:t>0</w:t>
            </w:r>
            <w:r w:rsidRPr="000A0A1B">
              <w:rPr>
                <w:b/>
              </w:rPr>
              <w:t>0,</w:t>
            </w:r>
            <w:r>
              <w:rPr>
                <w:b/>
              </w:rPr>
              <w:t xml:space="preserve"> The Woodlands TX 77380</w:t>
            </w:r>
            <w:r w:rsidR="0036539A">
              <w:rPr>
                <w:b/>
              </w:rPr>
              <w:t xml:space="preserve"> </w:t>
            </w:r>
          </w:p>
        </w:tc>
      </w:tr>
      <w:tr w:rsidR="000C099C" w14:paraId="7CBE062C" w14:textId="77777777" w:rsidTr="00BD21A8">
        <w:trPr>
          <w:trHeight w:val="566"/>
        </w:trPr>
        <w:tc>
          <w:tcPr>
            <w:tcW w:w="450" w:type="dxa"/>
            <w:tcBorders>
              <w:right w:val="single" w:sz="4" w:space="0" w:color="auto"/>
            </w:tcBorders>
            <w:shd w:val="pct30" w:color="FFFF00" w:fill="FFFFFF"/>
          </w:tcPr>
          <w:p w14:paraId="116A718B" w14:textId="77777777" w:rsidR="000C099C" w:rsidRDefault="000C099C">
            <w:pPr>
              <w:pStyle w:val="BodyText"/>
              <w:jc w:val="center"/>
              <w:rPr>
                <w:b/>
              </w:rPr>
            </w:pPr>
          </w:p>
        </w:tc>
        <w:tc>
          <w:tcPr>
            <w:tcW w:w="990" w:type="dxa"/>
            <w:tcBorders>
              <w:left w:val="single" w:sz="4" w:space="0" w:color="auto"/>
            </w:tcBorders>
            <w:shd w:val="pct30" w:color="FFFF00" w:fill="FFFFFF"/>
          </w:tcPr>
          <w:p w14:paraId="3B92AD2D" w14:textId="77777777" w:rsidR="000C099C" w:rsidRDefault="000C099C">
            <w:pPr>
              <w:pStyle w:val="BodyText"/>
              <w:jc w:val="center"/>
              <w:rPr>
                <w:b/>
              </w:rPr>
            </w:pPr>
            <w:r>
              <w:rPr>
                <w:b/>
              </w:rPr>
              <w:t>CRD #</w:t>
            </w:r>
          </w:p>
        </w:tc>
        <w:tc>
          <w:tcPr>
            <w:tcW w:w="3330" w:type="dxa"/>
            <w:shd w:val="pct30" w:color="FFFF00" w:fill="FFFFFF"/>
          </w:tcPr>
          <w:p w14:paraId="050A5C5C" w14:textId="77777777" w:rsidR="000C099C" w:rsidRDefault="000C099C">
            <w:pPr>
              <w:pStyle w:val="BodyText"/>
              <w:jc w:val="center"/>
              <w:rPr>
                <w:b/>
              </w:rPr>
            </w:pPr>
            <w:r>
              <w:rPr>
                <w:b/>
              </w:rPr>
              <w:t>NAME</w:t>
            </w:r>
          </w:p>
        </w:tc>
        <w:tc>
          <w:tcPr>
            <w:tcW w:w="1170" w:type="dxa"/>
            <w:shd w:val="pct30" w:color="FFFF00" w:fill="FFFFFF"/>
          </w:tcPr>
          <w:p w14:paraId="7985F40F" w14:textId="77777777" w:rsidR="000C099C" w:rsidRDefault="000C099C">
            <w:pPr>
              <w:pStyle w:val="BodyText"/>
              <w:jc w:val="center"/>
              <w:rPr>
                <w:b/>
              </w:rPr>
            </w:pPr>
            <w:r>
              <w:rPr>
                <w:b/>
              </w:rPr>
              <w:t>WSC EFF DATE</w:t>
            </w:r>
          </w:p>
        </w:tc>
        <w:tc>
          <w:tcPr>
            <w:tcW w:w="1260" w:type="dxa"/>
            <w:tcBorders>
              <w:right w:val="single" w:sz="4" w:space="0" w:color="auto"/>
            </w:tcBorders>
            <w:shd w:val="pct30" w:color="FFFF00" w:fill="FFFFFF"/>
          </w:tcPr>
          <w:p w14:paraId="22F0DDF6" w14:textId="77777777" w:rsidR="000C099C" w:rsidRDefault="000C099C">
            <w:pPr>
              <w:pStyle w:val="BodyText"/>
              <w:jc w:val="center"/>
              <w:rPr>
                <w:b/>
              </w:rPr>
            </w:pPr>
            <w:r>
              <w:rPr>
                <w:b/>
              </w:rPr>
              <w:t>RR#s</w:t>
            </w:r>
          </w:p>
        </w:tc>
        <w:tc>
          <w:tcPr>
            <w:tcW w:w="3051" w:type="dxa"/>
            <w:tcBorders>
              <w:left w:val="single" w:sz="4" w:space="0" w:color="auto"/>
            </w:tcBorders>
            <w:shd w:val="pct30" w:color="FFFF00" w:fill="FFFFFF"/>
          </w:tcPr>
          <w:p w14:paraId="0D7FD93F" w14:textId="01CEA5ED" w:rsidR="000C099C" w:rsidRDefault="000C099C">
            <w:pPr>
              <w:pStyle w:val="BodyText"/>
              <w:jc w:val="center"/>
              <w:rPr>
                <w:b/>
              </w:rPr>
            </w:pPr>
            <w:r>
              <w:rPr>
                <w:b/>
              </w:rPr>
              <w:t>OBA</w:t>
            </w:r>
            <w:r w:rsidR="004704FC">
              <w:rPr>
                <w:b/>
              </w:rPr>
              <w:t xml:space="preserve">s </w:t>
            </w:r>
            <w:r w:rsidR="004704FC" w:rsidRPr="004704FC">
              <w:rPr>
                <w:b/>
                <w:color w:val="FF0000"/>
              </w:rPr>
              <w:t>Approved</w:t>
            </w:r>
          </w:p>
        </w:tc>
      </w:tr>
      <w:tr w:rsidR="000C099C" w14:paraId="61624F7E" w14:textId="77777777" w:rsidTr="00BD21A8">
        <w:trPr>
          <w:trHeight w:val="566"/>
        </w:trPr>
        <w:tc>
          <w:tcPr>
            <w:tcW w:w="450" w:type="dxa"/>
            <w:tcBorders>
              <w:right w:val="single" w:sz="4" w:space="0" w:color="auto"/>
            </w:tcBorders>
            <w:shd w:val="pct30" w:color="FFFF00" w:fill="FFFFFF"/>
          </w:tcPr>
          <w:p w14:paraId="20FFC058" w14:textId="77777777" w:rsidR="000C099C" w:rsidRDefault="000C099C">
            <w:pPr>
              <w:pStyle w:val="BodyText"/>
              <w:jc w:val="center"/>
              <w:rPr>
                <w:b/>
                <w:bCs/>
                <w:sz w:val="20"/>
              </w:rPr>
            </w:pPr>
            <w:r>
              <w:rPr>
                <w:b/>
                <w:bCs/>
                <w:sz w:val="20"/>
              </w:rPr>
              <w:t>1</w:t>
            </w:r>
          </w:p>
        </w:tc>
        <w:tc>
          <w:tcPr>
            <w:tcW w:w="990" w:type="dxa"/>
            <w:tcBorders>
              <w:left w:val="single" w:sz="4" w:space="0" w:color="auto"/>
            </w:tcBorders>
            <w:shd w:val="pct30" w:color="FFFF00" w:fill="FFFFFF"/>
          </w:tcPr>
          <w:p w14:paraId="0E82BB46" w14:textId="77777777" w:rsidR="000C099C" w:rsidRDefault="000C099C">
            <w:pPr>
              <w:pStyle w:val="BodyText"/>
              <w:jc w:val="center"/>
              <w:rPr>
                <w:b/>
                <w:bCs/>
                <w:sz w:val="20"/>
              </w:rPr>
            </w:pPr>
            <w:r>
              <w:rPr>
                <w:b/>
                <w:bCs/>
                <w:sz w:val="20"/>
              </w:rPr>
              <w:t>1227631</w:t>
            </w:r>
          </w:p>
        </w:tc>
        <w:tc>
          <w:tcPr>
            <w:tcW w:w="3330" w:type="dxa"/>
            <w:shd w:val="pct30" w:color="FFFF00" w:fill="FFFFFF"/>
          </w:tcPr>
          <w:p w14:paraId="485734F6" w14:textId="77777777" w:rsidR="000C099C" w:rsidRDefault="000C099C">
            <w:pPr>
              <w:pStyle w:val="BodyText"/>
              <w:spacing w:before="0" w:after="0"/>
              <w:jc w:val="center"/>
              <w:rPr>
                <w:b/>
                <w:bCs/>
                <w:color w:val="0000FF"/>
                <w:sz w:val="20"/>
              </w:rPr>
            </w:pPr>
            <w:r>
              <w:rPr>
                <w:b/>
                <w:bCs/>
                <w:sz w:val="20"/>
              </w:rPr>
              <w:t xml:space="preserve">MONROE, MORRIS </w:t>
            </w:r>
            <w:r>
              <w:rPr>
                <w:b/>
                <w:bCs/>
                <w:color w:val="0000FF"/>
                <w:sz w:val="20"/>
              </w:rPr>
              <w:t>Responsible Supervisor</w:t>
            </w:r>
          </w:p>
          <w:p w14:paraId="5497949D" w14:textId="77777777" w:rsidR="000C099C" w:rsidRDefault="00D6319C">
            <w:pPr>
              <w:pStyle w:val="BodyText"/>
              <w:spacing w:before="0" w:after="0"/>
              <w:jc w:val="center"/>
              <w:rPr>
                <w:bCs/>
                <w:sz w:val="20"/>
              </w:rPr>
            </w:pPr>
            <w:hyperlink r:id="rId178" w:history="1">
              <w:r w:rsidR="000C099C">
                <w:rPr>
                  <w:rStyle w:val="Hyperlink"/>
                  <w:bCs/>
                  <w:sz w:val="18"/>
                  <w:szCs w:val="18"/>
                </w:rPr>
                <w:t>mmonroe@woodlandssecurities.com</w:t>
              </w:r>
            </w:hyperlink>
          </w:p>
        </w:tc>
        <w:tc>
          <w:tcPr>
            <w:tcW w:w="1170" w:type="dxa"/>
            <w:shd w:val="pct30" w:color="FFFF00" w:fill="FFFFFF"/>
          </w:tcPr>
          <w:p w14:paraId="562D1D4E" w14:textId="77777777" w:rsidR="000C099C" w:rsidRDefault="000C099C">
            <w:pPr>
              <w:pStyle w:val="BodyText"/>
              <w:jc w:val="center"/>
              <w:rPr>
                <w:b/>
                <w:bCs/>
                <w:sz w:val="20"/>
              </w:rPr>
            </w:pPr>
            <w:r>
              <w:rPr>
                <w:b/>
                <w:bCs/>
                <w:sz w:val="20"/>
              </w:rPr>
              <w:t>07/22/88</w:t>
            </w:r>
          </w:p>
        </w:tc>
        <w:tc>
          <w:tcPr>
            <w:tcW w:w="1260" w:type="dxa"/>
            <w:tcBorders>
              <w:right w:val="single" w:sz="4" w:space="0" w:color="auto"/>
            </w:tcBorders>
            <w:shd w:val="pct30" w:color="FFFF00" w:fill="FFFFFF"/>
          </w:tcPr>
          <w:p w14:paraId="1BCA241C" w14:textId="08C0A5CC" w:rsidR="000C099C" w:rsidRDefault="000C099C">
            <w:pPr>
              <w:pStyle w:val="BodyText"/>
              <w:jc w:val="center"/>
              <w:rPr>
                <w:b/>
                <w:bCs/>
                <w:sz w:val="20"/>
              </w:rPr>
            </w:pPr>
            <w:r>
              <w:rPr>
                <w:b/>
                <w:bCs/>
                <w:sz w:val="20"/>
              </w:rPr>
              <w:t>7968, 3901</w:t>
            </w:r>
            <w:r w:rsidR="00877350">
              <w:rPr>
                <w:b/>
                <w:bCs/>
                <w:sz w:val="20"/>
              </w:rPr>
              <w:t xml:space="preserve">, </w:t>
            </w:r>
            <w:r w:rsidR="00877350" w:rsidRPr="00877350">
              <w:rPr>
                <w:b/>
                <w:bCs/>
                <w:color w:val="FF0000"/>
                <w:sz w:val="20"/>
              </w:rPr>
              <w:t>QO03</w:t>
            </w:r>
          </w:p>
        </w:tc>
        <w:tc>
          <w:tcPr>
            <w:tcW w:w="3051" w:type="dxa"/>
            <w:tcBorders>
              <w:left w:val="single" w:sz="4" w:space="0" w:color="auto"/>
            </w:tcBorders>
            <w:shd w:val="pct30" w:color="FFFF00" w:fill="FFFFFF"/>
          </w:tcPr>
          <w:p w14:paraId="34D819CB" w14:textId="47097C97" w:rsidR="000C099C" w:rsidRDefault="000C099C" w:rsidP="0091493F">
            <w:pPr>
              <w:pStyle w:val="BodyText"/>
              <w:jc w:val="left"/>
              <w:rPr>
                <w:bCs/>
                <w:sz w:val="20"/>
              </w:rPr>
            </w:pPr>
            <w:r w:rsidRPr="00E9741B">
              <w:rPr>
                <w:bCs/>
                <w:color w:val="FF0000"/>
                <w:sz w:val="20"/>
              </w:rPr>
              <w:t>RIA</w:t>
            </w:r>
            <w:r>
              <w:rPr>
                <w:bCs/>
                <w:sz w:val="20"/>
              </w:rPr>
              <w:t>, WFSI, WSC</w:t>
            </w:r>
            <w:r w:rsidR="000A0A1B">
              <w:rPr>
                <w:bCs/>
                <w:sz w:val="20"/>
              </w:rPr>
              <w:t xml:space="preserve"> Holdings </w:t>
            </w:r>
            <w:r>
              <w:rPr>
                <w:bCs/>
                <w:sz w:val="20"/>
              </w:rPr>
              <w:t xml:space="preserve">Willis Industrial </w:t>
            </w:r>
            <w:proofErr w:type="spellStart"/>
            <w:r>
              <w:rPr>
                <w:bCs/>
                <w:sz w:val="20"/>
              </w:rPr>
              <w:t>Prtn</w:t>
            </w:r>
            <w:proofErr w:type="spellEnd"/>
            <w:r>
              <w:rPr>
                <w:bCs/>
                <w:sz w:val="20"/>
              </w:rPr>
              <w:t>-Co Member</w:t>
            </w:r>
            <w:r w:rsidR="00E9566A">
              <w:rPr>
                <w:bCs/>
                <w:sz w:val="20"/>
              </w:rPr>
              <w:t xml:space="preserve">, </w:t>
            </w:r>
            <w:proofErr w:type="spellStart"/>
            <w:r w:rsidR="002C0102" w:rsidRPr="003B7BA3">
              <w:rPr>
                <w:bCs/>
                <w:sz w:val="20"/>
              </w:rPr>
              <w:t>Timberloch</w:t>
            </w:r>
            <w:proofErr w:type="spellEnd"/>
            <w:r w:rsidR="002C0102" w:rsidRPr="003B7BA3">
              <w:rPr>
                <w:bCs/>
                <w:sz w:val="20"/>
              </w:rPr>
              <w:t xml:space="preserve"> Capital LLC</w:t>
            </w:r>
            <w:r w:rsidR="00C478D4">
              <w:rPr>
                <w:bCs/>
                <w:sz w:val="20"/>
              </w:rPr>
              <w:t>,</w:t>
            </w:r>
            <w:r w:rsidR="00ED3C62">
              <w:rPr>
                <w:bCs/>
                <w:sz w:val="20"/>
              </w:rPr>
              <w:t xml:space="preserve"> </w:t>
            </w:r>
            <w:r w:rsidR="00A001D6" w:rsidRPr="00C47341">
              <w:rPr>
                <w:bCs/>
                <w:sz w:val="20"/>
              </w:rPr>
              <w:t xml:space="preserve">Woodlands Income Partners, </w:t>
            </w:r>
            <w:r w:rsidR="00827E90" w:rsidRPr="00C47341">
              <w:rPr>
                <w:bCs/>
                <w:sz w:val="20"/>
              </w:rPr>
              <w:t>Co</w:t>
            </w:r>
            <w:r w:rsidR="00FC018A">
              <w:rPr>
                <w:bCs/>
                <w:sz w:val="20"/>
              </w:rPr>
              <w:t>,</w:t>
            </w:r>
            <w:r w:rsidR="00BC3734" w:rsidRPr="00C47341">
              <w:rPr>
                <w:bCs/>
                <w:sz w:val="20"/>
              </w:rPr>
              <w:t xml:space="preserve"> IV-MLM Holdings, MLM Consulting, IV-M Aviation LLC</w:t>
            </w:r>
            <w:r w:rsidR="00C478D4" w:rsidRPr="00C47341">
              <w:rPr>
                <w:bCs/>
                <w:sz w:val="20"/>
              </w:rPr>
              <w:t>, MLM Family Investments, LLC</w:t>
            </w:r>
            <w:r w:rsidR="00827E90" w:rsidRPr="00C47341">
              <w:rPr>
                <w:bCs/>
                <w:sz w:val="20"/>
              </w:rPr>
              <w:t xml:space="preserve"> </w:t>
            </w:r>
          </w:p>
        </w:tc>
      </w:tr>
      <w:tr w:rsidR="000C099C" w14:paraId="49F5AA13" w14:textId="77777777" w:rsidTr="00BD21A8">
        <w:tc>
          <w:tcPr>
            <w:tcW w:w="450" w:type="dxa"/>
            <w:tcBorders>
              <w:right w:val="single" w:sz="4" w:space="0" w:color="auto"/>
            </w:tcBorders>
          </w:tcPr>
          <w:p w14:paraId="1390914F" w14:textId="77777777" w:rsidR="000C099C" w:rsidRDefault="000C099C">
            <w:pPr>
              <w:pStyle w:val="BodyText"/>
              <w:jc w:val="center"/>
              <w:rPr>
                <w:sz w:val="20"/>
              </w:rPr>
            </w:pPr>
            <w:r>
              <w:rPr>
                <w:sz w:val="20"/>
              </w:rPr>
              <w:t>2</w:t>
            </w:r>
          </w:p>
        </w:tc>
        <w:tc>
          <w:tcPr>
            <w:tcW w:w="990" w:type="dxa"/>
            <w:tcBorders>
              <w:left w:val="single" w:sz="4" w:space="0" w:color="auto"/>
            </w:tcBorders>
          </w:tcPr>
          <w:p w14:paraId="2C2332D5" w14:textId="77777777" w:rsidR="000C099C" w:rsidRDefault="000C099C">
            <w:pPr>
              <w:pStyle w:val="BodyText"/>
              <w:jc w:val="center"/>
              <w:rPr>
                <w:sz w:val="20"/>
              </w:rPr>
            </w:pPr>
            <w:r>
              <w:rPr>
                <w:sz w:val="20"/>
              </w:rPr>
              <w:t>237972</w:t>
            </w:r>
          </w:p>
        </w:tc>
        <w:tc>
          <w:tcPr>
            <w:tcW w:w="3330" w:type="dxa"/>
          </w:tcPr>
          <w:p w14:paraId="5D61D285" w14:textId="77777777" w:rsidR="000C099C" w:rsidRDefault="000C099C">
            <w:pPr>
              <w:pStyle w:val="BodyText"/>
              <w:spacing w:before="0" w:after="0"/>
              <w:jc w:val="center"/>
              <w:rPr>
                <w:b/>
                <w:sz w:val="20"/>
              </w:rPr>
            </w:pPr>
            <w:r>
              <w:rPr>
                <w:b/>
                <w:sz w:val="20"/>
              </w:rPr>
              <w:t>HARRIS, JIM</w:t>
            </w:r>
          </w:p>
          <w:p w14:paraId="0CD61A8D" w14:textId="77777777" w:rsidR="000A6042" w:rsidRDefault="000A6042">
            <w:pPr>
              <w:pStyle w:val="BodyText"/>
              <w:spacing w:before="0" w:after="0"/>
              <w:jc w:val="center"/>
              <w:rPr>
                <w:sz w:val="20"/>
              </w:rPr>
            </w:pPr>
            <w:r>
              <w:rPr>
                <w:b/>
                <w:sz w:val="20"/>
              </w:rPr>
              <w:t xml:space="preserve">OFFICE:  </w:t>
            </w:r>
            <w:r>
              <w:rPr>
                <w:sz w:val="20"/>
              </w:rPr>
              <w:t>14425 Torrey Chase #300</w:t>
            </w:r>
          </w:p>
          <w:p w14:paraId="0CC54BB9" w14:textId="77777777" w:rsidR="000A6042" w:rsidRPr="000A6042" w:rsidRDefault="000A6042">
            <w:pPr>
              <w:pStyle w:val="BodyText"/>
              <w:spacing w:before="0" w:after="0"/>
              <w:jc w:val="center"/>
              <w:rPr>
                <w:sz w:val="20"/>
              </w:rPr>
            </w:pPr>
            <w:r>
              <w:rPr>
                <w:sz w:val="20"/>
              </w:rPr>
              <w:t>Houston TX 77014</w:t>
            </w:r>
          </w:p>
          <w:p w14:paraId="07F6AA0A" w14:textId="77777777" w:rsidR="000C099C" w:rsidRDefault="00D6319C">
            <w:pPr>
              <w:pStyle w:val="BodyText"/>
              <w:spacing w:before="0" w:after="0"/>
              <w:jc w:val="center"/>
              <w:rPr>
                <w:color w:val="0000FF"/>
                <w:sz w:val="20"/>
                <w:u w:val="single"/>
              </w:rPr>
            </w:pPr>
            <w:hyperlink r:id="rId179" w:history="1">
              <w:r w:rsidR="000C099C">
                <w:rPr>
                  <w:rStyle w:val="Hyperlink"/>
                  <w:sz w:val="20"/>
                </w:rPr>
                <w:t>jim@jimcharrisnco.com</w:t>
              </w:r>
            </w:hyperlink>
          </w:p>
          <w:p w14:paraId="1CE5ED18" w14:textId="77777777" w:rsidR="000C099C" w:rsidRDefault="000C099C">
            <w:pPr>
              <w:pStyle w:val="BodyText"/>
              <w:spacing w:before="0" w:after="0"/>
              <w:jc w:val="center"/>
              <w:rPr>
                <w:color w:val="0000FF"/>
                <w:sz w:val="20"/>
                <w:u w:val="single"/>
              </w:rPr>
            </w:pPr>
          </w:p>
        </w:tc>
        <w:tc>
          <w:tcPr>
            <w:tcW w:w="1170" w:type="dxa"/>
          </w:tcPr>
          <w:p w14:paraId="3BC572AF" w14:textId="77777777" w:rsidR="000C099C" w:rsidRDefault="000C099C">
            <w:pPr>
              <w:pStyle w:val="BodyText"/>
              <w:jc w:val="center"/>
              <w:rPr>
                <w:sz w:val="20"/>
              </w:rPr>
            </w:pPr>
            <w:r>
              <w:rPr>
                <w:sz w:val="20"/>
              </w:rPr>
              <w:t>08/10/89</w:t>
            </w:r>
          </w:p>
        </w:tc>
        <w:tc>
          <w:tcPr>
            <w:tcW w:w="1260" w:type="dxa"/>
            <w:tcBorders>
              <w:right w:val="single" w:sz="4" w:space="0" w:color="auto"/>
            </w:tcBorders>
          </w:tcPr>
          <w:p w14:paraId="20CD698F" w14:textId="6002E241" w:rsidR="000C099C" w:rsidRDefault="000C099C">
            <w:pPr>
              <w:pStyle w:val="BodyText"/>
              <w:jc w:val="center"/>
              <w:rPr>
                <w:sz w:val="20"/>
              </w:rPr>
            </w:pPr>
            <w:r>
              <w:rPr>
                <w:sz w:val="20"/>
              </w:rPr>
              <w:t>9093</w:t>
            </w:r>
            <w:r>
              <w:t xml:space="preserve">, </w:t>
            </w:r>
            <w:r>
              <w:rPr>
                <w:sz w:val="20"/>
              </w:rPr>
              <w:t>3898</w:t>
            </w:r>
            <w:r w:rsidR="00877350">
              <w:rPr>
                <w:sz w:val="20"/>
              </w:rPr>
              <w:t xml:space="preserve">, </w:t>
            </w:r>
            <w:r w:rsidR="00877350" w:rsidRPr="00877350">
              <w:rPr>
                <w:color w:val="FF0000"/>
                <w:sz w:val="20"/>
              </w:rPr>
              <w:t>QO13</w:t>
            </w:r>
          </w:p>
        </w:tc>
        <w:tc>
          <w:tcPr>
            <w:tcW w:w="3051" w:type="dxa"/>
            <w:tcBorders>
              <w:left w:val="single" w:sz="4" w:space="0" w:color="auto"/>
            </w:tcBorders>
          </w:tcPr>
          <w:p w14:paraId="03575F74" w14:textId="77777777" w:rsidR="000C099C" w:rsidRDefault="000C099C">
            <w:pPr>
              <w:pStyle w:val="BodyText"/>
              <w:jc w:val="center"/>
              <w:rPr>
                <w:sz w:val="20"/>
              </w:rPr>
            </w:pPr>
            <w:r>
              <w:rPr>
                <w:sz w:val="20"/>
              </w:rPr>
              <w:t>INS</w:t>
            </w:r>
            <w:r w:rsidR="000A6042">
              <w:rPr>
                <w:sz w:val="20"/>
              </w:rPr>
              <w:t xml:space="preserve"> (Jim C Harris N Co)</w:t>
            </w:r>
            <w:r w:rsidR="00250E9A">
              <w:rPr>
                <w:sz w:val="20"/>
              </w:rPr>
              <w:t xml:space="preserve">, </w:t>
            </w:r>
            <w:r w:rsidR="00250E9A" w:rsidRPr="00EA0A5B">
              <w:rPr>
                <w:sz w:val="20"/>
              </w:rPr>
              <w:t xml:space="preserve">Amegy Bank Advisory Board, </w:t>
            </w:r>
            <w:r w:rsidR="00250E9A" w:rsidRPr="00856E8D">
              <w:rPr>
                <w:strike/>
                <w:color w:val="FF0000"/>
                <w:sz w:val="20"/>
              </w:rPr>
              <w:t>NW Am Heart Assoc Advisory Board Member</w:t>
            </w:r>
          </w:p>
        </w:tc>
      </w:tr>
      <w:tr w:rsidR="000C099C" w14:paraId="6A2844E7" w14:textId="77777777" w:rsidTr="00BD21A8">
        <w:tc>
          <w:tcPr>
            <w:tcW w:w="450" w:type="dxa"/>
            <w:tcBorders>
              <w:right w:val="single" w:sz="4" w:space="0" w:color="auto"/>
            </w:tcBorders>
          </w:tcPr>
          <w:p w14:paraId="708A78EF" w14:textId="77777777" w:rsidR="000C099C" w:rsidRDefault="000C099C">
            <w:pPr>
              <w:pStyle w:val="BodyText"/>
              <w:jc w:val="center"/>
              <w:rPr>
                <w:sz w:val="20"/>
              </w:rPr>
            </w:pPr>
            <w:r>
              <w:rPr>
                <w:sz w:val="20"/>
              </w:rPr>
              <w:t>3</w:t>
            </w:r>
          </w:p>
        </w:tc>
        <w:tc>
          <w:tcPr>
            <w:tcW w:w="990" w:type="dxa"/>
            <w:tcBorders>
              <w:left w:val="single" w:sz="4" w:space="0" w:color="auto"/>
            </w:tcBorders>
          </w:tcPr>
          <w:p w14:paraId="0B4E6775" w14:textId="77777777" w:rsidR="000C099C" w:rsidRDefault="000C099C">
            <w:pPr>
              <w:pStyle w:val="BodyText"/>
              <w:jc w:val="center"/>
              <w:rPr>
                <w:sz w:val="20"/>
              </w:rPr>
            </w:pPr>
            <w:r>
              <w:rPr>
                <w:sz w:val="20"/>
              </w:rPr>
              <w:t>1455026</w:t>
            </w:r>
          </w:p>
        </w:tc>
        <w:tc>
          <w:tcPr>
            <w:tcW w:w="3330" w:type="dxa"/>
          </w:tcPr>
          <w:p w14:paraId="59E3A614" w14:textId="77777777" w:rsidR="000C099C" w:rsidRDefault="000C099C">
            <w:pPr>
              <w:pStyle w:val="BodyText"/>
              <w:spacing w:before="0" w:after="0"/>
              <w:jc w:val="center"/>
              <w:rPr>
                <w:color w:val="0000FF"/>
                <w:sz w:val="20"/>
              </w:rPr>
            </w:pPr>
            <w:r>
              <w:rPr>
                <w:b/>
                <w:sz w:val="20"/>
              </w:rPr>
              <w:t>HENDRICKS, LAURA</w:t>
            </w:r>
            <w:r>
              <w:rPr>
                <w:sz w:val="20"/>
              </w:rPr>
              <w:t>-</w:t>
            </w:r>
            <w:r>
              <w:rPr>
                <w:color w:val="0000FF"/>
                <w:sz w:val="20"/>
              </w:rPr>
              <w:t>ADMIN</w:t>
            </w:r>
          </w:p>
          <w:p w14:paraId="0D673E69" w14:textId="77777777" w:rsidR="000C099C" w:rsidRDefault="00D6319C">
            <w:pPr>
              <w:pStyle w:val="BodyText"/>
              <w:spacing w:before="0" w:after="0"/>
              <w:jc w:val="center"/>
              <w:rPr>
                <w:color w:val="0000FF"/>
                <w:sz w:val="20"/>
              </w:rPr>
            </w:pPr>
            <w:hyperlink r:id="rId180" w:history="1">
              <w:r w:rsidR="000C099C">
                <w:rPr>
                  <w:rStyle w:val="Hyperlink"/>
                  <w:sz w:val="20"/>
                </w:rPr>
                <w:t>lhendricks@woodlandssecurities.com</w:t>
              </w:r>
            </w:hyperlink>
          </w:p>
          <w:p w14:paraId="4CD20042" w14:textId="77777777" w:rsidR="000C099C" w:rsidRDefault="000C099C">
            <w:pPr>
              <w:pStyle w:val="BodyText"/>
              <w:spacing w:before="0" w:after="0"/>
              <w:jc w:val="center"/>
              <w:rPr>
                <w:color w:val="0000FF"/>
                <w:sz w:val="20"/>
              </w:rPr>
            </w:pPr>
          </w:p>
        </w:tc>
        <w:tc>
          <w:tcPr>
            <w:tcW w:w="1170" w:type="dxa"/>
          </w:tcPr>
          <w:p w14:paraId="2F60D412" w14:textId="77777777" w:rsidR="000C099C" w:rsidRDefault="000C099C">
            <w:pPr>
              <w:pStyle w:val="BodyText"/>
              <w:jc w:val="center"/>
              <w:rPr>
                <w:sz w:val="20"/>
              </w:rPr>
            </w:pPr>
            <w:r>
              <w:rPr>
                <w:sz w:val="20"/>
              </w:rPr>
              <w:t>12/19/90</w:t>
            </w:r>
          </w:p>
        </w:tc>
        <w:tc>
          <w:tcPr>
            <w:tcW w:w="1260" w:type="dxa"/>
            <w:tcBorders>
              <w:right w:val="single" w:sz="4" w:space="0" w:color="auto"/>
            </w:tcBorders>
          </w:tcPr>
          <w:p w14:paraId="30B48630" w14:textId="7EFD93E7" w:rsidR="000C099C" w:rsidRDefault="000C099C">
            <w:pPr>
              <w:pStyle w:val="BodyText"/>
              <w:jc w:val="center"/>
              <w:rPr>
                <w:sz w:val="20"/>
              </w:rPr>
            </w:pPr>
            <w:r>
              <w:rPr>
                <w:sz w:val="20"/>
              </w:rPr>
              <w:t>7899, 3902</w:t>
            </w:r>
            <w:r w:rsidR="00877350">
              <w:rPr>
                <w:sz w:val="20"/>
              </w:rPr>
              <w:t xml:space="preserve">, </w:t>
            </w:r>
            <w:r w:rsidR="00877350" w:rsidRPr="00877350">
              <w:rPr>
                <w:color w:val="FF0000"/>
                <w:sz w:val="20"/>
              </w:rPr>
              <w:t>QO04</w:t>
            </w:r>
          </w:p>
        </w:tc>
        <w:tc>
          <w:tcPr>
            <w:tcW w:w="3051" w:type="dxa"/>
            <w:tcBorders>
              <w:left w:val="single" w:sz="4" w:space="0" w:color="auto"/>
            </w:tcBorders>
          </w:tcPr>
          <w:p w14:paraId="188CBC80" w14:textId="59852D0F" w:rsidR="000C099C" w:rsidRPr="00C47341" w:rsidRDefault="00E9741B" w:rsidP="000420BD">
            <w:pPr>
              <w:pStyle w:val="BodyText"/>
              <w:jc w:val="center"/>
              <w:rPr>
                <w:sz w:val="20"/>
              </w:rPr>
            </w:pPr>
            <w:r w:rsidRPr="00E9741B">
              <w:rPr>
                <w:color w:val="FF0000"/>
                <w:sz w:val="20"/>
              </w:rPr>
              <w:t>RIA</w:t>
            </w:r>
            <w:r w:rsidR="000420BD" w:rsidRPr="00C47341">
              <w:rPr>
                <w:sz w:val="20"/>
              </w:rPr>
              <w:t>-Admin</w:t>
            </w:r>
            <w:r w:rsidR="00250E9A" w:rsidRPr="00C47341">
              <w:rPr>
                <w:sz w:val="20"/>
              </w:rPr>
              <w:t xml:space="preserve">, Ins, </w:t>
            </w:r>
            <w:r w:rsidR="00107209" w:rsidRPr="00C47341">
              <w:rPr>
                <w:sz w:val="20"/>
              </w:rPr>
              <w:t xml:space="preserve">Church </w:t>
            </w:r>
            <w:r w:rsidR="00250E9A" w:rsidRPr="00C47341">
              <w:rPr>
                <w:sz w:val="20"/>
              </w:rPr>
              <w:t>Vocalist</w:t>
            </w:r>
          </w:p>
        </w:tc>
      </w:tr>
      <w:tr w:rsidR="000C099C" w14:paraId="5B01A138" w14:textId="77777777" w:rsidTr="00BD21A8">
        <w:tc>
          <w:tcPr>
            <w:tcW w:w="450" w:type="dxa"/>
            <w:tcBorders>
              <w:right w:val="single" w:sz="4" w:space="0" w:color="auto"/>
            </w:tcBorders>
          </w:tcPr>
          <w:p w14:paraId="25E839EC" w14:textId="77777777" w:rsidR="000C099C" w:rsidRDefault="00AC21CB">
            <w:pPr>
              <w:pStyle w:val="BodyText"/>
              <w:jc w:val="center"/>
              <w:rPr>
                <w:sz w:val="20"/>
              </w:rPr>
            </w:pPr>
            <w:r>
              <w:rPr>
                <w:sz w:val="20"/>
              </w:rPr>
              <w:t>4</w:t>
            </w:r>
          </w:p>
        </w:tc>
        <w:tc>
          <w:tcPr>
            <w:tcW w:w="990" w:type="dxa"/>
            <w:tcBorders>
              <w:left w:val="single" w:sz="4" w:space="0" w:color="auto"/>
            </w:tcBorders>
          </w:tcPr>
          <w:p w14:paraId="5902CAB4" w14:textId="77777777" w:rsidR="000C099C" w:rsidRDefault="000C099C">
            <w:pPr>
              <w:pStyle w:val="BodyText"/>
              <w:jc w:val="center"/>
              <w:rPr>
                <w:sz w:val="20"/>
              </w:rPr>
            </w:pPr>
            <w:r>
              <w:rPr>
                <w:sz w:val="20"/>
              </w:rPr>
              <w:t>1832513</w:t>
            </w:r>
          </w:p>
        </w:tc>
        <w:tc>
          <w:tcPr>
            <w:tcW w:w="3330" w:type="dxa"/>
          </w:tcPr>
          <w:p w14:paraId="5B274F87" w14:textId="77777777" w:rsidR="000C099C" w:rsidRDefault="000C099C">
            <w:pPr>
              <w:pStyle w:val="BodyText"/>
              <w:spacing w:before="0" w:after="0"/>
              <w:jc w:val="center"/>
              <w:rPr>
                <w:b/>
                <w:sz w:val="20"/>
              </w:rPr>
            </w:pPr>
            <w:r>
              <w:rPr>
                <w:b/>
                <w:sz w:val="20"/>
              </w:rPr>
              <w:t>VAUGHAN, DAVID</w:t>
            </w:r>
          </w:p>
          <w:p w14:paraId="0E22DCB7" w14:textId="77777777" w:rsidR="000C099C" w:rsidRDefault="00D6319C">
            <w:pPr>
              <w:pStyle w:val="BodyText"/>
              <w:spacing w:before="0" w:after="0"/>
              <w:jc w:val="center"/>
              <w:rPr>
                <w:color w:val="0000FF"/>
                <w:sz w:val="20"/>
                <w:u w:val="single"/>
              </w:rPr>
            </w:pPr>
            <w:hyperlink r:id="rId181" w:history="1">
              <w:r w:rsidR="000C099C">
                <w:rPr>
                  <w:rStyle w:val="Hyperlink"/>
                  <w:sz w:val="20"/>
                </w:rPr>
                <w:t>dvaughan@woodlandssecurities.com</w:t>
              </w:r>
            </w:hyperlink>
          </w:p>
          <w:p w14:paraId="6A7A16D2" w14:textId="77777777" w:rsidR="000C099C" w:rsidRDefault="000C099C">
            <w:pPr>
              <w:pStyle w:val="BodyText"/>
              <w:spacing w:before="0" w:after="0"/>
              <w:jc w:val="center"/>
              <w:rPr>
                <w:color w:val="0000FF"/>
                <w:sz w:val="20"/>
                <w:u w:val="single"/>
              </w:rPr>
            </w:pPr>
          </w:p>
        </w:tc>
        <w:tc>
          <w:tcPr>
            <w:tcW w:w="1170" w:type="dxa"/>
          </w:tcPr>
          <w:p w14:paraId="68CA54EC" w14:textId="77777777" w:rsidR="000C099C" w:rsidRDefault="000C099C">
            <w:pPr>
              <w:pStyle w:val="BodyText"/>
              <w:jc w:val="center"/>
              <w:rPr>
                <w:sz w:val="20"/>
              </w:rPr>
            </w:pPr>
            <w:r>
              <w:rPr>
                <w:sz w:val="20"/>
              </w:rPr>
              <w:t>09/25/95</w:t>
            </w:r>
          </w:p>
        </w:tc>
        <w:tc>
          <w:tcPr>
            <w:tcW w:w="1260" w:type="dxa"/>
            <w:tcBorders>
              <w:right w:val="single" w:sz="4" w:space="0" w:color="auto"/>
            </w:tcBorders>
          </w:tcPr>
          <w:p w14:paraId="3528CB62" w14:textId="3C80B80E" w:rsidR="000C099C" w:rsidRDefault="000C099C">
            <w:pPr>
              <w:pStyle w:val="BodyText"/>
              <w:jc w:val="center"/>
              <w:rPr>
                <w:sz w:val="20"/>
              </w:rPr>
            </w:pPr>
            <w:r>
              <w:rPr>
                <w:sz w:val="20"/>
              </w:rPr>
              <w:t>1808, 3899</w:t>
            </w:r>
            <w:r w:rsidR="00877350">
              <w:rPr>
                <w:sz w:val="20"/>
              </w:rPr>
              <w:t xml:space="preserve">, </w:t>
            </w:r>
            <w:r w:rsidR="00877350" w:rsidRPr="00877350">
              <w:rPr>
                <w:color w:val="FF0000"/>
                <w:sz w:val="20"/>
              </w:rPr>
              <w:t>QO11</w:t>
            </w:r>
          </w:p>
        </w:tc>
        <w:tc>
          <w:tcPr>
            <w:tcW w:w="3051" w:type="dxa"/>
            <w:tcBorders>
              <w:left w:val="single" w:sz="4" w:space="0" w:color="auto"/>
            </w:tcBorders>
          </w:tcPr>
          <w:p w14:paraId="790F4CC9" w14:textId="46C44730" w:rsidR="000C099C" w:rsidRPr="00C47341" w:rsidRDefault="00E9741B" w:rsidP="00B95E06">
            <w:pPr>
              <w:pStyle w:val="BodyText"/>
              <w:jc w:val="center"/>
              <w:rPr>
                <w:sz w:val="20"/>
              </w:rPr>
            </w:pPr>
            <w:r w:rsidRPr="00E9741B">
              <w:rPr>
                <w:color w:val="FF0000"/>
                <w:sz w:val="20"/>
              </w:rPr>
              <w:t>RIA</w:t>
            </w:r>
            <w:r w:rsidR="00250E9A" w:rsidRPr="00C47341">
              <w:rPr>
                <w:sz w:val="20"/>
              </w:rPr>
              <w:t>, Ins</w:t>
            </w:r>
            <w:r w:rsidR="000D61E1" w:rsidRPr="00C47341">
              <w:rPr>
                <w:sz w:val="20"/>
              </w:rPr>
              <w:t>, RE investments</w:t>
            </w:r>
          </w:p>
        </w:tc>
      </w:tr>
      <w:tr w:rsidR="000C099C" w14:paraId="22F828A3" w14:textId="77777777" w:rsidTr="00BD21A8">
        <w:tc>
          <w:tcPr>
            <w:tcW w:w="450" w:type="dxa"/>
            <w:tcBorders>
              <w:right w:val="single" w:sz="4" w:space="0" w:color="auto"/>
            </w:tcBorders>
          </w:tcPr>
          <w:p w14:paraId="6892D841" w14:textId="77777777" w:rsidR="000C099C" w:rsidRDefault="00AC21CB">
            <w:pPr>
              <w:pStyle w:val="BodyText"/>
              <w:jc w:val="center"/>
              <w:rPr>
                <w:sz w:val="20"/>
              </w:rPr>
            </w:pPr>
            <w:r>
              <w:rPr>
                <w:sz w:val="20"/>
              </w:rPr>
              <w:t>5</w:t>
            </w:r>
          </w:p>
        </w:tc>
        <w:tc>
          <w:tcPr>
            <w:tcW w:w="990" w:type="dxa"/>
            <w:tcBorders>
              <w:left w:val="single" w:sz="4" w:space="0" w:color="auto"/>
            </w:tcBorders>
          </w:tcPr>
          <w:p w14:paraId="647F1991" w14:textId="77777777" w:rsidR="000C099C" w:rsidRDefault="000C099C">
            <w:pPr>
              <w:pStyle w:val="BodyText"/>
              <w:jc w:val="center"/>
              <w:rPr>
                <w:sz w:val="20"/>
              </w:rPr>
            </w:pPr>
            <w:r>
              <w:rPr>
                <w:sz w:val="20"/>
              </w:rPr>
              <w:t>1366633</w:t>
            </w:r>
          </w:p>
        </w:tc>
        <w:tc>
          <w:tcPr>
            <w:tcW w:w="3330" w:type="dxa"/>
          </w:tcPr>
          <w:p w14:paraId="7B04B55A" w14:textId="77777777" w:rsidR="000C099C" w:rsidRDefault="000C099C">
            <w:pPr>
              <w:pStyle w:val="BodyText"/>
              <w:spacing w:before="0" w:after="0"/>
              <w:jc w:val="center"/>
              <w:rPr>
                <w:color w:val="0000FF"/>
                <w:sz w:val="20"/>
              </w:rPr>
            </w:pPr>
            <w:r>
              <w:rPr>
                <w:b/>
                <w:sz w:val="20"/>
              </w:rPr>
              <w:t>SEDITA, GLORIA</w:t>
            </w:r>
            <w:r>
              <w:rPr>
                <w:sz w:val="20"/>
              </w:rPr>
              <w:t xml:space="preserve">    </w:t>
            </w:r>
            <w:r>
              <w:rPr>
                <w:color w:val="0000FF"/>
                <w:sz w:val="20"/>
              </w:rPr>
              <w:t>ADMIN</w:t>
            </w:r>
          </w:p>
          <w:p w14:paraId="7EAE2A30" w14:textId="77777777" w:rsidR="000C099C" w:rsidRDefault="00D6319C">
            <w:pPr>
              <w:pStyle w:val="BodyText"/>
              <w:spacing w:before="0" w:after="0"/>
              <w:jc w:val="center"/>
              <w:rPr>
                <w:color w:val="0000FF"/>
                <w:sz w:val="20"/>
                <w:u w:val="single"/>
              </w:rPr>
            </w:pPr>
            <w:hyperlink r:id="rId182" w:history="1">
              <w:r w:rsidR="000C099C">
                <w:rPr>
                  <w:rStyle w:val="Hyperlink"/>
                  <w:sz w:val="20"/>
                </w:rPr>
                <w:t>gsedita@woodlandssecurities.com</w:t>
              </w:r>
            </w:hyperlink>
          </w:p>
          <w:p w14:paraId="7A95743C" w14:textId="77777777" w:rsidR="000C099C" w:rsidRDefault="000C099C">
            <w:pPr>
              <w:pStyle w:val="BodyText"/>
              <w:spacing w:before="0" w:after="0"/>
              <w:jc w:val="center"/>
              <w:rPr>
                <w:sz w:val="20"/>
                <w:u w:val="single"/>
              </w:rPr>
            </w:pPr>
          </w:p>
        </w:tc>
        <w:tc>
          <w:tcPr>
            <w:tcW w:w="1170" w:type="dxa"/>
          </w:tcPr>
          <w:p w14:paraId="52992B4A" w14:textId="77777777" w:rsidR="000C099C" w:rsidRDefault="000C099C">
            <w:pPr>
              <w:pStyle w:val="BodyText"/>
              <w:jc w:val="center"/>
              <w:rPr>
                <w:sz w:val="20"/>
              </w:rPr>
            </w:pPr>
            <w:r>
              <w:rPr>
                <w:sz w:val="20"/>
              </w:rPr>
              <w:t>08/21/02</w:t>
            </w:r>
          </w:p>
        </w:tc>
        <w:tc>
          <w:tcPr>
            <w:tcW w:w="1260" w:type="dxa"/>
            <w:tcBorders>
              <w:right w:val="single" w:sz="4" w:space="0" w:color="auto"/>
            </w:tcBorders>
          </w:tcPr>
          <w:p w14:paraId="591E9BB6" w14:textId="77777777" w:rsidR="000C099C" w:rsidRDefault="000C099C">
            <w:pPr>
              <w:pStyle w:val="BodyText"/>
              <w:jc w:val="center"/>
              <w:rPr>
                <w:sz w:val="20"/>
              </w:rPr>
            </w:pPr>
          </w:p>
        </w:tc>
        <w:tc>
          <w:tcPr>
            <w:tcW w:w="3051" w:type="dxa"/>
            <w:tcBorders>
              <w:left w:val="single" w:sz="4" w:space="0" w:color="auto"/>
            </w:tcBorders>
          </w:tcPr>
          <w:p w14:paraId="06486931" w14:textId="6C73DE15" w:rsidR="000C099C" w:rsidRPr="00C47341" w:rsidRDefault="00E9741B" w:rsidP="000420BD">
            <w:pPr>
              <w:pStyle w:val="BodyText"/>
              <w:jc w:val="center"/>
              <w:rPr>
                <w:sz w:val="20"/>
              </w:rPr>
            </w:pPr>
            <w:r>
              <w:rPr>
                <w:color w:val="FF0000"/>
                <w:sz w:val="20"/>
              </w:rPr>
              <w:t>RIA</w:t>
            </w:r>
            <w:r w:rsidR="000420BD" w:rsidRPr="00C47341">
              <w:rPr>
                <w:sz w:val="20"/>
              </w:rPr>
              <w:t>-Admin</w:t>
            </w:r>
          </w:p>
        </w:tc>
      </w:tr>
      <w:tr w:rsidR="00BD21A8" w14:paraId="42ED46CE" w14:textId="77777777" w:rsidTr="00BD21A8">
        <w:tc>
          <w:tcPr>
            <w:tcW w:w="450" w:type="dxa"/>
            <w:tcBorders>
              <w:right w:val="single" w:sz="4" w:space="0" w:color="auto"/>
            </w:tcBorders>
          </w:tcPr>
          <w:p w14:paraId="6F5B6445" w14:textId="6001BAC8" w:rsidR="00BD21A8" w:rsidRPr="00195D2E" w:rsidRDefault="00195D2E">
            <w:pPr>
              <w:pStyle w:val="BodyText"/>
              <w:jc w:val="center"/>
              <w:rPr>
                <w:color w:val="FF0000"/>
                <w:sz w:val="20"/>
              </w:rPr>
            </w:pPr>
            <w:r w:rsidRPr="00195D2E">
              <w:rPr>
                <w:color w:val="FF0000"/>
                <w:sz w:val="20"/>
              </w:rPr>
              <w:t>6</w:t>
            </w:r>
          </w:p>
        </w:tc>
        <w:tc>
          <w:tcPr>
            <w:tcW w:w="990" w:type="dxa"/>
            <w:tcBorders>
              <w:left w:val="single" w:sz="4" w:space="0" w:color="auto"/>
            </w:tcBorders>
          </w:tcPr>
          <w:p w14:paraId="2022A4C1" w14:textId="591D48BE" w:rsidR="00BD21A8" w:rsidRPr="00195D2E" w:rsidRDefault="00195D2E">
            <w:pPr>
              <w:pStyle w:val="BodyText"/>
              <w:jc w:val="center"/>
              <w:rPr>
                <w:color w:val="FF0000"/>
                <w:sz w:val="20"/>
              </w:rPr>
            </w:pPr>
            <w:r w:rsidRPr="00195D2E">
              <w:rPr>
                <w:color w:val="FF0000"/>
                <w:sz w:val="20"/>
              </w:rPr>
              <w:t>3110267</w:t>
            </w:r>
          </w:p>
        </w:tc>
        <w:tc>
          <w:tcPr>
            <w:tcW w:w="3330" w:type="dxa"/>
          </w:tcPr>
          <w:p w14:paraId="6C1732FD" w14:textId="04B5705F" w:rsidR="00BD21A8" w:rsidRPr="00195D2E" w:rsidRDefault="00195D2E">
            <w:pPr>
              <w:pStyle w:val="BodyText"/>
              <w:jc w:val="center"/>
              <w:rPr>
                <w:color w:val="FF0000"/>
                <w:sz w:val="20"/>
              </w:rPr>
            </w:pPr>
            <w:r w:rsidRPr="00195D2E">
              <w:rPr>
                <w:color w:val="FF0000"/>
                <w:sz w:val="20"/>
              </w:rPr>
              <w:t xml:space="preserve">HAMILTON, ERIC    </w:t>
            </w:r>
            <w:hyperlink r:id="rId183" w:history="1">
              <w:r w:rsidRPr="00195D2E">
                <w:rPr>
                  <w:rStyle w:val="Hyperlink"/>
                  <w:color w:val="FF0000"/>
                  <w:sz w:val="20"/>
                </w:rPr>
                <w:t>eric.hamilton@aviorwealth.com</w:t>
              </w:r>
            </w:hyperlink>
          </w:p>
        </w:tc>
        <w:tc>
          <w:tcPr>
            <w:tcW w:w="1170" w:type="dxa"/>
          </w:tcPr>
          <w:p w14:paraId="510BFA90" w14:textId="64C8FB3E" w:rsidR="00BD21A8" w:rsidRPr="00195D2E" w:rsidRDefault="00195D2E">
            <w:pPr>
              <w:pStyle w:val="BodyText"/>
              <w:jc w:val="center"/>
              <w:rPr>
                <w:color w:val="FF0000"/>
                <w:sz w:val="20"/>
              </w:rPr>
            </w:pPr>
            <w:r w:rsidRPr="00195D2E">
              <w:rPr>
                <w:color w:val="FF0000"/>
                <w:sz w:val="20"/>
              </w:rPr>
              <w:t>12/19/22</w:t>
            </w:r>
          </w:p>
        </w:tc>
        <w:tc>
          <w:tcPr>
            <w:tcW w:w="1260" w:type="dxa"/>
            <w:tcBorders>
              <w:right w:val="single" w:sz="4" w:space="0" w:color="auto"/>
            </w:tcBorders>
          </w:tcPr>
          <w:p w14:paraId="53983A75" w14:textId="67B8A1C2" w:rsidR="00BD21A8" w:rsidRPr="00195D2E" w:rsidRDefault="00195D2E">
            <w:pPr>
              <w:pStyle w:val="BodyText"/>
              <w:jc w:val="center"/>
              <w:rPr>
                <w:color w:val="FF0000"/>
                <w:sz w:val="20"/>
              </w:rPr>
            </w:pPr>
            <w:r w:rsidRPr="00195D2E">
              <w:rPr>
                <w:color w:val="FF0000"/>
                <w:sz w:val="20"/>
              </w:rPr>
              <w:t>Pending</w:t>
            </w:r>
          </w:p>
        </w:tc>
        <w:tc>
          <w:tcPr>
            <w:tcW w:w="3051" w:type="dxa"/>
            <w:tcBorders>
              <w:left w:val="single" w:sz="4" w:space="0" w:color="auto"/>
            </w:tcBorders>
          </w:tcPr>
          <w:p w14:paraId="120773AC" w14:textId="13980871" w:rsidR="00BD21A8" w:rsidRPr="00195D2E" w:rsidRDefault="00195D2E">
            <w:pPr>
              <w:pStyle w:val="BodyText"/>
              <w:jc w:val="center"/>
              <w:rPr>
                <w:color w:val="FF0000"/>
                <w:sz w:val="20"/>
              </w:rPr>
            </w:pPr>
            <w:r w:rsidRPr="00195D2E">
              <w:rPr>
                <w:color w:val="FF0000"/>
                <w:sz w:val="20"/>
              </w:rPr>
              <w:t xml:space="preserve">RIA, CPA, Attorney, </w:t>
            </w:r>
            <w:r w:rsidRPr="00195D2E">
              <w:rPr>
                <w:color w:val="FF0000"/>
                <w:sz w:val="20"/>
                <w:shd w:val="clear" w:color="auto" w:fill="FFFFFF"/>
              </w:rPr>
              <w:t>D&amp;E Triangle Ranch, LLC</w:t>
            </w:r>
          </w:p>
        </w:tc>
      </w:tr>
      <w:tr w:rsidR="00823C34" w14:paraId="4E391B96" w14:textId="77777777" w:rsidTr="00BD21A8">
        <w:tc>
          <w:tcPr>
            <w:tcW w:w="450" w:type="dxa"/>
            <w:tcBorders>
              <w:right w:val="single" w:sz="4" w:space="0" w:color="auto"/>
            </w:tcBorders>
          </w:tcPr>
          <w:p w14:paraId="23C224F4" w14:textId="77777777" w:rsidR="00823C34" w:rsidRDefault="00823C34">
            <w:pPr>
              <w:pStyle w:val="BodyText"/>
              <w:jc w:val="center"/>
              <w:rPr>
                <w:sz w:val="20"/>
              </w:rPr>
            </w:pPr>
          </w:p>
        </w:tc>
        <w:tc>
          <w:tcPr>
            <w:tcW w:w="990" w:type="dxa"/>
            <w:tcBorders>
              <w:left w:val="single" w:sz="4" w:space="0" w:color="auto"/>
            </w:tcBorders>
          </w:tcPr>
          <w:p w14:paraId="6A106F7E" w14:textId="77777777" w:rsidR="00823C34" w:rsidRDefault="00823C34">
            <w:pPr>
              <w:pStyle w:val="BodyText"/>
              <w:jc w:val="center"/>
              <w:rPr>
                <w:sz w:val="20"/>
              </w:rPr>
            </w:pPr>
          </w:p>
        </w:tc>
        <w:tc>
          <w:tcPr>
            <w:tcW w:w="3330" w:type="dxa"/>
          </w:tcPr>
          <w:p w14:paraId="13922039" w14:textId="77777777" w:rsidR="00823C34" w:rsidRDefault="00823C34">
            <w:pPr>
              <w:pStyle w:val="BodyText"/>
              <w:jc w:val="center"/>
              <w:rPr>
                <w:sz w:val="20"/>
              </w:rPr>
            </w:pPr>
          </w:p>
        </w:tc>
        <w:tc>
          <w:tcPr>
            <w:tcW w:w="1170" w:type="dxa"/>
          </w:tcPr>
          <w:p w14:paraId="67EAF050" w14:textId="77777777" w:rsidR="00823C34" w:rsidRDefault="00823C34">
            <w:pPr>
              <w:pStyle w:val="BodyText"/>
              <w:jc w:val="center"/>
              <w:rPr>
                <w:sz w:val="20"/>
              </w:rPr>
            </w:pPr>
          </w:p>
        </w:tc>
        <w:tc>
          <w:tcPr>
            <w:tcW w:w="1260" w:type="dxa"/>
            <w:tcBorders>
              <w:right w:val="single" w:sz="4" w:space="0" w:color="auto"/>
            </w:tcBorders>
          </w:tcPr>
          <w:p w14:paraId="3B122373" w14:textId="77777777" w:rsidR="00823C34" w:rsidRDefault="00823C34">
            <w:pPr>
              <w:pStyle w:val="BodyText"/>
              <w:jc w:val="center"/>
              <w:rPr>
                <w:sz w:val="20"/>
              </w:rPr>
            </w:pPr>
          </w:p>
        </w:tc>
        <w:tc>
          <w:tcPr>
            <w:tcW w:w="3051" w:type="dxa"/>
            <w:tcBorders>
              <w:left w:val="single" w:sz="4" w:space="0" w:color="auto"/>
            </w:tcBorders>
          </w:tcPr>
          <w:p w14:paraId="41E6CC51" w14:textId="77777777" w:rsidR="00823C34" w:rsidRDefault="00823C34">
            <w:pPr>
              <w:pStyle w:val="BodyText"/>
              <w:jc w:val="center"/>
              <w:rPr>
                <w:sz w:val="20"/>
              </w:rPr>
            </w:pPr>
          </w:p>
        </w:tc>
      </w:tr>
      <w:tr w:rsidR="00697EC0" w14:paraId="501C6C13" w14:textId="77777777" w:rsidTr="00BD21A8">
        <w:tc>
          <w:tcPr>
            <w:tcW w:w="450" w:type="dxa"/>
            <w:tcBorders>
              <w:right w:val="single" w:sz="4" w:space="0" w:color="auto"/>
            </w:tcBorders>
          </w:tcPr>
          <w:p w14:paraId="5F334E26" w14:textId="77777777" w:rsidR="00697EC0" w:rsidRDefault="00697EC0">
            <w:pPr>
              <w:pStyle w:val="BodyText"/>
              <w:jc w:val="center"/>
              <w:rPr>
                <w:sz w:val="20"/>
              </w:rPr>
            </w:pPr>
          </w:p>
        </w:tc>
        <w:tc>
          <w:tcPr>
            <w:tcW w:w="990" w:type="dxa"/>
            <w:tcBorders>
              <w:left w:val="single" w:sz="4" w:space="0" w:color="auto"/>
            </w:tcBorders>
          </w:tcPr>
          <w:p w14:paraId="4E49EFCE" w14:textId="77777777" w:rsidR="00697EC0" w:rsidRDefault="00697EC0">
            <w:pPr>
              <w:pStyle w:val="BodyText"/>
              <w:jc w:val="center"/>
              <w:rPr>
                <w:sz w:val="20"/>
              </w:rPr>
            </w:pPr>
          </w:p>
        </w:tc>
        <w:tc>
          <w:tcPr>
            <w:tcW w:w="3330" w:type="dxa"/>
          </w:tcPr>
          <w:p w14:paraId="0581902D" w14:textId="77777777" w:rsidR="00697EC0" w:rsidRDefault="00697EC0">
            <w:pPr>
              <w:pStyle w:val="BodyText"/>
              <w:jc w:val="center"/>
              <w:rPr>
                <w:sz w:val="20"/>
              </w:rPr>
            </w:pPr>
          </w:p>
        </w:tc>
        <w:tc>
          <w:tcPr>
            <w:tcW w:w="1170" w:type="dxa"/>
          </w:tcPr>
          <w:p w14:paraId="5684B5C2" w14:textId="77777777" w:rsidR="00697EC0" w:rsidRDefault="00697EC0">
            <w:pPr>
              <w:pStyle w:val="BodyText"/>
              <w:jc w:val="center"/>
              <w:rPr>
                <w:sz w:val="20"/>
              </w:rPr>
            </w:pPr>
          </w:p>
        </w:tc>
        <w:tc>
          <w:tcPr>
            <w:tcW w:w="1260" w:type="dxa"/>
            <w:tcBorders>
              <w:right w:val="single" w:sz="4" w:space="0" w:color="auto"/>
            </w:tcBorders>
          </w:tcPr>
          <w:p w14:paraId="3C3DC225" w14:textId="77777777" w:rsidR="00697EC0" w:rsidRDefault="00697EC0">
            <w:pPr>
              <w:pStyle w:val="BodyText"/>
              <w:jc w:val="center"/>
              <w:rPr>
                <w:sz w:val="20"/>
              </w:rPr>
            </w:pPr>
          </w:p>
        </w:tc>
        <w:tc>
          <w:tcPr>
            <w:tcW w:w="3051" w:type="dxa"/>
            <w:tcBorders>
              <w:left w:val="single" w:sz="4" w:space="0" w:color="auto"/>
            </w:tcBorders>
          </w:tcPr>
          <w:p w14:paraId="284DEA26" w14:textId="77777777" w:rsidR="00697EC0" w:rsidRDefault="00697EC0">
            <w:pPr>
              <w:pStyle w:val="BodyText"/>
              <w:jc w:val="center"/>
              <w:rPr>
                <w:sz w:val="20"/>
              </w:rPr>
            </w:pPr>
          </w:p>
        </w:tc>
      </w:tr>
      <w:tr w:rsidR="00E31C3A" w14:paraId="400F05AA" w14:textId="77777777" w:rsidTr="00BD21A8">
        <w:tc>
          <w:tcPr>
            <w:tcW w:w="450" w:type="dxa"/>
            <w:tcBorders>
              <w:right w:val="single" w:sz="4" w:space="0" w:color="auto"/>
            </w:tcBorders>
          </w:tcPr>
          <w:p w14:paraId="6C728F37" w14:textId="77777777" w:rsidR="00E31C3A" w:rsidRDefault="00E31C3A">
            <w:pPr>
              <w:pStyle w:val="BodyText"/>
              <w:jc w:val="center"/>
              <w:rPr>
                <w:sz w:val="20"/>
              </w:rPr>
            </w:pPr>
          </w:p>
        </w:tc>
        <w:tc>
          <w:tcPr>
            <w:tcW w:w="990" w:type="dxa"/>
            <w:tcBorders>
              <w:left w:val="single" w:sz="4" w:space="0" w:color="auto"/>
            </w:tcBorders>
          </w:tcPr>
          <w:p w14:paraId="01ED1C35" w14:textId="77777777" w:rsidR="00E31C3A" w:rsidRDefault="00E31C3A">
            <w:pPr>
              <w:pStyle w:val="BodyText"/>
              <w:jc w:val="center"/>
              <w:rPr>
                <w:sz w:val="20"/>
              </w:rPr>
            </w:pPr>
          </w:p>
        </w:tc>
        <w:tc>
          <w:tcPr>
            <w:tcW w:w="3330" w:type="dxa"/>
          </w:tcPr>
          <w:p w14:paraId="005FCE09" w14:textId="77777777" w:rsidR="00E31C3A" w:rsidRDefault="00E31C3A">
            <w:pPr>
              <w:pStyle w:val="BodyText"/>
              <w:jc w:val="center"/>
              <w:rPr>
                <w:sz w:val="20"/>
              </w:rPr>
            </w:pPr>
          </w:p>
        </w:tc>
        <w:tc>
          <w:tcPr>
            <w:tcW w:w="1170" w:type="dxa"/>
          </w:tcPr>
          <w:p w14:paraId="766FEC43" w14:textId="77777777" w:rsidR="00E31C3A" w:rsidRDefault="00E31C3A">
            <w:pPr>
              <w:pStyle w:val="BodyText"/>
              <w:jc w:val="center"/>
              <w:rPr>
                <w:sz w:val="20"/>
              </w:rPr>
            </w:pPr>
          </w:p>
        </w:tc>
        <w:tc>
          <w:tcPr>
            <w:tcW w:w="1260" w:type="dxa"/>
            <w:tcBorders>
              <w:right w:val="single" w:sz="4" w:space="0" w:color="auto"/>
            </w:tcBorders>
          </w:tcPr>
          <w:p w14:paraId="3EC7B1A2" w14:textId="77777777" w:rsidR="00E31C3A" w:rsidRDefault="00E31C3A">
            <w:pPr>
              <w:pStyle w:val="BodyText"/>
              <w:jc w:val="center"/>
              <w:rPr>
                <w:sz w:val="20"/>
              </w:rPr>
            </w:pPr>
          </w:p>
        </w:tc>
        <w:tc>
          <w:tcPr>
            <w:tcW w:w="3051" w:type="dxa"/>
            <w:tcBorders>
              <w:left w:val="single" w:sz="4" w:space="0" w:color="auto"/>
            </w:tcBorders>
          </w:tcPr>
          <w:p w14:paraId="0DF661B5" w14:textId="77777777" w:rsidR="00E31C3A" w:rsidRDefault="00E31C3A">
            <w:pPr>
              <w:pStyle w:val="BodyText"/>
              <w:jc w:val="center"/>
              <w:rPr>
                <w:sz w:val="20"/>
              </w:rPr>
            </w:pPr>
          </w:p>
        </w:tc>
      </w:tr>
      <w:tr w:rsidR="00AC21CB" w14:paraId="03A33CA0" w14:textId="77777777" w:rsidTr="00BD21A8">
        <w:tc>
          <w:tcPr>
            <w:tcW w:w="450" w:type="dxa"/>
            <w:tcBorders>
              <w:right w:val="single" w:sz="4" w:space="0" w:color="auto"/>
            </w:tcBorders>
          </w:tcPr>
          <w:p w14:paraId="7FE4335D" w14:textId="77777777" w:rsidR="00AC21CB" w:rsidRDefault="00AC21CB">
            <w:pPr>
              <w:pStyle w:val="BodyText"/>
              <w:jc w:val="center"/>
              <w:rPr>
                <w:sz w:val="20"/>
              </w:rPr>
            </w:pPr>
          </w:p>
        </w:tc>
        <w:tc>
          <w:tcPr>
            <w:tcW w:w="990" w:type="dxa"/>
            <w:tcBorders>
              <w:left w:val="single" w:sz="4" w:space="0" w:color="auto"/>
            </w:tcBorders>
          </w:tcPr>
          <w:p w14:paraId="709369DF" w14:textId="77777777" w:rsidR="00AC21CB" w:rsidRDefault="00AC21CB">
            <w:pPr>
              <w:pStyle w:val="BodyText"/>
              <w:jc w:val="center"/>
              <w:rPr>
                <w:sz w:val="20"/>
              </w:rPr>
            </w:pPr>
          </w:p>
        </w:tc>
        <w:tc>
          <w:tcPr>
            <w:tcW w:w="3330" w:type="dxa"/>
          </w:tcPr>
          <w:p w14:paraId="62519036" w14:textId="77777777" w:rsidR="00AC21CB" w:rsidRDefault="00AC21CB">
            <w:pPr>
              <w:pStyle w:val="BodyText"/>
              <w:jc w:val="center"/>
              <w:rPr>
                <w:sz w:val="20"/>
              </w:rPr>
            </w:pPr>
          </w:p>
        </w:tc>
        <w:tc>
          <w:tcPr>
            <w:tcW w:w="1170" w:type="dxa"/>
          </w:tcPr>
          <w:p w14:paraId="6E165FBA" w14:textId="77777777" w:rsidR="00AC21CB" w:rsidRDefault="00AC21CB">
            <w:pPr>
              <w:pStyle w:val="BodyText"/>
              <w:jc w:val="center"/>
              <w:rPr>
                <w:sz w:val="20"/>
              </w:rPr>
            </w:pPr>
          </w:p>
        </w:tc>
        <w:tc>
          <w:tcPr>
            <w:tcW w:w="1260" w:type="dxa"/>
            <w:tcBorders>
              <w:right w:val="single" w:sz="4" w:space="0" w:color="auto"/>
            </w:tcBorders>
          </w:tcPr>
          <w:p w14:paraId="6B6342ED" w14:textId="77777777" w:rsidR="00AC21CB" w:rsidRDefault="00AC21CB">
            <w:pPr>
              <w:pStyle w:val="BodyText"/>
              <w:jc w:val="center"/>
              <w:rPr>
                <w:sz w:val="20"/>
              </w:rPr>
            </w:pPr>
          </w:p>
        </w:tc>
        <w:tc>
          <w:tcPr>
            <w:tcW w:w="3051" w:type="dxa"/>
            <w:tcBorders>
              <w:left w:val="single" w:sz="4" w:space="0" w:color="auto"/>
            </w:tcBorders>
          </w:tcPr>
          <w:p w14:paraId="5A0B6EB7" w14:textId="77777777" w:rsidR="00AC21CB" w:rsidRDefault="00AC21CB">
            <w:pPr>
              <w:pStyle w:val="BodyText"/>
              <w:jc w:val="center"/>
              <w:rPr>
                <w:sz w:val="20"/>
              </w:rPr>
            </w:pPr>
          </w:p>
        </w:tc>
      </w:tr>
      <w:bookmarkEnd w:id="342"/>
    </w:tbl>
    <w:p w14:paraId="3CE9B2E6" w14:textId="77777777" w:rsidR="000C099C" w:rsidRDefault="000C099C">
      <w:pPr>
        <w:rPr>
          <w:sz w:val="24"/>
        </w:rPr>
      </w:pPr>
    </w:p>
    <w:p w14:paraId="6C80EB6E" w14:textId="77777777" w:rsidR="000C099C" w:rsidRDefault="000C099C">
      <w:pPr>
        <w:rPr>
          <w:sz w:val="24"/>
        </w:rPr>
      </w:pPr>
    </w:p>
    <w:p w14:paraId="28D4DEE9" w14:textId="77777777" w:rsidR="0036539A" w:rsidRDefault="0036539A" w:rsidP="0036539A">
      <w:pPr>
        <w:ind w:left="-720"/>
        <w:rPr>
          <w:sz w:val="24"/>
        </w:rPr>
        <w:sectPr w:rsidR="0036539A">
          <w:footerReference w:type="default" r:id="rId184"/>
          <w:pgSz w:w="12240" w:h="15840" w:code="1"/>
          <w:pgMar w:top="1440" w:right="1152" w:bottom="1440" w:left="1728" w:header="720" w:footer="720" w:gutter="0"/>
          <w:pgNumType w:start="1"/>
          <w:cols w:space="720"/>
        </w:sectPr>
      </w:pPr>
    </w:p>
    <w:p w14:paraId="0978658B" w14:textId="77777777" w:rsidR="000C099C" w:rsidRDefault="000C099C">
      <w:pPr>
        <w:jc w:val="both"/>
        <w:rPr>
          <w:sz w:val="24"/>
        </w:rPr>
      </w:pPr>
    </w:p>
    <w:p w14:paraId="6ADC3140" w14:textId="77777777" w:rsidR="000C099C" w:rsidRDefault="000C099C">
      <w:pPr>
        <w:jc w:val="center"/>
        <w:rPr>
          <w:sz w:val="24"/>
        </w:rPr>
      </w:pPr>
    </w:p>
    <w:p w14:paraId="1C5A6774" w14:textId="77777777" w:rsidR="000C099C" w:rsidRDefault="000C099C" w:rsidP="00B778E1">
      <w:pPr>
        <w:pStyle w:val="Heading1"/>
        <w:jc w:val="center"/>
      </w:pPr>
      <w:bookmarkStart w:id="343" w:name="ExhibitE"/>
      <w:bookmarkStart w:id="344" w:name="_Toc227820465"/>
      <w:bookmarkStart w:id="345" w:name="_Toc227821726"/>
      <w:bookmarkStart w:id="346" w:name="_Toc227821844"/>
      <w:bookmarkStart w:id="347" w:name="_Toc535916185"/>
      <w:r w:rsidRPr="00B778E1">
        <w:rPr>
          <w:i/>
          <w:sz w:val="28"/>
          <w:szCs w:val="28"/>
        </w:rPr>
        <w:t xml:space="preserve">Exhibit </w:t>
      </w:r>
      <w:bookmarkEnd w:id="343"/>
      <w:bookmarkEnd w:id="344"/>
      <w:bookmarkEnd w:id="345"/>
      <w:bookmarkEnd w:id="346"/>
      <w:r w:rsidR="006633ED">
        <w:rPr>
          <w:i/>
          <w:sz w:val="28"/>
          <w:szCs w:val="28"/>
        </w:rPr>
        <w:t>B</w:t>
      </w:r>
      <w:r w:rsidR="00D32545">
        <w:rPr>
          <w:i/>
          <w:sz w:val="28"/>
          <w:szCs w:val="28"/>
        </w:rPr>
        <w:t xml:space="preserve"> - </w:t>
      </w:r>
      <w:r w:rsidR="00D32545" w:rsidRPr="00D32545">
        <w:rPr>
          <w:szCs w:val="24"/>
        </w:rPr>
        <w:t>Not</w:t>
      </w:r>
      <w:r w:rsidR="00B778E1">
        <w:t>ice Forms</w:t>
      </w:r>
      <w:bookmarkEnd w:id="347"/>
    </w:p>
    <w:p w14:paraId="533F82B7" w14:textId="77777777" w:rsidR="000C099C" w:rsidRDefault="000C099C">
      <w:pPr>
        <w:rPr>
          <w:sz w:val="24"/>
        </w:rPr>
      </w:pPr>
    </w:p>
    <w:p w14:paraId="46867B73" w14:textId="77777777" w:rsidR="000C099C" w:rsidRDefault="000C099C">
      <w:pPr>
        <w:rPr>
          <w:sz w:val="24"/>
        </w:rPr>
      </w:pPr>
    </w:p>
    <w:p w14:paraId="303AC3DE" w14:textId="77777777" w:rsidR="000C099C" w:rsidRPr="00C62195" w:rsidRDefault="000C099C" w:rsidP="00C62195">
      <w:pPr>
        <w:pStyle w:val="Heading3"/>
        <w:jc w:val="center"/>
        <w:rPr>
          <w:sz w:val="36"/>
          <w:szCs w:val="36"/>
        </w:rPr>
      </w:pPr>
      <w:r w:rsidRPr="00C62195">
        <w:rPr>
          <w:sz w:val="36"/>
          <w:szCs w:val="36"/>
        </w:rPr>
        <w:t>Private Securities Transactions</w:t>
      </w:r>
    </w:p>
    <w:p w14:paraId="5978F45D" w14:textId="77777777" w:rsidR="000C099C" w:rsidRDefault="000C099C">
      <w:pPr>
        <w:rPr>
          <w:sz w:val="28"/>
        </w:rPr>
      </w:pPr>
    </w:p>
    <w:p w14:paraId="10437006" w14:textId="77777777" w:rsidR="000C099C" w:rsidRDefault="000C099C">
      <w:pPr>
        <w:rPr>
          <w:sz w:val="24"/>
        </w:rPr>
      </w:pPr>
    </w:p>
    <w:p w14:paraId="062D60AA" w14:textId="77777777" w:rsidR="000C099C" w:rsidRDefault="000C099C">
      <w:pPr>
        <w:rPr>
          <w:sz w:val="24"/>
        </w:rPr>
      </w:pPr>
    </w:p>
    <w:tbl>
      <w:tblPr>
        <w:tblW w:w="0" w:type="auto"/>
        <w:tblBorders>
          <w:top w:val="sing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4338"/>
        <w:gridCol w:w="5238"/>
      </w:tblGrid>
      <w:tr w:rsidR="000C099C" w14:paraId="1FD24F23" w14:textId="77777777">
        <w:tc>
          <w:tcPr>
            <w:tcW w:w="4338" w:type="dxa"/>
            <w:tcBorders>
              <w:top w:val="double" w:sz="6" w:space="0" w:color="auto"/>
              <w:bottom w:val="single" w:sz="6" w:space="0" w:color="auto"/>
            </w:tcBorders>
          </w:tcPr>
          <w:p w14:paraId="15E1FC01" w14:textId="77777777" w:rsidR="000C099C" w:rsidRDefault="000C099C">
            <w:pPr>
              <w:rPr>
                <w:sz w:val="24"/>
              </w:rPr>
            </w:pPr>
          </w:p>
          <w:p w14:paraId="198D6637" w14:textId="77777777" w:rsidR="000C099C" w:rsidRDefault="000C099C">
            <w:pPr>
              <w:rPr>
                <w:sz w:val="24"/>
              </w:rPr>
            </w:pPr>
            <w:r>
              <w:rPr>
                <w:sz w:val="24"/>
              </w:rPr>
              <w:t>Name of Account:</w:t>
            </w:r>
          </w:p>
        </w:tc>
        <w:tc>
          <w:tcPr>
            <w:tcW w:w="5238" w:type="dxa"/>
            <w:tcBorders>
              <w:top w:val="double" w:sz="6" w:space="0" w:color="auto"/>
              <w:bottom w:val="single" w:sz="6" w:space="0" w:color="auto"/>
            </w:tcBorders>
          </w:tcPr>
          <w:p w14:paraId="60971A21" w14:textId="77777777" w:rsidR="000C099C" w:rsidRDefault="000C099C">
            <w:pPr>
              <w:rPr>
                <w:sz w:val="24"/>
              </w:rPr>
            </w:pPr>
          </w:p>
        </w:tc>
      </w:tr>
      <w:tr w:rsidR="000C099C" w14:paraId="317B6B04" w14:textId="77777777">
        <w:tc>
          <w:tcPr>
            <w:tcW w:w="4338" w:type="dxa"/>
            <w:tcBorders>
              <w:top w:val="nil"/>
            </w:tcBorders>
          </w:tcPr>
          <w:p w14:paraId="6232C1D0" w14:textId="77777777" w:rsidR="000C099C" w:rsidRDefault="000C099C">
            <w:pPr>
              <w:rPr>
                <w:sz w:val="24"/>
              </w:rPr>
            </w:pPr>
          </w:p>
          <w:p w14:paraId="50422912" w14:textId="77777777" w:rsidR="000C099C" w:rsidRDefault="000C099C">
            <w:pPr>
              <w:rPr>
                <w:sz w:val="24"/>
              </w:rPr>
            </w:pPr>
            <w:r>
              <w:rPr>
                <w:sz w:val="24"/>
              </w:rPr>
              <w:t>Executing Broker/Dealer:</w:t>
            </w:r>
          </w:p>
        </w:tc>
        <w:tc>
          <w:tcPr>
            <w:tcW w:w="5238" w:type="dxa"/>
            <w:tcBorders>
              <w:top w:val="nil"/>
            </w:tcBorders>
          </w:tcPr>
          <w:p w14:paraId="152E6F95" w14:textId="77777777" w:rsidR="000C099C" w:rsidRDefault="000C099C">
            <w:pPr>
              <w:rPr>
                <w:sz w:val="24"/>
              </w:rPr>
            </w:pPr>
          </w:p>
        </w:tc>
      </w:tr>
      <w:tr w:rsidR="000C099C" w14:paraId="7BF5E20C" w14:textId="77777777">
        <w:tc>
          <w:tcPr>
            <w:tcW w:w="4338" w:type="dxa"/>
          </w:tcPr>
          <w:p w14:paraId="66C541A8" w14:textId="77777777" w:rsidR="000C099C" w:rsidRDefault="000C099C">
            <w:pPr>
              <w:rPr>
                <w:sz w:val="24"/>
              </w:rPr>
            </w:pPr>
          </w:p>
          <w:p w14:paraId="3874B5A1" w14:textId="77777777" w:rsidR="000C099C" w:rsidRDefault="000C099C">
            <w:pPr>
              <w:rPr>
                <w:sz w:val="24"/>
              </w:rPr>
            </w:pPr>
            <w:r>
              <w:rPr>
                <w:sz w:val="24"/>
              </w:rPr>
              <w:t>Date:</w:t>
            </w:r>
          </w:p>
        </w:tc>
        <w:tc>
          <w:tcPr>
            <w:tcW w:w="5238" w:type="dxa"/>
          </w:tcPr>
          <w:p w14:paraId="7068B508" w14:textId="77777777" w:rsidR="000C099C" w:rsidRDefault="000C099C">
            <w:pPr>
              <w:rPr>
                <w:sz w:val="24"/>
              </w:rPr>
            </w:pPr>
          </w:p>
        </w:tc>
      </w:tr>
      <w:tr w:rsidR="000C099C" w14:paraId="324C27ED" w14:textId="77777777">
        <w:tc>
          <w:tcPr>
            <w:tcW w:w="4338" w:type="dxa"/>
          </w:tcPr>
          <w:p w14:paraId="22EDE72A" w14:textId="77777777" w:rsidR="000C099C" w:rsidRDefault="000C099C">
            <w:pPr>
              <w:rPr>
                <w:sz w:val="24"/>
              </w:rPr>
            </w:pPr>
          </w:p>
          <w:p w14:paraId="1BC9F307" w14:textId="77777777" w:rsidR="000C099C" w:rsidRDefault="000C099C">
            <w:pPr>
              <w:rPr>
                <w:sz w:val="24"/>
              </w:rPr>
            </w:pPr>
            <w:r>
              <w:rPr>
                <w:sz w:val="24"/>
              </w:rPr>
              <w:t>Security to be Bought/Sold:</w:t>
            </w:r>
          </w:p>
        </w:tc>
        <w:tc>
          <w:tcPr>
            <w:tcW w:w="5238" w:type="dxa"/>
          </w:tcPr>
          <w:p w14:paraId="2D7D12EF" w14:textId="77777777" w:rsidR="000C099C" w:rsidRDefault="000C099C">
            <w:pPr>
              <w:rPr>
                <w:sz w:val="24"/>
              </w:rPr>
            </w:pPr>
          </w:p>
        </w:tc>
      </w:tr>
      <w:tr w:rsidR="000C099C" w14:paraId="4D2CAEE8" w14:textId="77777777">
        <w:tc>
          <w:tcPr>
            <w:tcW w:w="4338" w:type="dxa"/>
          </w:tcPr>
          <w:p w14:paraId="2EA4856B" w14:textId="77777777" w:rsidR="000C099C" w:rsidRDefault="000C099C">
            <w:pPr>
              <w:rPr>
                <w:sz w:val="24"/>
              </w:rPr>
            </w:pPr>
          </w:p>
          <w:p w14:paraId="789F16EF" w14:textId="77777777" w:rsidR="000C099C" w:rsidRDefault="000C099C">
            <w:pPr>
              <w:rPr>
                <w:sz w:val="24"/>
              </w:rPr>
            </w:pPr>
            <w:r>
              <w:rPr>
                <w:sz w:val="24"/>
              </w:rPr>
              <w:t>Customer or Account Name:</w:t>
            </w:r>
          </w:p>
        </w:tc>
        <w:tc>
          <w:tcPr>
            <w:tcW w:w="5238" w:type="dxa"/>
          </w:tcPr>
          <w:p w14:paraId="0A3FD074" w14:textId="77777777" w:rsidR="000C099C" w:rsidRDefault="000C099C">
            <w:pPr>
              <w:rPr>
                <w:sz w:val="24"/>
              </w:rPr>
            </w:pPr>
          </w:p>
        </w:tc>
      </w:tr>
      <w:tr w:rsidR="000C099C" w14:paraId="21126873" w14:textId="77777777">
        <w:tc>
          <w:tcPr>
            <w:tcW w:w="4338" w:type="dxa"/>
          </w:tcPr>
          <w:p w14:paraId="463EE009" w14:textId="77777777" w:rsidR="000C099C" w:rsidRDefault="000C099C">
            <w:pPr>
              <w:rPr>
                <w:sz w:val="24"/>
              </w:rPr>
            </w:pPr>
          </w:p>
          <w:p w14:paraId="7525865E" w14:textId="77777777" w:rsidR="000C099C" w:rsidRDefault="000C099C">
            <w:pPr>
              <w:rPr>
                <w:sz w:val="24"/>
              </w:rPr>
            </w:pPr>
            <w:r>
              <w:rPr>
                <w:sz w:val="24"/>
              </w:rPr>
              <w:t>Price Per Share:</w:t>
            </w:r>
          </w:p>
        </w:tc>
        <w:tc>
          <w:tcPr>
            <w:tcW w:w="5238" w:type="dxa"/>
          </w:tcPr>
          <w:p w14:paraId="3BA0C0D4" w14:textId="77777777" w:rsidR="000C099C" w:rsidRDefault="000C099C">
            <w:pPr>
              <w:rPr>
                <w:sz w:val="24"/>
              </w:rPr>
            </w:pPr>
          </w:p>
        </w:tc>
      </w:tr>
      <w:tr w:rsidR="000C099C" w14:paraId="25C98BB9" w14:textId="77777777">
        <w:tc>
          <w:tcPr>
            <w:tcW w:w="4338" w:type="dxa"/>
          </w:tcPr>
          <w:p w14:paraId="5A3DB8AD" w14:textId="77777777" w:rsidR="000C099C" w:rsidRDefault="000C099C">
            <w:pPr>
              <w:rPr>
                <w:sz w:val="24"/>
              </w:rPr>
            </w:pPr>
            <w:r>
              <w:rPr>
                <w:sz w:val="24"/>
              </w:rPr>
              <w:t>Selling Compensation</w:t>
            </w:r>
          </w:p>
          <w:p w14:paraId="0CE2A7D5" w14:textId="77777777" w:rsidR="000C099C" w:rsidRDefault="000C099C">
            <w:pPr>
              <w:rPr>
                <w:sz w:val="24"/>
              </w:rPr>
            </w:pPr>
            <w:r>
              <w:rPr>
                <w:sz w:val="24"/>
              </w:rPr>
              <w:t>(Directly or Indirectly)</w:t>
            </w:r>
          </w:p>
        </w:tc>
        <w:tc>
          <w:tcPr>
            <w:tcW w:w="5238" w:type="dxa"/>
          </w:tcPr>
          <w:p w14:paraId="6E4D47D4" w14:textId="77777777" w:rsidR="000C099C" w:rsidRDefault="000C099C">
            <w:pPr>
              <w:rPr>
                <w:sz w:val="24"/>
              </w:rPr>
            </w:pPr>
          </w:p>
        </w:tc>
      </w:tr>
      <w:tr w:rsidR="000B6041" w14:paraId="6B836A7A" w14:textId="77777777">
        <w:tc>
          <w:tcPr>
            <w:tcW w:w="4338" w:type="dxa"/>
          </w:tcPr>
          <w:p w14:paraId="40020DDA" w14:textId="77777777" w:rsidR="000B6041" w:rsidRDefault="000B6041">
            <w:pPr>
              <w:rPr>
                <w:sz w:val="24"/>
              </w:rPr>
            </w:pPr>
          </w:p>
          <w:p w14:paraId="29DA2F46" w14:textId="77777777" w:rsidR="000B6041" w:rsidRDefault="000B6041">
            <w:pPr>
              <w:rPr>
                <w:sz w:val="24"/>
              </w:rPr>
            </w:pPr>
            <w:r>
              <w:rPr>
                <w:sz w:val="24"/>
              </w:rPr>
              <w:t xml:space="preserve">RR Signature: </w:t>
            </w:r>
          </w:p>
        </w:tc>
        <w:tc>
          <w:tcPr>
            <w:tcW w:w="5238" w:type="dxa"/>
          </w:tcPr>
          <w:p w14:paraId="32546A6B" w14:textId="77777777" w:rsidR="000B6041" w:rsidRDefault="000B6041">
            <w:pPr>
              <w:rPr>
                <w:sz w:val="24"/>
              </w:rPr>
            </w:pPr>
          </w:p>
        </w:tc>
      </w:tr>
      <w:tr w:rsidR="000C099C" w14:paraId="3285F297" w14:textId="77777777">
        <w:tc>
          <w:tcPr>
            <w:tcW w:w="4338" w:type="dxa"/>
          </w:tcPr>
          <w:p w14:paraId="2B98C1D5" w14:textId="77777777" w:rsidR="000C099C" w:rsidRDefault="000C099C">
            <w:pPr>
              <w:rPr>
                <w:sz w:val="24"/>
              </w:rPr>
            </w:pPr>
          </w:p>
          <w:p w14:paraId="1E50D76E" w14:textId="77777777" w:rsidR="000C099C" w:rsidRDefault="000C099C">
            <w:pPr>
              <w:rPr>
                <w:sz w:val="24"/>
              </w:rPr>
            </w:pPr>
            <w:r>
              <w:rPr>
                <w:sz w:val="24"/>
              </w:rPr>
              <w:t>Authorization By::</w:t>
            </w:r>
          </w:p>
        </w:tc>
        <w:tc>
          <w:tcPr>
            <w:tcW w:w="5238" w:type="dxa"/>
          </w:tcPr>
          <w:p w14:paraId="1E6562A4" w14:textId="77777777" w:rsidR="000C099C" w:rsidRDefault="000C099C">
            <w:pPr>
              <w:rPr>
                <w:sz w:val="24"/>
              </w:rPr>
            </w:pPr>
          </w:p>
        </w:tc>
      </w:tr>
      <w:tr w:rsidR="000C099C" w14:paraId="44F28979" w14:textId="77777777">
        <w:tc>
          <w:tcPr>
            <w:tcW w:w="4338" w:type="dxa"/>
          </w:tcPr>
          <w:p w14:paraId="57B8497F" w14:textId="77777777" w:rsidR="000C099C" w:rsidRDefault="000C099C">
            <w:pPr>
              <w:rPr>
                <w:sz w:val="24"/>
              </w:rPr>
            </w:pPr>
            <w:r>
              <w:rPr>
                <w:sz w:val="24"/>
              </w:rPr>
              <w:t>Does an Investment Advisory Client hold a position in this Security?</w:t>
            </w:r>
          </w:p>
        </w:tc>
        <w:tc>
          <w:tcPr>
            <w:tcW w:w="5238" w:type="dxa"/>
          </w:tcPr>
          <w:p w14:paraId="53E86148" w14:textId="77777777" w:rsidR="000C099C" w:rsidRDefault="000C099C">
            <w:pPr>
              <w:rPr>
                <w:sz w:val="24"/>
              </w:rPr>
            </w:pPr>
          </w:p>
          <w:p w14:paraId="14E8E053" w14:textId="77777777" w:rsidR="000C099C" w:rsidRDefault="000C099C">
            <w:pPr>
              <w:rPr>
                <w:sz w:val="24"/>
              </w:rPr>
            </w:pPr>
            <w:r>
              <w:rPr>
                <w:sz w:val="24"/>
              </w:rPr>
              <w:t>[   ]  Yes     [   ]  No</w:t>
            </w:r>
          </w:p>
        </w:tc>
      </w:tr>
      <w:tr w:rsidR="000C099C" w14:paraId="32262F80" w14:textId="77777777">
        <w:tc>
          <w:tcPr>
            <w:tcW w:w="4338" w:type="dxa"/>
          </w:tcPr>
          <w:p w14:paraId="2790BF13" w14:textId="77777777" w:rsidR="000C099C" w:rsidRDefault="000C099C">
            <w:pPr>
              <w:rPr>
                <w:sz w:val="24"/>
              </w:rPr>
            </w:pPr>
          </w:p>
          <w:p w14:paraId="76FF06C1" w14:textId="77777777" w:rsidR="000C099C" w:rsidRDefault="000C099C">
            <w:pPr>
              <w:rPr>
                <w:sz w:val="24"/>
              </w:rPr>
            </w:pPr>
            <w:r>
              <w:rPr>
                <w:sz w:val="24"/>
              </w:rPr>
              <w:t>If so, was the trade preauthorized?</w:t>
            </w:r>
          </w:p>
        </w:tc>
        <w:tc>
          <w:tcPr>
            <w:tcW w:w="5238" w:type="dxa"/>
          </w:tcPr>
          <w:p w14:paraId="30B30590" w14:textId="77777777" w:rsidR="000C099C" w:rsidRDefault="000C099C">
            <w:pPr>
              <w:rPr>
                <w:sz w:val="24"/>
              </w:rPr>
            </w:pPr>
          </w:p>
          <w:p w14:paraId="5EE92B12" w14:textId="77777777" w:rsidR="000C099C" w:rsidRDefault="000C099C">
            <w:pPr>
              <w:rPr>
                <w:sz w:val="24"/>
              </w:rPr>
            </w:pPr>
            <w:r>
              <w:rPr>
                <w:sz w:val="24"/>
              </w:rPr>
              <w:t>[   ]  Yes     [   ]  No</w:t>
            </w:r>
          </w:p>
        </w:tc>
      </w:tr>
    </w:tbl>
    <w:p w14:paraId="7DF912CB" w14:textId="77777777" w:rsidR="000C099C" w:rsidRDefault="000C099C">
      <w:pPr>
        <w:rPr>
          <w:sz w:val="24"/>
        </w:rPr>
      </w:pPr>
    </w:p>
    <w:p w14:paraId="5752F905" w14:textId="77777777" w:rsidR="000C099C" w:rsidRDefault="000C099C">
      <w:pPr>
        <w:rPr>
          <w:sz w:val="24"/>
        </w:rPr>
      </w:pPr>
    </w:p>
    <w:p w14:paraId="252817A6" w14:textId="77777777" w:rsidR="000C099C" w:rsidRPr="000B7649" w:rsidRDefault="000C099C" w:rsidP="00CB1B79">
      <w:pPr>
        <w:pStyle w:val="Heading3"/>
        <w:ind w:left="0"/>
        <w:jc w:val="center"/>
        <w:rPr>
          <w:sz w:val="32"/>
          <w:szCs w:val="32"/>
        </w:rPr>
      </w:pPr>
      <w:r>
        <w:br w:type="page"/>
      </w:r>
      <w:r w:rsidRPr="000B7649">
        <w:rPr>
          <w:sz w:val="32"/>
          <w:szCs w:val="32"/>
        </w:rPr>
        <w:lastRenderedPageBreak/>
        <w:t>Outside Business Activities</w:t>
      </w:r>
    </w:p>
    <w:p w14:paraId="0E200530" w14:textId="77777777" w:rsidR="00BB7660" w:rsidRPr="00DF008B" w:rsidRDefault="000C099C" w:rsidP="00DF008B">
      <w:pPr>
        <w:jc w:val="center"/>
        <w:rPr>
          <w:rFonts w:cs="Arial"/>
          <w:color w:val="0070C0"/>
          <w:sz w:val="28"/>
          <w:szCs w:val="28"/>
        </w:rPr>
      </w:pPr>
      <w:r w:rsidRPr="00DF008B">
        <w:rPr>
          <w:b/>
          <w:bCs/>
          <w:i/>
          <w:iCs/>
          <w:color w:val="3333FF"/>
          <w:sz w:val="28"/>
          <w:szCs w:val="28"/>
        </w:rPr>
        <w:t>(</w:t>
      </w:r>
      <w:r w:rsidR="00DF008B">
        <w:rPr>
          <w:b/>
          <w:bCs/>
          <w:i/>
          <w:iCs/>
          <w:color w:val="3333FF"/>
          <w:sz w:val="28"/>
          <w:szCs w:val="28"/>
        </w:rPr>
        <w:t xml:space="preserve">OBA </w:t>
      </w:r>
      <w:r w:rsidRPr="00DF008B">
        <w:rPr>
          <w:b/>
          <w:bCs/>
          <w:i/>
          <w:iCs/>
          <w:color w:val="3333FF"/>
          <w:sz w:val="28"/>
          <w:szCs w:val="28"/>
        </w:rPr>
        <w:t>Or Outside RIA Affiliation/Activities)</w:t>
      </w:r>
    </w:p>
    <w:p w14:paraId="7D73B9A8" w14:textId="77777777" w:rsidR="00BB7660" w:rsidRPr="00470C84" w:rsidRDefault="00BB7660" w:rsidP="00BB7660">
      <w:pPr>
        <w:pBdr>
          <w:top w:val="single" w:sz="4" w:space="4" w:color="auto"/>
          <w:left w:val="single" w:sz="4" w:space="4" w:color="auto"/>
          <w:bottom w:val="single" w:sz="4" w:space="4"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18"/>
          <w:szCs w:val="18"/>
        </w:rPr>
      </w:pPr>
      <w:r w:rsidRPr="00470C84">
        <w:rPr>
          <w:rFonts w:cs="Arial"/>
          <w:b/>
          <w:bCs/>
          <w:sz w:val="18"/>
          <w:szCs w:val="18"/>
        </w:rPr>
        <w:t xml:space="preserve">Note:  </w:t>
      </w:r>
      <w:r w:rsidRPr="00470C84">
        <w:rPr>
          <w:rFonts w:cs="Arial"/>
          <w:sz w:val="18"/>
          <w:szCs w:val="18"/>
        </w:rPr>
        <w:t xml:space="preserve">Employees are required to provide information regarding proposed outside business activities prior to engaging in them, as required by SRO rules.  This form should be completed and submitted to Compliance which will review the request and notify the employee and the employee's supervisor of approval or disapproval.  Approval is not required for uncompensated charitable </w:t>
      </w:r>
      <w:r w:rsidR="002470EF" w:rsidRPr="00470C84">
        <w:rPr>
          <w:rFonts w:cs="Arial"/>
          <w:sz w:val="18"/>
          <w:szCs w:val="18"/>
        </w:rPr>
        <w:t>activities,</w:t>
      </w:r>
      <w:r w:rsidR="009A569C">
        <w:rPr>
          <w:rFonts w:cs="Arial"/>
          <w:sz w:val="18"/>
          <w:szCs w:val="18"/>
        </w:rPr>
        <w:t xml:space="preserve"> but Notice is required</w:t>
      </w:r>
      <w:r w:rsidRPr="00470C84">
        <w:rPr>
          <w:rFonts w:cs="Arial"/>
          <w:sz w:val="18"/>
          <w:szCs w:val="18"/>
        </w:rPr>
        <w:t xml:space="preserve">.  </w:t>
      </w:r>
      <w:r w:rsidRPr="00470C84">
        <w:rPr>
          <w:rFonts w:cs="Arial"/>
          <w:b/>
          <w:sz w:val="18"/>
          <w:szCs w:val="18"/>
        </w:rPr>
        <w:t>Use attachments or the reverse side of this form to continue your responses.</w:t>
      </w:r>
    </w:p>
    <w:p w14:paraId="5BA65D36" w14:textId="77777777" w:rsidR="00BB7660" w:rsidRPr="00470C84" w:rsidRDefault="00BB7660" w:rsidP="00BB766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183"/>
      </w:tblGrid>
      <w:tr w:rsidR="00BB7660" w:rsidRPr="00470C84" w14:paraId="07A70931" w14:textId="77777777" w:rsidTr="00DF008B">
        <w:tc>
          <w:tcPr>
            <w:tcW w:w="4355" w:type="dxa"/>
            <w:shd w:val="clear" w:color="auto" w:fill="E6E6E6"/>
          </w:tcPr>
          <w:p w14:paraId="1852D223" w14:textId="77777777" w:rsidR="00BB7660" w:rsidRPr="00470C84" w:rsidRDefault="00BB7660" w:rsidP="00DF008B">
            <w:pPr>
              <w:jc w:val="center"/>
              <w:rPr>
                <w:b/>
              </w:rPr>
            </w:pPr>
            <w:r w:rsidRPr="00470C84">
              <w:rPr>
                <w:b/>
              </w:rPr>
              <w:t xml:space="preserve">Information </w:t>
            </w:r>
            <w:r w:rsidR="002470EF">
              <w:rPr>
                <w:b/>
              </w:rPr>
              <w:t>t</w:t>
            </w:r>
            <w:r w:rsidRPr="00470C84">
              <w:rPr>
                <w:b/>
              </w:rPr>
              <w:t>o Be Provided</w:t>
            </w:r>
          </w:p>
        </w:tc>
        <w:tc>
          <w:tcPr>
            <w:tcW w:w="5221" w:type="dxa"/>
            <w:shd w:val="clear" w:color="auto" w:fill="E6E6E6"/>
          </w:tcPr>
          <w:p w14:paraId="3C54434F" w14:textId="77777777" w:rsidR="00BB7660" w:rsidRPr="00470C84" w:rsidRDefault="00BB7660" w:rsidP="00DF008B">
            <w:pPr>
              <w:jc w:val="center"/>
              <w:rPr>
                <w:b/>
              </w:rPr>
            </w:pPr>
            <w:r w:rsidRPr="00470C84">
              <w:rPr>
                <w:b/>
              </w:rPr>
              <w:t>Responses</w:t>
            </w:r>
          </w:p>
        </w:tc>
      </w:tr>
      <w:tr w:rsidR="00BB7660" w:rsidRPr="00470C84" w14:paraId="7F22C784" w14:textId="77777777" w:rsidTr="00DF008B">
        <w:tc>
          <w:tcPr>
            <w:tcW w:w="4355" w:type="dxa"/>
          </w:tcPr>
          <w:p w14:paraId="2E1847F6" w14:textId="77777777" w:rsidR="00BB7660" w:rsidRPr="00470C84" w:rsidRDefault="00BB7660" w:rsidP="00DF008B">
            <w:pPr>
              <w:rPr>
                <w:b/>
              </w:rPr>
            </w:pPr>
            <w:r w:rsidRPr="00470C84">
              <w:rPr>
                <w:b/>
              </w:rPr>
              <w:t>1.  Name and address of outside business or other organization</w:t>
            </w:r>
            <w:r w:rsidR="00BA1A27" w:rsidRPr="00470C84">
              <w:rPr>
                <w:b/>
              </w:rPr>
              <w:t xml:space="preserve"> and any website</w:t>
            </w:r>
            <w:r w:rsidRPr="00470C84">
              <w:rPr>
                <w:b/>
              </w:rPr>
              <w:t>.</w:t>
            </w:r>
          </w:p>
          <w:p w14:paraId="748D73D1" w14:textId="77777777" w:rsidR="00BB7660" w:rsidRPr="00470C84" w:rsidRDefault="00BB7660" w:rsidP="00DF008B">
            <w:pPr>
              <w:rPr>
                <w:b/>
              </w:rPr>
            </w:pPr>
          </w:p>
          <w:p w14:paraId="71A115C1" w14:textId="77777777" w:rsidR="00BB7660" w:rsidRPr="00470C84" w:rsidRDefault="00BB7660" w:rsidP="00DF008B">
            <w:pPr>
              <w:rPr>
                <w:b/>
              </w:rPr>
            </w:pPr>
          </w:p>
        </w:tc>
        <w:tc>
          <w:tcPr>
            <w:tcW w:w="5221" w:type="dxa"/>
          </w:tcPr>
          <w:p w14:paraId="4BCC7EA1" w14:textId="77777777" w:rsidR="00BB7660" w:rsidRPr="00470C84" w:rsidRDefault="00BB7660" w:rsidP="00DF008B"/>
        </w:tc>
      </w:tr>
      <w:tr w:rsidR="00BB7660" w:rsidRPr="00470C84" w14:paraId="3E15D416" w14:textId="77777777" w:rsidTr="00DF008B">
        <w:tc>
          <w:tcPr>
            <w:tcW w:w="4355" w:type="dxa"/>
          </w:tcPr>
          <w:p w14:paraId="744D1BC5" w14:textId="77777777" w:rsidR="00BB7660" w:rsidRPr="00470C84" w:rsidRDefault="00BB7660" w:rsidP="00DF008B">
            <w:pPr>
              <w:rPr>
                <w:b/>
              </w:rPr>
            </w:pPr>
            <w:r w:rsidRPr="00470C84">
              <w:rPr>
                <w:b/>
              </w:rPr>
              <w:t>2.  Nature of outside business or organization (type of business or activities engaged in).</w:t>
            </w:r>
          </w:p>
          <w:p w14:paraId="4D2F487B" w14:textId="77777777" w:rsidR="00BB7660" w:rsidRPr="00470C84" w:rsidRDefault="00BB7660" w:rsidP="00DF008B">
            <w:pPr>
              <w:rPr>
                <w:b/>
              </w:rPr>
            </w:pPr>
          </w:p>
          <w:p w14:paraId="29FC7086" w14:textId="77777777" w:rsidR="00BB7660" w:rsidRPr="00470C84" w:rsidRDefault="00BB7660" w:rsidP="00DF008B">
            <w:pPr>
              <w:rPr>
                <w:b/>
              </w:rPr>
            </w:pPr>
          </w:p>
        </w:tc>
        <w:tc>
          <w:tcPr>
            <w:tcW w:w="5221" w:type="dxa"/>
          </w:tcPr>
          <w:p w14:paraId="5475965A" w14:textId="77777777" w:rsidR="00BB7660" w:rsidRPr="00470C84" w:rsidRDefault="00BB7660" w:rsidP="00DF008B"/>
        </w:tc>
      </w:tr>
      <w:tr w:rsidR="00BB7660" w:rsidRPr="00470C84" w14:paraId="1E84E555" w14:textId="77777777" w:rsidTr="00DF008B">
        <w:tc>
          <w:tcPr>
            <w:tcW w:w="4355" w:type="dxa"/>
          </w:tcPr>
          <w:p w14:paraId="66761E37" w14:textId="77777777" w:rsidR="00BB7660" w:rsidRPr="00470C84" w:rsidRDefault="00BB7660" w:rsidP="00BA1A27">
            <w:pPr>
              <w:rPr>
                <w:b/>
              </w:rPr>
            </w:pPr>
            <w:r w:rsidRPr="00470C84">
              <w:rPr>
                <w:b/>
              </w:rPr>
              <w:t xml:space="preserve">3.  </w:t>
            </w:r>
            <w:r w:rsidR="00BA1A27" w:rsidRPr="00470C84">
              <w:rPr>
                <w:b/>
              </w:rPr>
              <w:t>Start Date</w:t>
            </w:r>
          </w:p>
          <w:p w14:paraId="5C721618" w14:textId="77777777" w:rsidR="00BA1A27" w:rsidRPr="00470C84" w:rsidRDefault="00BA1A27" w:rsidP="00BA1A27">
            <w:pPr>
              <w:rPr>
                <w:b/>
              </w:rPr>
            </w:pPr>
          </w:p>
        </w:tc>
        <w:tc>
          <w:tcPr>
            <w:tcW w:w="5221" w:type="dxa"/>
          </w:tcPr>
          <w:p w14:paraId="1FC68910" w14:textId="77777777" w:rsidR="00BB7660" w:rsidRPr="00470C84" w:rsidRDefault="00BB7660" w:rsidP="00DF008B"/>
        </w:tc>
      </w:tr>
      <w:tr w:rsidR="00BB7660" w:rsidRPr="00470C84" w14:paraId="15BB129D" w14:textId="77777777" w:rsidTr="00DF008B">
        <w:tc>
          <w:tcPr>
            <w:tcW w:w="4355" w:type="dxa"/>
          </w:tcPr>
          <w:p w14:paraId="6B5EC265" w14:textId="77777777" w:rsidR="00BB7660" w:rsidRPr="00470C84" w:rsidRDefault="00BB7660" w:rsidP="00DF008B">
            <w:pPr>
              <w:rPr>
                <w:b/>
              </w:rPr>
            </w:pPr>
            <w:r w:rsidRPr="00470C84">
              <w:rPr>
                <w:b/>
              </w:rPr>
              <w:t>4.  Explain your proposed involvement and responsibilities, including any title you will hold.</w:t>
            </w:r>
          </w:p>
          <w:p w14:paraId="2D5498B3" w14:textId="77777777" w:rsidR="00BB7660" w:rsidRPr="00470C84" w:rsidRDefault="00BB7660" w:rsidP="00DF008B">
            <w:pPr>
              <w:rPr>
                <w:b/>
              </w:rPr>
            </w:pPr>
          </w:p>
          <w:p w14:paraId="2172D62F" w14:textId="77777777" w:rsidR="00BB7660" w:rsidRPr="00470C84" w:rsidRDefault="00BB7660" w:rsidP="00DF008B">
            <w:pPr>
              <w:rPr>
                <w:b/>
              </w:rPr>
            </w:pPr>
          </w:p>
        </w:tc>
        <w:tc>
          <w:tcPr>
            <w:tcW w:w="5221" w:type="dxa"/>
          </w:tcPr>
          <w:p w14:paraId="4D8F83AB" w14:textId="77777777" w:rsidR="00BB7660" w:rsidRPr="00470C84" w:rsidRDefault="00BB7660" w:rsidP="00DF008B"/>
        </w:tc>
      </w:tr>
      <w:tr w:rsidR="00BB7660" w:rsidRPr="00470C84" w14:paraId="1202D06F" w14:textId="77777777" w:rsidTr="00DF008B">
        <w:tc>
          <w:tcPr>
            <w:tcW w:w="4355" w:type="dxa"/>
          </w:tcPr>
          <w:p w14:paraId="44C5BC32" w14:textId="77777777" w:rsidR="00BB7660" w:rsidRPr="00470C84" w:rsidRDefault="00BB7660" w:rsidP="00DF008B">
            <w:pPr>
              <w:rPr>
                <w:b/>
              </w:rPr>
            </w:pPr>
            <w:r w:rsidRPr="00470C84">
              <w:rPr>
                <w:b/>
              </w:rPr>
              <w:t>5.  Describe any compensation you will receive.</w:t>
            </w:r>
          </w:p>
          <w:p w14:paraId="70D1959D" w14:textId="77777777" w:rsidR="00BB7660" w:rsidRPr="00470C84" w:rsidRDefault="00BB7660" w:rsidP="00DF008B">
            <w:pPr>
              <w:rPr>
                <w:b/>
              </w:rPr>
            </w:pPr>
          </w:p>
          <w:p w14:paraId="3365A4DE" w14:textId="77777777" w:rsidR="00BB7660" w:rsidRPr="00470C84" w:rsidRDefault="00BB7660" w:rsidP="00DF008B">
            <w:pPr>
              <w:rPr>
                <w:b/>
              </w:rPr>
            </w:pPr>
          </w:p>
        </w:tc>
        <w:tc>
          <w:tcPr>
            <w:tcW w:w="5221" w:type="dxa"/>
          </w:tcPr>
          <w:p w14:paraId="5D72A3CD" w14:textId="77777777" w:rsidR="00BB7660" w:rsidRPr="00470C84" w:rsidRDefault="00BB7660" w:rsidP="00DF008B"/>
        </w:tc>
      </w:tr>
      <w:tr w:rsidR="00BB7660" w:rsidRPr="00470C84" w14:paraId="1819E82F" w14:textId="77777777" w:rsidTr="00DF008B">
        <w:tc>
          <w:tcPr>
            <w:tcW w:w="4355" w:type="dxa"/>
          </w:tcPr>
          <w:p w14:paraId="1102E774" w14:textId="77777777" w:rsidR="00BB7660" w:rsidRPr="00470C84" w:rsidRDefault="00BB7660" w:rsidP="00DF008B">
            <w:pPr>
              <w:rPr>
                <w:b/>
              </w:rPr>
            </w:pPr>
            <w:r w:rsidRPr="00470C84">
              <w:rPr>
                <w:b/>
              </w:rPr>
              <w:t>6.  Will you have a personal financial investment in this activity?  If YES, describe.</w:t>
            </w:r>
          </w:p>
          <w:p w14:paraId="3775F84D" w14:textId="77777777" w:rsidR="00BB7660" w:rsidRPr="00470C84" w:rsidRDefault="00BB7660" w:rsidP="00DF008B">
            <w:pPr>
              <w:rPr>
                <w:b/>
              </w:rPr>
            </w:pPr>
          </w:p>
          <w:p w14:paraId="43C36D6D" w14:textId="77777777" w:rsidR="00BB7660" w:rsidRPr="00470C84" w:rsidRDefault="00BB7660" w:rsidP="00DF008B">
            <w:pPr>
              <w:rPr>
                <w:b/>
              </w:rPr>
            </w:pPr>
          </w:p>
        </w:tc>
        <w:tc>
          <w:tcPr>
            <w:tcW w:w="5221" w:type="dxa"/>
          </w:tcPr>
          <w:p w14:paraId="3B49C511" w14:textId="77777777" w:rsidR="00BB7660" w:rsidRPr="00470C84" w:rsidRDefault="00BB7660" w:rsidP="00DF008B"/>
        </w:tc>
      </w:tr>
      <w:tr w:rsidR="00BB7660" w:rsidRPr="00470C84" w14:paraId="52F02688" w14:textId="77777777" w:rsidTr="00DF008B">
        <w:tc>
          <w:tcPr>
            <w:tcW w:w="4355" w:type="dxa"/>
          </w:tcPr>
          <w:p w14:paraId="34ECFFBC" w14:textId="77777777" w:rsidR="00BB7660" w:rsidRPr="00470C84" w:rsidRDefault="00BB7660" w:rsidP="00466062">
            <w:pPr>
              <w:rPr>
                <w:b/>
              </w:rPr>
            </w:pPr>
            <w:r w:rsidRPr="00470C84">
              <w:rPr>
                <w:b/>
              </w:rPr>
              <w:t>7.  How many hours</w:t>
            </w:r>
            <w:r w:rsidR="00DF008B" w:rsidRPr="00470C84">
              <w:rPr>
                <w:b/>
              </w:rPr>
              <w:t>/</w:t>
            </w:r>
            <w:r w:rsidRPr="00470C84">
              <w:rPr>
                <w:b/>
              </w:rPr>
              <w:t xml:space="preserve">week </w:t>
            </w:r>
            <w:r w:rsidR="00DF008B" w:rsidRPr="00470C84">
              <w:rPr>
                <w:b/>
              </w:rPr>
              <w:t xml:space="preserve">for this </w:t>
            </w:r>
            <w:r w:rsidRPr="00470C84">
              <w:rPr>
                <w:b/>
              </w:rPr>
              <w:t>activity?</w:t>
            </w:r>
          </w:p>
        </w:tc>
        <w:tc>
          <w:tcPr>
            <w:tcW w:w="5221" w:type="dxa"/>
          </w:tcPr>
          <w:p w14:paraId="031B8CAB" w14:textId="77777777" w:rsidR="00BB7660" w:rsidRPr="00470C84" w:rsidRDefault="00BB7660" w:rsidP="00DF008B"/>
        </w:tc>
      </w:tr>
      <w:tr w:rsidR="00BB7660" w:rsidRPr="00470C84" w14:paraId="2D9CEA65" w14:textId="77777777" w:rsidTr="00DF008B">
        <w:tc>
          <w:tcPr>
            <w:tcW w:w="4355" w:type="dxa"/>
          </w:tcPr>
          <w:p w14:paraId="620301E7" w14:textId="77777777" w:rsidR="00BB7660" w:rsidRPr="00470C84" w:rsidRDefault="00BB7660" w:rsidP="00DF008B">
            <w:pPr>
              <w:rPr>
                <w:b/>
              </w:rPr>
            </w:pPr>
            <w:r w:rsidRPr="00470C84">
              <w:rPr>
                <w:b/>
              </w:rPr>
              <w:t xml:space="preserve">8.  Will any of these hours occur during </w:t>
            </w:r>
            <w:r w:rsidR="00CB1414">
              <w:rPr>
                <w:b/>
              </w:rPr>
              <w:t>Company</w:t>
            </w:r>
            <w:r w:rsidRPr="00470C84">
              <w:rPr>
                <w:b/>
              </w:rPr>
              <w:t>’s normal business hours?  If YES, explain.</w:t>
            </w:r>
          </w:p>
          <w:p w14:paraId="286CEB3D" w14:textId="77777777" w:rsidR="00BB7660" w:rsidRPr="00470C84" w:rsidRDefault="00BB7660" w:rsidP="00DF008B">
            <w:pPr>
              <w:rPr>
                <w:b/>
              </w:rPr>
            </w:pPr>
          </w:p>
        </w:tc>
        <w:tc>
          <w:tcPr>
            <w:tcW w:w="5221" w:type="dxa"/>
          </w:tcPr>
          <w:p w14:paraId="75894159" w14:textId="77777777" w:rsidR="00BB7660" w:rsidRPr="00470C84" w:rsidRDefault="00BB7660" w:rsidP="00DF008B"/>
        </w:tc>
      </w:tr>
      <w:tr w:rsidR="00BB7660" w:rsidRPr="00470C84" w14:paraId="7216A60C" w14:textId="77777777" w:rsidTr="00DF008B">
        <w:tc>
          <w:tcPr>
            <w:tcW w:w="4355" w:type="dxa"/>
          </w:tcPr>
          <w:p w14:paraId="77D8F04A" w14:textId="77777777" w:rsidR="00BB7660" w:rsidRPr="00470C84" w:rsidRDefault="00BB7660" w:rsidP="00CB1414">
            <w:pPr>
              <w:rPr>
                <w:b/>
              </w:rPr>
            </w:pPr>
            <w:r w:rsidRPr="00470C84">
              <w:rPr>
                <w:b/>
              </w:rPr>
              <w:t xml:space="preserve">9.  Provide any other information you believe would be helpful in </w:t>
            </w:r>
            <w:r w:rsidR="00CB1414">
              <w:rPr>
                <w:b/>
              </w:rPr>
              <w:t>the Company</w:t>
            </w:r>
            <w:r w:rsidRPr="00470C84">
              <w:rPr>
                <w:b/>
              </w:rPr>
              <w:t>’s consideration of your request.</w:t>
            </w:r>
          </w:p>
        </w:tc>
        <w:tc>
          <w:tcPr>
            <w:tcW w:w="5221" w:type="dxa"/>
          </w:tcPr>
          <w:p w14:paraId="588751A6" w14:textId="77777777" w:rsidR="00BB7660" w:rsidRPr="00470C84" w:rsidRDefault="00BB7660" w:rsidP="00DF008B"/>
          <w:p w14:paraId="5A54366E" w14:textId="77777777" w:rsidR="00BB7660" w:rsidRPr="00470C84" w:rsidRDefault="00BB7660" w:rsidP="00DF008B"/>
          <w:p w14:paraId="6BB8EDBA" w14:textId="77777777" w:rsidR="00BB7660" w:rsidRPr="00470C84" w:rsidRDefault="00BB7660" w:rsidP="00DF008B"/>
          <w:p w14:paraId="3084FB9F" w14:textId="77777777" w:rsidR="00BB7660" w:rsidRPr="00470C84" w:rsidRDefault="00BB7660" w:rsidP="00DF008B"/>
          <w:p w14:paraId="78B5D0C2" w14:textId="77777777" w:rsidR="00BB7660" w:rsidRPr="00470C84" w:rsidRDefault="00BB7660" w:rsidP="00DF008B"/>
        </w:tc>
      </w:tr>
      <w:tr w:rsidR="00BB7660" w:rsidRPr="00470C84" w14:paraId="758F663F" w14:textId="77777777" w:rsidTr="00DF008B">
        <w:tc>
          <w:tcPr>
            <w:tcW w:w="4355" w:type="dxa"/>
          </w:tcPr>
          <w:p w14:paraId="69ED1910" w14:textId="77777777" w:rsidR="00DF008B" w:rsidRPr="00470C84" w:rsidRDefault="00DF008B" w:rsidP="00DF008B">
            <w:pPr>
              <w:rPr>
                <w:b/>
              </w:rPr>
            </w:pPr>
          </w:p>
          <w:p w14:paraId="47E75AA5" w14:textId="77777777" w:rsidR="00BB7660" w:rsidRPr="00470C84" w:rsidRDefault="00DF008B" w:rsidP="00DF008B">
            <w:pPr>
              <w:rPr>
                <w:b/>
              </w:rPr>
            </w:pPr>
            <w:r w:rsidRPr="00470C84">
              <w:rPr>
                <w:b/>
              </w:rPr>
              <w:t>Print RR Name</w:t>
            </w:r>
          </w:p>
        </w:tc>
        <w:tc>
          <w:tcPr>
            <w:tcW w:w="5221" w:type="dxa"/>
          </w:tcPr>
          <w:p w14:paraId="118D51FF" w14:textId="77777777" w:rsidR="00BB7660" w:rsidRPr="00470C84" w:rsidRDefault="00BB7660" w:rsidP="00DF008B"/>
        </w:tc>
      </w:tr>
      <w:tr w:rsidR="00DF008B" w:rsidRPr="00470C84" w14:paraId="2B7108EA" w14:textId="77777777" w:rsidTr="00DF008B">
        <w:tc>
          <w:tcPr>
            <w:tcW w:w="4355" w:type="dxa"/>
          </w:tcPr>
          <w:p w14:paraId="19526B16" w14:textId="77777777" w:rsidR="00DF008B" w:rsidRPr="00470C84" w:rsidRDefault="00DF008B" w:rsidP="00DF008B">
            <w:pPr>
              <w:rPr>
                <w:b/>
              </w:rPr>
            </w:pPr>
          </w:p>
          <w:p w14:paraId="09E2E990" w14:textId="77777777" w:rsidR="00DF008B" w:rsidRPr="00470C84" w:rsidRDefault="00DF008B" w:rsidP="00DF008B">
            <w:pPr>
              <w:rPr>
                <w:b/>
              </w:rPr>
            </w:pPr>
            <w:r w:rsidRPr="00470C84">
              <w:rPr>
                <w:b/>
              </w:rPr>
              <w:t>RR Signature &amp; Date</w:t>
            </w:r>
          </w:p>
        </w:tc>
        <w:tc>
          <w:tcPr>
            <w:tcW w:w="5221" w:type="dxa"/>
          </w:tcPr>
          <w:p w14:paraId="6126E020" w14:textId="77777777" w:rsidR="00DF008B" w:rsidRPr="00470C84" w:rsidRDefault="00DF008B" w:rsidP="00DF008B"/>
        </w:tc>
      </w:tr>
    </w:tbl>
    <w:p w14:paraId="2A6FB1F4" w14:textId="77777777" w:rsidR="00BB7660" w:rsidRPr="00470C84" w:rsidRDefault="00BB7660" w:rsidP="00BB7660"/>
    <w:p w14:paraId="1A0AB948" w14:textId="77777777" w:rsidR="00DF008B" w:rsidRPr="00470C84" w:rsidRDefault="009F40E9" w:rsidP="00DF008B">
      <w:pPr>
        <w:pBdr>
          <w:top w:val="single" w:sz="4" w:space="1" w:color="auto"/>
          <w:left w:val="single" w:sz="4" w:space="4" w:color="auto"/>
          <w:bottom w:val="single" w:sz="4" w:space="1" w:color="auto"/>
          <w:right w:val="single" w:sz="4" w:space="4" w:color="auto"/>
        </w:pBdr>
        <w:rPr>
          <w:i/>
          <w:sz w:val="16"/>
          <w:szCs w:val="16"/>
        </w:rPr>
      </w:pPr>
      <w:r w:rsidRPr="00470C84">
        <w:rPr>
          <w:i/>
          <w:sz w:val="16"/>
          <w:szCs w:val="16"/>
        </w:rPr>
        <w:t>For Compliance Use Only</w:t>
      </w:r>
    </w:p>
    <w:p w14:paraId="2872B841" w14:textId="77777777" w:rsidR="00DF008B" w:rsidRPr="00470C84" w:rsidRDefault="00DF008B" w:rsidP="00DF008B">
      <w:pPr>
        <w:pBdr>
          <w:top w:val="single" w:sz="4" w:space="1" w:color="auto"/>
          <w:left w:val="single" w:sz="4" w:space="4" w:color="auto"/>
          <w:bottom w:val="single" w:sz="4" w:space="1" w:color="auto"/>
          <w:right w:val="single" w:sz="4" w:space="4" w:color="auto"/>
        </w:pBdr>
        <w:rPr>
          <w:b/>
          <w:i/>
          <w:sz w:val="16"/>
          <w:szCs w:val="16"/>
        </w:rPr>
      </w:pPr>
      <w:r w:rsidRPr="00470C84">
        <w:rPr>
          <w:b/>
          <w:i/>
          <w:sz w:val="16"/>
          <w:szCs w:val="16"/>
        </w:rPr>
        <w:t xml:space="preserve">Date received </w:t>
      </w:r>
      <w:r w:rsidR="009F40E9" w:rsidRPr="00470C84">
        <w:rPr>
          <w:b/>
          <w:i/>
        </w:rPr>
        <w:t>______________</w:t>
      </w:r>
      <w:r w:rsidRPr="00470C84">
        <w:rPr>
          <w:b/>
          <w:i/>
          <w:sz w:val="16"/>
          <w:szCs w:val="16"/>
        </w:rPr>
        <w:t xml:space="preserve">   Reviewed by:</w:t>
      </w:r>
      <w:r w:rsidR="009F40E9" w:rsidRPr="00470C84">
        <w:rPr>
          <w:b/>
          <w:i/>
          <w:sz w:val="16"/>
          <w:szCs w:val="16"/>
        </w:rPr>
        <w:t xml:space="preserve"> </w:t>
      </w:r>
      <w:r w:rsidR="009F40E9" w:rsidRPr="00470C84">
        <w:rPr>
          <w:b/>
          <w:i/>
        </w:rPr>
        <w:t>_________________________________________________________</w:t>
      </w:r>
    </w:p>
    <w:p w14:paraId="541358D3" w14:textId="77777777" w:rsidR="00DF008B" w:rsidRPr="00470C84" w:rsidRDefault="00DF008B" w:rsidP="00DF008B">
      <w:pPr>
        <w:pBdr>
          <w:top w:val="single" w:sz="4" w:space="1" w:color="auto"/>
          <w:left w:val="single" w:sz="4" w:space="4" w:color="auto"/>
          <w:bottom w:val="single" w:sz="4" w:space="1" w:color="auto"/>
          <w:right w:val="single" w:sz="4" w:space="4" w:color="auto"/>
        </w:pBdr>
        <w:rPr>
          <w:i/>
          <w:sz w:val="16"/>
          <w:szCs w:val="16"/>
        </w:rPr>
      </w:pPr>
      <w:r w:rsidRPr="00470C84">
        <w:rPr>
          <w:rFonts w:cs="Arial"/>
          <w:b/>
          <w:i/>
          <w:sz w:val="28"/>
          <w:szCs w:val="28"/>
        </w:rPr>
        <w:t xml:space="preserve">□ </w:t>
      </w:r>
      <w:r w:rsidRPr="00470C84">
        <w:rPr>
          <w:i/>
          <w:sz w:val="16"/>
          <w:szCs w:val="16"/>
        </w:rPr>
        <w:t>Consider whether the activity is a potential conflict of interest and/or may be viewed by customers as a Firm activity.</w:t>
      </w:r>
    </w:p>
    <w:p w14:paraId="05436DDF" w14:textId="77777777" w:rsidR="00DF008B" w:rsidRPr="00470C84" w:rsidRDefault="00DF008B" w:rsidP="00DF008B">
      <w:pPr>
        <w:pBdr>
          <w:top w:val="single" w:sz="4" w:space="1" w:color="auto"/>
          <w:left w:val="single" w:sz="4" w:space="4" w:color="auto"/>
          <w:bottom w:val="single" w:sz="4" w:space="1" w:color="auto"/>
          <w:right w:val="single" w:sz="4" w:space="4" w:color="auto"/>
        </w:pBdr>
        <w:rPr>
          <w:i/>
          <w:sz w:val="16"/>
          <w:szCs w:val="16"/>
        </w:rPr>
      </w:pPr>
      <w:r w:rsidRPr="00470C84">
        <w:rPr>
          <w:rFonts w:cs="Arial"/>
          <w:b/>
          <w:i/>
          <w:sz w:val="28"/>
          <w:szCs w:val="28"/>
        </w:rPr>
        <w:t xml:space="preserve">□ </w:t>
      </w:r>
      <w:r w:rsidRPr="00470C84">
        <w:rPr>
          <w:i/>
          <w:sz w:val="16"/>
          <w:szCs w:val="16"/>
        </w:rPr>
        <w:t>Determine whether the activity is a private securities transaction subject to other requirements.</w:t>
      </w:r>
    </w:p>
    <w:p w14:paraId="06DAC7FA" w14:textId="77777777" w:rsidR="00DF008B" w:rsidRPr="00470C84" w:rsidRDefault="00DF008B" w:rsidP="00DF008B">
      <w:pPr>
        <w:pBdr>
          <w:top w:val="single" w:sz="4" w:space="1" w:color="auto"/>
          <w:left w:val="single" w:sz="4" w:space="4" w:color="auto"/>
          <w:bottom w:val="single" w:sz="4" w:space="1" w:color="auto"/>
          <w:right w:val="single" w:sz="4" w:space="4" w:color="auto"/>
        </w:pBdr>
        <w:rPr>
          <w:i/>
          <w:sz w:val="16"/>
          <w:szCs w:val="16"/>
        </w:rPr>
      </w:pPr>
      <w:r w:rsidRPr="00470C84">
        <w:rPr>
          <w:rFonts w:cs="Arial"/>
          <w:b/>
          <w:i/>
          <w:sz w:val="28"/>
          <w:szCs w:val="28"/>
        </w:rPr>
        <w:t xml:space="preserve">□ </w:t>
      </w:r>
      <w:r w:rsidRPr="00470C84">
        <w:rPr>
          <w:i/>
          <w:sz w:val="16"/>
          <w:szCs w:val="16"/>
        </w:rPr>
        <w:t>Determine any limitations on the activity.</w:t>
      </w:r>
    </w:p>
    <w:p w14:paraId="12366BA2" w14:textId="77777777" w:rsidR="00DF008B" w:rsidRPr="00470C84" w:rsidRDefault="00DF008B" w:rsidP="00DF008B">
      <w:pPr>
        <w:pBdr>
          <w:top w:val="single" w:sz="4" w:space="1" w:color="auto"/>
          <w:left w:val="single" w:sz="4" w:space="4" w:color="auto"/>
          <w:bottom w:val="single" w:sz="4" w:space="1" w:color="auto"/>
          <w:right w:val="single" w:sz="4" w:space="4" w:color="auto"/>
        </w:pBdr>
        <w:rPr>
          <w:b/>
          <w:i/>
          <w:sz w:val="16"/>
          <w:szCs w:val="16"/>
        </w:rPr>
      </w:pPr>
    </w:p>
    <w:p w14:paraId="4CCBE6F7" w14:textId="77777777" w:rsidR="00DF008B" w:rsidRPr="00470C84" w:rsidRDefault="00DF008B" w:rsidP="00DF008B">
      <w:pPr>
        <w:pBdr>
          <w:top w:val="single" w:sz="4" w:space="1" w:color="auto"/>
          <w:left w:val="single" w:sz="4" w:space="4" w:color="auto"/>
          <w:bottom w:val="single" w:sz="4" w:space="1" w:color="auto"/>
          <w:right w:val="single" w:sz="4" w:space="4" w:color="auto"/>
        </w:pBdr>
        <w:rPr>
          <w:b/>
          <w:i/>
        </w:rPr>
      </w:pPr>
      <w:r w:rsidRPr="00470C84">
        <w:rPr>
          <w:b/>
          <w:i/>
        </w:rPr>
        <w:t>_____Approved  ___</w:t>
      </w:r>
      <w:r w:rsidR="00466062">
        <w:rPr>
          <w:b/>
          <w:i/>
        </w:rPr>
        <w:t>_</w:t>
      </w:r>
      <w:r w:rsidRPr="00470C84">
        <w:rPr>
          <w:b/>
          <w:i/>
        </w:rPr>
        <w:t>_</w:t>
      </w:r>
      <w:r w:rsidR="00466062">
        <w:rPr>
          <w:b/>
          <w:i/>
        </w:rPr>
        <w:t xml:space="preserve">Not </w:t>
      </w:r>
      <w:r w:rsidRPr="00470C84">
        <w:rPr>
          <w:b/>
          <w:i/>
        </w:rPr>
        <w:t>approved          Comments:________________________________________________</w:t>
      </w:r>
    </w:p>
    <w:p w14:paraId="456865A6" w14:textId="77777777" w:rsidR="00DF008B" w:rsidRPr="007A1667" w:rsidRDefault="007A1667" w:rsidP="00DF008B">
      <w:pPr>
        <w:pBdr>
          <w:top w:val="single" w:sz="4" w:space="1" w:color="auto"/>
          <w:left w:val="single" w:sz="4" w:space="4" w:color="auto"/>
          <w:bottom w:val="single" w:sz="4" w:space="1" w:color="auto"/>
          <w:right w:val="single" w:sz="4" w:space="4" w:color="auto"/>
        </w:pBdr>
        <w:rPr>
          <w:i/>
          <w:sz w:val="14"/>
          <w:szCs w:val="14"/>
        </w:rPr>
      </w:pPr>
      <w:r w:rsidRPr="007A1667">
        <w:rPr>
          <w:i/>
          <w:sz w:val="14"/>
          <w:szCs w:val="14"/>
        </w:rPr>
        <w:t>Rev 11/29/10</w:t>
      </w:r>
    </w:p>
    <w:p w14:paraId="51107BED" w14:textId="77777777" w:rsidR="00BD6381" w:rsidRDefault="00BD6381" w:rsidP="000431DB">
      <w:pPr>
        <w:rPr>
          <w:color w:val="0000FF"/>
        </w:rPr>
      </w:pPr>
    </w:p>
    <w:p w14:paraId="006F1F26" w14:textId="77777777" w:rsidR="000C099C" w:rsidRPr="00BD6381" w:rsidRDefault="000C099C" w:rsidP="00BD6381">
      <w:pPr>
        <w:pStyle w:val="Heading3"/>
        <w:ind w:left="0"/>
        <w:rPr>
          <w:sz w:val="36"/>
          <w:szCs w:val="36"/>
        </w:rPr>
      </w:pPr>
      <w:r w:rsidRPr="00BD6381">
        <w:rPr>
          <w:sz w:val="36"/>
          <w:szCs w:val="36"/>
        </w:rPr>
        <w:lastRenderedPageBreak/>
        <w:t>O</w:t>
      </w:r>
      <w:r w:rsidR="009F40E9" w:rsidRPr="00BD6381">
        <w:rPr>
          <w:sz w:val="36"/>
          <w:szCs w:val="36"/>
        </w:rPr>
        <w:t>utside Securities Account Notice</w:t>
      </w:r>
    </w:p>
    <w:p w14:paraId="420AA56F" w14:textId="77777777" w:rsidR="009F40E9" w:rsidRDefault="009F40E9">
      <w:pPr>
        <w:jc w:val="both"/>
        <w:rPr>
          <w:color w:val="0000FF"/>
          <w:sz w:val="24"/>
        </w:rPr>
      </w:pPr>
    </w:p>
    <w:p w14:paraId="2D7968BF" w14:textId="77777777" w:rsidR="000C099C" w:rsidRDefault="000C099C">
      <w:pPr>
        <w:jc w:val="both"/>
        <w:rPr>
          <w:color w:val="0000FF"/>
          <w:sz w:val="24"/>
        </w:rPr>
      </w:pPr>
    </w:p>
    <w:p w14:paraId="25B42907" w14:textId="77777777" w:rsidR="000C099C" w:rsidRPr="001173B1" w:rsidRDefault="000C099C" w:rsidP="001173B1">
      <w:pPr>
        <w:rPr>
          <w:b/>
          <w:sz w:val="24"/>
          <w:szCs w:val="24"/>
        </w:rPr>
      </w:pPr>
      <w:bookmarkStart w:id="348" w:name="_Toc153361454"/>
      <w:bookmarkStart w:id="349" w:name="_Toc153361676"/>
      <w:r w:rsidRPr="001173B1">
        <w:rPr>
          <w:b/>
          <w:sz w:val="24"/>
          <w:szCs w:val="24"/>
        </w:rPr>
        <w:t>DATE: _______________________</w:t>
      </w:r>
      <w:bookmarkEnd w:id="348"/>
      <w:bookmarkEnd w:id="349"/>
    </w:p>
    <w:p w14:paraId="0B96A985" w14:textId="77777777" w:rsidR="000C099C" w:rsidRDefault="000C099C">
      <w:pPr>
        <w:jc w:val="both"/>
        <w:rPr>
          <w:b/>
          <w:bCs/>
          <w:sz w:val="24"/>
        </w:rPr>
      </w:pPr>
    </w:p>
    <w:p w14:paraId="2DF1FABB" w14:textId="77777777" w:rsidR="000C099C" w:rsidRDefault="000C099C">
      <w:pPr>
        <w:jc w:val="both"/>
        <w:rPr>
          <w:b/>
          <w:bCs/>
          <w:sz w:val="24"/>
        </w:rPr>
      </w:pPr>
    </w:p>
    <w:p w14:paraId="372CA03E" w14:textId="77777777" w:rsidR="000C099C" w:rsidRDefault="000C099C">
      <w:pPr>
        <w:jc w:val="both"/>
        <w:rPr>
          <w:b/>
          <w:bCs/>
          <w:sz w:val="24"/>
        </w:rPr>
      </w:pPr>
    </w:p>
    <w:p w14:paraId="460C28DD" w14:textId="77777777" w:rsidR="000C099C" w:rsidRDefault="000C099C">
      <w:pPr>
        <w:jc w:val="both"/>
        <w:rPr>
          <w:b/>
          <w:bCs/>
          <w:sz w:val="24"/>
        </w:rPr>
      </w:pPr>
      <w:r>
        <w:rPr>
          <w:b/>
          <w:bCs/>
          <w:sz w:val="24"/>
        </w:rPr>
        <w:t>NAME: ___________________________________</w:t>
      </w:r>
    </w:p>
    <w:p w14:paraId="5B8884EB" w14:textId="77777777" w:rsidR="000C099C" w:rsidRDefault="000C099C">
      <w:pPr>
        <w:jc w:val="both"/>
        <w:rPr>
          <w:b/>
          <w:bCs/>
          <w:sz w:val="24"/>
        </w:rPr>
      </w:pPr>
    </w:p>
    <w:p w14:paraId="1F601506" w14:textId="77777777" w:rsidR="000C099C" w:rsidRDefault="000C099C">
      <w:pPr>
        <w:jc w:val="both"/>
        <w:rPr>
          <w:b/>
          <w:bCs/>
          <w:sz w:val="24"/>
        </w:rPr>
      </w:pPr>
    </w:p>
    <w:p w14:paraId="44133F00" w14:textId="77777777" w:rsidR="000C099C" w:rsidRDefault="000C099C">
      <w:pPr>
        <w:jc w:val="both"/>
        <w:rPr>
          <w:b/>
          <w:bCs/>
          <w:sz w:val="24"/>
        </w:rPr>
      </w:pPr>
    </w:p>
    <w:p w14:paraId="3164C934" w14:textId="77777777" w:rsidR="000C099C" w:rsidRDefault="000C099C">
      <w:pPr>
        <w:jc w:val="both"/>
        <w:rPr>
          <w:b/>
          <w:bCs/>
          <w:sz w:val="24"/>
        </w:rPr>
      </w:pPr>
      <w:r>
        <w:rPr>
          <w:b/>
          <w:bCs/>
          <w:sz w:val="24"/>
        </w:rPr>
        <w:t>OUTSIDE BROKER/DEALER NAME/ADDRESS/CONTACT PERSON:</w:t>
      </w:r>
    </w:p>
    <w:p w14:paraId="0287A071" w14:textId="77777777" w:rsidR="000C099C" w:rsidRDefault="000C099C">
      <w:pPr>
        <w:jc w:val="both"/>
        <w:rPr>
          <w:b/>
          <w:bCs/>
          <w:sz w:val="24"/>
        </w:rPr>
      </w:pPr>
    </w:p>
    <w:p w14:paraId="2822CCA5" w14:textId="77777777" w:rsidR="000C099C" w:rsidRDefault="000C099C">
      <w:pPr>
        <w:jc w:val="both"/>
        <w:rPr>
          <w:b/>
          <w:bCs/>
          <w:sz w:val="24"/>
        </w:rPr>
      </w:pPr>
    </w:p>
    <w:p w14:paraId="5A119542" w14:textId="77777777" w:rsidR="000C099C" w:rsidRDefault="000C099C">
      <w:pPr>
        <w:jc w:val="both"/>
        <w:rPr>
          <w:b/>
          <w:bCs/>
          <w:sz w:val="24"/>
        </w:rPr>
      </w:pPr>
      <w:r>
        <w:rPr>
          <w:b/>
          <w:bCs/>
          <w:sz w:val="24"/>
        </w:rPr>
        <w:t>__________________________________________________________</w:t>
      </w:r>
    </w:p>
    <w:p w14:paraId="6F97E21C" w14:textId="77777777" w:rsidR="000C099C" w:rsidRDefault="000C099C">
      <w:pPr>
        <w:jc w:val="both"/>
        <w:rPr>
          <w:b/>
          <w:bCs/>
          <w:sz w:val="24"/>
        </w:rPr>
      </w:pPr>
    </w:p>
    <w:p w14:paraId="30CA43E9" w14:textId="77777777" w:rsidR="000C099C" w:rsidRDefault="000C099C">
      <w:pPr>
        <w:jc w:val="both"/>
        <w:rPr>
          <w:b/>
          <w:bCs/>
          <w:sz w:val="24"/>
        </w:rPr>
      </w:pPr>
    </w:p>
    <w:p w14:paraId="5A9BFF4F" w14:textId="77777777" w:rsidR="000C099C" w:rsidRDefault="000C099C">
      <w:pPr>
        <w:jc w:val="both"/>
        <w:rPr>
          <w:b/>
          <w:bCs/>
          <w:sz w:val="24"/>
        </w:rPr>
      </w:pPr>
      <w:r>
        <w:rPr>
          <w:b/>
          <w:bCs/>
          <w:sz w:val="24"/>
        </w:rPr>
        <w:t>__________________________________________________________</w:t>
      </w:r>
    </w:p>
    <w:p w14:paraId="2D9E6659" w14:textId="77777777" w:rsidR="000C099C" w:rsidRDefault="000C099C">
      <w:pPr>
        <w:jc w:val="both"/>
        <w:rPr>
          <w:b/>
          <w:bCs/>
          <w:sz w:val="24"/>
        </w:rPr>
      </w:pPr>
    </w:p>
    <w:p w14:paraId="30C92658" w14:textId="77777777" w:rsidR="000C099C" w:rsidRDefault="000C099C">
      <w:pPr>
        <w:jc w:val="both"/>
        <w:rPr>
          <w:b/>
          <w:bCs/>
          <w:sz w:val="24"/>
        </w:rPr>
      </w:pPr>
    </w:p>
    <w:p w14:paraId="2FD0D8C8" w14:textId="77777777" w:rsidR="000C099C" w:rsidRDefault="000C099C">
      <w:pPr>
        <w:jc w:val="both"/>
        <w:rPr>
          <w:b/>
          <w:bCs/>
          <w:sz w:val="24"/>
        </w:rPr>
      </w:pPr>
      <w:r>
        <w:rPr>
          <w:b/>
          <w:bCs/>
          <w:sz w:val="24"/>
        </w:rPr>
        <w:t>__________________________________________________________</w:t>
      </w:r>
    </w:p>
    <w:p w14:paraId="7A195030" w14:textId="77777777" w:rsidR="000C099C" w:rsidRDefault="000C099C">
      <w:pPr>
        <w:jc w:val="both"/>
        <w:rPr>
          <w:b/>
          <w:bCs/>
          <w:sz w:val="24"/>
        </w:rPr>
      </w:pPr>
    </w:p>
    <w:p w14:paraId="382631FB" w14:textId="77777777" w:rsidR="000C099C" w:rsidRDefault="000C099C">
      <w:pPr>
        <w:jc w:val="both"/>
        <w:rPr>
          <w:b/>
          <w:bCs/>
          <w:sz w:val="24"/>
        </w:rPr>
      </w:pPr>
    </w:p>
    <w:p w14:paraId="2C583D6E" w14:textId="77777777" w:rsidR="000C099C" w:rsidRDefault="000C099C">
      <w:pPr>
        <w:jc w:val="both"/>
        <w:rPr>
          <w:b/>
          <w:bCs/>
          <w:sz w:val="24"/>
        </w:rPr>
      </w:pPr>
      <w:r>
        <w:rPr>
          <w:b/>
          <w:bCs/>
          <w:sz w:val="24"/>
        </w:rPr>
        <w:t>__________________________________________________________</w:t>
      </w:r>
    </w:p>
    <w:p w14:paraId="5039773B" w14:textId="77777777" w:rsidR="000C099C" w:rsidRDefault="000C099C">
      <w:pPr>
        <w:jc w:val="both"/>
        <w:rPr>
          <w:b/>
          <w:bCs/>
          <w:sz w:val="24"/>
        </w:rPr>
      </w:pPr>
    </w:p>
    <w:p w14:paraId="479FFD35" w14:textId="77777777" w:rsidR="000C099C" w:rsidRDefault="000C099C">
      <w:pPr>
        <w:jc w:val="both"/>
        <w:rPr>
          <w:b/>
          <w:bCs/>
          <w:sz w:val="24"/>
        </w:rPr>
      </w:pPr>
    </w:p>
    <w:p w14:paraId="5FC1ADDF" w14:textId="77777777" w:rsidR="000C099C" w:rsidRDefault="000C099C">
      <w:pPr>
        <w:jc w:val="both"/>
        <w:rPr>
          <w:b/>
          <w:bCs/>
          <w:sz w:val="24"/>
        </w:rPr>
      </w:pPr>
    </w:p>
    <w:p w14:paraId="24383920" w14:textId="77777777" w:rsidR="000C099C" w:rsidRDefault="000C099C">
      <w:pPr>
        <w:jc w:val="both"/>
        <w:rPr>
          <w:b/>
          <w:bCs/>
          <w:sz w:val="24"/>
        </w:rPr>
      </w:pPr>
      <w:r>
        <w:rPr>
          <w:b/>
          <w:bCs/>
          <w:sz w:val="24"/>
        </w:rPr>
        <w:t>ACCOUNT TYPE: ________________________________</w:t>
      </w:r>
    </w:p>
    <w:p w14:paraId="1BF456CC" w14:textId="77777777" w:rsidR="000C099C" w:rsidRDefault="000C099C">
      <w:pPr>
        <w:jc w:val="both"/>
        <w:rPr>
          <w:b/>
          <w:bCs/>
          <w:sz w:val="24"/>
        </w:rPr>
      </w:pPr>
    </w:p>
    <w:p w14:paraId="07B27F3E" w14:textId="77777777" w:rsidR="000C099C" w:rsidRDefault="000C099C">
      <w:pPr>
        <w:jc w:val="both"/>
        <w:rPr>
          <w:b/>
          <w:bCs/>
          <w:sz w:val="24"/>
        </w:rPr>
      </w:pPr>
    </w:p>
    <w:p w14:paraId="65C82AAA" w14:textId="77777777" w:rsidR="000C099C" w:rsidRDefault="000C099C">
      <w:pPr>
        <w:jc w:val="both"/>
        <w:rPr>
          <w:b/>
          <w:bCs/>
          <w:sz w:val="24"/>
        </w:rPr>
      </w:pPr>
    </w:p>
    <w:p w14:paraId="4B199DFD" w14:textId="77777777" w:rsidR="000C099C" w:rsidRDefault="000C099C">
      <w:pPr>
        <w:jc w:val="both"/>
        <w:rPr>
          <w:b/>
          <w:bCs/>
          <w:sz w:val="24"/>
        </w:rPr>
      </w:pPr>
      <w:r>
        <w:rPr>
          <w:b/>
          <w:bCs/>
          <w:sz w:val="24"/>
        </w:rPr>
        <w:t>PURPOSE OF ACCOUNT: _____________________________________________________</w:t>
      </w:r>
    </w:p>
    <w:p w14:paraId="30CED1C5" w14:textId="77777777" w:rsidR="000C099C" w:rsidRDefault="000C099C">
      <w:pPr>
        <w:jc w:val="both"/>
        <w:rPr>
          <w:b/>
          <w:bCs/>
          <w:sz w:val="24"/>
        </w:rPr>
      </w:pPr>
    </w:p>
    <w:p w14:paraId="09524AC3" w14:textId="77777777" w:rsidR="000C099C" w:rsidRDefault="000C099C">
      <w:pPr>
        <w:jc w:val="both"/>
        <w:rPr>
          <w:b/>
          <w:bCs/>
          <w:sz w:val="24"/>
        </w:rPr>
      </w:pPr>
    </w:p>
    <w:p w14:paraId="350AC64D" w14:textId="77777777" w:rsidR="000C099C" w:rsidRDefault="000C099C">
      <w:pPr>
        <w:jc w:val="both"/>
        <w:rPr>
          <w:b/>
          <w:bCs/>
          <w:sz w:val="24"/>
        </w:rPr>
      </w:pPr>
    </w:p>
    <w:p w14:paraId="796638EF" w14:textId="77777777" w:rsidR="000C099C" w:rsidRDefault="000C099C">
      <w:pPr>
        <w:jc w:val="both"/>
        <w:rPr>
          <w:b/>
          <w:bCs/>
          <w:sz w:val="24"/>
        </w:rPr>
      </w:pPr>
      <w:r>
        <w:rPr>
          <w:b/>
          <w:bCs/>
          <w:sz w:val="24"/>
        </w:rPr>
        <w:t>_____________________________________</w:t>
      </w:r>
    </w:p>
    <w:p w14:paraId="61A3152B" w14:textId="77777777" w:rsidR="000C099C" w:rsidRDefault="000C099C">
      <w:pPr>
        <w:jc w:val="both"/>
        <w:rPr>
          <w:b/>
          <w:bCs/>
          <w:sz w:val="24"/>
        </w:rPr>
      </w:pPr>
      <w:r>
        <w:rPr>
          <w:b/>
          <w:bCs/>
          <w:sz w:val="24"/>
        </w:rPr>
        <w:t>Signature</w:t>
      </w:r>
    </w:p>
    <w:p w14:paraId="487005A3" w14:textId="77777777" w:rsidR="000C099C" w:rsidRDefault="000C099C">
      <w:pPr>
        <w:jc w:val="both"/>
        <w:rPr>
          <w:b/>
          <w:bCs/>
          <w:sz w:val="24"/>
        </w:rPr>
      </w:pPr>
    </w:p>
    <w:p w14:paraId="0C951117" w14:textId="77777777" w:rsidR="000C099C" w:rsidRDefault="000C099C">
      <w:pPr>
        <w:jc w:val="both"/>
        <w:rPr>
          <w:b/>
          <w:bCs/>
          <w:sz w:val="24"/>
        </w:rPr>
      </w:pPr>
    </w:p>
    <w:p w14:paraId="4DBD4EC9" w14:textId="77777777" w:rsidR="000C099C" w:rsidRDefault="000C099C">
      <w:pPr>
        <w:jc w:val="both"/>
        <w:rPr>
          <w:b/>
          <w:bCs/>
          <w:sz w:val="24"/>
        </w:rPr>
      </w:pPr>
      <w:r>
        <w:rPr>
          <w:b/>
          <w:bCs/>
          <w:sz w:val="24"/>
        </w:rPr>
        <w:t>FIRM APPROVAL:</w:t>
      </w:r>
    </w:p>
    <w:p w14:paraId="72844E08" w14:textId="77777777" w:rsidR="000C099C" w:rsidRDefault="000C099C">
      <w:pPr>
        <w:jc w:val="both"/>
        <w:rPr>
          <w:b/>
          <w:bCs/>
          <w:sz w:val="24"/>
        </w:rPr>
      </w:pPr>
    </w:p>
    <w:p w14:paraId="58B28104" w14:textId="77777777" w:rsidR="000C099C" w:rsidRDefault="000C099C">
      <w:pPr>
        <w:jc w:val="both"/>
        <w:rPr>
          <w:b/>
          <w:bCs/>
          <w:sz w:val="24"/>
        </w:rPr>
      </w:pPr>
      <w:r>
        <w:rPr>
          <w:b/>
          <w:bCs/>
          <w:sz w:val="24"/>
        </w:rPr>
        <w:t>____________________________________________________________________________</w:t>
      </w:r>
    </w:p>
    <w:p w14:paraId="530C56E3" w14:textId="77777777" w:rsidR="000C099C" w:rsidRDefault="000C099C">
      <w:pPr>
        <w:jc w:val="both"/>
        <w:rPr>
          <w:b/>
          <w:bCs/>
          <w:sz w:val="24"/>
        </w:rPr>
      </w:pPr>
      <w:r>
        <w:rPr>
          <w:b/>
          <w:bCs/>
          <w:sz w:val="24"/>
        </w:rPr>
        <w:t>Signature                                               Print Name/Title                                           Date</w:t>
      </w:r>
    </w:p>
    <w:p w14:paraId="1B6E138A" w14:textId="77777777" w:rsidR="000C099C" w:rsidRDefault="000C099C">
      <w:pPr>
        <w:jc w:val="both"/>
        <w:rPr>
          <w:b/>
          <w:bCs/>
          <w:sz w:val="24"/>
        </w:rPr>
      </w:pPr>
    </w:p>
    <w:p w14:paraId="68F05D23" w14:textId="77777777" w:rsidR="008629B7" w:rsidRDefault="008629B7">
      <w:pPr>
        <w:jc w:val="both"/>
        <w:rPr>
          <w:b/>
          <w:bCs/>
          <w:sz w:val="24"/>
        </w:rPr>
      </w:pPr>
    </w:p>
    <w:p w14:paraId="6831F6E8" w14:textId="77777777" w:rsidR="008629B7" w:rsidRDefault="008629B7">
      <w:pPr>
        <w:rPr>
          <w:b/>
          <w:bCs/>
          <w:sz w:val="24"/>
        </w:rPr>
      </w:pPr>
      <w:r>
        <w:rPr>
          <w:b/>
          <w:bCs/>
          <w:sz w:val="24"/>
        </w:rPr>
        <w:br w:type="page"/>
      </w:r>
    </w:p>
    <w:p w14:paraId="5FDA1166" w14:textId="77777777" w:rsidR="008629B7" w:rsidRDefault="008629B7">
      <w:pPr>
        <w:jc w:val="both"/>
        <w:rPr>
          <w:b/>
          <w:bCs/>
          <w:sz w:val="24"/>
        </w:rPr>
      </w:pPr>
    </w:p>
    <w:p w14:paraId="4BDA5E34" w14:textId="77777777" w:rsidR="000C099C" w:rsidRDefault="000C099C">
      <w:pPr>
        <w:jc w:val="both"/>
        <w:rPr>
          <w:b/>
          <w:bCs/>
          <w:sz w:val="24"/>
        </w:rPr>
      </w:pPr>
    </w:p>
    <w:p w14:paraId="135CDD2A" w14:textId="77777777" w:rsidR="000C099C" w:rsidRPr="00075147" w:rsidRDefault="000C099C" w:rsidP="008629B7">
      <w:pPr>
        <w:pStyle w:val="Heading3"/>
        <w:jc w:val="center"/>
        <w:rPr>
          <w:sz w:val="36"/>
          <w:szCs w:val="36"/>
        </w:rPr>
      </w:pPr>
      <w:r w:rsidRPr="00075147">
        <w:rPr>
          <w:sz w:val="36"/>
          <w:szCs w:val="36"/>
        </w:rPr>
        <w:t>Non-Cash Compensation</w:t>
      </w:r>
    </w:p>
    <w:p w14:paraId="6C9D59CA" w14:textId="77777777" w:rsidR="000C099C" w:rsidRPr="00587A07" w:rsidRDefault="000C099C">
      <w:pPr>
        <w:jc w:val="center"/>
        <w:rPr>
          <w:b/>
          <w:bCs/>
          <w:sz w:val="24"/>
        </w:rPr>
      </w:pPr>
    </w:p>
    <w:p w14:paraId="6B8A89CD" w14:textId="77777777" w:rsidR="000C099C" w:rsidRPr="00587A07" w:rsidRDefault="000C099C">
      <w:pPr>
        <w:jc w:val="center"/>
        <w:rPr>
          <w:b/>
          <w:bCs/>
          <w:sz w:val="24"/>
        </w:rPr>
      </w:pPr>
    </w:p>
    <w:tbl>
      <w:tblPr>
        <w:tblW w:w="0" w:type="auto"/>
        <w:tblBorders>
          <w:top w:val="sing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4338"/>
        <w:gridCol w:w="5238"/>
      </w:tblGrid>
      <w:tr w:rsidR="000C099C" w:rsidRPr="00587A07" w14:paraId="0345249A" w14:textId="77777777">
        <w:tc>
          <w:tcPr>
            <w:tcW w:w="4338" w:type="dxa"/>
            <w:tcBorders>
              <w:top w:val="double" w:sz="6" w:space="0" w:color="auto"/>
              <w:bottom w:val="single" w:sz="6" w:space="0" w:color="auto"/>
            </w:tcBorders>
          </w:tcPr>
          <w:p w14:paraId="3CD55B35" w14:textId="77777777" w:rsidR="000C099C" w:rsidRPr="00587A07" w:rsidRDefault="000C099C">
            <w:pPr>
              <w:rPr>
                <w:sz w:val="24"/>
              </w:rPr>
            </w:pPr>
          </w:p>
          <w:p w14:paraId="6018E315" w14:textId="77777777" w:rsidR="000C099C" w:rsidRPr="00587A07" w:rsidRDefault="000C099C">
            <w:pPr>
              <w:rPr>
                <w:sz w:val="24"/>
              </w:rPr>
            </w:pPr>
            <w:r w:rsidRPr="00587A07">
              <w:rPr>
                <w:sz w:val="24"/>
              </w:rPr>
              <w:t>Registered Representative Name:</w:t>
            </w:r>
          </w:p>
        </w:tc>
        <w:tc>
          <w:tcPr>
            <w:tcW w:w="5238" w:type="dxa"/>
            <w:tcBorders>
              <w:top w:val="double" w:sz="6" w:space="0" w:color="auto"/>
              <w:bottom w:val="single" w:sz="6" w:space="0" w:color="auto"/>
            </w:tcBorders>
          </w:tcPr>
          <w:p w14:paraId="35CC8CDF" w14:textId="77777777" w:rsidR="000C099C" w:rsidRPr="00587A07" w:rsidRDefault="000C099C">
            <w:pPr>
              <w:rPr>
                <w:sz w:val="24"/>
              </w:rPr>
            </w:pPr>
          </w:p>
        </w:tc>
      </w:tr>
      <w:tr w:rsidR="000C099C" w:rsidRPr="00587A07" w14:paraId="0A9EE271" w14:textId="77777777">
        <w:trPr>
          <w:trHeight w:val="1440"/>
        </w:trPr>
        <w:tc>
          <w:tcPr>
            <w:tcW w:w="4338" w:type="dxa"/>
            <w:tcBorders>
              <w:top w:val="nil"/>
              <w:right w:val="single" w:sz="4" w:space="0" w:color="auto"/>
            </w:tcBorders>
          </w:tcPr>
          <w:p w14:paraId="0E99D667" w14:textId="77777777" w:rsidR="000C099C" w:rsidRPr="00587A07" w:rsidRDefault="000C099C">
            <w:pPr>
              <w:rPr>
                <w:sz w:val="24"/>
              </w:rPr>
            </w:pPr>
          </w:p>
          <w:p w14:paraId="3EC2F893" w14:textId="77777777" w:rsidR="000C099C" w:rsidRPr="00587A07" w:rsidRDefault="000C099C">
            <w:pPr>
              <w:rPr>
                <w:sz w:val="24"/>
              </w:rPr>
            </w:pPr>
            <w:r w:rsidRPr="00587A07">
              <w:rPr>
                <w:sz w:val="24"/>
              </w:rPr>
              <w:t>Vendor Company Name/ Address:</w:t>
            </w:r>
          </w:p>
          <w:p w14:paraId="58C6F100" w14:textId="77777777" w:rsidR="000C099C" w:rsidRPr="00587A07" w:rsidRDefault="000C099C">
            <w:pPr>
              <w:rPr>
                <w:sz w:val="24"/>
              </w:rPr>
            </w:pPr>
          </w:p>
          <w:p w14:paraId="63185F6B" w14:textId="77777777" w:rsidR="000C099C" w:rsidRPr="00587A07" w:rsidRDefault="000C099C">
            <w:pPr>
              <w:rPr>
                <w:sz w:val="24"/>
              </w:rPr>
            </w:pPr>
          </w:p>
        </w:tc>
        <w:tc>
          <w:tcPr>
            <w:tcW w:w="5238" w:type="dxa"/>
            <w:tcBorders>
              <w:top w:val="nil"/>
              <w:left w:val="single" w:sz="4" w:space="0" w:color="auto"/>
            </w:tcBorders>
          </w:tcPr>
          <w:p w14:paraId="39118495" w14:textId="77777777" w:rsidR="000C099C" w:rsidRPr="00587A07" w:rsidRDefault="000C099C">
            <w:pPr>
              <w:rPr>
                <w:sz w:val="24"/>
              </w:rPr>
            </w:pPr>
          </w:p>
          <w:p w14:paraId="70181381" w14:textId="77777777" w:rsidR="000C099C" w:rsidRPr="00587A07" w:rsidRDefault="000C099C">
            <w:pPr>
              <w:rPr>
                <w:sz w:val="24"/>
              </w:rPr>
            </w:pPr>
            <w:r w:rsidRPr="00587A07">
              <w:rPr>
                <w:sz w:val="24"/>
              </w:rPr>
              <w:t>Date &amp; Description of Activity :</w:t>
            </w:r>
          </w:p>
          <w:p w14:paraId="66B131B9" w14:textId="77777777" w:rsidR="000C099C" w:rsidRPr="00587A07" w:rsidRDefault="000C099C">
            <w:pPr>
              <w:rPr>
                <w:sz w:val="24"/>
              </w:rPr>
            </w:pPr>
          </w:p>
          <w:p w14:paraId="36CD7BC5" w14:textId="77777777" w:rsidR="000C099C" w:rsidRPr="00587A07" w:rsidRDefault="000C099C">
            <w:pPr>
              <w:rPr>
                <w:sz w:val="24"/>
              </w:rPr>
            </w:pPr>
          </w:p>
          <w:p w14:paraId="04120E2F" w14:textId="77777777" w:rsidR="000C099C" w:rsidRPr="00587A07" w:rsidRDefault="000C099C">
            <w:pPr>
              <w:rPr>
                <w:sz w:val="24"/>
              </w:rPr>
            </w:pPr>
          </w:p>
          <w:p w14:paraId="43B6DDD7" w14:textId="77777777" w:rsidR="000C099C" w:rsidRPr="00587A07" w:rsidRDefault="000C099C">
            <w:pPr>
              <w:rPr>
                <w:sz w:val="24"/>
              </w:rPr>
            </w:pPr>
          </w:p>
          <w:p w14:paraId="596966DB" w14:textId="77777777" w:rsidR="000C099C" w:rsidRPr="00587A07" w:rsidRDefault="000C099C">
            <w:pPr>
              <w:rPr>
                <w:sz w:val="24"/>
              </w:rPr>
            </w:pPr>
          </w:p>
          <w:p w14:paraId="3B9BD306" w14:textId="77777777" w:rsidR="000C099C" w:rsidRPr="00587A07" w:rsidRDefault="000C099C">
            <w:pPr>
              <w:rPr>
                <w:sz w:val="24"/>
              </w:rPr>
            </w:pPr>
          </w:p>
          <w:p w14:paraId="63FB637F" w14:textId="77777777" w:rsidR="000C099C" w:rsidRPr="00587A07" w:rsidRDefault="000C099C">
            <w:pPr>
              <w:rPr>
                <w:sz w:val="24"/>
              </w:rPr>
            </w:pPr>
          </w:p>
          <w:p w14:paraId="3E24E291" w14:textId="77777777" w:rsidR="000C099C" w:rsidRPr="00587A07" w:rsidRDefault="000C099C">
            <w:pPr>
              <w:rPr>
                <w:sz w:val="24"/>
              </w:rPr>
            </w:pPr>
          </w:p>
          <w:p w14:paraId="2814AFF1" w14:textId="77777777" w:rsidR="000C099C" w:rsidRPr="00587A07" w:rsidRDefault="000C099C">
            <w:pPr>
              <w:rPr>
                <w:sz w:val="24"/>
              </w:rPr>
            </w:pPr>
          </w:p>
          <w:p w14:paraId="3CAE6D2B" w14:textId="77777777" w:rsidR="000C099C" w:rsidRPr="00587A07" w:rsidRDefault="000C099C">
            <w:pPr>
              <w:rPr>
                <w:sz w:val="24"/>
              </w:rPr>
            </w:pPr>
          </w:p>
        </w:tc>
      </w:tr>
      <w:tr w:rsidR="000C099C" w:rsidRPr="00587A07" w14:paraId="7DA70FC5" w14:textId="77777777">
        <w:tc>
          <w:tcPr>
            <w:tcW w:w="4338" w:type="dxa"/>
          </w:tcPr>
          <w:p w14:paraId="0C61B809" w14:textId="77777777" w:rsidR="000C099C" w:rsidRPr="00587A07" w:rsidRDefault="000C099C">
            <w:pPr>
              <w:rPr>
                <w:sz w:val="24"/>
              </w:rPr>
            </w:pPr>
            <w:r w:rsidRPr="00587A07">
              <w:rPr>
                <w:sz w:val="24"/>
              </w:rPr>
              <w:t xml:space="preserve">Compensation Arrangements – </w:t>
            </w:r>
          </w:p>
          <w:p w14:paraId="1BDDE07A" w14:textId="77777777" w:rsidR="000C099C" w:rsidRPr="00587A07" w:rsidRDefault="000C099C">
            <w:pPr>
              <w:rPr>
                <w:sz w:val="24"/>
              </w:rPr>
            </w:pPr>
            <w:r w:rsidRPr="00587A07">
              <w:rPr>
                <w:sz w:val="24"/>
              </w:rPr>
              <w:t>Estimated Value:</w:t>
            </w:r>
          </w:p>
          <w:p w14:paraId="29F96C6F" w14:textId="77777777" w:rsidR="000C099C" w:rsidRPr="00587A07" w:rsidRDefault="000C099C">
            <w:pPr>
              <w:rPr>
                <w:sz w:val="24"/>
              </w:rPr>
            </w:pPr>
          </w:p>
        </w:tc>
        <w:tc>
          <w:tcPr>
            <w:tcW w:w="5238" w:type="dxa"/>
          </w:tcPr>
          <w:p w14:paraId="60C19612" w14:textId="77777777" w:rsidR="000C099C" w:rsidRPr="00587A07" w:rsidRDefault="000C099C">
            <w:pPr>
              <w:rPr>
                <w:sz w:val="24"/>
              </w:rPr>
            </w:pPr>
          </w:p>
        </w:tc>
      </w:tr>
      <w:tr w:rsidR="000C099C" w:rsidRPr="00587A07" w14:paraId="6EEEFE37" w14:textId="77777777">
        <w:tc>
          <w:tcPr>
            <w:tcW w:w="4338" w:type="dxa"/>
          </w:tcPr>
          <w:p w14:paraId="0D14F39A" w14:textId="77777777" w:rsidR="000C099C" w:rsidRPr="00587A07" w:rsidRDefault="000C099C">
            <w:pPr>
              <w:rPr>
                <w:sz w:val="24"/>
              </w:rPr>
            </w:pPr>
          </w:p>
          <w:p w14:paraId="77D2184F" w14:textId="77777777" w:rsidR="000C099C" w:rsidRPr="00587A07" w:rsidRDefault="000C099C">
            <w:pPr>
              <w:rPr>
                <w:sz w:val="24"/>
              </w:rPr>
            </w:pPr>
            <w:r w:rsidRPr="00587A07">
              <w:rPr>
                <w:sz w:val="24"/>
              </w:rPr>
              <w:t>RR Signature:</w:t>
            </w:r>
          </w:p>
        </w:tc>
        <w:tc>
          <w:tcPr>
            <w:tcW w:w="5238" w:type="dxa"/>
          </w:tcPr>
          <w:p w14:paraId="51FB85D6" w14:textId="77777777" w:rsidR="000C099C" w:rsidRPr="00587A07" w:rsidRDefault="000C099C">
            <w:pPr>
              <w:rPr>
                <w:sz w:val="24"/>
              </w:rPr>
            </w:pPr>
          </w:p>
          <w:p w14:paraId="394A3564" w14:textId="77777777" w:rsidR="000C099C" w:rsidRPr="00587A07" w:rsidRDefault="000C099C">
            <w:pPr>
              <w:rPr>
                <w:sz w:val="24"/>
              </w:rPr>
            </w:pPr>
            <w:r w:rsidRPr="00587A07">
              <w:rPr>
                <w:sz w:val="24"/>
              </w:rPr>
              <w:t xml:space="preserve">                                        Date:</w:t>
            </w:r>
          </w:p>
        </w:tc>
      </w:tr>
      <w:tr w:rsidR="000C099C" w:rsidRPr="00587A07" w14:paraId="35C6C9D2" w14:textId="77777777">
        <w:tc>
          <w:tcPr>
            <w:tcW w:w="4338" w:type="dxa"/>
          </w:tcPr>
          <w:p w14:paraId="619B695B" w14:textId="77777777" w:rsidR="000C099C" w:rsidRPr="00587A07" w:rsidRDefault="000C099C">
            <w:pPr>
              <w:rPr>
                <w:sz w:val="24"/>
              </w:rPr>
            </w:pPr>
          </w:p>
          <w:p w14:paraId="2225BF1F" w14:textId="77777777" w:rsidR="000C099C" w:rsidRPr="00587A07" w:rsidRDefault="000C099C">
            <w:pPr>
              <w:rPr>
                <w:sz w:val="24"/>
              </w:rPr>
            </w:pPr>
            <w:r w:rsidRPr="00587A07">
              <w:rPr>
                <w:sz w:val="24"/>
              </w:rPr>
              <w:t>Principal Name:</w:t>
            </w:r>
          </w:p>
        </w:tc>
        <w:tc>
          <w:tcPr>
            <w:tcW w:w="5238" w:type="dxa"/>
          </w:tcPr>
          <w:p w14:paraId="1D21D3CB" w14:textId="77777777" w:rsidR="000C099C" w:rsidRPr="00587A07" w:rsidRDefault="000C099C">
            <w:pPr>
              <w:rPr>
                <w:sz w:val="24"/>
              </w:rPr>
            </w:pPr>
          </w:p>
        </w:tc>
      </w:tr>
      <w:tr w:rsidR="000C099C" w:rsidRPr="00587A07" w14:paraId="7B2573F1" w14:textId="77777777">
        <w:tc>
          <w:tcPr>
            <w:tcW w:w="4338" w:type="dxa"/>
          </w:tcPr>
          <w:p w14:paraId="2639442C" w14:textId="77777777" w:rsidR="000C099C" w:rsidRPr="00587A07" w:rsidRDefault="00CC1D9E">
            <w:pPr>
              <w:rPr>
                <w:sz w:val="24"/>
              </w:rPr>
            </w:pPr>
            <w:r>
              <w:rPr>
                <w:noProof/>
              </w:rPr>
              <mc:AlternateContent>
                <mc:Choice Requires="wps">
                  <w:drawing>
                    <wp:anchor distT="0" distB="0" distL="114300" distR="114300" simplePos="0" relativeHeight="251649536" behindDoc="0" locked="0" layoutInCell="1" allowOverlap="1" wp14:anchorId="2D82EFE6" wp14:editId="133A266B">
                      <wp:simplePos x="0" y="0"/>
                      <wp:positionH relativeFrom="column">
                        <wp:posOffset>2383155</wp:posOffset>
                      </wp:positionH>
                      <wp:positionV relativeFrom="paragraph">
                        <wp:posOffset>109220</wp:posOffset>
                      </wp:positionV>
                      <wp:extent cx="228600" cy="228600"/>
                      <wp:effectExtent l="0" t="0" r="0" b="0"/>
                      <wp:wrapNone/>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4D8BA" id="Rectangle 13" o:spid="_x0000_s1026" style="position:absolute;margin-left:187.65pt;margin-top:8.6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"/>
                  </w:pict>
                </mc:Fallback>
              </mc:AlternateContent>
            </w:r>
            <w:r>
              <w:rPr>
                <w:noProof/>
              </w:rPr>
              <mc:AlternateContent>
                <mc:Choice Requires="wps">
                  <w:drawing>
                    <wp:anchor distT="0" distB="0" distL="114300" distR="114300" simplePos="0" relativeHeight="251648512" behindDoc="0" locked="0" layoutInCell="1" allowOverlap="1" wp14:anchorId="38E0A4DF" wp14:editId="1D21DC3A">
                      <wp:simplePos x="0" y="0"/>
                      <wp:positionH relativeFrom="column">
                        <wp:posOffset>782955</wp:posOffset>
                      </wp:positionH>
                      <wp:positionV relativeFrom="paragraph">
                        <wp:posOffset>109220</wp:posOffset>
                      </wp:positionV>
                      <wp:extent cx="228600" cy="228600"/>
                      <wp:effectExtent l="0" t="0" r="0" b="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CE35C" id="Rectangle 12" o:spid="_x0000_s1026" style="position:absolute;margin-left:61.65pt;margin-top:8.6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m8Hg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"/>
                  </w:pict>
                </mc:Fallback>
              </mc:AlternateContent>
            </w:r>
          </w:p>
          <w:p w14:paraId="7DF91F60" w14:textId="77777777" w:rsidR="000C099C" w:rsidRPr="00587A07" w:rsidRDefault="000C099C">
            <w:pPr>
              <w:rPr>
                <w:sz w:val="24"/>
              </w:rPr>
            </w:pPr>
            <w:r w:rsidRPr="00587A07">
              <w:rPr>
                <w:sz w:val="24"/>
              </w:rPr>
              <w:t xml:space="preserve">Approved:                  Not Approved: </w:t>
            </w:r>
          </w:p>
        </w:tc>
        <w:tc>
          <w:tcPr>
            <w:tcW w:w="5238" w:type="dxa"/>
          </w:tcPr>
          <w:p w14:paraId="5935AC72" w14:textId="77777777" w:rsidR="000C099C" w:rsidRPr="00587A07" w:rsidRDefault="000C099C">
            <w:pPr>
              <w:rPr>
                <w:sz w:val="24"/>
              </w:rPr>
            </w:pPr>
          </w:p>
        </w:tc>
      </w:tr>
      <w:tr w:rsidR="000C099C" w:rsidRPr="00587A07" w14:paraId="15E0EDD0" w14:textId="77777777">
        <w:tc>
          <w:tcPr>
            <w:tcW w:w="4338" w:type="dxa"/>
          </w:tcPr>
          <w:p w14:paraId="66DDDF48" w14:textId="77777777" w:rsidR="000C099C" w:rsidRPr="00587A07" w:rsidRDefault="000C099C">
            <w:pPr>
              <w:rPr>
                <w:sz w:val="24"/>
              </w:rPr>
            </w:pPr>
          </w:p>
          <w:p w14:paraId="68CBBB60" w14:textId="77777777" w:rsidR="000C099C" w:rsidRPr="00587A07" w:rsidRDefault="000C099C">
            <w:pPr>
              <w:rPr>
                <w:sz w:val="24"/>
              </w:rPr>
            </w:pPr>
            <w:r w:rsidRPr="00587A07">
              <w:rPr>
                <w:sz w:val="24"/>
              </w:rPr>
              <w:t>Principal Signature:</w:t>
            </w:r>
          </w:p>
        </w:tc>
        <w:tc>
          <w:tcPr>
            <w:tcW w:w="5238" w:type="dxa"/>
          </w:tcPr>
          <w:p w14:paraId="6AE03321" w14:textId="77777777" w:rsidR="000C099C" w:rsidRPr="00587A07" w:rsidRDefault="000C099C">
            <w:pPr>
              <w:rPr>
                <w:sz w:val="24"/>
              </w:rPr>
            </w:pPr>
          </w:p>
          <w:p w14:paraId="3616705A" w14:textId="77777777" w:rsidR="000C099C" w:rsidRPr="00587A07" w:rsidRDefault="000C099C">
            <w:pPr>
              <w:rPr>
                <w:sz w:val="24"/>
              </w:rPr>
            </w:pPr>
            <w:r w:rsidRPr="00587A07">
              <w:rPr>
                <w:sz w:val="24"/>
              </w:rPr>
              <w:t xml:space="preserve">                                         Date:</w:t>
            </w:r>
          </w:p>
        </w:tc>
      </w:tr>
    </w:tbl>
    <w:p w14:paraId="710FF21E" w14:textId="77777777" w:rsidR="000C099C" w:rsidRPr="00587A07" w:rsidRDefault="000C099C">
      <w:pPr>
        <w:jc w:val="center"/>
        <w:rPr>
          <w:b/>
          <w:bCs/>
          <w:sz w:val="24"/>
        </w:rPr>
      </w:pPr>
    </w:p>
    <w:p w14:paraId="0BC85386" w14:textId="77777777" w:rsidR="000C099C" w:rsidRPr="00587A07" w:rsidRDefault="000C099C">
      <w:pPr>
        <w:jc w:val="center"/>
        <w:rPr>
          <w:b/>
          <w:bCs/>
          <w:sz w:val="24"/>
        </w:rPr>
      </w:pPr>
    </w:p>
    <w:p w14:paraId="1F390171" w14:textId="77777777" w:rsidR="000C099C" w:rsidRPr="00587A07" w:rsidRDefault="000C099C" w:rsidP="001173B1">
      <w:r w:rsidRPr="001173B1">
        <w:rPr>
          <w:sz w:val="24"/>
          <w:szCs w:val="24"/>
        </w:rPr>
        <w:t>Criteria for approval</w:t>
      </w:r>
      <w:r w:rsidRPr="00587A07">
        <w:t>:</w:t>
      </w:r>
    </w:p>
    <w:p w14:paraId="68F903A5" w14:textId="77777777" w:rsidR="000C099C" w:rsidRPr="00587A07" w:rsidRDefault="000C099C">
      <w:pPr>
        <w:pStyle w:val="Body-12space"/>
      </w:pPr>
    </w:p>
    <w:p w14:paraId="340DC89A" w14:textId="77777777" w:rsidR="000C099C" w:rsidRPr="00587A07" w:rsidRDefault="000C099C" w:rsidP="00C1728B">
      <w:pPr>
        <w:pStyle w:val="Body-12space"/>
        <w:numPr>
          <w:ilvl w:val="0"/>
          <w:numId w:val="38"/>
        </w:numPr>
      </w:pPr>
      <w:r w:rsidRPr="00587A07">
        <w:t>The value of any non-cash compensation does not exceed $100;</w:t>
      </w:r>
    </w:p>
    <w:p w14:paraId="0FD598DC" w14:textId="77777777" w:rsidR="000C099C" w:rsidRPr="00587A07" w:rsidRDefault="000C099C" w:rsidP="00C1728B">
      <w:pPr>
        <w:pStyle w:val="Body-12space"/>
        <w:numPr>
          <w:ilvl w:val="0"/>
          <w:numId w:val="38"/>
        </w:numPr>
      </w:pPr>
      <w:r w:rsidRPr="00587A07">
        <w:rPr>
          <w:snapToGrid w:val="0"/>
        </w:rPr>
        <w:t>Attendance is not preconditioned by the achievement of a sales target or any other incentives;</w:t>
      </w:r>
    </w:p>
    <w:p w14:paraId="1055EC64" w14:textId="77777777" w:rsidR="000C099C" w:rsidRPr="00587A07" w:rsidRDefault="000C099C" w:rsidP="00C1728B">
      <w:pPr>
        <w:pStyle w:val="Body-12space"/>
        <w:numPr>
          <w:ilvl w:val="0"/>
          <w:numId w:val="38"/>
        </w:numPr>
      </w:pPr>
      <w:r w:rsidRPr="00587A07">
        <w:rPr>
          <w:snapToGrid w:val="0"/>
        </w:rPr>
        <w:t xml:space="preserve">No payment or reimbursement is made to any guest of the </w:t>
      </w:r>
      <w:r w:rsidR="002470EF" w:rsidRPr="00587A07">
        <w:rPr>
          <w:snapToGrid w:val="0"/>
        </w:rPr>
        <w:t>above-named</w:t>
      </w:r>
      <w:r w:rsidRPr="00587A07">
        <w:rPr>
          <w:snapToGrid w:val="0"/>
        </w:rPr>
        <w:t xml:space="preserve"> registered representative.</w:t>
      </w:r>
    </w:p>
    <w:p w14:paraId="4B5A8235" w14:textId="77777777" w:rsidR="000C099C" w:rsidRPr="00587A07" w:rsidRDefault="000C099C" w:rsidP="00C1728B">
      <w:pPr>
        <w:pStyle w:val="Body-12space"/>
        <w:numPr>
          <w:ilvl w:val="0"/>
          <w:numId w:val="38"/>
        </w:numPr>
      </w:pPr>
      <w:r w:rsidRPr="00587A07">
        <w:rPr>
          <w:snapToGrid w:val="0"/>
        </w:rPr>
        <w:t>No securities are offered as compensation.</w:t>
      </w:r>
    </w:p>
    <w:p w14:paraId="6A4208D6" w14:textId="77777777" w:rsidR="000C099C" w:rsidRPr="00587A07" w:rsidRDefault="000C099C" w:rsidP="00C1728B">
      <w:pPr>
        <w:pStyle w:val="Body-12space"/>
        <w:numPr>
          <w:ilvl w:val="0"/>
          <w:numId w:val="38"/>
        </w:numPr>
      </w:pPr>
      <w:r w:rsidRPr="00587A07">
        <w:rPr>
          <w:snapToGrid w:val="0"/>
        </w:rPr>
        <w:t>The location is appropriate to the meeting.</w:t>
      </w:r>
    </w:p>
    <w:p w14:paraId="0259F4EE" w14:textId="77777777" w:rsidR="000C099C" w:rsidRPr="00587A07" w:rsidRDefault="000C099C">
      <w:pPr>
        <w:pStyle w:val="FootnoteText"/>
      </w:pPr>
    </w:p>
    <w:p w14:paraId="5015F340" w14:textId="77777777" w:rsidR="000C099C" w:rsidRPr="000B7649" w:rsidRDefault="000C099C" w:rsidP="000A3E70">
      <w:pPr>
        <w:pStyle w:val="Heading3"/>
        <w:ind w:hanging="1260"/>
        <w:jc w:val="center"/>
        <w:rPr>
          <w:sz w:val="36"/>
          <w:szCs w:val="36"/>
        </w:rPr>
      </w:pPr>
      <w:r w:rsidRPr="00587A07">
        <w:br w:type="page"/>
      </w:r>
      <w:r w:rsidRPr="000B7649">
        <w:rPr>
          <w:sz w:val="36"/>
          <w:szCs w:val="36"/>
        </w:rPr>
        <w:lastRenderedPageBreak/>
        <w:t>Seminar Notice</w:t>
      </w:r>
    </w:p>
    <w:p w14:paraId="7521BF35" w14:textId="77777777" w:rsidR="000C099C" w:rsidRPr="00587A07" w:rsidRDefault="000C099C">
      <w:pPr>
        <w:jc w:val="center"/>
        <w:rPr>
          <w:b/>
          <w:bCs/>
          <w:sz w:val="24"/>
        </w:rPr>
      </w:pPr>
    </w:p>
    <w:p w14:paraId="2AB146BF" w14:textId="77777777" w:rsidR="000C099C" w:rsidRPr="00587A07" w:rsidRDefault="000C099C">
      <w:pPr>
        <w:jc w:val="center"/>
        <w:rPr>
          <w:b/>
          <w:bCs/>
          <w:sz w:val="24"/>
        </w:rPr>
      </w:pPr>
    </w:p>
    <w:tbl>
      <w:tblPr>
        <w:tblW w:w="9900" w:type="dxa"/>
        <w:tblInd w:w="-473" w:type="dxa"/>
        <w:tblBorders>
          <w:top w:val="sing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4811"/>
        <w:gridCol w:w="5089"/>
      </w:tblGrid>
      <w:tr w:rsidR="000C099C" w:rsidRPr="00587A07" w14:paraId="5841206E" w14:textId="77777777" w:rsidTr="00742A54">
        <w:tc>
          <w:tcPr>
            <w:tcW w:w="4811" w:type="dxa"/>
            <w:tcBorders>
              <w:top w:val="double" w:sz="6" w:space="0" w:color="auto"/>
              <w:bottom w:val="single" w:sz="6" w:space="0" w:color="auto"/>
            </w:tcBorders>
          </w:tcPr>
          <w:p w14:paraId="6DF3D5D7" w14:textId="77777777" w:rsidR="000C099C" w:rsidRPr="00587A07" w:rsidRDefault="000C099C">
            <w:pPr>
              <w:rPr>
                <w:sz w:val="24"/>
              </w:rPr>
            </w:pPr>
          </w:p>
          <w:p w14:paraId="3E5F8BBF" w14:textId="494F3149" w:rsidR="000C099C" w:rsidRPr="00587A07" w:rsidRDefault="002A393A">
            <w:pPr>
              <w:rPr>
                <w:sz w:val="24"/>
              </w:rPr>
            </w:pPr>
            <w:r w:rsidRPr="005C5A17">
              <w:rPr>
                <w:sz w:val="24"/>
              </w:rPr>
              <w:t>Associated Person</w:t>
            </w:r>
            <w:r w:rsidR="000C099C" w:rsidRPr="005C5A17">
              <w:rPr>
                <w:sz w:val="24"/>
              </w:rPr>
              <w:t xml:space="preserve"> </w:t>
            </w:r>
            <w:r w:rsidR="000C099C" w:rsidRPr="00587A07">
              <w:rPr>
                <w:sz w:val="24"/>
              </w:rPr>
              <w:t>Name:</w:t>
            </w:r>
          </w:p>
        </w:tc>
        <w:tc>
          <w:tcPr>
            <w:tcW w:w="5089" w:type="dxa"/>
            <w:tcBorders>
              <w:top w:val="double" w:sz="6" w:space="0" w:color="auto"/>
              <w:bottom w:val="single" w:sz="6" w:space="0" w:color="auto"/>
            </w:tcBorders>
          </w:tcPr>
          <w:p w14:paraId="7280F4ED" w14:textId="77777777" w:rsidR="000C099C" w:rsidRPr="00587A07" w:rsidRDefault="000C099C">
            <w:pPr>
              <w:rPr>
                <w:sz w:val="24"/>
              </w:rPr>
            </w:pPr>
          </w:p>
        </w:tc>
      </w:tr>
      <w:tr w:rsidR="000C099C" w:rsidRPr="00587A07" w14:paraId="5AF3D21B" w14:textId="77777777" w:rsidTr="00742A54">
        <w:trPr>
          <w:trHeight w:val="1500"/>
        </w:trPr>
        <w:tc>
          <w:tcPr>
            <w:tcW w:w="9900" w:type="dxa"/>
            <w:gridSpan w:val="2"/>
            <w:tcBorders>
              <w:top w:val="nil"/>
              <w:bottom w:val="single" w:sz="4" w:space="0" w:color="auto"/>
            </w:tcBorders>
          </w:tcPr>
          <w:p w14:paraId="5586115F" w14:textId="77777777" w:rsidR="000C099C" w:rsidRPr="00587A07" w:rsidRDefault="000C099C">
            <w:pPr>
              <w:rPr>
                <w:sz w:val="24"/>
              </w:rPr>
            </w:pPr>
          </w:p>
          <w:p w14:paraId="13555B8E" w14:textId="77777777" w:rsidR="000C099C" w:rsidRPr="00587A07" w:rsidRDefault="000C099C">
            <w:pPr>
              <w:rPr>
                <w:sz w:val="24"/>
              </w:rPr>
            </w:pPr>
            <w:r w:rsidRPr="00587A07">
              <w:rPr>
                <w:sz w:val="24"/>
              </w:rPr>
              <w:t>Date/Location &amp; Description of Seminar:</w:t>
            </w:r>
          </w:p>
          <w:p w14:paraId="4CA61B98" w14:textId="77777777" w:rsidR="000C099C" w:rsidRPr="00587A07" w:rsidRDefault="000C099C">
            <w:pPr>
              <w:rPr>
                <w:sz w:val="24"/>
              </w:rPr>
            </w:pPr>
          </w:p>
          <w:p w14:paraId="1B7D7B3A" w14:textId="77777777" w:rsidR="000C099C" w:rsidRPr="00587A07" w:rsidRDefault="000C099C">
            <w:pPr>
              <w:rPr>
                <w:sz w:val="24"/>
              </w:rPr>
            </w:pPr>
          </w:p>
          <w:p w14:paraId="37ED0DDA" w14:textId="77777777" w:rsidR="000C099C" w:rsidRPr="00587A07" w:rsidRDefault="000C099C">
            <w:pPr>
              <w:rPr>
                <w:sz w:val="24"/>
              </w:rPr>
            </w:pPr>
          </w:p>
          <w:p w14:paraId="1C393D5D" w14:textId="77777777" w:rsidR="000C099C" w:rsidRPr="00587A07" w:rsidRDefault="000C099C">
            <w:pPr>
              <w:rPr>
                <w:sz w:val="24"/>
              </w:rPr>
            </w:pPr>
          </w:p>
        </w:tc>
      </w:tr>
      <w:tr w:rsidR="000C099C" w:rsidRPr="00587A07" w14:paraId="6F6EA52D" w14:textId="77777777" w:rsidTr="00742A54">
        <w:trPr>
          <w:trHeight w:val="1412"/>
        </w:trPr>
        <w:tc>
          <w:tcPr>
            <w:tcW w:w="9900" w:type="dxa"/>
            <w:gridSpan w:val="2"/>
            <w:tcBorders>
              <w:top w:val="single" w:sz="4" w:space="0" w:color="auto"/>
            </w:tcBorders>
          </w:tcPr>
          <w:p w14:paraId="56D02DEC" w14:textId="77777777" w:rsidR="000C099C" w:rsidRPr="00587A07" w:rsidRDefault="000C099C">
            <w:pPr>
              <w:rPr>
                <w:sz w:val="24"/>
              </w:rPr>
            </w:pPr>
            <w:r w:rsidRPr="00587A07">
              <w:rPr>
                <w:sz w:val="24"/>
              </w:rPr>
              <w:t>Speakers:</w:t>
            </w:r>
          </w:p>
          <w:p w14:paraId="0B7EA7F4" w14:textId="77777777" w:rsidR="000C099C" w:rsidRPr="00587A07" w:rsidRDefault="000C099C">
            <w:pPr>
              <w:rPr>
                <w:sz w:val="24"/>
              </w:rPr>
            </w:pPr>
          </w:p>
          <w:p w14:paraId="14FE00BA" w14:textId="77777777" w:rsidR="000C099C" w:rsidRPr="00587A07" w:rsidRDefault="000C099C">
            <w:pPr>
              <w:rPr>
                <w:sz w:val="24"/>
              </w:rPr>
            </w:pPr>
            <w:r w:rsidRPr="00587A07">
              <w:rPr>
                <w:sz w:val="24"/>
              </w:rPr>
              <w:t xml:space="preserve">Guest </w:t>
            </w:r>
            <w:r w:rsidR="007A1667" w:rsidRPr="00587A07">
              <w:rPr>
                <w:sz w:val="24"/>
              </w:rPr>
              <w:t>Speaker</w:t>
            </w:r>
            <w:r w:rsidRPr="00587A07">
              <w:rPr>
                <w:sz w:val="24"/>
              </w:rPr>
              <w:t xml:space="preserve">(s): </w:t>
            </w:r>
          </w:p>
        </w:tc>
      </w:tr>
      <w:tr w:rsidR="000C099C" w:rsidRPr="00587A07" w14:paraId="7263C63A" w14:textId="77777777" w:rsidTr="00742A54">
        <w:tc>
          <w:tcPr>
            <w:tcW w:w="9900" w:type="dxa"/>
            <w:gridSpan w:val="2"/>
          </w:tcPr>
          <w:p w14:paraId="02C3A5BD" w14:textId="77777777" w:rsidR="000C099C" w:rsidRPr="005C5A17" w:rsidRDefault="000C099C">
            <w:pPr>
              <w:rPr>
                <w:sz w:val="24"/>
              </w:rPr>
            </w:pPr>
            <w:r w:rsidRPr="005C5A17">
              <w:rPr>
                <w:sz w:val="24"/>
              </w:rPr>
              <w:t>Checklist:</w:t>
            </w:r>
          </w:p>
          <w:p w14:paraId="26B9F6D7" w14:textId="77777777" w:rsidR="000C099C" w:rsidRPr="005C5A17" w:rsidRDefault="000C099C" w:rsidP="00C1728B">
            <w:pPr>
              <w:numPr>
                <w:ilvl w:val="0"/>
                <w:numId w:val="42"/>
              </w:numPr>
              <w:rPr>
                <w:sz w:val="24"/>
              </w:rPr>
            </w:pPr>
            <w:r w:rsidRPr="005C5A17">
              <w:rPr>
                <w:sz w:val="24"/>
              </w:rPr>
              <w:t>Advertisement(s) to be used is attached;</w:t>
            </w:r>
          </w:p>
          <w:p w14:paraId="473F4BE8" w14:textId="12F93E7A" w:rsidR="000C099C" w:rsidRPr="005C5A17" w:rsidRDefault="0087145B" w:rsidP="00C1728B">
            <w:pPr>
              <w:numPr>
                <w:ilvl w:val="0"/>
                <w:numId w:val="42"/>
              </w:numPr>
              <w:rPr>
                <w:sz w:val="24"/>
              </w:rPr>
            </w:pPr>
            <w:r w:rsidRPr="005C5A17">
              <w:rPr>
                <w:sz w:val="24"/>
              </w:rPr>
              <w:t>Other material</w:t>
            </w:r>
            <w:r w:rsidR="000C099C" w:rsidRPr="005C5A17">
              <w:rPr>
                <w:sz w:val="24"/>
              </w:rPr>
              <w:t xml:space="preserve"> to be used at the event is attached;</w:t>
            </w:r>
          </w:p>
          <w:p w14:paraId="624FDDCB" w14:textId="77777777" w:rsidR="000C099C" w:rsidRPr="005C5A17" w:rsidRDefault="000C099C" w:rsidP="00C1728B">
            <w:pPr>
              <w:numPr>
                <w:ilvl w:val="0"/>
                <w:numId w:val="42"/>
              </w:numPr>
              <w:rPr>
                <w:sz w:val="24"/>
              </w:rPr>
            </w:pPr>
            <w:r w:rsidRPr="005C5A17">
              <w:rPr>
                <w:sz w:val="24"/>
              </w:rPr>
              <w:t>List of attendees invited (along with description of list – i.e. age group, demographics, etc</w:t>
            </w:r>
            <w:r w:rsidR="002470EF" w:rsidRPr="005C5A17">
              <w:rPr>
                <w:sz w:val="24"/>
              </w:rPr>
              <w:t>.</w:t>
            </w:r>
            <w:r w:rsidRPr="005C5A17">
              <w:rPr>
                <w:sz w:val="24"/>
              </w:rPr>
              <w:t>) is attached.</w:t>
            </w:r>
          </w:p>
          <w:p w14:paraId="2CFC9EC5" w14:textId="77777777" w:rsidR="000C099C" w:rsidRPr="005C5A17" w:rsidRDefault="000C099C">
            <w:pPr>
              <w:rPr>
                <w:sz w:val="24"/>
              </w:rPr>
            </w:pPr>
          </w:p>
        </w:tc>
      </w:tr>
      <w:tr w:rsidR="000C099C" w:rsidRPr="00587A07" w14:paraId="2B59B05A" w14:textId="77777777" w:rsidTr="00742A54">
        <w:tc>
          <w:tcPr>
            <w:tcW w:w="4811" w:type="dxa"/>
          </w:tcPr>
          <w:p w14:paraId="78B89707" w14:textId="77777777" w:rsidR="000C099C" w:rsidRPr="005C5A17" w:rsidRDefault="000C099C">
            <w:pPr>
              <w:rPr>
                <w:sz w:val="24"/>
              </w:rPr>
            </w:pPr>
          </w:p>
          <w:p w14:paraId="5C86E067" w14:textId="1DA58AFD" w:rsidR="000C099C" w:rsidRPr="005C5A17" w:rsidRDefault="002A393A">
            <w:pPr>
              <w:rPr>
                <w:sz w:val="24"/>
              </w:rPr>
            </w:pPr>
            <w:r w:rsidRPr="005C5A17">
              <w:rPr>
                <w:sz w:val="24"/>
              </w:rPr>
              <w:t>Associated Person</w:t>
            </w:r>
            <w:r w:rsidR="000C099C" w:rsidRPr="005C5A17">
              <w:rPr>
                <w:sz w:val="24"/>
              </w:rPr>
              <w:t xml:space="preserve"> Signature:</w:t>
            </w:r>
          </w:p>
        </w:tc>
        <w:tc>
          <w:tcPr>
            <w:tcW w:w="5089" w:type="dxa"/>
          </w:tcPr>
          <w:p w14:paraId="3D5BA8CF" w14:textId="77777777" w:rsidR="000C099C" w:rsidRPr="00587A07" w:rsidRDefault="000C099C">
            <w:pPr>
              <w:rPr>
                <w:sz w:val="24"/>
              </w:rPr>
            </w:pPr>
          </w:p>
          <w:p w14:paraId="0067DB6E" w14:textId="77777777" w:rsidR="000C099C" w:rsidRPr="00587A07" w:rsidRDefault="000C099C">
            <w:pPr>
              <w:rPr>
                <w:sz w:val="24"/>
              </w:rPr>
            </w:pPr>
            <w:r w:rsidRPr="00587A07">
              <w:rPr>
                <w:sz w:val="24"/>
              </w:rPr>
              <w:t xml:space="preserve">                                        Date:</w:t>
            </w:r>
          </w:p>
        </w:tc>
      </w:tr>
      <w:tr w:rsidR="000C099C" w:rsidRPr="00587A07" w14:paraId="0BC71CC0" w14:textId="77777777" w:rsidTr="00742A54">
        <w:tc>
          <w:tcPr>
            <w:tcW w:w="4811" w:type="dxa"/>
          </w:tcPr>
          <w:p w14:paraId="6F464CD3" w14:textId="7A16CB49" w:rsidR="000C099C" w:rsidRDefault="0087145B">
            <w:pPr>
              <w:rPr>
                <w:sz w:val="24"/>
              </w:rPr>
            </w:pPr>
            <w:r>
              <w:rPr>
                <w:sz w:val="24"/>
              </w:rPr>
              <w:t xml:space="preserve">Principal Name: </w:t>
            </w:r>
          </w:p>
          <w:p w14:paraId="2C16C9DB" w14:textId="77777777" w:rsidR="0087145B" w:rsidRPr="00587A07" w:rsidRDefault="0087145B">
            <w:pPr>
              <w:rPr>
                <w:sz w:val="24"/>
              </w:rPr>
            </w:pPr>
          </w:p>
          <w:p w14:paraId="76FE384E" w14:textId="56A5AB31" w:rsidR="000C099C" w:rsidRPr="00587A07" w:rsidRDefault="000C099C">
            <w:pPr>
              <w:rPr>
                <w:sz w:val="24"/>
              </w:rPr>
            </w:pPr>
            <w:r w:rsidRPr="00587A07">
              <w:rPr>
                <w:sz w:val="24"/>
              </w:rPr>
              <w:t>Principal Signature:</w:t>
            </w:r>
          </w:p>
        </w:tc>
        <w:tc>
          <w:tcPr>
            <w:tcW w:w="5089" w:type="dxa"/>
          </w:tcPr>
          <w:p w14:paraId="11C2F9B5" w14:textId="77777777" w:rsidR="000C099C" w:rsidRPr="00587A07" w:rsidRDefault="000C099C">
            <w:pPr>
              <w:rPr>
                <w:sz w:val="24"/>
              </w:rPr>
            </w:pPr>
          </w:p>
          <w:p w14:paraId="780B215E" w14:textId="77777777" w:rsidR="0087145B" w:rsidRDefault="000C099C">
            <w:pPr>
              <w:rPr>
                <w:sz w:val="24"/>
              </w:rPr>
            </w:pPr>
            <w:r w:rsidRPr="00587A07">
              <w:rPr>
                <w:sz w:val="24"/>
              </w:rPr>
              <w:t xml:space="preserve">                                       </w:t>
            </w:r>
          </w:p>
          <w:p w14:paraId="7FF2417C" w14:textId="3B846175" w:rsidR="000C099C" w:rsidRPr="00587A07" w:rsidRDefault="0087145B">
            <w:pPr>
              <w:rPr>
                <w:sz w:val="24"/>
              </w:rPr>
            </w:pPr>
            <w:r>
              <w:rPr>
                <w:sz w:val="24"/>
              </w:rPr>
              <w:t xml:space="preserve">                                       </w:t>
            </w:r>
            <w:r w:rsidR="000C099C" w:rsidRPr="00587A07">
              <w:rPr>
                <w:sz w:val="24"/>
              </w:rPr>
              <w:t xml:space="preserve"> Date:</w:t>
            </w:r>
          </w:p>
        </w:tc>
      </w:tr>
      <w:tr w:rsidR="000C099C" w:rsidRPr="00587A07" w14:paraId="5CE061C9" w14:textId="77777777" w:rsidTr="00742A54">
        <w:tc>
          <w:tcPr>
            <w:tcW w:w="4811" w:type="dxa"/>
          </w:tcPr>
          <w:p w14:paraId="70A69809" w14:textId="77777777" w:rsidR="000C099C" w:rsidRPr="00587A07" w:rsidRDefault="00CC1D9E">
            <w:pPr>
              <w:rPr>
                <w:sz w:val="24"/>
              </w:rPr>
            </w:pPr>
            <w:r>
              <w:rPr>
                <w:noProof/>
              </w:rPr>
              <mc:AlternateContent>
                <mc:Choice Requires="wps">
                  <w:drawing>
                    <wp:anchor distT="0" distB="0" distL="114300" distR="114300" simplePos="0" relativeHeight="251651584" behindDoc="0" locked="0" layoutInCell="1" allowOverlap="1" wp14:anchorId="2917919E" wp14:editId="083A1C7D">
                      <wp:simplePos x="0" y="0"/>
                      <wp:positionH relativeFrom="column">
                        <wp:posOffset>2383155</wp:posOffset>
                      </wp:positionH>
                      <wp:positionV relativeFrom="paragraph">
                        <wp:posOffset>109220</wp:posOffset>
                      </wp:positionV>
                      <wp:extent cx="228600" cy="2286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A3711" id="Rectangle 20" o:spid="_x0000_s1026" style="position:absolute;margin-left:187.6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"/>
                  </w:pict>
                </mc:Fallback>
              </mc:AlternateContent>
            </w:r>
            <w:r>
              <w:rPr>
                <w:noProof/>
              </w:rPr>
              <mc:AlternateContent>
                <mc:Choice Requires="wps">
                  <w:drawing>
                    <wp:anchor distT="0" distB="0" distL="114300" distR="114300" simplePos="0" relativeHeight="251650560" behindDoc="0" locked="0" layoutInCell="1" allowOverlap="1" wp14:anchorId="3863A2D4" wp14:editId="616A7A6D">
                      <wp:simplePos x="0" y="0"/>
                      <wp:positionH relativeFrom="column">
                        <wp:posOffset>782955</wp:posOffset>
                      </wp:positionH>
                      <wp:positionV relativeFrom="paragraph">
                        <wp:posOffset>109220</wp:posOffset>
                      </wp:positionV>
                      <wp:extent cx="228600" cy="22860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95BE" id="Rectangle 19" o:spid="_x0000_s1026" style="position:absolute;margin-left:61.65pt;margin-top:8.6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sWHgIAADw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"/>
                  </w:pict>
                </mc:Fallback>
              </mc:AlternateContent>
            </w:r>
          </w:p>
          <w:p w14:paraId="42238A81" w14:textId="77777777" w:rsidR="000C099C" w:rsidRPr="00587A07" w:rsidRDefault="000C099C">
            <w:pPr>
              <w:rPr>
                <w:sz w:val="24"/>
              </w:rPr>
            </w:pPr>
            <w:r w:rsidRPr="00587A07">
              <w:rPr>
                <w:sz w:val="24"/>
              </w:rPr>
              <w:t xml:space="preserve">Approved:                  Not Approved: </w:t>
            </w:r>
          </w:p>
        </w:tc>
        <w:tc>
          <w:tcPr>
            <w:tcW w:w="5089" w:type="dxa"/>
          </w:tcPr>
          <w:p w14:paraId="68854CCE" w14:textId="77777777" w:rsidR="000C099C" w:rsidRPr="00587A07" w:rsidRDefault="000C099C">
            <w:pPr>
              <w:rPr>
                <w:sz w:val="24"/>
              </w:rPr>
            </w:pPr>
          </w:p>
        </w:tc>
      </w:tr>
      <w:tr w:rsidR="000C099C" w:rsidRPr="00587A07" w14:paraId="7F98382B" w14:textId="77777777" w:rsidTr="00742A54">
        <w:tc>
          <w:tcPr>
            <w:tcW w:w="4811" w:type="dxa"/>
          </w:tcPr>
          <w:p w14:paraId="27144BE4" w14:textId="77777777" w:rsidR="000C099C" w:rsidRPr="00587A07" w:rsidRDefault="000C099C">
            <w:pPr>
              <w:rPr>
                <w:sz w:val="24"/>
              </w:rPr>
            </w:pPr>
            <w:r w:rsidRPr="00587A07">
              <w:rPr>
                <w:sz w:val="24"/>
              </w:rPr>
              <w:t>Comments:</w:t>
            </w:r>
          </w:p>
          <w:p w14:paraId="50B02492" w14:textId="77777777" w:rsidR="000C099C" w:rsidRPr="00587A07" w:rsidRDefault="000C099C">
            <w:pPr>
              <w:rPr>
                <w:sz w:val="24"/>
              </w:rPr>
            </w:pPr>
          </w:p>
          <w:p w14:paraId="1077DE77" w14:textId="77777777" w:rsidR="000C099C" w:rsidRPr="00587A07" w:rsidRDefault="000C099C">
            <w:pPr>
              <w:rPr>
                <w:sz w:val="24"/>
              </w:rPr>
            </w:pPr>
          </w:p>
        </w:tc>
        <w:tc>
          <w:tcPr>
            <w:tcW w:w="5089" w:type="dxa"/>
          </w:tcPr>
          <w:p w14:paraId="619E4482" w14:textId="77777777" w:rsidR="000C099C" w:rsidRPr="00587A07" w:rsidRDefault="000C099C">
            <w:pPr>
              <w:rPr>
                <w:sz w:val="24"/>
              </w:rPr>
            </w:pPr>
          </w:p>
          <w:p w14:paraId="0FB721CC" w14:textId="77777777" w:rsidR="000C099C" w:rsidRPr="00587A07" w:rsidRDefault="000C099C">
            <w:pPr>
              <w:rPr>
                <w:sz w:val="24"/>
              </w:rPr>
            </w:pPr>
            <w:r w:rsidRPr="00587A07">
              <w:rPr>
                <w:sz w:val="24"/>
              </w:rPr>
              <w:t xml:space="preserve">                                        </w:t>
            </w:r>
          </w:p>
        </w:tc>
      </w:tr>
    </w:tbl>
    <w:p w14:paraId="0DAFB825" w14:textId="77777777" w:rsidR="000C099C" w:rsidRPr="00587A07" w:rsidRDefault="000C099C">
      <w:pPr>
        <w:jc w:val="center"/>
        <w:rPr>
          <w:b/>
          <w:bCs/>
          <w:sz w:val="24"/>
        </w:rPr>
      </w:pPr>
    </w:p>
    <w:p w14:paraId="293813EC" w14:textId="77777777" w:rsidR="000C099C" w:rsidRDefault="000C099C">
      <w:pPr>
        <w:jc w:val="center"/>
        <w:rPr>
          <w:b/>
          <w:bCs/>
          <w:color w:val="FF0000"/>
          <w:sz w:val="24"/>
        </w:rPr>
      </w:pPr>
      <w:r w:rsidRPr="00587A07">
        <w:rPr>
          <w:b/>
          <w:bCs/>
          <w:sz w:val="24"/>
        </w:rPr>
        <w:br w:type="page"/>
      </w:r>
    </w:p>
    <w:p w14:paraId="67610C37" w14:textId="77777777" w:rsidR="000C099C" w:rsidRDefault="000C099C">
      <w:pPr>
        <w:pStyle w:val="FootnoteText"/>
      </w:pPr>
    </w:p>
    <w:p w14:paraId="111E7EC3" w14:textId="77777777" w:rsidR="000C099C" w:rsidRPr="000B7649" w:rsidRDefault="000C099C" w:rsidP="000B7649">
      <w:pPr>
        <w:pStyle w:val="Heading3"/>
        <w:jc w:val="center"/>
        <w:rPr>
          <w:sz w:val="36"/>
          <w:szCs w:val="36"/>
        </w:rPr>
      </w:pPr>
      <w:r w:rsidRPr="000B7649">
        <w:rPr>
          <w:sz w:val="36"/>
          <w:szCs w:val="36"/>
        </w:rPr>
        <w:t>Business Gift Notification</w:t>
      </w:r>
    </w:p>
    <w:p w14:paraId="59F1BE14" w14:textId="77777777" w:rsidR="000C099C" w:rsidRPr="00587A07" w:rsidRDefault="000C099C">
      <w:pPr>
        <w:jc w:val="center"/>
        <w:rPr>
          <w:b/>
          <w:bCs/>
          <w:sz w:val="24"/>
        </w:rPr>
      </w:pPr>
    </w:p>
    <w:p w14:paraId="2A15EACC" w14:textId="77777777" w:rsidR="000C099C" w:rsidRPr="00587A07" w:rsidRDefault="000C099C">
      <w:pPr>
        <w:jc w:val="center"/>
        <w:rPr>
          <w:b/>
          <w:bCs/>
          <w:sz w:val="24"/>
        </w:rPr>
      </w:pPr>
    </w:p>
    <w:tbl>
      <w:tblPr>
        <w:tblW w:w="0" w:type="auto"/>
        <w:tblBorders>
          <w:top w:val="sing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4338"/>
        <w:gridCol w:w="252"/>
        <w:gridCol w:w="4986"/>
      </w:tblGrid>
      <w:tr w:rsidR="000C099C" w:rsidRPr="00587A07" w14:paraId="4BD68E4E" w14:textId="77777777">
        <w:tc>
          <w:tcPr>
            <w:tcW w:w="4338" w:type="dxa"/>
            <w:tcBorders>
              <w:top w:val="double" w:sz="6" w:space="0" w:color="auto"/>
              <w:bottom w:val="single" w:sz="6" w:space="0" w:color="auto"/>
            </w:tcBorders>
          </w:tcPr>
          <w:p w14:paraId="25DD4C4F" w14:textId="77777777" w:rsidR="000C099C" w:rsidRPr="00587A07" w:rsidRDefault="000C099C">
            <w:pPr>
              <w:rPr>
                <w:sz w:val="24"/>
              </w:rPr>
            </w:pPr>
            <w:r w:rsidRPr="00587A07">
              <w:rPr>
                <w:sz w:val="24"/>
              </w:rPr>
              <w:t>Registered Representative Name:</w:t>
            </w:r>
          </w:p>
          <w:p w14:paraId="35C52F04" w14:textId="77777777" w:rsidR="000C099C" w:rsidRPr="00587A07" w:rsidRDefault="000C099C">
            <w:pPr>
              <w:rPr>
                <w:sz w:val="24"/>
              </w:rPr>
            </w:pPr>
          </w:p>
        </w:tc>
        <w:tc>
          <w:tcPr>
            <w:tcW w:w="5238" w:type="dxa"/>
            <w:gridSpan w:val="2"/>
            <w:tcBorders>
              <w:top w:val="double" w:sz="6" w:space="0" w:color="auto"/>
              <w:bottom w:val="single" w:sz="6" w:space="0" w:color="auto"/>
            </w:tcBorders>
          </w:tcPr>
          <w:p w14:paraId="68A98EC2" w14:textId="77777777" w:rsidR="000C099C" w:rsidRPr="00587A07" w:rsidRDefault="000C099C">
            <w:pPr>
              <w:rPr>
                <w:sz w:val="24"/>
              </w:rPr>
            </w:pPr>
          </w:p>
        </w:tc>
      </w:tr>
      <w:tr w:rsidR="000C099C" w:rsidRPr="00587A07" w14:paraId="2BA22FA1" w14:textId="77777777">
        <w:trPr>
          <w:cantSplit/>
          <w:trHeight w:val="795"/>
        </w:trPr>
        <w:tc>
          <w:tcPr>
            <w:tcW w:w="9576" w:type="dxa"/>
            <w:gridSpan w:val="3"/>
            <w:tcBorders>
              <w:top w:val="nil"/>
              <w:bottom w:val="single" w:sz="4" w:space="0" w:color="auto"/>
            </w:tcBorders>
          </w:tcPr>
          <w:p w14:paraId="011E1A69" w14:textId="77777777" w:rsidR="000C099C" w:rsidRPr="00587A07" w:rsidRDefault="000C099C">
            <w:pPr>
              <w:rPr>
                <w:sz w:val="24"/>
              </w:rPr>
            </w:pPr>
            <w:r w:rsidRPr="00587A07">
              <w:rPr>
                <w:sz w:val="24"/>
              </w:rPr>
              <w:t>Recipient Name/ Address:</w:t>
            </w:r>
          </w:p>
          <w:p w14:paraId="7AE7D9F9" w14:textId="77777777" w:rsidR="000C099C" w:rsidRPr="00587A07" w:rsidRDefault="000C099C">
            <w:pPr>
              <w:rPr>
                <w:sz w:val="24"/>
              </w:rPr>
            </w:pPr>
          </w:p>
        </w:tc>
      </w:tr>
      <w:tr w:rsidR="000C099C" w:rsidRPr="00587A07" w14:paraId="71E14E3A" w14:textId="77777777">
        <w:trPr>
          <w:cantSplit/>
          <w:trHeight w:val="485"/>
        </w:trPr>
        <w:tc>
          <w:tcPr>
            <w:tcW w:w="4590" w:type="dxa"/>
            <w:gridSpan w:val="2"/>
            <w:tcBorders>
              <w:top w:val="single" w:sz="4" w:space="0" w:color="auto"/>
              <w:bottom w:val="single" w:sz="4" w:space="0" w:color="auto"/>
              <w:right w:val="single" w:sz="4" w:space="0" w:color="auto"/>
            </w:tcBorders>
          </w:tcPr>
          <w:p w14:paraId="0809F069" w14:textId="77777777" w:rsidR="000C099C" w:rsidRPr="00587A07" w:rsidRDefault="000C099C">
            <w:pPr>
              <w:rPr>
                <w:sz w:val="24"/>
              </w:rPr>
            </w:pPr>
            <w:r w:rsidRPr="00587A07">
              <w:rPr>
                <w:sz w:val="24"/>
              </w:rPr>
              <w:t>Date of Gift:</w:t>
            </w:r>
          </w:p>
          <w:p w14:paraId="0058931D" w14:textId="77777777" w:rsidR="000C099C" w:rsidRPr="00587A07" w:rsidRDefault="000C099C">
            <w:pPr>
              <w:rPr>
                <w:sz w:val="24"/>
              </w:rPr>
            </w:pPr>
          </w:p>
        </w:tc>
        <w:tc>
          <w:tcPr>
            <w:tcW w:w="4986" w:type="dxa"/>
            <w:tcBorders>
              <w:top w:val="single" w:sz="4" w:space="0" w:color="auto"/>
              <w:left w:val="single" w:sz="4" w:space="0" w:color="auto"/>
              <w:bottom w:val="single" w:sz="4" w:space="0" w:color="auto"/>
            </w:tcBorders>
          </w:tcPr>
          <w:p w14:paraId="61105E07" w14:textId="77777777" w:rsidR="000C099C" w:rsidRPr="00587A07" w:rsidRDefault="000C099C">
            <w:pPr>
              <w:rPr>
                <w:sz w:val="24"/>
              </w:rPr>
            </w:pPr>
            <w:r w:rsidRPr="00587A07">
              <w:rPr>
                <w:sz w:val="24"/>
              </w:rPr>
              <w:t>Estimated Value:  $</w:t>
            </w:r>
          </w:p>
          <w:p w14:paraId="4BF42FF9" w14:textId="77777777" w:rsidR="000C099C" w:rsidRPr="00587A07" w:rsidRDefault="000C099C">
            <w:pPr>
              <w:rPr>
                <w:sz w:val="24"/>
              </w:rPr>
            </w:pPr>
          </w:p>
        </w:tc>
      </w:tr>
      <w:tr w:rsidR="000C099C" w:rsidRPr="00587A07" w14:paraId="06799BFD" w14:textId="77777777">
        <w:trPr>
          <w:cantSplit/>
          <w:trHeight w:val="1313"/>
        </w:trPr>
        <w:tc>
          <w:tcPr>
            <w:tcW w:w="9576" w:type="dxa"/>
            <w:gridSpan w:val="3"/>
            <w:tcBorders>
              <w:top w:val="single" w:sz="4" w:space="0" w:color="auto"/>
            </w:tcBorders>
          </w:tcPr>
          <w:p w14:paraId="6B83010D" w14:textId="77777777" w:rsidR="000C099C" w:rsidRPr="00587A07" w:rsidRDefault="00470C84">
            <w:pPr>
              <w:rPr>
                <w:sz w:val="24"/>
              </w:rPr>
            </w:pPr>
            <w:r w:rsidRPr="00587A07">
              <w:rPr>
                <w:sz w:val="24"/>
              </w:rPr>
              <w:t>Description</w:t>
            </w:r>
            <w:r w:rsidR="000C099C" w:rsidRPr="00587A07">
              <w:rPr>
                <w:sz w:val="24"/>
              </w:rPr>
              <w:t xml:space="preserve"> of Gift: </w:t>
            </w:r>
          </w:p>
          <w:p w14:paraId="1BCC44D7" w14:textId="77777777" w:rsidR="000C099C" w:rsidRPr="00587A07" w:rsidRDefault="000C099C">
            <w:pPr>
              <w:rPr>
                <w:sz w:val="24"/>
              </w:rPr>
            </w:pPr>
          </w:p>
        </w:tc>
      </w:tr>
      <w:tr w:rsidR="000C099C" w:rsidRPr="00587A07" w14:paraId="69B1DCBA" w14:textId="77777777">
        <w:tc>
          <w:tcPr>
            <w:tcW w:w="4338" w:type="dxa"/>
          </w:tcPr>
          <w:p w14:paraId="0261EF03" w14:textId="77777777" w:rsidR="000C099C" w:rsidRPr="00587A07" w:rsidRDefault="000C099C">
            <w:pPr>
              <w:rPr>
                <w:sz w:val="24"/>
              </w:rPr>
            </w:pPr>
          </w:p>
          <w:p w14:paraId="021AFF1D" w14:textId="77777777" w:rsidR="000C099C" w:rsidRPr="00587A07" w:rsidRDefault="000C099C">
            <w:pPr>
              <w:rPr>
                <w:sz w:val="24"/>
              </w:rPr>
            </w:pPr>
            <w:r w:rsidRPr="00587A07">
              <w:rPr>
                <w:sz w:val="24"/>
              </w:rPr>
              <w:t>RR Signature:</w:t>
            </w:r>
          </w:p>
        </w:tc>
        <w:tc>
          <w:tcPr>
            <w:tcW w:w="5238" w:type="dxa"/>
            <w:gridSpan w:val="2"/>
          </w:tcPr>
          <w:p w14:paraId="60B9B7C7" w14:textId="77777777" w:rsidR="000C099C" w:rsidRPr="00587A07" w:rsidRDefault="000C099C">
            <w:pPr>
              <w:rPr>
                <w:sz w:val="24"/>
              </w:rPr>
            </w:pPr>
          </w:p>
          <w:p w14:paraId="4FCC3FA1" w14:textId="77777777" w:rsidR="000C099C" w:rsidRPr="00587A07" w:rsidRDefault="000C099C">
            <w:pPr>
              <w:rPr>
                <w:sz w:val="24"/>
              </w:rPr>
            </w:pPr>
            <w:r w:rsidRPr="00587A07">
              <w:rPr>
                <w:sz w:val="24"/>
              </w:rPr>
              <w:t xml:space="preserve">                                        Date:</w:t>
            </w:r>
          </w:p>
        </w:tc>
      </w:tr>
      <w:tr w:rsidR="000C099C" w:rsidRPr="00587A07" w14:paraId="7A101152" w14:textId="77777777">
        <w:tc>
          <w:tcPr>
            <w:tcW w:w="4338" w:type="dxa"/>
          </w:tcPr>
          <w:p w14:paraId="676DB238" w14:textId="77777777" w:rsidR="000C099C" w:rsidRPr="00587A07" w:rsidRDefault="000C099C">
            <w:pPr>
              <w:rPr>
                <w:sz w:val="24"/>
              </w:rPr>
            </w:pPr>
          </w:p>
          <w:p w14:paraId="765B08B3" w14:textId="77777777" w:rsidR="000C099C" w:rsidRPr="00587A07" w:rsidRDefault="000C099C">
            <w:pPr>
              <w:rPr>
                <w:sz w:val="24"/>
              </w:rPr>
            </w:pPr>
            <w:r w:rsidRPr="00587A07">
              <w:rPr>
                <w:sz w:val="24"/>
              </w:rPr>
              <w:t>Principal Name:</w:t>
            </w:r>
          </w:p>
        </w:tc>
        <w:tc>
          <w:tcPr>
            <w:tcW w:w="5238" w:type="dxa"/>
            <w:gridSpan w:val="2"/>
          </w:tcPr>
          <w:p w14:paraId="1D69AC9F" w14:textId="77777777" w:rsidR="000C099C" w:rsidRPr="00587A07" w:rsidRDefault="000C099C">
            <w:pPr>
              <w:rPr>
                <w:sz w:val="24"/>
              </w:rPr>
            </w:pPr>
          </w:p>
        </w:tc>
      </w:tr>
      <w:tr w:rsidR="000C099C" w:rsidRPr="00587A07" w14:paraId="02B7834C" w14:textId="77777777">
        <w:tc>
          <w:tcPr>
            <w:tcW w:w="4338" w:type="dxa"/>
          </w:tcPr>
          <w:p w14:paraId="55757485" w14:textId="77777777" w:rsidR="000C099C" w:rsidRPr="00587A07" w:rsidRDefault="000C099C">
            <w:pPr>
              <w:rPr>
                <w:sz w:val="24"/>
              </w:rPr>
            </w:pPr>
          </w:p>
          <w:p w14:paraId="1603E45E" w14:textId="77777777" w:rsidR="000C099C" w:rsidRPr="00587A07" w:rsidRDefault="000C099C">
            <w:pPr>
              <w:rPr>
                <w:sz w:val="24"/>
              </w:rPr>
            </w:pPr>
            <w:r w:rsidRPr="00587A07">
              <w:rPr>
                <w:sz w:val="24"/>
              </w:rPr>
              <w:t>Principal Signature:</w:t>
            </w:r>
          </w:p>
        </w:tc>
        <w:tc>
          <w:tcPr>
            <w:tcW w:w="5238" w:type="dxa"/>
            <w:gridSpan w:val="2"/>
          </w:tcPr>
          <w:p w14:paraId="2E5C99A8" w14:textId="77777777" w:rsidR="000C099C" w:rsidRPr="00587A07" w:rsidRDefault="000C099C">
            <w:pPr>
              <w:rPr>
                <w:sz w:val="24"/>
              </w:rPr>
            </w:pPr>
          </w:p>
          <w:p w14:paraId="317F7BA7" w14:textId="77777777" w:rsidR="000C099C" w:rsidRPr="00587A07" w:rsidRDefault="000C099C">
            <w:pPr>
              <w:rPr>
                <w:sz w:val="24"/>
              </w:rPr>
            </w:pPr>
            <w:r w:rsidRPr="00587A07">
              <w:rPr>
                <w:sz w:val="24"/>
              </w:rPr>
              <w:t xml:space="preserve">                                         Date:</w:t>
            </w:r>
          </w:p>
        </w:tc>
      </w:tr>
    </w:tbl>
    <w:p w14:paraId="5534B4FA" w14:textId="77777777" w:rsidR="000C099C" w:rsidRPr="00587A07" w:rsidRDefault="000C099C">
      <w:pPr>
        <w:jc w:val="center"/>
        <w:rPr>
          <w:b/>
          <w:bCs/>
          <w:sz w:val="24"/>
        </w:rPr>
      </w:pPr>
    </w:p>
    <w:p w14:paraId="620FC7C4" w14:textId="77777777" w:rsidR="002B4241" w:rsidRDefault="002B4241">
      <w:pPr>
        <w:jc w:val="center"/>
        <w:rPr>
          <w:b/>
          <w:bCs/>
          <w:sz w:val="24"/>
        </w:rPr>
      </w:pPr>
    </w:p>
    <w:p w14:paraId="126F9F18" w14:textId="77777777" w:rsidR="002B4241" w:rsidRPr="000B7649" w:rsidRDefault="002B4241" w:rsidP="000B7649">
      <w:pPr>
        <w:pStyle w:val="Heading3"/>
        <w:jc w:val="center"/>
        <w:rPr>
          <w:sz w:val="36"/>
          <w:szCs w:val="36"/>
        </w:rPr>
      </w:pPr>
      <w:r>
        <w:br w:type="page"/>
      </w:r>
      <w:r w:rsidRPr="000B7649">
        <w:rPr>
          <w:sz w:val="36"/>
          <w:szCs w:val="36"/>
        </w:rPr>
        <w:lastRenderedPageBreak/>
        <w:t>Sharing in Accounts Notice</w:t>
      </w:r>
    </w:p>
    <w:p w14:paraId="5F371CFB" w14:textId="77777777" w:rsidR="002B4241" w:rsidRDefault="002B4241" w:rsidP="002B4241">
      <w:pPr>
        <w:jc w:val="center"/>
        <w:rPr>
          <w:b/>
          <w:bCs/>
          <w:sz w:val="36"/>
        </w:rPr>
      </w:pPr>
    </w:p>
    <w:p w14:paraId="605FAB0A" w14:textId="77777777" w:rsidR="002B4241" w:rsidRDefault="002B4241" w:rsidP="002B4241">
      <w:pPr>
        <w:jc w:val="center"/>
        <w:rPr>
          <w:b/>
          <w:bCs/>
          <w:sz w:val="36"/>
        </w:rPr>
      </w:pPr>
      <w:r>
        <w:rPr>
          <w:b/>
          <w:bCs/>
          <w:sz w:val="36"/>
        </w:rPr>
        <w:t>Woodlands Securities Corporation</w:t>
      </w:r>
    </w:p>
    <w:p w14:paraId="51318103" w14:textId="77777777" w:rsidR="002B4241" w:rsidRDefault="002B4241" w:rsidP="002B4241">
      <w:pPr>
        <w:jc w:val="center"/>
        <w:rPr>
          <w:b/>
          <w:bCs/>
          <w:sz w:val="40"/>
        </w:rPr>
      </w:pPr>
      <w:bookmarkStart w:id="350" w:name="ExhibitD"/>
      <w:r w:rsidRPr="00D47B7C">
        <w:rPr>
          <w:b/>
          <w:bCs/>
          <w:sz w:val="40"/>
        </w:rPr>
        <w:t>FINRA</w:t>
      </w:r>
      <w:r>
        <w:rPr>
          <w:b/>
          <w:bCs/>
          <w:sz w:val="40"/>
        </w:rPr>
        <w:t xml:space="preserve"> RULE 2330(f)</w:t>
      </w:r>
      <w:bookmarkEnd w:id="350"/>
    </w:p>
    <w:p w14:paraId="732F3CE2" w14:textId="77777777" w:rsidR="002B4241" w:rsidRDefault="002B4241" w:rsidP="002B4241">
      <w:pPr>
        <w:jc w:val="center"/>
        <w:rPr>
          <w:b/>
          <w:bCs/>
          <w:sz w:val="40"/>
        </w:rPr>
      </w:pPr>
    </w:p>
    <w:p w14:paraId="763FA069" w14:textId="77777777" w:rsidR="002B4241" w:rsidRDefault="002B4241" w:rsidP="002B4241">
      <w:pPr>
        <w:jc w:val="center"/>
        <w:rPr>
          <w:b/>
          <w:bCs/>
          <w:i/>
          <w:iCs/>
          <w:sz w:val="40"/>
        </w:rPr>
      </w:pPr>
    </w:p>
    <w:tbl>
      <w:tblPr>
        <w:tblW w:w="0" w:type="auto"/>
        <w:tblBorders>
          <w:top w:val="sing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4338"/>
        <w:gridCol w:w="5238"/>
      </w:tblGrid>
      <w:tr w:rsidR="002B4241" w14:paraId="23B26E20" w14:textId="77777777" w:rsidTr="00463783">
        <w:trPr>
          <w:cantSplit/>
        </w:trPr>
        <w:tc>
          <w:tcPr>
            <w:tcW w:w="9576" w:type="dxa"/>
            <w:gridSpan w:val="2"/>
            <w:tcBorders>
              <w:top w:val="double" w:sz="6" w:space="0" w:color="auto"/>
              <w:bottom w:val="single" w:sz="6" w:space="0" w:color="auto"/>
            </w:tcBorders>
          </w:tcPr>
          <w:p w14:paraId="01F9D528" w14:textId="77777777" w:rsidR="002B4241" w:rsidRDefault="002B4241" w:rsidP="00463783">
            <w:pPr>
              <w:rPr>
                <w:sz w:val="24"/>
              </w:rPr>
            </w:pPr>
          </w:p>
          <w:p w14:paraId="6873207E" w14:textId="77777777" w:rsidR="002B4241" w:rsidRDefault="002B4241" w:rsidP="00463783">
            <w:pPr>
              <w:rPr>
                <w:sz w:val="24"/>
              </w:rPr>
            </w:pPr>
            <w:r>
              <w:rPr>
                <w:sz w:val="24"/>
              </w:rPr>
              <w:t xml:space="preserve">Registered Representative Name(s):   </w:t>
            </w:r>
          </w:p>
        </w:tc>
      </w:tr>
      <w:tr w:rsidR="002B4241" w14:paraId="07C12E0B" w14:textId="77777777" w:rsidTr="00463783">
        <w:tc>
          <w:tcPr>
            <w:tcW w:w="4338" w:type="dxa"/>
            <w:tcBorders>
              <w:top w:val="nil"/>
              <w:right w:val="single" w:sz="4" w:space="0" w:color="auto"/>
            </w:tcBorders>
          </w:tcPr>
          <w:p w14:paraId="0F377EC5" w14:textId="77777777" w:rsidR="002B4241" w:rsidRDefault="002B4241" w:rsidP="00463783">
            <w:pPr>
              <w:rPr>
                <w:sz w:val="24"/>
              </w:rPr>
            </w:pPr>
          </w:p>
          <w:p w14:paraId="5F07076F" w14:textId="77777777" w:rsidR="002B4241" w:rsidRDefault="002B4241" w:rsidP="00463783">
            <w:pPr>
              <w:rPr>
                <w:sz w:val="24"/>
              </w:rPr>
            </w:pPr>
            <w:r>
              <w:rPr>
                <w:sz w:val="24"/>
              </w:rPr>
              <w:t>Name of Account:</w:t>
            </w:r>
          </w:p>
          <w:p w14:paraId="2BB50C2F" w14:textId="77777777" w:rsidR="002B4241" w:rsidRDefault="002B4241" w:rsidP="00463783">
            <w:pPr>
              <w:rPr>
                <w:sz w:val="24"/>
              </w:rPr>
            </w:pPr>
          </w:p>
          <w:p w14:paraId="5BA13F43" w14:textId="77777777" w:rsidR="002B4241" w:rsidRDefault="002B4241" w:rsidP="00463783">
            <w:pPr>
              <w:rPr>
                <w:sz w:val="24"/>
              </w:rPr>
            </w:pPr>
            <w:r>
              <w:rPr>
                <w:sz w:val="24"/>
              </w:rPr>
              <w:t xml:space="preserve">      </w:t>
            </w:r>
          </w:p>
          <w:p w14:paraId="5404E586" w14:textId="77777777" w:rsidR="002B4241" w:rsidRDefault="002B4241" w:rsidP="00463783">
            <w:pPr>
              <w:rPr>
                <w:sz w:val="24"/>
              </w:rPr>
            </w:pPr>
          </w:p>
          <w:p w14:paraId="5AE62D01" w14:textId="77777777" w:rsidR="002B4241" w:rsidRDefault="002B4241" w:rsidP="00463783">
            <w:pPr>
              <w:rPr>
                <w:sz w:val="24"/>
              </w:rPr>
            </w:pPr>
          </w:p>
          <w:p w14:paraId="4B596BB6" w14:textId="77777777" w:rsidR="002B4241" w:rsidRDefault="002B4241" w:rsidP="00463783">
            <w:pPr>
              <w:rPr>
                <w:sz w:val="24"/>
              </w:rPr>
            </w:pPr>
          </w:p>
          <w:p w14:paraId="4085F19F" w14:textId="77777777" w:rsidR="002B4241" w:rsidRDefault="002B4241" w:rsidP="00463783">
            <w:pPr>
              <w:rPr>
                <w:sz w:val="24"/>
              </w:rPr>
            </w:pPr>
          </w:p>
        </w:tc>
        <w:tc>
          <w:tcPr>
            <w:tcW w:w="5238" w:type="dxa"/>
            <w:tcBorders>
              <w:top w:val="nil"/>
              <w:left w:val="single" w:sz="4" w:space="0" w:color="auto"/>
            </w:tcBorders>
          </w:tcPr>
          <w:p w14:paraId="6D9325B1" w14:textId="77777777" w:rsidR="002B4241" w:rsidRDefault="002B4241" w:rsidP="00463783">
            <w:pPr>
              <w:rPr>
                <w:sz w:val="24"/>
              </w:rPr>
            </w:pPr>
          </w:p>
          <w:p w14:paraId="4119FBB3" w14:textId="77777777" w:rsidR="002B4241" w:rsidRDefault="002B4241" w:rsidP="00463783">
            <w:pPr>
              <w:rPr>
                <w:sz w:val="24"/>
              </w:rPr>
            </w:pPr>
            <w:r>
              <w:rPr>
                <w:sz w:val="24"/>
              </w:rPr>
              <w:t>List of Customer Names:</w:t>
            </w:r>
          </w:p>
          <w:p w14:paraId="1CD9DA5F" w14:textId="77777777" w:rsidR="002B4241" w:rsidRDefault="002B4241" w:rsidP="00463783">
            <w:pPr>
              <w:rPr>
                <w:sz w:val="24"/>
              </w:rPr>
            </w:pPr>
          </w:p>
          <w:p w14:paraId="6C9B27E8" w14:textId="77777777" w:rsidR="002B4241" w:rsidRDefault="002B4241" w:rsidP="00463783">
            <w:pPr>
              <w:rPr>
                <w:b/>
                <w:bCs/>
                <w:sz w:val="28"/>
              </w:rPr>
            </w:pPr>
            <w:r>
              <w:rPr>
                <w:sz w:val="24"/>
              </w:rPr>
              <w:t xml:space="preserve">  </w:t>
            </w:r>
          </w:p>
          <w:p w14:paraId="1756CE5E" w14:textId="77777777" w:rsidR="002B4241" w:rsidRDefault="002B4241" w:rsidP="00463783">
            <w:pPr>
              <w:rPr>
                <w:b/>
                <w:bCs/>
                <w:sz w:val="28"/>
              </w:rPr>
            </w:pPr>
          </w:p>
          <w:p w14:paraId="7837B2F4" w14:textId="77777777" w:rsidR="002B4241" w:rsidRDefault="002B4241" w:rsidP="00463783">
            <w:pPr>
              <w:rPr>
                <w:sz w:val="24"/>
              </w:rPr>
            </w:pPr>
          </w:p>
          <w:p w14:paraId="0BD92D6F" w14:textId="77777777" w:rsidR="002B4241" w:rsidRDefault="002B4241" w:rsidP="00463783">
            <w:pPr>
              <w:rPr>
                <w:sz w:val="24"/>
              </w:rPr>
            </w:pPr>
          </w:p>
          <w:p w14:paraId="25B0B94B" w14:textId="77777777" w:rsidR="002B4241" w:rsidRDefault="002B4241" w:rsidP="00463783">
            <w:pPr>
              <w:rPr>
                <w:sz w:val="24"/>
              </w:rPr>
            </w:pPr>
          </w:p>
        </w:tc>
      </w:tr>
      <w:tr w:rsidR="002B4241" w14:paraId="63F4BFE3" w14:textId="77777777" w:rsidTr="00463783">
        <w:tc>
          <w:tcPr>
            <w:tcW w:w="4338" w:type="dxa"/>
          </w:tcPr>
          <w:p w14:paraId="19100D87" w14:textId="77777777" w:rsidR="002B4241" w:rsidRDefault="002B4241" w:rsidP="00463783">
            <w:pPr>
              <w:rPr>
                <w:sz w:val="24"/>
              </w:rPr>
            </w:pPr>
            <w:r>
              <w:rPr>
                <w:sz w:val="24"/>
              </w:rPr>
              <w:t xml:space="preserve">Description of Compensation </w:t>
            </w:r>
          </w:p>
          <w:p w14:paraId="17E3A9FE" w14:textId="77777777" w:rsidR="002B4241" w:rsidRDefault="002B4241" w:rsidP="00463783">
            <w:pPr>
              <w:rPr>
                <w:sz w:val="24"/>
              </w:rPr>
            </w:pPr>
            <w:r>
              <w:rPr>
                <w:sz w:val="24"/>
              </w:rPr>
              <w:t>Arrangements if applicable:</w:t>
            </w:r>
          </w:p>
          <w:p w14:paraId="13FD46B9" w14:textId="77777777" w:rsidR="002B4241" w:rsidRDefault="002B4241" w:rsidP="00463783">
            <w:pPr>
              <w:rPr>
                <w:sz w:val="24"/>
              </w:rPr>
            </w:pPr>
          </w:p>
        </w:tc>
        <w:tc>
          <w:tcPr>
            <w:tcW w:w="5238" w:type="dxa"/>
          </w:tcPr>
          <w:p w14:paraId="768EEBB0" w14:textId="77777777" w:rsidR="002B4241" w:rsidRDefault="002B4241" w:rsidP="00463783">
            <w:pPr>
              <w:rPr>
                <w:sz w:val="24"/>
              </w:rPr>
            </w:pPr>
          </w:p>
        </w:tc>
      </w:tr>
      <w:tr w:rsidR="002B4241" w14:paraId="502090FB" w14:textId="77777777" w:rsidTr="00463783">
        <w:tc>
          <w:tcPr>
            <w:tcW w:w="4338" w:type="dxa"/>
          </w:tcPr>
          <w:p w14:paraId="3F725888" w14:textId="77777777" w:rsidR="002B4241" w:rsidRDefault="002B4241" w:rsidP="00463783">
            <w:pPr>
              <w:rPr>
                <w:sz w:val="24"/>
              </w:rPr>
            </w:pPr>
            <w:r>
              <w:rPr>
                <w:sz w:val="24"/>
              </w:rPr>
              <w:t>Description of Type of Account(s) or Securities (if applicable):</w:t>
            </w:r>
          </w:p>
          <w:p w14:paraId="20BB36EB" w14:textId="77777777" w:rsidR="002B4241" w:rsidRDefault="002B4241" w:rsidP="00463783">
            <w:pPr>
              <w:rPr>
                <w:sz w:val="24"/>
              </w:rPr>
            </w:pPr>
          </w:p>
        </w:tc>
        <w:tc>
          <w:tcPr>
            <w:tcW w:w="5238" w:type="dxa"/>
          </w:tcPr>
          <w:p w14:paraId="4936A339" w14:textId="77777777" w:rsidR="002B4241" w:rsidRDefault="002B4241" w:rsidP="00463783">
            <w:pPr>
              <w:rPr>
                <w:sz w:val="24"/>
              </w:rPr>
            </w:pPr>
          </w:p>
        </w:tc>
      </w:tr>
      <w:tr w:rsidR="002B4241" w14:paraId="5A7200F7" w14:textId="77777777" w:rsidTr="00463783">
        <w:tc>
          <w:tcPr>
            <w:tcW w:w="4338" w:type="dxa"/>
          </w:tcPr>
          <w:p w14:paraId="0C66CDC5" w14:textId="77777777" w:rsidR="002B4241" w:rsidRDefault="002B4241" w:rsidP="00463783">
            <w:pPr>
              <w:rPr>
                <w:sz w:val="24"/>
              </w:rPr>
            </w:pPr>
          </w:p>
          <w:p w14:paraId="5EF0B736" w14:textId="77777777" w:rsidR="002B4241" w:rsidRDefault="002B4241" w:rsidP="00463783">
            <w:pPr>
              <w:rPr>
                <w:sz w:val="24"/>
              </w:rPr>
            </w:pPr>
            <w:r>
              <w:rPr>
                <w:sz w:val="24"/>
              </w:rPr>
              <w:t>Effective Date:</w:t>
            </w:r>
          </w:p>
        </w:tc>
        <w:tc>
          <w:tcPr>
            <w:tcW w:w="5238" w:type="dxa"/>
          </w:tcPr>
          <w:p w14:paraId="53B178BE" w14:textId="77777777" w:rsidR="002B4241" w:rsidRDefault="002B4241" w:rsidP="00463783">
            <w:pPr>
              <w:rPr>
                <w:sz w:val="24"/>
              </w:rPr>
            </w:pPr>
          </w:p>
        </w:tc>
      </w:tr>
      <w:tr w:rsidR="002B4241" w14:paraId="3F55C8CC" w14:textId="77777777" w:rsidTr="00463783">
        <w:tc>
          <w:tcPr>
            <w:tcW w:w="4338" w:type="dxa"/>
          </w:tcPr>
          <w:p w14:paraId="629BEBCE" w14:textId="77777777" w:rsidR="002B4241" w:rsidRDefault="002B4241" w:rsidP="00463783">
            <w:pPr>
              <w:rPr>
                <w:sz w:val="24"/>
              </w:rPr>
            </w:pPr>
          </w:p>
          <w:p w14:paraId="12B22324" w14:textId="77777777" w:rsidR="002B4241" w:rsidRDefault="002B4241" w:rsidP="00463783">
            <w:pPr>
              <w:rPr>
                <w:sz w:val="24"/>
              </w:rPr>
            </w:pPr>
          </w:p>
          <w:p w14:paraId="56FAE5BB" w14:textId="77777777" w:rsidR="002B4241" w:rsidRDefault="002B4241" w:rsidP="00463783">
            <w:pPr>
              <w:rPr>
                <w:sz w:val="24"/>
              </w:rPr>
            </w:pPr>
            <w:r>
              <w:rPr>
                <w:sz w:val="24"/>
              </w:rPr>
              <w:t>RR Signature:</w:t>
            </w:r>
          </w:p>
        </w:tc>
        <w:tc>
          <w:tcPr>
            <w:tcW w:w="5238" w:type="dxa"/>
          </w:tcPr>
          <w:p w14:paraId="724C25F9" w14:textId="77777777" w:rsidR="002B4241" w:rsidRDefault="002B4241" w:rsidP="00463783">
            <w:pPr>
              <w:rPr>
                <w:sz w:val="24"/>
              </w:rPr>
            </w:pPr>
          </w:p>
          <w:p w14:paraId="6E59C900" w14:textId="77777777" w:rsidR="002B4241" w:rsidRDefault="002B4241" w:rsidP="00463783">
            <w:pPr>
              <w:rPr>
                <w:sz w:val="24"/>
              </w:rPr>
            </w:pPr>
            <w:r>
              <w:rPr>
                <w:sz w:val="24"/>
              </w:rPr>
              <w:t xml:space="preserve">                                        </w:t>
            </w:r>
          </w:p>
          <w:p w14:paraId="0580F579" w14:textId="77777777" w:rsidR="002B4241" w:rsidRDefault="002B4241" w:rsidP="00463783">
            <w:pPr>
              <w:rPr>
                <w:sz w:val="24"/>
              </w:rPr>
            </w:pPr>
            <w:r>
              <w:rPr>
                <w:sz w:val="24"/>
              </w:rPr>
              <w:t xml:space="preserve">                                          Date:</w:t>
            </w:r>
          </w:p>
        </w:tc>
      </w:tr>
      <w:tr w:rsidR="002B4241" w14:paraId="15B5EB2A" w14:textId="77777777" w:rsidTr="00463783">
        <w:tc>
          <w:tcPr>
            <w:tcW w:w="4338" w:type="dxa"/>
          </w:tcPr>
          <w:p w14:paraId="59050988" w14:textId="77777777" w:rsidR="002B4241" w:rsidRDefault="002B4241" w:rsidP="00463783">
            <w:pPr>
              <w:rPr>
                <w:sz w:val="24"/>
              </w:rPr>
            </w:pPr>
          </w:p>
          <w:p w14:paraId="314B94ED" w14:textId="77777777" w:rsidR="002B4241" w:rsidRDefault="002B4241" w:rsidP="00463783">
            <w:pPr>
              <w:rPr>
                <w:sz w:val="24"/>
              </w:rPr>
            </w:pPr>
            <w:r>
              <w:rPr>
                <w:sz w:val="24"/>
              </w:rPr>
              <w:t>Principal Name:</w:t>
            </w:r>
          </w:p>
        </w:tc>
        <w:tc>
          <w:tcPr>
            <w:tcW w:w="5238" w:type="dxa"/>
          </w:tcPr>
          <w:p w14:paraId="3B9D1EDD" w14:textId="77777777" w:rsidR="002B4241" w:rsidRDefault="002B4241" w:rsidP="00463783">
            <w:pPr>
              <w:rPr>
                <w:sz w:val="24"/>
              </w:rPr>
            </w:pPr>
          </w:p>
        </w:tc>
      </w:tr>
      <w:tr w:rsidR="002B4241" w14:paraId="5B82C8F9" w14:textId="77777777" w:rsidTr="00463783">
        <w:tc>
          <w:tcPr>
            <w:tcW w:w="4338" w:type="dxa"/>
          </w:tcPr>
          <w:p w14:paraId="7F0B6CCA" w14:textId="77777777" w:rsidR="002B4241" w:rsidRDefault="00CC1D9E" w:rsidP="00463783">
            <w:pPr>
              <w:rPr>
                <w:sz w:val="24"/>
              </w:rPr>
            </w:pPr>
            <w:r>
              <w:rPr>
                <w:noProof/>
              </w:rPr>
              <mc:AlternateContent>
                <mc:Choice Requires="wps">
                  <w:drawing>
                    <wp:anchor distT="0" distB="0" distL="114300" distR="114300" simplePos="0" relativeHeight="251654656" behindDoc="0" locked="0" layoutInCell="1" allowOverlap="1" wp14:anchorId="4CE79884" wp14:editId="6BD2CF86">
                      <wp:simplePos x="0" y="0"/>
                      <wp:positionH relativeFrom="column">
                        <wp:posOffset>2383155</wp:posOffset>
                      </wp:positionH>
                      <wp:positionV relativeFrom="paragraph">
                        <wp:posOffset>92710</wp:posOffset>
                      </wp:positionV>
                      <wp:extent cx="228600" cy="228600"/>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777DC" id="Rectangle 39" o:spid="_x0000_s1026" style="position:absolute;margin-left:187.65pt;margin-top:7.3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le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"/>
                  </w:pict>
                </mc:Fallback>
              </mc:AlternateContent>
            </w:r>
            <w:r>
              <w:rPr>
                <w:noProof/>
              </w:rPr>
              <mc:AlternateContent>
                <mc:Choice Requires="wps">
                  <w:drawing>
                    <wp:anchor distT="0" distB="0" distL="114300" distR="114300" simplePos="0" relativeHeight="251652608" behindDoc="0" locked="0" layoutInCell="1" allowOverlap="1" wp14:anchorId="11704424" wp14:editId="1AF2C151">
                      <wp:simplePos x="0" y="0"/>
                      <wp:positionH relativeFrom="column">
                        <wp:posOffset>782955</wp:posOffset>
                      </wp:positionH>
                      <wp:positionV relativeFrom="paragraph">
                        <wp:posOffset>92710</wp:posOffset>
                      </wp:positionV>
                      <wp:extent cx="228600" cy="228600"/>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4FDD" id="Rectangle 38" o:spid="_x0000_s1026" style="position:absolute;margin-left:61.65pt;margin-top:7.3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gQ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"/>
                  </w:pict>
                </mc:Fallback>
              </mc:AlternateContent>
            </w:r>
          </w:p>
          <w:p w14:paraId="74598CF9" w14:textId="77777777" w:rsidR="002B4241" w:rsidRDefault="002B4241" w:rsidP="00463783">
            <w:pPr>
              <w:rPr>
                <w:sz w:val="24"/>
              </w:rPr>
            </w:pPr>
            <w:r>
              <w:rPr>
                <w:sz w:val="24"/>
              </w:rPr>
              <w:t xml:space="preserve">Approved:                  Not Approved: </w:t>
            </w:r>
          </w:p>
        </w:tc>
        <w:tc>
          <w:tcPr>
            <w:tcW w:w="5238" w:type="dxa"/>
          </w:tcPr>
          <w:p w14:paraId="2A821595" w14:textId="77777777" w:rsidR="002B4241" w:rsidRDefault="002B4241" w:rsidP="00463783">
            <w:pPr>
              <w:rPr>
                <w:sz w:val="24"/>
              </w:rPr>
            </w:pPr>
          </w:p>
        </w:tc>
      </w:tr>
      <w:tr w:rsidR="002B4241" w14:paraId="66EA1E2D" w14:textId="77777777" w:rsidTr="00463783">
        <w:tc>
          <w:tcPr>
            <w:tcW w:w="4338" w:type="dxa"/>
          </w:tcPr>
          <w:p w14:paraId="4364DC1D" w14:textId="77777777" w:rsidR="002B4241" w:rsidRDefault="002B4241" w:rsidP="00463783">
            <w:pPr>
              <w:rPr>
                <w:sz w:val="24"/>
              </w:rPr>
            </w:pPr>
          </w:p>
          <w:p w14:paraId="0F5D0E58" w14:textId="77777777" w:rsidR="00AF3455" w:rsidRDefault="00AF3455" w:rsidP="00463783">
            <w:pPr>
              <w:rPr>
                <w:sz w:val="24"/>
              </w:rPr>
            </w:pPr>
          </w:p>
          <w:p w14:paraId="7FFBF638" w14:textId="77777777" w:rsidR="002B4241" w:rsidRDefault="002B4241" w:rsidP="00463783">
            <w:pPr>
              <w:rPr>
                <w:sz w:val="24"/>
              </w:rPr>
            </w:pPr>
            <w:r>
              <w:rPr>
                <w:sz w:val="24"/>
              </w:rPr>
              <w:t>Principal Signature:</w:t>
            </w:r>
          </w:p>
        </w:tc>
        <w:tc>
          <w:tcPr>
            <w:tcW w:w="5238" w:type="dxa"/>
          </w:tcPr>
          <w:p w14:paraId="0021C1A7" w14:textId="77777777" w:rsidR="002B4241" w:rsidRDefault="002B4241" w:rsidP="00463783">
            <w:pPr>
              <w:rPr>
                <w:sz w:val="24"/>
              </w:rPr>
            </w:pPr>
          </w:p>
          <w:p w14:paraId="2A0EC829" w14:textId="77777777" w:rsidR="00AF3455" w:rsidRDefault="002B4241" w:rsidP="00463783">
            <w:pPr>
              <w:rPr>
                <w:sz w:val="24"/>
              </w:rPr>
            </w:pPr>
            <w:r>
              <w:rPr>
                <w:sz w:val="24"/>
              </w:rPr>
              <w:t xml:space="preserve">                                         </w:t>
            </w:r>
          </w:p>
          <w:p w14:paraId="142191FC" w14:textId="77777777" w:rsidR="002B4241" w:rsidRDefault="00AF3455" w:rsidP="00463783">
            <w:pPr>
              <w:rPr>
                <w:sz w:val="24"/>
              </w:rPr>
            </w:pPr>
            <w:r>
              <w:rPr>
                <w:sz w:val="24"/>
              </w:rPr>
              <w:t xml:space="preserve">                                          </w:t>
            </w:r>
            <w:r w:rsidR="002B4241">
              <w:rPr>
                <w:sz w:val="24"/>
              </w:rPr>
              <w:t>Date:</w:t>
            </w:r>
          </w:p>
        </w:tc>
      </w:tr>
    </w:tbl>
    <w:p w14:paraId="3E9495F0" w14:textId="77777777" w:rsidR="002B4241" w:rsidRDefault="002B4241" w:rsidP="002B4241">
      <w:pPr>
        <w:rPr>
          <w:sz w:val="24"/>
        </w:rPr>
      </w:pPr>
    </w:p>
    <w:p w14:paraId="6549001C" w14:textId="77777777" w:rsidR="002B4241" w:rsidRDefault="002B4241" w:rsidP="002B4241">
      <w:pPr>
        <w:jc w:val="center"/>
        <w:rPr>
          <w:sz w:val="24"/>
        </w:rPr>
      </w:pPr>
    </w:p>
    <w:p w14:paraId="3C962FE7" w14:textId="77777777" w:rsidR="000C099C" w:rsidRPr="00470C84" w:rsidRDefault="00990E6D" w:rsidP="000B7649">
      <w:pPr>
        <w:pStyle w:val="Heading3"/>
        <w:jc w:val="center"/>
        <w:rPr>
          <w:sz w:val="36"/>
          <w:szCs w:val="36"/>
        </w:rPr>
      </w:pPr>
      <w:r>
        <w:br w:type="page"/>
      </w:r>
      <w:r w:rsidRPr="00470C84">
        <w:rPr>
          <w:sz w:val="36"/>
          <w:szCs w:val="36"/>
        </w:rPr>
        <w:lastRenderedPageBreak/>
        <w:t>Discretionary Account Notice</w:t>
      </w:r>
    </w:p>
    <w:p w14:paraId="68B882D0" w14:textId="77777777" w:rsidR="00990E6D" w:rsidRPr="00470C84" w:rsidRDefault="00990E6D">
      <w:pPr>
        <w:jc w:val="center"/>
        <w:rPr>
          <w:b/>
          <w:bCs/>
          <w:sz w:val="32"/>
          <w:szCs w:val="32"/>
        </w:rPr>
      </w:pPr>
    </w:p>
    <w:tbl>
      <w:tblPr>
        <w:tblW w:w="0" w:type="auto"/>
        <w:tblBorders>
          <w:top w:val="sing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4338"/>
        <w:gridCol w:w="5238"/>
      </w:tblGrid>
      <w:tr w:rsidR="00990E6D" w:rsidRPr="00470C84" w14:paraId="267C4BE6" w14:textId="77777777" w:rsidTr="00FA3502">
        <w:trPr>
          <w:cantSplit/>
        </w:trPr>
        <w:tc>
          <w:tcPr>
            <w:tcW w:w="9576" w:type="dxa"/>
            <w:gridSpan w:val="2"/>
            <w:tcBorders>
              <w:top w:val="double" w:sz="6" w:space="0" w:color="auto"/>
              <w:bottom w:val="single" w:sz="6" w:space="0" w:color="auto"/>
            </w:tcBorders>
          </w:tcPr>
          <w:p w14:paraId="097F53DC" w14:textId="77777777" w:rsidR="00990E6D" w:rsidRPr="00470C84" w:rsidRDefault="00990E6D" w:rsidP="00FA3502">
            <w:pPr>
              <w:rPr>
                <w:sz w:val="24"/>
              </w:rPr>
            </w:pPr>
          </w:p>
          <w:p w14:paraId="74C0E0C8" w14:textId="77777777" w:rsidR="00990E6D" w:rsidRPr="00470C84" w:rsidRDefault="00990E6D" w:rsidP="00FA3502">
            <w:pPr>
              <w:rPr>
                <w:sz w:val="24"/>
              </w:rPr>
            </w:pPr>
            <w:r w:rsidRPr="00470C84">
              <w:rPr>
                <w:sz w:val="24"/>
              </w:rPr>
              <w:t xml:space="preserve">Registered Representative Name(s):   </w:t>
            </w:r>
          </w:p>
        </w:tc>
      </w:tr>
      <w:tr w:rsidR="00990E6D" w:rsidRPr="00470C84" w14:paraId="2DE6288B" w14:textId="77777777" w:rsidTr="00FA3502">
        <w:tc>
          <w:tcPr>
            <w:tcW w:w="4338" w:type="dxa"/>
            <w:tcBorders>
              <w:top w:val="nil"/>
              <w:right w:val="single" w:sz="4" w:space="0" w:color="auto"/>
            </w:tcBorders>
          </w:tcPr>
          <w:p w14:paraId="0978781F" w14:textId="77777777" w:rsidR="00990E6D" w:rsidRPr="00470C84" w:rsidRDefault="00990E6D" w:rsidP="00FA3502">
            <w:pPr>
              <w:rPr>
                <w:sz w:val="24"/>
              </w:rPr>
            </w:pPr>
          </w:p>
          <w:p w14:paraId="6DA4EE43" w14:textId="77777777" w:rsidR="00990E6D" w:rsidRPr="00470C84" w:rsidRDefault="00990E6D" w:rsidP="00FA3502">
            <w:pPr>
              <w:rPr>
                <w:sz w:val="24"/>
              </w:rPr>
            </w:pPr>
            <w:r w:rsidRPr="00470C84">
              <w:rPr>
                <w:sz w:val="24"/>
              </w:rPr>
              <w:t>Name of Account:</w:t>
            </w:r>
          </w:p>
          <w:p w14:paraId="6B557899" w14:textId="77777777" w:rsidR="00990E6D" w:rsidRPr="00470C84" w:rsidRDefault="00990E6D" w:rsidP="00FA3502">
            <w:pPr>
              <w:rPr>
                <w:sz w:val="24"/>
              </w:rPr>
            </w:pPr>
          </w:p>
          <w:p w14:paraId="490073F4" w14:textId="77777777" w:rsidR="00990E6D" w:rsidRPr="00470C84" w:rsidRDefault="00990E6D" w:rsidP="00FA3502">
            <w:pPr>
              <w:rPr>
                <w:sz w:val="24"/>
              </w:rPr>
            </w:pPr>
            <w:r w:rsidRPr="00470C84">
              <w:rPr>
                <w:sz w:val="24"/>
              </w:rPr>
              <w:t xml:space="preserve">      </w:t>
            </w:r>
          </w:p>
          <w:p w14:paraId="316D208C" w14:textId="77777777" w:rsidR="00990E6D" w:rsidRPr="00470C84" w:rsidRDefault="00990E6D" w:rsidP="00FA3502">
            <w:pPr>
              <w:rPr>
                <w:sz w:val="24"/>
              </w:rPr>
            </w:pPr>
          </w:p>
          <w:p w14:paraId="42866A95" w14:textId="77777777" w:rsidR="00990E6D" w:rsidRPr="00470C84" w:rsidRDefault="00990E6D" w:rsidP="00FA3502">
            <w:pPr>
              <w:rPr>
                <w:sz w:val="24"/>
              </w:rPr>
            </w:pPr>
          </w:p>
          <w:p w14:paraId="39B3BA29" w14:textId="77777777" w:rsidR="00990E6D" w:rsidRPr="00470C84" w:rsidRDefault="00990E6D" w:rsidP="00FA3502">
            <w:pPr>
              <w:rPr>
                <w:sz w:val="24"/>
              </w:rPr>
            </w:pPr>
          </w:p>
          <w:p w14:paraId="3EF97D2D" w14:textId="77777777" w:rsidR="00990E6D" w:rsidRPr="00470C84" w:rsidRDefault="00990E6D" w:rsidP="00FA3502">
            <w:pPr>
              <w:rPr>
                <w:sz w:val="24"/>
              </w:rPr>
            </w:pPr>
          </w:p>
        </w:tc>
        <w:tc>
          <w:tcPr>
            <w:tcW w:w="5238" w:type="dxa"/>
            <w:tcBorders>
              <w:top w:val="nil"/>
              <w:left w:val="single" w:sz="4" w:space="0" w:color="auto"/>
            </w:tcBorders>
          </w:tcPr>
          <w:p w14:paraId="04440FBA" w14:textId="77777777" w:rsidR="00990E6D" w:rsidRPr="00470C84" w:rsidRDefault="00990E6D" w:rsidP="00FA3502">
            <w:pPr>
              <w:rPr>
                <w:sz w:val="24"/>
              </w:rPr>
            </w:pPr>
          </w:p>
          <w:p w14:paraId="421C0705" w14:textId="77777777" w:rsidR="00990E6D" w:rsidRPr="00470C84" w:rsidRDefault="00990E6D" w:rsidP="00FA3502">
            <w:pPr>
              <w:rPr>
                <w:sz w:val="24"/>
              </w:rPr>
            </w:pPr>
            <w:r w:rsidRPr="00470C84">
              <w:rPr>
                <w:sz w:val="24"/>
              </w:rPr>
              <w:t>List of Customer Names:</w:t>
            </w:r>
          </w:p>
          <w:p w14:paraId="48462A5A" w14:textId="77777777" w:rsidR="00990E6D" w:rsidRPr="00470C84" w:rsidRDefault="00990E6D" w:rsidP="00FA3502">
            <w:pPr>
              <w:rPr>
                <w:sz w:val="24"/>
              </w:rPr>
            </w:pPr>
          </w:p>
          <w:p w14:paraId="46D388E0" w14:textId="77777777" w:rsidR="00990E6D" w:rsidRPr="00470C84" w:rsidRDefault="00990E6D" w:rsidP="00FA3502">
            <w:pPr>
              <w:rPr>
                <w:b/>
                <w:bCs/>
                <w:sz w:val="28"/>
              </w:rPr>
            </w:pPr>
            <w:r w:rsidRPr="00470C84">
              <w:rPr>
                <w:sz w:val="24"/>
              </w:rPr>
              <w:t xml:space="preserve">  </w:t>
            </w:r>
          </w:p>
          <w:p w14:paraId="3C36CC79" w14:textId="77777777" w:rsidR="00990E6D" w:rsidRPr="00470C84" w:rsidRDefault="00990E6D" w:rsidP="00FA3502">
            <w:pPr>
              <w:rPr>
                <w:b/>
                <w:bCs/>
                <w:sz w:val="28"/>
              </w:rPr>
            </w:pPr>
          </w:p>
          <w:p w14:paraId="1D4F024B" w14:textId="77777777" w:rsidR="00990E6D" w:rsidRPr="00470C84" w:rsidRDefault="00990E6D" w:rsidP="00FA3502">
            <w:pPr>
              <w:rPr>
                <w:sz w:val="24"/>
              </w:rPr>
            </w:pPr>
          </w:p>
          <w:p w14:paraId="7B17C3E5" w14:textId="77777777" w:rsidR="00990E6D" w:rsidRPr="00470C84" w:rsidRDefault="00990E6D" w:rsidP="00FA3502">
            <w:pPr>
              <w:rPr>
                <w:sz w:val="24"/>
              </w:rPr>
            </w:pPr>
          </w:p>
          <w:p w14:paraId="59C3216D" w14:textId="77777777" w:rsidR="00990E6D" w:rsidRPr="00470C84" w:rsidRDefault="00990E6D" w:rsidP="00FA3502">
            <w:pPr>
              <w:rPr>
                <w:sz w:val="24"/>
              </w:rPr>
            </w:pPr>
          </w:p>
        </w:tc>
      </w:tr>
      <w:tr w:rsidR="00990E6D" w:rsidRPr="00470C84" w14:paraId="41B62B73" w14:textId="77777777" w:rsidTr="00FA3502">
        <w:tc>
          <w:tcPr>
            <w:tcW w:w="4338" w:type="dxa"/>
          </w:tcPr>
          <w:p w14:paraId="71AE1D15" w14:textId="77777777" w:rsidR="00990E6D" w:rsidRPr="00470C84" w:rsidRDefault="00990E6D" w:rsidP="00FA3502">
            <w:pPr>
              <w:rPr>
                <w:sz w:val="24"/>
              </w:rPr>
            </w:pPr>
            <w:r w:rsidRPr="00470C84">
              <w:rPr>
                <w:sz w:val="24"/>
              </w:rPr>
              <w:t xml:space="preserve">Description of Compensation </w:t>
            </w:r>
          </w:p>
          <w:p w14:paraId="3F9E9E7F" w14:textId="77777777" w:rsidR="00990E6D" w:rsidRPr="00470C84" w:rsidRDefault="00990E6D" w:rsidP="00FA3502">
            <w:pPr>
              <w:rPr>
                <w:sz w:val="24"/>
              </w:rPr>
            </w:pPr>
            <w:r w:rsidRPr="00470C84">
              <w:rPr>
                <w:sz w:val="24"/>
              </w:rPr>
              <w:t>Arrangements if applicable:</w:t>
            </w:r>
          </w:p>
          <w:p w14:paraId="43334F52" w14:textId="77777777" w:rsidR="00990E6D" w:rsidRPr="00470C84" w:rsidRDefault="00990E6D" w:rsidP="00FA3502">
            <w:pPr>
              <w:rPr>
                <w:sz w:val="24"/>
              </w:rPr>
            </w:pPr>
          </w:p>
        </w:tc>
        <w:tc>
          <w:tcPr>
            <w:tcW w:w="5238" w:type="dxa"/>
          </w:tcPr>
          <w:p w14:paraId="2276C6D2" w14:textId="77777777" w:rsidR="00990E6D" w:rsidRPr="00470C84" w:rsidRDefault="00990E6D" w:rsidP="00FA3502">
            <w:pPr>
              <w:rPr>
                <w:sz w:val="24"/>
              </w:rPr>
            </w:pPr>
          </w:p>
        </w:tc>
      </w:tr>
      <w:tr w:rsidR="00990E6D" w:rsidRPr="00470C84" w14:paraId="2123BECC" w14:textId="77777777" w:rsidTr="00FA3502">
        <w:tc>
          <w:tcPr>
            <w:tcW w:w="4338" w:type="dxa"/>
          </w:tcPr>
          <w:p w14:paraId="04ADA75C" w14:textId="77777777" w:rsidR="00990E6D" w:rsidRPr="00470C84" w:rsidRDefault="00990E6D" w:rsidP="00FA3502">
            <w:pPr>
              <w:rPr>
                <w:sz w:val="24"/>
              </w:rPr>
            </w:pPr>
            <w:r w:rsidRPr="00470C84">
              <w:rPr>
                <w:sz w:val="24"/>
              </w:rPr>
              <w:t>Description of Type of Account(s) or Securities (if applicable):</w:t>
            </w:r>
          </w:p>
          <w:p w14:paraId="14FA19F7" w14:textId="77777777" w:rsidR="00990E6D" w:rsidRPr="00470C84" w:rsidRDefault="00990E6D" w:rsidP="00FA3502">
            <w:pPr>
              <w:rPr>
                <w:sz w:val="24"/>
              </w:rPr>
            </w:pPr>
          </w:p>
        </w:tc>
        <w:tc>
          <w:tcPr>
            <w:tcW w:w="5238" w:type="dxa"/>
          </w:tcPr>
          <w:p w14:paraId="59C2CC48" w14:textId="77777777" w:rsidR="00990E6D" w:rsidRPr="00470C84" w:rsidRDefault="00990E6D" w:rsidP="00FA3502">
            <w:pPr>
              <w:rPr>
                <w:sz w:val="24"/>
              </w:rPr>
            </w:pPr>
          </w:p>
        </w:tc>
      </w:tr>
      <w:tr w:rsidR="00990E6D" w:rsidRPr="00470C84" w14:paraId="0E1910DA" w14:textId="77777777" w:rsidTr="00FA3502">
        <w:tc>
          <w:tcPr>
            <w:tcW w:w="4338" w:type="dxa"/>
          </w:tcPr>
          <w:p w14:paraId="735B6D60" w14:textId="77777777" w:rsidR="00990E6D" w:rsidRPr="00470C84" w:rsidRDefault="00990E6D" w:rsidP="00FA3502">
            <w:pPr>
              <w:rPr>
                <w:sz w:val="24"/>
              </w:rPr>
            </w:pPr>
          </w:p>
          <w:p w14:paraId="157FF0D7" w14:textId="77777777" w:rsidR="00990E6D" w:rsidRPr="00470C84" w:rsidRDefault="00990E6D" w:rsidP="00FA3502">
            <w:pPr>
              <w:rPr>
                <w:sz w:val="24"/>
              </w:rPr>
            </w:pPr>
            <w:r w:rsidRPr="00470C84">
              <w:rPr>
                <w:sz w:val="24"/>
              </w:rPr>
              <w:t>Effective Date:</w:t>
            </w:r>
          </w:p>
        </w:tc>
        <w:tc>
          <w:tcPr>
            <w:tcW w:w="5238" w:type="dxa"/>
          </w:tcPr>
          <w:p w14:paraId="68473069" w14:textId="77777777" w:rsidR="00990E6D" w:rsidRPr="00470C84" w:rsidRDefault="00990E6D" w:rsidP="00FA3502">
            <w:pPr>
              <w:rPr>
                <w:sz w:val="24"/>
              </w:rPr>
            </w:pPr>
          </w:p>
        </w:tc>
      </w:tr>
      <w:tr w:rsidR="00990E6D" w:rsidRPr="00470C84" w14:paraId="25F90FAB" w14:textId="77777777" w:rsidTr="00FA3502">
        <w:tc>
          <w:tcPr>
            <w:tcW w:w="4338" w:type="dxa"/>
          </w:tcPr>
          <w:p w14:paraId="72A83377" w14:textId="77777777" w:rsidR="00990E6D" w:rsidRPr="00470C84" w:rsidRDefault="00990E6D" w:rsidP="00FA3502">
            <w:pPr>
              <w:rPr>
                <w:sz w:val="24"/>
              </w:rPr>
            </w:pPr>
          </w:p>
          <w:p w14:paraId="39CB45E1" w14:textId="77777777" w:rsidR="00990E6D" w:rsidRPr="00470C84" w:rsidRDefault="00990E6D" w:rsidP="00FA3502">
            <w:pPr>
              <w:rPr>
                <w:sz w:val="24"/>
              </w:rPr>
            </w:pPr>
          </w:p>
          <w:p w14:paraId="4644A713" w14:textId="77777777" w:rsidR="00990E6D" w:rsidRPr="00470C84" w:rsidRDefault="00990E6D" w:rsidP="00FA3502">
            <w:pPr>
              <w:rPr>
                <w:sz w:val="24"/>
              </w:rPr>
            </w:pPr>
            <w:r w:rsidRPr="00470C84">
              <w:rPr>
                <w:sz w:val="24"/>
              </w:rPr>
              <w:t>RR Signature:</w:t>
            </w:r>
          </w:p>
        </w:tc>
        <w:tc>
          <w:tcPr>
            <w:tcW w:w="5238" w:type="dxa"/>
          </w:tcPr>
          <w:p w14:paraId="52CA51AD" w14:textId="77777777" w:rsidR="00990E6D" w:rsidRPr="00470C84" w:rsidRDefault="00990E6D" w:rsidP="00FA3502">
            <w:pPr>
              <w:rPr>
                <w:sz w:val="24"/>
              </w:rPr>
            </w:pPr>
          </w:p>
          <w:p w14:paraId="36AC4885" w14:textId="77777777" w:rsidR="00990E6D" w:rsidRPr="00470C84" w:rsidRDefault="00990E6D" w:rsidP="00FA3502">
            <w:pPr>
              <w:rPr>
                <w:sz w:val="24"/>
              </w:rPr>
            </w:pPr>
            <w:r w:rsidRPr="00470C84">
              <w:rPr>
                <w:sz w:val="24"/>
              </w:rPr>
              <w:t xml:space="preserve">                                        </w:t>
            </w:r>
          </w:p>
          <w:p w14:paraId="0A66D4A9" w14:textId="77777777" w:rsidR="00990E6D" w:rsidRPr="00470C84" w:rsidRDefault="00990E6D" w:rsidP="00FA3502">
            <w:pPr>
              <w:rPr>
                <w:sz w:val="24"/>
              </w:rPr>
            </w:pPr>
            <w:r w:rsidRPr="00470C84">
              <w:rPr>
                <w:sz w:val="24"/>
              </w:rPr>
              <w:t xml:space="preserve">                                          Date:</w:t>
            </w:r>
          </w:p>
        </w:tc>
      </w:tr>
      <w:tr w:rsidR="00990E6D" w:rsidRPr="00470C84" w14:paraId="2F9BBF60" w14:textId="77777777" w:rsidTr="00FA3502">
        <w:tc>
          <w:tcPr>
            <w:tcW w:w="4338" w:type="dxa"/>
          </w:tcPr>
          <w:p w14:paraId="5EDAD668" w14:textId="77777777" w:rsidR="00990E6D" w:rsidRPr="00470C84" w:rsidRDefault="00990E6D" w:rsidP="00FA3502">
            <w:pPr>
              <w:rPr>
                <w:sz w:val="24"/>
              </w:rPr>
            </w:pPr>
          </w:p>
          <w:p w14:paraId="0C6031F8" w14:textId="77777777" w:rsidR="00990E6D" w:rsidRPr="00470C84" w:rsidRDefault="00990E6D" w:rsidP="00FA3502">
            <w:pPr>
              <w:rPr>
                <w:sz w:val="24"/>
              </w:rPr>
            </w:pPr>
            <w:r w:rsidRPr="00470C84">
              <w:rPr>
                <w:sz w:val="24"/>
              </w:rPr>
              <w:t>Principal Name:</w:t>
            </w:r>
          </w:p>
        </w:tc>
        <w:tc>
          <w:tcPr>
            <w:tcW w:w="5238" w:type="dxa"/>
          </w:tcPr>
          <w:p w14:paraId="6169B6EE" w14:textId="77777777" w:rsidR="00990E6D" w:rsidRPr="00470C84" w:rsidRDefault="00990E6D" w:rsidP="00FA3502">
            <w:pPr>
              <w:rPr>
                <w:sz w:val="24"/>
              </w:rPr>
            </w:pPr>
          </w:p>
        </w:tc>
      </w:tr>
      <w:tr w:rsidR="00990E6D" w:rsidRPr="00470C84" w14:paraId="509735BB" w14:textId="77777777" w:rsidTr="00FA3502">
        <w:tc>
          <w:tcPr>
            <w:tcW w:w="4338" w:type="dxa"/>
          </w:tcPr>
          <w:p w14:paraId="05098378" w14:textId="77777777" w:rsidR="00990E6D" w:rsidRPr="00470C84" w:rsidRDefault="00CC1D9E" w:rsidP="00FA3502">
            <w:pPr>
              <w:rPr>
                <w:sz w:val="24"/>
              </w:rPr>
            </w:pPr>
            <w:r>
              <w:rPr>
                <w:noProof/>
              </w:rPr>
              <mc:AlternateContent>
                <mc:Choice Requires="wps">
                  <w:drawing>
                    <wp:anchor distT="0" distB="0" distL="114300" distR="114300" simplePos="0" relativeHeight="251657728" behindDoc="0" locked="0" layoutInCell="1" allowOverlap="1" wp14:anchorId="6DEF08A7" wp14:editId="062BF2C5">
                      <wp:simplePos x="0" y="0"/>
                      <wp:positionH relativeFrom="column">
                        <wp:posOffset>2383155</wp:posOffset>
                      </wp:positionH>
                      <wp:positionV relativeFrom="paragraph">
                        <wp:posOffset>92710</wp:posOffset>
                      </wp:positionV>
                      <wp:extent cx="228600" cy="228600"/>
                      <wp:effectExtent l="0" t="0" r="0" b="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8D523" id="Rectangle 41" o:spid="_x0000_s1026" style="position:absolute;margin-left:187.65pt;margin-top:7.3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2r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"/>
                  </w:pict>
                </mc:Fallback>
              </mc:AlternateContent>
            </w:r>
            <w:r>
              <w:rPr>
                <w:noProof/>
              </w:rPr>
              <mc:AlternateContent>
                <mc:Choice Requires="wps">
                  <w:drawing>
                    <wp:anchor distT="0" distB="0" distL="114300" distR="114300" simplePos="0" relativeHeight="251656704" behindDoc="0" locked="0" layoutInCell="1" allowOverlap="1" wp14:anchorId="5F0D2C08" wp14:editId="175F1F27">
                      <wp:simplePos x="0" y="0"/>
                      <wp:positionH relativeFrom="column">
                        <wp:posOffset>782955</wp:posOffset>
                      </wp:positionH>
                      <wp:positionV relativeFrom="paragraph">
                        <wp:posOffset>92710</wp:posOffset>
                      </wp:positionV>
                      <wp:extent cx="228600" cy="228600"/>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23D8" id="Rectangle 40" o:spid="_x0000_s1026" style="position:absolute;margin-left:61.65pt;margin-top:7.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"/>
                  </w:pict>
                </mc:Fallback>
              </mc:AlternateContent>
            </w:r>
          </w:p>
          <w:p w14:paraId="590551E8" w14:textId="77777777" w:rsidR="00990E6D" w:rsidRPr="00470C84" w:rsidRDefault="00990E6D" w:rsidP="00FA3502">
            <w:pPr>
              <w:rPr>
                <w:sz w:val="24"/>
              </w:rPr>
            </w:pPr>
            <w:r w:rsidRPr="00470C84">
              <w:rPr>
                <w:sz w:val="24"/>
              </w:rPr>
              <w:t xml:space="preserve">Approved:                  Not Approved: </w:t>
            </w:r>
          </w:p>
        </w:tc>
        <w:tc>
          <w:tcPr>
            <w:tcW w:w="5238" w:type="dxa"/>
          </w:tcPr>
          <w:p w14:paraId="3C241DC7" w14:textId="77777777" w:rsidR="00990E6D" w:rsidRPr="00470C84" w:rsidRDefault="00990E6D" w:rsidP="00FA3502">
            <w:pPr>
              <w:rPr>
                <w:sz w:val="24"/>
              </w:rPr>
            </w:pPr>
          </w:p>
        </w:tc>
      </w:tr>
      <w:tr w:rsidR="00990E6D" w:rsidRPr="00470C84" w14:paraId="06AB34BD" w14:textId="77777777" w:rsidTr="00FA3502">
        <w:tc>
          <w:tcPr>
            <w:tcW w:w="4338" w:type="dxa"/>
          </w:tcPr>
          <w:p w14:paraId="53F529FD" w14:textId="77777777" w:rsidR="00990E6D" w:rsidRPr="00470C84" w:rsidRDefault="00990E6D" w:rsidP="00FA3502">
            <w:pPr>
              <w:rPr>
                <w:sz w:val="24"/>
              </w:rPr>
            </w:pPr>
          </w:p>
          <w:p w14:paraId="7F58ADB1" w14:textId="77777777" w:rsidR="00990E6D" w:rsidRPr="00470C84" w:rsidRDefault="00990E6D" w:rsidP="00FA3502">
            <w:pPr>
              <w:rPr>
                <w:sz w:val="24"/>
              </w:rPr>
            </w:pPr>
            <w:r w:rsidRPr="00470C84">
              <w:rPr>
                <w:sz w:val="24"/>
              </w:rPr>
              <w:t>Principal Signature:</w:t>
            </w:r>
          </w:p>
        </w:tc>
        <w:tc>
          <w:tcPr>
            <w:tcW w:w="5238" w:type="dxa"/>
          </w:tcPr>
          <w:p w14:paraId="080C56E4" w14:textId="77777777" w:rsidR="00990E6D" w:rsidRPr="00470C84" w:rsidRDefault="00990E6D" w:rsidP="00FA3502">
            <w:pPr>
              <w:rPr>
                <w:sz w:val="24"/>
              </w:rPr>
            </w:pPr>
          </w:p>
          <w:p w14:paraId="5C6E1868" w14:textId="77777777" w:rsidR="00990E6D" w:rsidRPr="00470C84" w:rsidRDefault="00990E6D" w:rsidP="00FA3502">
            <w:pPr>
              <w:rPr>
                <w:sz w:val="24"/>
              </w:rPr>
            </w:pPr>
            <w:r w:rsidRPr="00470C84">
              <w:rPr>
                <w:sz w:val="24"/>
              </w:rPr>
              <w:t xml:space="preserve">                                         Date:</w:t>
            </w:r>
          </w:p>
        </w:tc>
      </w:tr>
    </w:tbl>
    <w:p w14:paraId="7112D9CD" w14:textId="77777777" w:rsidR="00BB4466" w:rsidRPr="00470C84" w:rsidRDefault="00BB4466">
      <w:pPr>
        <w:jc w:val="center"/>
        <w:rPr>
          <w:b/>
          <w:bCs/>
          <w:sz w:val="32"/>
          <w:szCs w:val="32"/>
        </w:rPr>
      </w:pPr>
    </w:p>
    <w:p w14:paraId="7B3A6E94" w14:textId="77777777" w:rsidR="001B35D7" w:rsidRPr="00470C84" w:rsidRDefault="00BB4466" w:rsidP="001B35D7">
      <w:pPr>
        <w:pStyle w:val="Heading3"/>
        <w:jc w:val="center"/>
        <w:rPr>
          <w:sz w:val="32"/>
          <w:szCs w:val="32"/>
        </w:rPr>
      </w:pPr>
      <w:r>
        <w:rPr>
          <w:bCs/>
          <w:color w:val="FF0000"/>
        </w:rPr>
        <w:br w:type="page"/>
      </w:r>
      <w:r w:rsidR="001B35D7" w:rsidRPr="00470C84">
        <w:rPr>
          <w:sz w:val="32"/>
          <w:szCs w:val="32"/>
        </w:rPr>
        <w:lastRenderedPageBreak/>
        <w:t>Employee Certification of Political Contributions</w:t>
      </w:r>
    </w:p>
    <w:p w14:paraId="0BB10D31" w14:textId="77777777" w:rsidR="001B35D7" w:rsidRPr="00470C84" w:rsidRDefault="001B35D7" w:rsidP="001B35D7"/>
    <w:p w14:paraId="2253DA28" w14:textId="77777777" w:rsidR="001B35D7" w:rsidRPr="00470C84" w:rsidRDefault="001B35D7" w:rsidP="001B35D7">
      <w:pPr>
        <w:rPr>
          <w:sz w:val="24"/>
          <w:szCs w:val="24"/>
        </w:rPr>
      </w:pPr>
    </w:p>
    <w:p w14:paraId="05E503B5" w14:textId="77777777" w:rsidR="001B35D7" w:rsidRPr="00470C84" w:rsidRDefault="001B35D7" w:rsidP="001B35D7">
      <w:pPr>
        <w:rPr>
          <w:sz w:val="24"/>
          <w:szCs w:val="24"/>
        </w:rPr>
      </w:pPr>
    </w:p>
    <w:p w14:paraId="3DCBDBB2" w14:textId="77777777" w:rsidR="001B35D7" w:rsidRDefault="001B35D7" w:rsidP="001B35D7">
      <w:pPr>
        <w:rPr>
          <w:sz w:val="24"/>
          <w:szCs w:val="24"/>
        </w:rPr>
      </w:pPr>
      <w:r w:rsidRPr="00470C84">
        <w:rPr>
          <w:b/>
          <w:sz w:val="24"/>
          <w:szCs w:val="24"/>
        </w:rPr>
        <w:t>TO</w:t>
      </w:r>
      <w:r w:rsidRPr="00470C84">
        <w:rPr>
          <w:sz w:val="24"/>
          <w:szCs w:val="24"/>
        </w:rPr>
        <w:t>:   COMPLIANCE</w:t>
      </w:r>
    </w:p>
    <w:p w14:paraId="50B80432" w14:textId="77777777" w:rsidR="00357E19" w:rsidRPr="00470C84" w:rsidRDefault="00357E19" w:rsidP="001B35D7">
      <w:pPr>
        <w:rPr>
          <w:sz w:val="24"/>
          <w:szCs w:val="24"/>
        </w:rPr>
      </w:pPr>
    </w:p>
    <w:p w14:paraId="3E85C569" w14:textId="77777777" w:rsidR="001B35D7" w:rsidRPr="00470C84" w:rsidRDefault="001B35D7" w:rsidP="001B35D7">
      <w:pPr>
        <w:rPr>
          <w:sz w:val="24"/>
          <w:szCs w:val="24"/>
        </w:rPr>
      </w:pPr>
      <w:r w:rsidRPr="00470C84">
        <w:rPr>
          <w:b/>
          <w:sz w:val="24"/>
          <w:szCs w:val="24"/>
        </w:rPr>
        <w:t>FROM</w:t>
      </w:r>
      <w:r w:rsidRPr="00470C84">
        <w:rPr>
          <w:sz w:val="24"/>
          <w:szCs w:val="24"/>
        </w:rPr>
        <w:t xml:space="preserve"> :  ____________________________________</w:t>
      </w:r>
    </w:p>
    <w:p w14:paraId="2CF31F6B" w14:textId="77777777" w:rsidR="001B35D7" w:rsidRPr="00470C84" w:rsidRDefault="001B35D7" w:rsidP="001B35D7">
      <w:pPr>
        <w:rPr>
          <w:sz w:val="24"/>
          <w:szCs w:val="24"/>
        </w:rPr>
      </w:pPr>
    </w:p>
    <w:p w14:paraId="06091049" w14:textId="77777777" w:rsidR="001B35D7" w:rsidRPr="00470C84" w:rsidRDefault="001B35D7" w:rsidP="001B35D7">
      <w:pPr>
        <w:pStyle w:val="SSTEXT"/>
        <w:spacing w:before="360" w:after="240"/>
        <w:ind w:left="0"/>
        <w:rPr>
          <w:rFonts w:ascii="Times New Roman" w:hAnsi="Times New Roman" w:cs="Times New Roman"/>
          <w:b/>
          <w:i/>
          <w:iCs/>
          <w:sz w:val="24"/>
          <w:szCs w:val="24"/>
        </w:rPr>
      </w:pPr>
      <w:r w:rsidRPr="00470C84">
        <w:rPr>
          <w:rFonts w:ascii="Times New Roman" w:hAnsi="Times New Roman" w:cs="Times New Roman"/>
          <w:b/>
          <w:i/>
          <w:iCs/>
          <w:sz w:val="24"/>
          <w:szCs w:val="24"/>
        </w:rPr>
        <w:t>RE: Quarterly G-37/G-38 Political Contribution Certification</w:t>
      </w:r>
    </w:p>
    <w:p w14:paraId="24C26DC7" w14:textId="77777777" w:rsidR="001B35D7" w:rsidRPr="00470C84" w:rsidRDefault="001B35D7" w:rsidP="001B35D7">
      <w:pPr>
        <w:pStyle w:val="SSTEXT"/>
        <w:spacing w:before="360" w:after="240"/>
        <w:ind w:left="0"/>
        <w:rPr>
          <w:rFonts w:ascii="Times New Roman" w:hAnsi="Times New Roman" w:cs="Times New Roman"/>
          <w:sz w:val="24"/>
          <w:szCs w:val="24"/>
        </w:rPr>
      </w:pPr>
      <w:r w:rsidRPr="00470C84">
        <w:rPr>
          <w:rFonts w:ascii="Times New Roman" w:hAnsi="Times New Roman" w:cs="Times New Roman"/>
          <w:sz w:val="24"/>
          <w:szCs w:val="24"/>
        </w:rPr>
        <w:t>The Company is required to report certain political contributions to the MSRB. Please complete this form promptly and return to Compliance no later than the 10</w:t>
      </w:r>
      <w:r w:rsidRPr="00470C84">
        <w:rPr>
          <w:rFonts w:ascii="Times New Roman" w:hAnsi="Times New Roman" w:cs="Times New Roman"/>
          <w:sz w:val="24"/>
          <w:szCs w:val="24"/>
          <w:vertAlign w:val="superscript"/>
        </w:rPr>
        <w:t>th</w:t>
      </w:r>
      <w:r w:rsidRPr="00470C84">
        <w:rPr>
          <w:rFonts w:ascii="Times New Roman" w:hAnsi="Times New Roman" w:cs="Times New Roman"/>
          <w:sz w:val="24"/>
          <w:szCs w:val="24"/>
        </w:rPr>
        <w:t xml:space="preserve"> of the month following the end of the calendar quarter.</w:t>
      </w:r>
    </w:p>
    <w:p w14:paraId="51FA3A0B" w14:textId="77777777" w:rsidR="001B35D7" w:rsidRPr="00470C84" w:rsidRDefault="001B35D7" w:rsidP="001B35D7">
      <w:pPr>
        <w:pStyle w:val="SSTEXT"/>
        <w:spacing w:before="360" w:after="600"/>
        <w:ind w:left="0"/>
        <w:rPr>
          <w:rFonts w:ascii="Times New Roman" w:hAnsi="Times New Roman" w:cs="Times New Roman"/>
          <w:sz w:val="24"/>
          <w:szCs w:val="24"/>
        </w:rPr>
      </w:pPr>
      <w:r w:rsidRPr="00470C84">
        <w:rPr>
          <w:rFonts w:ascii="Times New Roman" w:hAnsi="Times New Roman" w:cs="Times New Roman"/>
          <w:sz w:val="24"/>
          <w:szCs w:val="24"/>
        </w:rPr>
        <w:t xml:space="preserve">I have made the following political contributions during the past calendar quarter or someone else has made political contributions at my request: </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170"/>
        <w:gridCol w:w="3690"/>
        <w:gridCol w:w="3330"/>
      </w:tblGrid>
      <w:tr w:rsidR="001B35D7" w:rsidRPr="00470C84" w14:paraId="50D03F54" w14:textId="77777777" w:rsidTr="00E62E10">
        <w:tc>
          <w:tcPr>
            <w:tcW w:w="1548" w:type="dxa"/>
            <w:shd w:val="clear" w:color="auto" w:fill="BFBFBF"/>
          </w:tcPr>
          <w:p w14:paraId="07918E2B" w14:textId="77777777" w:rsidR="001B35D7" w:rsidRPr="00470C84" w:rsidRDefault="001B35D7" w:rsidP="00E62E10">
            <w:pPr>
              <w:tabs>
                <w:tab w:val="left" w:pos="576"/>
                <w:tab w:val="left" w:pos="720"/>
                <w:tab w:val="left" w:pos="2592"/>
                <w:tab w:val="left" w:pos="7200"/>
              </w:tabs>
              <w:ind w:hanging="90"/>
              <w:jc w:val="center"/>
              <w:rPr>
                <w:b/>
                <w:sz w:val="24"/>
                <w:szCs w:val="24"/>
              </w:rPr>
            </w:pPr>
            <w:r w:rsidRPr="00470C84">
              <w:rPr>
                <w:b/>
                <w:sz w:val="24"/>
                <w:szCs w:val="24"/>
              </w:rPr>
              <w:t>Date</w:t>
            </w:r>
          </w:p>
        </w:tc>
        <w:tc>
          <w:tcPr>
            <w:tcW w:w="1170" w:type="dxa"/>
            <w:shd w:val="clear" w:color="auto" w:fill="BFBFBF"/>
          </w:tcPr>
          <w:p w14:paraId="7607B6BF" w14:textId="77777777" w:rsidR="001B35D7" w:rsidRPr="00470C84" w:rsidRDefault="001B35D7" w:rsidP="00E62E10">
            <w:pPr>
              <w:tabs>
                <w:tab w:val="left" w:pos="576"/>
                <w:tab w:val="left" w:pos="720"/>
                <w:tab w:val="left" w:pos="2592"/>
                <w:tab w:val="left" w:pos="7200"/>
              </w:tabs>
              <w:jc w:val="center"/>
              <w:rPr>
                <w:b/>
                <w:sz w:val="24"/>
                <w:szCs w:val="24"/>
              </w:rPr>
            </w:pPr>
            <w:r w:rsidRPr="00470C84">
              <w:rPr>
                <w:b/>
                <w:sz w:val="24"/>
                <w:szCs w:val="24"/>
              </w:rPr>
              <w:t>Amount</w:t>
            </w:r>
          </w:p>
        </w:tc>
        <w:tc>
          <w:tcPr>
            <w:tcW w:w="3690" w:type="dxa"/>
            <w:shd w:val="clear" w:color="auto" w:fill="BFBFBF"/>
          </w:tcPr>
          <w:p w14:paraId="20FAC742" w14:textId="77777777" w:rsidR="001B35D7" w:rsidRPr="00470C84" w:rsidRDefault="001B35D7" w:rsidP="00E62E10">
            <w:pPr>
              <w:tabs>
                <w:tab w:val="left" w:pos="576"/>
                <w:tab w:val="left" w:pos="720"/>
                <w:tab w:val="left" w:pos="2592"/>
                <w:tab w:val="left" w:pos="7200"/>
              </w:tabs>
              <w:jc w:val="center"/>
              <w:rPr>
                <w:b/>
                <w:sz w:val="24"/>
                <w:szCs w:val="24"/>
              </w:rPr>
            </w:pPr>
            <w:r w:rsidRPr="00470C84">
              <w:rPr>
                <w:b/>
                <w:sz w:val="24"/>
                <w:szCs w:val="24"/>
              </w:rPr>
              <w:t>Sent To</w:t>
            </w:r>
          </w:p>
        </w:tc>
        <w:tc>
          <w:tcPr>
            <w:tcW w:w="3330" w:type="dxa"/>
            <w:shd w:val="clear" w:color="auto" w:fill="BFBFBF"/>
          </w:tcPr>
          <w:p w14:paraId="4FBAEAD8" w14:textId="77777777" w:rsidR="001B35D7" w:rsidRPr="00470C84" w:rsidRDefault="001B35D7" w:rsidP="00E62E10">
            <w:pPr>
              <w:tabs>
                <w:tab w:val="left" w:pos="576"/>
                <w:tab w:val="left" w:pos="720"/>
                <w:tab w:val="left" w:pos="2592"/>
                <w:tab w:val="left" w:pos="7200"/>
              </w:tabs>
              <w:jc w:val="center"/>
              <w:rPr>
                <w:b/>
                <w:sz w:val="24"/>
                <w:szCs w:val="24"/>
              </w:rPr>
            </w:pPr>
            <w:r w:rsidRPr="00470C84">
              <w:rPr>
                <w:b/>
                <w:sz w:val="24"/>
                <w:szCs w:val="24"/>
              </w:rPr>
              <w:t>Description</w:t>
            </w:r>
          </w:p>
        </w:tc>
      </w:tr>
      <w:tr w:rsidR="001B35D7" w:rsidRPr="00470C84" w14:paraId="3C6C56BE" w14:textId="77777777" w:rsidTr="00E62E10">
        <w:tc>
          <w:tcPr>
            <w:tcW w:w="1548" w:type="dxa"/>
            <w:shd w:val="clear" w:color="auto" w:fill="D9D9D9"/>
          </w:tcPr>
          <w:p w14:paraId="601A51B4" w14:textId="77777777" w:rsidR="001B35D7" w:rsidRPr="00470C84" w:rsidRDefault="001B35D7" w:rsidP="00E62E10">
            <w:pPr>
              <w:tabs>
                <w:tab w:val="left" w:pos="576"/>
                <w:tab w:val="left" w:pos="720"/>
                <w:tab w:val="left" w:pos="2592"/>
                <w:tab w:val="left" w:pos="7200"/>
              </w:tabs>
              <w:rPr>
                <w:i/>
                <w:sz w:val="24"/>
                <w:szCs w:val="24"/>
              </w:rPr>
            </w:pPr>
            <w:r w:rsidRPr="00470C84">
              <w:rPr>
                <w:i/>
                <w:sz w:val="24"/>
                <w:szCs w:val="24"/>
              </w:rPr>
              <w:t>Ex: 10/15/10</w:t>
            </w:r>
          </w:p>
        </w:tc>
        <w:tc>
          <w:tcPr>
            <w:tcW w:w="1170" w:type="dxa"/>
            <w:shd w:val="clear" w:color="auto" w:fill="D9D9D9"/>
          </w:tcPr>
          <w:p w14:paraId="6CBD5E93" w14:textId="77777777" w:rsidR="001B35D7" w:rsidRPr="00470C84" w:rsidRDefault="001B35D7" w:rsidP="00E62E10">
            <w:pPr>
              <w:tabs>
                <w:tab w:val="left" w:pos="576"/>
                <w:tab w:val="left" w:pos="720"/>
                <w:tab w:val="left" w:pos="2592"/>
                <w:tab w:val="left" w:pos="7200"/>
              </w:tabs>
              <w:jc w:val="right"/>
              <w:rPr>
                <w:i/>
                <w:sz w:val="24"/>
                <w:szCs w:val="24"/>
              </w:rPr>
            </w:pPr>
            <w:r w:rsidRPr="00470C84">
              <w:rPr>
                <w:i/>
                <w:sz w:val="24"/>
                <w:szCs w:val="24"/>
              </w:rPr>
              <w:t>$50.00</w:t>
            </w:r>
          </w:p>
        </w:tc>
        <w:tc>
          <w:tcPr>
            <w:tcW w:w="3690" w:type="dxa"/>
            <w:shd w:val="clear" w:color="auto" w:fill="D9D9D9"/>
          </w:tcPr>
          <w:p w14:paraId="37E214BB" w14:textId="77777777" w:rsidR="001B35D7" w:rsidRPr="00470C84" w:rsidRDefault="001B35D7" w:rsidP="00E62E10">
            <w:pPr>
              <w:tabs>
                <w:tab w:val="left" w:pos="576"/>
                <w:tab w:val="left" w:pos="720"/>
                <w:tab w:val="left" w:pos="2592"/>
                <w:tab w:val="left" w:pos="7200"/>
              </w:tabs>
              <w:rPr>
                <w:i/>
                <w:sz w:val="24"/>
                <w:szCs w:val="24"/>
              </w:rPr>
            </w:pPr>
            <w:r w:rsidRPr="00470C84">
              <w:rPr>
                <w:i/>
                <w:sz w:val="24"/>
                <w:szCs w:val="24"/>
              </w:rPr>
              <w:t>ABC Representatives PAC</w:t>
            </w:r>
          </w:p>
        </w:tc>
        <w:tc>
          <w:tcPr>
            <w:tcW w:w="3330" w:type="dxa"/>
            <w:shd w:val="clear" w:color="auto" w:fill="D9D9D9"/>
          </w:tcPr>
          <w:p w14:paraId="77420FFD" w14:textId="77777777" w:rsidR="001B35D7" w:rsidRPr="00470C84" w:rsidRDefault="001B35D7" w:rsidP="00E62E10">
            <w:pPr>
              <w:tabs>
                <w:tab w:val="left" w:pos="576"/>
                <w:tab w:val="left" w:pos="720"/>
                <w:tab w:val="left" w:pos="2592"/>
                <w:tab w:val="left" w:pos="7200"/>
              </w:tabs>
              <w:rPr>
                <w:i/>
                <w:sz w:val="24"/>
                <w:szCs w:val="24"/>
              </w:rPr>
            </w:pPr>
            <w:r w:rsidRPr="00470C84">
              <w:rPr>
                <w:i/>
                <w:sz w:val="24"/>
                <w:szCs w:val="24"/>
              </w:rPr>
              <w:t>Political Action Committee</w:t>
            </w:r>
          </w:p>
        </w:tc>
      </w:tr>
      <w:tr w:rsidR="001B35D7" w:rsidRPr="00470C84" w14:paraId="0C12EC8C" w14:textId="77777777" w:rsidTr="00E62E10">
        <w:tc>
          <w:tcPr>
            <w:tcW w:w="1548" w:type="dxa"/>
          </w:tcPr>
          <w:p w14:paraId="23489E5A" w14:textId="77777777" w:rsidR="001B35D7" w:rsidRPr="00470C84" w:rsidRDefault="001B35D7" w:rsidP="00E62E10">
            <w:pPr>
              <w:tabs>
                <w:tab w:val="left" w:pos="576"/>
                <w:tab w:val="left" w:pos="720"/>
                <w:tab w:val="left" w:pos="2592"/>
                <w:tab w:val="left" w:pos="7200"/>
              </w:tabs>
              <w:rPr>
                <w:sz w:val="24"/>
                <w:szCs w:val="24"/>
              </w:rPr>
            </w:pPr>
            <w:r w:rsidRPr="00470C84">
              <w:rPr>
                <w:sz w:val="24"/>
                <w:szCs w:val="24"/>
              </w:rPr>
              <w:t>1.</w:t>
            </w:r>
          </w:p>
        </w:tc>
        <w:tc>
          <w:tcPr>
            <w:tcW w:w="1170" w:type="dxa"/>
          </w:tcPr>
          <w:p w14:paraId="33EFA8AE" w14:textId="77777777" w:rsidR="001B35D7" w:rsidRPr="00470C84" w:rsidRDefault="001B35D7" w:rsidP="00E62E10">
            <w:pPr>
              <w:tabs>
                <w:tab w:val="left" w:pos="576"/>
                <w:tab w:val="left" w:pos="720"/>
                <w:tab w:val="left" w:pos="2592"/>
                <w:tab w:val="left" w:pos="7200"/>
              </w:tabs>
              <w:jc w:val="right"/>
              <w:rPr>
                <w:i/>
                <w:sz w:val="24"/>
                <w:szCs w:val="24"/>
              </w:rPr>
            </w:pPr>
          </w:p>
        </w:tc>
        <w:tc>
          <w:tcPr>
            <w:tcW w:w="3690" w:type="dxa"/>
          </w:tcPr>
          <w:p w14:paraId="0C26E7B7" w14:textId="77777777" w:rsidR="001B35D7" w:rsidRPr="00470C84" w:rsidRDefault="001B35D7" w:rsidP="00E62E10">
            <w:pPr>
              <w:tabs>
                <w:tab w:val="left" w:pos="576"/>
                <w:tab w:val="left" w:pos="720"/>
                <w:tab w:val="left" w:pos="2592"/>
                <w:tab w:val="left" w:pos="7200"/>
              </w:tabs>
              <w:rPr>
                <w:i/>
                <w:sz w:val="24"/>
                <w:szCs w:val="24"/>
              </w:rPr>
            </w:pPr>
          </w:p>
        </w:tc>
        <w:tc>
          <w:tcPr>
            <w:tcW w:w="3330" w:type="dxa"/>
          </w:tcPr>
          <w:p w14:paraId="4B941C6A" w14:textId="77777777" w:rsidR="001B35D7" w:rsidRPr="00470C84" w:rsidRDefault="001B35D7" w:rsidP="00E62E10">
            <w:pPr>
              <w:tabs>
                <w:tab w:val="left" w:pos="576"/>
                <w:tab w:val="left" w:pos="720"/>
                <w:tab w:val="left" w:pos="2592"/>
                <w:tab w:val="left" w:pos="7200"/>
              </w:tabs>
              <w:rPr>
                <w:i/>
                <w:sz w:val="24"/>
                <w:szCs w:val="24"/>
              </w:rPr>
            </w:pPr>
          </w:p>
        </w:tc>
      </w:tr>
      <w:tr w:rsidR="001B35D7" w:rsidRPr="00470C84" w14:paraId="495B0E29" w14:textId="77777777" w:rsidTr="00E62E10">
        <w:tc>
          <w:tcPr>
            <w:tcW w:w="1548" w:type="dxa"/>
          </w:tcPr>
          <w:p w14:paraId="4D0968C3" w14:textId="77777777" w:rsidR="001B35D7" w:rsidRPr="00470C84" w:rsidRDefault="001B35D7" w:rsidP="00E62E10">
            <w:pPr>
              <w:tabs>
                <w:tab w:val="left" w:pos="576"/>
                <w:tab w:val="left" w:pos="720"/>
                <w:tab w:val="left" w:pos="2592"/>
                <w:tab w:val="left" w:pos="7200"/>
              </w:tabs>
              <w:rPr>
                <w:sz w:val="24"/>
                <w:szCs w:val="24"/>
              </w:rPr>
            </w:pPr>
            <w:r w:rsidRPr="00470C84">
              <w:rPr>
                <w:sz w:val="24"/>
                <w:szCs w:val="24"/>
              </w:rPr>
              <w:t>2.</w:t>
            </w:r>
          </w:p>
        </w:tc>
        <w:tc>
          <w:tcPr>
            <w:tcW w:w="1170" w:type="dxa"/>
          </w:tcPr>
          <w:p w14:paraId="7D04D9A0" w14:textId="77777777" w:rsidR="001B35D7" w:rsidRPr="00470C84" w:rsidRDefault="001B35D7" w:rsidP="00E62E10">
            <w:pPr>
              <w:tabs>
                <w:tab w:val="left" w:pos="576"/>
                <w:tab w:val="left" w:pos="720"/>
                <w:tab w:val="left" w:pos="2592"/>
                <w:tab w:val="left" w:pos="7200"/>
              </w:tabs>
              <w:jc w:val="right"/>
              <w:rPr>
                <w:i/>
                <w:sz w:val="24"/>
                <w:szCs w:val="24"/>
              </w:rPr>
            </w:pPr>
          </w:p>
        </w:tc>
        <w:tc>
          <w:tcPr>
            <w:tcW w:w="3690" w:type="dxa"/>
          </w:tcPr>
          <w:p w14:paraId="3E1DD8B2" w14:textId="77777777" w:rsidR="001B35D7" w:rsidRPr="00470C84" w:rsidRDefault="001B35D7" w:rsidP="00E62E10">
            <w:pPr>
              <w:tabs>
                <w:tab w:val="left" w:pos="576"/>
                <w:tab w:val="left" w:pos="720"/>
                <w:tab w:val="left" w:pos="2592"/>
                <w:tab w:val="left" w:pos="7200"/>
              </w:tabs>
              <w:rPr>
                <w:i/>
                <w:sz w:val="24"/>
                <w:szCs w:val="24"/>
              </w:rPr>
            </w:pPr>
          </w:p>
        </w:tc>
        <w:tc>
          <w:tcPr>
            <w:tcW w:w="3330" w:type="dxa"/>
          </w:tcPr>
          <w:p w14:paraId="1A0EEB06" w14:textId="77777777" w:rsidR="001B35D7" w:rsidRPr="00470C84" w:rsidRDefault="001B35D7" w:rsidP="00E62E10">
            <w:pPr>
              <w:tabs>
                <w:tab w:val="left" w:pos="576"/>
                <w:tab w:val="left" w:pos="720"/>
                <w:tab w:val="left" w:pos="2592"/>
                <w:tab w:val="left" w:pos="7200"/>
              </w:tabs>
              <w:rPr>
                <w:i/>
                <w:sz w:val="24"/>
                <w:szCs w:val="24"/>
              </w:rPr>
            </w:pPr>
          </w:p>
        </w:tc>
      </w:tr>
      <w:tr w:rsidR="001B35D7" w:rsidRPr="00470C84" w14:paraId="6A048AAF" w14:textId="77777777" w:rsidTr="00E62E10">
        <w:tc>
          <w:tcPr>
            <w:tcW w:w="1548" w:type="dxa"/>
          </w:tcPr>
          <w:p w14:paraId="453B1196" w14:textId="77777777" w:rsidR="001B35D7" w:rsidRPr="00470C84" w:rsidRDefault="001B35D7" w:rsidP="00E62E10">
            <w:pPr>
              <w:tabs>
                <w:tab w:val="left" w:pos="576"/>
                <w:tab w:val="left" w:pos="720"/>
                <w:tab w:val="left" w:pos="2592"/>
                <w:tab w:val="left" w:pos="7200"/>
              </w:tabs>
              <w:rPr>
                <w:sz w:val="24"/>
                <w:szCs w:val="24"/>
              </w:rPr>
            </w:pPr>
            <w:r w:rsidRPr="00470C84">
              <w:rPr>
                <w:sz w:val="24"/>
                <w:szCs w:val="24"/>
              </w:rPr>
              <w:t xml:space="preserve">3. </w:t>
            </w:r>
          </w:p>
        </w:tc>
        <w:tc>
          <w:tcPr>
            <w:tcW w:w="1170" w:type="dxa"/>
          </w:tcPr>
          <w:p w14:paraId="061E8767" w14:textId="77777777" w:rsidR="001B35D7" w:rsidRPr="00470C84" w:rsidRDefault="001B35D7" w:rsidP="00E62E10">
            <w:pPr>
              <w:tabs>
                <w:tab w:val="left" w:pos="576"/>
                <w:tab w:val="left" w:pos="720"/>
                <w:tab w:val="left" w:pos="2592"/>
                <w:tab w:val="left" w:pos="7200"/>
              </w:tabs>
              <w:jc w:val="right"/>
              <w:rPr>
                <w:i/>
                <w:sz w:val="24"/>
                <w:szCs w:val="24"/>
              </w:rPr>
            </w:pPr>
          </w:p>
        </w:tc>
        <w:tc>
          <w:tcPr>
            <w:tcW w:w="3690" w:type="dxa"/>
          </w:tcPr>
          <w:p w14:paraId="5C3D4113" w14:textId="77777777" w:rsidR="001B35D7" w:rsidRPr="00470C84" w:rsidRDefault="001B35D7" w:rsidP="00E62E10">
            <w:pPr>
              <w:tabs>
                <w:tab w:val="left" w:pos="576"/>
                <w:tab w:val="left" w:pos="720"/>
                <w:tab w:val="left" w:pos="2592"/>
                <w:tab w:val="left" w:pos="7200"/>
              </w:tabs>
              <w:rPr>
                <w:i/>
                <w:sz w:val="24"/>
                <w:szCs w:val="24"/>
              </w:rPr>
            </w:pPr>
          </w:p>
        </w:tc>
        <w:tc>
          <w:tcPr>
            <w:tcW w:w="3330" w:type="dxa"/>
          </w:tcPr>
          <w:p w14:paraId="34F65AC2" w14:textId="77777777" w:rsidR="001B35D7" w:rsidRPr="00470C84" w:rsidRDefault="001B35D7" w:rsidP="00E62E10">
            <w:pPr>
              <w:tabs>
                <w:tab w:val="left" w:pos="576"/>
                <w:tab w:val="left" w:pos="720"/>
                <w:tab w:val="left" w:pos="2592"/>
                <w:tab w:val="left" w:pos="7200"/>
              </w:tabs>
              <w:rPr>
                <w:i/>
                <w:sz w:val="24"/>
                <w:szCs w:val="24"/>
              </w:rPr>
            </w:pPr>
          </w:p>
        </w:tc>
      </w:tr>
    </w:tbl>
    <w:p w14:paraId="4B493CFB" w14:textId="77777777" w:rsidR="001B35D7" w:rsidRPr="00470C84" w:rsidRDefault="001B35D7" w:rsidP="001B35D7">
      <w:pPr>
        <w:tabs>
          <w:tab w:val="left" w:pos="576"/>
          <w:tab w:val="left" w:pos="720"/>
          <w:tab w:val="left" w:pos="2592"/>
          <w:tab w:val="left" w:pos="7200"/>
        </w:tabs>
        <w:rPr>
          <w:i/>
          <w:sz w:val="24"/>
          <w:szCs w:val="24"/>
        </w:rPr>
      </w:pPr>
    </w:p>
    <w:p w14:paraId="53B5481E" w14:textId="77777777" w:rsidR="001B35D7" w:rsidRPr="00470C84" w:rsidRDefault="001B35D7" w:rsidP="001B35D7">
      <w:pPr>
        <w:tabs>
          <w:tab w:val="left" w:pos="576"/>
          <w:tab w:val="left" w:pos="720"/>
          <w:tab w:val="left" w:pos="2592"/>
          <w:tab w:val="left" w:pos="7200"/>
        </w:tabs>
        <w:rPr>
          <w:i/>
          <w:sz w:val="24"/>
          <w:szCs w:val="24"/>
        </w:rPr>
      </w:pPr>
    </w:p>
    <w:p w14:paraId="6C9C860E" w14:textId="77777777" w:rsidR="001B35D7" w:rsidRPr="00470C84" w:rsidRDefault="001B35D7" w:rsidP="001B35D7">
      <w:pPr>
        <w:tabs>
          <w:tab w:val="left" w:pos="576"/>
          <w:tab w:val="left" w:pos="720"/>
          <w:tab w:val="left" w:pos="2592"/>
          <w:tab w:val="left" w:pos="7200"/>
        </w:tabs>
        <w:rPr>
          <w:sz w:val="24"/>
          <w:szCs w:val="24"/>
        </w:rPr>
      </w:pPr>
      <w:r w:rsidRPr="00470C84">
        <w:rPr>
          <w:sz w:val="24"/>
          <w:szCs w:val="24"/>
        </w:rPr>
        <w:t>______________________________________________________________________________</w:t>
      </w:r>
    </w:p>
    <w:p w14:paraId="4BCFBB26" w14:textId="77777777" w:rsidR="001B35D7" w:rsidRPr="00470C84" w:rsidRDefault="001B35D7" w:rsidP="001B35D7">
      <w:pPr>
        <w:tabs>
          <w:tab w:val="left" w:pos="576"/>
          <w:tab w:val="left" w:pos="720"/>
          <w:tab w:val="left" w:pos="2592"/>
          <w:tab w:val="left" w:pos="7200"/>
        </w:tabs>
        <w:rPr>
          <w:sz w:val="24"/>
          <w:szCs w:val="24"/>
        </w:rPr>
      </w:pPr>
      <w:r w:rsidRPr="00470C84">
        <w:rPr>
          <w:sz w:val="24"/>
          <w:szCs w:val="24"/>
        </w:rPr>
        <w:t xml:space="preserve">  Signature                                                        Print Name                                               Date</w:t>
      </w:r>
    </w:p>
    <w:p w14:paraId="7B4B8894" w14:textId="77777777" w:rsidR="001B35D7" w:rsidRPr="00470C84" w:rsidRDefault="001B35D7" w:rsidP="001B35D7">
      <w:pPr>
        <w:tabs>
          <w:tab w:val="left" w:pos="576"/>
          <w:tab w:val="left" w:pos="720"/>
          <w:tab w:val="left" w:pos="2592"/>
          <w:tab w:val="left" w:pos="7200"/>
        </w:tabs>
        <w:rPr>
          <w:sz w:val="24"/>
          <w:szCs w:val="24"/>
        </w:rPr>
      </w:pPr>
    </w:p>
    <w:p w14:paraId="1BC38590" w14:textId="77777777" w:rsidR="001B35D7" w:rsidRPr="00470C84" w:rsidRDefault="001B35D7" w:rsidP="001B35D7">
      <w:pPr>
        <w:tabs>
          <w:tab w:val="left" w:pos="576"/>
          <w:tab w:val="left" w:pos="720"/>
          <w:tab w:val="left" w:pos="2592"/>
          <w:tab w:val="left" w:pos="7200"/>
        </w:tabs>
        <w:rPr>
          <w:i/>
          <w:sz w:val="24"/>
          <w:szCs w:val="24"/>
        </w:rPr>
      </w:pPr>
    </w:p>
    <w:p w14:paraId="36E79917" w14:textId="77777777" w:rsidR="001B35D7" w:rsidRPr="00470C84" w:rsidRDefault="001B35D7" w:rsidP="001B35D7">
      <w:pPr>
        <w:tabs>
          <w:tab w:val="left" w:pos="576"/>
          <w:tab w:val="left" w:pos="720"/>
          <w:tab w:val="left" w:pos="2592"/>
          <w:tab w:val="left" w:pos="7200"/>
        </w:tabs>
        <w:rPr>
          <w:i/>
          <w:sz w:val="24"/>
          <w:szCs w:val="24"/>
        </w:rPr>
      </w:pPr>
    </w:p>
    <w:p w14:paraId="6DE8CE89" w14:textId="77777777" w:rsidR="001B35D7" w:rsidRPr="00470C84" w:rsidRDefault="001B35D7" w:rsidP="001B35D7">
      <w:pPr>
        <w:jc w:val="center"/>
        <w:rPr>
          <w:i/>
          <w:sz w:val="24"/>
          <w:szCs w:val="24"/>
        </w:rPr>
      </w:pPr>
      <w:r w:rsidRPr="00470C84">
        <w:rPr>
          <w:i/>
          <w:sz w:val="24"/>
          <w:szCs w:val="24"/>
        </w:rPr>
        <w:t>For Compliance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073"/>
      </w:tblGrid>
      <w:tr w:rsidR="001B35D7" w:rsidRPr="00470C84" w14:paraId="79243587" w14:textId="77777777" w:rsidTr="00E62E10">
        <w:tc>
          <w:tcPr>
            <w:tcW w:w="2448" w:type="dxa"/>
          </w:tcPr>
          <w:p w14:paraId="17484D0A" w14:textId="77777777" w:rsidR="001B35D7" w:rsidRPr="00470C84" w:rsidRDefault="001B35D7" w:rsidP="00E62E10">
            <w:pPr>
              <w:pStyle w:val="SSTEXT"/>
              <w:spacing w:before="0" w:after="0"/>
              <w:ind w:left="0" w:right="-90"/>
              <w:rPr>
                <w:rFonts w:ascii="Times New Roman" w:hAnsi="Times New Roman" w:cs="Times New Roman"/>
                <w:b/>
                <w:sz w:val="24"/>
                <w:szCs w:val="24"/>
              </w:rPr>
            </w:pPr>
          </w:p>
          <w:p w14:paraId="4BC0486E" w14:textId="77777777" w:rsidR="001B35D7" w:rsidRPr="00470C84" w:rsidRDefault="001B35D7" w:rsidP="00E62E10">
            <w:pPr>
              <w:pStyle w:val="SSTEXT"/>
              <w:spacing w:before="0" w:after="0"/>
              <w:ind w:left="0" w:right="-90"/>
              <w:rPr>
                <w:rFonts w:ascii="Times New Roman" w:hAnsi="Times New Roman" w:cs="Times New Roman"/>
                <w:sz w:val="24"/>
                <w:szCs w:val="24"/>
              </w:rPr>
            </w:pPr>
            <w:r w:rsidRPr="00470C84">
              <w:rPr>
                <w:rFonts w:ascii="Times New Roman" w:hAnsi="Times New Roman" w:cs="Times New Roman"/>
                <w:b/>
                <w:sz w:val="24"/>
                <w:szCs w:val="24"/>
              </w:rPr>
              <w:t>Date Received</w:t>
            </w:r>
            <w:r w:rsidRPr="00470C84">
              <w:rPr>
                <w:rFonts w:ascii="Times New Roman" w:hAnsi="Times New Roman" w:cs="Times New Roman"/>
                <w:sz w:val="24"/>
                <w:szCs w:val="24"/>
              </w:rPr>
              <w:t>:</w:t>
            </w:r>
          </w:p>
        </w:tc>
        <w:tc>
          <w:tcPr>
            <w:tcW w:w="7128" w:type="dxa"/>
          </w:tcPr>
          <w:p w14:paraId="2AA78EF6" w14:textId="77777777" w:rsidR="001B35D7" w:rsidRPr="00470C84" w:rsidRDefault="001B35D7" w:rsidP="00E62E10">
            <w:pPr>
              <w:pStyle w:val="SSTEXT"/>
              <w:spacing w:before="0" w:after="0"/>
              <w:ind w:left="0" w:right="-90"/>
              <w:rPr>
                <w:rFonts w:ascii="Times New Roman" w:hAnsi="Times New Roman" w:cs="Times New Roman"/>
                <w:sz w:val="24"/>
                <w:szCs w:val="24"/>
              </w:rPr>
            </w:pPr>
          </w:p>
        </w:tc>
      </w:tr>
      <w:tr w:rsidR="001B35D7" w:rsidRPr="00470C84" w14:paraId="3254CEEF" w14:textId="77777777" w:rsidTr="00E62E10">
        <w:tc>
          <w:tcPr>
            <w:tcW w:w="2448" w:type="dxa"/>
          </w:tcPr>
          <w:p w14:paraId="7D2664CA" w14:textId="77777777" w:rsidR="001B35D7" w:rsidRPr="00470C84" w:rsidRDefault="001B35D7" w:rsidP="00E62E10">
            <w:pPr>
              <w:pStyle w:val="SSTEXT"/>
              <w:spacing w:before="0" w:after="0"/>
              <w:ind w:left="0" w:right="-90"/>
              <w:rPr>
                <w:rFonts w:ascii="Times New Roman" w:hAnsi="Times New Roman" w:cs="Times New Roman"/>
                <w:b/>
                <w:sz w:val="24"/>
                <w:szCs w:val="24"/>
              </w:rPr>
            </w:pPr>
          </w:p>
          <w:p w14:paraId="44F59730" w14:textId="77777777" w:rsidR="001B35D7" w:rsidRPr="00470C84" w:rsidRDefault="001B35D7" w:rsidP="00E62E10">
            <w:pPr>
              <w:pStyle w:val="SSTEXT"/>
              <w:spacing w:before="0" w:after="0"/>
              <w:ind w:left="0" w:right="-90"/>
              <w:rPr>
                <w:rFonts w:ascii="Times New Roman" w:hAnsi="Times New Roman" w:cs="Times New Roman"/>
                <w:b/>
                <w:sz w:val="24"/>
                <w:szCs w:val="24"/>
              </w:rPr>
            </w:pPr>
            <w:r w:rsidRPr="00470C84">
              <w:rPr>
                <w:rFonts w:ascii="Times New Roman" w:hAnsi="Times New Roman" w:cs="Times New Roman"/>
                <w:b/>
                <w:sz w:val="24"/>
                <w:szCs w:val="24"/>
              </w:rPr>
              <w:t>Municipal Principal</w:t>
            </w:r>
          </w:p>
          <w:p w14:paraId="1CB5E561" w14:textId="77777777" w:rsidR="001B35D7" w:rsidRPr="00470C84" w:rsidRDefault="001B35D7" w:rsidP="00E62E10">
            <w:pPr>
              <w:pStyle w:val="SSTEXT"/>
              <w:spacing w:before="0" w:after="0"/>
              <w:ind w:left="0" w:right="-90"/>
              <w:rPr>
                <w:rFonts w:ascii="Times New Roman" w:hAnsi="Times New Roman" w:cs="Times New Roman"/>
                <w:sz w:val="24"/>
                <w:szCs w:val="24"/>
              </w:rPr>
            </w:pPr>
            <w:r w:rsidRPr="00470C84">
              <w:rPr>
                <w:rFonts w:ascii="Times New Roman" w:hAnsi="Times New Roman" w:cs="Times New Roman"/>
                <w:b/>
                <w:sz w:val="24"/>
                <w:szCs w:val="24"/>
              </w:rPr>
              <w:t>Name &amp; Signature</w:t>
            </w:r>
            <w:r w:rsidRPr="00470C84">
              <w:rPr>
                <w:rFonts w:ascii="Times New Roman" w:hAnsi="Times New Roman" w:cs="Times New Roman"/>
                <w:sz w:val="24"/>
                <w:szCs w:val="24"/>
              </w:rPr>
              <w:t>:</w:t>
            </w:r>
          </w:p>
        </w:tc>
        <w:tc>
          <w:tcPr>
            <w:tcW w:w="7128" w:type="dxa"/>
          </w:tcPr>
          <w:p w14:paraId="092D8505" w14:textId="77777777" w:rsidR="001B35D7" w:rsidRPr="00470C84" w:rsidRDefault="001B35D7" w:rsidP="00E62E10">
            <w:pPr>
              <w:pStyle w:val="SSTEXT"/>
              <w:spacing w:before="0" w:after="0"/>
              <w:ind w:left="0" w:right="-90"/>
              <w:rPr>
                <w:rFonts w:ascii="Times New Roman" w:hAnsi="Times New Roman" w:cs="Times New Roman"/>
                <w:sz w:val="24"/>
                <w:szCs w:val="24"/>
              </w:rPr>
            </w:pPr>
          </w:p>
        </w:tc>
      </w:tr>
      <w:tr w:rsidR="001B35D7" w:rsidRPr="00470C84" w14:paraId="42F6490B" w14:textId="77777777" w:rsidTr="00E62E10">
        <w:tc>
          <w:tcPr>
            <w:tcW w:w="2448" w:type="dxa"/>
          </w:tcPr>
          <w:p w14:paraId="7A93708D" w14:textId="77777777" w:rsidR="001B35D7" w:rsidRPr="00470C84" w:rsidRDefault="001B35D7" w:rsidP="00E62E10">
            <w:pPr>
              <w:pStyle w:val="SSTEXT"/>
              <w:spacing w:before="0" w:after="0"/>
              <w:ind w:left="0" w:right="-90"/>
              <w:rPr>
                <w:rFonts w:ascii="Times New Roman" w:hAnsi="Times New Roman" w:cs="Times New Roman"/>
                <w:b/>
                <w:sz w:val="24"/>
                <w:szCs w:val="24"/>
              </w:rPr>
            </w:pPr>
          </w:p>
          <w:p w14:paraId="0551C73D" w14:textId="77777777" w:rsidR="001B35D7" w:rsidRPr="00470C84" w:rsidRDefault="001B35D7" w:rsidP="00E62E10">
            <w:pPr>
              <w:pStyle w:val="SSTEXT"/>
              <w:spacing w:before="0" w:after="0"/>
              <w:ind w:left="0" w:right="-90"/>
              <w:rPr>
                <w:rFonts w:ascii="Times New Roman" w:hAnsi="Times New Roman" w:cs="Times New Roman"/>
                <w:b/>
                <w:sz w:val="24"/>
                <w:szCs w:val="24"/>
              </w:rPr>
            </w:pPr>
            <w:r w:rsidRPr="00470C84">
              <w:rPr>
                <w:rFonts w:ascii="Times New Roman" w:hAnsi="Times New Roman" w:cs="Times New Roman"/>
                <w:b/>
                <w:sz w:val="24"/>
                <w:szCs w:val="24"/>
              </w:rPr>
              <w:t>Form G-37 Required?</w:t>
            </w:r>
          </w:p>
          <w:p w14:paraId="2D5525EF" w14:textId="77777777" w:rsidR="001B35D7" w:rsidRPr="00470C84" w:rsidRDefault="001B35D7" w:rsidP="00E62E10">
            <w:pPr>
              <w:pStyle w:val="SSTEXT"/>
              <w:spacing w:before="0" w:after="0"/>
              <w:ind w:left="0" w:right="-90"/>
              <w:rPr>
                <w:rFonts w:ascii="Times New Roman" w:hAnsi="Times New Roman" w:cs="Times New Roman"/>
                <w:sz w:val="24"/>
                <w:szCs w:val="24"/>
              </w:rPr>
            </w:pPr>
            <w:r w:rsidRPr="00470C84">
              <w:rPr>
                <w:rFonts w:ascii="Times New Roman" w:hAnsi="Times New Roman" w:cs="Times New Roman"/>
                <w:b/>
                <w:sz w:val="24"/>
                <w:szCs w:val="24"/>
              </w:rPr>
              <w:t>If yes, date filed</w:t>
            </w:r>
            <w:r w:rsidRPr="00470C84">
              <w:rPr>
                <w:rFonts w:ascii="Times New Roman" w:hAnsi="Times New Roman" w:cs="Times New Roman"/>
                <w:sz w:val="24"/>
                <w:szCs w:val="24"/>
              </w:rPr>
              <w:t>:</w:t>
            </w:r>
          </w:p>
        </w:tc>
        <w:tc>
          <w:tcPr>
            <w:tcW w:w="7128" w:type="dxa"/>
          </w:tcPr>
          <w:p w14:paraId="369D1332" w14:textId="77777777" w:rsidR="001B35D7" w:rsidRPr="00470C84" w:rsidRDefault="001B35D7" w:rsidP="00E62E10">
            <w:pPr>
              <w:pStyle w:val="SSTEXT"/>
              <w:spacing w:before="0" w:after="0"/>
              <w:ind w:left="0" w:right="-90"/>
              <w:rPr>
                <w:rFonts w:ascii="Times New Roman" w:hAnsi="Times New Roman" w:cs="Times New Roman"/>
                <w:sz w:val="24"/>
                <w:szCs w:val="24"/>
              </w:rPr>
            </w:pPr>
          </w:p>
        </w:tc>
      </w:tr>
    </w:tbl>
    <w:p w14:paraId="7D5D09B4" w14:textId="77777777" w:rsidR="00D65638" w:rsidRDefault="00D65638" w:rsidP="001B35D7">
      <w:pPr>
        <w:pStyle w:val="2WSP"/>
      </w:pPr>
    </w:p>
    <w:p w14:paraId="754A2F01" w14:textId="77777777" w:rsidR="00357E19" w:rsidRDefault="00357E19"/>
    <w:p w14:paraId="39FA39DE" w14:textId="77777777" w:rsidR="009B4CD1" w:rsidRDefault="009B4CD1"/>
    <w:p w14:paraId="4F8AC0E8" w14:textId="77777777" w:rsidR="009B4CD1" w:rsidRDefault="009B4CD1">
      <w:r>
        <w:br w:type="page"/>
      </w:r>
    </w:p>
    <w:p w14:paraId="19175428" w14:textId="77777777" w:rsidR="009B4CD1" w:rsidRDefault="009B4CD1"/>
    <w:p w14:paraId="2F044E23" w14:textId="77777777" w:rsidR="00357E19" w:rsidRPr="00DB7EB5" w:rsidRDefault="00357E19" w:rsidP="00CD0324">
      <w:pPr>
        <w:pStyle w:val="Heading3"/>
        <w:ind w:hanging="990"/>
        <w:jc w:val="center"/>
        <w:rPr>
          <w:sz w:val="32"/>
          <w:szCs w:val="32"/>
        </w:rPr>
      </w:pPr>
      <w:r w:rsidRPr="00DB7EB5">
        <w:rPr>
          <w:sz w:val="32"/>
          <w:szCs w:val="32"/>
        </w:rPr>
        <w:t>Professional Designation Notice</w:t>
      </w:r>
    </w:p>
    <w:p w14:paraId="533652C1" w14:textId="77777777" w:rsidR="006C6BAC" w:rsidRPr="00DB7EB5" w:rsidRDefault="006C6BAC" w:rsidP="00B27090">
      <w:pPr>
        <w:ind w:left="-630"/>
        <w:rPr>
          <w:sz w:val="24"/>
          <w:szCs w:val="24"/>
        </w:rPr>
      </w:pPr>
    </w:p>
    <w:p w14:paraId="66119F3C" w14:textId="77777777" w:rsidR="006C6BAC" w:rsidRPr="00DB7EB5" w:rsidRDefault="00357E19" w:rsidP="00B27090">
      <w:pPr>
        <w:ind w:left="-630"/>
        <w:rPr>
          <w:sz w:val="24"/>
          <w:szCs w:val="24"/>
        </w:rPr>
      </w:pPr>
      <w:r w:rsidRPr="00DB7EB5">
        <w:rPr>
          <w:b/>
          <w:sz w:val="24"/>
          <w:szCs w:val="24"/>
        </w:rPr>
        <w:t>TO</w:t>
      </w:r>
      <w:r w:rsidRPr="00DB7EB5">
        <w:rPr>
          <w:sz w:val="24"/>
          <w:szCs w:val="24"/>
        </w:rPr>
        <w:t>:   COMPLIANCE</w:t>
      </w:r>
      <w:r w:rsidR="000B2D26" w:rsidRPr="00DB7EB5">
        <w:rPr>
          <w:sz w:val="24"/>
          <w:szCs w:val="24"/>
        </w:rPr>
        <w:t xml:space="preserve">     </w:t>
      </w:r>
      <w:r w:rsidR="006C6BAC" w:rsidRPr="00DB7EB5">
        <w:rPr>
          <w:sz w:val="24"/>
          <w:szCs w:val="24"/>
        </w:rPr>
        <w:t xml:space="preserve">           </w:t>
      </w:r>
    </w:p>
    <w:p w14:paraId="4D16BAEE" w14:textId="77777777" w:rsidR="006C6BAC" w:rsidRPr="00DB7EB5" w:rsidRDefault="006C6BAC" w:rsidP="00B27090">
      <w:pPr>
        <w:ind w:left="-630"/>
        <w:rPr>
          <w:b/>
          <w:sz w:val="24"/>
          <w:szCs w:val="24"/>
        </w:rPr>
      </w:pPr>
    </w:p>
    <w:p w14:paraId="7C0E1925" w14:textId="77777777" w:rsidR="00357E19" w:rsidRPr="00DB7EB5" w:rsidRDefault="00357E19" w:rsidP="00B27090">
      <w:pPr>
        <w:ind w:left="-630"/>
        <w:rPr>
          <w:sz w:val="24"/>
          <w:szCs w:val="24"/>
        </w:rPr>
      </w:pPr>
      <w:r w:rsidRPr="00DB7EB5">
        <w:rPr>
          <w:b/>
          <w:sz w:val="24"/>
          <w:szCs w:val="24"/>
        </w:rPr>
        <w:t>FROM</w:t>
      </w:r>
      <w:r w:rsidRPr="00DB7EB5">
        <w:rPr>
          <w:sz w:val="24"/>
          <w:szCs w:val="24"/>
        </w:rPr>
        <w:t xml:space="preserve"> :  ______________________</w:t>
      </w:r>
      <w:r w:rsidR="006C6BAC" w:rsidRPr="00DB7EB5">
        <w:rPr>
          <w:sz w:val="24"/>
          <w:szCs w:val="24"/>
        </w:rPr>
        <w:t>______</w:t>
      </w:r>
      <w:r w:rsidRPr="00DB7EB5">
        <w:rPr>
          <w:sz w:val="24"/>
          <w:szCs w:val="24"/>
        </w:rPr>
        <w:t>____</w:t>
      </w:r>
      <w:r w:rsidR="000B2D26" w:rsidRPr="00DB7EB5">
        <w:rPr>
          <w:sz w:val="24"/>
          <w:szCs w:val="24"/>
        </w:rPr>
        <w:t>________________________________</w:t>
      </w:r>
      <w:r w:rsidRPr="00DB7EB5">
        <w:rPr>
          <w:sz w:val="24"/>
          <w:szCs w:val="24"/>
        </w:rPr>
        <w:t>__________</w:t>
      </w:r>
      <w:r w:rsidR="00D07D24" w:rsidRPr="00DB7EB5">
        <w:rPr>
          <w:sz w:val="24"/>
          <w:szCs w:val="24"/>
        </w:rPr>
        <w:t xml:space="preserve">     </w:t>
      </w:r>
    </w:p>
    <w:p w14:paraId="43E794BB" w14:textId="77777777" w:rsidR="00D07D24" w:rsidRPr="00DB7EB5" w:rsidRDefault="000B2D26" w:rsidP="00B27090">
      <w:pPr>
        <w:ind w:left="-630"/>
        <w:rPr>
          <w:sz w:val="24"/>
          <w:szCs w:val="24"/>
        </w:rPr>
      </w:pPr>
      <w:r w:rsidRPr="00DB7EB5">
        <w:rPr>
          <w:sz w:val="24"/>
          <w:szCs w:val="24"/>
        </w:rPr>
        <w:t xml:space="preserve">                 </w:t>
      </w:r>
      <w:r w:rsidRPr="00DB7EB5">
        <w:rPr>
          <w:szCs w:val="24"/>
        </w:rPr>
        <w:t>Printed Name                                                    Signature</w:t>
      </w:r>
      <w:r w:rsidR="006C6BAC" w:rsidRPr="00DB7EB5">
        <w:rPr>
          <w:szCs w:val="24"/>
        </w:rPr>
        <w:t xml:space="preserve">                                                          DATE</w:t>
      </w:r>
    </w:p>
    <w:p w14:paraId="2641A02E" w14:textId="77777777" w:rsidR="000B2D26" w:rsidRPr="00DB7EB5" w:rsidRDefault="000B2D26" w:rsidP="00B27090">
      <w:pPr>
        <w:ind w:left="-630"/>
        <w:rPr>
          <w:sz w:val="24"/>
          <w:szCs w:val="24"/>
        </w:rPr>
      </w:pPr>
    </w:p>
    <w:p w14:paraId="3EAABACF" w14:textId="77777777" w:rsidR="00D07D24" w:rsidRPr="00DB7EB5" w:rsidRDefault="00D07D24" w:rsidP="00B27090">
      <w:pPr>
        <w:ind w:left="-630"/>
        <w:rPr>
          <w:sz w:val="24"/>
          <w:szCs w:val="24"/>
        </w:rPr>
      </w:pPr>
      <w:r w:rsidRPr="00DB7EB5">
        <w:rPr>
          <w:b/>
          <w:sz w:val="24"/>
          <w:szCs w:val="24"/>
        </w:rPr>
        <w:t>DESIGNATION NAME</w:t>
      </w:r>
      <w:r w:rsidRPr="00DB7EB5">
        <w:rPr>
          <w:sz w:val="24"/>
          <w:szCs w:val="24"/>
        </w:rPr>
        <w:t>: ______________</w:t>
      </w:r>
      <w:r w:rsidR="006C6BAC" w:rsidRPr="00DB7EB5">
        <w:rPr>
          <w:sz w:val="24"/>
          <w:szCs w:val="24"/>
        </w:rPr>
        <w:t>______</w:t>
      </w:r>
      <w:r w:rsidRPr="00DB7EB5">
        <w:rPr>
          <w:sz w:val="24"/>
          <w:szCs w:val="24"/>
        </w:rPr>
        <w:t>________________________________________</w:t>
      </w:r>
    </w:p>
    <w:p w14:paraId="36CD7695" w14:textId="77777777" w:rsidR="00357E19" w:rsidRPr="00DB7EB5" w:rsidRDefault="00357E19" w:rsidP="00B27090">
      <w:pPr>
        <w:ind w:left="-630"/>
        <w:rPr>
          <w:sz w:val="36"/>
        </w:rPr>
      </w:pPr>
    </w:p>
    <w:p w14:paraId="034B14BD" w14:textId="77777777" w:rsidR="002F1B98" w:rsidRPr="00DB7EB5" w:rsidRDefault="002F1B98" w:rsidP="003E69F3">
      <w:pPr>
        <w:autoSpaceDE w:val="0"/>
        <w:autoSpaceDN w:val="0"/>
        <w:adjustRightInd w:val="0"/>
        <w:ind w:left="-630" w:right="-198"/>
        <w:rPr>
          <w:sz w:val="24"/>
          <w:szCs w:val="24"/>
        </w:rPr>
      </w:pPr>
      <w:r w:rsidRPr="00DB7EB5">
        <w:rPr>
          <w:sz w:val="24"/>
          <w:szCs w:val="24"/>
        </w:rPr>
        <w:t xml:space="preserve">FINRA regulatory rules prohibit firms and registered persons from making false, exaggerated, unwarranted or misleading statements or claims in communications with the public. This prohibition includes referencing nonexistent or self-conferred degrees or designations or referencing legitimate degrees or designations in a misleading manner.  </w:t>
      </w:r>
    </w:p>
    <w:p w14:paraId="72674BA2" w14:textId="77777777" w:rsidR="002F1B98" w:rsidRPr="00DB7EB5" w:rsidRDefault="002F1B98" w:rsidP="003E69F3">
      <w:pPr>
        <w:autoSpaceDE w:val="0"/>
        <w:autoSpaceDN w:val="0"/>
        <w:adjustRightInd w:val="0"/>
        <w:ind w:left="-630" w:right="-198"/>
        <w:rPr>
          <w:sz w:val="14"/>
          <w:szCs w:val="24"/>
        </w:rPr>
      </w:pPr>
    </w:p>
    <w:p w14:paraId="7FCD6FCD" w14:textId="77777777" w:rsidR="00357E19" w:rsidRPr="00DB7EB5" w:rsidRDefault="002F1B98" w:rsidP="003E69F3">
      <w:pPr>
        <w:autoSpaceDE w:val="0"/>
        <w:autoSpaceDN w:val="0"/>
        <w:adjustRightInd w:val="0"/>
        <w:ind w:left="-630" w:right="-198"/>
        <w:rPr>
          <w:sz w:val="24"/>
          <w:szCs w:val="24"/>
        </w:rPr>
      </w:pPr>
      <w:r w:rsidRPr="00DB7EB5">
        <w:rPr>
          <w:sz w:val="24"/>
          <w:szCs w:val="24"/>
        </w:rPr>
        <w:t>Therefore, in an effort to ascertain the use of a new professional designation, the Company needs the following information to determine its validity and use</w:t>
      </w:r>
      <w:r w:rsidR="00C506AE" w:rsidRPr="00DB7EB5">
        <w:rPr>
          <w:sz w:val="24"/>
          <w:szCs w:val="24"/>
        </w:rPr>
        <w:t xml:space="preserve"> in any communications</w:t>
      </w:r>
      <w:r w:rsidRPr="00DB7EB5">
        <w:rPr>
          <w:sz w:val="24"/>
          <w:szCs w:val="24"/>
        </w:rPr>
        <w:t>:</w:t>
      </w:r>
    </w:p>
    <w:p w14:paraId="0746F640" w14:textId="77777777" w:rsidR="002F1B98" w:rsidRPr="00DB7EB5" w:rsidRDefault="002F1B98" w:rsidP="003E69F3">
      <w:pPr>
        <w:autoSpaceDE w:val="0"/>
        <w:autoSpaceDN w:val="0"/>
        <w:adjustRightInd w:val="0"/>
        <w:ind w:right="-198"/>
        <w:rPr>
          <w:sz w:val="24"/>
          <w:szCs w:val="24"/>
        </w:rPr>
      </w:pPr>
    </w:p>
    <w:p w14:paraId="4861A295" w14:textId="77777777" w:rsidR="002F1B98" w:rsidRPr="00DB7EB5" w:rsidRDefault="002F1B98" w:rsidP="00C1728B">
      <w:pPr>
        <w:pStyle w:val="ListParagraph"/>
        <w:numPr>
          <w:ilvl w:val="2"/>
          <w:numId w:val="94"/>
        </w:numPr>
        <w:autoSpaceDE w:val="0"/>
        <w:autoSpaceDN w:val="0"/>
        <w:adjustRightInd w:val="0"/>
        <w:ind w:left="-360" w:right="-198" w:hanging="270"/>
        <w:rPr>
          <w:sz w:val="24"/>
          <w:szCs w:val="24"/>
        </w:rPr>
      </w:pPr>
      <w:r w:rsidRPr="00DB7EB5">
        <w:rPr>
          <w:sz w:val="24"/>
          <w:szCs w:val="24"/>
        </w:rPr>
        <w:t>Describe the curriculum, if any, required to obtain the designation</w:t>
      </w:r>
      <w:r w:rsidR="00D07D24" w:rsidRPr="00DB7EB5">
        <w:rPr>
          <w:sz w:val="24"/>
          <w:szCs w:val="24"/>
        </w:rPr>
        <w:t xml:space="preserve"> and is there any emphasis on Ethics</w:t>
      </w:r>
      <w:r w:rsidRPr="00DB7EB5">
        <w:rPr>
          <w:sz w:val="24"/>
          <w:szCs w:val="24"/>
        </w:rPr>
        <w:t xml:space="preserve">:  </w:t>
      </w:r>
    </w:p>
    <w:p w14:paraId="64A703D8" w14:textId="77777777" w:rsidR="002F1B98" w:rsidRPr="00DB7EB5" w:rsidRDefault="002F1B98" w:rsidP="00B27090">
      <w:pPr>
        <w:pStyle w:val="ListParagraph"/>
        <w:autoSpaceDE w:val="0"/>
        <w:autoSpaceDN w:val="0"/>
        <w:adjustRightInd w:val="0"/>
        <w:ind w:left="-90" w:hanging="270"/>
        <w:rPr>
          <w:sz w:val="24"/>
          <w:szCs w:val="24"/>
        </w:rPr>
      </w:pPr>
    </w:p>
    <w:p w14:paraId="764B6DE0" w14:textId="77777777" w:rsidR="002F1B98" w:rsidRPr="00DB7EB5" w:rsidRDefault="002F1B98" w:rsidP="00B27090">
      <w:pPr>
        <w:pStyle w:val="ListParagraph"/>
        <w:autoSpaceDE w:val="0"/>
        <w:autoSpaceDN w:val="0"/>
        <w:adjustRightInd w:val="0"/>
        <w:ind w:left="-90" w:hanging="270"/>
        <w:rPr>
          <w:sz w:val="24"/>
          <w:szCs w:val="24"/>
        </w:rPr>
      </w:pPr>
      <w:r w:rsidRPr="00DB7EB5">
        <w:rPr>
          <w:sz w:val="24"/>
          <w:szCs w:val="24"/>
        </w:rPr>
        <w:t>_____________________________________________________________________</w:t>
      </w:r>
      <w:r w:rsidR="00D07D24" w:rsidRPr="00DB7EB5">
        <w:rPr>
          <w:sz w:val="24"/>
          <w:szCs w:val="24"/>
        </w:rPr>
        <w:t>_____</w:t>
      </w:r>
      <w:r w:rsidRPr="00DB7EB5">
        <w:rPr>
          <w:sz w:val="24"/>
          <w:szCs w:val="24"/>
        </w:rPr>
        <w:t>____</w:t>
      </w:r>
    </w:p>
    <w:p w14:paraId="46C3269B" w14:textId="77777777" w:rsidR="002F1B98" w:rsidRPr="00DB7EB5" w:rsidRDefault="002F1B98" w:rsidP="00B27090">
      <w:pPr>
        <w:pStyle w:val="ListParagraph"/>
        <w:autoSpaceDE w:val="0"/>
        <w:autoSpaceDN w:val="0"/>
        <w:adjustRightInd w:val="0"/>
        <w:ind w:left="-90" w:hanging="270"/>
        <w:rPr>
          <w:sz w:val="24"/>
          <w:szCs w:val="24"/>
        </w:rPr>
      </w:pPr>
    </w:p>
    <w:p w14:paraId="47ACE871" w14:textId="77777777" w:rsidR="002F1B98" w:rsidRPr="00DB7EB5" w:rsidRDefault="002F1B98" w:rsidP="00B27090">
      <w:pPr>
        <w:pStyle w:val="ListParagraph"/>
        <w:autoSpaceDE w:val="0"/>
        <w:autoSpaceDN w:val="0"/>
        <w:adjustRightInd w:val="0"/>
        <w:ind w:left="-90" w:hanging="270"/>
        <w:rPr>
          <w:sz w:val="24"/>
          <w:szCs w:val="24"/>
        </w:rPr>
      </w:pPr>
      <w:r w:rsidRPr="00DB7EB5">
        <w:rPr>
          <w:sz w:val="24"/>
          <w:szCs w:val="24"/>
        </w:rPr>
        <w:t>_________________________________________________________________________</w:t>
      </w:r>
      <w:r w:rsidR="00D07D24" w:rsidRPr="00DB7EB5">
        <w:rPr>
          <w:sz w:val="24"/>
          <w:szCs w:val="24"/>
        </w:rPr>
        <w:t>_____</w:t>
      </w:r>
    </w:p>
    <w:p w14:paraId="4F5E129D" w14:textId="77777777" w:rsidR="002F1B98" w:rsidRPr="00DB7EB5" w:rsidRDefault="002F1B98" w:rsidP="00B27090">
      <w:pPr>
        <w:pStyle w:val="ListParagraph"/>
        <w:autoSpaceDE w:val="0"/>
        <w:autoSpaceDN w:val="0"/>
        <w:adjustRightInd w:val="0"/>
        <w:ind w:left="-90" w:hanging="270"/>
        <w:rPr>
          <w:sz w:val="24"/>
          <w:szCs w:val="24"/>
        </w:rPr>
      </w:pPr>
    </w:p>
    <w:p w14:paraId="66FCE986" w14:textId="77777777" w:rsidR="002F1B98" w:rsidRPr="00DB7EB5" w:rsidRDefault="002F1B98" w:rsidP="00B27090">
      <w:pPr>
        <w:pStyle w:val="ListParagraph"/>
        <w:autoSpaceDE w:val="0"/>
        <w:autoSpaceDN w:val="0"/>
        <w:adjustRightInd w:val="0"/>
        <w:ind w:left="-90" w:hanging="270"/>
        <w:rPr>
          <w:sz w:val="24"/>
          <w:szCs w:val="24"/>
        </w:rPr>
      </w:pPr>
      <w:r w:rsidRPr="00DB7EB5">
        <w:rPr>
          <w:sz w:val="24"/>
          <w:szCs w:val="24"/>
        </w:rPr>
        <w:t>_________________________________________________________________________</w:t>
      </w:r>
      <w:r w:rsidR="00D07D24" w:rsidRPr="00DB7EB5">
        <w:rPr>
          <w:sz w:val="24"/>
          <w:szCs w:val="24"/>
        </w:rPr>
        <w:t>_____</w:t>
      </w:r>
    </w:p>
    <w:p w14:paraId="0F97A761" w14:textId="77777777" w:rsidR="002F1B98" w:rsidRPr="00DB7EB5" w:rsidRDefault="002F1B98" w:rsidP="00B27090">
      <w:pPr>
        <w:pStyle w:val="ListParagraph"/>
        <w:autoSpaceDE w:val="0"/>
        <w:autoSpaceDN w:val="0"/>
        <w:adjustRightInd w:val="0"/>
        <w:ind w:left="-90" w:hanging="270"/>
        <w:rPr>
          <w:sz w:val="24"/>
          <w:szCs w:val="24"/>
        </w:rPr>
      </w:pPr>
    </w:p>
    <w:p w14:paraId="47FCE4B7" w14:textId="77777777" w:rsidR="002F1B98" w:rsidRPr="00DB7EB5" w:rsidRDefault="002F1B98" w:rsidP="00B27090">
      <w:pPr>
        <w:pStyle w:val="ListParagraph"/>
        <w:autoSpaceDE w:val="0"/>
        <w:autoSpaceDN w:val="0"/>
        <w:adjustRightInd w:val="0"/>
        <w:ind w:left="-90" w:hanging="270"/>
        <w:rPr>
          <w:sz w:val="24"/>
          <w:szCs w:val="24"/>
        </w:rPr>
      </w:pPr>
      <w:r w:rsidRPr="00DB7EB5">
        <w:rPr>
          <w:sz w:val="24"/>
          <w:szCs w:val="24"/>
        </w:rPr>
        <w:t>_________________________________________________________________________</w:t>
      </w:r>
      <w:r w:rsidR="00D07D24" w:rsidRPr="00DB7EB5">
        <w:rPr>
          <w:sz w:val="24"/>
          <w:szCs w:val="24"/>
        </w:rPr>
        <w:t>_____</w:t>
      </w:r>
    </w:p>
    <w:p w14:paraId="4BDF2E53" w14:textId="77777777" w:rsidR="00CF3CAD" w:rsidRPr="00DB7EB5" w:rsidRDefault="00CF3CAD" w:rsidP="00B27090">
      <w:pPr>
        <w:pStyle w:val="ListParagraph"/>
        <w:autoSpaceDE w:val="0"/>
        <w:autoSpaceDN w:val="0"/>
        <w:adjustRightInd w:val="0"/>
        <w:ind w:left="-90" w:hanging="270"/>
        <w:rPr>
          <w:sz w:val="24"/>
          <w:szCs w:val="24"/>
        </w:rPr>
      </w:pPr>
    </w:p>
    <w:p w14:paraId="4C010AEE" w14:textId="77777777" w:rsidR="00CF3CAD" w:rsidRPr="00DB7EB5" w:rsidRDefault="00CF3CAD" w:rsidP="0005402C">
      <w:pPr>
        <w:pStyle w:val="ListParagraph"/>
        <w:numPr>
          <w:ilvl w:val="0"/>
          <w:numId w:val="333"/>
        </w:numPr>
        <w:tabs>
          <w:tab w:val="clear" w:pos="360"/>
        </w:tabs>
        <w:autoSpaceDE w:val="0"/>
        <w:autoSpaceDN w:val="0"/>
        <w:adjustRightInd w:val="0"/>
        <w:ind w:left="-360" w:hanging="270"/>
        <w:rPr>
          <w:sz w:val="24"/>
          <w:szCs w:val="24"/>
        </w:rPr>
      </w:pPr>
      <w:r w:rsidRPr="00DB7EB5">
        <w:rPr>
          <w:sz w:val="24"/>
          <w:szCs w:val="24"/>
        </w:rPr>
        <w:t>Are there any Continuing Education requirements:  If so, describe:</w:t>
      </w:r>
      <w:r w:rsidR="00D07D24" w:rsidRPr="00DB7EB5">
        <w:rPr>
          <w:sz w:val="24"/>
          <w:szCs w:val="24"/>
        </w:rPr>
        <w:t xml:space="preserve"> ________________________</w:t>
      </w:r>
    </w:p>
    <w:p w14:paraId="5F0D3210" w14:textId="77777777" w:rsidR="002F1B98" w:rsidRPr="00DB7EB5" w:rsidRDefault="002F1B98" w:rsidP="00D07D24">
      <w:pPr>
        <w:pStyle w:val="ListParagraph"/>
        <w:autoSpaceDE w:val="0"/>
        <w:autoSpaceDN w:val="0"/>
        <w:adjustRightInd w:val="0"/>
        <w:ind w:left="-360" w:hanging="270"/>
        <w:rPr>
          <w:sz w:val="24"/>
          <w:szCs w:val="24"/>
        </w:rPr>
      </w:pPr>
    </w:p>
    <w:p w14:paraId="18467558" w14:textId="77777777" w:rsidR="00CF3CAD" w:rsidRPr="00DB7EB5" w:rsidRDefault="00CF3CAD" w:rsidP="00D07D24">
      <w:pPr>
        <w:pStyle w:val="ListParagraph"/>
        <w:autoSpaceDE w:val="0"/>
        <w:autoSpaceDN w:val="0"/>
        <w:adjustRightInd w:val="0"/>
        <w:ind w:left="-360" w:hanging="270"/>
        <w:rPr>
          <w:sz w:val="24"/>
          <w:szCs w:val="24"/>
        </w:rPr>
      </w:pPr>
      <w:r w:rsidRPr="00DB7EB5">
        <w:rPr>
          <w:sz w:val="24"/>
          <w:szCs w:val="24"/>
        </w:rPr>
        <w:t>______________________________________________________________</w:t>
      </w:r>
      <w:r w:rsidR="00D07D24" w:rsidRPr="00DB7EB5">
        <w:rPr>
          <w:sz w:val="24"/>
          <w:szCs w:val="24"/>
        </w:rPr>
        <w:t>_____</w:t>
      </w:r>
      <w:r w:rsidRPr="00DB7EB5">
        <w:rPr>
          <w:sz w:val="24"/>
          <w:szCs w:val="24"/>
        </w:rPr>
        <w:t>___________</w:t>
      </w:r>
      <w:r w:rsidR="00D07D24" w:rsidRPr="00DB7EB5">
        <w:rPr>
          <w:sz w:val="24"/>
          <w:szCs w:val="24"/>
        </w:rPr>
        <w:t>__</w:t>
      </w:r>
    </w:p>
    <w:p w14:paraId="6210692A" w14:textId="77777777" w:rsidR="00CF3CAD" w:rsidRPr="00DB7EB5" w:rsidRDefault="00CF3CAD" w:rsidP="00D07D24">
      <w:pPr>
        <w:pStyle w:val="ListParagraph"/>
        <w:autoSpaceDE w:val="0"/>
        <w:autoSpaceDN w:val="0"/>
        <w:adjustRightInd w:val="0"/>
        <w:ind w:left="-360" w:hanging="270"/>
        <w:rPr>
          <w:sz w:val="24"/>
          <w:szCs w:val="24"/>
        </w:rPr>
      </w:pPr>
    </w:p>
    <w:p w14:paraId="2A9F52F1" w14:textId="77777777" w:rsidR="00CF3CAD" w:rsidRPr="00DB7EB5" w:rsidRDefault="00CF3CAD" w:rsidP="00D07D24">
      <w:pPr>
        <w:pStyle w:val="ListParagraph"/>
        <w:autoSpaceDE w:val="0"/>
        <w:autoSpaceDN w:val="0"/>
        <w:adjustRightInd w:val="0"/>
        <w:ind w:left="-360" w:hanging="270"/>
        <w:rPr>
          <w:sz w:val="24"/>
          <w:szCs w:val="24"/>
        </w:rPr>
      </w:pPr>
      <w:r w:rsidRPr="00DB7EB5">
        <w:rPr>
          <w:sz w:val="24"/>
          <w:szCs w:val="24"/>
        </w:rPr>
        <w:t>___________________________________________________________________</w:t>
      </w:r>
      <w:r w:rsidR="00D07D24" w:rsidRPr="00DB7EB5">
        <w:rPr>
          <w:sz w:val="24"/>
          <w:szCs w:val="24"/>
        </w:rPr>
        <w:t>_____</w:t>
      </w:r>
      <w:r w:rsidRPr="00DB7EB5">
        <w:rPr>
          <w:sz w:val="24"/>
          <w:szCs w:val="24"/>
        </w:rPr>
        <w:t>______</w:t>
      </w:r>
      <w:r w:rsidR="00D07D24" w:rsidRPr="00DB7EB5">
        <w:rPr>
          <w:sz w:val="24"/>
          <w:szCs w:val="24"/>
        </w:rPr>
        <w:t>__</w:t>
      </w:r>
    </w:p>
    <w:p w14:paraId="3D3DA37E" w14:textId="77777777" w:rsidR="00CF3CAD" w:rsidRPr="00DB7EB5" w:rsidRDefault="00CF3CAD" w:rsidP="00D07D24">
      <w:pPr>
        <w:pStyle w:val="ListParagraph"/>
        <w:autoSpaceDE w:val="0"/>
        <w:autoSpaceDN w:val="0"/>
        <w:adjustRightInd w:val="0"/>
        <w:ind w:left="-360" w:hanging="270"/>
        <w:rPr>
          <w:sz w:val="24"/>
          <w:szCs w:val="24"/>
        </w:rPr>
      </w:pPr>
    </w:p>
    <w:p w14:paraId="00B5FE9B" w14:textId="77777777" w:rsidR="00B27090" w:rsidRPr="00DB7EB5" w:rsidRDefault="00D07D24" w:rsidP="0005402C">
      <w:pPr>
        <w:pStyle w:val="ListParagraph"/>
        <w:numPr>
          <w:ilvl w:val="0"/>
          <w:numId w:val="333"/>
        </w:numPr>
        <w:tabs>
          <w:tab w:val="clear" w:pos="360"/>
          <w:tab w:val="num" w:pos="0"/>
        </w:tabs>
        <w:autoSpaceDE w:val="0"/>
        <w:autoSpaceDN w:val="0"/>
        <w:adjustRightInd w:val="0"/>
        <w:ind w:left="-360" w:hanging="270"/>
        <w:rPr>
          <w:sz w:val="24"/>
          <w:szCs w:val="24"/>
        </w:rPr>
      </w:pPr>
      <w:r w:rsidRPr="00DB7EB5">
        <w:rPr>
          <w:sz w:val="24"/>
          <w:szCs w:val="24"/>
        </w:rPr>
        <w:t>Is there a method to verify your designation?  If so, how? _______________________________</w:t>
      </w:r>
    </w:p>
    <w:p w14:paraId="60F52E03" w14:textId="77777777" w:rsidR="00D07D24" w:rsidRPr="00DB7EB5" w:rsidRDefault="00D07D24" w:rsidP="00D07D24">
      <w:pPr>
        <w:pStyle w:val="ListParagraph"/>
        <w:autoSpaceDE w:val="0"/>
        <w:autoSpaceDN w:val="0"/>
        <w:adjustRightInd w:val="0"/>
        <w:ind w:left="-360" w:hanging="270"/>
        <w:rPr>
          <w:sz w:val="24"/>
          <w:szCs w:val="24"/>
        </w:rPr>
      </w:pPr>
    </w:p>
    <w:p w14:paraId="38F321A7" w14:textId="77777777" w:rsidR="00D07D24" w:rsidRPr="00DB7EB5" w:rsidRDefault="00D07D24" w:rsidP="00D07D24">
      <w:pPr>
        <w:pStyle w:val="ListParagraph"/>
        <w:autoSpaceDE w:val="0"/>
        <w:autoSpaceDN w:val="0"/>
        <w:adjustRightInd w:val="0"/>
        <w:ind w:left="-360" w:hanging="270"/>
        <w:rPr>
          <w:sz w:val="24"/>
          <w:szCs w:val="24"/>
        </w:rPr>
      </w:pPr>
      <w:r w:rsidRPr="00DB7EB5">
        <w:rPr>
          <w:sz w:val="24"/>
          <w:szCs w:val="24"/>
        </w:rPr>
        <w:t>________________________________________________________________________________</w:t>
      </w:r>
    </w:p>
    <w:p w14:paraId="625ECC92" w14:textId="77777777" w:rsidR="00D07D24" w:rsidRPr="00DB7EB5" w:rsidRDefault="00D07D24" w:rsidP="00D07D24">
      <w:pPr>
        <w:autoSpaceDE w:val="0"/>
        <w:autoSpaceDN w:val="0"/>
        <w:adjustRightInd w:val="0"/>
        <w:ind w:left="-360" w:hanging="270"/>
        <w:rPr>
          <w:sz w:val="24"/>
          <w:szCs w:val="24"/>
        </w:rPr>
      </w:pPr>
    </w:p>
    <w:p w14:paraId="69DAF320" w14:textId="77777777" w:rsidR="00D07D24" w:rsidRPr="00DB7EB5" w:rsidRDefault="00D07D24" w:rsidP="0005402C">
      <w:pPr>
        <w:pStyle w:val="ListParagraph"/>
        <w:numPr>
          <w:ilvl w:val="0"/>
          <w:numId w:val="333"/>
        </w:numPr>
        <w:tabs>
          <w:tab w:val="clear" w:pos="360"/>
          <w:tab w:val="num" w:pos="0"/>
        </w:tabs>
        <w:autoSpaceDE w:val="0"/>
        <w:autoSpaceDN w:val="0"/>
        <w:adjustRightInd w:val="0"/>
        <w:ind w:left="-360" w:hanging="270"/>
        <w:rPr>
          <w:sz w:val="24"/>
          <w:szCs w:val="24"/>
        </w:rPr>
      </w:pPr>
      <w:r w:rsidRPr="00DB7EB5">
        <w:rPr>
          <w:sz w:val="24"/>
          <w:szCs w:val="24"/>
        </w:rPr>
        <w:t>Is there any public disciplinary process?  If so, describe:  _______________________________</w:t>
      </w:r>
    </w:p>
    <w:p w14:paraId="0FADF6A8" w14:textId="77777777" w:rsidR="00D07D24" w:rsidRPr="00DB7EB5" w:rsidRDefault="00D07D24" w:rsidP="00D07D24">
      <w:pPr>
        <w:pStyle w:val="ListParagraph"/>
        <w:autoSpaceDE w:val="0"/>
        <w:autoSpaceDN w:val="0"/>
        <w:adjustRightInd w:val="0"/>
        <w:ind w:left="-360" w:hanging="270"/>
        <w:rPr>
          <w:sz w:val="24"/>
          <w:szCs w:val="24"/>
        </w:rPr>
      </w:pPr>
    </w:p>
    <w:p w14:paraId="1FDC5151" w14:textId="77777777" w:rsidR="00D07D24" w:rsidRPr="00DB7EB5" w:rsidRDefault="00D07D24" w:rsidP="00D07D24">
      <w:pPr>
        <w:pStyle w:val="ListParagraph"/>
        <w:autoSpaceDE w:val="0"/>
        <w:autoSpaceDN w:val="0"/>
        <w:adjustRightInd w:val="0"/>
        <w:ind w:left="-360" w:hanging="270"/>
        <w:rPr>
          <w:sz w:val="24"/>
          <w:szCs w:val="24"/>
        </w:rPr>
      </w:pPr>
      <w:r w:rsidRPr="00DB7EB5">
        <w:rPr>
          <w:sz w:val="24"/>
          <w:szCs w:val="24"/>
        </w:rPr>
        <w:t>________________________________________________________________________________</w:t>
      </w:r>
    </w:p>
    <w:p w14:paraId="62285270" w14:textId="77777777" w:rsidR="006C6BAC" w:rsidRDefault="006C6BAC" w:rsidP="00D07D24">
      <w:pPr>
        <w:pStyle w:val="ListParagraph"/>
        <w:autoSpaceDE w:val="0"/>
        <w:autoSpaceDN w:val="0"/>
        <w:adjustRightInd w:val="0"/>
        <w:ind w:left="-360"/>
        <w:rPr>
          <w:sz w:val="24"/>
          <w:szCs w:val="24"/>
        </w:rPr>
      </w:pPr>
    </w:p>
    <w:p w14:paraId="3FEF6D80" w14:textId="77777777" w:rsidR="0063539C" w:rsidRDefault="0063539C" w:rsidP="00D07D24">
      <w:pPr>
        <w:pStyle w:val="ListParagraph"/>
        <w:autoSpaceDE w:val="0"/>
        <w:autoSpaceDN w:val="0"/>
        <w:adjustRightInd w:val="0"/>
        <w:ind w:left="-360"/>
        <w:rPr>
          <w:sz w:val="24"/>
          <w:szCs w:val="24"/>
        </w:rPr>
      </w:pPr>
      <w:r>
        <w:rPr>
          <w:noProof/>
        </w:rPr>
        <mc:AlternateContent>
          <mc:Choice Requires="wps">
            <w:drawing>
              <wp:anchor distT="0" distB="0" distL="114300" distR="114300" simplePos="0" relativeHeight="251663872" behindDoc="0" locked="0" layoutInCell="1" allowOverlap="1" wp14:anchorId="373AD264" wp14:editId="66A61B25">
                <wp:simplePos x="0" y="0"/>
                <wp:positionH relativeFrom="column">
                  <wp:posOffset>438222</wp:posOffset>
                </wp:positionH>
                <wp:positionV relativeFrom="paragraph">
                  <wp:posOffset>9919</wp:posOffset>
                </wp:positionV>
                <wp:extent cx="155275" cy="145835"/>
                <wp:effectExtent l="0" t="0" r="16510" b="26035"/>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75" cy="145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54DDF" id="Rectangle 38" o:spid="_x0000_s1026" style="position:absolute;margin-left:34.5pt;margin-top:.8pt;width:12.2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"/>
            </w:pict>
          </mc:Fallback>
        </mc:AlternateContent>
      </w:r>
      <w:r>
        <w:rPr>
          <w:noProof/>
        </w:rPr>
        <mc:AlternateContent>
          <mc:Choice Requires="wps">
            <w:drawing>
              <wp:anchor distT="0" distB="0" distL="114300" distR="114300" simplePos="0" relativeHeight="251664896" behindDoc="0" locked="0" layoutInCell="1" allowOverlap="1" wp14:anchorId="0D6C4BF6" wp14:editId="0EAAD6F7">
                <wp:simplePos x="0" y="0"/>
                <wp:positionH relativeFrom="column">
                  <wp:posOffset>4182086</wp:posOffset>
                </wp:positionH>
                <wp:positionV relativeFrom="paragraph">
                  <wp:posOffset>9920</wp:posOffset>
                </wp:positionV>
                <wp:extent cx="155276" cy="146649"/>
                <wp:effectExtent l="0" t="0" r="16510" b="25400"/>
                <wp:wrapNone/>
                <wp:docPr id="3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76" cy="1466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4952B" id="Rectangle 38" o:spid="_x0000_s1026" style="position:absolute;margin-left:329.3pt;margin-top:.8pt;width:12.25pt;height:1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5QIgIAAD0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"/>
            </w:pict>
          </mc:Fallback>
        </mc:AlternateContent>
      </w:r>
      <w:r>
        <w:rPr>
          <w:sz w:val="24"/>
          <w:szCs w:val="24"/>
        </w:rPr>
        <w:t xml:space="preserve">Approved                                                                          Not Approved  </w:t>
      </w:r>
    </w:p>
    <w:p w14:paraId="5F48A708" w14:textId="77777777" w:rsidR="0063539C" w:rsidRDefault="0063539C" w:rsidP="00D07D24">
      <w:pPr>
        <w:pStyle w:val="ListParagraph"/>
        <w:autoSpaceDE w:val="0"/>
        <w:autoSpaceDN w:val="0"/>
        <w:adjustRightInd w:val="0"/>
        <w:ind w:left="-360"/>
        <w:rPr>
          <w:sz w:val="24"/>
          <w:szCs w:val="24"/>
        </w:rPr>
      </w:pPr>
    </w:p>
    <w:p w14:paraId="013CCE74" w14:textId="77777777" w:rsidR="0063539C" w:rsidRDefault="0063539C" w:rsidP="00D07D24">
      <w:pPr>
        <w:pStyle w:val="ListParagraph"/>
        <w:autoSpaceDE w:val="0"/>
        <w:autoSpaceDN w:val="0"/>
        <w:adjustRightInd w:val="0"/>
        <w:ind w:left="-360"/>
        <w:rPr>
          <w:sz w:val="24"/>
          <w:szCs w:val="24"/>
        </w:rPr>
      </w:pPr>
      <w:r>
        <w:rPr>
          <w:sz w:val="24"/>
          <w:szCs w:val="24"/>
        </w:rPr>
        <w:t>______________________________________________________________________________</w:t>
      </w:r>
    </w:p>
    <w:p w14:paraId="14C8E4E0" w14:textId="77777777" w:rsidR="0063539C" w:rsidRDefault="0063539C" w:rsidP="00D07D24">
      <w:pPr>
        <w:pStyle w:val="ListParagraph"/>
        <w:autoSpaceDE w:val="0"/>
        <w:autoSpaceDN w:val="0"/>
        <w:adjustRightInd w:val="0"/>
        <w:ind w:left="-360"/>
        <w:rPr>
          <w:sz w:val="24"/>
          <w:szCs w:val="24"/>
        </w:rPr>
      </w:pPr>
      <w:r>
        <w:rPr>
          <w:sz w:val="24"/>
          <w:szCs w:val="24"/>
        </w:rPr>
        <w:t>Signature                                          Principal Name                                                     Date</w:t>
      </w:r>
    </w:p>
    <w:p w14:paraId="7A0129B5" w14:textId="77777777" w:rsidR="0063539C" w:rsidRDefault="0063539C" w:rsidP="00D07D24">
      <w:pPr>
        <w:pStyle w:val="ListParagraph"/>
        <w:autoSpaceDE w:val="0"/>
        <w:autoSpaceDN w:val="0"/>
        <w:adjustRightInd w:val="0"/>
        <w:ind w:left="-360"/>
        <w:rPr>
          <w:sz w:val="24"/>
          <w:szCs w:val="24"/>
        </w:rPr>
      </w:pPr>
    </w:p>
    <w:p w14:paraId="19AA0346" w14:textId="77777777" w:rsidR="00DB7EB5" w:rsidRPr="00DB7EB5" w:rsidRDefault="00DB7EB5" w:rsidP="00D07D24">
      <w:pPr>
        <w:pStyle w:val="ListParagraph"/>
        <w:autoSpaceDE w:val="0"/>
        <w:autoSpaceDN w:val="0"/>
        <w:adjustRightInd w:val="0"/>
        <w:ind w:left="-360"/>
        <w:rPr>
          <w:sz w:val="24"/>
          <w:szCs w:val="24"/>
        </w:rPr>
      </w:pPr>
    </w:p>
    <w:p w14:paraId="2A4C4FB3" w14:textId="77777777" w:rsidR="00DB7EB5" w:rsidRDefault="00DB7EB5" w:rsidP="00DB7EB5">
      <w:pPr>
        <w:autoSpaceDE w:val="0"/>
        <w:autoSpaceDN w:val="0"/>
        <w:adjustRightInd w:val="0"/>
        <w:rPr>
          <w:sz w:val="24"/>
          <w:szCs w:val="24"/>
        </w:rPr>
        <w:sectPr w:rsidR="00DB7EB5" w:rsidSect="008629B7">
          <w:footerReference w:type="default" r:id="rId185"/>
          <w:pgSz w:w="12240" w:h="15840" w:code="1"/>
          <w:pgMar w:top="900" w:right="990" w:bottom="1440" w:left="1728" w:header="720" w:footer="720" w:gutter="0"/>
          <w:pgNumType w:start="1" w:chapStyle="1"/>
          <w:cols w:space="720"/>
        </w:sectPr>
      </w:pPr>
    </w:p>
    <w:p w14:paraId="4C9A5381" w14:textId="77777777" w:rsidR="006C6BAC" w:rsidRPr="00DB7EB5" w:rsidRDefault="006C6BAC" w:rsidP="00DB7EB5">
      <w:pPr>
        <w:autoSpaceDE w:val="0"/>
        <w:autoSpaceDN w:val="0"/>
        <w:adjustRightInd w:val="0"/>
        <w:rPr>
          <w:sz w:val="24"/>
          <w:szCs w:val="24"/>
        </w:rPr>
      </w:pPr>
    </w:p>
    <w:p w14:paraId="57824EA8" w14:textId="77777777" w:rsidR="00B778E1" w:rsidRDefault="00DB7EB5" w:rsidP="00053701">
      <w:pPr>
        <w:pStyle w:val="Heading1"/>
        <w:jc w:val="center"/>
      </w:pPr>
      <w:r>
        <w:rPr>
          <w:color w:val="FF0000"/>
          <w:szCs w:val="24"/>
        </w:rPr>
        <w:br w:type="textWrapping" w:clear="all"/>
      </w:r>
      <w:bookmarkStart w:id="351" w:name="_Toc227820466"/>
      <w:bookmarkStart w:id="352" w:name="_Toc227821727"/>
      <w:bookmarkStart w:id="353" w:name="_Toc227821845"/>
      <w:bookmarkStart w:id="354" w:name="_Toc535916186"/>
      <w:r w:rsidR="00587A07" w:rsidRPr="00B778E1">
        <w:rPr>
          <w:i/>
          <w:sz w:val="28"/>
          <w:szCs w:val="28"/>
        </w:rPr>
        <w:t xml:space="preserve">Exhibit </w:t>
      </w:r>
      <w:bookmarkStart w:id="355" w:name="ExhibitF"/>
      <w:bookmarkEnd w:id="351"/>
      <w:bookmarkEnd w:id="352"/>
      <w:bookmarkEnd w:id="353"/>
      <w:r w:rsidR="006633ED">
        <w:rPr>
          <w:i/>
          <w:sz w:val="28"/>
          <w:szCs w:val="28"/>
        </w:rPr>
        <w:t>C</w:t>
      </w:r>
      <w:r w:rsidR="00D32545">
        <w:rPr>
          <w:i/>
          <w:sz w:val="28"/>
          <w:szCs w:val="28"/>
        </w:rPr>
        <w:t xml:space="preserve"> </w:t>
      </w:r>
      <w:r w:rsidR="00D32545">
        <w:rPr>
          <w:sz w:val="28"/>
          <w:szCs w:val="28"/>
        </w:rPr>
        <w:t xml:space="preserve">- </w:t>
      </w:r>
      <w:r w:rsidR="00B778E1" w:rsidRPr="00B778E1">
        <w:t>WS</w:t>
      </w:r>
      <w:r w:rsidR="00B778E1">
        <w:t>P</w:t>
      </w:r>
      <w:r w:rsidR="00B778E1" w:rsidRPr="00B778E1">
        <w:t xml:space="preserve"> CHECKLIST</w:t>
      </w:r>
      <w:bookmarkEnd w:id="354"/>
    </w:p>
    <w:bookmarkEnd w:id="355"/>
    <w:p w14:paraId="3D107838" w14:textId="77777777" w:rsidR="00587A07" w:rsidRPr="00587A07" w:rsidRDefault="00587A07" w:rsidP="001173B1"/>
    <w:p w14:paraId="3BE0D97B" w14:textId="77777777" w:rsidR="00587A07" w:rsidRDefault="00587A07">
      <w:pPr>
        <w:rPr>
          <w:b/>
          <w:sz w:val="24"/>
        </w:rPr>
      </w:pPr>
    </w:p>
    <w:p w14:paraId="3C04150E" w14:textId="77777777" w:rsidR="000C099C" w:rsidRDefault="000C099C">
      <w:pPr>
        <w:rPr>
          <w:sz w:val="24"/>
          <w:u w:val="single"/>
        </w:rPr>
      </w:pPr>
      <w:r>
        <w:rPr>
          <w:b/>
          <w:sz w:val="24"/>
        </w:rPr>
        <w:t>Firm Name/CRD No.</w:t>
      </w:r>
      <w:r>
        <w:rPr>
          <w:b/>
          <w:sz w:val="24"/>
          <w:u w:val="single"/>
        </w:rPr>
        <w:tab/>
        <w:t xml:space="preserve">Woodlands Securities Corp./  #22373               </w:t>
      </w:r>
      <w:r>
        <w:rPr>
          <w:b/>
          <w:sz w:val="24"/>
          <w:u w:val="single"/>
        </w:rPr>
        <w:tab/>
      </w:r>
    </w:p>
    <w:p w14:paraId="03A89DF8" w14:textId="77777777" w:rsidR="000C099C" w:rsidRDefault="000C099C">
      <w:pPr>
        <w:rPr>
          <w:sz w:val="24"/>
          <w:u w:val="single"/>
        </w:rPr>
      </w:pPr>
    </w:p>
    <w:p w14:paraId="76C0EB70" w14:textId="77777777" w:rsidR="000C099C" w:rsidRDefault="000C099C">
      <w:pPr>
        <w:jc w:val="center"/>
      </w:pPr>
    </w:p>
    <w:p w14:paraId="6215184E" w14:textId="77777777" w:rsidR="000C099C" w:rsidRDefault="00A12ACA">
      <w:pPr>
        <w:rPr>
          <w:sz w:val="24"/>
        </w:rPr>
      </w:pPr>
      <w:r>
        <w:rPr>
          <w:sz w:val="24"/>
        </w:rPr>
        <w:t>I</w:t>
      </w:r>
      <w:r w:rsidR="000C099C">
        <w:rPr>
          <w:sz w:val="24"/>
        </w:rPr>
        <w:t xml:space="preserve">ndicate the page number(s) of your procedures </w:t>
      </w:r>
      <w:r>
        <w:rPr>
          <w:sz w:val="24"/>
        </w:rPr>
        <w:t xml:space="preserve">(or link to) </w:t>
      </w:r>
      <w:r w:rsidR="000C099C">
        <w:rPr>
          <w:sz w:val="24"/>
        </w:rPr>
        <w:t>that addresses each area of supervision</w:t>
      </w:r>
    </w:p>
    <w:p w14:paraId="5E524279" w14:textId="77777777" w:rsidR="000C099C" w:rsidRDefault="000C099C"/>
    <w:p w14:paraId="14CD0981" w14:textId="77777777" w:rsidR="000C099C" w:rsidRDefault="000C099C"/>
    <w:p w14:paraId="18F262C5" w14:textId="77777777" w:rsidR="000C099C" w:rsidRPr="00654C91" w:rsidRDefault="000C099C">
      <w:pPr>
        <w:rPr>
          <w:b/>
          <w:caps/>
          <w:sz w:val="24"/>
        </w:rPr>
      </w:pPr>
      <w:r w:rsidRPr="00654C91">
        <w:rPr>
          <w:b/>
          <w:caps/>
          <w:sz w:val="24"/>
        </w:rPr>
        <w:t>Supervisory System</w:t>
      </w:r>
    </w:p>
    <w:tbl>
      <w:tblPr>
        <w:tblW w:w="9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33B96A44" w14:textId="77777777">
        <w:tc>
          <w:tcPr>
            <w:tcW w:w="828" w:type="dxa"/>
            <w:shd w:val="pct10" w:color="auto" w:fill="auto"/>
          </w:tcPr>
          <w:p w14:paraId="25C3EF4B" w14:textId="77777777" w:rsidR="000C099C" w:rsidRDefault="000C099C">
            <w:pPr>
              <w:rPr>
                <w:b/>
              </w:rPr>
            </w:pPr>
            <w:r>
              <w:rPr>
                <w:b/>
              </w:rPr>
              <w:t>OK or N/A</w:t>
            </w:r>
          </w:p>
        </w:tc>
        <w:tc>
          <w:tcPr>
            <w:tcW w:w="4320" w:type="dxa"/>
            <w:shd w:val="pct10" w:color="auto" w:fill="auto"/>
          </w:tcPr>
          <w:p w14:paraId="68BFCDE9" w14:textId="77777777" w:rsidR="000C099C" w:rsidRDefault="000C099C">
            <w:pPr>
              <w:jc w:val="center"/>
              <w:rPr>
                <w:b/>
              </w:rPr>
            </w:pPr>
            <w:r>
              <w:rPr>
                <w:b/>
              </w:rPr>
              <w:t>Area of Supervision - Applicable Rule</w:t>
            </w:r>
          </w:p>
        </w:tc>
        <w:tc>
          <w:tcPr>
            <w:tcW w:w="720" w:type="dxa"/>
            <w:shd w:val="pct10" w:color="auto" w:fill="auto"/>
          </w:tcPr>
          <w:p w14:paraId="214B504B" w14:textId="77777777" w:rsidR="000C099C" w:rsidRDefault="000C099C">
            <w:pPr>
              <w:rPr>
                <w:b/>
              </w:rPr>
            </w:pPr>
            <w:r>
              <w:rPr>
                <w:b/>
              </w:rPr>
              <w:t>Page No.</w:t>
            </w:r>
          </w:p>
        </w:tc>
        <w:tc>
          <w:tcPr>
            <w:tcW w:w="810" w:type="dxa"/>
            <w:shd w:val="pct10" w:color="auto" w:fill="auto"/>
          </w:tcPr>
          <w:p w14:paraId="61540F42" w14:textId="77777777" w:rsidR="000C099C" w:rsidRDefault="000C099C">
            <w:pPr>
              <w:rPr>
                <w:b/>
              </w:rPr>
            </w:pPr>
            <w:r>
              <w:rPr>
                <w:b/>
              </w:rPr>
              <w:t>Who</w:t>
            </w:r>
          </w:p>
        </w:tc>
        <w:tc>
          <w:tcPr>
            <w:tcW w:w="813" w:type="dxa"/>
            <w:shd w:val="pct10" w:color="auto" w:fill="auto"/>
          </w:tcPr>
          <w:p w14:paraId="70DA31C9" w14:textId="77777777" w:rsidR="000C099C" w:rsidRDefault="000C099C">
            <w:pPr>
              <w:rPr>
                <w:b/>
              </w:rPr>
            </w:pPr>
            <w:r>
              <w:rPr>
                <w:b/>
              </w:rPr>
              <w:t>What</w:t>
            </w:r>
          </w:p>
        </w:tc>
        <w:tc>
          <w:tcPr>
            <w:tcW w:w="852" w:type="dxa"/>
            <w:shd w:val="pct10" w:color="auto" w:fill="auto"/>
          </w:tcPr>
          <w:p w14:paraId="7DB4F1EA" w14:textId="77777777" w:rsidR="000C099C" w:rsidRDefault="000C099C">
            <w:pPr>
              <w:rPr>
                <w:b/>
              </w:rPr>
            </w:pPr>
            <w:r>
              <w:rPr>
                <w:b/>
              </w:rPr>
              <w:t>When</w:t>
            </w:r>
          </w:p>
        </w:tc>
        <w:tc>
          <w:tcPr>
            <w:tcW w:w="1249" w:type="dxa"/>
            <w:shd w:val="pct10" w:color="auto" w:fill="auto"/>
          </w:tcPr>
          <w:p w14:paraId="21B18EA1" w14:textId="77777777" w:rsidR="000C099C" w:rsidRDefault="000C099C">
            <w:pPr>
              <w:rPr>
                <w:b/>
              </w:rPr>
            </w:pPr>
            <w:r>
              <w:rPr>
                <w:b/>
              </w:rPr>
              <w:t>How Evidenced</w:t>
            </w:r>
          </w:p>
        </w:tc>
      </w:tr>
      <w:tr w:rsidR="000C099C" w14:paraId="5768823B" w14:textId="77777777">
        <w:tc>
          <w:tcPr>
            <w:tcW w:w="828" w:type="dxa"/>
          </w:tcPr>
          <w:p w14:paraId="6B2E79E2" w14:textId="77777777" w:rsidR="000C099C" w:rsidRDefault="000C099C">
            <w:r>
              <w:t>x</w:t>
            </w:r>
          </w:p>
        </w:tc>
        <w:tc>
          <w:tcPr>
            <w:tcW w:w="4320" w:type="dxa"/>
          </w:tcPr>
          <w:p w14:paraId="7106C25E" w14:textId="77777777" w:rsidR="000C099C" w:rsidRDefault="000C099C">
            <w:r>
              <w:t>Designation of Principals/CCO - 3010(a)(2); 3013</w:t>
            </w:r>
          </w:p>
        </w:tc>
        <w:tc>
          <w:tcPr>
            <w:tcW w:w="720" w:type="dxa"/>
          </w:tcPr>
          <w:p w14:paraId="2B5B8650" w14:textId="77777777" w:rsidR="000C099C" w:rsidRDefault="00D6319C" w:rsidP="00D33F57">
            <w:hyperlink w:anchor="_3.3_Designated_Supervisors" w:history="1">
              <w:r w:rsidR="00D33F57">
                <w:rPr>
                  <w:rStyle w:val="Hyperlink"/>
                </w:rPr>
                <w:t>Pg</w:t>
              </w:r>
            </w:hyperlink>
          </w:p>
        </w:tc>
        <w:tc>
          <w:tcPr>
            <w:tcW w:w="810" w:type="dxa"/>
          </w:tcPr>
          <w:p w14:paraId="713C6FC5" w14:textId="77777777" w:rsidR="000C099C" w:rsidRDefault="000C099C">
            <w:r>
              <w:t>x</w:t>
            </w:r>
          </w:p>
        </w:tc>
        <w:tc>
          <w:tcPr>
            <w:tcW w:w="813" w:type="dxa"/>
          </w:tcPr>
          <w:p w14:paraId="3698C810" w14:textId="77777777" w:rsidR="000C099C" w:rsidRDefault="000C099C">
            <w:r>
              <w:t>x</w:t>
            </w:r>
          </w:p>
        </w:tc>
        <w:tc>
          <w:tcPr>
            <w:tcW w:w="852" w:type="dxa"/>
          </w:tcPr>
          <w:p w14:paraId="1E3FCC15" w14:textId="77777777" w:rsidR="000C099C" w:rsidRDefault="000C099C">
            <w:r>
              <w:t>x</w:t>
            </w:r>
          </w:p>
        </w:tc>
        <w:tc>
          <w:tcPr>
            <w:tcW w:w="1249" w:type="dxa"/>
          </w:tcPr>
          <w:p w14:paraId="1084F2EF" w14:textId="77777777" w:rsidR="000C099C" w:rsidRDefault="000C099C">
            <w:r>
              <w:t>x</w:t>
            </w:r>
          </w:p>
        </w:tc>
      </w:tr>
      <w:tr w:rsidR="000C099C" w14:paraId="0D568FD0" w14:textId="77777777">
        <w:tc>
          <w:tcPr>
            <w:tcW w:w="828" w:type="dxa"/>
          </w:tcPr>
          <w:p w14:paraId="5F58EF3E" w14:textId="77777777" w:rsidR="000C099C" w:rsidRDefault="000C099C">
            <w:r>
              <w:t>x</w:t>
            </w:r>
          </w:p>
        </w:tc>
        <w:tc>
          <w:tcPr>
            <w:tcW w:w="4320" w:type="dxa"/>
          </w:tcPr>
          <w:p w14:paraId="71DF073F" w14:textId="77777777" w:rsidR="000C099C" w:rsidRDefault="000C099C">
            <w:r>
              <w:t>Designation of Offices of Supervisory Jurisdiction - 3010(a)(3), 3010(g)</w:t>
            </w:r>
          </w:p>
        </w:tc>
        <w:tc>
          <w:tcPr>
            <w:tcW w:w="720" w:type="dxa"/>
          </w:tcPr>
          <w:p w14:paraId="1425E10B" w14:textId="77777777" w:rsidR="000C099C" w:rsidRDefault="00D6319C">
            <w:hyperlink w:anchor="_3.4.3_Offices_of" w:history="1">
              <w:r w:rsidR="00F24B3E">
                <w:rPr>
                  <w:rStyle w:val="Hyperlink"/>
                </w:rPr>
                <w:t>Pg</w:t>
              </w:r>
            </w:hyperlink>
          </w:p>
        </w:tc>
        <w:tc>
          <w:tcPr>
            <w:tcW w:w="810" w:type="dxa"/>
          </w:tcPr>
          <w:p w14:paraId="0C371EDE" w14:textId="77777777" w:rsidR="000C099C" w:rsidRDefault="000C099C">
            <w:r>
              <w:t>x</w:t>
            </w:r>
          </w:p>
        </w:tc>
        <w:tc>
          <w:tcPr>
            <w:tcW w:w="813" w:type="dxa"/>
          </w:tcPr>
          <w:p w14:paraId="39A7E325" w14:textId="77777777" w:rsidR="000C099C" w:rsidRDefault="000C099C">
            <w:r>
              <w:t>x</w:t>
            </w:r>
          </w:p>
        </w:tc>
        <w:tc>
          <w:tcPr>
            <w:tcW w:w="852" w:type="dxa"/>
          </w:tcPr>
          <w:p w14:paraId="78C1DAA1" w14:textId="77777777" w:rsidR="000C099C" w:rsidRDefault="000C099C">
            <w:r>
              <w:t>x</w:t>
            </w:r>
          </w:p>
        </w:tc>
        <w:tc>
          <w:tcPr>
            <w:tcW w:w="1249" w:type="dxa"/>
          </w:tcPr>
          <w:p w14:paraId="3FED4AAC" w14:textId="77777777" w:rsidR="000C099C" w:rsidRDefault="000C099C">
            <w:r>
              <w:t>x</w:t>
            </w:r>
          </w:p>
        </w:tc>
      </w:tr>
      <w:tr w:rsidR="000C099C" w14:paraId="4C95563B" w14:textId="77777777">
        <w:tc>
          <w:tcPr>
            <w:tcW w:w="828" w:type="dxa"/>
          </w:tcPr>
          <w:p w14:paraId="4CD7E48C" w14:textId="77777777" w:rsidR="000C099C" w:rsidRDefault="000C099C">
            <w:r>
              <w:t>x</w:t>
            </w:r>
          </w:p>
        </w:tc>
        <w:tc>
          <w:tcPr>
            <w:tcW w:w="4320" w:type="dxa"/>
          </w:tcPr>
          <w:p w14:paraId="11679B5D" w14:textId="77777777" w:rsidR="000C099C" w:rsidRDefault="000C099C">
            <w:r>
              <w:t>Designation of OSJ/Branch Supervisors - 3010(a)(4)</w:t>
            </w:r>
          </w:p>
        </w:tc>
        <w:tc>
          <w:tcPr>
            <w:tcW w:w="720" w:type="dxa"/>
          </w:tcPr>
          <w:p w14:paraId="4EC003B8" w14:textId="77777777" w:rsidR="000C099C" w:rsidRDefault="00D6319C">
            <w:hyperlink w:anchor="_3.4.4_Branch_Offices" w:history="1">
              <w:r w:rsidR="00F24B3E">
                <w:rPr>
                  <w:rStyle w:val="Hyperlink"/>
                </w:rPr>
                <w:t>Pg</w:t>
              </w:r>
            </w:hyperlink>
          </w:p>
        </w:tc>
        <w:tc>
          <w:tcPr>
            <w:tcW w:w="810" w:type="dxa"/>
          </w:tcPr>
          <w:p w14:paraId="375B87E1" w14:textId="77777777" w:rsidR="000C099C" w:rsidRDefault="000C099C">
            <w:r>
              <w:t>x</w:t>
            </w:r>
          </w:p>
        </w:tc>
        <w:tc>
          <w:tcPr>
            <w:tcW w:w="813" w:type="dxa"/>
          </w:tcPr>
          <w:p w14:paraId="4D789B01" w14:textId="77777777" w:rsidR="000C099C" w:rsidRDefault="000C099C">
            <w:r>
              <w:t>x</w:t>
            </w:r>
          </w:p>
        </w:tc>
        <w:tc>
          <w:tcPr>
            <w:tcW w:w="852" w:type="dxa"/>
          </w:tcPr>
          <w:p w14:paraId="26DF4E28" w14:textId="77777777" w:rsidR="000C099C" w:rsidRDefault="000C099C">
            <w:r>
              <w:t>x</w:t>
            </w:r>
          </w:p>
        </w:tc>
        <w:tc>
          <w:tcPr>
            <w:tcW w:w="1249" w:type="dxa"/>
          </w:tcPr>
          <w:p w14:paraId="5FC6115F" w14:textId="77777777" w:rsidR="000C099C" w:rsidRDefault="000C099C">
            <w:r>
              <w:t>x</w:t>
            </w:r>
          </w:p>
        </w:tc>
      </w:tr>
      <w:tr w:rsidR="000C099C" w14:paraId="57C69548" w14:textId="77777777">
        <w:tc>
          <w:tcPr>
            <w:tcW w:w="828" w:type="dxa"/>
          </w:tcPr>
          <w:p w14:paraId="181A04C8" w14:textId="77777777" w:rsidR="000C099C" w:rsidRDefault="000C099C">
            <w:r>
              <w:t>x</w:t>
            </w:r>
          </w:p>
        </w:tc>
        <w:tc>
          <w:tcPr>
            <w:tcW w:w="4320" w:type="dxa"/>
          </w:tcPr>
          <w:p w14:paraId="39361CFC" w14:textId="77777777" w:rsidR="000C099C" w:rsidRDefault="000C099C">
            <w:r>
              <w:t>Assignment of Registered Persons - 3010(a)(5)</w:t>
            </w:r>
          </w:p>
        </w:tc>
        <w:tc>
          <w:tcPr>
            <w:tcW w:w="720" w:type="dxa"/>
          </w:tcPr>
          <w:p w14:paraId="6C02CF74" w14:textId="77777777" w:rsidR="000C099C" w:rsidRDefault="00D6319C">
            <w:hyperlink w:anchor="ExhibitA" w:history="1">
              <w:r w:rsidR="000C099C">
                <w:rPr>
                  <w:rStyle w:val="Hyperlink"/>
                </w:rPr>
                <w:t>A1</w:t>
              </w:r>
            </w:hyperlink>
          </w:p>
        </w:tc>
        <w:tc>
          <w:tcPr>
            <w:tcW w:w="810" w:type="dxa"/>
          </w:tcPr>
          <w:p w14:paraId="42DD8229" w14:textId="77777777" w:rsidR="000C099C" w:rsidRDefault="000C099C">
            <w:r>
              <w:t>x</w:t>
            </w:r>
          </w:p>
        </w:tc>
        <w:tc>
          <w:tcPr>
            <w:tcW w:w="813" w:type="dxa"/>
          </w:tcPr>
          <w:p w14:paraId="46D743D3" w14:textId="77777777" w:rsidR="000C099C" w:rsidRDefault="000C099C">
            <w:r>
              <w:t>x</w:t>
            </w:r>
          </w:p>
        </w:tc>
        <w:tc>
          <w:tcPr>
            <w:tcW w:w="852" w:type="dxa"/>
          </w:tcPr>
          <w:p w14:paraId="4B51C2D4" w14:textId="77777777" w:rsidR="000C099C" w:rsidRDefault="000C099C">
            <w:r>
              <w:t>x</w:t>
            </w:r>
          </w:p>
        </w:tc>
        <w:tc>
          <w:tcPr>
            <w:tcW w:w="1249" w:type="dxa"/>
          </w:tcPr>
          <w:p w14:paraId="1AAC1C4E" w14:textId="77777777" w:rsidR="000C099C" w:rsidRDefault="000C099C">
            <w:r>
              <w:t>x</w:t>
            </w:r>
          </w:p>
        </w:tc>
      </w:tr>
      <w:tr w:rsidR="000C099C" w14:paraId="4C23442F" w14:textId="77777777">
        <w:tc>
          <w:tcPr>
            <w:tcW w:w="828" w:type="dxa"/>
          </w:tcPr>
          <w:p w14:paraId="7859C6CA" w14:textId="77777777" w:rsidR="000C099C" w:rsidRDefault="000C099C">
            <w:r>
              <w:t>x</w:t>
            </w:r>
          </w:p>
        </w:tc>
        <w:tc>
          <w:tcPr>
            <w:tcW w:w="4320" w:type="dxa"/>
          </w:tcPr>
          <w:p w14:paraId="272C3935" w14:textId="77777777" w:rsidR="000C099C" w:rsidRDefault="000C099C">
            <w:r>
              <w:t>Determining Qualifications of Supervisory Personnel - 3010(a)(6)</w:t>
            </w:r>
          </w:p>
        </w:tc>
        <w:tc>
          <w:tcPr>
            <w:tcW w:w="720" w:type="dxa"/>
          </w:tcPr>
          <w:p w14:paraId="669B699D" w14:textId="77777777" w:rsidR="000C099C" w:rsidRDefault="00D6319C">
            <w:hyperlink w:anchor="_3.3_Designated_Supervisors" w:history="1">
              <w:r w:rsidR="00F24B3E">
                <w:rPr>
                  <w:rStyle w:val="Hyperlink"/>
                </w:rPr>
                <w:t>Pg</w:t>
              </w:r>
            </w:hyperlink>
          </w:p>
        </w:tc>
        <w:tc>
          <w:tcPr>
            <w:tcW w:w="810" w:type="dxa"/>
          </w:tcPr>
          <w:p w14:paraId="732F9130" w14:textId="77777777" w:rsidR="000C099C" w:rsidRDefault="000C099C">
            <w:r>
              <w:t>x</w:t>
            </w:r>
          </w:p>
        </w:tc>
        <w:tc>
          <w:tcPr>
            <w:tcW w:w="813" w:type="dxa"/>
          </w:tcPr>
          <w:p w14:paraId="02E1C086" w14:textId="77777777" w:rsidR="000C099C" w:rsidRDefault="000C099C">
            <w:r>
              <w:t>x</w:t>
            </w:r>
          </w:p>
        </w:tc>
        <w:tc>
          <w:tcPr>
            <w:tcW w:w="852" w:type="dxa"/>
          </w:tcPr>
          <w:p w14:paraId="29A37F51" w14:textId="77777777" w:rsidR="000C099C" w:rsidRDefault="000C099C">
            <w:r>
              <w:t>x</w:t>
            </w:r>
          </w:p>
        </w:tc>
        <w:tc>
          <w:tcPr>
            <w:tcW w:w="1249" w:type="dxa"/>
          </w:tcPr>
          <w:p w14:paraId="00580778" w14:textId="77777777" w:rsidR="000C099C" w:rsidRDefault="000C099C">
            <w:r>
              <w:t>x</w:t>
            </w:r>
          </w:p>
        </w:tc>
      </w:tr>
      <w:tr w:rsidR="000C099C" w14:paraId="16A19D7B" w14:textId="77777777">
        <w:tc>
          <w:tcPr>
            <w:tcW w:w="828" w:type="dxa"/>
          </w:tcPr>
          <w:p w14:paraId="7FFBA4C0" w14:textId="77777777" w:rsidR="000C099C" w:rsidRDefault="000C099C">
            <w:r>
              <w:t>x</w:t>
            </w:r>
          </w:p>
        </w:tc>
        <w:tc>
          <w:tcPr>
            <w:tcW w:w="4320" w:type="dxa"/>
          </w:tcPr>
          <w:p w14:paraId="73EC54A1" w14:textId="77777777" w:rsidR="000C099C" w:rsidRDefault="000C099C">
            <w:r>
              <w:t>Annual Compliance Meeting or Interview - 3010(a)(7)</w:t>
            </w:r>
          </w:p>
        </w:tc>
        <w:tc>
          <w:tcPr>
            <w:tcW w:w="720" w:type="dxa"/>
          </w:tcPr>
          <w:p w14:paraId="4C77A07F" w14:textId="77777777" w:rsidR="000C099C" w:rsidRDefault="00D6319C">
            <w:hyperlink w:anchor="_4.32_Compliance_Meetings" w:history="1">
              <w:r w:rsidR="00F24B3E">
                <w:rPr>
                  <w:rStyle w:val="Hyperlink"/>
                </w:rPr>
                <w:t>Pg</w:t>
              </w:r>
            </w:hyperlink>
          </w:p>
        </w:tc>
        <w:tc>
          <w:tcPr>
            <w:tcW w:w="810" w:type="dxa"/>
          </w:tcPr>
          <w:p w14:paraId="2454F34B" w14:textId="77777777" w:rsidR="000C099C" w:rsidRDefault="000C099C">
            <w:r>
              <w:t>x</w:t>
            </w:r>
          </w:p>
        </w:tc>
        <w:tc>
          <w:tcPr>
            <w:tcW w:w="813" w:type="dxa"/>
          </w:tcPr>
          <w:p w14:paraId="6A063ED6" w14:textId="77777777" w:rsidR="000C099C" w:rsidRDefault="000C099C">
            <w:r>
              <w:t>x</w:t>
            </w:r>
          </w:p>
        </w:tc>
        <w:tc>
          <w:tcPr>
            <w:tcW w:w="852" w:type="dxa"/>
          </w:tcPr>
          <w:p w14:paraId="0CA59999" w14:textId="77777777" w:rsidR="000C099C" w:rsidRDefault="000C099C">
            <w:r>
              <w:t>x</w:t>
            </w:r>
          </w:p>
        </w:tc>
        <w:tc>
          <w:tcPr>
            <w:tcW w:w="1249" w:type="dxa"/>
          </w:tcPr>
          <w:p w14:paraId="48022DBE" w14:textId="77777777" w:rsidR="000C099C" w:rsidRDefault="000C099C">
            <w:r>
              <w:t>x</w:t>
            </w:r>
          </w:p>
        </w:tc>
      </w:tr>
      <w:tr w:rsidR="000C099C" w14:paraId="4FE2F93B" w14:textId="77777777">
        <w:tc>
          <w:tcPr>
            <w:tcW w:w="828" w:type="dxa"/>
          </w:tcPr>
          <w:p w14:paraId="512327C9" w14:textId="77777777" w:rsidR="000C099C" w:rsidRDefault="000C099C">
            <w:r>
              <w:t>x</w:t>
            </w:r>
          </w:p>
        </w:tc>
        <w:tc>
          <w:tcPr>
            <w:tcW w:w="4320" w:type="dxa"/>
          </w:tcPr>
          <w:p w14:paraId="4CBA3B63" w14:textId="77777777" w:rsidR="000C099C" w:rsidRDefault="000C099C" w:rsidP="00A87AF0">
            <w:r>
              <w:t>Periodic Reviews of Business and Supervisory System - 3</w:t>
            </w:r>
            <w:r w:rsidR="00A87AF0">
              <w:t>130</w:t>
            </w:r>
          </w:p>
        </w:tc>
        <w:tc>
          <w:tcPr>
            <w:tcW w:w="720" w:type="dxa"/>
          </w:tcPr>
          <w:p w14:paraId="1F8517FD" w14:textId="77777777" w:rsidR="000C099C" w:rsidRDefault="00D6319C">
            <w:hyperlink w:anchor="ReviewProcedures" w:history="1">
              <w:r w:rsidR="00653A7C">
                <w:rPr>
                  <w:rStyle w:val="Hyperlink"/>
                </w:rPr>
                <w:t>Pg</w:t>
              </w:r>
            </w:hyperlink>
          </w:p>
        </w:tc>
        <w:tc>
          <w:tcPr>
            <w:tcW w:w="810" w:type="dxa"/>
          </w:tcPr>
          <w:p w14:paraId="4FF60247" w14:textId="77777777" w:rsidR="000C099C" w:rsidRDefault="000C099C">
            <w:r>
              <w:t>x</w:t>
            </w:r>
          </w:p>
        </w:tc>
        <w:tc>
          <w:tcPr>
            <w:tcW w:w="813" w:type="dxa"/>
          </w:tcPr>
          <w:p w14:paraId="2BC22E91" w14:textId="77777777" w:rsidR="000C099C" w:rsidRDefault="000C099C">
            <w:r>
              <w:t>x</w:t>
            </w:r>
          </w:p>
        </w:tc>
        <w:tc>
          <w:tcPr>
            <w:tcW w:w="852" w:type="dxa"/>
          </w:tcPr>
          <w:p w14:paraId="5381432C" w14:textId="77777777" w:rsidR="000C099C" w:rsidRDefault="000C099C">
            <w:r>
              <w:t>x</w:t>
            </w:r>
          </w:p>
        </w:tc>
        <w:tc>
          <w:tcPr>
            <w:tcW w:w="1249" w:type="dxa"/>
          </w:tcPr>
          <w:p w14:paraId="20FAC84D" w14:textId="77777777" w:rsidR="000C099C" w:rsidRDefault="000C099C">
            <w:r>
              <w:t>x</w:t>
            </w:r>
          </w:p>
        </w:tc>
      </w:tr>
      <w:tr w:rsidR="000C099C" w14:paraId="6F1E145F" w14:textId="77777777">
        <w:tc>
          <w:tcPr>
            <w:tcW w:w="828" w:type="dxa"/>
          </w:tcPr>
          <w:p w14:paraId="51801C4E" w14:textId="77777777" w:rsidR="000C099C" w:rsidRDefault="000C099C">
            <w:r>
              <w:t>x</w:t>
            </w:r>
          </w:p>
        </w:tc>
        <w:tc>
          <w:tcPr>
            <w:tcW w:w="4320" w:type="dxa"/>
          </w:tcPr>
          <w:p w14:paraId="3ACACE4D" w14:textId="77777777" w:rsidR="000C099C" w:rsidRDefault="000C099C">
            <w:r>
              <w:t>Supervisory Personnel Record including titles, registration status and locations - 3010(b)(2)</w:t>
            </w:r>
          </w:p>
        </w:tc>
        <w:tc>
          <w:tcPr>
            <w:tcW w:w="720" w:type="dxa"/>
          </w:tcPr>
          <w:p w14:paraId="11594461" w14:textId="77777777" w:rsidR="000C099C" w:rsidRDefault="00D6319C">
            <w:hyperlink w:anchor="DesignationofPrinc" w:history="1">
              <w:r w:rsidR="00653A7C">
                <w:rPr>
                  <w:rStyle w:val="Hyperlink"/>
                </w:rPr>
                <w:t>Pg</w:t>
              </w:r>
            </w:hyperlink>
            <w:r w:rsidR="000C099C">
              <w:t xml:space="preserve">, </w:t>
            </w:r>
            <w:hyperlink w:anchor="ExhibitA" w:history="1">
              <w:r w:rsidR="000C099C">
                <w:rPr>
                  <w:rStyle w:val="Hyperlink"/>
                </w:rPr>
                <w:t>A1</w:t>
              </w:r>
            </w:hyperlink>
          </w:p>
        </w:tc>
        <w:tc>
          <w:tcPr>
            <w:tcW w:w="810" w:type="dxa"/>
          </w:tcPr>
          <w:p w14:paraId="28A10000" w14:textId="77777777" w:rsidR="000C099C" w:rsidRDefault="000C099C">
            <w:r>
              <w:t>x</w:t>
            </w:r>
          </w:p>
        </w:tc>
        <w:tc>
          <w:tcPr>
            <w:tcW w:w="813" w:type="dxa"/>
          </w:tcPr>
          <w:p w14:paraId="4389D3C5" w14:textId="77777777" w:rsidR="000C099C" w:rsidRDefault="000C099C">
            <w:r>
              <w:t>x</w:t>
            </w:r>
          </w:p>
        </w:tc>
        <w:tc>
          <w:tcPr>
            <w:tcW w:w="852" w:type="dxa"/>
          </w:tcPr>
          <w:p w14:paraId="198E0941" w14:textId="77777777" w:rsidR="000C099C" w:rsidRDefault="000C099C">
            <w:r>
              <w:t>x</w:t>
            </w:r>
          </w:p>
        </w:tc>
        <w:tc>
          <w:tcPr>
            <w:tcW w:w="1249" w:type="dxa"/>
          </w:tcPr>
          <w:p w14:paraId="7905D089" w14:textId="77777777" w:rsidR="000C099C" w:rsidRDefault="000C099C">
            <w:r>
              <w:t>x</w:t>
            </w:r>
          </w:p>
        </w:tc>
      </w:tr>
      <w:tr w:rsidR="000C099C" w14:paraId="1C28F39A" w14:textId="77777777">
        <w:tc>
          <w:tcPr>
            <w:tcW w:w="828" w:type="dxa"/>
          </w:tcPr>
          <w:p w14:paraId="70008369" w14:textId="77777777" w:rsidR="000C099C" w:rsidRDefault="000C099C">
            <w:r>
              <w:t>x</w:t>
            </w:r>
          </w:p>
        </w:tc>
        <w:tc>
          <w:tcPr>
            <w:tcW w:w="4320" w:type="dxa"/>
          </w:tcPr>
          <w:p w14:paraId="5EBE3992" w14:textId="77777777" w:rsidR="000C099C" w:rsidRDefault="000C099C">
            <w:r>
              <w:t>Distribution of Procedures and Amendments - 3010(b)(3)</w:t>
            </w:r>
          </w:p>
        </w:tc>
        <w:tc>
          <w:tcPr>
            <w:tcW w:w="720" w:type="dxa"/>
          </w:tcPr>
          <w:p w14:paraId="42B37B91" w14:textId="77777777" w:rsidR="000C099C" w:rsidRDefault="00D6319C">
            <w:hyperlink w:anchor="WSPDistribution" w:history="1">
              <w:r w:rsidR="001C685C">
                <w:rPr>
                  <w:rStyle w:val="Hyperlink"/>
                </w:rPr>
                <w:t>Pg</w:t>
              </w:r>
            </w:hyperlink>
            <w:r w:rsidR="000C099C">
              <w:t xml:space="preserve"> </w:t>
            </w:r>
          </w:p>
        </w:tc>
        <w:tc>
          <w:tcPr>
            <w:tcW w:w="810" w:type="dxa"/>
          </w:tcPr>
          <w:p w14:paraId="7A98483B" w14:textId="77777777" w:rsidR="000C099C" w:rsidRDefault="000C099C">
            <w:r>
              <w:t>x</w:t>
            </w:r>
          </w:p>
        </w:tc>
        <w:tc>
          <w:tcPr>
            <w:tcW w:w="813" w:type="dxa"/>
          </w:tcPr>
          <w:p w14:paraId="3F18087A" w14:textId="77777777" w:rsidR="000C099C" w:rsidRDefault="000C099C">
            <w:r>
              <w:t>x</w:t>
            </w:r>
          </w:p>
        </w:tc>
        <w:tc>
          <w:tcPr>
            <w:tcW w:w="852" w:type="dxa"/>
          </w:tcPr>
          <w:p w14:paraId="180A12B4" w14:textId="77777777" w:rsidR="000C099C" w:rsidRDefault="000C099C">
            <w:r>
              <w:t>x</w:t>
            </w:r>
          </w:p>
        </w:tc>
        <w:tc>
          <w:tcPr>
            <w:tcW w:w="1249" w:type="dxa"/>
          </w:tcPr>
          <w:p w14:paraId="557C49D2" w14:textId="77777777" w:rsidR="000C099C" w:rsidRDefault="000C099C">
            <w:r>
              <w:t>x</w:t>
            </w:r>
          </w:p>
        </w:tc>
      </w:tr>
      <w:tr w:rsidR="000C099C" w14:paraId="692BB701" w14:textId="77777777">
        <w:tc>
          <w:tcPr>
            <w:tcW w:w="828" w:type="dxa"/>
          </w:tcPr>
          <w:p w14:paraId="6A162D84" w14:textId="77777777" w:rsidR="000C099C" w:rsidRDefault="000C099C">
            <w:r>
              <w:t>x</w:t>
            </w:r>
          </w:p>
        </w:tc>
        <w:tc>
          <w:tcPr>
            <w:tcW w:w="4320" w:type="dxa"/>
          </w:tcPr>
          <w:p w14:paraId="6FDD013C" w14:textId="0BA623AB" w:rsidR="000C099C" w:rsidRPr="00D9429A" w:rsidRDefault="00D9429A" w:rsidP="002225C5">
            <w:pPr>
              <w:rPr>
                <w:color w:val="FF0000"/>
              </w:rPr>
            </w:pPr>
            <w:r w:rsidRPr="00D9429A">
              <w:rPr>
                <w:color w:val="FF0000"/>
              </w:rPr>
              <w:t xml:space="preserve">Consolidated </w:t>
            </w:r>
            <w:r w:rsidR="000C099C" w:rsidRPr="00D9429A">
              <w:rPr>
                <w:color w:val="FF0000"/>
              </w:rPr>
              <w:t xml:space="preserve">Audit Trail </w:t>
            </w:r>
            <w:r w:rsidRPr="00D9429A">
              <w:rPr>
                <w:color w:val="FF0000"/>
              </w:rPr>
              <w:t>s</w:t>
            </w:r>
            <w:r w:rsidR="000C099C" w:rsidRPr="00D9429A">
              <w:rPr>
                <w:color w:val="FF0000"/>
              </w:rPr>
              <w:t>ystem (</w:t>
            </w:r>
            <w:r w:rsidRPr="00D9429A">
              <w:rPr>
                <w:color w:val="FF0000"/>
              </w:rPr>
              <w:t>C</w:t>
            </w:r>
            <w:r w:rsidR="000C099C" w:rsidRPr="00D9429A">
              <w:rPr>
                <w:color w:val="FF0000"/>
              </w:rPr>
              <w:t xml:space="preserve">AT) – </w:t>
            </w:r>
            <w:r w:rsidRPr="00D9429A">
              <w:rPr>
                <w:color w:val="FF0000"/>
              </w:rPr>
              <w:t>68</w:t>
            </w:r>
            <w:r w:rsidR="002225C5" w:rsidRPr="00D9429A">
              <w:rPr>
                <w:color w:val="FF0000"/>
              </w:rPr>
              <w:t>00</w:t>
            </w:r>
            <w:r w:rsidR="00EF2486">
              <w:rPr>
                <w:color w:val="FF0000"/>
              </w:rPr>
              <w:t xml:space="preserve"> </w:t>
            </w:r>
            <w:r w:rsidR="00EF2486" w:rsidRPr="00EF2486">
              <w:rPr>
                <w:color w:val="FF0000"/>
                <w:sz w:val="16"/>
                <w:szCs w:val="16"/>
              </w:rPr>
              <w:t>(9/22/21)</w:t>
            </w:r>
          </w:p>
        </w:tc>
        <w:tc>
          <w:tcPr>
            <w:tcW w:w="720" w:type="dxa"/>
          </w:tcPr>
          <w:p w14:paraId="0C85444D" w14:textId="71EFCEEE" w:rsidR="000C099C" w:rsidRDefault="00D6319C">
            <w:hyperlink w:anchor="_8.33_Consolidated_Audit" w:history="1">
              <w:r w:rsidR="002225C5">
                <w:rPr>
                  <w:rStyle w:val="Hyperlink"/>
                </w:rPr>
                <w:t>Pg</w:t>
              </w:r>
            </w:hyperlink>
          </w:p>
        </w:tc>
        <w:tc>
          <w:tcPr>
            <w:tcW w:w="810" w:type="dxa"/>
          </w:tcPr>
          <w:p w14:paraId="6F99E7DB" w14:textId="77777777" w:rsidR="000C099C" w:rsidRDefault="000C099C">
            <w:r>
              <w:t>x</w:t>
            </w:r>
          </w:p>
        </w:tc>
        <w:tc>
          <w:tcPr>
            <w:tcW w:w="813" w:type="dxa"/>
          </w:tcPr>
          <w:p w14:paraId="7E60AB00" w14:textId="77777777" w:rsidR="000C099C" w:rsidRDefault="000C099C">
            <w:r>
              <w:t>x</w:t>
            </w:r>
          </w:p>
        </w:tc>
        <w:tc>
          <w:tcPr>
            <w:tcW w:w="852" w:type="dxa"/>
          </w:tcPr>
          <w:p w14:paraId="5D8D154F" w14:textId="77777777" w:rsidR="000C099C" w:rsidRDefault="000C099C">
            <w:r>
              <w:t>x</w:t>
            </w:r>
          </w:p>
        </w:tc>
        <w:tc>
          <w:tcPr>
            <w:tcW w:w="1249" w:type="dxa"/>
          </w:tcPr>
          <w:p w14:paraId="087770B6" w14:textId="77777777" w:rsidR="000C099C" w:rsidRDefault="000C099C">
            <w:r>
              <w:t>x</w:t>
            </w:r>
          </w:p>
        </w:tc>
      </w:tr>
      <w:tr w:rsidR="000C099C" w14:paraId="3EABC4B8" w14:textId="77777777">
        <w:tc>
          <w:tcPr>
            <w:tcW w:w="828" w:type="dxa"/>
          </w:tcPr>
          <w:p w14:paraId="4D1886BE" w14:textId="77777777" w:rsidR="000C099C" w:rsidRDefault="000C099C">
            <w:r>
              <w:t>x</w:t>
            </w:r>
          </w:p>
        </w:tc>
        <w:tc>
          <w:tcPr>
            <w:tcW w:w="4320" w:type="dxa"/>
          </w:tcPr>
          <w:p w14:paraId="40F5F7A6" w14:textId="77777777" w:rsidR="000C099C" w:rsidRDefault="000C099C" w:rsidP="002225C5">
            <w:r>
              <w:t xml:space="preserve">Synchronization of Clocks- </w:t>
            </w:r>
            <w:r w:rsidR="002225C5">
              <w:t>7430</w:t>
            </w:r>
          </w:p>
        </w:tc>
        <w:tc>
          <w:tcPr>
            <w:tcW w:w="720" w:type="dxa"/>
          </w:tcPr>
          <w:p w14:paraId="372A5FDD" w14:textId="77777777" w:rsidR="000C099C" w:rsidRDefault="00D6319C">
            <w:hyperlink w:anchor="SyncClocks" w:history="1">
              <w:r w:rsidR="002225C5">
                <w:rPr>
                  <w:rStyle w:val="Hyperlink"/>
                </w:rPr>
                <w:t>Pg</w:t>
              </w:r>
            </w:hyperlink>
          </w:p>
        </w:tc>
        <w:tc>
          <w:tcPr>
            <w:tcW w:w="810" w:type="dxa"/>
          </w:tcPr>
          <w:p w14:paraId="6FAC82D7" w14:textId="77777777" w:rsidR="000C099C" w:rsidRDefault="000C099C">
            <w:r>
              <w:t>x</w:t>
            </w:r>
          </w:p>
        </w:tc>
        <w:tc>
          <w:tcPr>
            <w:tcW w:w="813" w:type="dxa"/>
          </w:tcPr>
          <w:p w14:paraId="48245EFA" w14:textId="77777777" w:rsidR="000C099C" w:rsidRDefault="000C099C">
            <w:r>
              <w:t>x</w:t>
            </w:r>
          </w:p>
        </w:tc>
        <w:tc>
          <w:tcPr>
            <w:tcW w:w="852" w:type="dxa"/>
          </w:tcPr>
          <w:p w14:paraId="365C73D0" w14:textId="77777777" w:rsidR="000C099C" w:rsidRDefault="000C099C">
            <w:r>
              <w:t>x</w:t>
            </w:r>
          </w:p>
        </w:tc>
        <w:tc>
          <w:tcPr>
            <w:tcW w:w="1249" w:type="dxa"/>
          </w:tcPr>
          <w:p w14:paraId="13D3C7FC" w14:textId="77777777" w:rsidR="000C099C" w:rsidRDefault="000C099C">
            <w:r>
              <w:t>x</w:t>
            </w:r>
          </w:p>
        </w:tc>
      </w:tr>
      <w:tr w:rsidR="000C099C" w14:paraId="5EEB2AEB" w14:textId="77777777">
        <w:tc>
          <w:tcPr>
            <w:tcW w:w="828" w:type="dxa"/>
          </w:tcPr>
          <w:p w14:paraId="5EA6AD32" w14:textId="77777777" w:rsidR="000C099C" w:rsidRDefault="000C099C">
            <w:r>
              <w:t>x</w:t>
            </w:r>
          </w:p>
        </w:tc>
        <w:tc>
          <w:tcPr>
            <w:tcW w:w="4320" w:type="dxa"/>
          </w:tcPr>
          <w:p w14:paraId="3B4F35A6" w14:textId="77777777" w:rsidR="000C099C" w:rsidRDefault="000C099C" w:rsidP="002C09A1">
            <w:r>
              <w:t xml:space="preserve">Order Execution and Routing Practices – SEC Rule </w:t>
            </w:r>
            <w:r w:rsidR="002C09A1">
              <w:t>6</w:t>
            </w:r>
            <w:r w:rsidR="00422BCF">
              <w:t xml:space="preserve">05, </w:t>
            </w:r>
            <w:r w:rsidR="002C09A1">
              <w:t>6</w:t>
            </w:r>
            <w:r w:rsidR="00422BCF">
              <w:t>06</w:t>
            </w:r>
          </w:p>
        </w:tc>
        <w:tc>
          <w:tcPr>
            <w:tcW w:w="720" w:type="dxa"/>
          </w:tcPr>
          <w:p w14:paraId="68C9FD04" w14:textId="77777777" w:rsidR="000C099C" w:rsidRDefault="00D6319C">
            <w:hyperlink w:anchor="OrderExecnRouting" w:history="1">
              <w:r w:rsidR="00422BCF">
                <w:rPr>
                  <w:rStyle w:val="Hyperlink"/>
                </w:rPr>
                <w:t>Pg</w:t>
              </w:r>
            </w:hyperlink>
          </w:p>
        </w:tc>
        <w:tc>
          <w:tcPr>
            <w:tcW w:w="810" w:type="dxa"/>
          </w:tcPr>
          <w:p w14:paraId="27FC68E2" w14:textId="77777777" w:rsidR="000C099C" w:rsidRDefault="000C099C">
            <w:r>
              <w:t>x</w:t>
            </w:r>
          </w:p>
        </w:tc>
        <w:tc>
          <w:tcPr>
            <w:tcW w:w="813" w:type="dxa"/>
          </w:tcPr>
          <w:p w14:paraId="19506532" w14:textId="77777777" w:rsidR="000C099C" w:rsidRDefault="000C099C">
            <w:r>
              <w:t>x</w:t>
            </w:r>
          </w:p>
        </w:tc>
        <w:tc>
          <w:tcPr>
            <w:tcW w:w="852" w:type="dxa"/>
          </w:tcPr>
          <w:p w14:paraId="3C46E064" w14:textId="77777777" w:rsidR="000C099C" w:rsidRDefault="000C099C">
            <w:r>
              <w:t>x</w:t>
            </w:r>
          </w:p>
        </w:tc>
        <w:tc>
          <w:tcPr>
            <w:tcW w:w="1249" w:type="dxa"/>
          </w:tcPr>
          <w:p w14:paraId="061B4322" w14:textId="77777777" w:rsidR="000C099C" w:rsidRDefault="000C099C">
            <w:r>
              <w:t>x</w:t>
            </w:r>
          </w:p>
        </w:tc>
      </w:tr>
      <w:tr w:rsidR="000C099C" w14:paraId="5C99C0E6" w14:textId="77777777">
        <w:tc>
          <w:tcPr>
            <w:tcW w:w="828" w:type="dxa"/>
          </w:tcPr>
          <w:p w14:paraId="7EDA62B7" w14:textId="77777777" w:rsidR="000C099C" w:rsidRDefault="000C099C">
            <w:r>
              <w:t>x</w:t>
            </w:r>
          </w:p>
        </w:tc>
        <w:tc>
          <w:tcPr>
            <w:tcW w:w="4320" w:type="dxa"/>
          </w:tcPr>
          <w:p w14:paraId="1B0A1585" w14:textId="77777777" w:rsidR="000C099C" w:rsidRDefault="000C099C">
            <w:r>
              <w:t>Regulation S-P</w:t>
            </w:r>
            <w:r w:rsidR="007A1B01">
              <w:t>, S-AM</w:t>
            </w:r>
            <w:r>
              <w:t xml:space="preserve"> </w:t>
            </w:r>
          </w:p>
        </w:tc>
        <w:tc>
          <w:tcPr>
            <w:tcW w:w="720" w:type="dxa"/>
          </w:tcPr>
          <w:p w14:paraId="6CE85FB6" w14:textId="77777777" w:rsidR="000C099C" w:rsidRDefault="00D6319C">
            <w:hyperlink w:anchor="RegSP" w:history="1">
              <w:r w:rsidR="007A1B01">
                <w:rPr>
                  <w:rStyle w:val="Hyperlink"/>
                </w:rPr>
                <w:t>Pg</w:t>
              </w:r>
            </w:hyperlink>
          </w:p>
        </w:tc>
        <w:tc>
          <w:tcPr>
            <w:tcW w:w="810" w:type="dxa"/>
          </w:tcPr>
          <w:p w14:paraId="29ACC580" w14:textId="77777777" w:rsidR="000C099C" w:rsidRDefault="000C099C">
            <w:r>
              <w:t>x</w:t>
            </w:r>
          </w:p>
        </w:tc>
        <w:tc>
          <w:tcPr>
            <w:tcW w:w="813" w:type="dxa"/>
          </w:tcPr>
          <w:p w14:paraId="6421870E" w14:textId="77777777" w:rsidR="000C099C" w:rsidRDefault="000C099C">
            <w:r>
              <w:t>x</w:t>
            </w:r>
          </w:p>
        </w:tc>
        <w:tc>
          <w:tcPr>
            <w:tcW w:w="852" w:type="dxa"/>
          </w:tcPr>
          <w:p w14:paraId="75470FD4" w14:textId="77777777" w:rsidR="000C099C" w:rsidRDefault="000C099C">
            <w:r>
              <w:t>x</w:t>
            </w:r>
          </w:p>
        </w:tc>
        <w:tc>
          <w:tcPr>
            <w:tcW w:w="1249" w:type="dxa"/>
          </w:tcPr>
          <w:p w14:paraId="42373FDC" w14:textId="77777777" w:rsidR="000C099C" w:rsidRDefault="000C099C">
            <w:r>
              <w:t>x</w:t>
            </w:r>
          </w:p>
        </w:tc>
      </w:tr>
      <w:tr w:rsidR="000C099C" w14:paraId="4B5C6540" w14:textId="77777777">
        <w:tc>
          <w:tcPr>
            <w:tcW w:w="828" w:type="dxa"/>
          </w:tcPr>
          <w:p w14:paraId="118A1990" w14:textId="77777777" w:rsidR="000C099C" w:rsidRDefault="000C099C">
            <w:r>
              <w:t>x</w:t>
            </w:r>
          </w:p>
        </w:tc>
        <w:tc>
          <w:tcPr>
            <w:tcW w:w="4320" w:type="dxa"/>
          </w:tcPr>
          <w:p w14:paraId="7A037343" w14:textId="77777777" w:rsidR="000C099C" w:rsidRDefault="000C099C">
            <w:r>
              <w:t>Money Laundering</w:t>
            </w:r>
          </w:p>
        </w:tc>
        <w:tc>
          <w:tcPr>
            <w:tcW w:w="720" w:type="dxa"/>
          </w:tcPr>
          <w:p w14:paraId="7169DC41" w14:textId="77777777" w:rsidR="000C099C" w:rsidRDefault="00D6319C">
            <w:hyperlink w:anchor="AML" w:history="1">
              <w:r w:rsidR="0015144A">
                <w:rPr>
                  <w:rStyle w:val="Hyperlink"/>
                </w:rPr>
                <w:t>Pg</w:t>
              </w:r>
            </w:hyperlink>
          </w:p>
        </w:tc>
        <w:tc>
          <w:tcPr>
            <w:tcW w:w="810" w:type="dxa"/>
          </w:tcPr>
          <w:p w14:paraId="0533A0D4" w14:textId="77777777" w:rsidR="000C099C" w:rsidRDefault="000C099C">
            <w:r>
              <w:t>x</w:t>
            </w:r>
          </w:p>
        </w:tc>
        <w:tc>
          <w:tcPr>
            <w:tcW w:w="813" w:type="dxa"/>
          </w:tcPr>
          <w:p w14:paraId="28AD9832" w14:textId="77777777" w:rsidR="000C099C" w:rsidRDefault="000C099C">
            <w:r>
              <w:t>x</w:t>
            </w:r>
          </w:p>
        </w:tc>
        <w:tc>
          <w:tcPr>
            <w:tcW w:w="852" w:type="dxa"/>
          </w:tcPr>
          <w:p w14:paraId="26B46BF7" w14:textId="77777777" w:rsidR="000C099C" w:rsidRDefault="000C099C">
            <w:r>
              <w:t>x</w:t>
            </w:r>
          </w:p>
        </w:tc>
        <w:tc>
          <w:tcPr>
            <w:tcW w:w="1249" w:type="dxa"/>
          </w:tcPr>
          <w:p w14:paraId="729EA63D" w14:textId="77777777" w:rsidR="000C099C" w:rsidRDefault="000C099C">
            <w:r>
              <w:t>x</w:t>
            </w:r>
          </w:p>
        </w:tc>
      </w:tr>
      <w:tr w:rsidR="000C099C" w14:paraId="34F38A97" w14:textId="77777777">
        <w:tc>
          <w:tcPr>
            <w:tcW w:w="828" w:type="dxa"/>
          </w:tcPr>
          <w:p w14:paraId="32A52217" w14:textId="77777777" w:rsidR="000C099C" w:rsidRDefault="000C099C">
            <w:r>
              <w:t>x</w:t>
            </w:r>
          </w:p>
        </w:tc>
        <w:tc>
          <w:tcPr>
            <w:tcW w:w="4320" w:type="dxa"/>
          </w:tcPr>
          <w:p w14:paraId="04199E08" w14:textId="77777777" w:rsidR="000C099C" w:rsidRDefault="000C099C">
            <w:r>
              <w:t>Trade Reporting Compliance Engine (TRACE)</w:t>
            </w:r>
          </w:p>
        </w:tc>
        <w:tc>
          <w:tcPr>
            <w:tcW w:w="720" w:type="dxa"/>
          </w:tcPr>
          <w:p w14:paraId="65D04BEE" w14:textId="77777777" w:rsidR="000C099C" w:rsidRDefault="00D6319C">
            <w:hyperlink w:anchor="TRACE" w:history="1">
              <w:r w:rsidR="0015144A">
                <w:rPr>
                  <w:rStyle w:val="Hyperlink"/>
                </w:rPr>
                <w:t>Pg</w:t>
              </w:r>
            </w:hyperlink>
          </w:p>
        </w:tc>
        <w:tc>
          <w:tcPr>
            <w:tcW w:w="810" w:type="dxa"/>
          </w:tcPr>
          <w:p w14:paraId="02FDDE0E" w14:textId="77777777" w:rsidR="000C099C" w:rsidRDefault="000C099C">
            <w:r>
              <w:t>x</w:t>
            </w:r>
          </w:p>
        </w:tc>
        <w:tc>
          <w:tcPr>
            <w:tcW w:w="813" w:type="dxa"/>
          </w:tcPr>
          <w:p w14:paraId="603C6479" w14:textId="77777777" w:rsidR="000C099C" w:rsidRDefault="000C099C">
            <w:r>
              <w:t>x</w:t>
            </w:r>
          </w:p>
        </w:tc>
        <w:tc>
          <w:tcPr>
            <w:tcW w:w="852" w:type="dxa"/>
          </w:tcPr>
          <w:p w14:paraId="07E7684E" w14:textId="77777777" w:rsidR="000C099C" w:rsidRDefault="000C099C">
            <w:r>
              <w:t>x</w:t>
            </w:r>
          </w:p>
        </w:tc>
        <w:tc>
          <w:tcPr>
            <w:tcW w:w="1249" w:type="dxa"/>
          </w:tcPr>
          <w:p w14:paraId="5399237E" w14:textId="77777777" w:rsidR="000C099C" w:rsidRDefault="000C099C">
            <w:r>
              <w:t>x</w:t>
            </w:r>
          </w:p>
        </w:tc>
      </w:tr>
      <w:tr w:rsidR="000C099C" w14:paraId="7A65CFCE" w14:textId="77777777">
        <w:tc>
          <w:tcPr>
            <w:tcW w:w="828" w:type="dxa"/>
          </w:tcPr>
          <w:p w14:paraId="7E189952" w14:textId="77777777" w:rsidR="000C099C" w:rsidRDefault="000C099C">
            <w:r>
              <w:t>x</w:t>
            </w:r>
          </w:p>
        </w:tc>
        <w:tc>
          <w:tcPr>
            <w:tcW w:w="4320" w:type="dxa"/>
          </w:tcPr>
          <w:p w14:paraId="10BED029" w14:textId="77777777" w:rsidR="000C099C" w:rsidRDefault="000C099C" w:rsidP="005D2DB3">
            <w:r>
              <w:t>Business Continuity Plan</w:t>
            </w:r>
            <w:r w:rsidR="0015144A">
              <w:t xml:space="preserve"> </w:t>
            </w:r>
            <w:r>
              <w:t>-</w:t>
            </w:r>
            <w:r w:rsidR="0015144A">
              <w:t xml:space="preserve"> </w:t>
            </w:r>
            <w:r w:rsidRPr="0015144A">
              <w:t xml:space="preserve">FINRA </w:t>
            </w:r>
            <w:r>
              <w:t xml:space="preserve">Rules </w:t>
            </w:r>
            <w:r w:rsidR="005D2DB3">
              <w:t>4370</w:t>
            </w:r>
          </w:p>
        </w:tc>
        <w:tc>
          <w:tcPr>
            <w:tcW w:w="720" w:type="dxa"/>
          </w:tcPr>
          <w:p w14:paraId="034461A1" w14:textId="77777777" w:rsidR="000C099C" w:rsidRDefault="00D6319C">
            <w:hyperlink w:anchor="BCP" w:history="1">
              <w:r w:rsidR="0015144A">
                <w:rPr>
                  <w:rStyle w:val="Hyperlink"/>
                </w:rPr>
                <w:t>Pg</w:t>
              </w:r>
            </w:hyperlink>
          </w:p>
        </w:tc>
        <w:tc>
          <w:tcPr>
            <w:tcW w:w="810" w:type="dxa"/>
          </w:tcPr>
          <w:p w14:paraId="716221D2" w14:textId="77777777" w:rsidR="000C099C" w:rsidRDefault="000C099C">
            <w:r>
              <w:t>x</w:t>
            </w:r>
          </w:p>
        </w:tc>
        <w:tc>
          <w:tcPr>
            <w:tcW w:w="813" w:type="dxa"/>
          </w:tcPr>
          <w:p w14:paraId="5CB8684E" w14:textId="77777777" w:rsidR="000C099C" w:rsidRDefault="000C099C">
            <w:r>
              <w:t>x</w:t>
            </w:r>
          </w:p>
        </w:tc>
        <w:tc>
          <w:tcPr>
            <w:tcW w:w="852" w:type="dxa"/>
          </w:tcPr>
          <w:p w14:paraId="29866236" w14:textId="77777777" w:rsidR="000C099C" w:rsidRDefault="000C099C">
            <w:r>
              <w:t>x</w:t>
            </w:r>
          </w:p>
        </w:tc>
        <w:tc>
          <w:tcPr>
            <w:tcW w:w="1249" w:type="dxa"/>
          </w:tcPr>
          <w:p w14:paraId="23727E59" w14:textId="77777777" w:rsidR="000C099C" w:rsidRDefault="000C099C">
            <w:r>
              <w:t>x</w:t>
            </w:r>
          </w:p>
        </w:tc>
      </w:tr>
    </w:tbl>
    <w:p w14:paraId="2EE209DF" w14:textId="77777777" w:rsidR="000C099C" w:rsidRDefault="000C099C"/>
    <w:p w14:paraId="30A1898D" w14:textId="77777777" w:rsidR="000C099C" w:rsidRDefault="000C099C">
      <w:pPr>
        <w:pStyle w:val="FootnoteText"/>
      </w:pPr>
    </w:p>
    <w:p w14:paraId="4026C263" w14:textId="77777777" w:rsidR="000C099C" w:rsidRPr="005E25DD" w:rsidRDefault="000C099C">
      <w:pPr>
        <w:rPr>
          <w:b/>
          <w:caps/>
          <w:sz w:val="24"/>
        </w:rPr>
      </w:pPr>
      <w:r w:rsidRPr="005E25DD">
        <w:rPr>
          <w:b/>
          <w:caps/>
          <w:sz w:val="24"/>
        </w:rPr>
        <w:t>Financial and Operational Activities</w:t>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0F8D4C1D" w14:textId="77777777">
        <w:tc>
          <w:tcPr>
            <w:tcW w:w="828" w:type="dxa"/>
            <w:tcBorders>
              <w:top w:val="single" w:sz="12" w:space="0" w:color="auto"/>
              <w:bottom w:val="single" w:sz="6" w:space="0" w:color="auto"/>
            </w:tcBorders>
            <w:shd w:val="pct10" w:color="auto" w:fill="auto"/>
          </w:tcPr>
          <w:p w14:paraId="29FC137A"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4683FC0C"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50693233"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6EB7A032"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15899DEB"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5B7C0EAB"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414BAF35" w14:textId="77777777" w:rsidR="000C099C" w:rsidRDefault="000C099C">
            <w:pPr>
              <w:rPr>
                <w:b/>
              </w:rPr>
            </w:pPr>
            <w:r>
              <w:rPr>
                <w:b/>
              </w:rPr>
              <w:t>How Evidenced</w:t>
            </w:r>
          </w:p>
        </w:tc>
      </w:tr>
      <w:tr w:rsidR="000C099C" w14:paraId="4497C20A" w14:textId="77777777">
        <w:tc>
          <w:tcPr>
            <w:tcW w:w="828" w:type="dxa"/>
            <w:tcBorders>
              <w:top w:val="nil"/>
            </w:tcBorders>
          </w:tcPr>
          <w:p w14:paraId="3AADAF6E" w14:textId="77777777" w:rsidR="000C099C" w:rsidRDefault="000C099C">
            <w:r>
              <w:t>x</w:t>
            </w:r>
          </w:p>
        </w:tc>
        <w:tc>
          <w:tcPr>
            <w:tcW w:w="4320" w:type="dxa"/>
            <w:tcBorders>
              <w:top w:val="nil"/>
            </w:tcBorders>
          </w:tcPr>
          <w:p w14:paraId="342FDFF6" w14:textId="77777777" w:rsidR="000C099C" w:rsidRDefault="000C099C" w:rsidP="005E25DD">
            <w:r>
              <w:t xml:space="preserve">Supervisory Responsibility </w:t>
            </w:r>
          </w:p>
        </w:tc>
        <w:tc>
          <w:tcPr>
            <w:tcW w:w="720" w:type="dxa"/>
            <w:tcBorders>
              <w:top w:val="nil"/>
            </w:tcBorders>
          </w:tcPr>
          <w:p w14:paraId="2BAFA168" w14:textId="77777777" w:rsidR="000C099C" w:rsidRDefault="000C099C">
            <w:r>
              <w:t xml:space="preserve"> </w:t>
            </w:r>
            <w:hyperlink w:anchor="FinlRecords" w:history="1">
              <w:r w:rsidR="005172BB">
                <w:rPr>
                  <w:rStyle w:val="Hyperlink"/>
                </w:rPr>
                <w:t>Pg</w:t>
              </w:r>
            </w:hyperlink>
          </w:p>
        </w:tc>
        <w:tc>
          <w:tcPr>
            <w:tcW w:w="810" w:type="dxa"/>
            <w:tcBorders>
              <w:top w:val="nil"/>
            </w:tcBorders>
          </w:tcPr>
          <w:p w14:paraId="0BCFDFBC" w14:textId="77777777" w:rsidR="000C099C" w:rsidRDefault="000C099C">
            <w:r>
              <w:t>x</w:t>
            </w:r>
          </w:p>
        </w:tc>
        <w:tc>
          <w:tcPr>
            <w:tcW w:w="813" w:type="dxa"/>
            <w:tcBorders>
              <w:top w:val="nil"/>
            </w:tcBorders>
          </w:tcPr>
          <w:p w14:paraId="40C6F7AE" w14:textId="77777777" w:rsidR="000C099C" w:rsidRDefault="000C099C">
            <w:r>
              <w:t>x</w:t>
            </w:r>
          </w:p>
        </w:tc>
        <w:tc>
          <w:tcPr>
            <w:tcW w:w="852" w:type="dxa"/>
            <w:tcBorders>
              <w:top w:val="nil"/>
            </w:tcBorders>
          </w:tcPr>
          <w:p w14:paraId="2C189385" w14:textId="77777777" w:rsidR="000C099C" w:rsidRDefault="000C099C">
            <w:r>
              <w:t>x</w:t>
            </w:r>
          </w:p>
        </w:tc>
        <w:tc>
          <w:tcPr>
            <w:tcW w:w="1249" w:type="dxa"/>
            <w:tcBorders>
              <w:top w:val="nil"/>
            </w:tcBorders>
          </w:tcPr>
          <w:p w14:paraId="45E02FD4" w14:textId="77777777" w:rsidR="000C099C" w:rsidRDefault="000C099C">
            <w:r>
              <w:t>x</w:t>
            </w:r>
          </w:p>
        </w:tc>
      </w:tr>
      <w:tr w:rsidR="000C099C" w14:paraId="54941F44" w14:textId="77777777">
        <w:tc>
          <w:tcPr>
            <w:tcW w:w="828" w:type="dxa"/>
          </w:tcPr>
          <w:p w14:paraId="0CFBD44D" w14:textId="77777777" w:rsidR="000C099C" w:rsidRDefault="000C099C">
            <w:r>
              <w:t>x</w:t>
            </w:r>
          </w:p>
        </w:tc>
        <w:tc>
          <w:tcPr>
            <w:tcW w:w="4320" w:type="dxa"/>
          </w:tcPr>
          <w:p w14:paraId="340C3935" w14:textId="77777777" w:rsidR="000C099C" w:rsidRDefault="000C099C">
            <w:r>
              <w:t>Books and Records - 3110, SEC Rules 17a-3 and 17a-4</w:t>
            </w:r>
          </w:p>
        </w:tc>
        <w:tc>
          <w:tcPr>
            <w:tcW w:w="720" w:type="dxa"/>
          </w:tcPr>
          <w:p w14:paraId="53FB78AD" w14:textId="77777777" w:rsidR="000C099C" w:rsidRDefault="00D6319C">
            <w:hyperlink w:anchor="FinlRecords" w:history="1">
              <w:r w:rsidR="005172BB">
                <w:rPr>
                  <w:rStyle w:val="Hyperlink"/>
                </w:rPr>
                <w:t>Pg</w:t>
              </w:r>
            </w:hyperlink>
          </w:p>
        </w:tc>
        <w:tc>
          <w:tcPr>
            <w:tcW w:w="810" w:type="dxa"/>
          </w:tcPr>
          <w:p w14:paraId="71515731" w14:textId="77777777" w:rsidR="000C099C" w:rsidRDefault="000C099C">
            <w:r>
              <w:t>x</w:t>
            </w:r>
          </w:p>
        </w:tc>
        <w:tc>
          <w:tcPr>
            <w:tcW w:w="813" w:type="dxa"/>
          </w:tcPr>
          <w:p w14:paraId="588AE48A" w14:textId="77777777" w:rsidR="000C099C" w:rsidRDefault="000C099C">
            <w:r>
              <w:t>x</w:t>
            </w:r>
          </w:p>
        </w:tc>
        <w:tc>
          <w:tcPr>
            <w:tcW w:w="852" w:type="dxa"/>
          </w:tcPr>
          <w:p w14:paraId="636E7825" w14:textId="77777777" w:rsidR="000C099C" w:rsidRDefault="000C099C">
            <w:r>
              <w:t>x</w:t>
            </w:r>
          </w:p>
        </w:tc>
        <w:tc>
          <w:tcPr>
            <w:tcW w:w="1249" w:type="dxa"/>
          </w:tcPr>
          <w:p w14:paraId="20040081" w14:textId="77777777" w:rsidR="000C099C" w:rsidRDefault="000C099C">
            <w:r>
              <w:t>x</w:t>
            </w:r>
          </w:p>
        </w:tc>
      </w:tr>
      <w:tr w:rsidR="000C099C" w14:paraId="1477196D" w14:textId="77777777">
        <w:tc>
          <w:tcPr>
            <w:tcW w:w="828" w:type="dxa"/>
          </w:tcPr>
          <w:p w14:paraId="51805BB4" w14:textId="77777777" w:rsidR="000C099C" w:rsidRDefault="000C099C">
            <w:r>
              <w:t>x</w:t>
            </w:r>
          </w:p>
        </w:tc>
        <w:tc>
          <w:tcPr>
            <w:tcW w:w="4320" w:type="dxa"/>
          </w:tcPr>
          <w:p w14:paraId="444AE6BA" w14:textId="77777777" w:rsidR="000C099C" w:rsidRDefault="000C099C">
            <w:r>
              <w:t>Net Capital Rule - SEC Rules 15c3-1, 17a-11, NTM 92-72, 93-30</w:t>
            </w:r>
          </w:p>
        </w:tc>
        <w:tc>
          <w:tcPr>
            <w:tcW w:w="720" w:type="dxa"/>
          </w:tcPr>
          <w:p w14:paraId="08823B59" w14:textId="77777777" w:rsidR="000C099C" w:rsidRDefault="00D6319C">
            <w:hyperlink w:anchor="NetCapital" w:history="1">
              <w:r w:rsidR="005172BB">
                <w:rPr>
                  <w:rStyle w:val="Hyperlink"/>
                </w:rPr>
                <w:t>Pg</w:t>
              </w:r>
            </w:hyperlink>
          </w:p>
        </w:tc>
        <w:tc>
          <w:tcPr>
            <w:tcW w:w="810" w:type="dxa"/>
          </w:tcPr>
          <w:p w14:paraId="072B8DA4" w14:textId="77777777" w:rsidR="000C099C" w:rsidRDefault="000C099C">
            <w:r>
              <w:t>x</w:t>
            </w:r>
          </w:p>
        </w:tc>
        <w:tc>
          <w:tcPr>
            <w:tcW w:w="813" w:type="dxa"/>
          </w:tcPr>
          <w:p w14:paraId="2CE58AEC" w14:textId="77777777" w:rsidR="000C099C" w:rsidRDefault="000C099C">
            <w:r>
              <w:t>x</w:t>
            </w:r>
          </w:p>
        </w:tc>
        <w:tc>
          <w:tcPr>
            <w:tcW w:w="852" w:type="dxa"/>
          </w:tcPr>
          <w:p w14:paraId="7D0F3801" w14:textId="77777777" w:rsidR="000C099C" w:rsidRDefault="000C099C">
            <w:r>
              <w:t>x</w:t>
            </w:r>
          </w:p>
        </w:tc>
        <w:tc>
          <w:tcPr>
            <w:tcW w:w="1249" w:type="dxa"/>
          </w:tcPr>
          <w:p w14:paraId="4BE46803" w14:textId="77777777" w:rsidR="000C099C" w:rsidRDefault="000C099C">
            <w:r>
              <w:t>x</w:t>
            </w:r>
          </w:p>
        </w:tc>
      </w:tr>
      <w:tr w:rsidR="000C099C" w14:paraId="1867EA2E" w14:textId="77777777">
        <w:tc>
          <w:tcPr>
            <w:tcW w:w="828" w:type="dxa"/>
          </w:tcPr>
          <w:p w14:paraId="38173860" w14:textId="77777777" w:rsidR="000C099C" w:rsidRDefault="000C099C">
            <w:r>
              <w:t>x</w:t>
            </w:r>
          </w:p>
        </w:tc>
        <w:tc>
          <w:tcPr>
            <w:tcW w:w="4320" w:type="dxa"/>
          </w:tcPr>
          <w:p w14:paraId="6DDA832E" w14:textId="77777777" w:rsidR="000C099C" w:rsidRDefault="000C099C" w:rsidP="005172BB">
            <w:r>
              <w:t xml:space="preserve">Customer Protection Rule - </w:t>
            </w:r>
          </w:p>
        </w:tc>
        <w:tc>
          <w:tcPr>
            <w:tcW w:w="720" w:type="dxa"/>
          </w:tcPr>
          <w:p w14:paraId="72E76069" w14:textId="77777777" w:rsidR="000C099C" w:rsidRDefault="00D6319C">
            <w:hyperlink w:anchor="CustProtectionRule" w:history="1">
              <w:r w:rsidR="00646C31">
                <w:rPr>
                  <w:rStyle w:val="Hyperlink"/>
                </w:rPr>
                <w:t>Pg</w:t>
              </w:r>
            </w:hyperlink>
          </w:p>
        </w:tc>
        <w:tc>
          <w:tcPr>
            <w:tcW w:w="810" w:type="dxa"/>
          </w:tcPr>
          <w:p w14:paraId="316AA125" w14:textId="77777777" w:rsidR="000C099C" w:rsidRDefault="000C099C">
            <w:r>
              <w:t>x</w:t>
            </w:r>
          </w:p>
        </w:tc>
        <w:tc>
          <w:tcPr>
            <w:tcW w:w="813" w:type="dxa"/>
          </w:tcPr>
          <w:p w14:paraId="62B4CBCD" w14:textId="77777777" w:rsidR="000C099C" w:rsidRDefault="000C099C">
            <w:r>
              <w:t>x</w:t>
            </w:r>
          </w:p>
        </w:tc>
        <w:tc>
          <w:tcPr>
            <w:tcW w:w="852" w:type="dxa"/>
          </w:tcPr>
          <w:p w14:paraId="4CFB5CA0" w14:textId="77777777" w:rsidR="000C099C" w:rsidRDefault="000C099C">
            <w:r>
              <w:t>x</w:t>
            </w:r>
          </w:p>
        </w:tc>
        <w:tc>
          <w:tcPr>
            <w:tcW w:w="1249" w:type="dxa"/>
          </w:tcPr>
          <w:p w14:paraId="621D4834" w14:textId="77777777" w:rsidR="000C099C" w:rsidRDefault="000C099C">
            <w:r>
              <w:t>x</w:t>
            </w:r>
          </w:p>
        </w:tc>
      </w:tr>
      <w:tr w:rsidR="000C099C" w14:paraId="02F95E58" w14:textId="77777777">
        <w:tc>
          <w:tcPr>
            <w:tcW w:w="828" w:type="dxa"/>
          </w:tcPr>
          <w:p w14:paraId="658FA0C7" w14:textId="77777777" w:rsidR="000C099C" w:rsidRDefault="000C099C">
            <w:r>
              <w:lastRenderedPageBreak/>
              <w:t>N/A</w:t>
            </w:r>
          </w:p>
        </w:tc>
        <w:tc>
          <w:tcPr>
            <w:tcW w:w="4320" w:type="dxa"/>
          </w:tcPr>
          <w:p w14:paraId="5217E9BA" w14:textId="77777777" w:rsidR="000C099C" w:rsidRDefault="000C099C">
            <w:r>
              <w:t>Safekeeping and Segregation of Securities - 2330, SEC Rules 8c-1, 15c2-1, 15c3-3, 17a-13</w:t>
            </w:r>
          </w:p>
        </w:tc>
        <w:tc>
          <w:tcPr>
            <w:tcW w:w="720" w:type="dxa"/>
          </w:tcPr>
          <w:p w14:paraId="7A6E72F0" w14:textId="77777777" w:rsidR="000C099C" w:rsidRDefault="000C099C"/>
        </w:tc>
        <w:tc>
          <w:tcPr>
            <w:tcW w:w="810" w:type="dxa"/>
          </w:tcPr>
          <w:p w14:paraId="7A3C5061" w14:textId="77777777" w:rsidR="000C099C" w:rsidRDefault="000C099C"/>
        </w:tc>
        <w:tc>
          <w:tcPr>
            <w:tcW w:w="813" w:type="dxa"/>
          </w:tcPr>
          <w:p w14:paraId="76E4885B" w14:textId="77777777" w:rsidR="000C099C" w:rsidRDefault="000C099C"/>
        </w:tc>
        <w:tc>
          <w:tcPr>
            <w:tcW w:w="852" w:type="dxa"/>
          </w:tcPr>
          <w:p w14:paraId="384FF349" w14:textId="77777777" w:rsidR="000C099C" w:rsidRDefault="000C099C"/>
        </w:tc>
        <w:tc>
          <w:tcPr>
            <w:tcW w:w="1249" w:type="dxa"/>
          </w:tcPr>
          <w:p w14:paraId="6E350478" w14:textId="77777777" w:rsidR="000C099C" w:rsidRDefault="000C099C"/>
        </w:tc>
      </w:tr>
      <w:tr w:rsidR="000C099C" w14:paraId="6DEE569A" w14:textId="77777777">
        <w:tc>
          <w:tcPr>
            <w:tcW w:w="828" w:type="dxa"/>
          </w:tcPr>
          <w:p w14:paraId="33A4F511" w14:textId="77777777" w:rsidR="000C099C" w:rsidRDefault="000C099C">
            <w:r>
              <w:t>x</w:t>
            </w:r>
          </w:p>
        </w:tc>
        <w:tc>
          <w:tcPr>
            <w:tcW w:w="4320" w:type="dxa"/>
          </w:tcPr>
          <w:p w14:paraId="5A5A4F43" w14:textId="77777777" w:rsidR="000C099C" w:rsidRDefault="000C099C">
            <w:r>
              <w:t>Bank Secrecy Act - SEC Rule 17a-8</w:t>
            </w:r>
          </w:p>
        </w:tc>
        <w:tc>
          <w:tcPr>
            <w:tcW w:w="720" w:type="dxa"/>
          </w:tcPr>
          <w:p w14:paraId="559FB620" w14:textId="77777777" w:rsidR="000C099C" w:rsidRDefault="00D6319C">
            <w:hyperlink w:anchor="BankSecyAct" w:history="1">
              <w:r w:rsidR="00646C31">
                <w:rPr>
                  <w:rStyle w:val="Hyperlink"/>
                </w:rPr>
                <w:t>Pg</w:t>
              </w:r>
            </w:hyperlink>
          </w:p>
        </w:tc>
        <w:tc>
          <w:tcPr>
            <w:tcW w:w="810" w:type="dxa"/>
          </w:tcPr>
          <w:p w14:paraId="6B1ABBF8" w14:textId="77777777" w:rsidR="000C099C" w:rsidRDefault="000C099C">
            <w:r>
              <w:t>x</w:t>
            </w:r>
          </w:p>
        </w:tc>
        <w:tc>
          <w:tcPr>
            <w:tcW w:w="813" w:type="dxa"/>
          </w:tcPr>
          <w:p w14:paraId="7BAA0AD5" w14:textId="77777777" w:rsidR="000C099C" w:rsidRDefault="000C099C">
            <w:r>
              <w:t>x</w:t>
            </w:r>
          </w:p>
        </w:tc>
        <w:tc>
          <w:tcPr>
            <w:tcW w:w="852" w:type="dxa"/>
          </w:tcPr>
          <w:p w14:paraId="456E8364" w14:textId="77777777" w:rsidR="000C099C" w:rsidRDefault="000C099C">
            <w:r>
              <w:t>x</w:t>
            </w:r>
          </w:p>
        </w:tc>
        <w:tc>
          <w:tcPr>
            <w:tcW w:w="1249" w:type="dxa"/>
          </w:tcPr>
          <w:p w14:paraId="3BB37077" w14:textId="77777777" w:rsidR="000C099C" w:rsidRDefault="000C099C">
            <w:r>
              <w:t>x</w:t>
            </w:r>
          </w:p>
        </w:tc>
      </w:tr>
      <w:tr w:rsidR="000C099C" w14:paraId="6EE752A6" w14:textId="77777777">
        <w:tc>
          <w:tcPr>
            <w:tcW w:w="828" w:type="dxa"/>
          </w:tcPr>
          <w:p w14:paraId="6B7D35D3" w14:textId="77777777" w:rsidR="000C099C" w:rsidRDefault="000C099C">
            <w:r>
              <w:t>x</w:t>
            </w:r>
          </w:p>
        </w:tc>
        <w:tc>
          <w:tcPr>
            <w:tcW w:w="4320" w:type="dxa"/>
          </w:tcPr>
          <w:p w14:paraId="3D86BE70" w14:textId="77777777" w:rsidR="000C099C" w:rsidRDefault="000C099C" w:rsidP="00053701">
            <w:pPr>
              <w:jc w:val="center"/>
            </w:pPr>
            <w:r>
              <w:t>Extension of Credit to Customers - Reg T,</w:t>
            </w:r>
          </w:p>
        </w:tc>
        <w:tc>
          <w:tcPr>
            <w:tcW w:w="720" w:type="dxa"/>
          </w:tcPr>
          <w:p w14:paraId="75449FFB" w14:textId="77777777" w:rsidR="000C099C" w:rsidRDefault="000C099C">
            <w:r>
              <w:t xml:space="preserve"> </w:t>
            </w:r>
            <w:hyperlink w:anchor="RegT" w:history="1">
              <w:r w:rsidR="00691E6C">
                <w:rPr>
                  <w:rStyle w:val="Hyperlink"/>
                </w:rPr>
                <w:t>Pg</w:t>
              </w:r>
            </w:hyperlink>
          </w:p>
        </w:tc>
        <w:tc>
          <w:tcPr>
            <w:tcW w:w="810" w:type="dxa"/>
          </w:tcPr>
          <w:p w14:paraId="64BA6375" w14:textId="77777777" w:rsidR="000C099C" w:rsidRDefault="000C099C">
            <w:r>
              <w:t>x</w:t>
            </w:r>
          </w:p>
        </w:tc>
        <w:tc>
          <w:tcPr>
            <w:tcW w:w="813" w:type="dxa"/>
          </w:tcPr>
          <w:p w14:paraId="5D866255" w14:textId="77777777" w:rsidR="000C099C" w:rsidRDefault="000C099C">
            <w:r>
              <w:t>x</w:t>
            </w:r>
          </w:p>
        </w:tc>
        <w:tc>
          <w:tcPr>
            <w:tcW w:w="852" w:type="dxa"/>
          </w:tcPr>
          <w:p w14:paraId="07774720" w14:textId="77777777" w:rsidR="000C099C" w:rsidRDefault="000C099C">
            <w:r>
              <w:t>x</w:t>
            </w:r>
          </w:p>
        </w:tc>
        <w:tc>
          <w:tcPr>
            <w:tcW w:w="1249" w:type="dxa"/>
          </w:tcPr>
          <w:p w14:paraId="05F04DDA" w14:textId="77777777" w:rsidR="000C099C" w:rsidRDefault="000C099C">
            <w:r>
              <w:t>x</w:t>
            </w:r>
          </w:p>
        </w:tc>
      </w:tr>
      <w:tr w:rsidR="000C099C" w14:paraId="4912A34C" w14:textId="77777777">
        <w:tc>
          <w:tcPr>
            <w:tcW w:w="828" w:type="dxa"/>
          </w:tcPr>
          <w:p w14:paraId="3B5A9BD2" w14:textId="77777777" w:rsidR="000C099C" w:rsidRDefault="000C099C">
            <w:r>
              <w:t>x</w:t>
            </w:r>
          </w:p>
        </w:tc>
        <w:tc>
          <w:tcPr>
            <w:tcW w:w="4320" w:type="dxa"/>
          </w:tcPr>
          <w:p w14:paraId="1E18A853" w14:textId="77777777" w:rsidR="000C099C" w:rsidRDefault="000C099C">
            <w:r>
              <w:t>Reconciliations of Books and Records - SEC Rules 17a-3 and 17a-4</w:t>
            </w:r>
          </w:p>
        </w:tc>
        <w:tc>
          <w:tcPr>
            <w:tcW w:w="720" w:type="dxa"/>
          </w:tcPr>
          <w:p w14:paraId="32FE343F" w14:textId="77777777" w:rsidR="000C099C" w:rsidRDefault="00D6319C">
            <w:hyperlink w:anchor="FinlRecords" w:history="1">
              <w:r w:rsidR="00F3413A">
                <w:rPr>
                  <w:rStyle w:val="Hyperlink"/>
                </w:rPr>
                <w:t>Pg</w:t>
              </w:r>
            </w:hyperlink>
          </w:p>
        </w:tc>
        <w:tc>
          <w:tcPr>
            <w:tcW w:w="810" w:type="dxa"/>
          </w:tcPr>
          <w:p w14:paraId="5D272249" w14:textId="77777777" w:rsidR="000C099C" w:rsidRDefault="000C099C">
            <w:r>
              <w:t>x</w:t>
            </w:r>
          </w:p>
        </w:tc>
        <w:tc>
          <w:tcPr>
            <w:tcW w:w="813" w:type="dxa"/>
          </w:tcPr>
          <w:p w14:paraId="415B3CB6" w14:textId="77777777" w:rsidR="000C099C" w:rsidRDefault="000C099C">
            <w:r>
              <w:t>x</w:t>
            </w:r>
          </w:p>
        </w:tc>
        <w:tc>
          <w:tcPr>
            <w:tcW w:w="852" w:type="dxa"/>
          </w:tcPr>
          <w:p w14:paraId="6434E510" w14:textId="77777777" w:rsidR="000C099C" w:rsidRDefault="000C099C">
            <w:r>
              <w:t>x</w:t>
            </w:r>
          </w:p>
        </w:tc>
        <w:tc>
          <w:tcPr>
            <w:tcW w:w="1249" w:type="dxa"/>
          </w:tcPr>
          <w:p w14:paraId="5C447393" w14:textId="77777777" w:rsidR="000C099C" w:rsidRDefault="000C099C">
            <w:r>
              <w:t>x</w:t>
            </w:r>
          </w:p>
        </w:tc>
      </w:tr>
      <w:tr w:rsidR="000C099C" w14:paraId="20BBE7AB" w14:textId="77777777">
        <w:tc>
          <w:tcPr>
            <w:tcW w:w="828" w:type="dxa"/>
          </w:tcPr>
          <w:p w14:paraId="6B0F6CBA" w14:textId="77777777" w:rsidR="000C099C" w:rsidRDefault="000C099C">
            <w:r>
              <w:t>x</w:t>
            </w:r>
          </w:p>
        </w:tc>
        <w:tc>
          <w:tcPr>
            <w:tcW w:w="4320" w:type="dxa"/>
          </w:tcPr>
          <w:p w14:paraId="49CB1EC5" w14:textId="77777777" w:rsidR="000C099C" w:rsidRDefault="000C099C" w:rsidP="00B310D0">
            <w:r>
              <w:t xml:space="preserve">Accounts with Other Broker-Dealers </w:t>
            </w:r>
          </w:p>
        </w:tc>
        <w:tc>
          <w:tcPr>
            <w:tcW w:w="720" w:type="dxa"/>
          </w:tcPr>
          <w:p w14:paraId="10684782" w14:textId="77777777" w:rsidR="000C099C" w:rsidRDefault="00D6319C">
            <w:hyperlink w:anchor="ClearingAgmt" w:history="1">
              <w:r w:rsidR="00B310D0">
                <w:rPr>
                  <w:rStyle w:val="Hyperlink"/>
                </w:rPr>
                <w:t>Pg</w:t>
              </w:r>
            </w:hyperlink>
          </w:p>
        </w:tc>
        <w:tc>
          <w:tcPr>
            <w:tcW w:w="810" w:type="dxa"/>
          </w:tcPr>
          <w:p w14:paraId="0B8BF4D6" w14:textId="77777777" w:rsidR="000C099C" w:rsidRDefault="000C099C">
            <w:r>
              <w:t>x</w:t>
            </w:r>
          </w:p>
        </w:tc>
        <w:tc>
          <w:tcPr>
            <w:tcW w:w="813" w:type="dxa"/>
          </w:tcPr>
          <w:p w14:paraId="133C6879" w14:textId="77777777" w:rsidR="000C099C" w:rsidRDefault="000C099C">
            <w:r>
              <w:t>x</w:t>
            </w:r>
          </w:p>
        </w:tc>
        <w:tc>
          <w:tcPr>
            <w:tcW w:w="852" w:type="dxa"/>
          </w:tcPr>
          <w:p w14:paraId="0F809C50" w14:textId="77777777" w:rsidR="000C099C" w:rsidRDefault="000C099C">
            <w:r>
              <w:t>x</w:t>
            </w:r>
          </w:p>
        </w:tc>
        <w:tc>
          <w:tcPr>
            <w:tcW w:w="1249" w:type="dxa"/>
          </w:tcPr>
          <w:p w14:paraId="53F95EEF" w14:textId="77777777" w:rsidR="000C099C" w:rsidRDefault="000C099C">
            <w:r>
              <w:t>x</w:t>
            </w:r>
          </w:p>
        </w:tc>
      </w:tr>
      <w:tr w:rsidR="000C099C" w14:paraId="5B5ADAA4" w14:textId="77777777">
        <w:tc>
          <w:tcPr>
            <w:tcW w:w="828" w:type="dxa"/>
          </w:tcPr>
          <w:p w14:paraId="63B353BA" w14:textId="77777777" w:rsidR="000C099C" w:rsidRDefault="000C099C">
            <w:r>
              <w:t>x</w:t>
            </w:r>
          </w:p>
        </w:tc>
        <w:tc>
          <w:tcPr>
            <w:tcW w:w="4320" w:type="dxa"/>
          </w:tcPr>
          <w:p w14:paraId="719FE0C8" w14:textId="77777777" w:rsidR="000C099C" w:rsidRDefault="000C099C" w:rsidP="00B310D0">
            <w:r>
              <w:t xml:space="preserve">Fees Charged to Customers </w:t>
            </w:r>
          </w:p>
        </w:tc>
        <w:tc>
          <w:tcPr>
            <w:tcW w:w="720" w:type="dxa"/>
          </w:tcPr>
          <w:p w14:paraId="1D7F4D2C" w14:textId="77777777" w:rsidR="000C099C" w:rsidRDefault="00D6319C">
            <w:hyperlink w:anchor="FeesCharged" w:history="1">
              <w:r w:rsidR="00B310D0">
                <w:rPr>
                  <w:rStyle w:val="Hyperlink"/>
                </w:rPr>
                <w:t>Pg</w:t>
              </w:r>
            </w:hyperlink>
          </w:p>
        </w:tc>
        <w:tc>
          <w:tcPr>
            <w:tcW w:w="810" w:type="dxa"/>
          </w:tcPr>
          <w:p w14:paraId="37C055D8" w14:textId="77777777" w:rsidR="000C099C" w:rsidRDefault="000C099C">
            <w:r>
              <w:t>x</w:t>
            </w:r>
          </w:p>
        </w:tc>
        <w:tc>
          <w:tcPr>
            <w:tcW w:w="813" w:type="dxa"/>
          </w:tcPr>
          <w:p w14:paraId="68AA1689" w14:textId="77777777" w:rsidR="000C099C" w:rsidRDefault="000C099C">
            <w:r>
              <w:t>x</w:t>
            </w:r>
          </w:p>
        </w:tc>
        <w:tc>
          <w:tcPr>
            <w:tcW w:w="852" w:type="dxa"/>
          </w:tcPr>
          <w:p w14:paraId="602F6228" w14:textId="77777777" w:rsidR="000C099C" w:rsidRDefault="000C099C">
            <w:r>
              <w:t>x</w:t>
            </w:r>
          </w:p>
        </w:tc>
        <w:tc>
          <w:tcPr>
            <w:tcW w:w="1249" w:type="dxa"/>
          </w:tcPr>
          <w:p w14:paraId="14D570F3" w14:textId="77777777" w:rsidR="000C099C" w:rsidRDefault="000C099C">
            <w:r>
              <w:t>x</w:t>
            </w:r>
          </w:p>
        </w:tc>
      </w:tr>
      <w:tr w:rsidR="000C099C" w14:paraId="45446808" w14:textId="77777777">
        <w:tc>
          <w:tcPr>
            <w:tcW w:w="828" w:type="dxa"/>
          </w:tcPr>
          <w:p w14:paraId="4782A08A" w14:textId="77777777" w:rsidR="000C099C" w:rsidRDefault="000C099C">
            <w:r>
              <w:t>x</w:t>
            </w:r>
          </w:p>
        </w:tc>
        <w:tc>
          <w:tcPr>
            <w:tcW w:w="4320" w:type="dxa"/>
          </w:tcPr>
          <w:p w14:paraId="7955BB9A" w14:textId="77777777" w:rsidR="000C099C" w:rsidRDefault="000C099C" w:rsidP="00FD509D">
            <w:r>
              <w:t xml:space="preserve">Financial Reporting -  SEC Rules 17a-5 and 17a-11, </w:t>
            </w:r>
            <w:r w:rsidRPr="00956F08">
              <w:t>FINRA</w:t>
            </w:r>
            <w:r>
              <w:t xml:space="preserve"> By-Laws, Schedule A</w:t>
            </w:r>
          </w:p>
        </w:tc>
        <w:tc>
          <w:tcPr>
            <w:tcW w:w="720" w:type="dxa"/>
          </w:tcPr>
          <w:p w14:paraId="690AEB3E" w14:textId="77777777" w:rsidR="000C099C" w:rsidRDefault="00D6319C">
            <w:hyperlink w:anchor="FinancialReporting" w:history="1">
              <w:r w:rsidR="00FD509D">
                <w:rPr>
                  <w:rStyle w:val="Hyperlink"/>
                </w:rPr>
                <w:t>Pg</w:t>
              </w:r>
            </w:hyperlink>
          </w:p>
        </w:tc>
        <w:tc>
          <w:tcPr>
            <w:tcW w:w="810" w:type="dxa"/>
          </w:tcPr>
          <w:p w14:paraId="62EFA3BB" w14:textId="77777777" w:rsidR="000C099C" w:rsidRDefault="000C099C">
            <w:r>
              <w:t>x</w:t>
            </w:r>
          </w:p>
        </w:tc>
        <w:tc>
          <w:tcPr>
            <w:tcW w:w="813" w:type="dxa"/>
          </w:tcPr>
          <w:p w14:paraId="1E692097" w14:textId="77777777" w:rsidR="000C099C" w:rsidRDefault="000C099C">
            <w:r>
              <w:t>x</w:t>
            </w:r>
          </w:p>
        </w:tc>
        <w:tc>
          <w:tcPr>
            <w:tcW w:w="852" w:type="dxa"/>
          </w:tcPr>
          <w:p w14:paraId="42140AA9" w14:textId="77777777" w:rsidR="000C099C" w:rsidRDefault="000C099C">
            <w:r>
              <w:t>x</w:t>
            </w:r>
          </w:p>
        </w:tc>
        <w:tc>
          <w:tcPr>
            <w:tcW w:w="1249" w:type="dxa"/>
          </w:tcPr>
          <w:p w14:paraId="15E9CC04" w14:textId="77777777" w:rsidR="000C099C" w:rsidRDefault="000C099C">
            <w:r>
              <w:t>x</w:t>
            </w:r>
          </w:p>
        </w:tc>
      </w:tr>
      <w:tr w:rsidR="000C099C" w14:paraId="2E03E6CF" w14:textId="77777777">
        <w:tc>
          <w:tcPr>
            <w:tcW w:w="828" w:type="dxa"/>
          </w:tcPr>
          <w:p w14:paraId="6C57C5AF" w14:textId="77777777" w:rsidR="000C099C" w:rsidRDefault="000C099C">
            <w:r>
              <w:t>x</w:t>
            </w:r>
          </w:p>
        </w:tc>
        <w:tc>
          <w:tcPr>
            <w:tcW w:w="4320" w:type="dxa"/>
          </w:tcPr>
          <w:p w14:paraId="7E47AF0D" w14:textId="77777777" w:rsidR="000C099C" w:rsidRDefault="000C099C">
            <w:proofErr w:type="gramStart"/>
            <w:r>
              <w:t>Fully-Disclosed</w:t>
            </w:r>
            <w:proofErr w:type="gramEnd"/>
            <w:r>
              <w:t xml:space="preserve"> Arrangements - 3230, NTM 94-07</w:t>
            </w:r>
          </w:p>
        </w:tc>
        <w:tc>
          <w:tcPr>
            <w:tcW w:w="720" w:type="dxa"/>
          </w:tcPr>
          <w:p w14:paraId="1F1375E5" w14:textId="77777777" w:rsidR="000C099C" w:rsidRDefault="00D6319C">
            <w:hyperlink w:anchor="ClearingAgmt" w:history="1">
              <w:r w:rsidR="00EF1EE2">
                <w:rPr>
                  <w:rStyle w:val="Hyperlink"/>
                </w:rPr>
                <w:t>Pg</w:t>
              </w:r>
            </w:hyperlink>
          </w:p>
        </w:tc>
        <w:tc>
          <w:tcPr>
            <w:tcW w:w="810" w:type="dxa"/>
          </w:tcPr>
          <w:p w14:paraId="489E8285" w14:textId="77777777" w:rsidR="000C099C" w:rsidRDefault="000C099C">
            <w:r>
              <w:t>x</w:t>
            </w:r>
          </w:p>
        </w:tc>
        <w:tc>
          <w:tcPr>
            <w:tcW w:w="813" w:type="dxa"/>
          </w:tcPr>
          <w:p w14:paraId="0402083B" w14:textId="77777777" w:rsidR="000C099C" w:rsidRDefault="000C099C">
            <w:r>
              <w:t>x</w:t>
            </w:r>
          </w:p>
        </w:tc>
        <w:tc>
          <w:tcPr>
            <w:tcW w:w="852" w:type="dxa"/>
          </w:tcPr>
          <w:p w14:paraId="5D025FBA" w14:textId="77777777" w:rsidR="000C099C" w:rsidRDefault="000C099C">
            <w:r>
              <w:t>x</w:t>
            </w:r>
          </w:p>
        </w:tc>
        <w:tc>
          <w:tcPr>
            <w:tcW w:w="1249" w:type="dxa"/>
          </w:tcPr>
          <w:p w14:paraId="3F1F476D" w14:textId="77777777" w:rsidR="000C099C" w:rsidRDefault="000C099C">
            <w:r>
              <w:t>x</w:t>
            </w:r>
          </w:p>
        </w:tc>
      </w:tr>
      <w:tr w:rsidR="000C099C" w14:paraId="6BB975B3" w14:textId="77777777">
        <w:tc>
          <w:tcPr>
            <w:tcW w:w="828" w:type="dxa"/>
          </w:tcPr>
          <w:p w14:paraId="66BA4E3E" w14:textId="77777777" w:rsidR="000C099C" w:rsidRDefault="000C099C">
            <w:r>
              <w:t>x</w:t>
            </w:r>
          </w:p>
        </w:tc>
        <w:tc>
          <w:tcPr>
            <w:tcW w:w="4320" w:type="dxa"/>
          </w:tcPr>
          <w:p w14:paraId="14587F76" w14:textId="77777777" w:rsidR="000C099C" w:rsidRDefault="000C099C">
            <w:r>
              <w:t>Fidelity Bond coverage - 3020</w:t>
            </w:r>
          </w:p>
        </w:tc>
        <w:tc>
          <w:tcPr>
            <w:tcW w:w="720" w:type="dxa"/>
          </w:tcPr>
          <w:p w14:paraId="221E8AAA" w14:textId="77777777" w:rsidR="000C099C" w:rsidRDefault="00D6319C">
            <w:hyperlink w:anchor="FidelityBond" w:history="1">
              <w:r w:rsidR="00EF1EE2">
                <w:rPr>
                  <w:rStyle w:val="Hyperlink"/>
                </w:rPr>
                <w:t>Pg</w:t>
              </w:r>
            </w:hyperlink>
          </w:p>
        </w:tc>
        <w:tc>
          <w:tcPr>
            <w:tcW w:w="810" w:type="dxa"/>
          </w:tcPr>
          <w:p w14:paraId="08BA6976" w14:textId="77777777" w:rsidR="000C099C" w:rsidRDefault="0066417C">
            <w:r>
              <w:t>x</w:t>
            </w:r>
          </w:p>
        </w:tc>
        <w:tc>
          <w:tcPr>
            <w:tcW w:w="813" w:type="dxa"/>
          </w:tcPr>
          <w:p w14:paraId="726C9534" w14:textId="77777777" w:rsidR="000C099C" w:rsidRDefault="0066417C">
            <w:r>
              <w:t>x</w:t>
            </w:r>
          </w:p>
        </w:tc>
        <w:tc>
          <w:tcPr>
            <w:tcW w:w="852" w:type="dxa"/>
          </w:tcPr>
          <w:p w14:paraId="4AA4D4B7" w14:textId="77777777" w:rsidR="000C099C" w:rsidRDefault="0066417C">
            <w:r>
              <w:t>x</w:t>
            </w:r>
          </w:p>
        </w:tc>
        <w:tc>
          <w:tcPr>
            <w:tcW w:w="1249" w:type="dxa"/>
          </w:tcPr>
          <w:p w14:paraId="30814ED1" w14:textId="77777777" w:rsidR="000C099C" w:rsidRDefault="0066417C">
            <w:r>
              <w:t>x</w:t>
            </w:r>
          </w:p>
        </w:tc>
      </w:tr>
      <w:tr w:rsidR="0066417C" w14:paraId="2691B57D" w14:textId="77777777">
        <w:tc>
          <w:tcPr>
            <w:tcW w:w="828" w:type="dxa"/>
          </w:tcPr>
          <w:p w14:paraId="44E542B2" w14:textId="77777777" w:rsidR="0066417C" w:rsidRDefault="0066417C" w:rsidP="0066417C">
            <w:r>
              <w:t>x</w:t>
            </w:r>
          </w:p>
        </w:tc>
        <w:tc>
          <w:tcPr>
            <w:tcW w:w="4320" w:type="dxa"/>
          </w:tcPr>
          <w:p w14:paraId="2A3C8B72" w14:textId="77777777" w:rsidR="0066417C" w:rsidRDefault="0066417C" w:rsidP="0066417C">
            <w:r>
              <w:t>Signature Guarantees requirement and proper execution</w:t>
            </w:r>
          </w:p>
        </w:tc>
        <w:tc>
          <w:tcPr>
            <w:tcW w:w="720" w:type="dxa"/>
          </w:tcPr>
          <w:p w14:paraId="6FBE53A7" w14:textId="77777777" w:rsidR="0066417C" w:rsidRDefault="00D6319C" w:rsidP="0066417C">
            <w:hyperlink w:anchor="_5.24_STAMP_Signature" w:history="1">
              <w:r w:rsidR="0066417C">
                <w:rPr>
                  <w:rStyle w:val="Hyperlink"/>
                </w:rPr>
                <w:t>Pg</w:t>
              </w:r>
            </w:hyperlink>
          </w:p>
        </w:tc>
        <w:tc>
          <w:tcPr>
            <w:tcW w:w="810" w:type="dxa"/>
          </w:tcPr>
          <w:p w14:paraId="739C1331" w14:textId="77777777" w:rsidR="0066417C" w:rsidRDefault="0066417C" w:rsidP="0066417C">
            <w:r>
              <w:t>x</w:t>
            </w:r>
          </w:p>
        </w:tc>
        <w:tc>
          <w:tcPr>
            <w:tcW w:w="813" w:type="dxa"/>
          </w:tcPr>
          <w:p w14:paraId="459943CC" w14:textId="77777777" w:rsidR="0066417C" w:rsidRDefault="0066417C" w:rsidP="0066417C">
            <w:r>
              <w:t>x</w:t>
            </w:r>
          </w:p>
        </w:tc>
        <w:tc>
          <w:tcPr>
            <w:tcW w:w="852" w:type="dxa"/>
          </w:tcPr>
          <w:p w14:paraId="23CAD2D6" w14:textId="77777777" w:rsidR="0066417C" w:rsidRDefault="0066417C" w:rsidP="0066417C">
            <w:r>
              <w:t>x</w:t>
            </w:r>
          </w:p>
        </w:tc>
        <w:tc>
          <w:tcPr>
            <w:tcW w:w="1249" w:type="dxa"/>
          </w:tcPr>
          <w:p w14:paraId="37071A88" w14:textId="77777777" w:rsidR="0066417C" w:rsidRDefault="0066417C" w:rsidP="0066417C">
            <w:r>
              <w:t>x</w:t>
            </w:r>
          </w:p>
        </w:tc>
      </w:tr>
    </w:tbl>
    <w:p w14:paraId="3EEC4D55" w14:textId="77777777" w:rsidR="000C099C" w:rsidRDefault="000C099C"/>
    <w:p w14:paraId="0A5F9651" w14:textId="77777777" w:rsidR="000C099C" w:rsidRDefault="000C099C"/>
    <w:p w14:paraId="10164C23" w14:textId="77777777" w:rsidR="000C099C" w:rsidRPr="005D11B8" w:rsidRDefault="000C099C">
      <w:pPr>
        <w:rPr>
          <w:caps/>
        </w:rPr>
      </w:pPr>
      <w:r w:rsidRPr="005D11B8">
        <w:rPr>
          <w:b/>
          <w:caps/>
          <w:sz w:val="24"/>
        </w:rPr>
        <w:t xml:space="preserve">Dealing with Customers and Other Activities of Registered </w:t>
      </w:r>
      <w:r w:rsidR="005D11B8">
        <w:rPr>
          <w:b/>
          <w:caps/>
          <w:sz w:val="24"/>
        </w:rPr>
        <w:t>REP</w:t>
      </w:r>
      <w:r w:rsidRPr="005D11B8">
        <w:rPr>
          <w:b/>
          <w:caps/>
          <w:sz w:val="24"/>
        </w:rPr>
        <w:t>s</w:t>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2CDC551E" w14:textId="77777777" w:rsidTr="007105BA">
        <w:tc>
          <w:tcPr>
            <w:tcW w:w="828" w:type="dxa"/>
            <w:tcBorders>
              <w:top w:val="single" w:sz="12" w:space="0" w:color="auto"/>
              <w:bottom w:val="single" w:sz="6" w:space="0" w:color="auto"/>
            </w:tcBorders>
            <w:shd w:val="pct10" w:color="auto" w:fill="auto"/>
          </w:tcPr>
          <w:p w14:paraId="4273A2B9"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69365C09"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6575B463"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6F96221D"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6DA79ECE"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528430CF"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3451454C" w14:textId="77777777" w:rsidR="000C099C" w:rsidRDefault="000C099C">
            <w:pPr>
              <w:rPr>
                <w:b/>
              </w:rPr>
            </w:pPr>
            <w:r>
              <w:rPr>
                <w:b/>
              </w:rPr>
              <w:t>How Evidenced</w:t>
            </w:r>
          </w:p>
        </w:tc>
      </w:tr>
      <w:tr w:rsidR="007105BA" w14:paraId="33C7D2F8" w14:textId="77777777" w:rsidTr="007105BA">
        <w:tc>
          <w:tcPr>
            <w:tcW w:w="828" w:type="dxa"/>
            <w:tcBorders>
              <w:top w:val="nil"/>
            </w:tcBorders>
          </w:tcPr>
          <w:p w14:paraId="1BBA37F1" w14:textId="77777777" w:rsidR="007105BA" w:rsidRDefault="007105BA" w:rsidP="007105BA">
            <w:r>
              <w:t>x</w:t>
            </w:r>
          </w:p>
        </w:tc>
        <w:tc>
          <w:tcPr>
            <w:tcW w:w="4320" w:type="dxa"/>
            <w:tcBorders>
              <w:top w:val="nil"/>
            </w:tcBorders>
          </w:tcPr>
          <w:p w14:paraId="5200DC6F" w14:textId="77777777" w:rsidR="007105BA" w:rsidRDefault="007105BA" w:rsidP="007105BA">
            <w:r>
              <w:t xml:space="preserve">Suitability of Recommendations – </w:t>
            </w:r>
            <w:r w:rsidRPr="00BC2DC9">
              <w:t>FINRA,</w:t>
            </w:r>
            <w:r>
              <w:t xml:space="preserve"> MSRB Rule G-19(c)</w:t>
            </w:r>
          </w:p>
        </w:tc>
        <w:tc>
          <w:tcPr>
            <w:tcW w:w="720" w:type="dxa"/>
            <w:tcBorders>
              <w:top w:val="nil"/>
            </w:tcBorders>
          </w:tcPr>
          <w:p w14:paraId="06157DE5" w14:textId="77777777" w:rsidR="007105BA" w:rsidRDefault="00D6319C" w:rsidP="007105BA">
            <w:hyperlink w:anchor="Suitability" w:history="1">
              <w:r w:rsidR="007105BA">
                <w:rPr>
                  <w:rStyle w:val="Hyperlink"/>
                </w:rPr>
                <w:t>Pg</w:t>
              </w:r>
            </w:hyperlink>
          </w:p>
        </w:tc>
        <w:tc>
          <w:tcPr>
            <w:tcW w:w="810" w:type="dxa"/>
            <w:tcBorders>
              <w:top w:val="nil"/>
            </w:tcBorders>
          </w:tcPr>
          <w:p w14:paraId="018B7F6E" w14:textId="77777777" w:rsidR="007105BA" w:rsidRDefault="007105BA" w:rsidP="007105BA">
            <w:r>
              <w:t>x</w:t>
            </w:r>
          </w:p>
        </w:tc>
        <w:tc>
          <w:tcPr>
            <w:tcW w:w="813" w:type="dxa"/>
            <w:tcBorders>
              <w:top w:val="nil"/>
            </w:tcBorders>
          </w:tcPr>
          <w:p w14:paraId="5FA44C24" w14:textId="77777777" w:rsidR="007105BA" w:rsidRDefault="007105BA" w:rsidP="007105BA">
            <w:r>
              <w:t>x</w:t>
            </w:r>
          </w:p>
        </w:tc>
        <w:tc>
          <w:tcPr>
            <w:tcW w:w="852" w:type="dxa"/>
            <w:tcBorders>
              <w:top w:val="nil"/>
            </w:tcBorders>
          </w:tcPr>
          <w:p w14:paraId="3D09EF39" w14:textId="77777777" w:rsidR="007105BA" w:rsidRDefault="007105BA" w:rsidP="007105BA">
            <w:r>
              <w:t>x</w:t>
            </w:r>
          </w:p>
        </w:tc>
        <w:tc>
          <w:tcPr>
            <w:tcW w:w="1249" w:type="dxa"/>
            <w:tcBorders>
              <w:top w:val="nil"/>
            </w:tcBorders>
          </w:tcPr>
          <w:p w14:paraId="412B4376" w14:textId="77777777" w:rsidR="007105BA" w:rsidRDefault="007105BA" w:rsidP="007105BA">
            <w:r w:rsidRPr="00A56D44">
              <w:t>x</w:t>
            </w:r>
          </w:p>
        </w:tc>
      </w:tr>
      <w:tr w:rsidR="007105BA" w14:paraId="26BB93A1" w14:textId="77777777" w:rsidTr="007105BA">
        <w:tc>
          <w:tcPr>
            <w:tcW w:w="828" w:type="dxa"/>
          </w:tcPr>
          <w:p w14:paraId="13F54A6A" w14:textId="77777777" w:rsidR="007105BA" w:rsidRDefault="007105BA" w:rsidP="007105BA">
            <w:r>
              <w:t>x</w:t>
            </w:r>
          </w:p>
        </w:tc>
        <w:tc>
          <w:tcPr>
            <w:tcW w:w="4320" w:type="dxa"/>
          </w:tcPr>
          <w:p w14:paraId="44348193" w14:textId="77777777" w:rsidR="007105BA" w:rsidRDefault="007105BA" w:rsidP="007105BA">
            <w:r>
              <w:t xml:space="preserve">Unauthorized Trading </w:t>
            </w:r>
          </w:p>
        </w:tc>
        <w:tc>
          <w:tcPr>
            <w:tcW w:w="720" w:type="dxa"/>
          </w:tcPr>
          <w:p w14:paraId="2D5BBFAB" w14:textId="77777777" w:rsidR="007105BA" w:rsidRDefault="00D6319C" w:rsidP="007105BA">
            <w:hyperlink w:anchor="UnauthorizedTrading" w:history="1">
              <w:r w:rsidR="007105BA">
                <w:rPr>
                  <w:rStyle w:val="Hyperlink"/>
                </w:rPr>
                <w:t>Pg</w:t>
              </w:r>
            </w:hyperlink>
          </w:p>
        </w:tc>
        <w:tc>
          <w:tcPr>
            <w:tcW w:w="810" w:type="dxa"/>
          </w:tcPr>
          <w:p w14:paraId="33D4BFBD" w14:textId="77777777" w:rsidR="007105BA" w:rsidRDefault="007105BA" w:rsidP="007105BA">
            <w:r>
              <w:t>x</w:t>
            </w:r>
          </w:p>
        </w:tc>
        <w:tc>
          <w:tcPr>
            <w:tcW w:w="813" w:type="dxa"/>
          </w:tcPr>
          <w:p w14:paraId="03CC8D7B" w14:textId="77777777" w:rsidR="007105BA" w:rsidRDefault="007105BA" w:rsidP="007105BA">
            <w:r>
              <w:t>x</w:t>
            </w:r>
          </w:p>
        </w:tc>
        <w:tc>
          <w:tcPr>
            <w:tcW w:w="852" w:type="dxa"/>
          </w:tcPr>
          <w:p w14:paraId="595C56AA" w14:textId="77777777" w:rsidR="007105BA" w:rsidRDefault="007105BA" w:rsidP="007105BA">
            <w:r>
              <w:t>x</w:t>
            </w:r>
          </w:p>
        </w:tc>
        <w:tc>
          <w:tcPr>
            <w:tcW w:w="1249" w:type="dxa"/>
          </w:tcPr>
          <w:p w14:paraId="46758D53" w14:textId="77777777" w:rsidR="007105BA" w:rsidRDefault="007105BA" w:rsidP="007105BA">
            <w:r w:rsidRPr="00A56D44">
              <w:t>x</w:t>
            </w:r>
          </w:p>
        </w:tc>
      </w:tr>
      <w:tr w:rsidR="007105BA" w14:paraId="699A3AB3" w14:textId="77777777" w:rsidTr="007105BA">
        <w:tc>
          <w:tcPr>
            <w:tcW w:w="828" w:type="dxa"/>
          </w:tcPr>
          <w:p w14:paraId="051B3F3D" w14:textId="77777777" w:rsidR="007105BA" w:rsidRDefault="007105BA" w:rsidP="007105BA">
            <w:r>
              <w:t>x</w:t>
            </w:r>
          </w:p>
        </w:tc>
        <w:tc>
          <w:tcPr>
            <w:tcW w:w="4320" w:type="dxa"/>
          </w:tcPr>
          <w:p w14:paraId="0155C009" w14:textId="77777777" w:rsidR="007105BA" w:rsidRDefault="007105BA" w:rsidP="007105BA">
            <w:r>
              <w:t>Customer Funds and Securities - FINRA, MSRB G-25(a)</w:t>
            </w:r>
          </w:p>
        </w:tc>
        <w:tc>
          <w:tcPr>
            <w:tcW w:w="720" w:type="dxa"/>
          </w:tcPr>
          <w:p w14:paraId="51B4C793" w14:textId="77777777" w:rsidR="007105BA" w:rsidRDefault="00D6319C" w:rsidP="007105BA">
            <w:hyperlink w:anchor="HandlingCustChecks" w:history="1">
              <w:r w:rsidR="007105BA">
                <w:rPr>
                  <w:rStyle w:val="Hyperlink"/>
                </w:rPr>
                <w:t>Pg</w:t>
              </w:r>
            </w:hyperlink>
            <w:r w:rsidR="007105BA">
              <w:t xml:space="preserve">,  </w:t>
            </w:r>
            <w:hyperlink w:anchor="PPCustChecks" w:history="1">
              <w:r w:rsidR="007105BA">
                <w:rPr>
                  <w:rStyle w:val="Hyperlink"/>
                </w:rPr>
                <w:t>Pg</w:t>
              </w:r>
            </w:hyperlink>
            <w:r w:rsidR="007105BA">
              <w:t>,</w:t>
            </w:r>
          </w:p>
          <w:p w14:paraId="1F5935FC" w14:textId="77777777" w:rsidR="007105BA" w:rsidRDefault="00D6319C" w:rsidP="007105BA">
            <w:hyperlink w:anchor="HandlingSecurities" w:history="1">
              <w:r w:rsidR="007105BA">
                <w:rPr>
                  <w:rStyle w:val="Hyperlink"/>
                </w:rPr>
                <w:t>Pg</w:t>
              </w:r>
            </w:hyperlink>
          </w:p>
        </w:tc>
        <w:tc>
          <w:tcPr>
            <w:tcW w:w="810" w:type="dxa"/>
          </w:tcPr>
          <w:p w14:paraId="3C78D2D9" w14:textId="77777777" w:rsidR="007105BA" w:rsidRDefault="007105BA" w:rsidP="007105BA">
            <w:r>
              <w:t>x</w:t>
            </w:r>
          </w:p>
        </w:tc>
        <w:tc>
          <w:tcPr>
            <w:tcW w:w="813" w:type="dxa"/>
          </w:tcPr>
          <w:p w14:paraId="023DA18F" w14:textId="77777777" w:rsidR="007105BA" w:rsidRDefault="007105BA" w:rsidP="007105BA">
            <w:r>
              <w:t>x</w:t>
            </w:r>
          </w:p>
        </w:tc>
        <w:tc>
          <w:tcPr>
            <w:tcW w:w="852" w:type="dxa"/>
          </w:tcPr>
          <w:p w14:paraId="116B8C72" w14:textId="77777777" w:rsidR="007105BA" w:rsidRDefault="007105BA" w:rsidP="007105BA">
            <w:r>
              <w:t>x</w:t>
            </w:r>
          </w:p>
        </w:tc>
        <w:tc>
          <w:tcPr>
            <w:tcW w:w="1249" w:type="dxa"/>
          </w:tcPr>
          <w:p w14:paraId="65F7AC4F" w14:textId="77777777" w:rsidR="007105BA" w:rsidRDefault="007105BA" w:rsidP="007105BA">
            <w:r w:rsidRPr="00A56D44">
              <w:t>x</w:t>
            </w:r>
          </w:p>
        </w:tc>
      </w:tr>
      <w:tr w:rsidR="007105BA" w14:paraId="1C24DF01" w14:textId="77777777" w:rsidTr="007105BA">
        <w:tc>
          <w:tcPr>
            <w:tcW w:w="828" w:type="dxa"/>
          </w:tcPr>
          <w:p w14:paraId="5CCAC35C" w14:textId="77777777" w:rsidR="007105BA" w:rsidRDefault="007105BA" w:rsidP="007105BA">
            <w:r>
              <w:t>x</w:t>
            </w:r>
          </w:p>
        </w:tc>
        <w:tc>
          <w:tcPr>
            <w:tcW w:w="4320" w:type="dxa"/>
          </w:tcPr>
          <w:p w14:paraId="69B5948F" w14:textId="77777777" w:rsidR="007105BA" w:rsidRDefault="007105BA" w:rsidP="007105BA">
            <w:r>
              <w:t>Prohibition Against Guarantees - 2150, MSRB G-25(b)</w:t>
            </w:r>
          </w:p>
        </w:tc>
        <w:tc>
          <w:tcPr>
            <w:tcW w:w="720" w:type="dxa"/>
          </w:tcPr>
          <w:p w14:paraId="7611209E" w14:textId="77777777" w:rsidR="007105BA" w:rsidRDefault="00D6319C" w:rsidP="007105BA">
            <w:hyperlink w:anchor="Guarantees" w:history="1">
              <w:r w:rsidR="007105BA">
                <w:rPr>
                  <w:rStyle w:val="Hyperlink"/>
                </w:rPr>
                <w:t>Pg</w:t>
              </w:r>
            </w:hyperlink>
          </w:p>
        </w:tc>
        <w:tc>
          <w:tcPr>
            <w:tcW w:w="810" w:type="dxa"/>
          </w:tcPr>
          <w:p w14:paraId="0A1D321B" w14:textId="77777777" w:rsidR="007105BA" w:rsidRDefault="007105BA" w:rsidP="007105BA">
            <w:r>
              <w:t>x</w:t>
            </w:r>
          </w:p>
        </w:tc>
        <w:tc>
          <w:tcPr>
            <w:tcW w:w="813" w:type="dxa"/>
          </w:tcPr>
          <w:p w14:paraId="1D17EE15" w14:textId="77777777" w:rsidR="007105BA" w:rsidRDefault="007105BA" w:rsidP="007105BA">
            <w:r>
              <w:t>x</w:t>
            </w:r>
          </w:p>
        </w:tc>
        <w:tc>
          <w:tcPr>
            <w:tcW w:w="852" w:type="dxa"/>
          </w:tcPr>
          <w:p w14:paraId="3A155EEA" w14:textId="77777777" w:rsidR="007105BA" w:rsidRDefault="007105BA" w:rsidP="007105BA">
            <w:r>
              <w:t>x</w:t>
            </w:r>
          </w:p>
        </w:tc>
        <w:tc>
          <w:tcPr>
            <w:tcW w:w="1249" w:type="dxa"/>
          </w:tcPr>
          <w:p w14:paraId="60E71531" w14:textId="77777777" w:rsidR="007105BA" w:rsidRDefault="007105BA" w:rsidP="007105BA">
            <w:r w:rsidRPr="00A56D44">
              <w:t>x</w:t>
            </w:r>
          </w:p>
        </w:tc>
      </w:tr>
      <w:tr w:rsidR="007105BA" w14:paraId="7DD779F2" w14:textId="77777777" w:rsidTr="007105BA">
        <w:tc>
          <w:tcPr>
            <w:tcW w:w="828" w:type="dxa"/>
          </w:tcPr>
          <w:p w14:paraId="4D8BF9E9" w14:textId="77777777" w:rsidR="007105BA" w:rsidRDefault="007105BA" w:rsidP="007105BA">
            <w:r>
              <w:t>x</w:t>
            </w:r>
          </w:p>
        </w:tc>
        <w:tc>
          <w:tcPr>
            <w:tcW w:w="4320" w:type="dxa"/>
          </w:tcPr>
          <w:p w14:paraId="0DFF439A" w14:textId="77777777" w:rsidR="007105BA" w:rsidRDefault="007105BA" w:rsidP="007105BA">
            <w:r>
              <w:t>Gifts and Gratuities - 3220, MSRB G-20</w:t>
            </w:r>
          </w:p>
        </w:tc>
        <w:tc>
          <w:tcPr>
            <w:tcW w:w="720" w:type="dxa"/>
          </w:tcPr>
          <w:p w14:paraId="14D12A43" w14:textId="77777777" w:rsidR="007105BA" w:rsidRDefault="00D6319C" w:rsidP="007105BA">
            <w:hyperlink w:anchor="GiftsGratuities" w:history="1">
              <w:r w:rsidR="007105BA">
                <w:rPr>
                  <w:rStyle w:val="Hyperlink"/>
                </w:rPr>
                <w:t>Pg</w:t>
              </w:r>
            </w:hyperlink>
          </w:p>
        </w:tc>
        <w:tc>
          <w:tcPr>
            <w:tcW w:w="810" w:type="dxa"/>
          </w:tcPr>
          <w:p w14:paraId="374F1279" w14:textId="77777777" w:rsidR="007105BA" w:rsidRDefault="007105BA" w:rsidP="007105BA">
            <w:r>
              <w:t>x</w:t>
            </w:r>
          </w:p>
        </w:tc>
        <w:tc>
          <w:tcPr>
            <w:tcW w:w="813" w:type="dxa"/>
          </w:tcPr>
          <w:p w14:paraId="6F848665" w14:textId="77777777" w:rsidR="007105BA" w:rsidRDefault="007105BA" w:rsidP="007105BA">
            <w:r>
              <w:t>x</w:t>
            </w:r>
          </w:p>
        </w:tc>
        <w:tc>
          <w:tcPr>
            <w:tcW w:w="852" w:type="dxa"/>
          </w:tcPr>
          <w:p w14:paraId="4A24B3BF" w14:textId="77777777" w:rsidR="007105BA" w:rsidRDefault="007105BA" w:rsidP="007105BA">
            <w:r>
              <w:t>x</w:t>
            </w:r>
          </w:p>
        </w:tc>
        <w:tc>
          <w:tcPr>
            <w:tcW w:w="1249" w:type="dxa"/>
          </w:tcPr>
          <w:p w14:paraId="7D108551" w14:textId="77777777" w:rsidR="007105BA" w:rsidRDefault="007105BA" w:rsidP="007105BA">
            <w:r w:rsidRPr="00A56D44">
              <w:t>x</w:t>
            </w:r>
          </w:p>
        </w:tc>
      </w:tr>
      <w:tr w:rsidR="007105BA" w14:paraId="48257A10" w14:textId="77777777" w:rsidTr="007105BA">
        <w:tc>
          <w:tcPr>
            <w:tcW w:w="828" w:type="dxa"/>
          </w:tcPr>
          <w:p w14:paraId="4E6E2D21" w14:textId="77777777" w:rsidR="007105BA" w:rsidRDefault="007105BA" w:rsidP="007105BA">
            <w:r>
              <w:t>x</w:t>
            </w:r>
          </w:p>
        </w:tc>
        <w:tc>
          <w:tcPr>
            <w:tcW w:w="4320" w:type="dxa"/>
          </w:tcPr>
          <w:p w14:paraId="73C61A56" w14:textId="77777777" w:rsidR="007105BA" w:rsidRDefault="007105BA" w:rsidP="007105BA">
            <w:r>
              <w:t>Accounts Maintained at Other Broker-Dealers - FINRA, MSRB G-28, NTM 91-27</w:t>
            </w:r>
          </w:p>
        </w:tc>
        <w:tc>
          <w:tcPr>
            <w:tcW w:w="720" w:type="dxa"/>
          </w:tcPr>
          <w:p w14:paraId="11ED3CCC" w14:textId="77777777" w:rsidR="007105BA" w:rsidRDefault="00D6319C" w:rsidP="007105BA">
            <w:hyperlink w:anchor="OutsideSecAccts" w:history="1">
              <w:r w:rsidR="007105BA">
                <w:rPr>
                  <w:rStyle w:val="Hyperlink"/>
                </w:rPr>
                <w:t>Pg</w:t>
              </w:r>
            </w:hyperlink>
          </w:p>
        </w:tc>
        <w:tc>
          <w:tcPr>
            <w:tcW w:w="810" w:type="dxa"/>
          </w:tcPr>
          <w:p w14:paraId="554212C8" w14:textId="77777777" w:rsidR="007105BA" w:rsidRDefault="007105BA" w:rsidP="007105BA">
            <w:r>
              <w:t>x</w:t>
            </w:r>
          </w:p>
        </w:tc>
        <w:tc>
          <w:tcPr>
            <w:tcW w:w="813" w:type="dxa"/>
          </w:tcPr>
          <w:p w14:paraId="62D77718" w14:textId="77777777" w:rsidR="007105BA" w:rsidRDefault="007105BA" w:rsidP="007105BA">
            <w:r>
              <w:t>x</w:t>
            </w:r>
          </w:p>
        </w:tc>
        <w:tc>
          <w:tcPr>
            <w:tcW w:w="852" w:type="dxa"/>
          </w:tcPr>
          <w:p w14:paraId="7F00B7E5" w14:textId="77777777" w:rsidR="007105BA" w:rsidRDefault="007105BA" w:rsidP="007105BA">
            <w:r>
              <w:t>x</w:t>
            </w:r>
          </w:p>
        </w:tc>
        <w:tc>
          <w:tcPr>
            <w:tcW w:w="1249" w:type="dxa"/>
          </w:tcPr>
          <w:p w14:paraId="599BC6C6" w14:textId="77777777" w:rsidR="007105BA" w:rsidRDefault="007105BA" w:rsidP="007105BA">
            <w:r w:rsidRPr="00A56D44">
              <w:t>x</w:t>
            </w:r>
          </w:p>
        </w:tc>
      </w:tr>
      <w:tr w:rsidR="007105BA" w14:paraId="003F3257" w14:textId="77777777" w:rsidTr="007105BA">
        <w:tc>
          <w:tcPr>
            <w:tcW w:w="828" w:type="dxa"/>
          </w:tcPr>
          <w:p w14:paraId="60C89360" w14:textId="77777777" w:rsidR="007105BA" w:rsidRDefault="007105BA" w:rsidP="007105BA">
            <w:r>
              <w:t>x</w:t>
            </w:r>
          </w:p>
        </w:tc>
        <w:tc>
          <w:tcPr>
            <w:tcW w:w="4320" w:type="dxa"/>
          </w:tcPr>
          <w:p w14:paraId="09CAA25E" w14:textId="77777777" w:rsidR="007105BA" w:rsidRDefault="007105BA" w:rsidP="007105BA">
            <w:r>
              <w:t xml:space="preserve">Securities Transactions for Personal and Family-Related Accounts </w:t>
            </w:r>
          </w:p>
        </w:tc>
        <w:tc>
          <w:tcPr>
            <w:tcW w:w="720" w:type="dxa"/>
          </w:tcPr>
          <w:p w14:paraId="3DC3B77B" w14:textId="77777777" w:rsidR="007105BA" w:rsidRDefault="00D6319C" w:rsidP="007105BA">
            <w:hyperlink w:anchor="PersonalTrading" w:history="1">
              <w:r w:rsidR="007105BA">
                <w:rPr>
                  <w:rStyle w:val="Hyperlink"/>
                </w:rPr>
                <w:t>Pg</w:t>
              </w:r>
            </w:hyperlink>
          </w:p>
        </w:tc>
        <w:tc>
          <w:tcPr>
            <w:tcW w:w="810" w:type="dxa"/>
          </w:tcPr>
          <w:p w14:paraId="1862C087" w14:textId="77777777" w:rsidR="007105BA" w:rsidRDefault="007105BA" w:rsidP="007105BA">
            <w:r>
              <w:t>X</w:t>
            </w:r>
          </w:p>
        </w:tc>
        <w:tc>
          <w:tcPr>
            <w:tcW w:w="813" w:type="dxa"/>
          </w:tcPr>
          <w:p w14:paraId="1F80C287" w14:textId="77777777" w:rsidR="007105BA" w:rsidRDefault="007105BA" w:rsidP="007105BA">
            <w:r>
              <w:t>x</w:t>
            </w:r>
          </w:p>
        </w:tc>
        <w:tc>
          <w:tcPr>
            <w:tcW w:w="852" w:type="dxa"/>
          </w:tcPr>
          <w:p w14:paraId="29B37376" w14:textId="77777777" w:rsidR="007105BA" w:rsidRDefault="007105BA" w:rsidP="007105BA">
            <w:r>
              <w:t>x</w:t>
            </w:r>
          </w:p>
        </w:tc>
        <w:tc>
          <w:tcPr>
            <w:tcW w:w="1249" w:type="dxa"/>
          </w:tcPr>
          <w:p w14:paraId="6461351B" w14:textId="77777777" w:rsidR="007105BA" w:rsidRDefault="007105BA" w:rsidP="007105BA">
            <w:r w:rsidRPr="00A56D44">
              <w:t>x</w:t>
            </w:r>
          </w:p>
        </w:tc>
      </w:tr>
      <w:tr w:rsidR="007105BA" w14:paraId="05B90508" w14:textId="77777777" w:rsidTr="007105BA">
        <w:tc>
          <w:tcPr>
            <w:tcW w:w="828" w:type="dxa"/>
          </w:tcPr>
          <w:p w14:paraId="137AEBCE" w14:textId="77777777" w:rsidR="007105BA" w:rsidRDefault="007105BA" w:rsidP="007105BA">
            <w:r>
              <w:t>x</w:t>
            </w:r>
          </w:p>
        </w:tc>
        <w:tc>
          <w:tcPr>
            <w:tcW w:w="4320" w:type="dxa"/>
          </w:tcPr>
          <w:p w14:paraId="6DB4FA27" w14:textId="77777777" w:rsidR="007105BA" w:rsidRDefault="007105BA" w:rsidP="007105BA">
            <w:r>
              <w:t xml:space="preserve">Private Securities Transactions </w:t>
            </w:r>
          </w:p>
        </w:tc>
        <w:tc>
          <w:tcPr>
            <w:tcW w:w="720" w:type="dxa"/>
          </w:tcPr>
          <w:p w14:paraId="52ED9AD7" w14:textId="77777777" w:rsidR="007105BA" w:rsidRDefault="00D6319C" w:rsidP="007105BA">
            <w:hyperlink w:anchor="PrivateSecTrx" w:history="1">
              <w:r w:rsidR="007105BA">
                <w:rPr>
                  <w:rStyle w:val="Hyperlink"/>
                </w:rPr>
                <w:t>Pg</w:t>
              </w:r>
            </w:hyperlink>
          </w:p>
        </w:tc>
        <w:tc>
          <w:tcPr>
            <w:tcW w:w="810" w:type="dxa"/>
          </w:tcPr>
          <w:p w14:paraId="005A1316" w14:textId="77777777" w:rsidR="007105BA" w:rsidRDefault="007105BA" w:rsidP="007105BA">
            <w:r>
              <w:t>X</w:t>
            </w:r>
          </w:p>
        </w:tc>
        <w:tc>
          <w:tcPr>
            <w:tcW w:w="813" w:type="dxa"/>
          </w:tcPr>
          <w:p w14:paraId="1A9AD277" w14:textId="77777777" w:rsidR="007105BA" w:rsidRDefault="007105BA" w:rsidP="007105BA">
            <w:r>
              <w:t>x</w:t>
            </w:r>
          </w:p>
        </w:tc>
        <w:tc>
          <w:tcPr>
            <w:tcW w:w="852" w:type="dxa"/>
          </w:tcPr>
          <w:p w14:paraId="4088DDCC" w14:textId="77777777" w:rsidR="007105BA" w:rsidRDefault="007105BA" w:rsidP="007105BA">
            <w:r>
              <w:t>x</w:t>
            </w:r>
          </w:p>
        </w:tc>
        <w:tc>
          <w:tcPr>
            <w:tcW w:w="1249" w:type="dxa"/>
          </w:tcPr>
          <w:p w14:paraId="5DB1B6A7" w14:textId="77777777" w:rsidR="007105BA" w:rsidRDefault="007105BA" w:rsidP="007105BA">
            <w:r w:rsidRPr="00A56D44">
              <w:t>x</w:t>
            </w:r>
          </w:p>
        </w:tc>
      </w:tr>
      <w:tr w:rsidR="007105BA" w14:paraId="257D3D00" w14:textId="77777777" w:rsidTr="007105BA">
        <w:tc>
          <w:tcPr>
            <w:tcW w:w="828" w:type="dxa"/>
          </w:tcPr>
          <w:p w14:paraId="2602A7A6" w14:textId="77777777" w:rsidR="007105BA" w:rsidRDefault="007105BA" w:rsidP="007105BA">
            <w:r>
              <w:t>x</w:t>
            </w:r>
          </w:p>
        </w:tc>
        <w:tc>
          <w:tcPr>
            <w:tcW w:w="4320" w:type="dxa"/>
          </w:tcPr>
          <w:p w14:paraId="4EE6576E" w14:textId="77777777" w:rsidR="007105BA" w:rsidRDefault="007105BA" w:rsidP="007105BA">
            <w:r>
              <w:t xml:space="preserve">Outside Business Activities </w:t>
            </w:r>
          </w:p>
        </w:tc>
        <w:tc>
          <w:tcPr>
            <w:tcW w:w="720" w:type="dxa"/>
          </w:tcPr>
          <w:p w14:paraId="75B505C7" w14:textId="77777777" w:rsidR="007105BA" w:rsidRDefault="00D6319C" w:rsidP="007105BA">
            <w:hyperlink w:anchor="OBA" w:history="1">
              <w:r w:rsidR="007105BA">
                <w:rPr>
                  <w:rStyle w:val="Hyperlink"/>
                </w:rPr>
                <w:t>Pg</w:t>
              </w:r>
            </w:hyperlink>
          </w:p>
        </w:tc>
        <w:tc>
          <w:tcPr>
            <w:tcW w:w="810" w:type="dxa"/>
          </w:tcPr>
          <w:p w14:paraId="3CAB95EF" w14:textId="77777777" w:rsidR="007105BA" w:rsidRDefault="007105BA" w:rsidP="007105BA">
            <w:r>
              <w:t>X</w:t>
            </w:r>
          </w:p>
        </w:tc>
        <w:tc>
          <w:tcPr>
            <w:tcW w:w="813" w:type="dxa"/>
          </w:tcPr>
          <w:p w14:paraId="1DA3C85E" w14:textId="77777777" w:rsidR="007105BA" w:rsidRDefault="007105BA" w:rsidP="007105BA">
            <w:r>
              <w:t>x</w:t>
            </w:r>
          </w:p>
        </w:tc>
        <w:tc>
          <w:tcPr>
            <w:tcW w:w="852" w:type="dxa"/>
          </w:tcPr>
          <w:p w14:paraId="2F4A901F" w14:textId="77777777" w:rsidR="007105BA" w:rsidRDefault="007105BA" w:rsidP="007105BA">
            <w:r>
              <w:t>x</w:t>
            </w:r>
          </w:p>
        </w:tc>
        <w:tc>
          <w:tcPr>
            <w:tcW w:w="1249" w:type="dxa"/>
          </w:tcPr>
          <w:p w14:paraId="5A87C429" w14:textId="77777777" w:rsidR="007105BA" w:rsidRDefault="007105BA" w:rsidP="007105BA">
            <w:r w:rsidRPr="00A56D44">
              <w:t>x</w:t>
            </w:r>
          </w:p>
        </w:tc>
      </w:tr>
      <w:tr w:rsidR="007105BA" w14:paraId="03F290BA" w14:textId="77777777" w:rsidTr="007105BA">
        <w:tc>
          <w:tcPr>
            <w:tcW w:w="828" w:type="dxa"/>
          </w:tcPr>
          <w:p w14:paraId="5099F640" w14:textId="77777777" w:rsidR="007105BA" w:rsidRDefault="007105BA" w:rsidP="007105BA">
            <w:r>
              <w:t>x</w:t>
            </w:r>
          </w:p>
        </w:tc>
        <w:tc>
          <w:tcPr>
            <w:tcW w:w="4320" w:type="dxa"/>
          </w:tcPr>
          <w:p w14:paraId="3D88D981" w14:textId="77777777" w:rsidR="007105BA" w:rsidRDefault="007105BA" w:rsidP="007105BA">
            <w:r>
              <w:t xml:space="preserve">Investment Advisory Activities of Associated Persons </w:t>
            </w:r>
          </w:p>
        </w:tc>
        <w:tc>
          <w:tcPr>
            <w:tcW w:w="720" w:type="dxa"/>
          </w:tcPr>
          <w:p w14:paraId="460D050D" w14:textId="77777777" w:rsidR="007105BA" w:rsidRDefault="00D6319C" w:rsidP="007105BA">
            <w:hyperlink w:anchor="InvestmentAdvisoryActivities" w:history="1">
              <w:r w:rsidR="007105BA">
                <w:rPr>
                  <w:rStyle w:val="Hyperlink"/>
                </w:rPr>
                <w:t>Pg</w:t>
              </w:r>
            </w:hyperlink>
          </w:p>
        </w:tc>
        <w:tc>
          <w:tcPr>
            <w:tcW w:w="810" w:type="dxa"/>
          </w:tcPr>
          <w:p w14:paraId="7C879FBB" w14:textId="77777777" w:rsidR="007105BA" w:rsidRDefault="007105BA" w:rsidP="007105BA">
            <w:r>
              <w:t>x</w:t>
            </w:r>
          </w:p>
        </w:tc>
        <w:tc>
          <w:tcPr>
            <w:tcW w:w="813" w:type="dxa"/>
          </w:tcPr>
          <w:p w14:paraId="7A07CB3B" w14:textId="77777777" w:rsidR="007105BA" w:rsidRDefault="007105BA" w:rsidP="007105BA">
            <w:r>
              <w:t>x</w:t>
            </w:r>
          </w:p>
        </w:tc>
        <w:tc>
          <w:tcPr>
            <w:tcW w:w="852" w:type="dxa"/>
          </w:tcPr>
          <w:p w14:paraId="180C91D8" w14:textId="77777777" w:rsidR="007105BA" w:rsidRDefault="007105BA" w:rsidP="007105BA">
            <w:r>
              <w:t>x</w:t>
            </w:r>
          </w:p>
        </w:tc>
        <w:tc>
          <w:tcPr>
            <w:tcW w:w="1249" w:type="dxa"/>
          </w:tcPr>
          <w:p w14:paraId="3543C53D" w14:textId="77777777" w:rsidR="007105BA" w:rsidRDefault="007105BA" w:rsidP="007105BA">
            <w:r w:rsidRPr="00A56D44">
              <w:t>x</w:t>
            </w:r>
          </w:p>
        </w:tc>
      </w:tr>
      <w:tr w:rsidR="007105BA" w14:paraId="799758D9" w14:textId="77777777" w:rsidTr="007105BA">
        <w:tc>
          <w:tcPr>
            <w:tcW w:w="828" w:type="dxa"/>
          </w:tcPr>
          <w:p w14:paraId="0BA6E1B3" w14:textId="77777777" w:rsidR="007105BA" w:rsidRDefault="007105BA" w:rsidP="007105BA">
            <w:r>
              <w:t>x</w:t>
            </w:r>
          </w:p>
        </w:tc>
        <w:tc>
          <w:tcPr>
            <w:tcW w:w="4320" w:type="dxa"/>
          </w:tcPr>
          <w:p w14:paraId="1C2D575D" w14:textId="77777777" w:rsidR="007105BA" w:rsidRDefault="007105BA" w:rsidP="007105BA">
            <w:r>
              <w:t xml:space="preserve">Lending or Borrowing Money - </w:t>
            </w:r>
            <w:r w:rsidRPr="00956F08">
              <w:t>FINRA</w:t>
            </w:r>
            <w:r>
              <w:t xml:space="preserve"> Rule 2310</w:t>
            </w:r>
          </w:p>
        </w:tc>
        <w:tc>
          <w:tcPr>
            <w:tcW w:w="720" w:type="dxa"/>
          </w:tcPr>
          <w:p w14:paraId="127D3B44" w14:textId="77777777" w:rsidR="007105BA" w:rsidRDefault="00D6319C" w:rsidP="007105BA">
            <w:hyperlink w:anchor="LendingOrBorrowingMoney" w:history="1">
              <w:r w:rsidR="007105BA">
                <w:rPr>
                  <w:rStyle w:val="Hyperlink"/>
                </w:rPr>
                <w:t>Pg</w:t>
              </w:r>
            </w:hyperlink>
          </w:p>
        </w:tc>
        <w:tc>
          <w:tcPr>
            <w:tcW w:w="810" w:type="dxa"/>
          </w:tcPr>
          <w:p w14:paraId="6957672F" w14:textId="77777777" w:rsidR="007105BA" w:rsidRDefault="007105BA" w:rsidP="007105BA">
            <w:r>
              <w:t>x</w:t>
            </w:r>
          </w:p>
        </w:tc>
        <w:tc>
          <w:tcPr>
            <w:tcW w:w="813" w:type="dxa"/>
          </w:tcPr>
          <w:p w14:paraId="591E5ADA" w14:textId="77777777" w:rsidR="007105BA" w:rsidRDefault="007105BA" w:rsidP="007105BA">
            <w:r>
              <w:t>x</w:t>
            </w:r>
          </w:p>
        </w:tc>
        <w:tc>
          <w:tcPr>
            <w:tcW w:w="852" w:type="dxa"/>
          </w:tcPr>
          <w:p w14:paraId="7C9042CB" w14:textId="77777777" w:rsidR="007105BA" w:rsidRDefault="007105BA" w:rsidP="007105BA">
            <w:r>
              <w:t>x</w:t>
            </w:r>
          </w:p>
        </w:tc>
        <w:tc>
          <w:tcPr>
            <w:tcW w:w="1249" w:type="dxa"/>
          </w:tcPr>
          <w:p w14:paraId="455F71A3" w14:textId="77777777" w:rsidR="007105BA" w:rsidRDefault="007105BA" w:rsidP="007105BA">
            <w:r w:rsidRPr="00A56D44">
              <w:t>x</w:t>
            </w:r>
          </w:p>
        </w:tc>
      </w:tr>
      <w:tr w:rsidR="00345D49" w14:paraId="0D63649A" w14:textId="77777777" w:rsidTr="007105BA">
        <w:tc>
          <w:tcPr>
            <w:tcW w:w="828" w:type="dxa"/>
          </w:tcPr>
          <w:p w14:paraId="3E38667B" w14:textId="77777777" w:rsidR="00345D49" w:rsidRDefault="00345D49">
            <w:r>
              <w:t>x</w:t>
            </w:r>
          </w:p>
        </w:tc>
        <w:tc>
          <w:tcPr>
            <w:tcW w:w="4320" w:type="dxa"/>
          </w:tcPr>
          <w:p w14:paraId="14C05B05" w14:textId="77777777" w:rsidR="00345D49" w:rsidRPr="00470C84" w:rsidRDefault="00345D49">
            <w:r w:rsidRPr="00470C84">
              <w:t>Interfering with customer acct transfers in employment disputes - FINRA Rule 2140</w:t>
            </w:r>
          </w:p>
        </w:tc>
        <w:tc>
          <w:tcPr>
            <w:tcW w:w="720" w:type="dxa"/>
          </w:tcPr>
          <w:p w14:paraId="32709C98" w14:textId="77777777" w:rsidR="00345D49" w:rsidRPr="00470C84" w:rsidRDefault="00D6319C">
            <w:pPr>
              <w:rPr>
                <w:color w:val="0000FF"/>
              </w:rPr>
            </w:pPr>
            <w:hyperlink w:anchor="Rule2140" w:history="1">
              <w:r w:rsidR="008B3BA0" w:rsidRPr="00470C84">
                <w:rPr>
                  <w:rStyle w:val="Hyperlink"/>
                </w:rPr>
                <w:t>Pg</w:t>
              </w:r>
            </w:hyperlink>
          </w:p>
        </w:tc>
        <w:tc>
          <w:tcPr>
            <w:tcW w:w="810" w:type="dxa"/>
          </w:tcPr>
          <w:p w14:paraId="25343B87" w14:textId="77777777" w:rsidR="00345D49" w:rsidRDefault="00345D49"/>
        </w:tc>
        <w:tc>
          <w:tcPr>
            <w:tcW w:w="813" w:type="dxa"/>
          </w:tcPr>
          <w:p w14:paraId="5FDC6862" w14:textId="77777777" w:rsidR="00345D49" w:rsidRDefault="00345D49"/>
        </w:tc>
        <w:tc>
          <w:tcPr>
            <w:tcW w:w="852" w:type="dxa"/>
          </w:tcPr>
          <w:p w14:paraId="259D563D" w14:textId="77777777" w:rsidR="00345D49" w:rsidRDefault="00345D49"/>
        </w:tc>
        <w:tc>
          <w:tcPr>
            <w:tcW w:w="1249" w:type="dxa"/>
          </w:tcPr>
          <w:p w14:paraId="20022573" w14:textId="77777777" w:rsidR="00345D49" w:rsidRPr="007105BA" w:rsidRDefault="00345D49">
            <w:pPr>
              <w:rPr>
                <w:smallCaps/>
              </w:rPr>
            </w:pPr>
          </w:p>
        </w:tc>
      </w:tr>
      <w:tr w:rsidR="007105BA" w14:paraId="0D663595" w14:textId="77777777" w:rsidTr="007105BA">
        <w:tc>
          <w:tcPr>
            <w:tcW w:w="828" w:type="dxa"/>
          </w:tcPr>
          <w:p w14:paraId="391727C9" w14:textId="77777777" w:rsidR="007105BA" w:rsidRDefault="007105BA" w:rsidP="007105BA">
            <w:r>
              <w:t>x</w:t>
            </w:r>
          </w:p>
        </w:tc>
        <w:tc>
          <w:tcPr>
            <w:tcW w:w="4320" w:type="dxa"/>
          </w:tcPr>
          <w:p w14:paraId="485E1A91" w14:textId="77777777" w:rsidR="007105BA" w:rsidRPr="00470C84" w:rsidRDefault="007105BA" w:rsidP="007105BA">
            <w:r>
              <w:t>Customer Complaints</w:t>
            </w:r>
          </w:p>
        </w:tc>
        <w:tc>
          <w:tcPr>
            <w:tcW w:w="720" w:type="dxa"/>
          </w:tcPr>
          <w:p w14:paraId="5D2E10A1" w14:textId="77777777" w:rsidR="007105BA" w:rsidRDefault="00D6319C" w:rsidP="007105BA">
            <w:hyperlink w:anchor="CustomerComplaints" w:history="1">
              <w:r w:rsidR="007105BA" w:rsidRPr="0050154B">
                <w:rPr>
                  <w:rStyle w:val="Hyperlink"/>
                </w:rPr>
                <w:t>Pg</w:t>
              </w:r>
            </w:hyperlink>
          </w:p>
        </w:tc>
        <w:tc>
          <w:tcPr>
            <w:tcW w:w="810" w:type="dxa"/>
          </w:tcPr>
          <w:p w14:paraId="4B40D62A" w14:textId="77777777" w:rsidR="007105BA" w:rsidRDefault="007105BA" w:rsidP="007105BA">
            <w:r>
              <w:t>x</w:t>
            </w:r>
          </w:p>
        </w:tc>
        <w:tc>
          <w:tcPr>
            <w:tcW w:w="813" w:type="dxa"/>
          </w:tcPr>
          <w:p w14:paraId="1164F5C2" w14:textId="77777777" w:rsidR="007105BA" w:rsidRDefault="007105BA" w:rsidP="007105BA">
            <w:r>
              <w:t>x</w:t>
            </w:r>
          </w:p>
        </w:tc>
        <w:tc>
          <w:tcPr>
            <w:tcW w:w="852" w:type="dxa"/>
          </w:tcPr>
          <w:p w14:paraId="6934C78D" w14:textId="77777777" w:rsidR="007105BA" w:rsidRDefault="007105BA" w:rsidP="007105BA">
            <w:r>
              <w:t>x</w:t>
            </w:r>
          </w:p>
        </w:tc>
        <w:tc>
          <w:tcPr>
            <w:tcW w:w="1249" w:type="dxa"/>
          </w:tcPr>
          <w:p w14:paraId="28D84F48" w14:textId="77777777" w:rsidR="007105BA" w:rsidRDefault="007105BA" w:rsidP="007105BA">
            <w:r w:rsidRPr="00A56D44">
              <w:t>x</w:t>
            </w:r>
          </w:p>
        </w:tc>
      </w:tr>
    </w:tbl>
    <w:p w14:paraId="25223FFD" w14:textId="77777777" w:rsidR="000C099C" w:rsidRDefault="000C099C"/>
    <w:p w14:paraId="2DFDA2DB" w14:textId="77777777" w:rsidR="000C099C" w:rsidRPr="00956F08" w:rsidRDefault="000C099C">
      <w:pPr>
        <w:rPr>
          <w:caps/>
        </w:rPr>
      </w:pPr>
      <w:r w:rsidRPr="00956F08">
        <w:rPr>
          <w:b/>
          <w:caps/>
          <w:sz w:val="24"/>
        </w:rPr>
        <w:t>Insider Trading</w:t>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742B0FF6" w14:textId="77777777" w:rsidTr="007105BA">
        <w:tc>
          <w:tcPr>
            <w:tcW w:w="828" w:type="dxa"/>
            <w:tcBorders>
              <w:top w:val="single" w:sz="12" w:space="0" w:color="auto"/>
              <w:bottom w:val="single" w:sz="6" w:space="0" w:color="auto"/>
            </w:tcBorders>
            <w:shd w:val="pct10" w:color="auto" w:fill="auto"/>
          </w:tcPr>
          <w:p w14:paraId="765D6C25"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790AB74E"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2B2732E2"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19D7D235"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07A80763"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5430030E"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50F222BA" w14:textId="77777777" w:rsidR="000C099C" w:rsidRDefault="000C099C">
            <w:pPr>
              <w:rPr>
                <w:b/>
              </w:rPr>
            </w:pPr>
            <w:r>
              <w:rPr>
                <w:b/>
              </w:rPr>
              <w:t>How Evidenced</w:t>
            </w:r>
          </w:p>
        </w:tc>
      </w:tr>
      <w:tr w:rsidR="007105BA" w14:paraId="6B5246C2" w14:textId="77777777" w:rsidTr="007105BA">
        <w:tc>
          <w:tcPr>
            <w:tcW w:w="828" w:type="dxa"/>
            <w:tcBorders>
              <w:top w:val="nil"/>
            </w:tcBorders>
          </w:tcPr>
          <w:p w14:paraId="33103AC4" w14:textId="77777777" w:rsidR="007105BA" w:rsidRDefault="007105BA" w:rsidP="007105BA">
            <w:r>
              <w:t>x</w:t>
            </w:r>
          </w:p>
        </w:tc>
        <w:tc>
          <w:tcPr>
            <w:tcW w:w="4320" w:type="dxa"/>
            <w:tcBorders>
              <w:top w:val="nil"/>
            </w:tcBorders>
          </w:tcPr>
          <w:p w14:paraId="10AB4859" w14:textId="77777777" w:rsidR="007105BA" w:rsidRDefault="007105BA" w:rsidP="007105BA">
            <w:r>
              <w:t>Firms That Do Not Conduct Investment Banking Business - Method for periodically reviewing employee and proprietary trading for insider trading violations</w:t>
            </w:r>
          </w:p>
        </w:tc>
        <w:tc>
          <w:tcPr>
            <w:tcW w:w="720" w:type="dxa"/>
            <w:tcBorders>
              <w:top w:val="nil"/>
            </w:tcBorders>
          </w:tcPr>
          <w:p w14:paraId="16033B54" w14:textId="77777777" w:rsidR="007105BA" w:rsidRDefault="00D6319C" w:rsidP="007105BA">
            <w:hyperlink w:anchor="PersonalTradingReview" w:history="1">
              <w:r w:rsidR="007105BA">
                <w:rPr>
                  <w:rStyle w:val="Hyperlink"/>
                </w:rPr>
                <w:t>Pg</w:t>
              </w:r>
            </w:hyperlink>
          </w:p>
        </w:tc>
        <w:tc>
          <w:tcPr>
            <w:tcW w:w="810" w:type="dxa"/>
            <w:tcBorders>
              <w:top w:val="nil"/>
            </w:tcBorders>
          </w:tcPr>
          <w:p w14:paraId="1507B373" w14:textId="77777777" w:rsidR="007105BA" w:rsidRDefault="007105BA" w:rsidP="007105BA">
            <w:r>
              <w:t>x</w:t>
            </w:r>
          </w:p>
        </w:tc>
        <w:tc>
          <w:tcPr>
            <w:tcW w:w="813" w:type="dxa"/>
            <w:tcBorders>
              <w:top w:val="nil"/>
            </w:tcBorders>
          </w:tcPr>
          <w:p w14:paraId="637C0383" w14:textId="77777777" w:rsidR="007105BA" w:rsidRDefault="007105BA" w:rsidP="007105BA">
            <w:r>
              <w:t>x</w:t>
            </w:r>
          </w:p>
        </w:tc>
        <w:tc>
          <w:tcPr>
            <w:tcW w:w="852" w:type="dxa"/>
            <w:tcBorders>
              <w:top w:val="nil"/>
            </w:tcBorders>
          </w:tcPr>
          <w:p w14:paraId="279FB665" w14:textId="77777777" w:rsidR="007105BA" w:rsidRDefault="007105BA" w:rsidP="007105BA">
            <w:r>
              <w:t>x</w:t>
            </w:r>
          </w:p>
        </w:tc>
        <w:tc>
          <w:tcPr>
            <w:tcW w:w="1249" w:type="dxa"/>
            <w:tcBorders>
              <w:top w:val="nil"/>
            </w:tcBorders>
          </w:tcPr>
          <w:p w14:paraId="3525198F" w14:textId="77777777" w:rsidR="007105BA" w:rsidRDefault="007105BA" w:rsidP="007105BA">
            <w:r w:rsidRPr="00573ECE">
              <w:t>x</w:t>
            </w:r>
          </w:p>
        </w:tc>
      </w:tr>
      <w:tr w:rsidR="007105BA" w14:paraId="3939A5D8" w14:textId="77777777" w:rsidTr="007105BA">
        <w:tc>
          <w:tcPr>
            <w:tcW w:w="828" w:type="dxa"/>
          </w:tcPr>
          <w:p w14:paraId="4E716913" w14:textId="77777777" w:rsidR="007105BA" w:rsidRDefault="007105BA" w:rsidP="007105BA">
            <w:r>
              <w:t>x</w:t>
            </w:r>
          </w:p>
        </w:tc>
        <w:tc>
          <w:tcPr>
            <w:tcW w:w="4320" w:type="dxa"/>
          </w:tcPr>
          <w:p w14:paraId="6FD8ED9E" w14:textId="77777777" w:rsidR="007105BA" w:rsidRDefault="007105BA" w:rsidP="007105BA">
            <w:r>
              <w:t>Description of Insider Information and Insiders - NTM 89-05</w:t>
            </w:r>
          </w:p>
        </w:tc>
        <w:tc>
          <w:tcPr>
            <w:tcW w:w="720" w:type="dxa"/>
          </w:tcPr>
          <w:p w14:paraId="7020BFEE" w14:textId="77777777" w:rsidR="007105BA" w:rsidRDefault="00D6319C" w:rsidP="007105BA">
            <w:hyperlink w:anchor="InsideInoDefinition" w:history="1">
              <w:r w:rsidR="007105BA">
                <w:rPr>
                  <w:rStyle w:val="Hyperlink"/>
                </w:rPr>
                <w:t>Pg</w:t>
              </w:r>
            </w:hyperlink>
          </w:p>
        </w:tc>
        <w:tc>
          <w:tcPr>
            <w:tcW w:w="810" w:type="dxa"/>
          </w:tcPr>
          <w:p w14:paraId="336FFF47" w14:textId="77777777" w:rsidR="007105BA" w:rsidRDefault="007105BA" w:rsidP="007105BA">
            <w:r>
              <w:t>x</w:t>
            </w:r>
          </w:p>
        </w:tc>
        <w:tc>
          <w:tcPr>
            <w:tcW w:w="813" w:type="dxa"/>
          </w:tcPr>
          <w:p w14:paraId="6AA11D55" w14:textId="77777777" w:rsidR="007105BA" w:rsidRDefault="007105BA" w:rsidP="007105BA">
            <w:r>
              <w:t>x</w:t>
            </w:r>
          </w:p>
        </w:tc>
        <w:tc>
          <w:tcPr>
            <w:tcW w:w="852" w:type="dxa"/>
          </w:tcPr>
          <w:p w14:paraId="41EF3E37" w14:textId="77777777" w:rsidR="007105BA" w:rsidRDefault="007105BA" w:rsidP="007105BA">
            <w:r>
              <w:t>x</w:t>
            </w:r>
          </w:p>
        </w:tc>
        <w:tc>
          <w:tcPr>
            <w:tcW w:w="1249" w:type="dxa"/>
          </w:tcPr>
          <w:p w14:paraId="123292E2" w14:textId="77777777" w:rsidR="007105BA" w:rsidRDefault="007105BA" w:rsidP="007105BA">
            <w:r w:rsidRPr="00573ECE">
              <w:t>x</w:t>
            </w:r>
          </w:p>
        </w:tc>
      </w:tr>
      <w:tr w:rsidR="007105BA" w14:paraId="2381FC9F" w14:textId="77777777" w:rsidTr="007105BA">
        <w:tc>
          <w:tcPr>
            <w:tcW w:w="828" w:type="dxa"/>
          </w:tcPr>
          <w:p w14:paraId="739C1CB8" w14:textId="77777777" w:rsidR="007105BA" w:rsidRDefault="007105BA" w:rsidP="007105BA">
            <w:r>
              <w:t>x</w:t>
            </w:r>
          </w:p>
        </w:tc>
        <w:tc>
          <w:tcPr>
            <w:tcW w:w="4320" w:type="dxa"/>
          </w:tcPr>
          <w:p w14:paraId="4706A319" w14:textId="77777777" w:rsidR="007105BA" w:rsidRDefault="007105BA" w:rsidP="007105BA">
            <w:r>
              <w:t>Material Information</w:t>
            </w:r>
          </w:p>
        </w:tc>
        <w:tc>
          <w:tcPr>
            <w:tcW w:w="720" w:type="dxa"/>
          </w:tcPr>
          <w:p w14:paraId="64ABD16B" w14:textId="77777777" w:rsidR="007105BA" w:rsidRDefault="00D6319C" w:rsidP="007105BA">
            <w:hyperlink w:anchor="MaterialInformation" w:history="1">
              <w:r w:rsidR="007105BA">
                <w:rPr>
                  <w:rStyle w:val="Hyperlink"/>
                </w:rPr>
                <w:t>Pg</w:t>
              </w:r>
            </w:hyperlink>
          </w:p>
        </w:tc>
        <w:tc>
          <w:tcPr>
            <w:tcW w:w="810" w:type="dxa"/>
          </w:tcPr>
          <w:p w14:paraId="2E8DDFD2" w14:textId="77777777" w:rsidR="007105BA" w:rsidRDefault="007105BA" w:rsidP="007105BA">
            <w:r>
              <w:t>x</w:t>
            </w:r>
          </w:p>
        </w:tc>
        <w:tc>
          <w:tcPr>
            <w:tcW w:w="813" w:type="dxa"/>
          </w:tcPr>
          <w:p w14:paraId="13D04EFD" w14:textId="77777777" w:rsidR="007105BA" w:rsidRDefault="007105BA" w:rsidP="007105BA">
            <w:r>
              <w:t>x</w:t>
            </w:r>
          </w:p>
        </w:tc>
        <w:tc>
          <w:tcPr>
            <w:tcW w:w="852" w:type="dxa"/>
          </w:tcPr>
          <w:p w14:paraId="3972EF44" w14:textId="77777777" w:rsidR="007105BA" w:rsidRDefault="007105BA" w:rsidP="007105BA">
            <w:r>
              <w:t>x</w:t>
            </w:r>
          </w:p>
        </w:tc>
        <w:tc>
          <w:tcPr>
            <w:tcW w:w="1249" w:type="dxa"/>
          </w:tcPr>
          <w:p w14:paraId="0951D5C1" w14:textId="77777777" w:rsidR="007105BA" w:rsidRDefault="007105BA" w:rsidP="007105BA">
            <w:r w:rsidRPr="00573ECE">
              <w:t>x</w:t>
            </w:r>
          </w:p>
        </w:tc>
      </w:tr>
      <w:tr w:rsidR="007105BA" w14:paraId="6C2E5853" w14:textId="77777777" w:rsidTr="007105BA">
        <w:tc>
          <w:tcPr>
            <w:tcW w:w="828" w:type="dxa"/>
          </w:tcPr>
          <w:p w14:paraId="4CC51962" w14:textId="77777777" w:rsidR="007105BA" w:rsidRDefault="007105BA" w:rsidP="007105BA">
            <w:r>
              <w:t>x</w:t>
            </w:r>
          </w:p>
        </w:tc>
        <w:tc>
          <w:tcPr>
            <w:tcW w:w="4320" w:type="dxa"/>
          </w:tcPr>
          <w:p w14:paraId="406B923A" w14:textId="77777777" w:rsidR="007105BA" w:rsidRDefault="007105BA" w:rsidP="007105BA">
            <w:r>
              <w:t>Chinese Wall - NTM 91-45</w:t>
            </w:r>
          </w:p>
        </w:tc>
        <w:tc>
          <w:tcPr>
            <w:tcW w:w="720" w:type="dxa"/>
          </w:tcPr>
          <w:p w14:paraId="79D59BCD" w14:textId="77777777" w:rsidR="007105BA" w:rsidRDefault="00D6319C" w:rsidP="007105BA">
            <w:hyperlink w:anchor="ChineseWall" w:history="1">
              <w:r w:rsidR="007105BA">
                <w:rPr>
                  <w:rStyle w:val="Hyperlink"/>
                </w:rPr>
                <w:t>Pg</w:t>
              </w:r>
            </w:hyperlink>
          </w:p>
        </w:tc>
        <w:tc>
          <w:tcPr>
            <w:tcW w:w="810" w:type="dxa"/>
          </w:tcPr>
          <w:p w14:paraId="12C6F46C" w14:textId="77777777" w:rsidR="007105BA" w:rsidRDefault="007105BA" w:rsidP="007105BA">
            <w:r>
              <w:t>x</w:t>
            </w:r>
          </w:p>
        </w:tc>
        <w:tc>
          <w:tcPr>
            <w:tcW w:w="813" w:type="dxa"/>
          </w:tcPr>
          <w:p w14:paraId="759B8AE7" w14:textId="77777777" w:rsidR="007105BA" w:rsidRDefault="007105BA" w:rsidP="007105BA">
            <w:r>
              <w:t>x</w:t>
            </w:r>
          </w:p>
        </w:tc>
        <w:tc>
          <w:tcPr>
            <w:tcW w:w="852" w:type="dxa"/>
          </w:tcPr>
          <w:p w14:paraId="6B2CBE8B" w14:textId="77777777" w:rsidR="007105BA" w:rsidRDefault="007105BA" w:rsidP="007105BA">
            <w:r>
              <w:t>x</w:t>
            </w:r>
          </w:p>
        </w:tc>
        <w:tc>
          <w:tcPr>
            <w:tcW w:w="1249" w:type="dxa"/>
          </w:tcPr>
          <w:p w14:paraId="2E96D9CD" w14:textId="77777777" w:rsidR="007105BA" w:rsidRDefault="007105BA" w:rsidP="007105BA">
            <w:r w:rsidRPr="00573ECE">
              <w:t>x</w:t>
            </w:r>
          </w:p>
        </w:tc>
      </w:tr>
      <w:tr w:rsidR="007105BA" w14:paraId="26CB367B" w14:textId="77777777" w:rsidTr="007105BA">
        <w:tc>
          <w:tcPr>
            <w:tcW w:w="828" w:type="dxa"/>
          </w:tcPr>
          <w:p w14:paraId="48FF5399" w14:textId="77777777" w:rsidR="007105BA" w:rsidRDefault="007105BA" w:rsidP="007105BA">
            <w:r>
              <w:lastRenderedPageBreak/>
              <w:t>N/A</w:t>
            </w:r>
          </w:p>
        </w:tc>
        <w:tc>
          <w:tcPr>
            <w:tcW w:w="4320" w:type="dxa"/>
          </w:tcPr>
          <w:p w14:paraId="063700B5" w14:textId="77777777" w:rsidR="007105BA" w:rsidRDefault="007105BA" w:rsidP="007105BA">
            <w:r>
              <w:t>Research - IM-2110-4</w:t>
            </w:r>
          </w:p>
        </w:tc>
        <w:tc>
          <w:tcPr>
            <w:tcW w:w="720" w:type="dxa"/>
          </w:tcPr>
          <w:p w14:paraId="0722D75B" w14:textId="77777777" w:rsidR="007105BA" w:rsidRDefault="007105BA" w:rsidP="007105BA"/>
        </w:tc>
        <w:tc>
          <w:tcPr>
            <w:tcW w:w="810" w:type="dxa"/>
          </w:tcPr>
          <w:p w14:paraId="5EAC68FE" w14:textId="77777777" w:rsidR="007105BA" w:rsidRDefault="007105BA" w:rsidP="007105BA"/>
        </w:tc>
        <w:tc>
          <w:tcPr>
            <w:tcW w:w="813" w:type="dxa"/>
          </w:tcPr>
          <w:p w14:paraId="1744B530" w14:textId="77777777" w:rsidR="007105BA" w:rsidRDefault="007105BA" w:rsidP="007105BA"/>
        </w:tc>
        <w:tc>
          <w:tcPr>
            <w:tcW w:w="852" w:type="dxa"/>
          </w:tcPr>
          <w:p w14:paraId="41E7AEE8" w14:textId="77777777" w:rsidR="007105BA" w:rsidRDefault="007105BA" w:rsidP="007105BA"/>
        </w:tc>
        <w:tc>
          <w:tcPr>
            <w:tcW w:w="1249" w:type="dxa"/>
          </w:tcPr>
          <w:p w14:paraId="702DC428" w14:textId="77777777" w:rsidR="007105BA" w:rsidRDefault="007105BA" w:rsidP="007105BA">
            <w:r w:rsidRPr="00573ECE">
              <w:t>x</w:t>
            </w:r>
          </w:p>
        </w:tc>
      </w:tr>
      <w:tr w:rsidR="007105BA" w14:paraId="3B34DB79" w14:textId="77777777" w:rsidTr="007105BA">
        <w:tc>
          <w:tcPr>
            <w:tcW w:w="828" w:type="dxa"/>
          </w:tcPr>
          <w:p w14:paraId="5CF5E193" w14:textId="77777777" w:rsidR="007105BA" w:rsidRDefault="007105BA" w:rsidP="007105BA">
            <w:r>
              <w:t>x</w:t>
            </w:r>
          </w:p>
        </w:tc>
        <w:tc>
          <w:tcPr>
            <w:tcW w:w="4320" w:type="dxa"/>
          </w:tcPr>
          <w:p w14:paraId="5FDBBCE3" w14:textId="77777777" w:rsidR="007105BA" w:rsidRDefault="007105BA" w:rsidP="007105BA">
            <w:r>
              <w:t>Compliance, Restricted, Gray or Watch Lists</w:t>
            </w:r>
          </w:p>
        </w:tc>
        <w:tc>
          <w:tcPr>
            <w:tcW w:w="720" w:type="dxa"/>
          </w:tcPr>
          <w:p w14:paraId="0BEA2D4E" w14:textId="77777777" w:rsidR="007105BA" w:rsidRDefault="00D6319C" w:rsidP="007105BA">
            <w:hyperlink w:anchor="WatchRestrictedLists" w:history="1">
              <w:r w:rsidR="007105BA">
                <w:rPr>
                  <w:rStyle w:val="Hyperlink"/>
                </w:rPr>
                <w:t>Pg</w:t>
              </w:r>
            </w:hyperlink>
          </w:p>
        </w:tc>
        <w:tc>
          <w:tcPr>
            <w:tcW w:w="810" w:type="dxa"/>
          </w:tcPr>
          <w:p w14:paraId="31D8BED6" w14:textId="77777777" w:rsidR="007105BA" w:rsidRDefault="007105BA" w:rsidP="007105BA">
            <w:r>
              <w:t>x</w:t>
            </w:r>
          </w:p>
        </w:tc>
        <w:tc>
          <w:tcPr>
            <w:tcW w:w="813" w:type="dxa"/>
          </w:tcPr>
          <w:p w14:paraId="631DE5BE" w14:textId="77777777" w:rsidR="007105BA" w:rsidRDefault="007105BA" w:rsidP="007105BA">
            <w:r>
              <w:t>x</w:t>
            </w:r>
          </w:p>
        </w:tc>
        <w:tc>
          <w:tcPr>
            <w:tcW w:w="852" w:type="dxa"/>
          </w:tcPr>
          <w:p w14:paraId="0D03873D" w14:textId="77777777" w:rsidR="007105BA" w:rsidRDefault="007105BA" w:rsidP="007105BA">
            <w:r>
              <w:t>x</w:t>
            </w:r>
          </w:p>
        </w:tc>
        <w:tc>
          <w:tcPr>
            <w:tcW w:w="1249" w:type="dxa"/>
          </w:tcPr>
          <w:p w14:paraId="5B67E123" w14:textId="77777777" w:rsidR="007105BA" w:rsidRDefault="007105BA" w:rsidP="007105BA">
            <w:r w:rsidRPr="00573ECE">
              <w:t>x</w:t>
            </w:r>
          </w:p>
        </w:tc>
      </w:tr>
      <w:tr w:rsidR="000C099C" w14:paraId="3D6AF454" w14:textId="77777777" w:rsidTr="007105BA">
        <w:tc>
          <w:tcPr>
            <w:tcW w:w="828" w:type="dxa"/>
          </w:tcPr>
          <w:p w14:paraId="75D4900A" w14:textId="77777777" w:rsidR="000C099C" w:rsidRDefault="000C099C">
            <w:r>
              <w:t>x</w:t>
            </w:r>
          </w:p>
        </w:tc>
        <w:tc>
          <w:tcPr>
            <w:tcW w:w="4320" w:type="dxa"/>
          </w:tcPr>
          <w:p w14:paraId="76A6BCBA" w14:textId="77777777" w:rsidR="000C099C" w:rsidRDefault="000C099C">
            <w:r>
              <w:t>Surveillance Activity to Monitor Trading</w:t>
            </w:r>
          </w:p>
        </w:tc>
        <w:tc>
          <w:tcPr>
            <w:tcW w:w="720" w:type="dxa"/>
          </w:tcPr>
          <w:p w14:paraId="75A31764" w14:textId="77777777" w:rsidR="000C099C" w:rsidRDefault="00D6319C">
            <w:hyperlink w:anchor="SpecificTradingLimitations" w:history="1">
              <w:r w:rsidR="00EB0679">
                <w:rPr>
                  <w:rStyle w:val="Hyperlink"/>
                </w:rPr>
                <w:t>Pg</w:t>
              </w:r>
            </w:hyperlink>
          </w:p>
        </w:tc>
        <w:tc>
          <w:tcPr>
            <w:tcW w:w="810" w:type="dxa"/>
          </w:tcPr>
          <w:p w14:paraId="0CC53FDB" w14:textId="77777777" w:rsidR="000C099C" w:rsidRDefault="000C099C">
            <w:r>
              <w:t>x</w:t>
            </w:r>
          </w:p>
        </w:tc>
        <w:tc>
          <w:tcPr>
            <w:tcW w:w="813" w:type="dxa"/>
          </w:tcPr>
          <w:p w14:paraId="062F7706" w14:textId="77777777" w:rsidR="000C099C" w:rsidRDefault="000C099C">
            <w:r>
              <w:t>x</w:t>
            </w:r>
          </w:p>
        </w:tc>
        <w:tc>
          <w:tcPr>
            <w:tcW w:w="852" w:type="dxa"/>
          </w:tcPr>
          <w:p w14:paraId="65F5D913" w14:textId="77777777" w:rsidR="000C099C" w:rsidRDefault="000C099C">
            <w:r>
              <w:t>x</w:t>
            </w:r>
          </w:p>
        </w:tc>
        <w:tc>
          <w:tcPr>
            <w:tcW w:w="1249" w:type="dxa"/>
          </w:tcPr>
          <w:p w14:paraId="23959B13" w14:textId="77777777" w:rsidR="000C099C" w:rsidRDefault="000C099C">
            <w:r>
              <w:t>x</w:t>
            </w:r>
          </w:p>
        </w:tc>
      </w:tr>
      <w:tr w:rsidR="000C099C" w14:paraId="72895679" w14:textId="77777777" w:rsidTr="007105BA">
        <w:tc>
          <w:tcPr>
            <w:tcW w:w="828" w:type="dxa"/>
          </w:tcPr>
          <w:p w14:paraId="4B2C1ED8" w14:textId="77777777" w:rsidR="000C099C" w:rsidRDefault="000C099C">
            <w:r>
              <w:t>x</w:t>
            </w:r>
          </w:p>
        </w:tc>
        <w:tc>
          <w:tcPr>
            <w:tcW w:w="4320" w:type="dxa"/>
          </w:tcPr>
          <w:p w14:paraId="76A8269F" w14:textId="77777777" w:rsidR="000C099C" w:rsidRDefault="000C099C">
            <w:r>
              <w:t>Security Procedures</w:t>
            </w:r>
          </w:p>
        </w:tc>
        <w:tc>
          <w:tcPr>
            <w:tcW w:w="720" w:type="dxa"/>
          </w:tcPr>
          <w:p w14:paraId="2BDEA004" w14:textId="77777777" w:rsidR="000C099C" w:rsidRDefault="00D6319C">
            <w:hyperlink w:anchor="ChineseWall" w:history="1">
              <w:r w:rsidR="005E4288">
                <w:rPr>
                  <w:rStyle w:val="Hyperlink"/>
                </w:rPr>
                <w:t>Pg</w:t>
              </w:r>
            </w:hyperlink>
          </w:p>
        </w:tc>
        <w:tc>
          <w:tcPr>
            <w:tcW w:w="810" w:type="dxa"/>
          </w:tcPr>
          <w:p w14:paraId="16AD95D8" w14:textId="77777777" w:rsidR="000C099C" w:rsidRDefault="000C099C">
            <w:r>
              <w:t>x</w:t>
            </w:r>
          </w:p>
        </w:tc>
        <w:tc>
          <w:tcPr>
            <w:tcW w:w="813" w:type="dxa"/>
          </w:tcPr>
          <w:p w14:paraId="1C5A3186" w14:textId="77777777" w:rsidR="000C099C" w:rsidRDefault="000C099C">
            <w:r>
              <w:t>x</w:t>
            </w:r>
          </w:p>
        </w:tc>
        <w:tc>
          <w:tcPr>
            <w:tcW w:w="852" w:type="dxa"/>
          </w:tcPr>
          <w:p w14:paraId="4B2AA20B" w14:textId="77777777" w:rsidR="000C099C" w:rsidRDefault="000C099C">
            <w:r>
              <w:t>x</w:t>
            </w:r>
          </w:p>
        </w:tc>
        <w:tc>
          <w:tcPr>
            <w:tcW w:w="1249" w:type="dxa"/>
          </w:tcPr>
          <w:p w14:paraId="3D975AF6" w14:textId="77777777" w:rsidR="000C099C" w:rsidRDefault="000C099C">
            <w:r>
              <w:t>x</w:t>
            </w:r>
          </w:p>
        </w:tc>
      </w:tr>
    </w:tbl>
    <w:p w14:paraId="19C74843" w14:textId="77777777" w:rsidR="000C099C" w:rsidRDefault="000C099C">
      <w:pPr>
        <w:rPr>
          <w:b/>
          <w:sz w:val="24"/>
        </w:rPr>
      </w:pPr>
    </w:p>
    <w:p w14:paraId="0D2BDFD3" w14:textId="77777777" w:rsidR="007105BA" w:rsidRDefault="007105BA">
      <w:pPr>
        <w:rPr>
          <w:b/>
          <w:caps/>
          <w:sz w:val="24"/>
        </w:rPr>
      </w:pPr>
    </w:p>
    <w:p w14:paraId="67365EF1" w14:textId="77777777" w:rsidR="007105BA" w:rsidRDefault="007105BA">
      <w:pPr>
        <w:rPr>
          <w:b/>
          <w:caps/>
          <w:sz w:val="24"/>
        </w:rPr>
      </w:pPr>
    </w:p>
    <w:p w14:paraId="2BE533B8" w14:textId="77777777" w:rsidR="000C099C" w:rsidRPr="00956F08" w:rsidRDefault="000C099C">
      <w:pPr>
        <w:rPr>
          <w:b/>
          <w:caps/>
          <w:sz w:val="24"/>
        </w:rPr>
      </w:pPr>
      <w:r w:rsidRPr="00956F08">
        <w:rPr>
          <w:b/>
          <w:caps/>
          <w:sz w:val="24"/>
        </w:rPr>
        <w:t>Personnel Matters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0D227046" w14:textId="77777777">
        <w:tc>
          <w:tcPr>
            <w:tcW w:w="828" w:type="dxa"/>
            <w:tcBorders>
              <w:top w:val="single" w:sz="12" w:space="0" w:color="auto"/>
              <w:bottom w:val="single" w:sz="6" w:space="0" w:color="auto"/>
            </w:tcBorders>
            <w:shd w:val="pct10" w:color="auto" w:fill="auto"/>
          </w:tcPr>
          <w:p w14:paraId="12FDF077"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32FEB7CF"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70DE4AFA"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1AEF3D4D"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670F7CC6"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5832B4E9"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2C532796" w14:textId="77777777" w:rsidR="000C099C" w:rsidRDefault="000C099C">
            <w:pPr>
              <w:rPr>
                <w:b/>
              </w:rPr>
            </w:pPr>
            <w:r>
              <w:rPr>
                <w:b/>
              </w:rPr>
              <w:t>How Evidenced</w:t>
            </w:r>
          </w:p>
        </w:tc>
      </w:tr>
      <w:tr w:rsidR="000C099C" w14:paraId="3AC92385" w14:textId="77777777">
        <w:tc>
          <w:tcPr>
            <w:tcW w:w="828" w:type="dxa"/>
            <w:tcBorders>
              <w:top w:val="nil"/>
            </w:tcBorders>
          </w:tcPr>
          <w:p w14:paraId="7D39EB8B" w14:textId="77777777" w:rsidR="000C099C" w:rsidRDefault="000C099C">
            <w:r>
              <w:t>x</w:t>
            </w:r>
          </w:p>
        </w:tc>
        <w:tc>
          <w:tcPr>
            <w:tcW w:w="4320" w:type="dxa"/>
            <w:tcBorders>
              <w:top w:val="nil"/>
            </w:tcBorders>
          </w:tcPr>
          <w:p w14:paraId="320E2397" w14:textId="77777777" w:rsidR="000C099C" w:rsidRDefault="000C099C" w:rsidP="00AF4290">
            <w:r>
              <w:t xml:space="preserve">Application for Registration - </w:t>
            </w:r>
            <w:r w:rsidRPr="00E226A0">
              <w:t>FINRA</w:t>
            </w:r>
            <w:r>
              <w:t xml:space="preserve"> By-Laws, Article IV, Section 2(c), Form U-4, </w:t>
            </w:r>
            <w:r w:rsidR="00AF4290">
              <w:rPr>
                <w:color w:val="0000FF"/>
              </w:rPr>
              <w:t>4530</w:t>
            </w:r>
          </w:p>
        </w:tc>
        <w:tc>
          <w:tcPr>
            <w:tcW w:w="720" w:type="dxa"/>
            <w:tcBorders>
              <w:top w:val="nil"/>
            </w:tcBorders>
          </w:tcPr>
          <w:p w14:paraId="63782781" w14:textId="77777777" w:rsidR="000C099C" w:rsidRDefault="00D6319C">
            <w:hyperlink w:anchor="CertificationOfNewEmp" w:history="1">
              <w:r w:rsidR="005E4288">
                <w:rPr>
                  <w:rStyle w:val="Hyperlink"/>
                </w:rPr>
                <w:t>Pg</w:t>
              </w:r>
            </w:hyperlink>
          </w:p>
        </w:tc>
        <w:tc>
          <w:tcPr>
            <w:tcW w:w="810" w:type="dxa"/>
            <w:tcBorders>
              <w:top w:val="nil"/>
            </w:tcBorders>
          </w:tcPr>
          <w:p w14:paraId="13905CED" w14:textId="77777777" w:rsidR="000C099C" w:rsidRDefault="000C099C">
            <w:r>
              <w:t>x</w:t>
            </w:r>
          </w:p>
        </w:tc>
        <w:tc>
          <w:tcPr>
            <w:tcW w:w="813" w:type="dxa"/>
            <w:tcBorders>
              <w:top w:val="nil"/>
            </w:tcBorders>
          </w:tcPr>
          <w:p w14:paraId="2449BA81" w14:textId="77777777" w:rsidR="000C099C" w:rsidRDefault="000C099C">
            <w:r>
              <w:t>x</w:t>
            </w:r>
          </w:p>
        </w:tc>
        <w:tc>
          <w:tcPr>
            <w:tcW w:w="852" w:type="dxa"/>
            <w:tcBorders>
              <w:top w:val="nil"/>
            </w:tcBorders>
          </w:tcPr>
          <w:p w14:paraId="3B84A880" w14:textId="77777777" w:rsidR="000C099C" w:rsidRDefault="000C099C">
            <w:r>
              <w:t>x</w:t>
            </w:r>
          </w:p>
        </w:tc>
        <w:tc>
          <w:tcPr>
            <w:tcW w:w="1249" w:type="dxa"/>
            <w:tcBorders>
              <w:top w:val="nil"/>
            </w:tcBorders>
          </w:tcPr>
          <w:p w14:paraId="6B4114D5" w14:textId="77777777" w:rsidR="000C099C" w:rsidRDefault="000C099C">
            <w:r>
              <w:t>x</w:t>
            </w:r>
          </w:p>
        </w:tc>
      </w:tr>
      <w:tr w:rsidR="000C099C" w14:paraId="00373D9B" w14:textId="77777777">
        <w:tc>
          <w:tcPr>
            <w:tcW w:w="828" w:type="dxa"/>
          </w:tcPr>
          <w:p w14:paraId="51646DC5" w14:textId="77777777" w:rsidR="000C099C" w:rsidRDefault="000C099C">
            <w:r>
              <w:t>x</w:t>
            </w:r>
          </w:p>
        </w:tc>
        <w:tc>
          <w:tcPr>
            <w:tcW w:w="4320" w:type="dxa"/>
          </w:tcPr>
          <w:p w14:paraId="14D41136" w14:textId="77777777" w:rsidR="000C099C" w:rsidRDefault="000C099C">
            <w:r>
              <w:t>Fingerprinting - SEC Rule 17f-2</w:t>
            </w:r>
          </w:p>
        </w:tc>
        <w:tc>
          <w:tcPr>
            <w:tcW w:w="720" w:type="dxa"/>
          </w:tcPr>
          <w:p w14:paraId="26A4F4A6" w14:textId="77777777" w:rsidR="000C099C" w:rsidRDefault="00D6319C">
            <w:hyperlink w:anchor="CertificationOfNewEmp" w:history="1">
              <w:r w:rsidR="005B440C">
                <w:rPr>
                  <w:rStyle w:val="Hyperlink"/>
                </w:rPr>
                <w:t>Pg</w:t>
              </w:r>
            </w:hyperlink>
          </w:p>
        </w:tc>
        <w:tc>
          <w:tcPr>
            <w:tcW w:w="810" w:type="dxa"/>
          </w:tcPr>
          <w:p w14:paraId="214A4857" w14:textId="77777777" w:rsidR="000C099C" w:rsidRDefault="000C099C">
            <w:r>
              <w:t>x</w:t>
            </w:r>
          </w:p>
        </w:tc>
        <w:tc>
          <w:tcPr>
            <w:tcW w:w="813" w:type="dxa"/>
          </w:tcPr>
          <w:p w14:paraId="39C608BF" w14:textId="77777777" w:rsidR="000C099C" w:rsidRDefault="000C099C">
            <w:r>
              <w:t>x</w:t>
            </w:r>
          </w:p>
        </w:tc>
        <w:tc>
          <w:tcPr>
            <w:tcW w:w="852" w:type="dxa"/>
          </w:tcPr>
          <w:p w14:paraId="7D4A6ABD" w14:textId="77777777" w:rsidR="000C099C" w:rsidRDefault="000C099C">
            <w:r>
              <w:t>x</w:t>
            </w:r>
          </w:p>
        </w:tc>
        <w:tc>
          <w:tcPr>
            <w:tcW w:w="1249" w:type="dxa"/>
          </w:tcPr>
          <w:p w14:paraId="2AEDCF52" w14:textId="77777777" w:rsidR="000C099C" w:rsidRDefault="000C099C">
            <w:r>
              <w:t>x</w:t>
            </w:r>
          </w:p>
        </w:tc>
      </w:tr>
      <w:tr w:rsidR="000C099C" w14:paraId="6267753D" w14:textId="77777777">
        <w:tc>
          <w:tcPr>
            <w:tcW w:w="828" w:type="dxa"/>
          </w:tcPr>
          <w:p w14:paraId="62431B5A" w14:textId="77777777" w:rsidR="000C099C" w:rsidRDefault="000C099C">
            <w:r>
              <w:t>x</w:t>
            </w:r>
          </w:p>
        </w:tc>
        <w:tc>
          <w:tcPr>
            <w:tcW w:w="4320" w:type="dxa"/>
          </w:tcPr>
          <w:p w14:paraId="437D46CE" w14:textId="77777777" w:rsidR="000C099C" w:rsidRDefault="000C099C">
            <w:r>
              <w:t>Background Investigations on Prospective Employees - 3010, Form U-5</w:t>
            </w:r>
          </w:p>
        </w:tc>
        <w:tc>
          <w:tcPr>
            <w:tcW w:w="720" w:type="dxa"/>
          </w:tcPr>
          <w:p w14:paraId="38121F68" w14:textId="77777777" w:rsidR="000C099C" w:rsidRDefault="00D6319C">
            <w:hyperlink w:anchor="CertificationOfNewEmp" w:history="1">
              <w:r w:rsidR="007E42A8">
                <w:rPr>
                  <w:rStyle w:val="Hyperlink"/>
                </w:rPr>
                <w:t>Pg</w:t>
              </w:r>
            </w:hyperlink>
          </w:p>
        </w:tc>
        <w:tc>
          <w:tcPr>
            <w:tcW w:w="810" w:type="dxa"/>
          </w:tcPr>
          <w:p w14:paraId="2A4BB911" w14:textId="77777777" w:rsidR="000C099C" w:rsidRDefault="000C099C">
            <w:r>
              <w:t>x</w:t>
            </w:r>
          </w:p>
        </w:tc>
        <w:tc>
          <w:tcPr>
            <w:tcW w:w="813" w:type="dxa"/>
          </w:tcPr>
          <w:p w14:paraId="36078450" w14:textId="77777777" w:rsidR="000C099C" w:rsidRDefault="000C099C">
            <w:r>
              <w:t>x</w:t>
            </w:r>
          </w:p>
        </w:tc>
        <w:tc>
          <w:tcPr>
            <w:tcW w:w="852" w:type="dxa"/>
          </w:tcPr>
          <w:p w14:paraId="596BC14F" w14:textId="77777777" w:rsidR="000C099C" w:rsidRDefault="000C099C">
            <w:r>
              <w:t>x</w:t>
            </w:r>
          </w:p>
        </w:tc>
        <w:tc>
          <w:tcPr>
            <w:tcW w:w="1249" w:type="dxa"/>
          </w:tcPr>
          <w:p w14:paraId="15E3E225" w14:textId="77777777" w:rsidR="000C099C" w:rsidRDefault="000C099C">
            <w:r>
              <w:t>x</w:t>
            </w:r>
          </w:p>
        </w:tc>
      </w:tr>
      <w:tr w:rsidR="000C099C" w14:paraId="5BEE47F2" w14:textId="77777777">
        <w:tc>
          <w:tcPr>
            <w:tcW w:w="828" w:type="dxa"/>
          </w:tcPr>
          <w:p w14:paraId="36099029" w14:textId="77777777" w:rsidR="000C099C" w:rsidRDefault="000C099C">
            <w:r>
              <w:t>x</w:t>
            </w:r>
          </w:p>
        </w:tc>
        <w:tc>
          <w:tcPr>
            <w:tcW w:w="4320" w:type="dxa"/>
          </w:tcPr>
          <w:p w14:paraId="27EC370F" w14:textId="77777777" w:rsidR="000C099C" w:rsidRDefault="000C099C">
            <w:r>
              <w:t xml:space="preserve">Proper Registration and Licensing - </w:t>
            </w:r>
            <w:r w:rsidRPr="00E226A0">
              <w:t>FINRA</w:t>
            </w:r>
            <w:r>
              <w:t xml:space="preserve"> By-Laws, Article II, Section 2, MSRB Rules G-2 &amp; 3, </w:t>
            </w:r>
            <w:r w:rsidR="00E40C30" w:rsidRPr="005C5A17">
              <w:t>FINRA</w:t>
            </w:r>
            <w:r w:rsidR="00B33715" w:rsidRPr="005C5A17">
              <w:t xml:space="preserve"> Rule </w:t>
            </w:r>
            <w:r w:rsidRPr="005C5A17">
              <w:t>12</w:t>
            </w:r>
            <w:r w:rsidR="00E40C30" w:rsidRPr="005C5A17">
              <w:t>5</w:t>
            </w:r>
            <w:r w:rsidRPr="005C5A17">
              <w:t>0</w:t>
            </w:r>
          </w:p>
        </w:tc>
        <w:tc>
          <w:tcPr>
            <w:tcW w:w="720" w:type="dxa"/>
          </w:tcPr>
          <w:p w14:paraId="2C08FCD6" w14:textId="77777777" w:rsidR="000C099C" w:rsidRDefault="00D6319C">
            <w:hyperlink w:anchor="RegnRequirement" w:history="1">
              <w:r w:rsidR="008B39D3">
                <w:rPr>
                  <w:rStyle w:val="Hyperlink"/>
                </w:rPr>
                <w:t>Pg</w:t>
              </w:r>
            </w:hyperlink>
          </w:p>
        </w:tc>
        <w:tc>
          <w:tcPr>
            <w:tcW w:w="810" w:type="dxa"/>
          </w:tcPr>
          <w:p w14:paraId="6FD87508" w14:textId="77777777" w:rsidR="000C099C" w:rsidRDefault="000C099C">
            <w:r>
              <w:t>x</w:t>
            </w:r>
          </w:p>
        </w:tc>
        <w:tc>
          <w:tcPr>
            <w:tcW w:w="813" w:type="dxa"/>
          </w:tcPr>
          <w:p w14:paraId="5E0EA532" w14:textId="77777777" w:rsidR="000C099C" w:rsidRDefault="000C099C">
            <w:r>
              <w:t>x</w:t>
            </w:r>
          </w:p>
        </w:tc>
        <w:tc>
          <w:tcPr>
            <w:tcW w:w="852" w:type="dxa"/>
          </w:tcPr>
          <w:p w14:paraId="72E46194" w14:textId="77777777" w:rsidR="000C099C" w:rsidRDefault="000C099C">
            <w:r>
              <w:t>x</w:t>
            </w:r>
          </w:p>
        </w:tc>
        <w:tc>
          <w:tcPr>
            <w:tcW w:w="1249" w:type="dxa"/>
          </w:tcPr>
          <w:p w14:paraId="3E80529E" w14:textId="77777777" w:rsidR="000C099C" w:rsidRDefault="000C099C">
            <w:r>
              <w:t>x</w:t>
            </w:r>
          </w:p>
        </w:tc>
      </w:tr>
      <w:tr w:rsidR="000C099C" w14:paraId="27AD04DC" w14:textId="77777777">
        <w:tc>
          <w:tcPr>
            <w:tcW w:w="828" w:type="dxa"/>
          </w:tcPr>
          <w:p w14:paraId="5F4AF2DE" w14:textId="77777777" w:rsidR="000C099C" w:rsidRDefault="000C099C">
            <w:r>
              <w:t>x</w:t>
            </w:r>
          </w:p>
        </w:tc>
        <w:tc>
          <w:tcPr>
            <w:tcW w:w="4320" w:type="dxa"/>
          </w:tcPr>
          <w:p w14:paraId="59541453" w14:textId="77777777" w:rsidR="000C099C" w:rsidRDefault="000C099C" w:rsidP="008B39D3">
            <w:r>
              <w:t xml:space="preserve">Outside Business Activities </w:t>
            </w:r>
          </w:p>
        </w:tc>
        <w:tc>
          <w:tcPr>
            <w:tcW w:w="720" w:type="dxa"/>
          </w:tcPr>
          <w:p w14:paraId="099CA0A7" w14:textId="77777777" w:rsidR="000C099C" w:rsidRDefault="00D6319C">
            <w:hyperlink w:anchor="OBA" w:history="1">
              <w:r w:rsidR="008B39D3">
                <w:rPr>
                  <w:rStyle w:val="Hyperlink"/>
                </w:rPr>
                <w:t>Pg</w:t>
              </w:r>
            </w:hyperlink>
          </w:p>
        </w:tc>
        <w:tc>
          <w:tcPr>
            <w:tcW w:w="810" w:type="dxa"/>
          </w:tcPr>
          <w:p w14:paraId="58CBDABE" w14:textId="77777777" w:rsidR="000C099C" w:rsidRDefault="000C099C">
            <w:r>
              <w:t>x</w:t>
            </w:r>
          </w:p>
        </w:tc>
        <w:tc>
          <w:tcPr>
            <w:tcW w:w="813" w:type="dxa"/>
          </w:tcPr>
          <w:p w14:paraId="1F938E15" w14:textId="77777777" w:rsidR="000C099C" w:rsidRDefault="000C099C">
            <w:r>
              <w:t>x</w:t>
            </w:r>
          </w:p>
        </w:tc>
        <w:tc>
          <w:tcPr>
            <w:tcW w:w="852" w:type="dxa"/>
          </w:tcPr>
          <w:p w14:paraId="7ABE740C" w14:textId="77777777" w:rsidR="000C099C" w:rsidRDefault="000C099C">
            <w:r>
              <w:t>x</w:t>
            </w:r>
          </w:p>
        </w:tc>
        <w:tc>
          <w:tcPr>
            <w:tcW w:w="1249" w:type="dxa"/>
          </w:tcPr>
          <w:p w14:paraId="7776E7F1" w14:textId="77777777" w:rsidR="000C099C" w:rsidRDefault="000C099C">
            <w:r>
              <w:t>x</w:t>
            </w:r>
          </w:p>
        </w:tc>
      </w:tr>
      <w:tr w:rsidR="000C099C" w14:paraId="238FDCFC" w14:textId="77777777">
        <w:tc>
          <w:tcPr>
            <w:tcW w:w="828" w:type="dxa"/>
          </w:tcPr>
          <w:p w14:paraId="33A02C96" w14:textId="77777777" w:rsidR="000C099C" w:rsidRDefault="000C099C">
            <w:r>
              <w:t>x</w:t>
            </w:r>
          </w:p>
        </w:tc>
        <w:tc>
          <w:tcPr>
            <w:tcW w:w="4320" w:type="dxa"/>
          </w:tcPr>
          <w:p w14:paraId="22DB46F8" w14:textId="77777777" w:rsidR="000C099C" w:rsidRDefault="000C099C">
            <w:r>
              <w:t>Privat</w:t>
            </w:r>
            <w:r w:rsidR="008B39D3">
              <w:t xml:space="preserve">e Securities Transactions </w:t>
            </w:r>
          </w:p>
        </w:tc>
        <w:tc>
          <w:tcPr>
            <w:tcW w:w="720" w:type="dxa"/>
          </w:tcPr>
          <w:p w14:paraId="513E4EB7" w14:textId="77777777" w:rsidR="000C099C" w:rsidRDefault="00D6319C">
            <w:hyperlink w:anchor="PrivateSecTrx" w:history="1">
              <w:r w:rsidR="008B39D3">
                <w:rPr>
                  <w:rStyle w:val="Hyperlink"/>
                </w:rPr>
                <w:t>Pg</w:t>
              </w:r>
            </w:hyperlink>
          </w:p>
        </w:tc>
        <w:tc>
          <w:tcPr>
            <w:tcW w:w="810" w:type="dxa"/>
          </w:tcPr>
          <w:p w14:paraId="5E5EAC47" w14:textId="77777777" w:rsidR="000C099C" w:rsidRDefault="000C099C">
            <w:r>
              <w:t>x</w:t>
            </w:r>
          </w:p>
        </w:tc>
        <w:tc>
          <w:tcPr>
            <w:tcW w:w="813" w:type="dxa"/>
          </w:tcPr>
          <w:p w14:paraId="71040BE9" w14:textId="77777777" w:rsidR="000C099C" w:rsidRDefault="000C099C">
            <w:r>
              <w:t>x</w:t>
            </w:r>
          </w:p>
        </w:tc>
        <w:tc>
          <w:tcPr>
            <w:tcW w:w="852" w:type="dxa"/>
          </w:tcPr>
          <w:p w14:paraId="4349EDF8" w14:textId="77777777" w:rsidR="000C099C" w:rsidRDefault="000C099C">
            <w:r>
              <w:t>x</w:t>
            </w:r>
          </w:p>
        </w:tc>
        <w:tc>
          <w:tcPr>
            <w:tcW w:w="1249" w:type="dxa"/>
          </w:tcPr>
          <w:p w14:paraId="063B148B" w14:textId="77777777" w:rsidR="000C099C" w:rsidRDefault="000C099C">
            <w:r>
              <w:t>x</w:t>
            </w:r>
          </w:p>
        </w:tc>
      </w:tr>
      <w:tr w:rsidR="000C099C" w14:paraId="4A84E822" w14:textId="77777777">
        <w:tc>
          <w:tcPr>
            <w:tcW w:w="828" w:type="dxa"/>
          </w:tcPr>
          <w:p w14:paraId="611D63C5" w14:textId="77777777" w:rsidR="000C099C" w:rsidRDefault="000C099C">
            <w:r>
              <w:t>x</w:t>
            </w:r>
          </w:p>
        </w:tc>
        <w:tc>
          <w:tcPr>
            <w:tcW w:w="4320" w:type="dxa"/>
          </w:tcPr>
          <w:p w14:paraId="3F896D8F" w14:textId="77777777" w:rsidR="000C099C" w:rsidRDefault="000C099C">
            <w:r>
              <w:t xml:space="preserve">Supervision of Statutorily Disqualified Individuals - </w:t>
            </w:r>
            <w:r w:rsidRPr="00E226A0">
              <w:t>FINRA</w:t>
            </w:r>
            <w:r>
              <w:t xml:space="preserve"> By-Laws, Article II, Section 4, Form MC-400</w:t>
            </w:r>
          </w:p>
        </w:tc>
        <w:tc>
          <w:tcPr>
            <w:tcW w:w="720" w:type="dxa"/>
          </w:tcPr>
          <w:p w14:paraId="163CDD7F" w14:textId="77777777" w:rsidR="000C099C" w:rsidRDefault="00D6319C">
            <w:hyperlink w:anchor="StatutorilyDisqualifiedIndiv" w:history="1">
              <w:r w:rsidR="008B39D3">
                <w:rPr>
                  <w:rStyle w:val="Hyperlink"/>
                </w:rPr>
                <w:t>Pg</w:t>
              </w:r>
            </w:hyperlink>
          </w:p>
        </w:tc>
        <w:tc>
          <w:tcPr>
            <w:tcW w:w="810" w:type="dxa"/>
          </w:tcPr>
          <w:p w14:paraId="3809FCBF" w14:textId="77777777" w:rsidR="000C099C" w:rsidRDefault="000C099C">
            <w:r>
              <w:t>x</w:t>
            </w:r>
          </w:p>
        </w:tc>
        <w:tc>
          <w:tcPr>
            <w:tcW w:w="813" w:type="dxa"/>
          </w:tcPr>
          <w:p w14:paraId="7231FA49" w14:textId="77777777" w:rsidR="000C099C" w:rsidRDefault="000C099C">
            <w:r>
              <w:t>x</w:t>
            </w:r>
          </w:p>
        </w:tc>
        <w:tc>
          <w:tcPr>
            <w:tcW w:w="852" w:type="dxa"/>
          </w:tcPr>
          <w:p w14:paraId="025BA6A1" w14:textId="77777777" w:rsidR="000C099C" w:rsidRDefault="000C099C">
            <w:r>
              <w:t>x</w:t>
            </w:r>
          </w:p>
        </w:tc>
        <w:tc>
          <w:tcPr>
            <w:tcW w:w="1249" w:type="dxa"/>
          </w:tcPr>
          <w:p w14:paraId="11141561" w14:textId="77777777" w:rsidR="000C099C" w:rsidRDefault="000C099C">
            <w:r>
              <w:t>x</w:t>
            </w:r>
          </w:p>
        </w:tc>
      </w:tr>
      <w:tr w:rsidR="000C099C" w14:paraId="65D51201" w14:textId="77777777">
        <w:tc>
          <w:tcPr>
            <w:tcW w:w="828" w:type="dxa"/>
          </w:tcPr>
          <w:p w14:paraId="67CA2C2D" w14:textId="77777777" w:rsidR="000C099C" w:rsidRDefault="000C099C">
            <w:r>
              <w:t>x</w:t>
            </w:r>
          </w:p>
        </w:tc>
        <w:tc>
          <w:tcPr>
            <w:tcW w:w="4320" w:type="dxa"/>
          </w:tcPr>
          <w:p w14:paraId="520DB3A8" w14:textId="77777777" w:rsidR="000C099C" w:rsidRDefault="000C099C">
            <w:r>
              <w:t xml:space="preserve">Termination of Registration - </w:t>
            </w:r>
            <w:r w:rsidRPr="00E226A0">
              <w:t>FINRA</w:t>
            </w:r>
            <w:r>
              <w:t xml:space="preserve"> By-Laws, Article IV, Section 3, Form U-5</w:t>
            </w:r>
          </w:p>
        </w:tc>
        <w:tc>
          <w:tcPr>
            <w:tcW w:w="720" w:type="dxa"/>
          </w:tcPr>
          <w:p w14:paraId="72B210CA" w14:textId="77777777" w:rsidR="000C099C" w:rsidRDefault="00D6319C">
            <w:hyperlink w:anchor="TerminationProcedures" w:history="1">
              <w:r w:rsidR="00E359FF">
                <w:rPr>
                  <w:rStyle w:val="Hyperlink"/>
                </w:rPr>
                <w:t>Pg</w:t>
              </w:r>
            </w:hyperlink>
          </w:p>
        </w:tc>
        <w:tc>
          <w:tcPr>
            <w:tcW w:w="810" w:type="dxa"/>
          </w:tcPr>
          <w:p w14:paraId="343B10A4" w14:textId="77777777" w:rsidR="000C099C" w:rsidRDefault="000C099C">
            <w:r>
              <w:t>x</w:t>
            </w:r>
          </w:p>
        </w:tc>
        <w:tc>
          <w:tcPr>
            <w:tcW w:w="813" w:type="dxa"/>
          </w:tcPr>
          <w:p w14:paraId="58FA35C6" w14:textId="77777777" w:rsidR="000C099C" w:rsidRDefault="000C099C">
            <w:r>
              <w:t>x</w:t>
            </w:r>
          </w:p>
        </w:tc>
        <w:tc>
          <w:tcPr>
            <w:tcW w:w="852" w:type="dxa"/>
          </w:tcPr>
          <w:p w14:paraId="11EDD0BD" w14:textId="77777777" w:rsidR="000C099C" w:rsidRDefault="000C099C">
            <w:r>
              <w:t>x</w:t>
            </w:r>
          </w:p>
        </w:tc>
        <w:tc>
          <w:tcPr>
            <w:tcW w:w="1249" w:type="dxa"/>
          </w:tcPr>
          <w:p w14:paraId="6B6D9409" w14:textId="77777777" w:rsidR="000C099C" w:rsidRDefault="000C099C">
            <w:r>
              <w:t>x</w:t>
            </w:r>
          </w:p>
        </w:tc>
      </w:tr>
      <w:tr w:rsidR="000C099C" w14:paraId="2B9EB85C" w14:textId="77777777">
        <w:trPr>
          <w:trHeight w:val="2010"/>
        </w:trPr>
        <w:tc>
          <w:tcPr>
            <w:tcW w:w="828" w:type="dxa"/>
          </w:tcPr>
          <w:p w14:paraId="3A20B091" w14:textId="77777777" w:rsidR="000C099C" w:rsidRDefault="000C099C">
            <w:r>
              <w:t>x</w:t>
            </w:r>
          </w:p>
        </w:tc>
        <w:tc>
          <w:tcPr>
            <w:tcW w:w="4320" w:type="dxa"/>
          </w:tcPr>
          <w:p w14:paraId="13227C5A" w14:textId="77777777" w:rsidR="000C099C" w:rsidRDefault="000C099C">
            <w:r>
              <w:t>Continuing Education Requirements</w:t>
            </w:r>
          </w:p>
          <w:p w14:paraId="2D093BB9" w14:textId="77777777" w:rsidR="000C099C" w:rsidRDefault="000C099C">
            <w:r>
              <w:t>-</w:t>
            </w:r>
            <w:r>
              <w:tab/>
            </w:r>
            <w:r>
              <w:tab/>
              <w:t>Regulatory Element</w:t>
            </w:r>
          </w:p>
          <w:p w14:paraId="5644F66E" w14:textId="77777777" w:rsidR="000C099C" w:rsidRDefault="000C099C">
            <w:r>
              <w:t>-</w:t>
            </w:r>
            <w:r>
              <w:tab/>
            </w:r>
            <w:r>
              <w:tab/>
              <w:t>Firm Element</w:t>
            </w:r>
          </w:p>
          <w:p w14:paraId="2EAECC14" w14:textId="77777777" w:rsidR="000C099C" w:rsidRDefault="000C099C">
            <w:r>
              <w:t>-</w:t>
            </w:r>
            <w:r>
              <w:tab/>
            </w:r>
            <w:r>
              <w:tab/>
              <w:t>Needs Analysis</w:t>
            </w:r>
          </w:p>
          <w:p w14:paraId="02D7E73F" w14:textId="77777777" w:rsidR="000C099C" w:rsidRDefault="000C099C">
            <w:r>
              <w:t>-</w:t>
            </w:r>
            <w:r>
              <w:tab/>
            </w:r>
            <w:r>
              <w:tab/>
              <w:t>Training Plan</w:t>
            </w:r>
          </w:p>
          <w:p w14:paraId="2FCF1668" w14:textId="77777777" w:rsidR="000C099C" w:rsidRDefault="000C099C">
            <w:r>
              <w:t>-</w:t>
            </w:r>
            <w:r>
              <w:tab/>
            </w:r>
            <w:r>
              <w:tab/>
              <w:t>Training Material</w:t>
            </w:r>
          </w:p>
          <w:p w14:paraId="369B684E" w14:textId="77777777" w:rsidR="000C099C" w:rsidRDefault="000C099C">
            <w:r>
              <w:t>-</w:t>
            </w:r>
            <w:r>
              <w:tab/>
            </w:r>
            <w:r>
              <w:tab/>
              <w:t>Media Utilized</w:t>
            </w:r>
          </w:p>
          <w:p w14:paraId="02FD3E9F" w14:textId="77777777" w:rsidR="000C099C" w:rsidRDefault="000C099C">
            <w:r>
              <w:t>-</w:t>
            </w:r>
            <w:r>
              <w:tab/>
            </w:r>
            <w:r>
              <w:tab/>
              <w:t>Books and Records</w:t>
            </w:r>
          </w:p>
        </w:tc>
        <w:tc>
          <w:tcPr>
            <w:tcW w:w="720" w:type="dxa"/>
          </w:tcPr>
          <w:p w14:paraId="48581BC6" w14:textId="77777777" w:rsidR="000C099C" w:rsidRDefault="00D6319C">
            <w:hyperlink w:anchor="CE" w:history="1">
              <w:r w:rsidR="007F2688">
                <w:rPr>
                  <w:rStyle w:val="Hyperlink"/>
                </w:rPr>
                <w:t>Pg</w:t>
              </w:r>
            </w:hyperlink>
          </w:p>
        </w:tc>
        <w:tc>
          <w:tcPr>
            <w:tcW w:w="810" w:type="dxa"/>
          </w:tcPr>
          <w:p w14:paraId="772E55BE" w14:textId="77777777" w:rsidR="000C099C" w:rsidRDefault="000C099C">
            <w:r>
              <w:t>x</w:t>
            </w:r>
          </w:p>
        </w:tc>
        <w:tc>
          <w:tcPr>
            <w:tcW w:w="813" w:type="dxa"/>
          </w:tcPr>
          <w:p w14:paraId="479C508F" w14:textId="77777777" w:rsidR="000C099C" w:rsidRDefault="000C099C">
            <w:r>
              <w:t>x</w:t>
            </w:r>
          </w:p>
        </w:tc>
        <w:tc>
          <w:tcPr>
            <w:tcW w:w="852" w:type="dxa"/>
          </w:tcPr>
          <w:p w14:paraId="52CB6593" w14:textId="77777777" w:rsidR="000C099C" w:rsidRDefault="000C099C">
            <w:r>
              <w:t>x</w:t>
            </w:r>
          </w:p>
        </w:tc>
        <w:tc>
          <w:tcPr>
            <w:tcW w:w="1249" w:type="dxa"/>
          </w:tcPr>
          <w:p w14:paraId="60049A42" w14:textId="77777777" w:rsidR="000C099C" w:rsidRDefault="000C099C">
            <w:r>
              <w:t>x</w:t>
            </w:r>
          </w:p>
        </w:tc>
      </w:tr>
    </w:tbl>
    <w:p w14:paraId="031367DC" w14:textId="77777777" w:rsidR="000C099C" w:rsidRDefault="000C099C">
      <w:pPr>
        <w:rPr>
          <w:sz w:val="24"/>
        </w:rPr>
      </w:pPr>
    </w:p>
    <w:p w14:paraId="1A840C82" w14:textId="77777777" w:rsidR="000C099C" w:rsidRDefault="000C099C">
      <w:pPr>
        <w:rPr>
          <w:sz w:val="24"/>
        </w:rPr>
      </w:pPr>
    </w:p>
    <w:p w14:paraId="56E0A9CC" w14:textId="77777777" w:rsidR="000C099C" w:rsidRPr="00956F08" w:rsidRDefault="000C099C">
      <w:pPr>
        <w:rPr>
          <w:b/>
          <w:caps/>
          <w:sz w:val="24"/>
        </w:rPr>
      </w:pPr>
      <w:r w:rsidRPr="00956F08">
        <w:rPr>
          <w:b/>
          <w:caps/>
          <w:sz w:val="24"/>
        </w:rPr>
        <w:t>Communications with the Public</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0D45A511" w14:textId="77777777">
        <w:tc>
          <w:tcPr>
            <w:tcW w:w="828" w:type="dxa"/>
            <w:tcBorders>
              <w:top w:val="single" w:sz="12" w:space="0" w:color="auto"/>
              <w:bottom w:val="single" w:sz="6" w:space="0" w:color="auto"/>
            </w:tcBorders>
            <w:shd w:val="pct10" w:color="auto" w:fill="auto"/>
          </w:tcPr>
          <w:p w14:paraId="03DEEE66"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1A6C7920"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4E6F91B2"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29354809"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7C194A19"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713C9033"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3B74DCC1" w14:textId="77777777" w:rsidR="000C099C" w:rsidRDefault="000C099C">
            <w:pPr>
              <w:rPr>
                <w:b/>
              </w:rPr>
            </w:pPr>
            <w:r>
              <w:rPr>
                <w:b/>
              </w:rPr>
              <w:t>How Evidenced</w:t>
            </w:r>
          </w:p>
        </w:tc>
      </w:tr>
      <w:tr w:rsidR="000C099C" w14:paraId="23BB79DB" w14:textId="77777777">
        <w:tc>
          <w:tcPr>
            <w:tcW w:w="828" w:type="dxa"/>
            <w:tcBorders>
              <w:top w:val="nil"/>
            </w:tcBorders>
          </w:tcPr>
          <w:p w14:paraId="43DA458E" w14:textId="77777777" w:rsidR="000C099C" w:rsidRDefault="000C099C">
            <w:r>
              <w:t>x</w:t>
            </w:r>
          </w:p>
        </w:tc>
        <w:tc>
          <w:tcPr>
            <w:tcW w:w="4320" w:type="dxa"/>
            <w:tcBorders>
              <w:top w:val="nil"/>
            </w:tcBorders>
          </w:tcPr>
          <w:p w14:paraId="27AB4442" w14:textId="77777777" w:rsidR="000C099C" w:rsidRDefault="000C099C">
            <w:r>
              <w:t>Advertising and Sales Literature - 2210, MSRB Rule G-21</w:t>
            </w:r>
          </w:p>
        </w:tc>
        <w:tc>
          <w:tcPr>
            <w:tcW w:w="720" w:type="dxa"/>
            <w:tcBorders>
              <w:top w:val="nil"/>
            </w:tcBorders>
          </w:tcPr>
          <w:p w14:paraId="7066727D" w14:textId="77777777" w:rsidR="000C099C" w:rsidRDefault="00D6319C">
            <w:hyperlink w:anchor="AdvAndSalesLit" w:history="1">
              <w:r w:rsidR="00F471C0">
                <w:rPr>
                  <w:rStyle w:val="Hyperlink"/>
                </w:rPr>
                <w:t>Pg</w:t>
              </w:r>
            </w:hyperlink>
          </w:p>
        </w:tc>
        <w:tc>
          <w:tcPr>
            <w:tcW w:w="810" w:type="dxa"/>
            <w:tcBorders>
              <w:top w:val="nil"/>
            </w:tcBorders>
          </w:tcPr>
          <w:p w14:paraId="25430F70" w14:textId="77777777" w:rsidR="000C099C" w:rsidRDefault="000C099C">
            <w:r>
              <w:t>x</w:t>
            </w:r>
          </w:p>
        </w:tc>
        <w:tc>
          <w:tcPr>
            <w:tcW w:w="813" w:type="dxa"/>
            <w:tcBorders>
              <w:top w:val="nil"/>
            </w:tcBorders>
          </w:tcPr>
          <w:p w14:paraId="18B3F011" w14:textId="77777777" w:rsidR="000C099C" w:rsidRDefault="000C099C">
            <w:r>
              <w:t>x</w:t>
            </w:r>
          </w:p>
        </w:tc>
        <w:tc>
          <w:tcPr>
            <w:tcW w:w="852" w:type="dxa"/>
            <w:tcBorders>
              <w:top w:val="nil"/>
            </w:tcBorders>
          </w:tcPr>
          <w:p w14:paraId="4A0D6E61" w14:textId="77777777" w:rsidR="000C099C" w:rsidRDefault="000C099C">
            <w:r>
              <w:t>x</w:t>
            </w:r>
          </w:p>
        </w:tc>
        <w:tc>
          <w:tcPr>
            <w:tcW w:w="1249" w:type="dxa"/>
            <w:tcBorders>
              <w:top w:val="nil"/>
            </w:tcBorders>
          </w:tcPr>
          <w:p w14:paraId="00504D8B" w14:textId="77777777" w:rsidR="000C099C" w:rsidRDefault="000C099C">
            <w:r>
              <w:t>x</w:t>
            </w:r>
          </w:p>
        </w:tc>
      </w:tr>
      <w:tr w:rsidR="000C099C" w14:paraId="6511A740" w14:textId="77777777">
        <w:tc>
          <w:tcPr>
            <w:tcW w:w="828" w:type="dxa"/>
          </w:tcPr>
          <w:p w14:paraId="6A3E8E6A" w14:textId="77777777" w:rsidR="000C099C" w:rsidRDefault="000C099C">
            <w:r>
              <w:t>x</w:t>
            </w:r>
          </w:p>
        </w:tc>
        <w:tc>
          <w:tcPr>
            <w:tcW w:w="4320" w:type="dxa"/>
          </w:tcPr>
          <w:p w14:paraId="7CEA6826" w14:textId="6352B01F" w:rsidR="000C099C" w:rsidRDefault="000C099C">
            <w:r>
              <w:t xml:space="preserve">Direct Contact </w:t>
            </w:r>
            <w:r w:rsidR="005C5A17">
              <w:t>w</w:t>
            </w:r>
            <w:r>
              <w:t>ith The Public and Cold-Calling - NTM 95-54</w:t>
            </w:r>
          </w:p>
        </w:tc>
        <w:tc>
          <w:tcPr>
            <w:tcW w:w="720" w:type="dxa"/>
          </w:tcPr>
          <w:p w14:paraId="47AA6C5F" w14:textId="77777777" w:rsidR="000C099C" w:rsidRDefault="000C099C">
            <w:r>
              <w:t xml:space="preserve"> </w:t>
            </w:r>
            <w:hyperlink w:anchor="ColdCalling" w:history="1">
              <w:r w:rsidR="00F471C0">
                <w:rPr>
                  <w:rStyle w:val="Hyperlink"/>
                </w:rPr>
                <w:t>Pg</w:t>
              </w:r>
            </w:hyperlink>
          </w:p>
        </w:tc>
        <w:tc>
          <w:tcPr>
            <w:tcW w:w="810" w:type="dxa"/>
          </w:tcPr>
          <w:p w14:paraId="700C4802" w14:textId="77777777" w:rsidR="000C099C" w:rsidRDefault="000C099C">
            <w:r>
              <w:t>x</w:t>
            </w:r>
          </w:p>
        </w:tc>
        <w:tc>
          <w:tcPr>
            <w:tcW w:w="813" w:type="dxa"/>
          </w:tcPr>
          <w:p w14:paraId="22336A37" w14:textId="77777777" w:rsidR="000C099C" w:rsidRDefault="000C099C">
            <w:r>
              <w:t>x</w:t>
            </w:r>
          </w:p>
        </w:tc>
        <w:tc>
          <w:tcPr>
            <w:tcW w:w="852" w:type="dxa"/>
          </w:tcPr>
          <w:p w14:paraId="297E92A1" w14:textId="77777777" w:rsidR="000C099C" w:rsidRDefault="000C099C">
            <w:r>
              <w:t>x</w:t>
            </w:r>
          </w:p>
        </w:tc>
        <w:tc>
          <w:tcPr>
            <w:tcW w:w="1249" w:type="dxa"/>
          </w:tcPr>
          <w:p w14:paraId="77CBEB60" w14:textId="77777777" w:rsidR="000C099C" w:rsidRDefault="000C099C">
            <w:r>
              <w:t>x</w:t>
            </w:r>
          </w:p>
        </w:tc>
      </w:tr>
      <w:tr w:rsidR="000C099C" w14:paraId="1811044E" w14:textId="77777777">
        <w:tc>
          <w:tcPr>
            <w:tcW w:w="828" w:type="dxa"/>
          </w:tcPr>
          <w:p w14:paraId="714A394F" w14:textId="77777777" w:rsidR="000C099C" w:rsidRDefault="000C099C">
            <w:r>
              <w:t>x</w:t>
            </w:r>
          </w:p>
        </w:tc>
        <w:tc>
          <w:tcPr>
            <w:tcW w:w="4320" w:type="dxa"/>
          </w:tcPr>
          <w:p w14:paraId="47857D97" w14:textId="77777777" w:rsidR="000C099C" w:rsidRDefault="000C099C">
            <w:r>
              <w:t>:Internal Use Only” Material not released to Public</w:t>
            </w:r>
          </w:p>
        </w:tc>
        <w:tc>
          <w:tcPr>
            <w:tcW w:w="720" w:type="dxa"/>
          </w:tcPr>
          <w:p w14:paraId="672FE74A" w14:textId="77777777" w:rsidR="000C099C" w:rsidRDefault="00D6319C">
            <w:hyperlink w:anchor="InternalUseOnlyMaterial" w:history="1">
              <w:r w:rsidR="00A1675E">
                <w:rPr>
                  <w:rStyle w:val="Hyperlink"/>
                </w:rPr>
                <w:t>Pg</w:t>
              </w:r>
            </w:hyperlink>
          </w:p>
        </w:tc>
        <w:tc>
          <w:tcPr>
            <w:tcW w:w="810" w:type="dxa"/>
          </w:tcPr>
          <w:p w14:paraId="33C8EF21" w14:textId="77777777" w:rsidR="000C099C" w:rsidRDefault="000C099C">
            <w:r>
              <w:t>x</w:t>
            </w:r>
          </w:p>
        </w:tc>
        <w:tc>
          <w:tcPr>
            <w:tcW w:w="813" w:type="dxa"/>
          </w:tcPr>
          <w:p w14:paraId="3E8A9862" w14:textId="77777777" w:rsidR="000C099C" w:rsidRDefault="000C099C">
            <w:r>
              <w:t>x</w:t>
            </w:r>
          </w:p>
        </w:tc>
        <w:tc>
          <w:tcPr>
            <w:tcW w:w="852" w:type="dxa"/>
          </w:tcPr>
          <w:p w14:paraId="6604C7CF" w14:textId="77777777" w:rsidR="000C099C" w:rsidRDefault="000C099C">
            <w:r>
              <w:t>x</w:t>
            </w:r>
          </w:p>
        </w:tc>
        <w:tc>
          <w:tcPr>
            <w:tcW w:w="1249" w:type="dxa"/>
          </w:tcPr>
          <w:p w14:paraId="607232BA" w14:textId="77777777" w:rsidR="000C099C" w:rsidRDefault="000C099C">
            <w:r>
              <w:t>x</w:t>
            </w:r>
          </w:p>
        </w:tc>
      </w:tr>
      <w:tr w:rsidR="000C099C" w14:paraId="5E5972B4" w14:textId="77777777">
        <w:tc>
          <w:tcPr>
            <w:tcW w:w="828" w:type="dxa"/>
          </w:tcPr>
          <w:p w14:paraId="5FDEEC0A" w14:textId="77777777" w:rsidR="000C099C" w:rsidRDefault="000C099C">
            <w:r>
              <w:t>x</w:t>
            </w:r>
          </w:p>
        </w:tc>
        <w:tc>
          <w:tcPr>
            <w:tcW w:w="4320" w:type="dxa"/>
          </w:tcPr>
          <w:p w14:paraId="06123552" w14:textId="77777777" w:rsidR="000C099C" w:rsidRDefault="000C099C">
            <w:r>
              <w:t>Outgoing Mail principal review</w:t>
            </w:r>
          </w:p>
        </w:tc>
        <w:tc>
          <w:tcPr>
            <w:tcW w:w="720" w:type="dxa"/>
          </w:tcPr>
          <w:p w14:paraId="03943DAB" w14:textId="77777777" w:rsidR="000C099C" w:rsidRDefault="00D6319C">
            <w:hyperlink w:anchor="OutgoingMail" w:history="1">
              <w:r w:rsidR="00CE1C05">
                <w:rPr>
                  <w:rStyle w:val="Hyperlink"/>
                </w:rPr>
                <w:t>Pg</w:t>
              </w:r>
            </w:hyperlink>
          </w:p>
        </w:tc>
        <w:tc>
          <w:tcPr>
            <w:tcW w:w="810" w:type="dxa"/>
          </w:tcPr>
          <w:p w14:paraId="690E8968" w14:textId="77777777" w:rsidR="000C099C" w:rsidRDefault="000C099C">
            <w:r>
              <w:t>x</w:t>
            </w:r>
          </w:p>
        </w:tc>
        <w:tc>
          <w:tcPr>
            <w:tcW w:w="813" w:type="dxa"/>
          </w:tcPr>
          <w:p w14:paraId="6DBA5523" w14:textId="77777777" w:rsidR="000C099C" w:rsidRDefault="000C099C">
            <w:r>
              <w:t>x</w:t>
            </w:r>
          </w:p>
        </w:tc>
        <w:tc>
          <w:tcPr>
            <w:tcW w:w="852" w:type="dxa"/>
          </w:tcPr>
          <w:p w14:paraId="2061114F" w14:textId="77777777" w:rsidR="000C099C" w:rsidRDefault="000C099C">
            <w:r>
              <w:t>x</w:t>
            </w:r>
          </w:p>
        </w:tc>
        <w:tc>
          <w:tcPr>
            <w:tcW w:w="1249" w:type="dxa"/>
          </w:tcPr>
          <w:p w14:paraId="46E1C543" w14:textId="77777777" w:rsidR="000C099C" w:rsidRDefault="000C099C">
            <w:r>
              <w:t>x</w:t>
            </w:r>
          </w:p>
        </w:tc>
      </w:tr>
      <w:tr w:rsidR="000C099C" w14:paraId="6A30A706" w14:textId="77777777">
        <w:tc>
          <w:tcPr>
            <w:tcW w:w="828" w:type="dxa"/>
          </w:tcPr>
          <w:p w14:paraId="28925BA7" w14:textId="77777777" w:rsidR="000C099C" w:rsidRDefault="000C099C">
            <w:r>
              <w:t>N/A</w:t>
            </w:r>
          </w:p>
        </w:tc>
        <w:tc>
          <w:tcPr>
            <w:tcW w:w="4320" w:type="dxa"/>
          </w:tcPr>
          <w:p w14:paraId="11D2DD9A" w14:textId="77777777" w:rsidR="000C099C" w:rsidRDefault="000C099C" w:rsidP="00CE1C05">
            <w:r>
              <w:t xml:space="preserve">Options </w:t>
            </w:r>
            <w:r w:rsidR="00CE1C05">
              <w:t>Communications</w:t>
            </w:r>
          </w:p>
        </w:tc>
        <w:tc>
          <w:tcPr>
            <w:tcW w:w="720" w:type="dxa"/>
          </w:tcPr>
          <w:p w14:paraId="618C1ECE" w14:textId="5DD3BA7C" w:rsidR="000C099C" w:rsidRDefault="00BD6DCA">
            <w:r>
              <w:t>N/A</w:t>
            </w:r>
          </w:p>
        </w:tc>
        <w:tc>
          <w:tcPr>
            <w:tcW w:w="810" w:type="dxa"/>
          </w:tcPr>
          <w:p w14:paraId="5786B813" w14:textId="77777777" w:rsidR="000C099C" w:rsidRDefault="000C099C"/>
        </w:tc>
        <w:tc>
          <w:tcPr>
            <w:tcW w:w="813" w:type="dxa"/>
          </w:tcPr>
          <w:p w14:paraId="665098AD" w14:textId="77777777" w:rsidR="000C099C" w:rsidRDefault="000C099C"/>
        </w:tc>
        <w:tc>
          <w:tcPr>
            <w:tcW w:w="852" w:type="dxa"/>
          </w:tcPr>
          <w:p w14:paraId="3CFE14A4" w14:textId="77777777" w:rsidR="000C099C" w:rsidRDefault="000C099C"/>
        </w:tc>
        <w:tc>
          <w:tcPr>
            <w:tcW w:w="1249" w:type="dxa"/>
          </w:tcPr>
          <w:p w14:paraId="7A6AB1B7" w14:textId="77777777" w:rsidR="000C099C" w:rsidRDefault="000C099C"/>
        </w:tc>
      </w:tr>
      <w:tr w:rsidR="000C099C" w14:paraId="643C738F" w14:textId="77777777">
        <w:tc>
          <w:tcPr>
            <w:tcW w:w="828" w:type="dxa"/>
          </w:tcPr>
          <w:p w14:paraId="67848099" w14:textId="77777777" w:rsidR="000C099C" w:rsidRDefault="000C099C">
            <w:r>
              <w:t>N/A</w:t>
            </w:r>
          </w:p>
        </w:tc>
        <w:tc>
          <w:tcPr>
            <w:tcW w:w="4320" w:type="dxa"/>
          </w:tcPr>
          <w:p w14:paraId="61464B3E" w14:textId="77777777" w:rsidR="000C099C" w:rsidRDefault="000C099C">
            <w:r>
              <w:t>Collateralized Mortgage Obligations (CMO’s) - IM-2210-1, NTM 93085</w:t>
            </w:r>
          </w:p>
        </w:tc>
        <w:tc>
          <w:tcPr>
            <w:tcW w:w="720" w:type="dxa"/>
          </w:tcPr>
          <w:p w14:paraId="60C1654F" w14:textId="77777777" w:rsidR="000C099C" w:rsidRDefault="000C099C"/>
        </w:tc>
        <w:tc>
          <w:tcPr>
            <w:tcW w:w="810" w:type="dxa"/>
          </w:tcPr>
          <w:p w14:paraId="76587517" w14:textId="77777777" w:rsidR="000C099C" w:rsidRDefault="000C099C"/>
        </w:tc>
        <w:tc>
          <w:tcPr>
            <w:tcW w:w="813" w:type="dxa"/>
          </w:tcPr>
          <w:p w14:paraId="3A90FB0D" w14:textId="77777777" w:rsidR="000C099C" w:rsidRDefault="000C099C"/>
        </w:tc>
        <w:tc>
          <w:tcPr>
            <w:tcW w:w="852" w:type="dxa"/>
          </w:tcPr>
          <w:p w14:paraId="66FBF9C3" w14:textId="77777777" w:rsidR="000C099C" w:rsidRDefault="000C099C"/>
        </w:tc>
        <w:tc>
          <w:tcPr>
            <w:tcW w:w="1249" w:type="dxa"/>
          </w:tcPr>
          <w:p w14:paraId="6BA99816" w14:textId="77777777" w:rsidR="000C099C" w:rsidRDefault="000C099C"/>
        </w:tc>
      </w:tr>
      <w:tr w:rsidR="000C099C" w14:paraId="3C1F1E15" w14:textId="77777777">
        <w:tc>
          <w:tcPr>
            <w:tcW w:w="828" w:type="dxa"/>
          </w:tcPr>
          <w:p w14:paraId="7E2A209E" w14:textId="77777777" w:rsidR="000C099C" w:rsidRDefault="000C099C">
            <w:r>
              <w:t>x</w:t>
            </w:r>
          </w:p>
        </w:tc>
        <w:tc>
          <w:tcPr>
            <w:tcW w:w="4320" w:type="dxa"/>
          </w:tcPr>
          <w:p w14:paraId="31324E47" w14:textId="77777777" w:rsidR="000C099C" w:rsidRDefault="000C099C">
            <w:r>
              <w:t>SIPC Coverage - SIPC By-Laws, Article II, Section 4</w:t>
            </w:r>
          </w:p>
        </w:tc>
        <w:tc>
          <w:tcPr>
            <w:tcW w:w="720" w:type="dxa"/>
          </w:tcPr>
          <w:p w14:paraId="71F1BD73" w14:textId="4BC43C0D" w:rsidR="000C099C" w:rsidRDefault="00D6319C">
            <w:hyperlink w:anchor="SIPC" w:history="1">
              <w:r w:rsidR="00D56EB3">
                <w:rPr>
                  <w:rStyle w:val="Hyperlink"/>
                </w:rPr>
                <w:t>Pg</w:t>
              </w:r>
            </w:hyperlink>
          </w:p>
        </w:tc>
        <w:tc>
          <w:tcPr>
            <w:tcW w:w="810" w:type="dxa"/>
          </w:tcPr>
          <w:p w14:paraId="61FDE5CD" w14:textId="77777777" w:rsidR="000C099C" w:rsidRDefault="000C099C">
            <w:r>
              <w:t>x</w:t>
            </w:r>
          </w:p>
        </w:tc>
        <w:tc>
          <w:tcPr>
            <w:tcW w:w="813" w:type="dxa"/>
          </w:tcPr>
          <w:p w14:paraId="6465E195" w14:textId="77777777" w:rsidR="000C099C" w:rsidRDefault="000C099C">
            <w:r>
              <w:t>x</w:t>
            </w:r>
          </w:p>
        </w:tc>
        <w:tc>
          <w:tcPr>
            <w:tcW w:w="852" w:type="dxa"/>
          </w:tcPr>
          <w:p w14:paraId="338BF17D" w14:textId="77777777" w:rsidR="000C099C" w:rsidRDefault="000C099C">
            <w:r>
              <w:t>x</w:t>
            </w:r>
          </w:p>
        </w:tc>
        <w:tc>
          <w:tcPr>
            <w:tcW w:w="1249" w:type="dxa"/>
          </w:tcPr>
          <w:p w14:paraId="1ABC1284" w14:textId="77777777" w:rsidR="000C099C" w:rsidRDefault="000C099C">
            <w:r>
              <w:t>x</w:t>
            </w:r>
          </w:p>
        </w:tc>
      </w:tr>
    </w:tbl>
    <w:p w14:paraId="10D1D416" w14:textId="77777777" w:rsidR="000C099C" w:rsidRPr="00956F08" w:rsidRDefault="000C099C">
      <w:pPr>
        <w:rPr>
          <w:b/>
          <w:caps/>
          <w:sz w:val="24"/>
        </w:rPr>
      </w:pPr>
      <w:r>
        <w:rPr>
          <w:sz w:val="24"/>
        </w:rPr>
        <w:br w:type="page"/>
      </w:r>
      <w:r w:rsidRPr="00956F08">
        <w:rPr>
          <w:b/>
          <w:caps/>
          <w:sz w:val="24"/>
        </w:rPr>
        <w:lastRenderedPageBreak/>
        <w:t>Customer Accounts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32BDE794" w14:textId="77777777">
        <w:tc>
          <w:tcPr>
            <w:tcW w:w="828" w:type="dxa"/>
            <w:tcBorders>
              <w:top w:val="single" w:sz="12" w:space="0" w:color="auto"/>
              <w:bottom w:val="single" w:sz="6" w:space="0" w:color="auto"/>
            </w:tcBorders>
            <w:shd w:val="pct10" w:color="auto" w:fill="auto"/>
          </w:tcPr>
          <w:p w14:paraId="5CC21C45"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1DC35976"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6A4BC7E6"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7840C00E"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6714E2CD"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274DCD48"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6EC911D4" w14:textId="77777777" w:rsidR="000C099C" w:rsidRDefault="000C099C">
            <w:pPr>
              <w:rPr>
                <w:b/>
              </w:rPr>
            </w:pPr>
            <w:r>
              <w:rPr>
                <w:b/>
              </w:rPr>
              <w:t>How Evidenced</w:t>
            </w:r>
          </w:p>
        </w:tc>
      </w:tr>
      <w:tr w:rsidR="000C099C" w14:paraId="4F25F92A" w14:textId="77777777">
        <w:tc>
          <w:tcPr>
            <w:tcW w:w="828" w:type="dxa"/>
            <w:tcBorders>
              <w:top w:val="nil"/>
            </w:tcBorders>
          </w:tcPr>
          <w:p w14:paraId="3A69F275" w14:textId="77777777" w:rsidR="000C099C" w:rsidRDefault="000C099C">
            <w:r>
              <w:t>x</w:t>
            </w:r>
          </w:p>
        </w:tc>
        <w:tc>
          <w:tcPr>
            <w:tcW w:w="4320" w:type="dxa"/>
            <w:tcBorders>
              <w:top w:val="nil"/>
            </w:tcBorders>
          </w:tcPr>
          <w:p w14:paraId="0D87363E" w14:textId="77777777" w:rsidR="000C099C" w:rsidRDefault="000C099C" w:rsidP="004C0F52">
            <w:r>
              <w:t xml:space="preserve">Acceptance of New Accounts </w:t>
            </w:r>
            <w:r w:rsidR="004C0F52">
              <w:t>–</w:t>
            </w:r>
            <w:r>
              <w:t xml:space="preserve"> </w:t>
            </w:r>
            <w:r w:rsidR="004C0F52">
              <w:t>FINRA,</w:t>
            </w:r>
            <w:r>
              <w:t xml:space="preserve"> SEC Rule 17a-3(a)(9), MSRB G-8(a)(xi)</w:t>
            </w:r>
          </w:p>
        </w:tc>
        <w:tc>
          <w:tcPr>
            <w:tcW w:w="720" w:type="dxa"/>
            <w:tcBorders>
              <w:top w:val="nil"/>
            </w:tcBorders>
          </w:tcPr>
          <w:p w14:paraId="1738A3CB" w14:textId="77777777" w:rsidR="000C099C" w:rsidRDefault="00D6319C">
            <w:hyperlink w:anchor="NewAccounts" w:history="1">
              <w:r w:rsidR="004C0F52">
                <w:rPr>
                  <w:rStyle w:val="Hyperlink"/>
                </w:rPr>
                <w:t>Pg</w:t>
              </w:r>
            </w:hyperlink>
          </w:p>
        </w:tc>
        <w:tc>
          <w:tcPr>
            <w:tcW w:w="810" w:type="dxa"/>
            <w:tcBorders>
              <w:top w:val="nil"/>
            </w:tcBorders>
          </w:tcPr>
          <w:p w14:paraId="72F07038" w14:textId="77777777" w:rsidR="000C099C" w:rsidRDefault="000C099C">
            <w:r>
              <w:t>x</w:t>
            </w:r>
          </w:p>
        </w:tc>
        <w:tc>
          <w:tcPr>
            <w:tcW w:w="813" w:type="dxa"/>
            <w:tcBorders>
              <w:top w:val="nil"/>
            </w:tcBorders>
          </w:tcPr>
          <w:p w14:paraId="0D0E0D82" w14:textId="77777777" w:rsidR="000C099C" w:rsidRDefault="000C099C">
            <w:r>
              <w:t>x</w:t>
            </w:r>
          </w:p>
        </w:tc>
        <w:tc>
          <w:tcPr>
            <w:tcW w:w="852" w:type="dxa"/>
            <w:tcBorders>
              <w:top w:val="nil"/>
            </w:tcBorders>
          </w:tcPr>
          <w:p w14:paraId="6F28DCC3" w14:textId="77777777" w:rsidR="000C099C" w:rsidRDefault="000C099C">
            <w:r>
              <w:t>x</w:t>
            </w:r>
          </w:p>
        </w:tc>
        <w:tc>
          <w:tcPr>
            <w:tcW w:w="1249" w:type="dxa"/>
            <w:tcBorders>
              <w:top w:val="nil"/>
            </w:tcBorders>
          </w:tcPr>
          <w:p w14:paraId="0DAA08F3" w14:textId="77777777" w:rsidR="000C099C" w:rsidRDefault="000C099C">
            <w:r>
              <w:t>x</w:t>
            </w:r>
          </w:p>
        </w:tc>
      </w:tr>
      <w:tr w:rsidR="000C099C" w14:paraId="7457AFAC" w14:textId="77777777">
        <w:tc>
          <w:tcPr>
            <w:tcW w:w="828" w:type="dxa"/>
          </w:tcPr>
          <w:p w14:paraId="7ED4A482" w14:textId="77777777" w:rsidR="000C099C" w:rsidRDefault="000C099C">
            <w:r>
              <w:t>x</w:t>
            </w:r>
          </w:p>
        </w:tc>
        <w:tc>
          <w:tcPr>
            <w:tcW w:w="4320" w:type="dxa"/>
          </w:tcPr>
          <w:p w14:paraId="3EB810C7" w14:textId="77777777" w:rsidR="000C099C" w:rsidRDefault="000C099C" w:rsidP="002C271E">
            <w:r>
              <w:t xml:space="preserve">Review of Transactions </w:t>
            </w:r>
          </w:p>
        </w:tc>
        <w:tc>
          <w:tcPr>
            <w:tcW w:w="720" w:type="dxa"/>
          </w:tcPr>
          <w:p w14:paraId="36687E61" w14:textId="77777777" w:rsidR="000C099C" w:rsidRDefault="00D6319C">
            <w:hyperlink w:anchor="AcctActivityReviews" w:history="1">
              <w:r w:rsidR="006278BA">
                <w:rPr>
                  <w:rStyle w:val="Hyperlink"/>
                </w:rPr>
                <w:t>Pg</w:t>
              </w:r>
            </w:hyperlink>
          </w:p>
        </w:tc>
        <w:tc>
          <w:tcPr>
            <w:tcW w:w="810" w:type="dxa"/>
          </w:tcPr>
          <w:p w14:paraId="61C53224" w14:textId="77777777" w:rsidR="000C099C" w:rsidRDefault="000C099C">
            <w:r>
              <w:t>x</w:t>
            </w:r>
          </w:p>
        </w:tc>
        <w:tc>
          <w:tcPr>
            <w:tcW w:w="813" w:type="dxa"/>
          </w:tcPr>
          <w:p w14:paraId="65218649" w14:textId="77777777" w:rsidR="000C099C" w:rsidRDefault="000C099C">
            <w:r>
              <w:t>x</w:t>
            </w:r>
          </w:p>
        </w:tc>
        <w:tc>
          <w:tcPr>
            <w:tcW w:w="852" w:type="dxa"/>
          </w:tcPr>
          <w:p w14:paraId="52299E59" w14:textId="77777777" w:rsidR="000C099C" w:rsidRDefault="000C099C">
            <w:r>
              <w:t>x</w:t>
            </w:r>
          </w:p>
        </w:tc>
        <w:tc>
          <w:tcPr>
            <w:tcW w:w="1249" w:type="dxa"/>
          </w:tcPr>
          <w:p w14:paraId="21AC9187" w14:textId="77777777" w:rsidR="000C099C" w:rsidRDefault="000C099C">
            <w:r>
              <w:t>x</w:t>
            </w:r>
          </w:p>
        </w:tc>
      </w:tr>
      <w:tr w:rsidR="000C099C" w14:paraId="36E09CCE" w14:textId="77777777">
        <w:tc>
          <w:tcPr>
            <w:tcW w:w="828" w:type="dxa"/>
          </w:tcPr>
          <w:p w14:paraId="62FB4C33" w14:textId="77777777" w:rsidR="000C099C" w:rsidRDefault="000C099C">
            <w:r>
              <w:t>x</w:t>
            </w:r>
          </w:p>
        </w:tc>
        <w:tc>
          <w:tcPr>
            <w:tcW w:w="4320" w:type="dxa"/>
          </w:tcPr>
          <w:p w14:paraId="5DA71DF6" w14:textId="77777777" w:rsidR="000C099C" w:rsidRDefault="000C099C" w:rsidP="002C271E">
            <w:r>
              <w:t xml:space="preserve">Review of Accounts </w:t>
            </w:r>
          </w:p>
        </w:tc>
        <w:tc>
          <w:tcPr>
            <w:tcW w:w="720" w:type="dxa"/>
          </w:tcPr>
          <w:p w14:paraId="6F35539C" w14:textId="77777777" w:rsidR="000C099C" w:rsidRDefault="00D6319C">
            <w:hyperlink w:anchor="AcctActivityReviews" w:history="1">
              <w:r w:rsidR="002C271E">
                <w:rPr>
                  <w:rStyle w:val="Hyperlink"/>
                </w:rPr>
                <w:t>Pg</w:t>
              </w:r>
            </w:hyperlink>
          </w:p>
        </w:tc>
        <w:tc>
          <w:tcPr>
            <w:tcW w:w="810" w:type="dxa"/>
          </w:tcPr>
          <w:p w14:paraId="6BD5816E" w14:textId="77777777" w:rsidR="000C099C" w:rsidRDefault="000C099C">
            <w:r>
              <w:t>x</w:t>
            </w:r>
          </w:p>
        </w:tc>
        <w:tc>
          <w:tcPr>
            <w:tcW w:w="813" w:type="dxa"/>
          </w:tcPr>
          <w:p w14:paraId="78D3393E" w14:textId="77777777" w:rsidR="000C099C" w:rsidRDefault="000C099C">
            <w:r>
              <w:t>x</w:t>
            </w:r>
          </w:p>
        </w:tc>
        <w:tc>
          <w:tcPr>
            <w:tcW w:w="852" w:type="dxa"/>
          </w:tcPr>
          <w:p w14:paraId="5A47E919" w14:textId="77777777" w:rsidR="000C099C" w:rsidRDefault="000C099C">
            <w:r>
              <w:t>x</w:t>
            </w:r>
          </w:p>
        </w:tc>
        <w:tc>
          <w:tcPr>
            <w:tcW w:w="1249" w:type="dxa"/>
          </w:tcPr>
          <w:p w14:paraId="13C63B60" w14:textId="77777777" w:rsidR="000C099C" w:rsidRDefault="000C099C">
            <w:r>
              <w:t>x</w:t>
            </w:r>
          </w:p>
        </w:tc>
      </w:tr>
      <w:tr w:rsidR="000C099C" w14:paraId="6DA188D2" w14:textId="77777777">
        <w:tc>
          <w:tcPr>
            <w:tcW w:w="828" w:type="dxa"/>
          </w:tcPr>
          <w:p w14:paraId="61EC56E3" w14:textId="77777777" w:rsidR="000C099C" w:rsidRDefault="000C099C">
            <w:r>
              <w:t>x</w:t>
            </w:r>
          </w:p>
        </w:tc>
        <w:tc>
          <w:tcPr>
            <w:tcW w:w="4320" w:type="dxa"/>
          </w:tcPr>
          <w:p w14:paraId="42CE2A51" w14:textId="77777777" w:rsidR="000C099C" w:rsidRDefault="000C099C" w:rsidP="002C271E">
            <w:r>
              <w:t xml:space="preserve">Discretionary Accounts </w:t>
            </w:r>
          </w:p>
        </w:tc>
        <w:tc>
          <w:tcPr>
            <w:tcW w:w="720" w:type="dxa"/>
          </w:tcPr>
          <w:p w14:paraId="7A3A35D2" w14:textId="77777777" w:rsidR="000C099C" w:rsidRDefault="00D6319C">
            <w:hyperlink w:anchor="DiscretionaryAccts" w:history="1">
              <w:r w:rsidR="002C271E">
                <w:rPr>
                  <w:rStyle w:val="Hyperlink"/>
                </w:rPr>
                <w:t>Pg</w:t>
              </w:r>
            </w:hyperlink>
          </w:p>
        </w:tc>
        <w:tc>
          <w:tcPr>
            <w:tcW w:w="810" w:type="dxa"/>
          </w:tcPr>
          <w:p w14:paraId="262FB5AC" w14:textId="77777777" w:rsidR="000C099C" w:rsidRDefault="000C099C">
            <w:r>
              <w:t>x</w:t>
            </w:r>
          </w:p>
        </w:tc>
        <w:tc>
          <w:tcPr>
            <w:tcW w:w="813" w:type="dxa"/>
          </w:tcPr>
          <w:p w14:paraId="0F594F0B" w14:textId="77777777" w:rsidR="000C099C" w:rsidRDefault="000C099C">
            <w:r>
              <w:t>x</w:t>
            </w:r>
          </w:p>
        </w:tc>
        <w:tc>
          <w:tcPr>
            <w:tcW w:w="852" w:type="dxa"/>
          </w:tcPr>
          <w:p w14:paraId="703A1E61" w14:textId="77777777" w:rsidR="000C099C" w:rsidRDefault="000C099C">
            <w:r>
              <w:t>x</w:t>
            </w:r>
          </w:p>
        </w:tc>
        <w:tc>
          <w:tcPr>
            <w:tcW w:w="1249" w:type="dxa"/>
          </w:tcPr>
          <w:p w14:paraId="00AC50B9" w14:textId="77777777" w:rsidR="000C099C" w:rsidRDefault="000C099C">
            <w:r>
              <w:t>x</w:t>
            </w:r>
          </w:p>
        </w:tc>
      </w:tr>
      <w:tr w:rsidR="000C099C" w14:paraId="7D798D2B" w14:textId="77777777">
        <w:tc>
          <w:tcPr>
            <w:tcW w:w="828" w:type="dxa"/>
          </w:tcPr>
          <w:p w14:paraId="690AC24B" w14:textId="77777777" w:rsidR="000C099C" w:rsidRDefault="000C099C">
            <w:r>
              <w:t>x</w:t>
            </w:r>
          </w:p>
        </w:tc>
        <w:tc>
          <w:tcPr>
            <w:tcW w:w="4320" w:type="dxa"/>
          </w:tcPr>
          <w:p w14:paraId="5CCCB31A" w14:textId="77777777" w:rsidR="000C099C" w:rsidRDefault="000C099C">
            <w:r>
              <w:t>Third Party Accounts - SEC Rule 17a-4(b)(6)</w:t>
            </w:r>
          </w:p>
        </w:tc>
        <w:tc>
          <w:tcPr>
            <w:tcW w:w="720" w:type="dxa"/>
          </w:tcPr>
          <w:p w14:paraId="33FFCFF3" w14:textId="77777777" w:rsidR="000C099C" w:rsidRDefault="00D6319C">
            <w:hyperlink w:anchor="SECRule17a4b6" w:history="1">
              <w:r w:rsidR="002C271E">
                <w:rPr>
                  <w:rStyle w:val="Hyperlink"/>
                </w:rPr>
                <w:t>Pg</w:t>
              </w:r>
            </w:hyperlink>
          </w:p>
        </w:tc>
        <w:tc>
          <w:tcPr>
            <w:tcW w:w="810" w:type="dxa"/>
          </w:tcPr>
          <w:p w14:paraId="77D97F81" w14:textId="77777777" w:rsidR="000C099C" w:rsidRDefault="000C099C">
            <w:r>
              <w:t xml:space="preserve"> </w:t>
            </w:r>
          </w:p>
        </w:tc>
        <w:tc>
          <w:tcPr>
            <w:tcW w:w="813" w:type="dxa"/>
          </w:tcPr>
          <w:p w14:paraId="6DFD7D15" w14:textId="77777777" w:rsidR="000C099C" w:rsidRDefault="000C099C">
            <w:r>
              <w:t xml:space="preserve"> </w:t>
            </w:r>
          </w:p>
        </w:tc>
        <w:tc>
          <w:tcPr>
            <w:tcW w:w="852" w:type="dxa"/>
          </w:tcPr>
          <w:p w14:paraId="30B48D55" w14:textId="77777777" w:rsidR="000C099C" w:rsidRDefault="000C099C">
            <w:r>
              <w:t xml:space="preserve"> </w:t>
            </w:r>
          </w:p>
        </w:tc>
        <w:tc>
          <w:tcPr>
            <w:tcW w:w="1249" w:type="dxa"/>
          </w:tcPr>
          <w:p w14:paraId="199ED5B7" w14:textId="77777777" w:rsidR="000C099C" w:rsidRDefault="000C099C">
            <w:r>
              <w:t xml:space="preserve"> </w:t>
            </w:r>
          </w:p>
        </w:tc>
      </w:tr>
      <w:tr w:rsidR="000C099C" w14:paraId="5AABA7B5" w14:textId="77777777">
        <w:tc>
          <w:tcPr>
            <w:tcW w:w="828" w:type="dxa"/>
          </w:tcPr>
          <w:p w14:paraId="3B299399" w14:textId="77777777" w:rsidR="000C099C" w:rsidRDefault="000C099C">
            <w:r>
              <w:t>x</w:t>
            </w:r>
          </w:p>
        </w:tc>
        <w:tc>
          <w:tcPr>
            <w:tcW w:w="4320" w:type="dxa"/>
          </w:tcPr>
          <w:p w14:paraId="45101A7D" w14:textId="77777777" w:rsidR="000C099C" w:rsidRDefault="000C099C" w:rsidP="002C271E">
            <w:r>
              <w:t xml:space="preserve">Review of Correspondence </w:t>
            </w:r>
            <w:r w:rsidR="002C271E">
              <w:t>- FINRA</w:t>
            </w:r>
            <w:r>
              <w:t>, SEC Rule 17a-4(b)(4)</w:t>
            </w:r>
          </w:p>
        </w:tc>
        <w:tc>
          <w:tcPr>
            <w:tcW w:w="720" w:type="dxa"/>
          </w:tcPr>
          <w:p w14:paraId="15D5194F" w14:textId="77777777" w:rsidR="000C099C" w:rsidRDefault="00D6319C">
            <w:hyperlink w:anchor="AdvAndSalesLit" w:history="1">
              <w:r w:rsidR="002C271E">
                <w:rPr>
                  <w:rStyle w:val="Hyperlink"/>
                </w:rPr>
                <w:t>Pg</w:t>
              </w:r>
            </w:hyperlink>
          </w:p>
        </w:tc>
        <w:tc>
          <w:tcPr>
            <w:tcW w:w="810" w:type="dxa"/>
          </w:tcPr>
          <w:p w14:paraId="2B38B4C2" w14:textId="77777777" w:rsidR="000C099C" w:rsidRDefault="000C099C">
            <w:r>
              <w:t>x</w:t>
            </w:r>
          </w:p>
        </w:tc>
        <w:tc>
          <w:tcPr>
            <w:tcW w:w="813" w:type="dxa"/>
          </w:tcPr>
          <w:p w14:paraId="397B2DC6" w14:textId="77777777" w:rsidR="000C099C" w:rsidRDefault="000C099C">
            <w:r>
              <w:t>x</w:t>
            </w:r>
          </w:p>
        </w:tc>
        <w:tc>
          <w:tcPr>
            <w:tcW w:w="852" w:type="dxa"/>
          </w:tcPr>
          <w:p w14:paraId="4597E0B8" w14:textId="77777777" w:rsidR="000C099C" w:rsidRDefault="000C099C">
            <w:r>
              <w:t>x</w:t>
            </w:r>
          </w:p>
        </w:tc>
        <w:tc>
          <w:tcPr>
            <w:tcW w:w="1249" w:type="dxa"/>
          </w:tcPr>
          <w:p w14:paraId="6E94B9E0" w14:textId="77777777" w:rsidR="000C099C" w:rsidRDefault="000C099C">
            <w:r>
              <w:t>x</w:t>
            </w:r>
          </w:p>
        </w:tc>
      </w:tr>
    </w:tbl>
    <w:p w14:paraId="064DA2CC" w14:textId="77777777" w:rsidR="000C099C" w:rsidRDefault="000C099C"/>
    <w:p w14:paraId="6B6B2FFE" w14:textId="77777777" w:rsidR="000C099C" w:rsidRPr="00956F08" w:rsidRDefault="000C099C">
      <w:pPr>
        <w:rPr>
          <w:b/>
          <w:caps/>
          <w:sz w:val="24"/>
        </w:rPr>
      </w:pPr>
      <w:r w:rsidRPr="00956F08">
        <w:rPr>
          <w:b/>
          <w:caps/>
          <w:sz w:val="24"/>
        </w:rPr>
        <w:t xml:space="preserve">Branch Office Activities </w:t>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15348427" w14:textId="77777777">
        <w:tc>
          <w:tcPr>
            <w:tcW w:w="828" w:type="dxa"/>
            <w:tcBorders>
              <w:top w:val="single" w:sz="12" w:space="0" w:color="auto"/>
              <w:bottom w:val="single" w:sz="6" w:space="0" w:color="auto"/>
            </w:tcBorders>
            <w:shd w:val="pct10" w:color="auto" w:fill="auto"/>
          </w:tcPr>
          <w:p w14:paraId="0A1D12D8"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1868ADC8"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02DF85CF"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541D19DC"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7B75E796"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75424E17"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0BBAB814" w14:textId="77777777" w:rsidR="000C099C" w:rsidRDefault="000C099C">
            <w:pPr>
              <w:rPr>
                <w:b/>
              </w:rPr>
            </w:pPr>
            <w:r>
              <w:rPr>
                <w:b/>
              </w:rPr>
              <w:t>How Evidenced</w:t>
            </w:r>
          </w:p>
        </w:tc>
      </w:tr>
      <w:tr w:rsidR="000C099C" w14:paraId="7A91A7E8" w14:textId="77777777">
        <w:tc>
          <w:tcPr>
            <w:tcW w:w="828" w:type="dxa"/>
            <w:tcBorders>
              <w:top w:val="nil"/>
            </w:tcBorders>
          </w:tcPr>
          <w:p w14:paraId="1ABE7814" w14:textId="77777777" w:rsidR="000C099C" w:rsidRDefault="000C099C">
            <w:r>
              <w:t>x</w:t>
            </w:r>
          </w:p>
        </w:tc>
        <w:tc>
          <w:tcPr>
            <w:tcW w:w="4320" w:type="dxa"/>
            <w:tcBorders>
              <w:top w:val="nil"/>
            </w:tcBorders>
          </w:tcPr>
          <w:p w14:paraId="18115BAE" w14:textId="77777777" w:rsidR="000C099C" w:rsidRDefault="000C099C">
            <w:r>
              <w:t>Rules Applicable to Supervision of Branch Office Activities - 3010(a) - (g), NTM 92-18, 89-34, 88-84, 86-65</w:t>
            </w:r>
          </w:p>
        </w:tc>
        <w:tc>
          <w:tcPr>
            <w:tcW w:w="720" w:type="dxa"/>
            <w:tcBorders>
              <w:top w:val="nil"/>
            </w:tcBorders>
          </w:tcPr>
          <w:p w14:paraId="6CF6CF77" w14:textId="77777777" w:rsidR="000C099C" w:rsidRDefault="00D6319C">
            <w:hyperlink w:anchor="OSJ" w:history="1">
              <w:r w:rsidR="009A78F6">
                <w:rPr>
                  <w:rStyle w:val="Hyperlink"/>
                </w:rPr>
                <w:t>Pg</w:t>
              </w:r>
            </w:hyperlink>
          </w:p>
        </w:tc>
        <w:tc>
          <w:tcPr>
            <w:tcW w:w="810" w:type="dxa"/>
            <w:tcBorders>
              <w:top w:val="nil"/>
            </w:tcBorders>
          </w:tcPr>
          <w:p w14:paraId="5381FD58" w14:textId="77777777" w:rsidR="000C099C" w:rsidRDefault="000C099C">
            <w:r>
              <w:t>x</w:t>
            </w:r>
          </w:p>
        </w:tc>
        <w:tc>
          <w:tcPr>
            <w:tcW w:w="813" w:type="dxa"/>
            <w:tcBorders>
              <w:top w:val="nil"/>
            </w:tcBorders>
          </w:tcPr>
          <w:p w14:paraId="3CE0EF36" w14:textId="77777777" w:rsidR="000C099C" w:rsidRDefault="000C099C">
            <w:r>
              <w:t>x</w:t>
            </w:r>
          </w:p>
        </w:tc>
        <w:tc>
          <w:tcPr>
            <w:tcW w:w="852" w:type="dxa"/>
            <w:tcBorders>
              <w:top w:val="nil"/>
            </w:tcBorders>
          </w:tcPr>
          <w:p w14:paraId="1C45C715" w14:textId="77777777" w:rsidR="000C099C" w:rsidRDefault="000C099C">
            <w:r>
              <w:t>x</w:t>
            </w:r>
          </w:p>
        </w:tc>
        <w:tc>
          <w:tcPr>
            <w:tcW w:w="1249" w:type="dxa"/>
            <w:tcBorders>
              <w:top w:val="nil"/>
            </w:tcBorders>
          </w:tcPr>
          <w:p w14:paraId="3BF329A6" w14:textId="77777777" w:rsidR="000C099C" w:rsidRDefault="000C099C">
            <w:r>
              <w:t>x</w:t>
            </w:r>
          </w:p>
        </w:tc>
      </w:tr>
      <w:tr w:rsidR="000C099C" w14:paraId="5B9267CD" w14:textId="77777777">
        <w:tc>
          <w:tcPr>
            <w:tcW w:w="828" w:type="dxa"/>
          </w:tcPr>
          <w:p w14:paraId="40E370FB" w14:textId="77777777" w:rsidR="000C099C" w:rsidRDefault="000C099C">
            <w:r>
              <w:t>x</w:t>
            </w:r>
          </w:p>
        </w:tc>
        <w:tc>
          <w:tcPr>
            <w:tcW w:w="4320" w:type="dxa"/>
          </w:tcPr>
          <w:p w14:paraId="70723734" w14:textId="77777777" w:rsidR="000C099C" w:rsidRDefault="000C099C">
            <w:r>
              <w:t xml:space="preserve">Designation and Registration of Branch Offices and Off-Site Locations - </w:t>
            </w:r>
            <w:r w:rsidRPr="009A78F6">
              <w:t>FINRA</w:t>
            </w:r>
            <w:r>
              <w:t xml:space="preserve"> By-Laws, Article III, Sections 1(d) &amp; 8, 3010(a)(3) &amp; (g)</w:t>
            </w:r>
          </w:p>
        </w:tc>
        <w:tc>
          <w:tcPr>
            <w:tcW w:w="720" w:type="dxa"/>
          </w:tcPr>
          <w:p w14:paraId="68BCC6EA" w14:textId="77777777" w:rsidR="000C099C" w:rsidRDefault="00D6319C">
            <w:hyperlink w:anchor="OSJ" w:history="1">
              <w:r w:rsidR="009A78F6">
                <w:rPr>
                  <w:rStyle w:val="Hyperlink"/>
                </w:rPr>
                <w:t>Pg</w:t>
              </w:r>
            </w:hyperlink>
          </w:p>
        </w:tc>
        <w:tc>
          <w:tcPr>
            <w:tcW w:w="810" w:type="dxa"/>
          </w:tcPr>
          <w:p w14:paraId="2D27F71F" w14:textId="77777777" w:rsidR="000C099C" w:rsidRDefault="000C099C">
            <w:r>
              <w:t>x</w:t>
            </w:r>
          </w:p>
        </w:tc>
        <w:tc>
          <w:tcPr>
            <w:tcW w:w="813" w:type="dxa"/>
          </w:tcPr>
          <w:p w14:paraId="71401A41" w14:textId="77777777" w:rsidR="000C099C" w:rsidRDefault="000C099C">
            <w:r>
              <w:t>x</w:t>
            </w:r>
          </w:p>
        </w:tc>
        <w:tc>
          <w:tcPr>
            <w:tcW w:w="852" w:type="dxa"/>
          </w:tcPr>
          <w:p w14:paraId="433C2015" w14:textId="77777777" w:rsidR="000C099C" w:rsidRDefault="000C099C">
            <w:r>
              <w:t>x</w:t>
            </w:r>
          </w:p>
        </w:tc>
        <w:tc>
          <w:tcPr>
            <w:tcW w:w="1249" w:type="dxa"/>
          </w:tcPr>
          <w:p w14:paraId="74A791D4" w14:textId="77777777" w:rsidR="000C099C" w:rsidRDefault="000C099C">
            <w:r>
              <w:t>x</w:t>
            </w:r>
          </w:p>
        </w:tc>
      </w:tr>
      <w:tr w:rsidR="000C099C" w14:paraId="16FC102E" w14:textId="77777777">
        <w:tc>
          <w:tcPr>
            <w:tcW w:w="828" w:type="dxa"/>
          </w:tcPr>
          <w:p w14:paraId="1AA511FF" w14:textId="77777777" w:rsidR="000C099C" w:rsidRDefault="000C099C">
            <w:r>
              <w:t>x</w:t>
            </w:r>
          </w:p>
        </w:tc>
        <w:tc>
          <w:tcPr>
            <w:tcW w:w="4320" w:type="dxa"/>
          </w:tcPr>
          <w:p w14:paraId="49B0140A" w14:textId="77777777" w:rsidR="000C099C" w:rsidRDefault="000C099C">
            <w:r>
              <w:t>Supervision of OSJs and Branch Offices - 3010(b)</w:t>
            </w:r>
          </w:p>
        </w:tc>
        <w:tc>
          <w:tcPr>
            <w:tcW w:w="720" w:type="dxa"/>
          </w:tcPr>
          <w:p w14:paraId="02FDAA83" w14:textId="77777777" w:rsidR="000C099C" w:rsidRDefault="00D6319C">
            <w:hyperlink w:anchor="OSJ" w:history="1">
              <w:r w:rsidR="009A78F6">
                <w:rPr>
                  <w:rStyle w:val="Hyperlink"/>
                </w:rPr>
                <w:t>Pg</w:t>
              </w:r>
            </w:hyperlink>
          </w:p>
        </w:tc>
        <w:tc>
          <w:tcPr>
            <w:tcW w:w="810" w:type="dxa"/>
          </w:tcPr>
          <w:p w14:paraId="58832620" w14:textId="77777777" w:rsidR="000C099C" w:rsidRDefault="000C099C">
            <w:r>
              <w:t>x</w:t>
            </w:r>
          </w:p>
        </w:tc>
        <w:tc>
          <w:tcPr>
            <w:tcW w:w="813" w:type="dxa"/>
          </w:tcPr>
          <w:p w14:paraId="3A5A7EDB" w14:textId="77777777" w:rsidR="000C099C" w:rsidRDefault="000C099C">
            <w:r>
              <w:t>x</w:t>
            </w:r>
          </w:p>
        </w:tc>
        <w:tc>
          <w:tcPr>
            <w:tcW w:w="852" w:type="dxa"/>
          </w:tcPr>
          <w:p w14:paraId="3CC17140" w14:textId="77777777" w:rsidR="000C099C" w:rsidRDefault="000C099C">
            <w:r>
              <w:t>x</w:t>
            </w:r>
          </w:p>
        </w:tc>
        <w:tc>
          <w:tcPr>
            <w:tcW w:w="1249" w:type="dxa"/>
          </w:tcPr>
          <w:p w14:paraId="642267FC" w14:textId="77777777" w:rsidR="000C099C" w:rsidRDefault="000C099C">
            <w:r>
              <w:t>x</w:t>
            </w:r>
          </w:p>
        </w:tc>
      </w:tr>
      <w:tr w:rsidR="000C099C" w14:paraId="5A3A6608" w14:textId="77777777">
        <w:tc>
          <w:tcPr>
            <w:tcW w:w="828" w:type="dxa"/>
          </w:tcPr>
          <w:p w14:paraId="5F05822F" w14:textId="77777777" w:rsidR="000C099C" w:rsidRDefault="000C099C">
            <w:r>
              <w:t>x</w:t>
            </w:r>
          </w:p>
        </w:tc>
        <w:tc>
          <w:tcPr>
            <w:tcW w:w="4320" w:type="dxa"/>
          </w:tcPr>
          <w:p w14:paraId="71603E3B" w14:textId="77777777" w:rsidR="000C099C" w:rsidRDefault="000C099C">
            <w:r>
              <w:t>Internal Inspections of OSJs and Branch Offices - 3010(c)</w:t>
            </w:r>
          </w:p>
        </w:tc>
        <w:tc>
          <w:tcPr>
            <w:tcW w:w="720" w:type="dxa"/>
          </w:tcPr>
          <w:p w14:paraId="144052A0" w14:textId="77777777" w:rsidR="000C099C" w:rsidRDefault="00D6319C">
            <w:hyperlink w:anchor="OfficeInspections" w:history="1">
              <w:r w:rsidR="009D662E">
                <w:rPr>
                  <w:rStyle w:val="Hyperlink"/>
                </w:rPr>
                <w:t>Pg</w:t>
              </w:r>
            </w:hyperlink>
          </w:p>
        </w:tc>
        <w:tc>
          <w:tcPr>
            <w:tcW w:w="810" w:type="dxa"/>
          </w:tcPr>
          <w:p w14:paraId="02AE7AE7" w14:textId="77777777" w:rsidR="000C099C" w:rsidRDefault="000C099C">
            <w:r>
              <w:t>x</w:t>
            </w:r>
          </w:p>
        </w:tc>
        <w:tc>
          <w:tcPr>
            <w:tcW w:w="813" w:type="dxa"/>
          </w:tcPr>
          <w:p w14:paraId="7AAD9AEC" w14:textId="77777777" w:rsidR="000C099C" w:rsidRDefault="000C099C">
            <w:r>
              <w:t>x</w:t>
            </w:r>
          </w:p>
        </w:tc>
        <w:tc>
          <w:tcPr>
            <w:tcW w:w="852" w:type="dxa"/>
          </w:tcPr>
          <w:p w14:paraId="711D59FA" w14:textId="77777777" w:rsidR="000C099C" w:rsidRDefault="000C099C">
            <w:r>
              <w:t>x</w:t>
            </w:r>
          </w:p>
        </w:tc>
        <w:tc>
          <w:tcPr>
            <w:tcW w:w="1249" w:type="dxa"/>
          </w:tcPr>
          <w:p w14:paraId="0E11C189" w14:textId="77777777" w:rsidR="000C099C" w:rsidRDefault="000C099C"/>
        </w:tc>
      </w:tr>
      <w:tr w:rsidR="000C099C" w14:paraId="38DD96D9" w14:textId="77777777">
        <w:tc>
          <w:tcPr>
            <w:tcW w:w="828" w:type="dxa"/>
          </w:tcPr>
          <w:p w14:paraId="0D6922C4" w14:textId="77777777" w:rsidR="000C099C" w:rsidRDefault="000C099C">
            <w:r>
              <w:t>N/A</w:t>
            </w:r>
          </w:p>
        </w:tc>
        <w:tc>
          <w:tcPr>
            <w:tcW w:w="4320" w:type="dxa"/>
          </w:tcPr>
          <w:p w14:paraId="15677539" w14:textId="77777777" w:rsidR="000C099C" w:rsidRDefault="000C099C">
            <w:r>
              <w:t>Supervision of Non-Branch Business Locations - NTM 86-65</w:t>
            </w:r>
          </w:p>
        </w:tc>
        <w:tc>
          <w:tcPr>
            <w:tcW w:w="720" w:type="dxa"/>
          </w:tcPr>
          <w:p w14:paraId="3D08D224" w14:textId="77777777" w:rsidR="000C099C" w:rsidRDefault="000C099C"/>
        </w:tc>
        <w:tc>
          <w:tcPr>
            <w:tcW w:w="810" w:type="dxa"/>
          </w:tcPr>
          <w:p w14:paraId="16727F08" w14:textId="77777777" w:rsidR="000C099C" w:rsidRDefault="000C099C"/>
        </w:tc>
        <w:tc>
          <w:tcPr>
            <w:tcW w:w="813" w:type="dxa"/>
          </w:tcPr>
          <w:p w14:paraId="4180021D" w14:textId="77777777" w:rsidR="000C099C" w:rsidRDefault="000C099C"/>
        </w:tc>
        <w:tc>
          <w:tcPr>
            <w:tcW w:w="852" w:type="dxa"/>
          </w:tcPr>
          <w:p w14:paraId="66DDF2D1" w14:textId="77777777" w:rsidR="000C099C" w:rsidRDefault="000C099C"/>
        </w:tc>
        <w:tc>
          <w:tcPr>
            <w:tcW w:w="1249" w:type="dxa"/>
          </w:tcPr>
          <w:p w14:paraId="6BB9256C" w14:textId="77777777" w:rsidR="000C099C" w:rsidRDefault="000C099C"/>
        </w:tc>
      </w:tr>
      <w:tr w:rsidR="000C099C" w14:paraId="2457F1AA" w14:textId="77777777">
        <w:tc>
          <w:tcPr>
            <w:tcW w:w="828" w:type="dxa"/>
          </w:tcPr>
          <w:p w14:paraId="27F0CAFD" w14:textId="77777777" w:rsidR="000C099C" w:rsidRDefault="000C099C">
            <w:r>
              <w:t>N/A</w:t>
            </w:r>
          </w:p>
        </w:tc>
        <w:tc>
          <w:tcPr>
            <w:tcW w:w="4320" w:type="dxa"/>
          </w:tcPr>
          <w:p w14:paraId="5BA822AD" w14:textId="77777777" w:rsidR="000C099C" w:rsidRDefault="000C099C">
            <w:r>
              <w:t>Review of Non-Branch Business Locations - 3010(c)</w:t>
            </w:r>
          </w:p>
        </w:tc>
        <w:tc>
          <w:tcPr>
            <w:tcW w:w="720" w:type="dxa"/>
          </w:tcPr>
          <w:p w14:paraId="5C472DB9" w14:textId="77777777" w:rsidR="000C099C" w:rsidRDefault="000C099C"/>
        </w:tc>
        <w:tc>
          <w:tcPr>
            <w:tcW w:w="810" w:type="dxa"/>
          </w:tcPr>
          <w:p w14:paraId="31B1FB1C" w14:textId="77777777" w:rsidR="000C099C" w:rsidRDefault="000C099C"/>
        </w:tc>
        <w:tc>
          <w:tcPr>
            <w:tcW w:w="813" w:type="dxa"/>
          </w:tcPr>
          <w:p w14:paraId="13FB200A" w14:textId="77777777" w:rsidR="000C099C" w:rsidRDefault="000C099C"/>
        </w:tc>
        <w:tc>
          <w:tcPr>
            <w:tcW w:w="852" w:type="dxa"/>
          </w:tcPr>
          <w:p w14:paraId="2408E252" w14:textId="77777777" w:rsidR="000C099C" w:rsidRDefault="000C099C"/>
        </w:tc>
        <w:tc>
          <w:tcPr>
            <w:tcW w:w="1249" w:type="dxa"/>
          </w:tcPr>
          <w:p w14:paraId="03DF3098" w14:textId="77777777" w:rsidR="000C099C" w:rsidRDefault="000C099C"/>
        </w:tc>
      </w:tr>
      <w:tr w:rsidR="000C099C" w14:paraId="7D9DE0EF" w14:textId="77777777">
        <w:tc>
          <w:tcPr>
            <w:tcW w:w="828" w:type="dxa"/>
          </w:tcPr>
          <w:p w14:paraId="5CDED44F" w14:textId="77777777" w:rsidR="000C099C" w:rsidRDefault="000C099C">
            <w:r>
              <w:t>N/A</w:t>
            </w:r>
          </w:p>
        </w:tc>
        <w:tc>
          <w:tcPr>
            <w:tcW w:w="4320" w:type="dxa"/>
          </w:tcPr>
          <w:p w14:paraId="6B83B476" w14:textId="77777777" w:rsidR="000C099C" w:rsidRDefault="000C099C">
            <w:r>
              <w:t>Broker-Dealer Activity on Premises of Financial Institutions - NTM 95-49, 94-94, 94-47</w:t>
            </w:r>
          </w:p>
        </w:tc>
        <w:tc>
          <w:tcPr>
            <w:tcW w:w="720" w:type="dxa"/>
          </w:tcPr>
          <w:p w14:paraId="36AF03EF" w14:textId="77777777" w:rsidR="000C099C" w:rsidRDefault="000C099C"/>
        </w:tc>
        <w:tc>
          <w:tcPr>
            <w:tcW w:w="810" w:type="dxa"/>
          </w:tcPr>
          <w:p w14:paraId="7336C568" w14:textId="77777777" w:rsidR="000C099C" w:rsidRDefault="000C099C"/>
        </w:tc>
        <w:tc>
          <w:tcPr>
            <w:tcW w:w="813" w:type="dxa"/>
          </w:tcPr>
          <w:p w14:paraId="174021F7" w14:textId="77777777" w:rsidR="000C099C" w:rsidRDefault="000C099C"/>
        </w:tc>
        <w:tc>
          <w:tcPr>
            <w:tcW w:w="852" w:type="dxa"/>
          </w:tcPr>
          <w:p w14:paraId="1263CBE3" w14:textId="77777777" w:rsidR="000C099C" w:rsidRDefault="000C099C"/>
        </w:tc>
        <w:tc>
          <w:tcPr>
            <w:tcW w:w="1249" w:type="dxa"/>
          </w:tcPr>
          <w:p w14:paraId="19917E10" w14:textId="77777777" w:rsidR="000C099C" w:rsidRDefault="000C099C"/>
        </w:tc>
      </w:tr>
      <w:tr w:rsidR="000C099C" w14:paraId="54BCB1B8" w14:textId="77777777">
        <w:tc>
          <w:tcPr>
            <w:tcW w:w="828" w:type="dxa"/>
          </w:tcPr>
          <w:p w14:paraId="2CCB28B6" w14:textId="77777777" w:rsidR="000C099C" w:rsidRDefault="000C099C"/>
        </w:tc>
        <w:tc>
          <w:tcPr>
            <w:tcW w:w="4320" w:type="dxa"/>
          </w:tcPr>
          <w:p w14:paraId="08E59993" w14:textId="77777777" w:rsidR="000C099C" w:rsidRDefault="000C099C" w:rsidP="009D662E">
            <w:r>
              <w:t>Documentation of Limited Size</w:t>
            </w:r>
            <w:r w:rsidR="009D662E">
              <w:t xml:space="preserve"> </w:t>
            </w:r>
            <w:r>
              <w:t>and Resources</w:t>
            </w:r>
          </w:p>
        </w:tc>
        <w:tc>
          <w:tcPr>
            <w:tcW w:w="720" w:type="dxa"/>
          </w:tcPr>
          <w:p w14:paraId="6B414C81" w14:textId="77777777" w:rsidR="000C099C" w:rsidRDefault="00D6319C" w:rsidP="007C1749">
            <w:hyperlink w:anchor="LimitedSize" w:history="1">
              <w:r w:rsidR="007C1749">
                <w:rPr>
                  <w:rStyle w:val="Hyperlink"/>
                </w:rPr>
                <w:t>Pg</w:t>
              </w:r>
            </w:hyperlink>
            <w:r w:rsidR="000C099C">
              <w:t xml:space="preserve">, </w:t>
            </w:r>
          </w:p>
        </w:tc>
        <w:tc>
          <w:tcPr>
            <w:tcW w:w="810" w:type="dxa"/>
          </w:tcPr>
          <w:p w14:paraId="4320E23B" w14:textId="77777777" w:rsidR="000C099C" w:rsidRDefault="000C099C">
            <w:r>
              <w:t>x</w:t>
            </w:r>
          </w:p>
        </w:tc>
        <w:tc>
          <w:tcPr>
            <w:tcW w:w="813" w:type="dxa"/>
          </w:tcPr>
          <w:p w14:paraId="5F93C487" w14:textId="77777777" w:rsidR="000C099C" w:rsidRDefault="000C099C">
            <w:r>
              <w:t>x</w:t>
            </w:r>
          </w:p>
        </w:tc>
        <w:tc>
          <w:tcPr>
            <w:tcW w:w="852" w:type="dxa"/>
          </w:tcPr>
          <w:p w14:paraId="42E759BE" w14:textId="77777777" w:rsidR="000C099C" w:rsidRDefault="000C099C">
            <w:r>
              <w:t>x</w:t>
            </w:r>
          </w:p>
        </w:tc>
        <w:tc>
          <w:tcPr>
            <w:tcW w:w="1249" w:type="dxa"/>
          </w:tcPr>
          <w:p w14:paraId="406A9AAD" w14:textId="77777777" w:rsidR="000C099C" w:rsidRDefault="000C099C">
            <w:r>
              <w:t>x</w:t>
            </w:r>
          </w:p>
        </w:tc>
      </w:tr>
      <w:tr w:rsidR="000C099C" w14:paraId="1FFFEFEA" w14:textId="77777777">
        <w:tc>
          <w:tcPr>
            <w:tcW w:w="828" w:type="dxa"/>
          </w:tcPr>
          <w:p w14:paraId="65FAB5A2" w14:textId="77777777" w:rsidR="000C099C" w:rsidRDefault="000C099C"/>
        </w:tc>
        <w:tc>
          <w:tcPr>
            <w:tcW w:w="4320" w:type="dxa"/>
          </w:tcPr>
          <w:p w14:paraId="5E17073A" w14:textId="77777777" w:rsidR="000C099C" w:rsidRDefault="000C099C">
            <w:r>
              <w:t>Heightened Office Inspections</w:t>
            </w:r>
          </w:p>
        </w:tc>
        <w:tc>
          <w:tcPr>
            <w:tcW w:w="720" w:type="dxa"/>
          </w:tcPr>
          <w:p w14:paraId="347D342E" w14:textId="77777777" w:rsidR="000C099C" w:rsidRDefault="00D6319C">
            <w:hyperlink w:anchor="HeightenedSupervision" w:history="1">
              <w:r w:rsidR="007C1749">
                <w:rPr>
                  <w:rStyle w:val="Hyperlink"/>
                </w:rPr>
                <w:t>Pg</w:t>
              </w:r>
            </w:hyperlink>
          </w:p>
        </w:tc>
        <w:tc>
          <w:tcPr>
            <w:tcW w:w="810" w:type="dxa"/>
          </w:tcPr>
          <w:p w14:paraId="4247A912" w14:textId="77777777" w:rsidR="000C099C" w:rsidRDefault="000C099C">
            <w:r>
              <w:t>x</w:t>
            </w:r>
          </w:p>
        </w:tc>
        <w:tc>
          <w:tcPr>
            <w:tcW w:w="813" w:type="dxa"/>
          </w:tcPr>
          <w:p w14:paraId="522DE1A4" w14:textId="77777777" w:rsidR="000C099C" w:rsidRDefault="000C099C">
            <w:r>
              <w:t>x</w:t>
            </w:r>
          </w:p>
        </w:tc>
        <w:tc>
          <w:tcPr>
            <w:tcW w:w="852" w:type="dxa"/>
          </w:tcPr>
          <w:p w14:paraId="45364312" w14:textId="77777777" w:rsidR="000C099C" w:rsidRDefault="000C099C">
            <w:r>
              <w:t>x</w:t>
            </w:r>
          </w:p>
        </w:tc>
        <w:tc>
          <w:tcPr>
            <w:tcW w:w="1249" w:type="dxa"/>
          </w:tcPr>
          <w:p w14:paraId="4DB7D1FF" w14:textId="77777777" w:rsidR="000C099C" w:rsidRDefault="000C099C">
            <w:r>
              <w:t>x</w:t>
            </w:r>
          </w:p>
        </w:tc>
      </w:tr>
    </w:tbl>
    <w:p w14:paraId="38A3BA67" w14:textId="77777777" w:rsidR="000C099C" w:rsidRDefault="000C099C"/>
    <w:p w14:paraId="7C32C573" w14:textId="77777777" w:rsidR="000C099C" w:rsidRPr="00956F08" w:rsidRDefault="000C099C">
      <w:pPr>
        <w:rPr>
          <w:caps/>
        </w:rPr>
      </w:pPr>
      <w:r w:rsidRPr="00956F08">
        <w:rPr>
          <w:b/>
          <w:caps/>
          <w:sz w:val="24"/>
        </w:rPr>
        <w:t xml:space="preserve">Underwriting Activities </w:t>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8"/>
        <w:gridCol w:w="8"/>
        <w:gridCol w:w="4316"/>
        <w:gridCol w:w="6"/>
        <w:gridCol w:w="714"/>
        <w:gridCol w:w="6"/>
        <w:gridCol w:w="806"/>
        <w:gridCol w:w="813"/>
        <w:gridCol w:w="7"/>
        <w:gridCol w:w="845"/>
        <w:gridCol w:w="1253"/>
      </w:tblGrid>
      <w:tr w:rsidR="000C099C" w14:paraId="01B590A9" w14:textId="77777777">
        <w:tc>
          <w:tcPr>
            <w:tcW w:w="826" w:type="dxa"/>
            <w:gridSpan w:val="2"/>
            <w:tcBorders>
              <w:top w:val="single" w:sz="12" w:space="0" w:color="auto"/>
              <w:bottom w:val="single" w:sz="6" w:space="0" w:color="auto"/>
            </w:tcBorders>
            <w:shd w:val="pct10" w:color="auto" w:fill="auto"/>
          </w:tcPr>
          <w:p w14:paraId="42CDCA48" w14:textId="77777777" w:rsidR="000C099C" w:rsidRDefault="000C099C">
            <w:pPr>
              <w:rPr>
                <w:b/>
              </w:rPr>
            </w:pPr>
            <w:r>
              <w:rPr>
                <w:b/>
              </w:rPr>
              <w:t>OK or N/A</w:t>
            </w:r>
          </w:p>
        </w:tc>
        <w:tc>
          <w:tcPr>
            <w:tcW w:w="4316" w:type="dxa"/>
            <w:tcBorders>
              <w:top w:val="single" w:sz="12" w:space="0" w:color="auto"/>
              <w:bottom w:val="single" w:sz="6" w:space="0" w:color="auto"/>
            </w:tcBorders>
            <w:shd w:val="pct10" w:color="auto" w:fill="auto"/>
          </w:tcPr>
          <w:p w14:paraId="6BD60F95" w14:textId="77777777" w:rsidR="000C099C" w:rsidRDefault="000C099C">
            <w:pPr>
              <w:jc w:val="center"/>
              <w:rPr>
                <w:b/>
              </w:rPr>
            </w:pPr>
            <w:r>
              <w:rPr>
                <w:b/>
              </w:rPr>
              <w:t>Area of Supervision - Applicable Rule</w:t>
            </w:r>
          </w:p>
        </w:tc>
        <w:tc>
          <w:tcPr>
            <w:tcW w:w="720" w:type="dxa"/>
            <w:gridSpan w:val="2"/>
            <w:tcBorders>
              <w:top w:val="single" w:sz="12" w:space="0" w:color="auto"/>
              <w:bottom w:val="single" w:sz="6" w:space="0" w:color="auto"/>
            </w:tcBorders>
            <w:shd w:val="pct10" w:color="auto" w:fill="auto"/>
          </w:tcPr>
          <w:p w14:paraId="0E20C8C2" w14:textId="77777777" w:rsidR="000C099C" w:rsidRDefault="000C099C">
            <w:pPr>
              <w:rPr>
                <w:b/>
              </w:rPr>
            </w:pPr>
            <w:r>
              <w:rPr>
                <w:b/>
              </w:rPr>
              <w:t>Page No.</w:t>
            </w:r>
          </w:p>
        </w:tc>
        <w:tc>
          <w:tcPr>
            <w:tcW w:w="812" w:type="dxa"/>
            <w:gridSpan w:val="2"/>
            <w:tcBorders>
              <w:top w:val="single" w:sz="12" w:space="0" w:color="auto"/>
              <w:bottom w:val="single" w:sz="6" w:space="0" w:color="auto"/>
            </w:tcBorders>
            <w:shd w:val="pct10" w:color="auto" w:fill="auto"/>
          </w:tcPr>
          <w:p w14:paraId="1AC2773F"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31656B47" w14:textId="77777777" w:rsidR="000C099C" w:rsidRDefault="000C099C">
            <w:pPr>
              <w:rPr>
                <w:b/>
              </w:rPr>
            </w:pPr>
            <w:r>
              <w:rPr>
                <w:b/>
              </w:rPr>
              <w:t>What</w:t>
            </w:r>
          </w:p>
        </w:tc>
        <w:tc>
          <w:tcPr>
            <w:tcW w:w="852" w:type="dxa"/>
            <w:gridSpan w:val="2"/>
            <w:tcBorders>
              <w:top w:val="single" w:sz="12" w:space="0" w:color="auto"/>
              <w:bottom w:val="single" w:sz="6" w:space="0" w:color="auto"/>
            </w:tcBorders>
            <w:shd w:val="pct10" w:color="auto" w:fill="auto"/>
          </w:tcPr>
          <w:p w14:paraId="1AD14FE6" w14:textId="77777777" w:rsidR="000C099C" w:rsidRDefault="000C099C">
            <w:pPr>
              <w:rPr>
                <w:b/>
              </w:rPr>
            </w:pPr>
            <w:r>
              <w:rPr>
                <w:b/>
              </w:rPr>
              <w:t>When</w:t>
            </w:r>
          </w:p>
        </w:tc>
        <w:tc>
          <w:tcPr>
            <w:tcW w:w="1253" w:type="dxa"/>
            <w:tcBorders>
              <w:top w:val="single" w:sz="12" w:space="0" w:color="auto"/>
              <w:bottom w:val="single" w:sz="6" w:space="0" w:color="auto"/>
            </w:tcBorders>
            <w:shd w:val="pct10" w:color="auto" w:fill="auto"/>
          </w:tcPr>
          <w:p w14:paraId="6AF2DA82" w14:textId="77777777" w:rsidR="000C099C" w:rsidRDefault="000C099C">
            <w:pPr>
              <w:rPr>
                <w:b/>
              </w:rPr>
            </w:pPr>
            <w:r>
              <w:rPr>
                <w:b/>
              </w:rPr>
              <w:t>How Evidenced</w:t>
            </w:r>
          </w:p>
        </w:tc>
      </w:tr>
      <w:tr w:rsidR="000C099C" w14:paraId="7B38DD6F" w14:textId="77777777">
        <w:tc>
          <w:tcPr>
            <w:tcW w:w="826" w:type="dxa"/>
            <w:gridSpan w:val="2"/>
            <w:tcBorders>
              <w:top w:val="nil"/>
            </w:tcBorders>
          </w:tcPr>
          <w:p w14:paraId="2D7B585F" w14:textId="77777777" w:rsidR="000C099C" w:rsidRDefault="000C099C">
            <w:r>
              <w:t>x</w:t>
            </w:r>
          </w:p>
        </w:tc>
        <w:tc>
          <w:tcPr>
            <w:tcW w:w="4316" w:type="dxa"/>
            <w:tcBorders>
              <w:top w:val="nil"/>
            </w:tcBorders>
          </w:tcPr>
          <w:p w14:paraId="6FF9F819" w14:textId="77777777" w:rsidR="000C099C" w:rsidRDefault="000C099C">
            <w:r>
              <w:t>Best Efforts Underwritings - SEC Rules 10b-9 &amp; 15c2-4, NTM 87-61</w:t>
            </w:r>
          </w:p>
        </w:tc>
        <w:tc>
          <w:tcPr>
            <w:tcW w:w="720" w:type="dxa"/>
            <w:gridSpan w:val="2"/>
            <w:tcBorders>
              <w:top w:val="nil"/>
            </w:tcBorders>
          </w:tcPr>
          <w:p w14:paraId="63AFC1C7" w14:textId="77777777" w:rsidR="000C099C" w:rsidRDefault="00D6319C">
            <w:hyperlink w:anchor="BestEffortsBasis" w:history="1">
              <w:r w:rsidR="00C64A03">
                <w:rPr>
                  <w:rStyle w:val="Hyperlink"/>
                </w:rPr>
                <w:t>Pg</w:t>
              </w:r>
            </w:hyperlink>
          </w:p>
        </w:tc>
        <w:tc>
          <w:tcPr>
            <w:tcW w:w="812" w:type="dxa"/>
            <w:gridSpan w:val="2"/>
            <w:tcBorders>
              <w:top w:val="nil"/>
            </w:tcBorders>
          </w:tcPr>
          <w:p w14:paraId="68A9E24E" w14:textId="77777777" w:rsidR="000C099C" w:rsidRDefault="000C099C">
            <w:r>
              <w:t>x</w:t>
            </w:r>
          </w:p>
        </w:tc>
        <w:tc>
          <w:tcPr>
            <w:tcW w:w="813" w:type="dxa"/>
            <w:tcBorders>
              <w:top w:val="nil"/>
            </w:tcBorders>
          </w:tcPr>
          <w:p w14:paraId="585BC392" w14:textId="77777777" w:rsidR="000C099C" w:rsidRDefault="000C099C">
            <w:r>
              <w:t>x</w:t>
            </w:r>
          </w:p>
        </w:tc>
        <w:tc>
          <w:tcPr>
            <w:tcW w:w="852" w:type="dxa"/>
            <w:gridSpan w:val="2"/>
            <w:tcBorders>
              <w:top w:val="nil"/>
            </w:tcBorders>
          </w:tcPr>
          <w:p w14:paraId="536A8DD5" w14:textId="77777777" w:rsidR="000C099C" w:rsidRDefault="000C099C">
            <w:r>
              <w:t>x</w:t>
            </w:r>
          </w:p>
        </w:tc>
        <w:tc>
          <w:tcPr>
            <w:tcW w:w="1253" w:type="dxa"/>
            <w:tcBorders>
              <w:top w:val="nil"/>
            </w:tcBorders>
          </w:tcPr>
          <w:p w14:paraId="39CFFD65" w14:textId="77777777" w:rsidR="000C099C" w:rsidRDefault="000C099C">
            <w:r>
              <w:t>x</w:t>
            </w:r>
          </w:p>
        </w:tc>
      </w:tr>
      <w:tr w:rsidR="000C099C" w14:paraId="6F001BD6" w14:textId="77777777">
        <w:tc>
          <w:tcPr>
            <w:tcW w:w="826" w:type="dxa"/>
            <w:gridSpan w:val="2"/>
          </w:tcPr>
          <w:p w14:paraId="4F93F20B" w14:textId="77777777" w:rsidR="000C099C" w:rsidRDefault="000C099C">
            <w:r>
              <w:t>N/A</w:t>
            </w:r>
          </w:p>
        </w:tc>
        <w:tc>
          <w:tcPr>
            <w:tcW w:w="4316" w:type="dxa"/>
          </w:tcPr>
          <w:p w14:paraId="79B9809C" w14:textId="77777777" w:rsidR="000C099C" w:rsidRDefault="000C099C">
            <w:r>
              <w:t>Cooling-Off Period - SEC Rules 10b-6 &amp; 7</w:t>
            </w:r>
          </w:p>
        </w:tc>
        <w:tc>
          <w:tcPr>
            <w:tcW w:w="720" w:type="dxa"/>
            <w:gridSpan w:val="2"/>
          </w:tcPr>
          <w:p w14:paraId="5C87E119" w14:textId="77777777" w:rsidR="000C099C" w:rsidRDefault="000C099C"/>
        </w:tc>
        <w:tc>
          <w:tcPr>
            <w:tcW w:w="812" w:type="dxa"/>
            <w:gridSpan w:val="2"/>
          </w:tcPr>
          <w:p w14:paraId="63D362CF" w14:textId="77777777" w:rsidR="000C099C" w:rsidRDefault="000C099C"/>
        </w:tc>
        <w:tc>
          <w:tcPr>
            <w:tcW w:w="813" w:type="dxa"/>
          </w:tcPr>
          <w:p w14:paraId="3F827A2A" w14:textId="77777777" w:rsidR="000C099C" w:rsidRDefault="000C099C"/>
        </w:tc>
        <w:tc>
          <w:tcPr>
            <w:tcW w:w="852" w:type="dxa"/>
            <w:gridSpan w:val="2"/>
          </w:tcPr>
          <w:p w14:paraId="0B95645E" w14:textId="77777777" w:rsidR="000C099C" w:rsidRDefault="000C099C"/>
        </w:tc>
        <w:tc>
          <w:tcPr>
            <w:tcW w:w="1253" w:type="dxa"/>
          </w:tcPr>
          <w:p w14:paraId="7D382C15" w14:textId="77777777" w:rsidR="000C099C" w:rsidRDefault="000C099C"/>
        </w:tc>
      </w:tr>
      <w:tr w:rsidR="000C099C" w14:paraId="593BA38A" w14:textId="77777777">
        <w:tc>
          <w:tcPr>
            <w:tcW w:w="826" w:type="dxa"/>
            <w:gridSpan w:val="2"/>
          </w:tcPr>
          <w:p w14:paraId="7238C478" w14:textId="77777777" w:rsidR="000C099C" w:rsidRDefault="000C099C">
            <w:r>
              <w:t>x</w:t>
            </w:r>
          </w:p>
        </w:tc>
        <w:tc>
          <w:tcPr>
            <w:tcW w:w="4316" w:type="dxa"/>
          </w:tcPr>
          <w:p w14:paraId="06D626CF" w14:textId="77777777" w:rsidR="000C099C" w:rsidRDefault="000C099C">
            <w:r>
              <w:t>Due Diligence - 2310, SEC Rule 10b-5</w:t>
            </w:r>
          </w:p>
        </w:tc>
        <w:tc>
          <w:tcPr>
            <w:tcW w:w="720" w:type="dxa"/>
            <w:gridSpan w:val="2"/>
          </w:tcPr>
          <w:p w14:paraId="609B8660" w14:textId="77777777" w:rsidR="000C099C" w:rsidRDefault="00D6319C">
            <w:hyperlink w:anchor="PPDueDiligence" w:history="1">
              <w:r w:rsidR="00C64A03">
                <w:rPr>
                  <w:rStyle w:val="Hyperlink"/>
                </w:rPr>
                <w:t>Pg</w:t>
              </w:r>
            </w:hyperlink>
          </w:p>
        </w:tc>
        <w:tc>
          <w:tcPr>
            <w:tcW w:w="812" w:type="dxa"/>
            <w:gridSpan w:val="2"/>
          </w:tcPr>
          <w:p w14:paraId="497EED09" w14:textId="77777777" w:rsidR="000C099C" w:rsidRDefault="000C099C">
            <w:r>
              <w:t>x</w:t>
            </w:r>
          </w:p>
        </w:tc>
        <w:tc>
          <w:tcPr>
            <w:tcW w:w="813" w:type="dxa"/>
          </w:tcPr>
          <w:p w14:paraId="25585C25" w14:textId="77777777" w:rsidR="000C099C" w:rsidRDefault="000C099C">
            <w:r>
              <w:t>x</w:t>
            </w:r>
          </w:p>
        </w:tc>
        <w:tc>
          <w:tcPr>
            <w:tcW w:w="852" w:type="dxa"/>
            <w:gridSpan w:val="2"/>
          </w:tcPr>
          <w:p w14:paraId="49D3C42B" w14:textId="77777777" w:rsidR="000C099C" w:rsidRDefault="000C099C">
            <w:r>
              <w:t>x</w:t>
            </w:r>
          </w:p>
        </w:tc>
        <w:tc>
          <w:tcPr>
            <w:tcW w:w="1253" w:type="dxa"/>
          </w:tcPr>
          <w:p w14:paraId="5C197F75" w14:textId="77777777" w:rsidR="000C099C" w:rsidRDefault="000C099C">
            <w:r>
              <w:t>x</w:t>
            </w:r>
          </w:p>
        </w:tc>
      </w:tr>
      <w:tr w:rsidR="000C099C" w14:paraId="11180B30" w14:textId="77777777">
        <w:tc>
          <w:tcPr>
            <w:tcW w:w="826" w:type="dxa"/>
            <w:gridSpan w:val="2"/>
          </w:tcPr>
          <w:p w14:paraId="5FFDBE85" w14:textId="77777777" w:rsidR="000C099C" w:rsidRDefault="000C099C">
            <w:r>
              <w:t>N/A</w:t>
            </w:r>
          </w:p>
        </w:tc>
        <w:tc>
          <w:tcPr>
            <w:tcW w:w="4316" w:type="dxa"/>
          </w:tcPr>
          <w:p w14:paraId="2482E8E8" w14:textId="77777777" w:rsidR="000C099C" w:rsidRDefault="000C099C">
            <w:r>
              <w:t xml:space="preserve">Filing with the </w:t>
            </w:r>
            <w:r w:rsidRPr="006C3F07">
              <w:t>FINRA</w:t>
            </w:r>
            <w:r>
              <w:t>’s Corporate Financing Dept. - 2710</w:t>
            </w:r>
          </w:p>
        </w:tc>
        <w:tc>
          <w:tcPr>
            <w:tcW w:w="720" w:type="dxa"/>
            <w:gridSpan w:val="2"/>
          </w:tcPr>
          <w:p w14:paraId="4D2DD809" w14:textId="77777777" w:rsidR="000C099C" w:rsidRDefault="000C099C"/>
        </w:tc>
        <w:tc>
          <w:tcPr>
            <w:tcW w:w="812" w:type="dxa"/>
            <w:gridSpan w:val="2"/>
          </w:tcPr>
          <w:p w14:paraId="72C59D3E" w14:textId="77777777" w:rsidR="000C099C" w:rsidRDefault="000C099C"/>
        </w:tc>
        <w:tc>
          <w:tcPr>
            <w:tcW w:w="813" w:type="dxa"/>
          </w:tcPr>
          <w:p w14:paraId="222E5AC5" w14:textId="77777777" w:rsidR="000C099C" w:rsidRDefault="000C099C"/>
        </w:tc>
        <w:tc>
          <w:tcPr>
            <w:tcW w:w="852" w:type="dxa"/>
            <w:gridSpan w:val="2"/>
          </w:tcPr>
          <w:p w14:paraId="675D0C29" w14:textId="77777777" w:rsidR="000C099C" w:rsidRDefault="000C099C"/>
        </w:tc>
        <w:tc>
          <w:tcPr>
            <w:tcW w:w="1253" w:type="dxa"/>
          </w:tcPr>
          <w:p w14:paraId="77A85D81" w14:textId="77777777" w:rsidR="000C099C" w:rsidRDefault="000C099C"/>
        </w:tc>
      </w:tr>
      <w:tr w:rsidR="000C099C" w14:paraId="5A1A7CFC" w14:textId="77777777">
        <w:tc>
          <w:tcPr>
            <w:tcW w:w="826" w:type="dxa"/>
            <w:gridSpan w:val="2"/>
          </w:tcPr>
          <w:p w14:paraId="6271E483" w14:textId="77777777" w:rsidR="000C099C" w:rsidRDefault="000C099C">
            <w:r>
              <w:t>x</w:t>
            </w:r>
          </w:p>
        </w:tc>
        <w:tc>
          <w:tcPr>
            <w:tcW w:w="4316" w:type="dxa"/>
          </w:tcPr>
          <w:p w14:paraId="465858A5" w14:textId="77777777" w:rsidR="000C099C" w:rsidRDefault="000C099C">
            <w:r>
              <w:t>Prospectus Delivery Requirements - ‘33 ACT Sections 4(3) &amp; 5(b)(2), NTM 95-42</w:t>
            </w:r>
          </w:p>
        </w:tc>
        <w:tc>
          <w:tcPr>
            <w:tcW w:w="720" w:type="dxa"/>
            <w:gridSpan w:val="2"/>
          </w:tcPr>
          <w:p w14:paraId="464D90BA" w14:textId="77777777" w:rsidR="000C099C" w:rsidRDefault="00D6319C">
            <w:hyperlink w:anchor="PPOfferingMemorandums" w:history="1">
              <w:r w:rsidR="00C64A03">
                <w:rPr>
                  <w:rStyle w:val="Hyperlink"/>
                </w:rPr>
                <w:t>Pg</w:t>
              </w:r>
            </w:hyperlink>
          </w:p>
        </w:tc>
        <w:tc>
          <w:tcPr>
            <w:tcW w:w="812" w:type="dxa"/>
            <w:gridSpan w:val="2"/>
          </w:tcPr>
          <w:p w14:paraId="28B600CB" w14:textId="77777777" w:rsidR="000C099C" w:rsidRDefault="000C099C">
            <w:r>
              <w:t>x</w:t>
            </w:r>
          </w:p>
        </w:tc>
        <w:tc>
          <w:tcPr>
            <w:tcW w:w="813" w:type="dxa"/>
          </w:tcPr>
          <w:p w14:paraId="694941B0" w14:textId="77777777" w:rsidR="000C099C" w:rsidRDefault="000C099C">
            <w:r>
              <w:t>x</w:t>
            </w:r>
          </w:p>
        </w:tc>
        <w:tc>
          <w:tcPr>
            <w:tcW w:w="852" w:type="dxa"/>
            <w:gridSpan w:val="2"/>
          </w:tcPr>
          <w:p w14:paraId="3A69E3E4" w14:textId="77777777" w:rsidR="000C099C" w:rsidRDefault="000C099C">
            <w:r>
              <w:t>x</w:t>
            </w:r>
          </w:p>
        </w:tc>
        <w:tc>
          <w:tcPr>
            <w:tcW w:w="1253" w:type="dxa"/>
          </w:tcPr>
          <w:p w14:paraId="0B586B56" w14:textId="77777777" w:rsidR="000C099C" w:rsidRDefault="000C099C">
            <w:r>
              <w:t>x</w:t>
            </w:r>
          </w:p>
        </w:tc>
      </w:tr>
      <w:tr w:rsidR="000C099C" w14:paraId="5C2D1F88" w14:textId="77777777">
        <w:tc>
          <w:tcPr>
            <w:tcW w:w="826" w:type="dxa"/>
            <w:gridSpan w:val="2"/>
          </w:tcPr>
          <w:p w14:paraId="4539B8F9" w14:textId="77777777" w:rsidR="000C099C" w:rsidRDefault="000C099C">
            <w:r>
              <w:t>x</w:t>
            </w:r>
          </w:p>
        </w:tc>
        <w:tc>
          <w:tcPr>
            <w:tcW w:w="4316" w:type="dxa"/>
          </w:tcPr>
          <w:p w14:paraId="5279F1BC" w14:textId="77777777" w:rsidR="000C099C" w:rsidRDefault="000C099C">
            <w:r>
              <w:t>Private Offerings - ‘33 ACT Section 4(2), Regulation D Rules 501- 506</w:t>
            </w:r>
          </w:p>
        </w:tc>
        <w:tc>
          <w:tcPr>
            <w:tcW w:w="720" w:type="dxa"/>
            <w:gridSpan w:val="2"/>
          </w:tcPr>
          <w:p w14:paraId="2B3BABDD" w14:textId="77777777" w:rsidR="000C099C" w:rsidRDefault="00D6319C">
            <w:hyperlink w:anchor="RegD" w:history="1">
              <w:r w:rsidR="006C3F07">
                <w:rPr>
                  <w:rStyle w:val="Hyperlink"/>
                </w:rPr>
                <w:t>Pg</w:t>
              </w:r>
            </w:hyperlink>
          </w:p>
        </w:tc>
        <w:tc>
          <w:tcPr>
            <w:tcW w:w="812" w:type="dxa"/>
            <w:gridSpan w:val="2"/>
          </w:tcPr>
          <w:p w14:paraId="2B3D0CB6" w14:textId="77777777" w:rsidR="000C099C" w:rsidRDefault="000C099C"/>
        </w:tc>
        <w:tc>
          <w:tcPr>
            <w:tcW w:w="813" w:type="dxa"/>
          </w:tcPr>
          <w:p w14:paraId="601D6A46" w14:textId="77777777" w:rsidR="000C099C" w:rsidRDefault="000C099C"/>
        </w:tc>
        <w:tc>
          <w:tcPr>
            <w:tcW w:w="852" w:type="dxa"/>
            <w:gridSpan w:val="2"/>
          </w:tcPr>
          <w:p w14:paraId="6382D632" w14:textId="77777777" w:rsidR="000C099C" w:rsidRDefault="000C099C"/>
        </w:tc>
        <w:tc>
          <w:tcPr>
            <w:tcW w:w="1253" w:type="dxa"/>
          </w:tcPr>
          <w:p w14:paraId="2D60230B" w14:textId="77777777" w:rsidR="000C099C" w:rsidRDefault="000C099C"/>
        </w:tc>
      </w:tr>
      <w:tr w:rsidR="000C099C" w14:paraId="6E49A5E2" w14:textId="77777777">
        <w:tc>
          <w:tcPr>
            <w:tcW w:w="826" w:type="dxa"/>
            <w:gridSpan w:val="2"/>
          </w:tcPr>
          <w:p w14:paraId="4A1F89A2" w14:textId="77777777" w:rsidR="000C099C" w:rsidRDefault="000C099C">
            <w:r>
              <w:t>N/A</w:t>
            </w:r>
          </w:p>
        </w:tc>
        <w:tc>
          <w:tcPr>
            <w:tcW w:w="4316" w:type="dxa"/>
          </w:tcPr>
          <w:p w14:paraId="36EFF4E7" w14:textId="77777777" w:rsidR="000C099C" w:rsidRDefault="000C099C">
            <w:r>
              <w:t xml:space="preserve">Regulation </w:t>
            </w:r>
            <w:proofErr w:type="gramStart"/>
            <w:r>
              <w:t>A</w:t>
            </w:r>
            <w:proofErr w:type="gramEnd"/>
            <w:r>
              <w:t xml:space="preserve"> Offerings - Form 1-A</w:t>
            </w:r>
          </w:p>
        </w:tc>
        <w:tc>
          <w:tcPr>
            <w:tcW w:w="720" w:type="dxa"/>
            <w:gridSpan w:val="2"/>
          </w:tcPr>
          <w:p w14:paraId="2E930EB9" w14:textId="77777777" w:rsidR="000C099C" w:rsidRDefault="000C099C"/>
        </w:tc>
        <w:tc>
          <w:tcPr>
            <w:tcW w:w="812" w:type="dxa"/>
            <w:gridSpan w:val="2"/>
          </w:tcPr>
          <w:p w14:paraId="5AA889A6" w14:textId="77777777" w:rsidR="000C099C" w:rsidRDefault="000C099C"/>
        </w:tc>
        <w:tc>
          <w:tcPr>
            <w:tcW w:w="813" w:type="dxa"/>
          </w:tcPr>
          <w:p w14:paraId="0EB59939" w14:textId="77777777" w:rsidR="000C099C" w:rsidRDefault="000C099C"/>
        </w:tc>
        <w:tc>
          <w:tcPr>
            <w:tcW w:w="852" w:type="dxa"/>
            <w:gridSpan w:val="2"/>
          </w:tcPr>
          <w:p w14:paraId="67C3D31B" w14:textId="77777777" w:rsidR="000C099C" w:rsidRDefault="000C099C"/>
        </w:tc>
        <w:tc>
          <w:tcPr>
            <w:tcW w:w="1253" w:type="dxa"/>
          </w:tcPr>
          <w:p w14:paraId="5E86A3E0" w14:textId="77777777" w:rsidR="000C099C" w:rsidRDefault="000C099C"/>
        </w:tc>
      </w:tr>
      <w:tr w:rsidR="000C099C" w14:paraId="2EC1EC34" w14:textId="77777777">
        <w:tc>
          <w:tcPr>
            <w:tcW w:w="826" w:type="dxa"/>
            <w:gridSpan w:val="2"/>
          </w:tcPr>
          <w:p w14:paraId="1A6DC351" w14:textId="77777777" w:rsidR="000C099C" w:rsidRDefault="000C099C">
            <w:r>
              <w:t>N/A</w:t>
            </w:r>
          </w:p>
        </w:tc>
        <w:tc>
          <w:tcPr>
            <w:tcW w:w="4316" w:type="dxa"/>
          </w:tcPr>
          <w:p w14:paraId="7FEAC9C5" w14:textId="77777777" w:rsidR="000C099C" w:rsidRDefault="000C099C">
            <w:r>
              <w:t>Intrastate Offerings - ‘33 ACT Section 3(a)(11), SEC Rule 147</w:t>
            </w:r>
          </w:p>
        </w:tc>
        <w:tc>
          <w:tcPr>
            <w:tcW w:w="720" w:type="dxa"/>
            <w:gridSpan w:val="2"/>
          </w:tcPr>
          <w:p w14:paraId="6D4B987A" w14:textId="77777777" w:rsidR="000C099C" w:rsidRDefault="000C099C"/>
        </w:tc>
        <w:tc>
          <w:tcPr>
            <w:tcW w:w="812" w:type="dxa"/>
            <w:gridSpan w:val="2"/>
          </w:tcPr>
          <w:p w14:paraId="082581BA" w14:textId="77777777" w:rsidR="000C099C" w:rsidRDefault="000C099C"/>
        </w:tc>
        <w:tc>
          <w:tcPr>
            <w:tcW w:w="813" w:type="dxa"/>
          </w:tcPr>
          <w:p w14:paraId="21EE645C" w14:textId="77777777" w:rsidR="000C099C" w:rsidRDefault="000C099C"/>
        </w:tc>
        <w:tc>
          <w:tcPr>
            <w:tcW w:w="852" w:type="dxa"/>
            <w:gridSpan w:val="2"/>
          </w:tcPr>
          <w:p w14:paraId="518CE235" w14:textId="77777777" w:rsidR="000C099C" w:rsidRDefault="000C099C"/>
        </w:tc>
        <w:tc>
          <w:tcPr>
            <w:tcW w:w="1253" w:type="dxa"/>
          </w:tcPr>
          <w:p w14:paraId="24CEDB5B" w14:textId="77777777" w:rsidR="000C099C" w:rsidRDefault="000C099C"/>
        </w:tc>
      </w:tr>
      <w:tr w:rsidR="000C099C" w14:paraId="43C84422" w14:textId="77777777">
        <w:tc>
          <w:tcPr>
            <w:tcW w:w="818" w:type="dxa"/>
            <w:tcBorders>
              <w:right w:val="single" w:sz="4" w:space="0" w:color="auto"/>
            </w:tcBorders>
          </w:tcPr>
          <w:p w14:paraId="608F5EEE" w14:textId="77777777" w:rsidR="000C099C" w:rsidRDefault="000C099C">
            <w:r>
              <w:t>x</w:t>
            </w:r>
          </w:p>
        </w:tc>
        <w:tc>
          <w:tcPr>
            <w:tcW w:w="4330" w:type="dxa"/>
            <w:gridSpan w:val="3"/>
            <w:tcBorders>
              <w:left w:val="single" w:sz="4" w:space="0" w:color="auto"/>
              <w:right w:val="single" w:sz="4" w:space="0" w:color="auto"/>
            </w:tcBorders>
          </w:tcPr>
          <w:p w14:paraId="7739BAB5" w14:textId="77777777" w:rsidR="000C099C" w:rsidRDefault="006C3F07">
            <w:r>
              <w:t xml:space="preserve">Restrictions on </w:t>
            </w:r>
            <w:proofErr w:type="gramStart"/>
            <w:r>
              <w:t>Non Cash</w:t>
            </w:r>
            <w:proofErr w:type="gramEnd"/>
            <w:r>
              <w:t xml:space="preserve"> Compensation - </w:t>
            </w:r>
            <w:r w:rsidR="000C099C" w:rsidRPr="006C3F07">
              <w:t>FINRA</w:t>
            </w:r>
            <w:r w:rsidR="000C099C">
              <w:t xml:space="preserve"> Rule 2710 and 2810</w:t>
            </w:r>
          </w:p>
        </w:tc>
        <w:tc>
          <w:tcPr>
            <w:tcW w:w="720" w:type="dxa"/>
            <w:gridSpan w:val="2"/>
            <w:tcBorders>
              <w:left w:val="single" w:sz="4" w:space="0" w:color="auto"/>
              <w:right w:val="single" w:sz="4" w:space="0" w:color="auto"/>
            </w:tcBorders>
          </w:tcPr>
          <w:p w14:paraId="7CBCA152" w14:textId="77777777" w:rsidR="000C099C" w:rsidRDefault="00D6319C">
            <w:hyperlink w:anchor="PPNonCashComp" w:history="1">
              <w:r w:rsidR="006C3F07">
                <w:rPr>
                  <w:rStyle w:val="Hyperlink"/>
                </w:rPr>
                <w:t>Pg</w:t>
              </w:r>
            </w:hyperlink>
          </w:p>
        </w:tc>
        <w:tc>
          <w:tcPr>
            <w:tcW w:w="806" w:type="dxa"/>
            <w:tcBorders>
              <w:left w:val="single" w:sz="4" w:space="0" w:color="auto"/>
              <w:right w:val="single" w:sz="4" w:space="0" w:color="auto"/>
            </w:tcBorders>
          </w:tcPr>
          <w:p w14:paraId="6B85B275" w14:textId="77777777" w:rsidR="000C099C" w:rsidRDefault="000C099C">
            <w:r>
              <w:t>x</w:t>
            </w:r>
          </w:p>
        </w:tc>
        <w:tc>
          <w:tcPr>
            <w:tcW w:w="820" w:type="dxa"/>
            <w:gridSpan w:val="2"/>
            <w:tcBorders>
              <w:left w:val="single" w:sz="4" w:space="0" w:color="auto"/>
              <w:right w:val="single" w:sz="4" w:space="0" w:color="auto"/>
            </w:tcBorders>
          </w:tcPr>
          <w:p w14:paraId="031C3376" w14:textId="77777777" w:rsidR="000C099C" w:rsidRDefault="000C099C">
            <w:r>
              <w:t>x</w:t>
            </w:r>
          </w:p>
        </w:tc>
        <w:tc>
          <w:tcPr>
            <w:tcW w:w="845" w:type="dxa"/>
            <w:tcBorders>
              <w:left w:val="single" w:sz="4" w:space="0" w:color="auto"/>
              <w:right w:val="single" w:sz="4" w:space="0" w:color="auto"/>
            </w:tcBorders>
          </w:tcPr>
          <w:p w14:paraId="6BEEDA34" w14:textId="77777777" w:rsidR="000C099C" w:rsidRDefault="000C099C">
            <w:r>
              <w:t>x</w:t>
            </w:r>
          </w:p>
        </w:tc>
        <w:tc>
          <w:tcPr>
            <w:tcW w:w="1253" w:type="dxa"/>
            <w:tcBorders>
              <w:left w:val="single" w:sz="4" w:space="0" w:color="auto"/>
            </w:tcBorders>
          </w:tcPr>
          <w:p w14:paraId="453600C4" w14:textId="77777777" w:rsidR="000C099C" w:rsidRDefault="000C099C">
            <w:r>
              <w:t>x</w:t>
            </w:r>
          </w:p>
        </w:tc>
      </w:tr>
      <w:tr w:rsidR="000C099C" w14:paraId="070614D5" w14:textId="77777777">
        <w:tc>
          <w:tcPr>
            <w:tcW w:w="826" w:type="dxa"/>
            <w:gridSpan w:val="2"/>
          </w:tcPr>
          <w:p w14:paraId="74EA9986" w14:textId="77777777" w:rsidR="000C099C" w:rsidRDefault="000C099C">
            <w:r>
              <w:t>N/A</w:t>
            </w:r>
          </w:p>
        </w:tc>
        <w:tc>
          <w:tcPr>
            <w:tcW w:w="4316" w:type="dxa"/>
          </w:tcPr>
          <w:p w14:paraId="6710AD54" w14:textId="77777777" w:rsidR="000C099C" w:rsidRDefault="000C099C">
            <w:r>
              <w:t>Public Offerings (Securities Registration)</w:t>
            </w:r>
          </w:p>
        </w:tc>
        <w:tc>
          <w:tcPr>
            <w:tcW w:w="720" w:type="dxa"/>
            <w:gridSpan w:val="2"/>
          </w:tcPr>
          <w:p w14:paraId="05D64EE7" w14:textId="77777777" w:rsidR="000C099C" w:rsidRDefault="000C099C"/>
        </w:tc>
        <w:tc>
          <w:tcPr>
            <w:tcW w:w="812" w:type="dxa"/>
            <w:gridSpan w:val="2"/>
          </w:tcPr>
          <w:p w14:paraId="099DB02A" w14:textId="77777777" w:rsidR="000C099C" w:rsidRDefault="000C099C">
            <w:r>
              <w:t xml:space="preserve"> </w:t>
            </w:r>
          </w:p>
        </w:tc>
        <w:tc>
          <w:tcPr>
            <w:tcW w:w="813" w:type="dxa"/>
          </w:tcPr>
          <w:p w14:paraId="017BF03C" w14:textId="77777777" w:rsidR="000C099C" w:rsidRDefault="000C099C">
            <w:r>
              <w:t xml:space="preserve"> </w:t>
            </w:r>
          </w:p>
        </w:tc>
        <w:tc>
          <w:tcPr>
            <w:tcW w:w="852" w:type="dxa"/>
            <w:gridSpan w:val="2"/>
          </w:tcPr>
          <w:p w14:paraId="0ABBF163" w14:textId="77777777" w:rsidR="000C099C" w:rsidRDefault="000C099C">
            <w:r>
              <w:t xml:space="preserve"> </w:t>
            </w:r>
          </w:p>
        </w:tc>
        <w:tc>
          <w:tcPr>
            <w:tcW w:w="1253" w:type="dxa"/>
          </w:tcPr>
          <w:p w14:paraId="6728104C" w14:textId="77777777" w:rsidR="000C099C" w:rsidRDefault="000C099C">
            <w:r>
              <w:t xml:space="preserve"> </w:t>
            </w:r>
          </w:p>
        </w:tc>
      </w:tr>
      <w:tr w:rsidR="000C099C" w14:paraId="0BB5E652" w14:textId="77777777">
        <w:tc>
          <w:tcPr>
            <w:tcW w:w="826" w:type="dxa"/>
            <w:gridSpan w:val="2"/>
          </w:tcPr>
          <w:p w14:paraId="0F59E9AD" w14:textId="77777777" w:rsidR="000C099C" w:rsidRDefault="000C099C">
            <w:r>
              <w:lastRenderedPageBreak/>
              <w:t>x</w:t>
            </w:r>
          </w:p>
        </w:tc>
        <w:tc>
          <w:tcPr>
            <w:tcW w:w="4316" w:type="dxa"/>
          </w:tcPr>
          <w:p w14:paraId="07665177" w14:textId="77777777" w:rsidR="000C099C" w:rsidRDefault="000C099C">
            <w:r>
              <w:t>Rule 144 Transactions</w:t>
            </w:r>
          </w:p>
        </w:tc>
        <w:tc>
          <w:tcPr>
            <w:tcW w:w="720" w:type="dxa"/>
            <w:gridSpan w:val="2"/>
          </w:tcPr>
          <w:p w14:paraId="7B4FFDDF" w14:textId="77777777" w:rsidR="000C099C" w:rsidRDefault="00D6319C" w:rsidP="00E226A0">
            <w:hyperlink w:anchor="Rule144" w:history="1">
              <w:r w:rsidR="00E226A0">
                <w:rPr>
                  <w:rStyle w:val="Hyperlink"/>
                </w:rPr>
                <w:t>Pg</w:t>
              </w:r>
            </w:hyperlink>
            <w:r w:rsidR="000C099C">
              <w:t xml:space="preserve">, </w:t>
            </w:r>
          </w:p>
        </w:tc>
        <w:tc>
          <w:tcPr>
            <w:tcW w:w="812" w:type="dxa"/>
            <w:gridSpan w:val="2"/>
          </w:tcPr>
          <w:p w14:paraId="46CB4454" w14:textId="77777777" w:rsidR="000C099C" w:rsidRDefault="000C099C">
            <w:r>
              <w:t>x</w:t>
            </w:r>
          </w:p>
        </w:tc>
        <w:tc>
          <w:tcPr>
            <w:tcW w:w="813" w:type="dxa"/>
          </w:tcPr>
          <w:p w14:paraId="7F092F24" w14:textId="77777777" w:rsidR="000C099C" w:rsidRDefault="000C099C">
            <w:r>
              <w:t>x</w:t>
            </w:r>
          </w:p>
        </w:tc>
        <w:tc>
          <w:tcPr>
            <w:tcW w:w="852" w:type="dxa"/>
            <w:gridSpan w:val="2"/>
          </w:tcPr>
          <w:p w14:paraId="1E62761C" w14:textId="77777777" w:rsidR="000C099C" w:rsidRDefault="000C099C">
            <w:r>
              <w:t>x</w:t>
            </w:r>
          </w:p>
        </w:tc>
        <w:tc>
          <w:tcPr>
            <w:tcW w:w="1253" w:type="dxa"/>
          </w:tcPr>
          <w:p w14:paraId="4259D7BB" w14:textId="77777777" w:rsidR="000C099C" w:rsidRDefault="000C099C">
            <w:r>
              <w:t>x</w:t>
            </w:r>
          </w:p>
        </w:tc>
      </w:tr>
      <w:tr w:rsidR="000C099C" w14:paraId="04D97C38" w14:textId="77777777">
        <w:tc>
          <w:tcPr>
            <w:tcW w:w="826" w:type="dxa"/>
            <w:gridSpan w:val="2"/>
          </w:tcPr>
          <w:p w14:paraId="5C5192E8" w14:textId="77777777" w:rsidR="000C099C" w:rsidRDefault="000C099C">
            <w:r>
              <w:t>x</w:t>
            </w:r>
          </w:p>
        </w:tc>
        <w:tc>
          <w:tcPr>
            <w:tcW w:w="4316" w:type="dxa"/>
          </w:tcPr>
          <w:p w14:paraId="407DB42F" w14:textId="77777777" w:rsidR="000C099C" w:rsidRDefault="000C099C" w:rsidP="00411627">
            <w:r>
              <w:t>Free-Riding &amp; Withholding</w:t>
            </w:r>
            <w:r w:rsidR="00411627">
              <w:t xml:space="preserve"> - FINRA</w:t>
            </w:r>
            <w:r>
              <w:t>, NTM 95-7 &amp; 86-73, 03-79</w:t>
            </w:r>
          </w:p>
        </w:tc>
        <w:tc>
          <w:tcPr>
            <w:tcW w:w="720" w:type="dxa"/>
            <w:gridSpan w:val="2"/>
          </w:tcPr>
          <w:p w14:paraId="31764A1D" w14:textId="77777777" w:rsidR="000C099C" w:rsidRDefault="00D6319C">
            <w:hyperlink w:anchor="PPFreeRidingWH" w:history="1">
              <w:r w:rsidR="00411627">
                <w:rPr>
                  <w:rStyle w:val="Hyperlink"/>
                </w:rPr>
                <w:t>Pg</w:t>
              </w:r>
            </w:hyperlink>
          </w:p>
        </w:tc>
        <w:tc>
          <w:tcPr>
            <w:tcW w:w="812" w:type="dxa"/>
            <w:gridSpan w:val="2"/>
          </w:tcPr>
          <w:p w14:paraId="2206089D" w14:textId="77777777" w:rsidR="000C099C" w:rsidRDefault="000C099C">
            <w:r>
              <w:t>x</w:t>
            </w:r>
          </w:p>
        </w:tc>
        <w:tc>
          <w:tcPr>
            <w:tcW w:w="813" w:type="dxa"/>
          </w:tcPr>
          <w:p w14:paraId="5C852CD9" w14:textId="77777777" w:rsidR="000C099C" w:rsidRDefault="000C099C">
            <w:r>
              <w:t>x</w:t>
            </w:r>
          </w:p>
        </w:tc>
        <w:tc>
          <w:tcPr>
            <w:tcW w:w="852" w:type="dxa"/>
            <w:gridSpan w:val="2"/>
          </w:tcPr>
          <w:p w14:paraId="7C167B69" w14:textId="77777777" w:rsidR="000C099C" w:rsidRDefault="000C099C">
            <w:r>
              <w:t>x</w:t>
            </w:r>
          </w:p>
        </w:tc>
        <w:tc>
          <w:tcPr>
            <w:tcW w:w="1253" w:type="dxa"/>
          </w:tcPr>
          <w:p w14:paraId="058971A5" w14:textId="77777777" w:rsidR="000C099C" w:rsidRDefault="000C099C">
            <w:r>
              <w:t>x</w:t>
            </w:r>
          </w:p>
        </w:tc>
      </w:tr>
      <w:tr w:rsidR="000C099C" w14:paraId="470394DD" w14:textId="77777777">
        <w:tc>
          <w:tcPr>
            <w:tcW w:w="826" w:type="dxa"/>
            <w:gridSpan w:val="2"/>
          </w:tcPr>
          <w:p w14:paraId="267F2971" w14:textId="77777777" w:rsidR="000C099C" w:rsidRDefault="000C099C">
            <w:r>
              <w:t>N/A</w:t>
            </w:r>
          </w:p>
        </w:tc>
        <w:tc>
          <w:tcPr>
            <w:tcW w:w="4316" w:type="dxa"/>
          </w:tcPr>
          <w:p w14:paraId="77659742" w14:textId="77777777" w:rsidR="000C099C" w:rsidRDefault="000C099C">
            <w:r>
              <w:t>Shelf-Underwritings – 2720</w:t>
            </w:r>
          </w:p>
        </w:tc>
        <w:tc>
          <w:tcPr>
            <w:tcW w:w="720" w:type="dxa"/>
            <w:gridSpan w:val="2"/>
          </w:tcPr>
          <w:p w14:paraId="0F68BC8F" w14:textId="77777777" w:rsidR="000C099C" w:rsidRDefault="000C099C"/>
        </w:tc>
        <w:tc>
          <w:tcPr>
            <w:tcW w:w="812" w:type="dxa"/>
            <w:gridSpan w:val="2"/>
          </w:tcPr>
          <w:p w14:paraId="40167DE9" w14:textId="77777777" w:rsidR="000C099C" w:rsidRDefault="000C099C"/>
        </w:tc>
        <w:tc>
          <w:tcPr>
            <w:tcW w:w="813" w:type="dxa"/>
          </w:tcPr>
          <w:p w14:paraId="39E923D2" w14:textId="77777777" w:rsidR="000C099C" w:rsidRDefault="000C099C"/>
        </w:tc>
        <w:tc>
          <w:tcPr>
            <w:tcW w:w="852" w:type="dxa"/>
            <w:gridSpan w:val="2"/>
          </w:tcPr>
          <w:p w14:paraId="400FF067" w14:textId="77777777" w:rsidR="000C099C" w:rsidRDefault="000C099C"/>
        </w:tc>
        <w:tc>
          <w:tcPr>
            <w:tcW w:w="1253" w:type="dxa"/>
          </w:tcPr>
          <w:p w14:paraId="3E867357" w14:textId="77777777" w:rsidR="000C099C" w:rsidRDefault="000C099C"/>
        </w:tc>
      </w:tr>
    </w:tbl>
    <w:p w14:paraId="6F72CE54" w14:textId="77777777" w:rsidR="000C099C" w:rsidRDefault="000C099C"/>
    <w:p w14:paraId="226269DF" w14:textId="77777777" w:rsidR="000C099C" w:rsidRPr="00956F08" w:rsidRDefault="000C099C">
      <w:pPr>
        <w:pStyle w:val="FootnoteText"/>
        <w:rPr>
          <w:caps/>
        </w:rPr>
      </w:pPr>
      <w:r w:rsidRPr="00956F08">
        <w:rPr>
          <w:b/>
          <w:caps/>
          <w:sz w:val="24"/>
        </w:rPr>
        <w:t xml:space="preserve">Riskless Principal Trading and Market Making </w:t>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5AE9F4BF" w14:textId="77777777">
        <w:tc>
          <w:tcPr>
            <w:tcW w:w="828" w:type="dxa"/>
            <w:tcBorders>
              <w:top w:val="single" w:sz="12" w:space="0" w:color="auto"/>
              <w:bottom w:val="single" w:sz="6" w:space="0" w:color="auto"/>
            </w:tcBorders>
            <w:shd w:val="pct10" w:color="auto" w:fill="auto"/>
          </w:tcPr>
          <w:p w14:paraId="34846582"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5636E95E"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13A39D62"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06D9711A"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5ED4A445"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1EAEE341"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3650F594" w14:textId="77777777" w:rsidR="000C099C" w:rsidRDefault="000C099C">
            <w:pPr>
              <w:rPr>
                <w:b/>
              </w:rPr>
            </w:pPr>
            <w:r>
              <w:rPr>
                <w:b/>
              </w:rPr>
              <w:t>How Evidenced</w:t>
            </w:r>
          </w:p>
        </w:tc>
      </w:tr>
      <w:tr w:rsidR="000C099C" w14:paraId="1D36157C" w14:textId="77777777">
        <w:tc>
          <w:tcPr>
            <w:tcW w:w="828" w:type="dxa"/>
            <w:tcBorders>
              <w:top w:val="nil"/>
            </w:tcBorders>
          </w:tcPr>
          <w:p w14:paraId="5C5F3640" w14:textId="77777777" w:rsidR="000C099C" w:rsidRDefault="000C099C">
            <w:r>
              <w:t>x</w:t>
            </w:r>
          </w:p>
        </w:tc>
        <w:tc>
          <w:tcPr>
            <w:tcW w:w="4320" w:type="dxa"/>
            <w:tcBorders>
              <w:top w:val="nil"/>
            </w:tcBorders>
          </w:tcPr>
          <w:p w14:paraId="4BB1208C" w14:textId="77777777" w:rsidR="000C099C" w:rsidRDefault="000C099C">
            <w:r>
              <w:t>Fair Prices and Commissions - 2440, IM-2440, MSRB Rule G-30, NTM 93-81 &amp; 92-16</w:t>
            </w:r>
          </w:p>
        </w:tc>
        <w:tc>
          <w:tcPr>
            <w:tcW w:w="720" w:type="dxa"/>
            <w:tcBorders>
              <w:top w:val="nil"/>
            </w:tcBorders>
          </w:tcPr>
          <w:p w14:paraId="653A78E4" w14:textId="77777777" w:rsidR="000C099C" w:rsidRDefault="00D6319C">
            <w:hyperlink w:anchor="MarkUpsAndComm" w:history="1">
              <w:r w:rsidR="00665035">
                <w:rPr>
                  <w:rStyle w:val="Hyperlink"/>
                </w:rPr>
                <w:t>Pg</w:t>
              </w:r>
            </w:hyperlink>
            <w:r w:rsidR="000C099C">
              <w:t xml:space="preserve">, </w:t>
            </w:r>
            <w:hyperlink w:anchor="MarkupMarkdown" w:history="1">
              <w:r w:rsidR="00665035">
                <w:rPr>
                  <w:rStyle w:val="Hyperlink"/>
                </w:rPr>
                <w:t>Pg</w:t>
              </w:r>
            </w:hyperlink>
          </w:p>
        </w:tc>
        <w:tc>
          <w:tcPr>
            <w:tcW w:w="810" w:type="dxa"/>
            <w:tcBorders>
              <w:top w:val="nil"/>
            </w:tcBorders>
          </w:tcPr>
          <w:p w14:paraId="0F3CC176" w14:textId="77777777" w:rsidR="000C099C" w:rsidRDefault="000C099C"/>
        </w:tc>
        <w:tc>
          <w:tcPr>
            <w:tcW w:w="813" w:type="dxa"/>
            <w:tcBorders>
              <w:top w:val="nil"/>
            </w:tcBorders>
          </w:tcPr>
          <w:p w14:paraId="28D67E4C" w14:textId="77777777" w:rsidR="000C099C" w:rsidRDefault="000C099C"/>
        </w:tc>
        <w:tc>
          <w:tcPr>
            <w:tcW w:w="852" w:type="dxa"/>
            <w:tcBorders>
              <w:top w:val="nil"/>
            </w:tcBorders>
          </w:tcPr>
          <w:p w14:paraId="47B7E673" w14:textId="77777777" w:rsidR="000C099C" w:rsidRDefault="000C099C"/>
        </w:tc>
        <w:tc>
          <w:tcPr>
            <w:tcW w:w="1249" w:type="dxa"/>
            <w:tcBorders>
              <w:top w:val="nil"/>
            </w:tcBorders>
          </w:tcPr>
          <w:p w14:paraId="7510B67F" w14:textId="77777777" w:rsidR="000C099C" w:rsidRDefault="000C099C"/>
        </w:tc>
      </w:tr>
      <w:tr w:rsidR="000C099C" w14:paraId="0ADAC9CA" w14:textId="77777777">
        <w:tc>
          <w:tcPr>
            <w:tcW w:w="828" w:type="dxa"/>
          </w:tcPr>
          <w:p w14:paraId="3EE2E687" w14:textId="77777777" w:rsidR="000C099C" w:rsidRDefault="000C099C">
            <w:r>
              <w:t>x</w:t>
            </w:r>
          </w:p>
        </w:tc>
        <w:tc>
          <w:tcPr>
            <w:tcW w:w="4320" w:type="dxa"/>
          </w:tcPr>
          <w:p w14:paraId="21B29087" w14:textId="77777777" w:rsidR="000C099C" w:rsidRDefault="000C099C">
            <w:r>
              <w:t>Guidelines for Best Execution - 2320, MSRB Rule G-18</w:t>
            </w:r>
          </w:p>
        </w:tc>
        <w:tc>
          <w:tcPr>
            <w:tcW w:w="720" w:type="dxa"/>
          </w:tcPr>
          <w:p w14:paraId="5A5F4975" w14:textId="77777777" w:rsidR="000C099C" w:rsidRDefault="00D6319C">
            <w:hyperlink w:anchor="RuleG18" w:history="1">
              <w:r w:rsidR="00E4596E">
                <w:rPr>
                  <w:rStyle w:val="Hyperlink"/>
                </w:rPr>
                <w:t>Pg</w:t>
              </w:r>
            </w:hyperlink>
            <w:r w:rsidR="000C099C">
              <w:t xml:space="preserve">, </w:t>
            </w:r>
          </w:p>
          <w:p w14:paraId="1491F31C" w14:textId="77777777" w:rsidR="000C099C" w:rsidRDefault="00D6319C">
            <w:hyperlink w:anchor="Rule2320" w:history="1">
              <w:r w:rsidR="00E4596E">
                <w:rPr>
                  <w:rStyle w:val="Hyperlink"/>
                </w:rPr>
                <w:t>Pg</w:t>
              </w:r>
            </w:hyperlink>
            <w:r w:rsidR="000C099C">
              <w:t xml:space="preserve">, </w:t>
            </w:r>
            <w:hyperlink w:anchor="BestExecution" w:history="1">
              <w:r w:rsidR="00E4596E">
                <w:rPr>
                  <w:rStyle w:val="Hyperlink"/>
                </w:rPr>
                <w:t>Pg</w:t>
              </w:r>
            </w:hyperlink>
          </w:p>
        </w:tc>
        <w:tc>
          <w:tcPr>
            <w:tcW w:w="810" w:type="dxa"/>
          </w:tcPr>
          <w:p w14:paraId="3E283856" w14:textId="77777777" w:rsidR="000C099C" w:rsidRDefault="000C099C"/>
        </w:tc>
        <w:tc>
          <w:tcPr>
            <w:tcW w:w="813" w:type="dxa"/>
          </w:tcPr>
          <w:p w14:paraId="280619CE" w14:textId="77777777" w:rsidR="000C099C" w:rsidRDefault="000C099C"/>
        </w:tc>
        <w:tc>
          <w:tcPr>
            <w:tcW w:w="852" w:type="dxa"/>
          </w:tcPr>
          <w:p w14:paraId="0D18B028" w14:textId="77777777" w:rsidR="000C099C" w:rsidRDefault="000C099C"/>
        </w:tc>
        <w:tc>
          <w:tcPr>
            <w:tcW w:w="1249" w:type="dxa"/>
          </w:tcPr>
          <w:p w14:paraId="072AAA7A" w14:textId="77777777" w:rsidR="000C099C" w:rsidRDefault="000C099C"/>
        </w:tc>
      </w:tr>
      <w:tr w:rsidR="000C099C" w14:paraId="3F083194" w14:textId="77777777">
        <w:tc>
          <w:tcPr>
            <w:tcW w:w="828" w:type="dxa"/>
          </w:tcPr>
          <w:p w14:paraId="067BF818" w14:textId="77777777" w:rsidR="000C099C" w:rsidRDefault="000C099C">
            <w:r>
              <w:t>x</w:t>
            </w:r>
          </w:p>
        </w:tc>
        <w:tc>
          <w:tcPr>
            <w:tcW w:w="4320" w:type="dxa"/>
          </w:tcPr>
          <w:p w14:paraId="5CE95C8D" w14:textId="77777777" w:rsidR="000C099C" w:rsidRDefault="000C099C">
            <w:r>
              <w:t>Limit Order Policy - 2110, IM 2210-2</w:t>
            </w:r>
          </w:p>
        </w:tc>
        <w:tc>
          <w:tcPr>
            <w:tcW w:w="720" w:type="dxa"/>
          </w:tcPr>
          <w:p w14:paraId="7F907106" w14:textId="77777777" w:rsidR="000C099C" w:rsidRDefault="00D6319C">
            <w:hyperlink w:anchor="LimitOrders" w:history="1">
              <w:r w:rsidR="00E4596E">
                <w:rPr>
                  <w:rStyle w:val="Hyperlink"/>
                </w:rPr>
                <w:t>Pg</w:t>
              </w:r>
            </w:hyperlink>
          </w:p>
        </w:tc>
        <w:tc>
          <w:tcPr>
            <w:tcW w:w="810" w:type="dxa"/>
          </w:tcPr>
          <w:p w14:paraId="634CF148" w14:textId="77777777" w:rsidR="000C099C" w:rsidRDefault="000C099C"/>
        </w:tc>
        <w:tc>
          <w:tcPr>
            <w:tcW w:w="813" w:type="dxa"/>
          </w:tcPr>
          <w:p w14:paraId="19D14BF9" w14:textId="77777777" w:rsidR="000C099C" w:rsidRDefault="000C099C"/>
        </w:tc>
        <w:tc>
          <w:tcPr>
            <w:tcW w:w="852" w:type="dxa"/>
          </w:tcPr>
          <w:p w14:paraId="0D5C49C1" w14:textId="77777777" w:rsidR="000C099C" w:rsidRDefault="000C099C"/>
        </w:tc>
        <w:tc>
          <w:tcPr>
            <w:tcW w:w="1249" w:type="dxa"/>
          </w:tcPr>
          <w:p w14:paraId="288630BB" w14:textId="77777777" w:rsidR="000C099C" w:rsidRDefault="000C099C"/>
        </w:tc>
      </w:tr>
      <w:tr w:rsidR="000C099C" w14:paraId="712C3F6C" w14:textId="77777777">
        <w:tc>
          <w:tcPr>
            <w:tcW w:w="828" w:type="dxa"/>
          </w:tcPr>
          <w:p w14:paraId="3862C4B8" w14:textId="77777777" w:rsidR="000C099C" w:rsidRDefault="000C099C">
            <w:r>
              <w:t>x</w:t>
            </w:r>
          </w:p>
        </w:tc>
        <w:tc>
          <w:tcPr>
            <w:tcW w:w="4320" w:type="dxa"/>
          </w:tcPr>
          <w:p w14:paraId="4021AB66" w14:textId="77777777" w:rsidR="000C099C" w:rsidRDefault="000C099C">
            <w:r>
              <w:t>Payment for Order Flow - 2110, SEC Rules 10b-10 &amp; 11Ac1-3</w:t>
            </w:r>
          </w:p>
        </w:tc>
        <w:tc>
          <w:tcPr>
            <w:tcW w:w="720" w:type="dxa"/>
          </w:tcPr>
          <w:p w14:paraId="66B938C0" w14:textId="77777777" w:rsidR="000C099C" w:rsidRDefault="00D6319C">
            <w:hyperlink w:anchor="_8.28_Payment_for" w:history="1">
              <w:r w:rsidR="003407DD">
                <w:rPr>
                  <w:rStyle w:val="Hyperlink"/>
                </w:rPr>
                <w:t>Pg</w:t>
              </w:r>
            </w:hyperlink>
          </w:p>
        </w:tc>
        <w:tc>
          <w:tcPr>
            <w:tcW w:w="810" w:type="dxa"/>
          </w:tcPr>
          <w:p w14:paraId="6AC30FA4" w14:textId="77777777" w:rsidR="000C099C" w:rsidRDefault="000C099C"/>
        </w:tc>
        <w:tc>
          <w:tcPr>
            <w:tcW w:w="813" w:type="dxa"/>
          </w:tcPr>
          <w:p w14:paraId="583BE403" w14:textId="77777777" w:rsidR="000C099C" w:rsidRDefault="000C099C"/>
        </w:tc>
        <w:tc>
          <w:tcPr>
            <w:tcW w:w="852" w:type="dxa"/>
          </w:tcPr>
          <w:p w14:paraId="0CA73457" w14:textId="77777777" w:rsidR="000C099C" w:rsidRDefault="000C099C"/>
        </w:tc>
        <w:tc>
          <w:tcPr>
            <w:tcW w:w="1249" w:type="dxa"/>
          </w:tcPr>
          <w:p w14:paraId="058F9AA4" w14:textId="77777777" w:rsidR="000C099C" w:rsidRDefault="000C099C"/>
        </w:tc>
      </w:tr>
      <w:tr w:rsidR="000C099C" w14:paraId="04CC6313" w14:textId="77777777">
        <w:tc>
          <w:tcPr>
            <w:tcW w:w="828" w:type="dxa"/>
          </w:tcPr>
          <w:p w14:paraId="4989F4C4" w14:textId="77777777" w:rsidR="000C099C" w:rsidRDefault="000C099C">
            <w:r>
              <w:t>xx</w:t>
            </w:r>
          </w:p>
        </w:tc>
        <w:tc>
          <w:tcPr>
            <w:tcW w:w="4320" w:type="dxa"/>
          </w:tcPr>
          <w:p w14:paraId="4C7FD7A6" w14:textId="77777777" w:rsidR="000C099C" w:rsidRDefault="000C099C">
            <w:r>
              <w:t>Confirmation Disclosure - 2330, SEC Rule 10b-10 &amp; 17a-4(b)(1), MSRB Rule G-15, NTM 95-2</w:t>
            </w:r>
          </w:p>
        </w:tc>
        <w:tc>
          <w:tcPr>
            <w:tcW w:w="720" w:type="dxa"/>
          </w:tcPr>
          <w:p w14:paraId="5F80C9FA" w14:textId="77777777" w:rsidR="000C099C" w:rsidRDefault="00D6319C">
            <w:hyperlink w:anchor="_8.28_Payment_for" w:history="1">
              <w:r w:rsidR="003407DD">
                <w:rPr>
                  <w:rStyle w:val="Hyperlink"/>
                </w:rPr>
                <w:t>Pg</w:t>
              </w:r>
            </w:hyperlink>
          </w:p>
        </w:tc>
        <w:tc>
          <w:tcPr>
            <w:tcW w:w="810" w:type="dxa"/>
          </w:tcPr>
          <w:p w14:paraId="6AD17161" w14:textId="77777777" w:rsidR="000C099C" w:rsidRDefault="000C099C"/>
        </w:tc>
        <w:tc>
          <w:tcPr>
            <w:tcW w:w="813" w:type="dxa"/>
          </w:tcPr>
          <w:p w14:paraId="7FF79636" w14:textId="77777777" w:rsidR="000C099C" w:rsidRDefault="000C099C"/>
        </w:tc>
        <w:tc>
          <w:tcPr>
            <w:tcW w:w="852" w:type="dxa"/>
          </w:tcPr>
          <w:p w14:paraId="584A9F1C" w14:textId="77777777" w:rsidR="000C099C" w:rsidRDefault="000C099C"/>
        </w:tc>
        <w:tc>
          <w:tcPr>
            <w:tcW w:w="1249" w:type="dxa"/>
          </w:tcPr>
          <w:p w14:paraId="41C6DB00" w14:textId="77777777" w:rsidR="000C099C" w:rsidRDefault="000C099C"/>
        </w:tc>
      </w:tr>
      <w:tr w:rsidR="000C099C" w14:paraId="0E234704" w14:textId="77777777">
        <w:tc>
          <w:tcPr>
            <w:tcW w:w="828" w:type="dxa"/>
          </w:tcPr>
          <w:p w14:paraId="30017BBD" w14:textId="77777777" w:rsidR="000C099C" w:rsidRDefault="000C099C">
            <w:r>
              <w:t>x</w:t>
            </w:r>
          </w:p>
        </w:tc>
        <w:tc>
          <w:tcPr>
            <w:tcW w:w="4320" w:type="dxa"/>
          </w:tcPr>
          <w:p w14:paraId="43F4BF1A" w14:textId="77777777" w:rsidR="000C099C" w:rsidRDefault="000C099C">
            <w:r>
              <w:t>Order Ticket Procedures - 3110, SEC Rule 17a-3(a)(b)</w:t>
            </w:r>
          </w:p>
        </w:tc>
        <w:tc>
          <w:tcPr>
            <w:tcW w:w="720" w:type="dxa"/>
          </w:tcPr>
          <w:p w14:paraId="1F542030" w14:textId="77777777" w:rsidR="000C099C" w:rsidRDefault="00D6319C">
            <w:hyperlink w:anchor="OrderTickets" w:history="1">
              <w:r w:rsidR="00C477F2">
                <w:rPr>
                  <w:rStyle w:val="Hyperlink"/>
                </w:rPr>
                <w:t>Pg</w:t>
              </w:r>
            </w:hyperlink>
            <w:r w:rsidR="000C099C">
              <w:t>,</w:t>
            </w:r>
          </w:p>
          <w:p w14:paraId="79639FCF" w14:textId="77777777" w:rsidR="000C099C" w:rsidRDefault="00D6319C">
            <w:hyperlink w:anchor="_8.4_General_Procedures" w:history="1">
              <w:r w:rsidR="00C477F2">
                <w:rPr>
                  <w:rStyle w:val="Hyperlink"/>
                </w:rPr>
                <w:t>Pg</w:t>
              </w:r>
            </w:hyperlink>
          </w:p>
        </w:tc>
        <w:tc>
          <w:tcPr>
            <w:tcW w:w="810" w:type="dxa"/>
          </w:tcPr>
          <w:p w14:paraId="7DF6C840" w14:textId="77777777" w:rsidR="000C099C" w:rsidRDefault="000C099C"/>
        </w:tc>
        <w:tc>
          <w:tcPr>
            <w:tcW w:w="813" w:type="dxa"/>
          </w:tcPr>
          <w:p w14:paraId="7F6D296B" w14:textId="77777777" w:rsidR="000C099C" w:rsidRDefault="000C099C"/>
        </w:tc>
        <w:tc>
          <w:tcPr>
            <w:tcW w:w="852" w:type="dxa"/>
          </w:tcPr>
          <w:p w14:paraId="19DAFCE9" w14:textId="77777777" w:rsidR="000C099C" w:rsidRDefault="000C099C"/>
        </w:tc>
        <w:tc>
          <w:tcPr>
            <w:tcW w:w="1249" w:type="dxa"/>
          </w:tcPr>
          <w:p w14:paraId="0125470C" w14:textId="77777777" w:rsidR="000C099C" w:rsidRDefault="000C099C"/>
        </w:tc>
      </w:tr>
      <w:tr w:rsidR="000C099C" w14:paraId="202332AC" w14:textId="77777777">
        <w:tc>
          <w:tcPr>
            <w:tcW w:w="828" w:type="dxa"/>
          </w:tcPr>
          <w:p w14:paraId="7A682C02" w14:textId="77777777" w:rsidR="000C099C" w:rsidRDefault="000C099C">
            <w:r>
              <w:t>x</w:t>
            </w:r>
          </w:p>
        </w:tc>
        <w:tc>
          <w:tcPr>
            <w:tcW w:w="4320" w:type="dxa"/>
          </w:tcPr>
          <w:p w14:paraId="096D3FFB" w14:textId="77777777" w:rsidR="000C099C" w:rsidRDefault="000C099C">
            <w:r>
              <w:t>Short Selling Activity - 3350 through 3370, SEC Rule 10b-21, NTM 95-8</w:t>
            </w:r>
          </w:p>
        </w:tc>
        <w:tc>
          <w:tcPr>
            <w:tcW w:w="720" w:type="dxa"/>
          </w:tcPr>
          <w:p w14:paraId="3F3C23A0" w14:textId="77777777" w:rsidR="000C099C" w:rsidRDefault="00D6319C">
            <w:hyperlink w:anchor="_8.21_Short_Sales" w:history="1">
              <w:r w:rsidR="00C477F2">
                <w:rPr>
                  <w:rStyle w:val="Hyperlink"/>
                </w:rPr>
                <w:t>Pg</w:t>
              </w:r>
            </w:hyperlink>
          </w:p>
        </w:tc>
        <w:tc>
          <w:tcPr>
            <w:tcW w:w="810" w:type="dxa"/>
          </w:tcPr>
          <w:p w14:paraId="012F87BF" w14:textId="77777777" w:rsidR="000C099C" w:rsidRDefault="000C099C"/>
        </w:tc>
        <w:tc>
          <w:tcPr>
            <w:tcW w:w="813" w:type="dxa"/>
          </w:tcPr>
          <w:p w14:paraId="17775CF7" w14:textId="77777777" w:rsidR="000C099C" w:rsidRDefault="000C099C"/>
        </w:tc>
        <w:tc>
          <w:tcPr>
            <w:tcW w:w="852" w:type="dxa"/>
          </w:tcPr>
          <w:p w14:paraId="59363A82" w14:textId="77777777" w:rsidR="000C099C" w:rsidRDefault="000C099C"/>
        </w:tc>
        <w:tc>
          <w:tcPr>
            <w:tcW w:w="1249" w:type="dxa"/>
          </w:tcPr>
          <w:p w14:paraId="106F7D36" w14:textId="77777777" w:rsidR="000C099C" w:rsidRDefault="000C099C"/>
        </w:tc>
      </w:tr>
      <w:tr w:rsidR="000C099C" w14:paraId="03B670D2" w14:textId="77777777">
        <w:tc>
          <w:tcPr>
            <w:tcW w:w="828" w:type="dxa"/>
          </w:tcPr>
          <w:p w14:paraId="015BB0DA" w14:textId="77777777" w:rsidR="000C099C" w:rsidRDefault="000C099C"/>
        </w:tc>
        <w:tc>
          <w:tcPr>
            <w:tcW w:w="4320" w:type="dxa"/>
          </w:tcPr>
          <w:p w14:paraId="359C4FCC" w14:textId="77777777" w:rsidR="000C099C" w:rsidRDefault="000C099C">
            <w:r>
              <w:t>Markups/Markdowns</w:t>
            </w:r>
          </w:p>
        </w:tc>
        <w:tc>
          <w:tcPr>
            <w:tcW w:w="720" w:type="dxa"/>
          </w:tcPr>
          <w:p w14:paraId="48AE0C38" w14:textId="77777777" w:rsidR="000C099C" w:rsidRDefault="00D6319C">
            <w:hyperlink w:anchor="_12.3_Markups/Markdowns" w:history="1">
              <w:r w:rsidR="00BC7401">
                <w:rPr>
                  <w:rStyle w:val="Hyperlink"/>
                </w:rPr>
                <w:t>Pg</w:t>
              </w:r>
            </w:hyperlink>
          </w:p>
        </w:tc>
        <w:tc>
          <w:tcPr>
            <w:tcW w:w="810" w:type="dxa"/>
          </w:tcPr>
          <w:p w14:paraId="58178DBE" w14:textId="77777777" w:rsidR="000C099C" w:rsidRDefault="000C099C"/>
        </w:tc>
        <w:tc>
          <w:tcPr>
            <w:tcW w:w="813" w:type="dxa"/>
          </w:tcPr>
          <w:p w14:paraId="1AA5A437" w14:textId="77777777" w:rsidR="000C099C" w:rsidRDefault="000C099C"/>
        </w:tc>
        <w:tc>
          <w:tcPr>
            <w:tcW w:w="852" w:type="dxa"/>
          </w:tcPr>
          <w:p w14:paraId="5F99A4ED" w14:textId="77777777" w:rsidR="000C099C" w:rsidRDefault="000C099C"/>
        </w:tc>
        <w:tc>
          <w:tcPr>
            <w:tcW w:w="1249" w:type="dxa"/>
          </w:tcPr>
          <w:p w14:paraId="2458F4DC" w14:textId="77777777" w:rsidR="000C099C" w:rsidRDefault="000C099C"/>
        </w:tc>
      </w:tr>
    </w:tbl>
    <w:p w14:paraId="0912D40D" w14:textId="77777777" w:rsidR="000C099C" w:rsidRDefault="000C099C"/>
    <w:p w14:paraId="325DAD32" w14:textId="77777777" w:rsidR="000C099C" w:rsidRPr="00956F08" w:rsidRDefault="000C099C">
      <w:pPr>
        <w:rPr>
          <w:caps/>
        </w:rPr>
      </w:pPr>
      <w:r w:rsidRPr="00956F08">
        <w:rPr>
          <w:b/>
          <w:caps/>
          <w:sz w:val="24"/>
        </w:rPr>
        <w:t xml:space="preserve">Mutual Funds </w:t>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49CCBE69" w14:textId="77777777">
        <w:tc>
          <w:tcPr>
            <w:tcW w:w="828" w:type="dxa"/>
            <w:tcBorders>
              <w:top w:val="single" w:sz="12" w:space="0" w:color="auto"/>
              <w:bottom w:val="single" w:sz="6" w:space="0" w:color="auto"/>
            </w:tcBorders>
            <w:shd w:val="pct10" w:color="auto" w:fill="auto"/>
          </w:tcPr>
          <w:p w14:paraId="4ECA3307"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3E14618B"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2EEEEEB5"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1F486E19"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38B46E7A"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7CFF1D67"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6217E583" w14:textId="77777777" w:rsidR="000C099C" w:rsidRDefault="000C099C">
            <w:pPr>
              <w:rPr>
                <w:b/>
              </w:rPr>
            </w:pPr>
            <w:r>
              <w:rPr>
                <w:b/>
              </w:rPr>
              <w:t>How Evidenced</w:t>
            </w:r>
          </w:p>
        </w:tc>
      </w:tr>
      <w:tr w:rsidR="000C099C" w14:paraId="249854F5" w14:textId="77777777">
        <w:tc>
          <w:tcPr>
            <w:tcW w:w="828" w:type="dxa"/>
            <w:tcBorders>
              <w:top w:val="nil"/>
            </w:tcBorders>
          </w:tcPr>
          <w:p w14:paraId="4EB1AA98" w14:textId="77777777" w:rsidR="000C099C" w:rsidRDefault="000C099C">
            <w:r>
              <w:t>x</w:t>
            </w:r>
          </w:p>
        </w:tc>
        <w:tc>
          <w:tcPr>
            <w:tcW w:w="4320" w:type="dxa"/>
            <w:tcBorders>
              <w:top w:val="nil"/>
            </w:tcBorders>
          </w:tcPr>
          <w:p w14:paraId="10EA6B01" w14:textId="77777777" w:rsidR="000C099C" w:rsidRDefault="000C099C">
            <w:r>
              <w:t>Breakpoint Sales - IM 2830-1, NTM 94-16</w:t>
            </w:r>
          </w:p>
        </w:tc>
        <w:tc>
          <w:tcPr>
            <w:tcW w:w="720" w:type="dxa"/>
            <w:tcBorders>
              <w:top w:val="nil"/>
            </w:tcBorders>
          </w:tcPr>
          <w:p w14:paraId="0C17BA6A" w14:textId="77777777" w:rsidR="000C099C" w:rsidRDefault="00D6319C">
            <w:hyperlink w:anchor="_11.10_FINRA_Rule" w:history="1">
              <w:r w:rsidR="00E26F66">
                <w:rPr>
                  <w:rStyle w:val="Hyperlink"/>
                </w:rPr>
                <w:t>Pg</w:t>
              </w:r>
            </w:hyperlink>
          </w:p>
        </w:tc>
        <w:tc>
          <w:tcPr>
            <w:tcW w:w="810" w:type="dxa"/>
            <w:tcBorders>
              <w:top w:val="nil"/>
            </w:tcBorders>
          </w:tcPr>
          <w:p w14:paraId="05573F11" w14:textId="77777777" w:rsidR="000C099C" w:rsidRDefault="000C099C">
            <w:r>
              <w:t>x</w:t>
            </w:r>
          </w:p>
        </w:tc>
        <w:tc>
          <w:tcPr>
            <w:tcW w:w="813" w:type="dxa"/>
            <w:tcBorders>
              <w:top w:val="nil"/>
            </w:tcBorders>
          </w:tcPr>
          <w:p w14:paraId="7F1B1862" w14:textId="77777777" w:rsidR="000C099C" w:rsidRDefault="000C099C">
            <w:r>
              <w:t>x</w:t>
            </w:r>
          </w:p>
        </w:tc>
        <w:tc>
          <w:tcPr>
            <w:tcW w:w="852" w:type="dxa"/>
            <w:tcBorders>
              <w:top w:val="nil"/>
            </w:tcBorders>
          </w:tcPr>
          <w:p w14:paraId="4D83640F" w14:textId="77777777" w:rsidR="000C099C" w:rsidRDefault="000C099C">
            <w:r>
              <w:t>x</w:t>
            </w:r>
          </w:p>
        </w:tc>
        <w:tc>
          <w:tcPr>
            <w:tcW w:w="1249" w:type="dxa"/>
            <w:tcBorders>
              <w:top w:val="nil"/>
            </w:tcBorders>
          </w:tcPr>
          <w:p w14:paraId="44A2620D" w14:textId="77777777" w:rsidR="000C099C" w:rsidRDefault="000C099C">
            <w:r>
              <w:t>x</w:t>
            </w:r>
          </w:p>
        </w:tc>
      </w:tr>
      <w:tr w:rsidR="000C099C" w14:paraId="361AF8A6" w14:textId="77777777">
        <w:tc>
          <w:tcPr>
            <w:tcW w:w="828" w:type="dxa"/>
          </w:tcPr>
          <w:p w14:paraId="02FFF261" w14:textId="77777777" w:rsidR="000C099C" w:rsidRDefault="000C099C">
            <w:r>
              <w:t>x</w:t>
            </w:r>
          </w:p>
        </w:tc>
        <w:tc>
          <w:tcPr>
            <w:tcW w:w="4320" w:type="dxa"/>
          </w:tcPr>
          <w:p w14:paraId="30022FA2" w14:textId="77777777" w:rsidR="000C099C" w:rsidRDefault="000C099C">
            <w:r>
              <w:t>Letters of Intent and Rights of Accumulation</w:t>
            </w:r>
          </w:p>
        </w:tc>
        <w:tc>
          <w:tcPr>
            <w:tcW w:w="720" w:type="dxa"/>
          </w:tcPr>
          <w:p w14:paraId="5EEA1CC3" w14:textId="77777777" w:rsidR="000C099C" w:rsidRDefault="00D6319C">
            <w:hyperlink w:anchor="_11.11_Letters_of" w:history="1">
              <w:r w:rsidR="00E26F66">
                <w:rPr>
                  <w:rStyle w:val="Hyperlink"/>
                </w:rPr>
                <w:t>Pg</w:t>
              </w:r>
            </w:hyperlink>
          </w:p>
        </w:tc>
        <w:tc>
          <w:tcPr>
            <w:tcW w:w="810" w:type="dxa"/>
          </w:tcPr>
          <w:p w14:paraId="565E5D8C" w14:textId="77777777" w:rsidR="000C099C" w:rsidRDefault="000C099C">
            <w:r>
              <w:t>x</w:t>
            </w:r>
          </w:p>
        </w:tc>
        <w:tc>
          <w:tcPr>
            <w:tcW w:w="813" w:type="dxa"/>
          </w:tcPr>
          <w:p w14:paraId="7D37B599" w14:textId="77777777" w:rsidR="000C099C" w:rsidRDefault="000C099C">
            <w:r>
              <w:t>x</w:t>
            </w:r>
          </w:p>
        </w:tc>
        <w:tc>
          <w:tcPr>
            <w:tcW w:w="852" w:type="dxa"/>
          </w:tcPr>
          <w:p w14:paraId="5D3EA471" w14:textId="77777777" w:rsidR="000C099C" w:rsidRDefault="000C099C">
            <w:r>
              <w:t>x</w:t>
            </w:r>
          </w:p>
        </w:tc>
        <w:tc>
          <w:tcPr>
            <w:tcW w:w="1249" w:type="dxa"/>
          </w:tcPr>
          <w:p w14:paraId="4737789D" w14:textId="77777777" w:rsidR="000C099C" w:rsidRDefault="000C099C">
            <w:r>
              <w:t>x</w:t>
            </w:r>
          </w:p>
        </w:tc>
      </w:tr>
      <w:tr w:rsidR="000C099C" w14:paraId="1A6B4F26" w14:textId="77777777">
        <w:tc>
          <w:tcPr>
            <w:tcW w:w="828" w:type="dxa"/>
          </w:tcPr>
          <w:p w14:paraId="43C1DB6F" w14:textId="77777777" w:rsidR="000C099C" w:rsidRDefault="000C099C">
            <w:r>
              <w:t>x</w:t>
            </w:r>
          </w:p>
        </w:tc>
        <w:tc>
          <w:tcPr>
            <w:tcW w:w="4320" w:type="dxa"/>
          </w:tcPr>
          <w:p w14:paraId="7F0C1713" w14:textId="77777777" w:rsidR="000C099C" w:rsidRDefault="000C099C">
            <w:r>
              <w:t>Switching - NTM 91-39</w:t>
            </w:r>
          </w:p>
        </w:tc>
        <w:tc>
          <w:tcPr>
            <w:tcW w:w="720" w:type="dxa"/>
          </w:tcPr>
          <w:p w14:paraId="0DDE275F" w14:textId="77777777" w:rsidR="000C099C" w:rsidRDefault="00D6319C">
            <w:hyperlink w:anchor="_11.1_Introduction" w:history="1">
              <w:r w:rsidR="00F67CC0">
                <w:rPr>
                  <w:rStyle w:val="Hyperlink"/>
                </w:rPr>
                <w:t>Pg</w:t>
              </w:r>
            </w:hyperlink>
          </w:p>
        </w:tc>
        <w:tc>
          <w:tcPr>
            <w:tcW w:w="810" w:type="dxa"/>
          </w:tcPr>
          <w:p w14:paraId="1E99178B" w14:textId="77777777" w:rsidR="000C099C" w:rsidRDefault="000C099C">
            <w:r>
              <w:t>x</w:t>
            </w:r>
          </w:p>
        </w:tc>
        <w:tc>
          <w:tcPr>
            <w:tcW w:w="813" w:type="dxa"/>
          </w:tcPr>
          <w:p w14:paraId="7228F387" w14:textId="77777777" w:rsidR="000C099C" w:rsidRDefault="000C099C">
            <w:r>
              <w:t>x</w:t>
            </w:r>
          </w:p>
        </w:tc>
        <w:tc>
          <w:tcPr>
            <w:tcW w:w="852" w:type="dxa"/>
          </w:tcPr>
          <w:p w14:paraId="28137F8D" w14:textId="77777777" w:rsidR="000C099C" w:rsidRDefault="000C099C">
            <w:r>
              <w:t>x</w:t>
            </w:r>
          </w:p>
        </w:tc>
        <w:tc>
          <w:tcPr>
            <w:tcW w:w="1249" w:type="dxa"/>
          </w:tcPr>
          <w:p w14:paraId="0F11014B" w14:textId="77777777" w:rsidR="000C099C" w:rsidRDefault="000C099C">
            <w:r>
              <w:t>x</w:t>
            </w:r>
          </w:p>
        </w:tc>
      </w:tr>
      <w:tr w:rsidR="000C099C" w14:paraId="5050CBEE" w14:textId="77777777">
        <w:tc>
          <w:tcPr>
            <w:tcW w:w="828" w:type="dxa"/>
          </w:tcPr>
          <w:p w14:paraId="21C8216D" w14:textId="77777777" w:rsidR="000C099C" w:rsidRDefault="000C099C">
            <w:r>
              <w:t>x</w:t>
            </w:r>
          </w:p>
        </w:tc>
        <w:tc>
          <w:tcPr>
            <w:tcW w:w="4320" w:type="dxa"/>
          </w:tcPr>
          <w:p w14:paraId="15B7040E" w14:textId="77777777" w:rsidR="000C099C" w:rsidRDefault="000C099C">
            <w:r>
              <w:t>Selling dividends - 2830(e)</w:t>
            </w:r>
          </w:p>
        </w:tc>
        <w:tc>
          <w:tcPr>
            <w:tcW w:w="720" w:type="dxa"/>
          </w:tcPr>
          <w:p w14:paraId="29233C11" w14:textId="77777777" w:rsidR="000C099C" w:rsidRDefault="00D6319C">
            <w:hyperlink w:anchor="_11.15_Selling_Dividends" w:history="1">
              <w:r w:rsidR="0054345B">
                <w:rPr>
                  <w:rStyle w:val="Hyperlink"/>
                </w:rPr>
                <w:t>Pg</w:t>
              </w:r>
            </w:hyperlink>
          </w:p>
        </w:tc>
        <w:tc>
          <w:tcPr>
            <w:tcW w:w="810" w:type="dxa"/>
          </w:tcPr>
          <w:p w14:paraId="47C42DBE" w14:textId="77777777" w:rsidR="000C099C" w:rsidRDefault="000C099C">
            <w:r>
              <w:t>x</w:t>
            </w:r>
          </w:p>
        </w:tc>
        <w:tc>
          <w:tcPr>
            <w:tcW w:w="813" w:type="dxa"/>
          </w:tcPr>
          <w:p w14:paraId="4C1BBC7F" w14:textId="77777777" w:rsidR="000C099C" w:rsidRDefault="000C099C">
            <w:r>
              <w:t>x</w:t>
            </w:r>
          </w:p>
        </w:tc>
        <w:tc>
          <w:tcPr>
            <w:tcW w:w="852" w:type="dxa"/>
          </w:tcPr>
          <w:p w14:paraId="5F1B323F" w14:textId="77777777" w:rsidR="000C099C" w:rsidRDefault="000C099C">
            <w:r>
              <w:t>x</w:t>
            </w:r>
          </w:p>
        </w:tc>
        <w:tc>
          <w:tcPr>
            <w:tcW w:w="1249" w:type="dxa"/>
          </w:tcPr>
          <w:p w14:paraId="31637A1F" w14:textId="77777777" w:rsidR="000C099C" w:rsidRDefault="000C099C">
            <w:r>
              <w:t>x</w:t>
            </w:r>
          </w:p>
        </w:tc>
      </w:tr>
      <w:tr w:rsidR="000C099C" w14:paraId="511BC191" w14:textId="77777777">
        <w:tc>
          <w:tcPr>
            <w:tcW w:w="828" w:type="dxa"/>
          </w:tcPr>
          <w:p w14:paraId="46AC4D0A" w14:textId="77777777" w:rsidR="000C099C" w:rsidRDefault="000C099C">
            <w:r>
              <w:t>x</w:t>
            </w:r>
          </w:p>
        </w:tc>
        <w:tc>
          <w:tcPr>
            <w:tcW w:w="4320" w:type="dxa"/>
          </w:tcPr>
          <w:p w14:paraId="5B1461D5" w14:textId="77777777" w:rsidR="000C099C" w:rsidRDefault="000C099C">
            <w:r>
              <w:t>Suitability - 2110</w:t>
            </w:r>
          </w:p>
        </w:tc>
        <w:tc>
          <w:tcPr>
            <w:tcW w:w="720" w:type="dxa"/>
          </w:tcPr>
          <w:p w14:paraId="37FA031E" w14:textId="77777777" w:rsidR="000C099C" w:rsidRDefault="00D6319C">
            <w:pPr>
              <w:rPr>
                <w:rStyle w:val="Hyperlink"/>
              </w:rPr>
            </w:pPr>
            <w:hyperlink w:anchor="_5.11_Suitability" w:history="1">
              <w:r w:rsidR="008D1275">
                <w:rPr>
                  <w:rStyle w:val="Hyperlink"/>
                </w:rPr>
                <w:t>Pg</w:t>
              </w:r>
            </w:hyperlink>
          </w:p>
          <w:p w14:paraId="0D566E78" w14:textId="77777777" w:rsidR="008D1275" w:rsidRPr="008D1275" w:rsidRDefault="00D6319C">
            <w:pPr>
              <w:rPr>
                <w:color w:val="0000FF"/>
                <w:u w:val="single"/>
              </w:rPr>
            </w:pPr>
            <w:hyperlink w:anchor="_11.1_Introduction" w:history="1">
              <w:r w:rsidR="008D1275">
                <w:rPr>
                  <w:rStyle w:val="Hyperlink"/>
                </w:rPr>
                <w:t>Pg</w:t>
              </w:r>
            </w:hyperlink>
          </w:p>
        </w:tc>
        <w:tc>
          <w:tcPr>
            <w:tcW w:w="810" w:type="dxa"/>
          </w:tcPr>
          <w:p w14:paraId="47D89988" w14:textId="77777777" w:rsidR="000C099C" w:rsidRDefault="000C099C">
            <w:r>
              <w:t>x</w:t>
            </w:r>
          </w:p>
        </w:tc>
        <w:tc>
          <w:tcPr>
            <w:tcW w:w="813" w:type="dxa"/>
          </w:tcPr>
          <w:p w14:paraId="5B86C920" w14:textId="77777777" w:rsidR="000C099C" w:rsidRDefault="000C099C">
            <w:r>
              <w:t>x</w:t>
            </w:r>
          </w:p>
        </w:tc>
        <w:tc>
          <w:tcPr>
            <w:tcW w:w="852" w:type="dxa"/>
          </w:tcPr>
          <w:p w14:paraId="5CDEBED8" w14:textId="77777777" w:rsidR="000C099C" w:rsidRDefault="000C099C">
            <w:r>
              <w:t>x</w:t>
            </w:r>
          </w:p>
        </w:tc>
        <w:tc>
          <w:tcPr>
            <w:tcW w:w="1249" w:type="dxa"/>
          </w:tcPr>
          <w:p w14:paraId="684C45B9" w14:textId="77777777" w:rsidR="000C099C" w:rsidRDefault="000C099C">
            <w:r>
              <w:t>x</w:t>
            </w:r>
          </w:p>
        </w:tc>
      </w:tr>
      <w:tr w:rsidR="000C099C" w14:paraId="3DFCBC51" w14:textId="77777777">
        <w:tc>
          <w:tcPr>
            <w:tcW w:w="828" w:type="dxa"/>
          </w:tcPr>
          <w:p w14:paraId="30DDBF14" w14:textId="77777777" w:rsidR="000C099C" w:rsidRDefault="000C099C">
            <w:r>
              <w:t>x</w:t>
            </w:r>
          </w:p>
        </w:tc>
        <w:tc>
          <w:tcPr>
            <w:tcW w:w="4320" w:type="dxa"/>
          </w:tcPr>
          <w:p w14:paraId="45F82F38" w14:textId="77777777" w:rsidR="000C099C" w:rsidRDefault="000C099C">
            <w:r>
              <w:t>Contingent Deferred Sales Charge - 2830(d) &amp; (n)</w:t>
            </w:r>
          </w:p>
        </w:tc>
        <w:tc>
          <w:tcPr>
            <w:tcW w:w="720" w:type="dxa"/>
          </w:tcPr>
          <w:p w14:paraId="5D383FB9" w14:textId="77777777" w:rsidR="000C099C" w:rsidRDefault="00D6319C">
            <w:hyperlink w:anchor="_11.17_Contingent_Deferred" w:history="1">
              <w:r w:rsidR="008D1275">
                <w:rPr>
                  <w:rStyle w:val="Hyperlink"/>
                </w:rPr>
                <w:t>Pg</w:t>
              </w:r>
            </w:hyperlink>
          </w:p>
        </w:tc>
        <w:tc>
          <w:tcPr>
            <w:tcW w:w="810" w:type="dxa"/>
          </w:tcPr>
          <w:p w14:paraId="51F187E1" w14:textId="77777777" w:rsidR="000C099C" w:rsidRDefault="000C099C">
            <w:r>
              <w:t>x</w:t>
            </w:r>
          </w:p>
        </w:tc>
        <w:tc>
          <w:tcPr>
            <w:tcW w:w="813" w:type="dxa"/>
          </w:tcPr>
          <w:p w14:paraId="39F69D41" w14:textId="77777777" w:rsidR="000C099C" w:rsidRDefault="000C099C">
            <w:r>
              <w:t>x</w:t>
            </w:r>
          </w:p>
        </w:tc>
        <w:tc>
          <w:tcPr>
            <w:tcW w:w="852" w:type="dxa"/>
          </w:tcPr>
          <w:p w14:paraId="44FB8A46" w14:textId="77777777" w:rsidR="000C099C" w:rsidRDefault="000C099C">
            <w:r>
              <w:t>x</w:t>
            </w:r>
          </w:p>
        </w:tc>
        <w:tc>
          <w:tcPr>
            <w:tcW w:w="1249" w:type="dxa"/>
          </w:tcPr>
          <w:p w14:paraId="00F47A19" w14:textId="77777777" w:rsidR="000C099C" w:rsidRDefault="000C099C">
            <w:r>
              <w:t>x</w:t>
            </w:r>
          </w:p>
        </w:tc>
      </w:tr>
      <w:tr w:rsidR="000C099C" w14:paraId="6E0E243A" w14:textId="77777777">
        <w:tc>
          <w:tcPr>
            <w:tcW w:w="828" w:type="dxa"/>
          </w:tcPr>
          <w:p w14:paraId="23D141DA" w14:textId="77777777" w:rsidR="000C099C" w:rsidRDefault="000C099C">
            <w:r>
              <w:t>x</w:t>
            </w:r>
          </w:p>
        </w:tc>
        <w:tc>
          <w:tcPr>
            <w:tcW w:w="4320" w:type="dxa"/>
          </w:tcPr>
          <w:p w14:paraId="2DD7FFA5" w14:textId="77777777" w:rsidR="000C099C" w:rsidRDefault="000C099C">
            <w:r>
              <w:t>Prospectus Delivery - ‘33 ACT Section 5</w:t>
            </w:r>
            <w:r w:rsidR="0066417C">
              <w:t xml:space="preserve"> &amp; Review</w:t>
            </w:r>
          </w:p>
        </w:tc>
        <w:tc>
          <w:tcPr>
            <w:tcW w:w="720" w:type="dxa"/>
          </w:tcPr>
          <w:p w14:paraId="5277204D" w14:textId="77777777" w:rsidR="000C099C" w:rsidRDefault="00D6319C">
            <w:hyperlink w:anchor="_11.23_Prospectus_Reviews" w:history="1">
              <w:r w:rsidR="00F03006">
                <w:rPr>
                  <w:rStyle w:val="Hyperlink"/>
                </w:rPr>
                <w:t>Pg</w:t>
              </w:r>
            </w:hyperlink>
          </w:p>
        </w:tc>
        <w:tc>
          <w:tcPr>
            <w:tcW w:w="810" w:type="dxa"/>
          </w:tcPr>
          <w:p w14:paraId="3F1F0F20" w14:textId="77777777" w:rsidR="000C099C" w:rsidRDefault="000C099C">
            <w:r>
              <w:t>x</w:t>
            </w:r>
          </w:p>
        </w:tc>
        <w:tc>
          <w:tcPr>
            <w:tcW w:w="813" w:type="dxa"/>
          </w:tcPr>
          <w:p w14:paraId="259420B5" w14:textId="77777777" w:rsidR="000C099C" w:rsidRDefault="000C099C">
            <w:r>
              <w:t>x</w:t>
            </w:r>
          </w:p>
        </w:tc>
        <w:tc>
          <w:tcPr>
            <w:tcW w:w="852" w:type="dxa"/>
          </w:tcPr>
          <w:p w14:paraId="3EB790AD" w14:textId="77777777" w:rsidR="000C099C" w:rsidRDefault="000C099C">
            <w:r>
              <w:t>x</w:t>
            </w:r>
          </w:p>
        </w:tc>
        <w:tc>
          <w:tcPr>
            <w:tcW w:w="1249" w:type="dxa"/>
          </w:tcPr>
          <w:p w14:paraId="23361D48" w14:textId="77777777" w:rsidR="000C099C" w:rsidRDefault="000C099C">
            <w:r>
              <w:t>x</w:t>
            </w:r>
          </w:p>
        </w:tc>
      </w:tr>
      <w:tr w:rsidR="000C099C" w14:paraId="7932F29A" w14:textId="77777777">
        <w:tc>
          <w:tcPr>
            <w:tcW w:w="828" w:type="dxa"/>
          </w:tcPr>
          <w:p w14:paraId="2F90B371" w14:textId="77777777" w:rsidR="000C099C" w:rsidRDefault="000C099C">
            <w:pPr>
              <w:pStyle w:val="FootnoteText"/>
            </w:pPr>
            <w:r>
              <w:t>x</w:t>
            </w:r>
          </w:p>
        </w:tc>
        <w:tc>
          <w:tcPr>
            <w:tcW w:w="4320" w:type="dxa"/>
          </w:tcPr>
          <w:p w14:paraId="5D40BEF4" w14:textId="77777777" w:rsidR="000C099C" w:rsidRDefault="000C099C">
            <w:r>
              <w:t>Redemption Procedures - 2830(j)</w:t>
            </w:r>
          </w:p>
        </w:tc>
        <w:tc>
          <w:tcPr>
            <w:tcW w:w="720" w:type="dxa"/>
          </w:tcPr>
          <w:p w14:paraId="17EA8CBB" w14:textId="77777777" w:rsidR="000C099C" w:rsidRDefault="00D6319C">
            <w:hyperlink w:anchor="_11.22_Redemption_Procedures" w:history="1">
              <w:r w:rsidR="008B7341">
                <w:rPr>
                  <w:rStyle w:val="Hyperlink"/>
                </w:rPr>
                <w:t>Pg</w:t>
              </w:r>
            </w:hyperlink>
          </w:p>
        </w:tc>
        <w:tc>
          <w:tcPr>
            <w:tcW w:w="810" w:type="dxa"/>
          </w:tcPr>
          <w:p w14:paraId="1C259F9A" w14:textId="77777777" w:rsidR="000C099C" w:rsidRDefault="000C099C">
            <w:r>
              <w:t>x</w:t>
            </w:r>
          </w:p>
        </w:tc>
        <w:tc>
          <w:tcPr>
            <w:tcW w:w="813" w:type="dxa"/>
          </w:tcPr>
          <w:p w14:paraId="6A689D3A" w14:textId="77777777" w:rsidR="000C099C" w:rsidRDefault="000C099C">
            <w:r>
              <w:t>x</w:t>
            </w:r>
          </w:p>
        </w:tc>
        <w:tc>
          <w:tcPr>
            <w:tcW w:w="852" w:type="dxa"/>
          </w:tcPr>
          <w:p w14:paraId="4A64A272" w14:textId="77777777" w:rsidR="000C099C" w:rsidRDefault="000C099C">
            <w:r>
              <w:t>x</w:t>
            </w:r>
          </w:p>
        </w:tc>
        <w:tc>
          <w:tcPr>
            <w:tcW w:w="1249" w:type="dxa"/>
          </w:tcPr>
          <w:p w14:paraId="11B8CA3B" w14:textId="77777777" w:rsidR="000C099C" w:rsidRDefault="000C099C">
            <w:r>
              <w:t>x</w:t>
            </w:r>
          </w:p>
        </w:tc>
      </w:tr>
      <w:tr w:rsidR="000C099C" w14:paraId="64B513E7" w14:textId="77777777">
        <w:tc>
          <w:tcPr>
            <w:tcW w:w="828" w:type="dxa"/>
          </w:tcPr>
          <w:p w14:paraId="3291EE7D" w14:textId="77777777" w:rsidR="000C099C" w:rsidRDefault="000C099C">
            <w:r>
              <w:t>x</w:t>
            </w:r>
          </w:p>
        </w:tc>
        <w:tc>
          <w:tcPr>
            <w:tcW w:w="4320" w:type="dxa"/>
          </w:tcPr>
          <w:p w14:paraId="237704A8" w14:textId="77777777" w:rsidR="000C099C" w:rsidRDefault="000C099C">
            <w:r>
              <w:t>Change of Address confirmation</w:t>
            </w:r>
          </w:p>
        </w:tc>
        <w:tc>
          <w:tcPr>
            <w:tcW w:w="720" w:type="dxa"/>
          </w:tcPr>
          <w:p w14:paraId="27FA734E" w14:textId="77777777" w:rsidR="000C099C" w:rsidRDefault="00D6319C">
            <w:hyperlink w:anchor="_5.3.2_Customer_Account" w:history="1">
              <w:r w:rsidR="00831670">
                <w:rPr>
                  <w:rStyle w:val="Hyperlink"/>
                </w:rPr>
                <w:t>Pg</w:t>
              </w:r>
            </w:hyperlink>
          </w:p>
        </w:tc>
        <w:tc>
          <w:tcPr>
            <w:tcW w:w="810" w:type="dxa"/>
          </w:tcPr>
          <w:p w14:paraId="4E263BBF" w14:textId="77777777" w:rsidR="000C099C" w:rsidRDefault="000C099C">
            <w:r>
              <w:t>x</w:t>
            </w:r>
          </w:p>
        </w:tc>
        <w:tc>
          <w:tcPr>
            <w:tcW w:w="813" w:type="dxa"/>
          </w:tcPr>
          <w:p w14:paraId="2BCEE202" w14:textId="77777777" w:rsidR="000C099C" w:rsidRDefault="000C099C">
            <w:r>
              <w:t>x</w:t>
            </w:r>
          </w:p>
        </w:tc>
        <w:tc>
          <w:tcPr>
            <w:tcW w:w="852" w:type="dxa"/>
          </w:tcPr>
          <w:p w14:paraId="3AC1357A" w14:textId="77777777" w:rsidR="000C099C" w:rsidRDefault="000C099C">
            <w:r>
              <w:t>x</w:t>
            </w:r>
          </w:p>
        </w:tc>
        <w:tc>
          <w:tcPr>
            <w:tcW w:w="1249" w:type="dxa"/>
          </w:tcPr>
          <w:p w14:paraId="212D5F7D" w14:textId="77777777" w:rsidR="000C099C" w:rsidRDefault="000C099C">
            <w:r>
              <w:t>x</w:t>
            </w:r>
          </w:p>
        </w:tc>
      </w:tr>
      <w:tr w:rsidR="000C099C" w14:paraId="3AF7C80E" w14:textId="77777777">
        <w:tc>
          <w:tcPr>
            <w:tcW w:w="828" w:type="dxa"/>
          </w:tcPr>
          <w:p w14:paraId="11C9686D" w14:textId="77777777" w:rsidR="000C099C" w:rsidRDefault="000C099C">
            <w:r>
              <w:t>x</w:t>
            </w:r>
          </w:p>
        </w:tc>
        <w:tc>
          <w:tcPr>
            <w:tcW w:w="4320" w:type="dxa"/>
          </w:tcPr>
          <w:p w14:paraId="76B7D976" w14:textId="77777777" w:rsidR="000C099C" w:rsidRDefault="000C099C">
            <w:r>
              <w:t>Review of Individual Investor Files and Registered Representative Correspondence with Customers</w:t>
            </w:r>
          </w:p>
        </w:tc>
        <w:tc>
          <w:tcPr>
            <w:tcW w:w="720" w:type="dxa"/>
          </w:tcPr>
          <w:p w14:paraId="061E8918" w14:textId="77777777" w:rsidR="000C099C" w:rsidRDefault="00D6319C">
            <w:pPr>
              <w:rPr>
                <w:rStyle w:val="Hyperlink"/>
              </w:rPr>
            </w:pPr>
            <w:hyperlink w:anchor="_5.6_Account_and" w:history="1">
              <w:r w:rsidR="00AC708B">
                <w:rPr>
                  <w:rStyle w:val="Hyperlink"/>
                </w:rPr>
                <w:t>Pg</w:t>
              </w:r>
            </w:hyperlink>
          </w:p>
          <w:p w14:paraId="5C7E0FB2" w14:textId="77777777" w:rsidR="00AC708B" w:rsidRPr="00AC708B" w:rsidRDefault="00D6319C">
            <w:pPr>
              <w:rPr>
                <w:color w:val="0000FF"/>
                <w:u w:val="single"/>
              </w:rPr>
            </w:pPr>
            <w:hyperlink w:anchor="_11.25_Reviews" w:history="1">
              <w:r w:rsidR="00AC708B">
                <w:rPr>
                  <w:rStyle w:val="Hyperlink"/>
                </w:rPr>
                <w:t>Pg</w:t>
              </w:r>
            </w:hyperlink>
          </w:p>
        </w:tc>
        <w:tc>
          <w:tcPr>
            <w:tcW w:w="810" w:type="dxa"/>
          </w:tcPr>
          <w:p w14:paraId="6B2CFF6C" w14:textId="77777777" w:rsidR="000C099C" w:rsidRDefault="000C099C">
            <w:r>
              <w:t>x</w:t>
            </w:r>
          </w:p>
        </w:tc>
        <w:tc>
          <w:tcPr>
            <w:tcW w:w="813" w:type="dxa"/>
          </w:tcPr>
          <w:p w14:paraId="384FB152" w14:textId="77777777" w:rsidR="000C099C" w:rsidRDefault="000C099C">
            <w:r>
              <w:t>x</w:t>
            </w:r>
          </w:p>
        </w:tc>
        <w:tc>
          <w:tcPr>
            <w:tcW w:w="852" w:type="dxa"/>
          </w:tcPr>
          <w:p w14:paraId="64525D98" w14:textId="77777777" w:rsidR="000C099C" w:rsidRDefault="000C099C">
            <w:r>
              <w:t>x</w:t>
            </w:r>
          </w:p>
        </w:tc>
        <w:tc>
          <w:tcPr>
            <w:tcW w:w="1249" w:type="dxa"/>
          </w:tcPr>
          <w:p w14:paraId="46DD8302" w14:textId="77777777" w:rsidR="000C099C" w:rsidRDefault="000C099C">
            <w:r>
              <w:t>x</w:t>
            </w:r>
          </w:p>
        </w:tc>
      </w:tr>
      <w:tr w:rsidR="000C099C" w14:paraId="55020050" w14:textId="77777777">
        <w:tc>
          <w:tcPr>
            <w:tcW w:w="828" w:type="dxa"/>
          </w:tcPr>
          <w:p w14:paraId="4EC2A33E" w14:textId="77777777" w:rsidR="000C099C" w:rsidRDefault="000C099C">
            <w:r>
              <w:t>x</w:t>
            </w:r>
          </w:p>
        </w:tc>
        <w:tc>
          <w:tcPr>
            <w:tcW w:w="4320" w:type="dxa"/>
          </w:tcPr>
          <w:p w14:paraId="1BFD596B" w14:textId="77777777" w:rsidR="000C099C" w:rsidRDefault="00BA7C02">
            <w:r w:rsidRPr="005C5A17">
              <w:t>Retail Communication</w:t>
            </w:r>
            <w:r w:rsidR="000C099C" w:rsidRPr="005C5A17">
              <w:t xml:space="preserve"> </w:t>
            </w:r>
            <w:r w:rsidR="000C099C">
              <w:t xml:space="preserve">Review and confirmation of </w:t>
            </w:r>
            <w:r w:rsidR="000C099C" w:rsidRPr="00470C84">
              <w:t>FINRA</w:t>
            </w:r>
            <w:r w:rsidR="000C099C">
              <w:t xml:space="preserve"> Advertising Review</w:t>
            </w:r>
          </w:p>
        </w:tc>
        <w:tc>
          <w:tcPr>
            <w:tcW w:w="720" w:type="dxa"/>
          </w:tcPr>
          <w:p w14:paraId="615C13D1" w14:textId="77777777" w:rsidR="000C099C" w:rsidRDefault="00D6319C">
            <w:hyperlink w:anchor="_11.5_Retail_Communications" w:history="1">
              <w:r w:rsidR="004668C5">
                <w:rPr>
                  <w:rStyle w:val="Hyperlink"/>
                </w:rPr>
                <w:t>Pg</w:t>
              </w:r>
            </w:hyperlink>
          </w:p>
        </w:tc>
        <w:tc>
          <w:tcPr>
            <w:tcW w:w="810" w:type="dxa"/>
          </w:tcPr>
          <w:p w14:paraId="247130BD" w14:textId="77777777" w:rsidR="000C099C" w:rsidRDefault="000C099C">
            <w:r>
              <w:t>x</w:t>
            </w:r>
          </w:p>
        </w:tc>
        <w:tc>
          <w:tcPr>
            <w:tcW w:w="813" w:type="dxa"/>
          </w:tcPr>
          <w:p w14:paraId="25678726" w14:textId="77777777" w:rsidR="000C099C" w:rsidRDefault="000C099C">
            <w:r>
              <w:t>x</w:t>
            </w:r>
          </w:p>
        </w:tc>
        <w:tc>
          <w:tcPr>
            <w:tcW w:w="852" w:type="dxa"/>
          </w:tcPr>
          <w:p w14:paraId="0FB87108" w14:textId="77777777" w:rsidR="000C099C" w:rsidRDefault="000C099C">
            <w:r>
              <w:t>x</w:t>
            </w:r>
          </w:p>
        </w:tc>
        <w:tc>
          <w:tcPr>
            <w:tcW w:w="1249" w:type="dxa"/>
          </w:tcPr>
          <w:p w14:paraId="31D50A89" w14:textId="77777777" w:rsidR="000C099C" w:rsidRDefault="000C099C">
            <w:r>
              <w:t>x</w:t>
            </w:r>
          </w:p>
        </w:tc>
      </w:tr>
    </w:tbl>
    <w:p w14:paraId="48D2CF09" w14:textId="77777777" w:rsidR="000C099C" w:rsidRDefault="000C099C"/>
    <w:p w14:paraId="5A5D5B2B" w14:textId="77777777" w:rsidR="000C099C" w:rsidRPr="00956F08" w:rsidRDefault="000C099C">
      <w:pPr>
        <w:rPr>
          <w:b/>
          <w:caps/>
          <w:sz w:val="24"/>
        </w:rPr>
      </w:pPr>
      <w:r w:rsidRPr="00956F08">
        <w:rPr>
          <w:b/>
          <w:caps/>
          <w:sz w:val="24"/>
        </w:rPr>
        <w:t xml:space="preserve">Municipal Securities </w:t>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0FB08D8E" w14:textId="77777777">
        <w:tc>
          <w:tcPr>
            <w:tcW w:w="828" w:type="dxa"/>
            <w:tcBorders>
              <w:top w:val="single" w:sz="12" w:space="0" w:color="auto"/>
              <w:bottom w:val="single" w:sz="6" w:space="0" w:color="auto"/>
            </w:tcBorders>
            <w:shd w:val="pct10" w:color="auto" w:fill="auto"/>
          </w:tcPr>
          <w:p w14:paraId="4A7F64BA"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144800D3"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29545C8B"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246F1BB0"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5585E496"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0C9F2A6F"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512B92EE" w14:textId="77777777" w:rsidR="000C099C" w:rsidRDefault="000C099C">
            <w:pPr>
              <w:rPr>
                <w:b/>
              </w:rPr>
            </w:pPr>
            <w:r>
              <w:rPr>
                <w:b/>
              </w:rPr>
              <w:t>How Evidenced</w:t>
            </w:r>
          </w:p>
        </w:tc>
      </w:tr>
      <w:tr w:rsidR="000C099C" w14:paraId="0F2B929F" w14:textId="77777777">
        <w:tc>
          <w:tcPr>
            <w:tcW w:w="828" w:type="dxa"/>
            <w:tcBorders>
              <w:top w:val="nil"/>
            </w:tcBorders>
          </w:tcPr>
          <w:p w14:paraId="033332F1" w14:textId="77777777" w:rsidR="000C099C" w:rsidRDefault="000C099C">
            <w:r>
              <w:t>x</w:t>
            </w:r>
          </w:p>
        </w:tc>
        <w:tc>
          <w:tcPr>
            <w:tcW w:w="4320" w:type="dxa"/>
            <w:tcBorders>
              <w:top w:val="nil"/>
            </w:tcBorders>
          </w:tcPr>
          <w:p w14:paraId="5E35FD6C" w14:textId="77777777" w:rsidR="000C099C" w:rsidRDefault="000C099C">
            <w:r>
              <w:t>Supervisory Responsibilities - MSRB Rules G-27 &amp; G-9</w:t>
            </w:r>
          </w:p>
        </w:tc>
        <w:tc>
          <w:tcPr>
            <w:tcW w:w="720" w:type="dxa"/>
            <w:tcBorders>
              <w:top w:val="nil"/>
            </w:tcBorders>
          </w:tcPr>
          <w:p w14:paraId="58480914" w14:textId="77777777" w:rsidR="000C099C" w:rsidRDefault="00D6319C">
            <w:hyperlink w:anchor="Munis" w:history="1">
              <w:r w:rsidR="000C099C">
                <w:rPr>
                  <w:rStyle w:val="Hyperlink"/>
                </w:rPr>
                <w:t>111</w:t>
              </w:r>
            </w:hyperlink>
          </w:p>
        </w:tc>
        <w:tc>
          <w:tcPr>
            <w:tcW w:w="810" w:type="dxa"/>
            <w:tcBorders>
              <w:top w:val="nil"/>
            </w:tcBorders>
          </w:tcPr>
          <w:p w14:paraId="5E9123DF" w14:textId="77777777" w:rsidR="000C099C" w:rsidRDefault="000C099C">
            <w:r>
              <w:t>x</w:t>
            </w:r>
          </w:p>
        </w:tc>
        <w:tc>
          <w:tcPr>
            <w:tcW w:w="813" w:type="dxa"/>
            <w:tcBorders>
              <w:top w:val="nil"/>
            </w:tcBorders>
          </w:tcPr>
          <w:p w14:paraId="011A1987" w14:textId="77777777" w:rsidR="000C099C" w:rsidRDefault="000C099C">
            <w:r>
              <w:t>x</w:t>
            </w:r>
          </w:p>
        </w:tc>
        <w:tc>
          <w:tcPr>
            <w:tcW w:w="852" w:type="dxa"/>
            <w:tcBorders>
              <w:top w:val="nil"/>
            </w:tcBorders>
          </w:tcPr>
          <w:p w14:paraId="6151F8A7" w14:textId="77777777" w:rsidR="000C099C" w:rsidRDefault="000C099C">
            <w:r>
              <w:t>x</w:t>
            </w:r>
          </w:p>
        </w:tc>
        <w:tc>
          <w:tcPr>
            <w:tcW w:w="1249" w:type="dxa"/>
            <w:tcBorders>
              <w:top w:val="nil"/>
            </w:tcBorders>
          </w:tcPr>
          <w:p w14:paraId="20BD09BE" w14:textId="77777777" w:rsidR="000C099C" w:rsidRDefault="000C099C">
            <w:r>
              <w:t>x</w:t>
            </w:r>
          </w:p>
        </w:tc>
      </w:tr>
      <w:tr w:rsidR="000C099C" w14:paraId="2608C883" w14:textId="77777777">
        <w:tc>
          <w:tcPr>
            <w:tcW w:w="828" w:type="dxa"/>
          </w:tcPr>
          <w:p w14:paraId="15A49403" w14:textId="77777777" w:rsidR="000C099C" w:rsidRDefault="000C099C">
            <w:r>
              <w:t>x</w:t>
            </w:r>
          </w:p>
        </w:tc>
        <w:tc>
          <w:tcPr>
            <w:tcW w:w="4320" w:type="dxa"/>
          </w:tcPr>
          <w:p w14:paraId="65CEFE0C" w14:textId="77777777" w:rsidR="000C099C" w:rsidRDefault="000C099C">
            <w:r>
              <w:t>Books &amp; Records - MSRB Rules G-8 &amp; G-9</w:t>
            </w:r>
          </w:p>
        </w:tc>
        <w:tc>
          <w:tcPr>
            <w:tcW w:w="720" w:type="dxa"/>
          </w:tcPr>
          <w:p w14:paraId="50F4ECB9" w14:textId="77777777" w:rsidR="000C099C" w:rsidRDefault="00D6319C">
            <w:hyperlink w:anchor="MuniBooksAndRecords" w:history="1">
              <w:r w:rsidR="000C099C">
                <w:rPr>
                  <w:rStyle w:val="Hyperlink"/>
                </w:rPr>
                <w:t>120</w:t>
              </w:r>
            </w:hyperlink>
          </w:p>
        </w:tc>
        <w:tc>
          <w:tcPr>
            <w:tcW w:w="810" w:type="dxa"/>
          </w:tcPr>
          <w:p w14:paraId="5F2A514B" w14:textId="77777777" w:rsidR="000C099C" w:rsidRDefault="000C099C">
            <w:r>
              <w:t>x</w:t>
            </w:r>
          </w:p>
        </w:tc>
        <w:tc>
          <w:tcPr>
            <w:tcW w:w="813" w:type="dxa"/>
          </w:tcPr>
          <w:p w14:paraId="757D8D26" w14:textId="77777777" w:rsidR="000C099C" w:rsidRDefault="000C099C">
            <w:r>
              <w:t>x</w:t>
            </w:r>
          </w:p>
        </w:tc>
        <w:tc>
          <w:tcPr>
            <w:tcW w:w="852" w:type="dxa"/>
          </w:tcPr>
          <w:p w14:paraId="6C9CE203" w14:textId="77777777" w:rsidR="000C099C" w:rsidRDefault="000C099C">
            <w:r>
              <w:t>x</w:t>
            </w:r>
          </w:p>
        </w:tc>
        <w:tc>
          <w:tcPr>
            <w:tcW w:w="1249" w:type="dxa"/>
          </w:tcPr>
          <w:p w14:paraId="59978CFE" w14:textId="77777777" w:rsidR="000C099C" w:rsidRDefault="000C099C">
            <w:r>
              <w:t>x</w:t>
            </w:r>
          </w:p>
        </w:tc>
      </w:tr>
      <w:tr w:rsidR="000C099C" w14:paraId="06248F4B" w14:textId="77777777">
        <w:tc>
          <w:tcPr>
            <w:tcW w:w="828" w:type="dxa"/>
          </w:tcPr>
          <w:p w14:paraId="3A011412" w14:textId="77777777" w:rsidR="000C099C" w:rsidRDefault="000C099C">
            <w:r>
              <w:t>x</w:t>
            </w:r>
          </w:p>
        </w:tc>
        <w:tc>
          <w:tcPr>
            <w:tcW w:w="4320" w:type="dxa"/>
          </w:tcPr>
          <w:p w14:paraId="566BBF25" w14:textId="77777777" w:rsidR="000C099C" w:rsidRDefault="000C099C">
            <w:r>
              <w:t>Customer Accounts - MSRB Rules G-8(a)(xi) &amp; G-19</w:t>
            </w:r>
          </w:p>
        </w:tc>
        <w:tc>
          <w:tcPr>
            <w:tcW w:w="720" w:type="dxa"/>
          </w:tcPr>
          <w:p w14:paraId="7E90C8A7" w14:textId="77777777" w:rsidR="000C099C" w:rsidRDefault="000C099C">
            <w:r>
              <w:t xml:space="preserve">10, </w:t>
            </w:r>
          </w:p>
          <w:p w14:paraId="136EA32F" w14:textId="77777777" w:rsidR="000C099C" w:rsidRDefault="00D6319C">
            <w:hyperlink w:anchor="Munis" w:history="1">
              <w:r w:rsidR="000C099C">
                <w:rPr>
                  <w:rStyle w:val="Hyperlink"/>
                </w:rPr>
                <w:t>111</w:t>
              </w:r>
            </w:hyperlink>
          </w:p>
        </w:tc>
        <w:tc>
          <w:tcPr>
            <w:tcW w:w="810" w:type="dxa"/>
          </w:tcPr>
          <w:p w14:paraId="167706F0" w14:textId="77777777" w:rsidR="000C099C" w:rsidRDefault="000C099C">
            <w:r>
              <w:t>x</w:t>
            </w:r>
          </w:p>
        </w:tc>
        <w:tc>
          <w:tcPr>
            <w:tcW w:w="813" w:type="dxa"/>
          </w:tcPr>
          <w:p w14:paraId="6F51D5E3" w14:textId="77777777" w:rsidR="000C099C" w:rsidRDefault="000C099C">
            <w:r>
              <w:t>x</w:t>
            </w:r>
          </w:p>
        </w:tc>
        <w:tc>
          <w:tcPr>
            <w:tcW w:w="852" w:type="dxa"/>
          </w:tcPr>
          <w:p w14:paraId="31876837" w14:textId="77777777" w:rsidR="000C099C" w:rsidRDefault="000C099C">
            <w:r>
              <w:t>x</w:t>
            </w:r>
          </w:p>
        </w:tc>
        <w:tc>
          <w:tcPr>
            <w:tcW w:w="1249" w:type="dxa"/>
          </w:tcPr>
          <w:p w14:paraId="32B5DE79" w14:textId="77777777" w:rsidR="000C099C" w:rsidRDefault="000C099C">
            <w:r>
              <w:t>xx</w:t>
            </w:r>
          </w:p>
        </w:tc>
      </w:tr>
      <w:tr w:rsidR="000C099C" w14:paraId="1E7EDCAF" w14:textId="77777777">
        <w:tc>
          <w:tcPr>
            <w:tcW w:w="828" w:type="dxa"/>
          </w:tcPr>
          <w:p w14:paraId="4399E0BA" w14:textId="77777777" w:rsidR="000C099C" w:rsidRDefault="000C099C">
            <w:r>
              <w:lastRenderedPageBreak/>
              <w:t>x</w:t>
            </w:r>
          </w:p>
        </w:tc>
        <w:tc>
          <w:tcPr>
            <w:tcW w:w="4320" w:type="dxa"/>
          </w:tcPr>
          <w:p w14:paraId="014F070E" w14:textId="77777777" w:rsidR="000C099C" w:rsidRDefault="000C099C">
            <w:r>
              <w:t>Underwriting Activities - MSRB Rules A-13, G-11, 12, 17, 32, 34, &amp; 36, SEC Rules 15c1-2, 5, 6, &amp; 12</w:t>
            </w:r>
          </w:p>
        </w:tc>
        <w:tc>
          <w:tcPr>
            <w:tcW w:w="720" w:type="dxa"/>
          </w:tcPr>
          <w:p w14:paraId="4FCE6280" w14:textId="77777777" w:rsidR="000C099C" w:rsidRDefault="00D6319C">
            <w:hyperlink w:anchor="Munis" w:history="1">
              <w:r w:rsidR="000C099C">
                <w:rPr>
                  <w:rStyle w:val="Hyperlink"/>
                </w:rPr>
                <w:t>111</w:t>
              </w:r>
            </w:hyperlink>
          </w:p>
        </w:tc>
        <w:tc>
          <w:tcPr>
            <w:tcW w:w="810" w:type="dxa"/>
          </w:tcPr>
          <w:p w14:paraId="3BA5AE1B" w14:textId="77777777" w:rsidR="000C099C" w:rsidRDefault="000C099C">
            <w:r>
              <w:t>x</w:t>
            </w:r>
          </w:p>
        </w:tc>
        <w:tc>
          <w:tcPr>
            <w:tcW w:w="813" w:type="dxa"/>
          </w:tcPr>
          <w:p w14:paraId="5E150C70" w14:textId="77777777" w:rsidR="000C099C" w:rsidRDefault="000C099C">
            <w:r>
              <w:t>x</w:t>
            </w:r>
          </w:p>
        </w:tc>
        <w:tc>
          <w:tcPr>
            <w:tcW w:w="852" w:type="dxa"/>
          </w:tcPr>
          <w:p w14:paraId="688AFB3A" w14:textId="77777777" w:rsidR="000C099C" w:rsidRDefault="000C099C">
            <w:r>
              <w:t>x</w:t>
            </w:r>
          </w:p>
        </w:tc>
        <w:tc>
          <w:tcPr>
            <w:tcW w:w="1249" w:type="dxa"/>
          </w:tcPr>
          <w:p w14:paraId="36D4D868" w14:textId="77777777" w:rsidR="000C099C" w:rsidRDefault="000C099C">
            <w:r>
              <w:t>x</w:t>
            </w:r>
          </w:p>
        </w:tc>
      </w:tr>
      <w:tr w:rsidR="000C099C" w14:paraId="7B630B9A" w14:textId="77777777">
        <w:tc>
          <w:tcPr>
            <w:tcW w:w="828" w:type="dxa"/>
          </w:tcPr>
          <w:p w14:paraId="03E4E352" w14:textId="77777777" w:rsidR="000C099C" w:rsidRDefault="000C099C">
            <w:r>
              <w:t>x</w:t>
            </w:r>
          </w:p>
        </w:tc>
        <w:tc>
          <w:tcPr>
            <w:tcW w:w="4320" w:type="dxa"/>
          </w:tcPr>
          <w:p w14:paraId="7EF167AC" w14:textId="77777777" w:rsidR="000C099C" w:rsidRDefault="000C099C">
            <w:r>
              <w:t>Political Contributions - MSRB Rules G-8, 9, 37, &amp; 38</w:t>
            </w:r>
          </w:p>
        </w:tc>
        <w:tc>
          <w:tcPr>
            <w:tcW w:w="720" w:type="dxa"/>
          </w:tcPr>
          <w:p w14:paraId="0E233C1B" w14:textId="77777777" w:rsidR="000C099C" w:rsidRDefault="00D6319C">
            <w:hyperlink w:anchor="Munis" w:history="1">
              <w:r w:rsidR="000C099C">
                <w:rPr>
                  <w:rStyle w:val="Hyperlink"/>
                </w:rPr>
                <w:t>111</w:t>
              </w:r>
            </w:hyperlink>
          </w:p>
        </w:tc>
        <w:tc>
          <w:tcPr>
            <w:tcW w:w="810" w:type="dxa"/>
          </w:tcPr>
          <w:p w14:paraId="78C58CC8" w14:textId="77777777" w:rsidR="000C099C" w:rsidRDefault="000C099C">
            <w:r>
              <w:t>x</w:t>
            </w:r>
          </w:p>
        </w:tc>
        <w:tc>
          <w:tcPr>
            <w:tcW w:w="813" w:type="dxa"/>
          </w:tcPr>
          <w:p w14:paraId="4DB6BE9B" w14:textId="77777777" w:rsidR="000C099C" w:rsidRDefault="000C099C">
            <w:r>
              <w:t>x</w:t>
            </w:r>
          </w:p>
        </w:tc>
        <w:tc>
          <w:tcPr>
            <w:tcW w:w="852" w:type="dxa"/>
          </w:tcPr>
          <w:p w14:paraId="76BB1426" w14:textId="77777777" w:rsidR="000C099C" w:rsidRDefault="000C099C">
            <w:r>
              <w:t>x</w:t>
            </w:r>
          </w:p>
        </w:tc>
        <w:tc>
          <w:tcPr>
            <w:tcW w:w="1249" w:type="dxa"/>
          </w:tcPr>
          <w:p w14:paraId="0200FFD4" w14:textId="77777777" w:rsidR="000C099C" w:rsidRDefault="000C099C">
            <w:r>
              <w:t>x</w:t>
            </w:r>
          </w:p>
        </w:tc>
      </w:tr>
      <w:tr w:rsidR="000C099C" w14:paraId="5F684119" w14:textId="77777777">
        <w:tc>
          <w:tcPr>
            <w:tcW w:w="828" w:type="dxa"/>
          </w:tcPr>
          <w:p w14:paraId="21C11DDE" w14:textId="77777777" w:rsidR="000C099C" w:rsidRDefault="000C099C">
            <w:r>
              <w:t>x</w:t>
            </w:r>
          </w:p>
        </w:tc>
        <w:tc>
          <w:tcPr>
            <w:tcW w:w="4320" w:type="dxa"/>
          </w:tcPr>
          <w:p w14:paraId="08A38F11" w14:textId="77777777" w:rsidR="000C099C" w:rsidRDefault="000C099C">
            <w:r>
              <w:t>General Sales Practices and Uniform Practices - MSRB G-17 through G-27, 28, 30, &amp; 37</w:t>
            </w:r>
          </w:p>
        </w:tc>
        <w:tc>
          <w:tcPr>
            <w:tcW w:w="720" w:type="dxa"/>
          </w:tcPr>
          <w:p w14:paraId="05B4223F" w14:textId="77777777" w:rsidR="000C099C" w:rsidRDefault="00D6319C">
            <w:hyperlink w:anchor="Munis" w:history="1">
              <w:r w:rsidR="000C099C">
                <w:rPr>
                  <w:rStyle w:val="Hyperlink"/>
                </w:rPr>
                <w:t>111</w:t>
              </w:r>
            </w:hyperlink>
          </w:p>
        </w:tc>
        <w:tc>
          <w:tcPr>
            <w:tcW w:w="810" w:type="dxa"/>
          </w:tcPr>
          <w:p w14:paraId="6A927EA9" w14:textId="77777777" w:rsidR="000C099C" w:rsidRDefault="000C099C">
            <w:r>
              <w:t>x</w:t>
            </w:r>
          </w:p>
        </w:tc>
        <w:tc>
          <w:tcPr>
            <w:tcW w:w="813" w:type="dxa"/>
          </w:tcPr>
          <w:p w14:paraId="111206F1" w14:textId="77777777" w:rsidR="000C099C" w:rsidRDefault="000C099C">
            <w:r>
              <w:t>x</w:t>
            </w:r>
          </w:p>
        </w:tc>
        <w:tc>
          <w:tcPr>
            <w:tcW w:w="852" w:type="dxa"/>
          </w:tcPr>
          <w:p w14:paraId="7BA11474" w14:textId="77777777" w:rsidR="000C099C" w:rsidRDefault="000C099C">
            <w:r>
              <w:t>x</w:t>
            </w:r>
          </w:p>
        </w:tc>
        <w:tc>
          <w:tcPr>
            <w:tcW w:w="1249" w:type="dxa"/>
          </w:tcPr>
          <w:p w14:paraId="6D9A9C3A" w14:textId="77777777" w:rsidR="000C099C" w:rsidRDefault="000C099C">
            <w:r>
              <w:t>x</w:t>
            </w:r>
          </w:p>
        </w:tc>
      </w:tr>
    </w:tbl>
    <w:p w14:paraId="3D9648CE" w14:textId="77777777" w:rsidR="000C099C" w:rsidRDefault="000C099C"/>
    <w:p w14:paraId="4973CFD1" w14:textId="77777777" w:rsidR="000C099C" w:rsidRPr="00956F08" w:rsidRDefault="000C099C">
      <w:pPr>
        <w:rPr>
          <w:caps/>
        </w:rPr>
      </w:pPr>
      <w:r w:rsidRPr="00956F08">
        <w:rPr>
          <w:b/>
          <w:caps/>
          <w:sz w:val="24"/>
        </w:rPr>
        <w:t>Fixed Income Securities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0AFC10B8" w14:textId="77777777">
        <w:tc>
          <w:tcPr>
            <w:tcW w:w="828" w:type="dxa"/>
            <w:tcBorders>
              <w:top w:val="single" w:sz="12" w:space="0" w:color="auto"/>
              <w:bottom w:val="single" w:sz="6" w:space="0" w:color="auto"/>
            </w:tcBorders>
            <w:shd w:val="pct10" w:color="auto" w:fill="auto"/>
          </w:tcPr>
          <w:p w14:paraId="7AF85B9D"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24DF9C4F"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317C495C"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08170CEA"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77573336"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6754A663"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358002E6" w14:textId="77777777" w:rsidR="000C099C" w:rsidRDefault="000C099C">
            <w:pPr>
              <w:rPr>
                <w:b/>
              </w:rPr>
            </w:pPr>
            <w:r>
              <w:rPr>
                <w:b/>
              </w:rPr>
              <w:t>How Evidenced</w:t>
            </w:r>
          </w:p>
        </w:tc>
      </w:tr>
      <w:tr w:rsidR="000C099C" w14:paraId="1ABD93E2" w14:textId="77777777">
        <w:tc>
          <w:tcPr>
            <w:tcW w:w="828" w:type="dxa"/>
            <w:tcBorders>
              <w:top w:val="nil"/>
            </w:tcBorders>
          </w:tcPr>
          <w:p w14:paraId="031A0A2F" w14:textId="77777777" w:rsidR="000C099C" w:rsidRDefault="000C099C">
            <w:r>
              <w:t>x</w:t>
            </w:r>
          </w:p>
        </w:tc>
        <w:tc>
          <w:tcPr>
            <w:tcW w:w="4320" w:type="dxa"/>
            <w:tcBorders>
              <w:top w:val="nil"/>
            </w:tcBorders>
          </w:tcPr>
          <w:p w14:paraId="19056E6A" w14:textId="77777777" w:rsidR="000C099C" w:rsidRDefault="000C099C">
            <w:r>
              <w:t>Government Securities Act Amendments of 1993 - Sections 102 through 107, NTM 95-48</w:t>
            </w:r>
          </w:p>
        </w:tc>
        <w:tc>
          <w:tcPr>
            <w:tcW w:w="720" w:type="dxa"/>
            <w:tcBorders>
              <w:top w:val="nil"/>
            </w:tcBorders>
          </w:tcPr>
          <w:p w14:paraId="00699AFA" w14:textId="77777777" w:rsidR="000C099C" w:rsidRDefault="00D6319C">
            <w:hyperlink w:anchor="FixedIncomeAndGovtSec" w:history="1">
              <w:r w:rsidR="000C099C">
                <w:rPr>
                  <w:rStyle w:val="Hyperlink"/>
                </w:rPr>
                <w:t>107</w:t>
              </w:r>
            </w:hyperlink>
          </w:p>
        </w:tc>
        <w:tc>
          <w:tcPr>
            <w:tcW w:w="810" w:type="dxa"/>
            <w:tcBorders>
              <w:top w:val="nil"/>
            </w:tcBorders>
          </w:tcPr>
          <w:p w14:paraId="6E6B115B" w14:textId="77777777" w:rsidR="000C099C" w:rsidRDefault="000C099C">
            <w:r>
              <w:t>x</w:t>
            </w:r>
          </w:p>
        </w:tc>
        <w:tc>
          <w:tcPr>
            <w:tcW w:w="813" w:type="dxa"/>
            <w:tcBorders>
              <w:top w:val="nil"/>
            </w:tcBorders>
          </w:tcPr>
          <w:p w14:paraId="1C85B42B" w14:textId="77777777" w:rsidR="000C099C" w:rsidRDefault="000C099C">
            <w:r>
              <w:t>x</w:t>
            </w:r>
          </w:p>
        </w:tc>
        <w:tc>
          <w:tcPr>
            <w:tcW w:w="852" w:type="dxa"/>
            <w:tcBorders>
              <w:top w:val="nil"/>
            </w:tcBorders>
          </w:tcPr>
          <w:p w14:paraId="505D8AE5" w14:textId="77777777" w:rsidR="000C099C" w:rsidRDefault="000C099C">
            <w:r>
              <w:t>x</w:t>
            </w:r>
          </w:p>
        </w:tc>
        <w:tc>
          <w:tcPr>
            <w:tcW w:w="1249" w:type="dxa"/>
            <w:tcBorders>
              <w:top w:val="nil"/>
            </w:tcBorders>
          </w:tcPr>
          <w:p w14:paraId="2FA652A7" w14:textId="77777777" w:rsidR="000C099C" w:rsidRDefault="000C099C">
            <w:r>
              <w:t>x</w:t>
            </w:r>
          </w:p>
        </w:tc>
      </w:tr>
      <w:tr w:rsidR="000C099C" w14:paraId="5731DC25" w14:textId="77777777">
        <w:tc>
          <w:tcPr>
            <w:tcW w:w="828" w:type="dxa"/>
          </w:tcPr>
          <w:p w14:paraId="75DEF5F4" w14:textId="77777777" w:rsidR="000C099C" w:rsidRDefault="000C099C">
            <w:r>
              <w:t>N/A</w:t>
            </w:r>
          </w:p>
        </w:tc>
        <w:tc>
          <w:tcPr>
            <w:tcW w:w="4320" w:type="dxa"/>
          </w:tcPr>
          <w:p w14:paraId="058E7BF8" w14:textId="77777777" w:rsidR="000C099C" w:rsidRDefault="000C099C">
            <w:r>
              <w:t>Government Sponsored Enterprises Distribution &amp; Treasury Securities - SEC Rules 10b-5, 15(b)(4)(e) &amp; 17a-3</w:t>
            </w:r>
          </w:p>
        </w:tc>
        <w:tc>
          <w:tcPr>
            <w:tcW w:w="720" w:type="dxa"/>
          </w:tcPr>
          <w:p w14:paraId="463682FB" w14:textId="77777777" w:rsidR="000C099C" w:rsidRDefault="000C099C"/>
        </w:tc>
        <w:tc>
          <w:tcPr>
            <w:tcW w:w="810" w:type="dxa"/>
          </w:tcPr>
          <w:p w14:paraId="344B9F44" w14:textId="77777777" w:rsidR="000C099C" w:rsidRDefault="000C099C"/>
        </w:tc>
        <w:tc>
          <w:tcPr>
            <w:tcW w:w="813" w:type="dxa"/>
          </w:tcPr>
          <w:p w14:paraId="5429C380" w14:textId="77777777" w:rsidR="000C099C" w:rsidRDefault="000C099C"/>
        </w:tc>
        <w:tc>
          <w:tcPr>
            <w:tcW w:w="852" w:type="dxa"/>
          </w:tcPr>
          <w:p w14:paraId="613DF07F" w14:textId="77777777" w:rsidR="000C099C" w:rsidRDefault="000C099C"/>
        </w:tc>
        <w:tc>
          <w:tcPr>
            <w:tcW w:w="1249" w:type="dxa"/>
          </w:tcPr>
          <w:p w14:paraId="204020AA" w14:textId="77777777" w:rsidR="000C099C" w:rsidRDefault="000C099C"/>
        </w:tc>
      </w:tr>
      <w:tr w:rsidR="000C099C" w14:paraId="5E32B955" w14:textId="77777777">
        <w:tc>
          <w:tcPr>
            <w:tcW w:w="828" w:type="dxa"/>
          </w:tcPr>
          <w:p w14:paraId="2ED74EBC" w14:textId="77777777" w:rsidR="000C099C" w:rsidRDefault="000C099C">
            <w:r>
              <w:t>x</w:t>
            </w:r>
          </w:p>
        </w:tc>
        <w:tc>
          <w:tcPr>
            <w:tcW w:w="4320" w:type="dxa"/>
          </w:tcPr>
          <w:p w14:paraId="14F44D3A" w14:textId="77777777" w:rsidR="000C099C" w:rsidRDefault="000C099C">
            <w:r>
              <w:t>Mark-Ups - SEC Rule 10b-5, NTM 92-16</w:t>
            </w:r>
          </w:p>
        </w:tc>
        <w:tc>
          <w:tcPr>
            <w:tcW w:w="720" w:type="dxa"/>
          </w:tcPr>
          <w:p w14:paraId="7B43761F" w14:textId="77777777" w:rsidR="000C099C" w:rsidRDefault="00D6319C">
            <w:hyperlink w:anchor="FixedIncomeAndGovtSec" w:history="1">
              <w:r w:rsidR="000C099C">
                <w:rPr>
                  <w:rStyle w:val="Hyperlink"/>
                </w:rPr>
                <w:t>107</w:t>
              </w:r>
            </w:hyperlink>
          </w:p>
        </w:tc>
        <w:tc>
          <w:tcPr>
            <w:tcW w:w="810" w:type="dxa"/>
          </w:tcPr>
          <w:p w14:paraId="66176B1C" w14:textId="77777777" w:rsidR="000C099C" w:rsidRDefault="000C099C">
            <w:r>
              <w:t>x</w:t>
            </w:r>
          </w:p>
        </w:tc>
        <w:tc>
          <w:tcPr>
            <w:tcW w:w="813" w:type="dxa"/>
          </w:tcPr>
          <w:p w14:paraId="2B750816" w14:textId="77777777" w:rsidR="000C099C" w:rsidRDefault="000C099C">
            <w:r>
              <w:t>x</w:t>
            </w:r>
          </w:p>
        </w:tc>
        <w:tc>
          <w:tcPr>
            <w:tcW w:w="852" w:type="dxa"/>
          </w:tcPr>
          <w:p w14:paraId="43C3F195" w14:textId="77777777" w:rsidR="000C099C" w:rsidRDefault="000C099C">
            <w:r>
              <w:t>x</w:t>
            </w:r>
          </w:p>
        </w:tc>
        <w:tc>
          <w:tcPr>
            <w:tcW w:w="1249" w:type="dxa"/>
          </w:tcPr>
          <w:p w14:paraId="4F17C6CE" w14:textId="77777777" w:rsidR="000C099C" w:rsidRDefault="000C099C">
            <w:r>
              <w:t>x</w:t>
            </w:r>
          </w:p>
        </w:tc>
      </w:tr>
      <w:tr w:rsidR="000C099C" w14:paraId="000812E3" w14:textId="77777777">
        <w:tc>
          <w:tcPr>
            <w:tcW w:w="828" w:type="dxa"/>
          </w:tcPr>
          <w:p w14:paraId="5AFCCC51" w14:textId="77777777" w:rsidR="000C099C" w:rsidRDefault="000C099C">
            <w:r>
              <w:t>x</w:t>
            </w:r>
          </w:p>
        </w:tc>
        <w:tc>
          <w:tcPr>
            <w:tcW w:w="4320" w:type="dxa"/>
          </w:tcPr>
          <w:p w14:paraId="2F37227B" w14:textId="77777777" w:rsidR="000C099C" w:rsidRDefault="000C099C">
            <w:r>
              <w:t>Suitability - 2310</w:t>
            </w:r>
          </w:p>
        </w:tc>
        <w:tc>
          <w:tcPr>
            <w:tcW w:w="720" w:type="dxa"/>
          </w:tcPr>
          <w:p w14:paraId="7132A777" w14:textId="77777777" w:rsidR="000C099C" w:rsidRDefault="000C099C">
            <w:r>
              <w:t xml:space="preserve"> </w:t>
            </w:r>
            <w:hyperlink w:anchor="CustomerSuitability" w:history="1">
              <w:r>
                <w:rPr>
                  <w:rStyle w:val="Hyperlink"/>
                </w:rPr>
                <w:t>8</w:t>
              </w:r>
            </w:hyperlink>
          </w:p>
        </w:tc>
        <w:tc>
          <w:tcPr>
            <w:tcW w:w="810" w:type="dxa"/>
          </w:tcPr>
          <w:p w14:paraId="3F4F77D1" w14:textId="77777777" w:rsidR="000C099C" w:rsidRDefault="000C099C">
            <w:r>
              <w:t>x</w:t>
            </w:r>
          </w:p>
        </w:tc>
        <w:tc>
          <w:tcPr>
            <w:tcW w:w="813" w:type="dxa"/>
          </w:tcPr>
          <w:p w14:paraId="66B462DE" w14:textId="77777777" w:rsidR="000C099C" w:rsidRDefault="000C099C">
            <w:r>
              <w:t>x</w:t>
            </w:r>
          </w:p>
        </w:tc>
        <w:tc>
          <w:tcPr>
            <w:tcW w:w="852" w:type="dxa"/>
          </w:tcPr>
          <w:p w14:paraId="3141C59A" w14:textId="77777777" w:rsidR="000C099C" w:rsidRDefault="000C099C">
            <w:r>
              <w:t>x</w:t>
            </w:r>
          </w:p>
        </w:tc>
        <w:tc>
          <w:tcPr>
            <w:tcW w:w="1249" w:type="dxa"/>
          </w:tcPr>
          <w:p w14:paraId="43466E73" w14:textId="77777777" w:rsidR="000C099C" w:rsidRDefault="000C099C">
            <w:r>
              <w:t>x</w:t>
            </w:r>
          </w:p>
        </w:tc>
      </w:tr>
      <w:tr w:rsidR="000C099C" w14:paraId="0B02700C" w14:textId="77777777">
        <w:tc>
          <w:tcPr>
            <w:tcW w:w="828" w:type="dxa"/>
          </w:tcPr>
          <w:p w14:paraId="50C95186" w14:textId="77777777" w:rsidR="000C099C" w:rsidRDefault="000C099C">
            <w:r>
              <w:t>x</w:t>
            </w:r>
          </w:p>
        </w:tc>
        <w:tc>
          <w:tcPr>
            <w:tcW w:w="4320" w:type="dxa"/>
          </w:tcPr>
          <w:p w14:paraId="56497153" w14:textId="77777777" w:rsidR="000C099C" w:rsidRDefault="000C099C">
            <w:r>
              <w:t>Parking - 2110, SEC Rules 10b-5 &amp; 15c3-1</w:t>
            </w:r>
          </w:p>
        </w:tc>
        <w:tc>
          <w:tcPr>
            <w:tcW w:w="720" w:type="dxa"/>
          </w:tcPr>
          <w:p w14:paraId="5A8D56FD" w14:textId="77777777" w:rsidR="000C099C" w:rsidRDefault="00D6319C">
            <w:hyperlink w:anchor="Parking" w:history="1">
              <w:r w:rsidR="000C099C">
                <w:rPr>
                  <w:rStyle w:val="Hyperlink"/>
                </w:rPr>
                <w:t>108</w:t>
              </w:r>
            </w:hyperlink>
          </w:p>
        </w:tc>
        <w:tc>
          <w:tcPr>
            <w:tcW w:w="810" w:type="dxa"/>
          </w:tcPr>
          <w:p w14:paraId="7B4F1FF1" w14:textId="77777777" w:rsidR="000C099C" w:rsidRDefault="000C099C">
            <w:r>
              <w:t>x</w:t>
            </w:r>
          </w:p>
        </w:tc>
        <w:tc>
          <w:tcPr>
            <w:tcW w:w="813" w:type="dxa"/>
          </w:tcPr>
          <w:p w14:paraId="2589604E" w14:textId="77777777" w:rsidR="000C099C" w:rsidRDefault="000C099C">
            <w:r>
              <w:t>x</w:t>
            </w:r>
          </w:p>
        </w:tc>
        <w:tc>
          <w:tcPr>
            <w:tcW w:w="852" w:type="dxa"/>
          </w:tcPr>
          <w:p w14:paraId="22405EA3" w14:textId="77777777" w:rsidR="000C099C" w:rsidRDefault="000C099C">
            <w:r>
              <w:t>x</w:t>
            </w:r>
          </w:p>
        </w:tc>
        <w:tc>
          <w:tcPr>
            <w:tcW w:w="1249" w:type="dxa"/>
          </w:tcPr>
          <w:p w14:paraId="1A7B65F0" w14:textId="77777777" w:rsidR="000C099C" w:rsidRDefault="000C099C">
            <w:r>
              <w:t>x</w:t>
            </w:r>
          </w:p>
        </w:tc>
      </w:tr>
      <w:tr w:rsidR="000C099C" w14:paraId="77124640" w14:textId="77777777">
        <w:tc>
          <w:tcPr>
            <w:tcW w:w="828" w:type="dxa"/>
          </w:tcPr>
          <w:p w14:paraId="77913740" w14:textId="77777777" w:rsidR="000C099C" w:rsidRDefault="000C099C">
            <w:r>
              <w:t>x</w:t>
            </w:r>
          </w:p>
        </w:tc>
        <w:tc>
          <w:tcPr>
            <w:tcW w:w="4320" w:type="dxa"/>
          </w:tcPr>
          <w:p w14:paraId="1901899D" w14:textId="77777777" w:rsidR="000C099C" w:rsidRDefault="000C099C">
            <w:r>
              <w:t>Adjusted Trading - 2330</w:t>
            </w:r>
          </w:p>
        </w:tc>
        <w:tc>
          <w:tcPr>
            <w:tcW w:w="720" w:type="dxa"/>
          </w:tcPr>
          <w:p w14:paraId="6B090D25" w14:textId="77777777" w:rsidR="000C099C" w:rsidRDefault="00D6319C">
            <w:hyperlink w:anchor="AdjustedTrading" w:history="1">
              <w:r w:rsidR="000C099C">
                <w:rPr>
                  <w:rStyle w:val="Hyperlink"/>
                </w:rPr>
                <w:t>108</w:t>
              </w:r>
            </w:hyperlink>
          </w:p>
        </w:tc>
        <w:tc>
          <w:tcPr>
            <w:tcW w:w="810" w:type="dxa"/>
          </w:tcPr>
          <w:p w14:paraId="554A3EB9" w14:textId="77777777" w:rsidR="000C099C" w:rsidRDefault="000C099C">
            <w:r>
              <w:t>x</w:t>
            </w:r>
          </w:p>
        </w:tc>
        <w:tc>
          <w:tcPr>
            <w:tcW w:w="813" w:type="dxa"/>
          </w:tcPr>
          <w:p w14:paraId="1C5529D5" w14:textId="77777777" w:rsidR="000C099C" w:rsidRDefault="000C099C">
            <w:r>
              <w:t>x</w:t>
            </w:r>
          </w:p>
        </w:tc>
        <w:tc>
          <w:tcPr>
            <w:tcW w:w="852" w:type="dxa"/>
          </w:tcPr>
          <w:p w14:paraId="0A329611" w14:textId="77777777" w:rsidR="000C099C" w:rsidRDefault="000C099C">
            <w:r>
              <w:t>x</w:t>
            </w:r>
          </w:p>
        </w:tc>
        <w:tc>
          <w:tcPr>
            <w:tcW w:w="1249" w:type="dxa"/>
          </w:tcPr>
          <w:p w14:paraId="51B3BACE" w14:textId="77777777" w:rsidR="000C099C" w:rsidRDefault="000C099C">
            <w:r>
              <w:t>x</w:t>
            </w:r>
          </w:p>
        </w:tc>
      </w:tr>
      <w:tr w:rsidR="000C099C" w14:paraId="69291598" w14:textId="77777777">
        <w:tc>
          <w:tcPr>
            <w:tcW w:w="828" w:type="dxa"/>
          </w:tcPr>
          <w:p w14:paraId="131E0827" w14:textId="77777777" w:rsidR="000C099C" w:rsidRDefault="000C099C">
            <w:r>
              <w:t>x</w:t>
            </w:r>
          </w:p>
        </w:tc>
        <w:tc>
          <w:tcPr>
            <w:tcW w:w="4320" w:type="dxa"/>
          </w:tcPr>
          <w:p w14:paraId="022B803C" w14:textId="77777777" w:rsidR="000C099C" w:rsidRDefault="000C099C">
            <w:r>
              <w:t xml:space="preserve">Churning - 2110, </w:t>
            </w:r>
            <w:r w:rsidR="000A5CA9" w:rsidRPr="00470C84">
              <w:t>2020</w:t>
            </w:r>
            <w:r>
              <w:t>, 2310, SEC Rules 10b-5 &amp; 15c1-7</w:t>
            </w:r>
          </w:p>
        </w:tc>
        <w:tc>
          <w:tcPr>
            <w:tcW w:w="720" w:type="dxa"/>
          </w:tcPr>
          <w:p w14:paraId="59E33CE3" w14:textId="77777777" w:rsidR="000C099C" w:rsidRDefault="00D6319C">
            <w:hyperlink w:anchor="Churning" w:history="1">
              <w:r w:rsidR="000C099C">
                <w:rPr>
                  <w:rStyle w:val="Hyperlink"/>
                </w:rPr>
                <w:t>108</w:t>
              </w:r>
            </w:hyperlink>
          </w:p>
        </w:tc>
        <w:tc>
          <w:tcPr>
            <w:tcW w:w="810" w:type="dxa"/>
          </w:tcPr>
          <w:p w14:paraId="7DA3A80E" w14:textId="77777777" w:rsidR="000C099C" w:rsidRDefault="000C099C">
            <w:r>
              <w:t>x</w:t>
            </w:r>
          </w:p>
        </w:tc>
        <w:tc>
          <w:tcPr>
            <w:tcW w:w="813" w:type="dxa"/>
          </w:tcPr>
          <w:p w14:paraId="0A731EE5" w14:textId="77777777" w:rsidR="000C099C" w:rsidRDefault="000C099C">
            <w:r>
              <w:t>x</w:t>
            </w:r>
          </w:p>
        </w:tc>
        <w:tc>
          <w:tcPr>
            <w:tcW w:w="852" w:type="dxa"/>
          </w:tcPr>
          <w:p w14:paraId="7D74E9C4" w14:textId="77777777" w:rsidR="000C099C" w:rsidRDefault="000C099C">
            <w:r>
              <w:t>x</w:t>
            </w:r>
          </w:p>
        </w:tc>
        <w:tc>
          <w:tcPr>
            <w:tcW w:w="1249" w:type="dxa"/>
          </w:tcPr>
          <w:p w14:paraId="0938F559" w14:textId="77777777" w:rsidR="000C099C" w:rsidRDefault="000C099C">
            <w:r>
              <w:t>x</w:t>
            </w:r>
          </w:p>
        </w:tc>
      </w:tr>
      <w:tr w:rsidR="000C099C" w14:paraId="3C838B71" w14:textId="77777777">
        <w:tc>
          <w:tcPr>
            <w:tcW w:w="828" w:type="dxa"/>
          </w:tcPr>
          <w:p w14:paraId="682E663F" w14:textId="77777777" w:rsidR="000C099C" w:rsidRDefault="000C099C">
            <w:r>
              <w:t>N/A</w:t>
            </w:r>
          </w:p>
        </w:tc>
        <w:tc>
          <w:tcPr>
            <w:tcW w:w="4320" w:type="dxa"/>
          </w:tcPr>
          <w:p w14:paraId="57156CA8" w14:textId="77777777" w:rsidR="000C099C" w:rsidRDefault="000C099C">
            <w:r>
              <w:t>Repurchase and Reverse Repurchase Transactions - SEC Rule 15c3-3(b)(4)</w:t>
            </w:r>
          </w:p>
        </w:tc>
        <w:tc>
          <w:tcPr>
            <w:tcW w:w="720" w:type="dxa"/>
          </w:tcPr>
          <w:p w14:paraId="6BF646D7" w14:textId="77777777" w:rsidR="000C099C" w:rsidRDefault="000C099C"/>
        </w:tc>
        <w:tc>
          <w:tcPr>
            <w:tcW w:w="810" w:type="dxa"/>
          </w:tcPr>
          <w:p w14:paraId="62088FD4" w14:textId="77777777" w:rsidR="000C099C" w:rsidRDefault="000C099C"/>
        </w:tc>
        <w:tc>
          <w:tcPr>
            <w:tcW w:w="813" w:type="dxa"/>
          </w:tcPr>
          <w:p w14:paraId="7D829D3E" w14:textId="77777777" w:rsidR="000C099C" w:rsidRDefault="000C099C"/>
        </w:tc>
        <w:tc>
          <w:tcPr>
            <w:tcW w:w="852" w:type="dxa"/>
          </w:tcPr>
          <w:p w14:paraId="16D73C93" w14:textId="77777777" w:rsidR="000C099C" w:rsidRDefault="000C099C"/>
        </w:tc>
        <w:tc>
          <w:tcPr>
            <w:tcW w:w="1249" w:type="dxa"/>
          </w:tcPr>
          <w:p w14:paraId="5A3BA05A" w14:textId="77777777" w:rsidR="000C099C" w:rsidRDefault="000C099C"/>
        </w:tc>
      </w:tr>
      <w:tr w:rsidR="000C099C" w14:paraId="4933FA95" w14:textId="77777777">
        <w:tc>
          <w:tcPr>
            <w:tcW w:w="828" w:type="dxa"/>
          </w:tcPr>
          <w:p w14:paraId="1D89335D" w14:textId="77777777" w:rsidR="000C099C" w:rsidRDefault="000C099C">
            <w:r>
              <w:t>N/A</w:t>
            </w:r>
          </w:p>
        </w:tc>
        <w:tc>
          <w:tcPr>
            <w:tcW w:w="4320" w:type="dxa"/>
          </w:tcPr>
          <w:p w14:paraId="33842AF0" w14:textId="77777777" w:rsidR="000C099C" w:rsidRDefault="000C099C">
            <w:r>
              <w:t>Bonds Borrowed and Loaned Transactions - SEC Rule 15c3-3(b)(3)</w:t>
            </w:r>
          </w:p>
        </w:tc>
        <w:tc>
          <w:tcPr>
            <w:tcW w:w="720" w:type="dxa"/>
          </w:tcPr>
          <w:p w14:paraId="706FFCD8" w14:textId="77777777" w:rsidR="000C099C" w:rsidRDefault="000C099C"/>
        </w:tc>
        <w:tc>
          <w:tcPr>
            <w:tcW w:w="810" w:type="dxa"/>
          </w:tcPr>
          <w:p w14:paraId="1343EB80" w14:textId="77777777" w:rsidR="000C099C" w:rsidRDefault="000C099C"/>
        </w:tc>
        <w:tc>
          <w:tcPr>
            <w:tcW w:w="813" w:type="dxa"/>
          </w:tcPr>
          <w:p w14:paraId="2FAE38E3" w14:textId="77777777" w:rsidR="000C099C" w:rsidRDefault="000C099C"/>
        </w:tc>
        <w:tc>
          <w:tcPr>
            <w:tcW w:w="852" w:type="dxa"/>
          </w:tcPr>
          <w:p w14:paraId="49C91676" w14:textId="77777777" w:rsidR="000C099C" w:rsidRDefault="000C099C"/>
        </w:tc>
        <w:tc>
          <w:tcPr>
            <w:tcW w:w="1249" w:type="dxa"/>
          </w:tcPr>
          <w:p w14:paraId="426F76F9" w14:textId="77777777" w:rsidR="000C099C" w:rsidRDefault="000C099C"/>
        </w:tc>
      </w:tr>
      <w:tr w:rsidR="000C099C" w14:paraId="0AC7D74C" w14:textId="77777777">
        <w:tc>
          <w:tcPr>
            <w:tcW w:w="828" w:type="dxa"/>
          </w:tcPr>
          <w:p w14:paraId="6A2114F2" w14:textId="77777777" w:rsidR="000C099C" w:rsidRDefault="000C099C">
            <w:r>
              <w:t>x</w:t>
            </w:r>
          </w:p>
        </w:tc>
        <w:tc>
          <w:tcPr>
            <w:tcW w:w="4320" w:type="dxa"/>
          </w:tcPr>
          <w:p w14:paraId="122D7A8F" w14:textId="77777777" w:rsidR="000C099C" w:rsidRDefault="000C099C">
            <w:r>
              <w:t>High Yield Debt - SEC Rules 10b-5 &amp; 14(e)(3), FIPS System</w:t>
            </w:r>
          </w:p>
        </w:tc>
        <w:tc>
          <w:tcPr>
            <w:tcW w:w="720" w:type="dxa"/>
          </w:tcPr>
          <w:p w14:paraId="75C36FFA" w14:textId="77777777" w:rsidR="000C099C" w:rsidRDefault="00D6319C">
            <w:hyperlink w:anchor="HighYieldDebt" w:history="1">
              <w:r w:rsidR="000C099C">
                <w:rPr>
                  <w:rStyle w:val="Hyperlink"/>
                </w:rPr>
                <w:t>108</w:t>
              </w:r>
            </w:hyperlink>
          </w:p>
        </w:tc>
        <w:tc>
          <w:tcPr>
            <w:tcW w:w="810" w:type="dxa"/>
          </w:tcPr>
          <w:p w14:paraId="65ABB437" w14:textId="77777777" w:rsidR="000C099C" w:rsidRDefault="000C099C">
            <w:r>
              <w:t>x</w:t>
            </w:r>
          </w:p>
        </w:tc>
        <w:tc>
          <w:tcPr>
            <w:tcW w:w="813" w:type="dxa"/>
          </w:tcPr>
          <w:p w14:paraId="072D9F7D" w14:textId="77777777" w:rsidR="000C099C" w:rsidRDefault="000C099C">
            <w:r>
              <w:t>x</w:t>
            </w:r>
          </w:p>
        </w:tc>
        <w:tc>
          <w:tcPr>
            <w:tcW w:w="852" w:type="dxa"/>
          </w:tcPr>
          <w:p w14:paraId="7C4C3B66" w14:textId="77777777" w:rsidR="000C099C" w:rsidRDefault="000C099C">
            <w:r>
              <w:t>x</w:t>
            </w:r>
          </w:p>
        </w:tc>
        <w:tc>
          <w:tcPr>
            <w:tcW w:w="1249" w:type="dxa"/>
          </w:tcPr>
          <w:p w14:paraId="138FB2B7" w14:textId="77777777" w:rsidR="000C099C" w:rsidRDefault="000C099C">
            <w:r>
              <w:t>x</w:t>
            </w:r>
          </w:p>
        </w:tc>
      </w:tr>
    </w:tbl>
    <w:p w14:paraId="2F9B36A8" w14:textId="77777777" w:rsidR="000C099C" w:rsidRDefault="000C099C">
      <w:r>
        <w:br w:type="page"/>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437D1BBE" w14:textId="77777777" w:rsidTr="00956F08">
        <w:tc>
          <w:tcPr>
            <w:tcW w:w="828" w:type="dxa"/>
          </w:tcPr>
          <w:p w14:paraId="708C9FC6" w14:textId="77777777" w:rsidR="000C099C" w:rsidRDefault="000C099C">
            <w:r>
              <w:lastRenderedPageBreak/>
              <w:t>N/A</w:t>
            </w:r>
          </w:p>
        </w:tc>
        <w:tc>
          <w:tcPr>
            <w:tcW w:w="4320" w:type="dxa"/>
          </w:tcPr>
          <w:p w14:paraId="5DDA597A" w14:textId="77777777" w:rsidR="000C099C" w:rsidRDefault="000C099C">
            <w:r>
              <w:t>Underwritings - 2710</w:t>
            </w:r>
          </w:p>
        </w:tc>
        <w:tc>
          <w:tcPr>
            <w:tcW w:w="720" w:type="dxa"/>
          </w:tcPr>
          <w:p w14:paraId="1CA7828D" w14:textId="77777777" w:rsidR="000C099C" w:rsidRDefault="000C099C"/>
        </w:tc>
        <w:tc>
          <w:tcPr>
            <w:tcW w:w="810" w:type="dxa"/>
          </w:tcPr>
          <w:p w14:paraId="61481DE8" w14:textId="77777777" w:rsidR="000C099C" w:rsidRDefault="000C099C"/>
        </w:tc>
        <w:tc>
          <w:tcPr>
            <w:tcW w:w="813" w:type="dxa"/>
          </w:tcPr>
          <w:p w14:paraId="26B04073" w14:textId="77777777" w:rsidR="000C099C" w:rsidRDefault="000C099C"/>
        </w:tc>
        <w:tc>
          <w:tcPr>
            <w:tcW w:w="852" w:type="dxa"/>
          </w:tcPr>
          <w:p w14:paraId="52A53638" w14:textId="77777777" w:rsidR="000C099C" w:rsidRDefault="000C099C"/>
        </w:tc>
        <w:tc>
          <w:tcPr>
            <w:tcW w:w="1249" w:type="dxa"/>
          </w:tcPr>
          <w:p w14:paraId="271DF642" w14:textId="77777777" w:rsidR="000C099C" w:rsidRDefault="000C099C"/>
        </w:tc>
      </w:tr>
      <w:tr w:rsidR="000C099C" w14:paraId="517DB524" w14:textId="77777777" w:rsidTr="00956F08">
        <w:tc>
          <w:tcPr>
            <w:tcW w:w="828" w:type="dxa"/>
          </w:tcPr>
          <w:p w14:paraId="319E12BA" w14:textId="77777777" w:rsidR="000C099C" w:rsidRDefault="000C099C">
            <w:r>
              <w:t>N/A</w:t>
            </w:r>
          </w:p>
        </w:tc>
        <w:tc>
          <w:tcPr>
            <w:tcW w:w="4320" w:type="dxa"/>
          </w:tcPr>
          <w:p w14:paraId="18414715" w14:textId="77777777" w:rsidR="000C099C" w:rsidRDefault="000C099C">
            <w:r>
              <w:t>Policies related to derivative products and their underlying financial instruments</w:t>
            </w:r>
          </w:p>
        </w:tc>
        <w:tc>
          <w:tcPr>
            <w:tcW w:w="720" w:type="dxa"/>
          </w:tcPr>
          <w:p w14:paraId="1B50BE7B" w14:textId="77777777" w:rsidR="000C099C" w:rsidRDefault="000C099C"/>
        </w:tc>
        <w:tc>
          <w:tcPr>
            <w:tcW w:w="810" w:type="dxa"/>
          </w:tcPr>
          <w:p w14:paraId="03A843F6" w14:textId="77777777" w:rsidR="000C099C" w:rsidRDefault="000C099C"/>
        </w:tc>
        <w:tc>
          <w:tcPr>
            <w:tcW w:w="813" w:type="dxa"/>
          </w:tcPr>
          <w:p w14:paraId="6943EE96" w14:textId="77777777" w:rsidR="000C099C" w:rsidRDefault="000C099C"/>
        </w:tc>
        <w:tc>
          <w:tcPr>
            <w:tcW w:w="852" w:type="dxa"/>
          </w:tcPr>
          <w:p w14:paraId="6E24CF80" w14:textId="77777777" w:rsidR="000C099C" w:rsidRDefault="000C099C"/>
        </w:tc>
        <w:tc>
          <w:tcPr>
            <w:tcW w:w="1249" w:type="dxa"/>
          </w:tcPr>
          <w:p w14:paraId="153947A1" w14:textId="77777777" w:rsidR="000C099C" w:rsidRDefault="000C099C"/>
        </w:tc>
      </w:tr>
    </w:tbl>
    <w:p w14:paraId="5E9B151F" w14:textId="77777777" w:rsidR="000C099C" w:rsidRDefault="000C099C"/>
    <w:p w14:paraId="7E862771" w14:textId="77777777" w:rsidR="000C099C" w:rsidRDefault="000C099C"/>
    <w:p w14:paraId="7BA40A71" w14:textId="77777777" w:rsidR="000C099C" w:rsidRDefault="000C099C">
      <w:pPr>
        <w:rPr>
          <w:b/>
          <w:sz w:val="24"/>
        </w:rPr>
      </w:pPr>
      <w:r w:rsidRPr="00956F08">
        <w:rPr>
          <w:b/>
          <w:caps/>
          <w:sz w:val="24"/>
        </w:rPr>
        <w:t>Direct Participation Program</w:t>
      </w:r>
      <w:r>
        <w:rPr>
          <w:b/>
          <w:sz w:val="24"/>
        </w:rPr>
        <w:t xml:space="preserve"> -</w:t>
      </w:r>
      <w:r>
        <w:rPr>
          <w:b/>
          <w:i/>
          <w:sz w:val="24"/>
        </w:rPr>
        <w:t xml:space="preserve"> (Private Placements) </w:t>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0FCEC852" w14:textId="77777777">
        <w:tc>
          <w:tcPr>
            <w:tcW w:w="828" w:type="dxa"/>
            <w:tcBorders>
              <w:top w:val="single" w:sz="12" w:space="0" w:color="auto"/>
              <w:bottom w:val="single" w:sz="6" w:space="0" w:color="auto"/>
            </w:tcBorders>
            <w:shd w:val="pct10" w:color="auto" w:fill="auto"/>
          </w:tcPr>
          <w:p w14:paraId="5F317C92"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0884E00F"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6C944BF4"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1032CBCD"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07C12A34"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187CBF3F"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04C189C4" w14:textId="77777777" w:rsidR="000C099C" w:rsidRDefault="000C099C">
            <w:pPr>
              <w:rPr>
                <w:b/>
              </w:rPr>
            </w:pPr>
            <w:r>
              <w:rPr>
                <w:b/>
              </w:rPr>
              <w:t>How Evidenced</w:t>
            </w:r>
          </w:p>
        </w:tc>
      </w:tr>
      <w:tr w:rsidR="000C099C" w14:paraId="76D60BAA" w14:textId="77777777">
        <w:tc>
          <w:tcPr>
            <w:tcW w:w="828" w:type="dxa"/>
            <w:tcBorders>
              <w:top w:val="nil"/>
            </w:tcBorders>
          </w:tcPr>
          <w:p w14:paraId="0AE7BA66" w14:textId="77777777" w:rsidR="000C099C" w:rsidRDefault="000C099C">
            <w:r>
              <w:t>x</w:t>
            </w:r>
          </w:p>
        </w:tc>
        <w:tc>
          <w:tcPr>
            <w:tcW w:w="4320" w:type="dxa"/>
            <w:tcBorders>
              <w:top w:val="nil"/>
            </w:tcBorders>
          </w:tcPr>
          <w:p w14:paraId="76E68EE7" w14:textId="77777777" w:rsidR="000C099C" w:rsidRDefault="000C099C">
            <w:r>
              <w:t>Suitability Standards - 2810(b)(2)</w:t>
            </w:r>
          </w:p>
        </w:tc>
        <w:tc>
          <w:tcPr>
            <w:tcW w:w="720" w:type="dxa"/>
            <w:tcBorders>
              <w:top w:val="nil"/>
            </w:tcBorders>
          </w:tcPr>
          <w:p w14:paraId="0605286F" w14:textId="77777777" w:rsidR="000C099C" w:rsidRDefault="00D6319C">
            <w:hyperlink w:anchor="DirectPartPrivatePlacements" w:history="1">
              <w:r w:rsidR="000C099C">
                <w:rPr>
                  <w:rStyle w:val="Hyperlink"/>
                </w:rPr>
                <w:t>124</w:t>
              </w:r>
            </w:hyperlink>
          </w:p>
        </w:tc>
        <w:tc>
          <w:tcPr>
            <w:tcW w:w="810" w:type="dxa"/>
            <w:tcBorders>
              <w:top w:val="nil"/>
            </w:tcBorders>
          </w:tcPr>
          <w:p w14:paraId="0EECEF30" w14:textId="77777777" w:rsidR="000C099C" w:rsidRDefault="000C099C">
            <w:r>
              <w:t>x</w:t>
            </w:r>
          </w:p>
        </w:tc>
        <w:tc>
          <w:tcPr>
            <w:tcW w:w="813" w:type="dxa"/>
            <w:tcBorders>
              <w:top w:val="nil"/>
            </w:tcBorders>
          </w:tcPr>
          <w:p w14:paraId="32A0B524" w14:textId="77777777" w:rsidR="000C099C" w:rsidRDefault="000C099C">
            <w:r>
              <w:t>x</w:t>
            </w:r>
          </w:p>
        </w:tc>
        <w:tc>
          <w:tcPr>
            <w:tcW w:w="852" w:type="dxa"/>
            <w:tcBorders>
              <w:top w:val="nil"/>
            </w:tcBorders>
          </w:tcPr>
          <w:p w14:paraId="5A520277" w14:textId="77777777" w:rsidR="000C099C" w:rsidRDefault="000C099C">
            <w:r>
              <w:t>x</w:t>
            </w:r>
          </w:p>
        </w:tc>
        <w:tc>
          <w:tcPr>
            <w:tcW w:w="1249" w:type="dxa"/>
            <w:tcBorders>
              <w:top w:val="nil"/>
            </w:tcBorders>
          </w:tcPr>
          <w:p w14:paraId="173567A6" w14:textId="77777777" w:rsidR="000C099C" w:rsidRDefault="000C099C">
            <w:r>
              <w:t>x</w:t>
            </w:r>
          </w:p>
        </w:tc>
      </w:tr>
      <w:tr w:rsidR="000C099C" w14:paraId="5D00F5F1" w14:textId="77777777">
        <w:tc>
          <w:tcPr>
            <w:tcW w:w="828" w:type="dxa"/>
          </w:tcPr>
          <w:p w14:paraId="0C8A7A16" w14:textId="77777777" w:rsidR="000C099C" w:rsidRDefault="000C099C"/>
        </w:tc>
        <w:tc>
          <w:tcPr>
            <w:tcW w:w="4320" w:type="dxa"/>
          </w:tcPr>
          <w:p w14:paraId="377A6540" w14:textId="77777777" w:rsidR="000C099C" w:rsidRDefault="000C099C">
            <w:r>
              <w:t>Disclosure - 2810(b)(3)</w:t>
            </w:r>
          </w:p>
        </w:tc>
        <w:tc>
          <w:tcPr>
            <w:tcW w:w="720" w:type="dxa"/>
          </w:tcPr>
          <w:p w14:paraId="6D8B181F" w14:textId="77777777" w:rsidR="000C099C" w:rsidRDefault="00D6319C">
            <w:hyperlink w:anchor="DirectPartPrivatePlacements" w:history="1">
              <w:r w:rsidR="000C099C">
                <w:rPr>
                  <w:rStyle w:val="Hyperlink"/>
                </w:rPr>
                <w:t>124</w:t>
              </w:r>
            </w:hyperlink>
          </w:p>
        </w:tc>
        <w:tc>
          <w:tcPr>
            <w:tcW w:w="810" w:type="dxa"/>
          </w:tcPr>
          <w:p w14:paraId="0C294F3B" w14:textId="77777777" w:rsidR="000C099C" w:rsidRDefault="000C099C">
            <w:r>
              <w:t>x</w:t>
            </w:r>
          </w:p>
        </w:tc>
        <w:tc>
          <w:tcPr>
            <w:tcW w:w="813" w:type="dxa"/>
          </w:tcPr>
          <w:p w14:paraId="27D1488D" w14:textId="77777777" w:rsidR="000C099C" w:rsidRDefault="000C099C">
            <w:r>
              <w:t>x</w:t>
            </w:r>
          </w:p>
        </w:tc>
        <w:tc>
          <w:tcPr>
            <w:tcW w:w="852" w:type="dxa"/>
          </w:tcPr>
          <w:p w14:paraId="22D912F4" w14:textId="77777777" w:rsidR="000C099C" w:rsidRDefault="000C099C">
            <w:r>
              <w:t>x</w:t>
            </w:r>
          </w:p>
        </w:tc>
        <w:tc>
          <w:tcPr>
            <w:tcW w:w="1249" w:type="dxa"/>
          </w:tcPr>
          <w:p w14:paraId="7CB8EA49" w14:textId="77777777" w:rsidR="000C099C" w:rsidRDefault="000C099C">
            <w:r>
              <w:t>x</w:t>
            </w:r>
          </w:p>
        </w:tc>
      </w:tr>
      <w:tr w:rsidR="000C099C" w14:paraId="2F7A75ED" w14:textId="77777777">
        <w:tc>
          <w:tcPr>
            <w:tcW w:w="828" w:type="dxa"/>
          </w:tcPr>
          <w:p w14:paraId="08E80F79" w14:textId="77777777" w:rsidR="000C099C" w:rsidRDefault="000C099C">
            <w:r>
              <w:t>N/A</w:t>
            </w:r>
          </w:p>
        </w:tc>
        <w:tc>
          <w:tcPr>
            <w:tcW w:w="4320" w:type="dxa"/>
          </w:tcPr>
          <w:p w14:paraId="49A63E2B" w14:textId="77777777" w:rsidR="000C099C" w:rsidRDefault="000C099C">
            <w:r>
              <w:t>Rollups - 2810(b)(5)</w:t>
            </w:r>
          </w:p>
        </w:tc>
        <w:tc>
          <w:tcPr>
            <w:tcW w:w="720" w:type="dxa"/>
          </w:tcPr>
          <w:p w14:paraId="09ABCDB8" w14:textId="77777777" w:rsidR="000C099C" w:rsidRDefault="000C099C"/>
        </w:tc>
        <w:tc>
          <w:tcPr>
            <w:tcW w:w="810" w:type="dxa"/>
          </w:tcPr>
          <w:p w14:paraId="1EFFB402" w14:textId="77777777" w:rsidR="000C099C" w:rsidRDefault="000C099C"/>
        </w:tc>
        <w:tc>
          <w:tcPr>
            <w:tcW w:w="813" w:type="dxa"/>
          </w:tcPr>
          <w:p w14:paraId="52A971FD" w14:textId="77777777" w:rsidR="000C099C" w:rsidRDefault="000C099C"/>
        </w:tc>
        <w:tc>
          <w:tcPr>
            <w:tcW w:w="852" w:type="dxa"/>
          </w:tcPr>
          <w:p w14:paraId="4986D8C4" w14:textId="77777777" w:rsidR="000C099C" w:rsidRDefault="000C099C"/>
        </w:tc>
        <w:tc>
          <w:tcPr>
            <w:tcW w:w="1249" w:type="dxa"/>
          </w:tcPr>
          <w:p w14:paraId="5536B995" w14:textId="77777777" w:rsidR="000C099C" w:rsidRDefault="000C099C"/>
        </w:tc>
      </w:tr>
      <w:tr w:rsidR="000C099C" w14:paraId="11911D10" w14:textId="77777777">
        <w:tc>
          <w:tcPr>
            <w:tcW w:w="828" w:type="dxa"/>
          </w:tcPr>
          <w:p w14:paraId="080AD50D" w14:textId="77777777" w:rsidR="000C099C" w:rsidRDefault="000C099C">
            <w:r>
              <w:t>N/A</w:t>
            </w:r>
          </w:p>
        </w:tc>
        <w:tc>
          <w:tcPr>
            <w:tcW w:w="4320" w:type="dxa"/>
          </w:tcPr>
          <w:p w14:paraId="229BFFEF" w14:textId="77777777" w:rsidR="000C099C" w:rsidRDefault="000C099C">
            <w:r>
              <w:t>Secondary Trading - 2210, 2310, 2320, 2420, 2440, IM 2440, SEC Rules 10b-10 &amp; 15c2-11, NTMs 94-70, 91-69</w:t>
            </w:r>
          </w:p>
        </w:tc>
        <w:tc>
          <w:tcPr>
            <w:tcW w:w="720" w:type="dxa"/>
          </w:tcPr>
          <w:p w14:paraId="55B62DBE" w14:textId="77777777" w:rsidR="000C099C" w:rsidRDefault="000C099C"/>
        </w:tc>
        <w:tc>
          <w:tcPr>
            <w:tcW w:w="810" w:type="dxa"/>
          </w:tcPr>
          <w:p w14:paraId="4905BB86" w14:textId="77777777" w:rsidR="000C099C" w:rsidRDefault="000C099C"/>
        </w:tc>
        <w:tc>
          <w:tcPr>
            <w:tcW w:w="813" w:type="dxa"/>
          </w:tcPr>
          <w:p w14:paraId="7BF7D3ED" w14:textId="77777777" w:rsidR="000C099C" w:rsidRDefault="000C099C"/>
        </w:tc>
        <w:tc>
          <w:tcPr>
            <w:tcW w:w="852" w:type="dxa"/>
          </w:tcPr>
          <w:p w14:paraId="6D8A198A" w14:textId="77777777" w:rsidR="000C099C" w:rsidRDefault="000C099C"/>
        </w:tc>
        <w:tc>
          <w:tcPr>
            <w:tcW w:w="1249" w:type="dxa"/>
          </w:tcPr>
          <w:p w14:paraId="6602B971" w14:textId="77777777" w:rsidR="000C099C" w:rsidRDefault="000C099C"/>
        </w:tc>
      </w:tr>
    </w:tbl>
    <w:p w14:paraId="0714AFB4" w14:textId="77777777" w:rsidR="000C099C" w:rsidRDefault="000C099C"/>
    <w:p w14:paraId="3FA54B68" w14:textId="77777777" w:rsidR="000C099C" w:rsidRDefault="000C099C"/>
    <w:p w14:paraId="434AA567" w14:textId="77777777" w:rsidR="000C099C" w:rsidRDefault="000C099C">
      <w:pPr>
        <w:rPr>
          <w:b/>
          <w:sz w:val="24"/>
        </w:rPr>
      </w:pPr>
      <w:r>
        <w:rPr>
          <w:b/>
          <w:sz w:val="24"/>
        </w:rPr>
        <w:t xml:space="preserve">SECTION 15 - Options </w:t>
      </w:r>
      <w:r>
        <w:rPr>
          <w:b/>
          <w:i/>
          <w:sz w:val="24"/>
        </w:rPr>
        <w:t xml:space="preserve">– </w:t>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7343BF2D" w14:textId="77777777">
        <w:tc>
          <w:tcPr>
            <w:tcW w:w="828" w:type="dxa"/>
            <w:tcBorders>
              <w:top w:val="single" w:sz="12" w:space="0" w:color="auto"/>
              <w:bottom w:val="single" w:sz="6" w:space="0" w:color="auto"/>
            </w:tcBorders>
            <w:shd w:val="pct10" w:color="auto" w:fill="auto"/>
          </w:tcPr>
          <w:p w14:paraId="21B84B58"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362F2A2A"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4A7153C4"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78A75D1E"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47AC3CB6"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35A1F2DA"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20EE5BC8" w14:textId="77777777" w:rsidR="000C099C" w:rsidRDefault="000C099C">
            <w:pPr>
              <w:rPr>
                <w:b/>
              </w:rPr>
            </w:pPr>
            <w:r>
              <w:rPr>
                <w:b/>
              </w:rPr>
              <w:t>How Evidenced</w:t>
            </w:r>
          </w:p>
        </w:tc>
      </w:tr>
      <w:tr w:rsidR="000C099C" w14:paraId="61F29DE3" w14:textId="77777777">
        <w:tc>
          <w:tcPr>
            <w:tcW w:w="828" w:type="dxa"/>
            <w:tcBorders>
              <w:top w:val="nil"/>
            </w:tcBorders>
          </w:tcPr>
          <w:p w14:paraId="090A120B" w14:textId="77777777" w:rsidR="000C099C" w:rsidRDefault="000C099C">
            <w:r>
              <w:t>x</w:t>
            </w:r>
          </w:p>
        </w:tc>
        <w:tc>
          <w:tcPr>
            <w:tcW w:w="4320" w:type="dxa"/>
            <w:tcBorders>
              <w:top w:val="nil"/>
            </w:tcBorders>
          </w:tcPr>
          <w:p w14:paraId="6262EAAA" w14:textId="77777777" w:rsidR="000C099C" w:rsidRDefault="000C099C">
            <w:r>
              <w:t>Organization of a Supervisory System for Options - 2860(20)</w:t>
            </w:r>
          </w:p>
        </w:tc>
        <w:bookmarkStart w:id="356" w:name="OLE_LINK1"/>
        <w:bookmarkStart w:id="357" w:name="OLE_LINK2"/>
        <w:tc>
          <w:tcPr>
            <w:tcW w:w="720" w:type="dxa"/>
            <w:tcBorders>
              <w:top w:val="nil"/>
            </w:tcBorders>
          </w:tcPr>
          <w:p w14:paraId="07D15E38" w14:textId="77777777" w:rsidR="000C099C" w:rsidRDefault="003800DB">
            <w:r>
              <w:fldChar w:fldCharType="begin"/>
            </w:r>
            <w:r w:rsidR="000C099C">
              <w:instrText xml:space="preserve"> HYPERLINK  \l "Options" </w:instrText>
            </w:r>
            <w:r>
              <w:fldChar w:fldCharType="separate"/>
            </w:r>
            <w:r w:rsidR="000C099C">
              <w:rPr>
                <w:rStyle w:val="Hyperlink"/>
              </w:rPr>
              <w:t>109</w:t>
            </w:r>
            <w:r>
              <w:fldChar w:fldCharType="end"/>
            </w:r>
            <w:bookmarkEnd w:id="356"/>
            <w:bookmarkEnd w:id="357"/>
          </w:p>
        </w:tc>
        <w:tc>
          <w:tcPr>
            <w:tcW w:w="810" w:type="dxa"/>
            <w:tcBorders>
              <w:top w:val="nil"/>
            </w:tcBorders>
          </w:tcPr>
          <w:p w14:paraId="06183163" w14:textId="77777777" w:rsidR="000C099C" w:rsidRDefault="000C099C">
            <w:r>
              <w:t>x</w:t>
            </w:r>
          </w:p>
        </w:tc>
        <w:tc>
          <w:tcPr>
            <w:tcW w:w="813" w:type="dxa"/>
            <w:tcBorders>
              <w:top w:val="nil"/>
            </w:tcBorders>
          </w:tcPr>
          <w:p w14:paraId="692B486D" w14:textId="77777777" w:rsidR="000C099C" w:rsidRDefault="000C099C">
            <w:r>
              <w:t>x</w:t>
            </w:r>
          </w:p>
        </w:tc>
        <w:tc>
          <w:tcPr>
            <w:tcW w:w="852" w:type="dxa"/>
            <w:tcBorders>
              <w:top w:val="nil"/>
            </w:tcBorders>
          </w:tcPr>
          <w:p w14:paraId="3C8676E8" w14:textId="77777777" w:rsidR="000C099C" w:rsidRDefault="000C099C">
            <w:r>
              <w:t>x</w:t>
            </w:r>
          </w:p>
        </w:tc>
        <w:tc>
          <w:tcPr>
            <w:tcW w:w="1249" w:type="dxa"/>
            <w:tcBorders>
              <w:top w:val="nil"/>
            </w:tcBorders>
          </w:tcPr>
          <w:p w14:paraId="0D8C7F0C" w14:textId="77777777" w:rsidR="000C099C" w:rsidRDefault="000C099C">
            <w:r>
              <w:t>x</w:t>
            </w:r>
          </w:p>
        </w:tc>
      </w:tr>
      <w:tr w:rsidR="000C099C" w14:paraId="7F7A7E5A" w14:textId="77777777">
        <w:tc>
          <w:tcPr>
            <w:tcW w:w="828" w:type="dxa"/>
          </w:tcPr>
          <w:p w14:paraId="33A005F3" w14:textId="77777777" w:rsidR="000C099C" w:rsidRDefault="000C099C">
            <w:r>
              <w:t>x</w:t>
            </w:r>
          </w:p>
        </w:tc>
        <w:tc>
          <w:tcPr>
            <w:tcW w:w="4320" w:type="dxa"/>
          </w:tcPr>
          <w:p w14:paraId="1D11181E" w14:textId="77777777" w:rsidR="000C099C" w:rsidRDefault="000C099C">
            <w:r>
              <w:t xml:space="preserve">Qualification and Registration of Options Personnel - IM 1022-1, </w:t>
            </w:r>
            <w:r w:rsidRPr="00470C84">
              <w:t xml:space="preserve">FINRA </w:t>
            </w:r>
            <w:r>
              <w:t>By-Laws, Article III, Section 1</w:t>
            </w:r>
          </w:p>
        </w:tc>
        <w:tc>
          <w:tcPr>
            <w:tcW w:w="720" w:type="dxa"/>
          </w:tcPr>
          <w:p w14:paraId="33D6EC66" w14:textId="77777777" w:rsidR="000C099C" w:rsidRDefault="000C099C">
            <w:r>
              <w:t>2</w:t>
            </w:r>
          </w:p>
        </w:tc>
        <w:tc>
          <w:tcPr>
            <w:tcW w:w="810" w:type="dxa"/>
          </w:tcPr>
          <w:p w14:paraId="5737D30E" w14:textId="77777777" w:rsidR="000C099C" w:rsidRDefault="000C099C">
            <w:r>
              <w:t>x</w:t>
            </w:r>
          </w:p>
        </w:tc>
        <w:tc>
          <w:tcPr>
            <w:tcW w:w="813" w:type="dxa"/>
          </w:tcPr>
          <w:p w14:paraId="13A89D4D" w14:textId="77777777" w:rsidR="000C099C" w:rsidRDefault="000C099C">
            <w:r>
              <w:t>x</w:t>
            </w:r>
          </w:p>
        </w:tc>
        <w:tc>
          <w:tcPr>
            <w:tcW w:w="852" w:type="dxa"/>
          </w:tcPr>
          <w:p w14:paraId="46A744F3" w14:textId="77777777" w:rsidR="000C099C" w:rsidRDefault="000C099C">
            <w:r>
              <w:t>x</w:t>
            </w:r>
          </w:p>
        </w:tc>
        <w:tc>
          <w:tcPr>
            <w:tcW w:w="1249" w:type="dxa"/>
          </w:tcPr>
          <w:p w14:paraId="1A0CFE0A" w14:textId="77777777" w:rsidR="000C099C" w:rsidRDefault="000C099C">
            <w:r>
              <w:t>x</w:t>
            </w:r>
          </w:p>
        </w:tc>
      </w:tr>
      <w:tr w:rsidR="000C099C" w14:paraId="186364E2" w14:textId="77777777">
        <w:tc>
          <w:tcPr>
            <w:tcW w:w="828" w:type="dxa"/>
          </w:tcPr>
          <w:p w14:paraId="194E2FCB" w14:textId="77777777" w:rsidR="000C099C" w:rsidRDefault="000C099C">
            <w:r>
              <w:t>x</w:t>
            </w:r>
          </w:p>
        </w:tc>
        <w:tc>
          <w:tcPr>
            <w:tcW w:w="4320" w:type="dxa"/>
          </w:tcPr>
          <w:p w14:paraId="678C4434" w14:textId="77777777" w:rsidR="000C099C" w:rsidRDefault="000C099C">
            <w:r>
              <w:t>Approving Customers for Options Transactions - 2860(11) &amp; (16), IM 2860-2, 2510</w:t>
            </w:r>
          </w:p>
        </w:tc>
        <w:tc>
          <w:tcPr>
            <w:tcW w:w="720" w:type="dxa"/>
          </w:tcPr>
          <w:p w14:paraId="0B216758" w14:textId="77777777" w:rsidR="000C099C" w:rsidRDefault="00D6319C">
            <w:hyperlink w:anchor="Options" w:history="1">
              <w:r w:rsidR="000C099C">
                <w:rPr>
                  <w:rStyle w:val="Hyperlink"/>
                </w:rPr>
                <w:t>109</w:t>
              </w:r>
            </w:hyperlink>
          </w:p>
        </w:tc>
        <w:tc>
          <w:tcPr>
            <w:tcW w:w="810" w:type="dxa"/>
          </w:tcPr>
          <w:p w14:paraId="1B865664" w14:textId="77777777" w:rsidR="000C099C" w:rsidRDefault="000C099C">
            <w:r>
              <w:t>x</w:t>
            </w:r>
          </w:p>
        </w:tc>
        <w:tc>
          <w:tcPr>
            <w:tcW w:w="813" w:type="dxa"/>
          </w:tcPr>
          <w:p w14:paraId="0BACEF62" w14:textId="77777777" w:rsidR="000C099C" w:rsidRDefault="000C099C">
            <w:r>
              <w:t>x</w:t>
            </w:r>
          </w:p>
        </w:tc>
        <w:tc>
          <w:tcPr>
            <w:tcW w:w="852" w:type="dxa"/>
          </w:tcPr>
          <w:p w14:paraId="046826CC" w14:textId="77777777" w:rsidR="000C099C" w:rsidRDefault="000C099C">
            <w:r>
              <w:t>x</w:t>
            </w:r>
          </w:p>
        </w:tc>
        <w:tc>
          <w:tcPr>
            <w:tcW w:w="1249" w:type="dxa"/>
          </w:tcPr>
          <w:p w14:paraId="2AA50952" w14:textId="77777777" w:rsidR="000C099C" w:rsidRDefault="000C099C">
            <w:r>
              <w:t>x</w:t>
            </w:r>
          </w:p>
        </w:tc>
      </w:tr>
      <w:tr w:rsidR="000C099C" w14:paraId="41AB87F0" w14:textId="77777777">
        <w:tc>
          <w:tcPr>
            <w:tcW w:w="828" w:type="dxa"/>
          </w:tcPr>
          <w:p w14:paraId="382200A1" w14:textId="77777777" w:rsidR="000C099C" w:rsidRDefault="000C099C">
            <w:r>
              <w:t>x</w:t>
            </w:r>
          </w:p>
        </w:tc>
        <w:tc>
          <w:tcPr>
            <w:tcW w:w="4320" w:type="dxa"/>
          </w:tcPr>
          <w:p w14:paraId="0B7EE1C1" w14:textId="77777777" w:rsidR="000C099C" w:rsidRDefault="000C099C">
            <w:r>
              <w:t>Processing Customer Options Transactions - 2860(3), (4), (6), (12), (19), IM 2860-1</w:t>
            </w:r>
          </w:p>
        </w:tc>
        <w:tc>
          <w:tcPr>
            <w:tcW w:w="720" w:type="dxa"/>
          </w:tcPr>
          <w:p w14:paraId="1DA7649C" w14:textId="77777777" w:rsidR="000C099C" w:rsidRDefault="00D6319C">
            <w:hyperlink w:anchor="Options" w:history="1">
              <w:r w:rsidR="000C099C">
                <w:rPr>
                  <w:rStyle w:val="Hyperlink"/>
                </w:rPr>
                <w:t>109</w:t>
              </w:r>
            </w:hyperlink>
          </w:p>
        </w:tc>
        <w:tc>
          <w:tcPr>
            <w:tcW w:w="810" w:type="dxa"/>
          </w:tcPr>
          <w:p w14:paraId="39CB70B1" w14:textId="77777777" w:rsidR="000C099C" w:rsidRDefault="000C099C">
            <w:r>
              <w:t>X</w:t>
            </w:r>
          </w:p>
        </w:tc>
        <w:tc>
          <w:tcPr>
            <w:tcW w:w="813" w:type="dxa"/>
          </w:tcPr>
          <w:p w14:paraId="4CAEFCBC" w14:textId="77777777" w:rsidR="000C099C" w:rsidRDefault="000C099C">
            <w:r>
              <w:t>x</w:t>
            </w:r>
          </w:p>
        </w:tc>
        <w:tc>
          <w:tcPr>
            <w:tcW w:w="852" w:type="dxa"/>
          </w:tcPr>
          <w:p w14:paraId="7022883E" w14:textId="77777777" w:rsidR="000C099C" w:rsidRDefault="000C099C">
            <w:r>
              <w:t>x</w:t>
            </w:r>
          </w:p>
        </w:tc>
        <w:tc>
          <w:tcPr>
            <w:tcW w:w="1249" w:type="dxa"/>
          </w:tcPr>
          <w:p w14:paraId="77D1AB74" w14:textId="77777777" w:rsidR="000C099C" w:rsidRDefault="000C099C">
            <w:r>
              <w:t>x</w:t>
            </w:r>
          </w:p>
        </w:tc>
      </w:tr>
      <w:tr w:rsidR="000C099C" w14:paraId="4B6C8DB6" w14:textId="77777777">
        <w:tc>
          <w:tcPr>
            <w:tcW w:w="828" w:type="dxa"/>
          </w:tcPr>
          <w:p w14:paraId="6C8AD355" w14:textId="77777777" w:rsidR="000C099C" w:rsidRDefault="000C099C">
            <w:r>
              <w:t>x</w:t>
            </w:r>
          </w:p>
        </w:tc>
        <w:tc>
          <w:tcPr>
            <w:tcW w:w="4320" w:type="dxa"/>
          </w:tcPr>
          <w:p w14:paraId="24DA5938" w14:textId="77777777" w:rsidR="000C099C" w:rsidRDefault="000C099C">
            <w:r>
              <w:t>Supervision of Options Activity – 2860(20)</w:t>
            </w:r>
          </w:p>
        </w:tc>
        <w:tc>
          <w:tcPr>
            <w:tcW w:w="720" w:type="dxa"/>
          </w:tcPr>
          <w:p w14:paraId="679D7E33" w14:textId="77777777" w:rsidR="000C099C" w:rsidRDefault="00D6319C">
            <w:hyperlink w:anchor="Options" w:history="1">
              <w:r w:rsidR="000C099C">
                <w:rPr>
                  <w:rStyle w:val="Hyperlink"/>
                </w:rPr>
                <w:t>109</w:t>
              </w:r>
            </w:hyperlink>
          </w:p>
        </w:tc>
        <w:tc>
          <w:tcPr>
            <w:tcW w:w="810" w:type="dxa"/>
          </w:tcPr>
          <w:p w14:paraId="1FFF67F6" w14:textId="77777777" w:rsidR="000C099C" w:rsidRDefault="000C099C">
            <w:r>
              <w:t>X</w:t>
            </w:r>
          </w:p>
        </w:tc>
        <w:tc>
          <w:tcPr>
            <w:tcW w:w="813" w:type="dxa"/>
          </w:tcPr>
          <w:p w14:paraId="2443FE64" w14:textId="77777777" w:rsidR="000C099C" w:rsidRDefault="000C099C">
            <w:r>
              <w:t>x</w:t>
            </w:r>
          </w:p>
        </w:tc>
        <w:tc>
          <w:tcPr>
            <w:tcW w:w="852" w:type="dxa"/>
          </w:tcPr>
          <w:p w14:paraId="5F831ABE" w14:textId="77777777" w:rsidR="000C099C" w:rsidRDefault="000C099C">
            <w:r>
              <w:t>x</w:t>
            </w:r>
          </w:p>
        </w:tc>
        <w:tc>
          <w:tcPr>
            <w:tcW w:w="1249" w:type="dxa"/>
          </w:tcPr>
          <w:p w14:paraId="43A5D1C0" w14:textId="77777777" w:rsidR="000C099C" w:rsidRDefault="000C099C">
            <w:r>
              <w:t>x</w:t>
            </w:r>
          </w:p>
        </w:tc>
      </w:tr>
      <w:tr w:rsidR="000C099C" w14:paraId="117FE5BB" w14:textId="77777777">
        <w:tc>
          <w:tcPr>
            <w:tcW w:w="828" w:type="dxa"/>
          </w:tcPr>
          <w:p w14:paraId="1E856C97" w14:textId="77777777" w:rsidR="000C099C" w:rsidRDefault="000C099C">
            <w:r>
              <w:t>x</w:t>
            </w:r>
          </w:p>
        </w:tc>
        <w:tc>
          <w:tcPr>
            <w:tcW w:w="4320" w:type="dxa"/>
          </w:tcPr>
          <w:p w14:paraId="7FA39ECA" w14:textId="77777777" w:rsidR="000C099C" w:rsidRDefault="000C099C">
            <w:r>
              <w:t>Operational and Recordkeeping Consideration for Options - 2860(3), (4), (5), (11), &amp; (17)</w:t>
            </w:r>
          </w:p>
        </w:tc>
        <w:tc>
          <w:tcPr>
            <w:tcW w:w="720" w:type="dxa"/>
          </w:tcPr>
          <w:p w14:paraId="430FA597" w14:textId="77777777" w:rsidR="000C099C" w:rsidRDefault="00D6319C">
            <w:hyperlink w:anchor="OptionsRecords" w:history="1">
              <w:r w:rsidR="000C099C">
                <w:rPr>
                  <w:rStyle w:val="Hyperlink"/>
                </w:rPr>
                <w:t>56</w:t>
              </w:r>
            </w:hyperlink>
          </w:p>
        </w:tc>
        <w:tc>
          <w:tcPr>
            <w:tcW w:w="810" w:type="dxa"/>
          </w:tcPr>
          <w:p w14:paraId="4A507596" w14:textId="77777777" w:rsidR="000C099C" w:rsidRDefault="000C099C">
            <w:r>
              <w:t>x</w:t>
            </w:r>
          </w:p>
        </w:tc>
        <w:tc>
          <w:tcPr>
            <w:tcW w:w="813" w:type="dxa"/>
          </w:tcPr>
          <w:p w14:paraId="0BBBCC45" w14:textId="77777777" w:rsidR="000C099C" w:rsidRDefault="000C099C">
            <w:r>
              <w:t>x</w:t>
            </w:r>
          </w:p>
        </w:tc>
        <w:tc>
          <w:tcPr>
            <w:tcW w:w="852" w:type="dxa"/>
          </w:tcPr>
          <w:p w14:paraId="3E981F33" w14:textId="77777777" w:rsidR="000C099C" w:rsidRDefault="000C099C">
            <w:r>
              <w:t>x</w:t>
            </w:r>
          </w:p>
        </w:tc>
        <w:tc>
          <w:tcPr>
            <w:tcW w:w="1249" w:type="dxa"/>
          </w:tcPr>
          <w:p w14:paraId="6CF1C0D7" w14:textId="77777777" w:rsidR="000C099C" w:rsidRDefault="000C099C">
            <w:r>
              <w:t>x</w:t>
            </w:r>
          </w:p>
        </w:tc>
      </w:tr>
      <w:tr w:rsidR="000C099C" w14:paraId="0F5D2AFC" w14:textId="77777777">
        <w:tc>
          <w:tcPr>
            <w:tcW w:w="828" w:type="dxa"/>
          </w:tcPr>
          <w:p w14:paraId="729CE084" w14:textId="77777777" w:rsidR="000C099C" w:rsidRDefault="000C099C">
            <w:r>
              <w:t>x</w:t>
            </w:r>
          </w:p>
        </w:tc>
        <w:tc>
          <w:tcPr>
            <w:tcW w:w="4320" w:type="dxa"/>
          </w:tcPr>
          <w:p w14:paraId="075E20E4" w14:textId="77777777" w:rsidR="000C099C" w:rsidRDefault="000C099C">
            <w:r>
              <w:t>Advertising and Sales Literature for Options – 2220</w:t>
            </w:r>
          </w:p>
        </w:tc>
        <w:tc>
          <w:tcPr>
            <w:tcW w:w="720" w:type="dxa"/>
          </w:tcPr>
          <w:p w14:paraId="412084E6" w14:textId="77777777" w:rsidR="000C099C" w:rsidRDefault="00D6319C">
            <w:hyperlink w:anchor="OptionsSalesLit" w:history="1">
              <w:r w:rsidR="000C099C">
                <w:rPr>
                  <w:rStyle w:val="Hyperlink"/>
                </w:rPr>
                <w:t>110</w:t>
              </w:r>
            </w:hyperlink>
          </w:p>
        </w:tc>
        <w:tc>
          <w:tcPr>
            <w:tcW w:w="810" w:type="dxa"/>
          </w:tcPr>
          <w:p w14:paraId="17973CA1" w14:textId="77777777" w:rsidR="000C099C" w:rsidRDefault="000C099C">
            <w:r>
              <w:t>x</w:t>
            </w:r>
          </w:p>
        </w:tc>
        <w:tc>
          <w:tcPr>
            <w:tcW w:w="813" w:type="dxa"/>
          </w:tcPr>
          <w:p w14:paraId="1FFDB47F" w14:textId="77777777" w:rsidR="000C099C" w:rsidRDefault="000C099C">
            <w:r>
              <w:t>x</w:t>
            </w:r>
          </w:p>
        </w:tc>
        <w:tc>
          <w:tcPr>
            <w:tcW w:w="852" w:type="dxa"/>
          </w:tcPr>
          <w:p w14:paraId="630234F7" w14:textId="77777777" w:rsidR="000C099C" w:rsidRDefault="000C099C">
            <w:r>
              <w:t>x</w:t>
            </w:r>
          </w:p>
        </w:tc>
        <w:tc>
          <w:tcPr>
            <w:tcW w:w="1249" w:type="dxa"/>
          </w:tcPr>
          <w:p w14:paraId="66B6D6D9" w14:textId="77777777" w:rsidR="000C099C" w:rsidRDefault="000C099C">
            <w:r>
              <w:t>x</w:t>
            </w:r>
          </w:p>
        </w:tc>
      </w:tr>
    </w:tbl>
    <w:p w14:paraId="0446CB75" w14:textId="77777777" w:rsidR="000C099C" w:rsidRDefault="000C099C">
      <w:pPr>
        <w:rPr>
          <w:sz w:val="16"/>
        </w:rPr>
      </w:pPr>
    </w:p>
    <w:p w14:paraId="2AF80D0A" w14:textId="77777777" w:rsidR="000C099C" w:rsidRDefault="000C099C">
      <w:pPr>
        <w:rPr>
          <w:sz w:val="16"/>
        </w:rPr>
      </w:pPr>
    </w:p>
    <w:p w14:paraId="091901B1" w14:textId="77777777" w:rsidR="000C099C" w:rsidRPr="00956F08" w:rsidRDefault="000C099C">
      <w:pPr>
        <w:rPr>
          <w:b/>
          <w:i/>
          <w:caps/>
          <w:sz w:val="24"/>
        </w:rPr>
      </w:pPr>
      <w:r w:rsidRPr="00956F08">
        <w:rPr>
          <w:b/>
          <w:caps/>
          <w:sz w:val="24"/>
        </w:rPr>
        <w:t xml:space="preserve">Procedures for Other Products </w:t>
      </w:r>
    </w:p>
    <w:tbl>
      <w:tblPr>
        <w:tblW w:w="95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320"/>
        <w:gridCol w:w="720"/>
        <w:gridCol w:w="810"/>
        <w:gridCol w:w="813"/>
        <w:gridCol w:w="852"/>
        <w:gridCol w:w="1249"/>
      </w:tblGrid>
      <w:tr w:rsidR="000C099C" w14:paraId="102D67D0" w14:textId="77777777">
        <w:tc>
          <w:tcPr>
            <w:tcW w:w="828" w:type="dxa"/>
            <w:tcBorders>
              <w:top w:val="single" w:sz="12" w:space="0" w:color="auto"/>
              <w:bottom w:val="single" w:sz="6" w:space="0" w:color="auto"/>
            </w:tcBorders>
            <w:shd w:val="pct10" w:color="auto" w:fill="auto"/>
          </w:tcPr>
          <w:p w14:paraId="1F629A9A" w14:textId="77777777" w:rsidR="000C099C" w:rsidRDefault="000C099C">
            <w:pPr>
              <w:rPr>
                <w:b/>
              </w:rPr>
            </w:pPr>
            <w:r>
              <w:rPr>
                <w:b/>
              </w:rPr>
              <w:t>OK or N/A</w:t>
            </w:r>
          </w:p>
        </w:tc>
        <w:tc>
          <w:tcPr>
            <w:tcW w:w="4320" w:type="dxa"/>
            <w:tcBorders>
              <w:top w:val="single" w:sz="12" w:space="0" w:color="auto"/>
              <w:bottom w:val="single" w:sz="6" w:space="0" w:color="auto"/>
            </w:tcBorders>
            <w:shd w:val="pct10" w:color="auto" w:fill="auto"/>
          </w:tcPr>
          <w:p w14:paraId="24D1BB5F" w14:textId="77777777" w:rsidR="000C099C" w:rsidRDefault="000C099C">
            <w:pPr>
              <w:jc w:val="center"/>
              <w:rPr>
                <w:b/>
              </w:rPr>
            </w:pPr>
            <w:r>
              <w:rPr>
                <w:b/>
              </w:rPr>
              <w:t>Area of Supervision – Applicable Rule</w:t>
            </w:r>
          </w:p>
        </w:tc>
        <w:tc>
          <w:tcPr>
            <w:tcW w:w="720" w:type="dxa"/>
            <w:tcBorders>
              <w:top w:val="single" w:sz="12" w:space="0" w:color="auto"/>
              <w:bottom w:val="single" w:sz="6" w:space="0" w:color="auto"/>
            </w:tcBorders>
            <w:shd w:val="pct10" w:color="auto" w:fill="auto"/>
          </w:tcPr>
          <w:p w14:paraId="1D0DF28C" w14:textId="77777777" w:rsidR="000C099C" w:rsidRDefault="000C099C">
            <w:pPr>
              <w:rPr>
                <w:b/>
              </w:rPr>
            </w:pPr>
            <w:r>
              <w:rPr>
                <w:b/>
              </w:rPr>
              <w:t>Page No.</w:t>
            </w:r>
          </w:p>
        </w:tc>
        <w:tc>
          <w:tcPr>
            <w:tcW w:w="810" w:type="dxa"/>
            <w:tcBorders>
              <w:top w:val="single" w:sz="12" w:space="0" w:color="auto"/>
              <w:bottom w:val="single" w:sz="6" w:space="0" w:color="auto"/>
            </w:tcBorders>
            <w:shd w:val="pct10" w:color="auto" w:fill="auto"/>
          </w:tcPr>
          <w:p w14:paraId="3B1E9FD4" w14:textId="77777777" w:rsidR="000C099C" w:rsidRDefault="000C099C">
            <w:pPr>
              <w:rPr>
                <w:b/>
              </w:rPr>
            </w:pPr>
            <w:r>
              <w:rPr>
                <w:b/>
              </w:rPr>
              <w:t>Who</w:t>
            </w:r>
          </w:p>
        </w:tc>
        <w:tc>
          <w:tcPr>
            <w:tcW w:w="813" w:type="dxa"/>
            <w:tcBorders>
              <w:top w:val="single" w:sz="12" w:space="0" w:color="auto"/>
              <w:bottom w:val="single" w:sz="6" w:space="0" w:color="auto"/>
            </w:tcBorders>
            <w:shd w:val="pct10" w:color="auto" w:fill="auto"/>
          </w:tcPr>
          <w:p w14:paraId="20E65FFC" w14:textId="77777777" w:rsidR="000C099C" w:rsidRDefault="000C099C">
            <w:pPr>
              <w:rPr>
                <w:b/>
              </w:rPr>
            </w:pPr>
            <w:r>
              <w:rPr>
                <w:b/>
              </w:rPr>
              <w:t>What</w:t>
            </w:r>
          </w:p>
        </w:tc>
        <w:tc>
          <w:tcPr>
            <w:tcW w:w="852" w:type="dxa"/>
            <w:tcBorders>
              <w:top w:val="single" w:sz="12" w:space="0" w:color="auto"/>
              <w:bottom w:val="single" w:sz="6" w:space="0" w:color="auto"/>
            </w:tcBorders>
            <w:shd w:val="pct10" w:color="auto" w:fill="auto"/>
          </w:tcPr>
          <w:p w14:paraId="40FD0377" w14:textId="77777777" w:rsidR="000C099C" w:rsidRDefault="000C099C">
            <w:pPr>
              <w:rPr>
                <w:b/>
              </w:rPr>
            </w:pPr>
            <w:r>
              <w:rPr>
                <w:b/>
              </w:rPr>
              <w:t>When</w:t>
            </w:r>
          </w:p>
        </w:tc>
        <w:tc>
          <w:tcPr>
            <w:tcW w:w="1249" w:type="dxa"/>
            <w:tcBorders>
              <w:top w:val="single" w:sz="12" w:space="0" w:color="auto"/>
              <w:bottom w:val="single" w:sz="6" w:space="0" w:color="auto"/>
            </w:tcBorders>
            <w:shd w:val="pct10" w:color="auto" w:fill="auto"/>
          </w:tcPr>
          <w:p w14:paraId="457AB98E" w14:textId="77777777" w:rsidR="000C099C" w:rsidRDefault="000C099C">
            <w:pPr>
              <w:rPr>
                <w:b/>
              </w:rPr>
            </w:pPr>
            <w:r>
              <w:rPr>
                <w:b/>
              </w:rPr>
              <w:t>How Evidenced</w:t>
            </w:r>
          </w:p>
        </w:tc>
      </w:tr>
      <w:tr w:rsidR="000C099C" w14:paraId="2E8F5813" w14:textId="77777777">
        <w:tc>
          <w:tcPr>
            <w:tcW w:w="828" w:type="dxa"/>
            <w:tcBorders>
              <w:top w:val="nil"/>
            </w:tcBorders>
          </w:tcPr>
          <w:p w14:paraId="38F44744" w14:textId="77777777" w:rsidR="000C099C" w:rsidRDefault="000C099C">
            <w:r>
              <w:t>x</w:t>
            </w:r>
          </w:p>
        </w:tc>
        <w:tc>
          <w:tcPr>
            <w:tcW w:w="4320" w:type="dxa"/>
            <w:tcBorders>
              <w:top w:val="nil"/>
            </w:tcBorders>
          </w:tcPr>
          <w:p w14:paraId="0E5ED818" w14:textId="77777777" w:rsidR="000C099C" w:rsidRDefault="000C099C">
            <w:r>
              <w:t>Sale of Designated Securities/Penny Stocks - SEC Rules 15g-2 through 6 &amp; 15g-9, NTMs 93-55, 92-42, &amp;92-38</w:t>
            </w:r>
          </w:p>
        </w:tc>
        <w:tc>
          <w:tcPr>
            <w:tcW w:w="720" w:type="dxa"/>
            <w:tcBorders>
              <w:top w:val="nil"/>
            </w:tcBorders>
          </w:tcPr>
          <w:p w14:paraId="6794C2C5" w14:textId="77777777" w:rsidR="000C099C" w:rsidRDefault="00D6319C">
            <w:hyperlink w:anchor="DesignatedSec" w:history="1">
              <w:r w:rsidR="000C099C">
                <w:rPr>
                  <w:rStyle w:val="Hyperlink"/>
                </w:rPr>
                <w:t>140</w:t>
              </w:r>
            </w:hyperlink>
          </w:p>
        </w:tc>
        <w:tc>
          <w:tcPr>
            <w:tcW w:w="810" w:type="dxa"/>
            <w:tcBorders>
              <w:top w:val="nil"/>
            </w:tcBorders>
          </w:tcPr>
          <w:p w14:paraId="5100E64B" w14:textId="77777777" w:rsidR="000C099C" w:rsidRDefault="000C099C">
            <w:r>
              <w:t>x</w:t>
            </w:r>
          </w:p>
        </w:tc>
        <w:tc>
          <w:tcPr>
            <w:tcW w:w="813" w:type="dxa"/>
            <w:tcBorders>
              <w:top w:val="nil"/>
            </w:tcBorders>
          </w:tcPr>
          <w:p w14:paraId="2A8FA636" w14:textId="77777777" w:rsidR="000C099C" w:rsidRDefault="000C099C">
            <w:r>
              <w:t>x</w:t>
            </w:r>
          </w:p>
        </w:tc>
        <w:tc>
          <w:tcPr>
            <w:tcW w:w="852" w:type="dxa"/>
            <w:tcBorders>
              <w:top w:val="nil"/>
            </w:tcBorders>
          </w:tcPr>
          <w:p w14:paraId="63E82CB9" w14:textId="77777777" w:rsidR="000C099C" w:rsidRDefault="000C099C">
            <w:r>
              <w:t>x</w:t>
            </w:r>
          </w:p>
        </w:tc>
        <w:tc>
          <w:tcPr>
            <w:tcW w:w="1249" w:type="dxa"/>
            <w:tcBorders>
              <w:top w:val="nil"/>
            </w:tcBorders>
          </w:tcPr>
          <w:p w14:paraId="5D089D81" w14:textId="77777777" w:rsidR="000C099C" w:rsidRDefault="000C099C">
            <w:r>
              <w:t>x</w:t>
            </w:r>
          </w:p>
        </w:tc>
      </w:tr>
      <w:tr w:rsidR="000C099C" w14:paraId="5374754A" w14:textId="77777777">
        <w:tc>
          <w:tcPr>
            <w:tcW w:w="828" w:type="dxa"/>
          </w:tcPr>
          <w:p w14:paraId="4C328E31" w14:textId="77777777" w:rsidR="000C099C" w:rsidRDefault="000C099C">
            <w:r>
              <w:t>x</w:t>
            </w:r>
          </w:p>
        </w:tc>
        <w:tc>
          <w:tcPr>
            <w:tcW w:w="4320" w:type="dxa"/>
          </w:tcPr>
          <w:p w14:paraId="4A85DDF8" w14:textId="77777777" w:rsidR="000C099C" w:rsidRDefault="000C099C">
            <w:r>
              <w:t>Variable Contracts - 2820, 3010, 3110, NTM 94-36</w:t>
            </w:r>
          </w:p>
        </w:tc>
        <w:tc>
          <w:tcPr>
            <w:tcW w:w="720" w:type="dxa"/>
          </w:tcPr>
          <w:p w14:paraId="0CA149B7" w14:textId="77777777" w:rsidR="000C099C" w:rsidRDefault="00D6319C">
            <w:hyperlink w:anchor="VAs" w:history="1">
              <w:r w:rsidR="000C099C">
                <w:rPr>
                  <w:rStyle w:val="Hyperlink"/>
                </w:rPr>
                <w:t>144</w:t>
              </w:r>
            </w:hyperlink>
          </w:p>
        </w:tc>
        <w:tc>
          <w:tcPr>
            <w:tcW w:w="810" w:type="dxa"/>
          </w:tcPr>
          <w:p w14:paraId="2295A40F" w14:textId="77777777" w:rsidR="000C099C" w:rsidRDefault="000C099C">
            <w:r>
              <w:t>x</w:t>
            </w:r>
          </w:p>
        </w:tc>
        <w:tc>
          <w:tcPr>
            <w:tcW w:w="813" w:type="dxa"/>
          </w:tcPr>
          <w:p w14:paraId="61C39E3A" w14:textId="77777777" w:rsidR="000C099C" w:rsidRDefault="000C099C">
            <w:r>
              <w:t>x</w:t>
            </w:r>
          </w:p>
        </w:tc>
        <w:tc>
          <w:tcPr>
            <w:tcW w:w="852" w:type="dxa"/>
          </w:tcPr>
          <w:p w14:paraId="2899FB8D" w14:textId="77777777" w:rsidR="000C099C" w:rsidRDefault="000C099C">
            <w:r>
              <w:t>x</w:t>
            </w:r>
          </w:p>
        </w:tc>
        <w:tc>
          <w:tcPr>
            <w:tcW w:w="1249" w:type="dxa"/>
          </w:tcPr>
          <w:p w14:paraId="365419F4" w14:textId="77777777" w:rsidR="000C099C" w:rsidRDefault="000C099C">
            <w:r>
              <w:t>x</w:t>
            </w:r>
          </w:p>
        </w:tc>
      </w:tr>
      <w:tr w:rsidR="000C099C" w14:paraId="7B47A446" w14:textId="77777777">
        <w:tc>
          <w:tcPr>
            <w:tcW w:w="828" w:type="dxa"/>
          </w:tcPr>
          <w:p w14:paraId="35C474F2" w14:textId="77777777" w:rsidR="000C099C" w:rsidRDefault="000C099C">
            <w:r>
              <w:t>x</w:t>
            </w:r>
          </w:p>
        </w:tc>
        <w:tc>
          <w:tcPr>
            <w:tcW w:w="4320" w:type="dxa"/>
          </w:tcPr>
          <w:p w14:paraId="4CC73251" w14:textId="77777777" w:rsidR="000C099C" w:rsidRDefault="000C099C">
            <w:r>
              <w:t>Callable Certificates of Deposit</w:t>
            </w:r>
          </w:p>
        </w:tc>
        <w:tc>
          <w:tcPr>
            <w:tcW w:w="720" w:type="dxa"/>
          </w:tcPr>
          <w:p w14:paraId="10E2356E" w14:textId="77777777" w:rsidR="000C099C" w:rsidRDefault="00D6319C">
            <w:hyperlink w:anchor="CDs" w:history="1">
              <w:r w:rsidR="000C099C">
                <w:rPr>
                  <w:rStyle w:val="Hyperlink"/>
                </w:rPr>
                <w:t>169</w:t>
              </w:r>
            </w:hyperlink>
          </w:p>
        </w:tc>
        <w:tc>
          <w:tcPr>
            <w:tcW w:w="810" w:type="dxa"/>
          </w:tcPr>
          <w:p w14:paraId="512874EF" w14:textId="77777777" w:rsidR="000C099C" w:rsidRDefault="000C099C">
            <w:r>
              <w:t>x</w:t>
            </w:r>
          </w:p>
        </w:tc>
        <w:tc>
          <w:tcPr>
            <w:tcW w:w="813" w:type="dxa"/>
          </w:tcPr>
          <w:p w14:paraId="181AC29A" w14:textId="77777777" w:rsidR="000C099C" w:rsidRDefault="000C099C">
            <w:r>
              <w:t>x</w:t>
            </w:r>
          </w:p>
        </w:tc>
        <w:tc>
          <w:tcPr>
            <w:tcW w:w="852" w:type="dxa"/>
          </w:tcPr>
          <w:p w14:paraId="55A85640" w14:textId="77777777" w:rsidR="000C099C" w:rsidRDefault="000C099C">
            <w:r>
              <w:t>x</w:t>
            </w:r>
          </w:p>
        </w:tc>
        <w:tc>
          <w:tcPr>
            <w:tcW w:w="1249" w:type="dxa"/>
          </w:tcPr>
          <w:p w14:paraId="3601B9F4" w14:textId="77777777" w:rsidR="000C099C" w:rsidRDefault="000C099C">
            <w:r>
              <w:t>x</w:t>
            </w:r>
          </w:p>
        </w:tc>
      </w:tr>
    </w:tbl>
    <w:p w14:paraId="7A241D5B" w14:textId="14C5375D" w:rsidR="00EE6CAA" w:rsidRPr="0015076F" w:rsidRDefault="00EE6CAA" w:rsidP="001F682B">
      <w:pPr>
        <w:jc w:val="right"/>
      </w:pPr>
    </w:p>
    <w:sectPr w:rsidR="00EE6CAA" w:rsidRPr="0015076F" w:rsidSect="0015076F">
      <w:footerReference w:type="default" r:id="rId186"/>
      <w:footerReference w:type="first" r:id="rId187"/>
      <w:pgSz w:w="12240" w:h="15840" w:code="1"/>
      <w:pgMar w:top="1440" w:right="1152" w:bottom="1440"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C218" w14:textId="77777777" w:rsidR="004613CE" w:rsidRDefault="004613CE">
      <w:r>
        <w:separator/>
      </w:r>
    </w:p>
    <w:p w14:paraId="6F29D015" w14:textId="77777777" w:rsidR="004613CE" w:rsidRDefault="004613CE"/>
    <w:p w14:paraId="3220ACC4" w14:textId="77777777" w:rsidR="004613CE" w:rsidRDefault="004613CE"/>
    <w:p w14:paraId="2A90ADDA" w14:textId="77777777" w:rsidR="004613CE" w:rsidRDefault="004613CE"/>
    <w:p w14:paraId="0B6A4516" w14:textId="77777777" w:rsidR="004613CE" w:rsidRDefault="004613CE"/>
  </w:endnote>
  <w:endnote w:type="continuationSeparator" w:id="0">
    <w:p w14:paraId="37E4495A" w14:textId="77777777" w:rsidR="004613CE" w:rsidRDefault="004613CE">
      <w:r>
        <w:continuationSeparator/>
      </w:r>
    </w:p>
    <w:p w14:paraId="4BDEC641" w14:textId="77777777" w:rsidR="004613CE" w:rsidRDefault="004613CE"/>
    <w:p w14:paraId="3C688D2C" w14:textId="77777777" w:rsidR="004613CE" w:rsidRDefault="004613CE"/>
    <w:p w14:paraId="11FC977F" w14:textId="77777777" w:rsidR="004613CE" w:rsidRDefault="004613CE"/>
    <w:p w14:paraId="224C93B1" w14:textId="77777777" w:rsidR="004613CE" w:rsidRDefault="00461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heSans-B4SemiLight">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604C" w14:textId="77777777" w:rsidR="004613CE" w:rsidRDefault="004613CE">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11D9" w14:textId="77777777" w:rsidR="004613CE" w:rsidRDefault="004613CE" w:rsidP="00851A64">
    <w:pPr>
      <w:pStyle w:val="Footer"/>
      <w:jc w:val="center"/>
    </w:pPr>
    <w:r>
      <w:t>I-1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019" w14:textId="77777777" w:rsidR="004613CE" w:rsidRDefault="004613CE">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F331" w14:textId="77777777" w:rsidR="004613CE" w:rsidRDefault="004613CE">
    <w:pPr>
      <w:pStyle w:val="Footer"/>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00F0" w14:textId="77777777" w:rsidR="004613CE" w:rsidRDefault="004613CE">
    <w:pPr>
      <w:pStyle w:val="Footer"/>
      <w:jc w:val="center"/>
    </w:pPr>
    <w:r>
      <w:rPr>
        <w:rStyle w:val="PageNumber"/>
      </w:rPr>
      <w:t>J-</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397AEC87" w14:textId="77777777" w:rsidR="004613CE" w:rsidRDefault="004613CE"/>
  <w:p w14:paraId="3BD0BBC1" w14:textId="77777777" w:rsidR="004613CE" w:rsidRDefault="004613CE"/>
  <w:p w14:paraId="51BFA43E" w14:textId="77777777" w:rsidR="004613CE" w:rsidRDefault="004613C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86D6" w14:textId="77777777" w:rsidR="004613CE" w:rsidRDefault="004613CE" w:rsidP="00851A64">
    <w:pPr>
      <w:pStyle w:val="Footer"/>
      <w:jc w:val="center"/>
    </w:pPr>
    <w:r>
      <w:t>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ACA5" w14:textId="77777777" w:rsidR="004613CE" w:rsidRDefault="004613CE">
      <w:r>
        <w:separator/>
      </w:r>
    </w:p>
    <w:p w14:paraId="6D7527C1" w14:textId="77777777" w:rsidR="004613CE" w:rsidRDefault="004613CE"/>
    <w:p w14:paraId="428313F2" w14:textId="77777777" w:rsidR="004613CE" w:rsidRDefault="004613CE"/>
    <w:p w14:paraId="39A0F611" w14:textId="77777777" w:rsidR="004613CE" w:rsidRDefault="004613CE"/>
    <w:p w14:paraId="6F0CCB21" w14:textId="77777777" w:rsidR="004613CE" w:rsidRDefault="004613CE"/>
  </w:footnote>
  <w:footnote w:type="continuationSeparator" w:id="0">
    <w:p w14:paraId="32AEB3B4" w14:textId="77777777" w:rsidR="004613CE" w:rsidRDefault="004613CE">
      <w:r>
        <w:continuationSeparator/>
      </w:r>
    </w:p>
    <w:p w14:paraId="7330D2CF" w14:textId="77777777" w:rsidR="004613CE" w:rsidRDefault="004613CE"/>
    <w:p w14:paraId="331447E9" w14:textId="77777777" w:rsidR="004613CE" w:rsidRDefault="004613CE"/>
    <w:p w14:paraId="2C178119" w14:textId="77777777" w:rsidR="004613CE" w:rsidRDefault="004613CE"/>
    <w:p w14:paraId="1CC0728D" w14:textId="77777777" w:rsidR="004613CE" w:rsidRDefault="00461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9568" w14:textId="41691D53" w:rsidR="004613CE" w:rsidRDefault="004613CE">
    <w:pPr>
      <w:pStyle w:val="Header"/>
    </w:pPr>
    <w:r>
      <w:t xml:space="preserve">Copy Date: </w:t>
    </w:r>
    <w:r w:rsidR="00D84639">
      <w:t xml:space="preserve"> </w:t>
    </w:r>
    <w:r w:rsidR="00E30F1A">
      <w:t>12/21/22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9"/>
    <w:multiLevelType w:val="singleLevel"/>
    <w:tmpl w:val="23B66C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5FA251E"/>
    <w:lvl w:ilvl="0">
      <w:numFmt w:val="bullet"/>
      <w:lvlText w:val="*"/>
      <w:lvlJc w:val="left"/>
    </w:lvl>
  </w:abstractNum>
  <w:abstractNum w:abstractNumId="2" w15:restartNumberingAfterBreak="0">
    <w:nsid w:val="000567F2"/>
    <w:multiLevelType w:val="hybridMultilevel"/>
    <w:tmpl w:val="92A8C97E"/>
    <w:lvl w:ilvl="0" w:tplc="7DFA7C7A">
      <w:start w:val="1"/>
      <w:numFmt w:val="bullet"/>
      <w:lvlText w:val=""/>
      <w:lvlJc w:val="left"/>
      <w:pPr>
        <w:ind w:left="994" w:hanging="360"/>
      </w:pPr>
      <w:rPr>
        <w:rFonts w:ascii="Symbol" w:hAnsi="Symbol" w:hint="default"/>
        <w:sz w:val="20"/>
        <w:szCs w:val="20"/>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15:restartNumberingAfterBreak="0">
    <w:nsid w:val="00085DA0"/>
    <w:multiLevelType w:val="multilevel"/>
    <w:tmpl w:val="F504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090E9A"/>
    <w:multiLevelType w:val="hybridMultilevel"/>
    <w:tmpl w:val="2DD0123E"/>
    <w:lvl w:ilvl="0" w:tplc="F7CE29FA">
      <w:start w:val="1"/>
      <w:numFmt w:val="bullet"/>
      <w:lvlText w:val=""/>
      <w:lvlJc w:val="left"/>
      <w:pPr>
        <w:ind w:left="2227"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1CC2BB56">
      <w:start w:val="1"/>
      <w:numFmt w:val="bullet"/>
      <w:lvlText w:val=""/>
      <w:lvlJc w:val="left"/>
      <w:pPr>
        <w:ind w:left="2880" w:hanging="360"/>
      </w:pPr>
      <w:rPr>
        <w:rFonts w:ascii="Symbol" w:hAnsi="Symbol"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0E15F0C"/>
    <w:multiLevelType w:val="multilevel"/>
    <w:tmpl w:val="3F24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1A62B5"/>
    <w:multiLevelType w:val="multilevel"/>
    <w:tmpl w:val="F13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64663"/>
    <w:multiLevelType w:val="hybridMultilevel"/>
    <w:tmpl w:val="969A15E4"/>
    <w:lvl w:ilvl="0" w:tplc="32F2C5FC">
      <w:start w:val="1"/>
      <w:numFmt w:val="bullet"/>
      <w:lvlText w:val=""/>
      <w:lvlJc w:val="left"/>
      <w:pPr>
        <w:ind w:left="990" w:hanging="360"/>
      </w:pPr>
      <w:rPr>
        <w:rFonts w:ascii="Symbol" w:hAnsi="Symbol" w:hint="default"/>
        <w:color w:val="auto"/>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153041C"/>
    <w:multiLevelType w:val="multilevel"/>
    <w:tmpl w:val="C824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636F96"/>
    <w:multiLevelType w:val="multilevel"/>
    <w:tmpl w:val="237C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B9492A"/>
    <w:multiLevelType w:val="multilevel"/>
    <w:tmpl w:val="0420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E4AC2"/>
    <w:multiLevelType w:val="multilevel"/>
    <w:tmpl w:val="5E1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2D19BE"/>
    <w:multiLevelType w:val="hybridMultilevel"/>
    <w:tmpl w:val="A6E2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664381"/>
    <w:multiLevelType w:val="multilevel"/>
    <w:tmpl w:val="E94E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2761CA9"/>
    <w:multiLevelType w:val="multilevel"/>
    <w:tmpl w:val="47FA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935F2E"/>
    <w:multiLevelType w:val="hybridMultilevel"/>
    <w:tmpl w:val="418A9F62"/>
    <w:lvl w:ilvl="0" w:tplc="12E0854E">
      <w:start w:val="1"/>
      <w:numFmt w:val="decimal"/>
      <w:lvlText w:val="%1."/>
      <w:lvlJc w:val="left"/>
      <w:pPr>
        <w:ind w:left="99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029379DE"/>
    <w:multiLevelType w:val="multilevel"/>
    <w:tmpl w:val="94F2700A"/>
    <w:lvl w:ilvl="0">
      <w:start w:val="1"/>
      <w:numFmt w:val="decimal"/>
      <w:lvlText w:val="%1."/>
      <w:lvlJc w:val="left"/>
      <w:pPr>
        <w:ind w:left="990" w:hanging="360"/>
      </w:pPr>
    </w:lvl>
    <w:lvl w:ilvl="1">
      <w:start w:val="39"/>
      <w:numFmt w:val="decimal"/>
      <w:isLgl/>
      <w:lvlText w:val="%1.%2"/>
      <w:lvlJc w:val="left"/>
      <w:pPr>
        <w:ind w:left="1290" w:hanging="66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17" w15:restartNumberingAfterBreak="0">
    <w:nsid w:val="02A82474"/>
    <w:multiLevelType w:val="multilevel"/>
    <w:tmpl w:val="49B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38B221D"/>
    <w:multiLevelType w:val="multilevel"/>
    <w:tmpl w:val="AFD8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3D65F8B"/>
    <w:multiLevelType w:val="multilevel"/>
    <w:tmpl w:val="2B48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41302A3"/>
    <w:multiLevelType w:val="hybridMultilevel"/>
    <w:tmpl w:val="C9E284E2"/>
    <w:lvl w:ilvl="0" w:tplc="89FC1722">
      <w:start w:val="1"/>
      <w:numFmt w:val="bullet"/>
      <w:lvlText w:val=""/>
      <w:lvlJc w:val="left"/>
      <w:pPr>
        <w:ind w:left="1294" w:hanging="360"/>
      </w:pPr>
      <w:rPr>
        <w:rFonts w:ascii="Symbol" w:hAnsi="Symbol" w:hint="default"/>
        <w:sz w:val="20"/>
        <w:szCs w:val="20"/>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15:restartNumberingAfterBreak="0">
    <w:nsid w:val="048F1F65"/>
    <w:multiLevelType w:val="hybridMultilevel"/>
    <w:tmpl w:val="3C4E0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555383E"/>
    <w:multiLevelType w:val="hybridMultilevel"/>
    <w:tmpl w:val="4344E3D6"/>
    <w:lvl w:ilvl="0" w:tplc="FF90F3D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6006547"/>
    <w:multiLevelType w:val="multilevel"/>
    <w:tmpl w:val="6578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69D66E4"/>
    <w:multiLevelType w:val="multilevel"/>
    <w:tmpl w:val="F02A37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6B32D59"/>
    <w:multiLevelType w:val="hybridMultilevel"/>
    <w:tmpl w:val="7B56116A"/>
    <w:lvl w:ilvl="0" w:tplc="5A6417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E113A9"/>
    <w:multiLevelType w:val="multilevel"/>
    <w:tmpl w:val="D92A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6E2466A"/>
    <w:multiLevelType w:val="hybridMultilevel"/>
    <w:tmpl w:val="7B0AB880"/>
    <w:lvl w:ilvl="0" w:tplc="954604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8054853"/>
    <w:multiLevelType w:val="hybridMultilevel"/>
    <w:tmpl w:val="B9BCEF72"/>
    <w:lvl w:ilvl="0" w:tplc="C95EB3B0">
      <w:start w:val="1"/>
      <w:numFmt w:val="bullet"/>
      <w:lvlText w:val=""/>
      <w:lvlJc w:val="left"/>
      <w:pPr>
        <w:ind w:left="1055" w:hanging="360"/>
      </w:pPr>
      <w:rPr>
        <w:rFonts w:ascii="Symbol" w:hAnsi="Symbol" w:hint="default"/>
        <w:sz w:val="20"/>
        <w:szCs w:val="20"/>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9" w15:restartNumberingAfterBreak="0">
    <w:nsid w:val="08166227"/>
    <w:multiLevelType w:val="multilevel"/>
    <w:tmpl w:val="9008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500731"/>
    <w:multiLevelType w:val="multilevel"/>
    <w:tmpl w:val="3712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794CA9"/>
    <w:multiLevelType w:val="multilevel"/>
    <w:tmpl w:val="4516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8B12543"/>
    <w:multiLevelType w:val="hybridMultilevel"/>
    <w:tmpl w:val="77A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9250D4E"/>
    <w:multiLevelType w:val="hybridMultilevel"/>
    <w:tmpl w:val="1F5C5104"/>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802C4A"/>
    <w:multiLevelType w:val="multilevel"/>
    <w:tmpl w:val="BC74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E2416D"/>
    <w:multiLevelType w:val="multilevel"/>
    <w:tmpl w:val="7A62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5C1485"/>
    <w:multiLevelType w:val="hybridMultilevel"/>
    <w:tmpl w:val="30AA77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0ABA2123"/>
    <w:multiLevelType w:val="hybridMultilevel"/>
    <w:tmpl w:val="5FCA3DAE"/>
    <w:lvl w:ilvl="0" w:tplc="753C0AD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0C137301"/>
    <w:multiLevelType w:val="hybridMultilevel"/>
    <w:tmpl w:val="7E18E12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0CC338FA"/>
    <w:multiLevelType w:val="hybridMultilevel"/>
    <w:tmpl w:val="103AC52C"/>
    <w:lvl w:ilvl="0" w:tplc="CB0637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CC75630"/>
    <w:multiLevelType w:val="hybridMultilevel"/>
    <w:tmpl w:val="3356B504"/>
    <w:lvl w:ilvl="0" w:tplc="DF50ACC0">
      <w:start w:val="1"/>
      <w:numFmt w:val="bullet"/>
      <w:lvlText w:val=""/>
      <w:lvlJc w:val="left"/>
      <w:pPr>
        <w:ind w:left="1890" w:hanging="360"/>
      </w:pPr>
      <w:rPr>
        <w:rFonts w:ascii="Symbol" w:hAnsi="Symbol" w:hint="default"/>
        <w:sz w:val="20"/>
        <w:szCs w:val="2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15:restartNumberingAfterBreak="0">
    <w:nsid w:val="0D57772B"/>
    <w:multiLevelType w:val="hybridMultilevel"/>
    <w:tmpl w:val="228497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0D5C2CD2"/>
    <w:multiLevelType w:val="hybridMultilevel"/>
    <w:tmpl w:val="5D366E98"/>
    <w:lvl w:ilvl="0" w:tplc="014C1C70">
      <w:start w:val="1"/>
      <w:numFmt w:val="bullet"/>
      <w:lvlText w:val=""/>
      <w:lvlJc w:val="left"/>
      <w:pPr>
        <w:ind w:left="162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0D8D1ACA"/>
    <w:multiLevelType w:val="hybridMultilevel"/>
    <w:tmpl w:val="C9CE97C6"/>
    <w:lvl w:ilvl="0" w:tplc="C81C69F0">
      <w:start w:val="1"/>
      <w:numFmt w:val="bullet"/>
      <w:lvlText w:val=""/>
      <w:lvlJc w:val="left"/>
      <w:pPr>
        <w:ind w:left="135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0D9B2B9F"/>
    <w:multiLevelType w:val="multilevel"/>
    <w:tmpl w:val="56789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DDC553A"/>
    <w:multiLevelType w:val="multilevel"/>
    <w:tmpl w:val="ADA067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0E69003F"/>
    <w:multiLevelType w:val="multilevel"/>
    <w:tmpl w:val="1CA6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E753FBF"/>
    <w:multiLevelType w:val="multilevel"/>
    <w:tmpl w:val="8010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ED41898"/>
    <w:multiLevelType w:val="multilevel"/>
    <w:tmpl w:val="51BC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F18392B"/>
    <w:multiLevelType w:val="hybridMultilevel"/>
    <w:tmpl w:val="62805784"/>
    <w:lvl w:ilvl="0" w:tplc="C178BA2A">
      <w:start w:val="1"/>
      <w:numFmt w:val="bullet"/>
      <w:lvlText w:val=""/>
      <w:lvlJc w:val="left"/>
      <w:pPr>
        <w:ind w:left="990" w:hanging="360"/>
      </w:pPr>
      <w:rPr>
        <w:rFonts w:ascii="Symbol" w:hAnsi="Symbol"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0F29576F"/>
    <w:multiLevelType w:val="multilevel"/>
    <w:tmpl w:val="11D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F304ACC"/>
    <w:multiLevelType w:val="multilevel"/>
    <w:tmpl w:val="B15CA1F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F5A2654"/>
    <w:multiLevelType w:val="multilevel"/>
    <w:tmpl w:val="4318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0194FDA"/>
    <w:multiLevelType w:val="multilevel"/>
    <w:tmpl w:val="F782D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01B1364"/>
    <w:multiLevelType w:val="hybridMultilevel"/>
    <w:tmpl w:val="ED80D212"/>
    <w:lvl w:ilvl="0" w:tplc="BB7AD2F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5" w15:restartNumberingAfterBreak="0">
    <w:nsid w:val="1050771D"/>
    <w:multiLevelType w:val="hybridMultilevel"/>
    <w:tmpl w:val="DE8C583E"/>
    <w:lvl w:ilvl="0" w:tplc="76229B2E">
      <w:start w:val="45"/>
      <w:numFmt w:val="decimal"/>
      <w:lvlText w:val="%1."/>
      <w:lvlJc w:val="left"/>
      <w:pPr>
        <w:tabs>
          <w:tab w:val="num" w:pos="780"/>
        </w:tabs>
        <w:ind w:left="780" w:hanging="420"/>
      </w:pPr>
      <w:rPr>
        <w:rFonts w:hint="default"/>
      </w:rPr>
    </w:lvl>
    <w:lvl w:ilvl="1" w:tplc="BB509C52">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9E4257"/>
    <w:multiLevelType w:val="hybridMultilevel"/>
    <w:tmpl w:val="8F48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10341F1"/>
    <w:multiLevelType w:val="multilevel"/>
    <w:tmpl w:val="D7A6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1162933"/>
    <w:multiLevelType w:val="multilevel"/>
    <w:tmpl w:val="9320CEBE"/>
    <w:lvl w:ilvl="0">
      <w:start w:val="1"/>
      <w:numFmt w:val="bullet"/>
      <w:lvlText w:val=""/>
      <w:lvlJc w:val="left"/>
      <w:pPr>
        <w:tabs>
          <w:tab w:val="num" w:pos="720"/>
        </w:tabs>
        <w:ind w:left="720" w:hanging="360"/>
      </w:pPr>
      <w:rPr>
        <w:rFonts w:ascii="Symbol" w:hAnsi="Symbol" w:hint="default"/>
        <w:color w:val="FF0000"/>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22A11C7"/>
    <w:multiLevelType w:val="hybridMultilevel"/>
    <w:tmpl w:val="6FA6BC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124D3C0E"/>
    <w:multiLevelType w:val="hybridMultilevel"/>
    <w:tmpl w:val="67A234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12CB28B4"/>
    <w:multiLevelType w:val="multilevel"/>
    <w:tmpl w:val="AFE20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3D3391F"/>
    <w:multiLevelType w:val="multilevel"/>
    <w:tmpl w:val="15AAA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14147EE4"/>
    <w:multiLevelType w:val="hybridMultilevel"/>
    <w:tmpl w:val="34DA201C"/>
    <w:lvl w:ilvl="0" w:tplc="1BF85B52">
      <w:start w:val="1"/>
      <w:numFmt w:val="bullet"/>
      <w:lvlText w:val=""/>
      <w:lvlJc w:val="left"/>
      <w:pPr>
        <w:ind w:left="990" w:hanging="360"/>
      </w:pPr>
      <w:rPr>
        <w:rFonts w:ascii="Symbol" w:hAnsi="Symbol"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4" w15:restartNumberingAfterBreak="0">
    <w:nsid w:val="14C16DC7"/>
    <w:multiLevelType w:val="multilevel"/>
    <w:tmpl w:val="47F260D2"/>
    <w:lvl w:ilvl="0">
      <w:start w:val="1"/>
      <w:numFmt w:val="decimal"/>
      <w:lvlText w:val="%1."/>
      <w:lvlJc w:val="left"/>
      <w:pPr>
        <w:tabs>
          <w:tab w:val="num" w:pos="900"/>
        </w:tabs>
        <w:ind w:left="900" w:hanging="360"/>
      </w:pPr>
      <w:rPr>
        <w:b w:val="0"/>
        <w:color w:val="auto"/>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65" w15:restartNumberingAfterBreak="0">
    <w:nsid w:val="1564433D"/>
    <w:multiLevelType w:val="hybridMultilevel"/>
    <w:tmpl w:val="EE8E4BEE"/>
    <w:lvl w:ilvl="0" w:tplc="70B65FA8">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59C2CB5"/>
    <w:multiLevelType w:val="hybridMultilevel"/>
    <w:tmpl w:val="360E06E2"/>
    <w:lvl w:ilvl="0" w:tplc="04090015">
      <w:start w:val="1"/>
      <w:numFmt w:val="upp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7" w15:restartNumberingAfterBreak="0">
    <w:nsid w:val="15E82904"/>
    <w:multiLevelType w:val="hybridMultilevel"/>
    <w:tmpl w:val="6F30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63C26D3"/>
    <w:multiLevelType w:val="hybridMultilevel"/>
    <w:tmpl w:val="B18A902A"/>
    <w:lvl w:ilvl="0" w:tplc="1CECD0A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6D927BA"/>
    <w:multiLevelType w:val="hybridMultilevel"/>
    <w:tmpl w:val="3F5E6D2A"/>
    <w:lvl w:ilvl="0" w:tplc="527E2BB0">
      <w:start w:val="1"/>
      <w:numFmt w:val="bullet"/>
      <w:lvlText w:val=""/>
      <w:lvlJc w:val="left"/>
      <w:pPr>
        <w:ind w:left="783" w:hanging="360"/>
      </w:pPr>
      <w:rPr>
        <w:rFonts w:ascii="Symbol" w:hAnsi="Symbol" w:hint="default"/>
        <w:sz w:val="20"/>
        <w:szCs w:val="2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0" w15:restartNumberingAfterBreak="0">
    <w:nsid w:val="17321339"/>
    <w:multiLevelType w:val="multilevel"/>
    <w:tmpl w:val="7180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7B93CD4"/>
    <w:multiLevelType w:val="multilevel"/>
    <w:tmpl w:val="8DA4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8442D1F"/>
    <w:multiLevelType w:val="hybridMultilevel"/>
    <w:tmpl w:val="08F621FC"/>
    <w:lvl w:ilvl="0" w:tplc="C076FFB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85930F6"/>
    <w:multiLevelType w:val="hybridMultilevel"/>
    <w:tmpl w:val="0112803E"/>
    <w:lvl w:ilvl="0" w:tplc="53123B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8C9105F"/>
    <w:multiLevelType w:val="hybridMultilevel"/>
    <w:tmpl w:val="82C40198"/>
    <w:lvl w:ilvl="0" w:tplc="7DC46970">
      <w:start w:val="1"/>
      <w:numFmt w:val="bullet"/>
      <w:lvlText w:val=""/>
      <w:lvlJc w:val="left"/>
      <w:pPr>
        <w:ind w:left="126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5" w15:restartNumberingAfterBreak="0">
    <w:nsid w:val="18D14592"/>
    <w:multiLevelType w:val="hybridMultilevel"/>
    <w:tmpl w:val="860AC236"/>
    <w:lvl w:ilvl="0" w:tplc="02E2E6CA">
      <w:start w:val="1"/>
      <w:numFmt w:val="bullet"/>
      <w:lvlText w:val=""/>
      <w:lvlJc w:val="left"/>
      <w:pPr>
        <w:tabs>
          <w:tab w:val="num" w:pos="720"/>
        </w:tabs>
        <w:ind w:left="720" w:hanging="360"/>
      </w:pPr>
      <w:rPr>
        <w:rFonts w:ascii="Symbol" w:hAnsi="Symbol" w:hint="default"/>
        <w:sz w:val="20"/>
      </w:rPr>
    </w:lvl>
    <w:lvl w:ilvl="1" w:tplc="673E3BE6" w:tentative="1">
      <w:start w:val="1"/>
      <w:numFmt w:val="bullet"/>
      <w:lvlText w:val="o"/>
      <w:lvlJc w:val="left"/>
      <w:pPr>
        <w:tabs>
          <w:tab w:val="num" w:pos="1440"/>
        </w:tabs>
        <w:ind w:left="1440" w:hanging="360"/>
      </w:pPr>
      <w:rPr>
        <w:rFonts w:ascii="Courier New" w:hAnsi="Courier New" w:hint="default"/>
        <w:sz w:val="20"/>
      </w:rPr>
    </w:lvl>
    <w:lvl w:ilvl="2" w:tplc="6DC47622" w:tentative="1">
      <w:start w:val="1"/>
      <w:numFmt w:val="bullet"/>
      <w:lvlText w:val=""/>
      <w:lvlJc w:val="left"/>
      <w:pPr>
        <w:tabs>
          <w:tab w:val="num" w:pos="2160"/>
        </w:tabs>
        <w:ind w:left="2160" w:hanging="360"/>
      </w:pPr>
      <w:rPr>
        <w:rFonts w:ascii="Wingdings" w:hAnsi="Wingdings" w:hint="default"/>
        <w:sz w:val="20"/>
      </w:rPr>
    </w:lvl>
    <w:lvl w:ilvl="3" w:tplc="7FF6A46C" w:tentative="1">
      <w:start w:val="1"/>
      <w:numFmt w:val="bullet"/>
      <w:lvlText w:val=""/>
      <w:lvlJc w:val="left"/>
      <w:pPr>
        <w:tabs>
          <w:tab w:val="num" w:pos="2880"/>
        </w:tabs>
        <w:ind w:left="2880" w:hanging="360"/>
      </w:pPr>
      <w:rPr>
        <w:rFonts w:ascii="Wingdings" w:hAnsi="Wingdings" w:hint="default"/>
        <w:sz w:val="20"/>
      </w:rPr>
    </w:lvl>
    <w:lvl w:ilvl="4" w:tplc="4DC25906" w:tentative="1">
      <w:start w:val="1"/>
      <w:numFmt w:val="bullet"/>
      <w:lvlText w:val=""/>
      <w:lvlJc w:val="left"/>
      <w:pPr>
        <w:tabs>
          <w:tab w:val="num" w:pos="3600"/>
        </w:tabs>
        <w:ind w:left="3600" w:hanging="360"/>
      </w:pPr>
      <w:rPr>
        <w:rFonts w:ascii="Wingdings" w:hAnsi="Wingdings" w:hint="default"/>
        <w:sz w:val="20"/>
      </w:rPr>
    </w:lvl>
    <w:lvl w:ilvl="5" w:tplc="B2DE921A" w:tentative="1">
      <w:start w:val="1"/>
      <w:numFmt w:val="bullet"/>
      <w:lvlText w:val=""/>
      <w:lvlJc w:val="left"/>
      <w:pPr>
        <w:tabs>
          <w:tab w:val="num" w:pos="4320"/>
        </w:tabs>
        <w:ind w:left="4320" w:hanging="360"/>
      </w:pPr>
      <w:rPr>
        <w:rFonts w:ascii="Wingdings" w:hAnsi="Wingdings" w:hint="default"/>
        <w:sz w:val="20"/>
      </w:rPr>
    </w:lvl>
    <w:lvl w:ilvl="6" w:tplc="75E2D282" w:tentative="1">
      <w:start w:val="1"/>
      <w:numFmt w:val="bullet"/>
      <w:lvlText w:val=""/>
      <w:lvlJc w:val="left"/>
      <w:pPr>
        <w:tabs>
          <w:tab w:val="num" w:pos="5040"/>
        </w:tabs>
        <w:ind w:left="5040" w:hanging="360"/>
      </w:pPr>
      <w:rPr>
        <w:rFonts w:ascii="Wingdings" w:hAnsi="Wingdings" w:hint="default"/>
        <w:sz w:val="20"/>
      </w:rPr>
    </w:lvl>
    <w:lvl w:ilvl="7" w:tplc="574C8D98" w:tentative="1">
      <w:start w:val="1"/>
      <w:numFmt w:val="bullet"/>
      <w:lvlText w:val=""/>
      <w:lvlJc w:val="left"/>
      <w:pPr>
        <w:tabs>
          <w:tab w:val="num" w:pos="5760"/>
        </w:tabs>
        <w:ind w:left="5760" w:hanging="360"/>
      </w:pPr>
      <w:rPr>
        <w:rFonts w:ascii="Wingdings" w:hAnsi="Wingdings" w:hint="default"/>
        <w:sz w:val="20"/>
      </w:rPr>
    </w:lvl>
    <w:lvl w:ilvl="8" w:tplc="9BB27962"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8DB3EE1"/>
    <w:multiLevelType w:val="hybridMultilevel"/>
    <w:tmpl w:val="C616EBD6"/>
    <w:lvl w:ilvl="0" w:tplc="04090001">
      <w:start w:val="1"/>
      <w:numFmt w:val="bullet"/>
      <w:lvlText w:val=""/>
      <w:lvlJc w:val="left"/>
      <w:pPr>
        <w:tabs>
          <w:tab w:val="num" w:pos="1080"/>
        </w:tabs>
        <w:ind w:left="1080" w:hanging="360"/>
      </w:pPr>
      <w:rPr>
        <w:rFonts w:ascii="Symbol" w:hAnsi="Symbol" w:hint="default"/>
      </w:rPr>
    </w:lvl>
    <w:lvl w:ilvl="1" w:tplc="7DDCE5B4">
      <w:start w:val="5"/>
      <w:numFmt w:val="upperLetter"/>
      <w:lvlText w:val="(%2)"/>
      <w:lvlJc w:val="left"/>
      <w:pPr>
        <w:tabs>
          <w:tab w:val="num" w:pos="1800"/>
        </w:tabs>
        <w:ind w:left="1800" w:hanging="360"/>
      </w:pPr>
      <w:rPr>
        <w:rFonts w:hint="default"/>
      </w:rPr>
    </w:lvl>
    <w:lvl w:ilvl="2" w:tplc="01AC8BD0">
      <w:start w:val="2"/>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19214AFF"/>
    <w:multiLevelType w:val="hybridMultilevel"/>
    <w:tmpl w:val="CC546612"/>
    <w:lvl w:ilvl="0" w:tplc="3894D676">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96D2A31"/>
    <w:multiLevelType w:val="multilevel"/>
    <w:tmpl w:val="95A6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A0F6729"/>
    <w:multiLevelType w:val="multilevel"/>
    <w:tmpl w:val="A124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AC408FE"/>
    <w:multiLevelType w:val="multilevel"/>
    <w:tmpl w:val="570C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AF31D43"/>
    <w:multiLevelType w:val="multilevel"/>
    <w:tmpl w:val="73AC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B4150D6"/>
    <w:multiLevelType w:val="multilevel"/>
    <w:tmpl w:val="DC3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B46144B"/>
    <w:multiLevelType w:val="multilevel"/>
    <w:tmpl w:val="47D8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BFF2B97"/>
    <w:multiLevelType w:val="hybridMultilevel"/>
    <w:tmpl w:val="FAD687B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15:restartNumberingAfterBreak="0">
    <w:nsid w:val="1C732F3F"/>
    <w:multiLevelType w:val="multilevel"/>
    <w:tmpl w:val="785A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CC31B48"/>
    <w:multiLevelType w:val="hybridMultilevel"/>
    <w:tmpl w:val="7E26D9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7" w15:restartNumberingAfterBreak="0">
    <w:nsid w:val="1DA62DE1"/>
    <w:multiLevelType w:val="multilevel"/>
    <w:tmpl w:val="B052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E445D53"/>
    <w:multiLevelType w:val="hybridMultilevel"/>
    <w:tmpl w:val="530EB878"/>
    <w:lvl w:ilvl="0" w:tplc="412486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1E926E27"/>
    <w:multiLevelType w:val="hybridMultilevel"/>
    <w:tmpl w:val="2556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ED15C65"/>
    <w:multiLevelType w:val="multilevel"/>
    <w:tmpl w:val="93C6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F041537"/>
    <w:multiLevelType w:val="multilevel"/>
    <w:tmpl w:val="248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F66311D"/>
    <w:multiLevelType w:val="multilevel"/>
    <w:tmpl w:val="E452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F8318A2"/>
    <w:multiLevelType w:val="multilevel"/>
    <w:tmpl w:val="60867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F843EC9"/>
    <w:multiLevelType w:val="multilevel"/>
    <w:tmpl w:val="DF70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F925B18"/>
    <w:multiLevelType w:val="hybridMultilevel"/>
    <w:tmpl w:val="EC8A0342"/>
    <w:lvl w:ilvl="0" w:tplc="19D42B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FC20A97"/>
    <w:multiLevelType w:val="multilevel"/>
    <w:tmpl w:val="C42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FE123E1"/>
    <w:multiLevelType w:val="multilevel"/>
    <w:tmpl w:val="6C4E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FE85116"/>
    <w:multiLevelType w:val="multilevel"/>
    <w:tmpl w:val="003A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00E66E9"/>
    <w:multiLevelType w:val="multilevel"/>
    <w:tmpl w:val="814E33B2"/>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208F57D4"/>
    <w:multiLevelType w:val="hybridMultilevel"/>
    <w:tmpl w:val="66C64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16E41C6"/>
    <w:multiLevelType w:val="multilevel"/>
    <w:tmpl w:val="46F6C5D8"/>
    <w:lvl w:ilvl="0">
      <w:start w:val="1"/>
      <w:numFmt w:val="decimal"/>
      <w:lvlText w:val="%1."/>
      <w:lvlJc w:val="left"/>
      <w:pPr>
        <w:tabs>
          <w:tab w:val="num" w:pos="1440"/>
        </w:tabs>
        <w:ind w:left="1440" w:hanging="720"/>
      </w:pPr>
      <w:rPr>
        <w:rFonts w:hint="default"/>
      </w:rPr>
    </w:lvl>
    <w:lvl w:ilvl="1">
      <w:start w:val="26"/>
      <w:numFmt w:val="decimal"/>
      <w:isLgl/>
      <w:lvlText w:val="%1.%2"/>
      <w:lvlJc w:val="left"/>
      <w:pPr>
        <w:ind w:left="1380" w:hanging="66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2" w15:restartNumberingAfterBreak="0">
    <w:nsid w:val="217C5321"/>
    <w:multiLevelType w:val="multilevel"/>
    <w:tmpl w:val="C58C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1AC0EB1"/>
    <w:multiLevelType w:val="hybridMultilevel"/>
    <w:tmpl w:val="A5DC8C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4" w15:restartNumberingAfterBreak="0">
    <w:nsid w:val="227C1A40"/>
    <w:multiLevelType w:val="multilevel"/>
    <w:tmpl w:val="9DC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2E909EB"/>
    <w:multiLevelType w:val="hybridMultilevel"/>
    <w:tmpl w:val="0E4AA90A"/>
    <w:lvl w:ilvl="0" w:tplc="56A0CF4E">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6" w15:restartNumberingAfterBreak="0">
    <w:nsid w:val="22F4347F"/>
    <w:multiLevelType w:val="multilevel"/>
    <w:tmpl w:val="D23252B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318147A"/>
    <w:multiLevelType w:val="multilevel"/>
    <w:tmpl w:val="A0E0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31C1044"/>
    <w:multiLevelType w:val="hybridMultilevel"/>
    <w:tmpl w:val="4A12F6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9" w15:restartNumberingAfterBreak="0">
    <w:nsid w:val="231F20DD"/>
    <w:multiLevelType w:val="multilevel"/>
    <w:tmpl w:val="E8D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32579F9"/>
    <w:multiLevelType w:val="hybridMultilevel"/>
    <w:tmpl w:val="455C5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24440F5F"/>
    <w:multiLevelType w:val="multilevel"/>
    <w:tmpl w:val="DE1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4CF5D7C"/>
    <w:multiLevelType w:val="multilevel"/>
    <w:tmpl w:val="7228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4F161FE"/>
    <w:multiLevelType w:val="hybridMultilevel"/>
    <w:tmpl w:val="4D201F80"/>
    <w:lvl w:ilvl="0" w:tplc="F7CE29FA">
      <w:start w:val="1"/>
      <w:numFmt w:val="bullet"/>
      <w:lvlText w:val=""/>
      <w:lvlJc w:val="left"/>
      <w:pPr>
        <w:ind w:left="1507" w:hanging="360"/>
      </w:pPr>
      <w:rPr>
        <w:rFonts w:ascii="Symbol" w:hAnsi="Symbol" w:hint="default"/>
        <w:sz w:val="20"/>
        <w:szCs w:val="20"/>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14" w15:restartNumberingAfterBreak="0">
    <w:nsid w:val="253E0383"/>
    <w:multiLevelType w:val="hybridMultilevel"/>
    <w:tmpl w:val="DFF20676"/>
    <w:lvl w:ilvl="0" w:tplc="39F24FB2">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26CF01DD"/>
    <w:multiLevelType w:val="multilevel"/>
    <w:tmpl w:val="4FDC44F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280D2C81"/>
    <w:multiLevelType w:val="multilevel"/>
    <w:tmpl w:val="395C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82C516A"/>
    <w:multiLevelType w:val="multilevel"/>
    <w:tmpl w:val="44C6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83D6BB5"/>
    <w:multiLevelType w:val="multilevel"/>
    <w:tmpl w:val="7B98D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8672845"/>
    <w:multiLevelType w:val="multilevel"/>
    <w:tmpl w:val="4FE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9BE1D23"/>
    <w:multiLevelType w:val="multilevel"/>
    <w:tmpl w:val="FDFC3F06"/>
    <w:lvl w:ilvl="0">
      <w:start w:val="6"/>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9"/>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1" w15:restartNumberingAfterBreak="0">
    <w:nsid w:val="29C77942"/>
    <w:multiLevelType w:val="multilevel"/>
    <w:tmpl w:val="3878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A924B8C"/>
    <w:multiLevelType w:val="multilevel"/>
    <w:tmpl w:val="F3B4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ACD45D3"/>
    <w:multiLevelType w:val="hybridMultilevel"/>
    <w:tmpl w:val="5B60F772"/>
    <w:lvl w:ilvl="0" w:tplc="59BCEA84">
      <w:start w:val="1"/>
      <w:numFmt w:val="upperLetter"/>
      <w:lvlText w:val="%1."/>
      <w:lvlJc w:val="left"/>
      <w:pPr>
        <w:ind w:left="1260" w:hanging="360"/>
      </w:pPr>
      <w:rPr>
        <w:rFonts w:ascii="Times New Roman" w:eastAsia="Times New Roman" w:hAnsi="Times New Roman" w:cs="Times New Roman"/>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4" w15:restartNumberingAfterBreak="0">
    <w:nsid w:val="2B0B7497"/>
    <w:multiLevelType w:val="multilevel"/>
    <w:tmpl w:val="2E5A8E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B4B1A3E"/>
    <w:multiLevelType w:val="multilevel"/>
    <w:tmpl w:val="CD525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BA761AD"/>
    <w:multiLevelType w:val="multilevel"/>
    <w:tmpl w:val="F400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D2B0FF4"/>
    <w:multiLevelType w:val="hybridMultilevel"/>
    <w:tmpl w:val="6E5E9AB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8" w15:restartNumberingAfterBreak="0">
    <w:nsid w:val="2D3D3E6D"/>
    <w:multiLevelType w:val="multilevel"/>
    <w:tmpl w:val="4B8E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D62453F"/>
    <w:multiLevelType w:val="multilevel"/>
    <w:tmpl w:val="D6BA4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E18058A"/>
    <w:multiLevelType w:val="hybridMultilevel"/>
    <w:tmpl w:val="D43A70B2"/>
    <w:lvl w:ilvl="0" w:tplc="FFFFFFFF">
      <w:start w:val="1"/>
      <w:numFmt w:val="decimal"/>
      <w:lvlText w:val="%1."/>
      <w:lvlJc w:val="left"/>
      <w:pPr>
        <w:ind w:left="990" w:hanging="360"/>
      </w:pPr>
      <w:rPr>
        <w:color w:val="auto"/>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31" w15:restartNumberingAfterBreak="0">
    <w:nsid w:val="2E215E0B"/>
    <w:multiLevelType w:val="hybridMultilevel"/>
    <w:tmpl w:val="102CA904"/>
    <w:lvl w:ilvl="0" w:tplc="74126DCE">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2" w15:restartNumberingAfterBreak="0">
    <w:nsid w:val="2E425A3E"/>
    <w:multiLevelType w:val="multilevel"/>
    <w:tmpl w:val="CEA88E3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3" w15:restartNumberingAfterBreak="0">
    <w:nsid w:val="2EA35B84"/>
    <w:multiLevelType w:val="multilevel"/>
    <w:tmpl w:val="4CFE2EF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34" w15:restartNumberingAfterBreak="0">
    <w:nsid w:val="2EAA776B"/>
    <w:multiLevelType w:val="multilevel"/>
    <w:tmpl w:val="4B0A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EE41D7B"/>
    <w:multiLevelType w:val="hybridMultilevel"/>
    <w:tmpl w:val="574EC306"/>
    <w:lvl w:ilvl="0" w:tplc="4478FE1E">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15:restartNumberingAfterBreak="0">
    <w:nsid w:val="2F690137"/>
    <w:multiLevelType w:val="multilevel"/>
    <w:tmpl w:val="907A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F965C37"/>
    <w:multiLevelType w:val="multilevel"/>
    <w:tmpl w:val="CCC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02A6AFA"/>
    <w:multiLevelType w:val="hybridMultilevel"/>
    <w:tmpl w:val="B3C4EB30"/>
    <w:lvl w:ilvl="0" w:tplc="BDE0BB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03B14F8"/>
    <w:multiLevelType w:val="hybridMultilevel"/>
    <w:tmpl w:val="2822E6D4"/>
    <w:lvl w:ilvl="0" w:tplc="0409000F">
      <w:start w:val="1"/>
      <w:numFmt w:val="decimal"/>
      <w:lvlText w:val="%1."/>
      <w:lvlJc w:val="left"/>
      <w:pPr>
        <w:tabs>
          <w:tab w:val="num" w:pos="720"/>
        </w:tabs>
        <w:ind w:left="720" w:hanging="360"/>
      </w:pPr>
      <w:rPr>
        <w:rFonts w:hint="default"/>
      </w:rPr>
    </w:lvl>
    <w:lvl w:ilvl="1" w:tplc="0F36E9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0514F93"/>
    <w:multiLevelType w:val="multilevel"/>
    <w:tmpl w:val="DCFA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09341F7"/>
    <w:multiLevelType w:val="multilevel"/>
    <w:tmpl w:val="15606FFC"/>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sz w:val="24"/>
        <w:szCs w:val="22"/>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1036D15"/>
    <w:multiLevelType w:val="hybridMultilevel"/>
    <w:tmpl w:val="3336E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15:restartNumberingAfterBreak="0">
    <w:nsid w:val="311F3F06"/>
    <w:multiLevelType w:val="multilevel"/>
    <w:tmpl w:val="1A9E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1316132"/>
    <w:multiLevelType w:val="multilevel"/>
    <w:tmpl w:val="3258BCD2"/>
    <w:lvl w:ilvl="0">
      <w:start w:val="1"/>
      <w:numFmt w:val="decimal"/>
      <w:lvlText w:val="%1."/>
      <w:lvlJc w:val="left"/>
      <w:pPr>
        <w:ind w:left="990" w:hanging="360"/>
      </w:pPr>
      <w:rPr>
        <w:color w:val="auto"/>
      </w:rPr>
    </w:lvl>
    <w:lvl w:ilvl="1">
      <w:start w:val="11"/>
      <w:numFmt w:val="decimal"/>
      <w:isLgl/>
      <w:lvlText w:val="%1.%2"/>
      <w:lvlJc w:val="left"/>
      <w:pPr>
        <w:ind w:left="1410" w:hanging="780"/>
      </w:pPr>
      <w:rPr>
        <w:rFonts w:hint="default"/>
      </w:rPr>
    </w:lvl>
    <w:lvl w:ilvl="2">
      <w:start w:val="4"/>
      <w:numFmt w:val="decimal"/>
      <w:isLgl/>
      <w:lvlText w:val="%1.%2.%3"/>
      <w:lvlJc w:val="left"/>
      <w:pPr>
        <w:ind w:left="1410" w:hanging="780"/>
      </w:pPr>
      <w:rPr>
        <w:rFonts w:hint="default"/>
      </w:rPr>
    </w:lvl>
    <w:lvl w:ilvl="3">
      <w:start w:val="1"/>
      <w:numFmt w:val="decimal"/>
      <w:isLgl/>
      <w:lvlText w:val="%1.%2.%3.%4"/>
      <w:lvlJc w:val="left"/>
      <w:pPr>
        <w:ind w:left="1410" w:hanging="7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45" w15:restartNumberingAfterBreak="0">
    <w:nsid w:val="3192783A"/>
    <w:multiLevelType w:val="multilevel"/>
    <w:tmpl w:val="1F8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1C227E9"/>
    <w:multiLevelType w:val="hybridMultilevel"/>
    <w:tmpl w:val="AD60AE92"/>
    <w:lvl w:ilvl="0" w:tplc="92288A62">
      <w:start w:val="1"/>
      <w:numFmt w:val="bullet"/>
      <w:lvlText w:val=""/>
      <w:lvlJc w:val="left"/>
      <w:pPr>
        <w:ind w:left="1491"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7" w15:restartNumberingAfterBreak="0">
    <w:nsid w:val="31C91906"/>
    <w:multiLevelType w:val="hybridMultilevel"/>
    <w:tmpl w:val="F8B4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1F70B02"/>
    <w:multiLevelType w:val="hybridMultilevel"/>
    <w:tmpl w:val="1A58ED76"/>
    <w:lvl w:ilvl="0" w:tplc="46BE660C">
      <w:start w:val="1"/>
      <w:numFmt w:val="decimal"/>
      <w:lvlText w:val="%1."/>
      <w:lvlJc w:val="left"/>
      <w:pPr>
        <w:tabs>
          <w:tab w:val="num" w:pos="720"/>
        </w:tabs>
        <w:ind w:left="720" w:hanging="360"/>
      </w:pPr>
    </w:lvl>
    <w:lvl w:ilvl="1" w:tplc="463E1220">
      <w:start w:val="1"/>
      <w:numFmt w:val="lowerLetter"/>
      <w:lvlText w:val="%2."/>
      <w:lvlJc w:val="left"/>
      <w:pPr>
        <w:tabs>
          <w:tab w:val="num" w:pos="1440"/>
        </w:tabs>
        <w:ind w:left="1440" w:hanging="360"/>
      </w:pPr>
    </w:lvl>
    <w:lvl w:ilvl="2" w:tplc="9A1C8992" w:tentative="1">
      <w:start w:val="1"/>
      <w:numFmt w:val="decimal"/>
      <w:lvlText w:val="%3."/>
      <w:lvlJc w:val="left"/>
      <w:pPr>
        <w:tabs>
          <w:tab w:val="num" w:pos="2160"/>
        </w:tabs>
        <w:ind w:left="2160" w:hanging="360"/>
      </w:pPr>
    </w:lvl>
    <w:lvl w:ilvl="3" w:tplc="1E9CC508" w:tentative="1">
      <w:start w:val="1"/>
      <w:numFmt w:val="decimal"/>
      <w:lvlText w:val="%4."/>
      <w:lvlJc w:val="left"/>
      <w:pPr>
        <w:tabs>
          <w:tab w:val="num" w:pos="2880"/>
        </w:tabs>
        <w:ind w:left="2880" w:hanging="360"/>
      </w:pPr>
    </w:lvl>
    <w:lvl w:ilvl="4" w:tplc="3AC4017A" w:tentative="1">
      <w:start w:val="1"/>
      <w:numFmt w:val="decimal"/>
      <w:lvlText w:val="%5."/>
      <w:lvlJc w:val="left"/>
      <w:pPr>
        <w:tabs>
          <w:tab w:val="num" w:pos="3600"/>
        </w:tabs>
        <w:ind w:left="3600" w:hanging="360"/>
      </w:pPr>
    </w:lvl>
    <w:lvl w:ilvl="5" w:tplc="E98C3E12" w:tentative="1">
      <w:start w:val="1"/>
      <w:numFmt w:val="decimal"/>
      <w:lvlText w:val="%6."/>
      <w:lvlJc w:val="left"/>
      <w:pPr>
        <w:tabs>
          <w:tab w:val="num" w:pos="4320"/>
        </w:tabs>
        <w:ind w:left="4320" w:hanging="360"/>
      </w:pPr>
    </w:lvl>
    <w:lvl w:ilvl="6" w:tplc="ABBA7B48" w:tentative="1">
      <w:start w:val="1"/>
      <w:numFmt w:val="decimal"/>
      <w:lvlText w:val="%7."/>
      <w:lvlJc w:val="left"/>
      <w:pPr>
        <w:tabs>
          <w:tab w:val="num" w:pos="5040"/>
        </w:tabs>
        <w:ind w:left="5040" w:hanging="360"/>
      </w:pPr>
    </w:lvl>
    <w:lvl w:ilvl="7" w:tplc="F970E8A6" w:tentative="1">
      <w:start w:val="1"/>
      <w:numFmt w:val="decimal"/>
      <w:lvlText w:val="%8."/>
      <w:lvlJc w:val="left"/>
      <w:pPr>
        <w:tabs>
          <w:tab w:val="num" w:pos="5760"/>
        </w:tabs>
        <w:ind w:left="5760" w:hanging="360"/>
      </w:pPr>
    </w:lvl>
    <w:lvl w:ilvl="8" w:tplc="F0CECBB0" w:tentative="1">
      <w:start w:val="1"/>
      <w:numFmt w:val="decimal"/>
      <w:lvlText w:val="%9."/>
      <w:lvlJc w:val="left"/>
      <w:pPr>
        <w:tabs>
          <w:tab w:val="num" w:pos="6480"/>
        </w:tabs>
        <w:ind w:left="6480" w:hanging="360"/>
      </w:pPr>
    </w:lvl>
  </w:abstractNum>
  <w:abstractNum w:abstractNumId="149" w15:restartNumberingAfterBreak="0">
    <w:nsid w:val="323F63AD"/>
    <w:multiLevelType w:val="multilevel"/>
    <w:tmpl w:val="432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2AD66A4"/>
    <w:multiLevelType w:val="hybridMultilevel"/>
    <w:tmpl w:val="68C4C520"/>
    <w:lvl w:ilvl="0" w:tplc="E30A7D9E">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1" w15:restartNumberingAfterBreak="0">
    <w:nsid w:val="32F528C7"/>
    <w:multiLevelType w:val="multilevel"/>
    <w:tmpl w:val="0644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3044C3E"/>
    <w:multiLevelType w:val="singleLevel"/>
    <w:tmpl w:val="3FFC016C"/>
    <w:lvl w:ilvl="0">
      <w:start w:val="1"/>
      <w:numFmt w:val="decimal"/>
      <w:lvlText w:val="(%1)"/>
      <w:lvlJc w:val="left"/>
      <w:pPr>
        <w:tabs>
          <w:tab w:val="num" w:pos="720"/>
        </w:tabs>
        <w:ind w:left="720" w:hanging="720"/>
      </w:pPr>
      <w:rPr>
        <w:rFonts w:hint="default"/>
      </w:rPr>
    </w:lvl>
  </w:abstractNum>
  <w:abstractNum w:abstractNumId="153" w15:restartNumberingAfterBreak="0">
    <w:nsid w:val="332A7DA0"/>
    <w:multiLevelType w:val="hybridMultilevel"/>
    <w:tmpl w:val="A022B562"/>
    <w:lvl w:ilvl="0" w:tplc="FCCCA9B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32F4DE2"/>
    <w:multiLevelType w:val="multilevel"/>
    <w:tmpl w:val="155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3EE776D"/>
    <w:multiLevelType w:val="multilevel"/>
    <w:tmpl w:val="B61CF2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341D080A"/>
    <w:multiLevelType w:val="multilevel"/>
    <w:tmpl w:val="322A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4374EC4"/>
    <w:multiLevelType w:val="multilevel"/>
    <w:tmpl w:val="054EFBA4"/>
    <w:lvl w:ilvl="0">
      <w:start w:val="1"/>
      <w:numFmt w:val="decimal"/>
      <w:lvlText w:val="%1."/>
      <w:lvlJc w:val="left"/>
      <w:pPr>
        <w:tabs>
          <w:tab w:val="num" w:pos="2520"/>
        </w:tabs>
        <w:ind w:left="2520" w:hanging="360"/>
      </w:pPr>
      <w:rPr>
        <w:rFonts w:hint="default"/>
      </w:rPr>
    </w:lvl>
    <w:lvl w:ilvl="1">
      <w:start w:val="12"/>
      <w:numFmt w:val="decimal"/>
      <w:isLgl/>
      <w:lvlText w:val="%1.%2"/>
      <w:lvlJc w:val="left"/>
      <w:pPr>
        <w:ind w:left="2820" w:hanging="66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158" w15:restartNumberingAfterBreak="0">
    <w:nsid w:val="34671164"/>
    <w:multiLevelType w:val="multilevel"/>
    <w:tmpl w:val="BA1412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4A72F2C"/>
    <w:multiLevelType w:val="multilevel"/>
    <w:tmpl w:val="EB0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4F427E5"/>
    <w:multiLevelType w:val="hybridMultilevel"/>
    <w:tmpl w:val="5E86CCF8"/>
    <w:lvl w:ilvl="0" w:tplc="03E49022">
      <w:start w:val="1"/>
      <w:numFmt w:val="bullet"/>
      <w:lvlText w:val=""/>
      <w:lvlJc w:val="left"/>
      <w:pPr>
        <w:ind w:left="1050" w:hanging="360"/>
      </w:pPr>
      <w:rPr>
        <w:rFonts w:ascii="Symbol" w:hAnsi="Symbol" w:hint="default"/>
        <w:color w:val="auto"/>
        <w:sz w:val="22"/>
        <w:szCs w:val="22"/>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1" w15:restartNumberingAfterBreak="0">
    <w:nsid w:val="34FA2A23"/>
    <w:multiLevelType w:val="hybridMultilevel"/>
    <w:tmpl w:val="721E4D3A"/>
    <w:lvl w:ilvl="0" w:tplc="F6F26C96">
      <w:start w:val="1"/>
      <w:numFmt w:val="bullet"/>
      <w:lvlText w:val=""/>
      <w:lvlJc w:val="left"/>
      <w:pPr>
        <w:ind w:left="1500" w:hanging="360"/>
      </w:pPr>
      <w:rPr>
        <w:rFonts w:ascii="Symbol" w:hAnsi="Symbol" w:hint="default"/>
        <w:sz w:val="20"/>
        <w:szCs w:val="2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2" w15:restartNumberingAfterBreak="0">
    <w:nsid w:val="3520491F"/>
    <w:multiLevelType w:val="multilevel"/>
    <w:tmpl w:val="D0A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52C108A"/>
    <w:multiLevelType w:val="multilevel"/>
    <w:tmpl w:val="731A2A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4" w15:restartNumberingAfterBreak="0">
    <w:nsid w:val="354134D1"/>
    <w:multiLevelType w:val="multilevel"/>
    <w:tmpl w:val="CEA6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5694376"/>
    <w:multiLevelType w:val="hybridMultilevel"/>
    <w:tmpl w:val="A9940AE4"/>
    <w:lvl w:ilvl="0" w:tplc="2AA2E21A">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6" w15:restartNumberingAfterBreak="0">
    <w:nsid w:val="35CC08ED"/>
    <w:multiLevelType w:val="multilevel"/>
    <w:tmpl w:val="18CE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6076AE0"/>
    <w:multiLevelType w:val="hybridMultilevel"/>
    <w:tmpl w:val="3B34C230"/>
    <w:lvl w:ilvl="0" w:tplc="3A96F2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36504B68"/>
    <w:multiLevelType w:val="hybridMultilevel"/>
    <w:tmpl w:val="02A83398"/>
    <w:lvl w:ilvl="0" w:tplc="959E6A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6882CF7"/>
    <w:multiLevelType w:val="hybridMultilevel"/>
    <w:tmpl w:val="086A2760"/>
    <w:lvl w:ilvl="0" w:tplc="ED2A1FCE">
      <w:start w:val="1"/>
      <w:numFmt w:val="decimal"/>
      <w:lvlText w:val="%1."/>
      <w:lvlJc w:val="left"/>
      <w:pPr>
        <w:tabs>
          <w:tab w:val="num" w:pos="1080"/>
        </w:tabs>
        <w:ind w:left="1080" w:hanging="360"/>
      </w:pPr>
      <w:rPr>
        <w:rFonts w:hint="default"/>
      </w:rPr>
    </w:lvl>
    <w:lvl w:ilvl="1" w:tplc="116CADB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15:restartNumberingAfterBreak="0">
    <w:nsid w:val="368F5705"/>
    <w:multiLevelType w:val="multilevel"/>
    <w:tmpl w:val="42B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6E3743D"/>
    <w:multiLevelType w:val="multilevel"/>
    <w:tmpl w:val="FD02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374E59A3"/>
    <w:multiLevelType w:val="multilevel"/>
    <w:tmpl w:val="B644F968"/>
    <w:lvl w:ilvl="0">
      <w:start w:val="1"/>
      <w:numFmt w:val="decimal"/>
      <w:lvlText w:val="%1."/>
      <w:lvlJc w:val="left"/>
      <w:pPr>
        <w:ind w:left="1672" w:hanging="360"/>
      </w:pPr>
    </w:lvl>
    <w:lvl w:ilvl="1">
      <w:start w:val="29"/>
      <w:numFmt w:val="decimal"/>
      <w:isLgl/>
      <w:lvlText w:val="%1.%2"/>
      <w:lvlJc w:val="left"/>
      <w:pPr>
        <w:ind w:left="1972" w:hanging="660"/>
      </w:pPr>
      <w:rPr>
        <w:rFonts w:hint="default"/>
      </w:rPr>
    </w:lvl>
    <w:lvl w:ilvl="2">
      <w:start w:val="8"/>
      <w:numFmt w:val="decimal"/>
      <w:isLgl/>
      <w:lvlText w:val="%1.%2.%3"/>
      <w:lvlJc w:val="left"/>
      <w:pPr>
        <w:ind w:left="2032" w:hanging="720"/>
      </w:pPr>
      <w:rPr>
        <w:rFonts w:hint="default"/>
      </w:rPr>
    </w:lvl>
    <w:lvl w:ilvl="3">
      <w:start w:val="1"/>
      <w:numFmt w:val="decimal"/>
      <w:isLgl/>
      <w:lvlText w:val="%1.%2.%3.%4"/>
      <w:lvlJc w:val="left"/>
      <w:pPr>
        <w:ind w:left="2032" w:hanging="720"/>
      </w:pPr>
      <w:rPr>
        <w:rFonts w:hint="default"/>
      </w:rPr>
    </w:lvl>
    <w:lvl w:ilvl="4">
      <w:start w:val="1"/>
      <w:numFmt w:val="decimal"/>
      <w:isLgl/>
      <w:lvlText w:val="%1.%2.%3.%4.%5"/>
      <w:lvlJc w:val="left"/>
      <w:pPr>
        <w:ind w:left="2392" w:hanging="1080"/>
      </w:pPr>
      <w:rPr>
        <w:rFonts w:hint="default"/>
      </w:rPr>
    </w:lvl>
    <w:lvl w:ilvl="5">
      <w:start w:val="1"/>
      <w:numFmt w:val="decimal"/>
      <w:isLgl/>
      <w:lvlText w:val="%1.%2.%3.%4.%5.%6"/>
      <w:lvlJc w:val="left"/>
      <w:pPr>
        <w:ind w:left="2392" w:hanging="1080"/>
      </w:pPr>
      <w:rPr>
        <w:rFonts w:hint="default"/>
      </w:rPr>
    </w:lvl>
    <w:lvl w:ilvl="6">
      <w:start w:val="1"/>
      <w:numFmt w:val="decimal"/>
      <w:isLgl/>
      <w:lvlText w:val="%1.%2.%3.%4.%5.%6.%7"/>
      <w:lvlJc w:val="left"/>
      <w:pPr>
        <w:ind w:left="2752" w:hanging="1440"/>
      </w:pPr>
      <w:rPr>
        <w:rFonts w:hint="default"/>
      </w:rPr>
    </w:lvl>
    <w:lvl w:ilvl="7">
      <w:start w:val="1"/>
      <w:numFmt w:val="decimal"/>
      <w:isLgl/>
      <w:lvlText w:val="%1.%2.%3.%4.%5.%6.%7.%8"/>
      <w:lvlJc w:val="left"/>
      <w:pPr>
        <w:ind w:left="2752" w:hanging="1440"/>
      </w:pPr>
      <w:rPr>
        <w:rFonts w:hint="default"/>
      </w:rPr>
    </w:lvl>
    <w:lvl w:ilvl="8">
      <w:start w:val="1"/>
      <w:numFmt w:val="decimal"/>
      <w:isLgl/>
      <w:lvlText w:val="%1.%2.%3.%4.%5.%6.%7.%8.%9"/>
      <w:lvlJc w:val="left"/>
      <w:pPr>
        <w:ind w:left="3112" w:hanging="1800"/>
      </w:pPr>
      <w:rPr>
        <w:rFonts w:hint="default"/>
      </w:rPr>
    </w:lvl>
  </w:abstractNum>
  <w:abstractNum w:abstractNumId="173" w15:restartNumberingAfterBreak="0">
    <w:nsid w:val="37742245"/>
    <w:multiLevelType w:val="multilevel"/>
    <w:tmpl w:val="BB74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7946A6E"/>
    <w:multiLevelType w:val="multilevel"/>
    <w:tmpl w:val="9FECC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37C7028F"/>
    <w:multiLevelType w:val="multilevel"/>
    <w:tmpl w:val="91AA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85260B3"/>
    <w:multiLevelType w:val="multilevel"/>
    <w:tmpl w:val="04629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386366FE"/>
    <w:multiLevelType w:val="multilevel"/>
    <w:tmpl w:val="EE74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88761B1"/>
    <w:multiLevelType w:val="multilevel"/>
    <w:tmpl w:val="FFBEB6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9" w15:restartNumberingAfterBreak="0">
    <w:nsid w:val="395246F2"/>
    <w:multiLevelType w:val="multilevel"/>
    <w:tmpl w:val="0120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95357A4"/>
    <w:multiLevelType w:val="multilevel"/>
    <w:tmpl w:val="498015E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9536FAE"/>
    <w:multiLevelType w:val="multilevel"/>
    <w:tmpl w:val="8098E19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9C3370F"/>
    <w:multiLevelType w:val="hybridMultilevel"/>
    <w:tmpl w:val="CA70E9EE"/>
    <w:lvl w:ilvl="0" w:tplc="FA4A748A">
      <w:start w:val="1"/>
      <w:numFmt w:val="decimal"/>
      <w:lvlText w:val="%1."/>
      <w:lvlJc w:val="left"/>
      <w:pPr>
        <w:ind w:left="900" w:hanging="360"/>
      </w:pPr>
      <w:rPr>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3" w15:restartNumberingAfterBreak="0">
    <w:nsid w:val="39C50048"/>
    <w:multiLevelType w:val="hybridMultilevel"/>
    <w:tmpl w:val="DD2690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4" w15:restartNumberingAfterBreak="0">
    <w:nsid w:val="39FF22A8"/>
    <w:multiLevelType w:val="multilevel"/>
    <w:tmpl w:val="8C8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A102682"/>
    <w:multiLevelType w:val="multilevel"/>
    <w:tmpl w:val="EEA48794"/>
    <w:lvl w:ilvl="0">
      <w:start w:val="1"/>
      <w:numFmt w:val="bullet"/>
      <w:lvlText w:val=""/>
      <w:lvlJc w:val="left"/>
      <w:pPr>
        <w:tabs>
          <w:tab w:val="num" w:pos="720"/>
        </w:tabs>
        <w:ind w:left="720" w:hanging="360"/>
      </w:pPr>
      <w:rPr>
        <w:rFonts w:ascii="Symbol" w:hAnsi="Symbol" w:hint="default"/>
        <w:b/>
        <w:i w:val="0"/>
        <w:color w:val="auto"/>
        <w:sz w:val="20"/>
        <w:szCs w:val="20"/>
      </w:rPr>
    </w:lvl>
    <w:lvl w:ilvl="1">
      <w:start w:val="1"/>
      <w:numFmt w:val="bullet"/>
      <w:lvlText w:val=""/>
      <w:lvlJc w:val="left"/>
      <w:pPr>
        <w:ind w:left="1440" w:hanging="360"/>
      </w:pPr>
      <w:rPr>
        <w:rFonts w:ascii="Symbol" w:hAnsi="Symbol" w:hint="default"/>
        <w:b/>
        <w:i w:val="0"/>
        <w:color w:val="auto"/>
        <w:sz w:val="16"/>
        <w:szCs w:val="16"/>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A853C9A"/>
    <w:multiLevelType w:val="hybridMultilevel"/>
    <w:tmpl w:val="3B1CF718"/>
    <w:lvl w:ilvl="0" w:tplc="EAF8C7B8">
      <w:start w:val="1"/>
      <w:numFmt w:val="bullet"/>
      <w:lvlText w:val=""/>
      <w:lvlJc w:val="left"/>
      <w:pPr>
        <w:tabs>
          <w:tab w:val="num" w:pos="720"/>
        </w:tabs>
        <w:ind w:left="720" w:hanging="360"/>
      </w:pPr>
      <w:rPr>
        <w:rFonts w:ascii="Symbol" w:hAnsi="Symbol" w:hint="default"/>
        <w:sz w:val="20"/>
      </w:rPr>
    </w:lvl>
    <w:lvl w:ilvl="1" w:tplc="8CF64272" w:tentative="1">
      <w:start w:val="1"/>
      <w:numFmt w:val="bullet"/>
      <w:lvlText w:val="o"/>
      <w:lvlJc w:val="left"/>
      <w:pPr>
        <w:tabs>
          <w:tab w:val="num" w:pos="1440"/>
        </w:tabs>
        <w:ind w:left="1440" w:hanging="360"/>
      </w:pPr>
      <w:rPr>
        <w:rFonts w:ascii="Courier New" w:hAnsi="Courier New" w:hint="default"/>
        <w:sz w:val="20"/>
      </w:rPr>
    </w:lvl>
    <w:lvl w:ilvl="2" w:tplc="98441804" w:tentative="1">
      <w:start w:val="1"/>
      <w:numFmt w:val="bullet"/>
      <w:lvlText w:val=""/>
      <w:lvlJc w:val="left"/>
      <w:pPr>
        <w:tabs>
          <w:tab w:val="num" w:pos="2160"/>
        </w:tabs>
        <w:ind w:left="2160" w:hanging="360"/>
      </w:pPr>
      <w:rPr>
        <w:rFonts w:ascii="Wingdings" w:hAnsi="Wingdings" w:hint="default"/>
        <w:sz w:val="20"/>
      </w:rPr>
    </w:lvl>
    <w:lvl w:ilvl="3" w:tplc="CC1C0130" w:tentative="1">
      <w:start w:val="1"/>
      <w:numFmt w:val="bullet"/>
      <w:lvlText w:val=""/>
      <w:lvlJc w:val="left"/>
      <w:pPr>
        <w:tabs>
          <w:tab w:val="num" w:pos="2880"/>
        </w:tabs>
        <w:ind w:left="2880" w:hanging="360"/>
      </w:pPr>
      <w:rPr>
        <w:rFonts w:ascii="Wingdings" w:hAnsi="Wingdings" w:hint="default"/>
        <w:sz w:val="20"/>
      </w:rPr>
    </w:lvl>
    <w:lvl w:ilvl="4" w:tplc="F9C48526" w:tentative="1">
      <w:start w:val="1"/>
      <w:numFmt w:val="bullet"/>
      <w:lvlText w:val=""/>
      <w:lvlJc w:val="left"/>
      <w:pPr>
        <w:tabs>
          <w:tab w:val="num" w:pos="3600"/>
        </w:tabs>
        <w:ind w:left="3600" w:hanging="360"/>
      </w:pPr>
      <w:rPr>
        <w:rFonts w:ascii="Wingdings" w:hAnsi="Wingdings" w:hint="default"/>
        <w:sz w:val="20"/>
      </w:rPr>
    </w:lvl>
    <w:lvl w:ilvl="5" w:tplc="7D6E899C" w:tentative="1">
      <w:start w:val="1"/>
      <w:numFmt w:val="bullet"/>
      <w:lvlText w:val=""/>
      <w:lvlJc w:val="left"/>
      <w:pPr>
        <w:tabs>
          <w:tab w:val="num" w:pos="4320"/>
        </w:tabs>
        <w:ind w:left="4320" w:hanging="360"/>
      </w:pPr>
      <w:rPr>
        <w:rFonts w:ascii="Wingdings" w:hAnsi="Wingdings" w:hint="default"/>
        <w:sz w:val="20"/>
      </w:rPr>
    </w:lvl>
    <w:lvl w:ilvl="6" w:tplc="B59CAEB4" w:tentative="1">
      <w:start w:val="1"/>
      <w:numFmt w:val="bullet"/>
      <w:lvlText w:val=""/>
      <w:lvlJc w:val="left"/>
      <w:pPr>
        <w:tabs>
          <w:tab w:val="num" w:pos="5040"/>
        </w:tabs>
        <w:ind w:left="5040" w:hanging="360"/>
      </w:pPr>
      <w:rPr>
        <w:rFonts w:ascii="Wingdings" w:hAnsi="Wingdings" w:hint="default"/>
        <w:sz w:val="20"/>
      </w:rPr>
    </w:lvl>
    <w:lvl w:ilvl="7" w:tplc="AD62092C" w:tentative="1">
      <w:start w:val="1"/>
      <w:numFmt w:val="bullet"/>
      <w:lvlText w:val=""/>
      <w:lvlJc w:val="left"/>
      <w:pPr>
        <w:tabs>
          <w:tab w:val="num" w:pos="5760"/>
        </w:tabs>
        <w:ind w:left="5760" w:hanging="360"/>
      </w:pPr>
      <w:rPr>
        <w:rFonts w:ascii="Wingdings" w:hAnsi="Wingdings" w:hint="default"/>
        <w:sz w:val="20"/>
      </w:rPr>
    </w:lvl>
    <w:lvl w:ilvl="8" w:tplc="3F7CC54A"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A917FCA"/>
    <w:multiLevelType w:val="multilevel"/>
    <w:tmpl w:val="5DC2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AB313FB"/>
    <w:multiLevelType w:val="multilevel"/>
    <w:tmpl w:val="FF027B00"/>
    <w:lvl w:ilvl="0">
      <w:start w:val="1"/>
      <w:numFmt w:val="decimal"/>
      <w:lvlText w:val="%1."/>
      <w:lvlJc w:val="left"/>
      <w:pPr>
        <w:tabs>
          <w:tab w:val="num" w:pos="1080"/>
        </w:tabs>
        <w:ind w:left="1080" w:hanging="360"/>
      </w:pPr>
      <w:rPr>
        <w:rFonts w:hint="default"/>
        <w:color w:val="auto"/>
      </w:rPr>
    </w:lvl>
    <w:lvl w:ilvl="1">
      <w:start w:val="2"/>
      <w:numFmt w:val="decimal"/>
      <w:isLgl/>
      <w:lvlText w:val="%1.%2"/>
      <w:lvlJc w:val="left"/>
      <w:pPr>
        <w:ind w:left="1440" w:hanging="72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9" w15:restartNumberingAfterBreak="0">
    <w:nsid w:val="3AC02A57"/>
    <w:multiLevelType w:val="hybridMultilevel"/>
    <w:tmpl w:val="CC76597A"/>
    <w:lvl w:ilvl="0" w:tplc="787C970C">
      <w:start w:val="1"/>
      <w:numFmt w:val="bullet"/>
      <w:lvlText w:val=""/>
      <w:lvlJc w:val="left"/>
      <w:pPr>
        <w:tabs>
          <w:tab w:val="num" w:pos="1770"/>
        </w:tabs>
        <w:ind w:left="1770" w:hanging="600"/>
      </w:pPr>
      <w:rPr>
        <w:rFonts w:ascii="Symbol" w:hAnsi="Symbol" w:hint="default"/>
        <w:sz w:val="20"/>
        <w:szCs w:val="20"/>
      </w:rPr>
    </w:lvl>
    <w:lvl w:ilvl="1" w:tplc="2750B1AE">
      <w:start w:val="1"/>
      <w:numFmt w:val="bullet"/>
      <w:lvlText w:val=""/>
      <w:lvlJc w:val="left"/>
      <w:pPr>
        <w:tabs>
          <w:tab w:val="num" w:pos="2250"/>
        </w:tabs>
        <w:ind w:left="2250" w:hanging="360"/>
      </w:pPr>
      <w:rPr>
        <w:rFonts w:ascii="Symbol" w:hAnsi="Symbol" w:hint="default"/>
        <w:sz w:val="20"/>
        <w:szCs w:val="20"/>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90" w15:restartNumberingAfterBreak="0">
    <w:nsid w:val="3AEE6B73"/>
    <w:multiLevelType w:val="multilevel"/>
    <w:tmpl w:val="EFC6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B915BAE"/>
    <w:multiLevelType w:val="multilevel"/>
    <w:tmpl w:val="D172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BD75A3E"/>
    <w:multiLevelType w:val="multilevel"/>
    <w:tmpl w:val="A468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C375A65"/>
    <w:multiLevelType w:val="multilevel"/>
    <w:tmpl w:val="1698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CF551BA"/>
    <w:multiLevelType w:val="multilevel"/>
    <w:tmpl w:val="0F56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D383D7E"/>
    <w:multiLevelType w:val="multilevel"/>
    <w:tmpl w:val="7434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D4B1CA7"/>
    <w:multiLevelType w:val="multilevel"/>
    <w:tmpl w:val="C6A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D6D2D6E"/>
    <w:multiLevelType w:val="hybridMultilevel"/>
    <w:tmpl w:val="229E5354"/>
    <w:lvl w:ilvl="0" w:tplc="226CD2D2">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8" w15:restartNumberingAfterBreak="0">
    <w:nsid w:val="3F514353"/>
    <w:multiLevelType w:val="multilevel"/>
    <w:tmpl w:val="B590C6F2"/>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FC22598"/>
    <w:multiLevelType w:val="hybridMultilevel"/>
    <w:tmpl w:val="E3A83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3FC40A98"/>
    <w:multiLevelType w:val="multilevel"/>
    <w:tmpl w:val="20CC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3FED222A"/>
    <w:multiLevelType w:val="multilevel"/>
    <w:tmpl w:val="9DF6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FF9639E"/>
    <w:multiLevelType w:val="multilevel"/>
    <w:tmpl w:val="BAEC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FFF6187"/>
    <w:multiLevelType w:val="multilevel"/>
    <w:tmpl w:val="77A80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0553924"/>
    <w:multiLevelType w:val="multilevel"/>
    <w:tmpl w:val="C14E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0A112A7"/>
    <w:multiLevelType w:val="multilevel"/>
    <w:tmpl w:val="6FF0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0CB7522"/>
    <w:multiLevelType w:val="multilevel"/>
    <w:tmpl w:val="D4E4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1870BA9"/>
    <w:multiLevelType w:val="hybridMultilevel"/>
    <w:tmpl w:val="1A545D18"/>
    <w:lvl w:ilvl="0" w:tplc="C81C69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42DF32DF"/>
    <w:multiLevelType w:val="multilevel"/>
    <w:tmpl w:val="777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2F03DC0"/>
    <w:multiLevelType w:val="multilevel"/>
    <w:tmpl w:val="47F8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4350232C"/>
    <w:multiLevelType w:val="hybridMultilevel"/>
    <w:tmpl w:val="6C461554"/>
    <w:lvl w:ilvl="0" w:tplc="1AB2705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43585926"/>
    <w:multiLevelType w:val="hybridMultilevel"/>
    <w:tmpl w:val="97B0E43E"/>
    <w:lvl w:ilvl="0" w:tplc="04EC2A3E">
      <w:start w:val="1"/>
      <w:numFmt w:val="bullet"/>
      <w:lvlText w:val=""/>
      <w:lvlJc w:val="left"/>
      <w:pPr>
        <w:tabs>
          <w:tab w:val="num" w:pos="6480"/>
        </w:tabs>
        <w:ind w:left="6480" w:hanging="360"/>
      </w:pPr>
      <w:rPr>
        <w:rFonts w:ascii="Symbol" w:hAnsi="Symbol" w:hint="default"/>
        <w:b w:val="0"/>
        <w:i w:val="0"/>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2" w15:restartNumberingAfterBreak="0">
    <w:nsid w:val="43CB7AB9"/>
    <w:multiLevelType w:val="hybridMultilevel"/>
    <w:tmpl w:val="80A2426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3" w15:restartNumberingAfterBreak="0">
    <w:nsid w:val="440709B5"/>
    <w:multiLevelType w:val="hybridMultilevel"/>
    <w:tmpl w:val="320EB1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4" w15:restartNumberingAfterBreak="0">
    <w:nsid w:val="44326CCF"/>
    <w:multiLevelType w:val="multilevel"/>
    <w:tmpl w:val="0CA09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3"/>
      <w:numFmt w:val="bullet"/>
      <w:lvlText w:val="-"/>
      <w:lvlJc w:val="left"/>
      <w:pPr>
        <w:ind w:left="2160" w:hanging="360"/>
      </w:pPr>
      <w:rPr>
        <w:rFonts w:ascii="Times New Roman" w:eastAsia="Times New Roman" w:hAnsi="Times New Roman" w:cs="Times New Roman"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49965D0"/>
    <w:multiLevelType w:val="multilevel"/>
    <w:tmpl w:val="53B0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4FA7E1B"/>
    <w:multiLevelType w:val="multilevel"/>
    <w:tmpl w:val="428C4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5A33042"/>
    <w:multiLevelType w:val="hybridMultilevel"/>
    <w:tmpl w:val="74A8E53E"/>
    <w:lvl w:ilvl="0" w:tplc="FFB2E6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5B44857"/>
    <w:multiLevelType w:val="hybridMultilevel"/>
    <w:tmpl w:val="0FCC5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68233EC"/>
    <w:multiLevelType w:val="multilevel"/>
    <w:tmpl w:val="5B2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6A91627"/>
    <w:multiLevelType w:val="multilevel"/>
    <w:tmpl w:val="ADECD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6BD0EA8"/>
    <w:multiLevelType w:val="multilevel"/>
    <w:tmpl w:val="F7A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73C1818"/>
    <w:multiLevelType w:val="multilevel"/>
    <w:tmpl w:val="F42E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7670E0E"/>
    <w:multiLevelType w:val="hybridMultilevel"/>
    <w:tmpl w:val="26864842"/>
    <w:lvl w:ilvl="0" w:tplc="7DC46970">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4" w15:restartNumberingAfterBreak="0">
    <w:nsid w:val="478907A4"/>
    <w:multiLevelType w:val="multilevel"/>
    <w:tmpl w:val="B28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7C16E16"/>
    <w:multiLevelType w:val="hybridMultilevel"/>
    <w:tmpl w:val="F68C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47D86A9A"/>
    <w:multiLevelType w:val="singleLevel"/>
    <w:tmpl w:val="D1DC83F6"/>
    <w:lvl w:ilvl="0">
      <w:start w:val="3"/>
      <w:numFmt w:val="lowerLetter"/>
      <w:lvlText w:val="(%1)"/>
      <w:lvlJc w:val="left"/>
      <w:pPr>
        <w:tabs>
          <w:tab w:val="num" w:pos="720"/>
        </w:tabs>
        <w:ind w:left="720" w:hanging="720"/>
      </w:pPr>
      <w:rPr>
        <w:rFonts w:hint="default"/>
      </w:rPr>
    </w:lvl>
  </w:abstractNum>
  <w:abstractNum w:abstractNumId="227" w15:restartNumberingAfterBreak="0">
    <w:nsid w:val="48081654"/>
    <w:multiLevelType w:val="hybridMultilevel"/>
    <w:tmpl w:val="F20C7E9C"/>
    <w:lvl w:ilvl="0" w:tplc="84C2A782">
      <w:start w:val="1"/>
      <w:numFmt w:val="bullet"/>
      <w:lvlText w:val=""/>
      <w:lvlJc w:val="left"/>
      <w:pPr>
        <w:ind w:left="770" w:hanging="360"/>
      </w:pPr>
      <w:rPr>
        <w:rFonts w:ascii="Symbol" w:hAnsi="Symbol" w:hint="default"/>
        <w:sz w:val="20"/>
        <w:szCs w:val="2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8" w15:restartNumberingAfterBreak="0">
    <w:nsid w:val="482047A1"/>
    <w:multiLevelType w:val="multilevel"/>
    <w:tmpl w:val="52DC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8680E50"/>
    <w:multiLevelType w:val="hybridMultilevel"/>
    <w:tmpl w:val="64325F80"/>
    <w:lvl w:ilvl="0" w:tplc="12E085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87B4E6D"/>
    <w:multiLevelType w:val="hybridMultilevel"/>
    <w:tmpl w:val="CDC6D982"/>
    <w:lvl w:ilvl="0" w:tplc="66C2B33C">
      <w:start w:val="1"/>
      <w:numFmt w:val="bullet"/>
      <w:lvlText w:val=""/>
      <w:lvlJc w:val="left"/>
      <w:pPr>
        <w:ind w:left="720" w:hanging="360"/>
      </w:pPr>
      <w:rPr>
        <w:rFonts w:ascii="Symbol" w:hAnsi="Symbol" w:hint="default"/>
        <w:sz w:val="20"/>
        <w:szCs w:val="20"/>
      </w:rPr>
    </w:lvl>
    <w:lvl w:ilvl="1" w:tplc="08A874C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48EE1930"/>
    <w:multiLevelType w:val="hybridMultilevel"/>
    <w:tmpl w:val="CFEC1DDC"/>
    <w:lvl w:ilvl="0" w:tplc="C24C69D0">
      <w:start w:val="1"/>
      <w:numFmt w:val="bullet"/>
      <w:lvlText w:val=""/>
      <w:lvlJc w:val="left"/>
      <w:pPr>
        <w:ind w:left="144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4911469E"/>
    <w:multiLevelType w:val="multilevel"/>
    <w:tmpl w:val="ABB2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91B45D1"/>
    <w:multiLevelType w:val="hybridMultilevel"/>
    <w:tmpl w:val="36A26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15:restartNumberingAfterBreak="0">
    <w:nsid w:val="49C85389"/>
    <w:multiLevelType w:val="hybridMultilevel"/>
    <w:tmpl w:val="EF18F0B6"/>
    <w:lvl w:ilvl="0" w:tplc="12D4B18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5" w15:restartNumberingAfterBreak="0">
    <w:nsid w:val="4A3B6BAF"/>
    <w:multiLevelType w:val="singleLevel"/>
    <w:tmpl w:val="EB0CAB3E"/>
    <w:lvl w:ilvl="0">
      <w:start w:val="1"/>
      <w:numFmt w:val="decimal"/>
      <w:lvlText w:val="(%1)"/>
      <w:lvlJc w:val="left"/>
      <w:pPr>
        <w:tabs>
          <w:tab w:val="num" w:pos="1080"/>
        </w:tabs>
        <w:ind w:left="1080" w:hanging="360"/>
      </w:pPr>
      <w:rPr>
        <w:rFonts w:hint="default"/>
      </w:rPr>
    </w:lvl>
  </w:abstractNum>
  <w:abstractNum w:abstractNumId="236" w15:restartNumberingAfterBreak="0">
    <w:nsid w:val="4B140DF5"/>
    <w:multiLevelType w:val="multilevel"/>
    <w:tmpl w:val="2D04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4B542214"/>
    <w:multiLevelType w:val="hybridMultilevel"/>
    <w:tmpl w:val="2FCAD456"/>
    <w:lvl w:ilvl="0" w:tplc="987C7D6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4B763C03"/>
    <w:multiLevelType w:val="hybridMultilevel"/>
    <w:tmpl w:val="9D2C10A0"/>
    <w:lvl w:ilvl="0" w:tplc="0C4E7CC8">
      <w:start w:val="1"/>
      <w:numFmt w:val="decimal"/>
      <w:lvlText w:val="%1."/>
      <w:lvlJc w:val="left"/>
      <w:pPr>
        <w:ind w:left="1005" w:hanging="360"/>
      </w:pPr>
      <w:rPr>
        <w:sz w:val="24"/>
        <w:szCs w:val="24"/>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9" w15:restartNumberingAfterBreak="0">
    <w:nsid w:val="4B7F09DA"/>
    <w:multiLevelType w:val="multilevel"/>
    <w:tmpl w:val="7290A18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B802902"/>
    <w:multiLevelType w:val="multilevel"/>
    <w:tmpl w:val="38EAB60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BBF120D"/>
    <w:multiLevelType w:val="multilevel"/>
    <w:tmpl w:val="C50E220A"/>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BFB3314"/>
    <w:multiLevelType w:val="hybridMultilevel"/>
    <w:tmpl w:val="691EFCB4"/>
    <w:lvl w:ilvl="0" w:tplc="C2C0C24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4C2741F4"/>
    <w:multiLevelType w:val="multilevel"/>
    <w:tmpl w:val="CF96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4CF649E7"/>
    <w:multiLevelType w:val="hybridMultilevel"/>
    <w:tmpl w:val="64325F80"/>
    <w:lvl w:ilvl="0" w:tplc="12E085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D21307A"/>
    <w:multiLevelType w:val="multilevel"/>
    <w:tmpl w:val="0B5C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4E027976"/>
    <w:multiLevelType w:val="hybridMultilevel"/>
    <w:tmpl w:val="354AE5C0"/>
    <w:lvl w:ilvl="0" w:tplc="96D4D45C">
      <w:start w:val="1"/>
      <w:numFmt w:val="decimal"/>
      <w:lvlText w:val="%1."/>
      <w:lvlJc w:val="left"/>
      <w:pPr>
        <w:tabs>
          <w:tab w:val="num" w:pos="1080"/>
        </w:tabs>
        <w:ind w:left="1080" w:hanging="360"/>
      </w:pPr>
      <w:rPr>
        <w:rFonts w:hint="default"/>
      </w:rPr>
    </w:lvl>
    <w:lvl w:ilvl="1" w:tplc="BC602C28">
      <w:start w:val="2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7" w15:restartNumberingAfterBreak="0">
    <w:nsid w:val="4E486A8D"/>
    <w:multiLevelType w:val="multilevel"/>
    <w:tmpl w:val="D0F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E7535F6"/>
    <w:multiLevelType w:val="hybridMultilevel"/>
    <w:tmpl w:val="864ED342"/>
    <w:lvl w:ilvl="0" w:tplc="F7CE29FA">
      <w:start w:val="1"/>
      <w:numFmt w:val="bullet"/>
      <w:lvlText w:val=""/>
      <w:lvlJc w:val="left"/>
      <w:pPr>
        <w:ind w:left="2227"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C6CF63C">
      <w:start w:val="1"/>
      <w:numFmt w:val="bullet"/>
      <w:lvlText w:val=""/>
      <w:lvlJc w:val="left"/>
      <w:pPr>
        <w:ind w:left="2880" w:hanging="360"/>
      </w:pPr>
      <w:rPr>
        <w:rFonts w:ascii="Symbol" w:hAnsi="Symbol"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15:restartNumberingAfterBreak="0">
    <w:nsid w:val="4F2634D4"/>
    <w:multiLevelType w:val="hybridMultilevel"/>
    <w:tmpl w:val="D44AA24A"/>
    <w:lvl w:ilvl="0" w:tplc="0BEE01F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0" w15:restartNumberingAfterBreak="0">
    <w:nsid w:val="4FA24869"/>
    <w:multiLevelType w:val="multilevel"/>
    <w:tmpl w:val="51B04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4FD72440"/>
    <w:multiLevelType w:val="hybridMultilevel"/>
    <w:tmpl w:val="5EC87B68"/>
    <w:lvl w:ilvl="0" w:tplc="E960BA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01C0F2D"/>
    <w:multiLevelType w:val="multilevel"/>
    <w:tmpl w:val="D302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507725A8"/>
    <w:multiLevelType w:val="multilevel"/>
    <w:tmpl w:val="9700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09B197E"/>
    <w:multiLevelType w:val="multilevel"/>
    <w:tmpl w:val="39E8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0C557BF"/>
    <w:multiLevelType w:val="multilevel"/>
    <w:tmpl w:val="F156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12A7BF0"/>
    <w:multiLevelType w:val="hybridMultilevel"/>
    <w:tmpl w:val="FC2A907A"/>
    <w:lvl w:ilvl="0" w:tplc="FD02ED24">
      <w:start w:val="1"/>
      <w:numFmt w:val="bullet"/>
      <w:lvlText w:val=""/>
      <w:lvlJc w:val="left"/>
      <w:pPr>
        <w:ind w:left="1710" w:hanging="360"/>
      </w:pPr>
      <w:rPr>
        <w:rFonts w:ascii="Symbol" w:hAnsi="Symbol" w:hint="default"/>
        <w:color w:val="auto"/>
        <w:sz w:val="20"/>
        <w:szCs w:val="2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7" w15:restartNumberingAfterBreak="0">
    <w:nsid w:val="51561163"/>
    <w:multiLevelType w:val="hybridMultilevel"/>
    <w:tmpl w:val="207ED106"/>
    <w:lvl w:ilvl="0" w:tplc="1AB27054">
      <w:start w:val="1"/>
      <w:numFmt w:val="bullet"/>
      <w:lvlText w:val=""/>
      <w:lvlJc w:val="left"/>
      <w:pPr>
        <w:ind w:left="720" w:hanging="360"/>
      </w:pPr>
      <w:rPr>
        <w:rFonts w:ascii="Symbol" w:hAnsi="Symbol" w:hint="default"/>
        <w:sz w:val="20"/>
        <w:szCs w:val="20"/>
      </w:rPr>
    </w:lvl>
    <w:lvl w:ilvl="1" w:tplc="68AC2390">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1737CA9"/>
    <w:multiLevelType w:val="hybridMultilevel"/>
    <w:tmpl w:val="900CB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51E20E2D"/>
    <w:multiLevelType w:val="multilevel"/>
    <w:tmpl w:val="2C26F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2013131"/>
    <w:multiLevelType w:val="multilevel"/>
    <w:tmpl w:val="EE4455E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27400E6"/>
    <w:multiLevelType w:val="hybridMultilevel"/>
    <w:tmpl w:val="76702A90"/>
    <w:lvl w:ilvl="0" w:tplc="4478FE1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322004B"/>
    <w:multiLevelType w:val="hybridMultilevel"/>
    <w:tmpl w:val="D5C8DC36"/>
    <w:lvl w:ilvl="0" w:tplc="E4309E10">
      <w:start w:val="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3" w15:restartNumberingAfterBreak="0">
    <w:nsid w:val="53D2567F"/>
    <w:multiLevelType w:val="hybridMultilevel"/>
    <w:tmpl w:val="23CCAB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4" w15:restartNumberingAfterBreak="0">
    <w:nsid w:val="53DE23CE"/>
    <w:multiLevelType w:val="multilevel"/>
    <w:tmpl w:val="7DD8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4005149"/>
    <w:multiLevelType w:val="hybridMultilevel"/>
    <w:tmpl w:val="33E2C64A"/>
    <w:lvl w:ilvl="0" w:tplc="C81C69F0">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6" w15:restartNumberingAfterBreak="0">
    <w:nsid w:val="5416284D"/>
    <w:multiLevelType w:val="hybridMultilevel"/>
    <w:tmpl w:val="5CB04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15:restartNumberingAfterBreak="0">
    <w:nsid w:val="54CA2115"/>
    <w:multiLevelType w:val="multilevel"/>
    <w:tmpl w:val="B90E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4F57392"/>
    <w:multiLevelType w:val="hybridMultilevel"/>
    <w:tmpl w:val="F68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55014E14"/>
    <w:multiLevelType w:val="multilevel"/>
    <w:tmpl w:val="5BDEE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56C6452"/>
    <w:multiLevelType w:val="singleLevel"/>
    <w:tmpl w:val="DAAED116"/>
    <w:lvl w:ilvl="0">
      <w:start w:val="1"/>
      <w:numFmt w:val="lowerRoman"/>
      <w:lvlText w:val="(%1)"/>
      <w:lvlJc w:val="left"/>
      <w:pPr>
        <w:tabs>
          <w:tab w:val="num" w:pos="1440"/>
        </w:tabs>
        <w:ind w:left="1440" w:hanging="720"/>
      </w:pPr>
      <w:rPr>
        <w:rFonts w:hint="default"/>
      </w:rPr>
    </w:lvl>
  </w:abstractNum>
  <w:abstractNum w:abstractNumId="271" w15:restartNumberingAfterBreak="0">
    <w:nsid w:val="560715DB"/>
    <w:multiLevelType w:val="hybridMultilevel"/>
    <w:tmpl w:val="04C6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56096C89"/>
    <w:multiLevelType w:val="multilevel"/>
    <w:tmpl w:val="5608086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566930BA"/>
    <w:multiLevelType w:val="multilevel"/>
    <w:tmpl w:val="F31C0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56787559"/>
    <w:multiLevelType w:val="hybridMultilevel"/>
    <w:tmpl w:val="09D8F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6C16F20"/>
    <w:multiLevelType w:val="multilevel"/>
    <w:tmpl w:val="ED46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71630CC"/>
    <w:multiLevelType w:val="hybridMultilevel"/>
    <w:tmpl w:val="317843FE"/>
    <w:lvl w:ilvl="0" w:tplc="B8D2E980">
      <w:start w:val="1"/>
      <w:numFmt w:val="bullet"/>
      <w:lvlText w:val=""/>
      <w:lvlJc w:val="left"/>
      <w:pPr>
        <w:ind w:left="1620" w:hanging="360"/>
      </w:pPr>
      <w:rPr>
        <w:rFonts w:ascii="Symbol" w:hAnsi="Symbol"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7" w15:restartNumberingAfterBreak="0">
    <w:nsid w:val="572E4AB7"/>
    <w:multiLevelType w:val="hybridMultilevel"/>
    <w:tmpl w:val="58E22980"/>
    <w:lvl w:ilvl="0" w:tplc="67106DEA">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8" w15:restartNumberingAfterBreak="0">
    <w:nsid w:val="57966750"/>
    <w:multiLevelType w:val="multilevel"/>
    <w:tmpl w:val="8B4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7A23A09"/>
    <w:multiLevelType w:val="hybridMultilevel"/>
    <w:tmpl w:val="0FF0A750"/>
    <w:lvl w:ilvl="0" w:tplc="1F4884B4">
      <w:start w:val="1"/>
      <w:numFmt w:val="bullet"/>
      <w:lvlText w:val=""/>
      <w:lvlJc w:val="left"/>
      <w:pPr>
        <w:ind w:left="1859" w:hanging="360"/>
      </w:pPr>
      <w:rPr>
        <w:rFonts w:ascii="Symbol" w:hAnsi="Symbol" w:hint="default"/>
        <w:color w:val="auto"/>
        <w:sz w:val="20"/>
        <w:szCs w:val="20"/>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80" w15:restartNumberingAfterBreak="0">
    <w:nsid w:val="57E54170"/>
    <w:multiLevelType w:val="multilevel"/>
    <w:tmpl w:val="6EBC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57E94988"/>
    <w:multiLevelType w:val="multilevel"/>
    <w:tmpl w:val="4668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57FB0208"/>
    <w:multiLevelType w:val="hybridMultilevel"/>
    <w:tmpl w:val="CA3AA986"/>
    <w:lvl w:ilvl="0" w:tplc="F6F26C9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57FE6B06"/>
    <w:multiLevelType w:val="hybridMultilevel"/>
    <w:tmpl w:val="E0A4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8020EF7"/>
    <w:multiLevelType w:val="hybridMultilevel"/>
    <w:tmpl w:val="ED42B9F6"/>
    <w:lvl w:ilvl="0" w:tplc="CAC0A0D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580D21F4"/>
    <w:multiLevelType w:val="hybridMultilevel"/>
    <w:tmpl w:val="81FAB23E"/>
    <w:lvl w:ilvl="0" w:tplc="A54CF1DC">
      <w:start w:val="1"/>
      <w:numFmt w:val="decimal"/>
      <w:lvlText w:val="%1."/>
      <w:lvlJc w:val="left"/>
      <w:pPr>
        <w:tabs>
          <w:tab w:val="num" w:pos="1080"/>
        </w:tabs>
        <w:ind w:left="1080" w:hanging="360"/>
      </w:pPr>
      <w:rPr>
        <w:rFonts w:hint="default"/>
      </w:rPr>
    </w:lvl>
    <w:lvl w:ilvl="1" w:tplc="8264B8C8">
      <w:start w:val="5"/>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6" w15:restartNumberingAfterBreak="0">
    <w:nsid w:val="58C55367"/>
    <w:multiLevelType w:val="hybridMultilevel"/>
    <w:tmpl w:val="BADA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58D12254"/>
    <w:multiLevelType w:val="multilevel"/>
    <w:tmpl w:val="596A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58D8223D"/>
    <w:multiLevelType w:val="hybridMultilevel"/>
    <w:tmpl w:val="7D908C20"/>
    <w:lvl w:ilvl="0" w:tplc="27D80422">
      <w:start w:val="1"/>
      <w:numFmt w:val="bullet"/>
      <w:lvlText w:val=""/>
      <w:lvlJc w:val="left"/>
      <w:pPr>
        <w:tabs>
          <w:tab w:val="num" w:pos="1560"/>
        </w:tabs>
        <w:ind w:left="1560" w:hanging="360"/>
      </w:pPr>
      <w:rPr>
        <w:rFonts w:ascii="Symbol" w:hAnsi="Symbol" w:hint="default"/>
        <w:color w:val="auto"/>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89" w15:restartNumberingAfterBreak="0">
    <w:nsid w:val="59346D12"/>
    <w:multiLevelType w:val="hybridMultilevel"/>
    <w:tmpl w:val="5EE03FAA"/>
    <w:lvl w:ilvl="0" w:tplc="C916CD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596E2138"/>
    <w:multiLevelType w:val="multilevel"/>
    <w:tmpl w:val="21B0B288"/>
    <w:lvl w:ilvl="0">
      <w:start w:val="5"/>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1" w15:restartNumberingAfterBreak="0">
    <w:nsid w:val="5A053A2D"/>
    <w:multiLevelType w:val="multilevel"/>
    <w:tmpl w:val="39AC03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5A7F1054"/>
    <w:multiLevelType w:val="multilevel"/>
    <w:tmpl w:val="29DA03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3" w15:restartNumberingAfterBreak="0">
    <w:nsid w:val="5AF940C0"/>
    <w:multiLevelType w:val="hybridMultilevel"/>
    <w:tmpl w:val="6276E772"/>
    <w:lvl w:ilvl="0" w:tplc="96C22968">
      <w:start w:val="1"/>
      <w:numFmt w:val="decimal"/>
      <w:lvlText w:val="%1."/>
      <w:lvlJc w:val="left"/>
      <w:pPr>
        <w:tabs>
          <w:tab w:val="num" w:pos="1560"/>
        </w:tabs>
        <w:ind w:left="1560" w:hanging="360"/>
      </w:pPr>
      <w:rPr>
        <w:rFonts w:ascii="Times New Roman" w:hAnsi="Times New Roman" w:cs="Times New Roman" w:hint="default"/>
        <w:color w:val="000000"/>
        <w:sz w:val="24"/>
        <w:szCs w:val="24"/>
      </w:rPr>
    </w:lvl>
    <w:lvl w:ilvl="1" w:tplc="04090001">
      <w:start w:val="1"/>
      <w:numFmt w:val="bullet"/>
      <w:lvlText w:val=""/>
      <w:lvlJc w:val="left"/>
      <w:pPr>
        <w:tabs>
          <w:tab w:val="num" w:pos="2280"/>
        </w:tabs>
        <w:ind w:left="2280" w:hanging="360"/>
      </w:pPr>
      <w:rPr>
        <w:rFonts w:ascii="Symbol" w:hAnsi="Symbol"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94" w15:restartNumberingAfterBreak="0">
    <w:nsid w:val="5B7C75AC"/>
    <w:multiLevelType w:val="multilevel"/>
    <w:tmpl w:val="FD02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5B8F4ED8"/>
    <w:multiLevelType w:val="hybridMultilevel"/>
    <w:tmpl w:val="E82468FA"/>
    <w:lvl w:ilvl="0" w:tplc="CDA6E2BA">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6" w15:restartNumberingAfterBreak="0">
    <w:nsid w:val="5BA760CA"/>
    <w:multiLevelType w:val="multilevel"/>
    <w:tmpl w:val="FA54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5C5A3A2E"/>
    <w:multiLevelType w:val="multilevel"/>
    <w:tmpl w:val="47004B1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5CCC41DB"/>
    <w:multiLevelType w:val="multilevel"/>
    <w:tmpl w:val="7150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5CFE4D09"/>
    <w:multiLevelType w:val="hybridMultilevel"/>
    <w:tmpl w:val="7B90C386"/>
    <w:lvl w:ilvl="0" w:tplc="694032AE">
      <w:start w:val="1"/>
      <w:numFmt w:val="bullet"/>
      <w:lvlText w:val=""/>
      <w:lvlJc w:val="left"/>
      <w:pPr>
        <w:ind w:left="135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0" w15:restartNumberingAfterBreak="0">
    <w:nsid w:val="5D350D70"/>
    <w:multiLevelType w:val="hybridMultilevel"/>
    <w:tmpl w:val="5A3AE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5E246229"/>
    <w:multiLevelType w:val="multilevel"/>
    <w:tmpl w:val="85AE0B4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5E3F6EA1"/>
    <w:multiLevelType w:val="hybridMultilevel"/>
    <w:tmpl w:val="8D50B3C6"/>
    <w:lvl w:ilvl="0" w:tplc="551A24D2">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3" w15:restartNumberingAfterBreak="0">
    <w:nsid w:val="5E773A53"/>
    <w:multiLevelType w:val="hybridMultilevel"/>
    <w:tmpl w:val="12EE76BA"/>
    <w:lvl w:ilvl="0" w:tplc="E516158C">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4" w15:restartNumberingAfterBreak="0">
    <w:nsid w:val="5E83152A"/>
    <w:multiLevelType w:val="multilevel"/>
    <w:tmpl w:val="6698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5F144722"/>
    <w:multiLevelType w:val="multilevel"/>
    <w:tmpl w:val="7278F6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5F6A263C"/>
    <w:multiLevelType w:val="multilevel"/>
    <w:tmpl w:val="E6C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60A44C05"/>
    <w:multiLevelType w:val="hybridMultilevel"/>
    <w:tmpl w:val="35D210DA"/>
    <w:lvl w:ilvl="0" w:tplc="03A640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61106B85"/>
    <w:multiLevelType w:val="multilevel"/>
    <w:tmpl w:val="403E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61F07469"/>
    <w:multiLevelType w:val="multilevel"/>
    <w:tmpl w:val="7C2E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2093923"/>
    <w:multiLevelType w:val="multilevel"/>
    <w:tmpl w:val="682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62325911"/>
    <w:multiLevelType w:val="multilevel"/>
    <w:tmpl w:val="3744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62773D9E"/>
    <w:multiLevelType w:val="multilevel"/>
    <w:tmpl w:val="14C0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6304500E"/>
    <w:multiLevelType w:val="multilevel"/>
    <w:tmpl w:val="D52E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63562486"/>
    <w:multiLevelType w:val="multilevel"/>
    <w:tmpl w:val="9EEA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63642CE8"/>
    <w:multiLevelType w:val="hybridMultilevel"/>
    <w:tmpl w:val="89F29EBA"/>
    <w:lvl w:ilvl="0" w:tplc="C466FABC">
      <w:start w:val="1"/>
      <w:numFmt w:val="decimal"/>
      <w:lvlText w:val="%1."/>
      <w:lvlJc w:val="left"/>
      <w:pPr>
        <w:ind w:left="1503" w:hanging="360"/>
      </w:pPr>
      <w:rPr>
        <w:color w:val="auto"/>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16" w15:restartNumberingAfterBreak="0">
    <w:nsid w:val="64056702"/>
    <w:multiLevelType w:val="multilevel"/>
    <w:tmpl w:val="FF40C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643F1E7B"/>
    <w:multiLevelType w:val="hybridMultilevel"/>
    <w:tmpl w:val="2B7EE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657C22B0"/>
    <w:multiLevelType w:val="hybridMultilevel"/>
    <w:tmpl w:val="EA426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65D67E59"/>
    <w:multiLevelType w:val="hybridMultilevel"/>
    <w:tmpl w:val="0EB48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15:restartNumberingAfterBreak="0">
    <w:nsid w:val="65F95176"/>
    <w:multiLevelType w:val="hybridMultilevel"/>
    <w:tmpl w:val="7E2254D2"/>
    <w:lvl w:ilvl="0" w:tplc="50EA8346">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1" w15:restartNumberingAfterBreak="0">
    <w:nsid w:val="66371374"/>
    <w:multiLevelType w:val="multilevel"/>
    <w:tmpl w:val="FD02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66505AAA"/>
    <w:multiLevelType w:val="hybridMultilevel"/>
    <w:tmpl w:val="CD3CF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66675C57"/>
    <w:multiLevelType w:val="multilevel"/>
    <w:tmpl w:val="6D00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6CD14FE"/>
    <w:multiLevelType w:val="hybridMultilevel"/>
    <w:tmpl w:val="211A6386"/>
    <w:lvl w:ilvl="0" w:tplc="EA7AE4A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67127AEF"/>
    <w:multiLevelType w:val="multilevel"/>
    <w:tmpl w:val="D24C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676307D7"/>
    <w:multiLevelType w:val="hybridMultilevel"/>
    <w:tmpl w:val="BA5C01D6"/>
    <w:lvl w:ilvl="0" w:tplc="1AB27054">
      <w:start w:val="1"/>
      <w:numFmt w:val="bullet"/>
      <w:lvlText w:val=""/>
      <w:lvlJc w:val="left"/>
      <w:pPr>
        <w:ind w:left="720" w:hanging="360"/>
      </w:pPr>
      <w:rPr>
        <w:rFonts w:ascii="Symbol" w:hAnsi="Symbol" w:hint="default"/>
        <w:sz w:val="20"/>
        <w:szCs w:val="20"/>
      </w:rPr>
    </w:lvl>
    <w:lvl w:ilvl="1" w:tplc="EB6420AA">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682C397A"/>
    <w:multiLevelType w:val="hybridMultilevel"/>
    <w:tmpl w:val="8FA40504"/>
    <w:lvl w:ilvl="0" w:tplc="5888BCB4">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68350093"/>
    <w:multiLevelType w:val="multilevel"/>
    <w:tmpl w:val="63EA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68567476"/>
    <w:multiLevelType w:val="hybridMultilevel"/>
    <w:tmpl w:val="C1206998"/>
    <w:lvl w:ilvl="0" w:tplc="7114AC14">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330" w15:restartNumberingAfterBreak="0">
    <w:nsid w:val="68665459"/>
    <w:multiLevelType w:val="multilevel"/>
    <w:tmpl w:val="F1E2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6867799B"/>
    <w:multiLevelType w:val="multilevel"/>
    <w:tmpl w:val="0C9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6879398D"/>
    <w:multiLevelType w:val="hybridMultilevel"/>
    <w:tmpl w:val="6C7C4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8967F80"/>
    <w:multiLevelType w:val="multilevel"/>
    <w:tmpl w:val="38E0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68972FCE"/>
    <w:multiLevelType w:val="hybridMultilevel"/>
    <w:tmpl w:val="7D9666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5" w15:restartNumberingAfterBreak="0">
    <w:nsid w:val="68A668D8"/>
    <w:multiLevelType w:val="hybridMultilevel"/>
    <w:tmpl w:val="05B6850A"/>
    <w:lvl w:ilvl="0" w:tplc="687610EC">
      <w:start w:val="1"/>
      <w:numFmt w:val="bullet"/>
      <w:lvlText w:val=""/>
      <w:lvlJc w:val="left"/>
      <w:pPr>
        <w:ind w:left="1425" w:hanging="360"/>
      </w:pPr>
      <w:rPr>
        <w:rFonts w:ascii="Symbol" w:hAnsi="Symbol" w:hint="default"/>
        <w:sz w:val="20"/>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36" w15:restartNumberingAfterBreak="0">
    <w:nsid w:val="692164BE"/>
    <w:multiLevelType w:val="multilevel"/>
    <w:tmpl w:val="CA383FA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69791230"/>
    <w:multiLevelType w:val="multilevel"/>
    <w:tmpl w:val="E91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698D07C8"/>
    <w:multiLevelType w:val="hybridMultilevel"/>
    <w:tmpl w:val="D43A70B2"/>
    <w:lvl w:ilvl="0" w:tplc="B62C5BBC">
      <w:start w:val="1"/>
      <w:numFmt w:val="decimal"/>
      <w:lvlText w:val="%1."/>
      <w:lvlJc w:val="left"/>
      <w:pPr>
        <w:ind w:left="990" w:hanging="360"/>
      </w:pPr>
      <w:rPr>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9" w15:restartNumberingAfterBreak="0">
    <w:nsid w:val="69E011D1"/>
    <w:multiLevelType w:val="multilevel"/>
    <w:tmpl w:val="5BFA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6A1F6C8B"/>
    <w:multiLevelType w:val="multilevel"/>
    <w:tmpl w:val="D92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6A602D84"/>
    <w:multiLevelType w:val="multilevel"/>
    <w:tmpl w:val="9E56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6A8D7816"/>
    <w:multiLevelType w:val="multilevel"/>
    <w:tmpl w:val="560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6B057802"/>
    <w:multiLevelType w:val="hybridMultilevel"/>
    <w:tmpl w:val="72827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15:restartNumberingAfterBreak="0">
    <w:nsid w:val="6B0B6179"/>
    <w:multiLevelType w:val="hybridMultilevel"/>
    <w:tmpl w:val="5284218A"/>
    <w:lvl w:ilvl="0" w:tplc="014C1C70">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5" w15:restartNumberingAfterBreak="0">
    <w:nsid w:val="6BE74D96"/>
    <w:multiLevelType w:val="multilevel"/>
    <w:tmpl w:val="764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6BF72FBA"/>
    <w:multiLevelType w:val="multilevel"/>
    <w:tmpl w:val="65A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6C5431EB"/>
    <w:multiLevelType w:val="hybridMultilevel"/>
    <w:tmpl w:val="AC6E87EC"/>
    <w:lvl w:ilvl="0" w:tplc="318063B6">
      <w:start w:val="1"/>
      <w:numFmt w:val="bullet"/>
      <w:lvlText w:val=""/>
      <w:lvlJc w:val="left"/>
      <w:pPr>
        <w:ind w:left="1185" w:hanging="360"/>
      </w:pPr>
      <w:rPr>
        <w:rFonts w:ascii="Symbol" w:hAnsi="Symbol" w:hint="default"/>
        <w:sz w:val="20"/>
        <w:szCs w:val="20"/>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48" w15:restartNumberingAfterBreak="0">
    <w:nsid w:val="6CA41405"/>
    <w:multiLevelType w:val="multilevel"/>
    <w:tmpl w:val="5368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6D022BAA"/>
    <w:multiLevelType w:val="multilevel"/>
    <w:tmpl w:val="8ABE1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6D244EF3"/>
    <w:multiLevelType w:val="multilevel"/>
    <w:tmpl w:val="F63E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6DA77E88"/>
    <w:multiLevelType w:val="multilevel"/>
    <w:tmpl w:val="DE34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6DDF42A8"/>
    <w:multiLevelType w:val="hybridMultilevel"/>
    <w:tmpl w:val="8ACE7CF4"/>
    <w:lvl w:ilvl="0" w:tplc="FE94F71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3" w15:restartNumberingAfterBreak="0">
    <w:nsid w:val="6E626D34"/>
    <w:multiLevelType w:val="hybridMultilevel"/>
    <w:tmpl w:val="D59096CC"/>
    <w:lvl w:ilvl="0" w:tplc="787C970C">
      <w:start w:val="1"/>
      <w:numFmt w:val="bullet"/>
      <w:lvlText w:val=""/>
      <w:lvlJc w:val="left"/>
      <w:pPr>
        <w:ind w:left="1560" w:hanging="360"/>
      </w:pPr>
      <w:rPr>
        <w:rFonts w:ascii="Symbol" w:hAnsi="Symbol" w:hint="default"/>
        <w:sz w:val="20"/>
        <w:szCs w:val="20"/>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54" w15:restartNumberingAfterBreak="0">
    <w:nsid w:val="6F0728E1"/>
    <w:multiLevelType w:val="hybridMultilevel"/>
    <w:tmpl w:val="8F5E6D82"/>
    <w:lvl w:ilvl="0" w:tplc="B38EFC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5" w15:restartNumberingAfterBreak="0">
    <w:nsid w:val="6FB42497"/>
    <w:multiLevelType w:val="multilevel"/>
    <w:tmpl w:val="CFFE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6FC77B72"/>
    <w:multiLevelType w:val="multilevel"/>
    <w:tmpl w:val="2C8C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702220D8"/>
    <w:multiLevelType w:val="multilevel"/>
    <w:tmpl w:val="4932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704545E1"/>
    <w:multiLevelType w:val="hybridMultilevel"/>
    <w:tmpl w:val="24AC5D38"/>
    <w:lvl w:ilvl="0" w:tplc="82C8D1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7065311C"/>
    <w:multiLevelType w:val="singleLevel"/>
    <w:tmpl w:val="FFFFFFFF"/>
    <w:lvl w:ilvl="0">
      <w:numFmt w:val="decimal"/>
      <w:lvlText w:val="*"/>
      <w:lvlJc w:val="left"/>
    </w:lvl>
  </w:abstractNum>
  <w:abstractNum w:abstractNumId="360" w15:restartNumberingAfterBreak="0">
    <w:nsid w:val="70653541"/>
    <w:multiLevelType w:val="hybridMultilevel"/>
    <w:tmpl w:val="539E51DA"/>
    <w:lvl w:ilvl="0" w:tplc="C81C69F0">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1" w15:restartNumberingAfterBreak="0">
    <w:nsid w:val="70814792"/>
    <w:multiLevelType w:val="multilevel"/>
    <w:tmpl w:val="D81E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70C8729D"/>
    <w:multiLevelType w:val="multilevel"/>
    <w:tmpl w:val="6B1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70FB3007"/>
    <w:multiLevelType w:val="multilevel"/>
    <w:tmpl w:val="5BD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734E5A7A"/>
    <w:multiLevelType w:val="multilevel"/>
    <w:tmpl w:val="65A01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5" w15:restartNumberingAfterBreak="0">
    <w:nsid w:val="73D623A9"/>
    <w:multiLevelType w:val="multilevel"/>
    <w:tmpl w:val="99BA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73DA490C"/>
    <w:multiLevelType w:val="multilevel"/>
    <w:tmpl w:val="4D80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74343F23"/>
    <w:multiLevelType w:val="hybridMultilevel"/>
    <w:tmpl w:val="AD56330E"/>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8" w15:restartNumberingAfterBreak="0">
    <w:nsid w:val="748D0351"/>
    <w:multiLevelType w:val="multilevel"/>
    <w:tmpl w:val="A98E1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75186F44"/>
    <w:multiLevelType w:val="multilevel"/>
    <w:tmpl w:val="60C25F98"/>
    <w:lvl w:ilvl="0">
      <w:start w:val="1"/>
      <w:numFmt w:val="decimal"/>
      <w:lvlText w:val="%1."/>
      <w:lvlJc w:val="left"/>
      <w:pPr>
        <w:tabs>
          <w:tab w:val="num" w:pos="720"/>
        </w:tabs>
        <w:ind w:left="720" w:hanging="360"/>
      </w:pPr>
      <w:rPr>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752D21DC"/>
    <w:multiLevelType w:val="multilevel"/>
    <w:tmpl w:val="535E8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539556A"/>
    <w:multiLevelType w:val="hybridMultilevel"/>
    <w:tmpl w:val="07964716"/>
    <w:lvl w:ilvl="0" w:tplc="A69C475A">
      <w:start w:val="1"/>
      <w:numFmt w:val="bullet"/>
      <w:lvlText w:val=""/>
      <w:lvlJc w:val="left"/>
      <w:pPr>
        <w:tabs>
          <w:tab w:val="num" w:pos="720"/>
        </w:tabs>
        <w:ind w:left="720" w:hanging="360"/>
      </w:pPr>
      <w:rPr>
        <w:rFonts w:ascii="Symbol" w:hAnsi="Symbol" w:hint="default"/>
        <w:sz w:val="20"/>
      </w:rPr>
    </w:lvl>
    <w:lvl w:ilvl="1" w:tplc="B2CCCD3E" w:tentative="1">
      <w:start w:val="1"/>
      <w:numFmt w:val="bullet"/>
      <w:lvlText w:val="o"/>
      <w:lvlJc w:val="left"/>
      <w:pPr>
        <w:tabs>
          <w:tab w:val="num" w:pos="1440"/>
        </w:tabs>
        <w:ind w:left="1440" w:hanging="360"/>
      </w:pPr>
      <w:rPr>
        <w:rFonts w:ascii="Courier New" w:hAnsi="Courier New" w:hint="default"/>
        <w:sz w:val="20"/>
      </w:rPr>
    </w:lvl>
    <w:lvl w:ilvl="2" w:tplc="3FA63BC8" w:tentative="1">
      <w:start w:val="1"/>
      <w:numFmt w:val="bullet"/>
      <w:lvlText w:val=""/>
      <w:lvlJc w:val="left"/>
      <w:pPr>
        <w:tabs>
          <w:tab w:val="num" w:pos="2160"/>
        </w:tabs>
        <w:ind w:left="2160" w:hanging="360"/>
      </w:pPr>
      <w:rPr>
        <w:rFonts w:ascii="Wingdings" w:hAnsi="Wingdings" w:hint="default"/>
        <w:sz w:val="20"/>
      </w:rPr>
    </w:lvl>
    <w:lvl w:ilvl="3" w:tplc="B2C0EF72" w:tentative="1">
      <w:start w:val="1"/>
      <w:numFmt w:val="bullet"/>
      <w:lvlText w:val=""/>
      <w:lvlJc w:val="left"/>
      <w:pPr>
        <w:tabs>
          <w:tab w:val="num" w:pos="2880"/>
        </w:tabs>
        <w:ind w:left="2880" w:hanging="360"/>
      </w:pPr>
      <w:rPr>
        <w:rFonts w:ascii="Wingdings" w:hAnsi="Wingdings" w:hint="default"/>
        <w:sz w:val="20"/>
      </w:rPr>
    </w:lvl>
    <w:lvl w:ilvl="4" w:tplc="7B2CDF16" w:tentative="1">
      <w:start w:val="1"/>
      <w:numFmt w:val="bullet"/>
      <w:lvlText w:val=""/>
      <w:lvlJc w:val="left"/>
      <w:pPr>
        <w:tabs>
          <w:tab w:val="num" w:pos="3600"/>
        </w:tabs>
        <w:ind w:left="3600" w:hanging="360"/>
      </w:pPr>
      <w:rPr>
        <w:rFonts w:ascii="Wingdings" w:hAnsi="Wingdings" w:hint="default"/>
        <w:sz w:val="20"/>
      </w:rPr>
    </w:lvl>
    <w:lvl w:ilvl="5" w:tplc="1354EF4A" w:tentative="1">
      <w:start w:val="1"/>
      <w:numFmt w:val="bullet"/>
      <w:lvlText w:val=""/>
      <w:lvlJc w:val="left"/>
      <w:pPr>
        <w:tabs>
          <w:tab w:val="num" w:pos="4320"/>
        </w:tabs>
        <w:ind w:left="4320" w:hanging="360"/>
      </w:pPr>
      <w:rPr>
        <w:rFonts w:ascii="Wingdings" w:hAnsi="Wingdings" w:hint="default"/>
        <w:sz w:val="20"/>
      </w:rPr>
    </w:lvl>
    <w:lvl w:ilvl="6" w:tplc="A07430BC" w:tentative="1">
      <w:start w:val="1"/>
      <w:numFmt w:val="bullet"/>
      <w:lvlText w:val=""/>
      <w:lvlJc w:val="left"/>
      <w:pPr>
        <w:tabs>
          <w:tab w:val="num" w:pos="5040"/>
        </w:tabs>
        <w:ind w:left="5040" w:hanging="360"/>
      </w:pPr>
      <w:rPr>
        <w:rFonts w:ascii="Wingdings" w:hAnsi="Wingdings" w:hint="default"/>
        <w:sz w:val="20"/>
      </w:rPr>
    </w:lvl>
    <w:lvl w:ilvl="7" w:tplc="E668D774" w:tentative="1">
      <w:start w:val="1"/>
      <w:numFmt w:val="bullet"/>
      <w:lvlText w:val=""/>
      <w:lvlJc w:val="left"/>
      <w:pPr>
        <w:tabs>
          <w:tab w:val="num" w:pos="5760"/>
        </w:tabs>
        <w:ind w:left="5760" w:hanging="360"/>
      </w:pPr>
      <w:rPr>
        <w:rFonts w:ascii="Wingdings" w:hAnsi="Wingdings" w:hint="default"/>
        <w:sz w:val="20"/>
      </w:rPr>
    </w:lvl>
    <w:lvl w:ilvl="8" w:tplc="30FA723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753E128A"/>
    <w:multiLevelType w:val="multilevel"/>
    <w:tmpl w:val="D418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75825C5E"/>
    <w:multiLevelType w:val="multilevel"/>
    <w:tmpl w:val="8ECE0D2E"/>
    <w:lvl w:ilvl="0">
      <w:start w:val="5"/>
      <w:numFmt w:val="bullet"/>
      <w:lvlText w:val="-"/>
      <w:lvlJc w:val="left"/>
      <w:pPr>
        <w:tabs>
          <w:tab w:val="num" w:pos="720"/>
        </w:tabs>
        <w:ind w:left="720" w:hanging="360"/>
      </w:pPr>
      <w:rPr>
        <w:rFonts w:ascii="Times New Roman" w:eastAsiaTheme="minorHAnsi"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76810966"/>
    <w:multiLevelType w:val="hybridMultilevel"/>
    <w:tmpl w:val="BC06E12C"/>
    <w:lvl w:ilvl="0" w:tplc="F70AF8FA">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5" w15:restartNumberingAfterBreak="0">
    <w:nsid w:val="771B14CB"/>
    <w:multiLevelType w:val="hybridMultilevel"/>
    <w:tmpl w:val="71AAE9DA"/>
    <w:lvl w:ilvl="0" w:tplc="C95EB3B0">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6" w15:restartNumberingAfterBreak="0">
    <w:nsid w:val="77204C99"/>
    <w:multiLevelType w:val="multilevel"/>
    <w:tmpl w:val="1CA6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77513A9"/>
    <w:multiLevelType w:val="multilevel"/>
    <w:tmpl w:val="DFFE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77A65DC7"/>
    <w:multiLevelType w:val="multilevel"/>
    <w:tmpl w:val="DB18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77FD7D40"/>
    <w:multiLevelType w:val="multilevel"/>
    <w:tmpl w:val="C9C8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780536F3"/>
    <w:multiLevelType w:val="multilevel"/>
    <w:tmpl w:val="A9CC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782C7A8E"/>
    <w:multiLevelType w:val="multilevel"/>
    <w:tmpl w:val="FEF2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78DD10E5"/>
    <w:multiLevelType w:val="multilevel"/>
    <w:tmpl w:val="AA74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790A3A9B"/>
    <w:multiLevelType w:val="multilevel"/>
    <w:tmpl w:val="F67A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795168C6"/>
    <w:multiLevelType w:val="multilevel"/>
    <w:tmpl w:val="851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799F2734"/>
    <w:multiLevelType w:val="hybridMultilevel"/>
    <w:tmpl w:val="63D0AFE4"/>
    <w:lvl w:ilvl="0" w:tplc="46906004">
      <w:start w:val="1"/>
      <w:numFmt w:val="bullet"/>
      <w:lvlText w:val=""/>
      <w:lvlJc w:val="left"/>
      <w:pPr>
        <w:ind w:left="1620" w:hanging="360"/>
      </w:pPr>
      <w:rPr>
        <w:rFonts w:ascii="Symbol" w:hAnsi="Symbol"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6" w15:restartNumberingAfterBreak="0">
    <w:nsid w:val="79D942E4"/>
    <w:multiLevelType w:val="multilevel"/>
    <w:tmpl w:val="C4D8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7A7F2C53"/>
    <w:multiLevelType w:val="multilevel"/>
    <w:tmpl w:val="D2FEF4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7B17659B"/>
    <w:multiLevelType w:val="multilevel"/>
    <w:tmpl w:val="7BC8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7B3203B3"/>
    <w:multiLevelType w:val="hybridMultilevel"/>
    <w:tmpl w:val="20D29CBC"/>
    <w:lvl w:ilvl="0" w:tplc="FFE4689E">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7B583A6D"/>
    <w:multiLevelType w:val="multilevel"/>
    <w:tmpl w:val="6D3A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7B890BF6"/>
    <w:multiLevelType w:val="multilevel"/>
    <w:tmpl w:val="0A080E2E"/>
    <w:lvl w:ilvl="0">
      <w:start w:val="1"/>
      <w:numFmt w:val="bullet"/>
      <w:lvlText w:val=""/>
      <w:lvlJc w:val="left"/>
      <w:pPr>
        <w:tabs>
          <w:tab w:val="num" w:pos="2250"/>
        </w:tabs>
        <w:ind w:left="2250" w:hanging="360"/>
      </w:pPr>
      <w:rPr>
        <w:rFonts w:ascii="Symbol" w:hAnsi="Symbol" w:hint="default"/>
        <w:sz w:val="20"/>
      </w:rPr>
    </w:lvl>
    <w:lvl w:ilvl="1">
      <w:start w:val="5"/>
      <w:numFmt w:val="bullet"/>
      <w:lvlText w:val="-"/>
      <w:lvlJc w:val="left"/>
      <w:pPr>
        <w:ind w:left="1440" w:hanging="360"/>
      </w:pPr>
      <w:rPr>
        <w:rFonts w:ascii="Symbol" w:eastAsiaTheme="minorHAnsi" w:hAnsi="Symbol" w:cs="Times New Roman" w:hint="default"/>
        <w:color w:val="auto"/>
        <w:sz w:val="20"/>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7BC62C33"/>
    <w:multiLevelType w:val="singleLevel"/>
    <w:tmpl w:val="BAACE71C"/>
    <w:lvl w:ilvl="0">
      <w:start w:val="2"/>
      <w:numFmt w:val="lowerLetter"/>
      <w:lvlText w:val="(%1)"/>
      <w:lvlJc w:val="left"/>
      <w:pPr>
        <w:tabs>
          <w:tab w:val="num" w:pos="2160"/>
        </w:tabs>
        <w:ind w:left="2160" w:hanging="720"/>
      </w:pPr>
      <w:rPr>
        <w:rFonts w:hint="default"/>
      </w:rPr>
    </w:lvl>
  </w:abstractNum>
  <w:abstractNum w:abstractNumId="393" w15:restartNumberingAfterBreak="0">
    <w:nsid w:val="7C8E245E"/>
    <w:multiLevelType w:val="multilevel"/>
    <w:tmpl w:val="1A801F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7CBF7F37"/>
    <w:multiLevelType w:val="hybridMultilevel"/>
    <w:tmpl w:val="77B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7CD70AE8"/>
    <w:multiLevelType w:val="multilevel"/>
    <w:tmpl w:val="8ECCA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7D283186"/>
    <w:multiLevelType w:val="multilevel"/>
    <w:tmpl w:val="44A6F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7D9F006A"/>
    <w:multiLevelType w:val="multilevel"/>
    <w:tmpl w:val="36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7DE813A3"/>
    <w:multiLevelType w:val="multilevel"/>
    <w:tmpl w:val="FAB6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7E3D45F6"/>
    <w:multiLevelType w:val="multilevel"/>
    <w:tmpl w:val="76D6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7E4A38BA"/>
    <w:multiLevelType w:val="multilevel"/>
    <w:tmpl w:val="D012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7E5014BE"/>
    <w:multiLevelType w:val="multilevel"/>
    <w:tmpl w:val="C49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7E821A32"/>
    <w:multiLevelType w:val="multilevel"/>
    <w:tmpl w:val="30FC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7E84680A"/>
    <w:multiLevelType w:val="hybridMultilevel"/>
    <w:tmpl w:val="2EAAB3D4"/>
    <w:lvl w:ilvl="0" w:tplc="8440216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15:restartNumberingAfterBreak="0">
    <w:nsid w:val="7F2A2FF8"/>
    <w:multiLevelType w:val="multilevel"/>
    <w:tmpl w:val="D960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7F7C02C4"/>
    <w:multiLevelType w:val="hybridMultilevel"/>
    <w:tmpl w:val="6130C224"/>
    <w:lvl w:ilvl="0" w:tplc="6256DFE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7FC4550E"/>
    <w:multiLevelType w:val="multilevel"/>
    <w:tmpl w:val="62CE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7FDC6806"/>
    <w:multiLevelType w:val="multilevel"/>
    <w:tmpl w:val="D974CE5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7FE36B0E"/>
    <w:multiLevelType w:val="multilevel"/>
    <w:tmpl w:val="B2142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74315">
    <w:abstractNumId w:val="374"/>
  </w:num>
  <w:num w:numId="2" w16cid:durableId="1083405975">
    <w:abstractNumId w:val="226"/>
  </w:num>
  <w:num w:numId="3" w16cid:durableId="1515028085">
    <w:abstractNumId w:val="235"/>
  </w:num>
  <w:num w:numId="4" w16cid:durableId="673921279">
    <w:abstractNumId w:val="270"/>
  </w:num>
  <w:num w:numId="5" w16cid:durableId="2004234053">
    <w:abstractNumId w:val="152"/>
  </w:num>
  <w:num w:numId="6" w16cid:durableId="1487624299">
    <w:abstractNumId w:val="392"/>
  </w:num>
  <w:num w:numId="7" w16cid:durableId="54665077">
    <w:abstractNumId w:val="169"/>
  </w:num>
  <w:num w:numId="8" w16cid:durableId="2069181681">
    <w:abstractNumId w:val="288"/>
  </w:num>
  <w:num w:numId="9" w16cid:durableId="1051272042">
    <w:abstractNumId w:val="76"/>
  </w:num>
  <w:num w:numId="10" w16cid:durableId="1845168038">
    <w:abstractNumId w:val="317"/>
  </w:num>
  <w:num w:numId="11" w16cid:durableId="205605250">
    <w:abstractNumId w:val="55"/>
  </w:num>
  <w:num w:numId="12" w16cid:durableId="807162123">
    <w:abstractNumId w:val="242"/>
  </w:num>
  <w:num w:numId="13" w16cid:durableId="1777407113">
    <w:abstractNumId w:val="148"/>
  </w:num>
  <w:num w:numId="14" w16cid:durableId="2147163214">
    <w:abstractNumId w:val="21"/>
  </w:num>
  <w:num w:numId="15" w16cid:durableId="1242105587">
    <w:abstractNumId w:val="153"/>
  </w:num>
  <w:num w:numId="16" w16cid:durableId="1627199275">
    <w:abstractNumId w:val="75"/>
  </w:num>
  <w:num w:numId="17" w16cid:durableId="526064928">
    <w:abstractNumId w:val="371"/>
  </w:num>
  <w:num w:numId="18" w16cid:durableId="357196562">
    <w:abstractNumId w:val="86"/>
  </w:num>
  <w:num w:numId="19" w16cid:durableId="921572894">
    <w:abstractNumId w:val="263"/>
  </w:num>
  <w:num w:numId="20" w16cid:durableId="301812328">
    <w:abstractNumId w:val="60"/>
  </w:num>
  <w:num w:numId="21" w16cid:durableId="1703438714">
    <w:abstractNumId w:val="72"/>
  </w:num>
  <w:num w:numId="22" w16cid:durableId="383136887">
    <w:abstractNumId w:val="293"/>
  </w:num>
  <w:num w:numId="23" w16cid:durableId="1887644794">
    <w:abstractNumId w:val="189"/>
  </w:num>
  <w:num w:numId="24" w16cid:durableId="773204905">
    <w:abstractNumId w:val="403"/>
  </w:num>
  <w:num w:numId="25" w16cid:durableId="834495399">
    <w:abstractNumId w:val="319"/>
  </w:num>
  <w:num w:numId="26" w16cid:durableId="521675576">
    <w:abstractNumId w:val="258"/>
  </w:num>
  <w:num w:numId="27" w16cid:durableId="997808626">
    <w:abstractNumId w:val="132"/>
  </w:num>
  <w:num w:numId="28" w16cid:durableId="224529766">
    <w:abstractNumId w:val="285"/>
  </w:num>
  <w:num w:numId="29" w16cid:durableId="2125151792">
    <w:abstractNumId w:val="246"/>
  </w:num>
  <w:num w:numId="30" w16cid:durableId="328869703">
    <w:abstractNumId w:val="100"/>
  </w:num>
  <w:num w:numId="31" w16cid:durableId="1727609066">
    <w:abstractNumId w:val="303"/>
  </w:num>
  <w:num w:numId="32" w16cid:durableId="1668553546">
    <w:abstractNumId w:val="199"/>
  </w:num>
  <w:num w:numId="33" w16cid:durableId="770583916">
    <w:abstractNumId w:val="318"/>
  </w:num>
  <w:num w:numId="34" w16cid:durableId="1837384305">
    <w:abstractNumId w:val="59"/>
  </w:num>
  <w:num w:numId="35" w16cid:durableId="1337615037">
    <w:abstractNumId w:val="41"/>
  </w:num>
  <w:num w:numId="36" w16cid:durableId="199511211">
    <w:abstractNumId w:val="334"/>
  </w:num>
  <w:num w:numId="37" w16cid:durableId="1911840228">
    <w:abstractNumId w:val="249"/>
  </w:num>
  <w:num w:numId="38" w16cid:durableId="1600213659">
    <w:abstractNumId w:val="127"/>
  </w:num>
  <w:num w:numId="39" w16cid:durableId="802118048">
    <w:abstractNumId w:val="343"/>
  </w:num>
  <w:num w:numId="40" w16cid:durableId="1439717909">
    <w:abstractNumId w:val="139"/>
  </w:num>
  <w:num w:numId="41" w16cid:durableId="768506179">
    <w:abstractNumId w:val="188"/>
  </w:num>
  <w:num w:numId="42" w16cid:durableId="658270325">
    <w:abstractNumId w:val="307"/>
  </w:num>
  <w:num w:numId="43" w16cid:durableId="212086148">
    <w:abstractNumId w:val="229"/>
  </w:num>
  <w:num w:numId="44" w16cid:durableId="990401789">
    <w:abstractNumId w:val="211"/>
  </w:num>
  <w:num w:numId="45" w16cid:durableId="85418515">
    <w:abstractNumId w:val="394"/>
  </w:num>
  <w:num w:numId="46" w16cid:durableId="1961571153">
    <w:abstractNumId w:val="104"/>
  </w:num>
  <w:num w:numId="47" w16cid:durableId="2129857038">
    <w:abstractNumId w:val="170"/>
  </w:num>
  <w:num w:numId="48" w16cid:durableId="216746716">
    <w:abstractNumId w:val="236"/>
  </w:num>
  <w:num w:numId="49" w16cid:durableId="1591352801">
    <w:abstractNumId w:val="126"/>
  </w:num>
  <w:num w:numId="50" w16cid:durableId="738288230">
    <w:abstractNumId w:val="70"/>
  </w:num>
  <w:num w:numId="51" w16cid:durableId="1478453093">
    <w:abstractNumId w:val="109"/>
  </w:num>
  <w:num w:numId="52" w16cid:durableId="828906791">
    <w:abstractNumId w:val="314"/>
  </w:num>
  <w:num w:numId="53" w16cid:durableId="1190411406">
    <w:abstractNumId w:val="221"/>
  </w:num>
  <w:num w:numId="54" w16cid:durableId="1572277306">
    <w:abstractNumId w:val="407"/>
  </w:num>
  <w:num w:numId="55" w16cid:durableId="2042121809">
    <w:abstractNumId w:val="191"/>
  </w:num>
  <w:num w:numId="56" w16cid:durableId="591939209">
    <w:abstractNumId w:val="83"/>
  </w:num>
  <w:num w:numId="57" w16cid:durableId="1564218195">
    <w:abstractNumId w:val="260"/>
  </w:num>
  <w:num w:numId="58" w16cid:durableId="281377715">
    <w:abstractNumId w:val="380"/>
  </w:num>
  <w:num w:numId="59" w16cid:durableId="963272503">
    <w:abstractNumId w:val="107"/>
  </w:num>
  <w:num w:numId="60" w16cid:durableId="2073505292">
    <w:abstractNumId w:val="181"/>
  </w:num>
  <w:num w:numId="61" w16cid:durableId="281233057">
    <w:abstractNumId w:val="198"/>
  </w:num>
  <w:num w:numId="62" w16cid:durableId="567108644">
    <w:abstractNumId w:val="278"/>
  </w:num>
  <w:num w:numId="63" w16cid:durableId="1679389121">
    <w:abstractNumId w:val="101"/>
  </w:num>
  <w:num w:numId="64" w16cid:durableId="494036540">
    <w:abstractNumId w:val="9"/>
  </w:num>
  <w:num w:numId="65" w16cid:durableId="1765029789">
    <w:abstractNumId w:val="220"/>
  </w:num>
  <w:num w:numId="66" w16cid:durableId="1663849704">
    <w:abstractNumId w:val="214"/>
  </w:num>
  <w:num w:numId="67" w16cid:durableId="1027172124">
    <w:abstractNumId w:val="31"/>
  </w:num>
  <w:num w:numId="68" w16cid:durableId="1650594605">
    <w:abstractNumId w:val="11"/>
  </w:num>
  <w:num w:numId="69" w16cid:durableId="1978994702">
    <w:abstractNumId w:val="53"/>
  </w:num>
  <w:num w:numId="70" w16cid:durableId="147135613">
    <w:abstractNumId w:val="185"/>
  </w:num>
  <w:num w:numId="71" w16cid:durableId="464930368">
    <w:abstractNumId w:val="190"/>
  </w:num>
  <w:num w:numId="72" w16cid:durableId="2019306468">
    <w:abstractNumId w:val="339"/>
  </w:num>
  <w:num w:numId="73" w16cid:durableId="400908879">
    <w:abstractNumId w:val="331"/>
  </w:num>
  <w:num w:numId="74" w16cid:durableId="115875159">
    <w:abstractNumId w:val="216"/>
  </w:num>
  <w:num w:numId="75" w16cid:durableId="1180002739">
    <w:abstractNumId w:val="94"/>
  </w:num>
  <w:num w:numId="76" w16cid:durableId="1301568163">
    <w:abstractNumId w:val="400"/>
  </w:num>
  <w:num w:numId="77" w16cid:durableId="2133404648">
    <w:abstractNumId w:val="399"/>
  </w:num>
  <w:num w:numId="78" w16cid:durableId="230390338">
    <w:abstractNumId w:val="393"/>
  </w:num>
  <w:num w:numId="79" w16cid:durableId="741680304">
    <w:abstractNumId w:val="192"/>
  </w:num>
  <w:num w:numId="80" w16cid:durableId="797452574">
    <w:abstractNumId w:val="287"/>
  </w:num>
  <w:num w:numId="81" w16cid:durableId="1477186546">
    <w:abstractNumId w:val="134"/>
  </w:num>
  <w:num w:numId="82" w16cid:durableId="544296120">
    <w:abstractNumId w:val="25"/>
  </w:num>
  <w:num w:numId="83" w16cid:durableId="609509699">
    <w:abstractNumId w:val="332"/>
  </w:num>
  <w:num w:numId="84" w16cid:durableId="112407796">
    <w:abstractNumId w:val="173"/>
  </w:num>
  <w:num w:numId="85" w16cid:durableId="1343973756">
    <w:abstractNumId w:val="65"/>
  </w:num>
  <w:num w:numId="86" w16cid:durableId="1451630919">
    <w:abstractNumId w:val="322"/>
  </w:num>
  <w:num w:numId="87" w16cid:durableId="13001325">
    <w:abstractNumId w:val="218"/>
  </w:num>
  <w:num w:numId="88" w16cid:durableId="1673484521">
    <w:abstractNumId w:val="367"/>
  </w:num>
  <w:num w:numId="89" w16cid:durableId="866792554">
    <w:abstractNumId w:val="186"/>
  </w:num>
  <w:num w:numId="90" w16cid:durableId="261960678">
    <w:abstractNumId w:val="359"/>
  </w:num>
  <w:num w:numId="91" w16cid:durableId="1203637122">
    <w:abstractNumId w:val="157"/>
  </w:num>
  <w:num w:numId="92" w16cid:durableId="390276238">
    <w:abstractNumId w:val="295"/>
  </w:num>
  <w:num w:numId="93" w16cid:durableId="197164150">
    <w:abstractNumId w:val="338"/>
  </w:num>
  <w:num w:numId="94" w16cid:durableId="1471899178">
    <w:abstractNumId w:val="241"/>
  </w:num>
  <w:num w:numId="95" w16cid:durableId="2127772720">
    <w:abstractNumId w:val="297"/>
  </w:num>
  <w:num w:numId="96" w16cid:durableId="1436171355">
    <w:abstractNumId w:val="208"/>
  </w:num>
  <w:num w:numId="97" w16cid:durableId="671377871">
    <w:abstractNumId w:val="93"/>
  </w:num>
  <w:num w:numId="98" w16cid:durableId="1161502538">
    <w:abstractNumId w:val="366"/>
  </w:num>
  <w:num w:numId="99" w16cid:durableId="1610626268">
    <w:abstractNumId w:val="30"/>
  </w:num>
  <w:num w:numId="100" w16cid:durableId="1887833827">
    <w:abstractNumId w:val="301"/>
  </w:num>
  <w:num w:numId="101" w16cid:durableId="1783959222">
    <w:abstractNumId w:val="250"/>
  </w:num>
  <w:num w:numId="102" w16cid:durableId="1776175171">
    <w:abstractNumId w:val="245"/>
  </w:num>
  <w:num w:numId="103" w16cid:durableId="1009528206">
    <w:abstractNumId w:val="209"/>
  </w:num>
  <w:num w:numId="104" w16cid:durableId="1737626254">
    <w:abstractNumId w:val="23"/>
  </w:num>
  <w:num w:numId="105" w16cid:durableId="1655529946">
    <w:abstractNumId w:val="164"/>
  </w:num>
  <w:num w:numId="106" w16cid:durableId="1800029545">
    <w:abstractNumId w:val="187"/>
  </w:num>
  <w:num w:numId="107" w16cid:durableId="1654870042">
    <w:abstractNumId w:val="175"/>
  </w:num>
  <w:num w:numId="108" w16cid:durableId="1360549570">
    <w:abstractNumId w:val="193"/>
  </w:num>
  <w:num w:numId="109" w16cid:durableId="878009448">
    <w:abstractNumId w:val="97"/>
  </w:num>
  <w:num w:numId="110" w16cid:durableId="79328423">
    <w:abstractNumId w:val="89"/>
  </w:num>
  <w:num w:numId="111" w16cid:durableId="1134373768">
    <w:abstractNumId w:val="61"/>
  </w:num>
  <w:num w:numId="112" w16cid:durableId="2128889124">
    <w:abstractNumId w:val="401"/>
  </w:num>
  <w:num w:numId="113" w16cid:durableId="799684757">
    <w:abstractNumId w:val="330"/>
  </w:num>
  <w:num w:numId="114" w16cid:durableId="1720662024">
    <w:abstractNumId w:val="308"/>
  </w:num>
  <w:num w:numId="115" w16cid:durableId="2080787131">
    <w:abstractNumId w:val="296"/>
  </w:num>
  <w:num w:numId="116" w16cid:durableId="860164076">
    <w:abstractNumId w:val="106"/>
  </w:num>
  <w:num w:numId="117" w16cid:durableId="668992061">
    <w:abstractNumId w:val="32"/>
  </w:num>
  <w:num w:numId="118" w16cid:durableId="2172983">
    <w:abstractNumId w:val="358"/>
  </w:num>
  <w:num w:numId="119" w16cid:durableId="615479175">
    <w:abstractNumId w:val="268"/>
  </w:num>
  <w:num w:numId="120" w16cid:durableId="1203447670">
    <w:abstractNumId w:val="376"/>
  </w:num>
  <w:num w:numId="121" w16cid:durableId="820345365">
    <w:abstractNumId w:val="20"/>
  </w:num>
  <w:num w:numId="122" w16cid:durableId="1491170807">
    <w:abstractNumId w:val="159"/>
  </w:num>
  <w:num w:numId="123" w16cid:durableId="1993438247">
    <w:abstractNumId w:val="44"/>
  </w:num>
  <w:num w:numId="124" w16cid:durableId="1306814108">
    <w:abstractNumId w:val="64"/>
  </w:num>
  <w:num w:numId="125" w16cid:durableId="382994011">
    <w:abstractNumId w:val="22"/>
  </w:num>
  <w:num w:numId="126" w16cid:durableId="1644115866">
    <w:abstractNumId w:val="388"/>
  </w:num>
  <w:num w:numId="127" w16cid:durableId="1615596262">
    <w:abstractNumId w:val="386"/>
  </w:num>
  <w:num w:numId="128" w16cid:durableId="292370745">
    <w:abstractNumId w:val="375"/>
  </w:num>
  <w:num w:numId="129" w16cid:durableId="79568716">
    <w:abstractNumId w:val="28"/>
  </w:num>
  <w:num w:numId="130" w16cid:durableId="1174613543">
    <w:abstractNumId w:val="217"/>
  </w:num>
  <w:num w:numId="131" w16cid:durableId="1636639524">
    <w:abstractNumId w:val="283"/>
  </w:num>
  <w:num w:numId="132" w16cid:durableId="624384553">
    <w:abstractNumId w:val="66"/>
  </w:num>
  <w:num w:numId="133" w16cid:durableId="1888419979">
    <w:abstractNumId w:val="227"/>
  </w:num>
  <w:num w:numId="134" w16cid:durableId="1960523620">
    <w:abstractNumId w:val="141"/>
  </w:num>
  <w:num w:numId="135" w16cid:durableId="336930889">
    <w:abstractNumId w:val="391"/>
  </w:num>
  <w:num w:numId="136" w16cid:durableId="1351493934">
    <w:abstractNumId w:val="327"/>
  </w:num>
  <w:num w:numId="137" w16cid:durableId="54396785">
    <w:abstractNumId w:val="16"/>
  </w:num>
  <w:num w:numId="138" w16cid:durableId="1856307953">
    <w:abstractNumId w:val="277"/>
  </w:num>
  <w:num w:numId="139" w16cid:durableId="1944533849">
    <w:abstractNumId w:val="128"/>
  </w:num>
  <w:num w:numId="140" w16cid:durableId="1030226174">
    <w:abstractNumId w:val="340"/>
  </w:num>
  <w:num w:numId="141" w16cid:durableId="1455441013">
    <w:abstractNumId w:val="113"/>
  </w:num>
  <w:num w:numId="142" w16cid:durableId="143351705">
    <w:abstractNumId w:val="4"/>
  </w:num>
  <w:num w:numId="143" w16cid:durableId="1806196278">
    <w:abstractNumId w:val="248"/>
  </w:num>
  <w:num w:numId="144" w16cid:durableId="1749502237">
    <w:abstractNumId w:val="289"/>
  </w:num>
  <w:num w:numId="145" w16cid:durableId="1334406704">
    <w:abstractNumId w:val="238"/>
  </w:num>
  <w:num w:numId="146" w16cid:durableId="1085958093">
    <w:abstractNumId w:val="168"/>
  </w:num>
  <w:num w:numId="147" w16cid:durableId="129902739">
    <w:abstractNumId w:val="347"/>
  </w:num>
  <w:num w:numId="148" w16cid:durableId="83500014">
    <w:abstractNumId w:val="95"/>
  </w:num>
  <w:num w:numId="149" w16cid:durableId="1089500767">
    <w:abstractNumId w:val="274"/>
  </w:num>
  <w:num w:numId="150" w16cid:durableId="126897904">
    <w:abstractNumId w:val="144"/>
  </w:num>
  <w:num w:numId="151" w16cid:durableId="1337001708">
    <w:abstractNumId w:val="0"/>
  </w:num>
  <w:num w:numId="152" w16cid:durableId="1730029015">
    <w:abstractNumId w:val="183"/>
  </w:num>
  <w:num w:numId="153" w16cid:durableId="22561014">
    <w:abstractNumId w:val="300"/>
  </w:num>
  <w:num w:numId="154" w16cid:durableId="1241527740">
    <w:abstractNumId w:val="73"/>
  </w:num>
  <w:num w:numId="155" w16cid:durableId="1553613504">
    <w:abstractNumId w:val="114"/>
  </w:num>
  <w:num w:numId="156" w16cid:durableId="884440219">
    <w:abstractNumId w:val="239"/>
  </w:num>
  <w:num w:numId="157" w16cid:durableId="1610620374">
    <w:abstractNumId w:val="271"/>
  </w:num>
  <w:num w:numId="158" w16cid:durableId="1823690321">
    <w:abstractNumId w:val="261"/>
  </w:num>
  <w:num w:numId="159" w16cid:durableId="283856326">
    <w:abstractNumId w:val="135"/>
  </w:num>
  <w:num w:numId="160" w16cid:durableId="1967159769">
    <w:abstractNumId w:val="112"/>
  </w:num>
  <w:num w:numId="161" w16cid:durableId="1637760022">
    <w:abstractNumId w:val="52"/>
  </w:num>
  <w:num w:numId="162" w16cid:durableId="1832911915">
    <w:abstractNumId w:val="29"/>
  </w:num>
  <w:num w:numId="163" w16cid:durableId="1182009176">
    <w:abstractNumId w:val="396"/>
  </w:num>
  <w:num w:numId="164" w16cid:durableId="121507906">
    <w:abstractNumId w:val="47"/>
  </w:num>
  <w:num w:numId="165" w16cid:durableId="1918320379">
    <w:abstractNumId w:val="357"/>
  </w:num>
  <w:num w:numId="166" w16cid:durableId="1542983988">
    <w:abstractNumId w:val="117"/>
  </w:num>
  <w:num w:numId="167" w16cid:durableId="210504930">
    <w:abstractNumId w:val="398"/>
  </w:num>
  <w:num w:numId="168" w16cid:durableId="150996151">
    <w:abstractNumId w:val="316"/>
  </w:num>
  <w:num w:numId="169" w16cid:durableId="1916469758">
    <w:abstractNumId w:val="69"/>
  </w:num>
  <w:num w:numId="170" w16cid:durableId="1580557499">
    <w:abstractNumId w:val="45"/>
  </w:num>
  <w:num w:numId="171" w16cid:durableId="876963662">
    <w:abstractNumId w:val="182"/>
  </w:num>
  <w:num w:numId="172" w16cid:durableId="555629710">
    <w:abstractNumId w:val="146"/>
  </w:num>
  <w:num w:numId="173" w16cid:durableId="1903062061">
    <w:abstractNumId w:val="172"/>
  </w:num>
  <w:num w:numId="174" w16cid:durableId="1207377328">
    <w:abstractNumId w:val="223"/>
  </w:num>
  <w:num w:numId="175" w16cid:durableId="1515459791">
    <w:abstractNumId w:val="74"/>
  </w:num>
  <w:num w:numId="176" w16cid:durableId="1402752687">
    <w:abstractNumId w:val="176"/>
  </w:num>
  <w:num w:numId="177" w16cid:durableId="1980383732">
    <w:abstractNumId w:val="34"/>
  </w:num>
  <w:num w:numId="178" w16cid:durableId="894394487">
    <w:abstractNumId w:val="165"/>
  </w:num>
  <w:num w:numId="179" w16cid:durableId="390076972">
    <w:abstractNumId w:val="98"/>
  </w:num>
  <w:num w:numId="180" w16cid:durableId="1934168545">
    <w:abstractNumId w:val="342"/>
  </w:num>
  <w:num w:numId="181" w16cid:durableId="1799644177">
    <w:abstractNumId w:val="110"/>
  </w:num>
  <w:num w:numId="182" w16cid:durableId="4137748">
    <w:abstractNumId w:val="2"/>
  </w:num>
  <w:num w:numId="183" w16cid:durableId="66076633">
    <w:abstractNumId w:val="266"/>
  </w:num>
  <w:num w:numId="184" w16cid:durableId="968435956">
    <w:abstractNumId w:val="320"/>
  </w:num>
  <w:num w:numId="185" w16cid:durableId="1829054433">
    <w:abstractNumId w:val="315"/>
  </w:num>
  <w:num w:numId="186" w16cid:durableId="1155991177">
    <w:abstractNumId w:val="27"/>
  </w:num>
  <w:num w:numId="187" w16cid:durableId="433525074">
    <w:abstractNumId w:val="212"/>
  </w:num>
  <w:num w:numId="188" w16cid:durableId="1267807958">
    <w:abstractNumId w:val="38"/>
  </w:num>
  <w:num w:numId="189" w16cid:durableId="760025008">
    <w:abstractNumId w:val="329"/>
  </w:num>
  <w:num w:numId="190" w16cid:durableId="1333413097">
    <w:abstractNumId w:val="108"/>
  </w:num>
  <w:num w:numId="191" w16cid:durableId="799612904">
    <w:abstractNumId w:val="385"/>
  </w:num>
  <w:num w:numId="192" w16cid:durableId="1871019839">
    <w:abstractNumId w:val="84"/>
  </w:num>
  <w:num w:numId="193" w16cid:durableId="1419445446">
    <w:abstractNumId w:val="67"/>
  </w:num>
  <w:num w:numId="194" w16cid:durableId="1154448969">
    <w:abstractNumId w:val="42"/>
  </w:num>
  <w:num w:numId="195" w16cid:durableId="1230534165">
    <w:abstractNumId w:val="344"/>
  </w:num>
  <w:num w:numId="196" w16cid:durableId="1535575619">
    <w:abstractNumId w:val="207"/>
  </w:num>
  <w:num w:numId="197" w16cid:durableId="475418485">
    <w:abstractNumId w:val="43"/>
  </w:num>
  <w:num w:numId="198" w16cid:durableId="2064016002">
    <w:abstractNumId w:val="360"/>
  </w:num>
  <w:num w:numId="199" w16cid:durableId="2054840235">
    <w:abstractNumId w:val="265"/>
  </w:num>
  <w:num w:numId="200" w16cid:durableId="1391342115">
    <w:abstractNumId w:val="213"/>
  </w:num>
  <w:num w:numId="201" w16cid:durableId="65227079">
    <w:abstractNumId w:val="103"/>
  </w:num>
  <w:num w:numId="202" w16cid:durableId="152568011">
    <w:abstractNumId w:val="46"/>
  </w:num>
  <w:num w:numId="203" w16cid:durableId="1505902507">
    <w:abstractNumId w:val="267"/>
  </w:num>
  <w:num w:numId="204" w16cid:durableId="298651081">
    <w:abstractNumId w:val="254"/>
  </w:num>
  <w:num w:numId="205" w16cid:durableId="1045444980">
    <w:abstractNumId w:val="368"/>
  </w:num>
  <w:num w:numId="206" w16cid:durableId="582909587">
    <w:abstractNumId w:val="33"/>
  </w:num>
  <w:num w:numId="207" w16cid:durableId="525800081">
    <w:abstractNumId w:val="79"/>
  </w:num>
  <w:num w:numId="208" w16cid:durableId="998188373">
    <w:abstractNumId w:val="280"/>
  </w:num>
  <w:num w:numId="209" w16cid:durableId="497817787">
    <w:abstractNumId w:val="384"/>
  </w:num>
  <w:num w:numId="210" w16cid:durableId="729350520">
    <w:abstractNumId w:val="80"/>
  </w:num>
  <w:num w:numId="211" w16cid:durableId="147476577">
    <w:abstractNumId w:val="177"/>
  </w:num>
  <w:num w:numId="212" w16cid:durableId="1437821575">
    <w:abstractNumId w:val="119"/>
  </w:num>
  <w:num w:numId="213" w16cid:durableId="8878171">
    <w:abstractNumId w:val="355"/>
  </w:num>
  <w:num w:numId="214" w16cid:durableId="1194226875">
    <w:abstractNumId w:val="348"/>
  </w:num>
  <w:num w:numId="215" w16cid:durableId="1992250301">
    <w:abstractNumId w:val="129"/>
  </w:num>
  <w:num w:numId="216" w16cid:durableId="677847777">
    <w:abstractNumId w:val="145"/>
  </w:num>
  <w:num w:numId="217" w16cid:durableId="1926957314">
    <w:abstractNumId w:val="150"/>
  </w:num>
  <w:num w:numId="218" w16cid:durableId="1953244036">
    <w:abstractNumId w:val="147"/>
  </w:num>
  <w:num w:numId="219" w16cid:durableId="183328826">
    <w:abstractNumId w:val="154"/>
  </w:num>
  <w:num w:numId="220" w16cid:durableId="2095281142">
    <w:abstractNumId w:val="7"/>
  </w:num>
  <w:num w:numId="221" w16cid:durableId="25567324">
    <w:abstractNumId w:val="362"/>
  </w:num>
  <w:num w:numId="222" w16cid:durableId="23019386">
    <w:abstractNumId w:val="68"/>
  </w:num>
  <w:num w:numId="223" w16cid:durableId="1462305787">
    <w:abstractNumId w:val="244"/>
  </w:num>
  <w:num w:numId="224" w16cid:durableId="26685615">
    <w:abstractNumId w:val="15"/>
  </w:num>
  <w:num w:numId="225" w16cid:durableId="1974939750">
    <w:abstractNumId w:val="36"/>
  </w:num>
  <w:num w:numId="226" w16cid:durableId="1749962128">
    <w:abstractNumId w:val="276"/>
  </w:num>
  <w:num w:numId="227" w16cid:durableId="1109425499">
    <w:abstractNumId w:val="138"/>
  </w:num>
  <w:num w:numId="228" w16cid:durableId="1436826474">
    <w:abstractNumId w:val="166"/>
  </w:num>
  <w:num w:numId="229" w16cid:durableId="672413354">
    <w:abstractNumId w:val="8"/>
  </w:num>
  <w:num w:numId="230" w16cid:durableId="513300887">
    <w:abstractNumId w:val="48"/>
  </w:num>
  <w:num w:numId="231" w16cid:durableId="913394943">
    <w:abstractNumId w:val="196"/>
  </w:num>
  <w:num w:numId="232" w16cid:durableId="702170633">
    <w:abstractNumId w:val="259"/>
  </w:num>
  <w:num w:numId="233" w16cid:durableId="1640570345">
    <w:abstractNumId w:val="26"/>
  </w:num>
  <w:num w:numId="234" w16cid:durableId="1754400332">
    <w:abstractNumId w:val="333"/>
  </w:num>
  <w:num w:numId="235" w16cid:durableId="496113878">
    <w:abstractNumId w:val="381"/>
  </w:num>
  <w:num w:numId="236" w16cid:durableId="816801743">
    <w:abstractNumId w:val="328"/>
  </w:num>
  <w:num w:numId="237" w16cid:durableId="2077974759">
    <w:abstractNumId w:val="408"/>
  </w:num>
  <w:num w:numId="238" w16cid:durableId="511913917">
    <w:abstractNumId w:val="341"/>
  </w:num>
  <w:num w:numId="239" w16cid:durableId="1113280493">
    <w:abstractNumId w:val="346"/>
  </w:num>
  <w:num w:numId="240" w16cid:durableId="688602375">
    <w:abstractNumId w:val="306"/>
  </w:num>
  <w:num w:numId="241" w16cid:durableId="1372874543">
    <w:abstractNumId w:val="156"/>
  </w:num>
  <w:num w:numId="242" w16cid:durableId="54857428">
    <w:abstractNumId w:val="304"/>
  </w:num>
  <w:num w:numId="243" w16cid:durableId="1716738157">
    <w:abstractNumId w:val="224"/>
  </w:num>
  <w:num w:numId="244" w16cid:durableId="804011332">
    <w:abstractNumId w:val="51"/>
  </w:num>
  <w:num w:numId="245" w16cid:durableId="1169516041">
    <w:abstractNumId w:val="5"/>
  </w:num>
  <w:num w:numId="246" w16cid:durableId="1060441649">
    <w:abstractNumId w:val="292"/>
  </w:num>
  <w:num w:numId="247" w16cid:durableId="901141990">
    <w:abstractNumId w:val="257"/>
  </w:num>
  <w:num w:numId="248" w16cid:durableId="2065524428">
    <w:abstractNumId w:val="194"/>
  </w:num>
  <w:num w:numId="249" w16cid:durableId="944074926">
    <w:abstractNumId w:val="200"/>
  </w:num>
  <w:num w:numId="250" w16cid:durableId="526598304">
    <w:abstractNumId w:val="369"/>
  </w:num>
  <w:num w:numId="251" w16cid:durableId="1730230481">
    <w:abstractNumId w:val="115"/>
  </w:num>
  <w:num w:numId="252" w16cid:durableId="2116123823">
    <w:abstractNumId w:val="310"/>
  </w:num>
  <w:num w:numId="253" w16cid:durableId="66877970">
    <w:abstractNumId w:val="174"/>
  </w:num>
  <w:num w:numId="254" w16cid:durableId="1692949699">
    <w:abstractNumId w:val="149"/>
  </w:num>
  <w:num w:numId="255" w16cid:durableId="1375732248">
    <w:abstractNumId w:val="294"/>
  </w:num>
  <w:num w:numId="256" w16cid:durableId="667557735">
    <w:abstractNumId w:val="326"/>
  </w:num>
  <w:num w:numId="257" w16cid:durableId="792403234">
    <w:abstractNumId w:val="120"/>
  </w:num>
  <w:num w:numId="258" w16cid:durableId="45418646">
    <w:abstractNumId w:val="321"/>
  </w:num>
  <w:num w:numId="259" w16cid:durableId="1308049734">
    <w:abstractNumId w:val="336"/>
  </w:num>
  <w:num w:numId="260" w16cid:durableId="1935162313">
    <w:abstractNumId w:val="171"/>
  </w:num>
  <w:num w:numId="261" w16cid:durableId="998537013">
    <w:abstractNumId w:val="210"/>
  </w:num>
  <w:num w:numId="262" w16cid:durableId="1608730193">
    <w:abstractNumId w:val="351"/>
  </w:num>
  <w:num w:numId="263" w16cid:durableId="2097162870">
    <w:abstractNumId w:val="62"/>
  </w:num>
  <w:num w:numId="264" w16cid:durableId="1835949958">
    <w:abstractNumId w:val="17"/>
  </w:num>
  <w:num w:numId="265" w16cid:durableId="1161314959">
    <w:abstractNumId w:val="184"/>
  </w:num>
  <w:num w:numId="266" w16cid:durableId="1626080290">
    <w:abstractNumId w:val="111"/>
  </w:num>
  <w:num w:numId="267" w16cid:durableId="334308317">
    <w:abstractNumId w:val="243"/>
  </w:num>
  <w:num w:numId="268" w16cid:durableId="659508741">
    <w:abstractNumId w:val="325"/>
  </w:num>
  <w:num w:numId="269" w16cid:durableId="2128966693">
    <w:abstractNumId w:val="136"/>
  </w:num>
  <w:num w:numId="270" w16cid:durableId="1342929515">
    <w:abstractNumId w:val="232"/>
  </w:num>
  <w:num w:numId="271" w16cid:durableId="824322430">
    <w:abstractNumId w:val="142"/>
  </w:num>
  <w:num w:numId="272" w16cid:durableId="530846137">
    <w:abstractNumId w:val="350"/>
  </w:num>
  <w:num w:numId="273" w16cid:durableId="1817797311">
    <w:abstractNumId w:val="233"/>
  </w:num>
  <w:num w:numId="274" w16cid:durableId="2070300002">
    <w:abstractNumId w:val="215"/>
  </w:num>
  <w:num w:numId="275" w16cid:durableId="861288397">
    <w:abstractNumId w:val="151"/>
  </w:num>
  <w:num w:numId="276" w16cid:durableId="1880781902">
    <w:abstractNumId w:val="204"/>
  </w:num>
  <w:num w:numId="277" w16cid:durableId="1792744279">
    <w:abstractNumId w:val="279"/>
  </w:num>
  <w:num w:numId="278" w16cid:durableId="1765110849">
    <w:abstractNumId w:val="312"/>
  </w:num>
  <w:num w:numId="279" w16cid:durableId="1840734516">
    <w:abstractNumId w:val="372"/>
  </w:num>
  <w:num w:numId="280" w16cid:durableId="116603695">
    <w:abstractNumId w:val="252"/>
  </w:num>
  <w:num w:numId="281" w16cid:durableId="563374869">
    <w:abstractNumId w:val="383"/>
  </w:num>
  <w:num w:numId="282" w16cid:durableId="1594583371">
    <w:abstractNumId w:val="14"/>
  </w:num>
  <w:num w:numId="283" w16cid:durableId="1536849257">
    <w:abstractNumId w:val="230"/>
  </w:num>
  <w:num w:numId="284" w16cid:durableId="1036931621">
    <w:abstractNumId w:val="24"/>
  </w:num>
  <w:num w:numId="285" w16cid:durableId="1608653828">
    <w:abstractNumId w:val="133"/>
  </w:num>
  <w:num w:numId="286" w16cid:durableId="430129972">
    <w:abstractNumId w:val="269"/>
  </w:num>
  <w:num w:numId="287" w16cid:durableId="532768902">
    <w:abstractNumId w:val="298"/>
  </w:num>
  <w:num w:numId="288" w16cid:durableId="945230522">
    <w:abstractNumId w:val="356"/>
  </w:num>
  <w:num w:numId="289" w16cid:durableId="677925140">
    <w:abstractNumId w:val="162"/>
  </w:num>
  <w:num w:numId="290" w16cid:durableId="888036355">
    <w:abstractNumId w:val="311"/>
  </w:num>
  <w:num w:numId="291" w16cid:durableId="387344710">
    <w:abstractNumId w:val="253"/>
  </w:num>
  <w:num w:numId="292" w16cid:durableId="1931887920">
    <w:abstractNumId w:val="92"/>
  </w:num>
  <w:num w:numId="293" w16cid:durableId="578176004">
    <w:abstractNumId w:val="81"/>
  </w:num>
  <w:num w:numId="294" w16cid:durableId="211844431">
    <w:abstractNumId w:val="57"/>
  </w:num>
  <w:num w:numId="295" w16cid:durableId="2094424742">
    <w:abstractNumId w:val="305"/>
  </w:num>
  <w:num w:numId="296" w16cid:durableId="1356539978">
    <w:abstractNumId w:val="54"/>
  </w:num>
  <w:num w:numId="297" w16cid:durableId="904218048">
    <w:abstractNumId w:val="96"/>
  </w:num>
  <w:num w:numId="298" w16cid:durableId="853610706">
    <w:abstractNumId w:val="256"/>
  </w:num>
  <w:num w:numId="299" w16cid:durableId="1012686817">
    <w:abstractNumId w:val="105"/>
  </w:num>
  <w:num w:numId="300" w16cid:durableId="2117096202">
    <w:abstractNumId w:val="364"/>
  </w:num>
  <w:num w:numId="301" w16cid:durableId="1589803061">
    <w:abstractNumId w:val="195"/>
  </w:num>
  <w:num w:numId="302" w16cid:durableId="1495341296">
    <w:abstractNumId w:val="202"/>
  </w:num>
  <w:num w:numId="303" w16cid:durableId="867528706">
    <w:abstractNumId w:val="143"/>
  </w:num>
  <w:num w:numId="304" w16cid:durableId="1741292104">
    <w:abstractNumId w:val="275"/>
  </w:num>
  <w:num w:numId="305" w16cid:durableId="113913896">
    <w:abstractNumId w:val="251"/>
  </w:num>
  <w:num w:numId="306" w16cid:durableId="1120299066">
    <w:abstractNumId w:val="1"/>
    <w:lvlOverride w:ilvl="0">
      <w:lvl w:ilvl="0">
        <w:numFmt w:val="bullet"/>
        <w:lvlText w:val=""/>
        <w:legacy w:legacy="1" w:legacySpace="0" w:legacyIndent="360"/>
        <w:lvlJc w:val="left"/>
        <w:pPr>
          <w:ind w:left="720" w:hanging="360"/>
        </w:pPr>
        <w:rPr>
          <w:rFonts w:ascii="Symbol" w:hAnsi="Symbol" w:hint="default"/>
        </w:rPr>
      </w:lvl>
    </w:lvlOverride>
  </w:num>
  <w:num w:numId="307" w16cid:durableId="380397860">
    <w:abstractNumId w:val="88"/>
  </w:num>
  <w:num w:numId="308" w16cid:durableId="521625278">
    <w:abstractNumId w:val="352"/>
  </w:num>
  <w:num w:numId="309" w16cid:durableId="16732754">
    <w:abstractNumId w:val="56"/>
  </w:num>
  <w:num w:numId="310" w16cid:durableId="451748767">
    <w:abstractNumId w:val="290"/>
  </w:num>
  <w:num w:numId="311" w16cid:durableId="536235124">
    <w:abstractNumId w:val="262"/>
  </w:num>
  <w:num w:numId="312" w16cid:durableId="531187053">
    <w:abstractNumId w:val="299"/>
  </w:num>
  <w:num w:numId="313" w16cid:durableId="615790925">
    <w:abstractNumId w:val="354"/>
  </w:num>
  <w:num w:numId="314" w16cid:durableId="723453955">
    <w:abstractNumId w:val="131"/>
  </w:num>
  <w:num w:numId="315" w16cid:durableId="957759917">
    <w:abstractNumId w:val="123"/>
  </w:num>
  <w:num w:numId="316" w16cid:durableId="1090395021">
    <w:abstractNumId w:val="163"/>
  </w:num>
  <w:num w:numId="317" w16cid:durableId="1380979310">
    <w:abstractNumId w:val="3"/>
  </w:num>
  <w:num w:numId="318" w16cid:durableId="716510632">
    <w:abstractNumId w:val="178"/>
  </w:num>
  <w:num w:numId="319" w16cid:durableId="2131971960">
    <w:abstractNumId w:val="121"/>
  </w:num>
  <w:num w:numId="320" w16cid:durableId="1357582769">
    <w:abstractNumId w:val="349"/>
  </w:num>
  <w:num w:numId="321" w16cid:durableId="1567300955">
    <w:abstractNumId w:val="373"/>
  </w:num>
  <w:num w:numId="322" w16cid:durableId="1796943601">
    <w:abstractNumId w:val="37"/>
  </w:num>
  <w:num w:numId="323" w16cid:durableId="1056010186">
    <w:abstractNumId w:val="234"/>
  </w:num>
  <w:num w:numId="324" w16cid:durableId="377631564">
    <w:abstractNumId w:val="379"/>
  </w:num>
  <w:num w:numId="325" w16cid:durableId="982539684">
    <w:abstractNumId w:val="353"/>
  </w:num>
  <w:num w:numId="326" w16cid:durableId="1992588289">
    <w:abstractNumId w:val="40"/>
  </w:num>
  <w:num w:numId="327" w16cid:durableId="1562599350">
    <w:abstractNumId w:val="397"/>
  </w:num>
  <w:num w:numId="328" w16cid:durableId="2050564193">
    <w:abstractNumId w:val="78"/>
  </w:num>
  <w:num w:numId="329" w16cid:durableId="95834293">
    <w:abstractNumId w:val="82"/>
  </w:num>
  <w:num w:numId="330" w16cid:durableId="1335493916">
    <w:abstractNumId w:val="71"/>
  </w:num>
  <w:num w:numId="331" w16cid:durableId="1591622249">
    <w:abstractNumId w:val="281"/>
  </w:num>
  <w:num w:numId="332" w16cid:durableId="104928904">
    <w:abstractNumId w:val="63"/>
  </w:num>
  <w:num w:numId="333" w16cid:durableId="1728331430">
    <w:abstractNumId w:val="324"/>
  </w:num>
  <w:num w:numId="334" w16cid:durableId="1085692074">
    <w:abstractNumId w:val="167"/>
  </w:num>
  <w:num w:numId="335" w16cid:durableId="1102913263">
    <w:abstractNumId w:val="77"/>
  </w:num>
  <w:num w:numId="336" w16cid:durableId="1128663333">
    <w:abstractNumId w:val="264"/>
  </w:num>
  <w:num w:numId="337" w16cid:durableId="1676834312">
    <w:abstractNumId w:val="180"/>
  </w:num>
  <w:num w:numId="338" w16cid:durableId="1776898168">
    <w:abstractNumId w:val="323"/>
  </w:num>
  <w:num w:numId="339" w16cid:durableId="2071267684">
    <w:abstractNumId w:val="345"/>
  </w:num>
  <w:num w:numId="340" w16cid:durableId="408233263">
    <w:abstractNumId w:val="365"/>
  </w:num>
  <w:num w:numId="341" w16cid:durableId="1450201075">
    <w:abstractNumId w:val="102"/>
  </w:num>
  <w:num w:numId="342" w16cid:durableId="2142069262">
    <w:abstractNumId w:val="99"/>
  </w:num>
  <w:num w:numId="343" w16cid:durableId="1927571040">
    <w:abstractNumId w:val="237"/>
  </w:num>
  <w:num w:numId="344" w16cid:durableId="32847239">
    <w:abstractNumId w:val="225"/>
  </w:num>
  <w:num w:numId="345" w16cid:durableId="1156996513">
    <w:abstractNumId w:val="205"/>
  </w:num>
  <w:num w:numId="346" w16cid:durableId="1495952436">
    <w:abstractNumId w:val="203"/>
  </w:num>
  <w:num w:numId="347" w16cid:durableId="790562621">
    <w:abstractNumId w:val="19"/>
  </w:num>
  <w:num w:numId="348" w16cid:durableId="1906261490">
    <w:abstractNumId w:val="122"/>
  </w:num>
  <w:num w:numId="349" w16cid:durableId="838891983">
    <w:abstractNumId w:val="335"/>
  </w:num>
  <w:num w:numId="350" w16cid:durableId="718214126">
    <w:abstractNumId w:val="85"/>
  </w:num>
  <w:num w:numId="351" w16cid:durableId="830370178">
    <w:abstractNumId w:val="387"/>
  </w:num>
  <w:num w:numId="352" w16cid:durableId="942614455">
    <w:abstractNumId w:val="309"/>
  </w:num>
  <w:num w:numId="353" w16cid:durableId="127281131">
    <w:abstractNumId w:val="363"/>
  </w:num>
  <w:num w:numId="354" w16cid:durableId="1509516913">
    <w:abstractNumId w:val="49"/>
  </w:num>
  <w:num w:numId="355" w16cid:durableId="1992756177">
    <w:abstractNumId w:val="201"/>
  </w:num>
  <w:num w:numId="356" w16cid:durableId="1240941025">
    <w:abstractNumId w:val="91"/>
  </w:num>
  <w:num w:numId="357" w16cid:durableId="1420247739">
    <w:abstractNumId w:val="118"/>
  </w:num>
  <w:num w:numId="358" w16cid:durableId="1448042822">
    <w:abstractNumId w:val="140"/>
  </w:num>
  <w:num w:numId="359" w16cid:durableId="1285697710">
    <w:abstractNumId w:val="228"/>
  </w:num>
  <w:num w:numId="360" w16cid:durableId="856456944">
    <w:abstractNumId w:val="404"/>
  </w:num>
  <w:num w:numId="361" w16cid:durableId="854736356">
    <w:abstractNumId w:val="18"/>
  </w:num>
  <w:num w:numId="362" w16cid:durableId="556746336">
    <w:abstractNumId w:val="337"/>
  </w:num>
  <w:num w:numId="363" w16cid:durableId="308749135">
    <w:abstractNumId w:val="219"/>
  </w:num>
  <w:num w:numId="364" w16cid:durableId="1850025813">
    <w:abstractNumId w:val="116"/>
  </w:num>
  <w:num w:numId="365" w16cid:durableId="1299802142">
    <w:abstractNumId w:val="313"/>
  </w:num>
  <w:num w:numId="366" w16cid:durableId="1486622454">
    <w:abstractNumId w:val="282"/>
  </w:num>
  <w:num w:numId="367" w16cid:durableId="1351227278">
    <w:abstractNumId w:val="161"/>
  </w:num>
  <w:num w:numId="368" w16cid:durableId="1689334610">
    <w:abstractNumId w:val="179"/>
  </w:num>
  <w:num w:numId="369" w16cid:durableId="344943646">
    <w:abstractNumId w:val="240"/>
  </w:num>
  <w:num w:numId="370" w16cid:durableId="1341734599">
    <w:abstractNumId w:val="272"/>
  </w:num>
  <w:num w:numId="371" w16cid:durableId="1123306459">
    <w:abstractNumId w:val="222"/>
  </w:num>
  <w:num w:numId="372" w16cid:durableId="466092706">
    <w:abstractNumId w:val="361"/>
  </w:num>
  <w:num w:numId="373" w16cid:durableId="1738170159">
    <w:abstractNumId w:val="10"/>
  </w:num>
  <w:num w:numId="374" w16cid:durableId="2044019758">
    <w:abstractNumId w:val="6"/>
  </w:num>
  <w:num w:numId="375" w16cid:durableId="376592433">
    <w:abstractNumId w:val="382"/>
  </w:num>
  <w:num w:numId="376" w16cid:durableId="5064592">
    <w:abstractNumId w:val="197"/>
  </w:num>
  <w:num w:numId="377" w16cid:durableId="1931501508">
    <w:abstractNumId w:val="155"/>
  </w:num>
  <w:num w:numId="378" w16cid:durableId="1910844431">
    <w:abstractNumId w:val="255"/>
  </w:num>
  <w:num w:numId="379" w16cid:durableId="1956596146">
    <w:abstractNumId w:val="377"/>
  </w:num>
  <w:num w:numId="380" w16cid:durableId="19860553">
    <w:abstractNumId w:val="90"/>
  </w:num>
  <w:num w:numId="381" w16cid:durableId="191114791">
    <w:abstractNumId w:val="405"/>
  </w:num>
  <w:num w:numId="382" w16cid:durableId="1820657440">
    <w:abstractNumId w:val="231"/>
  </w:num>
  <w:num w:numId="383" w16cid:durableId="955673853">
    <w:abstractNumId w:val="137"/>
  </w:num>
  <w:num w:numId="384" w16cid:durableId="2017687499">
    <w:abstractNumId w:val="389"/>
  </w:num>
  <w:num w:numId="385" w16cid:durableId="1431580368">
    <w:abstractNumId w:val="160"/>
  </w:num>
  <w:num w:numId="386" w16cid:durableId="1492021598">
    <w:abstractNumId w:val="12"/>
  </w:num>
  <w:num w:numId="387" w16cid:durableId="1924679044">
    <w:abstractNumId w:val="50"/>
  </w:num>
  <w:num w:numId="388" w16cid:durableId="100221520">
    <w:abstractNumId w:val="390"/>
  </w:num>
  <w:num w:numId="389" w16cid:durableId="2025280874">
    <w:abstractNumId w:val="39"/>
  </w:num>
  <w:num w:numId="390" w16cid:durableId="399523975">
    <w:abstractNumId w:val="273"/>
  </w:num>
  <w:num w:numId="391" w16cid:durableId="2051177423">
    <w:abstractNumId w:val="13"/>
  </w:num>
  <w:num w:numId="392" w16cid:durableId="936327361">
    <w:abstractNumId w:val="370"/>
  </w:num>
  <w:num w:numId="393" w16cid:durableId="1937126986">
    <w:abstractNumId w:val="35"/>
  </w:num>
  <w:num w:numId="394" w16cid:durableId="1702584131">
    <w:abstractNumId w:val="125"/>
  </w:num>
  <w:num w:numId="395" w16cid:durableId="1087507289">
    <w:abstractNumId w:val="124"/>
  </w:num>
  <w:num w:numId="396" w16cid:durableId="1825469236">
    <w:abstractNumId w:val="378"/>
  </w:num>
  <w:num w:numId="397" w16cid:durableId="501244532">
    <w:abstractNumId w:val="291"/>
  </w:num>
  <w:num w:numId="398" w16cid:durableId="2145416925">
    <w:abstractNumId w:val="402"/>
  </w:num>
  <w:num w:numId="399" w16cid:durableId="2130657734">
    <w:abstractNumId w:val="284"/>
  </w:num>
  <w:num w:numId="400" w16cid:durableId="91626983">
    <w:abstractNumId w:val="206"/>
  </w:num>
  <w:num w:numId="401" w16cid:durableId="617640037">
    <w:abstractNumId w:val="58"/>
  </w:num>
  <w:num w:numId="402" w16cid:durableId="1507473558">
    <w:abstractNumId w:val="158"/>
  </w:num>
  <w:num w:numId="403" w16cid:durableId="1496650664">
    <w:abstractNumId w:val="286"/>
  </w:num>
  <w:num w:numId="404" w16cid:durableId="1765105772">
    <w:abstractNumId w:val="395"/>
  </w:num>
  <w:num w:numId="405" w16cid:durableId="874269973">
    <w:abstractNumId w:val="406"/>
  </w:num>
  <w:num w:numId="406" w16cid:durableId="851378799">
    <w:abstractNumId w:val="130"/>
  </w:num>
  <w:num w:numId="407" w16cid:durableId="125316632">
    <w:abstractNumId w:val="247"/>
  </w:num>
  <w:num w:numId="408" w16cid:durableId="1765567798">
    <w:abstractNumId w:val="87"/>
  </w:num>
  <w:num w:numId="409" w16cid:durableId="1887528861">
    <w:abstractNumId w:val="302"/>
  </w:num>
  <w:numIdMacAtCleanup w:val="4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46"/>
    <w:rsid w:val="00000738"/>
    <w:rsid w:val="0000149A"/>
    <w:rsid w:val="000015BE"/>
    <w:rsid w:val="00002718"/>
    <w:rsid w:val="00003754"/>
    <w:rsid w:val="000037F1"/>
    <w:rsid w:val="0000384C"/>
    <w:rsid w:val="000039AF"/>
    <w:rsid w:val="000044BE"/>
    <w:rsid w:val="000045F0"/>
    <w:rsid w:val="00005480"/>
    <w:rsid w:val="0000553E"/>
    <w:rsid w:val="000059D7"/>
    <w:rsid w:val="00006F50"/>
    <w:rsid w:val="00007A6F"/>
    <w:rsid w:val="00007D55"/>
    <w:rsid w:val="00010D0E"/>
    <w:rsid w:val="00010DEF"/>
    <w:rsid w:val="00010FCA"/>
    <w:rsid w:val="0001132F"/>
    <w:rsid w:val="000114C5"/>
    <w:rsid w:val="00011EA4"/>
    <w:rsid w:val="00011EA7"/>
    <w:rsid w:val="000120ED"/>
    <w:rsid w:val="00012C34"/>
    <w:rsid w:val="00012D88"/>
    <w:rsid w:val="0001351A"/>
    <w:rsid w:val="00014282"/>
    <w:rsid w:val="00014330"/>
    <w:rsid w:val="00014B0A"/>
    <w:rsid w:val="00014D9C"/>
    <w:rsid w:val="000151F4"/>
    <w:rsid w:val="000159D3"/>
    <w:rsid w:val="00015BD7"/>
    <w:rsid w:val="00015C68"/>
    <w:rsid w:val="000161D9"/>
    <w:rsid w:val="0001639F"/>
    <w:rsid w:val="0001686A"/>
    <w:rsid w:val="00016C36"/>
    <w:rsid w:val="00017009"/>
    <w:rsid w:val="000170F4"/>
    <w:rsid w:val="0001794C"/>
    <w:rsid w:val="00017F26"/>
    <w:rsid w:val="00020F90"/>
    <w:rsid w:val="00020FBA"/>
    <w:rsid w:val="00020FBD"/>
    <w:rsid w:val="0002118A"/>
    <w:rsid w:val="00021500"/>
    <w:rsid w:val="000216C4"/>
    <w:rsid w:val="000218E6"/>
    <w:rsid w:val="00021AA9"/>
    <w:rsid w:val="0002239A"/>
    <w:rsid w:val="000224B0"/>
    <w:rsid w:val="000229F3"/>
    <w:rsid w:val="00023B47"/>
    <w:rsid w:val="00023D64"/>
    <w:rsid w:val="00024497"/>
    <w:rsid w:val="0002464B"/>
    <w:rsid w:val="000256AE"/>
    <w:rsid w:val="00025753"/>
    <w:rsid w:val="000261CF"/>
    <w:rsid w:val="000262CE"/>
    <w:rsid w:val="00026489"/>
    <w:rsid w:val="00026A80"/>
    <w:rsid w:val="00026FD4"/>
    <w:rsid w:val="00027054"/>
    <w:rsid w:val="0002708A"/>
    <w:rsid w:val="000274E4"/>
    <w:rsid w:val="000301E9"/>
    <w:rsid w:val="000303A6"/>
    <w:rsid w:val="0003094A"/>
    <w:rsid w:val="00030C65"/>
    <w:rsid w:val="0003130B"/>
    <w:rsid w:val="00031366"/>
    <w:rsid w:val="00031AFF"/>
    <w:rsid w:val="000320A3"/>
    <w:rsid w:val="00032189"/>
    <w:rsid w:val="0003318A"/>
    <w:rsid w:val="00033464"/>
    <w:rsid w:val="0003348B"/>
    <w:rsid w:val="00033E51"/>
    <w:rsid w:val="0003441D"/>
    <w:rsid w:val="000346AA"/>
    <w:rsid w:val="000346E9"/>
    <w:rsid w:val="00034E2D"/>
    <w:rsid w:val="0003563A"/>
    <w:rsid w:val="00036479"/>
    <w:rsid w:val="00036487"/>
    <w:rsid w:val="000367FD"/>
    <w:rsid w:val="000369E8"/>
    <w:rsid w:val="00036A73"/>
    <w:rsid w:val="00036C59"/>
    <w:rsid w:val="00036EDB"/>
    <w:rsid w:val="00037096"/>
    <w:rsid w:val="000370C2"/>
    <w:rsid w:val="00037366"/>
    <w:rsid w:val="00040167"/>
    <w:rsid w:val="00040F05"/>
    <w:rsid w:val="000417A4"/>
    <w:rsid w:val="00041B12"/>
    <w:rsid w:val="000420BD"/>
    <w:rsid w:val="000421A8"/>
    <w:rsid w:val="00042B5F"/>
    <w:rsid w:val="00042EBA"/>
    <w:rsid w:val="00042F70"/>
    <w:rsid w:val="00042FC3"/>
    <w:rsid w:val="0004301E"/>
    <w:rsid w:val="000431DB"/>
    <w:rsid w:val="000434CF"/>
    <w:rsid w:val="000446EE"/>
    <w:rsid w:val="00044B20"/>
    <w:rsid w:val="00044E8F"/>
    <w:rsid w:val="000456DA"/>
    <w:rsid w:val="00045B52"/>
    <w:rsid w:val="00045CA6"/>
    <w:rsid w:val="00046914"/>
    <w:rsid w:val="00046D74"/>
    <w:rsid w:val="000475B7"/>
    <w:rsid w:val="0005021C"/>
    <w:rsid w:val="00050327"/>
    <w:rsid w:val="00050BD0"/>
    <w:rsid w:val="00050F10"/>
    <w:rsid w:val="0005137A"/>
    <w:rsid w:val="00051A7A"/>
    <w:rsid w:val="00051F27"/>
    <w:rsid w:val="0005222C"/>
    <w:rsid w:val="000522AF"/>
    <w:rsid w:val="000522EE"/>
    <w:rsid w:val="00052487"/>
    <w:rsid w:val="00052FAF"/>
    <w:rsid w:val="00053131"/>
    <w:rsid w:val="00053701"/>
    <w:rsid w:val="00053BAD"/>
    <w:rsid w:val="00053C14"/>
    <w:rsid w:val="0005402C"/>
    <w:rsid w:val="000545BD"/>
    <w:rsid w:val="00054679"/>
    <w:rsid w:val="0005468B"/>
    <w:rsid w:val="000548F3"/>
    <w:rsid w:val="000549C7"/>
    <w:rsid w:val="00054CFC"/>
    <w:rsid w:val="000555E6"/>
    <w:rsid w:val="00055BD9"/>
    <w:rsid w:val="00056209"/>
    <w:rsid w:val="000565C0"/>
    <w:rsid w:val="00056A0C"/>
    <w:rsid w:val="00056FDC"/>
    <w:rsid w:val="0005706B"/>
    <w:rsid w:val="000575E7"/>
    <w:rsid w:val="000576BE"/>
    <w:rsid w:val="000579F8"/>
    <w:rsid w:val="00057A32"/>
    <w:rsid w:val="000608A8"/>
    <w:rsid w:val="00060AD3"/>
    <w:rsid w:val="00060E43"/>
    <w:rsid w:val="0006122A"/>
    <w:rsid w:val="00061304"/>
    <w:rsid w:val="00061438"/>
    <w:rsid w:val="00061A0D"/>
    <w:rsid w:val="0006210D"/>
    <w:rsid w:val="0006295F"/>
    <w:rsid w:val="00062A0A"/>
    <w:rsid w:val="00063663"/>
    <w:rsid w:val="00063B3C"/>
    <w:rsid w:val="00063BA3"/>
    <w:rsid w:val="00064331"/>
    <w:rsid w:val="00064526"/>
    <w:rsid w:val="0006474D"/>
    <w:rsid w:val="000652D3"/>
    <w:rsid w:val="00065584"/>
    <w:rsid w:val="00065765"/>
    <w:rsid w:val="000660DC"/>
    <w:rsid w:val="0006626C"/>
    <w:rsid w:val="0006699B"/>
    <w:rsid w:val="00066B12"/>
    <w:rsid w:val="00066E43"/>
    <w:rsid w:val="00067A3B"/>
    <w:rsid w:val="000702A2"/>
    <w:rsid w:val="0007080C"/>
    <w:rsid w:val="00071C3D"/>
    <w:rsid w:val="000720AB"/>
    <w:rsid w:val="000732A4"/>
    <w:rsid w:val="00073411"/>
    <w:rsid w:val="00073474"/>
    <w:rsid w:val="000737DD"/>
    <w:rsid w:val="00073D1D"/>
    <w:rsid w:val="00074E3F"/>
    <w:rsid w:val="00074F03"/>
    <w:rsid w:val="00075147"/>
    <w:rsid w:val="00075413"/>
    <w:rsid w:val="00075C15"/>
    <w:rsid w:val="000761C9"/>
    <w:rsid w:val="000762EA"/>
    <w:rsid w:val="000764CA"/>
    <w:rsid w:val="00076AF4"/>
    <w:rsid w:val="00076D21"/>
    <w:rsid w:val="000771D6"/>
    <w:rsid w:val="000772F3"/>
    <w:rsid w:val="0007732C"/>
    <w:rsid w:val="000779C8"/>
    <w:rsid w:val="00077A66"/>
    <w:rsid w:val="0008068A"/>
    <w:rsid w:val="0008075C"/>
    <w:rsid w:val="000810AD"/>
    <w:rsid w:val="00081825"/>
    <w:rsid w:val="00081B34"/>
    <w:rsid w:val="00082280"/>
    <w:rsid w:val="0008283C"/>
    <w:rsid w:val="00083140"/>
    <w:rsid w:val="000834A8"/>
    <w:rsid w:val="00083A56"/>
    <w:rsid w:val="00083A71"/>
    <w:rsid w:val="00083F79"/>
    <w:rsid w:val="00084990"/>
    <w:rsid w:val="00084C48"/>
    <w:rsid w:val="0008522E"/>
    <w:rsid w:val="00085350"/>
    <w:rsid w:val="0008545C"/>
    <w:rsid w:val="00085676"/>
    <w:rsid w:val="00085F94"/>
    <w:rsid w:val="00086B63"/>
    <w:rsid w:val="00086DCC"/>
    <w:rsid w:val="000877F6"/>
    <w:rsid w:val="0009003B"/>
    <w:rsid w:val="000901C2"/>
    <w:rsid w:val="00090494"/>
    <w:rsid w:val="0009063F"/>
    <w:rsid w:val="00091FA4"/>
    <w:rsid w:val="00093036"/>
    <w:rsid w:val="000942AE"/>
    <w:rsid w:val="000945A9"/>
    <w:rsid w:val="00094630"/>
    <w:rsid w:val="00094F05"/>
    <w:rsid w:val="00095B77"/>
    <w:rsid w:val="00095CEC"/>
    <w:rsid w:val="00096215"/>
    <w:rsid w:val="00096B11"/>
    <w:rsid w:val="00097301"/>
    <w:rsid w:val="0009789C"/>
    <w:rsid w:val="000979B4"/>
    <w:rsid w:val="000979E9"/>
    <w:rsid w:val="000A0015"/>
    <w:rsid w:val="000A0A1B"/>
    <w:rsid w:val="000A0F56"/>
    <w:rsid w:val="000A2020"/>
    <w:rsid w:val="000A2643"/>
    <w:rsid w:val="000A28B6"/>
    <w:rsid w:val="000A2A8C"/>
    <w:rsid w:val="000A2C68"/>
    <w:rsid w:val="000A314E"/>
    <w:rsid w:val="000A3AFF"/>
    <w:rsid w:val="000A3D7C"/>
    <w:rsid w:val="000A3E70"/>
    <w:rsid w:val="000A53E2"/>
    <w:rsid w:val="000A5CA9"/>
    <w:rsid w:val="000A6042"/>
    <w:rsid w:val="000A63CF"/>
    <w:rsid w:val="000A65CE"/>
    <w:rsid w:val="000A6847"/>
    <w:rsid w:val="000A6897"/>
    <w:rsid w:val="000A6B2F"/>
    <w:rsid w:val="000A6D7C"/>
    <w:rsid w:val="000A6E40"/>
    <w:rsid w:val="000A6EEE"/>
    <w:rsid w:val="000A6F41"/>
    <w:rsid w:val="000A74E8"/>
    <w:rsid w:val="000A79CD"/>
    <w:rsid w:val="000A7EE1"/>
    <w:rsid w:val="000B0033"/>
    <w:rsid w:val="000B0335"/>
    <w:rsid w:val="000B06AC"/>
    <w:rsid w:val="000B07B0"/>
    <w:rsid w:val="000B07CA"/>
    <w:rsid w:val="000B0964"/>
    <w:rsid w:val="000B099F"/>
    <w:rsid w:val="000B147D"/>
    <w:rsid w:val="000B1530"/>
    <w:rsid w:val="000B1ADB"/>
    <w:rsid w:val="000B2528"/>
    <w:rsid w:val="000B2D26"/>
    <w:rsid w:val="000B3376"/>
    <w:rsid w:val="000B3713"/>
    <w:rsid w:val="000B3A57"/>
    <w:rsid w:val="000B4451"/>
    <w:rsid w:val="000B47C0"/>
    <w:rsid w:val="000B5012"/>
    <w:rsid w:val="000B54C0"/>
    <w:rsid w:val="000B6041"/>
    <w:rsid w:val="000B6C67"/>
    <w:rsid w:val="000B6F1A"/>
    <w:rsid w:val="000B6F67"/>
    <w:rsid w:val="000B706F"/>
    <w:rsid w:val="000B7649"/>
    <w:rsid w:val="000B786C"/>
    <w:rsid w:val="000B7D46"/>
    <w:rsid w:val="000C016B"/>
    <w:rsid w:val="000C0416"/>
    <w:rsid w:val="000C06A9"/>
    <w:rsid w:val="000C0934"/>
    <w:rsid w:val="000C099C"/>
    <w:rsid w:val="000C0A19"/>
    <w:rsid w:val="000C0F53"/>
    <w:rsid w:val="000C144E"/>
    <w:rsid w:val="000C17A8"/>
    <w:rsid w:val="000C1F4A"/>
    <w:rsid w:val="000C2308"/>
    <w:rsid w:val="000C33F2"/>
    <w:rsid w:val="000C35A9"/>
    <w:rsid w:val="000C36A0"/>
    <w:rsid w:val="000C3E31"/>
    <w:rsid w:val="000C4CBC"/>
    <w:rsid w:val="000C559F"/>
    <w:rsid w:val="000C570A"/>
    <w:rsid w:val="000C5830"/>
    <w:rsid w:val="000C5EEC"/>
    <w:rsid w:val="000C5FF1"/>
    <w:rsid w:val="000C6E81"/>
    <w:rsid w:val="000C731B"/>
    <w:rsid w:val="000D00B8"/>
    <w:rsid w:val="000D010E"/>
    <w:rsid w:val="000D017B"/>
    <w:rsid w:val="000D07C1"/>
    <w:rsid w:val="000D1036"/>
    <w:rsid w:val="000D1284"/>
    <w:rsid w:val="000D1495"/>
    <w:rsid w:val="000D14D0"/>
    <w:rsid w:val="000D16FE"/>
    <w:rsid w:val="000D186A"/>
    <w:rsid w:val="000D18BE"/>
    <w:rsid w:val="000D1B8F"/>
    <w:rsid w:val="000D256B"/>
    <w:rsid w:val="000D2717"/>
    <w:rsid w:val="000D272D"/>
    <w:rsid w:val="000D27EB"/>
    <w:rsid w:val="000D3DB4"/>
    <w:rsid w:val="000D3E47"/>
    <w:rsid w:val="000D3FEB"/>
    <w:rsid w:val="000D4010"/>
    <w:rsid w:val="000D41BD"/>
    <w:rsid w:val="000D43E7"/>
    <w:rsid w:val="000D460E"/>
    <w:rsid w:val="000D61E1"/>
    <w:rsid w:val="000D663C"/>
    <w:rsid w:val="000D6A57"/>
    <w:rsid w:val="000D6AC1"/>
    <w:rsid w:val="000D71C4"/>
    <w:rsid w:val="000D73D1"/>
    <w:rsid w:val="000D752F"/>
    <w:rsid w:val="000D7B54"/>
    <w:rsid w:val="000D7E11"/>
    <w:rsid w:val="000D7E30"/>
    <w:rsid w:val="000E02EB"/>
    <w:rsid w:val="000E03AE"/>
    <w:rsid w:val="000E0509"/>
    <w:rsid w:val="000E074C"/>
    <w:rsid w:val="000E0F24"/>
    <w:rsid w:val="000E2D7C"/>
    <w:rsid w:val="000E2DE4"/>
    <w:rsid w:val="000E3113"/>
    <w:rsid w:val="000E357A"/>
    <w:rsid w:val="000E3A38"/>
    <w:rsid w:val="000E3C2F"/>
    <w:rsid w:val="000E4255"/>
    <w:rsid w:val="000E4285"/>
    <w:rsid w:val="000E4B31"/>
    <w:rsid w:val="000E4C96"/>
    <w:rsid w:val="000E4F72"/>
    <w:rsid w:val="000E55BC"/>
    <w:rsid w:val="000E64EF"/>
    <w:rsid w:val="000E6D64"/>
    <w:rsid w:val="000E6EB7"/>
    <w:rsid w:val="000E72AF"/>
    <w:rsid w:val="000E7532"/>
    <w:rsid w:val="000E7628"/>
    <w:rsid w:val="000F0920"/>
    <w:rsid w:val="000F114A"/>
    <w:rsid w:val="000F115E"/>
    <w:rsid w:val="000F2150"/>
    <w:rsid w:val="000F249F"/>
    <w:rsid w:val="000F2A02"/>
    <w:rsid w:val="000F2CA0"/>
    <w:rsid w:val="000F2FFF"/>
    <w:rsid w:val="000F3031"/>
    <w:rsid w:val="000F323F"/>
    <w:rsid w:val="000F3F7D"/>
    <w:rsid w:val="000F4E32"/>
    <w:rsid w:val="000F56AD"/>
    <w:rsid w:val="000F63C7"/>
    <w:rsid w:val="000F6730"/>
    <w:rsid w:val="000F7FBD"/>
    <w:rsid w:val="00100B16"/>
    <w:rsid w:val="0010111B"/>
    <w:rsid w:val="00101237"/>
    <w:rsid w:val="0010141E"/>
    <w:rsid w:val="001018F2"/>
    <w:rsid w:val="00101C7A"/>
    <w:rsid w:val="0010267A"/>
    <w:rsid w:val="00102976"/>
    <w:rsid w:val="00102EDA"/>
    <w:rsid w:val="00102FDC"/>
    <w:rsid w:val="001031FE"/>
    <w:rsid w:val="001033EC"/>
    <w:rsid w:val="00103D39"/>
    <w:rsid w:val="0010432C"/>
    <w:rsid w:val="001044C9"/>
    <w:rsid w:val="00105064"/>
    <w:rsid w:val="00105689"/>
    <w:rsid w:val="00106375"/>
    <w:rsid w:val="00107209"/>
    <w:rsid w:val="001073DB"/>
    <w:rsid w:val="00107C50"/>
    <w:rsid w:val="0011088D"/>
    <w:rsid w:val="00110CB3"/>
    <w:rsid w:val="00110D79"/>
    <w:rsid w:val="00110ECB"/>
    <w:rsid w:val="00111537"/>
    <w:rsid w:val="001119F6"/>
    <w:rsid w:val="00111B7C"/>
    <w:rsid w:val="00112023"/>
    <w:rsid w:val="00112AE3"/>
    <w:rsid w:val="00113DC4"/>
    <w:rsid w:val="001148E7"/>
    <w:rsid w:val="00115124"/>
    <w:rsid w:val="00115767"/>
    <w:rsid w:val="00115929"/>
    <w:rsid w:val="00116815"/>
    <w:rsid w:val="00116A12"/>
    <w:rsid w:val="00116FE9"/>
    <w:rsid w:val="00117332"/>
    <w:rsid w:val="001173B1"/>
    <w:rsid w:val="0011753B"/>
    <w:rsid w:val="00117953"/>
    <w:rsid w:val="00117D25"/>
    <w:rsid w:val="0012020B"/>
    <w:rsid w:val="001206AA"/>
    <w:rsid w:val="00121111"/>
    <w:rsid w:val="001212B7"/>
    <w:rsid w:val="00121BAC"/>
    <w:rsid w:val="00121C58"/>
    <w:rsid w:val="00121F43"/>
    <w:rsid w:val="0012274F"/>
    <w:rsid w:val="00122B9A"/>
    <w:rsid w:val="00122C53"/>
    <w:rsid w:val="00122D82"/>
    <w:rsid w:val="00123475"/>
    <w:rsid w:val="00123588"/>
    <w:rsid w:val="0012364B"/>
    <w:rsid w:val="00123CAA"/>
    <w:rsid w:val="001243EC"/>
    <w:rsid w:val="00124657"/>
    <w:rsid w:val="00125389"/>
    <w:rsid w:val="0012544C"/>
    <w:rsid w:val="00125481"/>
    <w:rsid w:val="00125498"/>
    <w:rsid w:val="00125656"/>
    <w:rsid w:val="00125D89"/>
    <w:rsid w:val="00126568"/>
    <w:rsid w:val="0012671D"/>
    <w:rsid w:val="00126A56"/>
    <w:rsid w:val="00126B3C"/>
    <w:rsid w:val="001309BB"/>
    <w:rsid w:val="00130C8B"/>
    <w:rsid w:val="00131103"/>
    <w:rsid w:val="00131232"/>
    <w:rsid w:val="001312BA"/>
    <w:rsid w:val="0013142D"/>
    <w:rsid w:val="00131A5F"/>
    <w:rsid w:val="00132D74"/>
    <w:rsid w:val="0013334A"/>
    <w:rsid w:val="00133727"/>
    <w:rsid w:val="00133CAD"/>
    <w:rsid w:val="00133D88"/>
    <w:rsid w:val="00133F8C"/>
    <w:rsid w:val="00135B3E"/>
    <w:rsid w:val="00136223"/>
    <w:rsid w:val="001363EE"/>
    <w:rsid w:val="00136CDD"/>
    <w:rsid w:val="00136F2E"/>
    <w:rsid w:val="00136FCF"/>
    <w:rsid w:val="001371DF"/>
    <w:rsid w:val="001372F3"/>
    <w:rsid w:val="001373BB"/>
    <w:rsid w:val="001374D3"/>
    <w:rsid w:val="00137F90"/>
    <w:rsid w:val="0014037F"/>
    <w:rsid w:val="00140984"/>
    <w:rsid w:val="00140C02"/>
    <w:rsid w:val="00140FE2"/>
    <w:rsid w:val="00141755"/>
    <w:rsid w:val="00141DFC"/>
    <w:rsid w:val="001423D6"/>
    <w:rsid w:val="001427AC"/>
    <w:rsid w:val="00142987"/>
    <w:rsid w:val="0014300E"/>
    <w:rsid w:val="00143202"/>
    <w:rsid w:val="0014361A"/>
    <w:rsid w:val="001436DC"/>
    <w:rsid w:val="00143710"/>
    <w:rsid w:val="001438CF"/>
    <w:rsid w:val="001439C4"/>
    <w:rsid w:val="00143DF7"/>
    <w:rsid w:val="00143F6E"/>
    <w:rsid w:val="0014414F"/>
    <w:rsid w:val="001448C1"/>
    <w:rsid w:val="00144F26"/>
    <w:rsid w:val="0014542A"/>
    <w:rsid w:val="00145E32"/>
    <w:rsid w:val="00147894"/>
    <w:rsid w:val="00147A5A"/>
    <w:rsid w:val="00147EE7"/>
    <w:rsid w:val="0015076F"/>
    <w:rsid w:val="00150ABB"/>
    <w:rsid w:val="001513D8"/>
    <w:rsid w:val="0015144A"/>
    <w:rsid w:val="001515DE"/>
    <w:rsid w:val="0015172F"/>
    <w:rsid w:val="00151877"/>
    <w:rsid w:val="00151AE3"/>
    <w:rsid w:val="00151F53"/>
    <w:rsid w:val="00152180"/>
    <w:rsid w:val="00152753"/>
    <w:rsid w:val="00153C9E"/>
    <w:rsid w:val="00154976"/>
    <w:rsid w:val="001563F6"/>
    <w:rsid w:val="001567D1"/>
    <w:rsid w:val="00157584"/>
    <w:rsid w:val="00160A40"/>
    <w:rsid w:val="00161062"/>
    <w:rsid w:val="00161E77"/>
    <w:rsid w:val="001621FD"/>
    <w:rsid w:val="001623B6"/>
    <w:rsid w:val="0016248B"/>
    <w:rsid w:val="00163B5D"/>
    <w:rsid w:val="001646A3"/>
    <w:rsid w:val="00164D1F"/>
    <w:rsid w:val="00165481"/>
    <w:rsid w:val="001654D3"/>
    <w:rsid w:val="00165F7B"/>
    <w:rsid w:val="00166632"/>
    <w:rsid w:val="00166997"/>
    <w:rsid w:val="00166E4E"/>
    <w:rsid w:val="00166F67"/>
    <w:rsid w:val="001670E4"/>
    <w:rsid w:val="0016735C"/>
    <w:rsid w:val="001679B2"/>
    <w:rsid w:val="001703F5"/>
    <w:rsid w:val="001704A1"/>
    <w:rsid w:val="001704D8"/>
    <w:rsid w:val="00170E15"/>
    <w:rsid w:val="00170E38"/>
    <w:rsid w:val="001718B2"/>
    <w:rsid w:val="00171CEC"/>
    <w:rsid w:val="0017255E"/>
    <w:rsid w:val="00172AB4"/>
    <w:rsid w:val="00172DC4"/>
    <w:rsid w:val="001730D2"/>
    <w:rsid w:val="00173434"/>
    <w:rsid w:val="00174005"/>
    <w:rsid w:val="00174286"/>
    <w:rsid w:val="00175280"/>
    <w:rsid w:val="0017593C"/>
    <w:rsid w:val="00176229"/>
    <w:rsid w:val="001765EA"/>
    <w:rsid w:val="0017695F"/>
    <w:rsid w:val="00176C39"/>
    <w:rsid w:val="00176C60"/>
    <w:rsid w:val="0017709B"/>
    <w:rsid w:val="001800BD"/>
    <w:rsid w:val="001803F3"/>
    <w:rsid w:val="001812E5"/>
    <w:rsid w:val="00181BA1"/>
    <w:rsid w:val="001843DC"/>
    <w:rsid w:val="00184B30"/>
    <w:rsid w:val="00185532"/>
    <w:rsid w:val="00185A0C"/>
    <w:rsid w:val="00185EDC"/>
    <w:rsid w:val="00186222"/>
    <w:rsid w:val="00186675"/>
    <w:rsid w:val="00186C65"/>
    <w:rsid w:val="00186DC5"/>
    <w:rsid w:val="00186FE2"/>
    <w:rsid w:val="00187832"/>
    <w:rsid w:val="00187BD4"/>
    <w:rsid w:val="00187CE5"/>
    <w:rsid w:val="00187D40"/>
    <w:rsid w:val="0019040C"/>
    <w:rsid w:val="001909CA"/>
    <w:rsid w:val="00190E0E"/>
    <w:rsid w:val="001912E9"/>
    <w:rsid w:val="00191405"/>
    <w:rsid w:val="001923AB"/>
    <w:rsid w:val="001936CE"/>
    <w:rsid w:val="00193D0C"/>
    <w:rsid w:val="00193F67"/>
    <w:rsid w:val="00194161"/>
    <w:rsid w:val="00194524"/>
    <w:rsid w:val="001946FC"/>
    <w:rsid w:val="00194C80"/>
    <w:rsid w:val="00195520"/>
    <w:rsid w:val="00195D2E"/>
    <w:rsid w:val="00196769"/>
    <w:rsid w:val="00196EAC"/>
    <w:rsid w:val="00197838"/>
    <w:rsid w:val="001A046D"/>
    <w:rsid w:val="001A0648"/>
    <w:rsid w:val="001A07C4"/>
    <w:rsid w:val="001A16D2"/>
    <w:rsid w:val="001A20B6"/>
    <w:rsid w:val="001A2E23"/>
    <w:rsid w:val="001A32F4"/>
    <w:rsid w:val="001A396A"/>
    <w:rsid w:val="001A43FA"/>
    <w:rsid w:val="001A4C39"/>
    <w:rsid w:val="001A4D9C"/>
    <w:rsid w:val="001A4FEA"/>
    <w:rsid w:val="001A53A8"/>
    <w:rsid w:val="001A55F4"/>
    <w:rsid w:val="001A587F"/>
    <w:rsid w:val="001A6355"/>
    <w:rsid w:val="001A7509"/>
    <w:rsid w:val="001A76EC"/>
    <w:rsid w:val="001A7961"/>
    <w:rsid w:val="001A7DD6"/>
    <w:rsid w:val="001B0BCA"/>
    <w:rsid w:val="001B0CD9"/>
    <w:rsid w:val="001B18C4"/>
    <w:rsid w:val="001B1C29"/>
    <w:rsid w:val="001B3505"/>
    <w:rsid w:val="001B35D7"/>
    <w:rsid w:val="001B377C"/>
    <w:rsid w:val="001B37DD"/>
    <w:rsid w:val="001B4134"/>
    <w:rsid w:val="001B4268"/>
    <w:rsid w:val="001B5019"/>
    <w:rsid w:val="001B56C4"/>
    <w:rsid w:val="001B5843"/>
    <w:rsid w:val="001B638A"/>
    <w:rsid w:val="001B687D"/>
    <w:rsid w:val="001B696B"/>
    <w:rsid w:val="001B6DB5"/>
    <w:rsid w:val="001B6FF7"/>
    <w:rsid w:val="001B71ED"/>
    <w:rsid w:val="001B72D3"/>
    <w:rsid w:val="001B7E9D"/>
    <w:rsid w:val="001C0258"/>
    <w:rsid w:val="001C0D52"/>
    <w:rsid w:val="001C0E73"/>
    <w:rsid w:val="001C25AD"/>
    <w:rsid w:val="001C289F"/>
    <w:rsid w:val="001C343C"/>
    <w:rsid w:val="001C370E"/>
    <w:rsid w:val="001C53CA"/>
    <w:rsid w:val="001C57AD"/>
    <w:rsid w:val="001C57EF"/>
    <w:rsid w:val="001C5F36"/>
    <w:rsid w:val="001C6012"/>
    <w:rsid w:val="001C6159"/>
    <w:rsid w:val="001C6769"/>
    <w:rsid w:val="001C685C"/>
    <w:rsid w:val="001C69DB"/>
    <w:rsid w:val="001C7273"/>
    <w:rsid w:val="001C7278"/>
    <w:rsid w:val="001C7A23"/>
    <w:rsid w:val="001D000A"/>
    <w:rsid w:val="001D0B3B"/>
    <w:rsid w:val="001D0B7F"/>
    <w:rsid w:val="001D1C53"/>
    <w:rsid w:val="001D25AD"/>
    <w:rsid w:val="001D287F"/>
    <w:rsid w:val="001D29A5"/>
    <w:rsid w:val="001D2C76"/>
    <w:rsid w:val="001D2CB6"/>
    <w:rsid w:val="001D3685"/>
    <w:rsid w:val="001D40E5"/>
    <w:rsid w:val="001D47EF"/>
    <w:rsid w:val="001D4B79"/>
    <w:rsid w:val="001D4D65"/>
    <w:rsid w:val="001D583F"/>
    <w:rsid w:val="001D5EF7"/>
    <w:rsid w:val="001D6A71"/>
    <w:rsid w:val="001D70C7"/>
    <w:rsid w:val="001D73CC"/>
    <w:rsid w:val="001D7838"/>
    <w:rsid w:val="001E05FE"/>
    <w:rsid w:val="001E16C7"/>
    <w:rsid w:val="001E17F2"/>
    <w:rsid w:val="001E1D60"/>
    <w:rsid w:val="001E1EA9"/>
    <w:rsid w:val="001E2124"/>
    <w:rsid w:val="001E23AB"/>
    <w:rsid w:val="001E2993"/>
    <w:rsid w:val="001E3A83"/>
    <w:rsid w:val="001E4ACE"/>
    <w:rsid w:val="001E4CA2"/>
    <w:rsid w:val="001E4E0C"/>
    <w:rsid w:val="001E4FD6"/>
    <w:rsid w:val="001E5359"/>
    <w:rsid w:val="001E5C52"/>
    <w:rsid w:val="001E64A9"/>
    <w:rsid w:val="001E6DDF"/>
    <w:rsid w:val="001E7254"/>
    <w:rsid w:val="001E74F4"/>
    <w:rsid w:val="001E7AA6"/>
    <w:rsid w:val="001F09A8"/>
    <w:rsid w:val="001F0DBA"/>
    <w:rsid w:val="001F0EC6"/>
    <w:rsid w:val="001F1130"/>
    <w:rsid w:val="001F1329"/>
    <w:rsid w:val="001F172E"/>
    <w:rsid w:val="001F1D9D"/>
    <w:rsid w:val="001F254B"/>
    <w:rsid w:val="001F2824"/>
    <w:rsid w:val="001F301B"/>
    <w:rsid w:val="001F331D"/>
    <w:rsid w:val="001F367B"/>
    <w:rsid w:val="001F3B41"/>
    <w:rsid w:val="001F4006"/>
    <w:rsid w:val="001F4438"/>
    <w:rsid w:val="001F46C1"/>
    <w:rsid w:val="001F4739"/>
    <w:rsid w:val="001F4817"/>
    <w:rsid w:val="001F4C55"/>
    <w:rsid w:val="001F578E"/>
    <w:rsid w:val="001F599F"/>
    <w:rsid w:val="001F5BF2"/>
    <w:rsid w:val="001F609F"/>
    <w:rsid w:val="001F67FB"/>
    <w:rsid w:val="001F682B"/>
    <w:rsid w:val="001F6B7C"/>
    <w:rsid w:val="001F6E1C"/>
    <w:rsid w:val="001F6FD0"/>
    <w:rsid w:val="001F726C"/>
    <w:rsid w:val="001F72CB"/>
    <w:rsid w:val="001F737C"/>
    <w:rsid w:val="001F77F2"/>
    <w:rsid w:val="001F7826"/>
    <w:rsid w:val="001F7B35"/>
    <w:rsid w:val="002001E9"/>
    <w:rsid w:val="0020064C"/>
    <w:rsid w:val="00200C89"/>
    <w:rsid w:val="00200E1E"/>
    <w:rsid w:val="00201C6A"/>
    <w:rsid w:val="0020229A"/>
    <w:rsid w:val="00202C11"/>
    <w:rsid w:val="00202CD9"/>
    <w:rsid w:val="00202DBA"/>
    <w:rsid w:val="002034BC"/>
    <w:rsid w:val="00203D90"/>
    <w:rsid w:val="00205198"/>
    <w:rsid w:val="002054D8"/>
    <w:rsid w:val="00206B8E"/>
    <w:rsid w:val="00207288"/>
    <w:rsid w:val="00207D2F"/>
    <w:rsid w:val="00207EE0"/>
    <w:rsid w:val="00210046"/>
    <w:rsid w:val="002100D0"/>
    <w:rsid w:val="0021046A"/>
    <w:rsid w:val="002104FA"/>
    <w:rsid w:val="0021079D"/>
    <w:rsid w:val="002115F5"/>
    <w:rsid w:val="00211D39"/>
    <w:rsid w:val="00212107"/>
    <w:rsid w:val="00212A6B"/>
    <w:rsid w:val="00212B42"/>
    <w:rsid w:val="00212F56"/>
    <w:rsid w:val="002131C9"/>
    <w:rsid w:val="0021332B"/>
    <w:rsid w:val="00214144"/>
    <w:rsid w:val="00214C52"/>
    <w:rsid w:val="00214D44"/>
    <w:rsid w:val="00214E8C"/>
    <w:rsid w:val="00215559"/>
    <w:rsid w:val="00216BDC"/>
    <w:rsid w:val="00216F83"/>
    <w:rsid w:val="002172E5"/>
    <w:rsid w:val="0021746A"/>
    <w:rsid w:val="00217520"/>
    <w:rsid w:val="00217738"/>
    <w:rsid w:val="00220126"/>
    <w:rsid w:val="00220434"/>
    <w:rsid w:val="00220A6B"/>
    <w:rsid w:val="00221932"/>
    <w:rsid w:val="00221E58"/>
    <w:rsid w:val="00221E86"/>
    <w:rsid w:val="002221DA"/>
    <w:rsid w:val="002225C5"/>
    <w:rsid w:val="0022290D"/>
    <w:rsid w:val="00222EFF"/>
    <w:rsid w:val="00223991"/>
    <w:rsid w:val="002239EC"/>
    <w:rsid w:val="002245AD"/>
    <w:rsid w:val="00224627"/>
    <w:rsid w:val="002250A5"/>
    <w:rsid w:val="002250D0"/>
    <w:rsid w:val="0022534A"/>
    <w:rsid w:val="002253E0"/>
    <w:rsid w:val="00225D05"/>
    <w:rsid w:val="00226186"/>
    <w:rsid w:val="0022648E"/>
    <w:rsid w:val="00226FB4"/>
    <w:rsid w:val="00230C46"/>
    <w:rsid w:val="002325E1"/>
    <w:rsid w:val="00232C75"/>
    <w:rsid w:val="0023404E"/>
    <w:rsid w:val="0023442A"/>
    <w:rsid w:val="00234ABC"/>
    <w:rsid w:val="00234C8E"/>
    <w:rsid w:val="00234DDC"/>
    <w:rsid w:val="0023517A"/>
    <w:rsid w:val="0023586B"/>
    <w:rsid w:val="00235B3D"/>
    <w:rsid w:val="00236A65"/>
    <w:rsid w:val="00237070"/>
    <w:rsid w:val="002379C8"/>
    <w:rsid w:val="002379F0"/>
    <w:rsid w:val="00240EDF"/>
    <w:rsid w:val="00242227"/>
    <w:rsid w:val="00243888"/>
    <w:rsid w:val="002438ED"/>
    <w:rsid w:val="00243AEB"/>
    <w:rsid w:val="002441D1"/>
    <w:rsid w:val="00244A33"/>
    <w:rsid w:val="00244BCC"/>
    <w:rsid w:val="00245223"/>
    <w:rsid w:val="002452C5"/>
    <w:rsid w:val="00245BDF"/>
    <w:rsid w:val="00246C28"/>
    <w:rsid w:val="00246DAD"/>
    <w:rsid w:val="00246DD5"/>
    <w:rsid w:val="002470EF"/>
    <w:rsid w:val="0024732A"/>
    <w:rsid w:val="00247571"/>
    <w:rsid w:val="00250685"/>
    <w:rsid w:val="002506DD"/>
    <w:rsid w:val="00250987"/>
    <w:rsid w:val="00250CD6"/>
    <w:rsid w:val="00250E9A"/>
    <w:rsid w:val="00251439"/>
    <w:rsid w:val="0025193B"/>
    <w:rsid w:val="00252127"/>
    <w:rsid w:val="00252639"/>
    <w:rsid w:val="002528FC"/>
    <w:rsid w:val="00252F63"/>
    <w:rsid w:val="002530B9"/>
    <w:rsid w:val="002541B0"/>
    <w:rsid w:val="002549E8"/>
    <w:rsid w:val="00254AF2"/>
    <w:rsid w:val="00254BAC"/>
    <w:rsid w:val="0025521E"/>
    <w:rsid w:val="002552BB"/>
    <w:rsid w:val="00256EF2"/>
    <w:rsid w:val="00256FBF"/>
    <w:rsid w:val="00257CE3"/>
    <w:rsid w:val="00257D07"/>
    <w:rsid w:val="00260A6A"/>
    <w:rsid w:val="002611EC"/>
    <w:rsid w:val="00261C97"/>
    <w:rsid w:val="00261F03"/>
    <w:rsid w:val="00262603"/>
    <w:rsid w:val="00262F5F"/>
    <w:rsid w:val="002632D5"/>
    <w:rsid w:val="002633FE"/>
    <w:rsid w:val="00263610"/>
    <w:rsid w:val="00263B45"/>
    <w:rsid w:val="002641A3"/>
    <w:rsid w:val="002643FC"/>
    <w:rsid w:val="00264978"/>
    <w:rsid w:val="00264AC8"/>
    <w:rsid w:val="00264BE5"/>
    <w:rsid w:val="00264DCB"/>
    <w:rsid w:val="00265260"/>
    <w:rsid w:val="00265BFD"/>
    <w:rsid w:val="00265D4B"/>
    <w:rsid w:val="002669A2"/>
    <w:rsid w:val="00266C77"/>
    <w:rsid w:val="00267170"/>
    <w:rsid w:val="00267253"/>
    <w:rsid w:val="00267404"/>
    <w:rsid w:val="00270371"/>
    <w:rsid w:val="002706EC"/>
    <w:rsid w:val="00270F62"/>
    <w:rsid w:val="0027106E"/>
    <w:rsid w:val="0027141E"/>
    <w:rsid w:val="00271435"/>
    <w:rsid w:val="00271CC6"/>
    <w:rsid w:val="00271E2E"/>
    <w:rsid w:val="00272A46"/>
    <w:rsid w:val="00272D8D"/>
    <w:rsid w:val="00272EB7"/>
    <w:rsid w:val="0027306B"/>
    <w:rsid w:val="00273187"/>
    <w:rsid w:val="00273538"/>
    <w:rsid w:val="00273614"/>
    <w:rsid w:val="00273892"/>
    <w:rsid w:val="00273C2B"/>
    <w:rsid w:val="00273E71"/>
    <w:rsid w:val="002741FB"/>
    <w:rsid w:val="00274833"/>
    <w:rsid w:val="0027494B"/>
    <w:rsid w:val="00274CF2"/>
    <w:rsid w:val="00274D71"/>
    <w:rsid w:val="00275471"/>
    <w:rsid w:val="002767FB"/>
    <w:rsid w:val="00276A7E"/>
    <w:rsid w:val="00276D69"/>
    <w:rsid w:val="00277006"/>
    <w:rsid w:val="0028021F"/>
    <w:rsid w:val="00280EE0"/>
    <w:rsid w:val="00281161"/>
    <w:rsid w:val="00281787"/>
    <w:rsid w:val="00281820"/>
    <w:rsid w:val="00281B55"/>
    <w:rsid w:val="00281EC0"/>
    <w:rsid w:val="00282067"/>
    <w:rsid w:val="002820A4"/>
    <w:rsid w:val="00282431"/>
    <w:rsid w:val="00282CD0"/>
    <w:rsid w:val="00282D81"/>
    <w:rsid w:val="00283D58"/>
    <w:rsid w:val="00284A26"/>
    <w:rsid w:val="00285A85"/>
    <w:rsid w:val="00285C62"/>
    <w:rsid w:val="00285C9C"/>
    <w:rsid w:val="00286B79"/>
    <w:rsid w:val="00286BB5"/>
    <w:rsid w:val="0028784B"/>
    <w:rsid w:val="002905E4"/>
    <w:rsid w:val="00291088"/>
    <w:rsid w:val="00292164"/>
    <w:rsid w:val="00292B87"/>
    <w:rsid w:val="00293465"/>
    <w:rsid w:val="00293859"/>
    <w:rsid w:val="00294125"/>
    <w:rsid w:val="00294FE5"/>
    <w:rsid w:val="00295215"/>
    <w:rsid w:val="00295518"/>
    <w:rsid w:val="00295A94"/>
    <w:rsid w:val="00295E69"/>
    <w:rsid w:val="00296117"/>
    <w:rsid w:val="002965E4"/>
    <w:rsid w:val="00296F56"/>
    <w:rsid w:val="0029730E"/>
    <w:rsid w:val="002973E6"/>
    <w:rsid w:val="002974E2"/>
    <w:rsid w:val="00297FCA"/>
    <w:rsid w:val="002A0098"/>
    <w:rsid w:val="002A0303"/>
    <w:rsid w:val="002A1A40"/>
    <w:rsid w:val="002A1AA9"/>
    <w:rsid w:val="002A1D44"/>
    <w:rsid w:val="002A28B8"/>
    <w:rsid w:val="002A2943"/>
    <w:rsid w:val="002A393A"/>
    <w:rsid w:val="002A3ACC"/>
    <w:rsid w:val="002A3CCC"/>
    <w:rsid w:val="002A3FC1"/>
    <w:rsid w:val="002A440B"/>
    <w:rsid w:val="002A45AC"/>
    <w:rsid w:val="002A4B34"/>
    <w:rsid w:val="002A604E"/>
    <w:rsid w:val="002A67D3"/>
    <w:rsid w:val="002A6D7C"/>
    <w:rsid w:val="002B05DF"/>
    <w:rsid w:val="002B0D3C"/>
    <w:rsid w:val="002B1DA9"/>
    <w:rsid w:val="002B2247"/>
    <w:rsid w:val="002B2F96"/>
    <w:rsid w:val="002B3771"/>
    <w:rsid w:val="002B3998"/>
    <w:rsid w:val="002B3B38"/>
    <w:rsid w:val="002B3E7D"/>
    <w:rsid w:val="002B4241"/>
    <w:rsid w:val="002B4C17"/>
    <w:rsid w:val="002B55E5"/>
    <w:rsid w:val="002B5BF2"/>
    <w:rsid w:val="002B651F"/>
    <w:rsid w:val="002B6ABB"/>
    <w:rsid w:val="002B6C8D"/>
    <w:rsid w:val="002B6D9F"/>
    <w:rsid w:val="002B7016"/>
    <w:rsid w:val="002B708C"/>
    <w:rsid w:val="002B714B"/>
    <w:rsid w:val="002B7423"/>
    <w:rsid w:val="002B7A05"/>
    <w:rsid w:val="002C0102"/>
    <w:rsid w:val="002C0897"/>
    <w:rsid w:val="002C09A1"/>
    <w:rsid w:val="002C09B1"/>
    <w:rsid w:val="002C0BA6"/>
    <w:rsid w:val="002C0CE8"/>
    <w:rsid w:val="002C0EEB"/>
    <w:rsid w:val="002C1391"/>
    <w:rsid w:val="002C142B"/>
    <w:rsid w:val="002C1893"/>
    <w:rsid w:val="002C1B4C"/>
    <w:rsid w:val="002C1E79"/>
    <w:rsid w:val="002C26F2"/>
    <w:rsid w:val="002C271E"/>
    <w:rsid w:val="002C2732"/>
    <w:rsid w:val="002C2AAD"/>
    <w:rsid w:val="002C2FBC"/>
    <w:rsid w:val="002C44F5"/>
    <w:rsid w:val="002C47BC"/>
    <w:rsid w:val="002C4DC2"/>
    <w:rsid w:val="002C4E20"/>
    <w:rsid w:val="002C55AC"/>
    <w:rsid w:val="002C5711"/>
    <w:rsid w:val="002C5B71"/>
    <w:rsid w:val="002C613F"/>
    <w:rsid w:val="002C63D3"/>
    <w:rsid w:val="002C67BD"/>
    <w:rsid w:val="002C72B0"/>
    <w:rsid w:val="002D031E"/>
    <w:rsid w:val="002D0495"/>
    <w:rsid w:val="002D078F"/>
    <w:rsid w:val="002D0A29"/>
    <w:rsid w:val="002D0B2C"/>
    <w:rsid w:val="002D12DD"/>
    <w:rsid w:val="002D12DF"/>
    <w:rsid w:val="002D15DB"/>
    <w:rsid w:val="002D173A"/>
    <w:rsid w:val="002D1AAA"/>
    <w:rsid w:val="002D1F1D"/>
    <w:rsid w:val="002D25AB"/>
    <w:rsid w:val="002D2695"/>
    <w:rsid w:val="002D273F"/>
    <w:rsid w:val="002D3B3A"/>
    <w:rsid w:val="002D3CFB"/>
    <w:rsid w:val="002D4265"/>
    <w:rsid w:val="002D496F"/>
    <w:rsid w:val="002D4C62"/>
    <w:rsid w:val="002D5102"/>
    <w:rsid w:val="002D51AD"/>
    <w:rsid w:val="002D52D0"/>
    <w:rsid w:val="002D531F"/>
    <w:rsid w:val="002D5AD5"/>
    <w:rsid w:val="002D67E7"/>
    <w:rsid w:val="002D6E82"/>
    <w:rsid w:val="002D77F0"/>
    <w:rsid w:val="002D7A3B"/>
    <w:rsid w:val="002D7AE4"/>
    <w:rsid w:val="002D7BBD"/>
    <w:rsid w:val="002D7C50"/>
    <w:rsid w:val="002D7D32"/>
    <w:rsid w:val="002E01CB"/>
    <w:rsid w:val="002E0DD4"/>
    <w:rsid w:val="002E0DFB"/>
    <w:rsid w:val="002E0F30"/>
    <w:rsid w:val="002E11BA"/>
    <w:rsid w:val="002E1862"/>
    <w:rsid w:val="002E2193"/>
    <w:rsid w:val="002E2468"/>
    <w:rsid w:val="002E2566"/>
    <w:rsid w:val="002E2821"/>
    <w:rsid w:val="002E2C99"/>
    <w:rsid w:val="002E2FE2"/>
    <w:rsid w:val="002E309C"/>
    <w:rsid w:val="002E364D"/>
    <w:rsid w:val="002E36C7"/>
    <w:rsid w:val="002E38AE"/>
    <w:rsid w:val="002E4091"/>
    <w:rsid w:val="002E41A1"/>
    <w:rsid w:val="002E4825"/>
    <w:rsid w:val="002E5282"/>
    <w:rsid w:val="002E55C5"/>
    <w:rsid w:val="002E5FDD"/>
    <w:rsid w:val="002E7ABD"/>
    <w:rsid w:val="002E7BB0"/>
    <w:rsid w:val="002F01BE"/>
    <w:rsid w:val="002F0A8E"/>
    <w:rsid w:val="002F13E6"/>
    <w:rsid w:val="002F1B98"/>
    <w:rsid w:val="002F1F0A"/>
    <w:rsid w:val="002F24B1"/>
    <w:rsid w:val="002F2523"/>
    <w:rsid w:val="002F2DDD"/>
    <w:rsid w:val="002F3A66"/>
    <w:rsid w:val="002F41CF"/>
    <w:rsid w:val="002F4E7D"/>
    <w:rsid w:val="002F4E9E"/>
    <w:rsid w:val="002F5268"/>
    <w:rsid w:val="002F5384"/>
    <w:rsid w:val="002F679F"/>
    <w:rsid w:val="002F6D09"/>
    <w:rsid w:val="002F714B"/>
    <w:rsid w:val="0030169F"/>
    <w:rsid w:val="00302B22"/>
    <w:rsid w:val="00303197"/>
    <w:rsid w:val="00303455"/>
    <w:rsid w:val="00303702"/>
    <w:rsid w:val="00303D24"/>
    <w:rsid w:val="00304179"/>
    <w:rsid w:val="00304E98"/>
    <w:rsid w:val="003055CA"/>
    <w:rsid w:val="00307F8E"/>
    <w:rsid w:val="00311BF5"/>
    <w:rsid w:val="00311D46"/>
    <w:rsid w:val="00311E9C"/>
    <w:rsid w:val="0031215B"/>
    <w:rsid w:val="0031228B"/>
    <w:rsid w:val="00312EC3"/>
    <w:rsid w:val="0031332E"/>
    <w:rsid w:val="0031344F"/>
    <w:rsid w:val="00313853"/>
    <w:rsid w:val="00314048"/>
    <w:rsid w:val="0031409C"/>
    <w:rsid w:val="00314B93"/>
    <w:rsid w:val="00314F12"/>
    <w:rsid w:val="003154F8"/>
    <w:rsid w:val="00315CBD"/>
    <w:rsid w:val="00315CF8"/>
    <w:rsid w:val="00316CFF"/>
    <w:rsid w:val="00316DCA"/>
    <w:rsid w:val="0031743B"/>
    <w:rsid w:val="0031772A"/>
    <w:rsid w:val="00317C33"/>
    <w:rsid w:val="00320166"/>
    <w:rsid w:val="00320673"/>
    <w:rsid w:val="00320B84"/>
    <w:rsid w:val="00320DE6"/>
    <w:rsid w:val="003215AA"/>
    <w:rsid w:val="00321681"/>
    <w:rsid w:val="00321B41"/>
    <w:rsid w:val="00321CBE"/>
    <w:rsid w:val="00321CE6"/>
    <w:rsid w:val="00322085"/>
    <w:rsid w:val="0032237E"/>
    <w:rsid w:val="00322904"/>
    <w:rsid w:val="00322B23"/>
    <w:rsid w:val="00322B24"/>
    <w:rsid w:val="00322F76"/>
    <w:rsid w:val="00323091"/>
    <w:rsid w:val="00323376"/>
    <w:rsid w:val="00323414"/>
    <w:rsid w:val="0032343A"/>
    <w:rsid w:val="00323862"/>
    <w:rsid w:val="00323F94"/>
    <w:rsid w:val="0032404C"/>
    <w:rsid w:val="00324177"/>
    <w:rsid w:val="003245F7"/>
    <w:rsid w:val="00324CD1"/>
    <w:rsid w:val="00324CD8"/>
    <w:rsid w:val="00324DFC"/>
    <w:rsid w:val="0032591E"/>
    <w:rsid w:val="00326413"/>
    <w:rsid w:val="003266EE"/>
    <w:rsid w:val="00326D36"/>
    <w:rsid w:val="00326D4A"/>
    <w:rsid w:val="00326E2E"/>
    <w:rsid w:val="003270E0"/>
    <w:rsid w:val="003271ED"/>
    <w:rsid w:val="00327E1C"/>
    <w:rsid w:val="0033040C"/>
    <w:rsid w:val="0033073E"/>
    <w:rsid w:val="003307AD"/>
    <w:rsid w:val="00330856"/>
    <w:rsid w:val="00331114"/>
    <w:rsid w:val="003317D5"/>
    <w:rsid w:val="00331E02"/>
    <w:rsid w:val="0033264C"/>
    <w:rsid w:val="00332D7E"/>
    <w:rsid w:val="003335B8"/>
    <w:rsid w:val="00333C56"/>
    <w:rsid w:val="0033414A"/>
    <w:rsid w:val="0033456B"/>
    <w:rsid w:val="0033493D"/>
    <w:rsid w:val="00334F16"/>
    <w:rsid w:val="0033723D"/>
    <w:rsid w:val="0034022D"/>
    <w:rsid w:val="0034032B"/>
    <w:rsid w:val="003407DD"/>
    <w:rsid w:val="00340F4D"/>
    <w:rsid w:val="00340FA2"/>
    <w:rsid w:val="00341AB7"/>
    <w:rsid w:val="00341E41"/>
    <w:rsid w:val="00342492"/>
    <w:rsid w:val="00342700"/>
    <w:rsid w:val="0034323D"/>
    <w:rsid w:val="00344020"/>
    <w:rsid w:val="003442F5"/>
    <w:rsid w:val="003443A4"/>
    <w:rsid w:val="00344BCA"/>
    <w:rsid w:val="00344C58"/>
    <w:rsid w:val="00345051"/>
    <w:rsid w:val="0034512D"/>
    <w:rsid w:val="00345D49"/>
    <w:rsid w:val="00345DC2"/>
    <w:rsid w:val="00345E10"/>
    <w:rsid w:val="00346270"/>
    <w:rsid w:val="003464CF"/>
    <w:rsid w:val="0034657A"/>
    <w:rsid w:val="00346B3A"/>
    <w:rsid w:val="00346EB8"/>
    <w:rsid w:val="00346F5C"/>
    <w:rsid w:val="00347818"/>
    <w:rsid w:val="00347924"/>
    <w:rsid w:val="003479DA"/>
    <w:rsid w:val="00347C14"/>
    <w:rsid w:val="00347DA6"/>
    <w:rsid w:val="003502F7"/>
    <w:rsid w:val="00350618"/>
    <w:rsid w:val="0035194E"/>
    <w:rsid w:val="00351B36"/>
    <w:rsid w:val="00352A9B"/>
    <w:rsid w:val="0035367E"/>
    <w:rsid w:val="003538D8"/>
    <w:rsid w:val="00353C42"/>
    <w:rsid w:val="00354A16"/>
    <w:rsid w:val="003551E3"/>
    <w:rsid w:val="0035539E"/>
    <w:rsid w:val="00355D47"/>
    <w:rsid w:val="003562C3"/>
    <w:rsid w:val="003562CA"/>
    <w:rsid w:val="00356686"/>
    <w:rsid w:val="00356B41"/>
    <w:rsid w:val="00356D32"/>
    <w:rsid w:val="00356D94"/>
    <w:rsid w:val="00356F6A"/>
    <w:rsid w:val="003579FC"/>
    <w:rsid w:val="00357D5D"/>
    <w:rsid w:val="00357E19"/>
    <w:rsid w:val="0036003E"/>
    <w:rsid w:val="003609A0"/>
    <w:rsid w:val="00360B63"/>
    <w:rsid w:val="003618B8"/>
    <w:rsid w:val="00361BD0"/>
    <w:rsid w:val="00361CF6"/>
    <w:rsid w:val="00361E0C"/>
    <w:rsid w:val="00362337"/>
    <w:rsid w:val="0036295D"/>
    <w:rsid w:val="00362B77"/>
    <w:rsid w:val="003633E4"/>
    <w:rsid w:val="00363558"/>
    <w:rsid w:val="00363751"/>
    <w:rsid w:val="003638B5"/>
    <w:rsid w:val="0036449C"/>
    <w:rsid w:val="00364C86"/>
    <w:rsid w:val="00364F0A"/>
    <w:rsid w:val="00364F41"/>
    <w:rsid w:val="0036530A"/>
    <w:rsid w:val="0036539A"/>
    <w:rsid w:val="0036541C"/>
    <w:rsid w:val="00365813"/>
    <w:rsid w:val="003662E3"/>
    <w:rsid w:val="0036631C"/>
    <w:rsid w:val="003663BD"/>
    <w:rsid w:val="003665FB"/>
    <w:rsid w:val="0036667C"/>
    <w:rsid w:val="00367007"/>
    <w:rsid w:val="00367349"/>
    <w:rsid w:val="00367449"/>
    <w:rsid w:val="00367A90"/>
    <w:rsid w:val="0037023A"/>
    <w:rsid w:val="00370616"/>
    <w:rsid w:val="003709D5"/>
    <w:rsid w:val="00370A5F"/>
    <w:rsid w:val="00370E5E"/>
    <w:rsid w:val="00370E97"/>
    <w:rsid w:val="003718FB"/>
    <w:rsid w:val="00371D68"/>
    <w:rsid w:val="003720AE"/>
    <w:rsid w:val="003727F4"/>
    <w:rsid w:val="00372974"/>
    <w:rsid w:val="00372D82"/>
    <w:rsid w:val="0037308F"/>
    <w:rsid w:val="003737B2"/>
    <w:rsid w:val="0037510E"/>
    <w:rsid w:val="003757BA"/>
    <w:rsid w:val="00375AF8"/>
    <w:rsid w:val="00375EE9"/>
    <w:rsid w:val="00376561"/>
    <w:rsid w:val="0037688F"/>
    <w:rsid w:val="00376F92"/>
    <w:rsid w:val="00377037"/>
    <w:rsid w:val="00377100"/>
    <w:rsid w:val="003800DB"/>
    <w:rsid w:val="0038042F"/>
    <w:rsid w:val="00380AFD"/>
    <w:rsid w:val="0038248F"/>
    <w:rsid w:val="00382785"/>
    <w:rsid w:val="00383839"/>
    <w:rsid w:val="0038453B"/>
    <w:rsid w:val="0038489F"/>
    <w:rsid w:val="00384B8D"/>
    <w:rsid w:val="0038530E"/>
    <w:rsid w:val="00385394"/>
    <w:rsid w:val="0038556B"/>
    <w:rsid w:val="00386255"/>
    <w:rsid w:val="003869EB"/>
    <w:rsid w:val="00387713"/>
    <w:rsid w:val="003879D7"/>
    <w:rsid w:val="003900A2"/>
    <w:rsid w:val="0039018C"/>
    <w:rsid w:val="003910A1"/>
    <w:rsid w:val="00391792"/>
    <w:rsid w:val="00391A02"/>
    <w:rsid w:val="00391D66"/>
    <w:rsid w:val="00393544"/>
    <w:rsid w:val="003935F8"/>
    <w:rsid w:val="003940C8"/>
    <w:rsid w:val="003946F8"/>
    <w:rsid w:val="00394713"/>
    <w:rsid w:val="0039471F"/>
    <w:rsid w:val="00394DB5"/>
    <w:rsid w:val="003958ED"/>
    <w:rsid w:val="00395B5E"/>
    <w:rsid w:val="003972B7"/>
    <w:rsid w:val="003974BF"/>
    <w:rsid w:val="003A0175"/>
    <w:rsid w:val="003A029A"/>
    <w:rsid w:val="003A02BB"/>
    <w:rsid w:val="003A0341"/>
    <w:rsid w:val="003A04BE"/>
    <w:rsid w:val="003A06AA"/>
    <w:rsid w:val="003A0762"/>
    <w:rsid w:val="003A08A0"/>
    <w:rsid w:val="003A097E"/>
    <w:rsid w:val="003A0A7B"/>
    <w:rsid w:val="003A0B4D"/>
    <w:rsid w:val="003A1CF2"/>
    <w:rsid w:val="003A2329"/>
    <w:rsid w:val="003A3BF2"/>
    <w:rsid w:val="003A3BF9"/>
    <w:rsid w:val="003A4476"/>
    <w:rsid w:val="003A517A"/>
    <w:rsid w:val="003A5545"/>
    <w:rsid w:val="003A5A29"/>
    <w:rsid w:val="003A6B15"/>
    <w:rsid w:val="003A6BA7"/>
    <w:rsid w:val="003A71A1"/>
    <w:rsid w:val="003A7A2D"/>
    <w:rsid w:val="003A7FDB"/>
    <w:rsid w:val="003B0091"/>
    <w:rsid w:val="003B00A4"/>
    <w:rsid w:val="003B0EB3"/>
    <w:rsid w:val="003B0F57"/>
    <w:rsid w:val="003B1374"/>
    <w:rsid w:val="003B1E8F"/>
    <w:rsid w:val="003B1EF8"/>
    <w:rsid w:val="003B2142"/>
    <w:rsid w:val="003B22F5"/>
    <w:rsid w:val="003B2427"/>
    <w:rsid w:val="003B2538"/>
    <w:rsid w:val="003B2E75"/>
    <w:rsid w:val="003B37A5"/>
    <w:rsid w:val="003B397D"/>
    <w:rsid w:val="003B3AA7"/>
    <w:rsid w:val="003B3D32"/>
    <w:rsid w:val="003B437B"/>
    <w:rsid w:val="003B4461"/>
    <w:rsid w:val="003B487F"/>
    <w:rsid w:val="003B4AB4"/>
    <w:rsid w:val="003B515B"/>
    <w:rsid w:val="003B53D1"/>
    <w:rsid w:val="003B5DAA"/>
    <w:rsid w:val="003B60DA"/>
    <w:rsid w:val="003B62A9"/>
    <w:rsid w:val="003B6772"/>
    <w:rsid w:val="003B68CF"/>
    <w:rsid w:val="003B6FDD"/>
    <w:rsid w:val="003B7476"/>
    <w:rsid w:val="003B7614"/>
    <w:rsid w:val="003B7A90"/>
    <w:rsid w:val="003B7BA3"/>
    <w:rsid w:val="003C0090"/>
    <w:rsid w:val="003C036E"/>
    <w:rsid w:val="003C0B6F"/>
    <w:rsid w:val="003C1039"/>
    <w:rsid w:val="003C10F3"/>
    <w:rsid w:val="003C17D9"/>
    <w:rsid w:val="003C1A4C"/>
    <w:rsid w:val="003C1D26"/>
    <w:rsid w:val="003C4D88"/>
    <w:rsid w:val="003C53E6"/>
    <w:rsid w:val="003C593A"/>
    <w:rsid w:val="003C5FEF"/>
    <w:rsid w:val="003C6143"/>
    <w:rsid w:val="003C62C2"/>
    <w:rsid w:val="003C6945"/>
    <w:rsid w:val="003C6F08"/>
    <w:rsid w:val="003C7D84"/>
    <w:rsid w:val="003C7F8A"/>
    <w:rsid w:val="003D0914"/>
    <w:rsid w:val="003D0986"/>
    <w:rsid w:val="003D1D2E"/>
    <w:rsid w:val="003D216B"/>
    <w:rsid w:val="003D2470"/>
    <w:rsid w:val="003D2611"/>
    <w:rsid w:val="003D27C7"/>
    <w:rsid w:val="003D2E47"/>
    <w:rsid w:val="003D3396"/>
    <w:rsid w:val="003D36C8"/>
    <w:rsid w:val="003D4488"/>
    <w:rsid w:val="003D4650"/>
    <w:rsid w:val="003D474B"/>
    <w:rsid w:val="003D4A61"/>
    <w:rsid w:val="003D4AD6"/>
    <w:rsid w:val="003D4CC0"/>
    <w:rsid w:val="003D4CE2"/>
    <w:rsid w:val="003D4F91"/>
    <w:rsid w:val="003D5045"/>
    <w:rsid w:val="003D5633"/>
    <w:rsid w:val="003D59A6"/>
    <w:rsid w:val="003D61B1"/>
    <w:rsid w:val="003D622A"/>
    <w:rsid w:val="003D64B8"/>
    <w:rsid w:val="003D6A38"/>
    <w:rsid w:val="003D6C28"/>
    <w:rsid w:val="003D6E65"/>
    <w:rsid w:val="003D6EBC"/>
    <w:rsid w:val="003D7054"/>
    <w:rsid w:val="003D74B9"/>
    <w:rsid w:val="003D765A"/>
    <w:rsid w:val="003E05F1"/>
    <w:rsid w:val="003E0873"/>
    <w:rsid w:val="003E09F5"/>
    <w:rsid w:val="003E0CDD"/>
    <w:rsid w:val="003E1496"/>
    <w:rsid w:val="003E16CF"/>
    <w:rsid w:val="003E1D6D"/>
    <w:rsid w:val="003E1F24"/>
    <w:rsid w:val="003E2234"/>
    <w:rsid w:val="003E283A"/>
    <w:rsid w:val="003E2A2B"/>
    <w:rsid w:val="003E2B17"/>
    <w:rsid w:val="003E2D16"/>
    <w:rsid w:val="003E2F57"/>
    <w:rsid w:val="003E3DFC"/>
    <w:rsid w:val="003E4AB0"/>
    <w:rsid w:val="003E4E59"/>
    <w:rsid w:val="003E5265"/>
    <w:rsid w:val="003E5977"/>
    <w:rsid w:val="003E5ACA"/>
    <w:rsid w:val="003E5C68"/>
    <w:rsid w:val="003E5CA4"/>
    <w:rsid w:val="003E5EEF"/>
    <w:rsid w:val="003E6308"/>
    <w:rsid w:val="003E69F3"/>
    <w:rsid w:val="003E70E5"/>
    <w:rsid w:val="003E73E3"/>
    <w:rsid w:val="003E77F5"/>
    <w:rsid w:val="003E7B18"/>
    <w:rsid w:val="003E7E30"/>
    <w:rsid w:val="003E7FD6"/>
    <w:rsid w:val="003F0148"/>
    <w:rsid w:val="003F0533"/>
    <w:rsid w:val="003F0921"/>
    <w:rsid w:val="003F0A3D"/>
    <w:rsid w:val="003F2B36"/>
    <w:rsid w:val="003F2EF5"/>
    <w:rsid w:val="003F3610"/>
    <w:rsid w:val="003F37CC"/>
    <w:rsid w:val="003F4826"/>
    <w:rsid w:val="003F4AB8"/>
    <w:rsid w:val="003F4D32"/>
    <w:rsid w:val="003F4E31"/>
    <w:rsid w:val="003F4EDB"/>
    <w:rsid w:val="003F549A"/>
    <w:rsid w:val="003F5AC9"/>
    <w:rsid w:val="003F5B25"/>
    <w:rsid w:val="003F67BE"/>
    <w:rsid w:val="003F6B7A"/>
    <w:rsid w:val="003F6C02"/>
    <w:rsid w:val="003F72A4"/>
    <w:rsid w:val="003F742E"/>
    <w:rsid w:val="003F78FF"/>
    <w:rsid w:val="003F7BAF"/>
    <w:rsid w:val="003F7C24"/>
    <w:rsid w:val="003F7FF1"/>
    <w:rsid w:val="004003E6"/>
    <w:rsid w:val="004012FE"/>
    <w:rsid w:val="004013FE"/>
    <w:rsid w:val="00401753"/>
    <w:rsid w:val="00401F35"/>
    <w:rsid w:val="004023D4"/>
    <w:rsid w:val="004027B7"/>
    <w:rsid w:val="00403372"/>
    <w:rsid w:val="00404134"/>
    <w:rsid w:val="004041AD"/>
    <w:rsid w:val="00404EDB"/>
    <w:rsid w:val="00405F5B"/>
    <w:rsid w:val="00406911"/>
    <w:rsid w:val="00407A49"/>
    <w:rsid w:val="0041064E"/>
    <w:rsid w:val="00410832"/>
    <w:rsid w:val="00411220"/>
    <w:rsid w:val="00411627"/>
    <w:rsid w:val="00411A0C"/>
    <w:rsid w:val="00411C7F"/>
    <w:rsid w:val="004129B1"/>
    <w:rsid w:val="00412E80"/>
    <w:rsid w:val="00412E92"/>
    <w:rsid w:val="004131CC"/>
    <w:rsid w:val="004138F4"/>
    <w:rsid w:val="0041425C"/>
    <w:rsid w:val="00414E56"/>
    <w:rsid w:val="0041540B"/>
    <w:rsid w:val="00415738"/>
    <w:rsid w:val="00416484"/>
    <w:rsid w:val="00416913"/>
    <w:rsid w:val="00416C13"/>
    <w:rsid w:val="0041704E"/>
    <w:rsid w:val="00417070"/>
    <w:rsid w:val="004170B9"/>
    <w:rsid w:val="00417729"/>
    <w:rsid w:val="00417FC9"/>
    <w:rsid w:val="00420D2C"/>
    <w:rsid w:val="00420D57"/>
    <w:rsid w:val="00420FDD"/>
    <w:rsid w:val="0042148F"/>
    <w:rsid w:val="004214D1"/>
    <w:rsid w:val="00421A3E"/>
    <w:rsid w:val="00421C73"/>
    <w:rsid w:val="0042243B"/>
    <w:rsid w:val="00422B24"/>
    <w:rsid w:val="00422BCF"/>
    <w:rsid w:val="00422F0C"/>
    <w:rsid w:val="004231B4"/>
    <w:rsid w:val="004231CF"/>
    <w:rsid w:val="00423579"/>
    <w:rsid w:val="00423701"/>
    <w:rsid w:val="00423A3E"/>
    <w:rsid w:val="00423E28"/>
    <w:rsid w:val="0042414E"/>
    <w:rsid w:val="004242EF"/>
    <w:rsid w:val="00424ACA"/>
    <w:rsid w:val="00424F51"/>
    <w:rsid w:val="00424FC2"/>
    <w:rsid w:val="0042643C"/>
    <w:rsid w:val="00427285"/>
    <w:rsid w:val="00427D5F"/>
    <w:rsid w:val="00427DF0"/>
    <w:rsid w:val="00427E6C"/>
    <w:rsid w:val="00430618"/>
    <w:rsid w:val="00430CB1"/>
    <w:rsid w:val="00431241"/>
    <w:rsid w:val="00431328"/>
    <w:rsid w:val="00431FED"/>
    <w:rsid w:val="0043236B"/>
    <w:rsid w:val="0043267C"/>
    <w:rsid w:val="00432687"/>
    <w:rsid w:val="00432914"/>
    <w:rsid w:val="00432977"/>
    <w:rsid w:val="004332AE"/>
    <w:rsid w:val="0043359E"/>
    <w:rsid w:val="00433BA7"/>
    <w:rsid w:val="004349C3"/>
    <w:rsid w:val="00434B7E"/>
    <w:rsid w:val="00435329"/>
    <w:rsid w:val="004356E7"/>
    <w:rsid w:val="0043589C"/>
    <w:rsid w:val="0043591B"/>
    <w:rsid w:val="004359CE"/>
    <w:rsid w:val="00435C7D"/>
    <w:rsid w:val="00436284"/>
    <w:rsid w:val="004364E6"/>
    <w:rsid w:val="00436C98"/>
    <w:rsid w:val="0043751B"/>
    <w:rsid w:val="00440D97"/>
    <w:rsid w:val="0044144D"/>
    <w:rsid w:val="00441700"/>
    <w:rsid w:val="0044211B"/>
    <w:rsid w:val="004433C4"/>
    <w:rsid w:val="004433C7"/>
    <w:rsid w:val="00443462"/>
    <w:rsid w:val="004437BA"/>
    <w:rsid w:val="00443FBF"/>
    <w:rsid w:val="00444272"/>
    <w:rsid w:val="0044429B"/>
    <w:rsid w:val="0044443C"/>
    <w:rsid w:val="00444CCF"/>
    <w:rsid w:val="00444D6D"/>
    <w:rsid w:val="00444DC2"/>
    <w:rsid w:val="00445266"/>
    <w:rsid w:val="004452F8"/>
    <w:rsid w:val="004455F8"/>
    <w:rsid w:val="004458BD"/>
    <w:rsid w:val="00446979"/>
    <w:rsid w:val="00446A8B"/>
    <w:rsid w:val="00447BA6"/>
    <w:rsid w:val="00447FBE"/>
    <w:rsid w:val="0045007A"/>
    <w:rsid w:val="0045023F"/>
    <w:rsid w:val="00450382"/>
    <w:rsid w:val="00450AA8"/>
    <w:rsid w:val="00450E21"/>
    <w:rsid w:val="0045138C"/>
    <w:rsid w:val="00451D78"/>
    <w:rsid w:val="00452232"/>
    <w:rsid w:val="00452385"/>
    <w:rsid w:val="00452526"/>
    <w:rsid w:val="004527BE"/>
    <w:rsid w:val="004531C6"/>
    <w:rsid w:val="004531FE"/>
    <w:rsid w:val="004536AD"/>
    <w:rsid w:val="00453EF3"/>
    <w:rsid w:val="004542A5"/>
    <w:rsid w:val="004542C5"/>
    <w:rsid w:val="004542D8"/>
    <w:rsid w:val="004542EF"/>
    <w:rsid w:val="00454C14"/>
    <w:rsid w:val="00455DD4"/>
    <w:rsid w:val="00456132"/>
    <w:rsid w:val="00456167"/>
    <w:rsid w:val="00456284"/>
    <w:rsid w:val="0045737F"/>
    <w:rsid w:val="00457900"/>
    <w:rsid w:val="00457B2A"/>
    <w:rsid w:val="0046026C"/>
    <w:rsid w:val="004602BF"/>
    <w:rsid w:val="00460C30"/>
    <w:rsid w:val="004610F5"/>
    <w:rsid w:val="004613CE"/>
    <w:rsid w:val="004616BE"/>
    <w:rsid w:val="00461DAC"/>
    <w:rsid w:val="00461DE7"/>
    <w:rsid w:val="0046204E"/>
    <w:rsid w:val="004620B9"/>
    <w:rsid w:val="00462A1B"/>
    <w:rsid w:val="00462F16"/>
    <w:rsid w:val="00463783"/>
    <w:rsid w:val="004639AF"/>
    <w:rsid w:val="00463A82"/>
    <w:rsid w:val="00463CE2"/>
    <w:rsid w:val="00463FD8"/>
    <w:rsid w:val="004644BD"/>
    <w:rsid w:val="00464C0B"/>
    <w:rsid w:val="00464FAC"/>
    <w:rsid w:val="00465213"/>
    <w:rsid w:val="00466062"/>
    <w:rsid w:val="00466451"/>
    <w:rsid w:val="004668C5"/>
    <w:rsid w:val="0046692F"/>
    <w:rsid w:val="00467388"/>
    <w:rsid w:val="004679E6"/>
    <w:rsid w:val="004704FC"/>
    <w:rsid w:val="00470C84"/>
    <w:rsid w:val="00470CEE"/>
    <w:rsid w:val="0047183A"/>
    <w:rsid w:val="004719C3"/>
    <w:rsid w:val="00472765"/>
    <w:rsid w:val="00472816"/>
    <w:rsid w:val="0047284D"/>
    <w:rsid w:val="00472992"/>
    <w:rsid w:val="00472F04"/>
    <w:rsid w:val="00473C11"/>
    <w:rsid w:val="00473F33"/>
    <w:rsid w:val="00474912"/>
    <w:rsid w:val="00474A4A"/>
    <w:rsid w:val="004751A3"/>
    <w:rsid w:val="004752AE"/>
    <w:rsid w:val="0047565D"/>
    <w:rsid w:val="00476D1B"/>
    <w:rsid w:val="004772C6"/>
    <w:rsid w:val="00477718"/>
    <w:rsid w:val="00477963"/>
    <w:rsid w:val="00477A19"/>
    <w:rsid w:val="00477AE3"/>
    <w:rsid w:val="0048023D"/>
    <w:rsid w:val="00480A55"/>
    <w:rsid w:val="00480AFE"/>
    <w:rsid w:val="004814FB"/>
    <w:rsid w:val="00481C8F"/>
    <w:rsid w:val="0048209F"/>
    <w:rsid w:val="00482433"/>
    <w:rsid w:val="00482B2E"/>
    <w:rsid w:val="00482C40"/>
    <w:rsid w:val="00483BA8"/>
    <w:rsid w:val="00483D5B"/>
    <w:rsid w:val="00484136"/>
    <w:rsid w:val="004843B2"/>
    <w:rsid w:val="00484CE1"/>
    <w:rsid w:val="00484EBE"/>
    <w:rsid w:val="00484F1F"/>
    <w:rsid w:val="00485242"/>
    <w:rsid w:val="00485A49"/>
    <w:rsid w:val="00485C15"/>
    <w:rsid w:val="00486F14"/>
    <w:rsid w:val="00487049"/>
    <w:rsid w:val="00487A5A"/>
    <w:rsid w:val="00487B9C"/>
    <w:rsid w:val="00487C65"/>
    <w:rsid w:val="00487C72"/>
    <w:rsid w:val="0049029D"/>
    <w:rsid w:val="00490B5E"/>
    <w:rsid w:val="00490DF3"/>
    <w:rsid w:val="004912D0"/>
    <w:rsid w:val="004917FA"/>
    <w:rsid w:val="00491DDF"/>
    <w:rsid w:val="00492256"/>
    <w:rsid w:val="004928C1"/>
    <w:rsid w:val="00492F27"/>
    <w:rsid w:val="00493259"/>
    <w:rsid w:val="00493B77"/>
    <w:rsid w:val="00493BA3"/>
    <w:rsid w:val="00493EA4"/>
    <w:rsid w:val="00493F07"/>
    <w:rsid w:val="0049472D"/>
    <w:rsid w:val="00494CE7"/>
    <w:rsid w:val="004951FB"/>
    <w:rsid w:val="00495948"/>
    <w:rsid w:val="00495E8C"/>
    <w:rsid w:val="004960A3"/>
    <w:rsid w:val="004963B6"/>
    <w:rsid w:val="00496A7B"/>
    <w:rsid w:val="0049785F"/>
    <w:rsid w:val="004978CC"/>
    <w:rsid w:val="00497A32"/>
    <w:rsid w:val="004A028B"/>
    <w:rsid w:val="004A071F"/>
    <w:rsid w:val="004A0AB3"/>
    <w:rsid w:val="004A0C95"/>
    <w:rsid w:val="004A0FDE"/>
    <w:rsid w:val="004A1519"/>
    <w:rsid w:val="004A1831"/>
    <w:rsid w:val="004A1A18"/>
    <w:rsid w:val="004A1B43"/>
    <w:rsid w:val="004A1B48"/>
    <w:rsid w:val="004A2AB1"/>
    <w:rsid w:val="004A2ADE"/>
    <w:rsid w:val="004A2C4A"/>
    <w:rsid w:val="004A2C74"/>
    <w:rsid w:val="004A2D8D"/>
    <w:rsid w:val="004A2E79"/>
    <w:rsid w:val="004A2FDA"/>
    <w:rsid w:val="004A305F"/>
    <w:rsid w:val="004A3165"/>
    <w:rsid w:val="004A3FF9"/>
    <w:rsid w:val="004A4176"/>
    <w:rsid w:val="004A5FA5"/>
    <w:rsid w:val="004A6191"/>
    <w:rsid w:val="004A62C6"/>
    <w:rsid w:val="004A6405"/>
    <w:rsid w:val="004A66E4"/>
    <w:rsid w:val="004A699A"/>
    <w:rsid w:val="004A7AA0"/>
    <w:rsid w:val="004B0140"/>
    <w:rsid w:val="004B0458"/>
    <w:rsid w:val="004B0628"/>
    <w:rsid w:val="004B0934"/>
    <w:rsid w:val="004B13D5"/>
    <w:rsid w:val="004B1591"/>
    <w:rsid w:val="004B17E8"/>
    <w:rsid w:val="004B18BC"/>
    <w:rsid w:val="004B22A8"/>
    <w:rsid w:val="004B2432"/>
    <w:rsid w:val="004B2FCA"/>
    <w:rsid w:val="004B3607"/>
    <w:rsid w:val="004B3687"/>
    <w:rsid w:val="004B390B"/>
    <w:rsid w:val="004B3A96"/>
    <w:rsid w:val="004B4326"/>
    <w:rsid w:val="004B481E"/>
    <w:rsid w:val="004B4E1D"/>
    <w:rsid w:val="004B4F79"/>
    <w:rsid w:val="004B52DA"/>
    <w:rsid w:val="004B5A3A"/>
    <w:rsid w:val="004B5BF1"/>
    <w:rsid w:val="004B5EF7"/>
    <w:rsid w:val="004B64FC"/>
    <w:rsid w:val="004B69C0"/>
    <w:rsid w:val="004B79AF"/>
    <w:rsid w:val="004C0020"/>
    <w:rsid w:val="004C0440"/>
    <w:rsid w:val="004C0C06"/>
    <w:rsid w:val="004C0F52"/>
    <w:rsid w:val="004C1590"/>
    <w:rsid w:val="004C20EF"/>
    <w:rsid w:val="004C3171"/>
    <w:rsid w:val="004C3532"/>
    <w:rsid w:val="004C35A3"/>
    <w:rsid w:val="004C3A66"/>
    <w:rsid w:val="004C3D96"/>
    <w:rsid w:val="004C4E38"/>
    <w:rsid w:val="004C5297"/>
    <w:rsid w:val="004C59F3"/>
    <w:rsid w:val="004C5A39"/>
    <w:rsid w:val="004C635F"/>
    <w:rsid w:val="004C64F1"/>
    <w:rsid w:val="004C672A"/>
    <w:rsid w:val="004C6866"/>
    <w:rsid w:val="004C700D"/>
    <w:rsid w:val="004C7B9B"/>
    <w:rsid w:val="004C7C18"/>
    <w:rsid w:val="004D022E"/>
    <w:rsid w:val="004D02D6"/>
    <w:rsid w:val="004D05B0"/>
    <w:rsid w:val="004D060F"/>
    <w:rsid w:val="004D136C"/>
    <w:rsid w:val="004D14CE"/>
    <w:rsid w:val="004D1914"/>
    <w:rsid w:val="004D2726"/>
    <w:rsid w:val="004D2D74"/>
    <w:rsid w:val="004D2E21"/>
    <w:rsid w:val="004D3070"/>
    <w:rsid w:val="004D341A"/>
    <w:rsid w:val="004D39AC"/>
    <w:rsid w:val="004D3B8F"/>
    <w:rsid w:val="004D3C0D"/>
    <w:rsid w:val="004D3CCF"/>
    <w:rsid w:val="004D3FE3"/>
    <w:rsid w:val="004D4034"/>
    <w:rsid w:val="004D450C"/>
    <w:rsid w:val="004D4B11"/>
    <w:rsid w:val="004D4BB6"/>
    <w:rsid w:val="004D506D"/>
    <w:rsid w:val="004D5115"/>
    <w:rsid w:val="004D5B39"/>
    <w:rsid w:val="004D6107"/>
    <w:rsid w:val="004D62BC"/>
    <w:rsid w:val="004D6ABB"/>
    <w:rsid w:val="004D7E79"/>
    <w:rsid w:val="004D7E99"/>
    <w:rsid w:val="004E001E"/>
    <w:rsid w:val="004E1803"/>
    <w:rsid w:val="004E1925"/>
    <w:rsid w:val="004E1ACD"/>
    <w:rsid w:val="004E22C2"/>
    <w:rsid w:val="004E2681"/>
    <w:rsid w:val="004E3507"/>
    <w:rsid w:val="004E3F6A"/>
    <w:rsid w:val="004E3F75"/>
    <w:rsid w:val="004E5448"/>
    <w:rsid w:val="004E58EC"/>
    <w:rsid w:val="004E5EB7"/>
    <w:rsid w:val="004E67EF"/>
    <w:rsid w:val="004E6C0E"/>
    <w:rsid w:val="004E6DAF"/>
    <w:rsid w:val="004E7078"/>
    <w:rsid w:val="004F1362"/>
    <w:rsid w:val="004F1872"/>
    <w:rsid w:val="004F19FA"/>
    <w:rsid w:val="004F1DA7"/>
    <w:rsid w:val="004F1DE7"/>
    <w:rsid w:val="004F201E"/>
    <w:rsid w:val="004F3080"/>
    <w:rsid w:val="004F3EE4"/>
    <w:rsid w:val="004F4038"/>
    <w:rsid w:val="004F4090"/>
    <w:rsid w:val="004F40EF"/>
    <w:rsid w:val="004F4287"/>
    <w:rsid w:val="004F42DD"/>
    <w:rsid w:val="004F46F5"/>
    <w:rsid w:val="004F48DF"/>
    <w:rsid w:val="004F494D"/>
    <w:rsid w:val="004F4C04"/>
    <w:rsid w:val="004F5F51"/>
    <w:rsid w:val="004F5FC9"/>
    <w:rsid w:val="004F6111"/>
    <w:rsid w:val="004F62D0"/>
    <w:rsid w:val="004F6791"/>
    <w:rsid w:val="004F68B4"/>
    <w:rsid w:val="004F6984"/>
    <w:rsid w:val="004F6B7B"/>
    <w:rsid w:val="004F7318"/>
    <w:rsid w:val="004F7472"/>
    <w:rsid w:val="00500025"/>
    <w:rsid w:val="00500935"/>
    <w:rsid w:val="0050096B"/>
    <w:rsid w:val="00500B5B"/>
    <w:rsid w:val="00500EA7"/>
    <w:rsid w:val="00500FEA"/>
    <w:rsid w:val="00501377"/>
    <w:rsid w:val="005013DB"/>
    <w:rsid w:val="0050150E"/>
    <w:rsid w:val="0050154B"/>
    <w:rsid w:val="0050157D"/>
    <w:rsid w:val="005018B8"/>
    <w:rsid w:val="00502357"/>
    <w:rsid w:val="00502688"/>
    <w:rsid w:val="00502726"/>
    <w:rsid w:val="00502D09"/>
    <w:rsid w:val="00502E51"/>
    <w:rsid w:val="005031F8"/>
    <w:rsid w:val="0050417F"/>
    <w:rsid w:val="00504471"/>
    <w:rsid w:val="005045F7"/>
    <w:rsid w:val="00504B64"/>
    <w:rsid w:val="00505242"/>
    <w:rsid w:val="00505768"/>
    <w:rsid w:val="005058D4"/>
    <w:rsid w:val="00505CC1"/>
    <w:rsid w:val="005065D1"/>
    <w:rsid w:val="00506BF9"/>
    <w:rsid w:val="00506C1F"/>
    <w:rsid w:val="00506F59"/>
    <w:rsid w:val="005076C7"/>
    <w:rsid w:val="005076D8"/>
    <w:rsid w:val="00507C0E"/>
    <w:rsid w:val="00507C58"/>
    <w:rsid w:val="00511298"/>
    <w:rsid w:val="00511E93"/>
    <w:rsid w:val="0051267D"/>
    <w:rsid w:val="00512B61"/>
    <w:rsid w:val="00513516"/>
    <w:rsid w:val="00513582"/>
    <w:rsid w:val="005144AE"/>
    <w:rsid w:val="005148F6"/>
    <w:rsid w:val="00514D18"/>
    <w:rsid w:val="00514D48"/>
    <w:rsid w:val="00515168"/>
    <w:rsid w:val="005153C5"/>
    <w:rsid w:val="005155F7"/>
    <w:rsid w:val="00516420"/>
    <w:rsid w:val="005164BC"/>
    <w:rsid w:val="005169AE"/>
    <w:rsid w:val="005172BB"/>
    <w:rsid w:val="005173EC"/>
    <w:rsid w:val="005177AC"/>
    <w:rsid w:val="00517FCF"/>
    <w:rsid w:val="0052029E"/>
    <w:rsid w:val="00520543"/>
    <w:rsid w:val="00520586"/>
    <w:rsid w:val="00520A61"/>
    <w:rsid w:val="00521833"/>
    <w:rsid w:val="005221A3"/>
    <w:rsid w:val="00522AC7"/>
    <w:rsid w:val="00522FA8"/>
    <w:rsid w:val="0052373D"/>
    <w:rsid w:val="00523AB9"/>
    <w:rsid w:val="00523D2E"/>
    <w:rsid w:val="00523E35"/>
    <w:rsid w:val="00523F41"/>
    <w:rsid w:val="005240BD"/>
    <w:rsid w:val="00524D87"/>
    <w:rsid w:val="005252BA"/>
    <w:rsid w:val="00525988"/>
    <w:rsid w:val="005262CC"/>
    <w:rsid w:val="005269F6"/>
    <w:rsid w:val="00527543"/>
    <w:rsid w:val="00527BAD"/>
    <w:rsid w:val="00527BDC"/>
    <w:rsid w:val="00527E5B"/>
    <w:rsid w:val="00530511"/>
    <w:rsid w:val="005305C9"/>
    <w:rsid w:val="00530CB7"/>
    <w:rsid w:val="005317E3"/>
    <w:rsid w:val="00531F11"/>
    <w:rsid w:val="0053265B"/>
    <w:rsid w:val="00532682"/>
    <w:rsid w:val="00532715"/>
    <w:rsid w:val="00532840"/>
    <w:rsid w:val="00532ACC"/>
    <w:rsid w:val="0053358A"/>
    <w:rsid w:val="00533BDE"/>
    <w:rsid w:val="005341CC"/>
    <w:rsid w:val="005346A0"/>
    <w:rsid w:val="00535015"/>
    <w:rsid w:val="005355E0"/>
    <w:rsid w:val="005357D3"/>
    <w:rsid w:val="0053592E"/>
    <w:rsid w:val="00535AD1"/>
    <w:rsid w:val="00535EFB"/>
    <w:rsid w:val="0053638B"/>
    <w:rsid w:val="00536396"/>
    <w:rsid w:val="00536622"/>
    <w:rsid w:val="0053698A"/>
    <w:rsid w:val="00536D1F"/>
    <w:rsid w:val="00536E3C"/>
    <w:rsid w:val="00537147"/>
    <w:rsid w:val="005372FA"/>
    <w:rsid w:val="00537478"/>
    <w:rsid w:val="00537891"/>
    <w:rsid w:val="0053790C"/>
    <w:rsid w:val="00537928"/>
    <w:rsid w:val="0054126A"/>
    <w:rsid w:val="005414BA"/>
    <w:rsid w:val="00541C8A"/>
    <w:rsid w:val="005421C2"/>
    <w:rsid w:val="00542331"/>
    <w:rsid w:val="005426F0"/>
    <w:rsid w:val="0054280F"/>
    <w:rsid w:val="0054345B"/>
    <w:rsid w:val="005434E8"/>
    <w:rsid w:val="005438A9"/>
    <w:rsid w:val="00543B25"/>
    <w:rsid w:val="00543C90"/>
    <w:rsid w:val="00544379"/>
    <w:rsid w:val="00544751"/>
    <w:rsid w:val="005451F2"/>
    <w:rsid w:val="005454C2"/>
    <w:rsid w:val="005459DC"/>
    <w:rsid w:val="00545B8F"/>
    <w:rsid w:val="00545CB4"/>
    <w:rsid w:val="00545F2C"/>
    <w:rsid w:val="005469B9"/>
    <w:rsid w:val="00546CE6"/>
    <w:rsid w:val="00547759"/>
    <w:rsid w:val="005477B1"/>
    <w:rsid w:val="00550204"/>
    <w:rsid w:val="00550F1C"/>
    <w:rsid w:val="00551059"/>
    <w:rsid w:val="00551248"/>
    <w:rsid w:val="00551409"/>
    <w:rsid w:val="00551959"/>
    <w:rsid w:val="00551A18"/>
    <w:rsid w:val="00551C58"/>
    <w:rsid w:val="0055262D"/>
    <w:rsid w:val="005528CB"/>
    <w:rsid w:val="005532DB"/>
    <w:rsid w:val="00553479"/>
    <w:rsid w:val="005536A3"/>
    <w:rsid w:val="00553899"/>
    <w:rsid w:val="00553E12"/>
    <w:rsid w:val="00554917"/>
    <w:rsid w:val="00554DFB"/>
    <w:rsid w:val="005556C3"/>
    <w:rsid w:val="00555808"/>
    <w:rsid w:val="00555B6E"/>
    <w:rsid w:val="00556139"/>
    <w:rsid w:val="00556CA8"/>
    <w:rsid w:val="00557BA9"/>
    <w:rsid w:val="005606A7"/>
    <w:rsid w:val="0056077F"/>
    <w:rsid w:val="00560F40"/>
    <w:rsid w:val="00560FFE"/>
    <w:rsid w:val="00561232"/>
    <w:rsid w:val="0056162C"/>
    <w:rsid w:val="00561A95"/>
    <w:rsid w:val="0056219E"/>
    <w:rsid w:val="005626FB"/>
    <w:rsid w:val="005633BE"/>
    <w:rsid w:val="005636DE"/>
    <w:rsid w:val="00563C41"/>
    <w:rsid w:val="00563C5E"/>
    <w:rsid w:val="00563FE1"/>
    <w:rsid w:val="005642CF"/>
    <w:rsid w:val="0056444F"/>
    <w:rsid w:val="00564915"/>
    <w:rsid w:val="00565636"/>
    <w:rsid w:val="00566378"/>
    <w:rsid w:val="00566E05"/>
    <w:rsid w:val="00567394"/>
    <w:rsid w:val="005706E7"/>
    <w:rsid w:val="00570927"/>
    <w:rsid w:val="00570B97"/>
    <w:rsid w:val="00570EAC"/>
    <w:rsid w:val="005712DE"/>
    <w:rsid w:val="005714CF"/>
    <w:rsid w:val="00571A75"/>
    <w:rsid w:val="00571E34"/>
    <w:rsid w:val="00572270"/>
    <w:rsid w:val="00572C29"/>
    <w:rsid w:val="005731EE"/>
    <w:rsid w:val="005738CB"/>
    <w:rsid w:val="00573B5D"/>
    <w:rsid w:val="00573C36"/>
    <w:rsid w:val="00573FF7"/>
    <w:rsid w:val="005746C1"/>
    <w:rsid w:val="00574837"/>
    <w:rsid w:val="005749C0"/>
    <w:rsid w:val="0057525C"/>
    <w:rsid w:val="005753F5"/>
    <w:rsid w:val="00575D58"/>
    <w:rsid w:val="00580360"/>
    <w:rsid w:val="005803F9"/>
    <w:rsid w:val="00581268"/>
    <w:rsid w:val="00581386"/>
    <w:rsid w:val="00582013"/>
    <w:rsid w:val="00582050"/>
    <w:rsid w:val="005827FE"/>
    <w:rsid w:val="00582C90"/>
    <w:rsid w:val="00582D04"/>
    <w:rsid w:val="00583350"/>
    <w:rsid w:val="00583FAD"/>
    <w:rsid w:val="005843BD"/>
    <w:rsid w:val="00584EE4"/>
    <w:rsid w:val="005856D2"/>
    <w:rsid w:val="00586052"/>
    <w:rsid w:val="00586CBD"/>
    <w:rsid w:val="00587191"/>
    <w:rsid w:val="00587845"/>
    <w:rsid w:val="00587A07"/>
    <w:rsid w:val="00587FF6"/>
    <w:rsid w:val="005904E3"/>
    <w:rsid w:val="00590C1F"/>
    <w:rsid w:val="00591395"/>
    <w:rsid w:val="00591672"/>
    <w:rsid w:val="005918C5"/>
    <w:rsid w:val="005918E2"/>
    <w:rsid w:val="00592035"/>
    <w:rsid w:val="00592152"/>
    <w:rsid w:val="00592188"/>
    <w:rsid w:val="0059236B"/>
    <w:rsid w:val="00592BFC"/>
    <w:rsid w:val="00593446"/>
    <w:rsid w:val="005936DE"/>
    <w:rsid w:val="00593815"/>
    <w:rsid w:val="005938AE"/>
    <w:rsid w:val="00593EE9"/>
    <w:rsid w:val="00593F87"/>
    <w:rsid w:val="00594A40"/>
    <w:rsid w:val="00594C10"/>
    <w:rsid w:val="00595AC0"/>
    <w:rsid w:val="005966C3"/>
    <w:rsid w:val="005966C4"/>
    <w:rsid w:val="00596EEE"/>
    <w:rsid w:val="005974C2"/>
    <w:rsid w:val="0059787C"/>
    <w:rsid w:val="005979AD"/>
    <w:rsid w:val="005A016B"/>
    <w:rsid w:val="005A0604"/>
    <w:rsid w:val="005A1305"/>
    <w:rsid w:val="005A17DC"/>
    <w:rsid w:val="005A1A86"/>
    <w:rsid w:val="005A1BB3"/>
    <w:rsid w:val="005A222F"/>
    <w:rsid w:val="005A2DB3"/>
    <w:rsid w:val="005A3394"/>
    <w:rsid w:val="005A4EA0"/>
    <w:rsid w:val="005A525A"/>
    <w:rsid w:val="005A5F84"/>
    <w:rsid w:val="005A7710"/>
    <w:rsid w:val="005A7723"/>
    <w:rsid w:val="005A77BA"/>
    <w:rsid w:val="005B00C8"/>
    <w:rsid w:val="005B0AA3"/>
    <w:rsid w:val="005B0CA5"/>
    <w:rsid w:val="005B1753"/>
    <w:rsid w:val="005B177A"/>
    <w:rsid w:val="005B19D7"/>
    <w:rsid w:val="005B19F2"/>
    <w:rsid w:val="005B19FA"/>
    <w:rsid w:val="005B1BD2"/>
    <w:rsid w:val="005B1F3D"/>
    <w:rsid w:val="005B2252"/>
    <w:rsid w:val="005B2255"/>
    <w:rsid w:val="005B2CDE"/>
    <w:rsid w:val="005B2D32"/>
    <w:rsid w:val="005B2F24"/>
    <w:rsid w:val="005B3226"/>
    <w:rsid w:val="005B3338"/>
    <w:rsid w:val="005B3372"/>
    <w:rsid w:val="005B34C4"/>
    <w:rsid w:val="005B34E3"/>
    <w:rsid w:val="005B3CFA"/>
    <w:rsid w:val="005B3DE9"/>
    <w:rsid w:val="005B3E70"/>
    <w:rsid w:val="005B3F45"/>
    <w:rsid w:val="005B3F5A"/>
    <w:rsid w:val="005B440C"/>
    <w:rsid w:val="005B4BC6"/>
    <w:rsid w:val="005B4F3D"/>
    <w:rsid w:val="005B5950"/>
    <w:rsid w:val="005B5BD8"/>
    <w:rsid w:val="005B5C09"/>
    <w:rsid w:val="005B5F84"/>
    <w:rsid w:val="005B60AB"/>
    <w:rsid w:val="005B6602"/>
    <w:rsid w:val="005B6985"/>
    <w:rsid w:val="005B6C60"/>
    <w:rsid w:val="005B713A"/>
    <w:rsid w:val="005B7C0B"/>
    <w:rsid w:val="005B7DC4"/>
    <w:rsid w:val="005B7E49"/>
    <w:rsid w:val="005C04DB"/>
    <w:rsid w:val="005C0B72"/>
    <w:rsid w:val="005C0E38"/>
    <w:rsid w:val="005C2497"/>
    <w:rsid w:val="005C2590"/>
    <w:rsid w:val="005C2DC9"/>
    <w:rsid w:val="005C34EB"/>
    <w:rsid w:val="005C4388"/>
    <w:rsid w:val="005C4D8D"/>
    <w:rsid w:val="005C5109"/>
    <w:rsid w:val="005C51E4"/>
    <w:rsid w:val="005C5A17"/>
    <w:rsid w:val="005C5BED"/>
    <w:rsid w:val="005C5D56"/>
    <w:rsid w:val="005C6350"/>
    <w:rsid w:val="005C6BB7"/>
    <w:rsid w:val="005C6C48"/>
    <w:rsid w:val="005C6CA9"/>
    <w:rsid w:val="005C7166"/>
    <w:rsid w:val="005D02F8"/>
    <w:rsid w:val="005D0AD0"/>
    <w:rsid w:val="005D0F44"/>
    <w:rsid w:val="005D1066"/>
    <w:rsid w:val="005D11B8"/>
    <w:rsid w:val="005D1CCB"/>
    <w:rsid w:val="005D1DFC"/>
    <w:rsid w:val="005D26F3"/>
    <w:rsid w:val="005D2DB3"/>
    <w:rsid w:val="005D2F1D"/>
    <w:rsid w:val="005D3980"/>
    <w:rsid w:val="005D3BC1"/>
    <w:rsid w:val="005D415A"/>
    <w:rsid w:val="005D5375"/>
    <w:rsid w:val="005D59BC"/>
    <w:rsid w:val="005D5B1F"/>
    <w:rsid w:val="005D5D60"/>
    <w:rsid w:val="005D626E"/>
    <w:rsid w:val="005D6392"/>
    <w:rsid w:val="005D6412"/>
    <w:rsid w:val="005D6960"/>
    <w:rsid w:val="005D6BBC"/>
    <w:rsid w:val="005D6DC0"/>
    <w:rsid w:val="005E05AF"/>
    <w:rsid w:val="005E09A0"/>
    <w:rsid w:val="005E0DC9"/>
    <w:rsid w:val="005E1216"/>
    <w:rsid w:val="005E1C3E"/>
    <w:rsid w:val="005E1D28"/>
    <w:rsid w:val="005E1F28"/>
    <w:rsid w:val="005E2400"/>
    <w:rsid w:val="005E24C3"/>
    <w:rsid w:val="005E25DD"/>
    <w:rsid w:val="005E280D"/>
    <w:rsid w:val="005E32E4"/>
    <w:rsid w:val="005E359B"/>
    <w:rsid w:val="005E36C9"/>
    <w:rsid w:val="005E394F"/>
    <w:rsid w:val="005E4288"/>
    <w:rsid w:val="005E4339"/>
    <w:rsid w:val="005E44BD"/>
    <w:rsid w:val="005E4653"/>
    <w:rsid w:val="005E4780"/>
    <w:rsid w:val="005E4CF4"/>
    <w:rsid w:val="005E5613"/>
    <w:rsid w:val="005E58BF"/>
    <w:rsid w:val="005E6362"/>
    <w:rsid w:val="005E7092"/>
    <w:rsid w:val="005E7C7B"/>
    <w:rsid w:val="005F0895"/>
    <w:rsid w:val="005F197A"/>
    <w:rsid w:val="005F205F"/>
    <w:rsid w:val="005F2249"/>
    <w:rsid w:val="005F2524"/>
    <w:rsid w:val="005F2C54"/>
    <w:rsid w:val="005F2D19"/>
    <w:rsid w:val="005F3651"/>
    <w:rsid w:val="005F39B7"/>
    <w:rsid w:val="005F4541"/>
    <w:rsid w:val="005F4683"/>
    <w:rsid w:val="005F46F0"/>
    <w:rsid w:val="005F4791"/>
    <w:rsid w:val="005F543F"/>
    <w:rsid w:val="005F56E1"/>
    <w:rsid w:val="005F57D7"/>
    <w:rsid w:val="005F5D24"/>
    <w:rsid w:val="005F60E2"/>
    <w:rsid w:val="005F60FA"/>
    <w:rsid w:val="005F6483"/>
    <w:rsid w:val="005F6AB4"/>
    <w:rsid w:val="005F6F5E"/>
    <w:rsid w:val="005F71C8"/>
    <w:rsid w:val="005F7437"/>
    <w:rsid w:val="005F7AC2"/>
    <w:rsid w:val="005F7C71"/>
    <w:rsid w:val="00600B07"/>
    <w:rsid w:val="00600FB5"/>
    <w:rsid w:val="0060251A"/>
    <w:rsid w:val="006029B5"/>
    <w:rsid w:val="00603100"/>
    <w:rsid w:val="00603583"/>
    <w:rsid w:val="00603612"/>
    <w:rsid w:val="00603913"/>
    <w:rsid w:val="00603A03"/>
    <w:rsid w:val="00603D96"/>
    <w:rsid w:val="00603EFD"/>
    <w:rsid w:val="006045DA"/>
    <w:rsid w:val="00604740"/>
    <w:rsid w:val="006047A9"/>
    <w:rsid w:val="00604A2C"/>
    <w:rsid w:val="006055A4"/>
    <w:rsid w:val="00605915"/>
    <w:rsid w:val="00605C84"/>
    <w:rsid w:val="006060F8"/>
    <w:rsid w:val="006061B3"/>
    <w:rsid w:val="00606901"/>
    <w:rsid w:val="00606A8F"/>
    <w:rsid w:val="00606AF7"/>
    <w:rsid w:val="00607788"/>
    <w:rsid w:val="0060788D"/>
    <w:rsid w:val="006106BA"/>
    <w:rsid w:val="00610944"/>
    <w:rsid w:val="00610D4F"/>
    <w:rsid w:val="00610F4E"/>
    <w:rsid w:val="006121D8"/>
    <w:rsid w:val="0061261B"/>
    <w:rsid w:val="00612826"/>
    <w:rsid w:val="00612E9E"/>
    <w:rsid w:val="00613348"/>
    <w:rsid w:val="006145D2"/>
    <w:rsid w:val="00614695"/>
    <w:rsid w:val="006152BF"/>
    <w:rsid w:val="006155F3"/>
    <w:rsid w:val="006158C2"/>
    <w:rsid w:val="006159CD"/>
    <w:rsid w:val="00615A61"/>
    <w:rsid w:val="00616741"/>
    <w:rsid w:val="00616A3B"/>
    <w:rsid w:val="00616B6E"/>
    <w:rsid w:val="00617056"/>
    <w:rsid w:val="006172C0"/>
    <w:rsid w:val="006172EA"/>
    <w:rsid w:val="00617E28"/>
    <w:rsid w:val="0062075F"/>
    <w:rsid w:val="00620891"/>
    <w:rsid w:val="00620F98"/>
    <w:rsid w:val="0062109E"/>
    <w:rsid w:val="0062208E"/>
    <w:rsid w:val="0062226A"/>
    <w:rsid w:val="006222E3"/>
    <w:rsid w:val="00622F5D"/>
    <w:rsid w:val="00623909"/>
    <w:rsid w:val="00623AF8"/>
    <w:rsid w:val="00623F6B"/>
    <w:rsid w:val="006245AC"/>
    <w:rsid w:val="006246E2"/>
    <w:rsid w:val="006247C7"/>
    <w:rsid w:val="00624D21"/>
    <w:rsid w:val="00624E82"/>
    <w:rsid w:val="00624F55"/>
    <w:rsid w:val="006252BE"/>
    <w:rsid w:val="00625322"/>
    <w:rsid w:val="0062542F"/>
    <w:rsid w:val="00625456"/>
    <w:rsid w:val="00625E00"/>
    <w:rsid w:val="006267D2"/>
    <w:rsid w:val="00626863"/>
    <w:rsid w:val="006269D4"/>
    <w:rsid w:val="00626BE5"/>
    <w:rsid w:val="00626DA3"/>
    <w:rsid w:val="006278BA"/>
    <w:rsid w:val="00627E5A"/>
    <w:rsid w:val="00627FA7"/>
    <w:rsid w:val="0063007F"/>
    <w:rsid w:val="00630233"/>
    <w:rsid w:val="006304E2"/>
    <w:rsid w:val="00630921"/>
    <w:rsid w:val="00631204"/>
    <w:rsid w:val="00631293"/>
    <w:rsid w:val="006316A5"/>
    <w:rsid w:val="00631E66"/>
    <w:rsid w:val="00632045"/>
    <w:rsid w:val="00632436"/>
    <w:rsid w:val="00632BD4"/>
    <w:rsid w:val="00632D14"/>
    <w:rsid w:val="00633406"/>
    <w:rsid w:val="00633877"/>
    <w:rsid w:val="00633EAC"/>
    <w:rsid w:val="006340E2"/>
    <w:rsid w:val="0063412A"/>
    <w:rsid w:val="00634512"/>
    <w:rsid w:val="00634B7D"/>
    <w:rsid w:val="006350E2"/>
    <w:rsid w:val="00635237"/>
    <w:rsid w:val="0063539C"/>
    <w:rsid w:val="006355DE"/>
    <w:rsid w:val="006357E1"/>
    <w:rsid w:val="006365BF"/>
    <w:rsid w:val="0063661F"/>
    <w:rsid w:val="006368C7"/>
    <w:rsid w:val="006368F8"/>
    <w:rsid w:val="00637131"/>
    <w:rsid w:val="00637286"/>
    <w:rsid w:val="00640185"/>
    <w:rsid w:val="00640E44"/>
    <w:rsid w:val="0064191F"/>
    <w:rsid w:val="00641A06"/>
    <w:rsid w:val="00643618"/>
    <w:rsid w:val="00643AFB"/>
    <w:rsid w:val="00644963"/>
    <w:rsid w:val="00645151"/>
    <w:rsid w:val="006454C7"/>
    <w:rsid w:val="0064576F"/>
    <w:rsid w:val="006461A2"/>
    <w:rsid w:val="006462D8"/>
    <w:rsid w:val="006464F1"/>
    <w:rsid w:val="00646520"/>
    <w:rsid w:val="00646C31"/>
    <w:rsid w:val="00647E36"/>
    <w:rsid w:val="006500AC"/>
    <w:rsid w:val="006502FE"/>
    <w:rsid w:val="00650EB1"/>
    <w:rsid w:val="00651CC3"/>
    <w:rsid w:val="00652C2B"/>
    <w:rsid w:val="00652E24"/>
    <w:rsid w:val="00652E27"/>
    <w:rsid w:val="0065391C"/>
    <w:rsid w:val="00653A08"/>
    <w:rsid w:val="00653A7C"/>
    <w:rsid w:val="00653B69"/>
    <w:rsid w:val="00654762"/>
    <w:rsid w:val="00654C91"/>
    <w:rsid w:val="00654E75"/>
    <w:rsid w:val="006550B9"/>
    <w:rsid w:val="00655487"/>
    <w:rsid w:val="006557A8"/>
    <w:rsid w:val="00655CA9"/>
    <w:rsid w:val="00655EDE"/>
    <w:rsid w:val="00656BF9"/>
    <w:rsid w:val="006572C2"/>
    <w:rsid w:val="00657619"/>
    <w:rsid w:val="00657B5F"/>
    <w:rsid w:val="0066058F"/>
    <w:rsid w:val="00660BB8"/>
    <w:rsid w:val="00660BFD"/>
    <w:rsid w:val="00660CEE"/>
    <w:rsid w:val="00661144"/>
    <w:rsid w:val="0066117B"/>
    <w:rsid w:val="00661318"/>
    <w:rsid w:val="00661695"/>
    <w:rsid w:val="006620EE"/>
    <w:rsid w:val="00662137"/>
    <w:rsid w:val="0066215D"/>
    <w:rsid w:val="006623E4"/>
    <w:rsid w:val="00662F8D"/>
    <w:rsid w:val="006633ED"/>
    <w:rsid w:val="006634A4"/>
    <w:rsid w:val="006634D9"/>
    <w:rsid w:val="006638D5"/>
    <w:rsid w:val="006639CF"/>
    <w:rsid w:val="0066417C"/>
    <w:rsid w:val="006642C0"/>
    <w:rsid w:val="006646F2"/>
    <w:rsid w:val="00664BAC"/>
    <w:rsid w:val="00665035"/>
    <w:rsid w:val="006651D0"/>
    <w:rsid w:val="00665717"/>
    <w:rsid w:val="006658F2"/>
    <w:rsid w:val="00665ADB"/>
    <w:rsid w:val="00665CAA"/>
    <w:rsid w:val="00665F4C"/>
    <w:rsid w:val="006662AB"/>
    <w:rsid w:val="006665BB"/>
    <w:rsid w:val="0066699F"/>
    <w:rsid w:val="00666A72"/>
    <w:rsid w:val="00667039"/>
    <w:rsid w:val="00667311"/>
    <w:rsid w:val="006676D9"/>
    <w:rsid w:val="00667F6A"/>
    <w:rsid w:val="00670459"/>
    <w:rsid w:val="0067073C"/>
    <w:rsid w:val="00671A99"/>
    <w:rsid w:val="00671DD4"/>
    <w:rsid w:val="00671EFE"/>
    <w:rsid w:val="00671FC0"/>
    <w:rsid w:val="006723F9"/>
    <w:rsid w:val="00672437"/>
    <w:rsid w:val="006725FF"/>
    <w:rsid w:val="0067264C"/>
    <w:rsid w:val="006729FE"/>
    <w:rsid w:val="00672D8B"/>
    <w:rsid w:val="00672DAC"/>
    <w:rsid w:val="00673240"/>
    <w:rsid w:val="0067341A"/>
    <w:rsid w:val="00673A55"/>
    <w:rsid w:val="00674024"/>
    <w:rsid w:val="006743A9"/>
    <w:rsid w:val="0067479C"/>
    <w:rsid w:val="00674D0F"/>
    <w:rsid w:val="00674D65"/>
    <w:rsid w:val="00674E94"/>
    <w:rsid w:val="0067516F"/>
    <w:rsid w:val="00675DE4"/>
    <w:rsid w:val="00676023"/>
    <w:rsid w:val="00676B2B"/>
    <w:rsid w:val="00676D0A"/>
    <w:rsid w:val="00677200"/>
    <w:rsid w:val="006803B6"/>
    <w:rsid w:val="00680671"/>
    <w:rsid w:val="00680A32"/>
    <w:rsid w:val="006815E3"/>
    <w:rsid w:val="00681667"/>
    <w:rsid w:val="00681C5B"/>
    <w:rsid w:val="00681F9D"/>
    <w:rsid w:val="00681F9F"/>
    <w:rsid w:val="0068226E"/>
    <w:rsid w:val="0068236C"/>
    <w:rsid w:val="006824D1"/>
    <w:rsid w:val="00682C35"/>
    <w:rsid w:val="00682CDD"/>
    <w:rsid w:val="00682F7A"/>
    <w:rsid w:val="00683034"/>
    <w:rsid w:val="0068457D"/>
    <w:rsid w:val="00684BE5"/>
    <w:rsid w:val="00684C8B"/>
    <w:rsid w:val="00685B19"/>
    <w:rsid w:val="00685B89"/>
    <w:rsid w:val="006860EC"/>
    <w:rsid w:val="006861A2"/>
    <w:rsid w:val="00686832"/>
    <w:rsid w:val="0068683C"/>
    <w:rsid w:val="00687078"/>
    <w:rsid w:val="006874C5"/>
    <w:rsid w:val="006903AF"/>
    <w:rsid w:val="00690E28"/>
    <w:rsid w:val="00690FA0"/>
    <w:rsid w:val="00691652"/>
    <w:rsid w:val="0069169A"/>
    <w:rsid w:val="00691DD3"/>
    <w:rsid w:val="00691E6C"/>
    <w:rsid w:val="00692D0B"/>
    <w:rsid w:val="006930DC"/>
    <w:rsid w:val="006930E8"/>
    <w:rsid w:val="006933A4"/>
    <w:rsid w:val="00693709"/>
    <w:rsid w:val="006937DB"/>
    <w:rsid w:val="00693A8B"/>
    <w:rsid w:val="00693D2A"/>
    <w:rsid w:val="006945FB"/>
    <w:rsid w:val="0069533D"/>
    <w:rsid w:val="00696558"/>
    <w:rsid w:val="006965CC"/>
    <w:rsid w:val="00696CCC"/>
    <w:rsid w:val="0069711C"/>
    <w:rsid w:val="00697671"/>
    <w:rsid w:val="00697EC0"/>
    <w:rsid w:val="00697FF4"/>
    <w:rsid w:val="006A014B"/>
    <w:rsid w:val="006A0CE0"/>
    <w:rsid w:val="006A0DDE"/>
    <w:rsid w:val="006A1175"/>
    <w:rsid w:val="006A1621"/>
    <w:rsid w:val="006A17B9"/>
    <w:rsid w:val="006A1E64"/>
    <w:rsid w:val="006A1F2C"/>
    <w:rsid w:val="006A2339"/>
    <w:rsid w:val="006A291E"/>
    <w:rsid w:val="006A2929"/>
    <w:rsid w:val="006A29FE"/>
    <w:rsid w:val="006A2C66"/>
    <w:rsid w:val="006A2EB4"/>
    <w:rsid w:val="006A33DB"/>
    <w:rsid w:val="006A3749"/>
    <w:rsid w:val="006A37CE"/>
    <w:rsid w:val="006A3CFD"/>
    <w:rsid w:val="006A3D3E"/>
    <w:rsid w:val="006A3FA5"/>
    <w:rsid w:val="006A4155"/>
    <w:rsid w:val="006A45EE"/>
    <w:rsid w:val="006A4A66"/>
    <w:rsid w:val="006A5305"/>
    <w:rsid w:val="006A534E"/>
    <w:rsid w:val="006A55AA"/>
    <w:rsid w:val="006A5FCB"/>
    <w:rsid w:val="006A686C"/>
    <w:rsid w:val="006A7382"/>
    <w:rsid w:val="006A79CF"/>
    <w:rsid w:val="006B038E"/>
    <w:rsid w:val="006B093E"/>
    <w:rsid w:val="006B1112"/>
    <w:rsid w:val="006B11F7"/>
    <w:rsid w:val="006B12F1"/>
    <w:rsid w:val="006B1F12"/>
    <w:rsid w:val="006B2A6B"/>
    <w:rsid w:val="006B2B95"/>
    <w:rsid w:val="006B34DB"/>
    <w:rsid w:val="006B355C"/>
    <w:rsid w:val="006B3C99"/>
    <w:rsid w:val="006B3E4B"/>
    <w:rsid w:val="006B41D5"/>
    <w:rsid w:val="006B482B"/>
    <w:rsid w:val="006B4A62"/>
    <w:rsid w:val="006B51BE"/>
    <w:rsid w:val="006B5274"/>
    <w:rsid w:val="006B5570"/>
    <w:rsid w:val="006B59F6"/>
    <w:rsid w:val="006B66A3"/>
    <w:rsid w:val="006B6D5B"/>
    <w:rsid w:val="006B7B42"/>
    <w:rsid w:val="006C164E"/>
    <w:rsid w:val="006C1897"/>
    <w:rsid w:val="006C1937"/>
    <w:rsid w:val="006C1B0B"/>
    <w:rsid w:val="006C2BA2"/>
    <w:rsid w:val="006C3F07"/>
    <w:rsid w:val="006C3FAF"/>
    <w:rsid w:val="006C46F0"/>
    <w:rsid w:val="006C570D"/>
    <w:rsid w:val="006C580C"/>
    <w:rsid w:val="006C5FA7"/>
    <w:rsid w:val="006C6029"/>
    <w:rsid w:val="006C646E"/>
    <w:rsid w:val="006C6923"/>
    <w:rsid w:val="006C6B1E"/>
    <w:rsid w:val="006C6BAC"/>
    <w:rsid w:val="006C6E5E"/>
    <w:rsid w:val="006C6FFC"/>
    <w:rsid w:val="006C701F"/>
    <w:rsid w:val="006C7609"/>
    <w:rsid w:val="006C78D1"/>
    <w:rsid w:val="006C79CF"/>
    <w:rsid w:val="006C7A4F"/>
    <w:rsid w:val="006C7C16"/>
    <w:rsid w:val="006D023A"/>
    <w:rsid w:val="006D02A7"/>
    <w:rsid w:val="006D05EC"/>
    <w:rsid w:val="006D091A"/>
    <w:rsid w:val="006D0C4E"/>
    <w:rsid w:val="006D0D76"/>
    <w:rsid w:val="006D1158"/>
    <w:rsid w:val="006D166A"/>
    <w:rsid w:val="006D18D8"/>
    <w:rsid w:val="006D2561"/>
    <w:rsid w:val="006D2930"/>
    <w:rsid w:val="006D2EB6"/>
    <w:rsid w:val="006D371E"/>
    <w:rsid w:val="006D3A1D"/>
    <w:rsid w:val="006D3BAD"/>
    <w:rsid w:val="006D508B"/>
    <w:rsid w:val="006D54CB"/>
    <w:rsid w:val="006D56AD"/>
    <w:rsid w:val="006D56EE"/>
    <w:rsid w:val="006D5CDF"/>
    <w:rsid w:val="006D64D3"/>
    <w:rsid w:val="006D652D"/>
    <w:rsid w:val="006D66C0"/>
    <w:rsid w:val="006D6804"/>
    <w:rsid w:val="006D6AEA"/>
    <w:rsid w:val="006D6B57"/>
    <w:rsid w:val="006D6EA0"/>
    <w:rsid w:val="006D7D2D"/>
    <w:rsid w:val="006D7E40"/>
    <w:rsid w:val="006E01A0"/>
    <w:rsid w:val="006E0989"/>
    <w:rsid w:val="006E1355"/>
    <w:rsid w:val="006E1725"/>
    <w:rsid w:val="006E20D9"/>
    <w:rsid w:val="006E238B"/>
    <w:rsid w:val="006E3B16"/>
    <w:rsid w:val="006E4910"/>
    <w:rsid w:val="006E4F38"/>
    <w:rsid w:val="006E5F40"/>
    <w:rsid w:val="006E644E"/>
    <w:rsid w:val="006E65F0"/>
    <w:rsid w:val="006E6776"/>
    <w:rsid w:val="006E6E86"/>
    <w:rsid w:val="006F0636"/>
    <w:rsid w:val="006F0767"/>
    <w:rsid w:val="006F13F0"/>
    <w:rsid w:val="006F1F28"/>
    <w:rsid w:val="006F2815"/>
    <w:rsid w:val="006F2957"/>
    <w:rsid w:val="006F2B8D"/>
    <w:rsid w:val="006F2BF2"/>
    <w:rsid w:val="006F32C4"/>
    <w:rsid w:val="006F417C"/>
    <w:rsid w:val="006F453C"/>
    <w:rsid w:val="006F5746"/>
    <w:rsid w:val="006F6B77"/>
    <w:rsid w:val="006F7203"/>
    <w:rsid w:val="006F7847"/>
    <w:rsid w:val="00700692"/>
    <w:rsid w:val="00700A8D"/>
    <w:rsid w:val="007011DA"/>
    <w:rsid w:val="007014C5"/>
    <w:rsid w:val="007015C4"/>
    <w:rsid w:val="00701AF1"/>
    <w:rsid w:val="00702455"/>
    <w:rsid w:val="007028E9"/>
    <w:rsid w:val="00702989"/>
    <w:rsid w:val="00702D79"/>
    <w:rsid w:val="0070323D"/>
    <w:rsid w:val="00703300"/>
    <w:rsid w:val="00703806"/>
    <w:rsid w:val="00703B0A"/>
    <w:rsid w:val="0070404F"/>
    <w:rsid w:val="00704342"/>
    <w:rsid w:val="007057D9"/>
    <w:rsid w:val="007057DF"/>
    <w:rsid w:val="00705BC9"/>
    <w:rsid w:val="00706E15"/>
    <w:rsid w:val="00707111"/>
    <w:rsid w:val="00707800"/>
    <w:rsid w:val="0070795E"/>
    <w:rsid w:val="00707BF6"/>
    <w:rsid w:val="007105BA"/>
    <w:rsid w:val="0071070F"/>
    <w:rsid w:val="00711A8C"/>
    <w:rsid w:val="00712165"/>
    <w:rsid w:val="00712AFD"/>
    <w:rsid w:val="00712B06"/>
    <w:rsid w:val="00712CD5"/>
    <w:rsid w:val="007133DF"/>
    <w:rsid w:val="00713574"/>
    <w:rsid w:val="007135A1"/>
    <w:rsid w:val="007138D2"/>
    <w:rsid w:val="00714E49"/>
    <w:rsid w:val="00715012"/>
    <w:rsid w:val="00715CCB"/>
    <w:rsid w:val="00716599"/>
    <w:rsid w:val="007165A6"/>
    <w:rsid w:val="0071679B"/>
    <w:rsid w:val="007172C4"/>
    <w:rsid w:val="00717534"/>
    <w:rsid w:val="00717783"/>
    <w:rsid w:val="00717C68"/>
    <w:rsid w:val="00720AC1"/>
    <w:rsid w:val="00721484"/>
    <w:rsid w:val="00721A6C"/>
    <w:rsid w:val="00721D78"/>
    <w:rsid w:val="00722059"/>
    <w:rsid w:val="0072232D"/>
    <w:rsid w:val="007223AE"/>
    <w:rsid w:val="00722EB3"/>
    <w:rsid w:val="007230B1"/>
    <w:rsid w:val="0072338D"/>
    <w:rsid w:val="00723552"/>
    <w:rsid w:val="00724142"/>
    <w:rsid w:val="00724E85"/>
    <w:rsid w:val="00725C01"/>
    <w:rsid w:val="00726454"/>
    <w:rsid w:val="00726A71"/>
    <w:rsid w:val="007270E0"/>
    <w:rsid w:val="007273AF"/>
    <w:rsid w:val="00727573"/>
    <w:rsid w:val="007275BF"/>
    <w:rsid w:val="0072783B"/>
    <w:rsid w:val="007301B0"/>
    <w:rsid w:val="00730BE5"/>
    <w:rsid w:val="00730E86"/>
    <w:rsid w:val="007312B6"/>
    <w:rsid w:val="00731CDA"/>
    <w:rsid w:val="00732603"/>
    <w:rsid w:val="0073330D"/>
    <w:rsid w:val="007340EE"/>
    <w:rsid w:val="00734AAD"/>
    <w:rsid w:val="00734AC8"/>
    <w:rsid w:val="00734B85"/>
    <w:rsid w:val="007356BF"/>
    <w:rsid w:val="00735D23"/>
    <w:rsid w:val="00736157"/>
    <w:rsid w:val="00736215"/>
    <w:rsid w:val="00736D31"/>
    <w:rsid w:val="00736F28"/>
    <w:rsid w:val="007372D4"/>
    <w:rsid w:val="00737531"/>
    <w:rsid w:val="00737B67"/>
    <w:rsid w:val="00737E78"/>
    <w:rsid w:val="00737FEA"/>
    <w:rsid w:val="0074068A"/>
    <w:rsid w:val="0074096A"/>
    <w:rsid w:val="00740C24"/>
    <w:rsid w:val="007410B4"/>
    <w:rsid w:val="007410DF"/>
    <w:rsid w:val="007415B2"/>
    <w:rsid w:val="00742A54"/>
    <w:rsid w:val="00742B20"/>
    <w:rsid w:val="00742F39"/>
    <w:rsid w:val="007434C0"/>
    <w:rsid w:val="0074381B"/>
    <w:rsid w:val="00743CCC"/>
    <w:rsid w:val="00743D8D"/>
    <w:rsid w:val="00744267"/>
    <w:rsid w:val="00744692"/>
    <w:rsid w:val="007453DF"/>
    <w:rsid w:val="007459E3"/>
    <w:rsid w:val="00745A73"/>
    <w:rsid w:val="00745C15"/>
    <w:rsid w:val="0074650E"/>
    <w:rsid w:val="00747431"/>
    <w:rsid w:val="007500FE"/>
    <w:rsid w:val="0075048C"/>
    <w:rsid w:val="007509F2"/>
    <w:rsid w:val="00750E68"/>
    <w:rsid w:val="0075160D"/>
    <w:rsid w:val="00751C94"/>
    <w:rsid w:val="00751E09"/>
    <w:rsid w:val="007525B5"/>
    <w:rsid w:val="00752802"/>
    <w:rsid w:val="00752D1F"/>
    <w:rsid w:val="0075486B"/>
    <w:rsid w:val="00754AE5"/>
    <w:rsid w:val="0075504D"/>
    <w:rsid w:val="007557BB"/>
    <w:rsid w:val="00755CA0"/>
    <w:rsid w:val="00755F7A"/>
    <w:rsid w:val="00756110"/>
    <w:rsid w:val="00756DDF"/>
    <w:rsid w:val="0075729D"/>
    <w:rsid w:val="0075782E"/>
    <w:rsid w:val="007601B4"/>
    <w:rsid w:val="00760E42"/>
    <w:rsid w:val="00761986"/>
    <w:rsid w:val="00761D55"/>
    <w:rsid w:val="0076417B"/>
    <w:rsid w:val="00764931"/>
    <w:rsid w:val="00765011"/>
    <w:rsid w:val="00765F9A"/>
    <w:rsid w:val="00766408"/>
    <w:rsid w:val="007667C3"/>
    <w:rsid w:val="00766BB6"/>
    <w:rsid w:val="007671F8"/>
    <w:rsid w:val="007674AB"/>
    <w:rsid w:val="00767A2D"/>
    <w:rsid w:val="00767A93"/>
    <w:rsid w:val="00767CC4"/>
    <w:rsid w:val="00767FD6"/>
    <w:rsid w:val="00770FD5"/>
    <w:rsid w:val="00771052"/>
    <w:rsid w:val="007711E1"/>
    <w:rsid w:val="007716C4"/>
    <w:rsid w:val="00772765"/>
    <w:rsid w:val="00772C20"/>
    <w:rsid w:val="00772C3D"/>
    <w:rsid w:val="00773BE6"/>
    <w:rsid w:val="00773CF1"/>
    <w:rsid w:val="00773E68"/>
    <w:rsid w:val="0077404D"/>
    <w:rsid w:val="00774D31"/>
    <w:rsid w:val="007751D0"/>
    <w:rsid w:val="0077538A"/>
    <w:rsid w:val="00775CC3"/>
    <w:rsid w:val="00776250"/>
    <w:rsid w:val="00777235"/>
    <w:rsid w:val="007804C0"/>
    <w:rsid w:val="0078058E"/>
    <w:rsid w:val="00780B56"/>
    <w:rsid w:val="007812F1"/>
    <w:rsid w:val="00781463"/>
    <w:rsid w:val="00781875"/>
    <w:rsid w:val="00781C1D"/>
    <w:rsid w:val="00782454"/>
    <w:rsid w:val="007827B9"/>
    <w:rsid w:val="00782971"/>
    <w:rsid w:val="00782C1E"/>
    <w:rsid w:val="00783BE8"/>
    <w:rsid w:val="00784015"/>
    <w:rsid w:val="00784289"/>
    <w:rsid w:val="007849FB"/>
    <w:rsid w:val="00785B17"/>
    <w:rsid w:val="007861FB"/>
    <w:rsid w:val="00786441"/>
    <w:rsid w:val="00786590"/>
    <w:rsid w:val="007866EB"/>
    <w:rsid w:val="00786EB3"/>
    <w:rsid w:val="00786FF0"/>
    <w:rsid w:val="00787238"/>
    <w:rsid w:val="00787570"/>
    <w:rsid w:val="0078776A"/>
    <w:rsid w:val="00787AB1"/>
    <w:rsid w:val="00787C1D"/>
    <w:rsid w:val="007906A4"/>
    <w:rsid w:val="00790C03"/>
    <w:rsid w:val="00790DE3"/>
    <w:rsid w:val="00790F31"/>
    <w:rsid w:val="00790FFF"/>
    <w:rsid w:val="0079137D"/>
    <w:rsid w:val="0079169D"/>
    <w:rsid w:val="00792726"/>
    <w:rsid w:val="00793B16"/>
    <w:rsid w:val="00793CCC"/>
    <w:rsid w:val="007941A5"/>
    <w:rsid w:val="00794789"/>
    <w:rsid w:val="00795C99"/>
    <w:rsid w:val="007967FE"/>
    <w:rsid w:val="00796B20"/>
    <w:rsid w:val="00797659"/>
    <w:rsid w:val="00797D84"/>
    <w:rsid w:val="00797EDB"/>
    <w:rsid w:val="007A00CF"/>
    <w:rsid w:val="007A03CF"/>
    <w:rsid w:val="007A0702"/>
    <w:rsid w:val="007A089D"/>
    <w:rsid w:val="007A147A"/>
    <w:rsid w:val="007A157F"/>
    <w:rsid w:val="007A1667"/>
    <w:rsid w:val="007A1713"/>
    <w:rsid w:val="007A1774"/>
    <w:rsid w:val="007A1B01"/>
    <w:rsid w:val="007A1C02"/>
    <w:rsid w:val="007A1D95"/>
    <w:rsid w:val="007A2069"/>
    <w:rsid w:val="007A2948"/>
    <w:rsid w:val="007A2DBC"/>
    <w:rsid w:val="007A2DD7"/>
    <w:rsid w:val="007A3306"/>
    <w:rsid w:val="007A3C3B"/>
    <w:rsid w:val="007A4175"/>
    <w:rsid w:val="007A4F8F"/>
    <w:rsid w:val="007A51E4"/>
    <w:rsid w:val="007A56EF"/>
    <w:rsid w:val="007A61DB"/>
    <w:rsid w:val="007A664D"/>
    <w:rsid w:val="007A6BBF"/>
    <w:rsid w:val="007A713C"/>
    <w:rsid w:val="007A7D93"/>
    <w:rsid w:val="007A7D9B"/>
    <w:rsid w:val="007B0D04"/>
    <w:rsid w:val="007B166E"/>
    <w:rsid w:val="007B1C72"/>
    <w:rsid w:val="007B1F3A"/>
    <w:rsid w:val="007B1F88"/>
    <w:rsid w:val="007B2005"/>
    <w:rsid w:val="007B35AC"/>
    <w:rsid w:val="007B3C49"/>
    <w:rsid w:val="007B410C"/>
    <w:rsid w:val="007B429A"/>
    <w:rsid w:val="007B4463"/>
    <w:rsid w:val="007B4C4B"/>
    <w:rsid w:val="007B4CC6"/>
    <w:rsid w:val="007B502C"/>
    <w:rsid w:val="007B5264"/>
    <w:rsid w:val="007B5784"/>
    <w:rsid w:val="007B5F9B"/>
    <w:rsid w:val="007B64F2"/>
    <w:rsid w:val="007B688B"/>
    <w:rsid w:val="007B6DF9"/>
    <w:rsid w:val="007B7042"/>
    <w:rsid w:val="007B7064"/>
    <w:rsid w:val="007B70FF"/>
    <w:rsid w:val="007B712F"/>
    <w:rsid w:val="007B7E08"/>
    <w:rsid w:val="007C0148"/>
    <w:rsid w:val="007C051F"/>
    <w:rsid w:val="007C0591"/>
    <w:rsid w:val="007C0B28"/>
    <w:rsid w:val="007C1667"/>
    <w:rsid w:val="007C1749"/>
    <w:rsid w:val="007C18D4"/>
    <w:rsid w:val="007C1AD2"/>
    <w:rsid w:val="007C256B"/>
    <w:rsid w:val="007C2FDF"/>
    <w:rsid w:val="007C38F5"/>
    <w:rsid w:val="007C3D41"/>
    <w:rsid w:val="007C4B69"/>
    <w:rsid w:val="007C4F64"/>
    <w:rsid w:val="007C5B24"/>
    <w:rsid w:val="007C6877"/>
    <w:rsid w:val="007C6D69"/>
    <w:rsid w:val="007C7091"/>
    <w:rsid w:val="007D03AC"/>
    <w:rsid w:val="007D0974"/>
    <w:rsid w:val="007D0EE4"/>
    <w:rsid w:val="007D0F76"/>
    <w:rsid w:val="007D10D5"/>
    <w:rsid w:val="007D1101"/>
    <w:rsid w:val="007D135E"/>
    <w:rsid w:val="007D17F1"/>
    <w:rsid w:val="007D17F4"/>
    <w:rsid w:val="007D1991"/>
    <w:rsid w:val="007D1B21"/>
    <w:rsid w:val="007D1D51"/>
    <w:rsid w:val="007D2073"/>
    <w:rsid w:val="007D2226"/>
    <w:rsid w:val="007D261C"/>
    <w:rsid w:val="007D29D7"/>
    <w:rsid w:val="007D2A9C"/>
    <w:rsid w:val="007D2EC4"/>
    <w:rsid w:val="007D4DEB"/>
    <w:rsid w:val="007D4EE8"/>
    <w:rsid w:val="007D52B5"/>
    <w:rsid w:val="007D5415"/>
    <w:rsid w:val="007D59F6"/>
    <w:rsid w:val="007D5CB3"/>
    <w:rsid w:val="007D5D66"/>
    <w:rsid w:val="007D6DBA"/>
    <w:rsid w:val="007D7567"/>
    <w:rsid w:val="007D7966"/>
    <w:rsid w:val="007D7DD8"/>
    <w:rsid w:val="007E013F"/>
    <w:rsid w:val="007E045B"/>
    <w:rsid w:val="007E0603"/>
    <w:rsid w:val="007E09C7"/>
    <w:rsid w:val="007E0E2B"/>
    <w:rsid w:val="007E12E9"/>
    <w:rsid w:val="007E1680"/>
    <w:rsid w:val="007E17DF"/>
    <w:rsid w:val="007E1E20"/>
    <w:rsid w:val="007E1F71"/>
    <w:rsid w:val="007E2A42"/>
    <w:rsid w:val="007E2BFA"/>
    <w:rsid w:val="007E42A8"/>
    <w:rsid w:val="007E4350"/>
    <w:rsid w:val="007E4377"/>
    <w:rsid w:val="007E45A0"/>
    <w:rsid w:val="007E4DAD"/>
    <w:rsid w:val="007E5019"/>
    <w:rsid w:val="007E595C"/>
    <w:rsid w:val="007E60E3"/>
    <w:rsid w:val="007E6A26"/>
    <w:rsid w:val="007E73B7"/>
    <w:rsid w:val="007E7973"/>
    <w:rsid w:val="007F01FC"/>
    <w:rsid w:val="007F03AF"/>
    <w:rsid w:val="007F03E3"/>
    <w:rsid w:val="007F0C5D"/>
    <w:rsid w:val="007F0F2B"/>
    <w:rsid w:val="007F1060"/>
    <w:rsid w:val="007F2688"/>
    <w:rsid w:val="007F31EA"/>
    <w:rsid w:val="007F3B06"/>
    <w:rsid w:val="007F43BB"/>
    <w:rsid w:val="007F48A7"/>
    <w:rsid w:val="007F4BE4"/>
    <w:rsid w:val="007F4E0F"/>
    <w:rsid w:val="007F501C"/>
    <w:rsid w:val="007F51E7"/>
    <w:rsid w:val="007F5240"/>
    <w:rsid w:val="007F5A25"/>
    <w:rsid w:val="007F5A49"/>
    <w:rsid w:val="007F5E53"/>
    <w:rsid w:val="007F5FB5"/>
    <w:rsid w:val="007F63E3"/>
    <w:rsid w:val="007F6B18"/>
    <w:rsid w:val="007F719F"/>
    <w:rsid w:val="007F73C1"/>
    <w:rsid w:val="007F7B9E"/>
    <w:rsid w:val="007F7DDE"/>
    <w:rsid w:val="00800186"/>
    <w:rsid w:val="008010BF"/>
    <w:rsid w:val="00801942"/>
    <w:rsid w:val="00801D0E"/>
    <w:rsid w:val="00802291"/>
    <w:rsid w:val="0080252C"/>
    <w:rsid w:val="008025CC"/>
    <w:rsid w:val="0080261E"/>
    <w:rsid w:val="008029A6"/>
    <w:rsid w:val="00802AA4"/>
    <w:rsid w:val="00802BA8"/>
    <w:rsid w:val="00802D83"/>
    <w:rsid w:val="00802F70"/>
    <w:rsid w:val="0080300C"/>
    <w:rsid w:val="00803ED0"/>
    <w:rsid w:val="0080452A"/>
    <w:rsid w:val="00805004"/>
    <w:rsid w:val="00805C8B"/>
    <w:rsid w:val="00805DE4"/>
    <w:rsid w:val="008067F7"/>
    <w:rsid w:val="00807D33"/>
    <w:rsid w:val="00807F98"/>
    <w:rsid w:val="00807FE7"/>
    <w:rsid w:val="0081031E"/>
    <w:rsid w:val="008104FA"/>
    <w:rsid w:val="0081062E"/>
    <w:rsid w:val="00810A73"/>
    <w:rsid w:val="00810A8C"/>
    <w:rsid w:val="00810E0A"/>
    <w:rsid w:val="008110E0"/>
    <w:rsid w:val="00811B75"/>
    <w:rsid w:val="00811BB6"/>
    <w:rsid w:val="008121D2"/>
    <w:rsid w:val="00812235"/>
    <w:rsid w:val="008123EA"/>
    <w:rsid w:val="00812416"/>
    <w:rsid w:val="00812539"/>
    <w:rsid w:val="008126A2"/>
    <w:rsid w:val="00812A63"/>
    <w:rsid w:val="00812B6F"/>
    <w:rsid w:val="00812EF4"/>
    <w:rsid w:val="008133D3"/>
    <w:rsid w:val="00813412"/>
    <w:rsid w:val="008134ED"/>
    <w:rsid w:val="00813568"/>
    <w:rsid w:val="008136C0"/>
    <w:rsid w:val="008139E5"/>
    <w:rsid w:val="00813B37"/>
    <w:rsid w:val="008141B7"/>
    <w:rsid w:val="00814817"/>
    <w:rsid w:val="008158CD"/>
    <w:rsid w:val="00815F9A"/>
    <w:rsid w:val="0081631D"/>
    <w:rsid w:val="00816630"/>
    <w:rsid w:val="008166B0"/>
    <w:rsid w:val="00816897"/>
    <w:rsid w:val="00816C70"/>
    <w:rsid w:val="00816F56"/>
    <w:rsid w:val="0081781A"/>
    <w:rsid w:val="00817D80"/>
    <w:rsid w:val="00820172"/>
    <w:rsid w:val="00820227"/>
    <w:rsid w:val="008202DC"/>
    <w:rsid w:val="00820A12"/>
    <w:rsid w:val="00820AF0"/>
    <w:rsid w:val="00820B5B"/>
    <w:rsid w:val="00820BDA"/>
    <w:rsid w:val="00821367"/>
    <w:rsid w:val="00821445"/>
    <w:rsid w:val="00821F90"/>
    <w:rsid w:val="0082249D"/>
    <w:rsid w:val="008230CC"/>
    <w:rsid w:val="00823504"/>
    <w:rsid w:val="008239F6"/>
    <w:rsid w:val="00823B3D"/>
    <w:rsid w:val="00823BF9"/>
    <w:rsid w:val="00823C34"/>
    <w:rsid w:val="00823DD5"/>
    <w:rsid w:val="00824249"/>
    <w:rsid w:val="0082430C"/>
    <w:rsid w:val="0082507E"/>
    <w:rsid w:val="00825590"/>
    <w:rsid w:val="00826133"/>
    <w:rsid w:val="008265B9"/>
    <w:rsid w:val="00826A22"/>
    <w:rsid w:val="00827DCA"/>
    <w:rsid w:val="00827E64"/>
    <w:rsid w:val="00827E90"/>
    <w:rsid w:val="00830266"/>
    <w:rsid w:val="0083082E"/>
    <w:rsid w:val="008308C6"/>
    <w:rsid w:val="008308C7"/>
    <w:rsid w:val="00830DC5"/>
    <w:rsid w:val="00831651"/>
    <w:rsid w:val="00831670"/>
    <w:rsid w:val="00831DF6"/>
    <w:rsid w:val="008320BB"/>
    <w:rsid w:val="00832665"/>
    <w:rsid w:val="0083287F"/>
    <w:rsid w:val="008329D2"/>
    <w:rsid w:val="008330AA"/>
    <w:rsid w:val="00833275"/>
    <w:rsid w:val="008334AA"/>
    <w:rsid w:val="008337F4"/>
    <w:rsid w:val="008339E0"/>
    <w:rsid w:val="008345E5"/>
    <w:rsid w:val="00834962"/>
    <w:rsid w:val="00834B3F"/>
    <w:rsid w:val="0083504D"/>
    <w:rsid w:val="00835AA5"/>
    <w:rsid w:val="008367AC"/>
    <w:rsid w:val="0083736F"/>
    <w:rsid w:val="00837716"/>
    <w:rsid w:val="00837934"/>
    <w:rsid w:val="00837AC2"/>
    <w:rsid w:val="00840F27"/>
    <w:rsid w:val="00841C20"/>
    <w:rsid w:val="008421EE"/>
    <w:rsid w:val="00842283"/>
    <w:rsid w:val="008422D0"/>
    <w:rsid w:val="0084271F"/>
    <w:rsid w:val="008432CD"/>
    <w:rsid w:val="00843697"/>
    <w:rsid w:val="00843770"/>
    <w:rsid w:val="008438C5"/>
    <w:rsid w:val="00843E46"/>
    <w:rsid w:val="008440BB"/>
    <w:rsid w:val="00844361"/>
    <w:rsid w:val="00844AB7"/>
    <w:rsid w:val="00845834"/>
    <w:rsid w:val="00845B31"/>
    <w:rsid w:val="00845B85"/>
    <w:rsid w:val="00845E88"/>
    <w:rsid w:val="0084623D"/>
    <w:rsid w:val="00846655"/>
    <w:rsid w:val="00846D47"/>
    <w:rsid w:val="008474B9"/>
    <w:rsid w:val="008475B5"/>
    <w:rsid w:val="00847A56"/>
    <w:rsid w:val="00847FC7"/>
    <w:rsid w:val="00850378"/>
    <w:rsid w:val="0085084D"/>
    <w:rsid w:val="008508F3"/>
    <w:rsid w:val="00850D88"/>
    <w:rsid w:val="008519B7"/>
    <w:rsid w:val="00851A64"/>
    <w:rsid w:val="008523E1"/>
    <w:rsid w:val="00852833"/>
    <w:rsid w:val="00852890"/>
    <w:rsid w:val="008528EC"/>
    <w:rsid w:val="00852CA5"/>
    <w:rsid w:val="00852E5B"/>
    <w:rsid w:val="00853318"/>
    <w:rsid w:val="00853A41"/>
    <w:rsid w:val="00854C91"/>
    <w:rsid w:val="008554A9"/>
    <w:rsid w:val="00855796"/>
    <w:rsid w:val="00855A79"/>
    <w:rsid w:val="00855E3D"/>
    <w:rsid w:val="00855F6C"/>
    <w:rsid w:val="008562D8"/>
    <w:rsid w:val="00856867"/>
    <w:rsid w:val="00856B94"/>
    <w:rsid w:val="00856BD4"/>
    <w:rsid w:val="00856C07"/>
    <w:rsid w:val="00856E09"/>
    <w:rsid w:val="00856E8D"/>
    <w:rsid w:val="00857067"/>
    <w:rsid w:val="00857073"/>
    <w:rsid w:val="00857413"/>
    <w:rsid w:val="00857610"/>
    <w:rsid w:val="0086052B"/>
    <w:rsid w:val="00860642"/>
    <w:rsid w:val="00860A26"/>
    <w:rsid w:val="00860B4F"/>
    <w:rsid w:val="008613BD"/>
    <w:rsid w:val="00861473"/>
    <w:rsid w:val="008614BF"/>
    <w:rsid w:val="008629B7"/>
    <w:rsid w:val="008636FD"/>
    <w:rsid w:val="0086379E"/>
    <w:rsid w:val="00863BA3"/>
    <w:rsid w:val="00863BE4"/>
    <w:rsid w:val="00863C9F"/>
    <w:rsid w:val="00863E7C"/>
    <w:rsid w:val="008643C3"/>
    <w:rsid w:val="00864C5A"/>
    <w:rsid w:val="008655B5"/>
    <w:rsid w:val="008657CD"/>
    <w:rsid w:val="00865AA6"/>
    <w:rsid w:val="00865E31"/>
    <w:rsid w:val="008662E6"/>
    <w:rsid w:val="008667DE"/>
    <w:rsid w:val="008667E7"/>
    <w:rsid w:val="008668CB"/>
    <w:rsid w:val="00866A27"/>
    <w:rsid w:val="00866BE4"/>
    <w:rsid w:val="00866F51"/>
    <w:rsid w:val="008677CB"/>
    <w:rsid w:val="00867AB0"/>
    <w:rsid w:val="00867BD7"/>
    <w:rsid w:val="00867FBC"/>
    <w:rsid w:val="0087080F"/>
    <w:rsid w:val="00870969"/>
    <w:rsid w:val="00871150"/>
    <w:rsid w:val="008712F3"/>
    <w:rsid w:val="0087145B"/>
    <w:rsid w:val="00871556"/>
    <w:rsid w:val="00872806"/>
    <w:rsid w:val="00872F14"/>
    <w:rsid w:val="00874171"/>
    <w:rsid w:val="00874891"/>
    <w:rsid w:val="00874966"/>
    <w:rsid w:val="008752E3"/>
    <w:rsid w:val="00875438"/>
    <w:rsid w:val="00875B8E"/>
    <w:rsid w:val="00876142"/>
    <w:rsid w:val="008763B1"/>
    <w:rsid w:val="00876995"/>
    <w:rsid w:val="00876C69"/>
    <w:rsid w:val="00876C76"/>
    <w:rsid w:val="00877350"/>
    <w:rsid w:val="008775F0"/>
    <w:rsid w:val="00880277"/>
    <w:rsid w:val="0088030F"/>
    <w:rsid w:val="008811EB"/>
    <w:rsid w:val="00881408"/>
    <w:rsid w:val="008816D3"/>
    <w:rsid w:val="00881EA3"/>
    <w:rsid w:val="00882731"/>
    <w:rsid w:val="00882B5C"/>
    <w:rsid w:val="00883AAA"/>
    <w:rsid w:val="0088408E"/>
    <w:rsid w:val="00884CCF"/>
    <w:rsid w:val="00885159"/>
    <w:rsid w:val="00885462"/>
    <w:rsid w:val="0088628A"/>
    <w:rsid w:val="008868C4"/>
    <w:rsid w:val="008877A7"/>
    <w:rsid w:val="00887836"/>
    <w:rsid w:val="00887C0B"/>
    <w:rsid w:val="00887F02"/>
    <w:rsid w:val="00890445"/>
    <w:rsid w:val="0089067B"/>
    <w:rsid w:val="0089145D"/>
    <w:rsid w:val="008918C6"/>
    <w:rsid w:val="00892056"/>
    <w:rsid w:val="00892183"/>
    <w:rsid w:val="008923FA"/>
    <w:rsid w:val="0089290F"/>
    <w:rsid w:val="008935AF"/>
    <w:rsid w:val="008938B6"/>
    <w:rsid w:val="008939B9"/>
    <w:rsid w:val="00893A88"/>
    <w:rsid w:val="0089401B"/>
    <w:rsid w:val="0089413B"/>
    <w:rsid w:val="008943A8"/>
    <w:rsid w:val="008948AD"/>
    <w:rsid w:val="0089491B"/>
    <w:rsid w:val="00894C1F"/>
    <w:rsid w:val="0089611A"/>
    <w:rsid w:val="008963AA"/>
    <w:rsid w:val="0089681E"/>
    <w:rsid w:val="00897C40"/>
    <w:rsid w:val="008A0CB4"/>
    <w:rsid w:val="008A10F3"/>
    <w:rsid w:val="008A130F"/>
    <w:rsid w:val="008A18AD"/>
    <w:rsid w:val="008A18C6"/>
    <w:rsid w:val="008A1BF3"/>
    <w:rsid w:val="008A1D44"/>
    <w:rsid w:val="008A2266"/>
    <w:rsid w:val="008A2A65"/>
    <w:rsid w:val="008A2A6F"/>
    <w:rsid w:val="008A2AC6"/>
    <w:rsid w:val="008A2AE1"/>
    <w:rsid w:val="008A33DB"/>
    <w:rsid w:val="008A33FB"/>
    <w:rsid w:val="008A4044"/>
    <w:rsid w:val="008A40F6"/>
    <w:rsid w:val="008A42B3"/>
    <w:rsid w:val="008A450D"/>
    <w:rsid w:val="008A49BF"/>
    <w:rsid w:val="008A521D"/>
    <w:rsid w:val="008A5712"/>
    <w:rsid w:val="008A592A"/>
    <w:rsid w:val="008A5966"/>
    <w:rsid w:val="008A59F9"/>
    <w:rsid w:val="008A5C89"/>
    <w:rsid w:val="008A6A81"/>
    <w:rsid w:val="008A792A"/>
    <w:rsid w:val="008A7968"/>
    <w:rsid w:val="008A7A5E"/>
    <w:rsid w:val="008A7E62"/>
    <w:rsid w:val="008B0412"/>
    <w:rsid w:val="008B155A"/>
    <w:rsid w:val="008B17F6"/>
    <w:rsid w:val="008B18EC"/>
    <w:rsid w:val="008B195A"/>
    <w:rsid w:val="008B1B79"/>
    <w:rsid w:val="008B29F1"/>
    <w:rsid w:val="008B2D1E"/>
    <w:rsid w:val="008B2F66"/>
    <w:rsid w:val="008B2FFA"/>
    <w:rsid w:val="008B36A4"/>
    <w:rsid w:val="008B3957"/>
    <w:rsid w:val="008B39D3"/>
    <w:rsid w:val="008B3BA0"/>
    <w:rsid w:val="008B42ED"/>
    <w:rsid w:val="008B44C6"/>
    <w:rsid w:val="008B4787"/>
    <w:rsid w:val="008B494A"/>
    <w:rsid w:val="008B4B20"/>
    <w:rsid w:val="008B4FFD"/>
    <w:rsid w:val="008B5264"/>
    <w:rsid w:val="008B536E"/>
    <w:rsid w:val="008B56FD"/>
    <w:rsid w:val="008B5881"/>
    <w:rsid w:val="008B590B"/>
    <w:rsid w:val="008B6349"/>
    <w:rsid w:val="008B6447"/>
    <w:rsid w:val="008B64A5"/>
    <w:rsid w:val="008B6734"/>
    <w:rsid w:val="008B6780"/>
    <w:rsid w:val="008B686D"/>
    <w:rsid w:val="008B6EDA"/>
    <w:rsid w:val="008B7341"/>
    <w:rsid w:val="008B750B"/>
    <w:rsid w:val="008C0632"/>
    <w:rsid w:val="008C090C"/>
    <w:rsid w:val="008C0C72"/>
    <w:rsid w:val="008C108B"/>
    <w:rsid w:val="008C12A0"/>
    <w:rsid w:val="008C1371"/>
    <w:rsid w:val="008C1440"/>
    <w:rsid w:val="008C155B"/>
    <w:rsid w:val="008C1740"/>
    <w:rsid w:val="008C1D3A"/>
    <w:rsid w:val="008C24B1"/>
    <w:rsid w:val="008C3162"/>
    <w:rsid w:val="008C3494"/>
    <w:rsid w:val="008C3DFC"/>
    <w:rsid w:val="008C5B92"/>
    <w:rsid w:val="008C6326"/>
    <w:rsid w:val="008C69F8"/>
    <w:rsid w:val="008C6B99"/>
    <w:rsid w:val="008C7360"/>
    <w:rsid w:val="008C7DD4"/>
    <w:rsid w:val="008D0584"/>
    <w:rsid w:val="008D0D3D"/>
    <w:rsid w:val="008D1275"/>
    <w:rsid w:val="008D1F0A"/>
    <w:rsid w:val="008D1FF0"/>
    <w:rsid w:val="008D2122"/>
    <w:rsid w:val="008D2488"/>
    <w:rsid w:val="008D260E"/>
    <w:rsid w:val="008D32FC"/>
    <w:rsid w:val="008D3356"/>
    <w:rsid w:val="008D3A77"/>
    <w:rsid w:val="008D3EDD"/>
    <w:rsid w:val="008D43CB"/>
    <w:rsid w:val="008D6436"/>
    <w:rsid w:val="008D67BC"/>
    <w:rsid w:val="008D6B5D"/>
    <w:rsid w:val="008D6C56"/>
    <w:rsid w:val="008D7223"/>
    <w:rsid w:val="008D75A0"/>
    <w:rsid w:val="008D77F5"/>
    <w:rsid w:val="008D7B31"/>
    <w:rsid w:val="008D7D74"/>
    <w:rsid w:val="008E00DE"/>
    <w:rsid w:val="008E04CC"/>
    <w:rsid w:val="008E0AAD"/>
    <w:rsid w:val="008E0D17"/>
    <w:rsid w:val="008E0EA9"/>
    <w:rsid w:val="008E0FC2"/>
    <w:rsid w:val="008E107C"/>
    <w:rsid w:val="008E16E3"/>
    <w:rsid w:val="008E17BB"/>
    <w:rsid w:val="008E1D96"/>
    <w:rsid w:val="008E2BBE"/>
    <w:rsid w:val="008E37E2"/>
    <w:rsid w:val="008E46DF"/>
    <w:rsid w:val="008E4DCD"/>
    <w:rsid w:val="008E50A3"/>
    <w:rsid w:val="008E5D76"/>
    <w:rsid w:val="008E65DF"/>
    <w:rsid w:val="008E6A6D"/>
    <w:rsid w:val="008E6AEA"/>
    <w:rsid w:val="008E7F37"/>
    <w:rsid w:val="008F03F2"/>
    <w:rsid w:val="008F0EFA"/>
    <w:rsid w:val="008F11B7"/>
    <w:rsid w:val="008F12C0"/>
    <w:rsid w:val="008F1967"/>
    <w:rsid w:val="008F1D24"/>
    <w:rsid w:val="008F21B9"/>
    <w:rsid w:val="008F26D4"/>
    <w:rsid w:val="008F2C58"/>
    <w:rsid w:val="008F2D4F"/>
    <w:rsid w:val="008F357B"/>
    <w:rsid w:val="008F36C3"/>
    <w:rsid w:val="008F38F1"/>
    <w:rsid w:val="008F3D2A"/>
    <w:rsid w:val="008F3EF8"/>
    <w:rsid w:val="008F3F3D"/>
    <w:rsid w:val="008F40B4"/>
    <w:rsid w:val="008F50CF"/>
    <w:rsid w:val="008F53AD"/>
    <w:rsid w:val="008F5529"/>
    <w:rsid w:val="008F5746"/>
    <w:rsid w:val="008F5AB6"/>
    <w:rsid w:val="008F5DC7"/>
    <w:rsid w:val="008F5FC4"/>
    <w:rsid w:val="008F65A6"/>
    <w:rsid w:val="008F6C36"/>
    <w:rsid w:val="008F73D8"/>
    <w:rsid w:val="008F7474"/>
    <w:rsid w:val="008F76DE"/>
    <w:rsid w:val="009003F7"/>
    <w:rsid w:val="00900C49"/>
    <w:rsid w:val="00900F75"/>
    <w:rsid w:val="009013D5"/>
    <w:rsid w:val="00901F27"/>
    <w:rsid w:val="009025E3"/>
    <w:rsid w:val="00902DD9"/>
    <w:rsid w:val="00903CCD"/>
    <w:rsid w:val="00903CE7"/>
    <w:rsid w:val="00903EE5"/>
    <w:rsid w:val="009043CD"/>
    <w:rsid w:val="00904980"/>
    <w:rsid w:val="009052D9"/>
    <w:rsid w:val="00906053"/>
    <w:rsid w:val="0090668A"/>
    <w:rsid w:val="00906D26"/>
    <w:rsid w:val="00907811"/>
    <w:rsid w:val="0090781A"/>
    <w:rsid w:val="00910FAB"/>
    <w:rsid w:val="00911385"/>
    <w:rsid w:val="0091188C"/>
    <w:rsid w:val="00912556"/>
    <w:rsid w:val="00912ECF"/>
    <w:rsid w:val="00913D8D"/>
    <w:rsid w:val="00914497"/>
    <w:rsid w:val="0091493F"/>
    <w:rsid w:val="00915B3C"/>
    <w:rsid w:val="00915F4E"/>
    <w:rsid w:val="009160C6"/>
    <w:rsid w:val="00916423"/>
    <w:rsid w:val="00916485"/>
    <w:rsid w:val="0091656C"/>
    <w:rsid w:val="009165DF"/>
    <w:rsid w:val="0091668D"/>
    <w:rsid w:val="00917068"/>
    <w:rsid w:val="0091712A"/>
    <w:rsid w:val="0091744B"/>
    <w:rsid w:val="00917790"/>
    <w:rsid w:val="00917C82"/>
    <w:rsid w:val="0092026C"/>
    <w:rsid w:val="009204BE"/>
    <w:rsid w:val="00920EA9"/>
    <w:rsid w:val="00921104"/>
    <w:rsid w:val="0092225F"/>
    <w:rsid w:val="00922E91"/>
    <w:rsid w:val="00923345"/>
    <w:rsid w:val="00923FB2"/>
    <w:rsid w:val="009242FE"/>
    <w:rsid w:val="009243FB"/>
    <w:rsid w:val="00924990"/>
    <w:rsid w:val="00924BB8"/>
    <w:rsid w:val="00924DB2"/>
    <w:rsid w:val="00924DCA"/>
    <w:rsid w:val="00924E8D"/>
    <w:rsid w:val="00925478"/>
    <w:rsid w:val="00925625"/>
    <w:rsid w:val="00925C87"/>
    <w:rsid w:val="00925D51"/>
    <w:rsid w:val="00926522"/>
    <w:rsid w:val="00926A23"/>
    <w:rsid w:val="00926C07"/>
    <w:rsid w:val="0092702A"/>
    <w:rsid w:val="00927E7F"/>
    <w:rsid w:val="00930AF6"/>
    <w:rsid w:val="00930C77"/>
    <w:rsid w:val="00930E3D"/>
    <w:rsid w:val="00930F17"/>
    <w:rsid w:val="009311BB"/>
    <w:rsid w:val="009323FC"/>
    <w:rsid w:val="009326E1"/>
    <w:rsid w:val="0093295A"/>
    <w:rsid w:val="00932F8D"/>
    <w:rsid w:val="00933D05"/>
    <w:rsid w:val="00933F7F"/>
    <w:rsid w:val="009340B6"/>
    <w:rsid w:val="00934AD6"/>
    <w:rsid w:val="00934F7E"/>
    <w:rsid w:val="00935182"/>
    <w:rsid w:val="00935A78"/>
    <w:rsid w:val="00935BC4"/>
    <w:rsid w:val="00935E33"/>
    <w:rsid w:val="009365E2"/>
    <w:rsid w:val="00936796"/>
    <w:rsid w:val="00936C6B"/>
    <w:rsid w:val="00936FD9"/>
    <w:rsid w:val="00936FEE"/>
    <w:rsid w:val="009376BA"/>
    <w:rsid w:val="009378DB"/>
    <w:rsid w:val="00937D1B"/>
    <w:rsid w:val="00937E88"/>
    <w:rsid w:val="0094029B"/>
    <w:rsid w:val="009405EF"/>
    <w:rsid w:val="00940DBB"/>
    <w:rsid w:val="00941A3D"/>
    <w:rsid w:val="00941FF6"/>
    <w:rsid w:val="00942610"/>
    <w:rsid w:val="00942C4C"/>
    <w:rsid w:val="009431F1"/>
    <w:rsid w:val="00943A92"/>
    <w:rsid w:val="00943E84"/>
    <w:rsid w:val="0094405F"/>
    <w:rsid w:val="009448F3"/>
    <w:rsid w:val="00944F04"/>
    <w:rsid w:val="00945714"/>
    <w:rsid w:val="009468A1"/>
    <w:rsid w:val="00946A3D"/>
    <w:rsid w:val="00946F25"/>
    <w:rsid w:val="0094706E"/>
    <w:rsid w:val="0094724C"/>
    <w:rsid w:val="0094792A"/>
    <w:rsid w:val="00947DA3"/>
    <w:rsid w:val="00947DC7"/>
    <w:rsid w:val="00947E92"/>
    <w:rsid w:val="00947F22"/>
    <w:rsid w:val="00950773"/>
    <w:rsid w:val="00951883"/>
    <w:rsid w:val="009521B7"/>
    <w:rsid w:val="00952617"/>
    <w:rsid w:val="009526C5"/>
    <w:rsid w:val="009527F2"/>
    <w:rsid w:val="00952820"/>
    <w:rsid w:val="009528A4"/>
    <w:rsid w:val="009531EB"/>
    <w:rsid w:val="009532B7"/>
    <w:rsid w:val="00953508"/>
    <w:rsid w:val="00953FCD"/>
    <w:rsid w:val="00954304"/>
    <w:rsid w:val="00954A3E"/>
    <w:rsid w:val="00954B9A"/>
    <w:rsid w:val="00954D2B"/>
    <w:rsid w:val="00954EFA"/>
    <w:rsid w:val="009558C7"/>
    <w:rsid w:val="009560F9"/>
    <w:rsid w:val="00956507"/>
    <w:rsid w:val="0095674B"/>
    <w:rsid w:val="00956900"/>
    <w:rsid w:val="00956F08"/>
    <w:rsid w:val="00957FB8"/>
    <w:rsid w:val="00960107"/>
    <w:rsid w:val="00960406"/>
    <w:rsid w:val="00960617"/>
    <w:rsid w:val="0096087E"/>
    <w:rsid w:val="00960ADF"/>
    <w:rsid w:val="00960E60"/>
    <w:rsid w:val="00960EFC"/>
    <w:rsid w:val="009616FE"/>
    <w:rsid w:val="009618B0"/>
    <w:rsid w:val="0096195A"/>
    <w:rsid w:val="00961971"/>
    <w:rsid w:val="00962229"/>
    <w:rsid w:val="00962327"/>
    <w:rsid w:val="00962406"/>
    <w:rsid w:val="00962A1D"/>
    <w:rsid w:val="009630C4"/>
    <w:rsid w:val="00963631"/>
    <w:rsid w:val="00963CE1"/>
    <w:rsid w:val="00963D24"/>
    <w:rsid w:val="009645D4"/>
    <w:rsid w:val="00964650"/>
    <w:rsid w:val="009649F6"/>
    <w:rsid w:val="00964C88"/>
    <w:rsid w:val="00964DA9"/>
    <w:rsid w:val="00965432"/>
    <w:rsid w:val="009654C0"/>
    <w:rsid w:val="00965866"/>
    <w:rsid w:val="00965A04"/>
    <w:rsid w:val="00965C46"/>
    <w:rsid w:val="00965CD0"/>
    <w:rsid w:val="00965D86"/>
    <w:rsid w:val="009667C4"/>
    <w:rsid w:val="00966B0B"/>
    <w:rsid w:val="00970492"/>
    <w:rsid w:val="00970B7C"/>
    <w:rsid w:val="00970BAF"/>
    <w:rsid w:val="0097110B"/>
    <w:rsid w:val="0097111A"/>
    <w:rsid w:val="009713CF"/>
    <w:rsid w:val="00971621"/>
    <w:rsid w:val="00971C0C"/>
    <w:rsid w:val="00971CBE"/>
    <w:rsid w:val="00971E52"/>
    <w:rsid w:val="00971ED1"/>
    <w:rsid w:val="009723CE"/>
    <w:rsid w:val="009728F4"/>
    <w:rsid w:val="00972FB7"/>
    <w:rsid w:val="0097339C"/>
    <w:rsid w:val="00973BA4"/>
    <w:rsid w:val="009747B0"/>
    <w:rsid w:val="00974957"/>
    <w:rsid w:val="00974EC3"/>
    <w:rsid w:val="009750D2"/>
    <w:rsid w:val="009752A0"/>
    <w:rsid w:val="0097558D"/>
    <w:rsid w:val="00975832"/>
    <w:rsid w:val="009759FA"/>
    <w:rsid w:val="00976378"/>
    <w:rsid w:val="0097638C"/>
    <w:rsid w:val="009766CE"/>
    <w:rsid w:val="00976734"/>
    <w:rsid w:val="0097710B"/>
    <w:rsid w:val="00977834"/>
    <w:rsid w:val="00980360"/>
    <w:rsid w:val="0098078F"/>
    <w:rsid w:val="00980856"/>
    <w:rsid w:val="009813A7"/>
    <w:rsid w:val="00981CB6"/>
    <w:rsid w:val="00981DCD"/>
    <w:rsid w:val="009826E9"/>
    <w:rsid w:val="0098274A"/>
    <w:rsid w:val="00983D83"/>
    <w:rsid w:val="00983DCC"/>
    <w:rsid w:val="00984860"/>
    <w:rsid w:val="00984B16"/>
    <w:rsid w:val="00985111"/>
    <w:rsid w:val="00985505"/>
    <w:rsid w:val="0098567A"/>
    <w:rsid w:val="0098600F"/>
    <w:rsid w:val="00987534"/>
    <w:rsid w:val="00987993"/>
    <w:rsid w:val="0099059D"/>
    <w:rsid w:val="00990794"/>
    <w:rsid w:val="00990A11"/>
    <w:rsid w:val="00990E6D"/>
    <w:rsid w:val="0099141B"/>
    <w:rsid w:val="00991592"/>
    <w:rsid w:val="009922BB"/>
    <w:rsid w:val="009922BD"/>
    <w:rsid w:val="0099235C"/>
    <w:rsid w:val="009923B8"/>
    <w:rsid w:val="00993219"/>
    <w:rsid w:val="009938AE"/>
    <w:rsid w:val="00993B5A"/>
    <w:rsid w:val="0099459B"/>
    <w:rsid w:val="00994E39"/>
    <w:rsid w:val="00995896"/>
    <w:rsid w:val="009965DA"/>
    <w:rsid w:val="009967CD"/>
    <w:rsid w:val="00996D0D"/>
    <w:rsid w:val="00997C3E"/>
    <w:rsid w:val="00997F67"/>
    <w:rsid w:val="009A0337"/>
    <w:rsid w:val="009A03B0"/>
    <w:rsid w:val="009A065D"/>
    <w:rsid w:val="009A0733"/>
    <w:rsid w:val="009A0B36"/>
    <w:rsid w:val="009A1039"/>
    <w:rsid w:val="009A15BE"/>
    <w:rsid w:val="009A1DF7"/>
    <w:rsid w:val="009A253D"/>
    <w:rsid w:val="009A2572"/>
    <w:rsid w:val="009A28AD"/>
    <w:rsid w:val="009A29D0"/>
    <w:rsid w:val="009A2BDB"/>
    <w:rsid w:val="009A2D16"/>
    <w:rsid w:val="009A2D64"/>
    <w:rsid w:val="009A2EB8"/>
    <w:rsid w:val="009A2FA4"/>
    <w:rsid w:val="009A3D3E"/>
    <w:rsid w:val="009A3E83"/>
    <w:rsid w:val="009A3F24"/>
    <w:rsid w:val="009A4196"/>
    <w:rsid w:val="009A43C3"/>
    <w:rsid w:val="009A4478"/>
    <w:rsid w:val="009A4792"/>
    <w:rsid w:val="009A4F91"/>
    <w:rsid w:val="009A5038"/>
    <w:rsid w:val="009A50D2"/>
    <w:rsid w:val="009A521B"/>
    <w:rsid w:val="009A569C"/>
    <w:rsid w:val="009A5776"/>
    <w:rsid w:val="009A64EB"/>
    <w:rsid w:val="009A74A9"/>
    <w:rsid w:val="009A78F6"/>
    <w:rsid w:val="009A7E52"/>
    <w:rsid w:val="009A7E67"/>
    <w:rsid w:val="009B0166"/>
    <w:rsid w:val="009B16FB"/>
    <w:rsid w:val="009B18DD"/>
    <w:rsid w:val="009B1C28"/>
    <w:rsid w:val="009B1EDB"/>
    <w:rsid w:val="009B248B"/>
    <w:rsid w:val="009B2B54"/>
    <w:rsid w:val="009B2C33"/>
    <w:rsid w:val="009B2DD7"/>
    <w:rsid w:val="009B30B2"/>
    <w:rsid w:val="009B3190"/>
    <w:rsid w:val="009B3592"/>
    <w:rsid w:val="009B383D"/>
    <w:rsid w:val="009B3A4E"/>
    <w:rsid w:val="009B3D24"/>
    <w:rsid w:val="009B3D3F"/>
    <w:rsid w:val="009B3DCF"/>
    <w:rsid w:val="009B424D"/>
    <w:rsid w:val="009B46DB"/>
    <w:rsid w:val="009B4CD1"/>
    <w:rsid w:val="009B4DBA"/>
    <w:rsid w:val="009B50EA"/>
    <w:rsid w:val="009B5A85"/>
    <w:rsid w:val="009B5C8B"/>
    <w:rsid w:val="009B63F9"/>
    <w:rsid w:val="009B6A34"/>
    <w:rsid w:val="009B7015"/>
    <w:rsid w:val="009B71FF"/>
    <w:rsid w:val="009C044A"/>
    <w:rsid w:val="009C10FF"/>
    <w:rsid w:val="009C12D7"/>
    <w:rsid w:val="009C13FC"/>
    <w:rsid w:val="009C1465"/>
    <w:rsid w:val="009C1CA7"/>
    <w:rsid w:val="009C1DB6"/>
    <w:rsid w:val="009C2805"/>
    <w:rsid w:val="009C2E04"/>
    <w:rsid w:val="009C2FAA"/>
    <w:rsid w:val="009C322C"/>
    <w:rsid w:val="009C37BC"/>
    <w:rsid w:val="009C38D0"/>
    <w:rsid w:val="009C3A57"/>
    <w:rsid w:val="009C3C4F"/>
    <w:rsid w:val="009C4589"/>
    <w:rsid w:val="009C48A0"/>
    <w:rsid w:val="009C48A9"/>
    <w:rsid w:val="009C49B2"/>
    <w:rsid w:val="009C544B"/>
    <w:rsid w:val="009C5450"/>
    <w:rsid w:val="009C58B0"/>
    <w:rsid w:val="009C5F25"/>
    <w:rsid w:val="009C6148"/>
    <w:rsid w:val="009C617E"/>
    <w:rsid w:val="009C6B48"/>
    <w:rsid w:val="009C707E"/>
    <w:rsid w:val="009C7192"/>
    <w:rsid w:val="009D0793"/>
    <w:rsid w:val="009D0BC0"/>
    <w:rsid w:val="009D13B5"/>
    <w:rsid w:val="009D1774"/>
    <w:rsid w:val="009D1777"/>
    <w:rsid w:val="009D1DC9"/>
    <w:rsid w:val="009D1EFC"/>
    <w:rsid w:val="009D1FDC"/>
    <w:rsid w:val="009D2142"/>
    <w:rsid w:val="009D2728"/>
    <w:rsid w:val="009D2A11"/>
    <w:rsid w:val="009D2ABE"/>
    <w:rsid w:val="009D2DF9"/>
    <w:rsid w:val="009D301E"/>
    <w:rsid w:val="009D33A0"/>
    <w:rsid w:val="009D345A"/>
    <w:rsid w:val="009D387E"/>
    <w:rsid w:val="009D3A2E"/>
    <w:rsid w:val="009D3AE7"/>
    <w:rsid w:val="009D44F1"/>
    <w:rsid w:val="009D521A"/>
    <w:rsid w:val="009D5667"/>
    <w:rsid w:val="009D5757"/>
    <w:rsid w:val="009D57E5"/>
    <w:rsid w:val="009D5948"/>
    <w:rsid w:val="009D5ECA"/>
    <w:rsid w:val="009D662E"/>
    <w:rsid w:val="009D678E"/>
    <w:rsid w:val="009D6C7F"/>
    <w:rsid w:val="009D7795"/>
    <w:rsid w:val="009E00DC"/>
    <w:rsid w:val="009E08CD"/>
    <w:rsid w:val="009E1269"/>
    <w:rsid w:val="009E1758"/>
    <w:rsid w:val="009E18EA"/>
    <w:rsid w:val="009E2302"/>
    <w:rsid w:val="009E2BCC"/>
    <w:rsid w:val="009E2C90"/>
    <w:rsid w:val="009E3D4A"/>
    <w:rsid w:val="009E3F82"/>
    <w:rsid w:val="009E4009"/>
    <w:rsid w:val="009E4395"/>
    <w:rsid w:val="009E4668"/>
    <w:rsid w:val="009E563E"/>
    <w:rsid w:val="009E5782"/>
    <w:rsid w:val="009E63AB"/>
    <w:rsid w:val="009E6AD1"/>
    <w:rsid w:val="009E72B3"/>
    <w:rsid w:val="009E7994"/>
    <w:rsid w:val="009E7DFA"/>
    <w:rsid w:val="009F082E"/>
    <w:rsid w:val="009F0AA1"/>
    <w:rsid w:val="009F0B02"/>
    <w:rsid w:val="009F0FC7"/>
    <w:rsid w:val="009F1432"/>
    <w:rsid w:val="009F144B"/>
    <w:rsid w:val="009F19E0"/>
    <w:rsid w:val="009F1B03"/>
    <w:rsid w:val="009F24CB"/>
    <w:rsid w:val="009F26B1"/>
    <w:rsid w:val="009F2A2D"/>
    <w:rsid w:val="009F30BF"/>
    <w:rsid w:val="009F33BD"/>
    <w:rsid w:val="009F3841"/>
    <w:rsid w:val="009F3B1B"/>
    <w:rsid w:val="009F3F74"/>
    <w:rsid w:val="009F403C"/>
    <w:rsid w:val="009F40E9"/>
    <w:rsid w:val="009F48BF"/>
    <w:rsid w:val="009F4A1A"/>
    <w:rsid w:val="009F4E57"/>
    <w:rsid w:val="009F5051"/>
    <w:rsid w:val="009F627B"/>
    <w:rsid w:val="009F6476"/>
    <w:rsid w:val="009F6D60"/>
    <w:rsid w:val="009F6F04"/>
    <w:rsid w:val="009F7019"/>
    <w:rsid w:val="009F7437"/>
    <w:rsid w:val="009F798B"/>
    <w:rsid w:val="009F7B43"/>
    <w:rsid w:val="009F7CDD"/>
    <w:rsid w:val="00A001D6"/>
    <w:rsid w:val="00A00E4D"/>
    <w:rsid w:val="00A00E56"/>
    <w:rsid w:val="00A010F2"/>
    <w:rsid w:val="00A011E4"/>
    <w:rsid w:val="00A01A0B"/>
    <w:rsid w:val="00A01BEC"/>
    <w:rsid w:val="00A01D89"/>
    <w:rsid w:val="00A01EA9"/>
    <w:rsid w:val="00A03D93"/>
    <w:rsid w:val="00A03EF2"/>
    <w:rsid w:val="00A045AC"/>
    <w:rsid w:val="00A0487D"/>
    <w:rsid w:val="00A05BDE"/>
    <w:rsid w:val="00A0692A"/>
    <w:rsid w:val="00A06E92"/>
    <w:rsid w:val="00A07049"/>
    <w:rsid w:val="00A073DB"/>
    <w:rsid w:val="00A07835"/>
    <w:rsid w:val="00A07962"/>
    <w:rsid w:val="00A07CD2"/>
    <w:rsid w:val="00A109BC"/>
    <w:rsid w:val="00A11EFD"/>
    <w:rsid w:val="00A12AB0"/>
    <w:rsid w:val="00A12ACA"/>
    <w:rsid w:val="00A1307D"/>
    <w:rsid w:val="00A132A4"/>
    <w:rsid w:val="00A13474"/>
    <w:rsid w:val="00A13D93"/>
    <w:rsid w:val="00A14DFB"/>
    <w:rsid w:val="00A160D5"/>
    <w:rsid w:val="00A1675E"/>
    <w:rsid w:val="00A16FA5"/>
    <w:rsid w:val="00A16FEE"/>
    <w:rsid w:val="00A17290"/>
    <w:rsid w:val="00A20043"/>
    <w:rsid w:val="00A20A25"/>
    <w:rsid w:val="00A20D29"/>
    <w:rsid w:val="00A211F1"/>
    <w:rsid w:val="00A2129F"/>
    <w:rsid w:val="00A21EB4"/>
    <w:rsid w:val="00A23453"/>
    <w:rsid w:val="00A23F78"/>
    <w:rsid w:val="00A242E6"/>
    <w:rsid w:val="00A24760"/>
    <w:rsid w:val="00A24FAE"/>
    <w:rsid w:val="00A2520F"/>
    <w:rsid w:val="00A25F0C"/>
    <w:rsid w:val="00A26CAD"/>
    <w:rsid w:val="00A27121"/>
    <w:rsid w:val="00A2795B"/>
    <w:rsid w:val="00A30F77"/>
    <w:rsid w:val="00A314D1"/>
    <w:rsid w:val="00A31807"/>
    <w:rsid w:val="00A31BA3"/>
    <w:rsid w:val="00A31FF8"/>
    <w:rsid w:val="00A32B4F"/>
    <w:rsid w:val="00A32D35"/>
    <w:rsid w:val="00A32DBF"/>
    <w:rsid w:val="00A32F62"/>
    <w:rsid w:val="00A33ADA"/>
    <w:rsid w:val="00A33E76"/>
    <w:rsid w:val="00A33FE1"/>
    <w:rsid w:val="00A342AF"/>
    <w:rsid w:val="00A34589"/>
    <w:rsid w:val="00A345B8"/>
    <w:rsid w:val="00A3480A"/>
    <w:rsid w:val="00A34E94"/>
    <w:rsid w:val="00A352B4"/>
    <w:rsid w:val="00A35C5E"/>
    <w:rsid w:val="00A35C90"/>
    <w:rsid w:val="00A36A39"/>
    <w:rsid w:val="00A36F7D"/>
    <w:rsid w:val="00A3741D"/>
    <w:rsid w:val="00A37776"/>
    <w:rsid w:val="00A37C7F"/>
    <w:rsid w:val="00A37E88"/>
    <w:rsid w:val="00A4008A"/>
    <w:rsid w:val="00A402A7"/>
    <w:rsid w:val="00A4080E"/>
    <w:rsid w:val="00A4182E"/>
    <w:rsid w:val="00A41B6E"/>
    <w:rsid w:val="00A41B74"/>
    <w:rsid w:val="00A41E1C"/>
    <w:rsid w:val="00A42913"/>
    <w:rsid w:val="00A435B5"/>
    <w:rsid w:val="00A43EFA"/>
    <w:rsid w:val="00A444BF"/>
    <w:rsid w:val="00A4478E"/>
    <w:rsid w:val="00A448D8"/>
    <w:rsid w:val="00A44AB3"/>
    <w:rsid w:val="00A44AFC"/>
    <w:rsid w:val="00A45221"/>
    <w:rsid w:val="00A45387"/>
    <w:rsid w:val="00A4555D"/>
    <w:rsid w:val="00A467C8"/>
    <w:rsid w:val="00A46806"/>
    <w:rsid w:val="00A46B46"/>
    <w:rsid w:val="00A46E2F"/>
    <w:rsid w:val="00A46E62"/>
    <w:rsid w:val="00A47935"/>
    <w:rsid w:val="00A479A5"/>
    <w:rsid w:val="00A50382"/>
    <w:rsid w:val="00A50431"/>
    <w:rsid w:val="00A50940"/>
    <w:rsid w:val="00A50AD2"/>
    <w:rsid w:val="00A50AD7"/>
    <w:rsid w:val="00A50CFB"/>
    <w:rsid w:val="00A50D78"/>
    <w:rsid w:val="00A50F67"/>
    <w:rsid w:val="00A51A68"/>
    <w:rsid w:val="00A521D5"/>
    <w:rsid w:val="00A527B9"/>
    <w:rsid w:val="00A52E58"/>
    <w:rsid w:val="00A52EDF"/>
    <w:rsid w:val="00A52F28"/>
    <w:rsid w:val="00A52F93"/>
    <w:rsid w:val="00A531C2"/>
    <w:rsid w:val="00A53584"/>
    <w:rsid w:val="00A5371D"/>
    <w:rsid w:val="00A53B58"/>
    <w:rsid w:val="00A53E15"/>
    <w:rsid w:val="00A54669"/>
    <w:rsid w:val="00A54B25"/>
    <w:rsid w:val="00A55F18"/>
    <w:rsid w:val="00A56826"/>
    <w:rsid w:val="00A568D8"/>
    <w:rsid w:val="00A60ABF"/>
    <w:rsid w:val="00A60EF8"/>
    <w:rsid w:val="00A61615"/>
    <w:rsid w:val="00A61759"/>
    <w:rsid w:val="00A61985"/>
    <w:rsid w:val="00A62D3A"/>
    <w:rsid w:val="00A6311D"/>
    <w:rsid w:val="00A634B6"/>
    <w:rsid w:val="00A64495"/>
    <w:rsid w:val="00A6503A"/>
    <w:rsid w:val="00A65467"/>
    <w:rsid w:val="00A65638"/>
    <w:rsid w:val="00A67472"/>
    <w:rsid w:val="00A67592"/>
    <w:rsid w:val="00A67852"/>
    <w:rsid w:val="00A702F0"/>
    <w:rsid w:val="00A70407"/>
    <w:rsid w:val="00A712A4"/>
    <w:rsid w:val="00A714E2"/>
    <w:rsid w:val="00A71910"/>
    <w:rsid w:val="00A71AAD"/>
    <w:rsid w:val="00A72159"/>
    <w:rsid w:val="00A723E3"/>
    <w:rsid w:val="00A7255C"/>
    <w:rsid w:val="00A72C7F"/>
    <w:rsid w:val="00A7309F"/>
    <w:rsid w:val="00A73996"/>
    <w:rsid w:val="00A73BBA"/>
    <w:rsid w:val="00A73E02"/>
    <w:rsid w:val="00A742CB"/>
    <w:rsid w:val="00A74894"/>
    <w:rsid w:val="00A74C1C"/>
    <w:rsid w:val="00A75100"/>
    <w:rsid w:val="00A75918"/>
    <w:rsid w:val="00A765BF"/>
    <w:rsid w:val="00A76608"/>
    <w:rsid w:val="00A76FA5"/>
    <w:rsid w:val="00A774D8"/>
    <w:rsid w:val="00A77D89"/>
    <w:rsid w:val="00A77E26"/>
    <w:rsid w:val="00A77E75"/>
    <w:rsid w:val="00A77F14"/>
    <w:rsid w:val="00A802A6"/>
    <w:rsid w:val="00A803A8"/>
    <w:rsid w:val="00A8133F"/>
    <w:rsid w:val="00A81695"/>
    <w:rsid w:val="00A825FD"/>
    <w:rsid w:val="00A8339B"/>
    <w:rsid w:val="00A83481"/>
    <w:rsid w:val="00A83989"/>
    <w:rsid w:val="00A83AC5"/>
    <w:rsid w:val="00A8404A"/>
    <w:rsid w:val="00A8535D"/>
    <w:rsid w:val="00A85AC1"/>
    <w:rsid w:val="00A86132"/>
    <w:rsid w:val="00A8620D"/>
    <w:rsid w:val="00A867CF"/>
    <w:rsid w:val="00A87301"/>
    <w:rsid w:val="00A87405"/>
    <w:rsid w:val="00A874A2"/>
    <w:rsid w:val="00A87A0F"/>
    <w:rsid w:val="00A87AF0"/>
    <w:rsid w:val="00A87CB6"/>
    <w:rsid w:val="00A87F8A"/>
    <w:rsid w:val="00A90463"/>
    <w:rsid w:val="00A90A29"/>
    <w:rsid w:val="00A90D8E"/>
    <w:rsid w:val="00A90EFD"/>
    <w:rsid w:val="00A913C3"/>
    <w:rsid w:val="00A92A19"/>
    <w:rsid w:val="00A933AC"/>
    <w:rsid w:val="00A93AD7"/>
    <w:rsid w:val="00A93F65"/>
    <w:rsid w:val="00A94C6E"/>
    <w:rsid w:val="00A94F10"/>
    <w:rsid w:val="00A951C9"/>
    <w:rsid w:val="00A951D1"/>
    <w:rsid w:val="00A9531E"/>
    <w:rsid w:val="00A95421"/>
    <w:rsid w:val="00A9576C"/>
    <w:rsid w:val="00A96039"/>
    <w:rsid w:val="00A964C4"/>
    <w:rsid w:val="00A96798"/>
    <w:rsid w:val="00A968CE"/>
    <w:rsid w:val="00A96D9C"/>
    <w:rsid w:val="00A97670"/>
    <w:rsid w:val="00A9769C"/>
    <w:rsid w:val="00A97F1C"/>
    <w:rsid w:val="00AA02A6"/>
    <w:rsid w:val="00AA03AA"/>
    <w:rsid w:val="00AA08E3"/>
    <w:rsid w:val="00AA15A3"/>
    <w:rsid w:val="00AA1707"/>
    <w:rsid w:val="00AA214D"/>
    <w:rsid w:val="00AA2787"/>
    <w:rsid w:val="00AA2A61"/>
    <w:rsid w:val="00AA2E23"/>
    <w:rsid w:val="00AA3921"/>
    <w:rsid w:val="00AA40AD"/>
    <w:rsid w:val="00AA4957"/>
    <w:rsid w:val="00AA55FA"/>
    <w:rsid w:val="00AA6592"/>
    <w:rsid w:val="00AA6BE8"/>
    <w:rsid w:val="00AA781D"/>
    <w:rsid w:val="00AA7D60"/>
    <w:rsid w:val="00AB0487"/>
    <w:rsid w:val="00AB05CF"/>
    <w:rsid w:val="00AB0BA2"/>
    <w:rsid w:val="00AB0EA1"/>
    <w:rsid w:val="00AB1408"/>
    <w:rsid w:val="00AB1A01"/>
    <w:rsid w:val="00AB2002"/>
    <w:rsid w:val="00AB24AF"/>
    <w:rsid w:val="00AB3015"/>
    <w:rsid w:val="00AB363C"/>
    <w:rsid w:val="00AB3977"/>
    <w:rsid w:val="00AB4885"/>
    <w:rsid w:val="00AB4899"/>
    <w:rsid w:val="00AB540F"/>
    <w:rsid w:val="00AB56D7"/>
    <w:rsid w:val="00AB5964"/>
    <w:rsid w:val="00AB5DA9"/>
    <w:rsid w:val="00AB5E7F"/>
    <w:rsid w:val="00AB66EB"/>
    <w:rsid w:val="00AB6AE5"/>
    <w:rsid w:val="00AB6B99"/>
    <w:rsid w:val="00AB6E0D"/>
    <w:rsid w:val="00AB7008"/>
    <w:rsid w:val="00AC02C9"/>
    <w:rsid w:val="00AC09FC"/>
    <w:rsid w:val="00AC0CB1"/>
    <w:rsid w:val="00AC12C3"/>
    <w:rsid w:val="00AC16CC"/>
    <w:rsid w:val="00AC1C59"/>
    <w:rsid w:val="00AC1FFA"/>
    <w:rsid w:val="00AC21CB"/>
    <w:rsid w:val="00AC232B"/>
    <w:rsid w:val="00AC2982"/>
    <w:rsid w:val="00AC3021"/>
    <w:rsid w:val="00AC3666"/>
    <w:rsid w:val="00AC3BE6"/>
    <w:rsid w:val="00AC3BF5"/>
    <w:rsid w:val="00AC4A65"/>
    <w:rsid w:val="00AC5505"/>
    <w:rsid w:val="00AC5F14"/>
    <w:rsid w:val="00AC62C3"/>
    <w:rsid w:val="00AC708B"/>
    <w:rsid w:val="00AC7183"/>
    <w:rsid w:val="00AC772B"/>
    <w:rsid w:val="00AC7EEC"/>
    <w:rsid w:val="00AD0440"/>
    <w:rsid w:val="00AD0C35"/>
    <w:rsid w:val="00AD1354"/>
    <w:rsid w:val="00AD13CD"/>
    <w:rsid w:val="00AD1B5D"/>
    <w:rsid w:val="00AD1B8E"/>
    <w:rsid w:val="00AD225E"/>
    <w:rsid w:val="00AD230F"/>
    <w:rsid w:val="00AD28CB"/>
    <w:rsid w:val="00AD2A17"/>
    <w:rsid w:val="00AD2B29"/>
    <w:rsid w:val="00AD2BAC"/>
    <w:rsid w:val="00AD3993"/>
    <w:rsid w:val="00AD3F0E"/>
    <w:rsid w:val="00AD45F0"/>
    <w:rsid w:val="00AD4750"/>
    <w:rsid w:val="00AD4D15"/>
    <w:rsid w:val="00AD5032"/>
    <w:rsid w:val="00AD5057"/>
    <w:rsid w:val="00AD532A"/>
    <w:rsid w:val="00AD5440"/>
    <w:rsid w:val="00AD584D"/>
    <w:rsid w:val="00AD595D"/>
    <w:rsid w:val="00AD5EDE"/>
    <w:rsid w:val="00AD6BDA"/>
    <w:rsid w:val="00AD7154"/>
    <w:rsid w:val="00AD7275"/>
    <w:rsid w:val="00AD760F"/>
    <w:rsid w:val="00AE08FE"/>
    <w:rsid w:val="00AE0A8B"/>
    <w:rsid w:val="00AE1398"/>
    <w:rsid w:val="00AE166F"/>
    <w:rsid w:val="00AE1BE8"/>
    <w:rsid w:val="00AE1E27"/>
    <w:rsid w:val="00AE2364"/>
    <w:rsid w:val="00AE285B"/>
    <w:rsid w:val="00AE2DD4"/>
    <w:rsid w:val="00AE2EEF"/>
    <w:rsid w:val="00AE313C"/>
    <w:rsid w:val="00AE31AE"/>
    <w:rsid w:val="00AE3561"/>
    <w:rsid w:val="00AE3AB3"/>
    <w:rsid w:val="00AE3D81"/>
    <w:rsid w:val="00AE408B"/>
    <w:rsid w:val="00AE4B51"/>
    <w:rsid w:val="00AE4B79"/>
    <w:rsid w:val="00AE519B"/>
    <w:rsid w:val="00AE5950"/>
    <w:rsid w:val="00AE5FFA"/>
    <w:rsid w:val="00AE6801"/>
    <w:rsid w:val="00AE68B2"/>
    <w:rsid w:val="00AE703E"/>
    <w:rsid w:val="00AE7231"/>
    <w:rsid w:val="00AE7449"/>
    <w:rsid w:val="00AE7CFB"/>
    <w:rsid w:val="00AE7ED7"/>
    <w:rsid w:val="00AF0071"/>
    <w:rsid w:val="00AF03FA"/>
    <w:rsid w:val="00AF1129"/>
    <w:rsid w:val="00AF13BC"/>
    <w:rsid w:val="00AF1403"/>
    <w:rsid w:val="00AF1C9A"/>
    <w:rsid w:val="00AF1F7E"/>
    <w:rsid w:val="00AF20A5"/>
    <w:rsid w:val="00AF231D"/>
    <w:rsid w:val="00AF2669"/>
    <w:rsid w:val="00AF2AA2"/>
    <w:rsid w:val="00AF2B51"/>
    <w:rsid w:val="00AF3455"/>
    <w:rsid w:val="00AF36E0"/>
    <w:rsid w:val="00AF3D2D"/>
    <w:rsid w:val="00AF3EE7"/>
    <w:rsid w:val="00AF410D"/>
    <w:rsid w:val="00AF4290"/>
    <w:rsid w:val="00AF480E"/>
    <w:rsid w:val="00AF4F3A"/>
    <w:rsid w:val="00AF50D4"/>
    <w:rsid w:val="00AF515A"/>
    <w:rsid w:val="00AF5987"/>
    <w:rsid w:val="00AF59B1"/>
    <w:rsid w:val="00AF5A8D"/>
    <w:rsid w:val="00AF6180"/>
    <w:rsid w:val="00AF6186"/>
    <w:rsid w:val="00AF6190"/>
    <w:rsid w:val="00AF6A96"/>
    <w:rsid w:val="00AF6FAA"/>
    <w:rsid w:val="00AF7F55"/>
    <w:rsid w:val="00B00543"/>
    <w:rsid w:val="00B00FE0"/>
    <w:rsid w:val="00B014FC"/>
    <w:rsid w:val="00B0193A"/>
    <w:rsid w:val="00B01A41"/>
    <w:rsid w:val="00B0292A"/>
    <w:rsid w:val="00B02A2E"/>
    <w:rsid w:val="00B0402B"/>
    <w:rsid w:val="00B04131"/>
    <w:rsid w:val="00B04D1C"/>
    <w:rsid w:val="00B04FB1"/>
    <w:rsid w:val="00B055C4"/>
    <w:rsid w:val="00B0576C"/>
    <w:rsid w:val="00B06036"/>
    <w:rsid w:val="00B061F0"/>
    <w:rsid w:val="00B07038"/>
    <w:rsid w:val="00B07334"/>
    <w:rsid w:val="00B07964"/>
    <w:rsid w:val="00B079F1"/>
    <w:rsid w:val="00B07E3A"/>
    <w:rsid w:val="00B10743"/>
    <w:rsid w:val="00B1099B"/>
    <w:rsid w:val="00B12349"/>
    <w:rsid w:val="00B124FB"/>
    <w:rsid w:val="00B12E96"/>
    <w:rsid w:val="00B13163"/>
    <w:rsid w:val="00B13239"/>
    <w:rsid w:val="00B1323F"/>
    <w:rsid w:val="00B143BE"/>
    <w:rsid w:val="00B14496"/>
    <w:rsid w:val="00B14E5B"/>
    <w:rsid w:val="00B151EF"/>
    <w:rsid w:val="00B1565E"/>
    <w:rsid w:val="00B158E5"/>
    <w:rsid w:val="00B160DA"/>
    <w:rsid w:val="00B160FB"/>
    <w:rsid w:val="00B1646D"/>
    <w:rsid w:val="00B164A8"/>
    <w:rsid w:val="00B16D13"/>
    <w:rsid w:val="00B204F2"/>
    <w:rsid w:val="00B20C95"/>
    <w:rsid w:val="00B20D24"/>
    <w:rsid w:val="00B2112E"/>
    <w:rsid w:val="00B21263"/>
    <w:rsid w:val="00B21346"/>
    <w:rsid w:val="00B216C9"/>
    <w:rsid w:val="00B218D1"/>
    <w:rsid w:val="00B21A4F"/>
    <w:rsid w:val="00B21C4A"/>
    <w:rsid w:val="00B22A24"/>
    <w:rsid w:val="00B235A8"/>
    <w:rsid w:val="00B2400F"/>
    <w:rsid w:val="00B24480"/>
    <w:rsid w:val="00B2485E"/>
    <w:rsid w:val="00B2588C"/>
    <w:rsid w:val="00B26A5E"/>
    <w:rsid w:val="00B26F0E"/>
    <w:rsid w:val="00B27090"/>
    <w:rsid w:val="00B27245"/>
    <w:rsid w:val="00B27C24"/>
    <w:rsid w:val="00B27EDC"/>
    <w:rsid w:val="00B3005D"/>
    <w:rsid w:val="00B30BBD"/>
    <w:rsid w:val="00B30C98"/>
    <w:rsid w:val="00B30C99"/>
    <w:rsid w:val="00B30F8C"/>
    <w:rsid w:val="00B310D0"/>
    <w:rsid w:val="00B310FD"/>
    <w:rsid w:val="00B32144"/>
    <w:rsid w:val="00B32866"/>
    <w:rsid w:val="00B3286C"/>
    <w:rsid w:val="00B32958"/>
    <w:rsid w:val="00B330B1"/>
    <w:rsid w:val="00B33276"/>
    <w:rsid w:val="00B33715"/>
    <w:rsid w:val="00B33A95"/>
    <w:rsid w:val="00B33C3B"/>
    <w:rsid w:val="00B345C8"/>
    <w:rsid w:val="00B34747"/>
    <w:rsid w:val="00B348BB"/>
    <w:rsid w:val="00B34CDB"/>
    <w:rsid w:val="00B35659"/>
    <w:rsid w:val="00B369F0"/>
    <w:rsid w:val="00B36D82"/>
    <w:rsid w:val="00B36F3D"/>
    <w:rsid w:val="00B36FC4"/>
    <w:rsid w:val="00B37867"/>
    <w:rsid w:val="00B37A45"/>
    <w:rsid w:val="00B37A94"/>
    <w:rsid w:val="00B37B3E"/>
    <w:rsid w:val="00B37B9E"/>
    <w:rsid w:val="00B40255"/>
    <w:rsid w:val="00B403D1"/>
    <w:rsid w:val="00B410FA"/>
    <w:rsid w:val="00B41495"/>
    <w:rsid w:val="00B41756"/>
    <w:rsid w:val="00B417AC"/>
    <w:rsid w:val="00B4194F"/>
    <w:rsid w:val="00B41D63"/>
    <w:rsid w:val="00B42305"/>
    <w:rsid w:val="00B42DBD"/>
    <w:rsid w:val="00B42FC1"/>
    <w:rsid w:val="00B4391E"/>
    <w:rsid w:val="00B44039"/>
    <w:rsid w:val="00B4437F"/>
    <w:rsid w:val="00B44521"/>
    <w:rsid w:val="00B449F3"/>
    <w:rsid w:val="00B44ABA"/>
    <w:rsid w:val="00B44C9A"/>
    <w:rsid w:val="00B455F1"/>
    <w:rsid w:val="00B45767"/>
    <w:rsid w:val="00B45D66"/>
    <w:rsid w:val="00B466C6"/>
    <w:rsid w:val="00B4697B"/>
    <w:rsid w:val="00B47074"/>
    <w:rsid w:val="00B47211"/>
    <w:rsid w:val="00B4735D"/>
    <w:rsid w:val="00B477FD"/>
    <w:rsid w:val="00B47ACD"/>
    <w:rsid w:val="00B50022"/>
    <w:rsid w:val="00B5061F"/>
    <w:rsid w:val="00B506A4"/>
    <w:rsid w:val="00B5074F"/>
    <w:rsid w:val="00B50BC3"/>
    <w:rsid w:val="00B50CEF"/>
    <w:rsid w:val="00B5117F"/>
    <w:rsid w:val="00B51200"/>
    <w:rsid w:val="00B517FE"/>
    <w:rsid w:val="00B51ED7"/>
    <w:rsid w:val="00B53ECC"/>
    <w:rsid w:val="00B53FCF"/>
    <w:rsid w:val="00B54B60"/>
    <w:rsid w:val="00B55327"/>
    <w:rsid w:val="00B55331"/>
    <w:rsid w:val="00B55443"/>
    <w:rsid w:val="00B5550E"/>
    <w:rsid w:val="00B5599C"/>
    <w:rsid w:val="00B55B15"/>
    <w:rsid w:val="00B56609"/>
    <w:rsid w:val="00B568E9"/>
    <w:rsid w:val="00B60823"/>
    <w:rsid w:val="00B608F1"/>
    <w:rsid w:val="00B60D37"/>
    <w:rsid w:val="00B60E3A"/>
    <w:rsid w:val="00B60FFD"/>
    <w:rsid w:val="00B6120A"/>
    <w:rsid w:val="00B62232"/>
    <w:rsid w:val="00B62500"/>
    <w:rsid w:val="00B6287A"/>
    <w:rsid w:val="00B62C5A"/>
    <w:rsid w:val="00B62DA6"/>
    <w:rsid w:val="00B64DA4"/>
    <w:rsid w:val="00B64E3B"/>
    <w:rsid w:val="00B65082"/>
    <w:rsid w:val="00B65B79"/>
    <w:rsid w:val="00B66173"/>
    <w:rsid w:val="00B661B9"/>
    <w:rsid w:val="00B66931"/>
    <w:rsid w:val="00B6741B"/>
    <w:rsid w:val="00B67620"/>
    <w:rsid w:val="00B679B2"/>
    <w:rsid w:val="00B704C5"/>
    <w:rsid w:val="00B70680"/>
    <w:rsid w:val="00B70E49"/>
    <w:rsid w:val="00B712EE"/>
    <w:rsid w:val="00B71411"/>
    <w:rsid w:val="00B714E4"/>
    <w:rsid w:val="00B71AF8"/>
    <w:rsid w:val="00B71D19"/>
    <w:rsid w:val="00B71E1A"/>
    <w:rsid w:val="00B71EEA"/>
    <w:rsid w:val="00B73590"/>
    <w:rsid w:val="00B735FF"/>
    <w:rsid w:val="00B73A6E"/>
    <w:rsid w:val="00B73F43"/>
    <w:rsid w:val="00B74077"/>
    <w:rsid w:val="00B7457B"/>
    <w:rsid w:val="00B75054"/>
    <w:rsid w:val="00B752DD"/>
    <w:rsid w:val="00B7541B"/>
    <w:rsid w:val="00B75A46"/>
    <w:rsid w:val="00B75A62"/>
    <w:rsid w:val="00B769A0"/>
    <w:rsid w:val="00B76A88"/>
    <w:rsid w:val="00B770EA"/>
    <w:rsid w:val="00B771E7"/>
    <w:rsid w:val="00B777F4"/>
    <w:rsid w:val="00B778E1"/>
    <w:rsid w:val="00B77BEF"/>
    <w:rsid w:val="00B80029"/>
    <w:rsid w:val="00B8011C"/>
    <w:rsid w:val="00B80297"/>
    <w:rsid w:val="00B80489"/>
    <w:rsid w:val="00B80E4B"/>
    <w:rsid w:val="00B812E9"/>
    <w:rsid w:val="00B815EE"/>
    <w:rsid w:val="00B81D46"/>
    <w:rsid w:val="00B81E1B"/>
    <w:rsid w:val="00B825F2"/>
    <w:rsid w:val="00B8316B"/>
    <w:rsid w:val="00B836AB"/>
    <w:rsid w:val="00B837BB"/>
    <w:rsid w:val="00B8386F"/>
    <w:rsid w:val="00B83E70"/>
    <w:rsid w:val="00B84EAE"/>
    <w:rsid w:val="00B84EBE"/>
    <w:rsid w:val="00B84FC6"/>
    <w:rsid w:val="00B85268"/>
    <w:rsid w:val="00B85B1A"/>
    <w:rsid w:val="00B85D6E"/>
    <w:rsid w:val="00B86DD2"/>
    <w:rsid w:val="00B87A3A"/>
    <w:rsid w:val="00B905B6"/>
    <w:rsid w:val="00B91ACB"/>
    <w:rsid w:val="00B91AE2"/>
    <w:rsid w:val="00B91D52"/>
    <w:rsid w:val="00B91EFE"/>
    <w:rsid w:val="00B9228D"/>
    <w:rsid w:val="00B92A64"/>
    <w:rsid w:val="00B93050"/>
    <w:rsid w:val="00B9311D"/>
    <w:rsid w:val="00B933F5"/>
    <w:rsid w:val="00B93A18"/>
    <w:rsid w:val="00B93C85"/>
    <w:rsid w:val="00B942D5"/>
    <w:rsid w:val="00B9430C"/>
    <w:rsid w:val="00B94C5C"/>
    <w:rsid w:val="00B94CF1"/>
    <w:rsid w:val="00B94E7F"/>
    <w:rsid w:val="00B9529B"/>
    <w:rsid w:val="00B95A60"/>
    <w:rsid w:val="00B95E06"/>
    <w:rsid w:val="00B9653D"/>
    <w:rsid w:val="00B9688F"/>
    <w:rsid w:val="00B96A72"/>
    <w:rsid w:val="00B97EBA"/>
    <w:rsid w:val="00BA050F"/>
    <w:rsid w:val="00BA0CC1"/>
    <w:rsid w:val="00BA100A"/>
    <w:rsid w:val="00BA17F8"/>
    <w:rsid w:val="00BA1A27"/>
    <w:rsid w:val="00BA1A36"/>
    <w:rsid w:val="00BA2097"/>
    <w:rsid w:val="00BA29AA"/>
    <w:rsid w:val="00BA2CAB"/>
    <w:rsid w:val="00BA3395"/>
    <w:rsid w:val="00BA3859"/>
    <w:rsid w:val="00BA493D"/>
    <w:rsid w:val="00BA4AF4"/>
    <w:rsid w:val="00BA5332"/>
    <w:rsid w:val="00BA546B"/>
    <w:rsid w:val="00BA5866"/>
    <w:rsid w:val="00BA5D55"/>
    <w:rsid w:val="00BA61B0"/>
    <w:rsid w:val="00BA66E4"/>
    <w:rsid w:val="00BA6928"/>
    <w:rsid w:val="00BA7153"/>
    <w:rsid w:val="00BA74DB"/>
    <w:rsid w:val="00BA79FC"/>
    <w:rsid w:val="00BA7C02"/>
    <w:rsid w:val="00BA7F7F"/>
    <w:rsid w:val="00BB0692"/>
    <w:rsid w:val="00BB1F48"/>
    <w:rsid w:val="00BB2760"/>
    <w:rsid w:val="00BB2787"/>
    <w:rsid w:val="00BB2F5D"/>
    <w:rsid w:val="00BB2FF1"/>
    <w:rsid w:val="00BB3B9D"/>
    <w:rsid w:val="00BB3DBB"/>
    <w:rsid w:val="00BB3F6F"/>
    <w:rsid w:val="00BB3F8F"/>
    <w:rsid w:val="00BB4091"/>
    <w:rsid w:val="00BB4466"/>
    <w:rsid w:val="00BB4796"/>
    <w:rsid w:val="00BB47CC"/>
    <w:rsid w:val="00BB4BAB"/>
    <w:rsid w:val="00BB504B"/>
    <w:rsid w:val="00BB5226"/>
    <w:rsid w:val="00BB5DB1"/>
    <w:rsid w:val="00BB5EEF"/>
    <w:rsid w:val="00BB61E2"/>
    <w:rsid w:val="00BB61FA"/>
    <w:rsid w:val="00BB64CC"/>
    <w:rsid w:val="00BB653C"/>
    <w:rsid w:val="00BB6A7B"/>
    <w:rsid w:val="00BB6AB8"/>
    <w:rsid w:val="00BB6E3C"/>
    <w:rsid w:val="00BB6E86"/>
    <w:rsid w:val="00BB7251"/>
    <w:rsid w:val="00BB7660"/>
    <w:rsid w:val="00BB7977"/>
    <w:rsid w:val="00BB7C1A"/>
    <w:rsid w:val="00BB7D87"/>
    <w:rsid w:val="00BB7E5E"/>
    <w:rsid w:val="00BC055B"/>
    <w:rsid w:val="00BC0C67"/>
    <w:rsid w:val="00BC0EF5"/>
    <w:rsid w:val="00BC0F1B"/>
    <w:rsid w:val="00BC1145"/>
    <w:rsid w:val="00BC11B1"/>
    <w:rsid w:val="00BC15DE"/>
    <w:rsid w:val="00BC1666"/>
    <w:rsid w:val="00BC1891"/>
    <w:rsid w:val="00BC2356"/>
    <w:rsid w:val="00BC2816"/>
    <w:rsid w:val="00BC296A"/>
    <w:rsid w:val="00BC2DC9"/>
    <w:rsid w:val="00BC2F34"/>
    <w:rsid w:val="00BC3309"/>
    <w:rsid w:val="00BC33FC"/>
    <w:rsid w:val="00BC3734"/>
    <w:rsid w:val="00BC3D4F"/>
    <w:rsid w:val="00BC3F9E"/>
    <w:rsid w:val="00BC40EE"/>
    <w:rsid w:val="00BC4ACC"/>
    <w:rsid w:val="00BC5CB1"/>
    <w:rsid w:val="00BC62ED"/>
    <w:rsid w:val="00BC639B"/>
    <w:rsid w:val="00BC6995"/>
    <w:rsid w:val="00BC70A1"/>
    <w:rsid w:val="00BC70D4"/>
    <w:rsid w:val="00BC7183"/>
    <w:rsid w:val="00BC72C4"/>
    <w:rsid w:val="00BC7401"/>
    <w:rsid w:val="00BC7470"/>
    <w:rsid w:val="00BC798B"/>
    <w:rsid w:val="00BC7D4B"/>
    <w:rsid w:val="00BD05DE"/>
    <w:rsid w:val="00BD065F"/>
    <w:rsid w:val="00BD08F2"/>
    <w:rsid w:val="00BD0CD2"/>
    <w:rsid w:val="00BD17CF"/>
    <w:rsid w:val="00BD20DF"/>
    <w:rsid w:val="00BD21A8"/>
    <w:rsid w:val="00BD23DD"/>
    <w:rsid w:val="00BD2579"/>
    <w:rsid w:val="00BD3008"/>
    <w:rsid w:val="00BD3621"/>
    <w:rsid w:val="00BD36BE"/>
    <w:rsid w:val="00BD39BB"/>
    <w:rsid w:val="00BD3C84"/>
    <w:rsid w:val="00BD3F14"/>
    <w:rsid w:val="00BD4615"/>
    <w:rsid w:val="00BD5A85"/>
    <w:rsid w:val="00BD5D1E"/>
    <w:rsid w:val="00BD5FE2"/>
    <w:rsid w:val="00BD6381"/>
    <w:rsid w:val="00BD6DCA"/>
    <w:rsid w:val="00BD78BA"/>
    <w:rsid w:val="00BD7DC9"/>
    <w:rsid w:val="00BE01FA"/>
    <w:rsid w:val="00BE07AA"/>
    <w:rsid w:val="00BE0FC1"/>
    <w:rsid w:val="00BE1816"/>
    <w:rsid w:val="00BE1EF8"/>
    <w:rsid w:val="00BE221C"/>
    <w:rsid w:val="00BE22A4"/>
    <w:rsid w:val="00BE23C3"/>
    <w:rsid w:val="00BE2708"/>
    <w:rsid w:val="00BE2A56"/>
    <w:rsid w:val="00BE32D2"/>
    <w:rsid w:val="00BE3BB2"/>
    <w:rsid w:val="00BE4186"/>
    <w:rsid w:val="00BE43F0"/>
    <w:rsid w:val="00BE464E"/>
    <w:rsid w:val="00BE4A77"/>
    <w:rsid w:val="00BE4B45"/>
    <w:rsid w:val="00BE4C43"/>
    <w:rsid w:val="00BE4FF6"/>
    <w:rsid w:val="00BE507C"/>
    <w:rsid w:val="00BE550B"/>
    <w:rsid w:val="00BE5C85"/>
    <w:rsid w:val="00BE7B77"/>
    <w:rsid w:val="00BE7B80"/>
    <w:rsid w:val="00BE7E6C"/>
    <w:rsid w:val="00BF0A5C"/>
    <w:rsid w:val="00BF0DE1"/>
    <w:rsid w:val="00BF209A"/>
    <w:rsid w:val="00BF2680"/>
    <w:rsid w:val="00BF300D"/>
    <w:rsid w:val="00BF4042"/>
    <w:rsid w:val="00BF49B6"/>
    <w:rsid w:val="00BF49FE"/>
    <w:rsid w:val="00BF4D08"/>
    <w:rsid w:val="00BF5F39"/>
    <w:rsid w:val="00BF75BD"/>
    <w:rsid w:val="00C0038E"/>
    <w:rsid w:val="00C00E88"/>
    <w:rsid w:val="00C01419"/>
    <w:rsid w:val="00C01B79"/>
    <w:rsid w:val="00C01F57"/>
    <w:rsid w:val="00C022C0"/>
    <w:rsid w:val="00C0239C"/>
    <w:rsid w:val="00C02E17"/>
    <w:rsid w:val="00C02E3A"/>
    <w:rsid w:val="00C037EF"/>
    <w:rsid w:val="00C03915"/>
    <w:rsid w:val="00C03C48"/>
    <w:rsid w:val="00C03D85"/>
    <w:rsid w:val="00C046B4"/>
    <w:rsid w:val="00C04A4C"/>
    <w:rsid w:val="00C04B46"/>
    <w:rsid w:val="00C04BA7"/>
    <w:rsid w:val="00C04D75"/>
    <w:rsid w:val="00C04FA1"/>
    <w:rsid w:val="00C057B6"/>
    <w:rsid w:val="00C05B14"/>
    <w:rsid w:val="00C06015"/>
    <w:rsid w:val="00C06ED8"/>
    <w:rsid w:val="00C074A9"/>
    <w:rsid w:val="00C076C4"/>
    <w:rsid w:val="00C07EFB"/>
    <w:rsid w:val="00C07F1D"/>
    <w:rsid w:val="00C10290"/>
    <w:rsid w:val="00C10588"/>
    <w:rsid w:val="00C10BE0"/>
    <w:rsid w:val="00C10F70"/>
    <w:rsid w:val="00C10FD0"/>
    <w:rsid w:val="00C11911"/>
    <w:rsid w:val="00C11F70"/>
    <w:rsid w:val="00C1334F"/>
    <w:rsid w:val="00C139E1"/>
    <w:rsid w:val="00C13A00"/>
    <w:rsid w:val="00C13FF5"/>
    <w:rsid w:val="00C14359"/>
    <w:rsid w:val="00C14555"/>
    <w:rsid w:val="00C14C2E"/>
    <w:rsid w:val="00C14C65"/>
    <w:rsid w:val="00C14DCB"/>
    <w:rsid w:val="00C15111"/>
    <w:rsid w:val="00C15AB9"/>
    <w:rsid w:val="00C15C3A"/>
    <w:rsid w:val="00C15D6F"/>
    <w:rsid w:val="00C163C1"/>
    <w:rsid w:val="00C16BB9"/>
    <w:rsid w:val="00C170A3"/>
    <w:rsid w:val="00C1715D"/>
    <w:rsid w:val="00C1728B"/>
    <w:rsid w:val="00C17316"/>
    <w:rsid w:val="00C1765B"/>
    <w:rsid w:val="00C20374"/>
    <w:rsid w:val="00C20460"/>
    <w:rsid w:val="00C212C8"/>
    <w:rsid w:val="00C21990"/>
    <w:rsid w:val="00C21C75"/>
    <w:rsid w:val="00C220B0"/>
    <w:rsid w:val="00C22291"/>
    <w:rsid w:val="00C224B3"/>
    <w:rsid w:val="00C22F70"/>
    <w:rsid w:val="00C23199"/>
    <w:rsid w:val="00C23AAF"/>
    <w:rsid w:val="00C23F42"/>
    <w:rsid w:val="00C241F3"/>
    <w:rsid w:val="00C24820"/>
    <w:rsid w:val="00C248BE"/>
    <w:rsid w:val="00C24ED3"/>
    <w:rsid w:val="00C24F1F"/>
    <w:rsid w:val="00C25157"/>
    <w:rsid w:val="00C25794"/>
    <w:rsid w:val="00C25B0E"/>
    <w:rsid w:val="00C25DB1"/>
    <w:rsid w:val="00C262E6"/>
    <w:rsid w:val="00C2651B"/>
    <w:rsid w:val="00C2675C"/>
    <w:rsid w:val="00C26E5E"/>
    <w:rsid w:val="00C26FDD"/>
    <w:rsid w:val="00C27199"/>
    <w:rsid w:val="00C27C1A"/>
    <w:rsid w:val="00C3014C"/>
    <w:rsid w:val="00C3145D"/>
    <w:rsid w:val="00C317F4"/>
    <w:rsid w:val="00C32EC5"/>
    <w:rsid w:val="00C3359F"/>
    <w:rsid w:val="00C339F5"/>
    <w:rsid w:val="00C34343"/>
    <w:rsid w:val="00C347D7"/>
    <w:rsid w:val="00C35790"/>
    <w:rsid w:val="00C35D81"/>
    <w:rsid w:val="00C35E36"/>
    <w:rsid w:val="00C35FA3"/>
    <w:rsid w:val="00C368E1"/>
    <w:rsid w:val="00C36B00"/>
    <w:rsid w:val="00C375E8"/>
    <w:rsid w:val="00C37BEC"/>
    <w:rsid w:val="00C403D0"/>
    <w:rsid w:val="00C40453"/>
    <w:rsid w:val="00C40B09"/>
    <w:rsid w:val="00C40C55"/>
    <w:rsid w:val="00C40E33"/>
    <w:rsid w:val="00C41187"/>
    <w:rsid w:val="00C428C7"/>
    <w:rsid w:val="00C42A1B"/>
    <w:rsid w:val="00C42DDF"/>
    <w:rsid w:val="00C4315E"/>
    <w:rsid w:val="00C4330B"/>
    <w:rsid w:val="00C43BE6"/>
    <w:rsid w:val="00C43F4E"/>
    <w:rsid w:val="00C440FB"/>
    <w:rsid w:val="00C44137"/>
    <w:rsid w:val="00C449A8"/>
    <w:rsid w:val="00C44F01"/>
    <w:rsid w:val="00C451E0"/>
    <w:rsid w:val="00C453BC"/>
    <w:rsid w:val="00C466B4"/>
    <w:rsid w:val="00C46770"/>
    <w:rsid w:val="00C46D61"/>
    <w:rsid w:val="00C470F7"/>
    <w:rsid w:val="00C47341"/>
    <w:rsid w:val="00C47650"/>
    <w:rsid w:val="00C477F2"/>
    <w:rsid w:val="00C478D4"/>
    <w:rsid w:val="00C50388"/>
    <w:rsid w:val="00C506AE"/>
    <w:rsid w:val="00C51585"/>
    <w:rsid w:val="00C515B9"/>
    <w:rsid w:val="00C518DA"/>
    <w:rsid w:val="00C51FCD"/>
    <w:rsid w:val="00C52626"/>
    <w:rsid w:val="00C52D69"/>
    <w:rsid w:val="00C52E4D"/>
    <w:rsid w:val="00C52E80"/>
    <w:rsid w:val="00C52F2D"/>
    <w:rsid w:val="00C5447A"/>
    <w:rsid w:val="00C54C98"/>
    <w:rsid w:val="00C54DA1"/>
    <w:rsid w:val="00C554E9"/>
    <w:rsid w:val="00C5563B"/>
    <w:rsid w:val="00C55A44"/>
    <w:rsid w:val="00C55BD0"/>
    <w:rsid w:val="00C55E40"/>
    <w:rsid w:val="00C56C98"/>
    <w:rsid w:val="00C56F89"/>
    <w:rsid w:val="00C5711C"/>
    <w:rsid w:val="00C60727"/>
    <w:rsid w:val="00C60C0B"/>
    <w:rsid w:val="00C60D4A"/>
    <w:rsid w:val="00C610BC"/>
    <w:rsid w:val="00C61885"/>
    <w:rsid w:val="00C62195"/>
    <w:rsid w:val="00C623D2"/>
    <w:rsid w:val="00C62C0B"/>
    <w:rsid w:val="00C62EA9"/>
    <w:rsid w:val="00C62F84"/>
    <w:rsid w:val="00C631FC"/>
    <w:rsid w:val="00C6327F"/>
    <w:rsid w:val="00C63590"/>
    <w:rsid w:val="00C637E3"/>
    <w:rsid w:val="00C6390A"/>
    <w:rsid w:val="00C63B6C"/>
    <w:rsid w:val="00C64140"/>
    <w:rsid w:val="00C648D4"/>
    <w:rsid w:val="00C6497A"/>
    <w:rsid w:val="00C64985"/>
    <w:rsid w:val="00C64A03"/>
    <w:rsid w:val="00C656D9"/>
    <w:rsid w:val="00C6623A"/>
    <w:rsid w:val="00C664AA"/>
    <w:rsid w:val="00C66FD4"/>
    <w:rsid w:val="00C6751A"/>
    <w:rsid w:val="00C6773A"/>
    <w:rsid w:val="00C679A0"/>
    <w:rsid w:val="00C70083"/>
    <w:rsid w:val="00C7027E"/>
    <w:rsid w:val="00C7041E"/>
    <w:rsid w:val="00C70574"/>
    <w:rsid w:val="00C713AF"/>
    <w:rsid w:val="00C7151F"/>
    <w:rsid w:val="00C715C9"/>
    <w:rsid w:val="00C7196C"/>
    <w:rsid w:val="00C71C42"/>
    <w:rsid w:val="00C71CEA"/>
    <w:rsid w:val="00C71EBA"/>
    <w:rsid w:val="00C72271"/>
    <w:rsid w:val="00C72285"/>
    <w:rsid w:val="00C734E9"/>
    <w:rsid w:val="00C73917"/>
    <w:rsid w:val="00C744C4"/>
    <w:rsid w:val="00C74997"/>
    <w:rsid w:val="00C7512B"/>
    <w:rsid w:val="00C75B4B"/>
    <w:rsid w:val="00C75B6E"/>
    <w:rsid w:val="00C7655E"/>
    <w:rsid w:val="00C76ABA"/>
    <w:rsid w:val="00C77675"/>
    <w:rsid w:val="00C77926"/>
    <w:rsid w:val="00C779CF"/>
    <w:rsid w:val="00C77AC2"/>
    <w:rsid w:val="00C77CC2"/>
    <w:rsid w:val="00C77FC6"/>
    <w:rsid w:val="00C80E7F"/>
    <w:rsid w:val="00C8141C"/>
    <w:rsid w:val="00C82085"/>
    <w:rsid w:val="00C8265E"/>
    <w:rsid w:val="00C82AE4"/>
    <w:rsid w:val="00C82FF4"/>
    <w:rsid w:val="00C830BF"/>
    <w:rsid w:val="00C83F06"/>
    <w:rsid w:val="00C84046"/>
    <w:rsid w:val="00C846EE"/>
    <w:rsid w:val="00C854D0"/>
    <w:rsid w:val="00C85898"/>
    <w:rsid w:val="00C8629F"/>
    <w:rsid w:val="00C8640E"/>
    <w:rsid w:val="00C86DB0"/>
    <w:rsid w:val="00C86FE7"/>
    <w:rsid w:val="00C87156"/>
    <w:rsid w:val="00C87740"/>
    <w:rsid w:val="00C879E3"/>
    <w:rsid w:val="00C90ADB"/>
    <w:rsid w:val="00C912BD"/>
    <w:rsid w:val="00C91875"/>
    <w:rsid w:val="00C9190D"/>
    <w:rsid w:val="00C91B43"/>
    <w:rsid w:val="00C91BA6"/>
    <w:rsid w:val="00C9264B"/>
    <w:rsid w:val="00C9271D"/>
    <w:rsid w:val="00C92755"/>
    <w:rsid w:val="00C92C4D"/>
    <w:rsid w:val="00C934D5"/>
    <w:rsid w:val="00C935AC"/>
    <w:rsid w:val="00C9473F"/>
    <w:rsid w:val="00C947FF"/>
    <w:rsid w:val="00C94FD3"/>
    <w:rsid w:val="00C951E7"/>
    <w:rsid w:val="00C958EA"/>
    <w:rsid w:val="00C963FE"/>
    <w:rsid w:val="00C96542"/>
    <w:rsid w:val="00C96BBA"/>
    <w:rsid w:val="00C972E5"/>
    <w:rsid w:val="00C9775E"/>
    <w:rsid w:val="00C97DB0"/>
    <w:rsid w:val="00C97DD9"/>
    <w:rsid w:val="00C97E80"/>
    <w:rsid w:val="00C97EEF"/>
    <w:rsid w:val="00CA023A"/>
    <w:rsid w:val="00CA027A"/>
    <w:rsid w:val="00CA037F"/>
    <w:rsid w:val="00CA0807"/>
    <w:rsid w:val="00CA0830"/>
    <w:rsid w:val="00CA0A35"/>
    <w:rsid w:val="00CA0E74"/>
    <w:rsid w:val="00CA1A37"/>
    <w:rsid w:val="00CA1C3D"/>
    <w:rsid w:val="00CA1E14"/>
    <w:rsid w:val="00CA282E"/>
    <w:rsid w:val="00CA2BD5"/>
    <w:rsid w:val="00CA2E09"/>
    <w:rsid w:val="00CA2EC0"/>
    <w:rsid w:val="00CA3021"/>
    <w:rsid w:val="00CA3681"/>
    <w:rsid w:val="00CA3A30"/>
    <w:rsid w:val="00CA3D0B"/>
    <w:rsid w:val="00CA3F69"/>
    <w:rsid w:val="00CA4935"/>
    <w:rsid w:val="00CA4A96"/>
    <w:rsid w:val="00CA4B3C"/>
    <w:rsid w:val="00CA5452"/>
    <w:rsid w:val="00CA5605"/>
    <w:rsid w:val="00CA56D5"/>
    <w:rsid w:val="00CA578B"/>
    <w:rsid w:val="00CA6193"/>
    <w:rsid w:val="00CA70E3"/>
    <w:rsid w:val="00CA77F4"/>
    <w:rsid w:val="00CA7A4C"/>
    <w:rsid w:val="00CA7BC8"/>
    <w:rsid w:val="00CA7EAB"/>
    <w:rsid w:val="00CB0211"/>
    <w:rsid w:val="00CB0D19"/>
    <w:rsid w:val="00CB0D22"/>
    <w:rsid w:val="00CB1414"/>
    <w:rsid w:val="00CB1608"/>
    <w:rsid w:val="00CB1A8C"/>
    <w:rsid w:val="00CB1B79"/>
    <w:rsid w:val="00CB1BF6"/>
    <w:rsid w:val="00CB1CB2"/>
    <w:rsid w:val="00CB25E8"/>
    <w:rsid w:val="00CB299D"/>
    <w:rsid w:val="00CB34AC"/>
    <w:rsid w:val="00CB3541"/>
    <w:rsid w:val="00CB3B73"/>
    <w:rsid w:val="00CB4403"/>
    <w:rsid w:val="00CB4448"/>
    <w:rsid w:val="00CB468E"/>
    <w:rsid w:val="00CB4779"/>
    <w:rsid w:val="00CB53F4"/>
    <w:rsid w:val="00CB5640"/>
    <w:rsid w:val="00CB5E0E"/>
    <w:rsid w:val="00CB5E44"/>
    <w:rsid w:val="00CB61E3"/>
    <w:rsid w:val="00CB7687"/>
    <w:rsid w:val="00CB7A99"/>
    <w:rsid w:val="00CB7E0A"/>
    <w:rsid w:val="00CC0C28"/>
    <w:rsid w:val="00CC1201"/>
    <w:rsid w:val="00CC12E8"/>
    <w:rsid w:val="00CC1C89"/>
    <w:rsid w:val="00CC1CC0"/>
    <w:rsid w:val="00CC1D9E"/>
    <w:rsid w:val="00CC280B"/>
    <w:rsid w:val="00CC2DCB"/>
    <w:rsid w:val="00CC3CFB"/>
    <w:rsid w:val="00CC3DF8"/>
    <w:rsid w:val="00CC407F"/>
    <w:rsid w:val="00CC44B1"/>
    <w:rsid w:val="00CC4776"/>
    <w:rsid w:val="00CC4BEF"/>
    <w:rsid w:val="00CC5454"/>
    <w:rsid w:val="00CC5C83"/>
    <w:rsid w:val="00CC5F9C"/>
    <w:rsid w:val="00CC601C"/>
    <w:rsid w:val="00CC64E2"/>
    <w:rsid w:val="00CC6C5E"/>
    <w:rsid w:val="00CC713E"/>
    <w:rsid w:val="00CC75A2"/>
    <w:rsid w:val="00CC76FA"/>
    <w:rsid w:val="00CC7A3B"/>
    <w:rsid w:val="00CD0138"/>
    <w:rsid w:val="00CD030C"/>
    <w:rsid w:val="00CD0324"/>
    <w:rsid w:val="00CD0526"/>
    <w:rsid w:val="00CD06AD"/>
    <w:rsid w:val="00CD0BAC"/>
    <w:rsid w:val="00CD1916"/>
    <w:rsid w:val="00CD1BDC"/>
    <w:rsid w:val="00CD1E90"/>
    <w:rsid w:val="00CD2210"/>
    <w:rsid w:val="00CD239A"/>
    <w:rsid w:val="00CD2710"/>
    <w:rsid w:val="00CD3315"/>
    <w:rsid w:val="00CD3ED5"/>
    <w:rsid w:val="00CD4261"/>
    <w:rsid w:val="00CD479A"/>
    <w:rsid w:val="00CD4F47"/>
    <w:rsid w:val="00CD5079"/>
    <w:rsid w:val="00CD5542"/>
    <w:rsid w:val="00CD5A13"/>
    <w:rsid w:val="00CD5D9F"/>
    <w:rsid w:val="00CD5F88"/>
    <w:rsid w:val="00CD6553"/>
    <w:rsid w:val="00CD668D"/>
    <w:rsid w:val="00CD66EF"/>
    <w:rsid w:val="00CD7698"/>
    <w:rsid w:val="00CE0FC7"/>
    <w:rsid w:val="00CE108D"/>
    <w:rsid w:val="00CE12C3"/>
    <w:rsid w:val="00CE1348"/>
    <w:rsid w:val="00CE1C05"/>
    <w:rsid w:val="00CE1C7F"/>
    <w:rsid w:val="00CE259F"/>
    <w:rsid w:val="00CE4916"/>
    <w:rsid w:val="00CE4D52"/>
    <w:rsid w:val="00CE4F70"/>
    <w:rsid w:val="00CE630D"/>
    <w:rsid w:val="00CE70D0"/>
    <w:rsid w:val="00CE743E"/>
    <w:rsid w:val="00CE75B0"/>
    <w:rsid w:val="00CE76DD"/>
    <w:rsid w:val="00CF0202"/>
    <w:rsid w:val="00CF05E5"/>
    <w:rsid w:val="00CF085F"/>
    <w:rsid w:val="00CF10FC"/>
    <w:rsid w:val="00CF156E"/>
    <w:rsid w:val="00CF1740"/>
    <w:rsid w:val="00CF195B"/>
    <w:rsid w:val="00CF1A28"/>
    <w:rsid w:val="00CF2B79"/>
    <w:rsid w:val="00CF3265"/>
    <w:rsid w:val="00CF3321"/>
    <w:rsid w:val="00CF37CD"/>
    <w:rsid w:val="00CF39E9"/>
    <w:rsid w:val="00CF3CAD"/>
    <w:rsid w:val="00CF3EFA"/>
    <w:rsid w:val="00CF4558"/>
    <w:rsid w:val="00CF48D3"/>
    <w:rsid w:val="00CF4A0D"/>
    <w:rsid w:val="00CF523A"/>
    <w:rsid w:val="00CF56F7"/>
    <w:rsid w:val="00CF5E28"/>
    <w:rsid w:val="00CF5F8B"/>
    <w:rsid w:val="00CF605A"/>
    <w:rsid w:val="00CF62B0"/>
    <w:rsid w:val="00CF6781"/>
    <w:rsid w:val="00CF68B0"/>
    <w:rsid w:val="00CF6E71"/>
    <w:rsid w:val="00CF6F30"/>
    <w:rsid w:val="00CF784A"/>
    <w:rsid w:val="00CF7D83"/>
    <w:rsid w:val="00CF7F04"/>
    <w:rsid w:val="00D0064B"/>
    <w:rsid w:val="00D006EC"/>
    <w:rsid w:val="00D007C4"/>
    <w:rsid w:val="00D0089F"/>
    <w:rsid w:val="00D009A1"/>
    <w:rsid w:val="00D00A7D"/>
    <w:rsid w:val="00D00AD7"/>
    <w:rsid w:val="00D00EEB"/>
    <w:rsid w:val="00D010E5"/>
    <w:rsid w:val="00D01222"/>
    <w:rsid w:val="00D01377"/>
    <w:rsid w:val="00D01F5C"/>
    <w:rsid w:val="00D02250"/>
    <w:rsid w:val="00D02263"/>
    <w:rsid w:val="00D02980"/>
    <w:rsid w:val="00D02C58"/>
    <w:rsid w:val="00D02ECE"/>
    <w:rsid w:val="00D02F72"/>
    <w:rsid w:val="00D031DB"/>
    <w:rsid w:val="00D03691"/>
    <w:rsid w:val="00D0386A"/>
    <w:rsid w:val="00D03A91"/>
    <w:rsid w:val="00D03B96"/>
    <w:rsid w:val="00D03CA9"/>
    <w:rsid w:val="00D0432A"/>
    <w:rsid w:val="00D043DD"/>
    <w:rsid w:val="00D04697"/>
    <w:rsid w:val="00D04E96"/>
    <w:rsid w:val="00D0549A"/>
    <w:rsid w:val="00D05D58"/>
    <w:rsid w:val="00D05E2B"/>
    <w:rsid w:val="00D05EFE"/>
    <w:rsid w:val="00D064BA"/>
    <w:rsid w:val="00D0679B"/>
    <w:rsid w:val="00D06942"/>
    <w:rsid w:val="00D06C2E"/>
    <w:rsid w:val="00D07AAB"/>
    <w:rsid w:val="00D07B38"/>
    <w:rsid w:val="00D07D24"/>
    <w:rsid w:val="00D07D62"/>
    <w:rsid w:val="00D10893"/>
    <w:rsid w:val="00D11388"/>
    <w:rsid w:val="00D114C8"/>
    <w:rsid w:val="00D1193D"/>
    <w:rsid w:val="00D120E9"/>
    <w:rsid w:val="00D12768"/>
    <w:rsid w:val="00D12B04"/>
    <w:rsid w:val="00D12B37"/>
    <w:rsid w:val="00D1318E"/>
    <w:rsid w:val="00D132D6"/>
    <w:rsid w:val="00D140FD"/>
    <w:rsid w:val="00D14271"/>
    <w:rsid w:val="00D14441"/>
    <w:rsid w:val="00D14581"/>
    <w:rsid w:val="00D149C9"/>
    <w:rsid w:val="00D14A2D"/>
    <w:rsid w:val="00D15609"/>
    <w:rsid w:val="00D157F9"/>
    <w:rsid w:val="00D158E5"/>
    <w:rsid w:val="00D1624D"/>
    <w:rsid w:val="00D163B5"/>
    <w:rsid w:val="00D16537"/>
    <w:rsid w:val="00D17007"/>
    <w:rsid w:val="00D17554"/>
    <w:rsid w:val="00D17D14"/>
    <w:rsid w:val="00D17FE7"/>
    <w:rsid w:val="00D20724"/>
    <w:rsid w:val="00D20990"/>
    <w:rsid w:val="00D20E3A"/>
    <w:rsid w:val="00D20EEF"/>
    <w:rsid w:val="00D2135E"/>
    <w:rsid w:val="00D21410"/>
    <w:rsid w:val="00D21818"/>
    <w:rsid w:val="00D21824"/>
    <w:rsid w:val="00D218EE"/>
    <w:rsid w:val="00D21DAD"/>
    <w:rsid w:val="00D226F7"/>
    <w:rsid w:val="00D22F64"/>
    <w:rsid w:val="00D23196"/>
    <w:rsid w:val="00D24184"/>
    <w:rsid w:val="00D24297"/>
    <w:rsid w:val="00D2527E"/>
    <w:rsid w:val="00D2531A"/>
    <w:rsid w:val="00D25529"/>
    <w:rsid w:val="00D25B33"/>
    <w:rsid w:val="00D26190"/>
    <w:rsid w:val="00D26C25"/>
    <w:rsid w:val="00D271BE"/>
    <w:rsid w:val="00D27411"/>
    <w:rsid w:val="00D27477"/>
    <w:rsid w:val="00D27948"/>
    <w:rsid w:val="00D31CEB"/>
    <w:rsid w:val="00D32545"/>
    <w:rsid w:val="00D325E7"/>
    <w:rsid w:val="00D3275E"/>
    <w:rsid w:val="00D3338A"/>
    <w:rsid w:val="00D33890"/>
    <w:rsid w:val="00D33EC5"/>
    <w:rsid w:val="00D33F57"/>
    <w:rsid w:val="00D3435C"/>
    <w:rsid w:val="00D343BD"/>
    <w:rsid w:val="00D345AB"/>
    <w:rsid w:val="00D34672"/>
    <w:rsid w:val="00D348B8"/>
    <w:rsid w:val="00D34986"/>
    <w:rsid w:val="00D34ACE"/>
    <w:rsid w:val="00D3578D"/>
    <w:rsid w:val="00D35E27"/>
    <w:rsid w:val="00D3664C"/>
    <w:rsid w:val="00D3684E"/>
    <w:rsid w:val="00D377E8"/>
    <w:rsid w:val="00D40929"/>
    <w:rsid w:val="00D40C15"/>
    <w:rsid w:val="00D41E02"/>
    <w:rsid w:val="00D4257C"/>
    <w:rsid w:val="00D4291D"/>
    <w:rsid w:val="00D43081"/>
    <w:rsid w:val="00D43117"/>
    <w:rsid w:val="00D43CEB"/>
    <w:rsid w:val="00D43D24"/>
    <w:rsid w:val="00D43F2C"/>
    <w:rsid w:val="00D4412E"/>
    <w:rsid w:val="00D44707"/>
    <w:rsid w:val="00D44EBD"/>
    <w:rsid w:val="00D451C7"/>
    <w:rsid w:val="00D4545B"/>
    <w:rsid w:val="00D458D7"/>
    <w:rsid w:val="00D461EE"/>
    <w:rsid w:val="00D461F5"/>
    <w:rsid w:val="00D468F2"/>
    <w:rsid w:val="00D47B7C"/>
    <w:rsid w:val="00D47F29"/>
    <w:rsid w:val="00D47FC4"/>
    <w:rsid w:val="00D505D9"/>
    <w:rsid w:val="00D506D7"/>
    <w:rsid w:val="00D508E1"/>
    <w:rsid w:val="00D511C2"/>
    <w:rsid w:val="00D5213E"/>
    <w:rsid w:val="00D528E2"/>
    <w:rsid w:val="00D52E40"/>
    <w:rsid w:val="00D53649"/>
    <w:rsid w:val="00D543B7"/>
    <w:rsid w:val="00D549C4"/>
    <w:rsid w:val="00D554C9"/>
    <w:rsid w:val="00D55AF1"/>
    <w:rsid w:val="00D560D2"/>
    <w:rsid w:val="00D569B4"/>
    <w:rsid w:val="00D56B9B"/>
    <w:rsid w:val="00D56EB3"/>
    <w:rsid w:val="00D57D0C"/>
    <w:rsid w:val="00D57DCA"/>
    <w:rsid w:val="00D60140"/>
    <w:rsid w:val="00D6014F"/>
    <w:rsid w:val="00D604BD"/>
    <w:rsid w:val="00D60AAB"/>
    <w:rsid w:val="00D60F66"/>
    <w:rsid w:val="00D614B5"/>
    <w:rsid w:val="00D61561"/>
    <w:rsid w:val="00D625AF"/>
    <w:rsid w:val="00D62DCE"/>
    <w:rsid w:val="00D63178"/>
    <w:rsid w:val="00D6319C"/>
    <w:rsid w:val="00D635E8"/>
    <w:rsid w:val="00D63D54"/>
    <w:rsid w:val="00D64968"/>
    <w:rsid w:val="00D65441"/>
    <w:rsid w:val="00D65638"/>
    <w:rsid w:val="00D65EEB"/>
    <w:rsid w:val="00D65FE3"/>
    <w:rsid w:val="00D66900"/>
    <w:rsid w:val="00D66B22"/>
    <w:rsid w:val="00D66C23"/>
    <w:rsid w:val="00D66F80"/>
    <w:rsid w:val="00D678BA"/>
    <w:rsid w:val="00D67A47"/>
    <w:rsid w:val="00D67E82"/>
    <w:rsid w:val="00D704E3"/>
    <w:rsid w:val="00D7080A"/>
    <w:rsid w:val="00D708D5"/>
    <w:rsid w:val="00D70AAB"/>
    <w:rsid w:val="00D70F37"/>
    <w:rsid w:val="00D715C7"/>
    <w:rsid w:val="00D715E3"/>
    <w:rsid w:val="00D71885"/>
    <w:rsid w:val="00D71A34"/>
    <w:rsid w:val="00D71B66"/>
    <w:rsid w:val="00D71B8B"/>
    <w:rsid w:val="00D71B9E"/>
    <w:rsid w:val="00D71FCA"/>
    <w:rsid w:val="00D723CC"/>
    <w:rsid w:val="00D72C74"/>
    <w:rsid w:val="00D72F6C"/>
    <w:rsid w:val="00D735CA"/>
    <w:rsid w:val="00D73865"/>
    <w:rsid w:val="00D7394C"/>
    <w:rsid w:val="00D73A3A"/>
    <w:rsid w:val="00D7440E"/>
    <w:rsid w:val="00D7455F"/>
    <w:rsid w:val="00D7474B"/>
    <w:rsid w:val="00D7476D"/>
    <w:rsid w:val="00D7512C"/>
    <w:rsid w:val="00D7517E"/>
    <w:rsid w:val="00D7525D"/>
    <w:rsid w:val="00D761EB"/>
    <w:rsid w:val="00D7797F"/>
    <w:rsid w:val="00D77E98"/>
    <w:rsid w:val="00D801C6"/>
    <w:rsid w:val="00D803F8"/>
    <w:rsid w:val="00D80C0A"/>
    <w:rsid w:val="00D8117C"/>
    <w:rsid w:val="00D819BE"/>
    <w:rsid w:val="00D81B6A"/>
    <w:rsid w:val="00D81C42"/>
    <w:rsid w:val="00D81E1B"/>
    <w:rsid w:val="00D82514"/>
    <w:rsid w:val="00D825C4"/>
    <w:rsid w:val="00D82669"/>
    <w:rsid w:val="00D8397D"/>
    <w:rsid w:val="00D83A35"/>
    <w:rsid w:val="00D83CFA"/>
    <w:rsid w:val="00D83FEE"/>
    <w:rsid w:val="00D84338"/>
    <w:rsid w:val="00D84639"/>
    <w:rsid w:val="00D8493C"/>
    <w:rsid w:val="00D849F7"/>
    <w:rsid w:val="00D85295"/>
    <w:rsid w:val="00D853B2"/>
    <w:rsid w:val="00D85532"/>
    <w:rsid w:val="00D858D7"/>
    <w:rsid w:val="00D85B5F"/>
    <w:rsid w:val="00D85C59"/>
    <w:rsid w:val="00D85F0D"/>
    <w:rsid w:val="00D86485"/>
    <w:rsid w:val="00D86969"/>
    <w:rsid w:val="00D86AF6"/>
    <w:rsid w:val="00D86E95"/>
    <w:rsid w:val="00D87179"/>
    <w:rsid w:val="00D874D2"/>
    <w:rsid w:val="00D87982"/>
    <w:rsid w:val="00D87DA2"/>
    <w:rsid w:val="00D87EF3"/>
    <w:rsid w:val="00D9040D"/>
    <w:rsid w:val="00D905DA"/>
    <w:rsid w:val="00D90611"/>
    <w:rsid w:val="00D909B5"/>
    <w:rsid w:val="00D90D88"/>
    <w:rsid w:val="00D90E1E"/>
    <w:rsid w:val="00D91110"/>
    <w:rsid w:val="00D9125F"/>
    <w:rsid w:val="00D92A26"/>
    <w:rsid w:val="00D92A74"/>
    <w:rsid w:val="00D92CEE"/>
    <w:rsid w:val="00D93167"/>
    <w:rsid w:val="00D93836"/>
    <w:rsid w:val="00D9429A"/>
    <w:rsid w:val="00D94504"/>
    <w:rsid w:val="00D9458B"/>
    <w:rsid w:val="00D94728"/>
    <w:rsid w:val="00D949D0"/>
    <w:rsid w:val="00D95F06"/>
    <w:rsid w:val="00D960F0"/>
    <w:rsid w:val="00D969EB"/>
    <w:rsid w:val="00D97156"/>
    <w:rsid w:val="00D9718A"/>
    <w:rsid w:val="00D973F1"/>
    <w:rsid w:val="00D977AC"/>
    <w:rsid w:val="00D97A39"/>
    <w:rsid w:val="00DA077A"/>
    <w:rsid w:val="00DA082E"/>
    <w:rsid w:val="00DA10F7"/>
    <w:rsid w:val="00DA1223"/>
    <w:rsid w:val="00DA12C5"/>
    <w:rsid w:val="00DA14EA"/>
    <w:rsid w:val="00DA1593"/>
    <w:rsid w:val="00DA16DD"/>
    <w:rsid w:val="00DA19F3"/>
    <w:rsid w:val="00DA223C"/>
    <w:rsid w:val="00DA265F"/>
    <w:rsid w:val="00DA30D0"/>
    <w:rsid w:val="00DA33EA"/>
    <w:rsid w:val="00DA35AE"/>
    <w:rsid w:val="00DA36D1"/>
    <w:rsid w:val="00DA56BC"/>
    <w:rsid w:val="00DA573B"/>
    <w:rsid w:val="00DA6207"/>
    <w:rsid w:val="00DA6303"/>
    <w:rsid w:val="00DA6725"/>
    <w:rsid w:val="00DA6C0D"/>
    <w:rsid w:val="00DA706B"/>
    <w:rsid w:val="00DA7914"/>
    <w:rsid w:val="00DA7916"/>
    <w:rsid w:val="00DA7FBB"/>
    <w:rsid w:val="00DB0035"/>
    <w:rsid w:val="00DB0A86"/>
    <w:rsid w:val="00DB0AB9"/>
    <w:rsid w:val="00DB1415"/>
    <w:rsid w:val="00DB2679"/>
    <w:rsid w:val="00DB2773"/>
    <w:rsid w:val="00DB2B2B"/>
    <w:rsid w:val="00DB3085"/>
    <w:rsid w:val="00DB31E1"/>
    <w:rsid w:val="00DB3320"/>
    <w:rsid w:val="00DB37BA"/>
    <w:rsid w:val="00DB44DF"/>
    <w:rsid w:val="00DB454A"/>
    <w:rsid w:val="00DB4679"/>
    <w:rsid w:val="00DB47FF"/>
    <w:rsid w:val="00DB48CE"/>
    <w:rsid w:val="00DB5FDA"/>
    <w:rsid w:val="00DB62D7"/>
    <w:rsid w:val="00DB6BB2"/>
    <w:rsid w:val="00DB7EB5"/>
    <w:rsid w:val="00DC062E"/>
    <w:rsid w:val="00DC08D3"/>
    <w:rsid w:val="00DC0E4D"/>
    <w:rsid w:val="00DC12D3"/>
    <w:rsid w:val="00DC15F9"/>
    <w:rsid w:val="00DC179E"/>
    <w:rsid w:val="00DC1948"/>
    <w:rsid w:val="00DC1A30"/>
    <w:rsid w:val="00DC1CF8"/>
    <w:rsid w:val="00DC1D0A"/>
    <w:rsid w:val="00DC1DA8"/>
    <w:rsid w:val="00DC2914"/>
    <w:rsid w:val="00DC29F5"/>
    <w:rsid w:val="00DC306C"/>
    <w:rsid w:val="00DC3128"/>
    <w:rsid w:val="00DC3A89"/>
    <w:rsid w:val="00DC3FB0"/>
    <w:rsid w:val="00DC4126"/>
    <w:rsid w:val="00DC4889"/>
    <w:rsid w:val="00DC5791"/>
    <w:rsid w:val="00DC5D4C"/>
    <w:rsid w:val="00DC609D"/>
    <w:rsid w:val="00DC6869"/>
    <w:rsid w:val="00DC69B5"/>
    <w:rsid w:val="00DC6C9F"/>
    <w:rsid w:val="00DC7249"/>
    <w:rsid w:val="00DC73F6"/>
    <w:rsid w:val="00DC7C75"/>
    <w:rsid w:val="00DC7DDC"/>
    <w:rsid w:val="00DC7FEA"/>
    <w:rsid w:val="00DD003F"/>
    <w:rsid w:val="00DD0468"/>
    <w:rsid w:val="00DD11B7"/>
    <w:rsid w:val="00DD15B2"/>
    <w:rsid w:val="00DD1850"/>
    <w:rsid w:val="00DD2141"/>
    <w:rsid w:val="00DD214E"/>
    <w:rsid w:val="00DD262E"/>
    <w:rsid w:val="00DD2CE1"/>
    <w:rsid w:val="00DD2EF4"/>
    <w:rsid w:val="00DD2F96"/>
    <w:rsid w:val="00DD2FC6"/>
    <w:rsid w:val="00DD3254"/>
    <w:rsid w:val="00DD343C"/>
    <w:rsid w:val="00DD3A33"/>
    <w:rsid w:val="00DD3B27"/>
    <w:rsid w:val="00DD3DFB"/>
    <w:rsid w:val="00DD4158"/>
    <w:rsid w:val="00DD4858"/>
    <w:rsid w:val="00DD48B0"/>
    <w:rsid w:val="00DD5AAE"/>
    <w:rsid w:val="00DD5F80"/>
    <w:rsid w:val="00DD602D"/>
    <w:rsid w:val="00DD60CB"/>
    <w:rsid w:val="00DD6239"/>
    <w:rsid w:val="00DD65C9"/>
    <w:rsid w:val="00DD66C1"/>
    <w:rsid w:val="00DD7080"/>
    <w:rsid w:val="00DD720D"/>
    <w:rsid w:val="00DD76D6"/>
    <w:rsid w:val="00DD76DE"/>
    <w:rsid w:val="00DE013D"/>
    <w:rsid w:val="00DE0311"/>
    <w:rsid w:val="00DE05C9"/>
    <w:rsid w:val="00DE11BE"/>
    <w:rsid w:val="00DE1BAF"/>
    <w:rsid w:val="00DE20C3"/>
    <w:rsid w:val="00DE270E"/>
    <w:rsid w:val="00DE27AB"/>
    <w:rsid w:val="00DE2C50"/>
    <w:rsid w:val="00DE3114"/>
    <w:rsid w:val="00DE3607"/>
    <w:rsid w:val="00DE46C2"/>
    <w:rsid w:val="00DE4918"/>
    <w:rsid w:val="00DE4DD4"/>
    <w:rsid w:val="00DE667B"/>
    <w:rsid w:val="00DE6A0E"/>
    <w:rsid w:val="00DE6F13"/>
    <w:rsid w:val="00DE731C"/>
    <w:rsid w:val="00DE7939"/>
    <w:rsid w:val="00DE7CFE"/>
    <w:rsid w:val="00DE7E86"/>
    <w:rsid w:val="00DF008B"/>
    <w:rsid w:val="00DF01E3"/>
    <w:rsid w:val="00DF053E"/>
    <w:rsid w:val="00DF10CD"/>
    <w:rsid w:val="00DF1147"/>
    <w:rsid w:val="00DF1ED4"/>
    <w:rsid w:val="00DF2201"/>
    <w:rsid w:val="00DF2333"/>
    <w:rsid w:val="00DF25EA"/>
    <w:rsid w:val="00DF27DE"/>
    <w:rsid w:val="00DF2846"/>
    <w:rsid w:val="00DF2A2B"/>
    <w:rsid w:val="00DF2D92"/>
    <w:rsid w:val="00DF2D9A"/>
    <w:rsid w:val="00DF2E02"/>
    <w:rsid w:val="00DF3934"/>
    <w:rsid w:val="00DF3AF4"/>
    <w:rsid w:val="00DF4662"/>
    <w:rsid w:val="00DF4DEF"/>
    <w:rsid w:val="00DF5084"/>
    <w:rsid w:val="00DF5D51"/>
    <w:rsid w:val="00DF5ED5"/>
    <w:rsid w:val="00DF6004"/>
    <w:rsid w:val="00DF66E4"/>
    <w:rsid w:val="00DF68ED"/>
    <w:rsid w:val="00DF6E72"/>
    <w:rsid w:val="00DF7145"/>
    <w:rsid w:val="00DF71C1"/>
    <w:rsid w:val="00DF7514"/>
    <w:rsid w:val="00DF7B3D"/>
    <w:rsid w:val="00DF7D08"/>
    <w:rsid w:val="00E000F7"/>
    <w:rsid w:val="00E002ED"/>
    <w:rsid w:val="00E01473"/>
    <w:rsid w:val="00E015FA"/>
    <w:rsid w:val="00E01647"/>
    <w:rsid w:val="00E019B9"/>
    <w:rsid w:val="00E02109"/>
    <w:rsid w:val="00E0298F"/>
    <w:rsid w:val="00E02DF7"/>
    <w:rsid w:val="00E02F18"/>
    <w:rsid w:val="00E039BB"/>
    <w:rsid w:val="00E03BF8"/>
    <w:rsid w:val="00E044AC"/>
    <w:rsid w:val="00E04A51"/>
    <w:rsid w:val="00E052CC"/>
    <w:rsid w:val="00E063CF"/>
    <w:rsid w:val="00E06794"/>
    <w:rsid w:val="00E0699F"/>
    <w:rsid w:val="00E06C91"/>
    <w:rsid w:val="00E06D3B"/>
    <w:rsid w:val="00E06EF7"/>
    <w:rsid w:val="00E070B5"/>
    <w:rsid w:val="00E0725A"/>
    <w:rsid w:val="00E0745F"/>
    <w:rsid w:val="00E07A92"/>
    <w:rsid w:val="00E07C25"/>
    <w:rsid w:val="00E10349"/>
    <w:rsid w:val="00E10413"/>
    <w:rsid w:val="00E10615"/>
    <w:rsid w:val="00E10651"/>
    <w:rsid w:val="00E10A51"/>
    <w:rsid w:val="00E10ED1"/>
    <w:rsid w:val="00E10ED7"/>
    <w:rsid w:val="00E10F6C"/>
    <w:rsid w:val="00E115BF"/>
    <w:rsid w:val="00E120AB"/>
    <w:rsid w:val="00E124C6"/>
    <w:rsid w:val="00E1285E"/>
    <w:rsid w:val="00E12908"/>
    <w:rsid w:val="00E1297E"/>
    <w:rsid w:val="00E1395B"/>
    <w:rsid w:val="00E13B9B"/>
    <w:rsid w:val="00E14A91"/>
    <w:rsid w:val="00E14E4F"/>
    <w:rsid w:val="00E15914"/>
    <w:rsid w:val="00E164BA"/>
    <w:rsid w:val="00E16575"/>
    <w:rsid w:val="00E16E23"/>
    <w:rsid w:val="00E17501"/>
    <w:rsid w:val="00E1767D"/>
    <w:rsid w:val="00E17821"/>
    <w:rsid w:val="00E17A74"/>
    <w:rsid w:val="00E17CC1"/>
    <w:rsid w:val="00E20878"/>
    <w:rsid w:val="00E210EE"/>
    <w:rsid w:val="00E213B7"/>
    <w:rsid w:val="00E216D6"/>
    <w:rsid w:val="00E21D7D"/>
    <w:rsid w:val="00E2238F"/>
    <w:rsid w:val="00E226A0"/>
    <w:rsid w:val="00E227A8"/>
    <w:rsid w:val="00E22B55"/>
    <w:rsid w:val="00E235B3"/>
    <w:rsid w:val="00E23972"/>
    <w:rsid w:val="00E23C1F"/>
    <w:rsid w:val="00E23C2A"/>
    <w:rsid w:val="00E23E88"/>
    <w:rsid w:val="00E24124"/>
    <w:rsid w:val="00E24B0B"/>
    <w:rsid w:val="00E24DD4"/>
    <w:rsid w:val="00E25072"/>
    <w:rsid w:val="00E259B8"/>
    <w:rsid w:val="00E2627C"/>
    <w:rsid w:val="00E26F66"/>
    <w:rsid w:val="00E26FDD"/>
    <w:rsid w:val="00E27083"/>
    <w:rsid w:val="00E27489"/>
    <w:rsid w:val="00E278B2"/>
    <w:rsid w:val="00E27D61"/>
    <w:rsid w:val="00E27F6A"/>
    <w:rsid w:val="00E307DF"/>
    <w:rsid w:val="00E309EE"/>
    <w:rsid w:val="00E30C2F"/>
    <w:rsid w:val="00E30E54"/>
    <w:rsid w:val="00E30F1A"/>
    <w:rsid w:val="00E31C3A"/>
    <w:rsid w:val="00E31E29"/>
    <w:rsid w:val="00E31E45"/>
    <w:rsid w:val="00E32033"/>
    <w:rsid w:val="00E320BE"/>
    <w:rsid w:val="00E322E6"/>
    <w:rsid w:val="00E3234F"/>
    <w:rsid w:val="00E32682"/>
    <w:rsid w:val="00E32E0B"/>
    <w:rsid w:val="00E33051"/>
    <w:rsid w:val="00E330BA"/>
    <w:rsid w:val="00E33177"/>
    <w:rsid w:val="00E344DB"/>
    <w:rsid w:val="00E34D9C"/>
    <w:rsid w:val="00E34E59"/>
    <w:rsid w:val="00E35380"/>
    <w:rsid w:val="00E359D0"/>
    <w:rsid w:val="00E359FF"/>
    <w:rsid w:val="00E35AB3"/>
    <w:rsid w:val="00E35BD2"/>
    <w:rsid w:val="00E361D7"/>
    <w:rsid w:val="00E36380"/>
    <w:rsid w:val="00E36862"/>
    <w:rsid w:val="00E36D52"/>
    <w:rsid w:val="00E370C5"/>
    <w:rsid w:val="00E37587"/>
    <w:rsid w:val="00E375F9"/>
    <w:rsid w:val="00E37A75"/>
    <w:rsid w:val="00E37A77"/>
    <w:rsid w:val="00E37F6F"/>
    <w:rsid w:val="00E40B62"/>
    <w:rsid w:val="00E40B9C"/>
    <w:rsid w:val="00E40C30"/>
    <w:rsid w:val="00E41424"/>
    <w:rsid w:val="00E4165F"/>
    <w:rsid w:val="00E41CC4"/>
    <w:rsid w:val="00E42465"/>
    <w:rsid w:val="00E42757"/>
    <w:rsid w:val="00E429F5"/>
    <w:rsid w:val="00E42E43"/>
    <w:rsid w:val="00E42F73"/>
    <w:rsid w:val="00E42FE8"/>
    <w:rsid w:val="00E43089"/>
    <w:rsid w:val="00E43F16"/>
    <w:rsid w:val="00E4471E"/>
    <w:rsid w:val="00E44B88"/>
    <w:rsid w:val="00E44CFC"/>
    <w:rsid w:val="00E44D90"/>
    <w:rsid w:val="00E4551C"/>
    <w:rsid w:val="00E4578F"/>
    <w:rsid w:val="00E4596E"/>
    <w:rsid w:val="00E45CEB"/>
    <w:rsid w:val="00E468B3"/>
    <w:rsid w:val="00E47096"/>
    <w:rsid w:val="00E4773A"/>
    <w:rsid w:val="00E503D6"/>
    <w:rsid w:val="00E5056A"/>
    <w:rsid w:val="00E50782"/>
    <w:rsid w:val="00E5079F"/>
    <w:rsid w:val="00E50F2F"/>
    <w:rsid w:val="00E51C2C"/>
    <w:rsid w:val="00E52AE2"/>
    <w:rsid w:val="00E5327C"/>
    <w:rsid w:val="00E5331E"/>
    <w:rsid w:val="00E541AA"/>
    <w:rsid w:val="00E542F7"/>
    <w:rsid w:val="00E5514D"/>
    <w:rsid w:val="00E5556A"/>
    <w:rsid w:val="00E55ACB"/>
    <w:rsid w:val="00E56456"/>
    <w:rsid w:val="00E5649A"/>
    <w:rsid w:val="00E57A23"/>
    <w:rsid w:val="00E57FE6"/>
    <w:rsid w:val="00E6014F"/>
    <w:rsid w:val="00E6040E"/>
    <w:rsid w:val="00E60AFA"/>
    <w:rsid w:val="00E60BB2"/>
    <w:rsid w:val="00E60F28"/>
    <w:rsid w:val="00E60F67"/>
    <w:rsid w:val="00E61C6A"/>
    <w:rsid w:val="00E61DC2"/>
    <w:rsid w:val="00E6233A"/>
    <w:rsid w:val="00E62497"/>
    <w:rsid w:val="00E62686"/>
    <w:rsid w:val="00E62801"/>
    <w:rsid w:val="00E62A1A"/>
    <w:rsid w:val="00E62CC3"/>
    <w:rsid w:val="00E62E10"/>
    <w:rsid w:val="00E631DD"/>
    <w:rsid w:val="00E634DA"/>
    <w:rsid w:val="00E63519"/>
    <w:rsid w:val="00E63D03"/>
    <w:rsid w:val="00E640E5"/>
    <w:rsid w:val="00E64118"/>
    <w:rsid w:val="00E64479"/>
    <w:rsid w:val="00E647EE"/>
    <w:rsid w:val="00E64AFE"/>
    <w:rsid w:val="00E6553A"/>
    <w:rsid w:val="00E65FB8"/>
    <w:rsid w:val="00E6603D"/>
    <w:rsid w:val="00E66272"/>
    <w:rsid w:val="00E66294"/>
    <w:rsid w:val="00E662D8"/>
    <w:rsid w:val="00E664BF"/>
    <w:rsid w:val="00E668B2"/>
    <w:rsid w:val="00E66B0D"/>
    <w:rsid w:val="00E66D86"/>
    <w:rsid w:val="00E67016"/>
    <w:rsid w:val="00E70034"/>
    <w:rsid w:val="00E702DA"/>
    <w:rsid w:val="00E71B89"/>
    <w:rsid w:val="00E7253B"/>
    <w:rsid w:val="00E731A2"/>
    <w:rsid w:val="00E73371"/>
    <w:rsid w:val="00E7352C"/>
    <w:rsid w:val="00E7383F"/>
    <w:rsid w:val="00E73FF0"/>
    <w:rsid w:val="00E74A8D"/>
    <w:rsid w:val="00E75A75"/>
    <w:rsid w:val="00E7677C"/>
    <w:rsid w:val="00E77052"/>
    <w:rsid w:val="00E7710D"/>
    <w:rsid w:val="00E77456"/>
    <w:rsid w:val="00E77DBF"/>
    <w:rsid w:val="00E77E1A"/>
    <w:rsid w:val="00E8009A"/>
    <w:rsid w:val="00E8079A"/>
    <w:rsid w:val="00E80A76"/>
    <w:rsid w:val="00E810C6"/>
    <w:rsid w:val="00E81145"/>
    <w:rsid w:val="00E8131D"/>
    <w:rsid w:val="00E814C0"/>
    <w:rsid w:val="00E817AB"/>
    <w:rsid w:val="00E81CD8"/>
    <w:rsid w:val="00E82892"/>
    <w:rsid w:val="00E82F4C"/>
    <w:rsid w:val="00E8333D"/>
    <w:rsid w:val="00E837F7"/>
    <w:rsid w:val="00E83AA9"/>
    <w:rsid w:val="00E83C5C"/>
    <w:rsid w:val="00E842DF"/>
    <w:rsid w:val="00E8430B"/>
    <w:rsid w:val="00E84317"/>
    <w:rsid w:val="00E847BE"/>
    <w:rsid w:val="00E84A8D"/>
    <w:rsid w:val="00E85226"/>
    <w:rsid w:val="00E85CE9"/>
    <w:rsid w:val="00E86551"/>
    <w:rsid w:val="00E866F7"/>
    <w:rsid w:val="00E86928"/>
    <w:rsid w:val="00E87645"/>
    <w:rsid w:val="00E87775"/>
    <w:rsid w:val="00E877C6"/>
    <w:rsid w:val="00E8783C"/>
    <w:rsid w:val="00E87C58"/>
    <w:rsid w:val="00E90710"/>
    <w:rsid w:val="00E9262A"/>
    <w:rsid w:val="00E92866"/>
    <w:rsid w:val="00E9288A"/>
    <w:rsid w:val="00E92FCD"/>
    <w:rsid w:val="00E93191"/>
    <w:rsid w:val="00E93270"/>
    <w:rsid w:val="00E93AB8"/>
    <w:rsid w:val="00E943F5"/>
    <w:rsid w:val="00E94830"/>
    <w:rsid w:val="00E94C0E"/>
    <w:rsid w:val="00E94DBC"/>
    <w:rsid w:val="00E95332"/>
    <w:rsid w:val="00E95355"/>
    <w:rsid w:val="00E9566A"/>
    <w:rsid w:val="00E9741B"/>
    <w:rsid w:val="00E979AD"/>
    <w:rsid w:val="00E97A18"/>
    <w:rsid w:val="00E97BB4"/>
    <w:rsid w:val="00E97EB5"/>
    <w:rsid w:val="00EA05D0"/>
    <w:rsid w:val="00EA06AC"/>
    <w:rsid w:val="00EA0A5B"/>
    <w:rsid w:val="00EA0FEA"/>
    <w:rsid w:val="00EA1D7C"/>
    <w:rsid w:val="00EA20A0"/>
    <w:rsid w:val="00EA2727"/>
    <w:rsid w:val="00EA2B5A"/>
    <w:rsid w:val="00EA2D2E"/>
    <w:rsid w:val="00EA2F27"/>
    <w:rsid w:val="00EA2F49"/>
    <w:rsid w:val="00EA3AAD"/>
    <w:rsid w:val="00EA3C5E"/>
    <w:rsid w:val="00EA3F38"/>
    <w:rsid w:val="00EA41B0"/>
    <w:rsid w:val="00EA44AD"/>
    <w:rsid w:val="00EA5447"/>
    <w:rsid w:val="00EA5572"/>
    <w:rsid w:val="00EA66BD"/>
    <w:rsid w:val="00EA743B"/>
    <w:rsid w:val="00EA772E"/>
    <w:rsid w:val="00EA7A2F"/>
    <w:rsid w:val="00EB0679"/>
    <w:rsid w:val="00EB0E8B"/>
    <w:rsid w:val="00EB1217"/>
    <w:rsid w:val="00EB2119"/>
    <w:rsid w:val="00EB22E0"/>
    <w:rsid w:val="00EB263E"/>
    <w:rsid w:val="00EB2965"/>
    <w:rsid w:val="00EB2CC3"/>
    <w:rsid w:val="00EB30DC"/>
    <w:rsid w:val="00EB3495"/>
    <w:rsid w:val="00EB36B5"/>
    <w:rsid w:val="00EB36DF"/>
    <w:rsid w:val="00EB3856"/>
    <w:rsid w:val="00EB3C96"/>
    <w:rsid w:val="00EB3D8F"/>
    <w:rsid w:val="00EB3EED"/>
    <w:rsid w:val="00EB3EFE"/>
    <w:rsid w:val="00EB46AC"/>
    <w:rsid w:val="00EB49E1"/>
    <w:rsid w:val="00EB4CAB"/>
    <w:rsid w:val="00EB5D17"/>
    <w:rsid w:val="00EB5FB0"/>
    <w:rsid w:val="00EB6115"/>
    <w:rsid w:val="00EB63D2"/>
    <w:rsid w:val="00EB66EA"/>
    <w:rsid w:val="00EB676F"/>
    <w:rsid w:val="00EB6B8B"/>
    <w:rsid w:val="00EB6D93"/>
    <w:rsid w:val="00EC093C"/>
    <w:rsid w:val="00EC0A31"/>
    <w:rsid w:val="00EC0B13"/>
    <w:rsid w:val="00EC12D5"/>
    <w:rsid w:val="00EC1353"/>
    <w:rsid w:val="00EC1639"/>
    <w:rsid w:val="00EC1A86"/>
    <w:rsid w:val="00EC25F2"/>
    <w:rsid w:val="00EC27AE"/>
    <w:rsid w:val="00EC333E"/>
    <w:rsid w:val="00EC341E"/>
    <w:rsid w:val="00EC3E60"/>
    <w:rsid w:val="00EC4162"/>
    <w:rsid w:val="00EC4859"/>
    <w:rsid w:val="00EC5133"/>
    <w:rsid w:val="00EC517B"/>
    <w:rsid w:val="00EC53CE"/>
    <w:rsid w:val="00EC541F"/>
    <w:rsid w:val="00EC546E"/>
    <w:rsid w:val="00EC588C"/>
    <w:rsid w:val="00EC5C0D"/>
    <w:rsid w:val="00EC5E16"/>
    <w:rsid w:val="00EC5FF1"/>
    <w:rsid w:val="00EC60E6"/>
    <w:rsid w:val="00EC6BAF"/>
    <w:rsid w:val="00EC6E99"/>
    <w:rsid w:val="00EC6F33"/>
    <w:rsid w:val="00EC7230"/>
    <w:rsid w:val="00EC737C"/>
    <w:rsid w:val="00EC7A9A"/>
    <w:rsid w:val="00EC7F18"/>
    <w:rsid w:val="00ED0825"/>
    <w:rsid w:val="00ED085D"/>
    <w:rsid w:val="00ED0E49"/>
    <w:rsid w:val="00ED0F63"/>
    <w:rsid w:val="00ED1609"/>
    <w:rsid w:val="00ED1EDB"/>
    <w:rsid w:val="00ED20D0"/>
    <w:rsid w:val="00ED218D"/>
    <w:rsid w:val="00ED2771"/>
    <w:rsid w:val="00ED2BAE"/>
    <w:rsid w:val="00ED2EBB"/>
    <w:rsid w:val="00ED37EC"/>
    <w:rsid w:val="00ED3A5B"/>
    <w:rsid w:val="00ED3C62"/>
    <w:rsid w:val="00ED419A"/>
    <w:rsid w:val="00ED4629"/>
    <w:rsid w:val="00ED4C0F"/>
    <w:rsid w:val="00ED4F42"/>
    <w:rsid w:val="00ED53AE"/>
    <w:rsid w:val="00ED5519"/>
    <w:rsid w:val="00ED58B6"/>
    <w:rsid w:val="00ED6536"/>
    <w:rsid w:val="00ED67A9"/>
    <w:rsid w:val="00ED7B99"/>
    <w:rsid w:val="00ED7BA8"/>
    <w:rsid w:val="00ED7FA0"/>
    <w:rsid w:val="00EE021C"/>
    <w:rsid w:val="00EE1016"/>
    <w:rsid w:val="00EE172D"/>
    <w:rsid w:val="00EE28C7"/>
    <w:rsid w:val="00EE2BB5"/>
    <w:rsid w:val="00EE51E6"/>
    <w:rsid w:val="00EE54CA"/>
    <w:rsid w:val="00EE5EA1"/>
    <w:rsid w:val="00EE65A1"/>
    <w:rsid w:val="00EE6604"/>
    <w:rsid w:val="00EE663A"/>
    <w:rsid w:val="00EE67C9"/>
    <w:rsid w:val="00EE6CAA"/>
    <w:rsid w:val="00EE71F3"/>
    <w:rsid w:val="00EE789E"/>
    <w:rsid w:val="00EF0152"/>
    <w:rsid w:val="00EF064E"/>
    <w:rsid w:val="00EF067E"/>
    <w:rsid w:val="00EF0747"/>
    <w:rsid w:val="00EF1405"/>
    <w:rsid w:val="00EF14AB"/>
    <w:rsid w:val="00EF1EE2"/>
    <w:rsid w:val="00EF2486"/>
    <w:rsid w:val="00EF2E7A"/>
    <w:rsid w:val="00EF2FEE"/>
    <w:rsid w:val="00EF3CE5"/>
    <w:rsid w:val="00EF3E7C"/>
    <w:rsid w:val="00EF3F6C"/>
    <w:rsid w:val="00EF4265"/>
    <w:rsid w:val="00EF49C4"/>
    <w:rsid w:val="00EF4B89"/>
    <w:rsid w:val="00EF4F5F"/>
    <w:rsid w:val="00EF5E21"/>
    <w:rsid w:val="00EF6358"/>
    <w:rsid w:val="00EF6ACE"/>
    <w:rsid w:val="00EF71D0"/>
    <w:rsid w:val="00EF75C4"/>
    <w:rsid w:val="00EF79CD"/>
    <w:rsid w:val="00EF7A50"/>
    <w:rsid w:val="00EF7B74"/>
    <w:rsid w:val="00EF7CD9"/>
    <w:rsid w:val="00F00379"/>
    <w:rsid w:val="00F0146C"/>
    <w:rsid w:val="00F015A1"/>
    <w:rsid w:val="00F016A4"/>
    <w:rsid w:val="00F023F6"/>
    <w:rsid w:val="00F026E9"/>
    <w:rsid w:val="00F0279C"/>
    <w:rsid w:val="00F03006"/>
    <w:rsid w:val="00F031EB"/>
    <w:rsid w:val="00F032A2"/>
    <w:rsid w:val="00F03592"/>
    <w:rsid w:val="00F036FA"/>
    <w:rsid w:val="00F0403F"/>
    <w:rsid w:val="00F04F03"/>
    <w:rsid w:val="00F07A33"/>
    <w:rsid w:val="00F10C7A"/>
    <w:rsid w:val="00F10DCF"/>
    <w:rsid w:val="00F11236"/>
    <w:rsid w:val="00F115A2"/>
    <w:rsid w:val="00F11659"/>
    <w:rsid w:val="00F11FC4"/>
    <w:rsid w:val="00F1238A"/>
    <w:rsid w:val="00F12AAD"/>
    <w:rsid w:val="00F12B9A"/>
    <w:rsid w:val="00F13479"/>
    <w:rsid w:val="00F13549"/>
    <w:rsid w:val="00F13AC6"/>
    <w:rsid w:val="00F13B46"/>
    <w:rsid w:val="00F13FD5"/>
    <w:rsid w:val="00F14C7B"/>
    <w:rsid w:val="00F14ECB"/>
    <w:rsid w:val="00F15CA9"/>
    <w:rsid w:val="00F16AC0"/>
    <w:rsid w:val="00F16D51"/>
    <w:rsid w:val="00F16DDC"/>
    <w:rsid w:val="00F175E6"/>
    <w:rsid w:val="00F17810"/>
    <w:rsid w:val="00F206B3"/>
    <w:rsid w:val="00F20AAB"/>
    <w:rsid w:val="00F20C03"/>
    <w:rsid w:val="00F210E5"/>
    <w:rsid w:val="00F21C0D"/>
    <w:rsid w:val="00F226B3"/>
    <w:rsid w:val="00F228A1"/>
    <w:rsid w:val="00F22A96"/>
    <w:rsid w:val="00F231DA"/>
    <w:rsid w:val="00F2361A"/>
    <w:rsid w:val="00F23689"/>
    <w:rsid w:val="00F24248"/>
    <w:rsid w:val="00F24A24"/>
    <w:rsid w:val="00F24AA2"/>
    <w:rsid w:val="00F24B3E"/>
    <w:rsid w:val="00F24C70"/>
    <w:rsid w:val="00F24CB0"/>
    <w:rsid w:val="00F25F0A"/>
    <w:rsid w:val="00F262FF"/>
    <w:rsid w:val="00F263D9"/>
    <w:rsid w:val="00F267C5"/>
    <w:rsid w:val="00F26D4D"/>
    <w:rsid w:val="00F277AC"/>
    <w:rsid w:val="00F27FF4"/>
    <w:rsid w:val="00F3007A"/>
    <w:rsid w:val="00F30874"/>
    <w:rsid w:val="00F30AA7"/>
    <w:rsid w:val="00F315D1"/>
    <w:rsid w:val="00F31B9A"/>
    <w:rsid w:val="00F31E72"/>
    <w:rsid w:val="00F32082"/>
    <w:rsid w:val="00F32266"/>
    <w:rsid w:val="00F32A17"/>
    <w:rsid w:val="00F32C79"/>
    <w:rsid w:val="00F32F4B"/>
    <w:rsid w:val="00F33ACB"/>
    <w:rsid w:val="00F33D62"/>
    <w:rsid w:val="00F3413A"/>
    <w:rsid w:val="00F348D4"/>
    <w:rsid w:val="00F34E23"/>
    <w:rsid w:val="00F3521C"/>
    <w:rsid w:val="00F35A69"/>
    <w:rsid w:val="00F35C81"/>
    <w:rsid w:val="00F35CC2"/>
    <w:rsid w:val="00F35D6E"/>
    <w:rsid w:val="00F3760C"/>
    <w:rsid w:val="00F379EE"/>
    <w:rsid w:val="00F408A1"/>
    <w:rsid w:val="00F4126B"/>
    <w:rsid w:val="00F416AB"/>
    <w:rsid w:val="00F42B00"/>
    <w:rsid w:val="00F42B6F"/>
    <w:rsid w:val="00F435DE"/>
    <w:rsid w:val="00F437E2"/>
    <w:rsid w:val="00F43809"/>
    <w:rsid w:val="00F43EB9"/>
    <w:rsid w:val="00F440AE"/>
    <w:rsid w:val="00F44214"/>
    <w:rsid w:val="00F445B4"/>
    <w:rsid w:val="00F447E2"/>
    <w:rsid w:val="00F45E48"/>
    <w:rsid w:val="00F46640"/>
    <w:rsid w:val="00F4670D"/>
    <w:rsid w:val="00F471C0"/>
    <w:rsid w:val="00F47311"/>
    <w:rsid w:val="00F47474"/>
    <w:rsid w:val="00F47936"/>
    <w:rsid w:val="00F479AB"/>
    <w:rsid w:val="00F47CD0"/>
    <w:rsid w:val="00F47FBA"/>
    <w:rsid w:val="00F50615"/>
    <w:rsid w:val="00F50A8A"/>
    <w:rsid w:val="00F50C5E"/>
    <w:rsid w:val="00F50E73"/>
    <w:rsid w:val="00F50F61"/>
    <w:rsid w:val="00F5111A"/>
    <w:rsid w:val="00F5197A"/>
    <w:rsid w:val="00F52CBD"/>
    <w:rsid w:val="00F52E11"/>
    <w:rsid w:val="00F52E5E"/>
    <w:rsid w:val="00F530B2"/>
    <w:rsid w:val="00F53579"/>
    <w:rsid w:val="00F538AC"/>
    <w:rsid w:val="00F53963"/>
    <w:rsid w:val="00F539F4"/>
    <w:rsid w:val="00F53DE0"/>
    <w:rsid w:val="00F54397"/>
    <w:rsid w:val="00F54636"/>
    <w:rsid w:val="00F54793"/>
    <w:rsid w:val="00F54B2E"/>
    <w:rsid w:val="00F54CF9"/>
    <w:rsid w:val="00F54D04"/>
    <w:rsid w:val="00F54ECA"/>
    <w:rsid w:val="00F55208"/>
    <w:rsid w:val="00F55851"/>
    <w:rsid w:val="00F56F5A"/>
    <w:rsid w:val="00F56F61"/>
    <w:rsid w:val="00F57391"/>
    <w:rsid w:val="00F57A11"/>
    <w:rsid w:val="00F57BBD"/>
    <w:rsid w:val="00F57DAC"/>
    <w:rsid w:val="00F604E7"/>
    <w:rsid w:val="00F60C91"/>
    <w:rsid w:val="00F619A0"/>
    <w:rsid w:val="00F61B1E"/>
    <w:rsid w:val="00F623C6"/>
    <w:rsid w:val="00F627F9"/>
    <w:rsid w:val="00F63607"/>
    <w:rsid w:val="00F6390F"/>
    <w:rsid w:val="00F63C4A"/>
    <w:rsid w:val="00F63EDA"/>
    <w:rsid w:val="00F64277"/>
    <w:rsid w:val="00F65299"/>
    <w:rsid w:val="00F65604"/>
    <w:rsid w:val="00F65A82"/>
    <w:rsid w:val="00F660BD"/>
    <w:rsid w:val="00F66489"/>
    <w:rsid w:val="00F668C5"/>
    <w:rsid w:val="00F66BBE"/>
    <w:rsid w:val="00F674E9"/>
    <w:rsid w:val="00F6755F"/>
    <w:rsid w:val="00F67C1D"/>
    <w:rsid w:val="00F67CC0"/>
    <w:rsid w:val="00F67CE1"/>
    <w:rsid w:val="00F701DF"/>
    <w:rsid w:val="00F70B22"/>
    <w:rsid w:val="00F70E5B"/>
    <w:rsid w:val="00F70F84"/>
    <w:rsid w:val="00F70FA7"/>
    <w:rsid w:val="00F718AC"/>
    <w:rsid w:val="00F71AA4"/>
    <w:rsid w:val="00F73631"/>
    <w:rsid w:val="00F73C95"/>
    <w:rsid w:val="00F7409D"/>
    <w:rsid w:val="00F74653"/>
    <w:rsid w:val="00F7466E"/>
    <w:rsid w:val="00F7494A"/>
    <w:rsid w:val="00F74FF7"/>
    <w:rsid w:val="00F7502F"/>
    <w:rsid w:val="00F755C7"/>
    <w:rsid w:val="00F765B9"/>
    <w:rsid w:val="00F7696E"/>
    <w:rsid w:val="00F774CC"/>
    <w:rsid w:val="00F7767F"/>
    <w:rsid w:val="00F77E35"/>
    <w:rsid w:val="00F77EB7"/>
    <w:rsid w:val="00F80772"/>
    <w:rsid w:val="00F80987"/>
    <w:rsid w:val="00F80DD9"/>
    <w:rsid w:val="00F813A0"/>
    <w:rsid w:val="00F817A7"/>
    <w:rsid w:val="00F820BF"/>
    <w:rsid w:val="00F8214B"/>
    <w:rsid w:val="00F829B7"/>
    <w:rsid w:val="00F84212"/>
    <w:rsid w:val="00F8444D"/>
    <w:rsid w:val="00F845AC"/>
    <w:rsid w:val="00F848C1"/>
    <w:rsid w:val="00F85857"/>
    <w:rsid w:val="00F85BE1"/>
    <w:rsid w:val="00F86169"/>
    <w:rsid w:val="00F863CC"/>
    <w:rsid w:val="00F869E0"/>
    <w:rsid w:val="00F86BE6"/>
    <w:rsid w:val="00F872E6"/>
    <w:rsid w:val="00F87E89"/>
    <w:rsid w:val="00F908AA"/>
    <w:rsid w:val="00F92D7B"/>
    <w:rsid w:val="00F93DBA"/>
    <w:rsid w:val="00F94796"/>
    <w:rsid w:val="00F94818"/>
    <w:rsid w:val="00F950FE"/>
    <w:rsid w:val="00F9525F"/>
    <w:rsid w:val="00F95511"/>
    <w:rsid w:val="00F95828"/>
    <w:rsid w:val="00F95951"/>
    <w:rsid w:val="00F95A7B"/>
    <w:rsid w:val="00F96246"/>
    <w:rsid w:val="00F96D9F"/>
    <w:rsid w:val="00F970A0"/>
    <w:rsid w:val="00F97E6E"/>
    <w:rsid w:val="00FA049E"/>
    <w:rsid w:val="00FA12B9"/>
    <w:rsid w:val="00FA170F"/>
    <w:rsid w:val="00FA1A64"/>
    <w:rsid w:val="00FA1BF3"/>
    <w:rsid w:val="00FA2B1C"/>
    <w:rsid w:val="00FA2DE8"/>
    <w:rsid w:val="00FA2FAA"/>
    <w:rsid w:val="00FA3502"/>
    <w:rsid w:val="00FA41C0"/>
    <w:rsid w:val="00FA4891"/>
    <w:rsid w:val="00FA500C"/>
    <w:rsid w:val="00FA538F"/>
    <w:rsid w:val="00FA5443"/>
    <w:rsid w:val="00FA5499"/>
    <w:rsid w:val="00FA5669"/>
    <w:rsid w:val="00FA61AE"/>
    <w:rsid w:val="00FA63AE"/>
    <w:rsid w:val="00FA64F9"/>
    <w:rsid w:val="00FA6659"/>
    <w:rsid w:val="00FA6BC7"/>
    <w:rsid w:val="00FA74FC"/>
    <w:rsid w:val="00FA7E53"/>
    <w:rsid w:val="00FB0346"/>
    <w:rsid w:val="00FB0620"/>
    <w:rsid w:val="00FB0641"/>
    <w:rsid w:val="00FB085B"/>
    <w:rsid w:val="00FB09ED"/>
    <w:rsid w:val="00FB0F57"/>
    <w:rsid w:val="00FB12B2"/>
    <w:rsid w:val="00FB1DBD"/>
    <w:rsid w:val="00FB20F9"/>
    <w:rsid w:val="00FB2118"/>
    <w:rsid w:val="00FB2433"/>
    <w:rsid w:val="00FB2890"/>
    <w:rsid w:val="00FB2AC4"/>
    <w:rsid w:val="00FB3112"/>
    <w:rsid w:val="00FB32BB"/>
    <w:rsid w:val="00FB336D"/>
    <w:rsid w:val="00FB3943"/>
    <w:rsid w:val="00FB4385"/>
    <w:rsid w:val="00FB46D7"/>
    <w:rsid w:val="00FB4C74"/>
    <w:rsid w:val="00FB4C9F"/>
    <w:rsid w:val="00FB5A7C"/>
    <w:rsid w:val="00FB5B3A"/>
    <w:rsid w:val="00FB61D0"/>
    <w:rsid w:val="00FB66C5"/>
    <w:rsid w:val="00FB6CC0"/>
    <w:rsid w:val="00FC018A"/>
    <w:rsid w:val="00FC023F"/>
    <w:rsid w:val="00FC03F5"/>
    <w:rsid w:val="00FC04FB"/>
    <w:rsid w:val="00FC0934"/>
    <w:rsid w:val="00FC0FA9"/>
    <w:rsid w:val="00FC156F"/>
    <w:rsid w:val="00FC1C50"/>
    <w:rsid w:val="00FC1F67"/>
    <w:rsid w:val="00FC2A32"/>
    <w:rsid w:val="00FC2A7E"/>
    <w:rsid w:val="00FC2B30"/>
    <w:rsid w:val="00FC2BD7"/>
    <w:rsid w:val="00FC2DC4"/>
    <w:rsid w:val="00FC34D6"/>
    <w:rsid w:val="00FC4060"/>
    <w:rsid w:val="00FC40D9"/>
    <w:rsid w:val="00FC4682"/>
    <w:rsid w:val="00FC4814"/>
    <w:rsid w:val="00FC4C50"/>
    <w:rsid w:val="00FC4FC5"/>
    <w:rsid w:val="00FC4FE8"/>
    <w:rsid w:val="00FC51F8"/>
    <w:rsid w:val="00FC584E"/>
    <w:rsid w:val="00FC6024"/>
    <w:rsid w:val="00FC659E"/>
    <w:rsid w:val="00FC65B9"/>
    <w:rsid w:val="00FC6735"/>
    <w:rsid w:val="00FC71A3"/>
    <w:rsid w:val="00FC778D"/>
    <w:rsid w:val="00FC7CAD"/>
    <w:rsid w:val="00FD00D7"/>
    <w:rsid w:val="00FD0687"/>
    <w:rsid w:val="00FD07DA"/>
    <w:rsid w:val="00FD12F5"/>
    <w:rsid w:val="00FD1A63"/>
    <w:rsid w:val="00FD1CF6"/>
    <w:rsid w:val="00FD24E5"/>
    <w:rsid w:val="00FD26E7"/>
    <w:rsid w:val="00FD3070"/>
    <w:rsid w:val="00FD3778"/>
    <w:rsid w:val="00FD38E4"/>
    <w:rsid w:val="00FD3CB4"/>
    <w:rsid w:val="00FD4721"/>
    <w:rsid w:val="00FD4858"/>
    <w:rsid w:val="00FD4D16"/>
    <w:rsid w:val="00FD4FA7"/>
    <w:rsid w:val="00FD509D"/>
    <w:rsid w:val="00FD5965"/>
    <w:rsid w:val="00FD5F8D"/>
    <w:rsid w:val="00FD65E4"/>
    <w:rsid w:val="00FD6AD7"/>
    <w:rsid w:val="00FD6F2F"/>
    <w:rsid w:val="00FD7484"/>
    <w:rsid w:val="00FD74BF"/>
    <w:rsid w:val="00FD7DB8"/>
    <w:rsid w:val="00FE1105"/>
    <w:rsid w:val="00FE1266"/>
    <w:rsid w:val="00FE16AF"/>
    <w:rsid w:val="00FE191A"/>
    <w:rsid w:val="00FE1AD0"/>
    <w:rsid w:val="00FE1D46"/>
    <w:rsid w:val="00FE2022"/>
    <w:rsid w:val="00FE2CAD"/>
    <w:rsid w:val="00FE2D0A"/>
    <w:rsid w:val="00FE325E"/>
    <w:rsid w:val="00FE3A30"/>
    <w:rsid w:val="00FE3AF3"/>
    <w:rsid w:val="00FE4C9C"/>
    <w:rsid w:val="00FE4FD7"/>
    <w:rsid w:val="00FE5030"/>
    <w:rsid w:val="00FE5792"/>
    <w:rsid w:val="00FE58DB"/>
    <w:rsid w:val="00FE5979"/>
    <w:rsid w:val="00FE7B2E"/>
    <w:rsid w:val="00FF00BA"/>
    <w:rsid w:val="00FF091B"/>
    <w:rsid w:val="00FF0CF0"/>
    <w:rsid w:val="00FF180B"/>
    <w:rsid w:val="00FF1BD2"/>
    <w:rsid w:val="00FF1D27"/>
    <w:rsid w:val="00FF1F00"/>
    <w:rsid w:val="00FF2F50"/>
    <w:rsid w:val="00FF34B9"/>
    <w:rsid w:val="00FF3636"/>
    <w:rsid w:val="00FF3711"/>
    <w:rsid w:val="00FF37EE"/>
    <w:rsid w:val="00FF4258"/>
    <w:rsid w:val="00FF44FE"/>
    <w:rsid w:val="00FF60B0"/>
    <w:rsid w:val="00FF67B0"/>
    <w:rsid w:val="00FF6A52"/>
    <w:rsid w:val="00FF6B75"/>
    <w:rsid w:val="00FF6FB1"/>
    <w:rsid w:val="00FF7BEA"/>
    <w:rsid w:val="00FF7BFF"/>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06C96"/>
  <w15:docId w15:val="{3C36447A-42C4-4778-8194-6C4C7C31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F9E"/>
  </w:style>
  <w:style w:type="paragraph" w:styleId="Heading1">
    <w:name w:val="heading 1"/>
    <w:basedOn w:val="Normal"/>
    <w:next w:val="Normal"/>
    <w:qFormat/>
    <w:rsid w:val="008B17F6"/>
    <w:pPr>
      <w:keepNext/>
      <w:outlineLvl w:val="0"/>
    </w:pPr>
    <w:rPr>
      <w:b/>
      <w:sz w:val="24"/>
    </w:rPr>
  </w:style>
  <w:style w:type="paragraph" w:styleId="Heading2">
    <w:name w:val="heading 2"/>
    <w:basedOn w:val="Normal"/>
    <w:next w:val="Normal"/>
    <w:link w:val="Heading2Char"/>
    <w:autoRedefine/>
    <w:qFormat/>
    <w:rsid w:val="00936FEE"/>
    <w:pPr>
      <w:keepNext/>
      <w:spacing w:before="150" w:after="15"/>
      <w:ind w:left="270" w:hanging="270"/>
      <w:outlineLvl w:val="1"/>
    </w:pPr>
    <w:rPr>
      <w:b/>
      <w:sz w:val="24"/>
      <w:szCs w:val="24"/>
    </w:rPr>
  </w:style>
  <w:style w:type="paragraph" w:styleId="Heading3">
    <w:name w:val="heading 3"/>
    <w:basedOn w:val="Normal"/>
    <w:next w:val="Normal"/>
    <w:qFormat/>
    <w:rsid w:val="001A7509"/>
    <w:pPr>
      <w:keepNext/>
      <w:tabs>
        <w:tab w:val="left" w:pos="270"/>
      </w:tabs>
      <w:ind w:left="270"/>
      <w:jc w:val="both"/>
      <w:outlineLvl w:val="2"/>
    </w:pPr>
    <w:rPr>
      <w:b/>
      <w:sz w:val="24"/>
      <w:szCs w:val="24"/>
    </w:rPr>
  </w:style>
  <w:style w:type="paragraph" w:styleId="Heading4">
    <w:name w:val="heading 4"/>
    <w:basedOn w:val="Normal"/>
    <w:next w:val="Normal"/>
    <w:qFormat/>
    <w:rsid w:val="001A587F"/>
    <w:pPr>
      <w:keepNext/>
      <w:spacing w:before="120" w:after="60"/>
      <w:ind w:firstLine="360"/>
      <w:outlineLvl w:val="3"/>
    </w:pPr>
    <w:rPr>
      <w:b/>
      <w:sz w:val="24"/>
      <w:szCs w:val="24"/>
    </w:rPr>
  </w:style>
  <w:style w:type="paragraph" w:styleId="Heading5">
    <w:name w:val="heading 5"/>
    <w:basedOn w:val="Normal"/>
    <w:next w:val="Normal"/>
    <w:qFormat/>
    <w:rsid w:val="00CC3CFB"/>
    <w:pPr>
      <w:keepNext/>
      <w:ind w:left="630"/>
      <w:jc w:val="both"/>
      <w:outlineLvl w:val="4"/>
    </w:pPr>
    <w:rPr>
      <w:b/>
      <w:bCs/>
      <w:iCs/>
      <w:sz w:val="24"/>
    </w:rPr>
  </w:style>
  <w:style w:type="paragraph" w:styleId="Heading6">
    <w:name w:val="heading 6"/>
    <w:basedOn w:val="Normal"/>
    <w:next w:val="Normal"/>
    <w:qFormat/>
    <w:rsid w:val="008B17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outlineLvl w:val="5"/>
    </w:pPr>
    <w:rPr>
      <w:sz w:val="24"/>
    </w:rPr>
  </w:style>
  <w:style w:type="paragraph" w:styleId="Heading7">
    <w:name w:val="heading 7"/>
    <w:basedOn w:val="Normal"/>
    <w:next w:val="Normal"/>
    <w:qFormat/>
    <w:rsid w:val="008B17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outlineLvl w:val="6"/>
    </w:pPr>
    <w:rPr>
      <w:sz w:val="24"/>
    </w:rPr>
  </w:style>
  <w:style w:type="paragraph" w:styleId="Heading8">
    <w:name w:val="heading 8"/>
    <w:basedOn w:val="Normal"/>
    <w:next w:val="Normal"/>
    <w:qFormat/>
    <w:rsid w:val="008B17F6"/>
    <w:pPr>
      <w:keepNext/>
      <w:jc w:val="both"/>
      <w:outlineLvl w:val="7"/>
    </w:pPr>
    <w:rPr>
      <w:color w:val="000000"/>
      <w:sz w:val="24"/>
      <w:u w:val="single"/>
    </w:rPr>
  </w:style>
  <w:style w:type="paragraph" w:styleId="Heading9">
    <w:name w:val="heading 9"/>
    <w:basedOn w:val="Normal"/>
    <w:next w:val="Normal"/>
    <w:qFormat/>
    <w:rsid w:val="008B17F6"/>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17F6"/>
    <w:pPr>
      <w:tabs>
        <w:tab w:val="center" w:pos="4320"/>
        <w:tab w:val="right" w:pos="8640"/>
      </w:tabs>
    </w:pPr>
  </w:style>
  <w:style w:type="paragraph" w:styleId="Header">
    <w:name w:val="header"/>
    <w:basedOn w:val="Normal"/>
    <w:link w:val="HeaderChar"/>
    <w:uiPriority w:val="99"/>
    <w:rsid w:val="008B17F6"/>
    <w:pPr>
      <w:tabs>
        <w:tab w:val="center" w:pos="4320"/>
        <w:tab w:val="right" w:pos="8640"/>
      </w:tabs>
    </w:pPr>
  </w:style>
  <w:style w:type="paragraph" w:styleId="FootnoteText">
    <w:name w:val="footnote text"/>
    <w:basedOn w:val="Normal"/>
    <w:semiHidden/>
    <w:rsid w:val="008B17F6"/>
  </w:style>
  <w:style w:type="character" w:styleId="FootnoteReference">
    <w:name w:val="footnote reference"/>
    <w:semiHidden/>
    <w:rsid w:val="008B17F6"/>
    <w:rPr>
      <w:vertAlign w:val="superscript"/>
    </w:rPr>
  </w:style>
  <w:style w:type="character" w:styleId="PageNumber">
    <w:name w:val="page number"/>
    <w:basedOn w:val="DefaultParagraphFont"/>
    <w:semiHidden/>
    <w:rsid w:val="008B17F6"/>
  </w:style>
  <w:style w:type="paragraph" w:styleId="EndnoteText">
    <w:name w:val="endnote text"/>
    <w:basedOn w:val="Normal"/>
    <w:semiHidden/>
    <w:rsid w:val="008B17F6"/>
  </w:style>
  <w:style w:type="character" w:styleId="EndnoteReference">
    <w:name w:val="endnote reference"/>
    <w:semiHidden/>
    <w:rsid w:val="008B17F6"/>
    <w:rPr>
      <w:vertAlign w:val="superscript"/>
    </w:rPr>
  </w:style>
  <w:style w:type="paragraph" w:customStyle="1" w:styleId="praf">
    <w:name w:val="praf"/>
    <w:basedOn w:val="Normal"/>
    <w:rsid w:val="008B17F6"/>
    <w:pPr>
      <w:widowControl w:val="0"/>
      <w:spacing w:before="200"/>
      <w:ind w:firstLine="720"/>
      <w:jc w:val="both"/>
    </w:pPr>
    <w:rPr>
      <w:rFonts w:ascii="Century Schoolbook" w:hAnsi="Century Schoolbook"/>
    </w:rPr>
  </w:style>
  <w:style w:type="paragraph" w:styleId="BodyText">
    <w:name w:val="Body Text"/>
    <w:basedOn w:val="Normal"/>
    <w:link w:val="BodyTextChar"/>
    <w:semiHidden/>
    <w:rsid w:val="008B17F6"/>
    <w:pPr>
      <w:spacing w:before="120" w:after="120"/>
      <w:jc w:val="both"/>
    </w:pPr>
    <w:rPr>
      <w:sz w:val="24"/>
    </w:rPr>
  </w:style>
  <w:style w:type="paragraph" w:styleId="BodyTextIndent">
    <w:name w:val="Body Text Indent"/>
    <w:basedOn w:val="Normal"/>
    <w:semiHidden/>
    <w:rsid w:val="008B17F6"/>
    <w:pPr>
      <w:widowControl w:val="0"/>
      <w:tabs>
        <w:tab w:val="left" w:pos="1800"/>
        <w:tab w:val="left" w:pos="7200"/>
      </w:tabs>
      <w:ind w:left="1800" w:hanging="360"/>
      <w:jc w:val="both"/>
    </w:pPr>
    <w:rPr>
      <w:sz w:val="24"/>
    </w:rPr>
  </w:style>
  <w:style w:type="paragraph" w:styleId="BodyTextIndent2">
    <w:name w:val="Body Text Indent 2"/>
    <w:basedOn w:val="Normal"/>
    <w:semiHidden/>
    <w:rsid w:val="008B17F6"/>
    <w:pPr>
      <w:spacing w:after="120"/>
      <w:ind w:left="432"/>
      <w:jc w:val="both"/>
    </w:pPr>
    <w:rPr>
      <w:snapToGrid w:val="0"/>
      <w:sz w:val="24"/>
    </w:rPr>
  </w:style>
  <w:style w:type="paragraph" w:styleId="BodyTextIndent3">
    <w:name w:val="Body Text Indent 3"/>
    <w:basedOn w:val="Normal"/>
    <w:semiHidden/>
    <w:rsid w:val="008B17F6"/>
    <w:pPr>
      <w:spacing w:before="120" w:after="120"/>
      <w:ind w:left="720"/>
      <w:jc w:val="both"/>
    </w:pPr>
    <w:rPr>
      <w:sz w:val="24"/>
    </w:rPr>
  </w:style>
  <w:style w:type="paragraph" w:styleId="BodyText2">
    <w:name w:val="Body Text 2"/>
    <w:basedOn w:val="Normal"/>
    <w:semiHidden/>
    <w:rsid w:val="008B17F6"/>
    <w:pPr>
      <w:widowControl w:val="0"/>
    </w:pPr>
    <w:rPr>
      <w:sz w:val="24"/>
    </w:rPr>
  </w:style>
  <w:style w:type="character" w:styleId="Hyperlink">
    <w:name w:val="Hyperlink"/>
    <w:uiPriority w:val="99"/>
    <w:rsid w:val="008B17F6"/>
    <w:rPr>
      <w:color w:val="0000FF"/>
      <w:u w:val="single"/>
    </w:rPr>
  </w:style>
  <w:style w:type="paragraph" w:customStyle="1" w:styleId="DELText">
    <w:name w:val="DEL Text"/>
    <w:basedOn w:val="Normal"/>
    <w:rsid w:val="008B17F6"/>
    <w:pPr>
      <w:tabs>
        <w:tab w:val="left" w:pos="360"/>
        <w:tab w:val="left" w:pos="720"/>
        <w:tab w:val="left" w:pos="1440"/>
      </w:tabs>
      <w:ind w:left="360"/>
      <w:jc w:val="both"/>
    </w:pPr>
    <w:rPr>
      <w:rFonts w:ascii="Arial" w:hAnsi="Arial"/>
    </w:rPr>
  </w:style>
  <w:style w:type="paragraph" w:styleId="DocumentMap">
    <w:name w:val="Document Map"/>
    <w:basedOn w:val="Normal"/>
    <w:semiHidden/>
    <w:rsid w:val="008B17F6"/>
    <w:pPr>
      <w:shd w:val="clear" w:color="auto" w:fill="000080"/>
    </w:pPr>
    <w:rPr>
      <w:rFonts w:ascii="Tahoma" w:hAnsi="Tahoma" w:cs="Tahoma"/>
    </w:rPr>
  </w:style>
  <w:style w:type="paragraph" w:styleId="TOC1">
    <w:name w:val="toc 1"/>
    <w:basedOn w:val="Normal"/>
    <w:next w:val="Normal"/>
    <w:autoRedefine/>
    <w:uiPriority w:val="39"/>
    <w:rsid w:val="008B17F6"/>
    <w:pPr>
      <w:spacing w:before="120" w:after="120"/>
    </w:pPr>
    <w:rPr>
      <w:rFonts w:ascii="Calibri" w:hAnsi="Calibri"/>
      <w:b/>
      <w:bCs/>
      <w:caps/>
    </w:rPr>
  </w:style>
  <w:style w:type="paragraph" w:customStyle="1" w:styleId="MRS">
    <w:name w:val="MRS"/>
    <w:basedOn w:val="Normal"/>
    <w:rsid w:val="008B17F6"/>
    <w:pPr>
      <w:jc w:val="both"/>
    </w:pPr>
    <w:rPr>
      <w:sz w:val="24"/>
    </w:rPr>
  </w:style>
  <w:style w:type="paragraph" w:customStyle="1" w:styleId="MRS1">
    <w:name w:val="MRS 1"/>
    <w:basedOn w:val="Normal"/>
    <w:rsid w:val="008B17F6"/>
    <w:pPr>
      <w:pBdr>
        <w:top w:val="double" w:sz="12" w:space="1" w:color="000080"/>
        <w:left w:val="double" w:sz="12" w:space="1" w:color="000080"/>
        <w:bottom w:val="double" w:sz="12" w:space="1" w:color="000080"/>
        <w:right w:val="double" w:sz="12" w:space="1" w:color="000080"/>
      </w:pBdr>
      <w:shd w:val="pct20" w:color="0000FF" w:fill="auto"/>
      <w:jc w:val="center"/>
    </w:pPr>
    <w:rPr>
      <w:b/>
      <w:sz w:val="24"/>
    </w:rPr>
  </w:style>
  <w:style w:type="paragraph" w:customStyle="1" w:styleId="MRS2">
    <w:name w:val="MRS2"/>
    <w:basedOn w:val="Normal"/>
    <w:rsid w:val="008B17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s>
      <w:spacing w:line="240" w:lineRule="exact"/>
      <w:jc w:val="both"/>
    </w:pPr>
    <w:rPr>
      <w:sz w:val="24"/>
    </w:rPr>
  </w:style>
  <w:style w:type="paragraph" w:styleId="BlockText">
    <w:name w:val="Block Text"/>
    <w:basedOn w:val="Normal"/>
    <w:semiHidden/>
    <w:rsid w:val="008B17F6"/>
    <w:pPr>
      <w:ind w:left="720" w:right="1080"/>
      <w:jc w:val="both"/>
    </w:pPr>
    <w:rPr>
      <w:sz w:val="24"/>
    </w:rPr>
  </w:style>
  <w:style w:type="character" w:styleId="FollowedHyperlink">
    <w:name w:val="FollowedHyperlink"/>
    <w:semiHidden/>
    <w:rsid w:val="008B17F6"/>
    <w:rPr>
      <w:color w:val="800080"/>
      <w:u w:val="single"/>
    </w:rPr>
  </w:style>
  <w:style w:type="paragraph" w:styleId="BodyText3">
    <w:name w:val="Body Text 3"/>
    <w:basedOn w:val="Normal"/>
    <w:semiHidden/>
    <w:rsid w:val="008B17F6"/>
    <w:pPr>
      <w:pBdr>
        <w:top w:val="single" w:sz="4" w:space="1" w:color="auto"/>
        <w:left w:val="single" w:sz="4" w:space="4" w:color="auto"/>
        <w:bottom w:val="single" w:sz="4" w:space="1" w:color="auto"/>
        <w:right w:val="single" w:sz="4" w:space="4" w:color="auto"/>
      </w:pBdr>
      <w:shd w:val="clear" w:color="auto" w:fill="BBDDFF"/>
    </w:pPr>
    <w:rPr>
      <w:sz w:val="24"/>
    </w:rPr>
  </w:style>
  <w:style w:type="paragraph" w:styleId="NormalWeb">
    <w:name w:val="Normal (Web)"/>
    <w:basedOn w:val="Normal"/>
    <w:uiPriority w:val="99"/>
    <w:rsid w:val="008B17F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lt1">
    <w:name w:val="lt1"/>
    <w:basedOn w:val="Normal"/>
    <w:rsid w:val="008B17F6"/>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pt">
    <w:name w:val="tpt"/>
    <w:basedOn w:val="Normal"/>
    <w:rsid w:val="008B17F6"/>
    <w:pPr>
      <w:spacing w:before="100" w:beforeAutospacing="1" w:after="100" w:afterAutospacing="1"/>
    </w:pPr>
    <w:rPr>
      <w:rFonts w:ascii="Arial Unicode MS" w:eastAsia="Arial Unicode MS" w:hAnsi="Arial Unicode MS" w:cs="Arial Unicode MS"/>
      <w:color w:val="000000"/>
      <w:sz w:val="24"/>
      <w:szCs w:val="24"/>
    </w:rPr>
  </w:style>
  <w:style w:type="paragraph" w:styleId="Caption">
    <w:name w:val="caption"/>
    <w:basedOn w:val="Normal"/>
    <w:next w:val="Normal"/>
    <w:qFormat/>
    <w:rsid w:val="008B17F6"/>
    <w:rPr>
      <w:b/>
      <w:sz w:val="12"/>
    </w:rPr>
  </w:style>
  <w:style w:type="paragraph" w:customStyle="1" w:styleId="Default">
    <w:name w:val="Default"/>
    <w:rsid w:val="008B17F6"/>
    <w:pPr>
      <w:autoSpaceDE w:val="0"/>
      <w:autoSpaceDN w:val="0"/>
      <w:adjustRightInd w:val="0"/>
    </w:pPr>
    <w:rPr>
      <w:rFonts w:ascii="TimesNewRoman" w:hAnsi="TimesNewRoman"/>
    </w:rPr>
  </w:style>
  <w:style w:type="paragraph" w:styleId="HTMLPreformatted">
    <w:name w:val="HTML Preformatted"/>
    <w:basedOn w:val="Normal"/>
    <w:semiHidden/>
    <w:rsid w:val="008B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Level1">
    <w:name w:val="Level 1"/>
    <w:basedOn w:val="Normal"/>
    <w:rsid w:val="008B17F6"/>
    <w:pPr>
      <w:overflowPunct w:val="0"/>
      <w:autoSpaceDE w:val="0"/>
      <w:autoSpaceDN w:val="0"/>
      <w:adjustRightInd w:val="0"/>
      <w:textAlignment w:val="baseline"/>
    </w:pPr>
    <w:rPr>
      <w:rFonts w:ascii="Arial" w:hAnsi="Arial"/>
      <w:b/>
      <w:sz w:val="24"/>
    </w:rPr>
  </w:style>
  <w:style w:type="paragraph" w:styleId="TOC2">
    <w:name w:val="toc 2"/>
    <w:basedOn w:val="Normal"/>
    <w:next w:val="Normal"/>
    <w:autoRedefine/>
    <w:uiPriority w:val="39"/>
    <w:rsid w:val="008B17F6"/>
    <w:pPr>
      <w:ind w:left="200"/>
    </w:pPr>
    <w:rPr>
      <w:rFonts w:ascii="Calibri" w:hAnsi="Calibri"/>
      <w:smallCaps/>
    </w:rPr>
  </w:style>
  <w:style w:type="paragraph" w:styleId="TOC4">
    <w:name w:val="toc 4"/>
    <w:basedOn w:val="Normal"/>
    <w:next w:val="Normal"/>
    <w:autoRedefine/>
    <w:semiHidden/>
    <w:rsid w:val="008B17F6"/>
    <w:pPr>
      <w:ind w:left="600"/>
    </w:pPr>
    <w:rPr>
      <w:rFonts w:ascii="Calibri" w:hAnsi="Calibri"/>
      <w:sz w:val="18"/>
      <w:szCs w:val="18"/>
    </w:rPr>
  </w:style>
  <w:style w:type="paragraph" w:styleId="TOC7">
    <w:name w:val="toc 7"/>
    <w:basedOn w:val="Normal"/>
    <w:next w:val="Normal"/>
    <w:autoRedefine/>
    <w:semiHidden/>
    <w:rsid w:val="008B17F6"/>
    <w:pPr>
      <w:ind w:left="1200"/>
    </w:pPr>
    <w:rPr>
      <w:rFonts w:ascii="Calibri" w:hAnsi="Calibri"/>
      <w:sz w:val="18"/>
      <w:szCs w:val="18"/>
    </w:rPr>
  </w:style>
  <w:style w:type="paragraph" w:styleId="TOC3">
    <w:name w:val="toc 3"/>
    <w:basedOn w:val="Normal"/>
    <w:next w:val="Normal"/>
    <w:autoRedefine/>
    <w:uiPriority w:val="39"/>
    <w:rsid w:val="008B17F6"/>
    <w:pPr>
      <w:ind w:left="400"/>
    </w:pPr>
    <w:rPr>
      <w:rFonts w:ascii="Calibri" w:hAnsi="Calibri"/>
      <w:i/>
      <w:iCs/>
    </w:rPr>
  </w:style>
  <w:style w:type="paragraph" w:styleId="TOC5">
    <w:name w:val="toc 5"/>
    <w:basedOn w:val="Normal"/>
    <w:next w:val="Normal"/>
    <w:autoRedefine/>
    <w:semiHidden/>
    <w:rsid w:val="008B17F6"/>
    <w:pPr>
      <w:ind w:left="800"/>
    </w:pPr>
    <w:rPr>
      <w:rFonts w:ascii="Calibri" w:hAnsi="Calibri"/>
      <w:sz w:val="18"/>
      <w:szCs w:val="18"/>
    </w:rPr>
  </w:style>
  <w:style w:type="paragraph" w:styleId="TOC6">
    <w:name w:val="toc 6"/>
    <w:basedOn w:val="Normal"/>
    <w:next w:val="Normal"/>
    <w:autoRedefine/>
    <w:semiHidden/>
    <w:rsid w:val="008B17F6"/>
    <w:pPr>
      <w:ind w:left="1000"/>
    </w:pPr>
    <w:rPr>
      <w:rFonts w:ascii="Calibri" w:hAnsi="Calibri"/>
      <w:sz w:val="18"/>
      <w:szCs w:val="18"/>
    </w:rPr>
  </w:style>
  <w:style w:type="paragraph" w:styleId="TOC8">
    <w:name w:val="toc 8"/>
    <w:basedOn w:val="Normal"/>
    <w:next w:val="Normal"/>
    <w:autoRedefine/>
    <w:semiHidden/>
    <w:rsid w:val="008B17F6"/>
    <w:pPr>
      <w:ind w:left="1400"/>
    </w:pPr>
    <w:rPr>
      <w:rFonts w:ascii="Calibri" w:hAnsi="Calibri"/>
      <w:sz w:val="18"/>
      <w:szCs w:val="18"/>
    </w:rPr>
  </w:style>
  <w:style w:type="paragraph" w:styleId="TOC9">
    <w:name w:val="toc 9"/>
    <w:basedOn w:val="Normal"/>
    <w:next w:val="Normal"/>
    <w:autoRedefine/>
    <w:semiHidden/>
    <w:rsid w:val="008B17F6"/>
    <w:pPr>
      <w:ind w:left="1600"/>
    </w:pPr>
    <w:rPr>
      <w:rFonts w:ascii="Calibri" w:hAnsi="Calibri"/>
      <w:sz w:val="18"/>
      <w:szCs w:val="18"/>
    </w:rPr>
  </w:style>
  <w:style w:type="paragraph" w:styleId="z-BottomofForm">
    <w:name w:val="HTML Bottom of Form"/>
    <w:basedOn w:val="Normal"/>
    <w:next w:val="Normal"/>
    <w:hidden/>
    <w:rsid w:val="008B17F6"/>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8B17F6"/>
    <w:pPr>
      <w:pBdr>
        <w:bottom w:val="single" w:sz="6" w:space="1" w:color="auto"/>
      </w:pBdr>
      <w:jc w:val="center"/>
    </w:pPr>
    <w:rPr>
      <w:rFonts w:ascii="Arial" w:hAnsi="Arial" w:cs="Arial"/>
      <w:vanish/>
      <w:sz w:val="16"/>
      <w:szCs w:val="16"/>
    </w:rPr>
  </w:style>
  <w:style w:type="paragraph" w:customStyle="1" w:styleId="Body-12space">
    <w:name w:val="Body-1/2 space"/>
    <w:basedOn w:val="Normal"/>
    <w:rsid w:val="008B17F6"/>
    <w:pPr>
      <w:tabs>
        <w:tab w:val="left" w:pos="720"/>
        <w:tab w:val="left" w:pos="1440"/>
        <w:tab w:val="left" w:pos="2160"/>
      </w:tabs>
      <w:spacing w:after="120"/>
    </w:pPr>
    <w:rPr>
      <w:sz w:val="24"/>
    </w:rPr>
  </w:style>
  <w:style w:type="paragraph" w:styleId="Subtitle">
    <w:name w:val="Subtitle"/>
    <w:basedOn w:val="Normal"/>
    <w:link w:val="SubtitleChar"/>
    <w:qFormat/>
    <w:rsid w:val="008B17F6"/>
    <w:rPr>
      <w:b/>
      <w:bCs/>
      <w:sz w:val="36"/>
      <w:szCs w:val="24"/>
    </w:rPr>
  </w:style>
  <w:style w:type="character" w:customStyle="1" w:styleId="street-address">
    <w:name w:val="street-address"/>
    <w:basedOn w:val="DefaultParagraphFont"/>
    <w:rsid w:val="00EE51E6"/>
  </w:style>
  <w:style w:type="paragraph" w:styleId="ListParagraph">
    <w:name w:val="List Paragraph"/>
    <w:basedOn w:val="Normal"/>
    <w:uiPriority w:val="34"/>
    <w:qFormat/>
    <w:rsid w:val="007A00CF"/>
    <w:pPr>
      <w:ind w:left="720"/>
    </w:pPr>
  </w:style>
  <w:style w:type="character" w:customStyle="1" w:styleId="BodyTextChar">
    <w:name w:val="Body Text Char"/>
    <w:link w:val="BodyText"/>
    <w:semiHidden/>
    <w:rsid w:val="00A41B6E"/>
    <w:rPr>
      <w:sz w:val="24"/>
    </w:rPr>
  </w:style>
  <w:style w:type="character" w:customStyle="1" w:styleId="HeaderChar">
    <w:name w:val="Header Char"/>
    <w:basedOn w:val="DefaultParagraphFont"/>
    <w:link w:val="Header"/>
    <w:uiPriority w:val="99"/>
    <w:rsid w:val="006252BE"/>
  </w:style>
  <w:style w:type="character" w:customStyle="1" w:styleId="us">
    <w:name w:val="us"/>
    <w:basedOn w:val="DefaultParagraphFont"/>
    <w:rsid w:val="00345D49"/>
  </w:style>
  <w:style w:type="paragraph" w:customStyle="1" w:styleId="Normal1">
    <w:name w:val="Normal1"/>
    <w:basedOn w:val="Normal"/>
    <w:rsid w:val="00E60BB2"/>
    <w:pPr>
      <w:spacing w:before="15" w:after="100" w:afterAutospacing="1" w:line="240" w:lineRule="atLeast"/>
    </w:pPr>
    <w:rPr>
      <w:rFonts w:ascii="Tahoma" w:hAnsi="Tahoma" w:cs="Tahoma"/>
      <w:spacing w:val="8"/>
      <w:sz w:val="18"/>
      <w:szCs w:val="18"/>
    </w:rPr>
  </w:style>
  <w:style w:type="character" w:styleId="Emphasis">
    <w:name w:val="Emphasis"/>
    <w:uiPriority w:val="20"/>
    <w:qFormat/>
    <w:rsid w:val="003A517A"/>
    <w:rPr>
      <w:i/>
      <w:iCs/>
    </w:rPr>
  </w:style>
  <w:style w:type="character" w:styleId="Strong">
    <w:name w:val="Strong"/>
    <w:uiPriority w:val="22"/>
    <w:qFormat/>
    <w:rsid w:val="006B038E"/>
    <w:rPr>
      <w:b/>
      <w:bCs/>
    </w:rPr>
  </w:style>
  <w:style w:type="paragraph" w:customStyle="1" w:styleId="citation">
    <w:name w:val="citation"/>
    <w:basedOn w:val="Normal"/>
    <w:rsid w:val="00296117"/>
    <w:pPr>
      <w:spacing w:before="100" w:beforeAutospacing="1" w:after="100" w:afterAutospacing="1"/>
    </w:pPr>
    <w:rPr>
      <w:rFonts w:ascii="Tahoma" w:hAnsi="Tahoma" w:cs="Tahoma"/>
    </w:rPr>
  </w:style>
  <w:style w:type="character" w:customStyle="1" w:styleId="FooterChar">
    <w:name w:val="Footer Char"/>
    <w:basedOn w:val="DefaultParagraphFont"/>
    <w:link w:val="Footer"/>
    <w:uiPriority w:val="99"/>
    <w:rsid w:val="00851A64"/>
  </w:style>
  <w:style w:type="paragraph" w:styleId="BalloonText">
    <w:name w:val="Balloon Text"/>
    <w:basedOn w:val="Normal"/>
    <w:link w:val="BalloonTextChar"/>
    <w:uiPriority w:val="99"/>
    <w:semiHidden/>
    <w:unhideWhenUsed/>
    <w:rsid w:val="00851A64"/>
    <w:rPr>
      <w:rFonts w:ascii="Tahoma" w:hAnsi="Tahoma" w:cs="Tahoma"/>
      <w:sz w:val="16"/>
      <w:szCs w:val="16"/>
    </w:rPr>
  </w:style>
  <w:style w:type="character" w:customStyle="1" w:styleId="BalloonTextChar">
    <w:name w:val="Balloon Text Char"/>
    <w:link w:val="BalloonText"/>
    <w:uiPriority w:val="99"/>
    <w:semiHidden/>
    <w:rsid w:val="00851A64"/>
    <w:rPr>
      <w:rFonts w:ascii="Tahoma" w:hAnsi="Tahoma" w:cs="Tahoma"/>
      <w:sz w:val="16"/>
      <w:szCs w:val="16"/>
    </w:rPr>
  </w:style>
  <w:style w:type="paragraph" w:styleId="Revision">
    <w:name w:val="Revision"/>
    <w:hidden/>
    <w:uiPriority w:val="99"/>
    <w:semiHidden/>
    <w:rsid w:val="00674D65"/>
  </w:style>
  <w:style w:type="paragraph" w:styleId="Title">
    <w:name w:val="Title"/>
    <w:basedOn w:val="Normal"/>
    <w:next w:val="Normal"/>
    <w:link w:val="TitleChar"/>
    <w:uiPriority w:val="10"/>
    <w:qFormat/>
    <w:rsid w:val="00674D6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74D65"/>
    <w:rPr>
      <w:rFonts w:ascii="Cambria" w:eastAsia="Times New Roman" w:hAnsi="Cambria" w:cs="Times New Roman"/>
      <w:b/>
      <w:bCs/>
      <w:kern w:val="28"/>
      <w:sz w:val="32"/>
      <w:szCs w:val="32"/>
    </w:rPr>
  </w:style>
  <w:style w:type="character" w:styleId="SubtleEmphasis">
    <w:name w:val="Subtle Emphasis"/>
    <w:uiPriority w:val="19"/>
    <w:qFormat/>
    <w:rsid w:val="00674D65"/>
    <w:rPr>
      <w:i/>
      <w:iCs/>
      <w:color w:val="808080"/>
    </w:rPr>
  </w:style>
  <w:style w:type="character" w:customStyle="1" w:styleId="me">
    <w:name w:val="me"/>
    <w:basedOn w:val="DefaultParagraphFont"/>
    <w:rsid w:val="009649F6"/>
  </w:style>
  <w:style w:type="character" w:customStyle="1" w:styleId="Heading2Char">
    <w:name w:val="Heading 2 Char"/>
    <w:link w:val="Heading2"/>
    <w:rsid w:val="00936FEE"/>
    <w:rPr>
      <w:b/>
      <w:sz w:val="24"/>
      <w:szCs w:val="24"/>
    </w:rPr>
  </w:style>
  <w:style w:type="paragraph" w:customStyle="1" w:styleId="fmtstext">
    <w:name w:val="fmt_stext"/>
    <w:basedOn w:val="Normal"/>
    <w:rsid w:val="00831651"/>
    <w:pPr>
      <w:spacing w:before="15" w:after="100" w:afterAutospacing="1" w:line="240" w:lineRule="atLeast"/>
    </w:pPr>
    <w:rPr>
      <w:rFonts w:ascii="Tahoma" w:hAnsi="Tahoma" w:cs="Tahoma"/>
      <w:spacing w:val="8"/>
      <w:sz w:val="18"/>
      <w:szCs w:val="18"/>
    </w:rPr>
  </w:style>
  <w:style w:type="paragraph" w:customStyle="1" w:styleId="fmtsstext">
    <w:name w:val="fmt_sstext"/>
    <w:basedOn w:val="Normal"/>
    <w:rsid w:val="00755CA0"/>
    <w:pPr>
      <w:spacing w:before="15" w:after="100" w:afterAutospacing="1" w:line="240" w:lineRule="atLeast"/>
    </w:pPr>
    <w:rPr>
      <w:rFonts w:ascii="Tahoma" w:hAnsi="Tahoma" w:cs="Tahoma"/>
      <w:spacing w:val="8"/>
      <w:sz w:val="18"/>
      <w:szCs w:val="18"/>
    </w:rPr>
  </w:style>
  <w:style w:type="table" w:styleId="TableGrid">
    <w:name w:val="Table Grid"/>
    <w:basedOn w:val="TableNormal"/>
    <w:uiPriority w:val="39"/>
    <w:rsid w:val="00E03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TEXT">
    <w:name w:val="SSTEXT"/>
    <w:basedOn w:val="Normal"/>
    <w:uiPriority w:val="99"/>
    <w:rsid w:val="001B35D7"/>
    <w:pPr>
      <w:widowControl w:val="0"/>
      <w:spacing w:before="120" w:after="120"/>
      <w:ind w:left="864"/>
      <w:jc w:val="both"/>
    </w:pPr>
    <w:rPr>
      <w:rFonts w:ascii="Arial" w:hAnsi="Arial" w:cs="Arial"/>
      <w:sz w:val="16"/>
      <w:szCs w:val="16"/>
    </w:rPr>
  </w:style>
  <w:style w:type="paragraph" w:customStyle="1" w:styleId="2WSP">
    <w:name w:val="2WSP"/>
    <w:basedOn w:val="Normal"/>
    <w:uiPriority w:val="99"/>
    <w:rsid w:val="001B35D7"/>
    <w:pPr>
      <w:widowControl w:val="0"/>
      <w:spacing w:before="240" w:after="240"/>
    </w:pPr>
    <w:rPr>
      <w:rFonts w:ascii="Arial" w:hAnsi="Arial" w:cs="Arial"/>
      <w:b/>
      <w:bCs/>
      <w:sz w:val="24"/>
      <w:szCs w:val="24"/>
    </w:rPr>
  </w:style>
  <w:style w:type="paragraph" w:customStyle="1" w:styleId="3">
    <w:name w:val="3"/>
    <w:basedOn w:val="Normal"/>
    <w:uiPriority w:val="99"/>
    <w:rsid w:val="001B35D7"/>
    <w:pPr>
      <w:widowControl w:val="0"/>
      <w:spacing w:before="180" w:after="60"/>
      <w:ind w:left="432"/>
      <w:jc w:val="both"/>
    </w:pPr>
    <w:rPr>
      <w:rFonts w:ascii="Arial" w:hAnsi="Arial" w:cs="Arial"/>
      <w:b/>
      <w:bCs/>
    </w:rPr>
  </w:style>
  <w:style w:type="character" w:customStyle="1" w:styleId="SubtitleChar">
    <w:name w:val="Subtitle Char"/>
    <w:link w:val="Subtitle"/>
    <w:rsid w:val="008141B7"/>
    <w:rPr>
      <w:b/>
      <w:bCs/>
      <w:sz w:val="36"/>
      <w:szCs w:val="24"/>
    </w:rPr>
  </w:style>
  <w:style w:type="paragraph" w:styleId="ListBullet">
    <w:name w:val="List Bullet"/>
    <w:basedOn w:val="Normal"/>
    <w:uiPriority w:val="99"/>
    <w:unhideWhenUsed/>
    <w:rsid w:val="00493EA4"/>
    <w:pPr>
      <w:numPr>
        <w:numId w:val="151"/>
      </w:numPr>
      <w:contextualSpacing/>
    </w:pPr>
  </w:style>
  <w:style w:type="paragraph" w:customStyle="1" w:styleId="fmtssstext">
    <w:name w:val="fmt_ssstext"/>
    <w:basedOn w:val="Normal"/>
    <w:rsid w:val="00B42305"/>
    <w:pPr>
      <w:spacing w:before="15" w:after="100" w:afterAutospacing="1" w:line="240" w:lineRule="atLeast"/>
    </w:pPr>
    <w:rPr>
      <w:rFonts w:ascii="Tahoma" w:hAnsi="Tahoma" w:cs="Tahoma"/>
      <w:spacing w:val="8"/>
      <w:sz w:val="18"/>
      <w:szCs w:val="18"/>
    </w:rPr>
  </w:style>
  <w:style w:type="paragraph" w:customStyle="1" w:styleId="Blockquote">
    <w:name w:val="Blockquote"/>
    <w:basedOn w:val="Normal"/>
    <w:uiPriority w:val="99"/>
    <w:rsid w:val="00FE1105"/>
    <w:pPr>
      <w:autoSpaceDE w:val="0"/>
      <w:autoSpaceDN w:val="0"/>
      <w:adjustRightInd w:val="0"/>
      <w:spacing w:before="100" w:after="100"/>
      <w:ind w:left="360" w:right="360"/>
    </w:pPr>
    <w:rPr>
      <w:sz w:val="24"/>
      <w:szCs w:val="24"/>
    </w:rPr>
  </w:style>
  <w:style w:type="paragraph" w:customStyle="1" w:styleId="Normal10">
    <w:name w:val="Normal1"/>
    <w:basedOn w:val="Normal"/>
    <w:rsid w:val="001C289F"/>
    <w:pPr>
      <w:spacing w:before="100" w:beforeAutospacing="1" w:after="100" w:afterAutospacing="1"/>
    </w:pPr>
    <w:rPr>
      <w:sz w:val="24"/>
      <w:szCs w:val="24"/>
    </w:rPr>
  </w:style>
  <w:style w:type="paragraph" w:customStyle="1" w:styleId="note">
    <w:name w:val="note"/>
    <w:basedOn w:val="Normal"/>
    <w:rsid w:val="00820172"/>
    <w:pPr>
      <w:spacing w:before="200" w:after="100" w:afterAutospacing="1"/>
      <w:ind w:firstLine="480"/>
    </w:pPr>
    <w:rPr>
      <w:sz w:val="14"/>
      <w:szCs w:val="14"/>
    </w:rPr>
  </w:style>
  <w:style w:type="character" w:customStyle="1" w:styleId="style41">
    <w:name w:val="style41"/>
    <w:rsid w:val="006A534E"/>
    <w:rPr>
      <w:rFonts w:ascii="Arial" w:hAnsi="Arial" w:cs="Arial" w:hint="default"/>
    </w:rPr>
  </w:style>
  <w:style w:type="paragraph" w:customStyle="1" w:styleId="fmttext">
    <w:name w:val="fmt_text"/>
    <w:basedOn w:val="Normal"/>
    <w:rsid w:val="001F254B"/>
    <w:pPr>
      <w:spacing w:before="100" w:beforeAutospacing="1" w:after="100" w:afterAutospacing="1"/>
    </w:pPr>
    <w:rPr>
      <w:sz w:val="24"/>
      <w:szCs w:val="24"/>
    </w:rPr>
  </w:style>
  <w:style w:type="paragraph" w:customStyle="1" w:styleId="Normal2">
    <w:name w:val="Normal2"/>
    <w:basedOn w:val="Normal"/>
    <w:rsid w:val="00CF156E"/>
    <w:pPr>
      <w:spacing w:before="100" w:beforeAutospacing="1" w:after="100" w:afterAutospacing="1"/>
    </w:pPr>
    <w:rPr>
      <w:sz w:val="24"/>
      <w:szCs w:val="24"/>
    </w:rPr>
  </w:style>
  <w:style w:type="paragraph" w:customStyle="1" w:styleId="Normal3">
    <w:name w:val="Normal3"/>
    <w:basedOn w:val="Normal"/>
    <w:rsid w:val="008A7A5E"/>
    <w:pPr>
      <w:spacing w:before="100" w:beforeAutospacing="1" w:after="100" w:afterAutospacing="1"/>
    </w:pPr>
    <w:rPr>
      <w:sz w:val="24"/>
      <w:szCs w:val="24"/>
    </w:rPr>
  </w:style>
  <w:style w:type="paragraph" w:customStyle="1" w:styleId="Normal4">
    <w:name w:val="Normal4"/>
    <w:basedOn w:val="Normal"/>
    <w:rsid w:val="00554DFB"/>
    <w:pPr>
      <w:spacing w:before="100" w:beforeAutospacing="1" w:after="100" w:afterAutospacing="1"/>
    </w:pPr>
    <w:rPr>
      <w:sz w:val="24"/>
      <w:szCs w:val="24"/>
    </w:rPr>
  </w:style>
  <w:style w:type="paragraph" w:customStyle="1" w:styleId="Normal5">
    <w:name w:val="Normal5"/>
    <w:basedOn w:val="Normal"/>
    <w:rsid w:val="000C5830"/>
    <w:pPr>
      <w:spacing w:before="100" w:beforeAutospacing="1" w:after="100" w:afterAutospacing="1"/>
    </w:pPr>
    <w:rPr>
      <w:sz w:val="24"/>
      <w:szCs w:val="24"/>
    </w:rPr>
  </w:style>
  <w:style w:type="paragraph" w:customStyle="1" w:styleId="Normal6">
    <w:name w:val="Normal6"/>
    <w:basedOn w:val="Normal"/>
    <w:rsid w:val="005B4F3D"/>
    <w:pPr>
      <w:spacing w:before="100" w:beforeAutospacing="1" w:after="100" w:afterAutospacing="1"/>
    </w:pPr>
    <w:rPr>
      <w:sz w:val="24"/>
      <w:szCs w:val="24"/>
    </w:rPr>
  </w:style>
  <w:style w:type="paragraph" w:customStyle="1" w:styleId="Normal7">
    <w:name w:val="Normal7"/>
    <w:basedOn w:val="Normal"/>
    <w:rsid w:val="00CD2710"/>
    <w:pPr>
      <w:spacing w:before="100" w:beforeAutospacing="1" w:after="100" w:afterAutospacing="1"/>
    </w:pPr>
    <w:rPr>
      <w:sz w:val="24"/>
      <w:szCs w:val="24"/>
    </w:rPr>
  </w:style>
  <w:style w:type="paragraph" w:customStyle="1" w:styleId="Normal8">
    <w:name w:val="Normal8"/>
    <w:basedOn w:val="Normal"/>
    <w:rsid w:val="006155F3"/>
    <w:pPr>
      <w:spacing w:before="100" w:beforeAutospacing="1" w:after="100" w:afterAutospacing="1"/>
    </w:pPr>
    <w:rPr>
      <w:sz w:val="24"/>
      <w:szCs w:val="24"/>
    </w:rPr>
  </w:style>
  <w:style w:type="paragraph" w:customStyle="1" w:styleId="Normal9">
    <w:name w:val="Normal9"/>
    <w:basedOn w:val="Normal"/>
    <w:rsid w:val="00633EAC"/>
    <w:pPr>
      <w:spacing w:before="100" w:beforeAutospacing="1" w:after="100" w:afterAutospacing="1"/>
    </w:pPr>
    <w:rPr>
      <w:sz w:val="24"/>
      <w:szCs w:val="24"/>
    </w:rPr>
  </w:style>
  <w:style w:type="paragraph" w:customStyle="1" w:styleId="Normal100">
    <w:name w:val="Normal10"/>
    <w:basedOn w:val="Normal"/>
    <w:rsid w:val="00AC16CC"/>
    <w:pPr>
      <w:spacing w:before="100" w:beforeAutospacing="1" w:after="100" w:afterAutospacing="1"/>
    </w:pPr>
    <w:rPr>
      <w:sz w:val="24"/>
      <w:szCs w:val="24"/>
    </w:rPr>
  </w:style>
  <w:style w:type="paragraph" w:customStyle="1" w:styleId="Normal11">
    <w:name w:val="Normal11"/>
    <w:basedOn w:val="Normal"/>
    <w:rsid w:val="00EA3F38"/>
    <w:pPr>
      <w:spacing w:before="100" w:beforeAutospacing="1" w:after="100" w:afterAutospacing="1"/>
    </w:pPr>
    <w:rPr>
      <w:sz w:val="24"/>
      <w:szCs w:val="24"/>
    </w:rPr>
  </w:style>
  <w:style w:type="paragraph" w:customStyle="1" w:styleId="Normal12">
    <w:name w:val="Normal12"/>
    <w:basedOn w:val="Normal"/>
    <w:rsid w:val="003A1CF2"/>
    <w:pPr>
      <w:spacing w:before="100" w:beforeAutospacing="1" w:after="100" w:afterAutospacing="1"/>
    </w:pPr>
    <w:rPr>
      <w:sz w:val="24"/>
      <w:szCs w:val="24"/>
    </w:rPr>
  </w:style>
  <w:style w:type="paragraph" w:customStyle="1" w:styleId="Normal13">
    <w:name w:val="Normal13"/>
    <w:basedOn w:val="Normal"/>
    <w:rsid w:val="00DB0035"/>
    <w:pPr>
      <w:spacing w:before="100" w:beforeAutospacing="1" w:after="100" w:afterAutospacing="1"/>
    </w:pPr>
    <w:rPr>
      <w:sz w:val="24"/>
      <w:szCs w:val="24"/>
    </w:rPr>
  </w:style>
  <w:style w:type="paragraph" w:customStyle="1" w:styleId="Normal14">
    <w:name w:val="Normal14"/>
    <w:basedOn w:val="Normal"/>
    <w:rsid w:val="00786441"/>
    <w:pPr>
      <w:spacing w:before="100" w:beforeAutospacing="1" w:after="100" w:afterAutospacing="1"/>
    </w:pPr>
    <w:rPr>
      <w:sz w:val="24"/>
      <w:szCs w:val="24"/>
    </w:rPr>
  </w:style>
  <w:style w:type="paragraph" w:customStyle="1" w:styleId="Normal15">
    <w:name w:val="Normal15"/>
    <w:basedOn w:val="Normal"/>
    <w:rsid w:val="00C47650"/>
    <w:pPr>
      <w:spacing w:before="100" w:beforeAutospacing="1" w:after="100" w:afterAutospacing="1"/>
    </w:pPr>
    <w:rPr>
      <w:sz w:val="24"/>
      <w:szCs w:val="24"/>
    </w:rPr>
  </w:style>
  <w:style w:type="paragraph" w:customStyle="1" w:styleId="Normal16">
    <w:name w:val="Normal16"/>
    <w:basedOn w:val="Normal"/>
    <w:rsid w:val="00BA4AF4"/>
    <w:pPr>
      <w:spacing w:before="100" w:beforeAutospacing="1" w:after="100" w:afterAutospacing="1"/>
    </w:pPr>
    <w:rPr>
      <w:sz w:val="24"/>
      <w:szCs w:val="24"/>
    </w:rPr>
  </w:style>
  <w:style w:type="paragraph" w:customStyle="1" w:styleId="Normal17">
    <w:name w:val="Normal17"/>
    <w:basedOn w:val="Normal"/>
    <w:rsid w:val="000C5EEC"/>
    <w:pPr>
      <w:spacing w:before="100" w:beforeAutospacing="1" w:after="100" w:afterAutospacing="1"/>
    </w:pPr>
    <w:rPr>
      <w:sz w:val="24"/>
      <w:szCs w:val="24"/>
    </w:rPr>
  </w:style>
  <w:style w:type="paragraph" w:customStyle="1" w:styleId="Normal18">
    <w:name w:val="Normal18"/>
    <w:basedOn w:val="Normal"/>
    <w:rsid w:val="00934F7E"/>
    <w:pPr>
      <w:spacing w:before="100" w:beforeAutospacing="1" w:after="100" w:afterAutospacing="1"/>
    </w:pPr>
    <w:rPr>
      <w:sz w:val="24"/>
      <w:szCs w:val="24"/>
    </w:rPr>
  </w:style>
  <w:style w:type="paragraph" w:customStyle="1" w:styleId="Normal19">
    <w:name w:val="Normal19"/>
    <w:basedOn w:val="Normal"/>
    <w:rsid w:val="004B1591"/>
    <w:pPr>
      <w:spacing w:before="100" w:beforeAutospacing="1" w:after="100" w:afterAutospacing="1"/>
    </w:pPr>
    <w:rPr>
      <w:sz w:val="24"/>
      <w:szCs w:val="24"/>
    </w:rPr>
  </w:style>
  <w:style w:type="paragraph" w:customStyle="1" w:styleId="Normal20">
    <w:name w:val="Normal20"/>
    <w:basedOn w:val="Normal"/>
    <w:rsid w:val="00CA1A37"/>
    <w:pPr>
      <w:spacing w:before="100" w:beforeAutospacing="1" w:after="100" w:afterAutospacing="1"/>
    </w:pPr>
    <w:rPr>
      <w:sz w:val="24"/>
      <w:szCs w:val="24"/>
    </w:rPr>
  </w:style>
  <w:style w:type="paragraph" w:customStyle="1" w:styleId="Normal21">
    <w:name w:val="Normal21"/>
    <w:basedOn w:val="Normal"/>
    <w:rsid w:val="0044144D"/>
    <w:pPr>
      <w:spacing w:before="100" w:beforeAutospacing="1" w:after="100" w:afterAutospacing="1"/>
    </w:pPr>
    <w:rPr>
      <w:sz w:val="24"/>
      <w:szCs w:val="24"/>
    </w:rPr>
  </w:style>
  <w:style w:type="paragraph" w:customStyle="1" w:styleId="Normal22">
    <w:name w:val="Normal22"/>
    <w:basedOn w:val="Normal"/>
    <w:rsid w:val="000F115E"/>
    <w:pPr>
      <w:spacing w:before="100" w:beforeAutospacing="1" w:after="100" w:afterAutospacing="1"/>
    </w:pPr>
    <w:rPr>
      <w:sz w:val="24"/>
      <w:szCs w:val="24"/>
    </w:rPr>
  </w:style>
  <w:style w:type="paragraph" w:customStyle="1" w:styleId="Normal23">
    <w:name w:val="Normal23"/>
    <w:basedOn w:val="Normal"/>
    <w:rsid w:val="00DE731C"/>
    <w:pPr>
      <w:spacing w:before="100" w:beforeAutospacing="1" w:after="100" w:afterAutospacing="1"/>
    </w:pPr>
    <w:rPr>
      <w:sz w:val="24"/>
      <w:szCs w:val="24"/>
    </w:rPr>
  </w:style>
  <w:style w:type="character" w:customStyle="1" w:styleId="apple-converted-space">
    <w:name w:val="apple-converted-space"/>
    <w:basedOn w:val="DefaultParagraphFont"/>
    <w:rsid w:val="00703300"/>
  </w:style>
  <w:style w:type="paragraph" w:customStyle="1" w:styleId="Normal24">
    <w:name w:val="Normal24"/>
    <w:basedOn w:val="Normal"/>
    <w:rsid w:val="00226186"/>
    <w:pPr>
      <w:spacing w:before="100" w:beforeAutospacing="1" w:after="100" w:afterAutospacing="1"/>
    </w:pPr>
    <w:rPr>
      <w:sz w:val="24"/>
      <w:szCs w:val="24"/>
    </w:rPr>
  </w:style>
  <w:style w:type="paragraph" w:customStyle="1" w:styleId="Normal25">
    <w:name w:val="Normal25"/>
    <w:basedOn w:val="Normal"/>
    <w:rsid w:val="0067264C"/>
    <w:pPr>
      <w:spacing w:before="100" w:beforeAutospacing="1" w:after="100" w:afterAutospacing="1"/>
    </w:pPr>
    <w:rPr>
      <w:sz w:val="24"/>
      <w:szCs w:val="24"/>
    </w:rPr>
  </w:style>
  <w:style w:type="paragraph" w:customStyle="1" w:styleId="Normal26">
    <w:name w:val="Normal26"/>
    <w:basedOn w:val="Normal"/>
    <w:rsid w:val="004B0140"/>
    <w:pPr>
      <w:spacing w:before="100" w:beforeAutospacing="1" w:after="100" w:afterAutospacing="1"/>
    </w:pPr>
    <w:rPr>
      <w:sz w:val="24"/>
      <w:szCs w:val="24"/>
    </w:rPr>
  </w:style>
  <w:style w:type="paragraph" w:customStyle="1" w:styleId="Normal27">
    <w:name w:val="Normal27"/>
    <w:basedOn w:val="Normal"/>
    <w:rsid w:val="006C1897"/>
    <w:pPr>
      <w:spacing w:before="100" w:beforeAutospacing="1" w:after="100" w:afterAutospacing="1"/>
    </w:pPr>
    <w:rPr>
      <w:sz w:val="24"/>
      <w:szCs w:val="24"/>
    </w:rPr>
  </w:style>
  <w:style w:type="paragraph" w:customStyle="1" w:styleId="Normal28">
    <w:name w:val="Normal28"/>
    <w:basedOn w:val="Normal"/>
    <w:rsid w:val="00FE5792"/>
    <w:pPr>
      <w:spacing w:before="100" w:beforeAutospacing="1" w:after="100" w:afterAutospacing="1"/>
    </w:pPr>
    <w:rPr>
      <w:sz w:val="24"/>
      <w:szCs w:val="24"/>
    </w:rPr>
  </w:style>
  <w:style w:type="paragraph" w:customStyle="1" w:styleId="Normal29">
    <w:name w:val="Normal29"/>
    <w:basedOn w:val="Normal"/>
    <w:rsid w:val="007B70FF"/>
    <w:pPr>
      <w:spacing w:before="100" w:beforeAutospacing="1" w:after="100" w:afterAutospacing="1"/>
    </w:pPr>
    <w:rPr>
      <w:sz w:val="24"/>
      <w:szCs w:val="24"/>
    </w:rPr>
  </w:style>
  <w:style w:type="paragraph" w:customStyle="1" w:styleId="Normal30">
    <w:name w:val="Normal30"/>
    <w:basedOn w:val="Normal"/>
    <w:rsid w:val="00632D14"/>
    <w:pPr>
      <w:spacing w:before="100" w:beforeAutospacing="1" w:after="100" w:afterAutospacing="1"/>
    </w:pPr>
    <w:rPr>
      <w:sz w:val="24"/>
      <w:szCs w:val="24"/>
    </w:rPr>
  </w:style>
  <w:style w:type="paragraph" w:customStyle="1" w:styleId="Normal31">
    <w:name w:val="Normal31"/>
    <w:basedOn w:val="Normal"/>
    <w:rsid w:val="0097110B"/>
    <w:pPr>
      <w:spacing w:before="100" w:beforeAutospacing="1" w:after="100" w:afterAutospacing="1"/>
    </w:pPr>
    <w:rPr>
      <w:sz w:val="24"/>
      <w:szCs w:val="24"/>
    </w:rPr>
  </w:style>
  <w:style w:type="paragraph" w:customStyle="1" w:styleId="Normal32">
    <w:name w:val="Normal32"/>
    <w:basedOn w:val="Normal"/>
    <w:rsid w:val="006A686C"/>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B42FC1"/>
    <w:rPr>
      <w:color w:val="808080"/>
      <w:shd w:val="clear" w:color="auto" w:fill="E6E6E6"/>
    </w:rPr>
  </w:style>
  <w:style w:type="paragraph" w:customStyle="1" w:styleId="Normal33">
    <w:name w:val="Normal33"/>
    <w:basedOn w:val="Normal"/>
    <w:rsid w:val="00263B45"/>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3B7476"/>
    <w:rPr>
      <w:color w:val="605E5C"/>
      <w:shd w:val="clear" w:color="auto" w:fill="E1DFDD"/>
    </w:rPr>
  </w:style>
  <w:style w:type="paragraph" w:customStyle="1" w:styleId="Normal34">
    <w:name w:val="Normal34"/>
    <w:basedOn w:val="Normal"/>
    <w:rsid w:val="00B84EBE"/>
    <w:pPr>
      <w:spacing w:before="100" w:beforeAutospacing="1" w:after="100" w:afterAutospacing="1"/>
    </w:pPr>
    <w:rPr>
      <w:sz w:val="24"/>
      <w:szCs w:val="24"/>
    </w:rPr>
  </w:style>
  <w:style w:type="paragraph" w:customStyle="1" w:styleId="Normal35">
    <w:name w:val="Normal35"/>
    <w:basedOn w:val="Normal"/>
    <w:rsid w:val="00185EDC"/>
    <w:pPr>
      <w:spacing w:before="100" w:beforeAutospacing="1" w:after="100" w:afterAutospacing="1"/>
    </w:pPr>
    <w:rPr>
      <w:sz w:val="24"/>
      <w:szCs w:val="24"/>
    </w:rPr>
  </w:style>
  <w:style w:type="paragraph" w:customStyle="1" w:styleId="Normal36">
    <w:name w:val="Normal36"/>
    <w:basedOn w:val="Normal"/>
    <w:rsid w:val="009365E2"/>
    <w:pPr>
      <w:spacing w:before="100" w:beforeAutospacing="1" w:after="100" w:afterAutospacing="1"/>
    </w:pPr>
    <w:rPr>
      <w:sz w:val="24"/>
      <w:szCs w:val="24"/>
    </w:rPr>
  </w:style>
  <w:style w:type="paragraph" w:customStyle="1" w:styleId="Normal37">
    <w:name w:val="Normal37"/>
    <w:basedOn w:val="Normal"/>
    <w:rsid w:val="00C076C4"/>
    <w:pPr>
      <w:spacing w:before="100" w:beforeAutospacing="1" w:after="100" w:afterAutospacing="1"/>
    </w:pPr>
    <w:rPr>
      <w:sz w:val="24"/>
      <w:szCs w:val="24"/>
    </w:rPr>
  </w:style>
  <w:style w:type="character" w:customStyle="1" w:styleId="UnresolvedMention3">
    <w:name w:val="Unresolved Mention3"/>
    <w:basedOn w:val="DefaultParagraphFont"/>
    <w:uiPriority w:val="99"/>
    <w:semiHidden/>
    <w:unhideWhenUsed/>
    <w:rsid w:val="0082507E"/>
    <w:rPr>
      <w:color w:val="605E5C"/>
      <w:shd w:val="clear" w:color="auto" w:fill="E1DFDD"/>
    </w:rPr>
  </w:style>
  <w:style w:type="paragraph" w:customStyle="1" w:styleId="Normal38">
    <w:name w:val="Normal38"/>
    <w:basedOn w:val="Normal"/>
    <w:rsid w:val="007D5D66"/>
    <w:pPr>
      <w:spacing w:before="100" w:beforeAutospacing="1" w:after="100" w:afterAutospacing="1"/>
    </w:pPr>
    <w:rPr>
      <w:sz w:val="24"/>
      <w:szCs w:val="24"/>
    </w:rPr>
  </w:style>
  <w:style w:type="paragraph" w:customStyle="1" w:styleId="Normal39">
    <w:name w:val="Normal39"/>
    <w:basedOn w:val="Normal"/>
    <w:rsid w:val="00E16575"/>
    <w:pPr>
      <w:spacing w:before="100" w:beforeAutospacing="1" w:after="100" w:afterAutospacing="1"/>
    </w:pPr>
    <w:rPr>
      <w:sz w:val="24"/>
      <w:szCs w:val="24"/>
    </w:rPr>
  </w:style>
  <w:style w:type="paragraph" w:customStyle="1" w:styleId="Normal40">
    <w:name w:val="Normal40"/>
    <w:basedOn w:val="Normal"/>
    <w:rsid w:val="00845834"/>
    <w:pPr>
      <w:spacing w:before="100" w:beforeAutospacing="1" w:after="100" w:afterAutospacing="1"/>
    </w:pPr>
    <w:rPr>
      <w:sz w:val="24"/>
      <w:szCs w:val="24"/>
    </w:rPr>
  </w:style>
  <w:style w:type="paragraph" w:customStyle="1" w:styleId="Normal41">
    <w:name w:val="Normal41"/>
    <w:basedOn w:val="Normal"/>
    <w:rsid w:val="00A26CAD"/>
    <w:pPr>
      <w:spacing w:before="100" w:beforeAutospacing="1" w:after="100" w:afterAutospacing="1"/>
    </w:pPr>
    <w:rPr>
      <w:sz w:val="24"/>
      <w:szCs w:val="24"/>
    </w:rPr>
  </w:style>
  <w:style w:type="character" w:customStyle="1" w:styleId="addedtext">
    <w:name w:val="addedtext"/>
    <w:basedOn w:val="DefaultParagraphFont"/>
    <w:rsid w:val="001A2E23"/>
  </w:style>
  <w:style w:type="paragraph" w:customStyle="1" w:styleId="toplead">
    <w:name w:val="toplead"/>
    <w:basedOn w:val="Normal"/>
    <w:rsid w:val="003E5977"/>
    <w:pPr>
      <w:spacing w:before="100" w:beforeAutospacing="1" w:after="100" w:afterAutospacing="1"/>
    </w:pPr>
    <w:rPr>
      <w:sz w:val="24"/>
      <w:szCs w:val="24"/>
    </w:rPr>
  </w:style>
  <w:style w:type="paragraph" w:customStyle="1" w:styleId="Normal42">
    <w:name w:val="Normal42"/>
    <w:basedOn w:val="Normal"/>
    <w:rsid w:val="00AF13BC"/>
    <w:pPr>
      <w:spacing w:before="100" w:beforeAutospacing="1" w:after="100" w:afterAutospacing="1"/>
    </w:pPr>
    <w:rPr>
      <w:sz w:val="24"/>
      <w:szCs w:val="24"/>
    </w:rPr>
  </w:style>
  <w:style w:type="paragraph" w:customStyle="1" w:styleId="Normal43">
    <w:name w:val="Normal43"/>
    <w:basedOn w:val="Normal"/>
    <w:rsid w:val="00D8117C"/>
    <w:pPr>
      <w:spacing w:before="100" w:beforeAutospacing="1" w:after="100" w:afterAutospacing="1"/>
    </w:pPr>
    <w:rPr>
      <w:sz w:val="24"/>
      <w:szCs w:val="24"/>
    </w:rPr>
  </w:style>
  <w:style w:type="paragraph" w:customStyle="1" w:styleId="Normal44">
    <w:name w:val="Normal44"/>
    <w:basedOn w:val="Normal"/>
    <w:rsid w:val="00833275"/>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0B6F67"/>
    <w:rPr>
      <w:color w:val="605E5C"/>
      <w:shd w:val="clear" w:color="auto" w:fill="E1DFDD"/>
    </w:rPr>
  </w:style>
  <w:style w:type="character" w:customStyle="1" w:styleId="bbscopedstyle3281212454567947">
    <w:name w:val="bbscopedstyle3281212454567947"/>
    <w:basedOn w:val="DefaultParagraphFont"/>
    <w:rsid w:val="009D44F1"/>
    <w:rPr>
      <w:rFonts w:ascii="Times New Roman" w:hAnsi="Times New Roman" w:cs="Times New Roman" w:hint="default"/>
    </w:rPr>
  </w:style>
  <w:style w:type="paragraph" w:customStyle="1" w:styleId="Normal45">
    <w:name w:val="Normal45"/>
    <w:basedOn w:val="Normal"/>
    <w:rsid w:val="00D505D9"/>
    <w:pPr>
      <w:spacing w:before="100" w:beforeAutospacing="1" w:after="100" w:afterAutospacing="1"/>
    </w:pPr>
    <w:rPr>
      <w:sz w:val="24"/>
      <w:szCs w:val="24"/>
    </w:rPr>
  </w:style>
  <w:style w:type="paragraph" w:customStyle="1" w:styleId="Normal46">
    <w:name w:val="Normal46"/>
    <w:basedOn w:val="Normal"/>
    <w:rsid w:val="001119F6"/>
    <w:pPr>
      <w:spacing w:before="100" w:beforeAutospacing="1" w:after="100" w:afterAutospacing="1"/>
    </w:pPr>
    <w:rPr>
      <w:sz w:val="24"/>
      <w:szCs w:val="24"/>
    </w:rPr>
  </w:style>
  <w:style w:type="character" w:customStyle="1" w:styleId="deletedtext">
    <w:name w:val="deletedtext"/>
    <w:basedOn w:val="DefaultParagraphFont"/>
    <w:rsid w:val="00435C7D"/>
  </w:style>
  <w:style w:type="paragraph" w:customStyle="1" w:styleId="Normal47">
    <w:name w:val="Normal47"/>
    <w:basedOn w:val="Normal"/>
    <w:rsid w:val="00FA6BC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821">
      <w:bodyDiv w:val="1"/>
      <w:marLeft w:val="0"/>
      <w:marRight w:val="0"/>
      <w:marTop w:val="0"/>
      <w:marBottom w:val="0"/>
      <w:divBdr>
        <w:top w:val="none" w:sz="0" w:space="0" w:color="auto"/>
        <w:left w:val="none" w:sz="0" w:space="0" w:color="auto"/>
        <w:bottom w:val="none" w:sz="0" w:space="0" w:color="auto"/>
        <w:right w:val="none" w:sz="0" w:space="0" w:color="auto"/>
      </w:divBdr>
      <w:divsChild>
        <w:div w:id="382944848">
          <w:marLeft w:val="0"/>
          <w:marRight w:val="0"/>
          <w:marTop w:val="0"/>
          <w:marBottom w:val="0"/>
          <w:divBdr>
            <w:top w:val="none" w:sz="0" w:space="0" w:color="auto"/>
            <w:left w:val="none" w:sz="0" w:space="0" w:color="auto"/>
            <w:bottom w:val="none" w:sz="0" w:space="0" w:color="auto"/>
            <w:right w:val="none" w:sz="0" w:space="0" w:color="auto"/>
          </w:divBdr>
        </w:div>
      </w:divsChild>
    </w:div>
    <w:div w:id="18051404">
      <w:bodyDiv w:val="1"/>
      <w:marLeft w:val="0"/>
      <w:marRight w:val="0"/>
      <w:marTop w:val="0"/>
      <w:marBottom w:val="0"/>
      <w:divBdr>
        <w:top w:val="none" w:sz="0" w:space="0" w:color="auto"/>
        <w:left w:val="none" w:sz="0" w:space="0" w:color="auto"/>
        <w:bottom w:val="none" w:sz="0" w:space="0" w:color="auto"/>
        <w:right w:val="none" w:sz="0" w:space="0" w:color="auto"/>
      </w:divBdr>
      <w:divsChild>
        <w:div w:id="1387684657">
          <w:marLeft w:val="0"/>
          <w:marRight w:val="0"/>
          <w:marTop w:val="0"/>
          <w:marBottom w:val="0"/>
          <w:divBdr>
            <w:top w:val="none" w:sz="0" w:space="0" w:color="auto"/>
            <w:left w:val="none" w:sz="0" w:space="0" w:color="auto"/>
            <w:bottom w:val="none" w:sz="0" w:space="0" w:color="auto"/>
            <w:right w:val="none" w:sz="0" w:space="0" w:color="auto"/>
          </w:divBdr>
          <w:divsChild>
            <w:div w:id="8637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25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29">
          <w:marLeft w:val="0"/>
          <w:marRight w:val="0"/>
          <w:marTop w:val="0"/>
          <w:marBottom w:val="0"/>
          <w:divBdr>
            <w:top w:val="none" w:sz="0" w:space="0" w:color="auto"/>
            <w:left w:val="none" w:sz="0" w:space="0" w:color="auto"/>
            <w:bottom w:val="none" w:sz="0" w:space="0" w:color="auto"/>
            <w:right w:val="none" w:sz="0" w:space="0" w:color="auto"/>
          </w:divBdr>
          <w:divsChild>
            <w:div w:id="6304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894">
      <w:bodyDiv w:val="1"/>
      <w:marLeft w:val="0"/>
      <w:marRight w:val="0"/>
      <w:marTop w:val="0"/>
      <w:marBottom w:val="0"/>
      <w:divBdr>
        <w:top w:val="none" w:sz="0" w:space="0" w:color="auto"/>
        <w:left w:val="none" w:sz="0" w:space="0" w:color="auto"/>
        <w:bottom w:val="none" w:sz="0" w:space="0" w:color="auto"/>
        <w:right w:val="none" w:sz="0" w:space="0" w:color="auto"/>
      </w:divBdr>
    </w:div>
    <w:div w:id="58402514">
      <w:bodyDiv w:val="1"/>
      <w:marLeft w:val="0"/>
      <w:marRight w:val="0"/>
      <w:marTop w:val="0"/>
      <w:marBottom w:val="0"/>
      <w:divBdr>
        <w:top w:val="none" w:sz="0" w:space="0" w:color="auto"/>
        <w:left w:val="none" w:sz="0" w:space="0" w:color="auto"/>
        <w:bottom w:val="none" w:sz="0" w:space="0" w:color="auto"/>
        <w:right w:val="none" w:sz="0" w:space="0" w:color="auto"/>
      </w:divBdr>
      <w:divsChild>
        <w:div w:id="1888564268">
          <w:marLeft w:val="0"/>
          <w:marRight w:val="0"/>
          <w:marTop w:val="0"/>
          <w:marBottom w:val="0"/>
          <w:divBdr>
            <w:top w:val="none" w:sz="0" w:space="0" w:color="auto"/>
            <w:left w:val="none" w:sz="0" w:space="0" w:color="auto"/>
            <w:bottom w:val="none" w:sz="0" w:space="0" w:color="auto"/>
            <w:right w:val="none" w:sz="0" w:space="0" w:color="auto"/>
          </w:divBdr>
        </w:div>
      </w:divsChild>
    </w:div>
    <w:div w:id="68432393">
      <w:bodyDiv w:val="1"/>
      <w:marLeft w:val="0"/>
      <w:marRight w:val="0"/>
      <w:marTop w:val="0"/>
      <w:marBottom w:val="0"/>
      <w:divBdr>
        <w:top w:val="none" w:sz="0" w:space="0" w:color="auto"/>
        <w:left w:val="none" w:sz="0" w:space="0" w:color="auto"/>
        <w:bottom w:val="none" w:sz="0" w:space="0" w:color="auto"/>
        <w:right w:val="none" w:sz="0" w:space="0" w:color="auto"/>
      </w:divBdr>
      <w:divsChild>
        <w:div w:id="1007446724">
          <w:marLeft w:val="0"/>
          <w:marRight w:val="0"/>
          <w:marTop w:val="0"/>
          <w:marBottom w:val="0"/>
          <w:divBdr>
            <w:top w:val="none" w:sz="0" w:space="0" w:color="auto"/>
            <w:left w:val="none" w:sz="0" w:space="0" w:color="auto"/>
            <w:bottom w:val="none" w:sz="0" w:space="0" w:color="auto"/>
            <w:right w:val="none" w:sz="0" w:space="0" w:color="auto"/>
          </w:divBdr>
          <w:divsChild>
            <w:div w:id="14363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2517">
      <w:bodyDiv w:val="1"/>
      <w:marLeft w:val="0"/>
      <w:marRight w:val="0"/>
      <w:marTop w:val="0"/>
      <w:marBottom w:val="0"/>
      <w:divBdr>
        <w:top w:val="none" w:sz="0" w:space="0" w:color="auto"/>
        <w:left w:val="none" w:sz="0" w:space="0" w:color="auto"/>
        <w:bottom w:val="none" w:sz="0" w:space="0" w:color="auto"/>
        <w:right w:val="none" w:sz="0" w:space="0" w:color="auto"/>
      </w:divBdr>
    </w:div>
    <w:div w:id="78983725">
      <w:bodyDiv w:val="1"/>
      <w:marLeft w:val="0"/>
      <w:marRight w:val="0"/>
      <w:marTop w:val="0"/>
      <w:marBottom w:val="0"/>
      <w:divBdr>
        <w:top w:val="none" w:sz="0" w:space="0" w:color="auto"/>
        <w:left w:val="none" w:sz="0" w:space="0" w:color="auto"/>
        <w:bottom w:val="none" w:sz="0" w:space="0" w:color="auto"/>
        <w:right w:val="none" w:sz="0" w:space="0" w:color="auto"/>
      </w:divBdr>
    </w:div>
    <w:div w:id="84571013">
      <w:bodyDiv w:val="1"/>
      <w:marLeft w:val="0"/>
      <w:marRight w:val="0"/>
      <w:marTop w:val="0"/>
      <w:marBottom w:val="0"/>
      <w:divBdr>
        <w:top w:val="none" w:sz="0" w:space="0" w:color="auto"/>
        <w:left w:val="none" w:sz="0" w:space="0" w:color="auto"/>
        <w:bottom w:val="none" w:sz="0" w:space="0" w:color="auto"/>
        <w:right w:val="none" w:sz="0" w:space="0" w:color="auto"/>
      </w:divBdr>
      <w:divsChild>
        <w:div w:id="839739673">
          <w:marLeft w:val="0"/>
          <w:marRight w:val="0"/>
          <w:marTop w:val="0"/>
          <w:marBottom w:val="0"/>
          <w:divBdr>
            <w:top w:val="none" w:sz="0" w:space="0" w:color="auto"/>
            <w:left w:val="none" w:sz="0" w:space="0" w:color="auto"/>
            <w:bottom w:val="none" w:sz="0" w:space="0" w:color="auto"/>
            <w:right w:val="none" w:sz="0" w:space="0" w:color="auto"/>
          </w:divBdr>
          <w:divsChild>
            <w:div w:id="3431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4181">
      <w:bodyDiv w:val="1"/>
      <w:marLeft w:val="0"/>
      <w:marRight w:val="0"/>
      <w:marTop w:val="0"/>
      <w:marBottom w:val="0"/>
      <w:divBdr>
        <w:top w:val="none" w:sz="0" w:space="0" w:color="auto"/>
        <w:left w:val="none" w:sz="0" w:space="0" w:color="auto"/>
        <w:bottom w:val="none" w:sz="0" w:space="0" w:color="auto"/>
        <w:right w:val="none" w:sz="0" w:space="0" w:color="auto"/>
      </w:divBdr>
      <w:divsChild>
        <w:div w:id="1719629152">
          <w:marLeft w:val="0"/>
          <w:marRight w:val="0"/>
          <w:marTop w:val="0"/>
          <w:marBottom w:val="0"/>
          <w:divBdr>
            <w:top w:val="none" w:sz="0" w:space="0" w:color="auto"/>
            <w:left w:val="none" w:sz="0" w:space="0" w:color="auto"/>
            <w:bottom w:val="none" w:sz="0" w:space="0" w:color="auto"/>
            <w:right w:val="none" w:sz="0" w:space="0" w:color="auto"/>
          </w:divBdr>
          <w:divsChild>
            <w:div w:id="292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4384">
      <w:bodyDiv w:val="1"/>
      <w:marLeft w:val="0"/>
      <w:marRight w:val="0"/>
      <w:marTop w:val="0"/>
      <w:marBottom w:val="0"/>
      <w:divBdr>
        <w:top w:val="none" w:sz="0" w:space="0" w:color="auto"/>
        <w:left w:val="none" w:sz="0" w:space="0" w:color="auto"/>
        <w:bottom w:val="none" w:sz="0" w:space="0" w:color="auto"/>
        <w:right w:val="none" w:sz="0" w:space="0" w:color="auto"/>
      </w:divBdr>
      <w:divsChild>
        <w:div w:id="1989675362">
          <w:marLeft w:val="0"/>
          <w:marRight w:val="0"/>
          <w:marTop w:val="0"/>
          <w:marBottom w:val="0"/>
          <w:divBdr>
            <w:top w:val="none" w:sz="0" w:space="0" w:color="auto"/>
            <w:left w:val="none" w:sz="0" w:space="0" w:color="auto"/>
            <w:bottom w:val="none" w:sz="0" w:space="0" w:color="auto"/>
            <w:right w:val="none" w:sz="0" w:space="0" w:color="auto"/>
          </w:divBdr>
          <w:divsChild>
            <w:div w:id="11438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5516">
      <w:bodyDiv w:val="1"/>
      <w:marLeft w:val="0"/>
      <w:marRight w:val="0"/>
      <w:marTop w:val="0"/>
      <w:marBottom w:val="0"/>
      <w:divBdr>
        <w:top w:val="none" w:sz="0" w:space="0" w:color="auto"/>
        <w:left w:val="none" w:sz="0" w:space="0" w:color="auto"/>
        <w:bottom w:val="none" w:sz="0" w:space="0" w:color="auto"/>
        <w:right w:val="none" w:sz="0" w:space="0" w:color="auto"/>
      </w:divBdr>
      <w:divsChild>
        <w:div w:id="1713379453">
          <w:marLeft w:val="0"/>
          <w:marRight w:val="0"/>
          <w:marTop w:val="0"/>
          <w:marBottom w:val="0"/>
          <w:divBdr>
            <w:top w:val="none" w:sz="0" w:space="0" w:color="auto"/>
            <w:left w:val="none" w:sz="0" w:space="0" w:color="auto"/>
            <w:bottom w:val="none" w:sz="0" w:space="0" w:color="auto"/>
            <w:right w:val="none" w:sz="0" w:space="0" w:color="auto"/>
          </w:divBdr>
        </w:div>
      </w:divsChild>
    </w:div>
    <w:div w:id="106050709">
      <w:bodyDiv w:val="1"/>
      <w:marLeft w:val="0"/>
      <w:marRight w:val="0"/>
      <w:marTop w:val="0"/>
      <w:marBottom w:val="0"/>
      <w:divBdr>
        <w:top w:val="none" w:sz="0" w:space="0" w:color="auto"/>
        <w:left w:val="none" w:sz="0" w:space="0" w:color="auto"/>
        <w:bottom w:val="none" w:sz="0" w:space="0" w:color="auto"/>
        <w:right w:val="none" w:sz="0" w:space="0" w:color="auto"/>
      </w:divBdr>
      <w:divsChild>
        <w:div w:id="1628584190">
          <w:marLeft w:val="0"/>
          <w:marRight w:val="0"/>
          <w:marTop w:val="0"/>
          <w:marBottom w:val="0"/>
          <w:divBdr>
            <w:top w:val="none" w:sz="0" w:space="0" w:color="auto"/>
            <w:left w:val="none" w:sz="0" w:space="0" w:color="auto"/>
            <w:bottom w:val="none" w:sz="0" w:space="0" w:color="auto"/>
            <w:right w:val="none" w:sz="0" w:space="0" w:color="auto"/>
          </w:divBdr>
          <w:divsChild>
            <w:div w:id="1291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875">
      <w:bodyDiv w:val="1"/>
      <w:marLeft w:val="0"/>
      <w:marRight w:val="0"/>
      <w:marTop w:val="0"/>
      <w:marBottom w:val="0"/>
      <w:divBdr>
        <w:top w:val="none" w:sz="0" w:space="0" w:color="auto"/>
        <w:left w:val="none" w:sz="0" w:space="0" w:color="auto"/>
        <w:bottom w:val="none" w:sz="0" w:space="0" w:color="auto"/>
        <w:right w:val="none" w:sz="0" w:space="0" w:color="auto"/>
      </w:divBdr>
      <w:divsChild>
        <w:div w:id="1714454287">
          <w:marLeft w:val="0"/>
          <w:marRight w:val="0"/>
          <w:marTop w:val="0"/>
          <w:marBottom w:val="0"/>
          <w:divBdr>
            <w:top w:val="none" w:sz="0" w:space="0" w:color="auto"/>
            <w:left w:val="none" w:sz="0" w:space="0" w:color="auto"/>
            <w:bottom w:val="none" w:sz="0" w:space="0" w:color="auto"/>
            <w:right w:val="none" w:sz="0" w:space="0" w:color="auto"/>
          </w:divBdr>
          <w:divsChild>
            <w:div w:id="5197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3626">
      <w:bodyDiv w:val="1"/>
      <w:marLeft w:val="0"/>
      <w:marRight w:val="0"/>
      <w:marTop w:val="0"/>
      <w:marBottom w:val="0"/>
      <w:divBdr>
        <w:top w:val="none" w:sz="0" w:space="0" w:color="auto"/>
        <w:left w:val="none" w:sz="0" w:space="0" w:color="auto"/>
        <w:bottom w:val="none" w:sz="0" w:space="0" w:color="auto"/>
        <w:right w:val="none" w:sz="0" w:space="0" w:color="auto"/>
      </w:divBdr>
      <w:divsChild>
        <w:div w:id="1378778261">
          <w:marLeft w:val="0"/>
          <w:marRight w:val="0"/>
          <w:marTop w:val="0"/>
          <w:marBottom w:val="0"/>
          <w:divBdr>
            <w:top w:val="none" w:sz="0" w:space="0" w:color="auto"/>
            <w:left w:val="none" w:sz="0" w:space="0" w:color="auto"/>
            <w:bottom w:val="none" w:sz="0" w:space="0" w:color="auto"/>
            <w:right w:val="none" w:sz="0" w:space="0" w:color="auto"/>
          </w:divBdr>
          <w:divsChild>
            <w:div w:id="9092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820">
      <w:bodyDiv w:val="1"/>
      <w:marLeft w:val="0"/>
      <w:marRight w:val="0"/>
      <w:marTop w:val="0"/>
      <w:marBottom w:val="0"/>
      <w:divBdr>
        <w:top w:val="none" w:sz="0" w:space="0" w:color="auto"/>
        <w:left w:val="none" w:sz="0" w:space="0" w:color="auto"/>
        <w:bottom w:val="none" w:sz="0" w:space="0" w:color="auto"/>
        <w:right w:val="none" w:sz="0" w:space="0" w:color="auto"/>
      </w:divBdr>
      <w:divsChild>
        <w:div w:id="383018381">
          <w:marLeft w:val="0"/>
          <w:marRight w:val="0"/>
          <w:marTop w:val="0"/>
          <w:marBottom w:val="0"/>
          <w:divBdr>
            <w:top w:val="none" w:sz="0" w:space="0" w:color="auto"/>
            <w:left w:val="none" w:sz="0" w:space="0" w:color="auto"/>
            <w:bottom w:val="none" w:sz="0" w:space="0" w:color="auto"/>
            <w:right w:val="none" w:sz="0" w:space="0" w:color="auto"/>
          </w:divBdr>
          <w:divsChild>
            <w:div w:id="8112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3663">
      <w:bodyDiv w:val="1"/>
      <w:marLeft w:val="0"/>
      <w:marRight w:val="0"/>
      <w:marTop w:val="0"/>
      <w:marBottom w:val="0"/>
      <w:divBdr>
        <w:top w:val="none" w:sz="0" w:space="0" w:color="auto"/>
        <w:left w:val="none" w:sz="0" w:space="0" w:color="auto"/>
        <w:bottom w:val="none" w:sz="0" w:space="0" w:color="auto"/>
        <w:right w:val="none" w:sz="0" w:space="0" w:color="auto"/>
      </w:divBdr>
      <w:divsChild>
        <w:div w:id="100416490">
          <w:marLeft w:val="0"/>
          <w:marRight w:val="0"/>
          <w:marTop w:val="0"/>
          <w:marBottom w:val="0"/>
          <w:divBdr>
            <w:top w:val="none" w:sz="0" w:space="0" w:color="auto"/>
            <w:left w:val="none" w:sz="0" w:space="0" w:color="auto"/>
            <w:bottom w:val="none" w:sz="0" w:space="0" w:color="auto"/>
            <w:right w:val="none" w:sz="0" w:space="0" w:color="auto"/>
          </w:divBdr>
          <w:divsChild>
            <w:div w:id="14343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754">
      <w:bodyDiv w:val="1"/>
      <w:marLeft w:val="0"/>
      <w:marRight w:val="0"/>
      <w:marTop w:val="0"/>
      <w:marBottom w:val="0"/>
      <w:divBdr>
        <w:top w:val="none" w:sz="0" w:space="0" w:color="auto"/>
        <w:left w:val="none" w:sz="0" w:space="0" w:color="auto"/>
        <w:bottom w:val="none" w:sz="0" w:space="0" w:color="auto"/>
        <w:right w:val="none" w:sz="0" w:space="0" w:color="auto"/>
      </w:divBdr>
      <w:divsChild>
        <w:div w:id="202402677">
          <w:marLeft w:val="0"/>
          <w:marRight w:val="0"/>
          <w:marTop w:val="0"/>
          <w:marBottom w:val="0"/>
          <w:divBdr>
            <w:top w:val="none" w:sz="0" w:space="0" w:color="auto"/>
            <w:left w:val="none" w:sz="0" w:space="0" w:color="auto"/>
            <w:bottom w:val="none" w:sz="0" w:space="0" w:color="auto"/>
            <w:right w:val="none" w:sz="0" w:space="0" w:color="auto"/>
          </w:divBdr>
          <w:divsChild>
            <w:div w:id="9922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0984">
      <w:bodyDiv w:val="1"/>
      <w:marLeft w:val="0"/>
      <w:marRight w:val="0"/>
      <w:marTop w:val="0"/>
      <w:marBottom w:val="0"/>
      <w:divBdr>
        <w:top w:val="none" w:sz="0" w:space="0" w:color="auto"/>
        <w:left w:val="none" w:sz="0" w:space="0" w:color="auto"/>
        <w:bottom w:val="none" w:sz="0" w:space="0" w:color="auto"/>
        <w:right w:val="none" w:sz="0" w:space="0" w:color="auto"/>
      </w:divBdr>
      <w:divsChild>
        <w:div w:id="364334379">
          <w:marLeft w:val="0"/>
          <w:marRight w:val="0"/>
          <w:marTop w:val="0"/>
          <w:marBottom w:val="0"/>
          <w:divBdr>
            <w:top w:val="none" w:sz="0" w:space="0" w:color="auto"/>
            <w:left w:val="none" w:sz="0" w:space="0" w:color="auto"/>
            <w:bottom w:val="none" w:sz="0" w:space="0" w:color="auto"/>
            <w:right w:val="none" w:sz="0" w:space="0" w:color="auto"/>
          </w:divBdr>
          <w:divsChild>
            <w:div w:id="9629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2700">
      <w:bodyDiv w:val="1"/>
      <w:marLeft w:val="0"/>
      <w:marRight w:val="0"/>
      <w:marTop w:val="0"/>
      <w:marBottom w:val="0"/>
      <w:divBdr>
        <w:top w:val="none" w:sz="0" w:space="0" w:color="auto"/>
        <w:left w:val="none" w:sz="0" w:space="0" w:color="auto"/>
        <w:bottom w:val="none" w:sz="0" w:space="0" w:color="auto"/>
        <w:right w:val="none" w:sz="0" w:space="0" w:color="auto"/>
      </w:divBdr>
      <w:divsChild>
        <w:div w:id="426580203">
          <w:marLeft w:val="0"/>
          <w:marRight w:val="0"/>
          <w:marTop w:val="0"/>
          <w:marBottom w:val="0"/>
          <w:divBdr>
            <w:top w:val="none" w:sz="0" w:space="0" w:color="auto"/>
            <w:left w:val="none" w:sz="0" w:space="0" w:color="auto"/>
            <w:bottom w:val="none" w:sz="0" w:space="0" w:color="auto"/>
            <w:right w:val="none" w:sz="0" w:space="0" w:color="auto"/>
          </w:divBdr>
          <w:divsChild>
            <w:div w:id="11622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5917">
      <w:bodyDiv w:val="1"/>
      <w:marLeft w:val="0"/>
      <w:marRight w:val="0"/>
      <w:marTop w:val="0"/>
      <w:marBottom w:val="0"/>
      <w:divBdr>
        <w:top w:val="none" w:sz="0" w:space="0" w:color="auto"/>
        <w:left w:val="none" w:sz="0" w:space="0" w:color="auto"/>
        <w:bottom w:val="none" w:sz="0" w:space="0" w:color="auto"/>
        <w:right w:val="none" w:sz="0" w:space="0" w:color="auto"/>
      </w:divBdr>
      <w:divsChild>
        <w:div w:id="736437638">
          <w:marLeft w:val="0"/>
          <w:marRight w:val="0"/>
          <w:marTop w:val="0"/>
          <w:marBottom w:val="0"/>
          <w:divBdr>
            <w:top w:val="none" w:sz="0" w:space="0" w:color="auto"/>
            <w:left w:val="none" w:sz="0" w:space="0" w:color="auto"/>
            <w:bottom w:val="none" w:sz="0" w:space="0" w:color="auto"/>
            <w:right w:val="none" w:sz="0" w:space="0" w:color="auto"/>
          </w:divBdr>
          <w:divsChild>
            <w:div w:id="18095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649">
      <w:bodyDiv w:val="1"/>
      <w:marLeft w:val="0"/>
      <w:marRight w:val="0"/>
      <w:marTop w:val="0"/>
      <w:marBottom w:val="0"/>
      <w:divBdr>
        <w:top w:val="none" w:sz="0" w:space="0" w:color="auto"/>
        <w:left w:val="none" w:sz="0" w:space="0" w:color="auto"/>
        <w:bottom w:val="none" w:sz="0" w:space="0" w:color="auto"/>
        <w:right w:val="none" w:sz="0" w:space="0" w:color="auto"/>
      </w:divBdr>
      <w:divsChild>
        <w:div w:id="660931671">
          <w:marLeft w:val="0"/>
          <w:marRight w:val="0"/>
          <w:marTop w:val="0"/>
          <w:marBottom w:val="0"/>
          <w:divBdr>
            <w:top w:val="none" w:sz="0" w:space="0" w:color="auto"/>
            <w:left w:val="none" w:sz="0" w:space="0" w:color="auto"/>
            <w:bottom w:val="none" w:sz="0" w:space="0" w:color="auto"/>
            <w:right w:val="none" w:sz="0" w:space="0" w:color="auto"/>
          </w:divBdr>
          <w:divsChild>
            <w:div w:id="1141654427">
              <w:marLeft w:val="0"/>
              <w:marRight w:val="0"/>
              <w:marTop w:val="0"/>
              <w:marBottom w:val="0"/>
              <w:divBdr>
                <w:top w:val="none" w:sz="0" w:space="0" w:color="auto"/>
                <w:left w:val="none" w:sz="0" w:space="0" w:color="auto"/>
                <w:bottom w:val="none" w:sz="0" w:space="0" w:color="auto"/>
                <w:right w:val="none" w:sz="0" w:space="0" w:color="auto"/>
              </w:divBdr>
              <w:divsChild>
                <w:div w:id="636031239">
                  <w:marLeft w:val="0"/>
                  <w:marRight w:val="0"/>
                  <w:marTop w:val="0"/>
                  <w:marBottom w:val="0"/>
                  <w:divBdr>
                    <w:top w:val="none" w:sz="0" w:space="0" w:color="auto"/>
                    <w:left w:val="none" w:sz="0" w:space="0" w:color="auto"/>
                    <w:bottom w:val="none" w:sz="0" w:space="0" w:color="auto"/>
                    <w:right w:val="none" w:sz="0" w:space="0" w:color="auto"/>
                  </w:divBdr>
                  <w:divsChild>
                    <w:div w:id="1841506541">
                      <w:marLeft w:val="0"/>
                      <w:marRight w:val="0"/>
                      <w:marTop w:val="0"/>
                      <w:marBottom w:val="0"/>
                      <w:divBdr>
                        <w:top w:val="none" w:sz="0" w:space="0" w:color="auto"/>
                        <w:left w:val="none" w:sz="0" w:space="0" w:color="auto"/>
                        <w:bottom w:val="none" w:sz="0" w:space="0" w:color="auto"/>
                        <w:right w:val="none" w:sz="0" w:space="0" w:color="auto"/>
                      </w:divBdr>
                      <w:divsChild>
                        <w:div w:id="1144783481">
                          <w:marLeft w:val="0"/>
                          <w:marRight w:val="0"/>
                          <w:marTop w:val="0"/>
                          <w:marBottom w:val="0"/>
                          <w:divBdr>
                            <w:top w:val="none" w:sz="0" w:space="0" w:color="auto"/>
                            <w:left w:val="none" w:sz="0" w:space="0" w:color="auto"/>
                            <w:bottom w:val="none" w:sz="0" w:space="0" w:color="auto"/>
                            <w:right w:val="none" w:sz="0" w:space="0" w:color="auto"/>
                          </w:divBdr>
                          <w:divsChild>
                            <w:div w:id="74281476">
                              <w:marLeft w:val="0"/>
                              <w:marRight w:val="0"/>
                              <w:marTop w:val="0"/>
                              <w:marBottom w:val="0"/>
                              <w:divBdr>
                                <w:top w:val="none" w:sz="0" w:space="0" w:color="auto"/>
                                <w:left w:val="none" w:sz="0" w:space="0" w:color="auto"/>
                                <w:bottom w:val="none" w:sz="0" w:space="0" w:color="auto"/>
                                <w:right w:val="none" w:sz="0" w:space="0" w:color="auto"/>
                              </w:divBdr>
                            </w:div>
                            <w:div w:id="8395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5151">
      <w:bodyDiv w:val="1"/>
      <w:marLeft w:val="0"/>
      <w:marRight w:val="0"/>
      <w:marTop w:val="23"/>
      <w:marBottom w:val="576"/>
      <w:divBdr>
        <w:top w:val="none" w:sz="0" w:space="0" w:color="auto"/>
        <w:left w:val="none" w:sz="0" w:space="0" w:color="auto"/>
        <w:bottom w:val="none" w:sz="0" w:space="0" w:color="auto"/>
        <w:right w:val="none" w:sz="0" w:space="0" w:color="auto"/>
      </w:divBdr>
      <w:divsChild>
        <w:div w:id="830877172">
          <w:marLeft w:val="0"/>
          <w:marRight w:val="0"/>
          <w:marTop w:val="0"/>
          <w:marBottom w:val="0"/>
          <w:divBdr>
            <w:top w:val="none" w:sz="0" w:space="0" w:color="auto"/>
            <w:left w:val="none" w:sz="0" w:space="0" w:color="auto"/>
            <w:bottom w:val="none" w:sz="0" w:space="0" w:color="auto"/>
            <w:right w:val="none" w:sz="0" w:space="0" w:color="auto"/>
          </w:divBdr>
        </w:div>
      </w:divsChild>
    </w:div>
    <w:div w:id="171070947">
      <w:bodyDiv w:val="1"/>
      <w:marLeft w:val="0"/>
      <w:marRight w:val="0"/>
      <w:marTop w:val="0"/>
      <w:marBottom w:val="0"/>
      <w:divBdr>
        <w:top w:val="none" w:sz="0" w:space="0" w:color="auto"/>
        <w:left w:val="none" w:sz="0" w:space="0" w:color="auto"/>
        <w:bottom w:val="none" w:sz="0" w:space="0" w:color="auto"/>
        <w:right w:val="none" w:sz="0" w:space="0" w:color="auto"/>
      </w:divBdr>
    </w:div>
    <w:div w:id="175583127">
      <w:bodyDiv w:val="1"/>
      <w:marLeft w:val="0"/>
      <w:marRight w:val="0"/>
      <w:marTop w:val="0"/>
      <w:marBottom w:val="0"/>
      <w:divBdr>
        <w:top w:val="none" w:sz="0" w:space="0" w:color="auto"/>
        <w:left w:val="none" w:sz="0" w:space="0" w:color="auto"/>
        <w:bottom w:val="none" w:sz="0" w:space="0" w:color="auto"/>
        <w:right w:val="none" w:sz="0" w:space="0" w:color="auto"/>
      </w:divBdr>
      <w:divsChild>
        <w:div w:id="1864516593">
          <w:marLeft w:val="272"/>
          <w:marRight w:val="272"/>
          <w:marTop w:val="0"/>
          <w:marBottom w:val="0"/>
          <w:divBdr>
            <w:top w:val="none" w:sz="0" w:space="0" w:color="auto"/>
            <w:left w:val="none" w:sz="0" w:space="0" w:color="auto"/>
            <w:bottom w:val="none" w:sz="0" w:space="0" w:color="auto"/>
            <w:right w:val="none" w:sz="0" w:space="0" w:color="auto"/>
          </w:divBdr>
          <w:divsChild>
            <w:div w:id="1686009166">
              <w:marLeft w:val="0"/>
              <w:marRight w:val="0"/>
              <w:marTop w:val="0"/>
              <w:marBottom w:val="136"/>
              <w:divBdr>
                <w:top w:val="none" w:sz="0" w:space="0" w:color="auto"/>
                <w:left w:val="none" w:sz="0" w:space="0" w:color="auto"/>
                <w:bottom w:val="none" w:sz="0" w:space="0" w:color="auto"/>
                <w:right w:val="none" w:sz="0" w:space="0" w:color="auto"/>
              </w:divBdr>
              <w:divsChild>
                <w:div w:id="1896886998">
                  <w:marLeft w:val="0"/>
                  <w:marRight w:val="0"/>
                  <w:marTop w:val="0"/>
                  <w:marBottom w:val="0"/>
                  <w:divBdr>
                    <w:top w:val="none" w:sz="0" w:space="0" w:color="auto"/>
                    <w:left w:val="none" w:sz="0" w:space="0" w:color="auto"/>
                    <w:bottom w:val="none" w:sz="0" w:space="0" w:color="auto"/>
                    <w:right w:val="none" w:sz="0" w:space="0" w:color="auto"/>
                  </w:divBdr>
                  <w:divsChild>
                    <w:div w:id="212274433">
                      <w:marLeft w:val="0"/>
                      <w:marRight w:val="0"/>
                      <w:marTop w:val="0"/>
                      <w:marBottom w:val="0"/>
                      <w:divBdr>
                        <w:top w:val="none" w:sz="0" w:space="0" w:color="auto"/>
                        <w:left w:val="none" w:sz="0" w:space="0" w:color="auto"/>
                        <w:bottom w:val="none" w:sz="0" w:space="0" w:color="auto"/>
                        <w:right w:val="none" w:sz="0" w:space="0" w:color="auto"/>
                      </w:divBdr>
                      <w:divsChild>
                        <w:div w:id="16947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88096">
      <w:bodyDiv w:val="1"/>
      <w:marLeft w:val="0"/>
      <w:marRight w:val="0"/>
      <w:marTop w:val="0"/>
      <w:marBottom w:val="0"/>
      <w:divBdr>
        <w:top w:val="none" w:sz="0" w:space="0" w:color="auto"/>
        <w:left w:val="none" w:sz="0" w:space="0" w:color="auto"/>
        <w:bottom w:val="none" w:sz="0" w:space="0" w:color="auto"/>
        <w:right w:val="none" w:sz="0" w:space="0" w:color="auto"/>
      </w:divBdr>
      <w:divsChild>
        <w:div w:id="1233737354">
          <w:marLeft w:val="300"/>
          <w:marRight w:val="300"/>
          <w:marTop w:val="0"/>
          <w:marBottom w:val="0"/>
          <w:divBdr>
            <w:top w:val="none" w:sz="0" w:space="0" w:color="auto"/>
            <w:left w:val="none" w:sz="0" w:space="0" w:color="auto"/>
            <w:bottom w:val="none" w:sz="0" w:space="0" w:color="auto"/>
            <w:right w:val="none" w:sz="0" w:space="0" w:color="auto"/>
          </w:divBdr>
          <w:divsChild>
            <w:div w:id="2093504797">
              <w:marLeft w:val="0"/>
              <w:marRight w:val="0"/>
              <w:marTop w:val="0"/>
              <w:marBottom w:val="150"/>
              <w:divBdr>
                <w:top w:val="none" w:sz="0" w:space="0" w:color="auto"/>
                <w:left w:val="none" w:sz="0" w:space="0" w:color="auto"/>
                <w:bottom w:val="none" w:sz="0" w:space="0" w:color="auto"/>
                <w:right w:val="none" w:sz="0" w:space="0" w:color="auto"/>
              </w:divBdr>
              <w:divsChild>
                <w:div w:id="266547226">
                  <w:marLeft w:val="0"/>
                  <w:marRight w:val="0"/>
                  <w:marTop w:val="0"/>
                  <w:marBottom w:val="0"/>
                  <w:divBdr>
                    <w:top w:val="none" w:sz="0" w:space="0" w:color="auto"/>
                    <w:left w:val="none" w:sz="0" w:space="0" w:color="auto"/>
                    <w:bottom w:val="none" w:sz="0" w:space="0" w:color="auto"/>
                    <w:right w:val="none" w:sz="0" w:space="0" w:color="auto"/>
                  </w:divBdr>
                  <w:divsChild>
                    <w:div w:id="1814980629">
                      <w:marLeft w:val="0"/>
                      <w:marRight w:val="0"/>
                      <w:marTop w:val="0"/>
                      <w:marBottom w:val="0"/>
                      <w:divBdr>
                        <w:top w:val="none" w:sz="0" w:space="0" w:color="auto"/>
                        <w:left w:val="none" w:sz="0" w:space="0" w:color="auto"/>
                        <w:bottom w:val="none" w:sz="0" w:space="0" w:color="auto"/>
                        <w:right w:val="none" w:sz="0" w:space="0" w:color="auto"/>
                      </w:divBdr>
                      <w:divsChild>
                        <w:div w:id="1301110713">
                          <w:marLeft w:val="0"/>
                          <w:marRight w:val="0"/>
                          <w:marTop w:val="0"/>
                          <w:marBottom w:val="0"/>
                          <w:divBdr>
                            <w:top w:val="none" w:sz="0" w:space="0" w:color="auto"/>
                            <w:left w:val="none" w:sz="0" w:space="0" w:color="auto"/>
                            <w:bottom w:val="none" w:sz="0" w:space="0" w:color="auto"/>
                            <w:right w:val="none" w:sz="0" w:space="0" w:color="auto"/>
                          </w:divBdr>
                          <w:divsChild>
                            <w:div w:id="18386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06051">
      <w:bodyDiv w:val="1"/>
      <w:marLeft w:val="0"/>
      <w:marRight w:val="0"/>
      <w:marTop w:val="0"/>
      <w:marBottom w:val="0"/>
      <w:divBdr>
        <w:top w:val="none" w:sz="0" w:space="0" w:color="auto"/>
        <w:left w:val="none" w:sz="0" w:space="0" w:color="auto"/>
        <w:bottom w:val="none" w:sz="0" w:space="0" w:color="auto"/>
        <w:right w:val="none" w:sz="0" w:space="0" w:color="auto"/>
      </w:divBdr>
      <w:divsChild>
        <w:div w:id="417945793">
          <w:marLeft w:val="0"/>
          <w:marRight w:val="0"/>
          <w:marTop w:val="0"/>
          <w:marBottom w:val="0"/>
          <w:divBdr>
            <w:top w:val="none" w:sz="0" w:space="0" w:color="auto"/>
            <w:left w:val="none" w:sz="0" w:space="0" w:color="auto"/>
            <w:bottom w:val="none" w:sz="0" w:space="0" w:color="auto"/>
            <w:right w:val="none" w:sz="0" w:space="0" w:color="auto"/>
          </w:divBdr>
          <w:divsChild>
            <w:div w:id="9794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018">
      <w:bodyDiv w:val="1"/>
      <w:marLeft w:val="0"/>
      <w:marRight w:val="0"/>
      <w:marTop w:val="0"/>
      <w:marBottom w:val="0"/>
      <w:divBdr>
        <w:top w:val="none" w:sz="0" w:space="0" w:color="auto"/>
        <w:left w:val="none" w:sz="0" w:space="0" w:color="auto"/>
        <w:bottom w:val="none" w:sz="0" w:space="0" w:color="auto"/>
        <w:right w:val="none" w:sz="0" w:space="0" w:color="auto"/>
      </w:divBdr>
      <w:divsChild>
        <w:div w:id="365519259">
          <w:marLeft w:val="0"/>
          <w:marRight w:val="0"/>
          <w:marTop w:val="0"/>
          <w:marBottom w:val="0"/>
          <w:divBdr>
            <w:top w:val="none" w:sz="0" w:space="0" w:color="auto"/>
            <w:left w:val="none" w:sz="0" w:space="0" w:color="auto"/>
            <w:bottom w:val="none" w:sz="0" w:space="0" w:color="auto"/>
            <w:right w:val="none" w:sz="0" w:space="0" w:color="auto"/>
          </w:divBdr>
          <w:divsChild>
            <w:div w:id="16402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0717">
      <w:bodyDiv w:val="1"/>
      <w:marLeft w:val="0"/>
      <w:marRight w:val="0"/>
      <w:marTop w:val="0"/>
      <w:marBottom w:val="0"/>
      <w:divBdr>
        <w:top w:val="none" w:sz="0" w:space="0" w:color="auto"/>
        <w:left w:val="none" w:sz="0" w:space="0" w:color="auto"/>
        <w:bottom w:val="none" w:sz="0" w:space="0" w:color="auto"/>
        <w:right w:val="none" w:sz="0" w:space="0" w:color="auto"/>
      </w:divBdr>
      <w:divsChild>
        <w:div w:id="2093507778">
          <w:marLeft w:val="0"/>
          <w:marRight w:val="0"/>
          <w:marTop w:val="0"/>
          <w:marBottom w:val="0"/>
          <w:divBdr>
            <w:top w:val="none" w:sz="0" w:space="0" w:color="auto"/>
            <w:left w:val="none" w:sz="0" w:space="0" w:color="auto"/>
            <w:bottom w:val="none" w:sz="0" w:space="0" w:color="auto"/>
            <w:right w:val="none" w:sz="0" w:space="0" w:color="auto"/>
          </w:divBdr>
          <w:divsChild>
            <w:div w:id="1862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3314">
      <w:bodyDiv w:val="1"/>
      <w:marLeft w:val="0"/>
      <w:marRight w:val="0"/>
      <w:marTop w:val="0"/>
      <w:marBottom w:val="0"/>
      <w:divBdr>
        <w:top w:val="none" w:sz="0" w:space="0" w:color="auto"/>
        <w:left w:val="none" w:sz="0" w:space="0" w:color="auto"/>
        <w:bottom w:val="none" w:sz="0" w:space="0" w:color="auto"/>
        <w:right w:val="none" w:sz="0" w:space="0" w:color="auto"/>
      </w:divBdr>
      <w:divsChild>
        <w:div w:id="979846206">
          <w:marLeft w:val="0"/>
          <w:marRight w:val="0"/>
          <w:marTop w:val="0"/>
          <w:marBottom w:val="0"/>
          <w:divBdr>
            <w:top w:val="none" w:sz="0" w:space="0" w:color="auto"/>
            <w:left w:val="none" w:sz="0" w:space="0" w:color="auto"/>
            <w:bottom w:val="none" w:sz="0" w:space="0" w:color="auto"/>
            <w:right w:val="none" w:sz="0" w:space="0" w:color="auto"/>
          </w:divBdr>
          <w:divsChild>
            <w:div w:id="2088451624">
              <w:marLeft w:val="0"/>
              <w:marRight w:val="0"/>
              <w:marTop w:val="0"/>
              <w:marBottom w:val="0"/>
              <w:divBdr>
                <w:top w:val="none" w:sz="0" w:space="0" w:color="auto"/>
                <w:left w:val="none" w:sz="0" w:space="0" w:color="auto"/>
                <w:bottom w:val="none" w:sz="0" w:space="0" w:color="auto"/>
                <w:right w:val="none" w:sz="0" w:space="0" w:color="auto"/>
              </w:divBdr>
            </w:div>
            <w:div w:id="1983264276">
              <w:marLeft w:val="0"/>
              <w:marRight w:val="0"/>
              <w:marTop w:val="0"/>
              <w:marBottom w:val="0"/>
              <w:divBdr>
                <w:top w:val="none" w:sz="0" w:space="0" w:color="auto"/>
                <w:left w:val="none" w:sz="0" w:space="0" w:color="auto"/>
                <w:bottom w:val="none" w:sz="0" w:space="0" w:color="auto"/>
                <w:right w:val="none" w:sz="0" w:space="0" w:color="auto"/>
              </w:divBdr>
              <w:divsChild>
                <w:div w:id="283659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863150">
      <w:bodyDiv w:val="1"/>
      <w:marLeft w:val="0"/>
      <w:marRight w:val="0"/>
      <w:marTop w:val="0"/>
      <w:marBottom w:val="0"/>
      <w:divBdr>
        <w:top w:val="none" w:sz="0" w:space="0" w:color="auto"/>
        <w:left w:val="none" w:sz="0" w:space="0" w:color="auto"/>
        <w:bottom w:val="none" w:sz="0" w:space="0" w:color="auto"/>
        <w:right w:val="none" w:sz="0" w:space="0" w:color="auto"/>
      </w:divBdr>
      <w:divsChild>
        <w:div w:id="1411847283">
          <w:marLeft w:val="0"/>
          <w:marRight w:val="0"/>
          <w:marTop w:val="0"/>
          <w:marBottom w:val="0"/>
          <w:divBdr>
            <w:top w:val="none" w:sz="0" w:space="0" w:color="auto"/>
            <w:left w:val="none" w:sz="0" w:space="0" w:color="auto"/>
            <w:bottom w:val="none" w:sz="0" w:space="0" w:color="auto"/>
            <w:right w:val="none" w:sz="0" w:space="0" w:color="auto"/>
          </w:divBdr>
          <w:divsChild>
            <w:div w:id="7121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6815">
      <w:bodyDiv w:val="1"/>
      <w:marLeft w:val="0"/>
      <w:marRight w:val="0"/>
      <w:marTop w:val="0"/>
      <w:marBottom w:val="0"/>
      <w:divBdr>
        <w:top w:val="none" w:sz="0" w:space="0" w:color="auto"/>
        <w:left w:val="none" w:sz="0" w:space="0" w:color="auto"/>
        <w:bottom w:val="none" w:sz="0" w:space="0" w:color="auto"/>
        <w:right w:val="none" w:sz="0" w:space="0" w:color="auto"/>
      </w:divBdr>
      <w:divsChild>
        <w:div w:id="1584144293">
          <w:marLeft w:val="0"/>
          <w:marRight w:val="0"/>
          <w:marTop w:val="0"/>
          <w:marBottom w:val="0"/>
          <w:divBdr>
            <w:top w:val="none" w:sz="0" w:space="0" w:color="auto"/>
            <w:left w:val="none" w:sz="0" w:space="0" w:color="auto"/>
            <w:bottom w:val="none" w:sz="0" w:space="0" w:color="auto"/>
            <w:right w:val="none" w:sz="0" w:space="0" w:color="auto"/>
          </w:divBdr>
          <w:divsChild>
            <w:div w:id="2047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10">
      <w:bodyDiv w:val="1"/>
      <w:marLeft w:val="0"/>
      <w:marRight w:val="0"/>
      <w:marTop w:val="0"/>
      <w:marBottom w:val="0"/>
      <w:divBdr>
        <w:top w:val="none" w:sz="0" w:space="0" w:color="auto"/>
        <w:left w:val="none" w:sz="0" w:space="0" w:color="auto"/>
        <w:bottom w:val="none" w:sz="0" w:space="0" w:color="auto"/>
        <w:right w:val="none" w:sz="0" w:space="0" w:color="auto"/>
      </w:divBdr>
      <w:divsChild>
        <w:div w:id="1948535426">
          <w:marLeft w:val="300"/>
          <w:marRight w:val="300"/>
          <w:marTop w:val="0"/>
          <w:marBottom w:val="0"/>
          <w:divBdr>
            <w:top w:val="none" w:sz="0" w:space="0" w:color="auto"/>
            <w:left w:val="none" w:sz="0" w:space="0" w:color="auto"/>
            <w:bottom w:val="none" w:sz="0" w:space="0" w:color="auto"/>
            <w:right w:val="none" w:sz="0" w:space="0" w:color="auto"/>
          </w:divBdr>
          <w:divsChild>
            <w:div w:id="1175193947">
              <w:marLeft w:val="0"/>
              <w:marRight w:val="0"/>
              <w:marTop w:val="0"/>
              <w:marBottom w:val="150"/>
              <w:divBdr>
                <w:top w:val="none" w:sz="0" w:space="0" w:color="auto"/>
                <w:left w:val="none" w:sz="0" w:space="0" w:color="auto"/>
                <w:bottom w:val="none" w:sz="0" w:space="0" w:color="auto"/>
                <w:right w:val="none" w:sz="0" w:space="0" w:color="auto"/>
              </w:divBdr>
              <w:divsChild>
                <w:div w:id="1829007490">
                  <w:marLeft w:val="0"/>
                  <w:marRight w:val="0"/>
                  <w:marTop w:val="0"/>
                  <w:marBottom w:val="0"/>
                  <w:divBdr>
                    <w:top w:val="none" w:sz="0" w:space="0" w:color="auto"/>
                    <w:left w:val="none" w:sz="0" w:space="0" w:color="auto"/>
                    <w:bottom w:val="none" w:sz="0" w:space="0" w:color="auto"/>
                    <w:right w:val="none" w:sz="0" w:space="0" w:color="auto"/>
                  </w:divBdr>
                  <w:divsChild>
                    <w:div w:id="1121537799">
                      <w:marLeft w:val="0"/>
                      <w:marRight w:val="0"/>
                      <w:marTop w:val="0"/>
                      <w:marBottom w:val="0"/>
                      <w:divBdr>
                        <w:top w:val="none" w:sz="0" w:space="0" w:color="auto"/>
                        <w:left w:val="none" w:sz="0" w:space="0" w:color="auto"/>
                        <w:bottom w:val="none" w:sz="0" w:space="0" w:color="auto"/>
                        <w:right w:val="none" w:sz="0" w:space="0" w:color="auto"/>
                      </w:divBdr>
                      <w:divsChild>
                        <w:div w:id="648479095">
                          <w:marLeft w:val="0"/>
                          <w:marRight w:val="0"/>
                          <w:marTop w:val="0"/>
                          <w:marBottom w:val="0"/>
                          <w:divBdr>
                            <w:top w:val="none" w:sz="0" w:space="0" w:color="auto"/>
                            <w:left w:val="none" w:sz="0" w:space="0" w:color="auto"/>
                            <w:bottom w:val="none" w:sz="0" w:space="0" w:color="auto"/>
                            <w:right w:val="none" w:sz="0" w:space="0" w:color="auto"/>
                          </w:divBdr>
                          <w:divsChild>
                            <w:div w:id="324237862">
                              <w:marLeft w:val="0"/>
                              <w:marRight w:val="0"/>
                              <w:marTop w:val="0"/>
                              <w:marBottom w:val="0"/>
                              <w:divBdr>
                                <w:top w:val="none" w:sz="0" w:space="0" w:color="auto"/>
                                <w:left w:val="none" w:sz="0" w:space="0" w:color="auto"/>
                                <w:bottom w:val="none" w:sz="0" w:space="0" w:color="auto"/>
                                <w:right w:val="none" w:sz="0" w:space="0" w:color="auto"/>
                              </w:divBdr>
                              <w:divsChild>
                                <w:div w:id="441533476">
                                  <w:marLeft w:val="0"/>
                                  <w:marRight w:val="0"/>
                                  <w:marTop w:val="0"/>
                                  <w:marBottom w:val="0"/>
                                  <w:divBdr>
                                    <w:top w:val="none" w:sz="0" w:space="0" w:color="auto"/>
                                    <w:left w:val="none" w:sz="0" w:space="0" w:color="auto"/>
                                    <w:bottom w:val="none" w:sz="0" w:space="0" w:color="auto"/>
                                    <w:right w:val="none" w:sz="0" w:space="0" w:color="auto"/>
                                  </w:divBdr>
                                </w:div>
                                <w:div w:id="1013649342">
                                  <w:marLeft w:val="0"/>
                                  <w:marRight w:val="0"/>
                                  <w:marTop w:val="0"/>
                                  <w:marBottom w:val="0"/>
                                  <w:divBdr>
                                    <w:top w:val="none" w:sz="0" w:space="0" w:color="auto"/>
                                    <w:left w:val="none" w:sz="0" w:space="0" w:color="auto"/>
                                    <w:bottom w:val="none" w:sz="0" w:space="0" w:color="auto"/>
                                    <w:right w:val="none" w:sz="0" w:space="0" w:color="auto"/>
                                  </w:divBdr>
                                </w:div>
                                <w:div w:id="1940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7742">
      <w:bodyDiv w:val="1"/>
      <w:marLeft w:val="0"/>
      <w:marRight w:val="0"/>
      <w:marTop w:val="0"/>
      <w:marBottom w:val="0"/>
      <w:divBdr>
        <w:top w:val="none" w:sz="0" w:space="0" w:color="auto"/>
        <w:left w:val="none" w:sz="0" w:space="0" w:color="auto"/>
        <w:bottom w:val="none" w:sz="0" w:space="0" w:color="auto"/>
        <w:right w:val="none" w:sz="0" w:space="0" w:color="auto"/>
      </w:divBdr>
    </w:div>
    <w:div w:id="224921141">
      <w:bodyDiv w:val="1"/>
      <w:marLeft w:val="0"/>
      <w:marRight w:val="0"/>
      <w:marTop w:val="0"/>
      <w:marBottom w:val="0"/>
      <w:divBdr>
        <w:top w:val="none" w:sz="0" w:space="0" w:color="auto"/>
        <w:left w:val="none" w:sz="0" w:space="0" w:color="auto"/>
        <w:bottom w:val="none" w:sz="0" w:space="0" w:color="auto"/>
        <w:right w:val="none" w:sz="0" w:space="0" w:color="auto"/>
      </w:divBdr>
      <w:divsChild>
        <w:div w:id="1399206736">
          <w:marLeft w:val="0"/>
          <w:marRight w:val="0"/>
          <w:marTop w:val="0"/>
          <w:marBottom w:val="0"/>
          <w:divBdr>
            <w:top w:val="none" w:sz="0" w:space="0" w:color="auto"/>
            <w:left w:val="none" w:sz="0" w:space="0" w:color="auto"/>
            <w:bottom w:val="none" w:sz="0" w:space="0" w:color="auto"/>
            <w:right w:val="none" w:sz="0" w:space="0" w:color="auto"/>
          </w:divBdr>
          <w:divsChild>
            <w:div w:id="10748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1628">
      <w:bodyDiv w:val="1"/>
      <w:marLeft w:val="0"/>
      <w:marRight w:val="0"/>
      <w:marTop w:val="0"/>
      <w:marBottom w:val="0"/>
      <w:divBdr>
        <w:top w:val="none" w:sz="0" w:space="0" w:color="auto"/>
        <w:left w:val="none" w:sz="0" w:space="0" w:color="auto"/>
        <w:bottom w:val="none" w:sz="0" w:space="0" w:color="auto"/>
        <w:right w:val="none" w:sz="0" w:space="0" w:color="auto"/>
      </w:divBdr>
    </w:div>
    <w:div w:id="251669701">
      <w:bodyDiv w:val="1"/>
      <w:marLeft w:val="0"/>
      <w:marRight w:val="0"/>
      <w:marTop w:val="0"/>
      <w:marBottom w:val="0"/>
      <w:divBdr>
        <w:top w:val="none" w:sz="0" w:space="0" w:color="auto"/>
        <w:left w:val="none" w:sz="0" w:space="0" w:color="auto"/>
        <w:bottom w:val="none" w:sz="0" w:space="0" w:color="auto"/>
        <w:right w:val="none" w:sz="0" w:space="0" w:color="auto"/>
      </w:divBdr>
      <w:divsChild>
        <w:div w:id="2011443844">
          <w:marLeft w:val="0"/>
          <w:marRight w:val="0"/>
          <w:marTop w:val="0"/>
          <w:marBottom w:val="0"/>
          <w:divBdr>
            <w:top w:val="none" w:sz="0" w:space="0" w:color="auto"/>
            <w:left w:val="none" w:sz="0" w:space="0" w:color="auto"/>
            <w:bottom w:val="none" w:sz="0" w:space="0" w:color="auto"/>
            <w:right w:val="none" w:sz="0" w:space="0" w:color="auto"/>
          </w:divBdr>
          <w:divsChild>
            <w:div w:id="2014604078">
              <w:marLeft w:val="0"/>
              <w:marRight w:val="0"/>
              <w:marTop w:val="0"/>
              <w:marBottom w:val="0"/>
              <w:divBdr>
                <w:top w:val="none" w:sz="0" w:space="0" w:color="auto"/>
                <w:left w:val="none" w:sz="0" w:space="0" w:color="auto"/>
                <w:bottom w:val="none" w:sz="0" w:space="0" w:color="auto"/>
                <w:right w:val="none" w:sz="0" w:space="0" w:color="auto"/>
              </w:divBdr>
              <w:divsChild>
                <w:div w:id="1884907857">
                  <w:marLeft w:val="0"/>
                  <w:marRight w:val="0"/>
                  <w:marTop w:val="0"/>
                  <w:marBottom w:val="0"/>
                  <w:divBdr>
                    <w:top w:val="none" w:sz="0" w:space="0" w:color="auto"/>
                    <w:left w:val="none" w:sz="0" w:space="0" w:color="auto"/>
                    <w:bottom w:val="none" w:sz="0" w:space="0" w:color="auto"/>
                    <w:right w:val="none" w:sz="0" w:space="0" w:color="auto"/>
                  </w:divBdr>
                  <w:divsChild>
                    <w:div w:id="1104153307">
                      <w:marLeft w:val="0"/>
                      <w:marRight w:val="0"/>
                      <w:marTop w:val="0"/>
                      <w:marBottom w:val="0"/>
                      <w:divBdr>
                        <w:top w:val="none" w:sz="0" w:space="0" w:color="auto"/>
                        <w:left w:val="none" w:sz="0" w:space="0" w:color="auto"/>
                        <w:bottom w:val="none" w:sz="0" w:space="0" w:color="auto"/>
                        <w:right w:val="none" w:sz="0" w:space="0" w:color="auto"/>
                      </w:divBdr>
                      <w:divsChild>
                        <w:div w:id="400298097">
                          <w:marLeft w:val="0"/>
                          <w:marRight w:val="0"/>
                          <w:marTop w:val="0"/>
                          <w:marBottom w:val="0"/>
                          <w:divBdr>
                            <w:top w:val="none" w:sz="0" w:space="0" w:color="auto"/>
                            <w:left w:val="none" w:sz="0" w:space="0" w:color="auto"/>
                            <w:bottom w:val="none" w:sz="0" w:space="0" w:color="auto"/>
                            <w:right w:val="none" w:sz="0" w:space="0" w:color="auto"/>
                          </w:divBdr>
                          <w:divsChild>
                            <w:div w:id="105734111">
                              <w:marLeft w:val="0"/>
                              <w:marRight w:val="0"/>
                              <w:marTop w:val="0"/>
                              <w:marBottom w:val="0"/>
                              <w:divBdr>
                                <w:top w:val="none" w:sz="0" w:space="0" w:color="auto"/>
                                <w:left w:val="none" w:sz="0" w:space="0" w:color="auto"/>
                                <w:bottom w:val="none" w:sz="0" w:space="0" w:color="auto"/>
                                <w:right w:val="none" w:sz="0" w:space="0" w:color="auto"/>
                              </w:divBdr>
                              <w:divsChild>
                                <w:div w:id="170028276">
                                  <w:marLeft w:val="0"/>
                                  <w:marRight w:val="0"/>
                                  <w:marTop w:val="0"/>
                                  <w:marBottom w:val="0"/>
                                  <w:divBdr>
                                    <w:top w:val="none" w:sz="0" w:space="0" w:color="auto"/>
                                    <w:left w:val="none" w:sz="0" w:space="0" w:color="auto"/>
                                    <w:bottom w:val="none" w:sz="0" w:space="0" w:color="auto"/>
                                    <w:right w:val="none" w:sz="0" w:space="0" w:color="auto"/>
                                  </w:divBdr>
                                  <w:divsChild>
                                    <w:div w:id="2018188827">
                                      <w:marLeft w:val="0"/>
                                      <w:marRight w:val="0"/>
                                      <w:marTop w:val="0"/>
                                      <w:marBottom w:val="0"/>
                                      <w:divBdr>
                                        <w:top w:val="single" w:sz="6" w:space="0" w:color="FFFFFF"/>
                                        <w:left w:val="single" w:sz="6" w:space="14" w:color="CCCCCC"/>
                                        <w:bottom w:val="single" w:sz="6" w:space="0" w:color="FFFFFF"/>
                                        <w:right w:val="single" w:sz="2" w:space="0" w:color="FFFFFF"/>
                                      </w:divBdr>
                                      <w:divsChild>
                                        <w:div w:id="1798912124">
                                          <w:marLeft w:val="0"/>
                                          <w:marRight w:val="0"/>
                                          <w:marTop w:val="0"/>
                                          <w:marBottom w:val="0"/>
                                          <w:divBdr>
                                            <w:top w:val="none" w:sz="0" w:space="0" w:color="auto"/>
                                            <w:left w:val="none" w:sz="0" w:space="0" w:color="auto"/>
                                            <w:bottom w:val="none" w:sz="0" w:space="0" w:color="auto"/>
                                            <w:right w:val="none" w:sz="0" w:space="0" w:color="auto"/>
                                          </w:divBdr>
                                          <w:divsChild>
                                            <w:div w:id="80685837">
                                              <w:blockQuote w:val="1"/>
                                              <w:marLeft w:val="960"/>
                                              <w:marRight w:val="0"/>
                                              <w:marTop w:val="0"/>
                                              <w:marBottom w:val="0"/>
                                              <w:divBdr>
                                                <w:top w:val="none" w:sz="0" w:space="0" w:color="auto"/>
                                                <w:left w:val="none" w:sz="0" w:space="0" w:color="auto"/>
                                                <w:bottom w:val="none" w:sz="0" w:space="0" w:color="auto"/>
                                                <w:right w:val="none" w:sz="0" w:space="0" w:color="auto"/>
                                              </w:divBdr>
                                              <w:divsChild>
                                                <w:div w:id="1905525160">
                                                  <w:blockQuote w:val="1"/>
                                                  <w:marLeft w:val="960"/>
                                                  <w:marRight w:val="0"/>
                                                  <w:marTop w:val="0"/>
                                                  <w:marBottom w:val="0"/>
                                                  <w:divBdr>
                                                    <w:top w:val="none" w:sz="0" w:space="0" w:color="auto"/>
                                                    <w:left w:val="none" w:sz="0" w:space="0" w:color="auto"/>
                                                    <w:bottom w:val="none" w:sz="0" w:space="0" w:color="auto"/>
                                                    <w:right w:val="none" w:sz="0" w:space="0" w:color="auto"/>
                                                  </w:divBdr>
                                                  <w:divsChild>
                                                    <w:div w:id="1558592759">
                                                      <w:blockQuote w:val="1"/>
                                                      <w:marLeft w:val="960"/>
                                                      <w:marRight w:val="0"/>
                                                      <w:marTop w:val="0"/>
                                                      <w:marBottom w:val="0"/>
                                                      <w:divBdr>
                                                        <w:top w:val="none" w:sz="0" w:space="0" w:color="auto"/>
                                                        <w:left w:val="none" w:sz="0" w:space="0" w:color="auto"/>
                                                        <w:bottom w:val="none" w:sz="0" w:space="0" w:color="auto"/>
                                                        <w:right w:val="none" w:sz="0" w:space="0" w:color="auto"/>
                                                      </w:divBdr>
                                                      <w:divsChild>
                                                        <w:div w:id="166285774">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477">
                                              <w:blockQuote w:val="1"/>
                                              <w:marLeft w:val="960"/>
                                              <w:marRight w:val="0"/>
                                              <w:marTop w:val="0"/>
                                              <w:marBottom w:val="0"/>
                                              <w:divBdr>
                                                <w:top w:val="none" w:sz="0" w:space="0" w:color="auto"/>
                                                <w:left w:val="none" w:sz="0" w:space="0" w:color="auto"/>
                                                <w:bottom w:val="none" w:sz="0" w:space="0" w:color="auto"/>
                                                <w:right w:val="none" w:sz="0" w:space="0" w:color="auto"/>
                                              </w:divBdr>
                                              <w:divsChild>
                                                <w:div w:id="760877068">
                                                  <w:blockQuote w:val="1"/>
                                                  <w:marLeft w:val="960"/>
                                                  <w:marRight w:val="0"/>
                                                  <w:marTop w:val="0"/>
                                                  <w:marBottom w:val="0"/>
                                                  <w:divBdr>
                                                    <w:top w:val="none" w:sz="0" w:space="0" w:color="auto"/>
                                                    <w:left w:val="none" w:sz="0" w:space="0" w:color="auto"/>
                                                    <w:bottom w:val="none" w:sz="0" w:space="0" w:color="auto"/>
                                                    <w:right w:val="none" w:sz="0" w:space="0" w:color="auto"/>
                                                  </w:divBdr>
                                                  <w:divsChild>
                                                    <w:div w:id="299845608">
                                                      <w:blockQuote w:val="1"/>
                                                      <w:marLeft w:val="960"/>
                                                      <w:marRight w:val="0"/>
                                                      <w:marTop w:val="0"/>
                                                      <w:marBottom w:val="0"/>
                                                      <w:divBdr>
                                                        <w:top w:val="none" w:sz="0" w:space="0" w:color="auto"/>
                                                        <w:left w:val="none" w:sz="0" w:space="0" w:color="auto"/>
                                                        <w:bottom w:val="none" w:sz="0" w:space="0" w:color="auto"/>
                                                        <w:right w:val="none" w:sz="0" w:space="0" w:color="auto"/>
                                                      </w:divBdr>
                                                      <w:divsChild>
                                                        <w:div w:id="918709846">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797810">
      <w:bodyDiv w:val="1"/>
      <w:marLeft w:val="0"/>
      <w:marRight w:val="0"/>
      <w:marTop w:val="0"/>
      <w:marBottom w:val="0"/>
      <w:divBdr>
        <w:top w:val="none" w:sz="0" w:space="0" w:color="auto"/>
        <w:left w:val="none" w:sz="0" w:space="0" w:color="auto"/>
        <w:bottom w:val="none" w:sz="0" w:space="0" w:color="auto"/>
        <w:right w:val="none" w:sz="0" w:space="0" w:color="auto"/>
      </w:divBdr>
      <w:divsChild>
        <w:div w:id="598178338">
          <w:marLeft w:val="0"/>
          <w:marRight w:val="0"/>
          <w:marTop w:val="0"/>
          <w:marBottom w:val="0"/>
          <w:divBdr>
            <w:top w:val="none" w:sz="0" w:space="0" w:color="auto"/>
            <w:left w:val="none" w:sz="0" w:space="0" w:color="auto"/>
            <w:bottom w:val="none" w:sz="0" w:space="0" w:color="auto"/>
            <w:right w:val="none" w:sz="0" w:space="0" w:color="auto"/>
          </w:divBdr>
          <w:divsChild>
            <w:div w:id="1497307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202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166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3536560">
      <w:bodyDiv w:val="1"/>
      <w:marLeft w:val="0"/>
      <w:marRight w:val="0"/>
      <w:marTop w:val="0"/>
      <w:marBottom w:val="0"/>
      <w:divBdr>
        <w:top w:val="none" w:sz="0" w:space="0" w:color="auto"/>
        <w:left w:val="none" w:sz="0" w:space="0" w:color="auto"/>
        <w:bottom w:val="none" w:sz="0" w:space="0" w:color="auto"/>
        <w:right w:val="none" w:sz="0" w:space="0" w:color="auto"/>
      </w:divBdr>
      <w:divsChild>
        <w:div w:id="867184900">
          <w:marLeft w:val="0"/>
          <w:marRight w:val="0"/>
          <w:marTop w:val="0"/>
          <w:marBottom w:val="0"/>
          <w:divBdr>
            <w:top w:val="none" w:sz="0" w:space="0" w:color="auto"/>
            <w:left w:val="none" w:sz="0" w:space="0" w:color="auto"/>
            <w:bottom w:val="none" w:sz="0" w:space="0" w:color="auto"/>
            <w:right w:val="none" w:sz="0" w:space="0" w:color="auto"/>
          </w:divBdr>
          <w:divsChild>
            <w:div w:id="588581991">
              <w:marLeft w:val="0"/>
              <w:marRight w:val="0"/>
              <w:marTop w:val="0"/>
              <w:marBottom w:val="0"/>
              <w:divBdr>
                <w:top w:val="none" w:sz="0" w:space="0" w:color="auto"/>
                <w:left w:val="none" w:sz="0" w:space="0" w:color="auto"/>
                <w:bottom w:val="none" w:sz="0" w:space="0" w:color="auto"/>
                <w:right w:val="none" w:sz="0" w:space="0" w:color="auto"/>
              </w:divBdr>
            </w:div>
            <w:div w:id="915629905">
              <w:marLeft w:val="0"/>
              <w:marRight w:val="0"/>
              <w:marTop w:val="0"/>
              <w:marBottom w:val="0"/>
              <w:divBdr>
                <w:top w:val="none" w:sz="0" w:space="0" w:color="auto"/>
                <w:left w:val="none" w:sz="0" w:space="0" w:color="auto"/>
                <w:bottom w:val="none" w:sz="0" w:space="0" w:color="auto"/>
                <w:right w:val="none" w:sz="0" w:space="0" w:color="auto"/>
              </w:divBdr>
              <w:divsChild>
                <w:div w:id="1203249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3537879">
      <w:bodyDiv w:val="1"/>
      <w:marLeft w:val="0"/>
      <w:marRight w:val="0"/>
      <w:marTop w:val="0"/>
      <w:marBottom w:val="0"/>
      <w:divBdr>
        <w:top w:val="none" w:sz="0" w:space="0" w:color="auto"/>
        <w:left w:val="none" w:sz="0" w:space="0" w:color="auto"/>
        <w:bottom w:val="none" w:sz="0" w:space="0" w:color="auto"/>
        <w:right w:val="none" w:sz="0" w:space="0" w:color="auto"/>
      </w:divBdr>
    </w:div>
    <w:div w:id="264312195">
      <w:bodyDiv w:val="1"/>
      <w:marLeft w:val="0"/>
      <w:marRight w:val="0"/>
      <w:marTop w:val="0"/>
      <w:marBottom w:val="0"/>
      <w:divBdr>
        <w:top w:val="none" w:sz="0" w:space="0" w:color="auto"/>
        <w:left w:val="none" w:sz="0" w:space="0" w:color="auto"/>
        <w:bottom w:val="none" w:sz="0" w:space="0" w:color="auto"/>
        <w:right w:val="none" w:sz="0" w:space="0" w:color="auto"/>
      </w:divBdr>
      <w:divsChild>
        <w:div w:id="1908149309">
          <w:marLeft w:val="0"/>
          <w:marRight w:val="0"/>
          <w:marTop w:val="0"/>
          <w:marBottom w:val="0"/>
          <w:divBdr>
            <w:top w:val="none" w:sz="0" w:space="0" w:color="auto"/>
            <w:left w:val="none" w:sz="0" w:space="0" w:color="auto"/>
            <w:bottom w:val="none" w:sz="0" w:space="0" w:color="auto"/>
            <w:right w:val="none" w:sz="0" w:space="0" w:color="auto"/>
          </w:divBdr>
          <w:divsChild>
            <w:div w:id="19097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2649">
      <w:bodyDiv w:val="1"/>
      <w:marLeft w:val="0"/>
      <w:marRight w:val="0"/>
      <w:marTop w:val="0"/>
      <w:marBottom w:val="0"/>
      <w:divBdr>
        <w:top w:val="none" w:sz="0" w:space="0" w:color="auto"/>
        <w:left w:val="none" w:sz="0" w:space="0" w:color="auto"/>
        <w:bottom w:val="none" w:sz="0" w:space="0" w:color="auto"/>
        <w:right w:val="none" w:sz="0" w:space="0" w:color="auto"/>
      </w:divBdr>
      <w:divsChild>
        <w:div w:id="425537883">
          <w:marLeft w:val="0"/>
          <w:marRight w:val="0"/>
          <w:marTop w:val="0"/>
          <w:marBottom w:val="0"/>
          <w:divBdr>
            <w:top w:val="none" w:sz="0" w:space="0" w:color="auto"/>
            <w:left w:val="none" w:sz="0" w:space="0" w:color="auto"/>
            <w:bottom w:val="none" w:sz="0" w:space="0" w:color="auto"/>
            <w:right w:val="none" w:sz="0" w:space="0" w:color="auto"/>
          </w:divBdr>
        </w:div>
      </w:divsChild>
    </w:div>
    <w:div w:id="290475963">
      <w:bodyDiv w:val="1"/>
      <w:marLeft w:val="0"/>
      <w:marRight w:val="0"/>
      <w:marTop w:val="0"/>
      <w:marBottom w:val="0"/>
      <w:divBdr>
        <w:top w:val="none" w:sz="0" w:space="0" w:color="auto"/>
        <w:left w:val="none" w:sz="0" w:space="0" w:color="auto"/>
        <w:bottom w:val="none" w:sz="0" w:space="0" w:color="auto"/>
        <w:right w:val="none" w:sz="0" w:space="0" w:color="auto"/>
      </w:divBdr>
      <w:divsChild>
        <w:div w:id="586770089">
          <w:marLeft w:val="0"/>
          <w:marRight w:val="0"/>
          <w:marTop w:val="0"/>
          <w:marBottom w:val="0"/>
          <w:divBdr>
            <w:top w:val="none" w:sz="0" w:space="0" w:color="auto"/>
            <w:left w:val="none" w:sz="0" w:space="0" w:color="auto"/>
            <w:bottom w:val="none" w:sz="0" w:space="0" w:color="auto"/>
            <w:right w:val="none" w:sz="0" w:space="0" w:color="auto"/>
          </w:divBdr>
          <w:divsChild>
            <w:div w:id="160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991">
      <w:bodyDiv w:val="1"/>
      <w:marLeft w:val="0"/>
      <w:marRight w:val="0"/>
      <w:marTop w:val="0"/>
      <w:marBottom w:val="0"/>
      <w:divBdr>
        <w:top w:val="none" w:sz="0" w:space="0" w:color="auto"/>
        <w:left w:val="none" w:sz="0" w:space="0" w:color="auto"/>
        <w:bottom w:val="none" w:sz="0" w:space="0" w:color="auto"/>
        <w:right w:val="none" w:sz="0" w:space="0" w:color="auto"/>
      </w:divBdr>
      <w:divsChild>
        <w:div w:id="386420862">
          <w:marLeft w:val="0"/>
          <w:marRight w:val="0"/>
          <w:marTop w:val="0"/>
          <w:marBottom w:val="0"/>
          <w:divBdr>
            <w:top w:val="none" w:sz="0" w:space="0" w:color="auto"/>
            <w:left w:val="none" w:sz="0" w:space="0" w:color="auto"/>
            <w:bottom w:val="none" w:sz="0" w:space="0" w:color="auto"/>
            <w:right w:val="none" w:sz="0" w:space="0" w:color="auto"/>
          </w:divBdr>
          <w:divsChild>
            <w:div w:id="18751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3217">
      <w:bodyDiv w:val="1"/>
      <w:marLeft w:val="0"/>
      <w:marRight w:val="0"/>
      <w:marTop w:val="0"/>
      <w:marBottom w:val="0"/>
      <w:divBdr>
        <w:top w:val="none" w:sz="0" w:space="0" w:color="auto"/>
        <w:left w:val="none" w:sz="0" w:space="0" w:color="auto"/>
        <w:bottom w:val="none" w:sz="0" w:space="0" w:color="auto"/>
        <w:right w:val="none" w:sz="0" w:space="0" w:color="auto"/>
      </w:divBdr>
      <w:divsChild>
        <w:div w:id="1910923978">
          <w:marLeft w:val="0"/>
          <w:marRight w:val="0"/>
          <w:marTop w:val="0"/>
          <w:marBottom w:val="0"/>
          <w:divBdr>
            <w:top w:val="none" w:sz="0" w:space="0" w:color="auto"/>
            <w:left w:val="none" w:sz="0" w:space="0" w:color="auto"/>
            <w:bottom w:val="none" w:sz="0" w:space="0" w:color="auto"/>
            <w:right w:val="none" w:sz="0" w:space="0" w:color="auto"/>
          </w:divBdr>
          <w:divsChild>
            <w:div w:id="8769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6246">
      <w:bodyDiv w:val="1"/>
      <w:marLeft w:val="0"/>
      <w:marRight w:val="0"/>
      <w:marTop w:val="0"/>
      <w:marBottom w:val="0"/>
      <w:divBdr>
        <w:top w:val="none" w:sz="0" w:space="0" w:color="auto"/>
        <w:left w:val="none" w:sz="0" w:space="0" w:color="auto"/>
        <w:bottom w:val="none" w:sz="0" w:space="0" w:color="auto"/>
        <w:right w:val="none" w:sz="0" w:space="0" w:color="auto"/>
      </w:divBdr>
      <w:divsChild>
        <w:div w:id="1259868462">
          <w:marLeft w:val="0"/>
          <w:marRight w:val="0"/>
          <w:marTop w:val="0"/>
          <w:marBottom w:val="0"/>
          <w:divBdr>
            <w:top w:val="none" w:sz="0" w:space="0" w:color="auto"/>
            <w:left w:val="none" w:sz="0" w:space="0" w:color="auto"/>
            <w:bottom w:val="none" w:sz="0" w:space="0" w:color="auto"/>
            <w:right w:val="none" w:sz="0" w:space="0" w:color="auto"/>
          </w:divBdr>
          <w:divsChild>
            <w:div w:id="4681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8314">
      <w:bodyDiv w:val="1"/>
      <w:marLeft w:val="0"/>
      <w:marRight w:val="0"/>
      <w:marTop w:val="0"/>
      <w:marBottom w:val="0"/>
      <w:divBdr>
        <w:top w:val="none" w:sz="0" w:space="0" w:color="auto"/>
        <w:left w:val="none" w:sz="0" w:space="0" w:color="auto"/>
        <w:bottom w:val="none" w:sz="0" w:space="0" w:color="auto"/>
        <w:right w:val="none" w:sz="0" w:space="0" w:color="auto"/>
      </w:divBdr>
    </w:div>
    <w:div w:id="317421230">
      <w:bodyDiv w:val="1"/>
      <w:marLeft w:val="0"/>
      <w:marRight w:val="0"/>
      <w:marTop w:val="0"/>
      <w:marBottom w:val="0"/>
      <w:divBdr>
        <w:top w:val="none" w:sz="0" w:space="0" w:color="auto"/>
        <w:left w:val="none" w:sz="0" w:space="0" w:color="auto"/>
        <w:bottom w:val="none" w:sz="0" w:space="0" w:color="auto"/>
        <w:right w:val="none" w:sz="0" w:space="0" w:color="auto"/>
      </w:divBdr>
    </w:div>
    <w:div w:id="326401442">
      <w:bodyDiv w:val="1"/>
      <w:marLeft w:val="0"/>
      <w:marRight w:val="0"/>
      <w:marTop w:val="0"/>
      <w:marBottom w:val="0"/>
      <w:divBdr>
        <w:top w:val="none" w:sz="0" w:space="0" w:color="auto"/>
        <w:left w:val="none" w:sz="0" w:space="0" w:color="auto"/>
        <w:bottom w:val="none" w:sz="0" w:space="0" w:color="auto"/>
        <w:right w:val="none" w:sz="0" w:space="0" w:color="auto"/>
      </w:divBdr>
      <w:divsChild>
        <w:div w:id="285744534">
          <w:marLeft w:val="0"/>
          <w:marRight w:val="0"/>
          <w:marTop w:val="0"/>
          <w:marBottom w:val="0"/>
          <w:divBdr>
            <w:top w:val="none" w:sz="0" w:space="0" w:color="auto"/>
            <w:left w:val="none" w:sz="0" w:space="0" w:color="auto"/>
            <w:bottom w:val="none" w:sz="0" w:space="0" w:color="auto"/>
            <w:right w:val="none" w:sz="0" w:space="0" w:color="auto"/>
          </w:divBdr>
          <w:divsChild>
            <w:div w:id="794300754">
              <w:marLeft w:val="0"/>
              <w:marRight w:val="0"/>
              <w:marTop w:val="0"/>
              <w:marBottom w:val="0"/>
              <w:divBdr>
                <w:top w:val="none" w:sz="0" w:space="0" w:color="auto"/>
                <w:left w:val="none" w:sz="0" w:space="0" w:color="auto"/>
                <w:bottom w:val="none" w:sz="0" w:space="0" w:color="auto"/>
                <w:right w:val="none" w:sz="0" w:space="0" w:color="auto"/>
              </w:divBdr>
              <w:divsChild>
                <w:div w:id="459879212">
                  <w:marLeft w:val="0"/>
                  <w:marRight w:val="0"/>
                  <w:marTop w:val="0"/>
                  <w:marBottom w:val="0"/>
                  <w:divBdr>
                    <w:top w:val="none" w:sz="0" w:space="0" w:color="auto"/>
                    <w:left w:val="none" w:sz="0" w:space="0" w:color="auto"/>
                    <w:bottom w:val="none" w:sz="0" w:space="0" w:color="auto"/>
                    <w:right w:val="none" w:sz="0" w:space="0" w:color="auto"/>
                  </w:divBdr>
                  <w:divsChild>
                    <w:div w:id="254021073">
                      <w:marLeft w:val="0"/>
                      <w:marRight w:val="2400"/>
                      <w:marTop w:val="0"/>
                      <w:marBottom w:val="0"/>
                      <w:divBdr>
                        <w:top w:val="none" w:sz="0" w:space="0" w:color="auto"/>
                        <w:left w:val="none" w:sz="0" w:space="0" w:color="auto"/>
                        <w:bottom w:val="none" w:sz="0" w:space="0" w:color="auto"/>
                        <w:right w:val="none" w:sz="0" w:space="0" w:color="auto"/>
                      </w:divBdr>
                      <w:divsChild>
                        <w:div w:id="4539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74703">
      <w:bodyDiv w:val="1"/>
      <w:marLeft w:val="0"/>
      <w:marRight w:val="0"/>
      <w:marTop w:val="0"/>
      <w:marBottom w:val="0"/>
      <w:divBdr>
        <w:top w:val="none" w:sz="0" w:space="0" w:color="auto"/>
        <w:left w:val="none" w:sz="0" w:space="0" w:color="auto"/>
        <w:bottom w:val="none" w:sz="0" w:space="0" w:color="auto"/>
        <w:right w:val="none" w:sz="0" w:space="0" w:color="auto"/>
      </w:divBdr>
      <w:divsChild>
        <w:div w:id="1836649540">
          <w:marLeft w:val="0"/>
          <w:marRight w:val="0"/>
          <w:marTop w:val="0"/>
          <w:marBottom w:val="0"/>
          <w:divBdr>
            <w:top w:val="none" w:sz="0" w:space="0" w:color="auto"/>
            <w:left w:val="none" w:sz="0" w:space="0" w:color="auto"/>
            <w:bottom w:val="none" w:sz="0" w:space="0" w:color="auto"/>
            <w:right w:val="none" w:sz="0" w:space="0" w:color="auto"/>
          </w:divBdr>
          <w:divsChild>
            <w:div w:id="20554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029">
      <w:bodyDiv w:val="1"/>
      <w:marLeft w:val="0"/>
      <w:marRight w:val="0"/>
      <w:marTop w:val="0"/>
      <w:marBottom w:val="0"/>
      <w:divBdr>
        <w:top w:val="none" w:sz="0" w:space="0" w:color="auto"/>
        <w:left w:val="none" w:sz="0" w:space="0" w:color="auto"/>
        <w:bottom w:val="none" w:sz="0" w:space="0" w:color="auto"/>
        <w:right w:val="none" w:sz="0" w:space="0" w:color="auto"/>
      </w:divBdr>
      <w:divsChild>
        <w:div w:id="656034705">
          <w:marLeft w:val="0"/>
          <w:marRight w:val="0"/>
          <w:marTop w:val="0"/>
          <w:marBottom w:val="0"/>
          <w:divBdr>
            <w:top w:val="none" w:sz="0" w:space="0" w:color="auto"/>
            <w:left w:val="none" w:sz="0" w:space="0" w:color="auto"/>
            <w:bottom w:val="none" w:sz="0" w:space="0" w:color="auto"/>
            <w:right w:val="none" w:sz="0" w:space="0" w:color="auto"/>
          </w:divBdr>
          <w:divsChild>
            <w:div w:id="10621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0085">
      <w:bodyDiv w:val="1"/>
      <w:marLeft w:val="0"/>
      <w:marRight w:val="0"/>
      <w:marTop w:val="0"/>
      <w:marBottom w:val="0"/>
      <w:divBdr>
        <w:top w:val="none" w:sz="0" w:space="0" w:color="auto"/>
        <w:left w:val="none" w:sz="0" w:space="0" w:color="auto"/>
        <w:bottom w:val="none" w:sz="0" w:space="0" w:color="auto"/>
        <w:right w:val="none" w:sz="0" w:space="0" w:color="auto"/>
      </w:divBdr>
      <w:divsChild>
        <w:div w:id="755784340">
          <w:marLeft w:val="0"/>
          <w:marRight w:val="0"/>
          <w:marTop w:val="0"/>
          <w:marBottom w:val="0"/>
          <w:divBdr>
            <w:top w:val="none" w:sz="0" w:space="0" w:color="auto"/>
            <w:left w:val="none" w:sz="0" w:space="0" w:color="auto"/>
            <w:bottom w:val="none" w:sz="0" w:space="0" w:color="auto"/>
            <w:right w:val="none" w:sz="0" w:space="0" w:color="auto"/>
          </w:divBdr>
          <w:divsChild>
            <w:div w:id="7382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1340">
      <w:bodyDiv w:val="1"/>
      <w:marLeft w:val="0"/>
      <w:marRight w:val="0"/>
      <w:marTop w:val="0"/>
      <w:marBottom w:val="0"/>
      <w:divBdr>
        <w:top w:val="none" w:sz="0" w:space="0" w:color="auto"/>
        <w:left w:val="none" w:sz="0" w:space="0" w:color="auto"/>
        <w:bottom w:val="none" w:sz="0" w:space="0" w:color="auto"/>
        <w:right w:val="none" w:sz="0" w:space="0" w:color="auto"/>
      </w:divBdr>
      <w:divsChild>
        <w:div w:id="1850481276">
          <w:marLeft w:val="272"/>
          <w:marRight w:val="272"/>
          <w:marTop w:val="0"/>
          <w:marBottom w:val="0"/>
          <w:divBdr>
            <w:top w:val="none" w:sz="0" w:space="0" w:color="auto"/>
            <w:left w:val="none" w:sz="0" w:space="0" w:color="auto"/>
            <w:bottom w:val="none" w:sz="0" w:space="0" w:color="auto"/>
            <w:right w:val="none" w:sz="0" w:space="0" w:color="auto"/>
          </w:divBdr>
          <w:divsChild>
            <w:div w:id="981615270">
              <w:marLeft w:val="0"/>
              <w:marRight w:val="0"/>
              <w:marTop w:val="0"/>
              <w:marBottom w:val="136"/>
              <w:divBdr>
                <w:top w:val="none" w:sz="0" w:space="0" w:color="auto"/>
                <w:left w:val="none" w:sz="0" w:space="0" w:color="auto"/>
                <w:bottom w:val="none" w:sz="0" w:space="0" w:color="auto"/>
                <w:right w:val="none" w:sz="0" w:space="0" w:color="auto"/>
              </w:divBdr>
              <w:divsChild>
                <w:div w:id="1482425676">
                  <w:marLeft w:val="0"/>
                  <w:marRight w:val="0"/>
                  <w:marTop w:val="0"/>
                  <w:marBottom w:val="0"/>
                  <w:divBdr>
                    <w:top w:val="none" w:sz="0" w:space="0" w:color="auto"/>
                    <w:left w:val="none" w:sz="0" w:space="0" w:color="auto"/>
                    <w:bottom w:val="none" w:sz="0" w:space="0" w:color="auto"/>
                    <w:right w:val="none" w:sz="0" w:space="0" w:color="auto"/>
                  </w:divBdr>
                  <w:divsChild>
                    <w:div w:id="232542780">
                      <w:marLeft w:val="0"/>
                      <w:marRight w:val="0"/>
                      <w:marTop w:val="0"/>
                      <w:marBottom w:val="0"/>
                      <w:divBdr>
                        <w:top w:val="none" w:sz="0" w:space="0" w:color="auto"/>
                        <w:left w:val="none" w:sz="0" w:space="0" w:color="auto"/>
                        <w:bottom w:val="none" w:sz="0" w:space="0" w:color="auto"/>
                        <w:right w:val="none" w:sz="0" w:space="0" w:color="auto"/>
                      </w:divBdr>
                      <w:divsChild>
                        <w:div w:id="473836999">
                          <w:marLeft w:val="0"/>
                          <w:marRight w:val="0"/>
                          <w:marTop w:val="0"/>
                          <w:marBottom w:val="0"/>
                          <w:divBdr>
                            <w:top w:val="none" w:sz="0" w:space="0" w:color="auto"/>
                            <w:left w:val="none" w:sz="0" w:space="0" w:color="auto"/>
                            <w:bottom w:val="none" w:sz="0" w:space="0" w:color="auto"/>
                            <w:right w:val="none" w:sz="0" w:space="0" w:color="auto"/>
                          </w:divBdr>
                        </w:div>
                        <w:div w:id="614480004">
                          <w:marLeft w:val="0"/>
                          <w:marRight w:val="0"/>
                          <w:marTop w:val="0"/>
                          <w:marBottom w:val="0"/>
                          <w:divBdr>
                            <w:top w:val="none" w:sz="0" w:space="0" w:color="auto"/>
                            <w:left w:val="none" w:sz="0" w:space="0" w:color="auto"/>
                            <w:bottom w:val="none" w:sz="0" w:space="0" w:color="auto"/>
                            <w:right w:val="none" w:sz="0" w:space="0" w:color="auto"/>
                          </w:divBdr>
                        </w:div>
                        <w:div w:id="682824029">
                          <w:marLeft w:val="0"/>
                          <w:marRight w:val="0"/>
                          <w:marTop w:val="0"/>
                          <w:marBottom w:val="0"/>
                          <w:divBdr>
                            <w:top w:val="none" w:sz="0" w:space="0" w:color="auto"/>
                            <w:left w:val="none" w:sz="0" w:space="0" w:color="auto"/>
                            <w:bottom w:val="none" w:sz="0" w:space="0" w:color="auto"/>
                            <w:right w:val="none" w:sz="0" w:space="0" w:color="auto"/>
                          </w:divBdr>
                        </w:div>
                        <w:div w:id="835803799">
                          <w:marLeft w:val="0"/>
                          <w:marRight w:val="0"/>
                          <w:marTop w:val="0"/>
                          <w:marBottom w:val="0"/>
                          <w:divBdr>
                            <w:top w:val="none" w:sz="0" w:space="0" w:color="auto"/>
                            <w:left w:val="none" w:sz="0" w:space="0" w:color="auto"/>
                            <w:bottom w:val="none" w:sz="0" w:space="0" w:color="auto"/>
                            <w:right w:val="none" w:sz="0" w:space="0" w:color="auto"/>
                          </w:divBdr>
                        </w:div>
                        <w:div w:id="985167178">
                          <w:marLeft w:val="0"/>
                          <w:marRight w:val="0"/>
                          <w:marTop w:val="0"/>
                          <w:marBottom w:val="0"/>
                          <w:divBdr>
                            <w:top w:val="none" w:sz="0" w:space="0" w:color="auto"/>
                            <w:left w:val="none" w:sz="0" w:space="0" w:color="auto"/>
                            <w:bottom w:val="none" w:sz="0" w:space="0" w:color="auto"/>
                            <w:right w:val="none" w:sz="0" w:space="0" w:color="auto"/>
                          </w:divBdr>
                        </w:div>
                        <w:div w:id="1202593236">
                          <w:marLeft w:val="0"/>
                          <w:marRight w:val="0"/>
                          <w:marTop w:val="0"/>
                          <w:marBottom w:val="0"/>
                          <w:divBdr>
                            <w:top w:val="none" w:sz="0" w:space="0" w:color="auto"/>
                            <w:left w:val="none" w:sz="0" w:space="0" w:color="auto"/>
                            <w:bottom w:val="none" w:sz="0" w:space="0" w:color="auto"/>
                            <w:right w:val="none" w:sz="0" w:space="0" w:color="auto"/>
                          </w:divBdr>
                        </w:div>
                        <w:div w:id="1229808297">
                          <w:marLeft w:val="0"/>
                          <w:marRight w:val="0"/>
                          <w:marTop w:val="0"/>
                          <w:marBottom w:val="0"/>
                          <w:divBdr>
                            <w:top w:val="none" w:sz="0" w:space="0" w:color="auto"/>
                            <w:left w:val="none" w:sz="0" w:space="0" w:color="auto"/>
                            <w:bottom w:val="none" w:sz="0" w:space="0" w:color="auto"/>
                            <w:right w:val="none" w:sz="0" w:space="0" w:color="auto"/>
                          </w:divBdr>
                        </w:div>
                        <w:div w:id="1393964720">
                          <w:marLeft w:val="0"/>
                          <w:marRight w:val="0"/>
                          <w:marTop w:val="0"/>
                          <w:marBottom w:val="0"/>
                          <w:divBdr>
                            <w:top w:val="none" w:sz="0" w:space="0" w:color="auto"/>
                            <w:left w:val="none" w:sz="0" w:space="0" w:color="auto"/>
                            <w:bottom w:val="none" w:sz="0" w:space="0" w:color="auto"/>
                            <w:right w:val="none" w:sz="0" w:space="0" w:color="auto"/>
                          </w:divBdr>
                        </w:div>
                        <w:div w:id="17640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699379">
      <w:bodyDiv w:val="1"/>
      <w:marLeft w:val="0"/>
      <w:marRight w:val="0"/>
      <w:marTop w:val="0"/>
      <w:marBottom w:val="0"/>
      <w:divBdr>
        <w:top w:val="none" w:sz="0" w:space="0" w:color="auto"/>
        <w:left w:val="none" w:sz="0" w:space="0" w:color="auto"/>
        <w:bottom w:val="none" w:sz="0" w:space="0" w:color="auto"/>
        <w:right w:val="none" w:sz="0" w:space="0" w:color="auto"/>
      </w:divBdr>
      <w:divsChild>
        <w:div w:id="225381244">
          <w:marLeft w:val="272"/>
          <w:marRight w:val="272"/>
          <w:marTop w:val="0"/>
          <w:marBottom w:val="0"/>
          <w:divBdr>
            <w:top w:val="none" w:sz="0" w:space="0" w:color="auto"/>
            <w:left w:val="none" w:sz="0" w:space="0" w:color="auto"/>
            <w:bottom w:val="none" w:sz="0" w:space="0" w:color="auto"/>
            <w:right w:val="none" w:sz="0" w:space="0" w:color="auto"/>
          </w:divBdr>
          <w:divsChild>
            <w:div w:id="842862076">
              <w:marLeft w:val="0"/>
              <w:marRight w:val="0"/>
              <w:marTop w:val="0"/>
              <w:marBottom w:val="136"/>
              <w:divBdr>
                <w:top w:val="none" w:sz="0" w:space="0" w:color="auto"/>
                <w:left w:val="none" w:sz="0" w:space="0" w:color="auto"/>
                <w:bottom w:val="none" w:sz="0" w:space="0" w:color="auto"/>
                <w:right w:val="none" w:sz="0" w:space="0" w:color="auto"/>
              </w:divBdr>
              <w:divsChild>
                <w:div w:id="198904470">
                  <w:marLeft w:val="0"/>
                  <w:marRight w:val="0"/>
                  <w:marTop w:val="0"/>
                  <w:marBottom w:val="0"/>
                  <w:divBdr>
                    <w:top w:val="none" w:sz="0" w:space="0" w:color="auto"/>
                    <w:left w:val="none" w:sz="0" w:space="0" w:color="auto"/>
                    <w:bottom w:val="none" w:sz="0" w:space="0" w:color="auto"/>
                    <w:right w:val="none" w:sz="0" w:space="0" w:color="auto"/>
                  </w:divBdr>
                  <w:divsChild>
                    <w:div w:id="1420832751">
                      <w:marLeft w:val="0"/>
                      <w:marRight w:val="0"/>
                      <w:marTop w:val="0"/>
                      <w:marBottom w:val="0"/>
                      <w:divBdr>
                        <w:top w:val="none" w:sz="0" w:space="0" w:color="auto"/>
                        <w:left w:val="none" w:sz="0" w:space="0" w:color="auto"/>
                        <w:bottom w:val="none" w:sz="0" w:space="0" w:color="auto"/>
                        <w:right w:val="none" w:sz="0" w:space="0" w:color="auto"/>
                      </w:divBdr>
                      <w:divsChild>
                        <w:div w:id="44567246">
                          <w:marLeft w:val="0"/>
                          <w:marRight w:val="0"/>
                          <w:marTop w:val="0"/>
                          <w:marBottom w:val="0"/>
                          <w:divBdr>
                            <w:top w:val="none" w:sz="0" w:space="0" w:color="auto"/>
                            <w:left w:val="none" w:sz="0" w:space="0" w:color="auto"/>
                            <w:bottom w:val="none" w:sz="0" w:space="0" w:color="auto"/>
                            <w:right w:val="none" w:sz="0" w:space="0" w:color="auto"/>
                          </w:divBdr>
                        </w:div>
                        <w:div w:id="81537897">
                          <w:marLeft w:val="0"/>
                          <w:marRight w:val="0"/>
                          <w:marTop w:val="0"/>
                          <w:marBottom w:val="0"/>
                          <w:divBdr>
                            <w:top w:val="none" w:sz="0" w:space="0" w:color="auto"/>
                            <w:left w:val="none" w:sz="0" w:space="0" w:color="auto"/>
                            <w:bottom w:val="none" w:sz="0" w:space="0" w:color="auto"/>
                            <w:right w:val="none" w:sz="0" w:space="0" w:color="auto"/>
                          </w:divBdr>
                        </w:div>
                        <w:div w:id="127478488">
                          <w:marLeft w:val="0"/>
                          <w:marRight w:val="0"/>
                          <w:marTop w:val="0"/>
                          <w:marBottom w:val="0"/>
                          <w:divBdr>
                            <w:top w:val="none" w:sz="0" w:space="0" w:color="auto"/>
                            <w:left w:val="none" w:sz="0" w:space="0" w:color="auto"/>
                            <w:bottom w:val="none" w:sz="0" w:space="0" w:color="auto"/>
                            <w:right w:val="none" w:sz="0" w:space="0" w:color="auto"/>
                          </w:divBdr>
                        </w:div>
                        <w:div w:id="274214780">
                          <w:marLeft w:val="0"/>
                          <w:marRight w:val="0"/>
                          <w:marTop w:val="0"/>
                          <w:marBottom w:val="0"/>
                          <w:divBdr>
                            <w:top w:val="none" w:sz="0" w:space="0" w:color="auto"/>
                            <w:left w:val="none" w:sz="0" w:space="0" w:color="auto"/>
                            <w:bottom w:val="none" w:sz="0" w:space="0" w:color="auto"/>
                            <w:right w:val="none" w:sz="0" w:space="0" w:color="auto"/>
                          </w:divBdr>
                        </w:div>
                        <w:div w:id="443110489">
                          <w:marLeft w:val="0"/>
                          <w:marRight w:val="0"/>
                          <w:marTop w:val="0"/>
                          <w:marBottom w:val="0"/>
                          <w:divBdr>
                            <w:top w:val="none" w:sz="0" w:space="0" w:color="auto"/>
                            <w:left w:val="none" w:sz="0" w:space="0" w:color="auto"/>
                            <w:bottom w:val="none" w:sz="0" w:space="0" w:color="auto"/>
                            <w:right w:val="none" w:sz="0" w:space="0" w:color="auto"/>
                          </w:divBdr>
                        </w:div>
                        <w:div w:id="486096757">
                          <w:marLeft w:val="0"/>
                          <w:marRight w:val="0"/>
                          <w:marTop w:val="0"/>
                          <w:marBottom w:val="0"/>
                          <w:divBdr>
                            <w:top w:val="none" w:sz="0" w:space="0" w:color="auto"/>
                            <w:left w:val="none" w:sz="0" w:space="0" w:color="auto"/>
                            <w:bottom w:val="none" w:sz="0" w:space="0" w:color="auto"/>
                            <w:right w:val="none" w:sz="0" w:space="0" w:color="auto"/>
                          </w:divBdr>
                        </w:div>
                        <w:div w:id="514541058">
                          <w:marLeft w:val="0"/>
                          <w:marRight w:val="0"/>
                          <w:marTop w:val="0"/>
                          <w:marBottom w:val="0"/>
                          <w:divBdr>
                            <w:top w:val="none" w:sz="0" w:space="0" w:color="auto"/>
                            <w:left w:val="none" w:sz="0" w:space="0" w:color="auto"/>
                            <w:bottom w:val="none" w:sz="0" w:space="0" w:color="auto"/>
                            <w:right w:val="none" w:sz="0" w:space="0" w:color="auto"/>
                          </w:divBdr>
                        </w:div>
                        <w:div w:id="598568419">
                          <w:marLeft w:val="0"/>
                          <w:marRight w:val="0"/>
                          <w:marTop w:val="0"/>
                          <w:marBottom w:val="0"/>
                          <w:divBdr>
                            <w:top w:val="none" w:sz="0" w:space="0" w:color="auto"/>
                            <w:left w:val="none" w:sz="0" w:space="0" w:color="auto"/>
                            <w:bottom w:val="none" w:sz="0" w:space="0" w:color="auto"/>
                            <w:right w:val="none" w:sz="0" w:space="0" w:color="auto"/>
                          </w:divBdr>
                        </w:div>
                        <w:div w:id="731123802">
                          <w:marLeft w:val="0"/>
                          <w:marRight w:val="0"/>
                          <w:marTop w:val="0"/>
                          <w:marBottom w:val="0"/>
                          <w:divBdr>
                            <w:top w:val="none" w:sz="0" w:space="0" w:color="auto"/>
                            <w:left w:val="none" w:sz="0" w:space="0" w:color="auto"/>
                            <w:bottom w:val="none" w:sz="0" w:space="0" w:color="auto"/>
                            <w:right w:val="none" w:sz="0" w:space="0" w:color="auto"/>
                          </w:divBdr>
                        </w:div>
                        <w:div w:id="777990469">
                          <w:marLeft w:val="0"/>
                          <w:marRight w:val="0"/>
                          <w:marTop w:val="0"/>
                          <w:marBottom w:val="0"/>
                          <w:divBdr>
                            <w:top w:val="none" w:sz="0" w:space="0" w:color="auto"/>
                            <w:left w:val="none" w:sz="0" w:space="0" w:color="auto"/>
                            <w:bottom w:val="none" w:sz="0" w:space="0" w:color="auto"/>
                            <w:right w:val="none" w:sz="0" w:space="0" w:color="auto"/>
                          </w:divBdr>
                        </w:div>
                        <w:div w:id="933243399">
                          <w:marLeft w:val="0"/>
                          <w:marRight w:val="0"/>
                          <w:marTop w:val="0"/>
                          <w:marBottom w:val="0"/>
                          <w:divBdr>
                            <w:top w:val="none" w:sz="0" w:space="0" w:color="auto"/>
                            <w:left w:val="none" w:sz="0" w:space="0" w:color="auto"/>
                            <w:bottom w:val="none" w:sz="0" w:space="0" w:color="auto"/>
                            <w:right w:val="none" w:sz="0" w:space="0" w:color="auto"/>
                          </w:divBdr>
                        </w:div>
                        <w:div w:id="1068269019">
                          <w:marLeft w:val="0"/>
                          <w:marRight w:val="0"/>
                          <w:marTop w:val="0"/>
                          <w:marBottom w:val="0"/>
                          <w:divBdr>
                            <w:top w:val="none" w:sz="0" w:space="0" w:color="auto"/>
                            <w:left w:val="none" w:sz="0" w:space="0" w:color="auto"/>
                            <w:bottom w:val="none" w:sz="0" w:space="0" w:color="auto"/>
                            <w:right w:val="none" w:sz="0" w:space="0" w:color="auto"/>
                          </w:divBdr>
                        </w:div>
                        <w:div w:id="1082527944">
                          <w:marLeft w:val="0"/>
                          <w:marRight w:val="0"/>
                          <w:marTop w:val="0"/>
                          <w:marBottom w:val="0"/>
                          <w:divBdr>
                            <w:top w:val="none" w:sz="0" w:space="0" w:color="auto"/>
                            <w:left w:val="none" w:sz="0" w:space="0" w:color="auto"/>
                            <w:bottom w:val="none" w:sz="0" w:space="0" w:color="auto"/>
                            <w:right w:val="none" w:sz="0" w:space="0" w:color="auto"/>
                          </w:divBdr>
                        </w:div>
                        <w:div w:id="1147430237">
                          <w:marLeft w:val="0"/>
                          <w:marRight w:val="0"/>
                          <w:marTop w:val="0"/>
                          <w:marBottom w:val="0"/>
                          <w:divBdr>
                            <w:top w:val="none" w:sz="0" w:space="0" w:color="auto"/>
                            <w:left w:val="none" w:sz="0" w:space="0" w:color="auto"/>
                            <w:bottom w:val="none" w:sz="0" w:space="0" w:color="auto"/>
                            <w:right w:val="none" w:sz="0" w:space="0" w:color="auto"/>
                          </w:divBdr>
                        </w:div>
                        <w:div w:id="1432896327">
                          <w:marLeft w:val="0"/>
                          <w:marRight w:val="0"/>
                          <w:marTop w:val="0"/>
                          <w:marBottom w:val="0"/>
                          <w:divBdr>
                            <w:top w:val="none" w:sz="0" w:space="0" w:color="auto"/>
                            <w:left w:val="none" w:sz="0" w:space="0" w:color="auto"/>
                            <w:bottom w:val="none" w:sz="0" w:space="0" w:color="auto"/>
                            <w:right w:val="none" w:sz="0" w:space="0" w:color="auto"/>
                          </w:divBdr>
                        </w:div>
                        <w:div w:id="1447700764">
                          <w:marLeft w:val="0"/>
                          <w:marRight w:val="0"/>
                          <w:marTop w:val="0"/>
                          <w:marBottom w:val="0"/>
                          <w:divBdr>
                            <w:top w:val="none" w:sz="0" w:space="0" w:color="auto"/>
                            <w:left w:val="none" w:sz="0" w:space="0" w:color="auto"/>
                            <w:bottom w:val="none" w:sz="0" w:space="0" w:color="auto"/>
                            <w:right w:val="none" w:sz="0" w:space="0" w:color="auto"/>
                          </w:divBdr>
                        </w:div>
                        <w:div w:id="1541239368">
                          <w:marLeft w:val="0"/>
                          <w:marRight w:val="0"/>
                          <w:marTop w:val="0"/>
                          <w:marBottom w:val="0"/>
                          <w:divBdr>
                            <w:top w:val="none" w:sz="0" w:space="0" w:color="auto"/>
                            <w:left w:val="none" w:sz="0" w:space="0" w:color="auto"/>
                            <w:bottom w:val="none" w:sz="0" w:space="0" w:color="auto"/>
                            <w:right w:val="none" w:sz="0" w:space="0" w:color="auto"/>
                          </w:divBdr>
                        </w:div>
                        <w:div w:id="1544639454">
                          <w:marLeft w:val="0"/>
                          <w:marRight w:val="0"/>
                          <w:marTop w:val="0"/>
                          <w:marBottom w:val="0"/>
                          <w:divBdr>
                            <w:top w:val="none" w:sz="0" w:space="0" w:color="auto"/>
                            <w:left w:val="none" w:sz="0" w:space="0" w:color="auto"/>
                            <w:bottom w:val="none" w:sz="0" w:space="0" w:color="auto"/>
                            <w:right w:val="none" w:sz="0" w:space="0" w:color="auto"/>
                          </w:divBdr>
                        </w:div>
                        <w:div w:id="1756316827">
                          <w:marLeft w:val="0"/>
                          <w:marRight w:val="0"/>
                          <w:marTop w:val="0"/>
                          <w:marBottom w:val="0"/>
                          <w:divBdr>
                            <w:top w:val="none" w:sz="0" w:space="0" w:color="auto"/>
                            <w:left w:val="none" w:sz="0" w:space="0" w:color="auto"/>
                            <w:bottom w:val="none" w:sz="0" w:space="0" w:color="auto"/>
                            <w:right w:val="none" w:sz="0" w:space="0" w:color="auto"/>
                          </w:divBdr>
                        </w:div>
                        <w:div w:id="1794900526">
                          <w:marLeft w:val="0"/>
                          <w:marRight w:val="0"/>
                          <w:marTop w:val="0"/>
                          <w:marBottom w:val="0"/>
                          <w:divBdr>
                            <w:top w:val="none" w:sz="0" w:space="0" w:color="auto"/>
                            <w:left w:val="none" w:sz="0" w:space="0" w:color="auto"/>
                            <w:bottom w:val="none" w:sz="0" w:space="0" w:color="auto"/>
                            <w:right w:val="none" w:sz="0" w:space="0" w:color="auto"/>
                          </w:divBdr>
                        </w:div>
                        <w:div w:id="1826584869">
                          <w:marLeft w:val="0"/>
                          <w:marRight w:val="0"/>
                          <w:marTop w:val="0"/>
                          <w:marBottom w:val="0"/>
                          <w:divBdr>
                            <w:top w:val="none" w:sz="0" w:space="0" w:color="auto"/>
                            <w:left w:val="none" w:sz="0" w:space="0" w:color="auto"/>
                            <w:bottom w:val="none" w:sz="0" w:space="0" w:color="auto"/>
                            <w:right w:val="none" w:sz="0" w:space="0" w:color="auto"/>
                          </w:divBdr>
                        </w:div>
                        <w:div w:id="1954047251">
                          <w:marLeft w:val="0"/>
                          <w:marRight w:val="0"/>
                          <w:marTop w:val="0"/>
                          <w:marBottom w:val="0"/>
                          <w:divBdr>
                            <w:top w:val="none" w:sz="0" w:space="0" w:color="auto"/>
                            <w:left w:val="none" w:sz="0" w:space="0" w:color="auto"/>
                            <w:bottom w:val="none" w:sz="0" w:space="0" w:color="auto"/>
                            <w:right w:val="none" w:sz="0" w:space="0" w:color="auto"/>
                          </w:divBdr>
                        </w:div>
                        <w:div w:id="21471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47823">
      <w:bodyDiv w:val="1"/>
      <w:marLeft w:val="0"/>
      <w:marRight w:val="0"/>
      <w:marTop w:val="0"/>
      <w:marBottom w:val="0"/>
      <w:divBdr>
        <w:top w:val="none" w:sz="0" w:space="0" w:color="auto"/>
        <w:left w:val="none" w:sz="0" w:space="0" w:color="auto"/>
        <w:bottom w:val="none" w:sz="0" w:space="0" w:color="auto"/>
        <w:right w:val="none" w:sz="0" w:space="0" w:color="auto"/>
      </w:divBdr>
      <w:divsChild>
        <w:div w:id="1483354279">
          <w:marLeft w:val="0"/>
          <w:marRight w:val="0"/>
          <w:marTop w:val="0"/>
          <w:marBottom w:val="0"/>
          <w:divBdr>
            <w:top w:val="none" w:sz="0" w:space="0" w:color="auto"/>
            <w:left w:val="none" w:sz="0" w:space="0" w:color="auto"/>
            <w:bottom w:val="none" w:sz="0" w:space="0" w:color="auto"/>
            <w:right w:val="none" w:sz="0" w:space="0" w:color="auto"/>
          </w:divBdr>
          <w:divsChild>
            <w:div w:id="21167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0257">
      <w:bodyDiv w:val="1"/>
      <w:marLeft w:val="0"/>
      <w:marRight w:val="0"/>
      <w:marTop w:val="0"/>
      <w:marBottom w:val="0"/>
      <w:divBdr>
        <w:top w:val="none" w:sz="0" w:space="0" w:color="auto"/>
        <w:left w:val="none" w:sz="0" w:space="0" w:color="auto"/>
        <w:bottom w:val="none" w:sz="0" w:space="0" w:color="auto"/>
        <w:right w:val="none" w:sz="0" w:space="0" w:color="auto"/>
      </w:divBdr>
    </w:div>
    <w:div w:id="369452026">
      <w:bodyDiv w:val="1"/>
      <w:marLeft w:val="0"/>
      <w:marRight w:val="0"/>
      <w:marTop w:val="0"/>
      <w:marBottom w:val="0"/>
      <w:divBdr>
        <w:top w:val="none" w:sz="0" w:space="0" w:color="auto"/>
        <w:left w:val="none" w:sz="0" w:space="0" w:color="auto"/>
        <w:bottom w:val="none" w:sz="0" w:space="0" w:color="auto"/>
        <w:right w:val="none" w:sz="0" w:space="0" w:color="auto"/>
      </w:divBdr>
      <w:divsChild>
        <w:div w:id="619413213">
          <w:marLeft w:val="300"/>
          <w:marRight w:val="300"/>
          <w:marTop w:val="0"/>
          <w:marBottom w:val="0"/>
          <w:divBdr>
            <w:top w:val="none" w:sz="0" w:space="0" w:color="auto"/>
            <w:left w:val="none" w:sz="0" w:space="0" w:color="auto"/>
            <w:bottom w:val="none" w:sz="0" w:space="0" w:color="auto"/>
            <w:right w:val="none" w:sz="0" w:space="0" w:color="auto"/>
          </w:divBdr>
          <w:divsChild>
            <w:div w:id="447163890">
              <w:marLeft w:val="0"/>
              <w:marRight w:val="0"/>
              <w:marTop w:val="0"/>
              <w:marBottom w:val="150"/>
              <w:divBdr>
                <w:top w:val="none" w:sz="0" w:space="0" w:color="auto"/>
                <w:left w:val="none" w:sz="0" w:space="0" w:color="auto"/>
                <w:bottom w:val="none" w:sz="0" w:space="0" w:color="auto"/>
                <w:right w:val="none" w:sz="0" w:space="0" w:color="auto"/>
              </w:divBdr>
              <w:divsChild>
                <w:div w:id="1325282815">
                  <w:marLeft w:val="0"/>
                  <w:marRight w:val="0"/>
                  <w:marTop w:val="0"/>
                  <w:marBottom w:val="0"/>
                  <w:divBdr>
                    <w:top w:val="none" w:sz="0" w:space="0" w:color="auto"/>
                    <w:left w:val="none" w:sz="0" w:space="0" w:color="auto"/>
                    <w:bottom w:val="none" w:sz="0" w:space="0" w:color="auto"/>
                    <w:right w:val="none" w:sz="0" w:space="0" w:color="auto"/>
                  </w:divBdr>
                  <w:divsChild>
                    <w:div w:id="951671673">
                      <w:marLeft w:val="0"/>
                      <w:marRight w:val="0"/>
                      <w:marTop w:val="0"/>
                      <w:marBottom w:val="0"/>
                      <w:divBdr>
                        <w:top w:val="none" w:sz="0" w:space="0" w:color="auto"/>
                        <w:left w:val="none" w:sz="0" w:space="0" w:color="auto"/>
                        <w:bottom w:val="none" w:sz="0" w:space="0" w:color="auto"/>
                        <w:right w:val="none" w:sz="0" w:space="0" w:color="auto"/>
                      </w:divBdr>
                      <w:divsChild>
                        <w:div w:id="235745361">
                          <w:marLeft w:val="0"/>
                          <w:marRight w:val="0"/>
                          <w:marTop w:val="0"/>
                          <w:marBottom w:val="0"/>
                          <w:divBdr>
                            <w:top w:val="none" w:sz="0" w:space="0" w:color="auto"/>
                            <w:left w:val="none" w:sz="0" w:space="0" w:color="auto"/>
                            <w:bottom w:val="none" w:sz="0" w:space="0" w:color="auto"/>
                            <w:right w:val="none" w:sz="0" w:space="0" w:color="auto"/>
                          </w:divBdr>
                          <w:divsChild>
                            <w:div w:id="1369452531">
                              <w:marLeft w:val="0"/>
                              <w:marRight w:val="0"/>
                              <w:marTop w:val="0"/>
                              <w:marBottom w:val="0"/>
                              <w:divBdr>
                                <w:top w:val="none" w:sz="0" w:space="0" w:color="auto"/>
                                <w:left w:val="none" w:sz="0" w:space="0" w:color="auto"/>
                                <w:bottom w:val="none" w:sz="0" w:space="0" w:color="auto"/>
                                <w:right w:val="none" w:sz="0" w:space="0" w:color="auto"/>
                              </w:divBdr>
                            </w:div>
                            <w:div w:id="1828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79993">
      <w:bodyDiv w:val="1"/>
      <w:marLeft w:val="0"/>
      <w:marRight w:val="0"/>
      <w:marTop w:val="0"/>
      <w:marBottom w:val="0"/>
      <w:divBdr>
        <w:top w:val="none" w:sz="0" w:space="0" w:color="auto"/>
        <w:left w:val="none" w:sz="0" w:space="0" w:color="auto"/>
        <w:bottom w:val="none" w:sz="0" w:space="0" w:color="auto"/>
        <w:right w:val="none" w:sz="0" w:space="0" w:color="auto"/>
      </w:divBdr>
      <w:divsChild>
        <w:div w:id="378823434">
          <w:marLeft w:val="300"/>
          <w:marRight w:val="300"/>
          <w:marTop w:val="0"/>
          <w:marBottom w:val="0"/>
          <w:divBdr>
            <w:top w:val="none" w:sz="0" w:space="0" w:color="auto"/>
            <w:left w:val="none" w:sz="0" w:space="0" w:color="auto"/>
            <w:bottom w:val="none" w:sz="0" w:space="0" w:color="auto"/>
            <w:right w:val="none" w:sz="0" w:space="0" w:color="auto"/>
          </w:divBdr>
          <w:divsChild>
            <w:div w:id="831603811">
              <w:marLeft w:val="0"/>
              <w:marRight w:val="0"/>
              <w:marTop w:val="0"/>
              <w:marBottom w:val="150"/>
              <w:divBdr>
                <w:top w:val="none" w:sz="0" w:space="0" w:color="auto"/>
                <w:left w:val="none" w:sz="0" w:space="0" w:color="auto"/>
                <w:bottom w:val="none" w:sz="0" w:space="0" w:color="auto"/>
                <w:right w:val="none" w:sz="0" w:space="0" w:color="auto"/>
              </w:divBdr>
              <w:divsChild>
                <w:div w:id="1642080630">
                  <w:marLeft w:val="0"/>
                  <w:marRight w:val="0"/>
                  <w:marTop w:val="0"/>
                  <w:marBottom w:val="0"/>
                  <w:divBdr>
                    <w:top w:val="none" w:sz="0" w:space="0" w:color="auto"/>
                    <w:left w:val="none" w:sz="0" w:space="0" w:color="auto"/>
                    <w:bottom w:val="none" w:sz="0" w:space="0" w:color="auto"/>
                    <w:right w:val="none" w:sz="0" w:space="0" w:color="auto"/>
                  </w:divBdr>
                  <w:divsChild>
                    <w:div w:id="237979519">
                      <w:marLeft w:val="0"/>
                      <w:marRight w:val="0"/>
                      <w:marTop w:val="0"/>
                      <w:marBottom w:val="0"/>
                      <w:divBdr>
                        <w:top w:val="none" w:sz="0" w:space="0" w:color="auto"/>
                        <w:left w:val="none" w:sz="0" w:space="0" w:color="auto"/>
                        <w:bottom w:val="none" w:sz="0" w:space="0" w:color="auto"/>
                        <w:right w:val="none" w:sz="0" w:space="0" w:color="auto"/>
                      </w:divBdr>
                      <w:divsChild>
                        <w:div w:id="2099397941">
                          <w:marLeft w:val="0"/>
                          <w:marRight w:val="0"/>
                          <w:marTop w:val="0"/>
                          <w:marBottom w:val="0"/>
                          <w:divBdr>
                            <w:top w:val="none" w:sz="0" w:space="0" w:color="auto"/>
                            <w:left w:val="none" w:sz="0" w:space="0" w:color="auto"/>
                            <w:bottom w:val="none" w:sz="0" w:space="0" w:color="auto"/>
                            <w:right w:val="none" w:sz="0" w:space="0" w:color="auto"/>
                          </w:divBdr>
                          <w:divsChild>
                            <w:div w:id="622081268">
                              <w:marLeft w:val="0"/>
                              <w:marRight w:val="0"/>
                              <w:marTop w:val="0"/>
                              <w:marBottom w:val="0"/>
                              <w:divBdr>
                                <w:top w:val="none" w:sz="0" w:space="0" w:color="auto"/>
                                <w:left w:val="none" w:sz="0" w:space="0" w:color="auto"/>
                                <w:bottom w:val="none" w:sz="0" w:space="0" w:color="auto"/>
                                <w:right w:val="none" w:sz="0" w:space="0" w:color="auto"/>
                              </w:divBdr>
                              <w:divsChild>
                                <w:div w:id="796341326">
                                  <w:marLeft w:val="0"/>
                                  <w:marRight w:val="0"/>
                                  <w:marTop w:val="0"/>
                                  <w:marBottom w:val="0"/>
                                  <w:divBdr>
                                    <w:top w:val="none" w:sz="0" w:space="0" w:color="auto"/>
                                    <w:left w:val="none" w:sz="0" w:space="0" w:color="auto"/>
                                    <w:bottom w:val="none" w:sz="0" w:space="0" w:color="auto"/>
                                    <w:right w:val="none" w:sz="0" w:space="0" w:color="auto"/>
                                  </w:divBdr>
                                  <w:divsChild>
                                    <w:div w:id="591477550">
                                      <w:marLeft w:val="0"/>
                                      <w:marRight w:val="0"/>
                                      <w:marTop w:val="0"/>
                                      <w:marBottom w:val="0"/>
                                      <w:divBdr>
                                        <w:top w:val="none" w:sz="0" w:space="0" w:color="auto"/>
                                        <w:left w:val="none" w:sz="0" w:space="0" w:color="auto"/>
                                        <w:bottom w:val="none" w:sz="0" w:space="0" w:color="auto"/>
                                        <w:right w:val="none" w:sz="0" w:space="0" w:color="auto"/>
                                      </w:divBdr>
                                    </w:div>
                                    <w:div w:id="823813658">
                                      <w:marLeft w:val="0"/>
                                      <w:marRight w:val="0"/>
                                      <w:marTop w:val="0"/>
                                      <w:marBottom w:val="0"/>
                                      <w:divBdr>
                                        <w:top w:val="none" w:sz="0" w:space="0" w:color="auto"/>
                                        <w:left w:val="none" w:sz="0" w:space="0" w:color="auto"/>
                                        <w:bottom w:val="none" w:sz="0" w:space="0" w:color="auto"/>
                                        <w:right w:val="none" w:sz="0" w:space="0" w:color="auto"/>
                                      </w:divBdr>
                                      <w:divsChild>
                                        <w:div w:id="957906277">
                                          <w:marLeft w:val="0"/>
                                          <w:marRight w:val="0"/>
                                          <w:marTop w:val="0"/>
                                          <w:marBottom w:val="0"/>
                                          <w:divBdr>
                                            <w:top w:val="none" w:sz="0" w:space="0" w:color="auto"/>
                                            <w:left w:val="none" w:sz="0" w:space="0" w:color="auto"/>
                                            <w:bottom w:val="none" w:sz="0" w:space="0" w:color="auto"/>
                                            <w:right w:val="none" w:sz="0" w:space="0" w:color="auto"/>
                                          </w:divBdr>
                                        </w:div>
                                        <w:div w:id="2046787271">
                                          <w:marLeft w:val="0"/>
                                          <w:marRight w:val="0"/>
                                          <w:marTop w:val="0"/>
                                          <w:marBottom w:val="0"/>
                                          <w:divBdr>
                                            <w:top w:val="none" w:sz="0" w:space="0" w:color="auto"/>
                                            <w:left w:val="none" w:sz="0" w:space="0" w:color="auto"/>
                                            <w:bottom w:val="none" w:sz="0" w:space="0" w:color="auto"/>
                                            <w:right w:val="none" w:sz="0" w:space="0" w:color="auto"/>
                                          </w:divBdr>
                                        </w:div>
                                      </w:divsChild>
                                    </w:div>
                                    <w:div w:id="1358237358">
                                      <w:marLeft w:val="0"/>
                                      <w:marRight w:val="0"/>
                                      <w:marTop w:val="0"/>
                                      <w:marBottom w:val="0"/>
                                      <w:divBdr>
                                        <w:top w:val="none" w:sz="0" w:space="0" w:color="auto"/>
                                        <w:left w:val="none" w:sz="0" w:space="0" w:color="auto"/>
                                        <w:bottom w:val="none" w:sz="0" w:space="0" w:color="auto"/>
                                        <w:right w:val="none" w:sz="0" w:space="0" w:color="auto"/>
                                      </w:divBdr>
                                      <w:divsChild>
                                        <w:div w:id="60519461">
                                          <w:marLeft w:val="0"/>
                                          <w:marRight w:val="0"/>
                                          <w:marTop w:val="0"/>
                                          <w:marBottom w:val="0"/>
                                          <w:divBdr>
                                            <w:top w:val="none" w:sz="0" w:space="0" w:color="auto"/>
                                            <w:left w:val="none" w:sz="0" w:space="0" w:color="auto"/>
                                            <w:bottom w:val="none" w:sz="0" w:space="0" w:color="auto"/>
                                            <w:right w:val="none" w:sz="0" w:space="0" w:color="auto"/>
                                          </w:divBdr>
                                        </w:div>
                                        <w:div w:id="1755859846">
                                          <w:marLeft w:val="0"/>
                                          <w:marRight w:val="0"/>
                                          <w:marTop w:val="0"/>
                                          <w:marBottom w:val="0"/>
                                          <w:divBdr>
                                            <w:top w:val="none" w:sz="0" w:space="0" w:color="auto"/>
                                            <w:left w:val="none" w:sz="0" w:space="0" w:color="auto"/>
                                            <w:bottom w:val="none" w:sz="0" w:space="0" w:color="auto"/>
                                            <w:right w:val="none" w:sz="0" w:space="0" w:color="auto"/>
                                          </w:divBdr>
                                        </w:div>
                                      </w:divsChild>
                                    </w:div>
                                    <w:div w:id="1709450706">
                                      <w:marLeft w:val="0"/>
                                      <w:marRight w:val="0"/>
                                      <w:marTop w:val="0"/>
                                      <w:marBottom w:val="0"/>
                                      <w:divBdr>
                                        <w:top w:val="none" w:sz="0" w:space="0" w:color="auto"/>
                                        <w:left w:val="none" w:sz="0" w:space="0" w:color="auto"/>
                                        <w:bottom w:val="none" w:sz="0" w:space="0" w:color="auto"/>
                                        <w:right w:val="none" w:sz="0" w:space="0" w:color="auto"/>
                                      </w:divBdr>
                                      <w:divsChild>
                                        <w:div w:id="1889873906">
                                          <w:marLeft w:val="0"/>
                                          <w:marRight w:val="0"/>
                                          <w:marTop w:val="0"/>
                                          <w:marBottom w:val="0"/>
                                          <w:divBdr>
                                            <w:top w:val="none" w:sz="0" w:space="0" w:color="auto"/>
                                            <w:left w:val="none" w:sz="0" w:space="0" w:color="auto"/>
                                            <w:bottom w:val="none" w:sz="0" w:space="0" w:color="auto"/>
                                            <w:right w:val="none" w:sz="0" w:space="0" w:color="auto"/>
                                          </w:divBdr>
                                        </w:div>
                                        <w:div w:id="1925644664">
                                          <w:marLeft w:val="0"/>
                                          <w:marRight w:val="0"/>
                                          <w:marTop w:val="0"/>
                                          <w:marBottom w:val="0"/>
                                          <w:divBdr>
                                            <w:top w:val="none" w:sz="0" w:space="0" w:color="auto"/>
                                            <w:left w:val="none" w:sz="0" w:space="0" w:color="auto"/>
                                            <w:bottom w:val="none" w:sz="0" w:space="0" w:color="auto"/>
                                            <w:right w:val="none" w:sz="0" w:space="0" w:color="auto"/>
                                          </w:divBdr>
                                        </w:div>
                                        <w:div w:id="1962105738">
                                          <w:marLeft w:val="0"/>
                                          <w:marRight w:val="0"/>
                                          <w:marTop w:val="0"/>
                                          <w:marBottom w:val="0"/>
                                          <w:divBdr>
                                            <w:top w:val="none" w:sz="0" w:space="0" w:color="auto"/>
                                            <w:left w:val="none" w:sz="0" w:space="0" w:color="auto"/>
                                            <w:bottom w:val="none" w:sz="0" w:space="0" w:color="auto"/>
                                            <w:right w:val="none" w:sz="0" w:space="0" w:color="auto"/>
                                          </w:divBdr>
                                        </w:div>
                                      </w:divsChild>
                                    </w:div>
                                    <w:div w:id="2031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516837">
      <w:bodyDiv w:val="1"/>
      <w:marLeft w:val="0"/>
      <w:marRight w:val="0"/>
      <w:marTop w:val="0"/>
      <w:marBottom w:val="0"/>
      <w:divBdr>
        <w:top w:val="none" w:sz="0" w:space="0" w:color="auto"/>
        <w:left w:val="none" w:sz="0" w:space="0" w:color="auto"/>
        <w:bottom w:val="none" w:sz="0" w:space="0" w:color="auto"/>
        <w:right w:val="none" w:sz="0" w:space="0" w:color="auto"/>
      </w:divBdr>
      <w:divsChild>
        <w:div w:id="494489676">
          <w:marLeft w:val="0"/>
          <w:marRight w:val="0"/>
          <w:marTop w:val="0"/>
          <w:marBottom w:val="0"/>
          <w:divBdr>
            <w:top w:val="none" w:sz="0" w:space="0" w:color="auto"/>
            <w:left w:val="none" w:sz="0" w:space="0" w:color="auto"/>
            <w:bottom w:val="none" w:sz="0" w:space="0" w:color="auto"/>
            <w:right w:val="none" w:sz="0" w:space="0" w:color="auto"/>
          </w:divBdr>
          <w:divsChild>
            <w:div w:id="2929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113">
      <w:bodyDiv w:val="1"/>
      <w:marLeft w:val="0"/>
      <w:marRight w:val="0"/>
      <w:marTop w:val="0"/>
      <w:marBottom w:val="0"/>
      <w:divBdr>
        <w:top w:val="none" w:sz="0" w:space="0" w:color="auto"/>
        <w:left w:val="none" w:sz="0" w:space="0" w:color="auto"/>
        <w:bottom w:val="none" w:sz="0" w:space="0" w:color="auto"/>
        <w:right w:val="none" w:sz="0" w:space="0" w:color="auto"/>
      </w:divBdr>
      <w:divsChild>
        <w:div w:id="948199922">
          <w:marLeft w:val="0"/>
          <w:marRight w:val="0"/>
          <w:marTop w:val="0"/>
          <w:marBottom w:val="0"/>
          <w:divBdr>
            <w:top w:val="none" w:sz="0" w:space="0" w:color="auto"/>
            <w:left w:val="none" w:sz="0" w:space="0" w:color="auto"/>
            <w:bottom w:val="none" w:sz="0" w:space="0" w:color="auto"/>
            <w:right w:val="none" w:sz="0" w:space="0" w:color="auto"/>
          </w:divBdr>
          <w:divsChild>
            <w:div w:id="6742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3548">
      <w:bodyDiv w:val="1"/>
      <w:marLeft w:val="0"/>
      <w:marRight w:val="0"/>
      <w:marTop w:val="0"/>
      <w:marBottom w:val="0"/>
      <w:divBdr>
        <w:top w:val="none" w:sz="0" w:space="0" w:color="auto"/>
        <w:left w:val="none" w:sz="0" w:space="0" w:color="auto"/>
        <w:bottom w:val="none" w:sz="0" w:space="0" w:color="auto"/>
        <w:right w:val="none" w:sz="0" w:space="0" w:color="auto"/>
      </w:divBdr>
      <w:divsChild>
        <w:div w:id="1636181762">
          <w:marLeft w:val="0"/>
          <w:marRight w:val="0"/>
          <w:marTop w:val="0"/>
          <w:marBottom w:val="0"/>
          <w:divBdr>
            <w:top w:val="none" w:sz="0" w:space="0" w:color="auto"/>
            <w:left w:val="none" w:sz="0" w:space="0" w:color="auto"/>
            <w:bottom w:val="none" w:sz="0" w:space="0" w:color="auto"/>
            <w:right w:val="none" w:sz="0" w:space="0" w:color="auto"/>
          </w:divBdr>
          <w:divsChild>
            <w:div w:id="11290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5119">
      <w:bodyDiv w:val="1"/>
      <w:marLeft w:val="0"/>
      <w:marRight w:val="0"/>
      <w:marTop w:val="0"/>
      <w:marBottom w:val="0"/>
      <w:divBdr>
        <w:top w:val="none" w:sz="0" w:space="0" w:color="auto"/>
        <w:left w:val="none" w:sz="0" w:space="0" w:color="auto"/>
        <w:bottom w:val="none" w:sz="0" w:space="0" w:color="auto"/>
        <w:right w:val="none" w:sz="0" w:space="0" w:color="auto"/>
      </w:divBdr>
      <w:divsChild>
        <w:div w:id="1764379290">
          <w:marLeft w:val="300"/>
          <w:marRight w:val="300"/>
          <w:marTop w:val="0"/>
          <w:marBottom w:val="0"/>
          <w:divBdr>
            <w:top w:val="none" w:sz="0" w:space="0" w:color="auto"/>
            <w:left w:val="none" w:sz="0" w:space="0" w:color="auto"/>
            <w:bottom w:val="none" w:sz="0" w:space="0" w:color="auto"/>
            <w:right w:val="none" w:sz="0" w:space="0" w:color="auto"/>
          </w:divBdr>
          <w:divsChild>
            <w:div w:id="1950309075">
              <w:marLeft w:val="0"/>
              <w:marRight w:val="0"/>
              <w:marTop w:val="0"/>
              <w:marBottom w:val="150"/>
              <w:divBdr>
                <w:top w:val="none" w:sz="0" w:space="0" w:color="auto"/>
                <w:left w:val="none" w:sz="0" w:space="0" w:color="auto"/>
                <w:bottom w:val="none" w:sz="0" w:space="0" w:color="auto"/>
                <w:right w:val="none" w:sz="0" w:space="0" w:color="auto"/>
              </w:divBdr>
              <w:divsChild>
                <w:div w:id="2112621158">
                  <w:marLeft w:val="0"/>
                  <w:marRight w:val="0"/>
                  <w:marTop w:val="0"/>
                  <w:marBottom w:val="0"/>
                  <w:divBdr>
                    <w:top w:val="none" w:sz="0" w:space="0" w:color="auto"/>
                    <w:left w:val="none" w:sz="0" w:space="0" w:color="auto"/>
                    <w:bottom w:val="none" w:sz="0" w:space="0" w:color="auto"/>
                    <w:right w:val="none" w:sz="0" w:space="0" w:color="auto"/>
                  </w:divBdr>
                  <w:divsChild>
                    <w:div w:id="915288471">
                      <w:marLeft w:val="0"/>
                      <w:marRight w:val="0"/>
                      <w:marTop w:val="0"/>
                      <w:marBottom w:val="0"/>
                      <w:divBdr>
                        <w:top w:val="single" w:sz="6" w:space="4" w:color="CCCCCC"/>
                        <w:left w:val="none" w:sz="0" w:space="0" w:color="auto"/>
                        <w:bottom w:val="none" w:sz="0" w:space="0" w:color="auto"/>
                        <w:right w:val="none" w:sz="0" w:space="0" w:color="auto"/>
                      </w:divBdr>
                    </w:div>
                    <w:div w:id="1838811218">
                      <w:marLeft w:val="0"/>
                      <w:marRight w:val="0"/>
                      <w:marTop w:val="0"/>
                      <w:marBottom w:val="0"/>
                      <w:divBdr>
                        <w:top w:val="none" w:sz="0" w:space="0" w:color="auto"/>
                        <w:left w:val="none" w:sz="0" w:space="0" w:color="auto"/>
                        <w:bottom w:val="none" w:sz="0" w:space="0" w:color="auto"/>
                        <w:right w:val="none" w:sz="0" w:space="0" w:color="auto"/>
                      </w:divBdr>
                      <w:divsChild>
                        <w:div w:id="1919173699">
                          <w:marLeft w:val="0"/>
                          <w:marRight w:val="0"/>
                          <w:marTop w:val="0"/>
                          <w:marBottom w:val="0"/>
                          <w:divBdr>
                            <w:top w:val="none" w:sz="0" w:space="0" w:color="auto"/>
                            <w:left w:val="none" w:sz="0" w:space="0" w:color="auto"/>
                            <w:bottom w:val="none" w:sz="0" w:space="0" w:color="auto"/>
                            <w:right w:val="none" w:sz="0" w:space="0" w:color="auto"/>
                          </w:divBdr>
                          <w:divsChild>
                            <w:div w:id="52049273">
                              <w:marLeft w:val="0"/>
                              <w:marRight w:val="0"/>
                              <w:marTop w:val="0"/>
                              <w:marBottom w:val="0"/>
                              <w:divBdr>
                                <w:top w:val="none" w:sz="0" w:space="0" w:color="auto"/>
                                <w:left w:val="none" w:sz="0" w:space="0" w:color="auto"/>
                                <w:bottom w:val="none" w:sz="0" w:space="0" w:color="auto"/>
                                <w:right w:val="none" w:sz="0" w:space="0" w:color="auto"/>
                              </w:divBdr>
                            </w:div>
                            <w:div w:id="966859478">
                              <w:marLeft w:val="0"/>
                              <w:marRight w:val="0"/>
                              <w:marTop w:val="0"/>
                              <w:marBottom w:val="0"/>
                              <w:divBdr>
                                <w:top w:val="none" w:sz="0" w:space="0" w:color="auto"/>
                                <w:left w:val="none" w:sz="0" w:space="0" w:color="auto"/>
                                <w:bottom w:val="none" w:sz="0" w:space="0" w:color="auto"/>
                                <w:right w:val="none" w:sz="0" w:space="0" w:color="auto"/>
                              </w:divBdr>
                              <w:divsChild>
                                <w:div w:id="1101334737">
                                  <w:marLeft w:val="0"/>
                                  <w:marRight w:val="0"/>
                                  <w:marTop w:val="0"/>
                                  <w:marBottom w:val="0"/>
                                  <w:divBdr>
                                    <w:top w:val="none" w:sz="0" w:space="0" w:color="auto"/>
                                    <w:left w:val="none" w:sz="0" w:space="0" w:color="auto"/>
                                    <w:bottom w:val="none" w:sz="0" w:space="0" w:color="auto"/>
                                    <w:right w:val="none" w:sz="0" w:space="0" w:color="auto"/>
                                  </w:divBdr>
                                  <w:divsChild>
                                    <w:div w:id="268203931">
                                      <w:marLeft w:val="0"/>
                                      <w:marRight w:val="0"/>
                                      <w:marTop w:val="0"/>
                                      <w:marBottom w:val="0"/>
                                      <w:divBdr>
                                        <w:top w:val="none" w:sz="0" w:space="0" w:color="auto"/>
                                        <w:left w:val="none" w:sz="0" w:space="0" w:color="auto"/>
                                        <w:bottom w:val="none" w:sz="0" w:space="0" w:color="auto"/>
                                        <w:right w:val="none" w:sz="0" w:space="0" w:color="auto"/>
                                      </w:divBdr>
                                    </w:div>
                                    <w:div w:id="425226069">
                                      <w:marLeft w:val="0"/>
                                      <w:marRight w:val="0"/>
                                      <w:marTop w:val="0"/>
                                      <w:marBottom w:val="0"/>
                                      <w:divBdr>
                                        <w:top w:val="none" w:sz="0" w:space="0" w:color="auto"/>
                                        <w:left w:val="none" w:sz="0" w:space="0" w:color="auto"/>
                                        <w:bottom w:val="none" w:sz="0" w:space="0" w:color="auto"/>
                                        <w:right w:val="none" w:sz="0" w:space="0" w:color="auto"/>
                                      </w:divBdr>
                                    </w:div>
                                    <w:div w:id="967973705">
                                      <w:marLeft w:val="0"/>
                                      <w:marRight w:val="0"/>
                                      <w:marTop w:val="0"/>
                                      <w:marBottom w:val="0"/>
                                      <w:divBdr>
                                        <w:top w:val="none" w:sz="0" w:space="0" w:color="auto"/>
                                        <w:left w:val="none" w:sz="0" w:space="0" w:color="auto"/>
                                        <w:bottom w:val="none" w:sz="0" w:space="0" w:color="auto"/>
                                        <w:right w:val="none" w:sz="0" w:space="0" w:color="auto"/>
                                      </w:divBdr>
                                    </w:div>
                                  </w:divsChild>
                                </w:div>
                                <w:div w:id="1906647790">
                                  <w:marLeft w:val="0"/>
                                  <w:marRight w:val="0"/>
                                  <w:marTop w:val="0"/>
                                  <w:marBottom w:val="0"/>
                                  <w:divBdr>
                                    <w:top w:val="none" w:sz="0" w:space="0" w:color="auto"/>
                                    <w:left w:val="none" w:sz="0" w:space="0" w:color="auto"/>
                                    <w:bottom w:val="none" w:sz="0" w:space="0" w:color="auto"/>
                                    <w:right w:val="none" w:sz="0" w:space="0" w:color="auto"/>
                                  </w:divBdr>
                                  <w:divsChild>
                                    <w:div w:id="2058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3492">
                              <w:marLeft w:val="0"/>
                              <w:marRight w:val="0"/>
                              <w:marTop w:val="0"/>
                              <w:marBottom w:val="0"/>
                              <w:divBdr>
                                <w:top w:val="none" w:sz="0" w:space="0" w:color="auto"/>
                                <w:left w:val="none" w:sz="0" w:space="0" w:color="auto"/>
                                <w:bottom w:val="none" w:sz="0" w:space="0" w:color="auto"/>
                                <w:right w:val="none" w:sz="0" w:space="0" w:color="auto"/>
                              </w:divBdr>
                            </w:div>
                            <w:div w:id="1580597825">
                              <w:marLeft w:val="0"/>
                              <w:marRight w:val="0"/>
                              <w:marTop w:val="0"/>
                              <w:marBottom w:val="0"/>
                              <w:divBdr>
                                <w:top w:val="none" w:sz="0" w:space="0" w:color="auto"/>
                                <w:left w:val="none" w:sz="0" w:space="0" w:color="auto"/>
                                <w:bottom w:val="none" w:sz="0" w:space="0" w:color="auto"/>
                                <w:right w:val="none" w:sz="0" w:space="0" w:color="auto"/>
                              </w:divBdr>
                            </w:div>
                            <w:div w:id="17729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010513">
      <w:bodyDiv w:val="1"/>
      <w:marLeft w:val="0"/>
      <w:marRight w:val="0"/>
      <w:marTop w:val="0"/>
      <w:marBottom w:val="0"/>
      <w:divBdr>
        <w:top w:val="none" w:sz="0" w:space="0" w:color="auto"/>
        <w:left w:val="none" w:sz="0" w:space="0" w:color="auto"/>
        <w:bottom w:val="none" w:sz="0" w:space="0" w:color="auto"/>
        <w:right w:val="none" w:sz="0" w:space="0" w:color="auto"/>
      </w:divBdr>
    </w:div>
    <w:div w:id="398551582">
      <w:bodyDiv w:val="1"/>
      <w:marLeft w:val="0"/>
      <w:marRight w:val="0"/>
      <w:marTop w:val="0"/>
      <w:marBottom w:val="0"/>
      <w:divBdr>
        <w:top w:val="none" w:sz="0" w:space="0" w:color="auto"/>
        <w:left w:val="none" w:sz="0" w:space="0" w:color="auto"/>
        <w:bottom w:val="none" w:sz="0" w:space="0" w:color="auto"/>
        <w:right w:val="none" w:sz="0" w:space="0" w:color="auto"/>
      </w:divBdr>
      <w:divsChild>
        <w:div w:id="1548830872">
          <w:marLeft w:val="0"/>
          <w:marRight w:val="0"/>
          <w:marTop w:val="0"/>
          <w:marBottom w:val="0"/>
          <w:divBdr>
            <w:top w:val="none" w:sz="0" w:space="0" w:color="auto"/>
            <w:left w:val="none" w:sz="0" w:space="0" w:color="auto"/>
            <w:bottom w:val="none" w:sz="0" w:space="0" w:color="auto"/>
            <w:right w:val="none" w:sz="0" w:space="0" w:color="auto"/>
          </w:divBdr>
          <w:divsChild>
            <w:div w:id="1521116890">
              <w:marLeft w:val="0"/>
              <w:marRight w:val="0"/>
              <w:marTop w:val="0"/>
              <w:marBottom w:val="0"/>
              <w:divBdr>
                <w:top w:val="none" w:sz="0" w:space="0" w:color="auto"/>
                <w:left w:val="none" w:sz="0" w:space="0" w:color="auto"/>
                <w:bottom w:val="none" w:sz="0" w:space="0" w:color="auto"/>
                <w:right w:val="none" w:sz="0" w:space="0" w:color="auto"/>
              </w:divBdr>
              <w:divsChild>
                <w:div w:id="1576552212">
                  <w:marLeft w:val="0"/>
                  <w:marRight w:val="0"/>
                  <w:marTop w:val="0"/>
                  <w:marBottom w:val="0"/>
                  <w:divBdr>
                    <w:top w:val="none" w:sz="0" w:space="0" w:color="auto"/>
                    <w:left w:val="none" w:sz="0" w:space="0" w:color="auto"/>
                    <w:bottom w:val="none" w:sz="0" w:space="0" w:color="auto"/>
                    <w:right w:val="none" w:sz="0" w:space="0" w:color="auto"/>
                  </w:divBdr>
                  <w:divsChild>
                    <w:div w:id="1082026477">
                      <w:marLeft w:val="0"/>
                      <w:marRight w:val="0"/>
                      <w:marTop w:val="0"/>
                      <w:marBottom w:val="0"/>
                      <w:divBdr>
                        <w:top w:val="none" w:sz="0" w:space="0" w:color="auto"/>
                        <w:left w:val="none" w:sz="0" w:space="0" w:color="auto"/>
                        <w:bottom w:val="none" w:sz="0" w:space="0" w:color="auto"/>
                        <w:right w:val="none" w:sz="0" w:space="0" w:color="auto"/>
                      </w:divBdr>
                      <w:divsChild>
                        <w:div w:id="2023117828">
                          <w:marLeft w:val="0"/>
                          <w:marRight w:val="0"/>
                          <w:marTop w:val="0"/>
                          <w:marBottom w:val="0"/>
                          <w:divBdr>
                            <w:top w:val="none" w:sz="0" w:space="0" w:color="auto"/>
                            <w:left w:val="none" w:sz="0" w:space="0" w:color="auto"/>
                            <w:bottom w:val="none" w:sz="0" w:space="0" w:color="auto"/>
                            <w:right w:val="none" w:sz="0" w:space="0" w:color="auto"/>
                          </w:divBdr>
                          <w:divsChild>
                            <w:div w:id="1112750370">
                              <w:marLeft w:val="0"/>
                              <w:marRight w:val="0"/>
                              <w:marTop w:val="0"/>
                              <w:marBottom w:val="0"/>
                              <w:divBdr>
                                <w:top w:val="none" w:sz="0" w:space="0" w:color="auto"/>
                                <w:left w:val="none" w:sz="0" w:space="0" w:color="auto"/>
                                <w:bottom w:val="none" w:sz="0" w:space="0" w:color="auto"/>
                                <w:right w:val="none" w:sz="0" w:space="0" w:color="auto"/>
                              </w:divBdr>
                              <w:divsChild>
                                <w:div w:id="189805096">
                                  <w:marLeft w:val="0"/>
                                  <w:marRight w:val="0"/>
                                  <w:marTop w:val="0"/>
                                  <w:marBottom w:val="0"/>
                                  <w:divBdr>
                                    <w:top w:val="none" w:sz="0" w:space="0" w:color="auto"/>
                                    <w:left w:val="none" w:sz="0" w:space="0" w:color="auto"/>
                                    <w:bottom w:val="none" w:sz="0" w:space="0" w:color="auto"/>
                                    <w:right w:val="none" w:sz="0" w:space="0" w:color="auto"/>
                                  </w:divBdr>
                                  <w:divsChild>
                                    <w:div w:id="141966897">
                                      <w:marLeft w:val="0"/>
                                      <w:marRight w:val="0"/>
                                      <w:marTop w:val="0"/>
                                      <w:marBottom w:val="0"/>
                                      <w:divBdr>
                                        <w:top w:val="single" w:sz="6" w:space="0" w:color="FFFFFF"/>
                                        <w:left w:val="single" w:sz="6" w:space="14" w:color="CCCCCC"/>
                                        <w:bottom w:val="single" w:sz="6" w:space="0" w:color="FFFFFF"/>
                                        <w:right w:val="single" w:sz="2" w:space="0" w:color="FFFFFF"/>
                                      </w:divBdr>
                                      <w:divsChild>
                                        <w:div w:id="24329834">
                                          <w:marLeft w:val="0"/>
                                          <w:marRight w:val="0"/>
                                          <w:marTop w:val="0"/>
                                          <w:marBottom w:val="0"/>
                                          <w:divBdr>
                                            <w:top w:val="none" w:sz="0" w:space="0" w:color="auto"/>
                                            <w:left w:val="none" w:sz="0" w:space="0" w:color="auto"/>
                                            <w:bottom w:val="none" w:sz="0" w:space="0" w:color="auto"/>
                                            <w:right w:val="none" w:sz="0" w:space="0" w:color="auto"/>
                                          </w:divBdr>
                                          <w:divsChild>
                                            <w:div w:id="1184251568">
                                              <w:blockQuote w:val="1"/>
                                              <w:marLeft w:val="960"/>
                                              <w:marRight w:val="0"/>
                                              <w:marTop w:val="0"/>
                                              <w:marBottom w:val="0"/>
                                              <w:divBdr>
                                                <w:top w:val="none" w:sz="0" w:space="0" w:color="auto"/>
                                                <w:left w:val="none" w:sz="0" w:space="0" w:color="auto"/>
                                                <w:bottom w:val="none" w:sz="0" w:space="0" w:color="auto"/>
                                                <w:right w:val="none" w:sz="0" w:space="0" w:color="auto"/>
                                              </w:divBdr>
                                              <w:divsChild>
                                                <w:div w:id="87846091">
                                                  <w:blockQuote w:val="1"/>
                                                  <w:marLeft w:val="960"/>
                                                  <w:marRight w:val="0"/>
                                                  <w:marTop w:val="0"/>
                                                  <w:marBottom w:val="0"/>
                                                  <w:divBdr>
                                                    <w:top w:val="none" w:sz="0" w:space="0" w:color="auto"/>
                                                    <w:left w:val="none" w:sz="0" w:space="0" w:color="auto"/>
                                                    <w:bottom w:val="none" w:sz="0" w:space="0" w:color="auto"/>
                                                    <w:right w:val="none" w:sz="0" w:space="0" w:color="auto"/>
                                                  </w:divBdr>
                                                  <w:divsChild>
                                                    <w:div w:id="106044334">
                                                      <w:blockQuote w:val="1"/>
                                                      <w:marLeft w:val="960"/>
                                                      <w:marRight w:val="0"/>
                                                      <w:marTop w:val="0"/>
                                                      <w:marBottom w:val="0"/>
                                                      <w:divBdr>
                                                        <w:top w:val="none" w:sz="0" w:space="0" w:color="auto"/>
                                                        <w:left w:val="none" w:sz="0" w:space="0" w:color="auto"/>
                                                        <w:bottom w:val="none" w:sz="0" w:space="0" w:color="auto"/>
                                                        <w:right w:val="none" w:sz="0" w:space="0" w:color="auto"/>
                                                      </w:divBdr>
                                                      <w:divsChild>
                                                        <w:div w:id="630209086">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2024">
                                              <w:blockQuote w:val="1"/>
                                              <w:marLeft w:val="960"/>
                                              <w:marRight w:val="0"/>
                                              <w:marTop w:val="0"/>
                                              <w:marBottom w:val="0"/>
                                              <w:divBdr>
                                                <w:top w:val="none" w:sz="0" w:space="0" w:color="auto"/>
                                                <w:left w:val="none" w:sz="0" w:space="0" w:color="auto"/>
                                                <w:bottom w:val="none" w:sz="0" w:space="0" w:color="auto"/>
                                                <w:right w:val="none" w:sz="0" w:space="0" w:color="auto"/>
                                              </w:divBdr>
                                              <w:divsChild>
                                                <w:div w:id="454324692">
                                                  <w:blockQuote w:val="1"/>
                                                  <w:marLeft w:val="960"/>
                                                  <w:marRight w:val="0"/>
                                                  <w:marTop w:val="0"/>
                                                  <w:marBottom w:val="0"/>
                                                  <w:divBdr>
                                                    <w:top w:val="none" w:sz="0" w:space="0" w:color="auto"/>
                                                    <w:left w:val="none" w:sz="0" w:space="0" w:color="auto"/>
                                                    <w:bottom w:val="none" w:sz="0" w:space="0" w:color="auto"/>
                                                    <w:right w:val="none" w:sz="0" w:space="0" w:color="auto"/>
                                                  </w:divBdr>
                                                  <w:divsChild>
                                                    <w:div w:id="1992515084">
                                                      <w:blockQuote w:val="1"/>
                                                      <w:marLeft w:val="960"/>
                                                      <w:marRight w:val="0"/>
                                                      <w:marTop w:val="0"/>
                                                      <w:marBottom w:val="0"/>
                                                      <w:divBdr>
                                                        <w:top w:val="none" w:sz="0" w:space="0" w:color="auto"/>
                                                        <w:left w:val="none" w:sz="0" w:space="0" w:color="auto"/>
                                                        <w:bottom w:val="none" w:sz="0" w:space="0" w:color="auto"/>
                                                        <w:right w:val="none" w:sz="0" w:space="0" w:color="auto"/>
                                                      </w:divBdr>
                                                      <w:divsChild>
                                                        <w:div w:id="2075200522">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3914845">
      <w:bodyDiv w:val="1"/>
      <w:marLeft w:val="0"/>
      <w:marRight w:val="0"/>
      <w:marTop w:val="0"/>
      <w:marBottom w:val="0"/>
      <w:divBdr>
        <w:top w:val="none" w:sz="0" w:space="0" w:color="auto"/>
        <w:left w:val="none" w:sz="0" w:space="0" w:color="auto"/>
        <w:bottom w:val="none" w:sz="0" w:space="0" w:color="auto"/>
        <w:right w:val="none" w:sz="0" w:space="0" w:color="auto"/>
      </w:divBdr>
    </w:div>
    <w:div w:id="408312736">
      <w:bodyDiv w:val="1"/>
      <w:marLeft w:val="0"/>
      <w:marRight w:val="0"/>
      <w:marTop w:val="0"/>
      <w:marBottom w:val="0"/>
      <w:divBdr>
        <w:top w:val="none" w:sz="0" w:space="0" w:color="auto"/>
        <w:left w:val="none" w:sz="0" w:space="0" w:color="auto"/>
        <w:bottom w:val="none" w:sz="0" w:space="0" w:color="auto"/>
        <w:right w:val="none" w:sz="0" w:space="0" w:color="auto"/>
      </w:divBdr>
      <w:divsChild>
        <w:div w:id="1996252224">
          <w:marLeft w:val="0"/>
          <w:marRight w:val="0"/>
          <w:marTop w:val="0"/>
          <w:marBottom w:val="0"/>
          <w:divBdr>
            <w:top w:val="none" w:sz="0" w:space="0" w:color="auto"/>
            <w:left w:val="none" w:sz="0" w:space="0" w:color="auto"/>
            <w:bottom w:val="none" w:sz="0" w:space="0" w:color="auto"/>
            <w:right w:val="none" w:sz="0" w:space="0" w:color="auto"/>
          </w:divBdr>
          <w:divsChild>
            <w:div w:id="46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791">
      <w:bodyDiv w:val="1"/>
      <w:marLeft w:val="0"/>
      <w:marRight w:val="0"/>
      <w:marTop w:val="0"/>
      <w:marBottom w:val="0"/>
      <w:divBdr>
        <w:top w:val="none" w:sz="0" w:space="0" w:color="auto"/>
        <w:left w:val="none" w:sz="0" w:space="0" w:color="auto"/>
        <w:bottom w:val="none" w:sz="0" w:space="0" w:color="auto"/>
        <w:right w:val="none" w:sz="0" w:space="0" w:color="auto"/>
      </w:divBdr>
      <w:divsChild>
        <w:div w:id="1569000092">
          <w:marLeft w:val="0"/>
          <w:marRight w:val="0"/>
          <w:marTop w:val="0"/>
          <w:marBottom w:val="0"/>
          <w:divBdr>
            <w:top w:val="none" w:sz="0" w:space="0" w:color="auto"/>
            <w:left w:val="none" w:sz="0" w:space="0" w:color="auto"/>
            <w:bottom w:val="none" w:sz="0" w:space="0" w:color="auto"/>
            <w:right w:val="none" w:sz="0" w:space="0" w:color="auto"/>
          </w:divBdr>
          <w:divsChild>
            <w:div w:id="3427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4114">
      <w:bodyDiv w:val="1"/>
      <w:marLeft w:val="0"/>
      <w:marRight w:val="0"/>
      <w:marTop w:val="0"/>
      <w:marBottom w:val="0"/>
      <w:divBdr>
        <w:top w:val="none" w:sz="0" w:space="0" w:color="auto"/>
        <w:left w:val="none" w:sz="0" w:space="0" w:color="auto"/>
        <w:bottom w:val="none" w:sz="0" w:space="0" w:color="auto"/>
        <w:right w:val="none" w:sz="0" w:space="0" w:color="auto"/>
      </w:divBdr>
      <w:divsChild>
        <w:div w:id="1727218280">
          <w:marLeft w:val="0"/>
          <w:marRight w:val="0"/>
          <w:marTop w:val="0"/>
          <w:marBottom w:val="0"/>
          <w:divBdr>
            <w:top w:val="none" w:sz="0" w:space="0" w:color="auto"/>
            <w:left w:val="none" w:sz="0" w:space="0" w:color="auto"/>
            <w:bottom w:val="none" w:sz="0" w:space="0" w:color="auto"/>
            <w:right w:val="none" w:sz="0" w:space="0" w:color="auto"/>
          </w:divBdr>
          <w:divsChild>
            <w:div w:id="1740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0695">
      <w:bodyDiv w:val="1"/>
      <w:marLeft w:val="0"/>
      <w:marRight w:val="0"/>
      <w:marTop w:val="0"/>
      <w:marBottom w:val="0"/>
      <w:divBdr>
        <w:top w:val="none" w:sz="0" w:space="0" w:color="auto"/>
        <w:left w:val="none" w:sz="0" w:space="0" w:color="auto"/>
        <w:bottom w:val="none" w:sz="0" w:space="0" w:color="auto"/>
        <w:right w:val="none" w:sz="0" w:space="0" w:color="auto"/>
      </w:divBdr>
    </w:div>
    <w:div w:id="415178281">
      <w:bodyDiv w:val="1"/>
      <w:marLeft w:val="0"/>
      <w:marRight w:val="0"/>
      <w:marTop w:val="0"/>
      <w:marBottom w:val="0"/>
      <w:divBdr>
        <w:top w:val="none" w:sz="0" w:space="0" w:color="auto"/>
        <w:left w:val="none" w:sz="0" w:space="0" w:color="auto"/>
        <w:bottom w:val="none" w:sz="0" w:space="0" w:color="auto"/>
        <w:right w:val="none" w:sz="0" w:space="0" w:color="auto"/>
      </w:divBdr>
      <w:divsChild>
        <w:div w:id="1529291282">
          <w:marLeft w:val="0"/>
          <w:marRight w:val="0"/>
          <w:marTop w:val="0"/>
          <w:marBottom w:val="0"/>
          <w:divBdr>
            <w:top w:val="none" w:sz="0" w:space="0" w:color="auto"/>
            <w:left w:val="none" w:sz="0" w:space="0" w:color="auto"/>
            <w:bottom w:val="none" w:sz="0" w:space="0" w:color="auto"/>
            <w:right w:val="none" w:sz="0" w:space="0" w:color="auto"/>
          </w:divBdr>
          <w:divsChild>
            <w:div w:id="20312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869">
      <w:bodyDiv w:val="1"/>
      <w:marLeft w:val="0"/>
      <w:marRight w:val="0"/>
      <w:marTop w:val="0"/>
      <w:marBottom w:val="0"/>
      <w:divBdr>
        <w:top w:val="none" w:sz="0" w:space="0" w:color="auto"/>
        <w:left w:val="none" w:sz="0" w:space="0" w:color="auto"/>
        <w:bottom w:val="none" w:sz="0" w:space="0" w:color="auto"/>
        <w:right w:val="none" w:sz="0" w:space="0" w:color="auto"/>
      </w:divBdr>
      <w:divsChild>
        <w:div w:id="1710639483">
          <w:marLeft w:val="0"/>
          <w:marRight w:val="0"/>
          <w:marTop w:val="0"/>
          <w:marBottom w:val="0"/>
          <w:divBdr>
            <w:top w:val="none" w:sz="0" w:space="0" w:color="auto"/>
            <w:left w:val="none" w:sz="0" w:space="0" w:color="auto"/>
            <w:bottom w:val="none" w:sz="0" w:space="0" w:color="auto"/>
            <w:right w:val="none" w:sz="0" w:space="0" w:color="auto"/>
          </w:divBdr>
          <w:divsChild>
            <w:div w:id="18646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7202">
      <w:bodyDiv w:val="1"/>
      <w:marLeft w:val="0"/>
      <w:marRight w:val="0"/>
      <w:marTop w:val="0"/>
      <w:marBottom w:val="0"/>
      <w:divBdr>
        <w:top w:val="none" w:sz="0" w:space="0" w:color="auto"/>
        <w:left w:val="none" w:sz="0" w:space="0" w:color="auto"/>
        <w:bottom w:val="none" w:sz="0" w:space="0" w:color="auto"/>
        <w:right w:val="none" w:sz="0" w:space="0" w:color="auto"/>
      </w:divBdr>
      <w:divsChild>
        <w:div w:id="897085518">
          <w:marLeft w:val="0"/>
          <w:marRight w:val="0"/>
          <w:marTop w:val="0"/>
          <w:marBottom w:val="0"/>
          <w:divBdr>
            <w:top w:val="none" w:sz="0" w:space="0" w:color="auto"/>
            <w:left w:val="none" w:sz="0" w:space="0" w:color="auto"/>
            <w:bottom w:val="none" w:sz="0" w:space="0" w:color="auto"/>
            <w:right w:val="none" w:sz="0" w:space="0" w:color="auto"/>
          </w:divBdr>
          <w:divsChild>
            <w:div w:id="9127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8587">
      <w:bodyDiv w:val="1"/>
      <w:marLeft w:val="0"/>
      <w:marRight w:val="0"/>
      <w:marTop w:val="0"/>
      <w:marBottom w:val="0"/>
      <w:divBdr>
        <w:top w:val="none" w:sz="0" w:space="0" w:color="auto"/>
        <w:left w:val="none" w:sz="0" w:space="0" w:color="auto"/>
        <w:bottom w:val="none" w:sz="0" w:space="0" w:color="auto"/>
        <w:right w:val="none" w:sz="0" w:space="0" w:color="auto"/>
      </w:divBdr>
      <w:divsChild>
        <w:div w:id="2093312008">
          <w:marLeft w:val="0"/>
          <w:marRight w:val="0"/>
          <w:marTop w:val="0"/>
          <w:marBottom w:val="0"/>
          <w:divBdr>
            <w:top w:val="none" w:sz="0" w:space="0" w:color="auto"/>
            <w:left w:val="none" w:sz="0" w:space="0" w:color="auto"/>
            <w:bottom w:val="none" w:sz="0" w:space="0" w:color="auto"/>
            <w:right w:val="none" w:sz="0" w:space="0" w:color="auto"/>
          </w:divBdr>
          <w:divsChild>
            <w:div w:id="802192299">
              <w:marLeft w:val="0"/>
              <w:marRight w:val="0"/>
              <w:marTop w:val="0"/>
              <w:marBottom w:val="0"/>
              <w:divBdr>
                <w:top w:val="none" w:sz="0" w:space="0" w:color="auto"/>
                <w:left w:val="none" w:sz="0" w:space="0" w:color="auto"/>
                <w:bottom w:val="none" w:sz="0" w:space="0" w:color="auto"/>
                <w:right w:val="none" w:sz="0" w:space="0" w:color="auto"/>
              </w:divBdr>
              <w:divsChild>
                <w:div w:id="307712157">
                  <w:marLeft w:val="-225"/>
                  <w:marRight w:val="-225"/>
                  <w:marTop w:val="0"/>
                  <w:marBottom w:val="0"/>
                  <w:divBdr>
                    <w:top w:val="none" w:sz="0" w:space="0" w:color="auto"/>
                    <w:left w:val="none" w:sz="0" w:space="0" w:color="auto"/>
                    <w:bottom w:val="none" w:sz="0" w:space="0" w:color="auto"/>
                    <w:right w:val="none" w:sz="0" w:space="0" w:color="auto"/>
                  </w:divBdr>
                  <w:divsChild>
                    <w:div w:id="356929148">
                      <w:marLeft w:val="0"/>
                      <w:marRight w:val="0"/>
                      <w:marTop w:val="0"/>
                      <w:marBottom w:val="0"/>
                      <w:divBdr>
                        <w:top w:val="none" w:sz="0" w:space="0" w:color="auto"/>
                        <w:left w:val="none" w:sz="0" w:space="0" w:color="auto"/>
                        <w:bottom w:val="none" w:sz="0" w:space="0" w:color="auto"/>
                        <w:right w:val="none" w:sz="0" w:space="0" w:color="auto"/>
                      </w:divBdr>
                      <w:divsChild>
                        <w:div w:id="497773292">
                          <w:marLeft w:val="0"/>
                          <w:marRight w:val="0"/>
                          <w:marTop w:val="0"/>
                          <w:marBottom w:val="0"/>
                          <w:divBdr>
                            <w:top w:val="none" w:sz="0" w:space="0" w:color="auto"/>
                            <w:left w:val="none" w:sz="0" w:space="0" w:color="auto"/>
                            <w:bottom w:val="none" w:sz="0" w:space="0" w:color="auto"/>
                            <w:right w:val="none" w:sz="0" w:space="0" w:color="auto"/>
                          </w:divBdr>
                          <w:divsChild>
                            <w:div w:id="1395812714">
                              <w:marLeft w:val="0"/>
                              <w:marRight w:val="0"/>
                              <w:marTop w:val="0"/>
                              <w:marBottom w:val="0"/>
                              <w:divBdr>
                                <w:top w:val="none" w:sz="0" w:space="0" w:color="auto"/>
                                <w:left w:val="none" w:sz="0" w:space="0" w:color="auto"/>
                                <w:bottom w:val="none" w:sz="0" w:space="0" w:color="auto"/>
                                <w:right w:val="none" w:sz="0" w:space="0" w:color="auto"/>
                              </w:divBdr>
                              <w:divsChild>
                                <w:div w:id="250435719">
                                  <w:marLeft w:val="0"/>
                                  <w:marRight w:val="0"/>
                                  <w:marTop w:val="0"/>
                                  <w:marBottom w:val="0"/>
                                  <w:divBdr>
                                    <w:top w:val="none" w:sz="0" w:space="0" w:color="auto"/>
                                    <w:left w:val="none" w:sz="0" w:space="0" w:color="auto"/>
                                    <w:bottom w:val="none" w:sz="0" w:space="0" w:color="auto"/>
                                    <w:right w:val="none" w:sz="0" w:space="0" w:color="auto"/>
                                  </w:divBdr>
                                </w:div>
                                <w:div w:id="1460370801">
                                  <w:marLeft w:val="0"/>
                                  <w:marRight w:val="0"/>
                                  <w:marTop w:val="0"/>
                                  <w:marBottom w:val="0"/>
                                  <w:divBdr>
                                    <w:top w:val="none" w:sz="0" w:space="0" w:color="auto"/>
                                    <w:left w:val="none" w:sz="0" w:space="0" w:color="auto"/>
                                    <w:bottom w:val="none" w:sz="0" w:space="0" w:color="auto"/>
                                    <w:right w:val="none" w:sz="0" w:space="0" w:color="auto"/>
                                  </w:divBdr>
                                </w:div>
                                <w:div w:id="925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441777">
      <w:bodyDiv w:val="1"/>
      <w:marLeft w:val="0"/>
      <w:marRight w:val="0"/>
      <w:marTop w:val="0"/>
      <w:marBottom w:val="0"/>
      <w:divBdr>
        <w:top w:val="none" w:sz="0" w:space="0" w:color="auto"/>
        <w:left w:val="none" w:sz="0" w:space="0" w:color="auto"/>
        <w:bottom w:val="none" w:sz="0" w:space="0" w:color="auto"/>
        <w:right w:val="none" w:sz="0" w:space="0" w:color="auto"/>
      </w:divBdr>
      <w:divsChild>
        <w:div w:id="583612510">
          <w:marLeft w:val="0"/>
          <w:marRight w:val="0"/>
          <w:marTop w:val="0"/>
          <w:marBottom w:val="0"/>
          <w:divBdr>
            <w:top w:val="none" w:sz="0" w:space="0" w:color="auto"/>
            <w:left w:val="none" w:sz="0" w:space="0" w:color="auto"/>
            <w:bottom w:val="none" w:sz="0" w:space="0" w:color="auto"/>
            <w:right w:val="none" w:sz="0" w:space="0" w:color="auto"/>
          </w:divBdr>
          <w:divsChild>
            <w:div w:id="6105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7006">
      <w:bodyDiv w:val="1"/>
      <w:marLeft w:val="0"/>
      <w:marRight w:val="0"/>
      <w:marTop w:val="0"/>
      <w:marBottom w:val="0"/>
      <w:divBdr>
        <w:top w:val="none" w:sz="0" w:space="0" w:color="auto"/>
        <w:left w:val="none" w:sz="0" w:space="0" w:color="auto"/>
        <w:bottom w:val="none" w:sz="0" w:space="0" w:color="auto"/>
        <w:right w:val="none" w:sz="0" w:space="0" w:color="auto"/>
      </w:divBdr>
      <w:divsChild>
        <w:div w:id="1110979451">
          <w:marLeft w:val="0"/>
          <w:marRight w:val="0"/>
          <w:marTop w:val="0"/>
          <w:marBottom w:val="0"/>
          <w:divBdr>
            <w:top w:val="none" w:sz="0" w:space="0" w:color="auto"/>
            <w:left w:val="none" w:sz="0" w:space="0" w:color="auto"/>
            <w:bottom w:val="none" w:sz="0" w:space="0" w:color="auto"/>
            <w:right w:val="none" w:sz="0" w:space="0" w:color="auto"/>
          </w:divBdr>
          <w:divsChild>
            <w:div w:id="6595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2994">
      <w:bodyDiv w:val="1"/>
      <w:marLeft w:val="0"/>
      <w:marRight w:val="0"/>
      <w:marTop w:val="0"/>
      <w:marBottom w:val="0"/>
      <w:divBdr>
        <w:top w:val="none" w:sz="0" w:space="0" w:color="auto"/>
        <w:left w:val="none" w:sz="0" w:space="0" w:color="auto"/>
        <w:bottom w:val="none" w:sz="0" w:space="0" w:color="auto"/>
        <w:right w:val="none" w:sz="0" w:space="0" w:color="auto"/>
      </w:divBdr>
      <w:divsChild>
        <w:div w:id="562954718">
          <w:marLeft w:val="0"/>
          <w:marRight w:val="0"/>
          <w:marTop w:val="0"/>
          <w:marBottom w:val="0"/>
          <w:divBdr>
            <w:top w:val="none" w:sz="0" w:space="0" w:color="auto"/>
            <w:left w:val="none" w:sz="0" w:space="0" w:color="auto"/>
            <w:bottom w:val="none" w:sz="0" w:space="0" w:color="auto"/>
            <w:right w:val="none" w:sz="0" w:space="0" w:color="auto"/>
          </w:divBdr>
          <w:divsChild>
            <w:div w:id="21218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5345">
      <w:bodyDiv w:val="1"/>
      <w:marLeft w:val="0"/>
      <w:marRight w:val="0"/>
      <w:marTop w:val="0"/>
      <w:marBottom w:val="0"/>
      <w:divBdr>
        <w:top w:val="none" w:sz="0" w:space="0" w:color="auto"/>
        <w:left w:val="none" w:sz="0" w:space="0" w:color="auto"/>
        <w:bottom w:val="none" w:sz="0" w:space="0" w:color="auto"/>
        <w:right w:val="none" w:sz="0" w:space="0" w:color="auto"/>
      </w:divBdr>
      <w:divsChild>
        <w:div w:id="546843358">
          <w:marLeft w:val="250"/>
          <w:marRight w:val="250"/>
          <w:marTop w:val="0"/>
          <w:marBottom w:val="0"/>
          <w:divBdr>
            <w:top w:val="none" w:sz="0" w:space="0" w:color="auto"/>
            <w:left w:val="none" w:sz="0" w:space="0" w:color="auto"/>
            <w:bottom w:val="none" w:sz="0" w:space="0" w:color="auto"/>
            <w:right w:val="none" w:sz="0" w:space="0" w:color="auto"/>
          </w:divBdr>
          <w:divsChild>
            <w:div w:id="12192479">
              <w:marLeft w:val="0"/>
              <w:marRight w:val="0"/>
              <w:marTop w:val="0"/>
              <w:marBottom w:val="125"/>
              <w:divBdr>
                <w:top w:val="none" w:sz="0" w:space="0" w:color="auto"/>
                <w:left w:val="none" w:sz="0" w:space="0" w:color="auto"/>
                <w:bottom w:val="none" w:sz="0" w:space="0" w:color="auto"/>
                <w:right w:val="none" w:sz="0" w:space="0" w:color="auto"/>
              </w:divBdr>
              <w:divsChild>
                <w:div w:id="1423843657">
                  <w:marLeft w:val="0"/>
                  <w:marRight w:val="0"/>
                  <w:marTop w:val="0"/>
                  <w:marBottom w:val="0"/>
                  <w:divBdr>
                    <w:top w:val="none" w:sz="0" w:space="0" w:color="auto"/>
                    <w:left w:val="none" w:sz="0" w:space="0" w:color="auto"/>
                    <w:bottom w:val="none" w:sz="0" w:space="0" w:color="auto"/>
                    <w:right w:val="none" w:sz="0" w:space="0" w:color="auto"/>
                  </w:divBdr>
                  <w:divsChild>
                    <w:div w:id="735277710">
                      <w:marLeft w:val="0"/>
                      <w:marRight w:val="0"/>
                      <w:marTop w:val="0"/>
                      <w:marBottom w:val="0"/>
                      <w:divBdr>
                        <w:top w:val="none" w:sz="0" w:space="0" w:color="auto"/>
                        <w:left w:val="none" w:sz="0" w:space="0" w:color="auto"/>
                        <w:bottom w:val="none" w:sz="0" w:space="0" w:color="auto"/>
                        <w:right w:val="none" w:sz="0" w:space="0" w:color="auto"/>
                      </w:divBdr>
                      <w:divsChild>
                        <w:div w:id="1347949340">
                          <w:marLeft w:val="0"/>
                          <w:marRight w:val="0"/>
                          <w:marTop w:val="0"/>
                          <w:marBottom w:val="0"/>
                          <w:divBdr>
                            <w:top w:val="none" w:sz="0" w:space="0" w:color="auto"/>
                            <w:left w:val="none" w:sz="0" w:space="0" w:color="auto"/>
                            <w:bottom w:val="none" w:sz="0" w:space="0" w:color="auto"/>
                            <w:right w:val="none" w:sz="0" w:space="0" w:color="auto"/>
                          </w:divBdr>
                          <w:divsChild>
                            <w:div w:id="1007291281">
                              <w:marLeft w:val="0"/>
                              <w:marRight w:val="0"/>
                              <w:marTop w:val="0"/>
                              <w:marBottom w:val="0"/>
                              <w:divBdr>
                                <w:top w:val="none" w:sz="0" w:space="0" w:color="auto"/>
                                <w:left w:val="none" w:sz="0" w:space="0" w:color="auto"/>
                                <w:bottom w:val="none" w:sz="0" w:space="0" w:color="auto"/>
                                <w:right w:val="none" w:sz="0" w:space="0" w:color="auto"/>
                              </w:divBdr>
                              <w:divsChild>
                                <w:div w:id="1536698760">
                                  <w:marLeft w:val="0"/>
                                  <w:marRight w:val="0"/>
                                  <w:marTop w:val="0"/>
                                  <w:marBottom w:val="0"/>
                                  <w:divBdr>
                                    <w:top w:val="none" w:sz="0" w:space="0" w:color="auto"/>
                                    <w:left w:val="none" w:sz="0" w:space="0" w:color="auto"/>
                                    <w:bottom w:val="none" w:sz="0" w:space="0" w:color="auto"/>
                                    <w:right w:val="none" w:sz="0" w:space="0" w:color="auto"/>
                                  </w:divBdr>
                                </w:div>
                                <w:div w:id="1964311455">
                                  <w:marLeft w:val="0"/>
                                  <w:marRight w:val="0"/>
                                  <w:marTop w:val="0"/>
                                  <w:marBottom w:val="0"/>
                                  <w:divBdr>
                                    <w:top w:val="none" w:sz="0" w:space="0" w:color="auto"/>
                                    <w:left w:val="none" w:sz="0" w:space="0" w:color="auto"/>
                                    <w:bottom w:val="none" w:sz="0" w:space="0" w:color="auto"/>
                                    <w:right w:val="none" w:sz="0" w:space="0" w:color="auto"/>
                                  </w:divBdr>
                                  <w:divsChild>
                                    <w:div w:id="1815828826">
                                      <w:marLeft w:val="0"/>
                                      <w:marRight w:val="0"/>
                                      <w:marTop w:val="0"/>
                                      <w:marBottom w:val="0"/>
                                      <w:divBdr>
                                        <w:top w:val="none" w:sz="0" w:space="0" w:color="auto"/>
                                        <w:left w:val="none" w:sz="0" w:space="0" w:color="auto"/>
                                        <w:bottom w:val="none" w:sz="0" w:space="0" w:color="auto"/>
                                        <w:right w:val="none" w:sz="0" w:space="0" w:color="auto"/>
                                      </w:divBdr>
                                    </w:div>
                                    <w:div w:id="7803631">
                                      <w:marLeft w:val="0"/>
                                      <w:marRight w:val="0"/>
                                      <w:marTop w:val="0"/>
                                      <w:marBottom w:val="0"/>
                                      <w:divBdr>
                                        <w:top w:val="none" w:sz="0" w:space="0" w:color="auto"/>
                                        <w:left w:val="none" w:sz="0" w:space="0" w:color="auto"/>
                                        <w:bottom w:val="none" w:sz="0" w:space="0" w:color="auto"/>
                                        <w:right w:val="none" w:sz="0" w:space="0" w:color="auto"/>
                                      </w:divBdr>
                                    </w:div>
                                  </w:divsChild>
                                </w:div>
                                <w:div w:id="1967003457">
                                  <w:marLeft w:val="0"/>
                                  <w:marRight w:val="0"/>
                                  <w:marTop w:val="0"/>
                                  <w:marBottom w:val="0"/>
                                  <w:divBdr>
                                    <w:top w:val="none" w:sz="0" w:space="0" w:color="auto"/>
                                    <w:left w:val="none" w:sz="0" w:space="0" w:color="auto"/>
                                    <w:bottom w:val="none" w:sz="0" w:space="0" w:color="auto"/>
                                    <w:right w:val="none" w:sz="0" w:space="0" w:color="auto"/>
                                  </w:divBdr>
                                </w:div>
                                <w:div w:id="766926021">
                                  <w:marLeft w:val="0"/>
                                  <w:marRight w:val="0"/>
                                  <w:marTop w:val="0"/>
                                  <w:marBottom w:val="0"/>
                                  <w:divBdr>
                                    <w:top w:val="none" w:sz="0" w:space="0" w:color="auto"/>
                                    <w:left w:val="none" w:sz="0" w:space="0" w:color="auto"/>
                                    <w:bottom w:val="none" w:sz="0" w:space="0" w:color="auto"/>
                                    <w:right w:val="none" w:sz="0" w:space="0" w:color="auto"/>
                                  </w:divBdr>
                                </w:div>
                                <w:div w:id="1942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204843">
      <w:bodyDiv w:val="1"/>
      <w:marLeft w:val="0"/>
      <w:marRight w:val="0"/>
      <w:marTop w:val="0"/>
      <w:marBottom w:val="0"/>
      <w:divBdr>
        <w:top w:val="none" w:sz="0" w:space="0" w:color="auto"/>
        <w:left w:val="none" w:sz="0" w:space="0" w:color="auto"/>
        <w:bottom w:val="none" w:sz="0" w:space="0" w:color="auto"/>
        <w:right w:val="none" w:sz="0" w:space="0" w:color="auto"/>
      </w:divBdr>
    </w:div>
    <w:div w:id="453909172">
      <w:bodyDiv w:val="1"/>
      <w:marLeft w:val="0"/>
      <w:marRight w:val="0"/>
      <w:marTop w:val="0"/>
      <w:marBottom w:val="0"/>
      <w:divBdr>
        <w:top w:val="none" w:sz="0" w:space="0" w:color="auto"/>
        <w:left w:val="none" w:sz="0" w:space="0" w:color="auto"/>
        <w:bottom w:val="none" w:sz="0" w:space="0" w:color="auto"/>
        <w:right w:val="none" w:sz="0" w:space="0" w:color="auto"/>
      </w:divBdr>
      <w:divsChild>
        <w:div w:id="911233514">
          <w:marLeft w:val="250"/>
          <w:marRight w:val="250"/>
          <w:marTop w:val="0"/>
          <w:marBottom w:val="0"/>
          <w:divBdr>
            <w:top w:val="none" w:sz="0" w:space="0" w:color="auto"/>
            <w:left w:val="none" w:sz="0" w:space="0" w:color="auto"/>
            <w:bottom w:val="none" w:sz="0" w:space="0" w:color="auto"/>
            <w:right w:val="none" w:sz="0" w:space="0" w:color="auto"/>
          </w:divBdr>
          <w:divsChild>
            <w:div w:id="937449019">
              <w:marLeft w:val="0"/>
              <w:marRight w:val="0"/>
              <w:marTop w:val="0"/>
              <w:marBottom w:val="125"/>
              <w:divBdr>
                <w:top w:val="none" w:sz="0" w:space="0" w:color="auto"/>
                <w:left w:val="none" w:sz="0" w:space="0" w:color="auto"/>
                <w:bottom w:val="none" w:sz="0" w:space="0" w:color="auto"/>
                <w:right w:val="none" w:sz="0" w:space="0" w:color="auto"/>
              </w:divBdr>
              <w:divsChild>
                <w:div w:id="450711883">
                  <w:marLeft w:val="0"/>
                  <w:marRight w:val="0"/>
                  <w:marTop w:val="0"/>
                  <w:marBottom w:val="0"/>
                  <w:divBdr>
                    <w:top w:val="none" w:sz="0" w:space="0" w:color="auto"/>
                    <w:left w:val="none" w:sz="0" w:space="0" w:color="auto"/>
                    <w:bottom w:val="none" w:sz="0" w:space="0" w:color="auto"/>
                    <w:right w:val="none" w:sz="0" w:space="0" w:color="auto"/>
                  </w:divBdr>
                  <w:divsChild>
                    <w:div w:id="1076122784">
                      <w:marLeft w:val="0"/>
                      <w:marRight w:val="0"/>
                      <w:marTop w:val="0"/>
                      <w:marBottom w:val="0"/>
                      <w:divBdr>
                        <w:top w:val="none" w:sz="0" w:space="0" w:color="auto"/>
                        <w:left w:val="none" w:sz="0" w:space="0" w:color="auto"/>
                        <w:bottom w:val="none" w:sz="0" w:space="0" w:color="auto"/>
                        <w:right w:val="none" w:sz="0" w:space="0" w:color="auto"/>
                      </w:divBdr>
                      <w:divsChild>
                        <w:div w:id="685786662">
                          <w:marLeft w:val="0"/>
                          <w:marRight w:val="0"/>
                          <w:marTop w:val="0"/>
                          <w:marBottom w:val="0"/>
                          <w:divBdr>
                            <w:top w:val="none" w:sz="0" w:space="0" w:color="auto"/>
                            <w:left w:val="none" w:sz="0" w:space="0" w:color="auto"/>
                            <w:bottom w:val="none" w:sz="0" w:space="0" w:color="auto"/>
                            <w:right w:val="none" w:sz="0" w:space="0" w:color="auto"/>
                          </w:divBdr>
                          <w:divsChild>
                            <w:div w:id="555312553">
                              <w:marLeft w:val="0"/>
                              <w:marRight w:val="0"/>
                              <w:marTop w:val="0"/>
                              <w:marBottom w:val="0"/>
                              <w:divBdr>
                                <w:top w:val="none" w:sz="0" w:space="0" w:color="auto"/>
                                <w:left w:val="none" w:sz="0" w:space="0" w:color="auto"/>
                                <w:bottom w:val="none" w:sz="0" w:space="0" w:color="auto"/>
                                <w:right w:val="none" w:sz="0" w:space="0" w:color="auto"/>
                              </w:divBdr>
                              <w:divsChild>
                                <w:div w:id="896865215">
                                  <w:marLeft w:val="0"/>
                                  <w:marRight w:val="0"/>
                                  <w:marTop w:val="0"/>
                                  <w:marBottom w:val="0"/>
                                  <w:divBdr>
                                    <w:top w:val="none" w:sz="0" w:space="0" w:color="auto"/>
                                    <w:left w:val="none" w:sz="0" w:space="0" w:color="auto"/>
                                    <w:bottom w:val="none" w:sz="0" w:space="0" w:color="auto"/>
                                    <w:right w:val="none" w:sz="0" w:space="0" w:color="auto"/>
                                  </w:divBdr>
                                  <w:divsChild>
                                    <w:div w:id="1166941576">
                                      <w:marLeft w:val="0"/>
                                      <w:marRight w:val="0"/>
                                      <w:marTop w:val="0"/>
                                      <w:marBottom w:val="0"/>
                                      <w:divBdr>
                                        <w:top w:val="none" w:sz="0" w:space="0" w:color="auto"/>
                                        <w:left w:val="none" w:sz="0" w:space="0" w:color="auto"/>
                                        <w:bottom w:val="none" w:sz="0" w:space="0" w:color="auto"/>
                                        <w:right w:val="none" w:sz="0" w:space="0" w:color="auto"/>
                                      </w:divBdr>
                                    </w:div>
                                    <w:div w:id="108474916">
                                      <w:marLeft w:val="0"/>
                                      <w:marRight w:val="0"/>
                                      <w:marTop w:val="0"/>
                                      <w:marBottom w:val="0"/>
                                      <w:divBdr>
                                        <w:top w:val="none" w:sz="0" w:space="0" w:color="auto"/>
                                        <w:left w:val="none" w:sz="0" w:space="0" w:color="auto"/>
                                        <w:bottom w:val="none" w:sz="0" w:space="0" w:color="auto"/>
                                        <w:right w:val="none" w:sz="0" w:space="0" w:color="auto"/>
                                      </w:divBdr>
                                    </w:div>
                                    <w:div w:id="891815666">
                                      <w:marLeft w:val="0"/>
                                      <w:marRight w:val="0"/>
                                      <w:marTop w:val="0"/>
                                      <w:marBottom w:val="0"/>
                                      <w:divBdr>
                                        <w:top w:val="none" w:sz="0" w:space="0" w:color="auto"/>
                                        <w:left w:val="none" w:sz="0" w:space="0" w:color="auto"/>
                                        <w:bottom w:val="none" w:sz="0" w:space="0" w:color="auto"/>
                                        <w:right w:val="none" w:sz="0" w:space="0" w:color="auto"/>
                                      </w:divBdr>
                                    </w:div>
                                    <w:div w:id="61221738">
                                      <w:marLeft w:val="0"/>
                                      <w:marRight w:val="0"/>
                                      <w:marTop w:val="0"/>
                                      <w:marBottom w:val="0"/>
                                      <w:divBdr>
                                        <w:top w:val="none" w:sz="0" w:space="0" w:color="auto"/>
                                        <w:left w:val="none" w:sz="0" w:space="0" w:color="auto"/>
                                        <w:bottom w:val="none" w:sz="0" w:space="0" w:color="auto"/>
                                        <w:right w:val="none" w:sz="0" w:space="0" w:color="auto"/>
                                      </w:divBdr>
                                    </w:div>
                                    <w:div w:id="66810882">
                                      <w:marLeft w:val="0"/>
                                      <w:marRight w:val="0"/>
                                      <w:marTop w:val="0"/>
                                      <w:marBottom w:val="0"/>
                                      <w:divBdr>
                                        <w:top w:val="none" w:sz="0" w:space="0" w:color="auto"/>
                                        <w:left w:val="none" w:sz="0" w:space="0" w:color="auto"/>
                                        <w:bottom w:val="none" w:sz="0" w:space="0" w:color="auto"/>
                                        <w:right w:val="none" w:sz="0" w:space="0" w:color="auto"/>
                                      </w:divBdr>
                                    </w:div>
                                    <w:div w:id="227150925">
                                      <w:marLeft w:val="0"/>
                                      <w:marRight w:val="0"/>
                                      <w:marTop w:val="0"/>
                                      <w:marBottom w:val="0"/>
                                      <w:divBdr>
                                        <w:top w:val="none" w:sz="0" w:space="0" w:color="auto"/>
                                        <w:left w:val="none" w:sz="0" w:space="0" w:color="auto"/>
                                        <w:bottom w:val="none" w:sz="0" w:space="0" w:color="auto"/>
                                        <w:right w:val="none" w:sz="0" w:space="0" w:color="auto"/>
                                      </w:divBdr>
                                    </w:div>
                                    <w:div w:id="1912882006">
                                      <w:marLeft w:val="0"/>
                                      <w:marRight w:val="0"/>
                                      <w:marTop w:val="0"/>
                                      <w:marBottom w:val="0"/>
                                      <w:divBdr>
                                        <w:top w:val="none" w:sz="0" w:space="0" w:color="auto"/>
                                        <w:left w:val="none" w:sz="0" w:space="0" w:color="auto"/>
                                        <w:bottom w:val="none" w:sz="0" w:space="0" w:color="auto"/>
                                        <w:right w:val="none" w:sz="0" w:space="0" w:color="auto"/>
                                      </w:divBdr>
                                    </w:div>
                                    <w:div w:id="1337462549">
                                      <w:marLeft w:val="0"/>
                                      <w:marRight w:val="0"/>
                                      <w:marTop w:val="0"/>
                                      <w:marBottom w:val="0"/>
                                      <w:divBdr>
                                        <w:top w:val="none" w:sz="0" w:space="0" w:color="auto"/>
                                        <w:left w:val="none" w:sz="0" w:space="0" w:color="auto"/>
                                        <w:bottom w:val="none" w:sz="0" w:space="0" w:color="auto"/>
                                        <w:right w:val="none" w:sz="0" w:space="0" w:color="auto"/>
                                      </w:divBdr>
                                    </w:div>
                                    <w:div w:id="725566909">
                                      <w:marLeft w:val="0"/>
                                      <w:marRight w:val="0"/>
                                      <w:marTop w:val="0"/>
                                      <w:marBottom w:val="0"/>
                                      <w:divBdr>
                                        <w:top w:val="none" w:sz="0" w:space="0" w:color="auto"/>
                                        <w:left w:val="none" w:sz="0" w:space="0" w:color="auto"/>
                                        <w:bottom w:val="none" w:sz="0" w:space="0" w:color="auto"/>
                                        <w:right w:val="none" w:sz="0" w:space="0" w:color="auto"/>
                                      </w:divBdr>
                                    </w:div>
                                    <w:div w:id="2017031774">
                                      <w:marLeft w:val="0"/>
                                      <w:marRight w:val="0"/>
                                      <w:marTop w:val="0"/>
                                      <w:marBottom w:val="0"/>
                                      <w:divBdr>
                                        <w:top w:val="none" w:sz="0" w:space="0" w:color="auto"/>
                                        <w:left w:val="none" w:sz="0" w:space="0" w:color="auto"/>
                                        <w:bottom w:val="none" w:sz="0" w:space="0" w:color="auto"/>
                                        <w:right w:val="none" w:sz="0" w:space="0" w:color="auto"/>
                                      </w:divBdr>
                                    </w:div>
                                    <w:div w:id="701708351">
                                      <w:marLeft w:val="0"/>
                                      <w:marRight w:val="0"/>
                                      <w:marTop w:val="0"/>
                                      <w:marBottom w:val="0"/>
                                      <w:divBdr>
                                        <w:top w:val="none" w:sz="0" w:space="0" w:color="auto"/>
                                        <w:left w:val="none" w:sz="0" w:space="0" w:color="auto"/>
                                        <w:bottom w:val="none" w:sz="0" w:space="0" w:color="auto"/>
                                        <w:right w:val="none" w:sz="0" w:space="0" w:color="auto"/>
                                      </w:divBdr>
                                    </w:div>
                                    <w:div w:id="1406296779">
                                      <w:marLeft w:val="0"/>
                                      <w:marRight w:val="0"/>
                                      <w:marTop w:val="0"/>
                                      <w:marBottom w:val="0"/>
                                      <w:divBdr>
                                        <w:top w:val="none" w:sz="0" w:space="0" w:color="auto"/>
                                        <w:left w:val="none" w:sz="0" w:space="0" w:color="auto"/>
                                        <w:bottom w:val="none" w:sz="0" w:space="0" w:color="auto"/>
                                        <w:right w:val="none" w:sz="0" w:space="0" w:color="auto"/>
                                      </w:divBdr>
                                    </w:div>
                                    <w:div w:id="469447729">
                                      <w:marLeft w:val="0"/>
                                      <w:marRight w:val="0"/>
                                      <w:marTop w:val="0"/>
                                      <w:marBottom w:val="0"/>
                                      <w:divBdr>
                                        <w:top w:val="none" w:sz="0" w:space="0" w:color="auto"/>
                                        <w:left w:val="none" w:sz="0" w:space="0" w:color="auto"/>
                                        <w:bottom w:val="none" w:sz="0" w:space="0" w:color="auto"/>
                                        <w:right w:val="none" w:sz="0" w:space="0" w:color="auto"/>
                                      </w:divBdr>
                                    </w:div>
                                    <w:div w:id="1532648860">
                                      <w:marLeft w:val="0"/>
                                      <w:marRight w:val="0"/>
                                      <w:marTop w:val="0"/>
                                      <w:marBottom w:val="0"/>
                                      <w:divBdr>
                                        <w:top w:val="none" w:sz="0" w:space="0" w:color="auto"/>
                                        <w:left w:val="none" w:sz="0" w:space="0" w:color="auto"/>
                                        <w:bottom w:val="none" w:sz="0" w:space="0" w:color="auto"/>
                                        <w:right w:val="none" w:sz="0" w:space="0" w:color="auto"/>
                                      </w:divBdr>
                                    </w:div>
                                    <w:div w:id="1103308360">
                                      <w:marLeft w:val="0"/>
                                      <w:marRight w:val="0"/>
                                      <w:marTop w:val="0"/>
                                      <w:marBottom w:val="0"/>
                                      <w:divBdr>
                                        <w:top w:val="none" w:sz="0" w:space="0" w:color="auto"/>
                                        <w:left w:val="none" w:sz="0" w:space="0" w:color="auto"/>
                                        <w:bottom w:val="none" w:sz="0" w:space="0" w:color="auto"/>
                                        <w:right w:val="none" w:sz="0" w:space="0" w:color="auto"/>
                                      </w:divBdr>
                                    </w:div>
                                    <w:div w:id="4667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218544">
      <w:bodyDiv w:val="1"/>
      <w:marLeft w:val="0"/>
      <w:marRight w:val="0"/>
      <w:marTop w:val="0"/>
      <w:marBottom w:val="0"/>
      <w:divBdr>
        <w:top w:val="none" w:sz="0" w:space="0" w:color="auto"/>
        <w:left w:val="none" w:sz="0" w:space="0" w:color="auto"/>
        <w:bottom w:val="none" w:sz="0" w:space="0" w:color="auto"/>
        <w:right w:val="none" w:sz="0" w:space="0" w:color="auto"/>
      </w:divBdr>
      <w:divsChild>
        <w:div w:id="738097578">
          <w:marLeft w:val="0"/>
          <w:marRight w:val="0"/>
          <w:marTop w:val="0"/>
          <w:marBottom w:val="0"/>
          <w:divBdr>
            <w:top w:val="none" w:sz="0" w:space="0" w:color="auto"/>
            <w:left w:val="none" w:sz="0" w:space="0" w:color="auto"/>
            <w:bottom w:val="none" w:sz="0" w:space="0" w:color="auto"/>
            <w:right w:val="none" w:sz="0" w:space="0" w:color="auto"/>
          </w:divBdr>
          <w:divsChild>
            <w:div w:id="714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926">
      <w:bodyDiv w:val="1"/>
      <w:marLeft w:val="0"/>
      <w:marRight w:val="0"/>
      <w:marTop w:val="0"/>
      <w:marBottom w:val="0"/>
      <w:divBdr>
        <w:top w:val="none" w:sz="0" w:space="0" w:color="auto"/>
        <w:left w:val="none" w:sz="0" w:space="0" w:color="auto"/>
        <w:bottom w:val="none" w:sz="0" w:space="0" w:color="auto"/>
        <w:right w:val="none" w:sz="0" w:space="0" w:color="auto"/>
      </w:divBdr>
      <w:divsChild>
        <w:div w:id="826169731">
          <w:marLeft w:val="0"/>
          <w:marRight w:val="0"/>
          <w:marTop w:val="0"/>
          <w:marBottom w:val="0"/>
          <w:divBdr>
            <w:top w:val="none" w:sz="0" w:space="0" w:color="auto"/>
            <w:left w:val="none" w:sz="0" w:space="0" w:color="auto"/>
            <w:bottom w:val="none" w:sz="0" w:space="0" w:color="auto"/>
            <w:right w:val="none" w:sz="0" w:space="0" w:color="auto"/>
          </w:divBdr>
          <w:divsChild>
            <w:div w:id="16620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69617">
      <w:bodyDiv w:val="1"/>
      <w:marLeft w:val="0"/>
      <w:marRight w:val="0"/>
      <w:marTop w:val="0"/>
      <w:marBottom w:val="0"/>
      <w:divBdr>
        <w:top w:val="none" w:sz="0" w:space="0" w:color="auto"/>
        <w:left w:val="none" w:sz="0" w:space="0" w:color="auto"/>
        <w:bottom w:val="none" w:sz="0" w:space="0" w:color="auto"/>
        <w:right w:val="none" w:sz="0" w:space="0" w:color="auto"/>
      </w:divBdr>
      <w:divsChild>
        <w:div w:id="1655600507">
          <w:marLeft w:val="0"/>
          <w:marRight w:val="0"/>
          <w:marTop w:val="0"/>
          <w:marBottom w:val="0"/>
          <w:divBdr>
            <w:top w:val="none" w:sz="0" w:space="0" w:color="auto"/>
            <w:left w:val="none" w:sz="0" w:space="0" w:color="auto"/>
            <w:bottom w:val="none" w:sz="0" w:space="0" w:color="auto"/>
            <w:right w:val="none" w:sz="0" w:space="0" w:color="auto"/>
          </w:divBdr>
          <w:divsChild>
            <w:div w:id="3249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718">
      <w:bodyDiv w:val="1"/>
      <w:marLeft w:val="0"/>
      <w:marRight w:val="0"/>
      <w:marTop w:val="0"/>
      <w:marBottom w:val="0"/>
      <w:divBdr>
        <w:top w:val="none" w:sz="0" w:space="0" w:color="auto"/>
        <w:left w:val="none" w:sz="0" w:space="0" w:color="auto"/>
        <w:bottom w:val="none" w:sz="0" w:space="0" w:color="auto"/>
        <w:right w:val="none" w:sz="0" w:space="0" w:color="auto"/>
      </w:divBdr>
      <w:divsChild>
        <w:div w:id="666861274">
          <w:marLeft w:val="272"/>
          <w:marRight w:val="272"/>
          <w:marTop w:val="0"/>
          <w:marBottom w:val="0"/>
          <w:divBdr>
            <w:top w:val="none" w:sz="0" w:space="0" w:color="auto"/>
            <w:left w:val="none" w:sz="0" w:space="0" w:color="auto"/>
            <w:bottom w:val="none" w:sz="0" w:space="0" w:color="auto"/>
            <w:right w:val="none" w:sz="0" w:space="0" w:color="auto"/>
          </w:divBdr>
          <w:divsChild>
            <w:div w:id="1930196541">
              <w:marLeft w:val="0"/>
              <w:marRight w:val="0"/>
              <w:marTop w:val="0"/>
              <w:marBottom w:val="136"/>
              <w:divBdr>
                <w:top w:val="none" w:sz="0" w:space="0" w:color="auto"/>
                <w:left w:val="none" w:sz="0" w:space="0" w:color="auto"/>
                <w:bottom w:val="none" w:sz="0" w:space="0" w:color="auto"/>
                <w:right w:val="none" w:sz="0" w:space="0" w:color="auto"/>
              </w:divBdr>
              <w:divsChild>
                <w:div w:id="913465337">
                  <w:marLeft w:val="0"/>
                  <w:marRight w:val="0"/>
                  <w:marTop w:val="0"/>
                  <w:marBottom w:val="0"/>
                  <w:divBdr>
                    <w:top w:val="none" w:sz="0" w:space="0" w:color="auto"/>
                    <w:left w:val="none" w:sz="0" w:space="0" w:color="auto"/>
                    <w:bottom w:val="none" w:sz="0" w:space="0" w:color="auto"/>
                    <w:right w:val="none" w:sz="0" w:space="0" w:color="auto"/>
                  </w:divBdr>
                  <w:divsChild>
                    <w:div w:id="240606796">
                      <w:marLeft w:val="0"/>
                      <w:marRight w:val="0"/>
                      <w:marTop w:val="0"/>
                      <w:marBottom w:val="0"/>
                      <w:divBdr>
                        <w:top w:val="none" w:sz="0" w:space="0" w:color="auto"/>
                        <w:left w:val="none" w:sz="0" w:space="0" w:color="auto"/>
                        <w:bottom w:val="none" w:sz="0" w:space="0" w:color="auto"/>
                        <w:right w:val="none" w:sz="0" w:space="0" w:color="auto"/>
                      </w:divBdr>
                      <w:divsChild>
                        <w:div w:id="288820849">
                          <w:marLeft w:val="0"/>
                          <w:marRight w:val="0"/>
                          <w:marTop w:val="0"/>
                          <w:marBottom w:val="0"/>
                          <w:divBdr>
                            <w:top w:val="none" w:sz="0" w:space="0" w:color="auto"/>
                            <w:left w:val="none" w:sz="0" w:space="0" w:color="auto"/>
                            <w:bottom w:val="none" w:sz="0" w:space="0" w:color="auto"/>
                            <w:right w:val="none" w:sz="0" w:space="0" w:color="auto"/>
                          </w:divBdr>
                        </w:div>
                        <w:div w:id="500508273">
                          <w:marLeft w:val="0"/>
                          <w:marRight w:val="0"/>
                          <w:marTop w:val="0"/>
                          <w:marBottom w:val="0"/>
                          <w:divBdr>
                            <w:top w:val="none" w:sz="0" w:space="0" w:color="auto"/>
                            <w:left w:val="none" w:sz="0" w:space="0" w:color="auto"/>
                            <w:bottom w:val="none" w:sz="0" w:space="0" w:color="auto"/>
                            <w:right w:val="none" w:sz="0" w:space="0" w:color="auto"/>
                          </w:divBdr>
                        </w:div>
                        <w:div w:id="765658742">
                          <w:marLeft w:val="0"/>
                          <w:marRight w:val="0"/>
                          <w:marTop w:val="0"/>
                          <w:marBottom w:val="0"/>
                          <w:divBdr>
                            <w:top w:val="none" w:sz="0" w:space="0" w:color="auto"/>
                            <w:left w:val="none" w:sz="0" w:space="0" w:color="auto"/>
                            <w:bottom w:val="none" w:sz="0" w:space="0" w:color="auto"/>
                            <w:right w:val="none" w:sz="0" w:space="0" w:color="auto"/>
                          </w:divBdr>
                        </w:div>
                        <w:div w:id="1124078237">
                          <w:marLeft w:val="0"/>
                          <w:marRight w:val="0"/>
                          <w:marTop w:val="0"/>
                          <w:marBottom w:val="0"/>
                          <w:divBdr>
                            <w:top w:val="none" w:sz="0" w:space="0" w:color="auto"/>
                            <w:left w:val="none" w:sz="0" w:space="0" w:color="auto"/>
                            <w:bottom w:val="none" w:sz="0" w:space="0" w:color="auto"/>
                            <w:right w:val="none" w:sz="0" w:space="0" w:color="auto"/>
                          </w:divBdr>
                        </w:div>
                        <w:div w:id="1531842398">
                          <w:marLeft w:val="0"/>
                          <w:marRight w:val="0"/>
                          <w:marTop w:val="0"/>
                          <w:marBottom w:val="0"/>
                          <w:divBdr>
                            <w:top w:val="none" w:sz="0" w:space="0" w:color="auto"/>
                            <w:left w:val="none" w:sz="0" w:space="0" w:color="auto"/>
                            <w:bottom w:val="none" w:sz="0" w:space="0" w:color="auto"/>
                            <w:right w:val="none" w:sz="0" w:space="0" w:color="auto"/>
                          </w:divBdr>
                        </w:div>
                        <w:div w:id="1535776017">
                          <w:marLeft w:val="0"/>
                          <w:marRight w:val="0"/>
                          <w:marTop w:val="0"/>
                          <w:marBottom w:val="0"/>
                          <w:divBdr>
                            <w:top w:val="none" w:sz="0" w:space="0" w:color="auto"/>
                            <w:left w:val="none" w:sz="0" w:space="0" w:color="auto"/>
                            <w:bottom w:val="none" w:sz="0" w:space="0" w:color="auto"/>
                            <w:right w:val="none" w:sz="0" w:space="0" w:color="auto"/>
                          </w:divBdr>
                        </w:div>
                        <w:div w:id="1687556149">
                          <w:marLeft w:val="0"/>
                          <w:marRight w:val="0"/>
                          <w:marTop w:val="0"/>
                          <w:marBottom w:val="0"/>
                          <w:divBdr>
                            <w:top w:val="none" w:sz="0" w:space="0" w:color="auto"/>
                            <w:left w:val="none" w:sz="0" w:space="0" w:color="auto"/>
                            <w:bottom w:val="none" w:sz="0" w:space="0" w:color="auto"/>
                            <w:right w:val="none" w:sz="0" w:space="0" w:color="auto"/>
                          </w:divBdr>
                          <w:divsChild>
                            <w:div w:id="1198658761">
                              <w:marLeft w:val="0"/>
                              <w:marRight w:val="0"/>
                              <w:marTop w:val="0"/>
                              <w:marBottom w:val="0"/>
                              <w:divBdr>
                                <w:top w:val="none" w:sz="0" w:space="0" w:color="auto"/>
                                <w:left w:val="none" w:sz="0" w:space="0" w:color="auto"/>
                                <w:bottom w:val="none" w:sz="0" w:space="0" w:color="auto"/>
                                <w:right w:val="none" w:sz="0" w:space="0" w:color="auto"/>
                              </w:divBdr>
                            </w:div>
                            <w:div w:id="1582716103">
                              <w:marLeft w:val="0"/>
                              <w:marRight w:val="0"/>
                              <w:marTop w:val="0"/>
                              <w:marBottom w:val="0"/>
                              <w:divBdr>
                                <w:top w:val="none" w:sz="0" w:space="0" w:color="auto"/>
                                <w:left w:val="none" w:sz="0" w:space="0" w:color="auto"/>
                                <w:bottom w:val="none" w:sz="0" w:space="0" w:color="auto"/>
                                <w:right w:val="none" w:sz="0" w:space="0" w:color="auto"/>
                              </w:divBdr>
                            </w:div>
                          </w:divsChild>
                        </w:div>
                        <w:div w:id="2102218125">
                          <w:marLeft w:val="0"/>
                          <w:marRight w:val="0"/>
                          <w:marTop w:val="0"/>
                          <w:marBottom w:val="0"/>
                          <w:divBdr>
                            <w:top w:val="none" w:sz="0" w:space="0" w:color="auto"/>
                            <w:left w:val="none" w:sz="0" w:space="0" w:color="auto"/>
                            <w:bottom w:val="none" w:sz="0" w:space="0" w:color="auto"/>
                            <w:right w:val="none" w:sz="0" w:space="0" w:color="auto"/>
                          </w:divBdr>
                          <w:divsChild>
                            <w:div w:id="194851438">
                              <w:marLeft w:val="0"/>
                              <w:marRight w:val="0"/>
                              <w:marTop w:val="0"/>
                              <w:marBottom w:val="0"/>
                              <w:divBdr>
                                <w:top w:val="none" w:sz="0" w:space="0" w:color="auto"/>
                                <w:left w:val="none" w:sz="0" w:space="0" w:color="auto"/>
                                <w:bottom w:val="none" w:sz="0" w:space="0" w:color="auto"/>
                                <w:right w:val="none" w:sz="0" w:space="0" w:color="auto"/>
                              </w:divBdr>
                            </w:div>
                            <w:div w:id="410276480">
                              <w:marLeft w:val="0"/>
                              <w:marRight w:val="0"/>
                              <w:marTop w:val="0"/>
                              <w:marBottom w:val="0"/>
                              <w:divBdr>
                                <w:top w:val="none" w:sz="0" w:space="0" w:color="auto"/>
                                <w:left w:val="none" w:sz="0" w:space="0" w:color="auto"/>
                                <w:bottom w:val="none" w:sz="0" w:space="0" w:color="auto"/>
                                <w:right w:val="none" w:sz="0" w:space="0" w:color="auto"/>
                              </w:divBdr>
                            </w:div>
                            <w:div w:id="9652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707528">
      <w:bodyDiv w:val="1"/>
      <w:marLeft w:val="0"/>
      <w:marRight w:val="0"/>
      <w:marTop w:val="0"/>
      <w:marBottom w:val="0"/>
      <w:divBdr>
        <w:top w:val="none" w:sz="0" w:space="0" w:color="auto"/>
        <w:left w:val="none" w:sz="0" w:space="0" w:color="auto"/>
        <w:bottom w:val="none" w:sz="0" w:space="0" w:color="auto"/>
        <w:right w:val="none" w:sz="0" w:space="0" w:color="auto"/>
      </w:divBdr>
      <w:divsChild>
        <w:div w:id="80806502">
          <w:marLeft w:val="0"/>
          <w:marRight w:val="0"/>
          <w:marTop w:val="0"/>
          <w:marBottom w:val="0"/>
          <w:divBdr>
            <w:top w:val="none" w:sz="0" w:space="0" w:color="auto"/>
            <w:left w:val="none" w:sz="0" w:space="0" w:color="auto"/>
            <w:bottom w:val="none" w:sz="0" w:space="0" w:color="auto"/>
            <w:right w:val="none" w:sz="0" w:space="0" w:color="auto"/>
          </w:divBdr>
          <w:divsChild>
            <w:div w:id="10630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491">
      <w:bodyDiv w:val="1"/>
      <w:marLeft w:val="0"/>
      <w:marRight w:val="0"/>
      <w:marTop w:val="0"/>
      <w:marBottom w:val="0"/>
      <w:divBdr>
        <w:top w:val="none" w:sz="0" w:space="0" w:color="auto"/>
        <w:left w:val="none" w:sz="0" w:space="0" w:color="auto"/>
        <w:bottom w:val="none" w:sz="0" w:space="0" w:color="auto"/>
        <w:right w:val="none" w:sz="0" w:space="0" w:color="auto"/>
      </w:divBdr>
    </w:div>
    <w:div w:id="509417022">
      <w:bodyDiv w:val="1"/>
      <w:marLeft w:val="0"/>
      <w:marRight w:val="0"/>
      <w:marTop w:val="0"/>
      <w:marBottom w:val="0"/>
      <w:divBdr>
        <w:top w:val="none" w:sz="0" w:space="0" w:color="auto"/>
        <w:left w:val="none" w:sz="0" w:space="0" w:color="auto"/>
        <w:bottom w:val="none" w:sz="0" w:space="0" w:color="auto"/>
        <w:right w:val="none" w:sz="0" w:space="0" w:color="auto"/>
      </w:divBdr>
      <w:divsChild>
        <w:div w:id="1112943166">
          <w:marLeft w:val="0"/>
          <w:marRight w:val="0"/>
          <w:marTop w:val="0"/>
          <w:marBottom w:val="0"/>
          <w:divBdr>
            <w:top w:val="none" w:sz="0" w:space="0" w:color="auto"/>
            <w:left w:val="none" w:sz="0" w:space="0" w:color="auto"/>
            <w:bottom w:val="none" w:sz="0" w:space="0" w:color="auto"/>
            <w:right w:val="none" w:sz="0" w:space="0" w:color="auto"/>
          </w:divBdr>
          <w:divsChild>
            <w:div w:id="6248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6785">
      <w:bodyDiv w:val="1"/>
      <w:marLeft w:val="0"/>
      <w:marRight w:val="0"/>
      <w:marTop w:val="0"/>
      <w:marBottom w:val="0"/>
      <w:divBdr>
        <w:top w:val="none" w:sz="0" w:space="0" w:color="auto"/>
        <w:left w:val="none" w:sz="0" w:space="0" w:color="auto"/>
        <w:bottom w:val="none" w:sz="0" w:space="0" w:color="auto"/>
        <w:right w:val="none" w:sz="0" w:space="0" w:color="auto"/>
      </w:divBdr>
      <w:divsChild>
        <w:div w:id="1240288879">
          <w:marLeft w:val="0"/>
          <w:marRight w:val="0"/>
          <w:marTop w:val="0"/>
          <w:marBottom w:val="0"/>
          <w:divBdr>
            <w:top w:val="none" w:sz="0" w:space="0" w:color="auto"/>
            <w:left w:val="none" w:sz="0" w:space="0" w:color="auto"/>
            <w:bottom w:val="none" w:sz="0" w:space="0" w:color="auto"/>
            <w:right w:val="none" w:sz="0" w:space="0" w:color="auto"/>
          </w:divBdr>
          <w:divsChild>
            <w:div w:id="4162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4625">
      <w:bodyDiv w:val="1"/>
      <w:marLeft w:val="0"/>
      <w:marRight w:val="0"/>
      <w:marTop w:val="0"/>
      <w:marBottom w:val="0"/>
      <w:divBdr>
        <w:top w:val="none" w:sz="0" w:space="0" w:color="auto"/>
        <w:left w:val="none" w:sz="0" w:space="0" w:color="auto"/>
        <w:bottom w:val="none" w:sz="0" w:space="0" w:color="auto"/>
        <w:right w:val="none" w:sz="0" w:space="0" w:color="auto"/>
      </w:divBdr>
      <w:divsChild>
        <w:div w:id="1902594738">
          <w:marLeft w:val="0"/>
          <w:marRight w:val="0"/>
          <w:marTop w:val="0"/>
          <w:marBottom w:val="0"/>
          <w:divBdr>
            <w:top w:val="none" w:sz="0" w:space="0" w:color="auto"/>
            <w:left w:val="none" w:sz="0" w:space="0" w:color="auto"/>
            <w:bottom w:val="none" w:sz="0" w:space="0" w:color="auto"/>
            <w:right w:val="none" w:sz="0" w:space="0" w:color="auto"/>
          </w:divBdr>
          <w:divsChild>
            <w:div w:id="1537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087">
      <w:bodyDiv w:val="1"/>
      <w:marLeft w:val="0"/>
      <w:marRight w:val="0"/>
      <w:marTop w:val="0"/>
      <w:marBottom w:val="0"/>
      <w:divBdr>
        <w:top w:val="none" w:sz="0" w:space="0" w:color="auto"/>
        <w:left w:val="none" w:sz="0" w:space="0" w:color="auto"/>
        <w:bottom w:val="none" w:sz="0" w:space="0" w:color="auto"/>
        <w:right w:val="none" w:sz="0" w:space="0" w:color="auto"/>
      </w:divBdr>
      <w:divsChild>
        <w:div w:id="206642933">
          <w:marLeft w:val="0"/>
          <w:marRight w:val="0"/>
          <w:marTop w:val="0"/>
          <w:marBottom w:val="0"/>
          <w:divBdr>
            <w:top w:val="none" w:sz="0" w:space="0" w:color="auto"/>
            <w:left w:val="none" w:sz="0" w:space="0" w:color="auto"/>
            <w:bottom w:val="none" w:sz="0" w:space="0" w:color="auto"/>
            <w:right w:val="none" w:sz="0" w:space="0" w:color="auto"/>
          </w:divBdr>
          <w:divsChild>
            <w:div w:id="13435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1636">
      <w:bodyDiv w:val="1"/>
      <w:marLeft w:val="0"/>
      <w:marRight w:val="0"/>
      <w:marTop w:val="0"/>
      <w:marBottom w:val="0"/>
      <w:divBdr>
        <w:top w:val="none" w:sz="0" w:space="0" w:color="auto"/>
        <w:left w:val="none" w:sz="0" w:space="0" w:color="auto"/>
        <w:bottom w:val="none" w:sz="0" w:space="0" w:color="auto"/>
        <w:right w:val="none" w:sz="0" w:space="0" w:color="auto"/>
      </w:divBdr>
      <w:divsChild>
        <w:div w:id="1917781777">
          <w:marLeft w:val="0"/>
          <w:marRight w:val="0"/>
          <w:marTop w:val="0"/>
          <w:marBottom w:val="0"/>
          <w:divBdr>
            <w:top w:val="none" w:sz="0" w:space="0" w:color="auto"/>
            <w:left w:val="none" w:sz="0" w:space="0" w:color="auto"/>
            <w:bottom w:val="none" w:sz="0" w:space="0" w:color="auto"/>
            <w:right w:val="none" w:sz="0" w:space="0" w:color="auto"/>
          </w:divBdr>
          <w:divsChild>
            <w:div w:id="19299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9111">
      <w:bodyDiv w:val="1"/>
      <w:marLeft w:val="0"/>
      <w:marRight w:val="0"/>
      <w:marTop w:val="0"/>
      <w:marBottom w:val="0"/>
      <w:divBdr>
        <w:top w:val="none" w:sz="0" w:space="0" w:color="auto"/>
        <w:left w:val="none" w:sz="0" w:space="0" w:color="auto"/>
        <w:bottom w:val="none" w:sz="0" w:space="0" w:color="auto"/>
        <w:right w:val="none" w:sz="0" w:space="0" w:color="auto"/>
      </w:divBdr>
      <w:divsChild>
        <w:div w:id="541938568">
          <w:marLeft w:val="300"/>
          <w:marRight w:val="300"/>
          <w:marTop w:val="0"/>
          <w:marBottom w:val="0"/>
          <w:divBdr>
            <w:top w:val="none" w:sz="0" w:space="0" w:color="auto"/>
            <w:left w:val="none" w:sz="0" w:space="0" w:color="auto"/>
            <w:bottom w:val="none" w:sz="0" w:space="0" w:color="auto"/>
            <w:right w:val="none" w:sz="0" w:space="0" w:color="auto"/>
          </w:divBdr>
          <w:divsChild>
            <w:div w:id="1790933738">
              <w:marLeft w:val="0"/>
              <w:marRight w:val="0"/>
              <w:marTop w:val="0"/>
              <w:marBottom w:val="150"/>
              <w:divBdr>
                <w:top w:val="none" w:sz="0" w:space="0" w:color="auto"/>
                <w:left w:val="none" w:sz="0" w:space="0" w:color="auto"/>
                <w:bottom w:val="none" w:sz="0" w:space="0" w:color="auto"/>
                <w:right w:val="none" w:sz="0" w:space="0" w:color="auto"/>
              </w:divBdr>
              <w:divsChild>
                <w:div w:id="2073238119">
                  <w:marLeft w:val="0"/>
                  <w:marRight w:val="0"/>
                  <w:marTop w:val="0"/>
                  <w:marBottom w:val="0"/>
                  <w:divBdr>
                    <w:top w:val="none" w:sz="0" w:space="0" w:color="auto"/>
                    <w:left w:val="none" w:sz="0" w:space="0" w:color="auto"/>
                    <w:bottom w:val="none" w:sz="0" w:space="0" w:color="auto"/>
                    <w:right w:val="none" w:sz="0" w:space="0" w:color="auto"/>
                  </w:divBdr>
                  <w:divsChild>
                    <w:div w:id="1726414931">
                      <w:marLeft w:val="0"/>
                      <w:marRight w:val="0"/>
                      <w:marTop w:val="0"/>
                      <w:marBottom w:val="0"/>
                      <w:divBdr>
                        <w:top w:val="none" w:sz="0" w:space="0" w:color="auto"/>
                        <w:left w:val="none" w:sz="0" w:space="0" w:color="auto"/>
                        <w:bottom w:val="none" w:sz="0" w:space="0" w:color="auto"/>
                        <w:right w:val="none" w:sz="0" w:space="0" w:color="auto"/>
                      </w:divBdr>
                      <w:divsChild>
                        <w:div w:id="909072426">
                          <w:marLeft w:val="0"/>
                          <w:marRight w:val="0"/>
                          <w:marTop w:val="0"/>
                          <w:marBottom w:val="0"/>
                          <w:divBdr>
                            <w:top w:val="none" w:sz="0" w:space="0" w:color="auto"/>
                            <w:left w:val="none" w:sz="0" w:space="0" w:color="auto"/>
                            <w:bottom w:val="none" w:sz="0" w:space="0" w:color="auto"/>
                            <w:right w:val="none" w:sz="0" w:space="0" w:color="auto"/>
                          </w:divBdr>
                          <w:divsChild>
                            <w:div w:id="614869673">
                              <w:marLeft w:val="0"/>
                              <w:marRight w:val="0"/>
                              <w:marTop w:val="0"/>
                              <w:marBottom w:val="0"/>
                              <w:divBdr>
                                <w:top w:val="none" w:sz="0" w:space="0" w:color="auto"/>
                                <w:left w:val="none" w:sz="0" w:space="0" w:color="auto"/>
                                <w:bottom w:val="none" w:sz="0" w:space="0" w:color="auto"/>
                                <w:right w:val="none" w:sz="0" w:space="0" w:color="auto"/>
                              </w:divBdr>
                            </w:div>
                            <w:div w:id="715357022">
                              <w:marLeft w:val="0"/>
                              <w:marRight w:val="0"/>
                              <w:marTop w:val="0"/>
                              <w:marBottom w:val="0"/>
                              <w:divBdr>
                                <w:top w:val="none" w:sz="0" w:space="0" w:color="auto"/>
                                <w:left w:val="none" w:sz="0" w:space="0" w:color="auto"/>
                                <w:bottom w:val="none" w:sz="0" w:space="0" w:color="auto"/>
                                <w:right w:val="none" w:sz="0" w:space="0" w:color="auto"/>
                              </w:divBdr>
                            </w:div>
                            <w:div w:id="743261267">
                              <w:marLeft w:val="0"/>
                              <w:marRight w:val="0"/>
                              <w:marTop w:val="0"/>
                              <w:marBottom w:val="0"/>
                              <w:divBdr>
                                <w:top w:val="none" w:sz="0" w:space="0" w:color="auto"/>
                                <w:left w:val="none" w:sz="0" w:space="0" w:color="auto"/>
                                <w:bottom w:val="none" w:sz="0" w:space="0" w:color="auto"/>
                                <w:right w:val="none" w:sz="0" w:space="0" w:color="auto"/>
                              </w:divBdr>
                            </w:div>
                            <w:div w:id="812990755">
                              <w:marLeft w:val="0"/>
                              <w:marRight w:val="0"/>
                              <w:marTop w:val="0"/>
                              <w:marBottom w:val="0"/>
                              <w:divBdr>
                                <w:top w:val="none" w:sz="0" w:space="0" w:color="auto"/>
                                <w:left w:val="none" w:sz="0" w:space="0" w:color="auto"/>
                                <w:bottom w:val="none" w:sz="0" w:space="0" w:color="auto"/>
                                <w:right w:val="none" w:sz="0" w:space="0" w:color="auto"/>
                              </w:divBdr>
                            </w:div>
                            <w:div w:id="1594777040">
                              <w:marLeft w:val="0"/>
                              <w:marRight w:val="0"/>
                              <w:marTop w:val="0"/>
                              <w:marBottom w:val="0"/>
                              <w:divBdr>
                                <w:top w:val="none" w:sz="0" w:space="0" w:color="auto"/>
                                <w:left w:val="none" w:sz="0" w:space="0" w:color="auto"/>
                                <w:bottom w:val="none" w:sz="0" w:space="0" w:color="auto"/>
                                <w:right w:val="none" w:sz="0" w:space="0" w:color="auto"/>
                              </w:divBdr>
                              <w:divsChild>
                                <w:div w:id="846529018">
                                  <w:marLeft w:val="0"/>
                                  <w:marRight w:val="0"/>
                                  <w:marTop w:val="0"/>
                                  <w:marBottom w:val="0"/>
                                  <w:divBdr>
                                    <w:top w:val="none" w:sz="0" w:space="0" w:color="auto"/>
                                    <w:left w:val="none" w:sz="0" w:space="0" w:color="auto"/>
                                    <w:bottom w:val="none" w:sz="0" w:space="0" w:color="auto"/>
                                    <w:right w:val="none" w:sz="0" w:space="0" w:color="auto"/>
                                  </w:divBdr>
                                </w:div>
                                <w:div w:id="1309019736">
                                  <w:marLeft w:val="0"/>
                                  <w:marRight w:val="0"/>
                                  <w:marTop w:val="0"/>
                                  <w:marBottom w:val="0"/>
                                  <w:divBdr>
                                    <w:top w:val="none" w:sz="0" w:space="0" w:color="auto"/>
                                    <w:left w:val="none" w:sz="0" w:space="0" w:color="auto"/>
                                    <w:bottom w:val="none" w:sz="0" w:space="0" w:color="auto"/>
                                    <w:right w:val="none" w:sz="0" w:space="0" w:color="auto"/>
                                  </w:divBdr>
                                </w:div>
                                <w:div w:id="1732725337">
                                  <w:marLeft w:val="0"/>
                                  <w:marRight w:val="0"/>
                                  <w:marTop w:val="0"/>
                                  <w:marBottom w:val="0"/>
                                  <w:divBdr>
                                    <w:top w:val="none" w:sz="0" w:space="0" w:color="auto"/>
                                    <w:left w:val="none" w:sz="0" w:space="0" w:color="auto"/>
                                    <w:bottom w:val="none" w:sz="0" w:space="0" w:color="auto"/>
                                    <w:right w:val="none" w:sz="0" w:space="0" w:color="auto"/>
                                  </w:divBdr>
                                </w:div>
                              </w:divsChild>
                            </w:div>
                            <w:div w:id="1680044389">
                              <w:marLeft w:val="0"/>
                              <w:marRight w:val="0"/>
                              <w:marTop w:val="0"/>
                              <w:marBottom w:val="0"/>
                              <w:divBdr>
                                <w:top w:val="none" w:sz="0" w:space="0" w:color="auto"/>
                                <w:left w:val="none" w:sz="0" w:space="0" w:color="auto"/>
                                <w:bottom w:val="none" w:sz="0" w:space="0" w:color="auto"/>
                                <w:right w:val="none" w:sz="0" w:space="0" w:color="auto"/>
                              </w:divBdr>
                            </w:div>
                            <w:div w:id="1779064026">
                              <w:marLeft w:val="0"/>
                              <w:marRight w:val="0"/>
                              <w:marTop w:val="0"/>
                              <w:marBottom w:val="0"/>
                              <w:divBdr>
                                <w:top w:val="none" w:sz="0" w:space="0" w:color="auto"/>
                                <w:left w:val="none" w:sz="0" w:space="0" w:color="auto"/>
                                <w:bottom w:val="none" w:sz="0" w:space="0" w:color="auto"/>
                                <w:right w:val="none" w:sz="0" w:space="0" w:color="auto"/>
                              </w:divBdr>
                            </w:div>
                            <w:div w:id="1796632872">
                              <w:marLeft w:val="0"/>
                              <w:marRight w:val="0"/>
                              <w:marTop w:val="0"/>
                              <w:marBottom w:val="0"/>
                              <w:divBdr>
                                <w:top w:val="none" w:sz="0" w:space="0" w:color="auto"/>
                                <w:left w:val="none" w:sz="0" w:space="0" w:color="auto"/>
                                <w:bottom w:val="none" w:sz="0" w:space="0" w:color="auto"/>
                                <w:right w:val="none" w:sz="0" w:space="0" w:color="auto"/>
                              </w:divBdr>
                            </w:div>
                            <w:div w:id="1815029031">
                              <w:marLeft w:val="0"/>
                              <w:marRight w:val="0"/>
                              <w:marTop w:val="0"/>
                              <w:marBottom w:val="0"/>
                              <w:divBdr>
                                <w:top w:val="none" w:sz="0" w:space="0" w:color="auto"/>
                                <w:left w:val="none" w:sz="0" w:space="0" w:color="auto"/>
                                <w:bottom w:val="none" w:sz="0" w:space="0" w:color="auto"/>
                                <w:right w:val="none" w:sz="0" w:space="0" w:color="auto"/>
                              </w:divBdr>
                            </w:div>
                            <w:div w:id="19470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371">
      <w:bodyDiv w:val="1"/>
      <w:marLeft w:val="0"/>
      <w:marRight w:val="0"/>
      <w:marTop w:val="0"/>
      <w:marBottom w:val="0"/>
      <w:divBdr>
        <w:top w:val="none" w:sz="0" w:space="0" w:color="auto"/>
        <w:left w:val="none" w:sz="0" w:space="0" w:color="auto"/>
        <w:bottom w:val="none" w:sz="0" w:space="0" w:color="auto"/>
        <w:right w:val="none" w:sz="0" w:space="0" w:color="auto"/>
      </w:divBdr>
      <w:divsChild>
        <w:div w:id="1953705197">
          <w:marLeft w:val="0"/>
          <w:marRight w:val="0"/>
          <w:marTop w:val="0"/>
          <w:marBottom w:val="0"/>
          <w:divBdr>
            <w:top w:val="none" w:sz="0" w:space="0" w:color="auto"/>
            <w:left w:val="none" w:sz="0" w:space="0" w:color="auto"/>
            <w:bottom w:val="none" w:sz="0" w:space="0" w:color="auto"/>
            <w:right w:val="none" w:sz="0" w:space="0" w:color="auto"/>
          </w:divBdr>
          <w:divsChild>
            <w:div w:id="1209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2910">
      <w:bodyDiv w:val="1"/>
      <w:marLeft w:val="0"/>
      <w:marRight w:val="0"/>
      <w:marTop w:val="0"/>
      <w:marBottom w:val="0"/>
      <w:divBdr>
        <w:top w:val="none" w:sz="0" w:space="0" w:color="auto"/>
        <w:left w:val="none" w:sz="0" w:space="0" w:color="auto"/>
        <w:bottom w:val="none" w:sz="0" w:space="0" w:color="auto"/>
        <w:right w:val="none" w:sz="0" w:space="0" w:color="auto"/>
      </w:divBdr>
    </w:div>
    <w:div w:id="552541134">
      <w:bodyDiv w:val="1"/>
      <w:marLeft w:val="0"/>
      <w:marRight w:val="0"/>
      <w:marTop w:val="0"/>
      <w:marBottom w:val="0"/>
      <w:divBdr>
        <w:top w:val="none" w:sz="0" w:space="0" w:color="auto"/>
        <w:left w:val="none" w:sz="0" w:space="0" w:color="auto"/>
        <w:bottom w:val="none" w:sz="0" w:space="0" w:color="auto"/>
        <w:right w:val="none" w:sz="0" w:space="0" w:color="auto"/>
      </w:divBdr>
    </w:div>
    <w:div w:id="554851422">
      <w:bodyDiv w:val="1"/>
      <w:marLeft w:val="0"/>
      <w:marRight w:val="0"/>
      <w:marTop w:val="0"/>
      <w:marBottom w:val="0"/>
      <w:divBdr>
        <w:top w:val="none" w:sz="0" w:space="0" w:color="auto"/>
        <w:left w:val="none" w:sz="0" w:space="0" w:color="auto"/>
        <w:bottom w:val="none" w:sz="0" w:space="0" w:color="auto"/>
        <w:right w:val="none" w:sz="0" w:space="0" w:color="auto"/>
      </w:divBdr>
    </w:div>
    <w:div w:id="554893922">
      <w:bodyDiv w:val="1"/>
      <w:marLeft w:val="0"/>
      <w:marRight w:val="0"/>
      <w:marTop w:val="0"/>
      <w:marBottom w:val="0"/>
      <w:divBdr>
        <w:top w:val="none" w:sz="0" w:space="0" w:color="auto"/>
        <w:left w:val="none" w:sz="0" w:space="0" w:color="auto"/>
        <w:bottom w:val="none" w:sz="0" w:space="0" w:color="auto"/>
        <w:right w:val="none" w:sz="0" w:space="0" w:color="auto"/>
      </w:divBdr>
      <w:divsChild>
        <w:div w:id="53819493">
          <w:marLeft w:val="300"/>
          <w:marRight w:val="300"/>
          <w:marTop w:val="0"/>
          <w:marBottom w:val="0"/>
          <w:divBdr>
            <w:top w:val="none" w:sz="0" w:space="0" w:color="auto"/>
            <w:left w:val="none" w:sz="0" w:space="0" w:color="auto"/>
            <w:bottom w:val="none" w:sz="0" w:space="0" w:color="auto"/>
            <w:right w:val="none" w:sz="0" w:space="0" w:color="auto"/>
          </w:divBdr>
          <w:divsChild>
            <w:div w:id="1189030705">
              <w:marLeft w:val="0"/>
              <w:marRight w:val="0"/>
              <w:marTop w:val="0"/>
              <w:marBottom w:val="150"/>
              <w:divBdr>
                <w:top w:val="none" w:sz="0" w:space="0" w:color="auto"/>
                <w:left w:val="none" w:sz="0" w:space="0" w:color="auto"/>
                <w:bottom w:val="none" w:sz="0" w:space="0" w:color="auto"/>
                <w:right w:val="none" w:sz="0" w:space="0" w:color="auto"/>
              </w:divBdr>
              <w:divsChild>
                <w:div w:id="545216510">
                  <w:marLeft w:val="0"/>
                  <w:marRight w:val="0"/>
                  <w:marTop w:val="0"/>
                  <w:marBottom w:val="0"/>
                  <w:divBdr>
                    <w:top w:val="none" w:sz="0" w:space="0" w:color="auto"/>
                    <w:left w:val="none" w:sz="0" w:space="0" w:color="auto"/>
                    <w:bottom w:val="none" w:sz="0" w:space="0" w:color="auto"/>
                    <w:right w:val="none" w:sz="0" w:space="0" w:color="auto"/>
                  </w:divBdr>
                  <w:divsChild>
                    <w:div w:id="584994282">
                      <w:marLeft w:val="0"/>
                      <w:marRight w:val="0"/>
                      <w:marTop w:val="0"/>
                      <w:marBottom w:val="0"/>
                      <w:divBdr>
                        <w:top w:val="none" w:sz="0" w:space="0" w:color="auto"/>
                        <w:left w:val="none" w:sz="0" w:space="0" w:color="auto"/>
                        <w:bottom w:val="none" w:sz="0" w:space="0" w:color="auto"/>
                        <w:right w:val="none" w:sz="0" w:space="0" w:color="auto"/>
                      </w:divBdr>
                      <w:divsChild>
                        <w:div w:id="72434407">
                          <w:marLeft w:val="0"/>
                          <w:marRight w:val="0"/>
                          <w:marTop w:val="0"/>
                          <w:marBottom w:val="0"/>
                          <w:divBdr>
                            <w:top w:val="none" w:sz="0" w:space="0" w:color="auto"/>
                            <w:left w:val="none" w:sz="0" w:space="0" w:color="auto"/>
                            <w:bottom w:val="none" w:sz="0" w:space="0" w:color="auto"/>
                            <w:right w:val="none" w:sz="0" w:space="0" w:color="auto"/>
                          </w:divBdr>
                          <w:divsChild>
                            <w:div w:id="100301044">
                              <w:marLeft w:val="0"/>
                              <w:marRight w:val="0"/>
                              <w:marTop w:val="0"/>
                              <w:marBottom w:val="0"/>
                              <w:divBdr>
                                <w:top w:val="none" w:sz="0" w:space="0" w:color="auto"/>
                                <w:left w:val="none" w:sz="0" w:space="0" w:color="auto"/>
                                <w:bottom w:val="none" w:sz="0" w:space="0" w:color="auto"/>
                                <w:right w:val="none" w:sz="0" w:space="0" w:color="auto"/>
                              </w:divBdr>
                            </w:div>
                            <w:div w:id="226498307">
                              <w:marLeft w:val="0"/>
                              <w:marRight w:val="0"/>
                              <w:marTop w:val="0"/>
                              <w:marBottom w:val="0"/>
                              <w:divBdr>
                                <w:top w:val="none" w:sz="0" w:space="0" w:color="auto"/>
                                <w:left w:val="none" w:sz="0" w:space="0" w:color="auto"/>
                                <w:bottom w:val="none" w:sz="0" w:space="0" w:color="auto"/>
                                <w:right w:val="none" w:sz="0" w:space="0" w:color="auto"/>
                              </w:divBdr>
                            </w:div>
                            <w:div w:id="313876027">
                              <w:marLeft w:val="0"/>
                              <w:marRight w:val="0"/>
                              <w:marTop w:val="0"/>
                              <w:marBottom w:val="0"/>
                              <w:divBdr>
                                <w:top w:val="none" w:sz="0" w:space="0" w:color="auto"/>
                                <w:left w:val="none" w:sz="0" w:space="0" w:color="auto"/>
                                <w:bottom w:val="none" w:sz="0" w:space="0" w:color="auto"/>
                                <w:right w:val="none" w:sz="0" w:space="0" w:color="auto"/>
                              </w:divBdr>
                            </w:div>
                            <w:div w:id="496002866">
                              <w:marLeft w:val="0"/>
                              <w:marRight w:val="0"/>
                              <w:marTop w:val="0"/>
                              <w:marBottom w:val="0"/>
                              <w:divBdr>
                                <w:top w:val="none" w:sz="0" w:space="0" w:color="auto"/>
                                <w:left w:val="none" w:sz="0" w:space="0" w:color="auto"/>
                                <w:bottom w:val="none" w:sz="0" w:space="0" w:color="auto"/>
                                <w:right w:val="none" w:sz="0" w:space="0" w:color="auto"/>
                              </w:divBdr>
                            </w:div>
                            <w:div w:id="731001623">
                              <w:marLeft w:val="0"/>
                              <w:marRight w:val="0"/>
                              <w:marTop w:val="0"/>
                              <w:marBottom w:val="0"/>
                              <w:divBdr>
                                <w:top w:val="none" w:sz="0" w:space="0" w:color="auto"/>
                                <w:left w:val="none" w:sz="0" w:space="0" w:color="auto"/>
                                <w:bottom w:val="none" w:sz="0" w:space="0" w:color="auto"/>
                                <w:right w:val="none" w:sz="0" w:space="0" w:color="auto"/>
                              </w:divBdr>
                            </w:div>
                            <w:div w:id="1131099117">
                              <w:marLeft w:val="0"/>
                              <w:marRight w:val="0"/>
                              <w:marTop w:val="0"/>
                              <w:marBottom w:val="0"/>
                              <w:divBdr>
                                <w:top w:val="none" w:sz="0" w:space="0" w:color="auto"/>
                                <w:left w:val="none" w:sz="0" w:space="0" w:color="auto"/>
                                <w:bottom w:val="none" w:sz="0" w:space="0" w:color="auto"/>
                                <w:right w:val="none" w:sz="0" w:space="0" w:color="auto"/>
                              </w:divBdr>
                            </w:div>
                            <w:div w:id="1290356884">
                              <w:marLeft w:val="0"/>
                              <w:marRight w:val="0"/>
                              <w:marTop w:val="0"/>
                              <w:marBottom w:val="0"/>
                              <w:divBdr>
                                <w:top w:val="none" w:sz="0" w:space="0" w:color="auto"/>
                                <w:left w:val="none" w:sz="0" w:space="0" w:color="auto"/>
                                <w:bottom w:val="none" w:sz="0" w:space="0" w:color="auto"/>
                                <w:right w:val="none" w:sz="0" w:space="0" w:color="auto"/>
                              </w:divBdr>
                            </w:div>
                            <w:div w:id="1443458835">
                              <w:marLeft w:val="0"/>
                              <w:marRight w:val="0"/>
                              <w:marTop w:val="0"/>
                              <w:marBottom w:val="0"/>
                              <w:divBdr>
                                <w:top w:val="none" w:sz="0" w:space="0" w:color="auto"/>
                                <w:left w:val="none" w:sz="0" w:space="0" w:color="auto"/>
                                <w:bottom w:val="none" w:sz="0" w:space="0" w:color="auto"/>
                                <w:right w:val="none" w:sz="0" w:space="0" w:color="auto"/>
                              </w:divBdr>
                            </w:div>
                            <w:div w:id="1655335844">
                              <w:marLeft w:val="0"/>
                              <w:marRight w:val="0"/>
                              <w:marTop w:val="0"/>
                              <w:marBottom w:val="0"/>
                              <w:divBdr>
                                <w:top w:val="none" w:sz="0" w:space="0" w:color="auto"/>
                                <w:left w:val="none" w:sz="0" w:space="0" w:color="auto"/>
                                <w:bottom w:val="none" w:sz="0" w:space="0" w:color="auto"/>
                                <w:right w:val="none" w:sz="0" w:space="0" w:color="auto"/>
                              </w:divBdr>
                            </w:div>
                            <w:div w:id="16636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25035">
      <w:bodyDiv w:val="1"/>
      <w:marLeft w:val="0"/>
      <w:marRight w:val="0"/>
      <w:marTop w:val="0"/>
      <w:marBottom w:val="0"/>
      <w:divBdr>
        <w:top w:val="none" w:sz="0" w:space="0" w:color="auto"/>
        <w:left w:val="none" w:sz="0" w:space="0" w:color="auto"/>
        <w:bottom w:val="none" w:sz="0" w:space="0" w:color="auto"/>
        <w:right w:val="none" w:sz="0" w:space="0" w:color="auto"/>
      </w:divBdr>
      <w:divsChild>
        <w:div w:id="437334577">
          <w:marLeft w:val="0"/>
          <w:marRight w:val="0"/>
          <w:marTop w:val="0"/>
          <w:marBottom w:val="0"/>
          <w:divBdr>
            <w:top w:val="none" w:sz="0" w:space="0" w:color="auto"/>
            <w:left w:val="none" w:sz="0" w:space="0" w:color="auto"/>
            <w:bottom w:val="none" w:sz="0" w:space="0" w:color="auto"/>
            <w:right w:val="none" w:sz="0" w:space="0" w:color="auto"/>
          </w:divBdr>
          <w:divsChild>
            <w:div w:id="20149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4002">
      <w:bodyDiv w:val="1"/>
      <w:marLeft w:val="0"/>
      <w:marRight w:val="0"/>
      <w:marTop w:val="0"/>
      <w:marBottom w:val="0"/>
      <w:divBdr>
        <w:top w:val="none" w:sz="0" w:space="0" w:color="auto"/>
        <w:left w:val="none" w:sz="0" w:space="0" w:color="auto"/>
        <w:bottom w:val="none" w:sz="0" w:space="0" w:color="auto"/>
        <w:right w:val="none" w:sz="0" w:space="0" w:color="auto"/>
      </w:divBdr>
      <w:divsChild>
        <w:div w:id="1793667683">
          <w:marLeft w:val="272"/>
          <w:marRight w:val="272"/>
          <w:marTop w:val="0"/>
          <w:marBottom w:val="0"/>
          <w:divBdr>
            <w:top w:val="none" w:sz="0" w:space="0" w:color="auto"/>
            <w:left w:val="none" w:sz="0" w:space="0" w:color="auto"/>
            <w:bottom w:val="none" w:sz="0" w:space="0" w:color="auto"/>
            <w:right w:val="none" w:sz="0" w:space="0" w:color="auto"/>
          </w:divBdr>
          <w:divsChild>
            <w:div w:id="1585872297">
              <w:marLeft w:val="0"/>
              <w:marRight w:val="0"/>
              <w:marTop w:val="0"/>
              <w:marBottom w:val="136"/>
              <w:divBdr>
                <w:top w:val="none" w:sz="0" w:space="0" w:color="auto"/>
                <w:left w:val="none" w:sz="0" w:space="0" w:color="auto"/>
                <w:bottom w:val="none" w:sz="0" w:space="0" w:color="auto"/>
                <w:right w:val="none" w:sz="0" w:space="0" w:color="auto"/>
              </w:divBdr>
              <w:divsChild>
                <w:div w:id="743257144">
                  <w:marLeft w:val="0"/>
                  <w:marRight w:val="0"/>
                  <w:marTop w:val="0"/>
                  <w:marBottom w:val="0"/>
                  <w:divBdr>
                    <w:top w:val="none" w:sz="0" w:space="0" w:color="auto"/>
                    <w:left w:val="none" w:sz="0" w:space="0" w:color="auto"/>
                    <w:bottom w:val="none" w:sz="0" w:space="0" w:color="auto"/>
                    <w:right w:val="none" w:sz="0" w:space="0" w:color="auto"/>
                  </w:divBdr>
                  <w:divsChild>
                    <w:div w:id="11498121">
                      <w:marLeft w:val="0"/>
                      <w:marRight w:val="0"/>
                      <w:marTop w:val="0"/>
                      <w:marBottom w:val="0"/>
                      <w:divBdr>
                        <w:top w:val="none" w:sz="0" w:space="0" w:color="auto"/>
                        <w:left w:val="none" w:sz="0" w:space="0" w:color="auto"/>
                        <w:bottom w:val="none" w:sz="0" w:space="0" w:color="auto"/>
                        <w:right w:val="none" w:sz="0" w:space="0" w:color="auto"/>
                      </w:divBdr>
                      <w:divsChild>
                        <w:div w:id="412164001">
                          <w:marLeft w:val="0"/>
                          <w:marRight w:val="0"/>
                          <w:marTop w:val="0"/>
                          <w:marBottom w:val="0"/>
                          <w:divBdr>
                            <w:top w:val="none" w:sz="0" w:space="0" w:color="auto"/>
                            <w:left w:val="none" w:sz="0" w:space="0" w:color="auto"/>
                            <w:bottom w:val="none" w:sz="0" w:space="0" w:color="auto"/>
                            <w:right w:val="none" w:sz="0" w:space="0" w:color="auto"/>
                          </w:divBdr>
                          <w:divsChild>
                            <w:div w:id="666441805">
                              <w:marLeft w:val="0"/>
                              <w:marRight w:val="0"/>
                              <w:marTop w:val="0"/>
                              <w:marBottom w:val="0"/>
                              <w:divBdr>
                                <w:top w:val="none" w:sz="0" w:space="0" w:color="auto"/>
                                <w:left w:val="none" w:sz="0" w:space="0" w:color="auto"/>
                                <w:bottom w:val="none" w:sz="0" w:space="0" w:color="auto"/>
                                <w:right w:val="none" w:sz="0" w:space="0" w:color="auto"/>
                              </w:divBdr>
                            </w:div>
                            <w:div w:id="841547851">
                              <w:marLeft w:val="0"/>
                              <w:marRight w:val="0"/>
                              <w:marTop w:val="0"/>
                              <w:marBottom w:val="0"/>
                              <w:divBdr>
                                <w:top w:val="none" w:sz="0" w:space="0" w:color="auto"/>
                                <w:left w:val="none" w:sz="0" w:space="0" w:color="auto"/>
                                <w:bottom w:val="none" w:sz="0" w:space="0" w:color="auto"/>
                                <w:right w:val="none" w:sz="0" w:space="0" w:color="auto"/>
                              </w:divBdr>
                            </w:div>
                            <w:div w:id="1214347717">
                              <w:marLeft w:val="0"/>
                              <w:marRight w:val="0"/>
                              <w:marTop w:val="0"/>
                              <w:marBottom w:val="0"/>
                              <w:divBdr>
                                <w:top w:val="none" w:sz="0" w:space="0" w:color="auto"/>
                                <w:left w:val="none" w:sz="0" w:space="0" w:color="auto"/>
                                <w:bottom w:val="none" w:sz="0" w:space="0" w:color="auto"/>
                                <w:right w:val="none" w:sz="0" w:space="0" w:color="auto"/>
                              </w:divBdr>
                            </w:div>
                            <w:div w:id="1281647240">
                              <w:marLeft w:val="0"/>
                              <w:marRight w:val="0"/>
                              <w:marTop w:val="0"/>
                              <w:marBottom w:val="0"/>
                              <w:divBdr>
                                <w:top w:val="none" w:sz="0" w:space="0" w:color="auto"/>
                                <w:left w:val="none" w:sz="0" w:space="0" w:color="auto"/>
                                <w:bottom w:val="none" w:sz="0" w:space="0" w:color="auto"/>
                                <w:right w:val="none" w:sz="0" w:space="0" w:color="auto"/>
                              </w:divBdr>
                            </w:div>
                            <w:div w:id="1374574941">
                              <w:marLeft w:val="0"/>
                              <w:marRight w:val="0"/>
                              <w:marTop w:val="0"/>
                              <w:marBottom w:val="0"/>
                              <w:divBdr>
                                <w:top w:val="none" w:sz="0" w:space="0" w:color="auto"/>
                                <w:left w:val="none" w:sz="0" w:space="0" w:color="auto"/>
                                <w:bottom w:val="none" w:sz="0" w:space="0" w:color="auto"/>
                                <w:right w:val="none" w:sz="0" w:space="0" w:color="auto"/>
                              </w:divBdr>
                            </w:div>
                            <w:div w:id="1596594681">
                              <w:marLeft w:val="0"/>
                              <w:marRight w:val="0"/>
                              <w:marTop w:val="0"/>
                              <w:marBottom w:val="0"/>
                              <w:divBdr>
                                <w:top w:val="none" w:sz="0" w:space="0" w:color="auto"/>
                                <w:left w:val="none" w:sz="0" w:space="0" w:color="auto"/>
                                <w:bottom w:val="none" w:sz="0" w:space="0" w:color="auto"/>
                                <w:right w:val="none" w:sz="0" w:space="0" w:color="auto"/>
                              </w:divBdr>
                            </w:div>
                            <w:div w:id="20237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604926">
      <w:bodyDiv w:val="1"/>
      <w:marLeft w:val="0"/>
      <w:marRight w:val="0"/>
      <w:marTop w:val="0"/>
      <w:marBottom w:val="0"/>
      <w:divBdr>
        <w:top w:val="none" w:sz="0" w:space="0" w:color="auto"/>
        <w:left w:val="none" w:sz="0" w:space="0" w:color="auto"/>
        <w:bottom w:val="none" w:sz="0" w:space="0" w:color="auto"/>
        <w:right w:val="none" w:sz="0" w:space="0" w:color="auto"/>
      </w:divBdr>
      <w:divsChild>
        <w:div w:id="1352410956">
          <w:marLeft w:val="0"/>
          <w:marRight w:val="0"/>
          <w:marTop w:val="0"/>
          <w:marBottom w:val="0"/>
          <w:divBdr>
            <w:top w:val="none" w:sz="0" w:space="0" w:color="auto"/>
            <w:left w:val="none" w:sz="0" w:space="0" w:color="auto"/>
            <w:bottom w:val="none" w:sz="0" w:space="0" w:color="auto"/>
            <w:right w:val="none" w:sz="0" w:space="0" w:color="auto"/>
          </w:divBdr>
          <w:divsChild>
            <w:div w:id="626281609">
              <w:marLeft w:val="0"/>
              <w:marRight w:val="0"/>
              <w:marTop w:val="0"/>
              <w:marBottom w:val="0"/>
              <w:divBdr>
                <w:top w:val="none" w:sz="0" w:space="0" w:color="auto"/>
                <w:left w:val="none" w:sz="0" w:space="0" w:color="auto"/>
                <w:bottom w:val="none" w:sz="0" w:space="0" w:color="auto"/>
                <w:right w:val="none" w:sz="0" w:space="0" w:color="auto"/>
              </w:divBdr>
              <w:divsChild>
                <w:div w:id="158972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7481">
      <w:bodyDiv w:val="1"/>
      <w:marLeft w:val="0"/>
      <w:marRight w:val="0"/>
      <w:marTop w:val="0"/>
      <w:marBottom w:val="0"/>
      <w:divBdr>
        <w:top w:val="none" w:sz="0" w:space="0" w:color="auto"/>
        <w:left w:val="none" w:sz="0" w:space="0" w:color="auto"/>
        <w:bottom w:val="none" w:sz="0" w:space="0" w:color="auto"/>
        <w:right w:val="none" w:sz="0" w:space="0" w:color="auto"/>
      </w:divBdr>
      <w:divsChild>
        <w:div w:id="1683504810">
          <w:marLeft w:val="0"/>
          <w:marRight w:val="0"/>
          <w:marTop w:val="0"/>
          <w:marBottom w:val="0"/>
          <w:divBdr>
            <w:top w:val="none" w:sz="0" w:space="0" w:color="auto"/>
            <w:left w:val="none" w:sz="0" w:space="0" w:color="auto"/>
            <w:bottom w:val="none" w:sz="0" w:space="0" w:color="auto"/>
            <w:right w:val="none" w:sz="0" w:space="0" w:color="auto"/>
          </w:divBdr>
          <w:divsChild>
            <w:div w:id="12858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3135">
      <w:bodyDiv w:val="1"/>
      <w:marLeft w:val="0"/>
      <w:marRight w:val="0"/>
      <w:marTop w:val="0"/>
      <w:marBottom w:val="0"/>
      <w:divBdr>
        <w:top w:val="none" w:sz="0" w:space="0" w:color="auto"/>
        <w:left w:val="none" w:sz="0" w:space="0" w:color="auto"/>
        <w:bottom w:val="none" w:sz="0" w:space="0" w:color="auto"/>
        <w:right w:val="none" w:sz="0" w:space="0" w:color="auto"/>
      </w:divBdr>
      <w:divsChild>
        <w:div w:id="2000814361">
          <w:marLeft w:val="0"/>
          <w:marRight w:val="0"/>
          <w:marTop w:val="0"/>
          <w:marBottom w:val="0"/>
          <w:divBdr>
            <w:top w:val="none" w:sz="0" w:space="0" w:color="auto"/>
            <w:left w:val="none" w:sz="0" w:space="0" w:color="auto"/>
            <w:bottom w:val="none" w:sz="0" w:space="0" w:color="auto"/>
            <w:right w:val="none" w:sz="0" w:space="0" w:color="auto"/>
          </w:divBdr>
          <w:divsChild>
            <w:div w:id="17433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3160">
      <w:bodyDiv w:val="1"/>
      <w:marLeft w:val="0"/>
      <w:marRight w:val="0"/>
      <w:marTop w:val="0"/>
      <w:marBottom w:val="0"/>
      <w:divBdr>
        <w:top w:val="none" w:sz="0" w:space="0" w:color="auto"/>
        <w:left w:val="none" w:sz="0" w:space="0" w:color="auto"/>
        <w:bottom w:val="none" w:sz="0" w:space="0" w:color="auto"/>
        <w:right w:val="none" w:sz="0" w:space="0" w:color="auto"/>
      </w:divBdr>
      <w:divsChild>
        <w:div w:id="1519077258">
          <w:marLeft w:val="0"/>
          <w:marRight w:val="0"/>
          <w:marTop w:val="0"/>
          <w:marBottom w:val="0"/>
          <w:divBdr>
            <w:top w:val="none" w:sz="0" w:space="0" w:color="auto"/>
            <w:left w:val="none" w:sz="0" w:space="0" w:color="auto"/>
            <w:bottom w:val="none" w:sz="0" w:space="0" w:color="auto"/>
            <w:right w:val="none" w:sz="0" w:space="0" w:color="auto"/>
          </w:divBdr>
          <w:divsChild>
            <w:div w:id="821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1806">
      <w:bodyDiv w:val="1"/>
      <w:marLeft w:val="0"/>
      <w:marRight w:val="0"/>
      <w:marTop w:val="0"/>
      <w:marBottom w:val="0"/>
      <w:divBdr>
        <w:top w:val="none" w:sz="0" w:space="0" w:color="auto"/>
        <w:left w:val="none" w:sz="0" w:space="0" w:color="auto"/>
        <w:bottom w:val="none" w:sz="0" w:space="0" w:color="auto"/>
        <w:right w:val="none" w:sz="0" w:space="0" w:color="auto"/>
      </w:divBdr>
      <w:divsChild>
        <w:div w:id="346755401">
          <w:marLeft w:val="300"/>
          <w:marRight w:val="300"/>
          <w:marTop w:val="0"/>
          <w:marBottom w:val="0"/>
          <w:divBdr>
            <w:top w:val="none" w:sz="0" w:space="0" w:color="auto"/>
            <w:left w:val="none" w:sz="0" w:space="0" w:color="auto"/>
            <w:bottom w:val="none" w:sz="0" w:space="0" w:color="auto"/>
            <w:right w:val="none" w:sz="0" w:space="0" w:color="auto"/>
          </w:divBdr>
          <w:divsChild>
            <w:div w:id="1581671572">
              <w:marLeft w:val="0"/>
              <w:marRight w:val="0"/>
              <w:marTop w:val="0"/>
              <w:marBottom w:val="150"/>
              <w:divBdr>
                <w:top w:val="none" w:sz="0" w:space="0" w:color="auto"/>
                <w:left w:val="none" w:sz="0" w:space="0" w:color="auto"/>
                <w:bottom w:val="none" w:sz="0" w:space="0" w:color="auto"/>
                <w:right w:val="none" w:sz="0" w:space="0" w:color="auto"/>
              </w:divBdr>
              <w:divsChild>
                <w:div w:id="2118599177">
                  <w:marLeft w:val="0"/>
                  <w:marRight w:val="0"/>
                  <w:marTop w:val="0"/>
                  <w:marBottom w:val="0"/>
                  <w:divBdr>
                    <w:top w:val="none" w:sz="0" w:space="0" w:color="auto"/>
                    <w:left w:val="none" w:sz="0" w:space="0" w:color="auto"/>
                    <w:bottom w:val="none" w:sz="0" w:space="0" w:color="auto"/>
                    <w:right w:val="none" w:sz="0" w:space="0" w:color="auto"/>
                  </w:divBdr>
                  <w:divsChild>
                    <w:div w:id="113140713">
                      <w:marLeft w:val="0"/>
                      <w:marRight w:val="0"/>
                      <w:marTop w:val="0"/>
                      <w:marBottom w:val="0"/>
                      <w:divBdr>
                        <w:top w:val="none" w:sz="0" w:space="0" w:color="auto"/>
                        <w:left w:val="none" w:sz="0" w:space="0" w:color="auto"/>
                        <w:bottom w:val="none" w:sz="0" w:space="0" w:color="auto"/>
                        <w:right w:val="none" w:sz="0" w:space="0" w:color="auto"/>
                      </w:divBdr>
                      <w:divsChild>
                        <w:div w:id="1741293335">
                          <w:marLeft w:val="0"/>
                          <w:marRight w:val="0"/>
                          <w:marTop w:val="0"/>
                          <w:marBottom w:val="0"/>
                          <w:divBdr>
                            <w:top w:val="none" w:sz="0" w:space="0" w:color="auto"/>
                            <w:left w:val="none" w:sz="0" w:space="0" w:color="auto"/>
                            <w:bottom w:val="none" w:sz="0" w:space="0" w:color="auto"/>
                            <w:right w:val="none" w:sz="0" w:space="0" w:color="auto"/>
                          </w:divBdr>
                          <w:divsChild>
                            <w:div w:id="1724601272">
                              <w:marLeft w:val="0"/>
                              <w:marRight w:val="0"/>
                              <w:marTop w:val="0"/>
                              <w:marBottom w:val="0"/>
                              <w:divBdr>
                                <w:top w:val="none" w:sz="0" w:space="0" w:color="auto"/>
                                <w:left w:val="none" w:sz="0" w:space="0" w:color="auto"/>
                                <w:bottom w:val="none" w:sz="0" w:space="0" w:color="auto"/>
                                <w:right w:val="none" w:sz="0" w:space="0" w:color="auto"/>
                              </w:divBdr>
                              <w:divsChild>
                                <w:div w:id="1074668646">
                                  <w:marLeft w:val="0"/>
                                  <w:marRight w:val="0"/>
                                  <w:marTop w:val="0"/>
                                  <w:marBottom w:val="0"/>
                                  <w:divBdr>
                                    <w:top w:val="none" w:sz="0" w:space="0" w:color="auto"/>
                                    <w:left w:val="none" w:sz="0" w:space="0" w:color="auto"/>
                                    <w:bottom w:val="none" w:sz="0" w:space="0" w:color="auto"/>
                                    <w:right w:val="none" w:sz="0" w:space="0" w:color="auto"/>
                                  </w:divBdr>
                                </w:div>
                                <w:div w:id="1914121108">
                                  <w:marLeft w:val="0"/>
                                  <w:marRight w:val="0"/>
                                  <w:marTop w:val="0"/>
                                  <w:marBottom w:val="0"/>
                                  <w:divBdr>
                                    <w:top w:val="none" w:sz="0" w:space="0" w:color="auto"/>
                                    <w:left w:val="none" w:sz="0" w:space="0" w:color="auto"/>
                                    <w:bottom w:val="none" w:sz="0" w:space="0" w:color="auto"/>
                                    <w:right w:val="none" w:sz="0" w:space="0" w:color="auto"/>
                                  </w:divBdr>
                                  <w:divsChild>
                                    <w:div w:id="2033266795">
                                      <w:marLeft w:val="0"/>
                                      <w:marRight w:val="0"/>
                                      <w:marTop w:val="0"/>
                                      <w:marBottom w:val="0"/>
                                      <w:divBdr>
                                        <w:top w:val="none" w:sz="0" w:space="0" w:color="auto"/>
                                        <w:left w:val="none" w:sz="0" w:space="0" w:color="auto"/>
                                        <w:bottom w:val="none" w:sz="0" w:space="0" w:color="auto"/>
                                        <w:right w:val="none" w:sz="0" w:space="0" w:color="auto"/>
                                      </w:divBdr>
                                    </w:div>
                                    <w:div w:id="428426025">
                                      <w:marLeft w:val="0"/>
                                      <w:marRight w:val="0"/>
                                      <w:marTop w:val="0"/>
                                      <w:marBottom w:val="0"/>
                                      <w:divBdr>
                                        <w:top w:val="none" w:sz="0" w:space="0" w:color="auto"/>
                                        <w:left w:val="none" w:sz="0" w:space="0" w:color="auto"/>
                                        <w:bottom w:val="none" w:sz="0" w:space="0" w:color="auto"/>
                                        <w:right w:val="none" w:sz="0" w:space="0" w:color="auto"/>
                                      </w:divBdr>
                                    </w:div>
                                    <w:div w:id="4476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546647">
      <w:bodyDiv w:val="1"/>
      <w:marLeft w:val="0"/>
      <w:marRight w:val="0"/>
      <w:marTop w:val="0"/>
      <w:marBottom w:val="0"/>
      <w:divBdr>
        <w:top w:val="none" w:sz="0" w:space="0" w:color="auto"/>
        <w:left w:val="none" w:sz="0" w:space="0" w:color="auto"/>
        <w:bottom w:val="none" w:sz="0" w:space="0" w:color="auto"/>
        <w:right w:val="none" w:sz="0" w:space="0" w:color="auto"/>
      </w:divBdr>
      <w:divsChild>
        <w:div w:id="379210198">
          <w:marLeft w:val="0"/>
          <w:marRight w:val="0"/>
          <w:marTop w:val="0"/>
          <w:marBottom w:val="0"/>
          <w:divBdr>
            <w:top w:val="none" w:sz="0" w:space="0" w:color="auto"/>
            <w:left w:val="none" w:sz="0" w:space="0" w:color="auto"/>
            <w:bottom w:val="none" w:sz="0" w:space="0" w:color="auto"/>
            <w:right w:val="none" w:sz="0" w:space="0" w:color="auto"/>
          </w:divBdr>
        </w:div>
      </w:divsChild>
    </w:div>
    <w:div w:id="626470868">
      <w:bodyDiv w:val="1"/>
      <w:marLeft w:val="0"/>
      <w:marRight w:val="0"/>
      <w:marTop w:val="0"/>
      <w:marBottom w:val="0"/>
      <w:divBdr>
        <w:top w:val="none" w:sz="0" w:space="0" w:color="auto"/>
        <w:left w:val="none" w:sz="0" w:space="0" w:color="auto"/>
        <w:bottom w:val="none" w:sz="0" w:space="0" w:color="auto"/>
        <w:right w:val="none" w:sz="0" w:space="0" w:color="auto"/>
      </w:divBdr>
      <w:divsChild>
        <w:div w:id="181550859">
          <w:marLeft w:val="0"/>
          <w:marRight w:val="0"/>
          <w:marTop w:val="0"/>
          <w:marBottom w:val="0"/>
          <w:divBdr>
            <w:top w:val="none" w:sz="0" w:space="0" w:color="auto"/>
            <w:left w:val="none" w:sz="0" w:space="0" w:color="auto"/>
            <w:bottom w:val="none" w:sz="0" w:space="0" w:color="auto"/>
            <w:right w:val="none" w:sz="0" w:space="0" w:color="auto"/>
          </w:divBdr>
          <w:divsChild>
            <w:div w:id="12727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4087">
      <w:bodyDiv w:val="1"/>
      <w:marLeft w:val="0"/>
      <w:marRight w:val="0"/>
      <w:marTop w:val="0"/>
      <w:marBottom w:val="0"/>
      <w:divBdr>
        <w:top w:val="none" w:sz="0" w:space="0" w:color="auto"/>
        <w:left w:val="none" w:sz="0" w:space="0" w:color="auto"/>
        <w:bottom w:val="none" w:sz="0" w:space="0" w:color="auto"/>
        <w:right w:val="none" w:sz="0" w:space="0" w:color="auto"/>
      </w:divBdr>
      <w:divsChild>
        <w:div w:id="380250556">
          <w:marLeft w:val="300"/>
          <w:marRight w:val="300"/>
          <w:marTop w:val="0"/>
          <w:marBottom w:val="0"/>
          <w:divBdr>
            <w:top w:val="none" w:sz="0" w:space="0" w:color="auto"/>
            <w:left w:val="none" w:sz="0" w:space="0" w:color="auto"/>
            <w:bottom w:val="none" w:sz="0" w:space="0" w:color="auto"/>
            <w:right w:val="none" w:sz="0" w:space="0" w:color="auto"/>
          </w:divBdr>
          <w:divsChild>
            <w:div w:id="489448052">
              <w:marLeft w:val="0"/>
              <w:marRight w:val="0"/>
              <w:marTop w:val="0"/>
              <w:marBottom w:val="150"/>
              <w:divBdr>
                <w:top w:val="none" w:sz="0" w:space="0" w:color="auto"/>
                <w:left w:val="none" w:sz="0" w:space="0" w:color="auto"/>
                <w:bottom w:val="none" w:sz="0" w:space="0" w:color="auto"/>
                <w:right w:val="none" w:sz="0" w:space="0" w:color="auto"/>
              </w:divBdr>
              <w:divsChild>
                <w:div w:id="2048873702">
                  <w:marLeft w:val="0"/>
                  <w:marRight w:val="0"/>
                  <w:marTop w:val="0"/>
                  <w:marBottom w:val="0"/>
                  <w:divBdr>
                    <w:top w:val="none" w:sz="0" w:space="0" w:color="auto"/>
                    <w:left w:val="none" w:sz="0" w:space="0" w:color="auto"/>
                    <w:bottom w:val="none" w:sz="0" w:space="0" w:color="auto"/>
                    <w:right w:val="none" w:sz="0" w:space="0" w:color="auto"/>
                  </w:divBdr>
                  <w:divsChild>
                    <w:div w:id="1752505359">
                      <w:marLeft w:val="0"/>
                      <w:marRight w:val="0"/>
                      <w:marTop w:val="0"/>
                      <w:marBottom w:val="0"/>
                      <w:divBdr>
                        <w:top w:val="none" w:sz="0" w:space="0" w:color="auto"/>
                        <w:left w:val="none" w:sz="0" w:space="0" w:color="auto"/>
                        <w:bottom w:val="none" w:sz="0" w:space="0" w:color="auto"/>
                        <w:right w:val="none" w:sz="0" w:space="0" w:color="auto"/>
                      </w:divBdr>
                      <w:divsChild>
                        <w:div w:id="1552036550">
                          <w:marLeft w:val="0"/>
                          <w:marRight w:val="0"/>
                          <w:marTop w:val="0"/>
                          <w:marBottom w:val="0"/>
                          <w:divBdr>
                            <w:top w:val="none" w:sz="0" w:space="0" w:color="auto"/>
                            <w:left w:val="none" w:sz="0" w:space="0" w:color="auto"/>
                            <w:bottom w:val="none" w:sz="0" w:space="0" w:color="auto"/>
                            <w:right w:val="none" w:sz="0" w:space="0" w:color="auto"/>
                          </w:divBdr>
                          <w:divsChild>
                            <w:div w:id="17253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88734">
      <w:bodyDiv w:val="1"/>
      <w:marLeft w:val="0"/>
      <w:marRight w:val="0"/>
      <w:marTop w:val="0"/>
      <w:marBottom w:val="0"/>
      <w:divBdr>
        <w:top w:val="none" w:sz="0" w:space="0" w:color="auto"/>
        <w:left w:val="none" w:sz="0" w:space="0" w:color="auto"/>
        <w:bottom w:val="none" w:sz="0" w:space="0" w:color="auto"/>
        <w:right w:val="none" w:sz="0" w:space="0" w:color="auto"/>
      </w:divBdr>
      <w:divsChild>
        <w:div w:id="1774283257">
          <w:marLeft w:val="0"/>
          <w:marRight w:val="0"/>
          <w:marTop w:val="0"/>
          <w:marBottom w:val="0"/>
          <w:divBdr>
            <w:top w:val="none" w:sz="0" w:space="0" w:color="auto"/>
            <w:left w:val="none" w:sz="0" w:space="0" w:color="auto"/>
            <w:bottom w:val="none" w:sz="0" w:space="0" w:color="auto"/>
            <w:right w:val="none" w:sz="0" w:space="0" w:color="auto"/>
          </w:divBdr>
          <w:divsChild>
            <w:div w:id="1699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4092">
      <w:bodyDiv w:val="1"/>
      <w:marLeft w:val="0"/>
      <w:marRight w:val="0"/>
      <w:marTop w:val="0"/>
      <w:marBottom w:val="0"/>
      <w:divBdr>
        <w:top w:val="none" w:sz="0" w:space="0" w:color="auto"/>
        <w:left w:val="none" w:sz="0" w:space="0" w:color="auto"/>
        <w:bottom w:val="none" w:sz="0" w:space="0" w:color="auto"/>
        <w:right w:val="none" w:sz="0" w:space="0" w:color="auto"/>
      </w:divBdr>
      <w:divsChild>
        <w:div w:id="1773428433">
          <w:marLeft w:val="0"/>
          <w:marRight w:val="0"/>
          <w:marTop w:val="0"/>
          <w:marBottom w:val="0"/>
          <w:divBdr>
            <w:top w:val="none" w:sz="0" w:space="0" w:color="auto"/>
            <w:left w:val="none" w:sz="0" w:space="0" w:color="auto"/>
            <w:bottom w:val="none" w:sz="0" w:space="0" w:color="auto"/>
            <w:right w:val="none" w:sz="0" w:space="0" w:color="auto"/>
          </w:divBdr>
          <w:divsChild>
            <w:div w:id="13378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29241">
      <w:bodyDiv w:val="1"/>
      <w:marLeft w:val="0"/>
      <w:marRight w:val="0"/>
      <w:marTop w:val="0"/>
      <w:marBottom w:val="0"/>
      <w:divBdr>
        <w:top w:val="none" w:sz="0" w:space="0" w:color="auto"/>
        <w:left w:val="none" w:sz="0" w:space="0" w:color="auto"/>
        <w:bottom w:val="none" w:sz="0" w:space="0" w:color="auto"/>
        <w:right w:val="none" w:sz="0" w:space="0" w:color="auto"/>
      </w:divBdr>
      <w:divsChild>
        <w:div w:id="219678558">
          <w:marLeft w:val="0"/>
          <w:marRight w:val="0"/>
          <w:marTop w:val="0"/>
          <w:marBottom w:val="0"/>
          <w:divBdr>
            <w:top w:val="none" w:sz="0" w:space="0" w:color="auto"/>
            <w:left w:val="none" w:sz="0" w:space="0" w:color="auto"/>
            <w:bottom w:val="none" w:sz="0" w:space="0" w:color="auto"/>
            <w:right w:val="none" w:sz="0" w:space="0" w:color="auto"/>
          </w:divBdr>
          <w:divsChild>
            <w:div w:id="2801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7541">
      <w:bodyDiv w:val="1"/>
      <w:marLeft w:val="0"/>
      <w:marRight w:val="0"/>
      <w:marTop w:val="0"/>
      <w:marBottom w:val="0"/>
      <w:divBdr>
        <w:top w:val="none" w:sz="0" w:space="0" w:color="auto"/>
        <w:left w:val="none" w:sz="0" w:space="0" w:color="auto"/>
        <w:bottom w:val="none" w:sz="0" w:space="0" w:color="auto"/>
        <w:right w:val="none" w:sz="0" w:space="0" w:color="auto"/>
      </w:divBdr>
    </w:div>
    <w:div w:id="649868269">
      <w:bodyDiv w:val="1"/>
      <w:marLeft w:val="0"/>
      <w:marRight w:val="0"/>
      <w:marTop w:val="0"/>
      <w:marBottom w:val="0"/>
      <w:divBdr>
        <w:top w:val="none" w:sz="0" w:space="0" w:color="auto"/>
        <w:left w:val="none" w:sz="0" w:space="0" w:color="auto"/>
        <w:bottom w:val="none" w:sz="0" w:space="0" w:color="auto"/>
        <w:right w:val="none" w:sz="0" w:space="0" w:color="auto"/>
      </w:divBdr>
      <w:divsChild>
        <w:div w:id="401223884">
          <w:marLeft w:val="0"/>
          <w:marRight w:val="0"/>
          <w:marTop w:val="0"/>
          <w:marBottom w:val="0"/>
          <w:divBdr>
            <w:top w:val="none" w:sz="0" w:space="0" w:color="auto"/>
            <w:left w:val="none" w:sz="0" w:space="0" w:color="auto"/>
            <w:bottom w:val="none" w:sz="0" w:space="0" w:color="auto"/>
            <w:right w:val="none" w:sz="0" w:space="0" w:color="auto"/>
          </w:divBdr>
          <w:divsChild>
            <w:div w:id="2021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649">
      <w:bodyDiv w:val="1"/>
      <w:marLeft w:val="0"/>
      <w:marRight w:val="0"/>
      <w:marTop w:val="0"/>
      <w:marBottom w:val="0"/>
      <w:divBdr>
        <w:top w:val="none" w:sz="0" w:space="0" w:color="auto"/>
        <w:left w:val="none" w:sz="0" w:space="0" w:color="auto"/>
        <w:bottom w:val="none" w:sz="0" w:space="0" w:color="auto"/>
        <w:right w:val="none" w:sz="0" w:space="0" w:color="auto"/>
      </w:divBdr>
      <w:divsChild>
        <w:div w:id="985086277">
          <w:marLeft w:val="0"/>
          <w:marRight w:val="0"/>
          <w:marTop w:val="0"/>
          <w:marBottom w:val="0"/>
          <w:divBdr>
            <w:top w:val="none" w:sz="0" w:space="0" w:color="auto"/>
            <w:left w:val="none" w:sz="0" w:space="0" w:color="auto"/>
            <w:bottom w:val="none" w:sz="0" w:space="0" w:color="auto"/>
            <w:right w:val="none" w:sz="0" w:space="0" w:color="auto"/>
          </w:divBdr>
          <w:divsChild>
            <w:div w:id="19964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5485">
      <w:bodyDiv w:val="1"/>
      <w:marLeft w:val="63"/>
      <w:marRight w:val="0"/>
      <w:marTop w:val="50"/>
      <w:marBottom w:val="0"/>
      <w:divBdr>
        <w:top w:val="none" w:sz="0" w:space="0" w:color="auto"/>
        <w:left w:val="none" w:sz="0" w:space="0" w:color="auto"/>
        <w:bottom w:val="none" w:sz="0" w:space="0" w:color="auto"/>
        <w:right w:val="none" w:sz="0" w:space="0" w:color="auto"/>
      </w:divBdr>
      <w:divsChild>
        <w:div w:id="2060544368">
          <w:marLeft w:val="0"/>
          <w:marRight w:val="0"/>
          <w:marTop w:val="0"/>
          <w:marBottom w:val="0"/>
          <w:divBdr>
            <w:top w:val="none" w:sz="0" w:space="0" w:color="auto"/>
            <w:left w:val="none" w:sz="0" w:space="0" w:color="auto"/>
            <w:bottom w:val="none" w:sz="0" w:space="0" w:color="auto"/>
            <w:right w:val="none" w:sz="0" w:space="0" w:color="auto"/>
          </w:divBdr>
        </w:div>
      </w:divsChild>
    </w:div>
    <w:div w:id="667900144">
      <w:bodyDiv w:val="1"/>
      <w:marLeft w:val="0"/>
      <w:marRight w:val="0"/>
      <w:marTop w:val="0"/>
      <w:marBottom w:val="0"/>
      <w:divBdr>
        <w:top w:val="none" w:sz="0" w:space="0" w:color="auto"/>
        <w:left w:val="none" w:sz="0" w:space="0" w:color="auto"/>
        <w:bottom w:val="none" w:sz="0" w:space="0" w:color="auto"/>
        <w:right w:val="none" w:sz="0" w:space="0" w:color="auto"/>
      </w:divBdr>
    </w:div>
    <w:div w:id="672147725">
      <w:bodyDiv w:val="1"/>
      <w:marLeft w:val="0"/>
      <w:marRight w:val="0"/>
      <w:marTop w:val="0"/>
      <w:marBottom w:val="0"/>
      <w:divBdr>
        <w:top w:val="none" w:sz="0" w:space="0" w:color="auto"/>
        <w:left w:val="none" w:sz="0" w:space="0" w:color="auto"/>
        <w:bottom w:val="none" w:sz="0" w:space="0" w:color="auto"/>
        <w:right w:val="none" w:sz="0" w:space="0" w:color="auto"/>
      </w:divBdr>
      <w:divsChild>
        <w:div w:id="1044327488">
          <w:marLeft w:val="0"/>
          <w:marRight w:val="0"/>
          <w:marTop w:val="0"/>
          <w:marBottom w:val="0"/>
          <w:divBdr>
            <w:top w:val="none" w:sz="0" w:space="0" w:color="auto"/>
            <w:left w:val="none" w:sz="0" w:space="0" w:color="auto"/>
            <w:bottom w:val="none" w:sz="0" w:space="0" w:color="auto"/>
            <w:right w:val="none" w:sz="0" w:space="0" w:color="auto"/>
          </w:divBdr>
          <w:divsChild>
            <w:div w:id="15352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7552">
      <w:bodyDiv w:val="1"/>
      <w:marLeft w:val="0"/>
      <w:marRight w:val="0"/>
      <w:marTop w:val="0"/>
      <w:marBottom w:val="0"/>
      <w:divBdr>
        <w:top w:val="none" w:sz="0" w:space="0" w:color="auto"/>
        <w:left w:val="none" w:sz="0" w:space="0" w:color="auto"/>
        <w:bottom w:val="none" w:sz="0" w:space="0" w:color="auto"/>
        <w:right w:val="none" w:sz="0" w:space="0" w:color="auto"/>
      </w:divBdr>
    </w:div>
    <w:div w:id="685600483">
      <w:bodyDiv w:val="1"/>
      <w:marLeft w:val="0"/>
      <w:marRight w:val="0"/>
      <w:marTop w:val="0"/>
      <w:marBottom w:val="0"/>
      <w:divBdr>
        <w:top w:val="none" w:sz="0" w:space="0" w:color="auto"/>
        <w:left w:val="none" w:sz="0" w:space="0" w:color="auto"/>
        <w:bottom w:val="none" w:sz="0" w:space="0" w:color="auto"/>
        <w:right w:val="none" w:sz="0" w:space="0" w:color="auto"/>
      </w:divBdr>
    </w:div>
    <w:div w:id="690954284">
      <w:bodyDiv w:val="1"/>
      <w:marLeft w:val="0"/>
      <w:marRight w:val="0"/>
      <w:marTop w:val="0"/>
      <w:marBottom w:val="0"/>
      <w:divBdr>
        <w:top w:val="none" w:sz="0" w:space="0" w:color="auto"/>
        <w:left w:val="none" w:sz="0" w:space="0" w:color="auto"/>
        <w:bottom w:val="none" w:sz="0" w:space="0" w:color="auto"/>
        <w:right w:val="none" w:sz="0" w:space="0" w:color="auto"/>
      </w:divBdr>
      <w:divsChild>
        <w:div w:id="1520241632">
          <w:marLeft w:val="0"/>
          <w:marRight w:val="0"/>
          <w:marTop w:val="0"/>
          <w:marBottom w:val="0"/>
          <w:divBdr>
            <w:top w:val="none" w:sz="0" w:space="0" w:color="auto"/>
            <w:left w:val="none" w:sz="0" w:space="0" w:color="auto"/>
            <w:bottom w:val="none" w:sz="0" w:space="0" w:color="auto"/>
            <w:right w:val="none" w:sz="0" w:space="0" w:color="auto"/>
          </w:divBdr>
          <w:divsChild>
            <w:div w:id="9177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021">
      <w:bodyDiv w:val="1"/>
      <w:marLeft w:val="0"/>
      <w:marRight w:val="0"/>
      <w:marTop w:val="0"/>
      <w:marBottom w:val="0"/>
      <w:divBdr>
        <w:top w:val="none" w:sz="0" w:space="0" w:color="auto"/>
        <w:left w:val="none" w:sz="0" w:space="0" w:color="auto"/>
        <w:bottom w:val="none" w:sz="0" w:space="0" w:color="auto"/>
        <w:right w:val="none" w:sz="0" w:space="0" w:color="auto"/>
      </w:divBdr>
      <w:divsChild>
        <w:div w:id="1645235353">
          <w:marLeft w:val="0"/>
          <w:marRight w:val="0"/>
          <w:marTop w:val="0"/>
          <w:marBottom w:val="0"/>
          <w:divBdr>
            <w:top w:val="none" w:sz="0" w:space="0" w:color="auto"/>
            <w:left w:val="none" w:sz="0" w:space="0" w:color="auto"/>
            <w:bottom w:val="none" w:sz="0" w:space="0" w:color="auto"/>
            <w:right w:val="none" w:sz="0" w:space="0" w:color="auto"/>
          </w:divBdr>
          <w:divsChild>
            <w:div w:id="14258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582">
      <w:bodyDiv w:val="1"/>
      <w:marLeft w:val="63"/>
      <w:marRight w:val="0"/>
      <w:marTop w:val="50"/>
      <w:marBottom w:val="0"/>
      <w:divBdr>
        <w:top w:val="none" w:sz="0" w:space="0" w:color="auto"/>
        <w:left w:val="none" w:sz="0" w:space="0" w:color="auto"/>
        <w:bottom w:val="none" w:sz="0" w:space="0" w:color="auto"/>
        <w:right w:val="none" w:sz="0" w:space="0" w:color="auto"/>
      </w:divBdr>
      <w:divsChild>
        <w:div w:id="1959095228">
          <w:marLeft w:val="0"/>
          <w:marRight w:val="0"/>
          <w:marTop w:val="0"/>
          <w:marBottom w:val="0"/>
          <w:divBdr>
            <w:top w:val="none" w:sz="0" w:space="0" w:color="auto"/>
            <w:left w:val="none" w:sz="0" w:space="0" w:color="auto"/>
            <w:bottom w:val="none" w:sz="0" w:space="0" w:color="auto"/>
            <w:right w:val="none" w:sz="0" w:space="0" w:color="auto"/>
          </w:divBdr>
        </w:div>
      </w:divsChild>
    </w:div>
    <w:div w:id="705443414">
      <w:bodyDiv w:val="1"/>
      <w:marLeft w:val="0"/>
      <w:marRight w:val="0"/>
      <w:marTop w:val="0"/>
      <w:marBottom w:val="0"/>
      <w:divBdr>
        <w:top w:val="none" w:sz="0" w:space="0" w:color="auto"/>
        <w:left w:val="none" w:sz="0" w:space="0" w:color="auto"/>
        <w:bottom w:val="none" w:sz="0" w:space="0" w:color="auto"/>
        <w:right w:val="none" w:sz="0" w:space="0" w:color="auto"/>
      </w:divBdr>
      <w:divsChild>
        <w:div w:id="1069155152">
          <w:marLeft w:val="0"/>
          <w:marRight w:val="0"/>
          <w:marTop w:val="0"/>
          <w:marBottom w:val="0"/>
          <w:divBdr>
            <w:top w:val="none" w:sz="0" w:space="0" w:color="auto"/>
            <w:left w:val="none" w:sz="0" w:space="0" w:color="auto"/>
            <w:bottom w:val="none" w:sz="0" w:space="0" w:color="auto"/>
            <w:right w:val="none" w:sz="0" w:space="0" w:color="auto"/>
          </w:divBdr>
          <w:divsChild>
            <w:div w:id="1082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4603">
      <w:bodyDiv w:val="1"/>
      <w:marLeft w:val="0"/>
      <w:marRight w:val="0"/>
      <w:marTop w:val="0"/>
      <w:marBottom w:val="0"/>
      <w:divBdr>
        <w:top w:val="none" w:sz="0" w:space="0" w:color="auto"/>
        <w:left w:val="none" w:sz="0" w:space="0" w:color="auto"/>
        <w:bottom w:val="none" w:sz="0" w:space="0" w:color="auto"/>
        <w:right w:val="none" w:sz="0" w:space="0" w:color="auto"/>
      </w:divBdr>
      <w:divsChild>
        <w:div w:id="2097289422">
          <w:marLeft w:val="0"/>
          <w:marRight w:val="0"/>
          <w:marTop w:val="0"/>
          <w:marBottom w:val="0"/>
          <w:divBdr>
            <w:top w:val="none" w:sz="0" w:space="0" w:color="auto"/>
            <w:left w:val="none" w:sz="0" w:space="0" w:color="auto"/>
            <w:bottom w:val="none" w:sz="0" w:space="0" w:color="auto"/>
            <w:right w:val="none" w:sz="0" w:space="0" w:color="auto"/>
          </w:divBdr>
          <w:divsChild>
            <w:div w:id="1965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6194">
      <w:bodyDiv w:val="1"/>
      <w:marLeft w:val="0"/>
      <w:marRight w:val="0"/>
      <w:marTop w:val="0"/>
      <w:marBottom w:val="0"/>
      <w:divBdr>
        <w:top w:val="none" w:sz="0" w:space="0" w:color="auto"/>
        <w:left w:val="none" w:sz="0" w:space="0" w:color="auto"/>
        <w:bottom w:val="none" w:sz="0" w:space="0" w:color="auto"/>
        <w:right w:val="none" w:sz="0" w:space="0" w:color="auto"/>
      </w:divBdr>
    </w:div>
    <w:div w:id="716053141">
      <w:bodyDiv w:val="1"/>
      <w:marLeft w:val="0"/>
      <w:marRight w:val="0"/>
      <w:marTop w:val="0"/>
      <w:marBottom w:val="0"/>
      <w:divBdr>
        <w:top w:val="none" w:sz="0" w:space="0" w:color="auto"/>
        <w:left w:val="none" w:sz="0" w:space="0" w:color="auto"/>
        <w:bottom w:val="none" w:sz="0" w:space="0" w:color="auto"/>
        <w:right w:val="none" w:sz="0" w:space="0" w:color="auto"/>
      </w:divBdr>
    </w:div>
    <w:div w:id="716710663">
      <w:bodyDiv w:val="1"/>
      <w:marLeft w:val="0"/>
      <w:marRight w:val="0"/>
      <w:marTop w:val="0"/>
      <w:marBottom w:val="0"/>
      <w:divBdr>
        <w:top w:val="none" w:sz="0" w:space="0" w:color="auto"/>
        <w:left w:val="none" w:sz="0" w:space="0" w:color="auto"/>
        <w:bottom w:val="none" w:sz="0" w:space="0" w:color="auto"/>
        <w:right w:val="none" w:sz="0" w:space="0" w:color="auto"/>
      </w:divBdr>
    </w:div>
    <w:div w:id="729426587">
      <w:bodyDiv w:val="1"/>
      <w:marLeft w:val="0"/>
      <w:marRight w:val="0"/>
      <w:marTop w:val="0"/>
      <w:marBottom w:val="0"/>
      <w:divBdr>
        <w:top w:val="none" w:sz="0" w:space="0" w:color="auto"/>
        <w:left w:val="none" w:sz="0" w:space="0" w:color="auto"/>
        <w:bottom w:val="none" w:sz="0" w:space="0" w:color="auto"/>
        <w:right w:val="none" w:sz="0" w:space="0" w:color="auto"/>
      </w:divBdr>
      <w:divsChild>
        <w:div w:id="1486628227">
          <w:marLeft w:val="0"/>
          <w:marRight w:val="0"/>
          <w:marTop w:val="0"/>
          <w:marBottom w:val="0"/>
          <w:divBdr>
            <w:top w:val="none" w:sz="0" w:space="0" w:color="auto"/>
            <w:left w:val="none" w:sz="0" w:space="0" w:color="auto"/>
            <w:bottom w:val="none" w:sz="0" w:space="0" w:color="auto"/>
            <w:right w:val="none" w:sz="0" w:space="0" w:color="auto"/>
          </w:divBdr>
          <w:divsChild>
            <w:div w:id="10504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5292">
      <w:bodyDiv w:val="1"/>
      <w:marLeft w:val="0"/>
      <w:marRight w:val="0"/>
      <w:marTop w:val="0"/>
      <w:marBottom w:val="0"/>
      <w:divBdr>
        <w:top w:val="none" w:sz="0" w:space="0" w:color="auto"/>
        <w:left w:val="none" w:sz="0" w:space="0" w:color="auto"/>
        <w:bottom w:val="none" w:sz="0" w:space="0" w:color="auto"/>
        <w:right w:val="none" w:sz="0" w:space="0" w:color="auto"/>
      </w:divBdr>
      <w:divsChild>
        <w:div w:id="50883990">
          <w:marLeft w:val="272"/>
          <w:marRight w:val="272"/>
          <w:marTop w:val="0"/>
          <w:marBottom w:val="0"/>
          <w:divBdr>
            <w:top w:val="none" w:sz="0" w:space="0" w:color="auto"/>
            <w:left w:val="none" w:sz="0" w:space="0" w:color="auto"/>
            <w:bottom w:val="none" w:sz="0" w:space="0" w:color="auto"/>
            <w:right w:val="none" w:sz="0" w:space="0" w:color="auto"/>
          </w:divBdr>
          <w:divsChild>
            <w:div w:id="261230470">
              <w:marLeft w:val="0"/>
              <w:marRight w:val="0"/>
              <w:marTop w:val="0"/>
              <w:marBottom w:val="136"/>
              <w:divBdr>
                <w:top w:val="none" w:sz="0" w:space="0" w:color="auto"/>
                <w:left w:val="none" w:sz="0" w:space="0" w:color="auto"/>
                <w:bottom w:val="none" w:sz="0" w:space="0" w:color="auto"/>
                <w:right w:val="none" w:sz="0" w:space="0" w:color="auto"/>
              </w:divBdr>
              <w:divsChild>
                <w:div w:id="1846093277">
                  <w:marLeft w:val="0"/>
                  <w:marRight w:val="0"/>
                  <w:marTop w:val="0"/>
                  <w:marBottom w:val="0"/>
                  <w:divBdr>
                    <w:top w:val="none" w:sz="0" w:space="0" w:color="auto"/>
                    <w:left w:val="none" w:sz="0" w:space="0" w:color="auto"/>
                    <w:bottom w:val="none" w:sz="0" w:space="0" w:color="auto"/>
                    <w:right w:val="none" w:sz="0" w:space="0" w:color="auto"/>
                  </w:divBdr>
                  <w:divsChild>
                    <w:div w:id="1356343155">
                      <w:marLeft w:val="0"/>
                      <w:marRight w:val="0"/>
                      <w:marTop w:val="0"/>
                      <w:marBottom w:val="0"/>
                      <w:divBdr>
                        <w:top w:val="none" w:sz="0" w:space="0" w:color="auto"/>
                        <w:left w:val="none" w:sz="0" w:space="0" w:color="auto"/>
                        <w:bottom w:val="none" w:sz="0" w:space="0" w:color="auto"/>
                        <w:right w:val="none" w:sz="0" w:space="0" w:color="auto"/>
                      </w:divBdr>
                      <w:divsChild>
                        <w:div w:id="1132793232">
                          <w:marLeft w:val="0"/>
                          <w:marRight w:val="0"/>
                          <w:marTop w:val="0"/>
                          <w:marBottom w:val="0"/>
                          <w:divBdr>
                            <w:top w:val="none" w:sz="0" w:space="0" w:color="auto"/>
                            <w:left w:val="none" w:sz="0" w:space="0" w:color="auto"/>
                            <w:bottom w:val="none" w:sz="0" w:space="0" w:color="auto"/>
                            <w:right w:val="none" w:sz="0" w:space="0" w:color="auto"/>
                          </w:divBdr>
                          <w:divsChild>
                            <w:div w:id="766463911">
                              <w:marLeft w:val="0"/>
                              <w:marRight w:val="0"/>
                              <w:marTop w:val="0"/>
                              <w:marBottom w:val="0"/>
                              <w:divBdr>
                                <w:top w:val="none" w:sz="0" w:space="0" w:color="auto"/>
                                <w:left w:val="none" w:sz="0" w:space="0" w:color="auto"/>
                                <w:bottom w:val="none" w:sz="0" w:space="0" w:color="auto"/>
                                <w:right w:val="none" w:sz="0" w:space="0" w:color="auto"/>
                              </w:divBdr>
                              <w:divsChild>
                                <w:div w:id="297689606">
                                  <w:marLeft w:val="0"/>
                                  <w:marRight w:val="0"/>
                                  <w:marTop w:val="0"/>
                                  <w:marBottom w:val="0"/>
                                  <w:divBdr>
                                    <w:top w:val="none" w:sz="0" w:space="0" w:color="auto"/>
                                    <w:left w:val="none" w:sz="0" w:space="0" w:color="auto"/>
                                    <w:bottom w:val="none" w:sz="0" w:space="0" w:color="auto"/>
                                    <w:right w:val="none" w:sz="0" w:space="0" w:color="auto"/>
                                  </w:divBdr>
                                  <w:divsChild>
                                    <w:div w:id="393086065">
                                      <w:marLeft w:val="0"/>
                                      <w:marRight w:val="0"/>
                                      <w:marTop w:val="0"/>
                                      <w:marBottom w:val="0"/>
                                      <w:divBdr>
                                        <w:top w:val="none" w:sz="0" w:space="0" w:color="auto"/>
                                        <w:left w:val="none" w:sz="0" w:space="0" w:color="auto"/>
                                        <w:bottom w:val="none" w:sz="0" w:space="0" w:color="auto"/>
                                        <w:right w:val="none" w:sz="0" w:space="0" w:color="auto"/>
                                      </w:divBdr>
                                    </w:div>
                                    <w:div w:id="700086815">
                                      <w:marLeft w:val="0"/>
                                      <w:marRight w:val="0"/>
                                      <w:marTop w:val="0"/>
                                      <w:marBottom w:val="0"/>
                                      <w:divBdr>
                                        <w:top w:val="none" w:sz="0" w:space="0" w:color="auto"/>
                                        <w:left w:val="none" w:sz="0" w:space="0" w:color="auto"/>
                                        <w:bottom w:val="none" w:sz="0" w:space="0" w:color="auto"/>
                                        <w:right w:val="none" w:sz="0" w:space="0" w:color="auto"/>
                                      </w:divBdr>
                                    </w:div>
                                    <w:div w:id="880942920">
                                      <w:marLeft w:val="0"/>
                                      <w:marRight w:val="0"/>
                                      <w:marTop w:val="0"/>
                                      <w:marBottom w:val="0"/>
                                      <w:divBdr>
                                        <w:top w:val="none" w:sz="0" w:space="0" w:color="auto"/>
                                        <w:left w:val="none" w:sz="0" w:space="0" w:color="auto"/>
                                        <w:bottom w:val="none" w:sz="0" w:space="0" w:color="auto"/>
                                        <w:right w:val="none" w:sz="0" w:space="0" w:color="auto"/>
                                      </w:divBdr>
                                    </w:div>
                                    <w:div w:id="1861310167">
                                      <w:marLeft w:val="0"/>
                                      <w:marRight w:val="0"/>
                                      <w:marTop w:val="0"/>
                                      <w:marBottom w:val="0"/>
                                      <w:divBdr>
                                        <w:top w:val="none" w:sz="0" w:space="0" w:color="auto"/>
                                        <w:left w:val="none" w:sz="0" w:space="0" w:color="auto"/>
                                        <w:bottom w:val="none" w:sz="0" w:space="0" w:color="auto"/>
                                        <w:right w:val="none" w:sz="0" w:space="0" w:color="auto"/>
                                      </w:divBdr>
                                    </w:div>
                                  </w:divsChild>
                                </w:div>
                                <w:div w:id="617178978">
                                  <w:marLeft w:val="0"/>
                                  <w:marRight w:val="0"/>
                                  <w:marTop w:val="0"/>
                                  <w:marBottom w:val="0"/>
                                  <w:divBdr>
                                    <w:top w:val="none" w:sz="0" w:space="0" w:color="auto"/>
                                    <w:left w:val="none" w:sz="0" w:space="0" w:color="auto"/>
                                    <w:bottom w:val="none" w:sz="0" w:space="0" w:color="auto"/>
                                    <w:right w:val="none" w:sz="0" w:space="0" w:color="auto"/>
                                  </w:divBdr>
                                  <w:divsChild>
                                    <w:div w:id="128522747">
                                      <w:marLeft w:val="0"/>
                                      <w:marRight w:val="0"/>
                                      <w:marTop w:val="0"/>
                                      <w:marBottom w:val="0"/>
                                      <w:divBdr>
                                        <w:top w:val="none" w:sz="0" w:space="0" w:color="auto"/>
                                        <w:left w:val="none" w:sz="0" w:space="0" w:color="auto"/>
                                        <w:bottom w:val="none" w:sz="0" w:space="0" w:color="auto"/>
                                        <w:right w:val="none" w:sz="0" w:space="0" w:color="auto"/>
                                      </w:divBdr>
                                    </w:div>
                                    <w:div w:id="535587507">
                                      <w:marLeft w:val="0"/>
                                      <w:marRight w:val="0"/>
                                      <w:marTop w:val="0"/>
                                      <w:marBottom w:val="0"/>
                                      <w:divBdr>
                                        <w:top w:val="none" w:sz="0" w:space="0" w:color="auto"/>
                                        <w:left w:val="none" w:sz="0" w:space="0" w:color="auto"/>
                                        <w:bottom w:val="none" w:sz="0" w:space="0" w:color="auto"/>
                                        <w:right w:val="none" w:sz="0" w:space="0" w:color="auto"/>
                                      </w:divBdr>
                                    </w:div>
                                    <w:div w:id="935599140">
                                      <w:marLeft w:val="0"/>
                                      <w:marRight w:val="0"/>
                                      <w:marTop w:val="0"/>
                                      <w:marBottom w:val="0"/>
                                      <w:divBdr>
                                        <w:top w:val="none" w:sz="0" w:space="0" w:color="auto"/>
                                        <w:left w:val="none" w:sz="0" w:space="0" w:color="auto"/>
                                        <w:bottom w:val="none" w:sz="0" w:space="0" w:color="auto"/>
                                        <w:right w:val="none" w:sz="0" w:space="0" w:color="auto"/>
                                      </w:divBdr>
                                    </w:div>
                                    <w:div w:id="1305744748">
                                      <w:marLeft w:val="0"/>
                                      <w:marRight w:val="0"/>
                                      <w:marTop w:val="0"/>
                                      <w:marBottom w:val="0"/>
                                      <w:divBdr>
                                        <w:top w:val="none" w:sz="0" w:space="0" w:color="auto"/>
                                        <w:left w:val="none" w:sz="0" w:space="0" w:color="auto"/>
                                        <w:bottom w:val="none" w:sz="0" w:space="0" w:color="auto"/>
                                        <w:right w:val="none" w:sz="0" w:space="0" w:color="auto"/>
                                      </w:divBdr>
                                    </w:div>
                                    <w:div w:id="16323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600">
                              <w:marLeft w:val="0"/>
                              <w:marRight w:val="0"/>
                              <w:marTop w:val="0"/>
                              <w:marBottom w:val="0"/>
                              <w:divBdr>
                                <w:top w:val="none" w:sz="0" w:space="0" w:color="auto"/>
                                <w:left w:val="none" w:sz="0" w:space="0" w:color="auto"/>
                                <w:bottom w:val="none" w:sz="0" w:space="0" w:color="auto"/>
                                <w:right w:val="none" w:sz="0" w:space="0" w:color="auto"/>
                              </w:divBdr>
                            </w:div>
                            <w:div w:id="1730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4767">
      <w:bodyDiv w:val="1"/>
      <w:marLeft w:val="0"/>
      <w:marRight w:val="0"/>
      <w:marTop w:val="0"/>
      <w:marBottom w:val="0"/>
      <w:divBdr>
        <w:top w:val="none" w:sz="0" w:space="0" w:color="auto"/>
        <w:left w:val="none" w:sz="0" w:space="0" w:color="auto"/>
        <w:bottom w:val="none" w:sz="0" w:space="0" w:color="auto"/>
        <w:right w:val="none" w:sz="0" w:space="0" w:color="auto"/>
      </w:divBdr>
      <w:divsChild>
        <w:div w:id="1786534232">
          <w:marLeft w:val="0"/>
          <w:marRight w:val="0"/>
          <w:marTop w:val="0"/>
          <w:marBottom w:val="0"/>
          <w:divBdr>
            <w:top w:val="none" w:sz="0" w:space="0" w:color="auto"/>
            <w:left w:val="none" w:sz="0" w:space="0" w:color="auto"/>
            <w:bottom w:val="none" w:sz="0" w:space="0" w:color="auto"/>
            <w:right w:val="none" w:sz="0" w:space="0" w:color="auto"/>
          </w:divBdr>
          <w:divsChild>
            <w:div w:id="16983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1797">
      <w:bodyDiv w:val="1"/>
      <w:marLeft w:val="0"/>
      <w:marRight w:val="0"/>
      <w:marTop w:val="0"/>
      <w:marBottom w:val="0"/>
      <w:divBdr>
        <w:top w:val="none" w:sz="0" w:space="0" w:color="auto"/>
        <w:left w:val="none" w:sz="0" w:space="0" w:color="auto"/>
        <w:bottom w:val="none" w:sz="0" w:space="0" w:color="auto"/>
        <w:right w:val="none" w:sz="0" w:space="0" w:color="auto"/>
      </w:divBdr>
      <w:divsChild>
        <w:div w:id="2011910584">
          <w:marLeft w:val="0"/>
          <w:marRight w:val="0"/>
          <w:marTop w:val="0"/>
          <w:marBottom w:val="0"/>
          <w:divBdr>
            <w:top w:val="none" w:sz="0" w:space="0" w:color="auto"/>
            <w:left w:val="none" w:sz="0" w:space="0" w:color="auto"/>
            <w:bottom w:val="none" w:sz="0" w:space="0" w:color="auto"/>
            <w:right w:val="none" w:sz="0" w:space="0" w:color="auto"/>
          </w:divBdr>
          <w:divsChild>
            <w:div w:id="10160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7639">
      <w:bodyDiv w:val="1"/>
      <w:marLeft w:val="0"/>
      <w:marRight w:val="0"/>
      <w:marTop w:val="0"/>
      <w:marBottom w:val="0"/>
      <w:divBdr>
        <w:top w:val="none" w:sz="0" w:space="0" w:color="auto"/>
        <w:left w:val="none" w:sz="0" w:space="0" w:color="auto"/>
        <w:bottom w:val="none" w:sz="0" w:space="0" w:color="auto"/>
        <w:right w:val="none" w:sz="0" w:space="0" w:color="auto"/>
      </w:divBdr>
    </w:div>
    <w:div w:id="742996053">
      <w:bodyDiv w:val="1"/>
      <w:marLeft w:val="0"/>
      <w:marRight w:val="0"/>
      <w:marTop w:val="0"/>
      <w:marBottom w:val="0"/>
      <w:divBdr>
        <w:top w:val="none" w:sz="0" w:space="0" w:color="auto"/>
        <w:left w:val="none" w:sz="0" w:space="0" w:color="auto"/>
        <w:bottom w:val="none" w:sz="0" w:space="0" w:color="auto"/>
        <w:right w:val="none" w:sz="0" w:space="0" w:color="auto"/>
      </w:divBdr>
      <w:divsChild>
        <w:div w:id="1225144221">
          <w:marLeft w:val="0"/>
          <w:marRight w:val="0"/>
          <w:marTop w:val="0"/>
          <w:marBottom w:val="0"/>
          <w:divBdr>
            <w:top w:val="none" w:sz="0" w:space="0" w:color="auto"/>
            <w:left w:val="none" w:sz="0" w:space="0" w:color="auto"/>
            <w:bottom w:val="none" w:sz="0" w:space="0" w:color="auto"/>
            <w:right w:val="none" w:sz="0" w:space="0" w:color="auto"/>
          </w:divBdr>
          <w:divsChild>
            <w:div w:id="13372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93430">
      <w:bodyDiv w:val="1"/>
      <w:marLeft w:val="0"/>
      <w:marRight w:val="0"/>
      <w:marTop w:val="0"/>
      <w:marBottom w:val="0"/>
      <w:divBdr>
        <w:top w:val="none" w:sz="0" w:space="0" w:color="auto"/>
        <w:left w:val="none" w:sz="0" w:space="0" w:color="auto"/>
        <w:bottom w:val="none" w:sz="0" w:space="0" w:color="auto"/>
        <w:right w:val="none" w:sz="0" w:space="0" w:color="auto"/>
      </w:divBdr>
    </w:div>
    <w:div w:id="750465378">
      <w:bodyDiv w:val="1"/>
      <w:marLeft w:val="0"/>
      <w:marRight w:val="0"/>
      <w:marTop w:val="0"/>
      <w:marBottom w:val="0"/>
      <w:divBdr>
        <w:top w:val="none" w:sz="0" w:space="0" w:color="auto"/>
        <w:left w:val="none" w:sz="0" w:space="0" w:color="auto"/>
        <w:bottom w:val="none" w:sz="0" w:space="0" w:color="auto"/>
        <w:right w:val="none" w:sz="0" w:space="0" w:color="auto"/>
      </w:divBdr>
      <w:divsChild>
        <w:div w:id="1839152800">
          <w:marLeft w:val="0"/>
          <w:marRight w:val="0"/>
          <w:marTop w:val="0"/>
          <w:marBottom w:val="0"/>
          <w:divBdr>
            <w:top w:val="none" w:sz="0" w:space="0" w:color="auto"/>
            <w:left w:val="none" w:sz="0" w:space="0" w:color="auto"/>
            <w:bottom w:val="none" w:sz="0" w:space="0" w:color="auto"/>
            <w:right w:val="none" w:sz="0" w:space="0" w:color="auto"/>
          </w:divBdr>
          <w:divsChild>
            <w:div w:id="18907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4449">
      <w:bodyDiv w:val="1"/>
      <w:marLeft w:val="0"/>
      <w:marRight w:val="0"/>
      <w:marTop w:val="0"/>
      <w:marBottom w:val="0"/>
      <w:divBdr>
        <w:top w:val="none" w:sz="0" w:space="0" w:color="auto"/>
        <w:left w:val="none" w:sz="0" w:space="0" w:color="auto"/>
        <w:bottom w:val="none" w:sz="0" w:space="0" w:color="auto"/>
        <w:right w:val="none" w:sz="0" w:space="0" w:color="auto"/>
      </w:divBdr>
      <w:divsChild>
        <w:div w:id="1062606243">
          <w:marLeft w:val="0"/>
          <w:marRight w:val="0"/>
          <w:marTop w:val="0"/>
          <w:marBottom w:val="0"/>
          <w:divBdr>
            <w:top w:val="none" w:sz="0" w:space="0" w:color="auto"/>
            <w:left w:val="none" w:sz="0" w:space="0" w:color="auto"/>
            <w:bottom w:val="none" w:sz="0" w:space="0" w:color="auto"/>
            <w:right w:val="none" w:sz="0" w:space="0" w:color="auto"/>
          </w:divBdr>
          <w:divsChild>
            <w:div w:id="8274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8400">
      <w:bodyDiv w:val="1"/>
      <w:marLeft w:val="0"/>
      <w:marRight w:val="0"/>
      <w:marTop w:val="0"/>
      <w:marBottom w:val="0"/>
      <w:divBdr>
        <w:top w:val="none" w:sz="0" w:space="0" w:color="auto"/>
        <w:left w:val="none" w:sz="0" w:space="0" w:color="auto"/>
        <w:bottom w:val="none" w:sz="0" w:space="0" w:color="auto"/>
        <w:right w:val="none" w:sz="0" w:space="0" w:color="auto"/>
      </w:divBdr>
      <w:divsChild>
        <w:div w:id="1061909333">
          <w:marLeft w:val="0"/>
          <w:marRight w:val="0"/>
          <w:marTop w:val="0"/>
          <w:marBottom w:val="0"/>
          <w:divBdr>
            <w:top w:val="none" w:sz="0" w:space="0" w:color="auto"/>
            <w:left w:val="none" w:sz="0" w:space="0" w:color="auto"/>
            <w:bottom w:val="none" w:sz="0" w:space="0" w:color="auto"/>
            <w:right w:val="none" w:sz="0" w:space="0" w:color="auto"/>
          </w:divBdr>
          <w:divsChild>
            <w:div w:id="4592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9985">
      <w:bodyDiv w:val="1"/>
      <w:marLeft w:val="0"/>
      <w:marRight w:val="0"/>
      <w:marTop w:val="0"/>
      <w:marBottom w:val="0"/>
      <w:divBdr>
        <w:top w:val="none" w:sz="0" w:space="0" w:color="auto"/>
        <w:left w:val="none" w:sz="0" w:space="0" w:color="auto"/>
        <w:bottom w:val="none" w:sz="0" w:space="0" w:color="auto"/>
        <w:right w:val="none" w:sz="0" w:space="0" w:color="auto"/>
      </w:divBdr>
      <w:divsChild>
        <w:div w:id="1411149082">
          <w:marLeft w:val="0"/>
          <w:marRight w:val="0"/>
          <w:marTop w:val="0"/>
          <w:marBottom w:val="0"/>
          <w:divBdr>
            <w:top w:val="none" w:sz="0" w:space="0" w:color="auto"/>
            <w:left w:val="none" w:sz="0" w:space="0" w:color="auto"/>
            <w:bottom w:val="none" w:sz="0" w:space="0" w:color="auto"/>
            <w:right w:val="none" w:sz="0" w:space="0" w:color="auto"/>
          </w:divBdr>
          <w:divsChild>
            <w:div w:id="12599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807">
      <w:bodyDiv w:val="1"/>
      <w:marLeft w:val="0"/>
      <w:marRight w:val="0"/>
      <w:marTop w:val="0"/>
      <w:marBottom w:val="0"/>
      <w:divBdr>
        <w:top w:val="none" w:sz="0" w:space="0" w:color="auto"/>
        <w:left w:val="none" w:sz="0" w:space="0" w:color="auto"/>
        <w:bottom w:val="none" w:sz="0" w:space="0" w:color="auto"/>
        <w:right w:val="none" w:sz="0" w:space="0" w:color="auto"/>
      </w:divBdr>
      <w:divsChild>
        <w:div w:id="649405791">
          <w:marLeft w:val="0"/>
          <w:marRight w:val="0"/>
          <w:marTop w:val="0"/>
          <w:marBottom w:val="0"/>
          <w:divBdr>
            <w:top w:val="none" w:sz="0" w:space="0" w:color="auto"/>
            <w:left w:val="none" w:sz="0" w:space="0" w:color="auto"/>
            <w:bottom w:val="none" w:sz="0" w:space="0" w:color="auto"/>
            <w:right w:val="none" w:sz="0" w:space="0" w:color="auto"/>
          </w:divBdr>
          <w:divsChild>
            <w:div w:id="5496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819">
      <w:bodyDiv w:val="1"/>
      <w:marLeft w:val="0"/>
      <w:marRight w:val="0"/>
      <w:marTop w:val="0"/>
      <w:marBottom w:val="0"/>
      <w:divBdr>
        <w:top w:val="none" w:sz="0" w:space="0" w:color="auto"/>
        <w:left w:val="none" w:sz="0" w:space="0" w:color="auto"/>
        <w:bottom w:val="none" w:sz="0" w:space="0" w:color="auto"/>
        <w:right w:val="none" w:sz="0" w:space="0" w:color="auto"/>
      </w:divBdr>
    </w:div>
    <w:div w:id="783235035">
      <w:bodyDiv w:val="1"/>
      <w:marLeft w:val="0"/>
      <w:marRight w:val="0"/>
      <w:marTop w:val="0"/>
      <w:marBottom w:val="0"/>
      <w:divBdr>
        <w:top w:val="none" w:sz="0" w:space="0" w:color="auto"/>
        <w:left w:val="none" w:sz="0" w:space="0" w:color="auto"/>
        <w:bottom w:val="none" w:sz="0" w:space="0" w:color="auto"/>
        <w:right w:val="none" w:sz="0" w:space="0" w:color="auto"/>
      </w:divBdr>
      <w:divsChild>
        <w:div w:id="345374958">
          <w:marLeft w:val="0"/>
          <w:marRight w:val="0"/>
          <w:marTop w:val="0"/>
          <w:marBottom w:val="0"/>
          <w:divBdr>
            <w:top w:val="none" w:sz="0" w:space="0" w:color="auto"/>
            <w:left w:val="none" w:sz="0" w:space="0" w:color="auto"/>
            <w:bottom w:val="none" w:sz="0" w:space="0" w:color="auto"/>
            <w:right w:val="none" w:sz="0" w:space="0" w:color="auto"/>
          </w:divBdr>
          <w:divsChild>
            <w:div w:id="973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1917">
      <w:bodyDiv w:val="1"/>
      <w:marLeft w:val="0"/>
      <w:marRight w:val="0"/>
      <w:marTop w:val="0"/>
      <w:marBottom w:val="0"/>
      <w:divBdr>
        <w:top w:val="none" w:sz="0" w:space="0" w:color="auto"/>
        <w:left w:val="none" w:sz="0" w:space="0" w:color="auto"/>
        <w:bottom w:val="none" w:sz="0" w:space="0" w:color="auto"/>
        <w:right w:val="none" w:sz="0" w:space="0" w:color="auto"/>
      </w:divBdr>
      <w:divsChild>
        <w:div w:id="954362001">
          <w:marLeft w:val="0"/>
          <w:marRight w:val="0"/>
          <w:marTop w:val="0"/>
          <w:marBottom w:val="0"/>
          <w:divBdr>
            <w:top w:val="none" w:sz="0" w:space="0" w:color="auto"/>
            <w:left w:val="none" w:sz="0" w:space="0" w:color="auto"/>
            <w:bottom w:val="none" w:sz="0" w:space="0" w:color="auto"/>
            <w:right w:val="none" w:sz="0" w:space="0" w:color="auto"/>
          </w:divBdr>
          <w:divsChild>
            <w:div w:id="1769890381">
              <w:marLeft w:val="0"/>
              <w:marRight w:val="0"/>
              <w:marTop w:val="0"/>
              <w:marBottom w:val="0"/>
              <w:divBdr>
                <w:top w:val="none" w:sz="0" w:space="0" w:color="auto"/>
                <w:left w:val="none" w:sz="0" w:space="0" w:color="auto"/>
                <w:bottom w:val="none" w:sz="0" w:space="0" w:color="auto"/>
                <w:right w:val="none" w:sz="0" w:space="0" w:color="auto"/>
              </w:divBdr>
              <w:divsChild>
                <w:div w:id="1334727235">
                  <w:marLeft w:val="0"/>
                  <w:marRight w:val="0"/>
                  <w:marTop w:val="0"/>
                  <w:marBottom w:val="0"/>
                  <w:divBdr>
                    <w:top w:val="none" w:sz="0" w:space="0" w:color="auto"/>
                    <w:left w:val="none" w:sz="0" w:space="0" w:color="auto"/>
                    <w:bottom w:val="none" w:sz="0" w:space="0" w:color="auto"/>
                    <w:right w:val="none" w:sz="0" w:space="0" w:color="auto"/>
                  </w:divBdr>
                  <w:divsChild>
                    <w:div w:id="273754917">
                      <w:marLeft w:val="0"/>
                      <w:marRight w:val="0"/>
                      <w:marTop w:val="0"/>
                      <w:marBottom w:val="0"/>
                      <w:divBdr>
                        <w:top w:val="none" w:sz="0" w:space="0" w:color="auto"/>
                        <w:left w:val="none" w:sz="0" w:space="0" w:color="auto"/>
                        <w:bottom w:val="none" w:sz="0" w:space="0" w:color="auto"/>
                        <w:right w:val="none" w:sz="0" w:space="0" w:color="auto"/>
                      </w:divBdr>
                      <w:divsChild>
                        <w:div w:id="992443748">
                          <w:marLeft w:val="0"/>
                          <w:marRight w:val="0"/>
                          <w:marTop w:val="0"/>
                          <w:marBottom w:val="0"/>
                          <w:divBdr>
                            <w:top w:val="none" w:sz="0" w:space="0" w:color="auto"/>
                            <w:left w:val="none" w:sz="0" w:space="0" w:color="auto"/>
                            <w:bottom w:val="none" w:sz="0" w:space="0" w:color="auto"/>
                            <w:right w:val="none" w:sz="0" w:space="0" w:color="auto"/>
                          </w:divBdr>
                          <w:divsChild>
                            <w:div w:id="1398626453">
                              <w:marLeft w:val="0"/>
                              <w:marRight w:val="0"/>
                              <w:marTop w:val="0"/>
                              <w:marBottom w:val="0"/>
                              <w:divBdr>
                                <w:top w:val="none" w:sz="0" w:space="0" w:color="auto"/>
                                <w:left w:val="none" w:sz="0" w:space="0" w:color="auto"/>
                                <w:bottom w:val="none" w:sz="0" w:space="0" w:color="auto"/>
                                <w:right w:val="none" w:sz="0" w:space="0" w:color="auto"/>
                              </w:divBdr>
                            </w:div>
                            <w:div w:id="1558397518">
                              <w:marLeft w:val="0"/>
                              <w:marRight w:val="0"/>
                              <w:marTop w:val="0"/>
                              <w:marBottom w:val="0"/>
                              <w:divBdr>
                                <w:top w:val="none" w:sz="0" w:space="0" w:color="auto"/>
                                <w:left w:val="none" w:sz="0" w:space="0" w:color="auto"/>
                                <w:bottom w:val="none" w:sz="0" w:space="0" w:color="auto"/>
                                <w:right w:val="none" w:sz="0" w:space="0" w:color="auto"/>
                              </w:divBdr>
                            </w:div>
                            <w:div w:id="1338121565">
                              <w:marLeft w:val="0"/>
                              <w:marRight w:val="0"/>
                              <w:marTop w:val="0"/>
                              <w:marBottom w:val="0"/>
                              <w:divBdr>
                                <w:top w:val="none" w:sz="0" w:space="0" w:color="auto"/>
                                <w:left w:val="none" w:sz="0" w:space="0" w:color="auto"/>
                                <w:bottom w:val="none" w:sz="0" w:space="0" w:color="auto"/>
                                <w:right w:val="none" w:sz="0" w:space="0" w:color="auto"/>
                              </w:divBdr>
                            </w:div>
                            <w:div w:id="19868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85200">
      <w:bodyDiv w:val="1"/>
      <w:marLeft w:val="0"/>
      <w:marRight w:val="0"/>
      <w:marTop w:val="0"/>
      <w:marBottom w:val="0"/>
      <w:divBdr>
        <w:top w:val="none" w:sz="0" w:space="0" w:color="auto"/>
        <w:left w:val="none" w:sz="0" w:space="0" w:color="auto"/>
        <w:bottom w:val="none" w:sz="0" w:space="0" w:color="auto"/>
        <w:right w:val="none" w:sz="0" w:space="0" w:color="auto"/>
      </w:divBdr>
      <w:divsChild>
        <w:div w:id="1442455970">
          <w:marLeft w:val="360"/>
          <w:marRight w:val="0"/>
          <w:marTop w:val="79"/>
          <w:marBottom w:val="0"/>
          <w:divBdr>
            <w:top w:val="none" w:sz="0" w:space="0" w:color="auto"/>
            <w:left w:val="none" w:sz="0" w:space="0" w:color="auto"/>
            <w:bottom w:val="none" w:sz="0" w:space="0" w:color="auto"/>
            <w:right w:val="none" w:sz="0" w:space="0" w:color="auto"/>
          </w:divBdr>
        </w:div>
        <w:div w:id="1522622970">
          <w:marLeft w:val="360"/>
          <w:marRight w:val="0"/>
          <w:marTop w:val="79"/>
          <w:marBottom w:val="0"/>
          <w:divBdr>
            <w:top w:val="none" w:sz="0" w:space="0" w:color="auto"/>
            <w:left w:val="none" w:sz="0" w:space="0" w:color="auto"/>
            <w:bottom w:val="none" w:sz="0" w:space="0" w:color="auto"/>
            <w:right w:val="none" w:sz="0" w:space="0" w:color="auto"/>
          </w:divBdr>
        </w:div>
        <w:div w:id="1703822707">
          <w:marLeft w:val="360"/>
          <w:marRight w:val="0"/>
          <w:marTop w:val="79"/>
          <w:marBottom w:val="0"/>
          <w:divBdr>
            <w:top w:val="none" w:sz="0" w:space="0" w:color="auto"/>
            <w:left w:val="none" w:sz="0" w:space="0" w:color="auto"/>
            <w:bottom w:val="none" w:sz="0" w:space="0" w:color="auto"/>
            <w:right w:val="none" w:sz="0" w:space="0" w:color="auto"/>
          </w:divBdr>
        </w:div>
        <w:div w:id="1743021154">
          <w:marLeft w:val="360"/>
          <w:marRight w:val="0"/>
          <w:marTop w:val="79"/>
          <w:marBottom w:val="0"/>
          <w:divBdr>
            <w:top w:val="none" w:sz="0" w:space="0" w:color="auto"/>
            <w:left w:val="none" w:sz="0" w:space="0" w:color="auto"/>
            <w:bottom w:val="none" w:sz="0" w:space="0" w:color="auto"/>
            <w:right w:val="none" w:sz="0" w:space="0" w:color="auto"/>
          </w:divBdr>
        </w:div>
      </w:divsChild>
    </w:div>
    <w:div w:id="795872232">
      <w:bodyDiv w:val="1"/>
      <w:marLeft w:val="0"/>
      <w:marRight w:val="0"/>
      <w:marTop w:val="0"/>
      <w:marBottom w:val="0"/>
      <w:divBdr>
        <w:top w:val="none" w:sz="0" w:space="0" w:color="auto"/>
        <w:left w:val="none" w:sz="0" w:space="0" w:color="auto"/>
        <w:bottom w:val="none" w:sz="0" w:space="0" w:color="auto"/>
        <w:right w:val="none" w:sz="0" w:space="0" w:color="auto"/>
      </w:divBdr>
    </w:div>
    <w:div w:id="796677784">
      <w:bodyDiv w:val="1"/>
      <w:marLeft w:val="0"/>
      <w:marRight w:val="0"/>
      <w:marTop w:val="0"/>
      <w:marBottom w:val="0"/>
      <w:divBdr>
        <w:top w:val="none" w:sz="0" w:space="0" w:color="auto"/>
        <w:left w:val="none" w:sz="0" w:space="0" w:color="auto"/>
        <w:bottom w:val="none" w:sz="0" w:space="0" w:color="auto"/>
        <w:right w:val="none" w:sz="0" w:space="0" w:color="auto"/>
      </w:divBdr>
      <w:divsChild>
        <w:div w:id="1410157571">
          <w:marLeft w:val="0"/>
          <w:marRight w:val="0"/>
          <w:marTop w:val="0"/>
          <w:marBottom w:val="0"/>
          <w:divBdr>
            <w:top w:val="none" w:sz="0" w:space="0" w:color="auto"/>
            <w:left w:val="none" w:sz="0" w:space="0" w:color="auto"/>
            <w:bottom w:val="none" w:sz="0" w:space="0" w:color="auto"/>
            <w:right w:val="none" w:sz="0" w:space="0" w:color="auto"/>
          </w:divBdr>
          <w:divsChild>
            <w:div w:id="16702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21676">
      <w:bodyDiv w:val="1"/>
      <w:marLeft w:val="0"/>
      <w:marRight w:val="0"/>
      <w:marTop w:val="0"/>
      <w:marBottom w:val="0"/>
      <w:divBdr>
        <w:top w:val="none" w:sz="0" w:space="0" w:color="auto"/>
        <w:left w:val="none" w:sz="0" w:space="0" w:color="auto"/>
        <w:bottom w:val="none" w:sz="0" w:space="0" w:color="auto"/>
        <w:right w:val="none" w:sz="0" w:space="0" w:color="auto"/>
      </w:divBdr>
      <w:divsChild>
        <w:div w:id="1800147630">
          <w:marLeft w:val="300"/>
          <w:marRight w:val="300"/>
          <w:marTop w:val="0"/>
          <w:marBottom w:val="0"/>
          <w:divBdr>
            <w:top w:val="none" w:sz="0" w:space="0" w:color="auto"/>
            <w:left w:val="none" w:sz="0" w:space="0" w:color="auto"/>
            <w:bottom w:val="none" w:sz="0" w:space="0" w:color="auto"/>
            <w:right w:val="none" w:sz="0" w:space="0" w:color="auto"/>
          </w:divBdr>
          <w:divsChild>
            <w:div w:id="1194418662">
              <w:marLeft w:val="0"/>
              <w:marRight w:val="0"/>
              <w:marTop w:val="0"/>
              <w:marBottom w:val="150"/>
              <w:divBdr>
                <w:top w:val="none" w:sz="0" w:space="0" w:color="auto"/>
                <w:left w:val="none" w:sz="0" w:space="0" w:color="auto"/>
                <w:bottom w:val="none" w:sz="0" w:space="0" w:color="auto"/>
                <w:right w:val="none" w:sz="0" w:space="0" w:color="auto"/>
              </w:divBdr>
              <w:divsChild>
                <w:div w:id="8596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134">
      <w:bodyDiv w:val="1"/>
      <w:marLeft w:val="0"/>
      <w:marRight w:val="0"/>
      <w:marTop w:val="0"/>
      <w:marBottom w:val="0"/>
      <w:divBdr>
        <w:top w:val="none" w:sz="0" w:space="0" w:color="auto"/>
        <w:left w:val="none" w:sz="0" w:space="0" w:color="auto"/>
        <w:bottom w:val="none" w:sz="0" w:space="0" w:color="auto"/>
        <w:right w:val="none" w:sz="0" w:space="0" w:color="auto"/>
      </w:divBdr>
      <w:divsChild>
        <w:div w:id="1048140400">
          <w:marLeft w:val="300"/>
          <w:marRight w:val="300"/>
          <w:marTop w:val="0"/>
          <w:marBottom w:val="0"/>
          <w:divBdr>
            <w:top w:val="none" w:sz="0" w:space="0" w:color="auto"/>
            <w:left w:val="none" w:sz="0" w:space="0" w:color="auto"/>
            <w:bottom w:val="none" w:sz="0" w:space="0" w:color="auto"/>
            <w:right w:val="none" w:sz="0" w:space="0" w:color="auto"/>
          </w:divBdr>
          <w:divsChild>
            <w:div w:id="884173503">
              <w:marLeft w:val="0"/>
              <w:marRight w:val="0"/>
              <w:marTop w:val="0"/>
              <w:marBottom w:val="150"/>
              <w:divBdr>
                <w:top w:val="none" w:sz="0" w:space="0" w:color="auto"/>
                <w:left w:val="none" w:sz="0" w:space="0" w:color="auto"/>
                <w:bottom w:val="none" w:sz="0" w:space="0" w:color="auto"/>
                <w:right w:val="none" w:sz="0" w:space="0" w:color="auto"/>
              </w:divBdr>
              <w:divsChild>
                <w:div w:id="169951391">
                  <w:marLeft w:val="0"/>
                  <w:marRight w:val="0"/>
                  <w:marTop w:val="0"/>
                  <w:marBottom w:val="0"/>
                  <w:divBdr>
                    <w:top w:val="none" w:sz="0" w:space="0" w:color="auto"/>
                    <w:left w:val="none" w:sz="0" w:space="0" w:color="auto"/>
                    <w:bottom w:val="none" w:sz="0" w:space="0" w:color="auto"/>
                    <w:right w:val="none" w:sz="0" w:space="0" w:color="auto"/>
                  </w:divBdr>
                  <w:divsChild>
                    <w:div w:id="1118840738">
                      <w:marLeft w:val="0"/>
                      <w:marRight w:val="0"/>
                      <w:marTop w:val="0"/>
                      <w:marBottom w:val="0"/>
                      <w:divBdr>
                        <w:top w:val="none" w:sz="0" w:space="0" w:color="auto"/>
                        <w:left w:val="none" w:sz="0" w:space="0" w:color="auto"/>
                        <w:bottom w:val="none" w:sz="0" w:space="0" w:color="auto"/>
                        <w:right w:val="none" w:sz="0" w:space="0" w:color="auto"/>
                      </w:divBdr>
                      <w:divsChild>
                        <w:div w:id="1353334683">
                          <w:marLeft w:val="0"/>
                          <w:marRight w:val="0"/>
                          <w:marTop w:val="0"/>
                          <w:marBottom w:val="0"/>
                          <w:divBdr>
                            <w:top w:val="none" w:sz="0" w:space="0" w:color="auto"/>
                            <w:left w:val="none" w:sz="0" w:space="0" w:color="auto"/>
                            <w:bottom w:val="none" w:sz="0" w:space="0" w:color="auto"/>
                            <w:right w:val="none" w:sz="0" w:space="0" w:color="auto"/>
                          </w:divBdr>
                          <w:divsChild>
                            <w:div w:id="13596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903761">
      <w:bodyDiv w:val="1"/>
      <w:marLeft w:val="0"/>
      <w:marRight w:val="0"/>
      <w:marTop w:val="0"/>
      <w:marBottom w:val="0"/>
      <w:divBdr>
        <w:top w:val="none" w:sz="0" w:space="0" w:color="auto"/>
        <w:left w:val="none" w:sz="0" w:space="0" w:color="auto"/>
        <w:bottom w:val="none" w:sz="0" w:space="0" w:color="auto"/>
        <w:right w:val="none" w:sz="0" w:space="0" w:color="auto"/>
      </w:divBdr>
      <w:divsChild>
        <w:div w:id="1897885882">
          <w:marLeft w:val="300"/>
          <w:marRight w:val="300"/>
          <w:marTop w:val="0"/>
          <w:marBottom w:val="0"/>
          <w:divBdr>
            <w:top w:val="none" w:sz="0" w:space="0" w:color="auto"/>
            <w:left w:val="none" w:sz="0" w:space="0" w:color="auto"/>
            <w:bottom w:val="none" w:sz="0" w:space="0" w:color="auto"/>
            <w:right w:val="none" w:sz="0" w:space="0" w:color="auto"/>
          </w:divBdr>
          <w:divsChild>
            <w:div w:id="476459094">
              <w:marLeft w:val="0"/>
              <w:marRight w:val="0"/>
              <w:marTop w:val="0"/>
              <w:marBottom w:val="150"/>
              <w:divBdr>
                <w:top w:val="none" w:sz="0" w:space="0" w:color="auto"/>
                <w:left w:val="none" w:sz="0" w:space="0" w:color="auto"/>
                <w:bottom w:val="none" w:sz="0" w:space="0" w:color="auto"/>
                <w:right w:val="none" w:sz="0" w:space="0" w:color="auto"/>
              </w:divBdr>
              <w:divsChild>
                <w:div w:id="1975796107">
                  <w:marLeft w:val="0"/>
                  <w:marRight w:val="0"/>
                  <w:marTop w:val="0"/>
                  <w:marBottom w:val="0"/>
                  <w:divBdr>
                    <w:top w:val="none" w:sz="0" w:space="0" w:color="auto"/>
                    <w:left w:val="none" w:sz="0" w:space="0" w:color="auto"/>
                    <w:bottom w:val="none" w:sz="0" w:space="0" w:color="auto"/>
                    <w:right w:val="none" w:sz="0" w:space="0" w:color="auto"/>
                  </w:divBdr>
                  <w:divsChild>
                    <w:div w:id="873806064">
                      <w:marLeft w:val="0"/>
                      <w:marRight w:val="0"/>
                      <w:marTop w:val="0"/>
                      <w:marBottom w:val="0"/>
                      <w:divBdr>
                        <w:top w:val="none" w:sz="0" w:space="0" w:color="auto"/>
                        <w:left w:val="none" w:sz="0" w:space="0" w:color="auto"/>
                        <w:bottom w:val="none" w:sz="0" w:space="0" w:color="auto"/>
                        <w:right w:val="none" w:sz="0" w:space="0" w:color="auto"/>
                      </w:divBdr>
                      <w:divsChild>
                        <w:div w:id="1606379425">
                          <w:marLeft w:val="0"/>
                          <w:marRight w:val="0"/>
                          <w:marTop w:val="0"/>
                          <w:marBottom w:val="0"/>
                          <w:divBdr>
                            <w:top w:val="none" w:sz="0" w:space="0" w:color="auto"/>
                            <w:left w:val="none" w:sz="0" w:space="0" w:color="auto"/>
                            <w:bottom w:val="none" w:sz="0" w:space="0" w:color="auto"/>
                            <w:right w:val="none" w:sz="0" w:space="0" w:color="auto"/>
                          </w:divBdr>
                          <w:divsChild>
                            <w:div w:id="802845583">
                              <w:marLeft w:val="0"/>
                              <w:marRight w:val="0"/>
                              <w:marTop w:val="0"/>
                              <w:marBottom w:val="0"/>
                              <w:divBdr>
                                <w:top w:val="none" w:sz="0" w:space="0" w:color="auto"/>
                                <w:left w:val="none" w:sz="0" w:space="0" w:color="auto"/>
                                <w:bottom w:val="none" w:sz="0" w:space="0" w:color="auto"/>
                                <w:right w:val="none" w:sz="0" w:space="0" w:color="auto"/>
                              </w:divBdr>
                              <w:divsChild>
                                <w:div w:id="674528337">
                                  <w:marLeft w:val="0"/>
                                  <w:marRight w:val="0"/>
                                  <w:marTop w:val="0"/>
                                  <w:marBottom w:val="0"/>
                                  <w:divBdr>
                                    <w:top w:val="none" w:sz="0" w:space="0" w:color="auto"/>
                                    <w:left w:val="none" w:sz="0" w:space="0" w:color="auto"/>
                                    <w:bottom w:val="none" w:sz="0" w:space="0" w:color="auto"/>
                                    <w:right w:val="none" w:sz="0" w:space="0" w:color="auto"/>
                                  </w:divBdr>
                                </w:div>
                                <w:div w:id="1248493228">
                                  <w:marLeft w:val="0"/>
                                  <w:marRight w:val="0"/>
                                  <w:marTop w:val="0"/>
                                  <w:marBottom w:val="0"/>
                                  <w:divBdr>
                                    <w:top w:val="none" w:sz="0" w:space="0" w:color="auto"/>
                                    <w:left w:val="none" w:sz="0" w:space="0" w:color="auto"/>
                                    <w:bottom w:val="none" w:sz="0" w:space="0" w:color="auto"/>
                                    <w:right w:val="none" w:sz="0" w:space="0" w:color="auto"/>
                                  </w:divBdr>
                                </w:div>
                                <w:div w:id="1824815775">
                                  <w:marLeft w:val="0"/>
                                  <w:marRight w:val="0"/>
                                  <w:marTop w:val="0"/>
                                  <w:marBottom w:val="0"/>
                                  <w:divBdr>
                                    <w:top w:val="none" w:sz="0" w:space="0" w:color="auto"/>
                                    <w:left w:val="none" w:sz="0" w:space="0" w:color="auto"/>
                                    <w:bottom w:val="none" w:sz="0" w:space="0" w:color="auto"/>
                                    <w:right w:val="none" w:sz="0" w:space="0" w:color="auto"/>
                                  </w:divBdr>
                                </w:div>
                              </w:divsChild>
                            </w:div>
                            <w:div w:id="18504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5448">
      <w:bodyDiv w:val="1"/>
      <w:marLeft w:val="0"/>
      <w:marRight w:val="0"/>
      <w:marTop w:val="0"/>
      <w:marBottom w:val="0"/>
      <w:divBdr>
        <w:top w:val="none" w:sz="0" w:space="0" w:color="auto"/>
        <w:left w:val="none" w:sz="0" w:space="0" w:color="auto"/>
        <w:bottom w:val="none" w:sz="0" w:space="0" w:color="auto"/>
        <w:right w:val="none" w:sz="0" w:space="0" w:color="auto"/>
      </w:divBdr>
      <w:divsChild>
        <w:div w:id="1833644096">
          <w:marLeft w:val="0"/>
          <w:marRight w:val="0"/>
          <w:marTop w:val="0"/>
          <w:marBottom w:val="0"/>
          <w:divBdr>
            <w:top w:val="none" w:sz="0" w:space="0" w:color="auto"/>
            <w:left w:val="none" w:sz="0" w:space="0" w:color="auto"/>
            <w:bottom w:val="none" w:sz="0" w:space="0" w:color="auto"/>
            <w:right w:val="none" w:sz="0" w:space="0" w:color="auto"/>
          </w:divBdr>
          <w:divsChild>
            <w:div w:id="9954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8016">
      <w:bodyDiv w:val="1"/>
      <w:marLeft w:val="0"/>
      <w:marRight w:val="0"/>
      <w:marTop w:val="0"/>
      <w:marBottom w:val="0"/>
      <w:divBdr>
        <w:top w:val="none" w:sz="0" w:space="0" w:color="auto"/>
        <w:left w:val="none" w:sz="0" w:space="0" w:color="auto"/>
        <w:bottom w:val="none" w:sz="0" w:space="0" w:color="auto"/>
        <w:right w:val="none" w:sz="0" w:space="0" w:color="auto"/>
      </w:divBdr>
    </w:div>
    <w:div w:id="812913695">
      <w:bodyDiv w:val="1"/>
      <w:marLeft w:val="0"/>
      <w:marRight w:val="0"/>
      <w:marTop w:val="0"/>
      <w:marBottom w:val="0"/>
      <w:divBdr>
        <w:top w:val="none" w:sz="0" w:space="0" w:color="auto"/>
        <w:left w:val="none" w:sz="0" w:space="0" w:color="auto"/>
        <w:bottom w:val="none" w:sz="0" w:space="0" w:color="auto"/>
        <w:right w:val="none" w:sz="0" w:space="0" w:color="auto"/>
      </w:divBdr>
      <w:divsChild>
        <w:div w:id="73861926">
          <w:marLeft w:val="0"/>
          <w:marRight w:val="0"/>
          <w:marTop w:val="0"/>
          <w:marBottom w:val="0"/>
          <w:divBdr>
            <w:top w:val="none" w:sz="0" w:space="0" w:color="auto"/>
            <w:left w:val="none" w:sz="0" w:space="0" w:color="auto"/>
            <w:bottom w:val="none" w:sz="0" w:space="0" w:color="auto"/>
            <w:right w:val="none" w:sz="0" w:space="0" w:color="auto"/>
          </w:divBdr>
          <w:divsChild>
            <w:div w:id="9983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6037">
      <w:bodyDiv w:val="1"/>
      <w:marLeft w:val="0"/>
      <w:marRight w:val="0"/>
      <w:marTop w:val="0"/>
      <w:marBottom w:val="0"/>
      <w:divBdr>
        <w:top w:val="none" w:sz="0" w:space="0" w:color="auto"/>
        <w:left w:val="none" w:sz="0" w:space="0" w:color="auto"/>
        <w:bottom w:val="none" w:sz="0" w:space="0" w:color="auto"/>
        <w:right w:val="none" w:sz="0" w:space="0" w:color="auto"/>
      </w:divBdr>
    </w:div>
    <w:div w:id="819268682">
      <w:bodyDiv w:val="1"/>
      <w:marLeft w:val="0"/>
      <w:marRight w:val="0"/>
      <w:marTop w:val="0"/>
      <w:marBottom w:val="0"/>
      <w:divBdr>
        <w:top w:val="none" w:sz="0" w:space="0" w:color="auto"/>
        <w:left w:val="none" w:sz="0" w:space="0" w:color="auto"/>
        <w:bottom w:val="none" w:sz="0" w:space="0" w:color="auto"/>
        <w:right w:val="none" w:sz="0" w:space="0" w:color="auto"/>
      </w:divBdr>
      <w:divsChild>
        <w:div w:id="55207731">
          <w:marLeft w:val="0"/>
          <w:marRight w:val="0"/>
          <w:marTop w:val="0"/>
          <w:marBottom w:val="0"/>
          <w:divBdr>
            <w:top w:val="none" w:sz="0" w:space="0" w:color="auto"/>
            <w:left w:val="none" w:sz="0" w:space="0" w:color="auto"/>
            <w:bottom w:val="none" w:sz="0" w:space="0" w:color="auto"/>
            <w:right w:val="none" w:sz="0" w:space="0" w:color="auto"/>
          </w:divBdr>
          <w:divsChild>
            <w:div w:id="1606842562">
              <w:marLeft w:val="0"/>
              <w:marRight w:val="0"/>
              <w:marTop w:val="0"/>
              <w:marBottom w:val="0"/>
              <w:divBdr>
                <w:top w:val="none" w:sz="0" w:space="0" w:color="auto"/>
                <w:left w:val="none" w:sz="0" w:space="0" w:color="auto"/>
                <w:bottom w:val="none" w:sz="0" w:space="0" w:color="auto"/>
                <w:right w:val="none" w:sz="0" w:space="0" w:color="auto"/>
              </w:divBdr>
            </w:div>
            <w:div w:id="649022037">
              <w:marLeft w:val="0"/>
              <w:marRight w:val="0"/>
              <w:marTop w:val="0"/>
              <w:marBottom w:val="0"/>
              <w:divBdr>
                <w:top w:val="none" w:sz="0" w:space="0" w:color="auto"/>
                <w:left w:val="none" w:sz="0" w:space="0" w:color="auto"/>
                <w:bottom w:val="none" w:sz="0" w:space="0" w:color="auto"/>
                <w:right w:val="none" w:sz="0" w:space="0" w:color="auto"/>
              </w:divBdr>
            </w:div>
            <w:div w:id="1982495915">
              <w:marLeft w:val="0"/>
              <w:marRight w:val="0"/>
              <w:marTop w:val="0"/>
              <w:marBottom w:val="0"/>
              <w:divBdr>
                <w:top w:val="none" w:sz="0" w:space="0" w:color="auto"/>
                <w:left w:val="none" w:sz="0" w:space="0" w:color="auto"/>
                <w:bottom w:val="none" w:sz="0" w:space="0" w:color="auto"/>
                <w:right w:val="none" w:sz="0" w:space="0" w:color="auto"/>
              </w:divBdr>
            </w:div>
            <w:div w:id="14804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407">
      <w:bodyDiv w:val="1"/>
      <w:marLeft w:val="0"/>
      <w:marRight w:val="0"/>
      <w:marTop w:val="0"/>
      <w:marBottom w:val="0"/>
      <w:divBdr>
        <w:top w:val="none" w:sz="0" w:space="0" w:color="auto"/>
        <w:left w:val="none" w:sz="0" w:space="0" w:color="auto"/>
        <w:bottom w:val="none" w:sz="0" w:space="0" w:color="auto"/>
        <w:right w:val="none" w:sz="0" w:space="0" w:color="auto"/>
      </w:divBdr>
      <w:divsChild>
        <w:div w:id="1577588178">
          <w:marLeft w:val="272"/>
          <w:marRight w:val="272"/>
          <w:marTop w:val="0"/>
          <w:marBottom w:val="0"/>
          <w:divBdr>
            <w:top w:val="none" w:sz="0" w:space="0" w:color="auto"/>
            <w:left w:val="none" w:sz="0" w:space="0" w:color="auto"/>
            <w:bottom w:val="none" w:sz="0" w:space="0" w:color="auto"/>
            <w:right w:val="none" w:sz="0" w:space="0" w:color="auto"/>
          </w:divBdr>
          <w:divsChild>
            <w:div w:id="1386836449">
              <w:marLeft w:val="0"/>
              <w:marRight w:val="0"/>
              <w:marTop w:val="0"/>
              <w:marBottom w:val="136"/>
              <w:divBdr>
                <w:top w:val="none" w:sz="0" w:space="0" w:color="auto"/>
                <w:left w:val="none" w:sz="0" w:space="0" w:color="auto"/>
                <w:bottom w:val="none" w:sz="0" w:space="0" w:color="auto"/>
                <w:right w:val="none" w:sz="0" w:space="0" w:color="auto"/>
              </w:divBdr>
              <w:divsChild>
                <w:div w:id="2038657538">
                  <w:marLeft w:val="0"/>
                  <w:marRight w:val="0"/>
                  <w:marTop w:val="0"/>
                  <w:marBottom w:val="0"/>
                  <w:divBdr>
                    <w:top w:val="none" w:sz="0" w:space="0" w:color="auto"/>
                    <w:left w:val="none" w:sz="0" w:space="0" w:color="auto"/>
                    <w:bottom w:val="none" w:sz="0" w:space="0" w:color="auto"/>
                    <w:right w:val="none" w:sz="0" w:space="0" w:color="auto"/>
                  </w:divBdr>
                  <w:divsChild>
                    <w:div w:id="929630352">
                      <w:marLeft w:val="0"/>
                      <w:marRight w:val="0"/>
                      <w:marTop w:val="0"/>
                      <w:marBottom w:val="0"/>
                      <w:divBdr>
                        <w:top w:val="none" w:sz="0" w:space="0" w:color="auto"/>
                        <w:left w:val="none" w:sz="0" w:space="0" w:color="auto"/>
                        <w:bottom w:val="none" w:sz="0" w:space="0" w:color="auto"/>
                        <w:right w:val="none" w:sz="0" w:space="0" w:color="auto"/>
                      </w:divBdr>
                      <w:divsChild>
                        <w:div w:id="3829715">
                          <w:marLeft w:val="0"/>
                          <w:marRight w:val="0"/>
                          <w:marTop w:val="0"/>
                          <w:marBottom w:val="0"/>
                          <w:divBdr>
                            <w:top w:val="none" w:sz="0" w:space="0" w:color="auto"/>
                            <w:left w:val="none" w:sz="0" w:space="0" w:color="auto"/>
                            <w:bottom w:val="none" w:sz="0" w:space="0" w:color="auto"/>
                            <w:right w:val="none" w:sz="0" w:space="0" w:color="auto"/>
                          </w:divBdr>
                          <w:divsChild>
                            <w:div w:id="215170386">
                              <w:marLeft w:val="0"/>
                              <w:marRight w:val="0"/>
                              <w:marTop w:val="0"/>
                              <w:marBottom w:val="0"/>
                              <w:divBdr>
                                <w:top w:val="none" w:sz="0" w:space="0" w:color="auto"/>
                                <w:left w:val="none" w:sz="0" w:space="0" w:color="auto"/>
                                <w:bottom w:val="none" w:sz="0" w:space="0" w:color="auto"/>
                                <w:right w:val="none" w:sz="0" w:space="0" w:color="auto"/>
                              </w:divBdr>
                              <w:divsChild>
                                <w:div w:id="314072145">
                                  <w:marLeft w:val="0"/>
                                  <w:marRight w:val="0"/>
                                  <w:marTop w:val="0"/>
                                  <w:marBottom w:val="0"/>
                                  <w:divBdr>
                                    <w:top w:val="none" w:sz="0" w:space="0" w:color="auto"/>
                                    <w:left w:val="none" w:sz="0" w:space="0" w:color="auto"/>
                                    <w:bottom w:val="none" w:sz="0" w:space="0" w:color="auto"/>
                                    <w:right w:val="none" w:sz="0" w:space="0" w:color="auto"/>
                                  </w:divBdr>
                                </w:div>
                                <w:div w:id="452863906">
                                  <w:marLeft w:val="0"/>
                                  <w:marRight w:val="0"/>
                                  <w:marTop w:val="0"/>
                                  <w:marBottom w:val="0"/>
                                  <w:divBdr>
                                    <w:top w:val="none" w:sz="0" w:space="0" w:color="auto"/>
                                    <w:left w:val="none" w:sz="0" w:space="0" w:color="auto"/>
                                    <w:bottom w:val="none" w:sz="0" w:space="0" w:color="auto"/>
                                    <w:right w:val="none" w:sz="0" w:space="0" w:color="auto"/>
                                  </w:divBdr>
                                </w:div>
                                <w:div w:id="771971128">
                                  <w:marLeft w:val="0"/>
                                  <w:marRight w:val="0"/>
                                  <w:marTop w:val="0"/>
                                  <w:marBottom w:val="0"/>
                                  <w:divBdr>
                                    <w:top w:val="none" w:sz="0" w:space="0" w:color="auto"/>
                                    <w:left w:val="none" w:sz="0" w:space="0" w:color="auto"/>
                                    <w:bottom w:val="none" w:sz="0" w:space="0" w:color="auto"/>
                                    <w:right w:val="none" w:sz="0" w:space="0" w:color="auto"/>
                                  </w:divBdr>
                                </w:div>
                                <w:div w:id="1347053476">
                                  <w:marLeft w:val="0"/>
                                  <w:marRight w:val="0"/>
                                  <w:marTop w:val="0"/>
                                  <w:marBottom w:val="0"/>
                                  <w:divBdr>
                                    <w:top w:val="none" w:sz="0" w:space="0" w:color="auto"/>
                                    <w:left w:val="none" w:sz="0" w:space="0" w:color="auto"/>
                                    <w:bottom w:val="none" w:sz="0" w:space="0" w:color="auto"/>
                                    <w:right w:val="none" w:sz="0" w:space="0" w:color="auto"/>
                                  </w:divBdr>
                                </w:div>
                              </w:divsChild>
                            </w:div>
                            <w:div w:id="599601301">
                              <w:marLeft w:val="0"/>
                              <w:marRight w:val="0"/>
                              <w:marTop w:val="0"/>
                              <w:marBottom w:val="0"/>
                              <w:divBdr>
                                <w:top w:val="none" w:sz="0" w:space="0" w:color="auto"/>
                                <w:left w:val="none" w:sz="0" w:space="0" w:color="auto"/>
                                <w:bottom w:val="none" w:sz="0" w:space="0" w:color="auto"/>
                                <w:right w:val="none" w:sz="0" w:space="0" w:color="auto"/>
                              </w:divBdr>
                              <w:divsChild>
                                <w:div w:id="51466876">
                                  <w:marLeft w:val="0"/>
                                  <w:marRight w:val="0"/>
                                  <w:marTop w:val="0"/>
                                  <w:marBottom w:val="0"/>
                                  <w:divBdr>
                                    <w:top w:val="none" w:sz="0" w:space="0" w:color="auto"/>
                                    <w:left w:val="none" w:sz="0" w:space="0" w:color="auto"/>
                                    <w:bottom w:val="none" w:sz="0" w:space="0" w:color="auto"/>
                                    <w:right w:val="none" w:sz="0" w:space="0" w:color="auto"/>
                                  </w:divBdr>
                                </w:div>
                                <w:div w:id="146285083">
                                  <w:marLeft w:val="0"/>
                                  <w:marRight w:val="0"/>
                                  <w:marTop w:val="0"/>
                                  <w:marBottom w:val="0"/>
                                  <w:divBdr>
                                    <w:top w:val="none" w:sz="0" w:space="0" w:color="auto"/>
                                    <w:left w:val="none" w:sz="0" w:space="0" w:color="auto"/>
                                    <w:bottom w:val="none" w:sz="0" w:space="0" w:color="auto"/>
                                    <w:right w:val="none" w:sz="0" w:space="0" w:color="auto"/>
                                  </w:divBdr>
                                </w:div>
                                <w:div w:id="177159384">
                                  <w:marLeft w:val="0"/>
                                  <w:marRight w:val="0"/>
                                  <w:marTop w:val="0"/>
                                  <w:marBottom w:val="0"/>
                                  <w:divBdr>
                                    <w:top w:val="none" w:sz="0" w:space="0" w:color="auto"/>
                                    <w:left w:val="none" w:sz="0" w:space="0" w:color="auto"/>
                                    <w:bottom w:val="none" w:sz="0" w:space="0" w:color="auto"/>
                                    <w:right w:val="none" w:sz="0" w:space="0" w:color="auto"/>
                                  </w:divBdr>
                                </w:div>
                                <w:div w:id="869488198">
                                  <w:marLeft w:val="0"/>
                                  <w:marRight w:val="0"/>
                                  <w:marTop w:val="0"/>
                                  <w:marBottom w:val="0"/>
                                  <w:divBdr>
                                    <w:top w:val="none" w:sz="0" w:space="0" w:color="auto"/>
                                    <w:left w:val="none" w:sz="0" w:space="0" w:color="auto"/>
                                    <w:bottom w:val="none" w:sz="0" w:space="0" w:color="auto"/>
                                    <w:right w:val="none" w:sz="0" w:space="0" w:color="auto"/>
                                  </w:divBdr>
                                </w:div>
                                <w:div w:id="963921954">
                                  <w:marLeft w:val="0"/>
                                  <w:marRight w:val="0"/>
                                  <w:marTop w:val="0"/>
                                  <w:marBottom w:val="0"/>
                                  <w:divBdr>
                                    <w:top w:val="none" w:sz="0" w:space="0" w:color="auto"/>
                                    <w:left w:val="none" w:sz="0" w:space="0" w:color="auto"/>
                                    <w:bottom w:val="none" w:sz="0" w:space="0" w:color="auto"/>
                                    <w:right w:val="none" w:sz="0" w:space="0" w:color="auto"/>
                                  </w:divBdr>
                                </w:div>
                                <w:div w:id="1488669572">
                                  <w:marLeft w:val="0"/>
                                  <w:marRight w:val="0"/>
                                  <w:marTop w:val="0"/>
                                  <w:marBottom w:val="0"/>
                                  <w:divBdr>
                                    <w:top w:val="none" w:sz="0" w:space="0" w:color="auto"/>
                                    <w:left w:val="none" w:sz="0" w:space="0" w:color="auto"/>
                                    <w:bottom w:val="none" w:sz="0" w:space="0" w:color="auto"/>
                                    <w:right w:val="none" w:sz="0" w:space="0" w:color="auto"/>
                                  </w:divBdr>
                                </w:div>
                                <w:div w:id="1692996050">
                                  <w:marLeft w:val="0"/>
                                  <w:marRight w:val="0"/>
                                  <w:marTop w:val="0"/>
                                  <w:marBottom w:val="0"/>
                                  <w:divBdr>
                                    <w:top w:val="none" w:sz="0" w:space="0" w:color="auto"/>
                                    <w:left w:val="none" w:sz="0" w:space="0" w:color="auto"/>
                                    <w:bottom w:val="none" w:sz="0" w:space="0" w:color="auto"/>
                                    <w:right w:val="none" w:sz="0" w:space="0" w:color="auto"/>
                                  </w:divBdr>
                                </w:div>
                                <w:div w:id="1789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833">
                          <w:marLeft w:val="0"/>
                          <w:marRight w:val="0"/>
                          <w:marTop w:val="0"/>
                          <w:marBottom w:val="0"/>
                          <w:divBdr>
                            <w:top w:val="none" w:sz="0" w:space="0" w:color="auto"/>
                            <w:left w:val="none" w:sz="0" w:space="0" w:color="auto"/>
                            <w:bottom w:val="none" w:sz="0" w:space="0" w:color="auto"/>
                            <w:right w:val="none" w:sz="0" w:space="0" w:color="auto"/>
                          </w:divBdr>
                        </w:div>
                        <w:div w:id="24991415">
                          <w:marLeft w:val="0"/>
                          <w:marRight w:val="0"/>
                          <w:marTop w:val="0"/>
                          <w:marBottom w:val="0"/>
                          <w:divBdr>
                            <w:top w:val="none" w:sz="0" w:space="0" w:color="auto"/>
                            <w:left w:val="none" w:sz="0" w:space="0" w:color="auto"/>
                            <w:bottom w:val="none" w:sz="0" w:space="0" w:color="auto"/>
                            <w:right w:val="none" w:sz="0" w:space="0" w:color="auto"/>
                          </w:divBdr>
                        </w:div>
                        <w:div w:id="43213553">
                          <w:marLeft w:val="0"/>
                          <w:marRight w:val="0"/>
                          <w:marTop w:val="0"/>
                          <w:marBottom w:val="0"/>
                          <w:divBdr>
                            <w:top w:val="none" w:sz="0" w:space="0" w:color="auto"/>
                            <w:left w:val="none" w:sz="0" w:space="0" w:color="auto"/>
                            <w:bottom w:val="none" w:sz="0" w:space="0" w:color="auto"/>
                            <w:right w:val="none" w:sz="0" w:space="0" w:color="auto"/>
                          </w:divBdr>
                          <w:divsChild>
                            <w:div w:id="216821405">
                              <w:marLeft w:val="0"/>
                              <w:marRight w:val="0"/>
                              <w:marTop w:val="0"/>
                              <w:marBottom w:val="0"/>
                              <w:divBdr>
                                <w:top w:val="none" w:sz="0" w:space="0" w:color="auto"/>
                                <w:left w:val="none" w:sz="0" w:space="0" w:color="auto"/>
                                <w:bottom w:val="none" w:sz="0" w:space="0" w:color="auto"/>
                                <w:right w:val="none" w:sz="0" w:space="0" w:color="auto"/>
                              </w:divBdr>
                            </w:div>
                            <w:div w:id="339432122">
                              <w:marLeft w:val="0"/>
                              <w:marRight w:val="0"/>
                              <w:marTop w:val="0"/>
                              <w:marBottom w:val="0"/>
                              <w:divBdr>
                                <w:top w:val="none" w:sz="0" w:space="0" w:color="auto"/>
                                <w:left w:val="none" w:sz="0" w:space="0" w:color="auto"/>
                                <w:bottom w:val="none" w:sz="0" w:space="0" w:color="auto"/>
                                <w:right w:val="none" w:sz="0" w:space="0" w:color="auto"/>
                              </w:divBdr>
                            </w:div>
                            <w:div w:id="547297602">
                              <w:marLeft w:val="0"/>
                              <w:marRight w:val="0"/>
                              <w:marTop w:val="0"/>
                              <w:marBottom w:val="0"/>
                              <w:divBdr>
                                <w:top w:val="none" w:sz="0" w:space="0" w:color="auto"/>
                                <w:left w:val="none" w:sz="0" w:space="0" w:color="auto"/>
                                <w:bottom w:val="none" w:sz="0" w:space="0" w:color="auto"/>
                                <w:right w:val="none" w:sz="0" w:space="0" w:color="auto"/>
                              </w:divBdr>
                            </w:div>
                            <w:div w:id="598490220">
                              <w:marLeft w:val="0"/>
                              <w:marRight w:val="0"/>
                              <w:marTop w:val="0"/>
                              <w:marBottom w:val="0"/>
                              <w:divBdr>
                                <w:top w:val="none" w:sz="0" w:space="0" w:color="auto"/>
                                <w:left w:val="none" w:sz="0" w:space="0" w:color="auto"/>
                                <w:bottom w:val="none" w:sz="0" w:space="0" w:color="auto"/>
                                <w:right w:val="none" w:sz="0" w:space="0" w:color="auto"/>
                              </w:divBdr>
                            </w:div>
                            <w:div w:id="1349067227">
                              <w:marLeft w:val="0"/>
                              <w:marRight w:val="0"/>
                              <w:marTop w:val="0"/>
                              <w:marBottom w:val="0"/>
                              <w:divBdr>
                                <w:top w:val="none" w:sz="0" w:space="0" w:color="auto"/>
                                <w:left w:val="none" w:sz="0" w:space="0" w:color="auto"/>
                                <w:bottom w:val="none" w:sz="0" w:space="0" w:color="auto"/>
                                <w:right w:val="none" w:sz="0" w:space="0" w:color="auto"/>
                              </w:divBdr>
                            </w:div>
                            <w:div w:id="1451168782">
                              <w:marLeft w:val="0"/>
                              <w:marRight w:val="0"/>
                              <w:marTop w:val="0"/>
                              <w:marBottom w:val="0"/>
                              <w:divBdr>
                                <w:top w:val="none" w:sz="0" w:space="0" w:color="auto"/>
                                <w:left w:val="none" w:sz="0" w:space="0" w:color="auto"/>
                                <w:bottom w:val="none" w:sz="0" w:space="0" w:color="auto"/>
                                <w:right w:val="none" w:sz="0" w:space="0" w:color="auto"/>
                              </w:divBdr>
                            </w:div>
                            <w:div w:id="1531410907">
                              <w:marLeft w:val="0"/>
                              <w:marRight w:val="0"/>
                              <w:marTop w:val="0"/>
                              <w:marBottom w:val="0"/>
                              <w:divBdr>
                                <w:top w:val="none" w:sz="0" w:space="0" w:color="auto"/>
                                <w:left w:val="none" w:sz="0" w:space="0" w:color="auto"/>
                                <w:bottom w:val="none" w:sz="0" w:space="0" w:color="auto"/>
                                <w:right w:val="none" w:sz="0" w:space="0" w:color="auto"/>
                              </w:divBdr>
                            </w:div>
                            <w:div w:id="1627852488">
                              <w:marLeft w:val="0"/>
                              <w:marRight w:val="0"/>
                              <w:marTop w:val="0"/>
                              <w:marBottom w:val="0"/>
                              <w:divBdr>
                                <w:top w:val="none" w:sz="0" w:space="0" w:color="auto"/>
                                <w:left w:val="none" w:sz="0" w:space="0" w:color="auto"/>
                                <w:bottom w:val="none" w:sz="0" w:space="0" w:color="auto"/>
                                <w:right w:val="none" w:sz="0" w:space="0" w:color="auto"/>
                              </w:divBdr>
                            </w:div>
                            <w:div w:id="1931431028">
                              <w:marLeft w:val="0"/>
                              <w:marRight w:val="0"/>
                              <w:marTop w:val="0"/>
                              <w:marBottom w:val="0"/>
                              <w:divBdr>
                                <w:top w:val="none" w:sz="0" w:space="0" w:color="auto"/>
                                <w:left w:val="none" w:sz="0" w:space="0" w:color="auto"/>
                                <w:bottom w:val="none" w:sz="0" w:space="0" w:color="auto"/>
                                <w:right w:val="none" w:sz="0" w:space="0" w:color="auto"/>
                              </w:divBdr>
                            </w:div>
                            <w:div w:id="2118593626">
                              <w:marLeft w:val="0"/>
                              <w:marRight w:val="0"/>
                              <w:marTop w:val="0"/>
                              <w:marBottom w:val="0"/>
                              <w:divBdr>
                                <w:top w:val="none" w:sz="0" w:space="0" w:color="auto"/>
                                <w:left w:val="none" w:sz="0" w:space="0" w:color="auto"/>
                                <w:bottom w:val="none" w:sz="0" w:space="0" w:color="auto"/>
                                <w:right w:val="none" w:sz="0" w:space="0" w:color="auto"/>
                              </w:divBdr>
                            </w:div>
                          </w:divsChild>
                        </w:div>
                        <w:div w:id="61487560">
                          <w:marLeft w:val="0"/>
                          <w:marRight w:val="0"/>
                          <w:marTop w:val="0"/>
                          <w:marBottom w:val="0"/>
                          <w:divBdr>
                            <w:top w:val="none" w:sz="0" w:space="0" w:color="auto"/>
                            <w:left w:val="none" w:sz="0" w:space="0" w:color="auto"/>
                            <w:bottom w:val="none" w:sz="0" w:space="0" w:color="auto"/>
                            <w:right w:val="none" w:sz="0" w:space="0" w:color="auto"/>
                          </w:divBdr>
                          <w:divsChild>
                            <w:div w:id="1468157220">
                              <w:marLeft w:val="0"/>
                              <w:marRight w:val="0"/>
                              <w:marTop w:val="0"/>
                              <w:marBottom w:val="0"/>
                              <w:divBdr>
                                <w:top w:val="none" w:sz="0" w:space="0" w:color="auto"/>
                                <w:left w:val="none" w:sz="0" w:space="0" w:color="auto"/>
                                <w:bottom w:val="none" w:sz="0" w:space="0" w:color="auto"/>
                                <w:right w:val="none" w:sz="0" w:space="0" w:color="auto"/>
                              </w:divBdr>
                            </w:div>
                            <w:div w:id="1651245996">
                              <w:marLeft w:val="0"/>
                              <w:marRight w:val="0"/>
                              <w:marTop w:val="0"/>
                              <w:marBottom w:val="0"/>
                              <w:divBdr>
                                <w:top w:val="none" w:sz="0" w:space="0" w:color="auto"/>
                                <w:left w:val="none" w:sz="0" w:space="0" w:color="auto"/>
                                <w:bottom w:val="none" w:sz="0" w:space="0" w:color="auto"/>
                                <w:right w:val="none" w:sz="0" w:space="0" w:color="auto"/>
                              </w:divBdr>
                            </w:div>
                          </w:divsChild>
                        </w:div>
                        <w:div w:id="71582734">
                          <w:marLeft w:val="0"/>
                          <w:marRight w:val="0"/>
                          <w:marTop w:val="0"/>
                          <w:marBottom w:val="0"/>
                          <w:divBdr>
                            <w:top w:val="none" w:sz="0" w:space="0" w:color="auto"/>
                            <w:left w:val="none" w:sz="0" w:space="0" w:color="auto"/>
                            <w:bottom w:val="none" w:sz="0" w:space="0" w:color="auto"/>
                            <w:right w:val="none" w:sz="0" w:space="0" w:color="auto"/>
                          </w:divBdr>
                        </w:div>
                        <w:div w:id="305932541">
                          <w:marLeft w:val="0"/>
                          <w:marRight w:val="0"/>
                          <w:marTop w:val="0"/>
                          <w:marBottom w:val="0"/>
                          <w:divBdr>
                            <w:top w:val="none" w:sz="0" w:space="0" w:color="auto"/>
                            <w:left w:val="none" w:sz="0" w:space="0" w:color="auto"/>
                            <w:bottom w:val="none" w:sz="0" w:space="0" w:color="auto"/>
                            <w:right w:val="none" w:sz="0" w:space="0" w:color="auto"/>
                          </w:divBdr>
                          <w:divsChild>
                            <w:div w:id="1454834459">
                              <w:marLeft w:val="0"/>
                              <w:marRight w:val="0"/>
                              <w:marTop w:val="0"/>
                              <w:marBottom w:val="0"/>
                              <w:divBdr>
                                <w:top w:val="none" w:sz="0" w:space="0" w:color="auto"/>
                                <w:left w:val="none" w:sz="0" w:space="0" w:color="auto"/>
                                <w:bottom w:val="none" w:sz="0" w:space="0" w:color="auto"/>
                                <w:right w:val="none" w:sz="0" w:space="0" w:color="auto"/>
                              </w:divBdr>
                              <w:divsChild>
                                <w:div w:id="185022106">
                                  <w:marLeft w:val="0"/>
                                  <w:marRight w:val="0"/>
                                  <w:marTop w:val="0"/>
                                  <w:marBottom w:val="0"/>
                                  <w:divBdr>
                                    <w:top w:val="none" w:sz="0" w:space="0" w:color="auto"/>
                                    <w:left w:val="none" w:sz="0" w:space="0" w:color="auto"/>
                                    <w:bottom w:val="none" w:sz="0" w:space="0" w:color="auto"/>
                                    <w:right w:val="none" w:sz="0" w:space="0" w:color="auto"/>
                                  </w:divBdr>
                                </w:div>
                                <w:div w:id="250093509">
                                  <w:marLeft w:val="0"/>
                                  <w:marRight w:val="0"/>
                                  <w:marTop w:val="0"/>
                                  <w:marBottom w:val="0"/>
                                  <w:divBdr>
                                    <w:top w:val="none" w:sz="0" w:space="0" w:color="auto"/>
                                    <w:left w:val="none" w:sz="0" w:space="0" w:color="auto"/>
                                    <w:bottom w:val="none" w:sz="0" w:space="0" w:color="auto"/>
                                    <w:right w:val="none" w:sz="0" w:space="0" w:color="auto"/>
                                  </w:divBdr>
                                </w:div>
                                <w:div w:id="518932018">
                                  <w:marLeft w:val="0"/>
                                  <w:marRight w:val="0"/>
                                  <w:marTop w:val="0"/>
                                  <w:marBottom w:val="0"/>
                                  <w:divBdr>
                                    <w:top w:val="none" w:sz="0" w:space="0" w:color="auto"/>
                                    <w:left w:val="none" w:sz="0" w:space="0" w:color="auto"/>
                                    <w:bottom w:val="none" w:sz="0" w:space="0" w:color="auto"/>
                                    <w:right w:val="none" w:sz="0" w:space="0" w:color="auto"/>
                                  </w:divBdr>
                                </w:div>
                                <w:div w:id="646203908">
                                  <w:marLeft w:val="0"/>
                                  <w:marRight w:val="0"/>
                                  <w:marTop w:val="0"/>
                                  <w:marBottom w:val="0"/>
                                  <w:divBdr>
                                    <w:top w:val="none" w:sz="0" w:space="0" w:color="auto"/>
                                    <w:left w:val="none" w:sz="0" w:space="0" w:color="auto"/>
                                    <w:bottom w:val="none" w:sz="0" w:space="0" w:color="auto"/>
                                    <w:right w:val="none" w:sz="0" w:space="0" w:color="auto"/>
                                  </w:divBdr>
                                </w:div>
                                <w:div w:id="649288743">
                                  <w:marLeft w:val="0"/>
                                  <w:marRight w:val="0"/>
                                  <w:marTop w:val="0"/>
                                  <w:marBottom w:val="0"/>
                                  <w:divBdr>
                                    <w:top w:val="none" w:sz="0" w:space="0" w:color="auto"/>
                                    <w:left w:val="none" w:sz="0" w:space="0" w:color="auto"/>
                                    <w:bottom w:val="none" w:sz="0" w:space="0" w:color="auto"/>
                                    <w:right w:val="none" w:sz="0" w:space="0" w:color="auto"/>
                                  </w:divBdr>
                                </w:div>
                                <w:div w:id="716973214">
                                  <w:marLeft w:val="0"/>
                                  <w:marRight w:val="0"/>
                                  <w:marTop w:val="0"/>
                                  <w:marBottom w:val="0"/>
                                  <w:divBdr>
                                    <w:top w:val="none" w:sz="0" w:space="0" w:color="auto"/>
                                    <w:left w:val="none" w:sz="0" w:space="0" w:color="auto"/>
                                    <w:bottom w:val="none" w:sz="0" w:space="0" w:color="auto"/>
                                    <w:right w:val="none" w:sz="0" w:space="0" w:color="auto"/>
                                  </w:divBdr>
                                </w:div>
                                <w:div w:id="1418017103">
                                  <w:marLeft w:val="0"/>
                                  <w:marRight w:val="0"/>
                                  <w:marTop w:val="0"/>
                                  <w:marBottom w:val="0"/>
                                  <w:divBdr>
                                    <w:top w:val="none" w:sz="0" w:space="0" w:color="auto"/>
                                    <w:left w:val="none" w:sz="0" w:space="0" w:color="auto"/>
                                    <w:bottom w:val="none" w:sz="0" w:space="0" w:color="auto"/>
                                    <w:right w:val="none" w:sz="0" w:space="0" w:color="auto"/>
                                  </w:divBdr>
                                </w:div>
                                <w:div w:id="1669017757">
                                  <w:marLeft w:val="0"/>
                                  <w:marRight w:val="0"/>
                                  <w:marTop w:val="0"/>
                                  <w:marBottom w:val="0"/>
                                  <w:divBdr>
                                    <w:top w:val="none" w:sz="0" w:space="0" w:color="auto"/>
                                    <w:left w:val="none" w:sz="0" w:space="0" w:color="auto"/>
                                    <w:bottom w:val="none" w:sz="0" w:space="0" w:color="auto"/>
                                    <w:right w:val="none" w:sz="0" w:space="0" w:color="auto"/>
                                  </w:divBdr>
                                </w:div>
                                <w:div w:id="1802262021">
                                  <w:marLeft w:val="0"/>
                                  <w:marRight w:val="0"/>
                                  <w:marTop w:val="0"/>
                                  <w:marBottom w:val="0"/>
                                  <w:divBdr>
                                    <w:top w:val="none" w:sz="0" w:space="0" w:color="auto"/>
                                    <w:left w:val="none" w:sz="0" w:space="0" w:color="auto"/>
                                    <w:bottom w:val="none" w:sz="0" w:space="0" w:color="auto"/>
                                    <w:right w:val="none" w:sz="0" w:space="0" w:color="auto"/>
                                  </w:divBdr>
                                </w:div>
                              </w:divsChild>
                            </w:div>
                            <w:div w:id="1457721129">
                              <w:marLeft w:val="0"/>
                              <w:marRight w:val="0"/>
                              <w:marTop w:val="0"/>
                              <w:marBottom w:val="0"/>
                              <w:divBdr>
                                <w:top w:val="none" w:sz="0" w:space="0" w:color="auto"/>
                                <w:left w:val="none" w:sz="0" w:space="0" w:color="auto"/>
                                <w:bottom w:val="none" w:sz="0" w:space="0" w:color="auto"/>
                                <w:right w:val="none" w:sz="0" w:space="0" w:color="auto"/>
                              </w:divBdr>
                              <w:divsChild>
                                <w:div w:id="751510783">
                                  <w:marLeft w:val="0"/>
                                  <w:marRight w:val="0"/>
                                  <w:marTop w:val="0"/>
                                  <w:marBottom w:val="0"/>
                                  <w:divBdr>
                                    <w:top w:val="none" w:sz="0" w:space="0" w:color="auto"/>
                                    <w:left w:val="none" w:sz="0" w:space="0" w:color="auto"/>
                                    <w:bottom w:val="none" w:sz="0" w:space="0" w:color="auto"/>
                                    <w:right w:val="none" w:sz="0" w:space="0" w:color="auto"/>
                                  </w:divBdr>
                                </w:div>
                                <w:div w:id="13506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60574">
                          <w:marLeft w:val="0"/>
                          <w:marRight w:val="0"/>
                          <w:marTop w:val="0"/>
                          <w:marBottom w:val="0"/>
                          <w:divBdr>
                            <w:top w:val="none" w:sz="0" w:space="0" w:color="auto"/>
                            <w:left w:val="none" w:sz="0" w:space="0" w:color="auto"/>
                            <w:bottom w:val="none" w:sz="0" w:space="0" w:color="auto"/>
                            <w:right w:val="none" w:sz="0" w:space="0" w:color="auto"/>
                          </w:divBdr>
                        </w:div>
                        <w:div w:id="414134500">
                          <w:marLeft w:val="0"/>
                          <w:marRight w:val="0"/>
                          <w:marTop w:val="0"/>
                          <w:marBottom w:val="0"/>
                          <w:divBdr>
                            <w:top w:val="none" w:sz="0" w:space="0" w:color="auto"/>
                            <w:left w:val="none" w:sz="0" w:space="0" w:color="auto"/>
                            <w:bottom w:val="none" w:sz="0" w:space="0" w:color="auto"/>
                            <w:right w:val="none" w:sz="0" w:space="0" w:color="auto"/>
                          </w:divBdr>
                        </w:div>
                        <w:div w:id="510291560">
                          <w:marLeft w:val="0"/>
                          <w:marRight w:val="0"/>
                          <w:marTop w:val="0"/>
                          <w:marBottom w:val="0"/>
                          <w:divBdr>
                            <w:top w:val="none" w:sz="0" w:space="0" w:color="auto"/>
                            <w:left w:val="none" w:sz="0" w:space="0" w:color="auto"/>
                            <w:bottom w:val="none" w:sz="0" w:space="0" w:color="auto"/>
                            <w:right w:val="none" w:sz="0" w:space="0" w:color="auto"/>
                          </w:divBdr>
                        </w:div>
                        <w:div w:id="524757101">
                          <w:marLeft w:val="0"/>
                          <w:marRight w:val="0"/>
                          <w:marTop w:val="0"/>
                          <w:marBottom w:val="0"/>
                          <w:divBdr>
                            <w:top w:val="none" w:sz="0" w:space="0" w:color="auto"/>
                            <w:left w:val="none" w:sz="0" w:space="0" w:color="auto"/>
                            <w:bottom w:val="none" w:sz="0" w:space="0" w:color="auto"/>
                            <w:right w:val="none" w:sz="0" w:space="0" w:color="auto"/>
                          </w:divBdr>
                        </w:div>
                        <w:div w:id="846554401">
                          <w:marLeft w:val="0"/>
                          <w:marRight w:val="0"/>
                          <w:marTop w:val="0"/>
                          <w:marBottom w:val="0"/>
                          <w:divBdr>
                            <w:top w:val="none" w:sz="0" w:space="0" w:color="auto"/>
                            <w:left w:val="none" w:sz="0" w:space="0" w:color="auto"/>
                            <w:bottom w:val="none" w:sz="0" w:space="0" w:color="auto"/>
                            <w:right w:val="none" w:sz="0" w:space="0" w:color="auto"/>
                          </w:divBdr>
                        </w:div>
                        <w:div w:id="872110341">
                          <w:marLeft w:val="0"/>
                          <w:marRight w:val="0"/>
                          <w:marTop w:val="0"/>
                          <w:marBottom w:val="0"/>
                          <w:divBdr>
                            <w:top w:val="none" w:sz="0" w:space="0" w:color="auto"/>
                            <w:left w:val="none" w:sz="0" w:space="0" w:color="auto"/>
                            <w:bottom w:val="none" w:sz="0" w:space="0" w:color="auto"/>
                            <w:right w:val="none" w:sz="0" w:space="0" w:color="auto"/>
                          </w:divBdr>
                          <w:divsChild>
                            <w:div w:id="63842008">
                              <w:marLeft w:val="0"/>
                              <w:marRight w:val="0"/>
                              <w:marTop w:val="0"/>
                              <w:marBottom w:val="0"/>
                              <w:divBdr>
                                <w:top w:val="none" w:sz="0" w:space="0" w:color="auto"/>
                                <w:left w:val="none" w:sz="0" w:space="0" w:color="auto"/>
                                <w:bottom w:val="none" w:sz="0" w:space="0" w:color="auto"/>
                                <w:right w:val="none" w:sz="0" w:space="0" w:color="auto"/>
                              </w:divBdr>
                            </w:div>
                            <w:div w:id="539782616">
                              <w:marLeft w:val="0"/>
                              <w:marRight w:val="0"/>
                              <w:marTop w:val="0"/>
                              <w:marBottom w:val="0"/>
                              <w:divBdr>
                                <w:top w:val="none" w:sz="0" w:space="0" w:color="auto"/>
                                <w:left w:val="none" w:sz="0" w:space="0" w:color="auto"/>
                                <w:bottom w:val="none" w:sz="0" w:space="0" w:color="auto"/>
                                <w:right w:val="none" w:sz="0" w:space="0" w:color="auto"/>
                              </w:divBdr>
                            </w:div>
                            <w:div w:id="721058428">
                              <w:marLeft w:val="0"/>
                              <w:marRight w:val="0"/>
                              <w:marTop w:val="0"/>
                              <w:marBottom w:val="0"/>
                              <w:divBdr>
                                <w:top w:val="none" w:sz="0" w:space="0" w:color="auto"/>
                                <w:left w:val="none" w:sz="0" w:space="0" w:color="auto"/>
                                <w:bottom w:val="none" w:sz="0" w:space="0" w:color="auto"/>
                                <w:right w:val="none" w:sz="0" w:space="0" w:color="auto"/>
                              </w:divBdr>
                            </w:div>
                          </w:divsChild>
                        </w:div>
                        <w:div w:id="936136923">
                          <w:marLeft w:val="0"/>
                          <w:marRight w:val="0"/>
                          <w:marTop w:val="0"/>
                          <w:marBottom w:val="0"/>
                          <w:divBdr>
                            <w:top w:val="none" w:sz="0" w:space="0" w:color="auto"/>
                            <w:left w:val="none" w:sz="0" w:space="0" w:color="auto"/>
                            <w:bottom w:val="none" w:sz="0" w:space="0" w:color="auto"/>
                            <w:right w:val="none" w:sz="0" w:space="0" w:color="auto"/>
                          </w:divBdr>
                          <w:divsChild>
                            <w:div w:id="917061298">
                              <w:marLeft w:val="0"/>
                              <w:marRight w:val="0"/>
                              <w:marTop w:val="0"/>
                              <w:marBottom w:val="0"/>
                              <w:divBdr>
                                <w:top w:val="none" w:sz="0" w:space="0" w:color="auto"/>
                                <w:left w:val="none" w:sz="0" w:space="0" w:color="auto"/>
                                <w:bottom w:val="none" w:sz="0" w:space="0" w:color="auto"/>
                                <w:right w:val="none" w:sz="0" w:space="0" w:color="auto"/>
                              </w:divBdr>
                              <w:divsChild>
                                <w:div w:id="55013193">
                                  <w:marLeft w:val="0"/>
                                  <w:marRight w:val="0"/>
                                  <w:marTop w:val="0"/>
                                  <w:marBottom w:val="0"/>
                                  <w:divBdr>
                                    <w:top w:val="none" w:sz="0" w:space="0" w:color="auto"/>
                                    <w:left w:val="none" w:sz="0" w:space="0" w:color="auto"/>
                                    <w:bottom w:val="none" w:sz="0" w:space="0" w:color="auto"/>
                                    <w:right w:val="none" w:sz="0" w:space="0" w:color="auto"/>
                                  </w:divBdr>
                                </w:div>
                                <w:div w:id="494033162">
                                  <w:marLeft w:val="0"/>
                                  <w:marRight w:val="0"/>
                                  <w:marTop w:val="0"/>
                                  <w:marBottom w:val="0"/>
                                  <w:divBdr>
                                    <w:top w:val="none" w:sz="0" w:space="0" w:color="auto"/>
                                    <w:left w:val="none" w:sz="0" w:space="0" w:color="auto"/>
                                    <w:bottom w:val="none" w:sz="0" w:space="0" w:color="auto"/>
                                    <w:right w:val="none" w:sz="0" w:space="0" w:color="auto"/>
                                  </w:divBdr>
                                </w:div>
                                <w:div w:id="684287560">
                                  <w:marLeft w:val="0"/>
                                  <w:marRight w:val="0"/>
                                  <w:marTop w:val="0"/>
                                  <w:marBottom w:val="0"/>
                                  <w:divBdr>
                                    <w:top w:val="none" w:sz="0" w:space="0" w:color="auto"/>
                                    <w:left w:val="none" w:sz="0" w:space="0" w:color="auto"/>
                                    <w:bottom w:val="none" w:sz="0" w:space="0" w:color="auto"/>
                                    <w:right w:val="none" w:sz="0" w:space="0" w:color="auto"/>
                                  </w:divBdr>
                                </w:div>
                                <w:div w:id="743602205">
                                  <w:marLeft w:val="0"/>
                                  <w:marRight w:val="0"/>
                                  <w:marTop w:val="0"/>
                                  <w:marBottom w:val="0"/>
                                  <w:divBdr>
                                    <w:top w:val="none" w:sz="0" w:space="0" w:color="auto"/>
                                    <w:left w:val="none" w:sz="0" w:space="0" w:color="auto"/>
                                    <w:bottom w:val="none" w:sz="0" w:space="0" w:color="auto"/>
                                    <w:right w:val="none" w:sz="0" w:space="0" w:color="auto"/>
                                  </w:divBdr>
                                </w:div>
                                <w:div w:id="1430388750">
                                  <w:marLeft w:val="0"/>
                                  <w:marRight w:val="0"/>
                                  <w:marTop w:val="0"/>
                                  <w:marBottom w:val="0"/>
                                  <w:divBdr>
                                    <w:top w:val="none" w:sz="0" w:space="0" w:color="auto"/>
                                    <w:left w:val="none" w:sz="0" w:space="0" w:color="auto"/>
                                    <w:bottom w:val="none" w:sz="0" w:space="0" w:color="auto"/>
                                    <w:right w:val="none" w:sz="0" w:space="0" w:color="auto"/>
                                  </w:divBdr>
                                </w:div>
                                <w:div w:id="1649942508">
                                  <w:marLeft w:val="0"/>
                                  <w:marRight w:val="0"/>
                                  <w:marTop w:val="0"/>
                                  <w:marBottom w:val="0"/>
                                  <w:divBdr>
                                    <w:top w:val="none" w:sz="0" w:space="0" w:color="auto"/>
                                    <w:left w:val="none" w:sz="0" w:space="0" w:color="auto"/>
                                    <w:bottom w:val="none" w:sz="0" w:space="0" w:color="auto"/>
                                    <w:right w:val="none" w:sz="0" w:space="0" w:color="auto"/>
                                  </w:divBdr>
                                </w:div>
                                <w:div w:id="2033992503">
                                  <w:marLeft w:val="0"/>
                                  <w:marRight w:val="0"/>
                                  <w:marTop w:val="0"/>
                                  <w:marBottom w:val="0"/>
                                  <w:divBdr>
                                    <w:top w:val="none" w:sz="0" w:space="0" w:color="auto"/>
                                    <w:left w:val="none" w:sz="0" w:space="0" w:color="auto"/>
                                    <w:bottom w:val="none" w:sz="0" w:space="0" w:color="auto"/>
                                    <w:right w:val="none" w:sz="0" w:space="0" w:color="auto"/>
                                  </w:divBdr>
                                </w:div>
                              </w:divsChild>
                            </w:div>
                            <w:div w:id="2122526845">
                              <w:marLeft w:val="0"/>
                              <w:marRight w:val="0"/>
                              <w:marTop w:val="0"/>
                              <w:marBottom w:val="0"/>
                              <w:divBdr>
                                <w:top w:val="none" w:sz="0" w:space="0" w:color="auto"/>
                                <w:left w:val="none" w:sz="0" w:space="0" w:color="auto"/>
                                <w:bottom w:val="none" w:sz="0" w:space="0" w:color="auto"/>
                                <w:right w:val="none" w:sz="0" w:space="0" w:color="auto"/>
                              </w:divBdr>
                              <w:divsChild>
                                <w:div w:id="1339818094">
                                  <w:marLeft w:val="0"/>
                                  <w:marRight w:val="0"/>
                                  <w:marTop w:val="0"/>
                                  <w:marBottom w:val="0"/>
                                  <w:divBdr>
                                    <w:top w:val="none" w:sz="0" w:space="0" w:color="auto"/>
                                    <w:left w:val="none" w:sz="0" w:space="0" w:color="auto"/>
                                    <w:bottom w:val="none" w:sz="0" w:space="0" w:color="auto"/>
                                    <w:right w:val="none" w:sz="0" w:space="0" w:color="auto"/>
                                  </w:divBdr>
                                </w:div>
                                <w:div w:id="145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90586">
                          <w:marLeft w:val="0"/>
                          <w:marRight w:val="0"/>
                          <w:marTop w:val="0"/>
                          <w:marBottom w:val="0"/>
                          <w:divBdr>
                            <w:top w:val="none" w:sz="0" w:space="0" w:color="auto"/>
                            <w:left w:val="none" w:sz="0" w:space="0" w:color="auto"/>
                            <w:bottom w:val="none" w:sz="0" w:space="0" w:color="auto"/>
                            <w:right w:val="none" w:sz="0" w:space="0" w:color="auto"/>
                          </w:divBdr>
                        </w:div>
                        <w:div w:id="1013843828">
                          <w:marLeft w:val="0"/>
                          <w:marRight w:val="0"/>
                          <w:marTop w:val="0"/>
                          <w:marBottom w:val="0"/>
                          <w:divBdr>
                            <w:top w:val="none" w:sz="0" w:space="0" w:color="auto"/>
                            <w:left w:val="none" w:sz="0" w:space="0" w:color="auto"/>
                            <w:bottom w:val="none" w:sz="0" w:space="0" w:color="auto"/>
                            <w:right w:val="none" w:sz="0" w:space="0" w:color="auto"/>
                          </w:divBdr>
                        </w:div>
                        <w:div w:id="1023628397">
                          <w:marLeft w:val="0"/>
                          <w:marRight w:val="0"/>
                          <w:marTop w:val="0"/>
                          <w:marBottom w:val="0"/>
                          <w:divBdr>
                            <w:top w:val="none" w:sz="0" w:space="0" w:color="auto"/>
                            <w:left w:val="none" w:sz="0" w:space="0" w:color="auto"/>
                            <w:bottom w:val="none" w:sz="0" w:space="0" w:color="auto"/>
                            <w:right w:val="none" w:sz="0" w:space="0" w:color="auto"/>
                          </w:divBdr>
                        </w:div>
                        <w:div w:id="1098983779">
                          <w:marLeft w:val="0"/>
                          <w:marRight w:val="0"/>
                          <w:marTop w:val="0"/>
                          <w:marBottom w:val="0"/>
                          <w:divBdr>
                            <w:top w:val="none" w:sz="0" w:space="0" w:color="auto"/>
                            <w:left w:val="none" w:sz="0" w:space="0" w:color="auto"/>
                            <w:bottom w:val="none" w:sz="0" w:space="0" w:color="auto"/>
                            <w:right w:val="none" w:sz="0" w:space="0" w:color="auto"/>
                          </w:divBdr>
                        </w:div>
                        <w:div w:id="1117794924">
                          <w:marLeft w:val="0"/>
                          <w:marRight w:val="0"/>
                          <w:marTop w:val="0"/>
                          <w:marBottom w:val="0"/>
                          <w:divBdr>
                            <w:top w:val="none" w:sz="0" w:space="0" w:color="auto"/>
                            <w:left w:val="none" w:sz="0" w:space="0" w:color="auto"/>
                            <w:bottom w:val="none" w:sz="0" w:space="0" w:color="auto"/>
                            <w:right w:val="none" w:sz="0" w:space="0" w:color="auto"/>
                          </w:divBdr>
                        </w:div>
                        <w:div w:id="1128861792">
                          <w:marLeft w:val="0"/>
                          <w:marRight w:val="0"/>
                          <w:marTop w:val="0"/>
                          <w:marBottom w:val="0"/>
                          <w:divBdr>
                            <w:top w:val="none" w:sz="0" w:space="0" w:color="auto"/>
                            <w:left w:val="none" w:sz="0" w:space="0" w:color="auto"/>
                            <w:bottom w:val="none" w:sz="0" w:space="0" w:color="auto"/>
                            <w:right w:val="none" w:sz="0" w:space="0" w:color="auto"/>
                          </w:divBdr>
                        </w:div>
                        <w:div w:id="1186872292">
                          <w:marLeft w:val="0"/>
                          <w:marRight w:val="0"/>
                          <w:marTop w:val="0"/>
                          <w:marBottom w:val="0"/>
                          <w:divBdr>
                            <w:top w:val="none" w:sz="0" w:space="0" w:color="auto"/>
                            <w:left w:val="none" w:sz="0" w:space="0" w:color="auto"/>
                            <w:bottom w:val="none" w:sz="0" w:space="0" w:color="auto"/>
                            <w:right w:val="none" w:sz="0" w:space="0" w:color="auto"/>
                          </w:divBdr>
                          <w:divsChild>
                            <w:div w:id="249435182">
                              <w:marLeft w:val="0"/>
                              <w:marRight w:val="0"/>
                              <w:marTop w:val="0"/>
                              <w:marBottom w:val="0"/>
                              <w:divBdr>
                                <w:top w:val="none" w:sz="0" w:space="0" w:color="auto"/>
                                <w:left w:val="none" w:sz="0" w:space="0" w:color="auto"/>
                                <w:bottom w:val="none" w:sz="0" w:space="0" w:color="auto"/>
                                <w:right w:val="none" w:sz="0" w:space="0" w:color="auto"/>
                              </w:divBdr>
                            </w:div>
                            <w:div w:id="606691154">
                              <w:marLeft w:val="0"/>
                              <w:marRight w:val="0"/>
                              <w:marTop w:val="0"/>
                              <w:marBottom w:val="0"/>
                              <w:divBdr>
                                <w:top w:val="none" w:sz="0" w:space="0" w:color="auto"/>
                                <w:left w:val="none" w:sz="0" w:space="0" w:color="auto"/>
                                <w:bottom w:val="none" w:sz="0" w:space="0" w:color="auto"/>
                                <w:right w:val="none" w:sz="0" w:space="0" w:color="auto"/>
                              </w:divBdr>
                            </w:div>
                            <w:div w:id="736901406">
                              <w:marLeft w:val="0"/>
                              <w:marRight w:val="0"/>
                              <w:marTop w:val="0"/>
                              <w:marBottom w:val="0"/>
                              <w:divBdr>
                                <w:top w:val="none" w:sz="0" w:space="0" w:color="auto"/>
                                <w:left w:val="none" w:sz="0" w:space="0" w:color="auto"/>
                                <w:bottom w:val="none" w:sz="0" w:space="0" w:color="auto"/>
                                <w:right w:val="none" w:sz="0" w:space="0" w:color="auto"/>
                              </w:divBdr>
                            </w:div>
                            <w:div w:id="763842711">
                              <w:marLeft w:val="0"/>
                              <w:marRight w:val="0"/>
                              <w:marTop w:val="0"/>
                              <w:marBottom w:val="0"/>
                              <w:divBdr>
                                <w:top w:val="none" w:sz="0" w:space="0" w:color="auto"/>
                                <w:left w:val="none" w:sz="0" w:space="0" w:color="auto"/>
                                <w:bottom w:val="none" w:sz="0" w:space="0" w:color="auto"/>
                                <w:right w:val="none" w:sz="0" w:space="0" w:color="auto"/>
                              </w:divBdr>
                            </w:div>
                            <w:div w:id="869730559">
                              <w:marLeft w:val="0"/>
                              <w:marRight w:val="0"/>
                              <w:marTop w:val="0"/>
                              <w:marBottom w:val="0"/>
                              <w:divBdr>
                                <w:top w:val="none" w:sz="0" w:space="0" w:color="auto"/>
                                <w:left w:val="none" w:sz="0" w:space="0" w:color="auto"/>
                                <w:bottom w:val="none" w:sz="0" w:space="0" w:color="auto"/>
                                <w:right w:val="none" w:sz="0" w:space="0" w:color="auto"/>
                              </w:divBdr>
                            </w:div>
                            <w:div w:id="887641425">
                              <w:marLeft w:val="0"/>
                              <w:marRight w:val="0"/>
                              <w:marTop w:val="0"/>
                              <w:marBottom w:val="0"/>
                              <w:divBdr>
                                <w:top w:val="none" w:sz="0" w:space="0" w:color="auto"/>
                                <w:left w:val="none" w:sz="0" w:space="0" w:color="auto"/>
                                <w:bottom w:val="none" w:sz="0" w:space="0" w:color="auto"/>
                                <w:right w:val="none" w:sz="0" w:space="0" w:color="auto"/>
                              </w:divBdr>
                            </w:div>
                            <w:div w:id="1396975493">
                              <w:marLeft w:val="0"/>
                              <w:marRight w:val="0"/>
                              <w:marTop w:val="0"/>
                              <w:marBottom w:val="0"/>
                              <w:divBdr>
                                <w:top w:val="none" w:sz="0" w:space="0" w:color="auto"/>
                                <w:left w:val="none" w:sz="0" w:space="0" w:color="auto"/>
                                <w:bottom w:val="none" w:sz="0" w:space="0" w:color="auto"/>
                                <w:right w:val="none" w:sz="0" w:space="0" w:color="auto"/>
                              </w:divBdr>
                            </w:div>
                            <w:div w:id="1402633127">
                              <w:marLeft w:val="0"/>
                              <w:marRight w:val="0"/>
                              <w:marTop w:val="0"/>
                              <w:marBottom w:val="0"/>
                              <w:divBdr>
                                <w:top w:val="none" w:sz="0" w:space="0" w:color="auto"/>
                                <w:left w:val="none" w:sz="0" w:space="0" w:color="auto"/>
                                <w:bottom w:val="none" w:sz="0" w:space="0" w:color="auto"/>
                                <w:right w:val="none" w:sz="0" w:space="0" w:color="auto"/>
                              </w:divBdr>
                            </w:div>
                            <w:div w:id="1459564399">
                              <w:marLeft w:val="0"/>
                              <w:marRight w:val="0"/>
                              <w:marTop w:val="0"/>
                              <w:marBottom w:val="0"/>
                              <w:divBdr>
                                <w:top w:val="none" w:sz="0" w:space="0" w:color="auto"/>
                                <w:left w:val="none" w:sz="0" w:space="0" w:color="auto"/>
                                <w:bottom w:val="none" w:sz="0" w:space="0" w:color="auto"/>
                                <w:right w:val="none" w:sz="0" w:space="0" w:color="auto"/>
                              </w:divBdr>
                            </w:div>
                            <w:div w:id="1942377738">
                              <w:marLeft w:val="0"/>
                              <w:marRight w:val="0"/>
                              <w:marTop w:val="0"/>
                              <w:marBottom w:val="0"/>
                              <w:divBdr>
                                <w:top w:val="none" w:sz="0" w:space="0" w:color="auto"/>
                                <w:left w:val="none" w:sz="0" w:space="0" w:color="auto"/>
                                <w:bottom w:val="none" w:sz="0" w:space="0" w:color="auto"/>
                                <w:right w:val="none" w:sz="0" w:space="0" w:color="auto"/>
                              </w:divBdr>
                            </w:div>
                            <w:div w:id="1970623519">
                              <w:marLeft w:val="0"/>
                              <w:marRight w:val="0"/>
                              <w:marTop w:val="0"/>
                              <w:marBottom w:val="0"/>
                              <w:divBdr>
                                <w:top w:val="none" w:sz="0" w:space="0" w:color="auto"/>
                                <w:left w:val="none" w:sz="0" w:space="0" w:color="auto"/>
                                <w:bottom w:val="none" w:sz="0" w:space="0" w:color="auto"/>
                                <w:right w:val="none" w:sz="0" w:space="0" w:color="auto"/>
                              </w:divBdr>
                            </w:div>
                          </w:divsChild>
                        </w:div>
                        <w:div w:id="1199129515">
                          <w:marLeft w:val="0"/>
                          <w:marRight w:val="0"/>
                          <w:marTop w:val="0"/>
                          <w:marBottom w:val="0"/>
                          <w:divBdr>
                            <w:top w:val="none" w:sz="0" w:space="0" w:color="auto"/>
                            <w:left w:val="none" w:sz="0" w:space="0" w:color="auto"/>
                            <w:bottom w:val="none" w:sz="0" w:space="0" w:color="auto"/>
                            <w:right w:val="none" w:sz="0" w:space="0" w:color="auto"/>
                          </w:divBdr>
                        </w:div>
                        <w:div w:id="1254776246">
                          <w:marLeft w:val="0"/>
                          <w:marRight w:val="0"/>
                          <w:marTop w:val="0"/>
                          <w:marBottom w:val="0"/>
                          <w:divBdr>
                            <w:top w:val="none" w:sz="0" w:space="0" w:color="auto"/>
                            <w:left w:val="none" w:sz="0" w:space="0" w:color="auto"/>
                            <w:bottom w:val="none" w:sz="0" w:space="0" w:color="auto"/>
                            <w:right w:val="none" w:sz="0" w:space="0" w:color="auto"/>
                          </w:divBdr>
                        </w:div>
                        <w:div w:id="1290941481">
                          <w:marLeft w:val="0"/>
                          <w:marRight w:val="0"/>
                          <w:marTop w:val="0"/>
                          <w:marBottom w:val="0"/>
                          <w:divBdr>
                            <w:top w:val="none" w:sz="0" w:space="0" w:color="auto"/>
                            <w:left w:val="none" w:sz="0" w:space="0" w:color="auto"/>
                            <w:bottom w:val="none" w:sz="0" w:space="0" w:color="auto"/>
                            <w:right w:val="none" w:sz="0" w:space="0" w:color="auto"/>
                          </w:divBdr>
                        </w:div>
                        <w:div w:id="1310133505">
                          <w:marLeft w:val="0"/>
                          <w:marRight w:val="0"/>
                          <w:marTop w:val="0"/>
                          <w:marBottom w:val="0"/>
                          <w:divBdr>
                            <w:top w:val="none" w:sz="0" w:space="0" w:color="auto"/>
                            <w:left w:val="none" w:sz="0" w:space="0" w:color="auto"/>
                            <w:bottom w:val="none" w:sz="0" w:space="0" w:color="auto"/>
                            <w:right w:val="none" w:sz="0" w:space="0" w:color="auto"/>
                          </w:divBdr>
                        </w:div>
                        <w:div w:id="1444887708">
                          <w:marLeft w:val="0"/>
                          <w:marRight w:val="0"/>
                          <w:marTop w:val="0"/>
                          <w:marBottom w:val="0"/>
                          <w:divBdr>
                            <w:top w:val="none" w:sz="0" w:space="0" w:color="auto"/>
                            <w:left w:val="none" w:sz="0" w:space="0" w:color="auto"/>
                            <w:bottom w:val="none" w:sz="0" w:space="0" w:color="auto"/>
                            <w:right w:val="none" w:sz="0" w:space="0" w:color="auto"/>
                          </w:divBdr>
                        </w:div>
                        <w:div w:id="1481800127">
                          <w:marLeft w:val="0"/>
                          <w:marRight w:val="0"/>
                          <w:marTop w:val="0"/>
                          <w:marBottom w:val="0"/>
                          <w:divBdr>
                            <w:top w:val="none" w:sz="0" w:space="0" w:color="auto"/>
                            <w:left w:val="none" w:sz="0" w:space="0" w:color="auto"/>
                            <w:bottom w:val="none" w:sz="0" w:space="0" w:color="auto"/>
                            <w:right w:val="none" w:sz="0" w:space="0" w:color="auto"/>
                          </w:divBdr>
                        </w:div>
                        <w:div w:id="1525945943">
                          <w:marLeft w:val="0"/>
                          <w:marRight w:val="0"/>
                          <w:marTop w:val="0"/>
                          <w:marBottom w:val="0"/>
                          <w:divBdr>
                            <w:top w:val="none" w:sz="0" w:space="0" w:color="auto"/>
                            <w:left w:val="none" w:sz="0" w:space="0" w:color="auto"/>
                            <w:bottom w:val="none" w:sz="0" w:space="0" w:color="auto"/>
                            <w:right w:val="none" w:sz="0" w:space="0" w:color="auto"/>
                          </w:divBdr>
                        </w:div>
                        <w:div w:id="1775050467">
                          <w:marLeft w:val="0"/>
                          <w:marRight w:val="0"/>
                          <w:marTop w:val="0"/>
                          <w:marBottom w:val="0"/>
                          <w:divBdr>
                            <w:top w:val="none" w:sz="0" w:space="0" w:color="auto"/>
                            <w:left w:val="none" w:sz="0" w:space="0" w:color="auto"/>
                            <w:bottom w:val="none" w:sz="0" w:space="0" w:color="auto"/>
                            <w:right w:val="none" w:sz="0" w:space="0" w:color="auto"/>
                          </w:divBdr>
                        </w:div>
                        <w:div w:id="1786970879">
                          <w:marLeft w:val="0"/>
                          <w:marRight w:val="0"/>
                          <w:marTop w:val="0"/>
                          <w:marBottom w:val="0"/>
                          <w:divBdr>
                            <w:top w:val="none" w:sz="0" w:space="0" w:color="auto"/>
                            <w:left w:val="none" w:sz="0" w:space="0" w:color="auto"/>
                            <w:bottom w:val="none" w:sz="0" w:space="0" w:color="auto"/>
                            <w:right w:val="none" w:sz="0" w:space="0" w:color="auto"/>
                          </w:divBdr>
                        </w:div>
                        <w:div w:id="1884712103">
                          <w:marLeft w:val="0"/>
                          <w:marRight w:val="0"/>
                          <w:marTop w:val="0"/>
                          <w:marBottom w:val="0"/>
                          <w:divBdr>
                            <w:top w:val="none" w:sz="0" w:space="0" w:color="auto"/>
                            <w:left w:val="none" w:sz="0" w:space="0" w:color="auto"/>
                            <w:bottom w:val="none" w:sz="0" w:space="0" w:color="auto"/>
                            <w:right w:val="none" w:sz="0" w:space="0" w:color="auto"/>
                          </w:divBdr>
                        </w:div>
                        <w:div w:id="1944342709">
                          <w:marLeft w:val="0"/>
                          <w:marRight w:val="0"/>
                          <w:marTop w:val="0"/>
                          <w:marBottom w:val="0"/>
                          <w:divBdr>
                            <w:top w:val="none" w:sz="0" w:space="0" w:color="auto"/>
                            <w:left w:val="none" w:sz="0" w:space="0" w:color="auto"/>
                            <w:bottom w:val="none" w:sz="0" w:space="0" w:color="auto"/>
                            <w:right w:val="none" w:sz="0" w:space="0" w:color="auto"/>
                          </w:divBdr>
                          <w:divsChild>
                            <w:div w:id="567230200">
                              <w:marLeft w:val="0"/>
                              <w:marRight w:val="0"/>
                              <w:marTop w:val="0"/>
                              <w:marBottom w:val="0"/>
                              <w:divBdr>
                                <w:top w:val="none" w:sz="0" w:space="0" w:color="auto"/>
                                <w:left w:val="none" w:sz="0" w:space="0" w:color="auto"/>
                                <w:bottom w:val="none" w:sz="0" w:space="0" w:color="auto"/>
                                <w:right w:val="none" w:sz="0" w:space="0" w:color="auto"/>
                              </w:divBdr>
                            </w:div>
                            <w:div w:id="634918809">
                              <w:marLeft w:val="0"/>
                              <w:marRight w:val="0"/>
                              <w:marTop w:val="0"/>
                              <w:marBottom w:val="0"/>
                              <w:divBdr>
                                <w:top w:val="none" w:sz="0" w:space="0" w:color="auto"/>
                                <w:left w:val="none" w:sz="0" w:space="0" w:color="auto"/>
                                <w:bottom w:val="none" w:sz="0" w:space="0" w:color="auto"/>
                                <w:right w:val="none" w:sz="0" w:space="0" w:color="auto"/>
                              </w:divBdr>
                            </w:div>
                            <w:div w:id="1016423790">
                              <w:marLeft w:val="0"/>
                              <w:marRight w:val="0"/>
                              <w:marTop w:val="0"/>
                              <w:marBottom w:val="0"/>
                              <w:divBdr>
                                <w:top w:val="none" w:sz="0" w:space="0" w:color="auto"/>
                                <w:left w:val="none" w:sz="0" w:space="0" w:color="auto"/>
                                <w:bottom w:val="none" w:sz="0" w:space="0" w:color="auto"/>
                                <w:right w:val="none" w:sz="0" w:space="0" w:color="auto"/>
                              </w:divBdr>
                            </w:div>
                            <w:div w:id="1190484417">
                              <w:marLeft w:val="0"/>
                              <w:marRight w:val="0"/>
                              <w:marTop w:val="0"/>
                              <w:marBottom w:val="0"/>
                              <w:divBdr>
                                <w:top w:val="none" w:sz="0" w:space="0" w:color="auto"/>
                                <w:left w:val="none" w:sz="0" w:space="0" w:color="auto"/>
                                <w:bottom w:val="none" w:sz="0" w:space="0" w:color="auto"/>
                                <w:right w:val="none" w:sz="0" w:space="0" w:color="auto"/>
                              </w:divBdr>
                            </w:div>
                            <w:div w:id="1530339311">
                              <w:marLeft w:val="0"/>
                              <w:marRight w:val="0"/>
                              <w:marTop w:val="0"/>
                              <w:marBottom w:val="0"/>
                              <w:divBdr>
                                <w:top w:val="none" w:sz="0" w:space="0" w:color="auto"/>
                                <w:left w:val="none" w:sz="0" w:space="0" w:color="auto"/>
                                <w:bottom w:val="none" w:sz="0" w:space="0" w:color="auto"/>
                                <w:right w:val="none" w:sz="0" w:space="0" w:color="auto"/>
                              </w:divBdr>
                            </w:div>
                            <w:div w:id="1545673463">
                              <w:marLeft w:val="0"/>
                              <w:marRight w:val="0"/>
                              <w:marTop w:val="0"/>
                              <w:marBottom w:val="0"/>
                              <w:divBdr>
                                <w:top w:val="none" w:sz="0" w:space="0" w:color="auto"/>
                                <w:left w:val="none" w:sz="0" w:space="0" w:color="auto"/>
                                <w:bottom w:val="none" w:sz="0" w:space="0" w:color="auto"/>
                                <w:right w:val="none" w:sz="0" w:space="0" w:color="auto"/>
                              </w:divBdr>
                            </w:div>
                            <w:div w:id="1726830460">
                              <w:marLeft w:val="0"/>
                              <w:marRight w:val="0"/>
                              <w:marTop w:val="0"/>
                              <w:marBottom w:val="0"/>
                              <w:divBdr>
                                <w:top w:val="none" w:sz="0" w:space="0" w:color="auto"/>
                                <w:left w:val="none" w:sz="0" w:space="0" w:color="auto"/>
                                <w:bottom w:val="none" w:sz="0" w:space="0" w:color="auto"/>
                                <w:right w:val="none" w:sz="0" w:space="0" w:color="auto"/>
                              </w:divBdr>
                            </w:div>
                          </w:divsChild>
                        </w:div>
                        <w:div w:id="1977879395">
                          <w:marLeft w:val="0"/>
                          <w:marRight w:val="0"/>
                          <w:marTop w:val="0"/>
                          <w:marBottom w:val="0"/>
                          <w:divBdr>
                            <w:top w:val="none" w:sz="0" w:space="0" w:color="auto"/>
                            <w:left w:val="none" w:sz="0" w:space="0" w:color="auto"/>
                            <w:bottom w:val="none" w:sz="0" w:space="0" w:color="auto"/>
                            <w:right w:val="none" w:sz="0" w:space="0" w:color="auto"/>
                          </w:divBdr>
                          <w:divsChild>
                            <w:div w:id="176233141">
                              <w:marLeft w:val="0"/>
                              <w:marRight w:val="0"/>
                              <w:marTop w:val="0"/>
                              <w:marBottom w:val="0"/>
                              <w:divBdr>
                                <w:top w:val="none" w:sz="0" w:space="0" w:color="auto"/>
                                <w:left w:val="none" w:sz="0" w:space="0" w:color="auto"/>
                                <w:bottom w:val="none" w:sz="0" w:space="0" w:color="auto"/>
                                <w:right w:val="none" w:sz="0" w:space="0" w:color="auto"/>
                              </w:divBdr>
                              <w:divsChild>
                                <w:div w:id="338889468">
                                  <w:marLeft w:val="0"/>
                                  <w:marRight w:val="0"/>
                                  <w:marTop w:val="0"/>
                                  <w:marBottom w:val="0"/>
                                  <w:divBdr>
                                    <w:top w:val="none" w:sz="0" w:space="0" w:color="auto"/>
                                    <w:left w:val="none" w:sz="0" w:space="0" w:color="auto"/>
                                    <w:bottom w:val="none" w:sz="0" w:space="0" w:color="auto"/>
                                    <w:right w:val="none" w:sz="0" w:space="0" w:color="auto"/>
                                  </w:divBdr>
                                </w:div>
                                <w:div w:id="343823453">
                                  <w:marLeft w:val="0"/>
                                  <w:marRight w:val="0"/>
                                  <w:marTop w:val="0"/>
                                  <w:marBottom w:val="0"/>
                                  <w:divBdr>
                                    <w:top w:val="none" w:sz="0" w:space="0" w:color="auto"/>
                                    <w:left w:val="none" w:sz="0" w:space="0" w:color="auto"/>
                                    <w:bottom w:val="none" w:sz="0" w:space="0" w:color="auto"/>
                                    <w:right w:val="none" w:sz="0" w:space="0" w:color="auto"/>
                                  </w:divBdr>
                                </w:div>
                                <w:div w:id="851846728">
                                  <w:marLeft w:val="0"/>
                                  <w:marRight w:val="0"/>
                                  <w:marTop w:val="0"/>
                                  <w:marBottom w:val="0"/>
                                  <w:divBdr>
                                    <w:top w:val="none" w:sz="0" w:space="0" w:color="auto"/>
                                    <w:left w:val="none" w:sz="0" w:space="0" w:color="auto"/>
                                    <w:bottom w:val="none" w:sz="0" w:space="0" w:color="auto"/>
                                    <w:right w:val="none" w:sz="0" w:space="0" w:color="auto"/>
                                  </w:divBdr>
                                </w:div>
                                <w:div w:id="959726141">
                                  <w:marLeft w:val="0"/>
                                  <w:marRight w:val="0"/>
                                  <w:marTop w:val="0"/>
                                  <w:marBottom w:val="0"/>
                                  <w:divBdr>
                                    <w:top w:val="none" w:sz="0" w:space="0" w:color="auto"/>
                                    <w:left w:val="none" w:sz="0" w:space="0" w:color="auto"/>
                                    <w:bottom w:val="none" w:sz="0" w:space="0" w:color="auto"/>
                                    <w:right w:val="none" w:sz="0" w:space="0" w:color="auto"/>
                                  </w:divBdr>
                                </w:div>
                                <w:div w:id="1039353897">
                                  <w:marLeft w:val="0"/>
                                  <w:marRight w:val="0"/>
                                  <w:marTop w:val="0"/>
                                  <w:marBottom w:val="0"/>
                                  <w:divBdr>
                                    <w:top w:val="none" w:sz="0" w:space="0" w:color="auto"/>
                                    <w:left w:val="none" w:sz="0" w:space="0" w:color="auto"/>
                                    <w:bottom w:val="none" w:sz="0" w:space="0" w:color="auto"/>
                                    <w:right w:val="none" w:sz="0" w:space="0" w:color="auto"/>
                                  </w:divBdr>
                                </w:div>
                                <w:div w:id="1209681212">
                                  <w:marLeft w:val="0"/>
                                  <w:marRight w:val="0"/>
                                  <w:marTop w:val="0"/>
                                  <w:marBottom w:val="0"/>
                                  <w:divBdr>
                                    <w:top w:val="none" w:sz="0" w:space="0" w:color="auto"/>
                                    <w:left w:val="none" w:sz="0" w:space="0" w:color="auto"/>
                                    <w:bottom w:val="none" w:sz="0" w:space="0" w:color="auto"/>
                                    <w:right w:val="none" w:sz="0" w:space="0" w:color="auto"/>
                                  </w:divBdr>
                                </w:div>
                                <w:div w:id="1346709408">
                                  <w:marLeft w:val="0"/>
                                  <w:marRight w:val="0"/>
                                  <w:marTop w:val="0"/>
                                  <w:marBottom w:val="0"/>
                                  <w:divBdr>
                                    <w:top w:val="none" w:sz="0" w:space="0" w:color="auto"/>
                                    <w:left w:val="none" w:sz="0" w:space="0" w:color="auto"/>
                                    <w:bottom w:val="none" w:sz="0" w:space="0" w:color="auto"/>
                                    <w:right w:val="none" w:sz="0" w:space="0" w:color="auto"/>
                                  </w:divBdr>
                                </w:div>
                                <w:div w:id="1747606860">
                                  <w:marLeft w:val="0"/>
                                  <w:marRight w:val="0"/>
                                  <w:marTop w:val="0"/>
                                  <w:marBottom w:val="0"/>
                                  <w:divBdr>
                                    <w:top w:val="none" w:sz="0" w:space="0" w:color="auto"/>
                                    <w:left w:val="none" w:sz="0" w:space="0" w:color="auto"/>
                                    <w:bottom w:val="none" w:sz="0" w:space="0" w:color="auto"/>
                                    <w:right w:val="none" w:sz="0" w:space="0" w:color="auto"/>
                                  </w:divBdr>
                                </w:div>
                                <w:div w:id="1961721221">
                                  <w:marLeft w:val="0"/>
                                  <w:marRight w:val="0"/>
                                  <w:marTop w:val="0"/>
                                  <w:marBottom w:val="0"/>
                                  <w:divBdr>
                                    <w:top w:val="none" w:sz="0" w:space="0" w:color="auto"/>
                                    <w:left w:val="none" w:sz="0" w:space="0" w:color="auto"/>
                                    <w:bottom w:val="none" w:sz="0" w:space="0" w:color="auto"/>
                                    <w:right w:val="none" w:sz="0" w:space="0" w:color="auto"/>
                                  </w:divBdr>
                                </w:div>
                              </w:divsChild>
                            </w:div>
                            <w:div w:id="1420441837">
                              <w:marLeft w:val="0"/>
                              <w:marRight w:val="0"/>
                              <w:marTop w:val="0"/>
                              <w:marBottom w:val="0"/>
                              <w:divBdr>
                                <w:top w:val="none" w:sz="0" w:space="0" w:color="auto"/>
                                <w:left w:val="none" w:sz="0" w:space="0" w:color="auto"/>
                                <w:bottom w:val="none" w:sz="0" w:space="0" w:color="auto"/>
                                <w:right w:val="none" w:sz="0" w:space="0" w:color="auto"/>
                              </w:divBdr>
                              <w:divsChild>
                                <w:div w:id="533231643">
                                  <w:marLeft w:val="0"/>
                                  <w:marRight w:val="0"/>
                                  <w:marTop w:val="0"/>
                                  <w:marBottom w:val="0"/>
                                  <w:divBdr>
                                    <w:top w:val="none" w:sz="0" w:space="0" w:color="auto"/>
                                    <w:left w:val="none" w:sz="0" w:space="0" w:color="auto"/>
                                    <w:bottom w:val="none" w:sz="0" w:space="0" w:color="auto"/>
                                    <w:right w:val="none" w:sz="0" w:space="0" w:color="auto"/>
                                  </w:divBdr>
                                </w:div>
                                <w:div w:id="779028838">
                                  <w:marLeft w:val="0"/>
                                  <w:marRight w:val="0"/>
                                  <w:marTop w:val="0"/>
                                  <w:marBottom w:val="0"/>
                                  <w:divBdr>
                                    <w:top w:val="none" w:sz="0" w:space="0" w:color="auto"/>
                                    <w:left w:val="none" w:sz="0" w:space="0" w:color="auto"/>
                                    <w:bottom w:val="none" w:sz="0" w:space="0" w:color="auto"/>
                                    <w:right w:val="none" w:sz="0" w:space="0" w:color="auto"/>
                                  </w:divBdr>
                                </w:div>
                                <w:div w:id="14960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2197">
                          <w:marLeft w:val="0"/>
                          <w:marRight w:val="0"/>
                          <w:marTop w:val="0"/>
                          <w:marBottom w:val="0"/>
                          <w:divBdr>
                            <w:top w:val="none" w:sz="0" w:space="0" w:color="auto"/>
                            <w:left w:val="none" w:sz="0" w:space="0" w:color="auto"/>
                            <w:bottom w:val="none" w:sz="0" w:space="0" w:color="auto"/>
                            <w:right w:val="none" w:sz="0" w:space="0" w:color="auto"/>
                          </w:divBdr>
                          <w:divsChild>
                            <w:div w:id="559556904">
                              <w:marLeft w:val="0"/>
                              <w:marRight w:val="0"/>
                              <w:marTop w:val="0"/>
                              <w:marBottom w:val="0"/>
                              <w:divBdr>
                                <w:top w:val="none" w:sz="0" w:space="0" w:color="auto"/>
                                <w:left w:val="none" w:sz="0" w:space="0" w:color="auto"/>
                                <w:bottom w:val="none" w:sz="0" w:space="0" w:color="auto"/>
                                <w:right w:val="none" w:sz="0" w:space="0" w:color="auto"/>
                              </w:divBdr>
                            </w:div>
                            <w:div w:id="1090660913">
                              <w:marLeft w:val="0"/>
                              <w:marRight w:val="0"/>
                              <w:marTop w:val="0"/>
                              <w:marBottom w:val="0"/>
                              <w:divBdr>
                                <w:top w:val="none" w:sz="0" w:space="0" w:color="auto"/>
                                <w:left w:val="none" w:sz="0" w:space="0" w:color="auto"/>
                                <w:bottom w:val="none" w:sz="0" w:space="0" w:color="auto"/>
                                <w:right w:val="none" w:sz="0" w:space="0" w:color="auto"/>
                              </w:divBdr>
                            </w:div>
                            <w:div w:id="1347368445">
                              <w:marLeft w:val="0"/>
                              <w:marRight w:val="0"/>
                              <w:marTop w:val="0"/>
                              <w:marBottom w:val="0"/>
                              <w:divBdr>
                                <w:top w:val="none" w:sz="0" w:space="0" w:color="auto"/>
                                <w:left w:val="none" w:sz="0" w:space="0" w:color="auto"/>
                                <w:bottom w:val="none" w:sz="0" w:space="0" w:color="auto"/>
                                <w:right w:val="none" w:sz="0" w:space="0" w:color="auto"/>
                              </w:divBdr>
                            </w:div>
                            <w:div w:id="1439645496">
                              <w:marLeft w:val="0"/>
                              <w:marRight w:val="0"/>
                              <w:marTop w:val="0"/>
                              <w:marBottom w:val="0"/>
                              <w:divBdr>
                                <w:top w:val="none" w:sz="0" w:space="0" w:color="auto"/>
                                <w:left w:val="none" w:sz="0" w:space="0" w:color="auto"/>
                                <w:bottom w:val="none" w:sz="0" w:space="0" w:color="auto"/>
                                <w:right w:val="none" w:sz="0" w:space="0" w:color="auto"/>
                              </w:divBdr>
                            </w:div>
                            <w:div w:id="1874729495">
                              <w:marLeft w:val="0"/>
                              <w:marRight w:val="0"/>
                              <w:marTop w:val="0"/>
                              <w:marBottom w:val="0"/>
                              <w:divBdr>
                                <w:top w:val="none" w:sz="0" w:space="0" w:color="auto"/>
                                <w:left w:val="none" w:sz="0" w:space="0" w:color="auto"/>
                                <w:bottom w:val="none" w:sz="0" w:space="0" w:color="auto"/>
                                <w:right w:val="none" w:sz="0" w:space="0" w:color="auto"/>
                              </w:divBdr>
                            </w:div>
                            <w:div w:id="2015645617">
                              <w:marLeft w:val="0"/>
                              <w:marRight w:val="0"/>
                              <w:marTop w:val="0"/>
                              <w:marBottom w:val="0"/>
                              <w:divBdr>
                                <w:top w:val="none" w:sz="0" w:space="0" w:color="auto"/>
                                <w:left w:val="none" w:sz="0" w:space="0" w:color="auto"/>
                                <w:bottom w:val="none" w:sz="0" w:space="0" w:color="auto"/>
                                <w:right w:val="none" w:sz="0" w:space="0" w:color="auto"/>
                              </w:divBdr>
                            </w:div>
                          </w:divsChild>
                        </w:div>
                        <w:div w:id="2087411285">
                          <w:marLeft w:val="0"/>
                          <w:marRight w:val="0"/>
                          <w:marTop w:val="0"/>
                          <w:marBottom w:val="0"/>
                          <w:divBdr>
                            <w:top w:val="none" w:sz="0" w:space="0" w:color="auto"/>
                            <w:left w:val="none" w:sz="0" w:space="0" w:color="auto"/>
                            <w:bottom w:val="none" w:sz="0" w:space="0" w:color="auto"/>
                            <w:right w:val="none" w:sz="0" w:space="0" w:color="auto"/>
                          </w:divBdr>
                          <w:divsChild>
                            <w:div w:id="1436706349">
                              <w:marLeft w:val="0"/>
                              <w:marRight w:val="0"/>
                              <w:marTop w:val="0"/>
                              <w:marBottom w:val="0"/>
                              <w:divBdr>
                                <w:top w:val="none" w:sz="0" w:space="0" w:color="auto"/>
                                <w:left w:val="none" w:sz="0" w:space="0" w:color="auto"/>
                                <w:bottom w:val="none" w:sz="0" w:space="0" w:color="auto"/>
                                <w:right w:val="none" w:sz="0" w:space="0" w:color="auto"/>
                              </w:divBdr>
                            </w:div>
                            <w:div w:id="1985086514">
                              <w:marLeft w:val="0"/>
                              <w:marRight w:val="0"/>
                              <w:marTop w:val="0"/>
                              <w:marBottom w:val="0"/>
                              <w:divBdr>
                                <w:top w:val="none" w:sz="0" w:space="0" w:color="auto"/>
                                <w:left w:val="none" w:sz="0" w:space="0" w:color="auto"/>
                                <w:bottom w:val="none" w:sz="0" w:space="0" w:color="auto"/>
                                <w:right w:val="none" w:sz="0" w:space="0" w:color="auto"/>
                              </w:divBdr>
                            </w:div>
                            <w:div w:id="2044398606">
                              <w:marLeft w:val="0"/>
                              <w:marRight w:val="0"/>
                              <w:marTop w:val="0"/>
                              <w:marBottom w:val="0"/>
                              <w:divBdr>
                                <w:top w:val="none" w:sz="0" w:space="0" w:color="auto"/>
                                <w:left w:val="none" w:sz="0" w:space="0" w:color="auto"/>
                                <w:bottom w:val="none" w:sz="0" w:space="0" w:color="auto"/>
                                <w:right w:val="none" w:sz="0" w:space="0" w:color="auto"/>
                              </w:divBdr>
                            </w:div>
                          </w:divsChild>
                        </w:div>
                        <w:div w:id="2088376129">
                          <w:marLeft w:val="0"/>
                          <w:marRight w:val="0"/>
                          <w:marTop w:val="0"/>
                          <w:marBottom w:val="0"/>
                          <w:divBdr>
                            <w:top w:val="none" w:sz="0" w:space="0" w:color="auto"/>
                            <w:left w:val="none" w:sz="0" w:space="0" w:color="auto"/>
                            <w:bottom w:val="none" w:sz="0" w:space="0" w:color="auto"/>
                            <w:right w:val="none" w:sz="0" w:space="0" w:color="auto"/>
                          </w:divBdr>
                        </w:div>
                        <w:div w:id="2099207214">
                          <w:marLeft w:val="0"/>
                          <w:marRight w:val="0"/>
                          <w:marTop w:val="0"/>
                          <w:marBottom w:val="0"/>
                          <w:divBdr>
                            <w:top w:val="none" w:sz="0" w:space="0" w:color="auto"/>
                            <w:left w:val="none" w:sz="0" w:space="0" w:color="auto"/>
                            <w:bottom w:val="none" w:sz="0" w:space="0" w:color="auto"/>
                            <w:right w:val="none" w:sz="0" w:space="0" w:color="auto"/>
                          </w:divBdr>
                        </w:div>
                        <w:div w:id="21100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987987">
      <w:bodyDiv w:val="1"/>
      <w:marLeft w:val="0"/>
      <w:marRight w:val="0"/>
      <w:marTop w:val="0"/>
      <w:marBottom w:val="0"/>
      <w:divBdr>
        <w:top w:val="none" w:sz="0" w:space="0" w:color="auto"/>
        <w:left w:val="none" w:sz="0" w:space="0" w:color="auto"/>
        <w:bottom w:val="none" w:sz="0" w:space="0" w:color="auto"/>
        <w:right w:val="none" w:sz="0" w:space="0" w:color="auto"/>
      </w:divBdr>
      <w:divsChild>
        <w:div w:id="164323559">
          <w:marLeft w:val="300"/>
          <w:marRight w:val="300"/>
          <w:marTop w:val="0"/>
          <w:marBottom w:val="0"/>
          <w:divBdr>
            <w:top w:val="none" w:sz="0" w:space="0" w:color="auto"/>
            <w:left w:val="none" w:sz="0" w:space="0" w:color="auto"/>
            <w:bottom w:val="none" w:sz="0" w:space="0" w:color="auto"/>
            <w:right w:val="none" w:sz="0" w:space="0" w:color="auto"/>
          </w:divBdr>
          <w:divsChild>
            <w:div w:id="1785617208">
              <w:marLeft w:val="0"/>
              <w:marRight w:val="0"/>
              <w:marTop w:val="0"/>
              <w:marBottom w:val="150"/>
              <w:divBdr>
                <w:top w:val="none" w:sz="0" w:space="0" w:color="auto"/>
                <w:left w:val="none" w:sz="0" w:space="0" w:color="auto"/>
                <w:bottom w:val="none" w:sz="0" w:space="0" w:color="auto"/>
                <w:right w:val="none" w:sz="0" w:space="0" w:color="auto"/>
              </w:divBdr>
              <w:divsChild>
                <w:div w:id="1762332899">
                  <w:marLeft w:val="0"/>
                  <w:marRight w:val="0"/>
                  <w:marTop w:val="0"/>
                  <w:marBottom w:val="0"/>
                  <w:divBdr>
                    <w:top w:val="none" w:sz="0" w:space="0" w:color="auto"/>
                    <w:left w:val="none" w:sz="0" w:space="0" w:color="auto"/>
                    <w:bottom w:val="none" w:sz="0" w:space="0" w:color="auto"/>
                    <w:right w:val="none" w:sz="0" w:space="0" w:color="auto"/>
                  </w:divBdr>
                  <w:divsChild>
                    <w:div w:id="847064440">
                      <w:marLeft w:val="0"/>
                      <w:marRight w:val="0"/>
                      <w:marTop w:val="0"/>
                      <w:marBottom w:val="0"/>
                      <w:divBdr>
                        <w:top w:val="none" w:sz="0" w:space="0" w:color="auto"/>
                        <w:left w:val="none" w:sz="0" w:space="0" w:color="auto"/>
                        <w:bottom w:val="none" w:sz="0" w:space="0" w:color="auto"/>
                        <w:right w:val="none" w:sz="0" w:space="0" w:color="auto"/>
                      </w:divBdr>
                      <w:divsChild>
                        <w:div w:id="1809857271">
                          <w:marLeft w:val="0"/>
                          <w:marRight w:val="0"/>
                          <w:marTop w:val="0"/>
                          <w:marBottom w:val="0"/>
                          <w:divBdr>
                            <w:top w:val="none" w:sz="0" w:space="0" w:color="auto"/>
                            <w:left w:val="none" w:sz="0" w:space="0" w:color="auto"/>
                            <w:bottom w:val="none" w:sz="0" w:space="0" w:color="auto"/>
                            <w:right w:val="none" w:sz="0" w:space="0" w:color="auto"/>
                          </w:divBdr>
                          <w:divsChild>
                            <w:div w:id="137498698">
                              <w:marLeft w:val="0"/>
                              <w:marRight w:val="0"/>
                              <w:marTop w:val="0"/>
                              <w:marBottom w:val="0"/>
                              <w:divBdr>
                                <w:top w:val="none" w:sz="0" w:space="0" w:color="auto"/>
                                <w:left w:val="none" w:sz="0" w:space="0" w:color="auto"/>
                                <w:bottom w:val="none" w:sz="0" w:space="0" w:color="auto"/>
                                <w:right w:val="none" w:sz="0" w:space="0" w:color="auto"/>
                              </w:divBdr>
                              <w:divsChild>
                                <w:div w:id="1395860826">
                                  <w:marLeft w:val="0"/>
                                  <w:marRight w:val="0"/>
                                  <w:marTop w:val="0"/>
                                  <w:marBottom w:val="0"/>
                                  <w:divBdr>
                                    <w:top w:val="none" w:sz="0" w:space="0" w:color="auto"/>
                                    <w:left w:val="none" w:sz="0" w:space="0" w:color="auto"/>
                                    <w:bottom w:val="none" w:sz="0" w:space="0" w:color="auto"/>
                                    <w:right w:val="none" w:sz="0" w:space="0" w:color="auto"/>
                                  </w:divBdr>
                                  <w:divsChild>
                                    <w:div w:id="183129649">
                                      <w:marLeft w:val="0"/>
                                      <w:marRight w:val="0"/>
                                      <w:marTop w:val="0"/>
                                      <w:marBottom w:val="0"/>
                                      <w:divBdr>
                                        <w:top w:val="none" w:sz="0" w:space="0" w:color="auto"/>
                                        <w:left w:val="none" w:sz="0" w:space="0" w:color="auto"/>
                                        <w:bottom w:val="none" w:sz="0" w:space="0" w:color="auto"/>
                                        <w:right w:val="none" w:sz="0" w:space="0" w:color="auto"/>
                                      </w:divBdr>
                                    </w:div>
                                    <w:div w:id="617374471">
                                      <w:marLeft w:val="0"/>
                                      <w:marRight w:val="0"/>
                                      <w:marTop w:val="0"/>
                                      <w:marBottom w:val="0"/>
                                      <w:divBdr>
                                        <w:top w:val="none" w:sz="0" w:space="0" w:color="auto"/>
                                        <w:left w:val="none" w:sz="0" w:space="0" w:color="auto"/>
                                        <w:bottom w:val="none" w:sz="0" w:space="0" w:color="auto"/>
                                        <w:right w:val="none" w:sz="0" w:space="0" w:color="auto"/>
                                      </w:divBdr>
                                    </w:div>
                                    <w:div w:id="7614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75381">
      <w:bodyDiv w:val="1"/>
      <w:marLeft w:val="0"/>
      <w:marRight w:val="0"/>
      <w:marTop w:val="0"/>
      <w:marBottom w:val="0"/>
      <w:divBdr>
        <w:top w:val="none" w:sz="0" w:space="0" w:color="auto"/>
        <w:left w:val="none" w:sz="0" w:space="0" w:color="auto"/>
        <w:bottom w:val="none" w:sz="0" w:space="0" w:color="auto"/>
        <w:right w:val="none" w:sz="0" w:space="0" w:color="auto"/>
      </w:divBdr>
      <w:divsChild>
        <w:div w:id="37248825">
          <w:marLeft w:val="0"/>
          <w:marRight w:val="0"/>
          <w:marTop w:val="0"/>
          <w:marBottom w:val="0"/>
          <w:divBdr>
            <w:top w:val="none" w:sz="0" w:space="0" w:color="auto"/>
            <w:left w:val="none" w:sz="0" w:space="0" w:color="auto"/>
            <w:bottom w:val="none" w:sz="0" w:space="0" w:color="auto"/>
            <w:right w:val="none" w:sz="0" w:space="0" w:color="auto"/>
          </w:divBdr>
          <w:divsChild>
            <w:div w:id="21128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2852">
      <w:bodyDiv w:val="1"/>
      <w:marLeft w:val="0"/>
      <w:marRight w:val="0"/>
      <w:marTop w:val="0"/>
      <w:marBottom w:val="0"/>
      <w:divBdr>
        <w:top w:val="none" w:sz="0" w:space="0" w:color="auto"/>
        <w:left w:val="none" w:sz="0" w:space="0" w:color="auto"/>
        <w:bottom w:val="none" w:sz="0" w:space="0" w:color="auto"/>
        <w:right w:val="none" w:sz="0" w:space="0" w:color="auto"/>
      </w:divBdr>
      <w:divsChild>
        <w:div w:id="1431584870">
          <w:marLeft w:val="0"/>
          <w:marRight w:val="0"/>
          <w:marTop w:val="0"/>
          <w:marBottom w:val="0"/>
          <w:divBdr>
            <w:top w:val="none" w:sz="0" w:space="0" w:color="auto"/>
            <w:left w:val="none" w:sz="0" w:space="0" w:color="auto"/>
            <w:bottom w:val="none" w:sz="0" w:space="0" w:color="auto"/>
            <w:right w:val="none" w:sz="0" w:space="0" w:color="auto"/>
          </w:divBdr>
          <w:divsChild>
            <w:div w:id="11492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303">
      <w:bodyDiv w:val="1"/>
      <w:marLeft w:val="0"/>
      <w:marRight w:val="0"/>
      <w:marTop w:val="0"/>
      <w:marBottom w:val="0"/>
      <w:divBdr>
        <w:top w:val="none" w:sz="0" w:space="0" w:color="auto"/>
        <w:left w:val="none" w:sz="0" w:space="0" w:color="auto"/>
        <w:bottom w:val="none" w:sz="0" w:space="0" w:color="auto"/>
        <w:right w:val="none" w:sz="0" w:space="0" w:color="auto"/>
      </w:divBdr>
      <w:divsChild>
        <w:div w:id="1678384825">
          <w:marLeft w:val="0"/>
          <w:marRight w:val="0"/>
          <w:marTop w:val="0"/>
          <w:marBottom w:val="0"/>
          <w:divBdr>
            <w:top w:val="none" w:sz="0" w:space="0" w:color="auto"/>
            <w:left w:val="none" w:sz="0" w:space="0" w:color="auto"/>
            <w:bottom w:val="none" w:sz="0" w:space="0" w:color="auto"/>
            <w:right w:val="none" w:sz="0" w:space="0" w:color="auto"/>
          </w:divBdr>
          <w:divsChild>
            <w:div w:id="858158121">
              <w:marLeft w:val="0"/>
              <w:marRight w:val="0"/>
              <w:marTop w:val="0"/>
              <w:marBottom w:val="0"/>
              <w:divBdr>
                <w:top w:val="none" w:sz="0" w:space="0" w:color="auto"/>
                <w:left w:val="none" w:sz="0" w:space="0" w:color="auto"/>
                <w:bottom w:val="none" w:sz="0" w:space="0" w:color="auto"/>
                <w:right w:val="none" w:sz="0" w:space="0" w:color="auto"/>
              </w:divBdr>
              <w:divsChild>
                <w:div w:id="1945963182">
                  <w:marLeft w:val="0"/>
                  <w:marRight w:val="0"/>
                  <w:marTop w:val="0"/>
                  <w:marBottom w:val="0"/>
                  <w:divBdr>
                    <w:top w:val="none" w:sz="0" w:space="0" w:color="auto"/>
                    <w:left w:val="none" w:sz="0" w:space="0" w:color="auto"/>
                    <w:bottom w:val="none" w:sz="0" w:space="0" w:color="auto"/>
                    <w:right w:val="none" w:sz="0" w:space="0" w:color="auto"/>
                  </w:divBdr>
                  <w:divsChild>
                    <w:div w:id="516427236">
                      <w:marLeft w:val="0"/>
                      <w:marRight w:val="0"/>
                      <w:marTop w:val="0"/>
                      <w:marBottom w:val="0"/>
                      <w:divBdr>
                        <w:top w:val="none" w:sz="0" w:space="0" w:color="auto"/>
                        <w:left w:val="none" w:sz="0" w:space="0" w:color="auto"/>
                        <w:bottom w:val="none" w:sz="0" w:space="0" w:color="auto"/>
                        <w:right w:val="none" w:sz="0" w:space="0" w:color="auto"/>
                      </w:divBdr>
                      <w:divsChild>
                        <w:div w:id="1916696168">
                          <w:marLeft w:val="0"/>
                          <w:marRight w:val="0"/>
                          <w:marTop w:val="0"/>
                          <w:marBottom w:val="0"/>
                          <w:divBdr>
                            <w:top w:val="none" w:sz="0" w:space="0" w:color="auto"/>
                            <w:left w:val="none" w:sz="0" w:space="0" w:color="auto"/>
                            <w:bottom w:val="none" w:sz="0" w:space="0" w:color="auto"/>
                            <w:right w:val="none" w:sz="0" w:space="0" w:color="auto"/>
                          </w:divBdr>
                          <w:divsChild>
                            <w:div w:id="1360273430">
                              <w:marLeft w:val="0"/>
                              <w:marRight w:val="0"/>
                              <w:marTop w:val="0"/>
                              <w:marBottom w:val="0"/>
                              <w:divBdr>
                                <w:top w:val="none" w:sz="0" w:space="0" w:color="auto"/>
                                <w:left w:val="none" w:sz="0" w:space="0" w:color="auto"/>
                                <w:bottom w:val="none" w:sz="0" w:space="0" w:color="auto"/>
                                <w:right w:val="none" w:sz="0" w:space="0" w:color="auto"/>
                              </w:divBdr>
                              <w:divsChild>
                                <w:div w:id="1901820321">
                                  <w:marLeft w:val="0"/>
                                  <w:marRight w:val="0"/>
                                  <w:marTop w:val="0"/>
                                  <w:marBottom w:val="0"/>
                                  <w:divBdr>
                                    <w:top w:val="none" w:sz="0" w:space="0" w:color="auto"/>
                                    <w:left w:val="none" w:sz="0" w:space="0" w:color="auto"/>
                                    <w:bottom w:val="none" w:sz="0" w:space="0" w:color="auto"/>
                                    <w:right w:val="none" w:sz="0" w:space="0" w:color="auto"/>
                                  </w:divBdr>
                                  <w:divsChild>
                                    <w:div w:id="1833983986">
                                      <w:marLeft w:val="0"/>
                                      <w:marRight w:val="0"/>
                                      <w:marTop w:val="0"/>
                                      <w:marBottom w:val="0"/>
                                      <w:divBdr>
                                        <w:top w:val="single" w:sz="6" w:space="0" w:color="FFFFFF"/>
                                        <w:left w:val="single" w:sz="6" w:space="14" w:color="CCCCCC"/>
                                        <w:bottom w:val="single" w:sz="6" w:space="0" w:color="FFFFFF"/>
                                        <w:right w:val="single" w:sz="2" w:space="0" w:color="FFFFFF"/>
                                      </w:divBdr>
                                      <w:divsChild>
                                        <w:div w:id="1015234377">
                                          <w:marLeft w:val="0"/>
                                          <w:marRight w:val="0"/>
                                          <w:marTop w:val="0"/>
                                          <w:marBottom w:val="0"/>
                                          <w:divBdr>
                                            <w:top w:val="none" w:sz="0" w:space="0" w:color="auto"/>
                                            <w:left w:val="none" w:sz="0" w:space="0" w:color="auto"/>
                                            <w:bottom w:val="none" w:sz="0" w:space="0" w:color="auto"/>
                                            <w:right w:val="none" w:sz="0" w:space="0" w:color="auto"/>
                                          </w:divBdr>
                                          <w:divsChild>
                                            <w:div w:id="471866942">
                                              <w:blockQuote w:val="1"/>
                                              <w:marLeft w:val="960"/>
                                              <w:marRight w:val="0"/>
                                              <w:marTop w:val="0"/>
                                              <w:marBottom w:val="0"/>
                                              <w:divBdr>
                                                <w:top w:val="none" w:sz="0" w:space="0" w:color="auto"/>
                                                <w:left w:val="none" w:sz="0" w:space="0" w:color="auto"/>
                                                <w:bottom w:val="none" w:sz="0" w:space="0" w:color="auto"/>
                                                <w:right w:val="none" w:sz="0" w:space="0" w:color="auto"/>
                                              </w:divBdr>
                                              <w:divsChild>
                                                <w:div w:id="1540816957">
                                                  <w:blockQuote w:val="1"/>
                                                  <w:marLeft w:val="960"/>
                                                  <w:marRight w:val="0"/>
                                                  <w:marTop w:val="0"/>
                                                  <w:marBottom w:val="0"/>
                                                  <w:divBdr>
                                                    <w:top w:val="none" w:sz="0" w:space="0" w:color="auto"/>
                                                    <w:left w:val="none" w:sz="0" w:space="0" w:color="auto"/>
                                                    <w:bottom w:val="none" w:sz="0" w:space="0" w:color="auto"/>
                                                    <w:right w:val="none" w:sz="0" w:space="0" w:color="auto"/>
                                                  </w:divBdr>
                                                  <w:divsChild>
                                                    <w:div w:id="1750695510">
                                                      <w:blockQuote w:val="1"/>
                                                      <w:marLeft w:val="960"/>
                                                      <w:marRight w:val="0"/>
                                                      <w:marTop w:val="0"/>
                                                      <w:marBottom w:val="0"/>
                                                      <w:divBdr>
                                                        <w:top w:val="none" w:sz="0" w:space="0" w:color="auto"/>
                                                        <w:left w:val="none" w:sz="0" w:space="0" w:color="auto"/>
                                                        <w:bottom w:val="none" w:sz="0" w:space="0" w:color="auto"/>
                                                        <w:right w:val="none" w:sz="0" w:space="0" w:color="auto"/>
                                                      </w:divBdr>
                                                      <w:divsChild>
                                                        <w:div w:id="1220089890">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418761">
      <w:bodyDiv w:val="1"/>
      <w:marLeft w:val="0"/>
      <w:marRight w:val="0"/>
      <w:marTop w:val="0"/>
      <w:marBottom w:val="0"/>
      <w:divBdr>
        <w:top w:val="none" w:sz="0" w:space="0" w:color="auto"/>
        <w:left w:val="none" w:sz="0" w:space="0" w:color="auto"/>
        <w:bottom w:val="none" w:sz="0" w:space="0" w:color="auto"/>
        <w:right w:val="none" w:sz="0" w:space="0" w:color="auto"/>
      </w:divBdr>
      <w:divsChild>
        <w:div w:id="1707758526">
          <w:marLeft w:val="0"/>
          <w:marRight w:val="0"/>
          <w:marTop w:val="0"/>
          <w:marBottom w:val="0"/>
          <w:divBdr>
            <w:top w:val="none" w:sz="0" w:space="0" w:color="auto"/>
            <w:left w:val="none" w:sz="0" w:space="0" w:color="auto"/>
            <w:bottom w:val="none" w:sz="0" w:space="0" w:color="auto"/>
            <w:right w:val="none" w:sz="0" w:space="0" w:color="auto"/>
          </w:divBdr>
          <w:divsChild>
            <w:div w:id="1042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1728">
      <w:bodyDiv w:val="1"/>
      <w:marLeft w:val="0"/>
      <w:marRight w:val="0"/>
      <w:marTop w:val="0"/>
      <w:marBottom w:val="0"/>
      <w:divBdr>
        <w:top w:val="none" w:sz="0" w:space="0" w:color="auto"/>
        <w:left w:val="none" w:sz="0" w:space="0" w:color="auto"/>
        <w:bottom w:val="none" w:sz="0" w:space="0" w:color="auto"/>
        <w:right w:val="none" w:sz="0" w:space="0" w:color="auto"/>
      </w:divBdr>
      <w:divsChild>
        <w:div w:id="544294087">
          <w:marLeft w:val="300"/>
          <w:marRight w:val="300"/>
          <w:marTop w:val="0"/>
          <w:marBottom w:val="0"/>
          <w:divBdr>
            <w:top w:val="none" w:sz="0" w:space="0" w:color="auto"/>
            <w:left w:val="none" w:sz="0" w:space="0" w:color="auto"/>
            <w:bottom w:val="none" w:sz="0" w:space="0" w:color="auto"/>
            <w:right w:val="none" w:sz="0" w:space="0" w:color="auto"/>
          </w:divBdr>
          <w:divsChild>
            <w:div w:id="1878882924">
              <w:marLeft w:val="0"/>
              <w:marRight w:val="0"/>
              <w:marTop w:val="0"/>
              <w:marBottom w:val="150"/>
              <w:divBdr>
                <w:top w:val="none" w:sz="0" w:space="0" w:color="auto"/>
                <w:left w:val="none" w:sz="0" w:space="0" w:color="auto"/>
                <w:bottom w:val="none" w:sz="0" w:space="0" w:color="auto"/>
                <w:right w:val="none" w:sz="0" w:space="0" w:color="auto"/>
              </w:divBdr>
              <w:divsChild>
                <w:div w:id="1498770639">
                  <w:marLeft w:val="0"/>
                  <w:marRight w:val="0"/>
                  <w:marTop w:val="0"/>
                  <w:marBottom w:val="0"/>
                  <w:divBdr>
                    <w:top w:val="none" w:sz="0" w:space="0" w:color="auto"/>
                    <w:left w:val="none" w:sz="0" w:space="0" w:color="auto"/>
                    <w:bottom w:val="none" w:sz="0" w:space="0" w:color="auto"/>
                    <w:right w:val="none" w:sz="0" w:space="0" w:color="auto"/>
                  </w:divBdr>
                  <w:divsChild>
                    <w:div w:id="114568397">
                      <w:marLeft w:val="0"/>
                      <w:marRight w:val="0"/>
                      <w:marTop w:val="0"/>
                      <w:marBottom w:val="0"/>
                      <w:divBdr>
                        <w:top w:val="none" w:sz="0" w:space="0" w:color="auto"/>
                        <w:left w:val="none" w:sz="0" w:space="0" w:color="auto"/>
                        <w:bottom w:val="none" w:sz="0" w:space="0" w:color="auto"/>
                        <w:right w:val="none" w:sz="0" w:space="0" w:color="auto"/>
                      </w:divBdr>
                      <w:divsChild>
                        <w:div w:id="2085759042">
                          <w:marLeft w:val="0"/>
                          <w:marRight w:val="0"/>
                          <w:marTop w:val="0"/>
                          <w:marBottom w:val="0"/>
                          <w:divBdr>
                            <w:top w:val="none" w:sz="0" w:space="0" w:color="auto"/>
                            <w:left w:val="none" w:sz="0" w:space="0" w:color="auto"/>
                            <w:bottom w:val="none" w:sz="0" w:space="0" w:color="auto"/>
                            <w:right w:val="none" w:sz="0" w:space="0" w:color="auto"/>
                          </w:divBdr>
                          <w:divsChild>
                            <w:div w:id="8624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61437">
      <w:bodyDiv w:val="1"/>
      <w:marLeft w:val="0"/>
      <w:marRight w:val="0"/>
      <w:marTop w:val="0"/>
      <w:marBottom w:val="0"/>
      <w:divBdr>
        <w:top w:val="none" w:sz="0" w:space="0" w:color="auto"/>
        <w:left w:val="none" w:sz="0" w:space="0" w:color="auto"/>
        <w:bottom w:val="none" w:sz="0" w:space="0" w:color="auto"/>
        <w:right w:val="none" w:sz="0" w:space="0" w:color="auto"/>
      </w:divBdr>
      <w:divsChild>
        <w:div w:id="1402213816">
          <w:marLeft w:val="0"/>
          <w:marRight w:val="0"/>
          <w:marTop w:val="0"/>
          <w:marBottom w:val="0"/>
          <w:divBdr>
            <w:top w:val="none" w:sz="0" w:space="0" w:color="auto"/>
            <w:left w:val="none" w:sz="0" w:space="0" w:color="auto"/>
            <w:bottom w:val="none" w:sz="0" w:space="0" w:color="auto"/>
            <w:right w:val="none" w:sz="0" w:space="0" w:color="auto"/>
          </w:divBdr>
          <w:divsChild>
            <w:div w:id="6260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9754">
      <w:bodyDiv w:val="1"/>
      <w:marLeft w:val="0"/>
      <w:marRight w:val="0"/>
      <w:marTop w:val="0"/>
      <w:marBottom w:val="0"/>
      <w:divBdr>
        <w:top w:val="none" w:sz="0" w:space="0" w:color="auto"/>
        <w:left w:val="none" w:sz="0" w:space="0" w:color="auto"/>
        <w:bottom w:val="none" w:sz="0" w:space="0" w:color="auto"/>
        <w:right w:val="none" w:sz="0" w:space="0" w:color="auto"/>
      </w:divBdr>
    </w:div>
    <w:div w:id="866677077">
      <w:bodyDiv w:val="1"/>
      <w:marLeft w:val="0"/>
      <w:marRight w:val="0"/>
      <w:marTop w:val="0"/>
      <w:marBottom w:val="0"/>
      <w:divBdr>
        <w:top w:val="none" w:sz="0" w:space="0" w:color="auto"/>
        <w:left w:val="none" w:sz="0" w:space="0" w:color="auto"/>
        <w:bottom w:val="none" w:sz="0" w:space="0" w:color="auto"/>
        <w:right w:val="none" w:sz="0" w:space="0" w:color="auto"/>
      </w:divBdr>
    </w:div>
    <w:div w:id="880214647">
      <w:bodyDiv w:val="1"/>
      <w:marLeft w:val="0"/>
      <w:marRight w:val="0"/>
      <w:marTop w:val="0"/>
      <w:marBottom w:val="0"/>
      <w:divBdr>
        <w:top w:val="none" w:sz="0" w:space="0" w:color="auto"/>
        <w:left w:val="none" w:sz="0" w:space="0" w:color="auto"/>
        <w:bottom w:val="none" w:sz="0" w:space="0" w:color="auto"/>
        <w:right w:val="none" w:sz="0" w:space="0" w:color="auto"/>
      </w:divBdr>
      <w:divsChild>
        <w:div w:id="611933909">
          <w:marLeft w:val="0"/>
          <w:marRight w:val="0"/>
          <w:marTop w:val="0"/>
          <w:marBottom w:val="0"/>
          <w:divBdr>
            <w:top w:val="none" w:sz="0" w:space="0" w:color="auto"/>
            <w:left w:val="none" w:sz="0" w:space="0" w:color="auto"/>
            <w:bottom w:val="none" w:sz="0" w:space="0" w:color="auto"/>
            <w:right w:val="none" w:sz="0" w:space="0" w:color="auto"/>
          </w:divBdr>
          <w:divsChild>
            <w:div w:id="7171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91056465">
          <w:marLeft w:val="0"/>
          <w:marRight w:val="0"/>
          <w:marTop w:val="0"/>
          <w:marBottom w:val="0"/>
          <w:divBdr>
            <w:top w:val="none" w:sz="0" w:space="0" w:color="auto"/>
            <w:left w:val="none" w:sz="0" w:space="0" w:color="auto"/>
            <w:bottom w:val="none" w:sz="0" w:space="0" w:color="auto"/>
            <w:right w:val="none" w:sz="0" w:space="0" w:color="auto"/>
          </w:divBdr>
          <w:divsChild>
            <w:div w:id="16419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8492">
      <w:bodyDiv w:val="1"/>
      <w:marLeft w:val="0"/>
      <w:marRight w:val="0"/>
      <w:marTop w:val="0"/>
      <w:marBottom w:val="0"/>
      <w:divBdr>
        <w:top w:val="none" w:sz="0" w:space="0" w:color="auto"/>
        <w:left w:val="none" w:sz="0" w:space="0" w:color="auto"/>
        <w:bottom w:val="none" w:sz="0" w:space="0" w:color="auto"/>
        <w:right w:val="none" w:sz="0" w:space="0" w:color="auto"/>
      </w:divBdr>
    </w:div>
    <w:div w:id="908611190">
      <w:bodyDiv w:val="1"/>
      <w:marLeft w:val="0"/>
      <w:marRight w:val="0"/>
      <w:marTop w:val="0"/>
      <w:marBottom w:val="0"/>
      <w:divBdr>
        <w:top w:val="none" w:sz="0" w:space="0" w:color="auto"/>
        <w:left w:val="none" w:sz="0" w:space="0" w:color="auto"/>
        <w:bottom w:val="none" w:sz="0" w:space="0" w:color="auto"/>
        <w:right w:val="none" w:sz="0" w:space="0" w:color="auto"/>
      </w:divBdr>
      <w:divsChild>
        <w:div w:id="1897281531">
          <w:marLeft w:val="0"/>
          <w:marRight w:val="0"/>
          <w:marTop w:val="0"/>
          <w:marBottom w:val="0"/>
          <w:divBdr>
            <w:top w:val="none" w:sz="0" w:space="0" w:color="auto"/>
            <w:left w:val="none" w:sz="0" w:space="0" w:color="auto"/>
            <w:bottom w:val="none" w:sz="0" w:space="0" w:color="auto"/>
            <w:right w:val="none" w:sz="0" w:space="0" w:color="auto"/>
          </w:divBdr>
          <w:divsChild>
            <w:div w:id="20570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5523">
      <w:bodyDiv w:val="1"/>
      <w:marLeft w:val="0"/>
      <w:marRight w:val="0"/>
      <w:marTop w:val="0"/>
      <w:marBottom w:val="0"/>
      <w:divBdr>
        <w:top w:val="none" w:sz="0" w:space="0" w:color="auto"/>
        <w:left w:val="none" w:sz="0" w:space="0" w:color="auto"/>
        <w:bottom w:val="none" w:sz="0" w:space="0" w:color="auto"/>
        <w:right w:val="none" w:sz="0" w:space="0" w:color="auto"/>
      </w:divBdr>
    </w:div>
    <w:div w:id="922685466">
      <w:bodyDiv w:val="1"/>
      <w:marLeft w:val="0"/>
      <w:marRight w:val="0"/>
      <w:marTop w:val="0"/>
      <w:marBottom w:val="0"/>
      <w:divBdr>
        <w:top w:val="none" w:sz="0" w:space="0" w:color="auto"/>
        <w:left w:val="none" w:sz="0" w:space="0" w:color="auto"/>
        <w:bottom w:val="none" w:sz="0" w:space="0" w:color="auto"/>
        <w:right w:val="none" w:sz="0" w:space="0" w:color="auto"/>
      </w:divBdr>
      <w:divsChild>
        <w:div w:id="1606502373">
          <w:marLeft w:val="300"/>
          <w:marRight w:val="300"/>
          <w:marTop w:val="0"/>
          <w:marBottom w:val="0"/>
          <w:divBdr>
            <w:top w:val="none" w:sz="0" w:space="0" w:color="auto"/>
            <w:left w:val="none" w:sz="0" w:space="0" w:color="auto"/>
            <w:bottom w:val="none" w:sz="0" w:space="0" w:color="auto"/>
            <w:right w:val="none" w:sz="0" w:space="0" w:color="auto"/>
          </w:divBdr>
          <w:divsChild>
            <w:div w:id="481503688">
              <w:marLeft w:val="0"/>
              <w:marRight w:val="0"/>
              <w:marTop w:val="0"/>
              <w:marBottom w:val="150"/>
              <w:divBdr>
                <w:top w:val="none" w:sz="0" w:space="0" w:color="auto"/>
                <w:left w:val="none" w:sz="0" w:space="0" w:color="auto"/>
                <w:bottom w:val="none" w:sz="0" w:space="0" w:color="auto"/>
                <w:right w:val="none" w:sz="0" w:space="0" w:color="auto"/>
              </w:divBdr>
              <w:divsChild>
                <w:div w:id="1253901423">
                  <w:marLeft w:val="0"/>
                  <w:marRight w:val="0"/>
                  <w:marTop w:val="0"/>
                  <w:marBottom w:val="0"/>
                  <w:divBdr>
                    <w:top w:val="none" w:sz="0" w:space="0" w:color="auto"/>
                    <w:left w:val="none" w:sz="0" w:space="0" w:color="auto"/>
                    <w:bottom w:val="none" w:sz="0" w:space="0" w:color="auto"/>
                    <w:right w:val="none" w:sz="0" w:space="0" w:color="auto"/>
                  </w:divBdr>
                  <w:divsChild>
                    <w:div w:id="1946497566">
                      <w:marLeft w:val="0"/>
                      <w:marRight w:val="0"/>
                      <w:marTop w:val="0"/>
                      <w:marBottom w:val="0"/>
                      <w:divBdr>
                        <w:top w:val="none" w:sz="0" w:space="0" w:color="auto"/>
                        <w:left w:val="none" w:sz="0" w:space="0" w:color="auto"/>
                        <w:bottom w:val="none" w:sz="0" w:space="0" w:color="auto"/>
                        <w:right w:val="none" w:sz="0" w:space="0" w:color="auto"/>
                      </w:divBdr>
                      <w:divsChild>
                        <w:div w:id="336811741">
                          <w:marLeft w:val="0"/>
                          <w:marRight w:val="0"/>
                          <w:marTop w:val="0"/>
                          <w:marBottom w:val="0"/>
                          <w:divBdr>
                            <w:top w:val="none" w:sz="0" w:space="0" w:color="auto"/>
                            <w:left w:val="none" w:sz="0" w:space="0" w:color="auto"/>
                            <w:bottom w:val="none" w:sz="0" w:space="0" w:color="auto"/>
                            <w:right w:val="none" w:sz="0" w:space="0" w:color="auto"/>
                          </w:divBdr>
                          <w:divsChild>
                            <w:div w:id="12284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80076">
      <w:bodyDiv w:val="1"/>
      <w:marLeft w:val="0"/>
      <w:marRight w:val="0"/>
      <w:marTop w:val="0"/>
      <w:marBottom w:val="0"/>
      <w:divBdr>
        <w:top w:val="none" w:sz="0" w:space="0" w:color="auto"/>
        <w:left w:val="none" w:sz="0" w:space="0" w:color="auto"/>
        <w:bottom w:val="none" w:sz="0" w:space="0" w:color="auto"/>
        <w:right w:val="none" w:sz="0" w:space="0" w:color="auto"/>
      </w:divBdr>
      <w:divsChild>
        <w:div w:id="1160847954">
          <w:marLeft w:val="0"/>
          <w:marRight w:val="0"/>
          <w:marTop w:val="0"/>
          <w:marBottom w:val="0"/>
          <w:divBdr>
            <w:top w:val="none" w:sz="0" w:space="0" w:color="auto"/>
            <w:left w:val="none" w:sz="0" w:space="0" w:color="auto"/>
            <w:bottom w:val="none" w:sz="0" w:space="0" w:color="auto"/>
            <w:right w:val="none" w:sz="0" w:space="0" w:color="auto"/>
          </w:divBdr>
          <w:divsChild>
            <w:div w:id="20868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422">
      <w:bodyDiv w:val="1"/>
      <w:marLeft w:val="0"/>
      <w:marRight w:val="0"/>
      <w:marTop w:val="0"/>
      <w:marBottom w:val="0"/>
      <w:divBdr>
        <w:top w:val="none" w:sz="0" w:space="0" w:color="auto"/>
        <w:left w:val="none" w:sz="0" w:space="0" w:color="auto"/>
        <w:bottom w:val="none" w:sz="0" w:space="0" w:color="auto"/>
        <w:right w:val="none" w:sz="0" w:space="0" w:color="auto"/>
      </w:divBdr>
      <w:divsChild>
        <w:div w:id="1355307509">
          <w:marLeft w:val="0"/>
          <w:marRight w:val="0"/>
          <w:marTop w:val="0"/>
          <w:marBottom w:val="0"/>
          <w:divBdr>
            <w:top w:val="none" w:sz="0" w:space="0" w:color="auto"/>
            <w:left w:val="none" w:sz="0" w:space="0" w:color="auto"/>
            <w:bottom w:val="none" w:sz="0" w:space="0" w:color="auto"/>
            <w:right w:val="none" w:sz="0" w:space="0" w:color="auto"/>
          </w:divBdr>
          <w:divsChild>
            <w:div w:id="18550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3115">
      <w:bodyDiv w:val="1"/>
      <w:marLeft w:val="0"/>
      <w:marRight w:val="0"/>
      <w:marTop w:val="0"/>
      <w:marBottom w:val="0"/>
      <w:divBdr>
        <w:top w:val="none" w:sz="0" w:space="0" w:color="auto"/>
        <w:left w:val="none" w:sz="0" w:space="0" w:color="auto"/>
        <w:bottom w:val="none" w:sz="0" w:space="0" w:color="auto"/>
        <w:right w:val="none" w:sz="0" w:space="0" w:color="auto"/>
      </w:divBdr>
      <w:divsChild>
        <w:div w:id="400295301">
          <w:marLeft w:val="0"/>
          <w:marRight w:val="0"/>
          <w:marTop w:val="0"/>
          <w:marBottom w:val="0"/>
          <w:divBdr>
            <w:top w:val="none" w:sz="0" w:space="0" w:color="auto"/>
            <w:left w:val="none" w:sz="0" w:space="0" w:color="auto"/>
            <w:bottom w:val="none" w:sz="0" w:space="0" w:color="auto"/>
            <w:right w:val="none" w:sz="0" w:space="0" w:color="auto"/>
          </w:divBdr>
          <w:divsChild>
            <w:div w:id="11767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315">
      <w:bodyDiv w:val="1"/>
      <w:marLeft w:val="0"/>
      <w:marRight w:val="0"/>
      <w:marTop w:val="0"/>
      <w:marBottom w:val="0"/>
      <w:divBdr>
        <w:top w:val="none" w:sz="0" w:space="0" w:color="auto"/>
        <w:left w:val="none" w:sz="0" w:space="0" w:color="auto"/>
        <w:bottom w:val="none" w:sz="0" w:space="0" w:color="auto"/>
        <w:right w:val="none" w:sz="0" w:space="0" w:color="auto"/>
      </w:divBdr>
      <w:divsChild>
        <w:div w:id="1278374157">
          <w:marLeft w:val="300"/>
          <w:marRight w:val="300"/>
          <w:marTop w:val="0"/>
          <w:marBottom w:val="0"/>
          <w:divBdr>
            <w:top w:val="none" w:sz="0" w:space="0" w:color="auto"/>
            <w:left w:val="none" w:sz="0" w:space="0" w:color="auto"/>
            <w:bottom w:val="none" w:sz="0" w:space="0" w:color="auto"/>
            <w:right w:val="none" w:sz="0" w:space="0" w:color="auto"/>
          </w:divBdr>
          <w:divsChild>
            <w:div w:id="1087194142">
              <w:marLeft w:val="0"/>
              <w:marRight w:val="0"/>
              <w:marTop w:val="0"/>
              <w:marBottom w:val="150"/>
              <w:divBdr>
                <w:top w:val="none" w:sz="0" w:space="0" w:color="auto"/>
                <w:left w:val="none" w:sz="0" w:space="0" w:color="auto"/>
                <w:bottom w:val="none" w:sz="0" w:space="0" w:color="auto"/>
                <w:right w:val="none" w:sz="0" w:space="0" w:color="auto"/>
              </w:divBdr>
              <w:divsChild>
                <w:div w:id="878276891">
                  <w:marLeft w:val="0"/>
                  <w:marRight w:val="0"/>
                  <w:marTop w:val="0"/>
                  <w:marBottom w:val="0"/>
                  <w:divBdr>
                    <w:top w:val="none" w:sz="0" w:space="0" w:color="auto"/>
                    <w:left w:val="none" w:sz="0" w:space="0" w:color="auto"/>
                    <w:bottom w:val="none" w:sz="0" w:space="0" w:color="auto"/>
                    <w:right w:val="none" w:sz="0" w:space="0" w:color="auto"/>
                  </w:divBdr>
                  <w:divsChild>
                    <w:div w:id="210118547">
                      <w:marLeft w:val="0"/>
                      <w:marRight w:val="0"/>
                      <w:marTop w:val="0"/>
                      <w:marBottom w:val="0"/>
                      <w:divBdr>
                        <w:top w:val="none" w:sz="0" w:space="0" w:color="auto"/>
                        <w:left w:val="none" w:sz="0" w:space="0" w:color="auto"/>
                        <w:bottom w:val="none" w:sz="0" w:space="0" w:color="auto"/>
                        <w:right w:val="none" w:sz="0" w:space="0" w:color="auto"/>
                      </w:divBdr>
                      <w:divsChild>
                        <w:div w:id="1137916605">
                          <w:marLeft w:val="0"/>
                          <w:marRight w:val="0"/>
                          <w:marTop w:val="0"/>
                          <w:marBottom w:val="0"/>
                          <w:divBdr>
                            <w:top w:val="none" w:sz="0" w:space="0" w:color="auto"/>
                            <w:left w:val="none" w:sz="0" w:space="0" w:color="auto"/>
                            <w:bottom w:val="none" w:sz="0" w:space="0" w:color="auto"/>
                            <w:right w:val="none" w:sz="0" w:space="0" w:color="auto"/>
                          </w:divBdr>
                          <w:divsChild>
                            <w:div w:id="18809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655535">
      <w:bodyDiv w:val="1"/>
      <w:marLeft w:val="0"/>
      <w:marRight w:val="0"/>
      <w:marTop w:val="0"/>
      <w:marBottom w:val="0"/>
      <w:divBdr>
        <w:top w:val="none" w:sz="0" w:space="0" w:color="auto"/>
        <w:left w:val="none" w:sz="0" w:space="0" w:color="auto"/>
        <w:bottom w:val="none" w:sz="0" w:space="0" w:color="auto"/>
        <w:right w:val="none" w:sz="0" w:space="0" w:color="auto"/>
      </w:divBdr>
      <w:divsChild>
        <w:div w:id="614408182">
          <w:marLeft w:val="0"/>
          <w:marRight w:val="0"/>
          <w:marTop w:val="0"/>
          <w:marBottom w:val="0"/>
          <w:divBdr>
            <w:top w:val="none" w:sz="0" w:space="0" w:color="auto"/>
            <w:left w:val="none" w:sz="0" w:space="0" w:color="auto"/>
            <w:bottom w:val="none" w:sz="0" w:space="0" w:color="auto"/>
            <w:right w:val="none" w:sz="0" w:space="0" w:color="auto"/>
          </w:divBdr>
          <w:divsChild>
            <w:div w:id="18341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2344">
      <w:bodyDiv w:val="1"/>
      <w:marLeft w:val="0"/>
      <w:marRight w:val="0"/>
      <w:marTop w:val="0"/>
      <w:marBottom w:val="0"/>
      <w:divBdr>
        <w:top w:val="none" w:sz="0" w:space="0" w:color="auto"/>
        <w:left w:val="none" w:sz="0" w:space="0" w:color="auto"/>
        <w:bottom w:val="none" w:sz="0" w:space="0" w:color="auto"/>
        <w:right w:val="none" w:sz="0" w:space="0" w:color="auto"/>
      </w:divBdr>
    </w:div>
    <w:div w:id="955790200">
      <w:bodyDiv w:val="1"/>
      <w:marLeft w:val="0"/>
      <w:marRight w:val="0"/>
      <w:marTop w:val="23"/>
      <w:marBottom w:val="576"/>
      <w:divBdr>
        <w:top w:val="none" w:sz="0" w:space="0" w:color="auto"/>
        <w:left w:val="none" w:sz="0" w:space="0" w:color="auto"/>
        <w:bottom w:val="none" w:sz="0" w:space="0" w:color="auto"/>
        <w:right w:val="none" w:sz="0" w:space="0" w:color="auto"/>
      </w:divBdr>
      <w:divsChild>
        <w:div w:id="567426531">
          <w:marLeft w:val="0"/>
          <w:marRight w:val="0"/>
          <w:marTop w:val="0"/>
          <w:marBottom w:val="0"/>
          <w:divBdr>
            <w:top w:val="none" w:sz="0" w:space="0" w:color="auto"/>
            <w:left w:val="none" w:sz="0" w:space="0" w:color="auto"/>
            <w:bottom w:val="none" w:sz="0" w:space="0" w:color="auto"/>
            <w:right w:val="none" w:sz="0" w:space="0" w:color="auto"/>
          </w:divBdr>
        </w:div>
      </w:divsChild>
    </w:div>
    <w:div w:id="957680695">
      <w:bodyDiv w:val="1"/>
      <w:marLeft w:val="0"/>
      <w:marRight w:val="0"/>
      <w:marTop w:val="0"/>
      <w:marBottom w:val="0"/>
      <w:divBdr>
        <w:top w:val="none" w:sz="0" w:space="0" w:color="auto"/>
        <w:left w:val="none" w:sz="0" w:space="0" w:color="auto"/>
        <w:bottom w:val="none" w:sz="0" w:space="0" w:color="auto"/>
        <w:right w:val="none" w:sz="0" w:space="0" w:color="auto"/>
      </w:divBdr>
      <w:divsChild>
        <w:div w:id="1012953534">
          <w:marLeft w:val="0"/>
          <w:marRight w:val="0"/>
          <w:marTop w:val="0"/>
          <w:marBottom w:val="0"/>
          <w:divBdr>
            <w:top w:val="none" w:sz="0" w:space="0" w:color="auto"/>
            <w:left w:val="none" w:sz="0" w:space="0" w:color="auto"/>
            <w:bottom w:val="none" w:sz="0" w:space="0" w:color="auto"/>
            <w:right w:val="none" w:sz="0" w:space="0" w:color="auto"/>
          </w:divBdr>
          <w:divsChild>
            <w:div w:id="21463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31">
      <w:bodyDiv w:val="1"/>
      <w:marLeft w:val="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4445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178">
      <w:bodyDiv w:val="1"/>
      <w:marLeft w:val="0"/>
      <w:marRight w:val="0"/>
      <w:marTop w:val="0"/>
      <w:marBottom w:val="0"/>
      <w:divBdr>
        <w:top w:val="none" w:sz="0" w:space="0" w:color="auto"/>
        <w:left w:val="none" w:sz="0" w:space="0" w:color="auto"/>
        <w:bottom w:val="none" w:sz="0" w:space="0" w:color="auto"/>
        <w:right w:val="none" w:sz="0" w:space="0" w:color="auto"/>
      </w:divBdr>
      <w:divsChild>
        <w:div w:id="162164732">
          <w:marLeft w:val="0"/>
          <w:marRight w:val="0"/>
          <w:marTop w:val="0"/>
          <w:marBottom w:val="0"/>
          <w:divBdr>
            <w:top w:val="none" w:sz="0" w:space="0" w:color="auto"/>
            <w:left w:val="none" w:sz="0" w:space="0" w:color="auto"/>
            <w:bottom w:val="none" w:sz="0" w:space="0" w:color="auto"/>
            <w:right w:val="none" w:sz="0" w:space="0" w:color="auto"/>
          </w:divBdr>
          <w:divsChild>
            <w:div w:id="12721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6650">
      <w:bodyDiv w:val="1"/>
      <w:marLeft w:val="0"/>
      <w:marRight w:val="0"/>
      <w:marTop w:val="0"/>
      <w:marBottom w:val="0"/>
      <w:divBdr>
        <w:top w:val="none" w:sz="0" w:space="0" w:color="auto"/>
        <w:left w:val="none" w:sz="0" w:space="0" w:color="auto"/>
        <w:bottom w:val="none" w:sz="0" w:space="0" w:color="auto"/>
        <w:right w:val="none" w:sz="0" w:space="0" w:color="auto"/>
      </w:divBdr>
      <w:divsChild>
        <w:div w:id="636304955">
          <w:marLeft w:val="600"/>
          <w:marRight w:val="0"/>
          <w:marTop w:val="240"/>
          <w:marBottom w:val="240"/>
          <w:divBdr>
            <w:top w:val="none" w:sz="0" w:space="0" w:color="auto"/>
            <w:left w:val="none" w:sz="0" w:space="0" w:color="auto"/>
            <w:bottom w:val="none" w:sz="0" w:space="0" w:color="auto"/>
            <w:right w:val="none" w:sz="0" w:space="0" w:color="auto"/>
          </w:divBdr>
          <w:divsChild>
            <w:div w:id="1401754423">
              <w:marLeft w:val="600"/>
              <w:marRight w:val="0"/>
              <w:marTop w:val="240"/>
              <w:marBottom w:val="240"/>
              <w:divBdr>
                <w:top w:val="none" w:sz="0" w:space="0" w:color="auto"/>
                <w:left w:val="none" w:sz="0" w:space="0" w:color="auto"/>
                <w:bottom w:val="none" w:sz="0" w:space="0" w:color="auto"/>
                <w:right w:val="none" w:sz="0" w:space="0" w:color="auto"/>
              </w:divBdr>
            </w:div>
            <w:div w:id="1735739251">
              <w:marLeft w:val="600"/>
              <w:marRight w:val="0"/>
              <w:marTop w:val="240"/>
              <w:marBottom w:val="240"/>
              <w:divBdr>
                <w:top w:val="none" w:sz="0" w:space="0" w:color="auto"/>
                <w:left w:val="none" w:sz="0" w:space="0" w:color="auto"/>
                <w:bottom w:val="none" w:sz="0" w:space="0" w:color="auto"/>
                <w:right w:val="none" w:sz="0" w:space="0" w:color="auto"/>
              </w:divBdr>
              <w:divsChild>
                <w:div w:id="841891995">
                  <w:marLeft w:val="600"/>
                  <w:marRight w:val="0"/>
                  <w:marTop w:val="240"/>
                  <w:marBottom w:val="240"/>
                  <w:divBdr>
                    <w:top w:val="none" w:sz="0" w:space="0" w:color="auto"/>
                    <w:left w:val="none" w:sz="0" w:space="0" w:color="auto"/>
                    <w:bottom w:val="none" w:sz="0" w:space="0" w:color="auto"/>
                    <w:right w:val="none" w:sz="0" w:space="0" w:color="auto"/>
                  </w:divBdr>
                </w:div>
                <w:div w:id="415908394">
                  <w:marLeft w:val="600"/>
                  <w:marRight w:val="0"/>
                  <w:marTop w:val="240"/>
                  <w:marBottom w:val="240"/>
                  <w:divBdr>
                    <w:top w:val="none" w:sz="0" w:space="0" w:color="auto"/>
                    <w:left w:val="none" w:sz="0" w:space="0" w:color="auto"/>
                    <w:bottom w:val="none" w:sz="0" w:space="0" w:color="auto"/>
                    <w:right w:val="none" w:sz="0" w:space="0" w:color="auto"/>
                  </w:divBdr>
                </w:div>
              </w:divsChild>
            </w:div>
            <w:div w:id="636185592">
              <w:marLeft w:val="600"/>
              <w:marRight w:val="0"/>
              <w:marTop w:val="240"/>
              <w:marBottom w:val="240"/>
              <w:divBdr>
                <w:top w:val="none" w:sz="0" w:space="0" w:color="auto"/>
                <w:left w:val="none" w:sz="0" w:space="0" w:color="auto"/>
                <w:bottom w:val="none" w:sz="0" w:space="0" w:color="auto"/>
                <w:right w:val="none" w:sz="0" w:space="0" w:color="auto"/>
              </w:divBdr>
            </w:div>
          </w:divsChild>
        </w:div>
        <w:div w:id="1771201268">
          <w:marLeft w:val="600"/>
          <w:marRight w:val="0"/>
          <w:marTop w:val="240"/>
          <w:marBottom w:val="240"/>
          <w:divBdr>
            <w:top w:val="none" w:sz="0" w:space="0" w:color="auto"/>
            <w:left w:val="none" w:sz="0" w:space="0" w:color="auto"/>
            <w:bottom w:val="none" w:sz="0" w:space="0" w:color="auto"/>
            <w:right w:val="none" w:sz="0" w:space="0" w:color="auto"/>
          </w:divBdr>
        </w:div>
        <w:div w:id="1249462979">
          <w:marLeft w:val="600"/>
          <w:marRight w:val="0"/>
          <w:marTop w:val="240"/>
          <w:marBottom w:val="240"/>
          <w:divBdr>
            <w:top w:val="none" w:sz="0" w:space="0" w:color="auto"/>
            <w:left w:val="none" w:sz="0" w:space="0" w:color="auto"/>
            <w:bottom w:val="none" w:sz="0" w:space="0" w:color="auto"/>
            <w:right w:val="none" w:sz="0" w:space="0" w:color="auto"/>
          </w:divBdr>
        </w:div>
        <w:div w:id="1162231417">
          <w:marLeft w:val="0"/>
          <w:marRight w:val="0"/>
          <w:marTop w:val="240"/>
          <w:marBottom w:val="240"/>
          <w:divBdr>
            <w:top w:val="none" w:sz="0" w:space="0" w:color="auto"/>
            <w:left w:val="none" w:sz="0" w:space="0" w:color="auto"/>
            <w:bottom w:val="none" w:sz="0" w:space="0" w:color="auto"/>
            <w:right w:val="none" w:sz="0" w:space="0" w:color="auto"/>
          </w:divBdr>
        </w:div>
        <w:div w:id="1010833390">
          <w:marLeft w:val="600"/>
          <w:marRight w:val="0"/>
          <w:marTop w:val="240"/>
          <w:marBottom w:val="240"/>
          <w:divBdr>
            <w:top w:val="none" w:sz="0" w:space="0" w:color="auto"/>
            <w:left w:val="none" w:sz="0" w:space="0" w:color="auto"/>
            <w:bottom w:val="none" w:sz="0" w:space="0" w:color="auto"/>
            <w:right w:val="none" w:sz="0" w:space="0" w:color="auto"/>
          </w:divBdr>
        </w:div>
        <w:div w:id="99301549">
          <w:marLeft w:val="600"/>
          <w:marRight w:val="0"/>
          <w:marTop w:val="240"/>
          <w:marBottom w:val="240"/>
          <w:divBdr>
            <w:top w:val="none" w:sz="0" w:space="0" w:color="auto"/>
            <w:left w:val="none" w:sz="0" w:space="0" w:color="auto"/>
            <w:bottom w:val="none" w:sz="0" w:space="0" w:color="auto"/>
            <w:right w:val="none" w:sz="0" w:space="0" w:color="auto"/>
          </w:divBdr>
        </w:div>
        <w:div w:id="1517309452">
          <w:marLeft w:val="0"/>
          <w:marRight w:val="0"/>
          <w:marTop w:val="240"/>
          <w:marBottom w:val="240"/>
          <w:divBdr>
            <w:top w:val="none" w:sz="0" w:space="0" w:color="auto"/>
            <w:left w:val="none" w:sz="0" w:space="0" w:color="auto"/>
            <w:bottom w:val="none" w:sz="0" w:space="0" w:color="auto"/>
            <w:right w:val="none" w:sz="0" w:space="0" w:color="auto"/>
          </w:divBdr>
        </w:div>
        <w:div w:id="1285041300">
          <w:marLeft w:val="0"/>
          <w:marRight w:val="0"/>
          <w:marTop w:val="240"/>
          <w:marBottom w:val="240"/>
          <w:divBdr>
            <w:top w:val="none" w:sz="0" w:space="0" w:color="auto"/>
            <w:left w:val="none" w:sz="0" w:space="0" w:color="auto"/>
            <w:bottom w:val="none" w:sz="0" w:space="0" w:color="auto"/>
            <w:right w:val="none" w:sz="0" w:space="0" w:color="auto"/>
          </w:divBdr>
        </w:div>
      </w:divsChild>
    </w:div>
    <w:div w:id="969556990">
      <w:bodyDiv w:val="1"/>
      <w:marLeft w:val="0"/>
      <w:marRight w:val="0"/>
      <w:marTop w:val="0"/>
      <w:marBottom w:val="0"/>
      <w:divBdr>
        <w:top w:val="none" w:sz="0" w:space="0" w:color="auto"/>
        <w:left w:val="none" w:sz="0" w:space="0" w:color="auto"/>
        <w:bottom w:val="none" w:sz="0" w:space="0" w:color="auto"/>
        <w:right w:val="none" w:sz="0" w:space="0" w:color="auto"/>
      </w:divBdr>
      <w:divsChild>
        <w:div w:id="162430095">
          <w:marLeft w:val="0"/>
          <w:marRight w:val="0"/>
          <w:marTop w:val="0"/>
          <w:marBottom w:val="0"/>
          <w:divBdr>
            <w:top w:val="none" w:sz="0" w:space="0" w:color="auto"/>
            <w:left w:val="none" w:sz="0" w:space="0" w:color="auto"/>
            <w:bottom w:val="none" w:sz="0" w:space="0" w:color="auto"/>
            <w:right w:val="none" w:sz="0" w:space="0" w:color="auto"/>
          </w:divBdr>
          <w:divsChild>
            <w:div w:id="618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6378">
      <w:bodyDiv w:val="1"/>
      <w:marLeft w:val="0"/>
      <w:marRight w:val="0"/>
      <w:marTop w:val="0"/>
      <w:marBottom w:val="0"/>
      <w:divBdr>
        <w:top w:val="none" w:sz="0" w:space="0" w:color="auto"/>
        <w:left w:val="none" w:sz="0" w:space="0" w:color="auto"/>
        <w:bottom w:val="none" w:sz="0" w:space="0" w:color="auto"/>
        <w:right w:val="none" w:sz="0" w:space="0" w:color="auto"/>
      </w:divBdr>
      <w:divsChild>
        <w:div w:id="273051627">
          <w:marLeft w:val="0"/>
          <w:marRight w:val="0"/>
          <w:marTop w:val="0"/>
          <w:marBottom w:val="0"/>
          <w:divBdr>
            <w:top w:val="none" w:sz="0" w:space="0" w:color="auto"/>
            <w:left w:val="none" w:sz="0" w:space="0" w:color="auto"/>
            <w:bottom w:val="none" w:sz="0" w:space="0" w:color="auto"/>
            <w:right w:val="none" w:sz="0" w:space="0" w:color="auto"/>
          </w:divBdr>
          <w:divsChild>
            <w:div w:id="11081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973">
      <w:bodyDiv w:val="1"/>
      <w:marLeft w:val="0"/>
      <w:marRight w:val="0"/>
      <w:marTop w:val="0"/>
      <w:marBottom w:val="0"/>
      <w:divBdr>
        <w:top w:val="none" w:sz="0" w:space="0" w:color="auto"/>
        <w:left w:val="none" w:sz="0" w:space="0" w:color="auto"/>
        <w:bottom w:val="none" w:sz="0" w:space="0" w:color="auto"/>
        <w:right w:val="none" w:sz="0" w:space="0" w:color="auto"/>
      </w:divBdr>
      <w:divsChild>
        <w:div w:id="149830902">
          <w:marLeft w:val="0"/>
          <w:marRight w:val="0"/>
          <w:marTop w:val="0"/>
          <w:marBottom w:val="0"/>
          <w:divBdr>
            <w:top w:val="none" w:sz="0" w:space="0" w:color="auto"/>
            <w:left w:val="none" w:sz="0" w:space="0" w:color="auto"/>
            <w:bottom w:val="none" w:sz="0" w:space="0" w:color="auto"/>
            <w:right w:val="none" w:sz="0" w:space="0" w:color="auto"/>
          </w:divBdr>
          <w:divsChild>
            <w:div w:id="5279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8975">
      <w:bodyDiv w:val="1"/>
      <w:marLeft w:val="0"/>
      <w:marRight w:val="0"/>
      <w:marTop w:val="0"/>
      <w:marBottom w:val="0"/>
      <w:divBdr>
        <w:top w:val="none" w:sz="0" w:space="0" w:color="auto"/>
        <w:left w:val="none" w:sz="0" w:space="0" w:color="auto"/>
        <w:bottom w:val="none" w:sz="0" w:space="0" w:color="auto"/>
        <w:right w:val="none" w:sz="0" w:space="0" w:color="auto"/>
      </w:divBdr>
      <w:divsChild>
        <w:div w:id="321399369">
          <w:marLeft w:val="300"/>
          <w:marRight w:val="300"/>
          <w:marTop w:val="0"/>
          <w:marBottom w:val="0"/>
          <w:divBdr>
            <w:top w:val="none" w:sz="0" w:space="0" w:color="auto"/>
            <w:left w:val="none" w:sz="0" w:space="0" w:color="auto"/>
            <w:bottom w:val="none" w:sz="0" w:space="0" w:color="auto"/>
            <w:right w:val="none" w:sz="0" w:space="0" w:color="auto"/>
          </w:divBdr>
          <w:divsChild>
            <w:div w:id="1002393486">
              <w:marLeft w:val="0"/>
              <w:marRight w:val="0"/>
              <w:marTop w:val="0"/>
              <w:marBottom w:val="150"/>
              <w:divBdr>
                <w:top w:val="none" w:sz="0" w:space="0" w:color="auto"/>
                <w:left w:val="none" w:sz="0" w:space="0" w:color="auto"/>
                <w:bottom w:val="none" w:sz="0" w:space="0" w:color="auto"/>
                <w:right w:val="none" w:sz="0" w:space="0" w:color="auto"/>
              </w:divBdr>
              <w:divsChild>
                <w:div w:id="1342900563">
                  <w:marLeft w:val="0"/>
                  <w:marRight w:val="0"/>
                  <w:marTop w:val="0"/>
                  <w:marBottom w:val="0"/>
                  <w:divBdr>
                    <w:top w:val="none" w:sz="0" w:space="0" w:color="auto"/>
                    <w:left w:val="none" w:sz="0" w:space="0" w:color="auto"/>
                    <w:bottom w:val="none" w:sz="0" w:space="0" w:color="auto"/>
                    <w:right w:val="none" w:sz="0" w:space="0" w:color="auto"/>
                  </w:divBdr>
                  <w:divsChild>
                    <w:div w:id="2106076665">
                      <w:marLeft w:val="0"/>
                      <w:marRight w:val="0"/>
                      <w:marTop w:val="0"/>
                      <w:marBottom w:val="0"/>
                      <w:divBdr>
                        <w:top w:val="none" w:sz="0" w:space="0" w:color="auto"/>
                        <w:left w:val="none" w:sz="0" w:space="0" w:color="auto"/>
                        <w:bottom w:val="none" w:sz="0" w:space="0" w:color="auto"/>
                        <w:right w:val="none" w:sz="0" w:space="0" w:color="auto"/>
                      </w:divBdr>
                      <w:divsChild>
                        <w:div w:id="166751947">
                          <w:marLeft w:val="0"/>
                          <w:marRight w:val="0"/>
                          <w:marTop w:val="0"/>
                          <w:marBottom w:val="0"/>
                          <w:divBdr>
                            <w:top w:val="none" w:sz="0" w:space="0" w:color="auto"/>
                            <w:left w:val="none" w:sz="0" w:space="0" w:color="auto"/>
                            <w:bottom w:val="none" w:sz="0" w:space="0" w:color="auto"/>
                            <w:right w:val="none" w:sz="0" w:space="0" w:color="auto"/>
                          </w:divBdr>
                          <w:divsChild>
                            <w:div w:id="24909836">
                              <w:marLeft w:val="0"/>
                              <w:marRight w:val="0"/>
                              <w:marTop w:val="0"/>
                              <w:marBottom w:val="0"/>
                              <w:divBdr>
                                <w:top w:val="none" w:sz="0" w:space="0" w:color="auto"/>
                                <w:left w:val="none" w:sz="0" w:space="0" w:color="auto"/>
                                <w:bottom w:val="none" w:sz="0" w:space="0" w:color="auto"/>
                                <w:right w:val="none" w:sz="0" w:space="0" w:color="auto"/>
                              </w:divBdr>
                            </w:div>
                            <w:div w:id="33385940">
                              <w:marLeft w:val="0"/>
                              <w:marRight w:val="0"/>
                              <w:marTop w:val="0"/>
                              <w:marBottom w:val="0"/>
                              <w:divBdr>
                                <w:top w:val="none" w:sz="0" w:space="0" w:color="auto"/>
                                <w:left w:val="none" w:sz="0" w:space="0" w:color="auto"/>
                                <w:bottom w:val="none" w:sz="0" w:space="0" w:color="auto"/>
                                <w:right w:val="none" w:sz="0" w:space="0" w:color="auto"/>
                              </w:divBdr>
                            </w:div>
                            <w:div w:id="143742289">
                              <w:marLeft w:val="0"/>
                              <w:marRight w:val="0"/>
                              <w:marTop w:val="0"/>
                              <w:marBottom w:val="0"/>
                              <w:divBdr>
                                <w:top w:val="none" w:sz="0" w:space="0" w:color="auto"/>
                                <w:left w:val="none" w:sz="0" w:space="0" w:color="auto"/>
                                <w:bottom w:val="none" w:sz="0" w:space="0" w:color="auto"/>
                                <w:right w:val="none" w:sz="0" w:space="0" w:color="auto"/>
                              </w:divBdr>
                              <w:divsChild>
                                <w:div w:id="118187988">
                                  <w:marLeft w:val="0"/>
                                  <w:marRight w:val="0"/>
                                  <w:marTop w:val="0"/>
                                  <w:marBottom w:val="0"/>
                                  <w:divBdr>
                                    <w:top w:val="none" w:sz="0" w:space="0" w:color="auto"/>
                                    <w:left w:val="none" w:sz="0" w:space="0" w:color="auto"/>
                                    <w:bottom w:val="none" w:sz="0" w:space="0" w:color="auto"/>
                                    <w:right w:val="none" w:sz="0" w:space="0" w:color="auto"/>
                                  </w:divBdr>
                                </w:div>
                                <w:div w:id="476186995">
                                  <w:marLeft w:val="0"/>
                                  <w:marRight w:val="0"/>
                                  <w:marTop w:val="0"/>
                                  <w:marBottom w:val="0"/>
                                  <w:divBdr>
                                    <w:top w:val="none" w:sz="0" w:space="0" w:color="auto"/>
                                    <w:left w:val="none" w:sz="0" w:space="0" w:color="auto"/>
                                    <w:bottom w:val="none" w:sz="0" w:space="0" w:color="auto"/>
                                    <w:right w:val="none" w:sz="0" w:space="0" w:color="auto"/>
                                  </w:divBdr>
                                </w:div>
                                <w:div w:id="739256631">
                                  <w:marLeft w:val="0"/>
                                  <w:marRight w:val="0"/>
                                  <w:marTop w:val="0"/>
                                  <w:marBottom w:val="0"/>
                                  <w:divBdr>
                                    <w:top w:val="none" w:sz="0" w:space="0" w:color="auto"/>
                                    <w:left w:val="none" w:sz="0" w:space="0" w:color="auto"/>
                                    <w:bottom w:val="none" w:sz="0" w:space="0" w:color="auto"/>
                                    <w:right w:val="none" w:sz="0" w:space="0" w:color="auto"/>
                                  </w:divBdr>
                                </w:div>
                                <w:div w:id="870996254">
                                  <w:marLeft w:val="0"/>
                                  <w:marRight w:val="0"/>
                                  <w:marTop w:val="0"/>
                                  <w:marBottom w:val="0"/>
                                  <w:divBdr>
                                    <w:top w:val="none" w:sz="0" w:space="0" w:color="auto"/>
                                    <w:left w:val="none" w:sz="0" w:space="0" w:color="auto"/>
                                    <w:bottom w:val="none" w:sz="0" w:space="0" w:color="auto"/>
                                    <w:right w:val="none" w:sz="0" w:space="0" w:color="auto"/>
                                  </w:divBdr>
                                </w:div>
                                <w:div w:id="1190222161">
                                  <w:marLeft w:val="0"/>
                                  <w:marRight w:val="0"/>
                                  <w:marTop w:val="0"/>
                                  <w:marBottom w:val="0"/>
                                  <w:divBdr>
                                    <w:top w:val="none" w:sz="0" w:space="0" w:color="auto"/>
                                    <w:left w:val="none" w:sz="0" w:space="0" w:color="auto"/>
                                    <w:bottom w:val="none" w:sz="0" w:space="0" w:color="auto"/>
                                    <w:right w:val="none" w:sz="0" w:space="0" w:color="auto"/>
                                  </w:divBdr>
                                </w:div>
                                <w:div w:id="1197618622">
                                  <w:marLeft w:val="0"/>
                                  <w:marRight w:val="0"/>
                                  <w:marTop w:val="0"/>
                                  <w:marBottom w:val="0"/>
                                  <w:divBdr>
                                    <w:top w:val="none" w:sz="0" w:space="0" w:color="auto"/>
                                    <w:left w:val="none" w:sz="0" w:space="0" w:color="auto"/>
                                    <w:bottom w:val="none" w:sz="0" w:space="0" w:color="auto"/>
                                    <w:right w:val="none" w:sz="0" w:space="0" w:color="auto"/>
                                  </w:divBdr>
                                </w:div>
                                <w:div w:id="1417943106">
                                  <w:marLeft w:val="0"/>
                                  <w:marRight w:val="0"/>
                                  <w:marTop w:val="0"/>
                                  <w:marBottom w:val="0"/>
                                  <w:divBdr>
                                    <w:top w:val="none" w:sz="0" w:space="0" w:color="auto"/>
                                    <w:left w:val="none" w:sz="0" w:space="0" w:color="auto"/>
                                    <w:bottom w:val="none" w:sz="0" w:space="0" w:color="auto"/>
                                    <w:right w:val="none" w:sz="0" w:space="0" w:color="auto"/>
                                  </w:divBdr>
                                </w:div>
                                <w:div w:id="2008362559">
                                  <w:marLeft w:val="0"/>
                                  <w:marRight w:val="0"/>
                                  <w:marTop w:val="0"/>
                                  <w:marBottom w:val="0"/>
                                  <w:divBdr>
                                    <w:top w:val="none" w:sz="0" w:space="0" w:color="auto"/>
                                    <w:left w:val="none" w:sz="0" w:space="0" w:color="auto"/>
                                    <w:bottom w:val="none" w:sz="0" w:space="0" w:color="auto"/>
                                    <w:right w:val="none" w:sz="0" w:space="0" w:color="auto"/>
                                  </w:divBdr>
                                </w:div>
                              </w:divsChild>
                            </w:div>
                            <w:div w:id="152723626">
                              <w:marLeft w:val="0"/>
                              <w:marRight w:val="0"/>
                              <w:marTop w:val="0"/>
                              <w:marBottom w:val="0"/>
                              <w:divBdr>
                                <w:top w:val="none" w:sz="0" w:space="0" w:color="auto"/>
                                <w:left w:val="none" w:sz="0" w:space="0" w:color="auto"/>
                                <w:bottom w:val="none" w:sz="0" w:space="0" w:color="auto"/>
                                <w:right w:val="none" w:sz="0" w:space="0" w:color="auto"/>
                              </w:divBdr>
                            </w:div>
                            <w:div w:id="173887637">
                              <w:marLeft w:val="0"/>
                              <w:marRight w:val="0"/>
                              <w:marTop w:val="0"/>
                              <w:marBottom w:val="0"/>
                              <w:divBdr>
                                <w:top w:val="none" w:sz="0" w:space="0" w:color="auto"/>
                                <w:left w:val="none" w:sz="0" w:space="0" w:color="auto"/>
                                <w:bottom w:val="none" w:sz="0" w:space="0" w:color="auto"/>
                                <w:right w:val="none" w:sz="0" w:space="0" w:color="auto"/>
                              </w:divBdr>
                              <w:divsChild>
                                <w:div w:id="10181669">
                                  <w:marLeft w:val="0"/>
                                  <w:marRight w:val="0"/>
                                  <w:marTop w:val="0"/>
                                  <w:marBottom w:val="0"/>
                                  <w:divBdr>
                                    <w:top w:val="none" w:sz="0" w:space="0" w:color="auto"/>
                                    <w:left w:val="none" w:sz="0" w:space="0" w:color="auto"/>
                                    <w:bottom w:val="none" w:sz="0" w:space="0" w:color="auto"/>
                                    <w:right w:val="none" w:sz="0" w:space="0" w:color="auto"/>
                                  </w:divBdr>
                                </w:div>
                                <w:div w:id="449207526">
                                  <w:marLeft w:val="0"/>
                                  <w:marRight w:val="0"/>
                                  <w:marTop w:val="0"/>
                                  <w:marBottom w:val="0"/>
                                  <w:divBdr>
                                    <w:top w:val="none" w:sz="0" w:space="0" w:color="auto"/>
                                    <w:left w:val="none" w:sz="0" w:space="0" w:color="auto"/>
                                    <w:bottom w:val="none" w:sz="0" w:space="0" w:color="auto"/>
                                    <w:right w:val="none" w:sz="0" w:space="0" w:color="auto"/>
                                  </w:divBdr>
                                </w:div>
                                <w:div w:id="841235666">
                                  <w:marLeft w:val="0"/>
                                  <w:marRight w:val="0"/>
                                  <w:marTop w:val="0"/>
                                  <w:marBottom w:val="0"/>
                                  <w:divBdr>
                                    <w:top w:val="none" w:sz="0" w:space="0" w:color="auto"/>
                                    <w:left w:val="none" w:sz="0" w:space="0" w:color="auto"/>
                                    <w:bottom w:val="none" w:sz="0" w:space="0" w:color="auto"/>
                                    <w:right w:val="none" w:sz="0" w:space="0" w:color="auto"/>
                                  </w:divBdr>
                                </w:div>
                                <w:div w:id="1495490273">
                                  <w:marLeft w:val="0"/>
                                  <w:marRight w:val="0"/>
                                  <w:marTop w:val="0"/>
                                  <w:marBottom w:val="0"/>
                                  <w:divBdr>
                                    <w:top w:val="none" w:sz="0" w:space="0" w:color="auto"/>
                                    <w:left w:val="none" w:sz="0" w:space="0" w:color="auto"/>
                                    <w:bottom w:val="none" w:sz="0" w:space="0" w:color="auto"/>
                                    <w:right w:val="none" w:sz="0" w:space="0" w:color="auto"/>
                                  </w:divBdr>
                                </w:div>
                              </w:divsChild>
                            </w:div>
                            <w:div w:id="189414714">
                              <w:marLeft w:val="0"/>
                              <w:marRight w:val="0"/>
                              <w:marTop w:val="0"/>
                              <w:marBottom w:val="0"/>
                              <w:divBdr>
                                <w:top w:val="none" w:sz="0" w:space="0" w:color="auto"/>
                                <w:left w:val="none" w:sz="0" w:space="0" w:color="auto"/>
                                <w:bottom w:val="none" w:sz="0" w:space="0" w:color="auto"/>
                                <w:right w:val="none" w:sz="0" w:space="0" w:color="auto"/>
                              </w:divBdr>
                            </w:div>
                            <w:div w:id="205072715">
                              <w:marLeft w:val="0"/>
                              <w:marRight w:val="0"/>
                              <w:marTop w:val="0"/>
                              <w:marBottom w:val="0"/>
                              <w:divBdr>
                                <w:top w:val="none" w:sz="0" w:space="0" w:color="auto"/>
                                <w:left w:val="none" w:sz="0" w:space="0" w:color="auto"/>
                                <w:bottom w:val="none" w:sz="0" w:space="0" w:color="auto"/>
                                <w:right w:val="none" w:sz="0" w:space="0" w:color="auto"/>
                              </w:divBdr>
                            </w:div>
                            <w:div w:id="462890472">
                              <w:marLeft w:val="0"/>
                              <w:marRight w:val="0"/>
                              <w:marTop w:val="0"/>
                              <w:marBottom w:val="0"/>
                              <w:divBdr>
                                <w:top w:val="none" w:sz="0" w:space="0" w:color="auto"/>
                                <w:left w:val="none" w:sz="0" w:space="0" w:color="auto"/>
                                <w:bottom w:val="none" w:sz="0" w:space="0" w:color="auto"/>
                                <w:right w:val="none" w:sz="0" w:space="0" w:color="auto"/>
                              </w:divBdr>
                              <w:divsChild>
                                <w:div w:id="432823879">
                                  <w:marLeft w:val="0"/>
                                  <w:marRight w:val="0"/>
                                  <w:marTop w:val="0"/>
                                  <w:marBottom w:val="0"/>
                                  <w:divBdr>
                                    <w:top w:val="none" w:sz="0" w:space="0" w:color="auto"/>
                                    <w:left w:val="none" w:sz="0" w:space="0" w:color="auto"/>
                                    <w:bottom w:val="none" w:sz="0" w:space="0" w:color="auto"/>
                                    <w:right w:val="none" w:sz="0" w:space="0" w:color="auto"/>
                                  </w:divBdr>
                                  <w:divsChild>
                                    <w:div w:id="546768117">
                                      <w:marLeft w:val="0"/>
                                      <w:marRight w:val="0"/>
                                      <w:marTop w:val="0"/>
                                      <w:marBottom w:val="0"/>
                                      <w:divBdr>
                                        <w:top w:val="none" w:sz="0" w:space="0" w:color="auto"/>
                                        <w:left w:val="none" w:sz="0" w:space="0" w:color="auto"/>
                                        <w:bottom w:val="none" w:sz="0" w:space="0" w:color="auto"/>
                                        <w:right w:val="none" w:sz="0" w:space="0" w:color="auto"/>
                                      </w:divBdr>
                                    </w:div>
                                    <w:div w:id="621495556">
                                      <w:marLeft w:val="0"/>
                                      <w:marRight w:val="0"/>
                                      <w:marTop w:val="0"/>
                                      <w:marBottom w:val="0"/>
                                      <w:divBdr>
                                        <w:top w:val="none" w:sz="0" w:space="0" w:color="auto"/>
                                        <w:left w:val="none" w:sz="0" w:space="0" w:color="auto"/>
                                        <w:bottom w:val="none" w:sz="0" w:space="0" w:color="auto"/>
                                        <w:right w:val="none" w:sz="0" w:space="0" w:color="auto"/>
                                      </w:divBdr>
                                    </w:div>
                                    <w:div w:id="824976988">
                                      <w:marLeft w:val="0"/>
                                      <w:marRight w:val="0"/>
                                      <w:marTop w:val="0"/>
                                      <w:marBottom w:val="0"/>
                                      <w:divBdr>
                                        <w:top w:val="none" w:sz="0" w:space="0" w:color="auto"/>
                                        <w:left w:val="none" w:sz="0" w:space="0" w:color="auto"/>
                                        <w:bottom w:val="none" w:sz="0" w:space="0" w:color="auto"/>
                                        <w:right w:val="none" w:sz="0" w:space="0" w:color="auto"/>
                                      </w:divBdr>
                                    </w:div>
                                    <w:div w:id="996420629">
                                      <w:marLeft w:val="0"/>
                                      <w:marRight w:val="0"/>
                                      <w:marTop w:val="0"/>
                                      <w:marBottom w:val="0"/>
                                      <w:divBdr>
                                        <w:top w:val="none" w:sz="0" w:space="0" w:color="auto"/>
                                        <w:left w:val="none" w:sz="0" w:space="0" w:color="auto"/>
                                        <w:bottom w:val="none" w:sz="0" w:space="0" w:color="auto"/>
                                        <w:right w:val="none" w:sz="0" w:space="0" w:color="auto"/>
                                      </w:divBdr>
                                    </w:div>
                                    <w:div w:id="1168596876">
                                      <w:marLeft w:val="0"/>
                                      <w:marRight w:val="0"/>
                                      <w:marTop w:val="0"/>
                                      <w:marBottom w:val="0"/>
                                      <w:divBdr>
                                        <w:top w:val="none" w:sz="0" w:space="0" w:color="auto"/>
                                        <w:left w:val="none" w:sz="0" w:space="0" w:color="auto"/>
                                        <w:bottom w:val="none" w:sz="0" w:space="0" w:color="auto"/>
                                        <w:right w:val="none" w:sz="0" w:space="0" w:color="auto"/>
                                      </w:divBdr>
                                    </w:div>
                                    <w:div w:id="1170636791">
                                      <w:marLeft w:val="0"/>
                                      <w:marRight w:val="0"/>
                                      <w:marTop w:val="0"/>
                                      <w:marBottom w:val="0"/>
                                      <w:divBdr>
                                        <w:top w:val="none" w:sz="0" w:space="0" w:color="auto"/>
                                        <w:left w:val="none" w:sz="0" w:space="0" w:color="auto"/>
                                        <w:bottom w:val="none" w:sz="0" w:space="0" w:color="auto"/>
                                        <w:right w:val="none" w:sz="0" w:space="0" w:color="auto"/>
                                      </w:divBdr>
                                    </w:div>
                                    <w:div w:id="1567036659">
                                      <w:marLeft w:val="0"/>
                                      <w:marRight w:val="0"/>
                                      <w:marTop w:val="0"/>
                                      <w:marBottom w:val="0"/>
                                      <w:divBdr>
                                        <w:top w:val="none" w:sz="0" w:space="0" w:color="auto"/>
                                        <w:left w:val="none" w:sz="0" w:space="0" w:color="auto"/>
                                        <w:bottom w:val="none" w:sz="0" w:space="0" w:color="auto"/>
                                        <w:right w:val="none" w:sz="0" w:space="0" w:color="auto"/>
                                      </w:divBdr>
                                    </w:div>
                                    <w:div w:id="1577785159">
                                      <w:marLeft w:val="0"/>
                                      <w:marRight w:val="0"/>
                                      <w:marTop w:val="0"/>
                                      <w:marBottom w:val="0"/>
                                      <w:divBdr>
                                        <w:top w:val="none" w:sz="0" w:space="0" w:color="auto"/>
                                        <w:left w:val="none" w:sz="0" w:space="0" w:color="auto"/>
                                        <w:bottom w:val="none" w:sz="0" w:space="0" w:color="auto"/>
                                        <w:right w:val="none" w:sz="0" w:space="0" w:color="auto"/>
                                      </w:divBdr>
                                    </w:div>
                                  </w:divsChild>
                                </w:div>
                                <w:div w:id="1585803245">
                                  <w:marLeft w:val="0"/>
                                  <w:marRight w:val="0"/>
                                  <w:marTop w:val="0"/>
                                  <w:marBottom w:val="0"/>
                                  <w:divBdr>
                                    <w:top w:val="none" w:sz="0" w:space="0" w:color="auto"/>
                                    <w:left w:val="none" w:sz="0" w:space="0" w:color="auto"/>
                                    <w:bottom w:val="none" w:sz="0" w:space="0" w:color="auto"/>
                                    <w:right w:val="none" w:sz="0" w:space="0" w:color="auto"/>
                                  </w:divBdr>
                                </w:div>
                                <w:div w:id="2056460607">
                                  <w:marLeft w:val="0"/>
                                  <w:marRight w:val="0"/>
                                  <w:marTop w:val="0"/>
                                  <w:marBottom w:val="0"/>
                                  <w:divBdr>
                                    <w:top w:val="none" w:sz="0" w:space="0" w:color="auto"/>
                                    <w:left w:val="none" w:sz="0" w:space="0" w:color="auto"/>
                                    <w:bottom w:val="none" w:sz="0" w:space="0" w:color="auto"/>
                                    <w:right w:val="none" w:sz="0" w:space="0" w:color="auto"/>
                                  </w:divBdr>
                                </w:div>
                              </w:divsChild>
                            </w:div>
                            <w:div w:id="595594257">
                              <w:marLeft w:val="0"/>
                              <w:marRight w:val="0"/>
                              <w:marTop w:val="0"/>
                              <w:marBottom w:val="0"/>
                              <w:divBdr>
                                <w:top w:val="none" w:sz="0" w:space="0" w:color="auto"/>
                                <w:left w:val="none" w:sz="0" w:space="0" w:color="auto"/>
                                <w:bottom w:val="none" w:sz="0" w:space="0" w:color="auto"/>
                                <w:right w:val="none" w:sz="0" w:space="0" w:color="auto"/>
                              </w:divBdr>
                            </w:div>
                            <w:div w:id="646781184">
                              <w:marLeft w:val="0"/>
                              <w:marRight w:val="0"/>
                              <w:marTop w:val="0"/>
                              <w:marBottom w:val="0"/>
                              <w:divBdr>
                                <w:top w:val="none" w:sz="0" w:space="0" w:color="auto"/>
                                <w:left w:val="none" w:sz="0" w:space="0" w:color="auto"/>
                                <w:bottom w:val="none" w:sz="0" w:space="0" w:color="auto"/>
                                <w:right w:val="none" w:sz="0" w:space="0" w:color="auto"/>
                              </w:divBdr>
                            </w:div>
                            <w:div w:id="959412432">
                              <w:marLeft w:val="0"/>
                              <w:marRight w:val="0"/>
                              <w:marTop w:val="0"/>
                              <w:marBottom w:val="0"/>
                              <w:divBdr>
                                <w:top w:val="none" w:sz="0" w:space="0" w:color="auto"/>
                                <w:left w:val="none" w:sz="0" w:space="0" w:color="auto"/>
                                <w:bottom w:val="none" w:sz="0" w:space="0" w:color="auto"/>
                                <w:right w:val="none" w:sz="0" w:space="0" w:color="auto"/>
                              </w:divBdr>
                            </w:div>
                            <w:div w:id="1020205774">
                              <w:marLeft w:val="0"/>
                              <w:marRight w:val="0"/>
                              <w:marTop w:val="0"/>
                              <w:marBottom w:val="0"/>
                              <w:divBdr>
                                <w:top w:val="none" w:sz="0" w:space="0" w:color="auto"/>
                                <w:left w:val="none" w:sz="0" w:space="0" w:color="auto"/>
                                <w:bottom w:val="none" w:sz="0" w:space="0" w:color="auto"/>
                                <w:right w:val="none" w:sz="0" w:space="0" w:color="auto"/>
                              </w:divBdr>
                              <w:divsChild>
                                <w:div w:id="1251894581">
                                  <w:marLeft w:val="0"/>
                                  <w:marRight w:val="0"/>
                                  <w:marTop w:val="0"/>
                                  <w:marBottom w:val="0"/>
                                  <w:divBdr>
                                    <w:top w:val="none" w:sz="0" w:space="0" w:color="auto"/>
                                    <w:left w:val="none" w:sz="0" w:space="0" w:color="auto"/>
                                    <w:bottom w:val="none" w:sz="0" w:space="0" w:color="auto"/>
                                    <w:right w:val="none" w:sz="0" w:space="0" w:color="auto"/>
                                  </w:divBdr>
                                </w:div>
                                <w:div w:id="1770421632">
                                  <w:marLeft w:val="0"/>
                                  <w:marRight w:val="0"/>
                                  <w:marTop w:val="0"/>
                                  <w:marBottom w:val="0"/>
                                  <w:divBdr>
                                    <w:top w:val="none" w:sz="0" w:space="0" w:color="auto"/>
                                    <w:left w:val="none" w:sz="0" w:space="0" w:color="auto"/>
                                    <w:bottom w:val="none" w:sz="0" w:space="0" w:color="auto"/>
                                    <w:right w:val="none" w:sz="0" w:space="0" w:color="auto"/>
                                  </w:divBdr>
                                </w:div>
                              </w:divsChild>
                            </w:div>
                            <w:div w:id="1027562742">
                              <w:marLeft w:val="0"/>
                              <w:marRight w:val="0"/>
                              <w:marTop w:val="0"/>
                              <w:marBottom w:val="0"/>
                              <w:divBdr>
                                <w:top w:val="none" w:sz="0" w:space="0" w:color="auto"/>
                                <w:left w:val="none" w:sz="0" w:space="0" w:color="auto"/>
                                <w:bottom w:val="none" w:sz="0" w:space="0" w:color="auto"/>
                                <w:right w:val="none" w:sz="0" w:space="0" w:color="auto"/>
                              </w:divBdr>
                            </w:div>
                            <w:div w:id="1135371074">
                              <w:marLeft w:val="0"/>
                              <w:marRight w:val="0"/>
                              <w:marTop w:val="0"/>
                              <w:marBottom w:val="0"/>
                              <w:divBdr>
                                <w:top w:val="none" w:sz="0" w:space="0" w:color="auto"/>
                                <w:left w:val="none" w:sz="0" w:space="0" w:color="auto"/>
                                <w:bottom w:val="none" w:sz="0" w:space="0" w:color="auto"/>
                                <w:right w:val="none" w:sz="0" w:space="0" w:color="auto"/>
                              </w:divBdr>
                              <w:divsChild>
                                <w:div w:id="297805411">
                                  <w:marLeft w:val="0"/>
                                  <w:marRight w:val="0"/>
                                  <w:marTop w:val="0"/>
                                  <w:marBottom w:val="0"/>
                                  <w:divBdr>
                                    <w:top w:val="none" w:sz="0" w:space="0" w:color="auto"/>
                                    <w:left w:val="none" w:sz="0" w:space="0" w:color="auto"/>
                                    <w:bottom w:val="none" w:sz="0" w:space="0" w:color="auto"/>
                                    <w:right w:val="none" w:sz="0" w:space="0" w:color="auto"/>
                                  </w:divBdr>
                                </w:div>
                                <w:div w:id="569340735">
                                  <w:marLeft w:val="0"/>
                                  <w:marRight w:val="0"/>
                                  <w:marTop w:val="0"/>
                                  <w:marBottom w:val="0"/>
                                  <w:divBdr>
                                    <w:top w:val="none" w:sz="0" w:space="0" w:color="auto"/>
                                    <w:left w:val="none" w:sz="0" w:space="0" w:color="auto"/>
                                    <w:bottom w:val="none" w:sz="0" w:space="0" w:color="auto"/>
                                    <w:right w:val="none" w:sz="0" w:space="0" w:color="auto"/>
                                  </w:divBdr>
                                </w:div>
                                <w:div w:id="642344275">
                                  <w:marLeft w:val="0"/>
                                  <w:marRight w:val="0"/>
                                  <w:marTop w:val="0"/>
                                  <w:marBottom w:val="0"/>
                                  <w:divBdr>
                                    <w:top w:val="none" w:sz="0" w:space="0" w:color="auto"/>
                                    <w:left w:val="none" w:sz="0" w:space="0" w:color="auto"/>
                                    <w:bottom w:val="none" w:sz="0" w:space="0" w:color="auto"/>
                                    <w:right w:val="none" w:sz="0" w:space="0" w:color="auto"/>
                                  </w:divBdr>
                                </w:div>
                                <w:div w:id="672608074">
                                  <w:marLeft w:val="0"/>
                                  <w:marRight w:val="0"/>
                                  <w:marTop w:val="0"/>
                                  <w:marBottom w:val="0"/>
                                  <w:divBdr>
                                    <w:top w:val="none" w:sz="0" w:space="0" w:color="auto"/>
                                    <w:left w:val="none" w:sz="0" w:space="0" w:color="auto"/>
                                    <w:bottom w:val="none" w:sz="0" w:space="0" w:color="auto"/>
                                    <w:right w:val="none" w:sz="0" w:space="0" w:color="auto"/>
                                  </w:divBdr>
                                </w:div>
                                <w:div w:id="880632339">
                                  <w:marLeft w:val="0"/>
                                  <w:marRight w:val="0"/>
                                  <w:marTop w:val="0"/>
                                  <w:marBottom w:val="0"/>
                                  <w:divBdr>
                                    <w:top w:val="none" w:sz="0" w:space="0" w:color="auto"/>
                                    <w:left w:val="none" w:sz="0" w:space="0" w:color="auto"/>
                                    <w:bottom w:val="none" w:sz="0" w:space="0" w:color="auto"/>
                                    <w:right w:val="none" w:sz="0" w:space="0" w:color="auto"/>
                                  </w:divBdr>
                                </w:div>
                                <w:div w:id="1391146783">
                                  <w:marLeft w:val="0"/>
                                  <w:marRight w:val="0"/>
                                  <w:marTop w:val="0"/>
                                  <w:marBottom w:val="0"/>
                                  <w:divBdr>
                                    <w:top w:val="none" w:sz="0" w:space="0" w:color="auto"/>
                                    <w:left w:val="none" w:sz="0" w:space="0" w:color="auto"/>
                                    <w:bottom w:val="none" w:sz="0" w:space="0" w:color="auto"/>
                                    <w:right w:val="none" w:sz="0" w:space="0" w:color="auto"/>
                                  </w:divBdr>
                                </w:div>
                                <w:div w:id="1454789011">
                                  <w:marLeft w:val="0"/>
                                  <w:marRight w:val="0"/>
                                  <w:marTop w:val="0"/>
                                  <w:marBottom w:val="0"/>
                                  <w:divBdr>
                                    <w:top w:val="none" w:sz="0" w:space="0" w:color="auto"/>
                                    <w:left w:val="none" w:sz="0" w:space="0" w:color="auto"/>
                                    <w:bottom w:val="none" w:sz="0" w:space="0" w:color="auto"/>
                                    <w:right w:val="none" w:sz="0" w:space="0" w:color="auto"/>
                                  </w:divBdr>
                                </w:div>
                                <w:div w:id="1829131662">
                                  <w:marLeft w:val="0"/>
                                  <w:marRight w:val="0"/>
                                  <w:marTop w:val="0"/>
                                  <w:marBottom w:val="0"/>
                                  <w:divBdr>
                                    <w:top w:val="none" w:sz="0" w:space="0" w:color="auto"/>
                                    <w:left w:val="none" w:sz="0" w:space="0" w:color="auto"/>
                                    <w:bottom w:val="none" w:sz="0" w:space="0" w:color="auto"/>
                                    <w:right w:val="none" w:sz="0" w:space="0" w:color="auto"/>
                                  </w:divBdr>
                                </w:div>
                              </w:divsChild>
                            </w:div>
                            <w:div w:id="1149591173">
                              <w:marLeft w:val="0"/>
                              <w:marRight w:val="0"/>
                              <w:marTop w:val="0"/>
                              <w:marBottom w:val="0"/>
                              <w:divBdr>
                                <w:top w:val="none" w:sz="0" w:space="0" w:color="auto"/>
                                <w:left w:val="none" w:sz="0" w:space="0" w:color="auto"/>
                                <w:bottom w:val="none" w:sz="0" w:space="0" w:color="auto"/>
                                <w:right w:val="none" w:sz="0" w:space="0" w:color="auto"/>
                              </w:divBdr>
                            </w:div>
                            <w:div w:id="1209801898">
                              <w:marLeft w:val="0"/>
                              <w:marRight w:val="0"/>
                              <w:marTop w:val="0"/>
                              <w:marBottom w:val="0"/>
                              <w:divBdr>
                                <w:top w:val="none" w:sz="0" w:space="0" w:color="auto"/>
                                <w:left w:val="none" w:sz="0" w:space="0" w:color="auto"/>
                                <w:bottom w:val="none" w:sz="0" w:space="0" w:color="auto"/>
                                <w:right w:val="none" w:sz="0" w:space="0" w:color="auto"/>
                              </w:divBdr>
                            </w:div>
                            <w:div w:id="1231841558">
                              <w:marLeft w:val="0"/>
                              <w:marRight w:val="0"/>
                              <w:marTop w:val="0"/>
                              <w:marBottom w:val="0"/>
                              <w:divBdr>
                                <w:top w:val="none" w:sz="0" w:space="0" w:color="auto"/>
                                <w:left w:val="none" w:sz="0" w:space="0" w:color="auto"/>
                                <w:bottom w:val="none" w:sz="0" w:space="0" w:color="auto"/>
                                <w:right w:val="none" w:sz="0" w:space="0" w:color="auto"/>
                              </w:divBdr>
                            </w:div>
                            <w:div w:id="1388336202">
                              <w:marLeft w:val="0"/>
                              <w:marRight w:val="0"/>
                              <w:marTop w:val="0"/>
                              <w:marBottom w:val="0"/>
                              <w:divBdr>
                                <w:top w:val="none" w:sz="0" w:space="0" w:color="auto"/>
                                <w:left w:val="none" w:sz="0" w:space="0" w:color="auto"/>
                                <w:bottom w:val="none" w:sz="0" w:space="0" w:color="auto"/>
                                <w:right w:val="none" w:sz="0" w:space="0" w:color="auto"/>
                              </w:divBdr>
                            </w:div>
                            <w:div w:id="1393695011">
                              <w:marLeft w:val="0"/>
                              <w:marRight w:val="0"/>
                              <w:marTop w:val="0"/>
                              <w:marBottom w:val="0"/>
                              <w:divBdr>
                                <w:top w:val="none" w:sz="0" w:space="0" w:color="auto"/>
                                <w:left w:val="none" w:sz="0" w:space="0" w:color="auto"/>
                                <w:bottom w:val="none" w:sz="0" w:space="0" w:color="auto"/>
                                <w:right w:val="none" w:sz="0" w:space="0" w:color="auto"/>
                              </w:divBdr>
                            </w:div>
                            <w:div w:id="1469781736">
                              <w:marLeft w:val="0"/>
                              <w:marRight w:val="0"/>
                              <w:marTop w:val="0"/>
                              <w:marBottom w:val="0"/>
                              <w:divBdr>
                                <w:top w:val="none" w:sz="0" w:space="0" w:color="auto"/>
                                <w:left w:val="none" w:sz="0" w:space="0" w:color="auto"/>
                                <w:bottom w:val="none" w:sz="0" w:space="0" w:color="auto"/>
                                <w:right w:val="none" w:sz="0" w:space="0" w:color="auto"/>
                              </w:divBdr>
                            </w:div>
                            <w:div w:id="1539008738">
                              <w:marLeft w:val="0"/>
                              <w:marRight w:val="0"/>
                              <w:marTop w:val="0"/>
                              <w:marBottom w:val="0"/>
                              <w:divBdr>
                                <w:top w:val="none" w:sz="0" w:space="0" w:color="auto"/>
                                <w:left w:val="none" w:sz="0" w:space="0" w:color="auto"/>
                                <w:bottom w:val="none" w:sz="0" w:space="0" w:color="auto"/>
                                <w:right w:val="none" w:sz="0" w:space="0" w:color="auto"/>
                              </w:divBdr>
                            </w:div>
                            <w:div w:id="1652254423">
                              <w:marLeft w:val="0"/>
                              <w:marRight w:val="0"/>
                              <w:marTop w:val="0"/>
                              <w:marBottom w:val="0"/>
                              <w:divBdr>
                                <w:top w:val="none" w:sz="0" w:space="0" w:color="auto"/>
                                <w:left w:val="none" w:sz="0" w:space="0" w:color="auto"/>
                                <w:bottom w:val="none" w:sz="0" w:space="0" w:color="auto"/>
                                <w:right w:val="none" w:sz="0" w:space="0" w:color="auto"/>
                              </w:divBdr>
                            </w:div>
                            <w:div w:id="1718818726">
                              <w:marLeft w:val="0"/>
                              <w:marRight w:val="0"/>
                              <w:marTop w:val="0"/>
                              <w:marBottom w:val="0"/>
                              <w:divBdr>
                                <w:top w:val="none" w:sz="0" w:space="0" w:color="auto"/>
                                <w:left w:val="none" w:sz="0" w:space="0" w:color="auto"/>
                                <w:bottom w:val="none" w:sz="0" w:space="0" w:color="auto"/>
                                <w:right w:val="none" w:sz="0" w:space="0" w:color="auto"/>
                              </w:divBdr>
                            </w:div>
                            <w:div w:id="1867256391">
                              <w:marLeft w:val="0"/>
                              <w:marRight w:val="0"/>
                              <w:marTop w:val="0"/>
                              <w:marBottom w:val="0"/>
                              <w:divBdr>
                                <w:top w:val="none" w:sz="0" w:space="0" w:color="auto"/>
                                <w:left w:val="none" w:sz="0" w:space="0" w:color="auto"/>
                                <w:bottom w:val="none" w:sz="0" w:space="0" w:color="auto"/>
                                <w:right w:val="none" w:sz="0" w:space="0" w:color="auto"/>
                              </w:divBdr>
                              <w:divsChild>
                                <w:div w:id="16740962">
                                  <w:marLeft w:val="0"/>
                                  <w:marRight w:val="0"/>
                                  <w:marTop w:val="0"/>
                                  <w:marBottom w:val="0"/>
                                  <w:divBdr>
                                    <w:top w:val="none" w:sz="0" w:space="0" w:color="auto"/>
                                    <w:left w:val="none" w:sz="0" w:space="0" w:color="auto"/>
                                    <w:bottom w:val="none" w:sz="0" w:space="0" w:color="auto"/>
                                    <w:right w:val="none" w:sz="0" w:space="0" w:color="auto"/>
                                  </w:divBdr>
                                </w:div>
                                <w:div w:id="318575936">
                                  <w:marLeft w:val="0"/>
                                  <w:marRight w:val="0"/>
                                  <w:marTop w:val="0"/>
                                  <w:marBottom w:val="0"/>
                                  <w:divBdr>
                                    <w:top w:val="none" w:sz="0" w:space="0" w:color="auto"/>
                                    <w:left w:val="none" w:sz="0" w:space="0" w:color="auto"/>
                                    <w:bottom w:val="none" w:sz="0" w:space="0" w:color="auto"/>
                                    <w:right w:val="none" w:sz="0" w:space="0" w:color="auto"/>
                                  </w:divBdr>
                                </w:div>
                                <w:div w:id="1348748486">
                                  <w:marLeft w:val="0"/>
                                  <w:marRight w:val="0"/>
                                  <w:marTop w:val="0"/>
                                  <w:marBottom w:val="0"/>
                                  <w:divBdr>
                                    <w:top w:val="none" w:sz="0" w:space="0" w:color="auto"/>
                                    <w:left w:val="none" w:sz="0" w:space="0" w:color="auto"/>
                                    <w:bottom w:val="none" w:sz="0" w:space="0" w:color="auto"/>
                                    <w:right w:val="none" w:sz="0" w:space="0" w:color="auto"/>
                                  </w:divBdr>
                                </w:div>
                                <w:div w:id="1436169079">
                                  <w:marLeft w:val="0"/>
                                  <w:marRight w:val="0"/>
                                  <w:marTop w:val="0"/>
                                  <w:marBottom w:val="0"/>
                                  <w:divBdr>
                                    <w:top w:val="none" w:sz="0" w:space="0" w:color="auto"/>
                                    <w:left w:val="none" w:sz="0" w:space="0" w:color="auto"/>
                                    <w:bottom w:val="none" w:sz="0" w:space="0" w:color="auto"/>
                                    <w:right w:val="none" w:sz="0" w:space="0" w:color="auto"/>
                                  </w:divBdr>
                                </w:div>
                                <w:div w:id="1677150292">
                                  <w:marLeft w:val="0"/>
                                  <w:marRight w:val="0"/>
                                  <w:marTop w:val="0"/>
                                  <w:marBottom w:val="0"/>
                                  <w:divBdr>
                                    <w:top w:val="none" w:sz="0" w:space="0" w:color="auto"/>
                                    <w:left w:val="none" w:sz="0" w:space="0" w:color="auto"/>
                                    <w:bottom w:val="none" w:sz="0" w:space="0" w:color="auto"/>
                                    <w:right w:val="none" w:sz="0" w:space="0" w:color="auto"/>
                                  </w:divBdr>
                                </w:div>
                                <w:div w:id="1690833421">
                                  <w:marLeft w:val="0"/>
                                  <w:marRight w:val="0"/>
                                  <w:marTop w:val="0"/>
                                  <w:marBottom w:val="0"/>
                                  <w:divBdr>
                                    <w:top w:val="none" w:sz="0" w:space="0" w:color="auto"/>
                                    <w:left w:val="none" w:sz="0" w:space="0" w:color="auto"/>
                                    <w:bottom w:val="none" w:sz="0" w:space="0" w:color="auto"/>
                                    <w:right w:val="none" w:sz="0" w:space="0" w:color="auto"/>
                                  </w:divBdr>
                                </w:div>
                              </w:divsChild>
                            </w:div>
                            <w:div w:id="1940596941">
                              <w:marLeft w:val="0"/>
                              <w:marRight w:val="0"/>
                              <w:marTop w:val="0"/>
                              <w:marBottom w:val="0"/>
                              <w:divBdr>
                                <w:top w:val="none" w:sz="0" w:space="0" w:color="auto"/>
                                <w:left w:val="none" w:sz="0" w:space="0" w:color="auto"/>
                                <w:bottom w:val="none" w:sz="0" w:space="0" w:color="auto"/>
                                <w:right w:val="none" w:sz="0" w:space="0" w:color="auto"/>
                              </w:divBdr>
                              <w:divsChild>
                                <w:div w:id="1969430677">
                                  <w:marLeft w:val="0"/>
                                  <w:marRight w:val="0"/>
                                  <w:marTop w:val="0"/>
                                  <w:marBottom w:val="0"/>
                                  <w:divBdr>
                                    <w:top w:val="none" w:sz="0" w:space="0" w:color="auto"/>
                                    <w:left w:val="none" w:sz="0" w:space="0" w:color="auto"/>
                                    <w:bottom w:val="none" w:sz="0" w:space="0" w:color="auto"/>
                                    <w:right w:val="none" w:sz="0" w:space="0" w:color="auto"/>
                                  </w:divBdr>
                                  <w:divsChild>
                                    <w:div w:id="206374438">
                                      <w:marLeft w:val="0"/>
                                      <w:marRight w:val="0"/>
                                      <w:marTop w:val="0"/>
                                      <w:marBottom w:val="0"/>
                                      <w:divBdr>
                                        <w:top w:val="none" w:sz="0" w:space="0" w:color="auto"/>
                                        <w:left w:val="none" w:sz="0" w:space="0" w:color="auto"/>
                                        <w:bottom w:val="none" w:sz="0" w:space="0" w:color="auto"/>
                                        <w:right w:val="none" w:sz="0" w:space="0" w:color="auto"/>
                                      </w:divBdr>
                                    </w:div>
                                    <w:div w:id="455880500">
                                      <w:marLeft w:val="0"/>
                                      <w:marRight w:val="0"/>
                                      <w:marTop w:val="0"/>
                                      <w:marBottom w:val="0"/>
                                      <w:divBdr>
                                        <w:top w:val="none" w:sz="0" w:space="0" w:color="auto"/>
                                        <w:left w:val="none" w:sz="0" w:space="0" w:color="auto"/>
                                        <w:bottom w:val="none" w:sz="0" w:space="0" w:color="auto"/>
                                        <w:right w:val="none" w:sz="0" w:space="0" w:color="auto"/>
                                      </w:divBdr>
                                    </w:div>
                                    <w:div w:id="1576236527">
                                      <w:marLeft w:val="0"/>
                                      <w:marRight w:val="0"/>
                                      <w:marTop w:val="0"/>
                                      <w:marBottom w:val="0"/>
                                      <w:divBdr>
                                        <w:top w:val="none" w:sz="0" w:space="0" w:color="auto"/>
                                        <w:left w:val="none" w:sz="0" w:space="0" w:color="auto"/>
                                        <w:bottom w:val="none" w:sz="0" w:space="0" w:color="auto"/>
                                        <w:right w:val="none" w:sz="0" w:space="0" w:color="auto"/>
                                      </w:divBdr>
                                    </w:div>
                                    <w:div w:id="1792046895">
                                      <w:marLeft w:val="0"/>
                                      <w:marRight w:val="0"/>
                                      <w:marTop w:val="0"/>
                                      <w:marBottom w:val="0"/>
                                      <w:divBdr>
                                        <w:top w:val="none" w:sz="0" w:space="0" w:color="auto"/>
                                        <w:left w:val="none" w:sz="0" w:space="0" w:color="auto"/>
                                        <w:bottom w:val="none" w:sz="0" w:space="0" w:color="auto"/>
                                        <w:right w:val="none" w:sz="0" w:space="0" w:color="auto"/>
                                      </w:divBdr>
                                    </w:div>
                                    <w:div w:id="1850412974">
                                      <w:marLeft w:val="0"/>
                                      <w:marRight w:val="0"/>
                                      <w:marTop w:val="0"/>
                                      <w:marBottom w:val="0"/>
                                      <w:divBdr>
                                        <w:top w:val="none" w:sz="0" w:space="0" w:color="auto"/>
                                        <w:left w:val="none" w:sz="0" w:space="0" w:color="auto"/>
                                        <w:bottom w:val="none" w:sz="0" w:space="0" w:color="auto"/>
                                        <w:right w:val="none" w:sz="0" w:space="0" w:color="auto"/>
                                      </w:divBdr>
                                    </w:div>
                                  </w:divsChild>
                                </w:div>
                                <w:div w:id="2031107703">
                                  <w:marLeft w:val="0"/>
                                  <w:marRight w:val="0"/>
                                  <w:marTop w:val="0"/>
                                  <w:marBottom w:val="0"/>
                                  <w:divBdr>
                                    <w:top w:val="none" w:sz="0" w:space="0" w:color="auto"/>
                                    <w:left w:val="none" w:sz="0" w:space="0" w:color="auto"/>
                                    <w:bottom w:val="none" w:sz="0" w:space="0" w:color="auto"/>
                                    <w:right w:val="none" w:sz="0" w:space="0" w:color="auto"/>
                                  </w:divBdr>
                                </w:div>
                              </w:divsChild>
                            </w:div>
                            <w:div w:id="20933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87501">
      <w:bodyDiv w:val="1"/>
      <w:marLeft w:val="0"/>
      <w:marRight w:val="0"/>
      <w:marTop w:val="0"/>
      <w:marBottom w:val="0"/>
      <w:divBdr>
        <w:top w:val="none" w:sz="0" w:space="0" w:color="auto"/>
        <w:left w:val="none" w:sz="0" w:space="0" w:color="auto"/>
        <w:bottom w:val="none" w:sz="0" w:space="0" w:color="auto"/>
        <w:right w:val="none" w:sz="0" w:space="0" w:color="auto"/>
      </w:divBdr>
      <w:divsChild>
        <w:div w:id="1629359153">
          <w:marLeft w:val="250"/>
          <w:marRight w:val="250"/>
          <w:marTop w:val="0"/>
          <w:marBottom w:val="0"/>
          <w:divBdr>
            <w:top w:val="none" w:sz="0" w:space="0" w:color="auto"/>
            <w:left w:val="none" w:sz="0" w:space="0" w:color="auto"/>
            <w:bottom w:val="none" w:sz="0" w:space="0" w:color="auto"/>
            <w:right w:val="none" w:sz="0" w:space="0" w:color="auto"/>
          </w:divBdr>
          <w:divsChild>
            <w:div w:id="859046624">
              <w:marLeft w:val="0"/>
              <w:marRight w:val="0"/>
              <w:marTop w:val="0"/>
              <w:marBottom w:val="125"/>
              <w:divBdr>
                <w:top w:val="none" w:sz="0" w:space="0" w:color="auto"/>
                <w:left w:val="none" w:sz="0" w:space="0" w:color="auto"/>
                <w:bottom w:val="none" w:sz="0" w:space="0" w:color="auto"/>
                <w:right w:val="none" w:sz="0" w:space="0" w:color="auto"/>
              </w:divBdr>
              <w:divsChild>
                <w:div w:id="336886937">
                  <w:marLeft w:val="0"/>
                  <w:marRight w:val="0"/>
                  <w:marTop w:val="0"/>
                  <w:marBottom w:val="0"/>
                  <w:divBdr>
                    <w:top w:val="none" w:sz="0" w:space="0" w:color="auto"/>
                    <w:left w:val="none" w:sz="0" w:space="0" w:color="auto"/>
                    <w:bottom w:val="none" w:sz="0" w:space="0" w:color="auto"/>
                    <w:right w:val="none" w:sz="0" w:space="0" w:color="auto"/>
                  </w:divBdr>
                  <w:divsChild>
                    <w:div w:id="1282227024">
                      <w:marLeft w:val="0"/>
                      <w:marRight w:val="0"/>
                      <w:marTop w:val="0"/>
                      <w:marBottom w:val="0"/>
                      <w:divBdr>
                        <w:top w:val="none" w:sz="0" w:space="0" w:color="auto"/>
                        <w:left w:val="none" w:sz="0" w:space="0" w:color="auto"/>
                        <w:bottom w:val="none" w:sz="0" w:space="0" w:color="auto"/>
                        <w:right w:val="none" w:sz="0" w:space="0" w:color="auto"/>
                      </w:divBdr>
                      <w:divsChild>
                        <w:div w:id="1290629637">
                          <w:marLeft w:val="0"/>
                          <w:marRight w:val="0"/>
                          <w:marTop w:val="0"/>
                          <w:marBottom w:val="0"/>
                          <w:divBdr>
                            <w:top w:val="none" w:sz="0" w:space="0" w:color="auto"/>
                            <w:left w:val="none" w:sz="0" w:space="0" w:color="auto"/>
                            <w:bottom w:val="none" w:sz="0" w:space="0" w:color="auto"/>
                            <w:right w:val="none" w:sz="0" w:space="0" w:color="auto"/>
                          </w:divBdr>
                          <w:divsChild>
                            <w:div w:id="2019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855274">
      <w:bodyDiv w:val="1"/>
      <w:marLeft w:val="0"/>
      <w:marRight w:val="0"/>
      <w:marTop w:val="0"/>
      <w:marBottom w:val="0"/>
      <w:divBdr>
        <w:top w:val="none" w:sz="0" w:space="0" w:color="auto"/>
        <w:left w:val="none" w:sz="0" w:space="0" w:color="auto"/>
        <w:bottom w:val="none" w:sz="0" w:space="0" w:color="auto"/>
        <w:right w:val="none" w:sz="0" w:space="0" w:color="auto"/>
      </w:divBdr>
    </w:div>
    <w:div w:id="982856732">
      <w:bodyDiv w:val="1"/>
      <w:marLeft w:val="63"/>
      <w:marRight w:val="0"/>
      <w:marTop w:val="50"/>
      <w:marBottom w:val="0"/>
      <w:divBdr>
        <w:top w:val="none" w:sz="0" w:space="0" w:color="auto"/>
        <w:left w:val="none" w:sz="0" w:space="0" w:color="auto"/>
        <w:bottom w:val="none" w:sz="0" w:space="0" w:color="auto"/>
        <w:right w:val="none" w:sz="0" w:space="0" w:color="auto"/>
      </w:divBdr>
      <w:divsChild>
        <w:div w:id="71239902">
          <w:marLeft w:val="0"/>
          <w:marRight w:val="0"/>
          <w:marTop w:val="0"/>
          <w:marBottom w:val="0"/>
          <w:divBdr>
            <w:top w:val="none" w:sz="0" w:space="0" w:color="auto"/>
            <w:left w:val="none" w:sz="0" w:space="0" w:color="auto"/>
            <w:bottom w:val="none" w:sz="0" w:space="0" w:color="auto"/>
            <w:right w:val="none" w:sz="0" w:space="0" w:color="auto"/>
          </w:divBdr>
        </w:div>
      </w:divsChild>
    </w:div>
    <w:div w:id="987170242">
      <w:bodyDiv w:val="1"/>
      <w:marLeft w:val="0"/>
      <w:marRight w:val="0"/>
      <w:marTop w:val="0"/>
      <w:marBottom w:val="0"/>
      <w:divBdr>
        <w:top w:val="none" w:sz="0" w:space="0" w:color="auto"/>
        <w:left w:val="none" w:sz="0" w:space="0" w:color="auto"/>
        <w:bottom w:val="none" w:sz="0" w:space="0" w:color="auto"/>
        <w:right w:val="none" w:sz="0" w:space="0" w:color="auto"/>
      </w:divBdr>
      <w:divsChild>
        <w:div w:id="225535175">
          <w:marLeft w:val="0"/>
          <w:marRight w:val="0"/>
          <w:marTop w:val="0"/>
          <w:marBottom w:val="0"/>
          <w:divBdr>
            <w:top w:val="none" w:sz="0" w:space="0" w:color="auto"/>
            <w:left w:val="none" w:sz="0" w:space="0" w:color="auto"/>
            <w:bottom w:val="none" w:sz="0" w:space="0" w:color="auto"/>
            <w:right w:val="none" w:sz="0" w:space="0" w:color="auto"/>
          </w:divBdr>
          <w:divsChild>
            <w:div w:id="4712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3154">
      <w:bodyDiv w:val="1"/>
      <w:marLeft w:val="0"/>
      <w:marRight w:val="0"/>
      <w:marTop w:val="0"/>
      <w:marBottom w:val="0"/>
      <w:divBdr>
        <w:top w:val="none" w:sz="0" w:space="0" w:color="auto"/>
        <w:left w:val="none" w:sz="0" w:space="0" w:color="auto"/>
        <w:bottom w:val="none" w:sz="0" w:space="0" w:color="auto"/>
        <w:right w:val="none" w:sz="0" w:space="0" w:color="auto"/>
      </w:divBdr>
      <w:divsChild>
        <w:div w:id="1420831181">
          <w:marLeft w:val="0"/>
          <w:marRight w:val="0"/>
          <w:marTop w:val="0"/>
          <w:marBottom w:val="0"/>
          <w:divBdr>
            <w:top w:val="none" w:sz="0" w:space="0" w:color="auto"/>
            <w:left w:val="none" w:sz="0" w:space="0" w:color="auto"/>
            <w:bottom w:val="none" w:sz="0" w:space="0" w:color="auto"/>
            <w:right w:val="none" w:sz="0" w:space="0" w:color="auto"/>
          </w:divBdr>
          <w:divsChild>
            <w:div w:id="1003239725">
              <w:marLeft w:val="0"/>
              <w:marRight w:val="0"/>
              <w:marTop w:val="0"/>
              <w:marBottom w:val="0"/>
              <w:divBdr>
                <w:top w:val="none" w:sz="0" w:space="0" w:color="auto"/>
                <w:left w:val="none" w:sz="0" w:space="0" w:color="auto"/>
                <w:bottom w:val="none" w:sz="0" w:space="0" w:color="auto"/>
                <w:right w:val="none" w:sz="0" w:space="0" w:color="auto"/>
              </w:divBdr>
            </w:div>
            <w:div w:id="21330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181">
      <w:bodyDiv w:val="1"/>
      <w:marLeft w:val="0"/>
      <w:marRight w:val="0"/>
      <w:marTop w:val="0"/>
      <w:marBottom w:val="0"/>
      <w:divBdr>
        <w:top w:val="none" w:sz="0" w:space="0" w:color="auto"/>
        <w:left w:val="none" w:sz="0" w:space="0" w:color="auto"/>
        <w:bottom w:val="none" w:sz="0" w:space="0" w:color="auto"/>
        <w:right w:val="none" w:sz="0" w:space="0" w:color="auto"/>
      </w:divBdr>
      <w:divsChild>
        <w:div w:id="745109047">
          <w:marLeft w:val="300"/>
          <w:marRight w:val="300"/>
          <w:marTop w:val="0"/>
          <w:marBottom w:val="0"/>
          <w:divBdr>
            <w:top w:val="none" w:sz="0" w:space="0" w:color="auto"/>
            <w:left w:val="none" w:sz="0" w:space="0" w:color="auto"/>
            <w:bottom w:val="none" w:sz="0" w:space="0" w:color="auto"/>
            <w:right w:val="none" w:sz="0" w:space="0" w:color="auto"/>
          </w:divBdr>
          <w:divsChild>
            <w:div w:id="2051299846">
              <w:marLeft w:val="0"/>
              <w:marRight w:val="0"/>
              <w:marTop w:val="0"/>
              <w:marBottom w:val="150"/>
              <w:divBdr>
                <w:top w:val="none" w:sz="0" w:space="0" w:color="auto"/>
                <w:left w:val="none" w:sz="0" w:space="0" w:color="auto"/>
                <w:bottom w:val="none" w:sz="0" w:space="0" w:color="auto"/>
                <w:right w:val="none" w:sz="0" w:space="0" w:color="auto"/>
              </w:divBdr>
              <w:divsChild>
                <w:div w:id="104468361">
                  <w:marLeft w:val="0"/>
                  <w:marRight w:val="0"/>
                  <w:marTop w:val="0"/>
                  <w:marBottom w:val="0"/>
                  <w:divBdr>
                    <w:top w:val="none" w:sz="0" w:space="0" w:color="auto"/>
                    <w:left w:val="none" w:sz="0" w:space="0" w:color="auto"/>
                    <w:bottom w:val="none" w:sz="0" w:space="0" w:color="auto"/>
                    <w:right w:val="none" w:sz="0" w:space="0" w:color="auto"/>
                  </w:divBdr>
                  <w:divsChild>
                    <w:div w:id="446242034">
                      <w:marLeft w:val="0"/>
                      <w:marRight w:val="0"/>
                      <w:marTop w:val="0"/>
                      <w:marBottom w:val="0"/>
                      <w:divBdr>
                        <w:top w:val="none" w:sz="0" w:space="0" w:color="auto"/>
                        <w:left w:val="none" w:sz="0" w:space="0" w:color="auto"/>
                        <w:bottom w:val="none" w:sz="0" w:space="0" w:color="auto"/>
                        <w:right w:val="none" w:sz="0" w:space="0" w:color="auto"/>
                      </w:divBdr>
                      <w:divsChild>
                        <w:div w:id="287591927">
                          <w:marLeft w:val="0"/>
                          <w:marRight w:val="0"/>
                          <w:marTop w:val="0"/>
                          <w:marBottom w:val="0"/>
                          <w:divBdr>
                            <w:top w:val="none" w:sz="0" w:space="0" w:color="auto"/>
                            <w:left w:val="none" w:sz="0" w:space="0" w:color="auto"/>
                            <w:bottom w:val="none" w:sz="0" w:space="0" w:color="auto"/>
                            <w:right w:val="none" w:sz="0" w:space="0" w:color="auto"/>
                          </w:divBdr>
                          <w:divsChild>
                            <w:div w:id="20624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74892">
      <w:bodyDiv w:val="1"/>
      <w:marLeft w:val="0"/>
      <w:marRight w:val="0"/>
      <w:marTop w:val="0"/>
      <w:marBottom w:val="0"/>
      <w:divBdr>
        <w:top w:val="none" w:sz="0" w:space="0" w:color="auto"/>
        <w:left w:val="none" w:sz="0" w:space="0" w:color="auto"/>
        <w:bottom w:val="none" w:sz="0" w:space="0" w:color="auto"/>
        <w:right w:val="none" w:sz="0" w:space="0" w:color="auto"/>
      </w:divBdr>
      <w:divsChild>
        <w:div w:id="1868520913">
          <w:marLeft w:val="0"/>
          <w:marRight w:val="0"/>
          <w:marTop w:val="0"/>
          <w:marBottom w:val="0"/>
          <w:divBdr>
            <w:top w:val="none" w:sz="0" w:space="0" w:color="auto"/>
            <w:left w:val="none" w:sz="0" w:space="0" w:color="auto"/>
            <w:bottom w:val="none" w:sz="0" w:space="0" w:color="auto"/>
            <w:right w:val="none" w:sz="0" w:space="0" w:color="auto"/>
          </w:divBdr>
          <w:divsChild>
            <w:div w:id="221913067">
              <w:marLeft w:val="0"/>
              <w:marRight w:val="0"/>
              <w:marTop w:val="0"/>
              <w:marBottom w:val="0"/>
              <w:divBdr>
                <w:top w:val="none" w:sz="0" w:space="0" w:color="auto"/>
                <w:left w:val="none" w:sz="0" w:space="0" w:color="auto"/>
                <w:bottom w:val="none" w:sz="0" w:space="0" w:color="auto"/>
                <w:right w:val="none" w:sz="0" w:space="0" w:color="auto"/>
              </w:divBdr>
            </w:div>
            <w:div w:id="1538201311">
              <w:marLeft w:val="0"/>
              <w:marRight w:val="0"/>
              <w:marTop w:val="0"/>
              <w:marBottom w:val="0"/>
              <w:divBdr>
                <w:top w:val="none" w:sz="0" w:space="0" w:color="auto"/>
                <w:left w:val="none" w:sz="0" w:space="0" w:color="auto"/>
                <w:bottom w:val="none" w:sz="0" w:space="0" w:color="auto"/>
                <w:right w:val="none" w:sz="0" w:space="0" w:color="auto"/>
              </w:divBdr>
              <w:divsChild>
                <w:div w:id="2145539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5978260">
      <w:bodyDiv w:val="1"/>
      <w:marLeft w:val="0"/>
      <w:marRight w:val="0"/>
      <w:marTop w:val="0"/>
      <w:marBottom w:val="0"/>
      <w:divBdr>
        <w:top w:val="none" w:sz="0" w:space="0" w:color="auto"/>
        <w:left w:val="none" w:sz="0" w:space="0" w:color="auto"/>
        <w:bottom w:val="none" w:sz="0" w:space="0" w:color="auto"/>
        <w:right w:val="none" w:sz="0" w:space="0" w:color="auto"/>
      </w:divBdr>
    </w:div>
    <w:div w:id="1008561742">
      <w:bodyDiv w:val="1"/>
      <w:marLeft w:val="0"/>
      <w:marRight w:val="0"/>
      <w:marTop w:val="0"/>
      <w:marBottom w:val="0"/>
      <w:divBdr>
        <w:top w:val="none" w:sz="0" w:space="0" w:color="auto"/>
        <w:left w:val="none" w:sz="0" w:space="0" w:color="auto"/>
        <w:bottom w:val="none" w:sz="0" w:space="0" w:color="auto"/>
        <w:right w:val="none" w:sz="0" w:space="0" w:color="auto"/>
      </w:divBdr>
      <w:divsChild>
        <w:div w:id="873733280">
          <w:marLeft w:val="0"/>
          <w:marRight w:val="0"/>
          <w:marTop w:val="0"/>
          <w:marBottom w:val="0"/>
          <w:divBdr>
            <w:top w:val="none" w:sz="0" w:space="0" w:color="auto"/>
            <w:left w:val="none" w:sz="0" w:space="0" w:color="auto"/>
            <w:bottom w:val="none" w:sz="0" w:space="0" w:color="auto"/>
            <w:right w:val="none" w:sz="0" w:space="0" w:color="auto"/>
          </w:divBdr>
          <w:divsChild>
            <w:div w:id="384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3628">
      <w:bodyDiv w:val="1"/>
      <w:marLeft w:val="0"/>
      <w:marRight w:val="0"/>
      <w:marTop w:val="0"/>
      <w:marBottom w:val="0"/>
      <w:divBdr>
        <w:top w:val="none" w:sz="0" w:space="0" w:color="auto"/>
        <w:left w:val="none" w:sz="0" w:space="0" w:color="auto"/>
        <w:bottom w:val="none" w:sz="0" w:space="0" w:color="auto"/>
        <w:right w:val="none" w:sz="0" w:space="0" w:color="auto"/>
      </w:divBdr>
    </w:div>
    <w:div w:id="1025058016">
      <w:bodyDiv w:val="1"/>
      <w:marLeft w:val="0"/>
      <w:marRight w:val="0"/>
      <w:marTop w:val="0"/>
      <w:marBottom w:val="0"/>
      <w:divBdr>
        <w:top w:val="none" w:sz="0" w:space="0" w:color="auto"/>
        <w:left w:val="none" w:sz="0" w:space="0" w:color="auto"/>
        <w:bottom w:val="none" w:sz="0" w:space="0" w:color="auto"/>
        <w:right w:val="none" w:sz="0" w:space="0" w:color="auto"/>
      </w:divBdr>
      <w:divsChild>
        <w:div w:id="828331536">
          <w:marLeft w:val="0"/>
          <w:marRight w:val="0"/>
          <w:marTop w:val="0"/>
          <w:marBottom w:val="0"/>
          <w:divBdr>
            <w:top w:val="none" w:sz="0" w:space="0" w:color="auto"/>
            <w:left w:val="none" w:sz="0" w:space="0" w:color="auto"/>
            <w:bottom w:val="none" w:sz="0" w:space="0" w:color="auto"/>
            <w:right w:val="none" w:sz="0" w:space="0" w:color="auto"/>
          </w:divBdr>
          <w:divsChild>
            <w:div w:id="4919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660">
      <w:bodyDiv w:val="1"/>
      <w:marLeft w:val="0"/>
      <w:marRight w:val="0"/>
      <w:marTop w:val="0"/>
      <w:marBottom w:val="0"/>
      <w:divBdr>
        <w:top w:val="none" w:sz="0" w:space="0" w:color="auto"/>
        <w:left w:val="none" w:sz="0" w:space="0" w:color="auto"/>
        <w:bottom w:val="none" w:sz="0" w:space="0" w:color="auto"/>
        <w:right w:val="none" w:sz="0" w:space="0" w:color="auto"/>
      </w:divBdr>
    </w:div>
    <w:div w:id="1036124937">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sChild>
        <w:div w:id="1898927669">
          <w:marLeft w:val="0"/>
          <w:marRight w:val="0"/>
          <w:marTop w:val="0"/>
          <w:marBottom w:val="0"/>
          <w:divBdr>
            <w:top w:val="none" w:sz="0" w:space="0" w:color="auto"/>
            <w:left w:val="none" w:sz="0" w:space="0" w:color="auto"/>
            <w:bottom w:val="none" w:sz="0" w:space="0" w:color="auto"/>
            <w:right w:val="none" w:sz="0" w:space="0" w:color="auto"/>
          </w:divBdr>
          <w:divsChild>
            <w:div w:id="19362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4663">
      <w:bodyDiv w:val="1"/>
      <w:marLeft w:val="0"/>
      <w:marRight w:val="0"/>
      <w:marTop w:val="0"/>
      <w:marBottom w:val="0"/>
      <w:divBdr>
        <w:top w:val="none" w:sz="0" w:space="0" w:color="auto"/>
        <w:left w:val="none" w:sz="0" w:space="0" w:color="auto"/>
        <w:bottom w:val="none" w:sz="0" w:space="0" w:color="auto"/>
        <w:right w:val="none" w:sz="0" w:space="0" w:color="auto"/>
      </w:divBdr>
      <w:divsChild>
        <w:div w:id="1420179758">
          <w:marLeft w:val="0"/>
          <w:marRight w:val="0"/>
          <w:marTop w:val="0"/>
          <w:marBottom w:val="0"/>
          <w:divBdr>
            <w:top w:val="none" w:sz="0" w:space="0" w:color="auto"/>
            <w:left w:val="none" w:sz="0" w:space="0" w:color="auto"/>
            <w:bottom w:val="none" w:sz="0" w:space="0" w:color="auto"/>
            <w:right w:val="none" w:sz="0" w:space="0" w:color="auto"/>
          </w:divBdr>
          <w:divsChild>
            <w:div w:id="11398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920">
      <w:bodyDiv w:val="1"/>
      <w:marLeft w:val="0"/>
      <w:marRight w:val="0"/>
      <w:marTop w:val="0"/>
      <w:marBottom w:val="0"/>
      <w:divBdr>
        <w:top w:val="none" w:sz="0" w:space="0" w:color="auto"/>
        <w:left w:val="none" w:sz="0" w:space="0" w:color="auto"/>
        <w:bottom w:val="none" w:sz="0" w:space="0" w:color="auto"/>
        <w:right w:val="none" w:sz="0" w:space="0" w:color="auto"/>
      </w:divBdr>
      <w:divsChild>
        <w:div w:id="1319502920">
          <w:marLeft w:val="0"/>
          <w:marRight w:val="0"/>
          <w:marTop w:val="0"/>
          <w:marBottom w:val="0"/>
          <w:divBdr>
            <w:top w:val="none" w:sz="0" w:space="0" w:color="auto"/>
            <w:left w:val="none" w:sz="0" w:space="0" w:color="auto"/>
            <w:bottom w:val="none" w:sz="0" w:space="0" w:color="auto"/>
            <w:right w:val="none" w:sz="0" w:space="0" w:color="auto"/>
          </w:divBdr>
          <w:divsChild>
            <w:div w:id="7745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7445">
      <w:bodyDiv w:val="1"/>
      <w:marLeft w:val="0"/>
      <w:marRight w:val="0"/>
      <w:marTop w:val="0"/>
      <w:marBottom w:val="0"/>
      <w:divBdr>
        <w:top w:val="none" w:sz="0" w:space="0" w:color="auto"/>
        <w:left w:val="none" w:sz="0" w:space="0" w:color="auto"/>
        <w:bottom w:val="none" w:sz="0" w:space="0" w:color="auto"/>
        <w:right w:val="none" w:sz="0" w:space="0" w:color="auto"/>
      </w:divBdr>
      <w:divsChild>
        <w:div w:id="1943803257">
          <w:marLeft w:val="0"/>
          <w:marRight w:val="0"/>
          <w:marTop w:val="0"/>
          <w:marBottom w:val="0"/>
          <w:divBdr>
            <w:top w:val="none" w:sz="0" w:space="0" w:color="auto"/>
            <w:left w:val="none" w:sz="0" w:space="0" w:color="auto"/>
            <w:bottom w:val="none" w:sz="0" w:space="0" w:color="auto"/>
            <w:right w:val="none" w:sz="0" w:space="0" w:color="auto"/>
          </w:divBdr>
          <w:divsChild>
            <w:div w:id="5315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1406">
      <w:bodyDiv w:val="1"/>
      <w:marLeft w:val="0"/>
      <w:marRight w:val="0"/>
      <w:marTop w:val="0"/>
      <w:marBottom w:val="0"/>
      <w:divBdr>
        <w:top w:val="none" w:sz="0" w:space="0" w:color="auto"/>
        <w:left w:val="none" w:sz="0" w:space="0" w:color="auto"/>
        <w:bottom w:val="none" w:sz="0" w:space="0" w:color="auto"/>
        <w:right w:val="none" w:sz="0" w:space="0" w:color="auto"/>
      </w:divBdr>
    </w:div>
    <w:div w:id="1063062178">
      <w:bodyDiv w:val="1"/>
      <w:marLeft w:val="0"/>
      <w:marRight w:val="0"/>
      <w:marTop w:val="0"/>
      <w:marBottom w:val="0"/>
      <w:divBdr>
        <w:top w:val="none" w:sz="0" w:space="0" w:color="auto"/>
        <w:left w:val="none" w:sz="0" w:space="0" w:color="auto"/>
        <w:bottom w:val="none" w:sz="0" w:space="0" w:color="auto"/>
        <w:right w:val="none" w:sz="0" w:space="0" w:color="auto"/>
      </w:divBdr>
      <w:divsChild>
        <w:div w:id="1630209263">
          <w:marLeft w:val="0"/>
          <w:marRight w:val="0"/>
          <w:marTop w:val="0"/>
          <w:marBottom w:val="0"/>
          <w:divBdr>
            <w:top w:val="none" w:sz="0" w:space="0" w:color="auto"/>
            <w:left w:val="none" w:sz="0" w:space="0" w:color="auto"/>
            <w:bottom w:val="none" w:sz="0" w:space="0" w:color="auto"/>
            <w:right w:val="none" w:sz="0" w:space="0" w:color="auto"/>
          </w:divBdr>
        </w:div>
      </w:divsChild>
    </w:div>
    <w:div w:id="1066800214">
      <w:bodyDiv w:val="1"/>
      <w:marLeft w:val="0"/>
      <w:marRight w:val="0"/>
      <w:marTop w:val="0"/>
      <w:marBottom w:val="0"/>
      <w:divBdr>
        <w:top w:val="none" w:sz="0" w:space="0" w:color="auto"/>
        <w:left w:val="none" w:sz="0" w:space="0" w:color="auto"/>
        <w:bottom w:val="none" w:sz="0" w:space="0" w:color="auto"/>
        <w:right w:val="none" w:sz="0" w:space="0" w:color="auto"/>
      </w:divBdr>
      <w:divsChild>
        <w:div w:id="517042462">
          <w:marLeft w:val="0"/>
          <w:marRight w:val="0"/>
          <w:marTop w:val="0"/>
          <w:marBottom w:val="0"/>
          <w:divBdr>
            <w:top w:val="none" w:sz="0" w:space="0" w:color="auto"/>
            <w:left w:val="none" w:sz="0" w:space="0" w:color="auto"/>
            <w:bottom w:val="none" w:sz="0" w:space="0" w:color="auto"/>
            <w:right w:val="none" w:sz="0" w:space="0" w:color="auto"/>
          </w:divBdr>
          <w:divsChild>
            <w:div w:id="10067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7090">
      <w:bodyDiv w:val="1"/>
      <w:marLeft w:val="0"/>
      <w:marRight w:val="0"/>
      <w:marTop w:val="0"/>
      <w:marBottom w:val="0"/>
      <w:divBdr>
        <w:top w:val="none" w:sz="0" w:space="0" w:color="auto"/>
        <w:left w:val="none" w:sz="0" w:space="0" w:color="auto"/>
        <w:bottom w:val="none" w:sz="0" w:space="0" w:color="auto"/>
        <w:right w:val="none" w:sz="0" w:space="0" w:color="auto"/>
      </w:divBdr>
      <w:divsChild>
        <w:div w:id="211117939">
          <w:marLeft w:val="0"/>
          <w:marRight w:val="0"/>
          <w:marTop w:val="0"/>
          <w:marBottom w:val="0"/>
          <w:divBdr>
            <w:top w:val="none" w:sz="0" w:space="0" w:color="auto"/>
            <w:left w:val="none" w:sz="0" w:space="0" w:color="auto"/>
            <w:bottom w:val="none" w:sz="0" w:space="0" w:color="auto"/>
            <w:right w:val="none" w:sz="0" w:space="0" w:color="auto"/>
          </w:divBdr>
          <w:divsChild>
            <w:div w:id="425855535">
              <w:marLeft w:val="0"/>
              <w:marRight w:val="0"/>
              <w:marTop w:val="0"/>
              <w:marBottom w:val="0"/>
              <w:divBdr>
                <w:top w:val="none" w:sz="0" w:space="0" w:color="auto"/>
                <w:left w:val="none" w:sz="0" w:space="0" w:color="auto"/>
                <w:bottom w:val="none" w:sz="0" w:space="0" w:color="auto"/>
                <w:right w:val="none" w:sz="0" w:space="0" w:color="auto"/>
              </w:divBdr>
            </w:div>
            <w:div w:id="1048142545">
              <w:marLeft w:val="0"/>
              <w:marRight w:val="0"/>
              <w:marTop w:val="0"/>
              <w:marBottom w:val="0"/>
              <w:divBdr>
                <w:top w:val="none" w:sz="0" w:space="0" w:color="auto"/>
                <w:left w:val="none" w:sz="0" w:space="0" w:color="auto"/>
                <w:bottom w:val="none" w:sz="0" w:space="0" w:color="auto"/>
                <w:right w:val="none" w:sz="0" w:space="0" w:color="auto"/>
              </w:divBdr>
              <w:divsChild>
                <w:div w:id="70892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5251">
      <w:bodyDiv w:val="1"/>
      <w:marLeft w:val="0"/>
      <w:marRight w:val="0"/>
      <w:marTop w:val="0"/>
      <w:marBottom w:val="0"/>
      <w:divBdr>
        <w:top w:val="none" w:sz="0" w:space="0" w:color="auto"/>
        <w:left w:val="none" w:sz="0" w:space="0" w:color="auto"/>
        <w:bottom w:val="none" w:sz="0" w:space="0" w:color="auto"/>
        <w:right w:val="none" w:sz="0" w:space="0" w:color="auto"/>
      </w:divBdr>
      <w:divsChild>
        <w:div w:id="370154997">
          <w:marLeft w:val="0"/>
          <w:marRight w:val="0"/>
          <w:marTop w:val="0"/>
          <w:marBottom w:val="0"/>
          <w:divBdr>
            <w:top w:val="none" w:sz="0" w:space="0" w:color="auto"/>
            <w:left w:val="none" w:sz="0" w:space="0" w:color="auto"/>
            <w:bottom w:val="none" w:sz="0" w:space="0" w:color="auto"/>
            <w:right w:val="none" w:sz="0" w:space="0" w:color="auto"/>
          </w:divBdr>
          <w:divsChild>
            <w:div w:id="5437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0528">
      <w:bodyDiv w:val="1"/>
      <w:marLeft w:val="0"/>
      <w:marRight w:val="0"/>
      <w:marTop w:val="0"/>
      <w:marBottom w:val="0"/>
      <w:divBdr>
        <w:top w:val="none" w:sz="0" w:space="0" w:color="auto"/>
        <w:left w:val="none" w:sz="0" w:space="0" w:color="auto"/>
        <w:bottom w:val="none" w:sz="0" w:space="0" w:color="auto"/>
        <w:right w:val="none" w:sz="0" w:space="0" w:color="auto"/>
      </w:divBdr>
      <w:divsChild>
        <w:div w:id="71006565">
          <w:marLeft w:val="250"/>
          <w:marRight w:val="250"/>
          <w:marTop w:val="0"/>
          <w:marBottom w:val="0"/>
          <w:divBdr>
            <w:top w:val="none" w:sz="0" w:space="0" w:color="auto"/>
            <w:left w:val="none" w:sz="0" w:space="0" w:color="auto"/>
            <w:bottom w:val="none" w:sz="0" w:space="0" w:color="auto"/>
            <w:right w:val="none" w:sz="0" w:space="0" w:color="auto"/>
          </w:divBdr>
          <w:divsChild>
            <w:div w:id="1402606300">
              <w:marLeft w:val="0"/>
              <w:marRight w:val="0"/>
              <w:marTop w:val="0"/>
              <w:marBottom w:val="125"/>
              <w:divBdr>
                <w:top w:val="none" w:sz="0" w:space="0" w:color="auto"/>
                <w:left w:val="none" w:sz="0" w:space="0" w:color="auto"/>
                <w:bottom w:val="none" w:sz="0" w:space="0" w:color="auto"/>
                <w:right w:val="none" w:sz="0" w:space="0" w:color="auto"/>
              </w:divBdr>
              <w:divsChild>
                <w:div w:id="1680154215">
                  <w:marLeft w:val="0"/>
                  <w:marRight w:val="0"/>
                  <w:marTop w:val="0"/>
                  <w:marBottom w:val="0"/>
                  <w:divBdr>
                    <w:top w:val="none" w:sz="0" w:space="0" w:color="auto"/>
                    <w:left w:val="none" w:sz="0" w:space="0" w:color="auto"/>
                    <w:bottom w:val="none" w:sz="0" w:space="0" w:color="auto"/>
                    <w:right w:val="none" w:sz="0" w:space="0" w:color="auto"/>
                  </w:divBdr>
                  <w:divsChild>
                    <w:div w:id="769200619">
                      <w:marLeft w:val="0"/>
                      <w:marRight w:val="0"/>
                      <w:marTop w:val="0"/>
                      <w:marBottom w:val="0"/>
                      <w:divBdr>
                        <w:top w:val="none" w:sz="0" w:space="0" w:color="auto"/>
                        <w:left w:val="none" w:sz="0" w:space="0" w:color="auto"/>
                        <w:bottom w:val="none" w:sz="0" w:space="0" w:color="auto"/>
                        <w:right w:val="none" w:sz="0" w:space="0" w:color="auto"/>
                      </w:divBdr>
                      <w:divsChild>
                        <w:div w:id="1240604382">
                          <w:marLeft w:val="0"/>
                          <w:marRight w:val="0"/>
                          <w:marTop w:val="0"/>
                          <w:marBottom w:val="0"/>
                          <w:divBdr>
                            <w:top w:val="none" w:sz="0" w:space="0" w:color="auto"/>
                            <w:left w:val="none" w:sz="0" w:space="0" w:color="auto"/>
                            <w:bottom w:val="none" w:sz="0" w:space="0" w:color="auto"/>
                            <w:right w:val="none" w:sz="0" w:space="0" w:color="auto"/>
                          </w:divBdr>
                          <w:divsChild>
                            <w:div w:id="1647392987">
                              <w:marLeft w:val="0"/>
                              <w:marRight w:val="0"/>
                              <w:marTop w:val="0"/>
                              <w:marBottom w:val="0"/>
                              <w:divBdr>
                                <w:top w:val="none" w:sz="0" w:space="0" w:color="auto"/>
                                <w:left w:val="none" w:sz="0" w:space="0" w:color="auto"/>
                                <w:bottom w:val="none" w:sz="0" w:space="0" w:color="auto"/>
                                <w:right w:val="none" w:sz="0" w:space="0" w:color="auto"/>
                              </w:divBdr>
                              <w:divsChild>
                                <w:div w:id="337772555">
                                  <w:marLeft w:val="0"/>
                                  <w:marRight w:val="0"/>
                                  <w:marTop w:val="0"/>
                                  <w:marBottom w:val="0"/>
                                  <w:divBdr>
                                    <w:top w:val="none" w:sz="0" w:space="0" w:color="auto"/>
                                    <w:left w:val="none" w:sz="0" w:space="0" w:color="auto"/>
                                    <w:bottom w:val="none" w:sz="0" w:space="0" w:color="auto"/>
                                    <w:right w:val="none" w:sz="0" w:space="0" w:color="auto"/>
                                  </w:divBdr>
                                </w:div>
                                <w:div w:id="654916695">
                                  <w:marLeft w:val="0"/>
                                  <w:marRight w:val="0"/>
                                  <w:marTop w:val="0"/>
                                  <w:marBottom w:val="0"/>
                                  <w:divBdr>
                                    <w:top w:val="none" w:sz="0" w:space="0" w:color="auto"/>
                                    <w:left w:val="none" w:sz="0" w:space="0" w:color="auto"/>
                                    <w:bottom w:val="none" w:sz="0" w:space="0" w:color="auto"/>
                                    <w:right w:val="none" w:sz="0" w:space="0" w:color="auto"/>
                                  </w:divBdr>
                                </w:div>
                                <w:div w:id="1703436826">
                                  <w:marLeft w:val="0"/>
                                  <w:marRight w:val="0"/>
                                  <w:marTop w:val="0"/>
                                  <w:marBottom w:val="0"/>
                                  <w:divBdr>
                                    <w:top w:val="none" w:sz="0" w:space="0" w:color="auto"/>
                                    <w:left w:val="none" w:sz="0" w:space="0" w:color="auto"/>
                                    <w:bottom w:val="none" w:sz="0" w:space="0" w:color="auto"/>
                                    <w:right w:val="none" w:sz="0" w:space="0" w:color="auto"/>
                                  </w:divBdr>
                                </w:div>
                                <w:div w:id="562761198">
                                  <w:marLeft w:val="0"/>
                                  <w:marRight w:val="0"/>
                                  <w:marTop w:val="0"/>
                                  <w:marBottom w:val="0"/>
                                  <w:divBdr>
                                    <w:top w:val="none" w:sz="0" w:space="0" w:color="auto"/>
                                    <w:left w:val="none" w:sz="0" w:space="0" w:color="auto"/>
                                    <w:bottom w:val="none" w:sz="0" w:space="0" w:color="auto"/>
                                    <w:right w:val="none" w:sz="0" w:space="0" w:color="auto"/>
                                  </w:divBdr>
                                  <w:divsChild>
                                    <w:div w:id="366679445">
                                      <w:marLeft w:val="0"/>
                                      <w:marRight w:val="0"/>
                                      <w:marTop w:val="0"/>
                                      <w:marBottom w:val="0"/>
                                      <w:divBdr>
                                        <w:top w:val="none" w:sz="0" w:space="0" w:color="auto"/>
                                        <w:left w:val="none" w:sz="0" w:space="0" w:color="auto"/>
                                        <w:bottom w:val="none" w:sz="0" w:space="0" w:color="auto"/>
                                        <w:right w:val="none" w:sz="0" w:space="0" w:color="auto"/>
                                      </w:divBdr>
                                    </w:div>
                                    <w:div w:id="2088527606">
                                      <w:marLeft w:val="0"/>
                                      <w:marRight w:val="0"/>
                                      <w:marTop w:val="0"/>
                                      <w:marBottom w:val="0"/>
                                      <w:divBdr>
                                        <w:top w:val="none" w:sz="0" w:space="0" w:color="auto"/>
                                        <w:left w:val="none" w:sz="0" w:space="0" w:color="auto"/>
                                        <w:bottom w:val="none" w:sz="0" w:space="0" w:color="auto"/>
                                        <w:right w:val="none" w:sz="0" w:space="0" w:color="auto"/>
                                      </w:divBdr>
                                    </w:div>
                                    <w:div w:id="527790267">
                                      <w:marLeft w:val="0"/>
                                      <w:marRight w:val="0"/>
                                      <w:marTop w:val="0"/>
                                      <w:marBottom w:val="0"/>
                                      <w:divBdr>
                                        <w:top w:val="none" w:sz="0" w:space="0" w:color="auto"/>
                                        <w:left w:val="none" w:sz="0" w:space="0" w:color="auto"/>
                                        <w:bottom w:val="none" w:sz="0" w:space="0" w:color="auto"/>
                                        <w:right w:val="none" w:sz="0" w:space="0" w:color="auto"/>
                                      </w:divBdr>
                                    </w:div>
                                    <w:div w:id="1696537612">
                                      <w:marLeft w:val="0"/>
                                      <w:marRight w:val="0"/>
                                      <w:marTop w:val="0"/>
                                      <w:marBottom w:val="0"/>
                                      <w:divBdr>
                                        <w:top w:val="none" w:sz="0" w:space="0" w:color="auto"/>
                                        <w:left w:val="none" w:sz="0" w:space="0" w:color="auto"/>
                                        <w:bottom w:val="none" w:sz="0" w:space="0" w:color="auto"/>
                                        <w:right w:val="none" w:sz="0" w:space="0" w:color="auto"/>
                                      </w:divBdr>
                                    </w:div>
                                    <w:div w:id="283582332">
                                      <w:marLeft w:val="0"/>
                                      <w:marRight w:val="0"/>
                                      <w:marTop w:val="0"/>
                                      <w:marBottom w:val="0"/>
                                      <w:divBdr>
                                        <w:top w:val="none" w:sz="0" w:space="0" w:color="auto"/>
                                        <w:left w:val="none" w:sz="0" w:space="0" w:color="auto"/>
                                        <w:bottom w:val="none" w:sz="0" w:space="0" w:color="auto"/>
                                        <w:right w:val="none" w:sz="0" w:space="0" w:color="auto"/>
                                      </w:divBdr>
                                    </w:div>
                                    <w:div w:id="1650288421">
                                      <w:marLeft w:val="0"/>
                                      <w:marRight w:val="0"/>
                                      <w:marTop w:val="0"/>
                                      <w:marBottom w:val="0"/>
                                      <w:divBdr>
                                        <w:top w:val="none" w:sz="0" w:space="0" w:color="auto"/>
                                        <w:left w:val="none" w:sz="0" w:space="0" w:color="auto"/>
                                        <w:bottom w:val="none" w:sz="0" w:space="0" w:color="auto"/>
                                        <w:right w:val="none" w:sz="0" w:space="0" w:color="auto"/>
                                      </w:divBdr>
                                    </w:div>
                                  </w:divsChild>
                                </w:div>
                                <w:div w:id="1717847470">
                                  <w:marLeft w:val="0"/>
                                  <w:marRight w:val="0"/>
                                  <w:marTop w:val="0"/>
                                  <w:marBottom w:val="0"/>
                                  <w:divBdr>
                                    <w:top w:val="none" w:sz="0" w:space="0" w:color="auto"/>
                                    <w:left w:val="none" w:sz="0" w:space="0" w:color="auto"/>
                                    <w:bottom w:val="none" w:sz="0" w:space="0" w:color="auto"/>
                                    <w:right w:val="none" w:sz="0" w:space="0" w:color="auto"/>
                                  </w:divBdr>
                                </w:div>
                                <w:div w:id="1258056200">
                                  <w:marLeft w:val="0"/>
                                  <w:marRight w:val="0"/>
                                  <w:marTop w:val="0"/>
                                  <w:marBottom w:val="0"/>
                                  <w:divBdr>
                                    <w:top w:val="none" w:sz="0" w:space="0" w:color="auto"/>
                                    <w:left w:val="none" w:sz="0" w:space="0" w:color="auto"/>
                                    <w:bottom w:val="none" w:sz="0" w:space="0" w:color="auto"/>
                                    <w:right w:val="none" w:sz="0" w:space="0" w:color="auto"/>
                                  </w:divBdr>
                                </w:div>
                                <w:div w:id="12846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25077">
      <w:bodyDiv w:val="1"/>
      <w:marLeft w:val="0"/>
      <w:marRight w:val="0"/>
      <w:marTop w:val="0"/>
      <w:marBottom w:val="0"/>
      <w:divBdr>
        <w:top w:val="none" w:sz="0" w:space="0" w:color="auto"/>
        <w:left w:val="none" w:sz="0" w:space="0" w:color="auto"/>
        <w:bottom w:val="none" w:sz="0" w:space="0" w:color="auto"/>
        <w:right w:val="none" w:sz="0" w:space="0" w:color="auto"/>
      </w:divBdr>
    </w:div>
    <w:div w:id="1076826317">
      <w:bodyDiv w:val="1"/>
      <w:marLeft w:val="0"/>
      <w:marRight w:val="0"/>
      <w:marTop w:val="0"/>
      <w:marBottom w:val="0"/>
      <w:divBdr>
        <w:top w:val="none" w:sz="0" w:space="0" w:color="auto"/>
        <w:left w:val="none" w:sz="0" w:space="0" w:color="auto"/>
        <w:bottom w:val="none" w:sz="0" w:space="0" w:color="auto"/>
        <w:right w:val="none" w:sz="0" w:space="0" w:color="auto"/>
      </w:divBdr>
    </w:div>
    <w:div w:id="1078208016">
      <w:bodyDiv w:val="1"/>
      <w:marLeft w:val="0"/>
      <w:marRight w:val="0"/>
      <w:marTop w:val="0"/>
      <w:marBottom w:val="0"/>
      <w:divBdr>
        <w:top w:val="none" w:sz="0" w:space="0" w:color="auto"/>
        <w:left w:val="none" w:sz="0" w:space="0" w:color="auto"/>
        <w:bottom w:val="none" w:sz="0" w:space="0" w:color="auto"/>
        <w:right w:val="none" w:sz="0" w:space="0" w:color="auto"/>
      </w:divBdr>
      <w:divsChild>
        <w:div w:id="554782283">
          <w:marLeft w:val="0"/>
          <w:marRight w:val="0"/>
          <w:marTop w:val="0"/>
          <w:marBottom w:val="0"/>
          <w:divBdr>
            <w:top w:val="none" w:sz="0" w:space="0" w:color="auto"/>
            <w:left w:val="none" w:sz="0" w:space="0" w:color="auto"/>
            <w:bottom w:val="none" w:sz="0" w:space="0" w:color="auto"/>
            <w:right w:val="none" w:sz="0" w:space="0" w:color="auto"/>
          </w:divBdr>
          <w:divsChild>
            <w:div w:id="882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4908">
      <w:bodyDiv w:val="1"/>
      <w:marLeft w:val="0"/>
      <w:marRight w:val="0"/>
      <w:marTop w:val="0"/>
      <w:marBottom w:val="0"/>
      <w:divBdr>
        <w:top w:val="none" w:sz="0" w:space="0" w:color="auto"/>
        <w:left w:val="none" w:sz="0" w:space="0" w:color="auto"/>
        <w:bottom w:val="none" w:sz="0" w:space="0" w:color="auto"/>
        <w:right w:val="none" w:sz="0" w:space="0" w:color="auto"/>
      </w:divBdr>
    </w:div>
    <w:div w:id="1083644910">
      <w:bodyDiv w:val="1"/>
      <w:marLeft w:val="0"/>
      <w:marRight w:val="0"/>
      <w:marTop w:val="0"/>
      <w:marBottom w:val="0"/>
      <w:divBdr>
        <w:top w:val="none" w:sz="0" w:space="0" w:color="auto"/>
        <w:left w:val="none" w:sz="0" w:space="0" w:color="auto"/>
        <w:bottom w:val="none" w:sz="0" w:space="0" w:color="auto"/>
        <w:right w:val="none" w:sz="0" w:space="0" w:color="auto"/>
      </w:divBdr>
    </w:div>
    <w:div w:id="1103722838">
      <w:bodyDiv w:val="1"/>
      <w:marLeft w:val="0"/>
      <w:marRight w:val="0"/>
      <w:marTop w:val="0"/>
      <w:marBottom w:val="0"/>
      <w:divBdr>
        <w:top w:val="none" w:sz="0" w:space="0" w:color="auto"/>
        <w:left w:val="none" w:sz="0" w:space="0" w:color="auto"/>
        <w:bottom w:val="none" w:sz="0" w:space="0" w:color="auto"/>
        <w:right w:val="none" w:sz="0" w:space="0" w:color="auto"/>
      </w:divBdr>
      <w:divsChild>
        <w:div w:id="731470569">
          <w:marLeft w:val="0"/>
          <w:marRight w:val="0"/>
          <w:marTop w:val="0"/>
          <w:marBottom w:val="0"/>
          <w:divBdr>
            <w:top w:val="none" w:sz="0" w:space="0" w:color="auto"/>
            <w:left w:val="none" w:sz="0" w:space="0" w:color="auto"/>
            <w:bottom w:val="none" w:sz="0" w:space="0" w:color="auto"/>
            <w:right w:val="none" w:sz="0" w:space="0" w:color="auto"/>
          </w:divBdr>
        </w:div>
      </w:divsChild>
    </w:div>
    <w:div w:id="1108501144">
      <w:bodyDiv w:val="1"/>
      <w:marLeft w:val="0"/>
      <w:marRight w:val="0"/>
      <w:marTop w:val="0"/>
      <w:marBottom w:val="0"/>
      <w:divBdr>
        <w:top w:val="none" w:sz="0" w:space="0" w:color="auto"/>
        <w:left w:val="none" w:sz="0" w:space="0" w:color="auto"/>
        <w:bottom w:val="none" w:sz="0" w:space="0" w:color="auto"/>
        <w:right w:val="none" w:sz="0" w:space="0" w:color="auto"/>
      </w:divBdr>
      <w:divsChild>
        <w:div w:id="1806123351">
          <w:marLeft w:val="0"/>
          <w:marRight w:val="0"/>
          <w:marTop w:val="0"/>
          <w:marBottom w:val="0"/>
          <w:divBdr>
            <w:top w:val="none" w:sz="0" w:space="0" w:color="auto"/>
            <w:left w:val="none" w:sz="0" w:space="0" w:color="auto"/>
            <w:bottom w:val="none" w:sz="0" w:space="0" w:color="auto"/>
            <w:right w:val="none" w:sz="0" w:space="0" w:color="auto"/>
          </w:divBdr>
          <w:divsChild>
            <w:div w:id="4626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047">
      <w:bodyDiv w:val="1"/>
      <w:marLeft w:val="0"/>
      <w:marRight w:val="0"/>
      <w:marTop w:val="0"/>
      <w:marBottom w:val="0"/>
      <w:divBdr>
        <w:top w:val="none" w:sz="0" w:space="0" w:color="auto"/>
        <w:left w:val="none" w:sz="0" w:space="0" w:color="auto"/>
        <w:bottom w:val="none" w:sz="0" w:space="0" w:color="auto"/>
        <w:right w:val="none" w:sz="0" w:space="0" w:color="auto"/>
      </w:divBdr>
      <w:divsChild>
        <w:div w:id="792139139">
          <w:marLeft w:val="0"/>
          <w:marRight w:val="0"/>
          <w:marTop w:val="0"/>
          <w:marBottom w:val="0"/>
          <w:divBdr>
            <w:top w:val="none" w:sz="0" w:space="0" w:color="auto"/>
            <w:left w:val="none" w:sz="0" w:space="0" w:color="auto"/>
            <w:bottom w:val="none" w:sz="0" w:space="0" w:color="auto"/>
            <w:right w:val="none" w:sz="0" w:space="0" w:color="auto"/>
          </w:divBdr>
          <w:divsChild>
            <w:div w:id="155652174">
              <w:marLeft w:val="0"/>
              <w:marRight w:val="0"/>
              <w:marTop w:val="0"/>
              <w:marBottom w:val="0"/>
              <w:divBdr>
                <w:top w:val="none" w:sz="0" w:space="0" w:color="auto"/>
                <w:left w:val="none" w:sz="0" w:space="0" w:color="auto"/>
                <w:bottom w:val="none" w:sz="0" w:space="0" w:color="auto"/>
                <w:right w:val="none" w:sz="0" w:space="0" w:color="auto"/>
              </w:divBdr>
            </w:div>
            <w:div w:id="3578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7217755">
          <w:marLeft w:val="0"/>
          <w:marRight w:val="0"/>
          <w:marTop w:val="0"/>
          <w:marBottom w:val="0"/>
          <w:divBdr>
            <w:top w:val="none" w:sz="0" w:space="0" w:color="auto"/>
            <w:left w:val="none" w:sz="0" w:space="0" w:color="auto"/>
            <w:bottom w:val="none" w:sz="0" w:space="0" w:color="auto"/>
            <w:right w:val="none" w:sz="0" w:space="0" w:color="auto"/>
          </w:divBdr>
          <w:divsChild>
            <w:div w:id="16550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184">
      <w:bodyDiv w:val="1"/>
      <w:marLeft w:val="0"/>
      <w:marRight w:val="0"/>
      <w:marTop w:val="0"/>
      <w:marBottom w:val="0"/>
      <w:divBdr>
        <w:top w:val="none" w:sz="0" w:space="0" w:color="auto"/>
        <w:left w:val="none" w:sz="0" w:space="0" w:color="auto"/>
        <w:bottom w:val="none" w:sz="0" w:space="0" w:color="auto"/>
        <w:right w:val="none" w:sz="0" w:space="0" w:color="auto"/>
      </w:divBdr>
      <w:divsChild>
        <w:div w:id="32964950">
          <w:marLeft w:val="0"/>
          <w:marRight w:val="0"/>
          <w:marTop w:val="0"/>
          <w:marBottom w:val="0"/>
          <w:divBdr>
            <w:top w:val="none" w:sz="0" w:space="0" w:color="auto"/>
            <w:left w:val="none" w:sz="0" w:space="0" w:color="auto"/>
            <w:bottom w:val="none" w:sz="0" w:space="0" w:color="auto"/>
            <w:right w:val="none" w:sz="0" w:space="0" w:color="auto"/>
          </w:divBdr>
          <w:divsChild>
            <w:div w:id="19336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770">
      <w:bodyDiv w:val="1"/>
      <w:marLeft w:val="0"/>
      <w:marRight w:val="0"/>
      <w:marTop w:val="0"/>
      <w:marBottom w:val="0"/>
      <w:divBdr>
        <w:top w:val="none" w:sz="0" w:space="0" w:color="auto"/>
        <w:left w:val="none" w:sz="0" w:space="0" w:color="auto"/>
        <w:bottom w:val="none" w:sz="0" w:space="0" w:color="auto"/>
        <w:right w:val="none" w:sz="0" w:space="0" w:color="auto"/>
      </w:divBdr>
      <w:divsChild>
        <w:div w:id="745804286">
          <w:marLeft w:val="0"/>
          <w:marRight w:val="0"/>
          <w:marTop w:val="0"/>
          <w:marBottom w:val="0"/>
          <w:divBdr>
            <w:top w:val="none" w:sz="0" w:space="0" w:color="auto"/>
            <w:left w:val="none" w:sz="0" w:space="0" w:color="auto"/>
            <w:bottom w:val="none" w:sz="0" w:space="0" w:color="auto"/>
            <w:right w:val="none" w:sz="0" w:space="0" w:color="auto"/>
          </w:divBdr>
        </w:div>
      </w:divsChild>
    </w:div>
    <w:div w:id="1138037904">
      <w:bodyDiv w:val="1"/>
      <w:marLeft w:val="0"/>
      <w:marRight w:val="0"/>
      <w:marTop w:val="0"/>
      <w:marBottom w:val="0"/>
      <w:divBdr>
        <w:top w:val="none" w:sz="0" w:space="0" w:color="auto"/>
        <w:left w:val="none" w:sz="0" w:space="0" w:color="auto"/>
        <w:bottom w:val="none" w:sz="0" w:space="0" w:color="auto"/>
        <w:right w:val="none" w:sz="0" w:space="0" w:color="auto"/>
      </w:divBdr>
      <w:divsChild>
        <w:div w:id="1377043364">
          <w:marLeft w:val="0"/>
          <w:marRight w:val="0"/>
          <w:marTop w:val="0"/>
          <w:marBottom w:val="0"/>
          <w:divBdr>
            <w:top w:val="none" w:sz="0" w:space="0" w:color="auto"/>
            <w:left w:val="none" w:sz="0" w:space="0" w:color="auto"/>
            <w:bottom w:val="none" w:sz="0" w:space="0" w:color="auto"/>
            <w:right w:val="none" w:sz="0" w:space="0" w:color="auto"/>
          </w:divBdr>
          <w:divsChild>
            <w:div w:id="13960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9147">
      <w:bodyDiv w:val="1"/>
      <w:marLeft w:val="0"/>
      <w:marRight w:val="0"/>
      <w:marTop w:val="0"/>
      <w:marBottom w:val="0"/>
      <w:divBdr>
        <w:top w:val="none" w:sz="0" w:space="0" w:color="auto"/>
        <w:left w:val="none" w:sz="0" w:space="0" w:color="auto"/>
        <w:bottom w:val="none" w:sz="0" w:space="0" w:color="auto"/>
        <w:right w:val="none" w:sz="0" w:space="0" w:color="auto"/>
      </w:divBdr>
      <w:divsChild>
        <w:div w:id="700588376">
          <w:marLeft w:val="0"/>
          <w:marRight w:val="0"/>
          <w:marTop w:val="0"/>
          <w:marBottom w:val="0"/>
          <w:divBdr>
            <w:top w:val="none" w:sz="0" w:space="0" w:color="auto"/>
            <w:left w:val="none" w:sz="0" w:space="0" w:color="auto"/>
            <w:bottom w:val="none" w:sz="0" w:space="0" w:color="auto"/>
            <w:right w:val="none" w:sz="0" w:space="0" w:color="auto"/>
          </w:divBdr>
          <w:divsChild>
            <w:div w:id="19782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2243">
      <w:bodyDiv w:val="1"/>
      <w:marLeft w:val="0"/>
      <w:marRight w:val="0"/>
      <w:marTop w:val="0"/>
      <w:marBottom w:val="0"/>
      <w:divBdr>
        <w:top w:val="none" w:sz="0" w:space="0" w:color="auto"/>
        <w:left w:val="none" w:sz="0" w:space="0" w:color="auto"/>
        <w:bottom w:val="none" w:sz="0" w:space="0" w:color="auto"/>
        <w:right w:val="none" w:sz="0" w:space="0" w:color="auto"/>
      </w:divBdr>
      <w:divsChild>
        <w:div w:id="1872641834">
          <w:marLeft w:val="335"/>
          <w:marRight w:val="335"/>
          <w:marTop w:val="0"/>
          <w:marBottom w:val="0"/>
          <w:divBdr>
            <w:top w:val="none" w:sz="0" w:space="0" w:color="auto"/>
            <w:left w:val="none" w:sz="0" w:space="0" w:color="auto"/>
            <w:bottom w:val="none" w:sz="0" w:space="0" w:color="auto"/>
            <w:right w:val="none" w:sz="0" w:space="0" w:color="auto"/>
          </w:divBdr>
          <w:divsChild>
            <w:div w:id="914315580">
              <w:marLeft w:val="0"/>
              <w:marRight w:val="0"/>
              <w:marTop w:val="0"/>
              <w:marBottom w:val="167"/>
              <w:divBdr>
                <w:top w:val="none" w:sz="0" w:space="0" w:color="auto"/>
                <w:left w:val="none" w:sz="0" w:space="0" w:color="auto"/>
                <w:bottom w:val="none" w:sz="0" w:space="0" w:color="auto"/>
                <w:right w:val="none" w:sz="0" w:space="0" w:color="auto"/>
              </w:divBdr>
              <w:divsChild>
                <w:div w:id="1290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6633">
      <w:bodyDiv w:val="1"/>
      <w:marLeft w:val="0"/>
      <w:marRight w:val="0"/>
      <w:marTop w:val="0"/>
      <w:marBottom w:val="0"/>
      <w:divBdr>
        <w:top w:val="none" w:sz="0" w:space="0" w:color="auto"/>
        <w:left w:val="none" w:sz="0" w:space="0" w:color="auto"/>
        <w:bottom w:val="none" w:sz="0" w:space="0" w:color="auto"/>
        <w:right w:val="none" w:sz="0" w:space="0" w:color="auto"/>
      </w:divBdr>
    </w:div>
    <w:div w:id="1178036218">
      <w:bodyDiv w:val="1"/>
      <w:marLeft w:val="0"/>
      <w:marRight w:val="0"/>
      <w:marTop w:val="0"/>
      <w:marBottom w:val="0"/>
      <w:divBdr>
        <w:top w:val="none" w:sz="0" w:space="0" w:color="auto"/>
        <w:left w:val="none" w:sz="0" w:space="0" w:color="auto"/>
        <w:bottom w:val="none" w:sz="0" w:space="0" w:color="auto"/>
        <w:right w:val="none" w:sz="0" w:space="0" w:color="auto"/>
      </w:divBdr>
      <w:divsChild>
        <w:div w:id="1807777255">
          <w:marLeft w:val="0"/>
          <w:marRight w:val="0"/>
          <w:marTop w:val="0"/>
          <w:marBottom w:val="0"/>
          <w:divBdr>
            <w:top w:val="none" w:sz="0" w:space="0" w:color="auto"/>
            <w:left w:val="none" w:sz="0" w:space="0" w:color="auto"/>
            <w:bottom w:val="none" w:sz="0" w:space="0" w:color="auto"/>
            <w:right w:val="none" w:sz="0" w:space="0" w:color="auto"/>
          </w:divBdr>
          <w:divsChild>
            <w:div w:id="5486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9203">
      <w:bodyDiv w:val="1"/>
      <w:marLeft w:val="0"/>
      <w:marRight w:val="0"/>
      <w:marTop w:val="0"/>
      <w:marBottom w:val="0"/>
      <w:divBdr>
        <w:top w:val="none" w:sz="0" w:space="0" w:color="auto"/>
        <w:left w:val="none" w:sz="0" w:space="0" w:color="auto"/>
        <w:bottom w:val="none" w:sz="0" w:space="0" w:color="auto"/>
        <w:right w:val="none" w:sz="0" w:space="0" w:color="auto"/>
      </w:divBdr>
    </w:div>
    <w:div w:id="1187210450">
      <w:bodyDiv w:val="1"/>
      <w:marLeft w:val="0"/>
      <w:marRight w:val="0"/>
      <w:marTop w:val="0"/>
      <w:marBottom w:val="0"/>
      <w:divBdr>
        <w:top w:val="none" w:sz="0" w:space="0" w:color="auto"/>
        <w:left w:val="none" w:sz="0" w:space="0" w:color="auto"/>
        <w:bottom w:val="none" w:sz="0" w:space="0" w:color="auto"/>
        <w:right w:val="none" w:sz="0" w:space="0" w:color="auto"/>
      </w:divBdr>
      <w:divsChild>
        <w:div w:id="1001003135">
          <w:marLeft w:val="300"/>
          <w:marRight w:val="300"/>
          <w:marTop w:val="0"/>
          <w:marBottom w:val="0"/>
          <w:divBdr>
            <w:top w:val="none" w:sz="0" w:space="0" w:color="auto"/>
            <w:left w:val="none" w:sz="0" w:space="0" w:color="auto"/>
            <w:bottom w:val="none" w:sz="0" w:space="0" w:color="auto"/>
            <w:right w:val="none" w:sz="0" w:space="0" w:color="auto"/>
          </w:divBdr>
          <w:divsChild>
            <w:div w:id="1151293571">
              <w:marLeft w:val="0"/>
              <w:marRight w:val="0"/>
              <w:marTop w:val="0"/>
              <w:marBottom w:val="150"/>
              <w:divBdr>
                <w:top w:val="none" w:sz="0" w:space="0" w:color="auto"/>
                <w:left w:val="none" w:sz="0" w:space="0" w:color="auto"/>
                <w:bottom w:val="none" w:sz="0" w:space="0" w:color="auto"/>
                <w:right w:val="none" w:sz="0" w:space="0" w:color="auto"/>
              </w:divBdr>
              <w:divsChild>
                <w:div w:id="340360159">
                  <w:marLeft w:val="0"/>
                  <w:marRight w:val="0"/>
                  <w:marTop w:val="0"/>
                  <w:marBottom w:val="0"/>
                  <w:divBdr>
                    <w:top w:val="none" w:sz="0" w:space="0" w:color="auto"/>
                    <w:left w:val="none" w:sz="0" w:space="0" w:color="auto"/>
                    <w:bottom w:val="none" w:sz="0" w:space="0" w:color="auto"/>
                    <w:right w:val="none" w:sz="0" w:space="0" w:color="auto"/>
                  </w:divBdr>
                  <w:divsChild>
                    <w:div w:id="1537965152">
                      <w:marLeft w:val="0"/>
                      <w:marRight w:val="0"/>
                      <w:marTop w:val="0"/>
                      <w:marBottom w:val="0"/>
                      <w:divBdr>
                        <w:top w:val="none" w:sz="0" w:space="0" w:color="auto"/>
                        <w:left w:val="none" w:sz="0" w:space="0" w:color="auto"/>
                        <w:bottom w:val="none" w:sz="0" w:space="0" w:color="auto"/>
                        <w:right w:val="none" w:sz="0" w:space="0" w:color="auto"/>
                      </w:divBdr>
                      <w:divsChild>
                        <w:div w:id="1645814956">
                          <w:marLeft w:val="0"/>
                          <w:marRight w:val="0"/>
                          <w:marTop w:val="0"/>
                          <w:marBottom w:val="0"/>
                          <w:divBdr>
                            <w:top w:val="none" w:sz="0" w:space="0" w:color="auto"/>
                            <w:left w:val="none" w:sz="0" w:space="0" w:color="auto"/>
                            <w:bottom w:val="none" w:sz="0" w:space="0" w:color="auto"/>
                            <w:right w:val="none" w:sz="0" w:space="0" w:color="auto"/>
                          </w:divBdr>
                          <w:divsChild>
                            <w:div w:id="2276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9858">
      <w:bodyDiv w:val="1"/>
      <w:marLeft w:val="0"/>
      <w:marRight w:val="0"/>
      <w:marTop w:val="0"/>
      <w:marBottom w:val="0"/>
      <w:divBdr>
        <w:top w:val="none" w:sz="0" w:space="0" w:color="auto"/>
        <w:left w:val="none" w:sz="0" w:space="0" w:color="auto"/>
        <w:bottom w:val="none" w:sz="0" w:space="0" w:color="auto"/>
        <w:right w:val="none" w:sz="0" w:space="0" w:color="auto"/>
      </w:divBdr>
      <w:divsChild>
        <w:div w:id="2098089457">
          <w:marLeft w:val="0"/>
          <w:marRight w:val="0"/>
          <w:marTop w:val="0"/>
          <w:marBottom w:val="0"/>
          <w:divBdr>
            <w:top w:val="none" w:sz="0" w:space="0" w:color="auto"/>
            <w:left w:val="none" w:sz="0" w:space="0" w:color="auto"/>
            <w:bottom w:val="none" w:sz="0" w:space="0" w:color="auto"/>
            <w:right w:val="none" w:sz="0" w:space="0" w:color="auto"/>
          </w:divBdr>
        </w:div>
      </w:divsChild>
    </w:div>
    <w:div w:id="1198129851">
      <w:bodyDiv w:val="1"/>
      <w:marLeft w:val="0"/>
      <w:marRight w:val="0"/>
      <w:marTop w:val="0"/>
      <w:marBottom w:val="0"/>
      <w:divBdr>
        <w:top w:val="none" w:sz="0" w:space="0" w:color="auto"/>
        <w:left w:val="none" w:sz="0" w:space="0" w:color="auto"/>
        <w:bottom w:val="none" w:sz="0" w:space="0" w:color="auto"/>
        <w:right w:val="none" w:sz="0" w:space="0" w:color="auto"/>
      </w:divBdr>
    </w:div>
    <w:div w:id="1201822873">
      <w:bodyDiv w:val="1"/>
      <w:marLeft w:val="0"/>
      <w:marRight w:val="0"/>
      <w:marTop w:val="0"/>
      <w:marBottom w:val="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sChild>
            <w:div w:id="114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1015">
      <w:bodyDiv w:val="1"/>
      <w:marLeft w:val="0"/>
      <w:marRight w:val="0"/>
      <w:marTop w:val="0"/>
      <w:marBottom w:val="0"/>
      <w:divBdr>
        <w:top w:val="none" w:sz="0" w:space="0" w:color="auto"/>
        <w:left w:val="none" w:sz="0" w:space="0" w:color="auto"/>
        <w:bottom w:val="none" w:sz="0" w:space="0" w:color="auto"/>
        <w:right w:val="none" w:sz="0" w:space="0" w:color="auto"/>
      </w:divBdr>
      <w:divsChild>
        <w:div w:id="2097360337">
          <w:marLeft w:val="0"/>
          <w:marRight w:val="0"/>
          <w:marTop w:val="0"/>
          <w:marBottom w:val="0"/>
          <w:divBdr>
            <w:top w:val="none" w:sz="0" w:space="0" w:color="auto"/>
            <w:left w:val="none" w:sz="0" w:space="0" w:color="auto"/>
            <w:bottom w:val="none" w:sz="0" w:space="0" w:color="auto"/>
            <w:right w:val="none" w:sz="0" w:space="0" w:color="auto"/>
          </w:divBdr>
          <w:divsChild>
            <w:div w:id="1708723501">
              <w:marLeft w:val="0"/>
              <w:marRight w:val="0"/>
              <w:marTop w:val="0"/>
              <w:marBottom w:val="0"/>
              <w:divBdr>
                <w:top w:val="none" w:sz="0" w:space="0" w:color="auto"/>
                <w:left w:val="none" w:sz="0" w:space="0" w:color="auto"/>
                <w:bottom w:val="none" w:sz="0" w:space="0" w:color="auto"/>
                <w:right w:val="none" w:sz="0" w:space="0" w:color="auto"/>
              </w:divBdr>
            </w:div>
            <w:div w:id="468519176">
              <w:marLeft w:val="0"/>
              <w:marRight w:val="0"/>
              <w:marTop w:val="0"/>
              <w:marBottom w:val="0"/>
              <w:divBdr>
                <w:top w:val="none" w:sz="0" w:space="0" w:color="auto"/>
                <w:left w:val="none" w:sz="0" w:space="0" w:color="auto"/>
                <w:bottom w:val="none" w:sz="0" w:space="0" w:color="auto"/>
                <w:right w:val="none" w:sz="0" w:space="0" w:color="auto"/>
              </w:divBdr>
              <w:divsChild>
                <w:div w:id="2041860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5479676">
      <w:bodyDiv w:val="1"/>
      <w:marLeft w:val="0"/>
      <w:marRight w:val="0"/>
      <w:marTop w:val="0"/>
      <w:marBottom w:val="0"/>
      <w:divBdr>
        <w:top w:val="none" w:sz="0" w:space="0" w:color="auto"/>
        <w:left w:val="none" w:sz="0" w:space="0" w:color="auto"/>
        <w:bottom w:val="none" w:sz="0" w:space="0" w:color="auto"/>
        <w:right w:val="none" w:sz="0" w:space="0" w:color="auto"/>
      </w:divBdr>
      <w:divsChild>
        <w:div w:id="428743460">
          <w:marLeft w:val="0"/>
          <w:marRight w:val="0"/>
          <w:marTop w:val="0"/>
          <w:marBottom w:val="0"/>
          <w:divBdr>
            <w:top w:val="none" w:sz="0" w:space="0" w:color="auto"/>
            <w:left w:val="none" w:sz="0" w:space="0" w:color="auto"/>
            <w:bottom w:val="none" w:sz="0" w:space="0" w:color="auto"/>
            <w:right w:val="none" w:sz="0" w:space="0" w:color="auto"/>
          </w:divBdr>
          <w:divsChild>
            <w:div w:id="11020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056">
      <w:bodyDiv w:val="1"/>
      <w:marLeft w:val="0"/>
      <w:marRight w:val="0"/>
      <w:marTop w:val="0"/>
      <w:marBottom w:val="0"/>
      <w:divBdr>
        <w:top w:val="none" w:sz="0" w:space="0" w:color="auto"/>
        <w:left w:val="none" w:sz="0" w:space="0" w:color="auto"/>
        <w:bottom w:val="none" w:sz="0" w:space="0" w:color="auto"/>
        <w:right w:val="none" w:sz="0" w:space="0" w:color="auto"/>
      </w:divBdr>
      <w:divsChild>
        <w:div w:id="420183754">
          <w:marLeft w:val="0"/>
          <w:marRight w:val="0"/>
          <w:marTop w:val="0"/>
          <w:marBottom w:val="0"/>
          <w:divBdr>
            <w:top w:val="none" w:sz="0" w:space="0" w:color="auto"/>
            <w:left w:val="none" w:sz="0" w:space="0" w:color="auto"/>
            <w:bottom w:val="none" w:sz="0" w:space="0" w:color="auto"/>
            <w:right w:val="none" w:sz="0" w:space="0" w:color="auto"/>
          </w:divBdr>
          <w:divsChild>
            <w:div w:id="334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7863">
      <w:bodyDiv w:val="1"/>
      <w:marLeft w:val="0"/>
      <w:marRight w:val="0"/>
      <w:marTop w:val="0"/>
      <w:marBottom w:val="0"/>
      <w:divBdr>
        <w:top w:val="none" w:sz="0" w:space="0" w:color="auto"/>
        <w:left w:val="none" w:sz="0" w:space="0" w:color="auto"/>
        <w:bottom w:val="none" w:sz="0" w:space="0" w:color="auto"/>
        <w:right w:val="none" w:sz="0" w:space="0" w:color="auto"/>
      </w:divBdr>
      <w:divsChild>
        <w:div w:id="298611285">
          <w:marLeft w:val="0"/>
          <w:marRight w:val="0"/>
          <w:marTop w:val="0"/>
          <w:marBottom w:val="0"/>
          <w:divBdr>
            <w:top w:val="none" w:sz="0" w:space="0" w:color="auto"/>
            <w:left w:val="none" w:sz="0" w:space="0" w:color="auto"/>
            <w:bottom w:val="none" w:sz="0" w:space="0" w:color="auto"/>
            <w:right w:val="none" w:sz="0" w:space="0" w:color="auto"/>
          </w:divBdr>
          <w:divsChild>
            <w:div w:id="2010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4921">
      <w:bodyDiv w:val="1"/>
      <w:marLeft w:val="0"/>
      <w:marRight w:val="0"/>
      <w:marTop w:val="0"/>
      <w:marBottom w:val="0"/>
      <w:divBdr>
        <w:top w:val="none" w:sz="0" w:space="0" w:color="auto"/>
        <w:left w:val="none" w:sz="0" w:space="0" w:color="auto"/>
        <w:bottom w:val="none" w:sz="0" w:space="0" w:color="auto"/>
        <w:right w:val="none" w:sz="0" w:space="0" w:color="auto"/>
      </w:divBdr>
      <w:divsChild>
        <w:div w:id="1626764772">
          <w:marLeft w:val="272"/>
          <w:marRight w:val="272"/>
          <w:marTop w:val="0"/>
          <w:marBottom w:val="0"/>
          <w:divBdr>
            <w:top w:val="none" w:sz="0" w:space="0" w:color="auto"/>
            <w:left w:val="none" w:sz="0" w:space="0" w:color="auto"/>
            <w:bottom w:val="none" w:sz="0" w:space="0" w:color="auto"/>
            <w:right w:val="none" w:sz="0" w:space="0" w:color="auto"/>
          </w:divBdr>
          <w:divsChild>
            <w:div w:id="143279688">
              <w:marLeft w:val="0"/>
              <w:marRight w:val="0"/>
              <w:marTop w:val="0"/>
              <w:marBottom w:val="136"/>
              <w:divBdr>
                <w:top w:val="none" w:sz="0" w:space="0" w:color="auto"/>
                <w:left w:val="none" w:sz="0" w:space="0" w:color="auto"/>
                <w:bottom w:val="none" w:sz="0" w:space="0" w:color="auto"/>
                <w:right w:val="none" w:sz="0" w:space="0" w:color="auto"/>
              </w:divBdr>
              <w:divsChild>
                <w:div w:id="893346916">
                  <w:marLeft w:val="0"/>
                  <w:marRight w:val="0"/>
                  <w:marTop w:val="0"/>
                  <w:marBottom w:val="0"/>
                  <w:divBdr>
                    <w:top w:val="none" w:sz="0" w:space="0" w:color="auto"/>
                    <w:left w:val="none" w:sz="0" w:space="0" w:color="auto"/>
                    <w:bottom w:val="none" w:sz="0" w:space="0" w:color="auto"/>
                    <w:right w:val="none" w:sz="0" w:space="0" w:color="auto"/>
                  </w:divBdr>
                  <w:divsChild>
                    <w:div w:id="691417847">
                      <w:marLeft w:val="0"/>
                      <w:marRight w:val="0"/>
                      <w:marTop w:val="0"/>
                      <w:marBottom w:val="0"/>
                      <w:divBdr>
                        <w:top w:val="none" w:sz="0" w:space="0" w:color="auto"/>
                        <w:left w:val="none" w:sz="0" w:space="0" w:color="auto"/>
                        <w:bottom w:val="none" w:sz="0" w:space="0" w:color="auto"/>
                        <w:right w:val="none" w:sz="0" w:space="0" w:color="auto"/>
                      </w:divBdr>
                      <w:divsChild>
                        <w:div w:id="1519273823">
                          <w:marLeft w:val="0"/>
                          <w:marRight w:val="0"/>
                          <w:marTop w:val="0"/>
                          <w:marBottom w:val="0"/>
                          <w:divBdr>
                            <w:top w:val="none" w:sz="0" w:space="0" w:color="auto"/>
                            <w:left w:val="none" w:sz="0" w:space="0" w:color="auto"/>
                            <w:bottom w:val="none" w:sz="0" w:space="0" w:color="auto"/>
                            <w:right w:val="none" w:sz="0" w:space="0" w:color="auto"/>
                          </w:divBdr>
                          <w:divsChild>
                            <w:div w:id="25329497">
                              <w:marLeft w:val="0"/>
                              <w:marRight w:val="0"/>
                              <w:marTop w:val="0"/>
                              <w:marBottom w:val="0"/>
                              <w:divBdr>
                                <w:top w:val="none" w:sz="0" w:space="0" w:color="auto"/>
                                <w:left w:val="none" w:sz="0" w:space="0" w:color="auto"/>
                                <w:bottom w:val="none" w:sz="0" w:space="0" w:color="auto"/>
                                <w:right w:val="none" w:sz="0" w:space="0" w:color="auto"/>
                              </w:divBdr>
                            </w:div>
                            <w:div w:id="117183379">
                              <w:marLeft w:val="0"/>
                              <w:marRight w:val="0"/>
                              <w:marTop w:val="0"/>
                              <w:marBottom w:val="0"/>
                              <w:divBdr>
                                <w:top w:val="none" w:sz="0" w:space="0" w:color="auto"/>
                                <w:left w:val="none" w:sz="0" w:space="0" w:color="auto"/>
                                <w:bottom w:val="none" w:sz="0" w:space="0" w:color="auto"/>
                                <w:right w:val="none" w:sz="0" w:space="0" w:color="auto"/>
                              </w:divBdr>
                            </w:div>
                            <w:div w:id="410854717">
                              <w:marLeft w:val="0"/>
                              <w:marRight w:val="0"/>
                              <w:marTop w:val="0"/>
                              <w:marBottom w:val="0"/>
                              <w:divBdr>
                                <w:top w:val="none" w:sz="0" w:space="0" w:color="auto"/>
                                <w:left w:val="none" w:sz="0" w:space="0" w:color="auto"/>
                                <w:bottom w:val="none" w:sz="0" w:space="0" w:color="auto"/>
                                <w:right w:val="none" w:sz="0" w:space="0" w:color="auto"/>
                              </w:divBdr>
                            </w:div>
                            <w:div w:id="446119982">
                              <w:marLeft w:val="0"/>
                              <w:marRight w:val="0"/>
                              <w:marTop w:val="0"/>
                              <w:marBottom w:val="0"/>
                              <w:divBdr>
                                <w:top w:val="none" w:sz="0" w:space="0" w:color="auto"/>
                                <w:left w:val="none" w:sz="0" w:space="0" w:color="auto"/>
                                <w:bottom w:val="none" w:sz="0" w:space="0" w:color="auto"/>
                                <w:right w:val="none" w:sz="0" w:space="0" w:color="auto"/>
                              </w:divBdr>
                            </w:div>
                            <w:div w:id="496920529">
                              <w:marLeft w:val="0"/>
                              <w:marRight w:val="0"/>
                              <w:marTop w:val="0"/>
                              <w:marBottom w:val="0"/>
                              <w:divBdr>
                                <w:top w:val="none" w:sz="0" w:space="0" w:color="auto"/>
                                <w:left w:val="none" w:sz="0" w:space="0" w:color="auto"/>
                                <w:bottom w:val="none" w:sz="0" w:space="0" w:color="auto"/>
                                <w:right w:val="none" w:sz="0" w:space="0" w:color="auto"/>
                              </w:divBdr>
                            </w:div>
                            <w:div w:id="618413035">
                              <w:marLeft w:val="0"/>
                              <w:marRight w:val="0"/>
                              <w:marTop w:val="0"/>
                              <w:marBottom w:val="0"/>
                              <w:divBdr>
                                <w:top w:val="none" w:sz="0" w:space="0" w:color="auto"/>
                                <w:left w:val="none" w:sz="0" w:space="0" w:color="auto"/>
                                <w:bottom w:val="none" w:sz="0" w:space="0" w:color="auto"/>
                                <w:right w:val="none" w:sz="0" w:space="0" w:color="auto"/>
                              </w:divBdr>
                            </w:div>
                            <w:div w:id="751391550">
                              <w:marLeft w:val="0"/>
                              <w:marRight w:val="0"/>
                              <w:marTop w:val="0"/>
                              <w:marBottom w:val="0"/>
                              <w:divBdr>
                                <w:top w:val="none" w:sz="0" w:space="0" w:color="auto"/>
                                <w:left w:val="none" w:sz="0" w:space="0" w:color="auto"/>
                                <w:bottom w:val="none" w:sz="0" w:space="0" w:color="auto"/>
                                <w:right w:val="none" w:sz="0" w:space="0" w:color="auto"/>
                              </w:divBdr>
                            </w:div>
                            <w:div w:id="922955925">
                              <w:marLeft w:val="0"/>
                              <w:marRight w:val="0"/>
                              <w:marTop w:val="0"/>
                              <w:marBottom w:val="0"/>
                              <w:divBdr>
                                <w:top w:val="none" w:sz="0" w:space="0" w:color="auto"/>
                                <w:left w:val="none" w:sz="0" w:space="0" w:color="auto"/>
                                <w:bottom w:val="none" w:sz="0" w:space="0" w:color="auto"/>
                                <w:right w:val="none" w:sz="0" w:space="0" w:color="auto"/>
                              </w:divBdr>
                            </w:div>
                            <w:div w:id="1156995372">
                              <w:marLeft w:val="0"/>
                              <w:marRight w:val="0"/>
                              <w:marTop w:val="0"/>
                              <w:marBottom w:val="0"/>
                              <w:divBdr>
                                <w:top w:val="none" w:sz="0" w:space="0" w:color="auto"/>
                                <w:left w:val="none" w:sz="0" w:space="0" w:color="auto"/>
                                <w:bottom w:val="none" w:sz="0" w:space="0" w:color="auto"/>
                                <w:right w:val="none" w:sz="0" w:space="0" w:color="auto"/>
                              </w:divBdr>
                            </w:div>
                            <w:div w:id="1278635763">
                              <w:marLeft w:val="0"/>
                              <w:marRight w:val="0"/>
                              <w:marTop w:val="0"/>
                              <w:marBottom w:val="0"/>
                              <w:divBdr>
                                <w:top w:val="none" w:sz="0" w:space="0" w:color="auto"/>
                                <w:left w:val="none" w:sz="0" w:space="0" w:color="auto"/>
                                <w:bottom w:val="none" w:sz="0" w:space="0" w:color="auto"/>
                                <w:right w:val="none" w:sz="0" w:space="0" w:color="auto"/>
                              </w:divBdr>
                            </w:div>
                            <w:div w:id="1962809453">
                              <w:marLeft w:val="0"/>
                              <w:marRight w:val="0"/>
                              <w:marTop w:val="0"/>
                              <w:marBottom w:val="0"/>
                              <w:divBdr>
                                <w:top w:val="none" w:sz="0" w:space="0" w:color="auto"/>
                                <w:left w:val="none" w:sz="0" w:space="0" w:color="auto"/>
                                <w:bottom w:val="none" w:sz="0" w:space="0" w:color="auto"/>
                                <w:right w:val="none" w:sz="0" w:space="0" w:color="auto"/>
                              </w:divBdr>
                            </w:div>
                            <w:div w:id="20489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9950">
      <w:bodyDiv w:val="1"/>
      <w:marLeft w:val="0"/>
      <w:marRight w:val="0"/>
      <w:marTop w:val="0"/>
      <w:marBottom w:val="0"/>
      <w:divBdr>
        <w:top w:val="none" w:sz="0" w:space="0" w:color="auto"/>
        <w:left w:val="none" w:sz="0" w:space="0" w:color="auto"/>
        <w:bottom w:val="none" w:sz="0" w:space="0" w:color="auto"/>
        <w:right w:val="none" w:sz="0" w:space="0" w:color="auto"/>
      </w:divBdr>
      <w:divsChild>
        <w:div w:id="986015373">
          <w:marLeft w:val="0"/>
          <w:marRight w:val="0"/>
          <w:marTop w:val="0"/>
          <w:marBottom w:val="0"/>
          <w:divBdr>
            <w:top w:val="none" w:sz="0" w:space="0" w:color="auto"/>
            <w:left w:val="none" w:sz="0" w:space="0" w:color="auto"/>
            <w:bottom w:val="none" w:sz="0" w:space="0" w:color="auto"/>
            <w:right w:val="none" w:sz="0" w:space="0" w:color="auto"/>
          </w:divBdr>
          <w:divsChild>
            <w:div w:id="8474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3777">
      <w:bodyDiv w:val="1"/>
      <w:marLeft w:val="0"/>
      <w:marRight w:val="0"/>
      <w:marTop w:val="0"/>
      <w:marBottom w:val="0"/>
      <w:divBdr>
        <w:top w:val="none" w:sz="0" w:space="0" w:color="auto"/>
        <w:left w:val="none" w:sz="0" w:space="0" w:color="auto"/>
        <w:bottom w:val="none" w:sz="0" w:space="0" w:color="auto"/>
        <w:right w:val="none" w:sz="0" w:space="0" w:color="auto"/>
      </w:divBdr>
      <w:divsChild>
        <w:div w:id="868837472">
          <w:marLeft w:val="0"/>
          <w:marRight w:val="0"/>
          <w:marTop w:val="0"/>
          <w:marBottom w:val="0"/>
          <w:divBdr>
            <w:top w:val="none" w:sz="0" w:space="0" w:color="auto"/>
            <w:left w:val="none" w:sz="0" w:space="0" w:color="auto"/>
            <w:bottom w:val="none" w:sz="0" w:space="0" w:color="auto"/>
            <w:right w:val="none" w:sz="0" w:space="0" w:color="auto"/>
          </w:divBdr>
          <w:divsChild>
            <w:div w:id="156963786">
              <w:marLeft w:val="0"/>
              <w:marRight w:val="0"/>
              <w:marTop w:val="0"/>
              <w:marBottom w:val="0"/>
              <w:divBdr>
                <w:top w:val="none" w:sz="0" w:space="0" w:color="auto"/>
                <w:left w:val="none" w:sz="0" w:space="0" w:color="auto"/>
                <w:bottom w:val="none" w:sz="0" w:space="0" w:color="auto"/>
                <w:right w:val="none" w:sz="0" w:space="0" w:color="auto"/>
              </w:divBdr>
            </w:div>
            <w:div w:id="350376510">
              <w:marLeft w:val="0"/>
              <w:marRight w:val="0"/>
              <w:marTop w:val="0"/>
              <w:marBottom w:val="0"/>
              <w:divBdr>
                <w:top w:val="none" w:sz="0" w:space="0" w:color="auto"/>
                <w:left w:val="none" w:sz="0" w:space="0" w:color="auto"/>
                <w:bottom w:val="none" w:sz="0" w:space="0" w:color="auto"/>
                <w:right w:val="none" w:sz="0" w:space="0" w:color="auto"/>
              </w:divBdr>
              <w:divsChild>
                <w:div w:id="924342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904015">
      <w:bodyDiv w:val="1"/>
      <w:marLeft w:val="0"/>
      <w:marRight w:val="0"/>
      <w:marTop w:val="0"/>
      <w:marBottom w:val="0"/>
      <w:divBdr>
        <w:top w:val="none" w:sz="0" w:space="0" w:color="auto"/>
        <w:left w:val="none" w:sz="0" w:space="0" w:color="auto"/>
        <w:bottom w:val="none" w:sz="0" w:space="0" w:color="auto"/>
        <w:right w:val="none" w:sz="0" w:space="0" w:color="auto"/>
      </w:divBdr>
      <w:divsChild>
        <w:div w:id="1014764844">
          <w:marLeft w:val="0"/>
          <w:marRight w:val="0"/>
          <w:marTop w:val="0"/>
          <w:marBottom w:val="0"/>
          <w:divBdr>
            <w:top w:val="none" w:sz="0" w:space="0" w:color="auto"/>
            <w:left w:val="none" w:sz="0" w:space="0" w:color="auto"/>
            <w:bottom w:val="none" w:sz="0" w:space="0" w:color="auto"/>
            <w:right w:val="none" w:sz="0" w:space="0" w:color="auto"/>
          </w:divBdr>
          <w:divsChild>
            <w:div w:id="1764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548">
      <w:bodyDiv w:val="1"/>
      <w:marLeft w:val="0"/>
      <w:marRight w:val="0"/>
      <w:marTop w:val="0"/>
      <w:marBottom w:val="0"/>
      <w:divBdr>
        <w:top w:val="none" w:sz="0" w:space="0" w:color="auto"/>
        <w:left w:val="none" w:sz="0" w:space="0" w:color="auto"/>
        <w:bottom w:val="none" w:sz="0" w:space="0" w:color="auto"/>
        <w:right w:val="none" w:sz="0" w:space="0" w:color="auto"/>
      </w:divBdr>
      <w:divsChild>
        <w:div w:id="2096316659">
          <w:marLeft w:val="0"/>
          <w:marRight w:val="0"/>
          <w:marTop w:val="0"/>
          <w:marBottom w:val="0"/>
          <w:divBdr>
            <w:top w:val="none" w:sz="0" w:space="0" w:color="auto"/>
            <w:left w:val="none" w:sz="0" w:space="0" w:color="auto"/>
            <w:bottom w:val="none" w:sz="0" w:space="0" w:color="auto"/>
            <w:right w:val="none" w:sz="0" w:space="0" w:color="auto"/>
          </w:divBdr>
          <w:divsChild>
            <w:div w:id="14904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4618">
      <w:bodyDiv w:val="1"/>
      <w:marLeft w:val="0"/>
      <w:marRight w:val="0"/>
      <w:marTop w:val="0"/>
      <w:marBottom w:val="0"/>
      <w:divBdr>
        <w:top w:val="none" w:sz="0" w:space="0" w:color="auto"/>
        <w:left w:val="none" w:sz="0" w:space="0" w:color="auto"/>
        <w:bottom w:val="none" w:sz="0" w:space="0" w:color="auto"/>
        <w:right w:val="none" w:sz="0" w:space="0" w:color="auto"/>
      </w:divBdr>
      <w:divsChild>
        <w:div w:id="1145780960">
          <w:marLeft w:val="0"/>
          <w:marRight w:val="0"/>
          <w:marTop w:val="0"/>
          <w:marBottom w:val="0"/>
          <w:divBdr>
            <w:top w:val="none" w:sz="0" w:space="0" w:color="auto"/>
            <w:left w:val="none" w:sz="0" w:space="0" w:color="auto"/>
            <w:bottom w:val="none" w:sz="0" w:space="0" w:color="auto"/>
            <w:right w:val="none" w:sz="0" w:space="0" w:color="auto"/>
          </w:divBdr>
          <w:divsChild>
            <w:div w:id="195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266">
      <w:bodyDiv w:val="1"/>
      <w:marLeft w:val="0"/>
      <w:marRight w:val="0"/>
      <w:marTop w:val="0"/>
      <w:marBottom w:val="0"/>
      <w:divBdr>
        <w:top w:val="none" w:sz="0" w:space="0" w:color="auto"/>
        <w:left w:val="none" w:sz="0" w:space="0" w:color="auto"/>
        <w:bottom w:val="none" w:sz="0" w:space="0" w:color="auto"/>
        <w:right w:val="none" w:sz="0" w:space="0" w:color="auto"/>
      </w:divBdr>
      <w:divsChild>
        <w:div w:id="1542281728">
          <w:marLeft w:val="0"/>
          <w:marRight w:val="0"/>
          <w:marTop w:val="0"/>
          <w:marBottom w:val="0"/>
          <w:divBdr>
            <w:top w:val="none" w:sz="0" w:space="0" w:color="auto"/>
            <w:left w:val="none" w:sz="0" w:space="0" w:color="auto"/>
            <w:bottom w:val="none" w:sz="0" w:space="0" w:color="auto"/>
            <w:right w:val="none" w:sz="0" w:space="0" w:color="auto"/>
          </w:divBdr>
          <w:divsChild>
            <w:div w:id="93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446">
      <w:bodyDiv w:val="1"/>
      <w:marLeft w:val="0"/>
      <w:marRight w:val="0"/>
      <w:marTop w:val="0"/>
      <w:marBottom w:val="0"/>
      <w:divBdr>
        <w:top w:val="none" w:sz="0" w:space="0" w:color="auto"/>
        <w:left w:val="none" w:sz="0" w:space="0" w:color="auto"/>
        <w:bottom w:val="none" w:sz="0" w:space="0" w:color="auto"/>
        <w:right w:val="none" w:sz="0" w:space="0" w:color="auto"/>
      </w:divBdr>
      <w:divsChild>
        <w:div w:id="1853228685">
          <w:marLeft w:val="0"/>
          <w:marRight w:val="0"/>
          <w:marTop w:val="0"/>
          <w:marBottom w:val="0"/>
          <w:divBdr>
            <w:top w:val="none" w:sz="0" w:space="0" w:color="auto"/>
            <w:left w:val="none" w:sz="0" w:space="0" w:color="auto"/>
            <w:bottom w:val="none" w:sz="0" w:space="0" w:color="auto"/>
            <w:right w:val="none" w:sz="0" w:space="0" w:color="auto"/>
          </w:divBdr>
          <w:divsChild>
            <w:div w:id="13243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5736">
      <w:bodyDiv w:val="1"/>
      <w:marLeft w:val="0"/>
      <w:marRight w:val="0"/>
      <w:marTop w:val="0"/>
      <w:marBottom w:val="0"/>
      <w:divBdr>
        <w:top w:val="none" w:sz="0" w:space="0" w:color="auto"/>
        <w:left w:val="none" w:sz="0" w:space="0" w:color="auto"/>
        <w:bottom w:val="none" w:sz="0" w:space="0" w:color="auto"/>
        <w:right w:val="none" w:sz="0" w:space="0" w:color="auto"/>
      </w:divBdr>
      <w:divsChild>
        <w:div w:id="793065675">
          <w:marLeft w:val="300"/>
          <w:marRight w:val="300"/>
          <w:marTop w:val="0"/>
          <w:marBottom w:val="0"/>
          <w:divBdr>
            <w:top w:val="none" w:sz="0" w:space="0" w:color="auto"/>
            <w:left w:val="none" w:sz="0" w:space="0" w:color="auto"/>
            <w:bottom w:val="none" w:sz="0" w:space="0" w:color="auto"/>
            <w:right w:val="none" w:sz="0" w:space="0" w:color="auto"/>
          </w:divBdr>
          <w:divsChild>
            <w:div w:id="986664873">
              <w:marLeft w:val="0"/>
              <w:marRight w:val="0"/>
              <w:marTop w:val="0"/>
              <w:marBottom w:val="150"/>
              <w:divBdr>
                <w:top w:val="none" w:sz="0" w:space="0" w:color="auto"/>
                <w:left w:val="none" w:sz="0" w:space="0" w:color="auto"/>
                <w:bottom w:val="none" w:sz="0" w:space="0" w:color="auto"/>
                <w:right w:val="none" w:sz="0" w:space="0" w:color="auto"/>
              </w:divBdr>
              <w:divsChild>
                <w:div w:id="1151142814">
                  <w:marLeft w:val="0"/>
                  <w:marRight w:val="0"/>
                  <w:marTop w:val="0"/>
                  <w:marBottom w:val="0"/>
                  <w:divBdr>
                    <w:top w:val="none" w:sz="0" w:space="0" w:color="auto"/>
                    <w:left w:val="none" w:sz="0" w:space="0" w:color="auto"/>
                    <w:bottom w:val="none" w:sz="0" w:space="0" w:color="auto"/>
                    <w:right w:val="none" w:sz="0" w:space="0" w:color="auto"/>
                  </w:divBdr>
                  <w:divsChild>
                    <w:div w:id="1068308253">
                      <w:marLeft w:val="0"/>
                      <w:marRight w:val="0"/>
                      <w:marTop w:val="0"/>
                      <w:marBottom w:val="0"/>
                      <w:divBdr>
                        <w:top w:val="none" w:sz="0" w:space="0" w:color="auto"/>
                        <w:left w:val="none" w:sz="0" w:space="0" w:color="auto"/>
                        <w:bottom w:val="none" w:sz="0" w:space="0" w:color="auto"/>
                        <w:right w:val="none" w:sz="0" w:space="0" w:color="auto"/>
                      </w:divBdr>
                      <w:divsChild>
                        <w:div w:id="879898976">
                          <w:marLeft w:val="0"/>
                          <w:marRight w:val="0"/>
                          <w:marTop w:val="0"/>
                          <w:marBottom w:val="0"/>
                          <w:divBdr>
                            <w:top w:val="none" w:sz="0" w:space="0" w:color="auto"/>
                            <w:left w:val="none" w:sz="0" w:space="0" w:color="auto"/>
                            <w:bottom w:val="none" w:sz="0" w:space="0" w:color="auto"/>
                            <w:right w:val="none" w:sz="0" w:space="0" w:color="auto"/>
                          </w:divBdr>
                          <w:divsChild>
                            <w:div w:id="131139482">
                              <w:marLeft w:val="0"/>
                              <w:marRight w:val="0"/>
                              <w:marTop w:val="0"/>
                              <w:marBottom w:val="0"/>
                              <w:divBdr>
                                <w:top w:val="none" w:sz="0" w:space="0" w:color="auto"/>
                                <w:left w:val="none" w:sz="0" w:space="0" w:color="auto"/>
                                <w:bottom w:val="none" w:sz="0" w:space="0" w:color="auto"/>
                                <w:right w:val="none" w:sz="0" w:space="0" w:color="auto"/>
                              </w:divBdr>
                            </w:div>
                            <w:div w:id="211427835">
                              <w:marLeft w:val="0"/>
                              <w:marRight w:val="0"/>
                              <w:marTop w:val="0"/>
                              <w:marBottom w:val="0"/>
                              <w:divBdr>
                                <w:top w:val="none" w:sz="0" w:space="0" w:color="auto"/>
                                <w:left w:val="none" w:sz="0" w:space="0" w:color="auto"/>
                                <w:bottom w:val="none" w:sz="0" w:space="0" w:color="auto"/>
                                <w:right w:val="none" w:sz="0" w:space="0" w:color="auto"/>
                              </w:divBdr>
                            </w:div>
                            <w:div w:id="319386555">
                              <w:marLeft w:val="0"/>
                              <w:marRight w:val="0"/>
                              <w:marTop w:val="0"/>
                              <w:marBottom w:val="0"/>
                              <w:divBdr>
                                <w:top w:val="none" w:sz="0" w:space="0" w:color="auto"/>
                                <w:left w:val="none" w:sz="0" w:space="0" w:color="auto"/>
                                <w:bottom w:val="none" w:sz="0" w:space="0" w:color="auto"/>
                                <w:right w:val="none" w:sz="0" w:space="0" w:color="auto"/>
                              </w:divBdr>
                            </w:div>
                            <w:div w:id="406340936">
                              <w:marLeft w:val="0"/>
                              <w:marRight w:val="0"/>
                              <w:marTop w:val="0"/>
                              <w:marBottom w:val="0"/>
                              <w:divBdr>
                                <w:top w:val="none" w:sz="0" w:space="0" w:color="auto"/>
                                <w:left w:val="none" w:sz="0" w:space="0" w:color="auto"/>
                                <w:bottom w:val="none" w:sz="0" w:space="0" w:color="auto"/>
                                <w:right w:val="none" w:sz="0" w:space="0" w:color="auto"/>
                              </w:divBdr>
                            </w:div>
                            <w:div w:id="489030425">
                              <w:marLeft w:val="0"/>
                              <w:marRight w:val="0"/>
                              <w:marTop w:val="0"/>
                              <w:marBottom w:val="0"/>
                              <w:divBdr>
                                <w:top w:val="none" w:sz="0" w:space="0" w:color="auto"/>
                                <w:left w:val="none" w:sz="0" w:space="0" w:color="auto"/>
                                <w:bottom w:val="none" w:sz="0" w:space="0" w:color="auto"/>
                                <w:right w:val="none" w:sz="0" w:space="0" w:color="auto"/>
                              </w:divBdr>
                            </w:div>
                            <w:div w:id="708182374">
                              <w:marLeft w:val="0"/>
                              <w:marRight w:val="0"/>
                              <w:marTop w:val="0"/>
                              <w:marBottom w:val="0"/>
                              <w:divBdr>
                                <w:top w:val="none" w:sz="0" w:space="0" w:color="auto"/>
                                <w:left w:val="none" w:sz="0" w:space="0" w:color="auto"/>
                                <w:bottom w:val="none" w:sz="0" w:space="0" w:color="auto"/>
                                <w:right w:val="none" w:sz="0" w:space="0" w:color="auto"/>
                              </w:divBdr>
                            </w:div>
                            <w:div w:id="720403994">
                              <w:marLeft w:val="0"/>
                              <w:marRight w:val="0"/>
                              <w:marTop w:val="0"/>
                              <w:marBottom w:val="0"/>
                              <w:divBdr>
                                <w:top w:val="none" w:sz="0" w:space="0" w:color="auto"/>
                                <w:left w:val="none" w:sz="0" w:space="0" w:color="auto"/>
                                <w:bottom w:val="none" w:sz="0" w:space="0" w:color="auto"/>
                                <w:right w:val="none" w:sz="0" w:space="0" w:color="auto"/>
                              </w:divBdr>
                            </w:div>
                            <w:div w:id="858275897">
                              <w:marLeft w:val="0"/>
                              <w:marRight w:val="0"/>
                              <w:marTop w:val="0"/>
                              <w:marBottom w:val="0"/>
                              <w:divBdr>
                                <w:top w:val="none" w:sz="0" w:space="0" w:color="auto"/>
                                <w:left w:val="none" w:sz="0" w:space="0" w:color="auto"/>
                                <w:bottom w:val="none" w:sz="0" w:space="0" w:color="auto"/>
                                <w:right w:val="none" w:sz="0" w:space="0" w:color="auto"/>
                              </w:divBdr>
                            </w:div>
                            <w:div w:id="1082723247">
                              <w:marLeft w:val="0"/>
                              <w:marRight w:val="0"/>
                              <w:marTop w:val="0"/>
                              <w:marBottom w:val="0"/>
                              <w:divBdr>
                                <w:top w:val="none" w:sz="0" w:space="0" w:color="auto"/>
                                <w:left w:val="none" w:sz="0" w:space="0" w:color="auto"/>
                                <w:bottom w:val="none" w:sz="0" w:space="0" w:color="auto"/>
                                <w:right w:val="none" w:sz="0" w:space="0" w:color="auto"/>
                              </w:divBdr>
                              <w:divsChild>
                                <w:div w:id="708719745">
                                  <w:marLeft w:val="0"/>
                                  <w:marRight w:val="0"/>
                                  <w:marTop w:val="0"/>
                                  <w:marBottom w:val="0"/>
                                  <w:divBdr>
                                    <w:top w:val="none" w:sz="0" w:space="0" w:color="auto"/>
                                    <w:left w:val="none" w:sz="0" w:space="0" w:color="auto"/>
                                    <w:bottom w:val="none" w:sz="0" w:space="0" w:color="auto"/>
                                    <w:right w:val="none" w:sz="0" w:space="0" w:color="auto"/>
                                  </w:divBdr>
                                </w:div>
                                <w:div w:id="2062171618">
                                  <w:marLeft w:val="0"/>
                                  <w:marRight w:val="0"/>
                                  <w:marTop w:val="0"/>
                                  <w:marBottom w:val="0"/>
                                  <w:divBdr>
                                    <w:top w:val="none" w:sz="0" w:space="0" w:color="auto"/>
                                    <w:left w:val="none" w:sz="0" w:space="0" w:color="auto"/>
                                    <w:bottom w:val="none" w:sz="0" w:space="0" w:color="auto"/>
                                    <w:right w:val="none" w:sz="0" w:space="0" w:color="auto"/>
                                  </w:divBdr>
                                </w:div>
                              </w:divsChild>
                            </w:div>
                            <w:div w:id="1086996535">
                              <w:marLeft w:val="0"/>
                              <w:marRight w:val="0"/>
                              <w:marTop w:val="0"/>
                              <w:marBottom w:val="0"/>
                              <w:divBdr>
                                <w:top w:val="none" w:sz="0" w:space="0" w:color="auto"/>
                                <w:left w:val="none" w:sz="0" w:space="0" w:color="auto"/>
                                <w:bottom w:val="none" w:sz="0" w:space="0" w:color="auto"/>
                                <w:right w:val="none" w:sz="0" w:space="0" w:color="auto"/>
                              </w:divBdr>
                            </w:div>
                            <w:div w:id="1364675396">
                              <w:marLeft w:val="0"/>
                              <w:marRight w:val="0"/>
                              <w:marTop w:val="0"/>
                              <w:marBottom w:val="0"/>
                              <w:divBdr>
                                <w:top w:val="none" w:sz="0" w:space="0" w:color="auto"/>
                                <w:left w:val="none" w:sz="0" w:space="0" w:color="auto"/>
                                <w:bottom w:val="none" w:sz="0" w:space="0" w:color="auto"/>
                                <w:right w:val="none" w:sz="0" w:space="0" w:color="auto"/>
                              </w:divBdr>
                            </w:div>
                            <w:div w:id="1587571405">
                              <w:marLeft w:val="0"/>
                              <w:marRight w:val="0"/>
                              <w:marTop w:val="0"/>
                              <w:marBottom w:val="0"/>
                              <w:divBdr>
                                <w:top w:val="none" w:sz="0" w:space="0" w:color="auto"/>
                                <w:left w:val="none" w:sz="0" w:space="0" w:color="auto"/>
                                <w:bottom w:val="none" w:sz="0" w:space="0" w:color="auto"/>
                                <w:right w:val="none" w:sz="0" w:space="0" w:color="auto"/>
                              </w:divBdr>
                            </w:div>
                            <w:div w:id="1662927242">
                              <w:marLeft w:val="0"/>
                              <w:marRight w:val="0"/>
                              <w:marTop w:val="0"/>
                              <w:marBottom w:val="0"/>
                              <w:divBdr>
                                <w:top w:val="none" w:sz="0" w:space="0" w:color="auto"/>
                                <w:left w:val="none" w:sz="0" w:space="0" w:color="auto"/>
                                <w:bottom w:val="none" w:sz="0" w:space="0" w:color="auto"/>
                                <w:right w:val="none" w:sz="0" w:space="0" w:color="auto"/>
                              </w:divBdr>
                            </w:div>
                            <w:div w:id="1683121474">
                              <w:marLeft w:val="0"/>
                              <w:marRight w:val="0"/>
                              <w:marTop w:val="0"/>
                              <w:marBottom w:val="0"/>
                              <w:divBdr>
                                <w:top w:val="none" w:sz="0" w:space="0" w:color="auto"/>
                                <w:left w:val="none" w:sz="0" w:space="0" w:color="auto"/>
                                <w:bottom w:val="none" w:sz="0" w:space="0" w:color="auto"/>
                                <w:right w:val="none" w:sz="0" w:space="0" w:color="auto"/>
                              </w:divBdr>
                            </w:div>
                            <w:div w:id="1747603681">
                              <w:marLeft w:val="0"/>
                              <w:marRight w:val="0"/>
                              <w:marTop w:val="0"/>
                              <w:marBottom w:val="0"/>
                              <w:divBdr>
                                <w:top w:val="none" w:sz="0" w:space="0" w:color="auto"/>
                                <w:left w:val="none" w:sz="0" w:space="0" w:color="auto"/>
                                <w:bottom w:val="none" w:sz="0" w:space="0" w:color="auto"/>
                                <w:right w:val="none" w:sz="0" w:space="0" w:color="auto"/>
                              </w:divBdr>
                            </w:div>
                            <w:div w:id="1760523096">
                              <w:marLeft w:val="0"/>
                              <w:marRight w:val="0"/>
                              <w:marTop w:val="0"/>
                              <w:marBottom w:val="0"/>
                              <w:divBdr>
                                <w:top w:val="none" w:sz="0" w:space="0" w:color="auto"/>
                                <w:left w:val="none" w:sz="0" w:space="0" w:color="auto"/>
                                <w:bottom w:val="none" w:sz="0" w:space="0" w:color="auto"/>
                                <w:right w:val="none" w:sz="0" w:space="0" w:color="auto"/>
                              </w:divBdr>
                            </w:div>
                            <w:div w:id="1851525837">
                              <w:marLeft w:val="0"/>
                              <w:marRight w:val="0"/>
                              <w:marTop w:val="0"/>
                              <w:marBottom w:val="0"/>
                              <w:divBdr>
                                <w:top w:val="none" w:sz="0" w:space="0" w:color="auto"/>
                                <w:left w:val="none" w:sz="0" w:space="0" w:color="auto"/>
                                <w:bottom w:val="none" w:sz="0" w:space="0" w:color="auto"/>
                                <w:right w:val="none" w:sz="0" w:space="0" w:color="auto"/>
                              </w:divBdr>
                            </w:div>
                            <w:div w:id="1918124875">
                              <w:marLeft w:val="0"/>
                              <w:marRight w:val="0"/>
                              <w:marTop w:val="0"/>
                              <w:marBottom w:val="0"/>
                              <w:divBdr>
                                <w:top w:val="none" w:sz="0" w:space="0" w:color="auto"/>
                                <w:left w:val="none" w:sz="0" w:space="0" w:color="auto"/>
                                <w:bottom w:val="none" w:sz="0" w:space="0" w:color="auto"/>
                                <w:right w:val="none" w:sz="0" w:space="0" w:color="auto"/>
                              </w:divBdr>
                            </w:div>
                            <w:div w:id="19767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30715">
      <w:bodyDiv w:val="1"/>
      <w:marLeft w:val="0"/>
      <w:marRight w:val="0"/>
      <w:marTop w:val="0"/>
      <w:marBottom w:val="0"/>
      <w:divBdr>
        <w:top w:val="none" w:sz="0" w:space="0" w:color="auto"/>
        <w:left w:val="none" w:sz="0" w:space="0" w:color="auto"/>
        <w:bottom w:val="none" w:sz="0" w:space="0" w:color="auto"/>
        <w:right w:val="none" w:sz="0" w:space="0" w:color="auto"/>
      </w:divBdr>
      <w:divsChild>
        <w:div w:id="1935433570">
          <w:marLeft w:val="0"/>
          <w:marRight w:val="0"/>
          <w:marTop w:val="0"/>
          <w:marBottom w:val="0"/>
          <w:divBdr>
            <w:top w:val="none" w:sz="0" w:space="0" w:color="auto"/>
            <w:left w:val="none" w:sz="0" w:space="0" w:color="auto"/>
            <w:bottom w:val="none" w:sz="0" w:space="0" w:color="auto"/>
            <w:right w:val="none" w:sz="0" w:space="0" w:color="auto"/>
          </w:divBdr>
          <w:divsChild>
            <w:div w:id="453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8223">
      <w:bodyDiv w:val="1"/>
      <w:marLeft w:val="0"/>
      <w:marRight w:val="0"/>
      <w:marTop w:val="0"/>
      <w:marBottom w:val="0"/>
      <w:divBdr>
        <w:top w:val="none" w:sz="0" w:space="0" w:color="auto"/>
        <w:left w:val="none" w:sz="0" w:space="0" w:color="auto"/>
        <w:bottom w:val="none" w:sz="0" w:space="0" w:color="auto"/>
        <w:right w:val="none" w:sz="0" w:space="0" w:color="auto"/>
      </w:divBdr>
      <w:divsChild>
        <w:div w:id="168643207">
          <w:marLeft w:val="0"/>
          <w:marRight w:val="0"/>
          <w:marTop w:val="0"/>
          <w:marBottom w:val="0"/>
          <w:divBdr>
            <w:top w:val="none" w:sz="0" w:space="0" w:color="auto"/>
            <w:left w:val="none" w:sz="0" w:space="0" w:color="auto"/>
            <w:bottom w:val="none" w:sz="0" w:space="0" w:color="auto"/>
            <w:right w:val="none" w:sz="0" w:space="0" w:color="auto"/>
          </w:divBdr>
          <w:divsChild>
            <w:div w:id="5067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7372">
      <w:bodyDiv w:val="1"/>
      <w:marLeft w:val="0"/>
      <w:marRight w:val="0"/>
      <w:marTop w:val="0"/>
      <w:marBottom w:val="0"/>
      <w:divBdr>
        <w:top w:val="none" w:sz="0" w:space="0" w:color="auto"/>
        <w:left w:val="none" w:sz="0" w:space="0" w:color="auto"/>
        <w:bottom w:val="none" w:sz="0" w:space="0" w:color="auto"/>
        <w:right w:val="none" w:sz="0" w:space="0" w:color="auto"/>
      </w:divBdr>
      <w:divsChild>
        <w:div w:id="1768381869">
          <w:marLeft w:val="0"/>
          <w:marRight w:val="0"/>
          <w:marTop w:val="0"/>
          <w:marBottom w:val="0"/>
          <w:divBdr>
            <w:top w:val="none" w:sz="0" w:space="0" w:color="auto"/>
            <w:left w:val="none" w:sz="0" w:space="0" w:color="auto"/>
            <w:bottom w:val="none" w:sz="0" w:space="0" w:color="auto"/>
            <w:right w:val="none" w:sz="0" w:space="0" w:color="auto"/>
          </w:divBdr>
          <w:divsChild>
            <w:div w:id="1827628317">
              <w:marLeft w:val="0"/>
              <w:marRight w:val="0"/>
              <w:marTop w:val="0"/>
              <w:marBottom w:val="0"/>
              <w:divBdr>
                <w:top w:val="none" w:sz="0" w:space="0" w:color="auto"/>
                <w:left w:val="none" w:sz="0" w:space="0" w:color="auto"/>
                <w:bottom w:val="none" w:sz="0" w:space="0" w:color="auto"/>
                <w:right w:val="none" w:sz="0" w:space="0" w:color="auto"/>
              </w:divBdr>
            </w:div>
            <w:div w:id="965619525">
              <w:marLeft w:val="0"/>
              <w:marRight w:val="0"/>
              <w:marTop w:val="0"/>
              <w:marBottom w:val="0"/>
              <w:divBdr>
                <w:top w:val="none" w:sz="0" w:space="0" w:color="auto"/>
                <w:left w:val="none" w:sz="0" w:space="0" w:color="auto"/>
                <w:bottom w:val="none" w:sz="0" w:space="0" w:color="auto"/>
                <w:right w:val="none" w:sz="0" w:space="0" w:color="auto"/>
              </w:divBdr>
            </w:div>
            <w:div w:id="1123421854">
              <w:marLeft w:val="0"/>
              <w:marRight w:val="0"/>
              <w:marTop w:val="0"/>
              <w:marBottom w:val="0"/>
              <w:divBdr>
                <w:top w:val="none" w:sz="0" w:space="0" w:color="auto"/>
                <w:left w:val="none" w:sz="0" w:space="0" w:color="auto"/>
                <w:bottom w:val="none" w:sz="0" w:space="0" w:color="auto"/>
                <w:right w:val="none" w:sz="0" w:space="0" w:color="auto"/>
              </w:divBdr>
            </w:div>
            <w:div w:id="230779032">
              <w:marLeft w:val="0"/>
              <w:marRight w:val="0"/>
              <w:marTop w:val="0"/>
              <w:marBottom w:val="0"/>
              <w:divBdr>
                <w:top w:val="none" w:sz="0" w:space="0" w:color="auto"/>
                <w:left w:val="none" w:sz="0" w:space="0" w:color="auto"/>
                <w:bottom w:val="none" w:sz="0" w:space="0" w:color="auto"/>
                <w:right w:val="none" w:sz="0" w:space="0" w:color="auto"/>
              </w:divBdr>
            </w:div>
            <w:div w:id="1768385865">
              <w:marLeft w:val="0"/>
              <w:marRight w:val="0"/>
              <w:marTop w:val="0"/>
              <w:marBottom w:val="0"/>
              <w:divBdr>
                <w:top w:val="none" w:sz="0" w:space="0" w:color="auto"/>
                <w:left w:val="none" w:sz="0" w:space="0" w:color="auto"/>
                <w:bottom w:val="none" w:sz="0" w:space="0" w:color="auto"/>
                <w:right w:val="none" w:sz="0" w:space="0" w:color="auto"/>
              </w:divBdr>
            </w:div>
            <w:div w:id="189072993">
              <w:marLeft w:val="0"/>
              <w:marRight w:val="0"/>
              <w:marTop w:val="0"/>
              <w:marBottom w:val="0"/>
              <w:divBdr>
                <w:top w:val="none" w:sz="0" w:space="0" w:color="auto"/>
                <w:left w:val="none" w:sz="0" w:space="0" w:color="auto"/>
                <w:bottom w:val="none" w:sz="0" w:space="0" w:color="auto"/>
                <w:right w:val="none" w:sz="0" w:space="0" w:color="auto"/>
              </w:divBdr>
            </w:div>
            <w:div w:id="1592005721">
              <w:marLeft w:val="0"/>
              <w:marRight w:val="0"/>
              <w:marTop w:val="0"/>
              <w:marBottom w:val="0"/>
              <w:divBdr>
                <w:top w:val="none" w:sz="0" w:space="0" w:color="auto"/>
                <w:left w:val="none" w:sz="0" w:space="0" w:color="auto"/>
                <w:bottom w:val="none" w:sz="0" w:space="0" w:color="auto"/>
                <w:right w:val="none" w:sz="0" w:space="0" w:color="auto"/>
              </w:divBdr>
            </w:div>
            <w:div w:id="1164977316">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1876700606">
              <w:marLeft w:val="0"/>
              <w:marRight w:val="0"/>
              <w:marTop w:val="0"/>
              <w:marBottom w:val="0"/>
              <w:divBdr>
                <w:top w:val="none" w:sz="0" w:space="0" w:color="auto"/>
                <w:left w:val="none" w:sz="0" w:space="0" w:color="auto"/>
                <w:bottom w:val="none" w:sz="0" w:space="0" w:color="auto"/>
                <w:right w:val="none" w:sz="0" w:space="0" w:color="auto"/>
              </w:divBdr>
            </w:div>
            <w:div w:id="1977100096">
              <w:marLeft w:val="0"/>
              <w:marRight w:val="0"/>
              <w:marTop w:val="0"/>
              <w:marBottom w:val="0"/>
              <w:divBdr>
                <w:top w:val="none" w:sz="0" w:space="0" w:color="auto"/>
                <w:left w:val="none" w:sz="0" w:space="0" w:color="auto"/>
                <w:bottom w:val="none" w:sz="0" w:space="0" w:color="auto"/>
                <w:right w:val="none" w:sz="0" w:space="0" w:color="auto"/>
              </w:divBdr>
            </w:div>
            <w:div w:id="1333727030">
              <w:marLeft w:val="0"/>
              <w:marRight w:val="0"/>
              <w:marTop w:val="0"/>
              <w:marBottom w:val="0"/>
              <w:divBdr>
                <w:top w:val="none" w:sz="0" w:space="0" w:color="auto"/>
                <w:left w:val="none" w:sz="0" w:space="0" w:color="auto"/>
                <w:bottom w:val="none" w:sz="0" w:space="0" w:color="auto"/>
                <w:right w:val="none" w:sz="0" w:space="0" w:color="auto"/>
              </w:divBdr>
            </w:div>
            <w:div w:id="2875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3018">
      <w:bodyDiv w:val="1"/>
      <w:marLeft w:val="0"/>
      <w:marRight w:val="0"/>
      <w:marTop w:val="0"/>
      <w:marBottom w:val="0"/>
      <w:divBdr>
        <w:top w:val="none" w:sz="0" w:space="0" w:color="auto"/>
        <w:left w:val="none" w:sz="0" w:space="0" w:color="auto"/>
        <w:bottom w:val="none" w:sz="0" w:space="0" w:color="auto"/>
        <w:right w:val="none" w:sz="0" w:space="0" w:color="auto"/>
      </w:divBdr>
      <w:divsChild>
        <w:div w:id="612636178">
          <w:marLeft w:val="0"/>
          <w:marRight w:val="0"/>
          <w:marTop w:val="0"/>
          <w:marBottom w:val="0"/>
          <w:divBdr>
            <w:top w:val="none" w:sz="0" w:space="0" w:color="auto"/>
            <w:left w:val="none" w:sz="0" w:space="0" w:color="auto"/>
            <w:bottom w:val="none" w:sz="0" w:space="0" w:color="auto"/>
            <w:right w:val="none" w:sz="0" w:space="0" w:color="auto"/>
          </w:divBdr>
          <w:divsChild>
            <w:div w:id="2008752452">
              <w:marLeft w:val="0"/>
              <w:marRight w:val="0"/>
              <w:marTop w:val="0"/>
              <w:marBottom w:val="0"/>
              <w:divBdr>
                <w:top w:val="none" w:sz="0" w:space="0" w:color="auto"/>
                <w:left w:val="none" w:sz="0" w:space="0" w:color="auto"/>
                <w:bottom w:val="none" w:sz="0" w:space="0" w:color="auto"/>
                <w:right w:val="none" w:sz="0" w:space="0" w:color="auto"/>
              </w:divBdr>
            </w:div>
            <w:div w:id="394009543">
              <w:marLeft w:val="0"/>
              <w:marRight w:val="0"/>
              <w:marTop w:val="0"/>
              <w:marBottom w:val="0"/>
              <w:divBdr>
                <w:top w:val="none" w:sz="0" w:space="0" w:color="auto"/>
                <w:left w:val="none" w:sz="0" w:space="0" w:color="auto"/>
                <w:bottom w:val="none" w:sz="0" w:space="0" w:color="auto"/>
                <w:right w:val="none" w:sz="0" w:space="0" w:color="auto"/>
              </w:divBdr>
              <w:divsChild>
                <w:div w:id="90880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8978702">
      <w:bodyDiv w:val="1"/>
      <w:marLeft w:val="0"/>
      <w:marRight w:val="0"/>
      <w:marTop w:val="0"/>
      <w:marBottom w:val="0"/>
      <w:divBdr>
        <w:top w:val="none" w:sz="0" w:space="0" w:color="auto"/>
        <w:left w:val="none" w:sz="0" w:space="0" w:color="auto"/>
        <w:bottom w:val="none" w:sz="0" w:space="0" w:color="auto"/>
        <w:right w:val="none" w:sz="0" w:space="0" w:color="auto"/>
      </w:divBdr>
      <w:divsChild>
        <w:div w:id="1155804605">
          <w:marLeft w:val="250"/>
          <w:marRight w:val="250"/>
          <w:marTop w:val="0"/>
          <w:marBottom w:val="0"/>
          <w:divBdr>
            <w:top w:val="none" w:sz="0" w:space="0" w:color="auto"/>
            <w:left w:val="none" w:sz="0" w:space="0" w:color="auto"/>
            <w:bottom w:val="none" w:sz="0" w:space="0" w:color="auto"/>
            <w:right w:val="none" w:sz="0" w:space="0" w:color="auto"/>
          </w:divBdr>
          <w:divsChild>
            <w:div w:id="1891460085">
              <w:marLeft w:val="0"/>
              <w:marRight w:val="0"/>
              <w:marTop w:val="0"/>
              <w:marBottom w:val="125"/>
              <w:divBdr>
                <w:top w:val="none" w:sz="0" w:space="0" w:color="auto"/>
                <w:left w:val="none" w:sz="0" w:space="0" w:color="auto"/>
                <w:bottom w:val="none" w:sz="0" w:space="0" w:color="auto"/>
                <w:right w:val="none" w:sz="0" w:space="0" w:color="auto"/>
              </w:divBdr>
              <w:divsChild>
                <w:div w:id="2020883960">
                  <w:marLeft w:val="0"/>
                  <w:marRight w:val="0"/>
                  <w:marTop w:val="0"/>
                  <w:marBottom w:val="0"/>
                  <w:divBdr>
                    <w:top w:val="none" w:sz="0" w:space="0" w:color="auto"/>
                    <w:left w:val="none" w:sz="0" w:space="0" w:color="auto"/>
                    <w:bottom w:val="none" w:sz="0" w:space="0" w:color="auto"/>
                    <w:right w:val="none" w:sz="0" w:space="0" w:color="auto"/>
                  </w:divBdr>
                  <w:divsChild>
                    <w:div w:id="1746416316">
                      <w:marLeft w:val="0"/>
                      <w:marRight w:val="0"/>
                      <w:marTop w:val="0"/>
                      <w:marBottom w:val="0"/>
                      <w:divBdr>
                        <w:top w:val="none" w:sz="0" w:space="0" w:color="auto"/>
                        <w:left w:val="none" w:sz="0" w:space="0" w:color="auto"/>
                        <w:bottom w:val="none" w:sz="0" w:space="0" w:color="auto"/>
                        <w:right w:val="none" w:sz="0" w:space="0" w:color="auto"/>
                      </w:divBdr>
                      <w:divsChild>
                        <w:div w:id="385374310">
                          <w:marLeft w:val="0"/>
                          <w:marRight w:val="0"/>
                          <w:marTop w:val="0"/>
                          <w:marBottom w:val="0"/>
                          <w:divBdr>
                            <w:top w:val="none" w:sz="0" w:space="0" w:color="auto"/>
                            <w:left w:val="none" w:sz="0" w:space="0" w:color="auto"/>
                            <w:bottom w:val="none" w:sz="0" w:space="0" w:color="auto"/>
                            <w:right w:val="none" w:sz="0" w:space="0" w:color="auto"/>
                          </w:divBdr>
                          <w:divsChild>
                            <w:div w:id="1635326641">
                              <w:marLeft w:val="0"/>
                              <w:marRight w:val="0"/>
                              <w:marTop w:val="0"/>
                              <w:marBottom w:val="0"/>
                              <w:divBdr>
                                <w:top w:val="none" w:sz="0" w:space="0" w:color="auto"/>
                                <w:left w:val="none" w:sz="0" w:space="0" w:color="auto"/>
                                <w:bottom w:val="none" w:sz="0" w:space="0" w:color="auto"/>
                                <w:right w:val="none" w:sz="0" w:space="0" w:color="auto"/>
                              </w:divBdr>
                              <w:divsChild>
                                <w:div w:id="1680498753">
                                  <w:marLeft w:val="0"/>
                                  <w:marRight w:val="0"/>
                                  <w:marTop w:val="0"/>
                                  <w:marBottom w:val="0"/>
                                  <w:divBdr>
                                    <w:top w:val="none" w:sz="0" w:space="0" w:color="auto"/>
                                    <w:left w:val="none" w:sz="0" w:space="0" w:color="auto"/>
                                    <w:bottom w:val="none" w:sz="0" w:space="0" w:color="auto"/>
                                    <w:right w:val="none" w:sz="0" w:space="0" w:color="auto"/>
                                  </w:divBdr>
                                </w:div>
                                <w:div w:id="1021785113">
                                  <w:marLeft w:val="0"/>
                                  <w:marRight w:val="0"/>
                                  <w:marTop w:val="0"/>
                                  <w:marBottom w:val="0"/>
                                  <w:divBdr>
                                    <w:top w:val="none" w:sz="0" w:space="0" w:color="auto"/>
                                    <w:left w:val="none" w:sz="0" w:space="0" w:color="auto"/>
                                    <w:bottom w:val="none" w:sz="0" w:space="0" w:color="auto"/>
                                    <w:right w:val="none" w:sz="0" w:space="0" w:color="auto"/>
                                  </w:divBdr>
                                </w:div>
                                <w:div w:id="1066537104">
                                  <w:marLeft w:val="0"/>
                                  <w:marRight w:val="0"/>
                                  <w:marTop w:val="0"/>
                                  <w:marBottom w:val="0"/>
                                  <w:divBdr>
                                    <w:top w:val="none" w:sz="0" w:space="0" w:color="auto"/>
                                    <w:left w:val="none" w:sz="0" w:space="0" w:color="auto"/>
                                    <w:bottom w:val="none" w:sz="0" w:space="0" w:color="auto"/>
                                    <w:right w:val="none" w:sz="0" w:space="0" w:color="auto"/>
                                  </w:divBdr>
                                </w:div>
                              </w:divsChild>
                            </w:div>
                            <w:div w:id="19628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336758">
      <w:bodyDiv w:val="1"/>
      <w:marLeft w:val="0"/>
      <w:marRight w:val="0"/>
      <w:marTop w:val="0"/>
      <w:marBottom w:val="0"/>
      <w:divBdr>
        <w:top w:val="none" w:sz="0" w:space="0" w:color="auto"/>
        <w:left w:val="none" w:sz="0" w:space="0" w:color="auto"/>
        <w:bottom w:val="none" w:sz="0" w:space="0" w:color="auto"/>
        <w:right w:val="none" w:sz="0" w:space="0" w:color="auto"/>
      </w:divBdr>
      <w:divsChild>
        <w:div w:id="1384518356">
          <w:marLeft w:val="0"/>
          <w:marRight w:val="0"/>
          <w:marTop w:val="0"/>
          <w:marBottom w:val="0"/>
          <w:divBdr>
            <w:top w:val="none" w:sz="0" w:space="0" w:color="auto"/>
            <w:left w:val="none" w:sz="0" w:space="0" w:color="auto"/>
            <w:bottom w:val="none" w:sz="0" w:space="0" w:color="auto"/>
            <w:right w:val="none" w:sz="0" w:space="0" w:color="auto"/>
          </w:divBdr>
        </w:div>
      </w:divsChild>
    </w:div>
    <w:div w:id="1319188563">
      <w:bodyDiv w:val="1"/>
      <w:marLeft w:val="0"/>
      <w:marRight w:val="0"/>
      <w:marTop w:val="0"/>
      <w:marBottom w:val="0"/>
      <w:divBdr>
        <w:top w:val="none" w:sz="0" w:space="0" w:color="auto"/>
        <w:left w:val="none" w:sz="0" w:space="0" w:color="auto"/>
        <w:bottom w:val="none" w:sz="0" w:space="0" w:color="auto"/>
        <w:right w:val="none" w:sz="0" w:space="0" w:color="auto"/>
      </w:divBdr>
      <w:divsChild>
        <w:div w:id="2020349769">
          <w:marLeft w:val="272"/>
          <w:marRight w:val="272"/>
          <w:marTop w:val="0"/>
          <w:marBottom w:val="0"/>
          <w:divBdr>
            <w:top w:val="none" w:sz="0" w:space="0" w:color="auto"/>
            <w:left w:val="none" w:sz="0" w:space="0" w:color="auto"/>
            <w:bottom w:val="none" w:sz="0" w:space="0" w:color="auto"/>
            <w:right w:val="none" w:sz="0" w:space="0" w:color="auto"/>
          </w:divBdr>
          <w:divsChild>
            <w:div w:id="844979269">
              <w:marLeft w:val="0"/>
              <w:marRight w:val="0"/>
              <w:marTop w:val="0"/>
              <w:marBottom w:val="136"/>
              <w:divBdr>
                <w:top w:val="none" w:sz="0" w:space="0" w:color="auto"/>
                <w:left w:val="none" w:sz="0" w:space="0" w:color="auto"/>
                <w:bottom w:val="none" w:sz="0" w:space="0" w:color="auto"/>
                <w:right w:val="none" w:sz="0" w:space="0" w:color="auto"/>
              </w:divBdr>
              <w:divsChild>
                <w:div w:id="80225914">
                  <w:marLeft w:val="0"/>
                  <w:marRight w:val="0"/>
                  <w:marTop w:val="0"/>
                  <w:marBottom w:val="0"/>
                  <w:divBdr>
                    <w:top w:val="none" w:sz="0" w:space="0" w:color="auto"/>
                    <w:left w:val="none" w:sz="0" w:space="0" w:color="auto"/>
                    <w:bottom w:val="none" w:sz="0" w:space="0" w:color="auto"/>
                    <w:right w:val="none" w:sz="0" w:space="0" w:color="auto"/>
                  </w:divBdr>
                  <w:divsChild>
                    <w:div w:id="1976444891">
                      <w:marLeft w:val="0"/>
                      <w:marRight w:val="0"/>
                      <w:marTop w:val="0"/>
                      <w:marBottom w:val="0"/>
                      <w:divBdr>
                        <w:top w:val="none" w:sz="0" w:space="0" w:color="auto"/>
                        <w:left w:val="none" w:sz="0" w:space="0" w:color="auto"/>
                        <w:bottom w:val="none" w:sz="0" w:space="0" w:color="auto"/>
                        <w:right w:val="none" w:sz="0" w:space="0" w:color="auto"/>
                      </w:divBdr>
                      <w:divsChild>
                        <w:div w:id="14505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80330">
      <w:bodyDiv w:val="1"/>
      <w:marLeft w:val="0"/>
      <w:marRight w:val="0"/>
      <w:marTop w:val="0"/>
      <w:marBottom w:val="0"/>
      <w:divBdr>
        <w:top w:val="none" w:sz="0" w:space="0" w:color="auto"/>
        <w:left w:val="none" w:sz="0" w:space="0" w:color="auto"/>
        <w:bottom w:val="none" w:sz="0" w:space="0" w:color="auto"/>
        <w:right w:val="none" w:sz="0" w:space="0" w:color="auto"/>
      </w:divBdr>
      <w:divsChild>
        <w:div w:id="999582679">
          <w:marLeft w:val="0"/>
          <w:marRight w:val="0"/>
          <w:marTop w:val="0"/>
          <w:marBottom w:val="0"/>
          <w:divBdr>
            <w:top w:val="none" w:sz="0" w:space="0" w:color="auto"/>
            <w:left w:val="none" w:sz="0" w:space="0" w:color="auto"/>
            <w:bottom w:val="none" w:sz="0" w:space="0" w:color="auto"/>
            <w:right w:val="none" w:sz="0" w:space="0" w:color="auto"/>
          </w:divBdr>
          <w:divsChild>
            <w:div w:id="18103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7640">
      <w:bodyDiv w:val="1"/>
      <w:marLeft w:val="0"/>
      <w:marRight w:val="0"/>
      <w:marTop w:val="0"/>
      <w:marBottom w:val="0"/>
      <w:divBdr>
        <w:top w:val="none" w:sz="0" w:space="0" w:color="auto"/>
        <w:left w:val="none" w:sz="0" w:space="0" w:color="auto"/>
        <w:bottom w:val="none" w:sz="0" w:space="0" w:color="auto"/>
        <w:right w:val="none" w:sz="0" w:space="0" w:color="auto"/>
      </w:divBdr>
      <w:divsChild>
        <w:div w:id="2112311097">
          <w:marLeft w:val="0"/>
          <w:marRight w:val="0"/>
          <w:marTop w:val="0"/>
          <w:marBottom w:val="0"/>
          <w:divBdr>
            <w:top w:val="none" w:sz="0" w:space="0" w:color="auto"/>
            <w:left w:val="none" w:sz="0" w:space="0" w:color="auto"/>
            <w:bottom w:val="none" w:sz="0" w:space="0" w:color="auto"/>
            <w:right w:val="none" w:sz="0" w:space="0" w:color="auto"/>
          </w:divBdr>
          <w:divsChild>
            <w:div w:id="3296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8265">
      <w:bodyDiv w:val="1"/>
      <w:marLeft w:val="0"/>
      <w:marRight w:val="0"/>
      <w:marTop w:val="0"/>
      <w:marBottom w:val="0"/>
      <w:divBdr>
        <w:top w:val="none" w:sz="0" w:space="0" w:color="auto"/>
        <w:left w:val="none" w:sz="0" w:space="0" w:color="auto"/>
        <w:bottom w:val="none" w:sz="0" w:space="0" w:color="auto"/>
        <w:right w:val="none" w:sz="0" w:space="0" w:color="auto"/>
      </w:divBdr>
      <w:divsChild>
        <w:div w:id="934871432">
          <w:marLeft w:val="0"/>
          <w:marRight w:val="0"/>
          <w:marTop w:val="0"/>
          <w:marBottom w:val="0"/>
          <w:divBdr>
            <w:top w:val="none" w:sz="0" w:space="0" w:color="auto"/>
            <w:left w:val="none" w:sz="0" w:space="0" w:color="auto"/>
            <w:bottom w:val="none" w:sz="0" w:space="0" w:color="auto"/>
            <w:right w:val="none" w:sz="0" w:space="0" w:color="auto"/>
          </w:divBdr>
          <w:divsChild>
            <w:div w:id="10359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1811">
      <w:bodyDiv w:val="1"/>
      <w:marLeft w:val="0"/>
      <w:marRight w:val="0"/>
      <w:marTop w:val="0"/>
      <w:marBottom w:val="0"/>
      <w:divBdr>
        <w:top w:val="none" w:sz="0" w:space="0" w:color="auto"/>
        <w:left w:val="none" w:sz="0" w:space="0" w:color="auto"/>
        <w:bottom w:val="none" w:sz="0" w:space="0" w:color="auto"/>
        <w:right w:val="none" w:sz="0" w:space="0" w:color="auto"/>
      </w:divBdr>
      <w:divsChild>
        <w:div w:id="996498677">
          <w:marLeft w:val="300"/>
          <w:marRight w:val="300"/>
          <w:marTop w:val="0"/>
          <w:marBottom w:val="0"/>
          <w:divBdr>
            <w:top w:val="none" w:sz="0" w:space="0" w:color="auto"/>
            <w:left w:val="none" w:sz="0" w:space="0" w:color="auto"/>
            <w:bottom w:val="none" w:sz="0" w:space="0" w:color="auto"/>
            <w:right w:val="none" w:sz="0" w:space="0" w:color="auto"/>
          </w:divBdr>
          <w:divsChild>
            <w:div w:id="48844400">
              <w:marLeft w:val="0"/>
              <w:marRight w:val="0"/>
              <w:marTop w:val="0"/>
              <w:marBottom w:val="150"/>
              <w:divBdr>
                <w:top w:val="none" w:sz="0" w:space="0" w:color="auto"/>
                <w:left w:val="none" w:sz="0" w:space="0" w:color="auto"/>
                <w:bottom w:val="none" w:sz="0" w:space="0" w:color="auto"/>
                <w:right w:val="none" w:sz="0" w:space="0" w:color="auto"/>
              </w:divBdr>
              <w:divsChild>
                <w:div w:id="2477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230">
      <w:bodyDiv w:val="1"/>
      <w:marLeft w:val="0"/>
      <w:marRight w:val="0"/>
      <w:marTop w:val="0"/>
      <w:marBottom w:val="0"/>
      <w:divBdr>
        <w:top w:val="none" w:sz="0" w:space="0" w:color="auto"/>
        <w:left w:val="none" w:sz="0" w:space="0" w:color="auto"/>
        <w:bottom w:val="none" w:sz="0" w:space="0" w:color="auto"/>
        <w:right w:val="none" w:sz="0" w:space="0" w:color="auto"/>
      </w:divBdr>
      <w:divsChild>
        <w:div w:id="1681197936">
          <w:marLeft w:val="0"/>
          <w:marRight w:val="0"/>
          <w:marTop w:val="0"/>
          <w:marBottom w:val="0"/>
          <w:divBdr>
            <w:top w:val="none" w:sz="0" w:space="0" w:color="auto"/>
            <w:left w:val="none" w:sz="0" w:space="0" w:color="auto"/>
            <w:bottom w:val="none" w:sz="0" w:space="0" w:color="auto"/>
            <w:right w:val="none" w:sz="0" w:space="0" w:color="auto"/>
          </w:divBdr>
          <w:divsChild>
            <w:div w:id="12301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9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23366">
          <w:marLeft w:val="0"/>
          <w:marRight w:val="0"/>
          <w:marTop w:val="0"/>
          <w:marBottom w:val="0"/>
          <w:divBdr>
            <w:top w:val="none" w:sz="0" w:space="0" w:color="auto"/>
            <w:left w:val="none" w:sz="0" w:space="0" w:color="auto"/>
            <w:bottom w:val="none" w:sz="0" w:space="0" w:color="auto"/>
            <w:right w:val="none" w:sz="0" w:space="0" w:color="auto"/>
          </w:divBdr>
        </w:div>
      </w:divsChild>
    </w:div>
    <w:div w:id="1346634377">
      <w:bodyDiv w:val="1"/>
      <w:marLeft w:val="0"/>
      <w:marRight w:val="0"/>
      <w:marTop w:val="0"/>
      <w:marBottom w:val="0"/>
      <w:divBdr>
        <w:top w:val="none" w:sz="0" w:space="0" w:color="auto"/>
        <w:left w:val="none" w:sz="0" w:space="0" w:color="auto"/>
        <w:bottom w:val="none" w:sz="0" w:space="0" w:color="auto"/>
        <w:right w:val="none" w:sz="0" w:space="0" w:color="auto"/>
      </w:divBdr>
      <w:divsChild>
        <w:div w:id="14234606">
          <w:marLeft w:val="0"/>
          <w:marRight w:val="0"/>
          <w:marTop w:val="0"/>
          <w:marBottom w:val="0"/>
          <w:divBdr>
            <w:top w:val="none" w:sz="0" w:space="0" w:color="auto"/>
            <w:left w:val="none" w:sz="0" w:space="0" w:color="auto"/>
            <w:bottom w:val="none" w:sz="0" w:space="0" w:color="auto"/>
            <w:right w:val="none" w:sz="0" w:space="0" w:color="auto"/>
          </w:divBdr>
          <w:divsChild>
            <w:div w:id="2784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sChild>
        <w:div w:id="869144780">
          <w:marLeft w:val="0"/>
          <w:marRight w:val="0"/>
          <w:marTop w:val="0"/>
          <w:marBottom w:val="0"/>
          <w:divBdr>
            <w:top w:val="none" w:sz="0" w:space="0" w:color="auto"/>
            <w:left w:val="none" w:sz="0" w:space="0" w:color="auto"/>
            <w:bottom w:val="none" w:sz="0" w:space="0" w:color="auto"/>
            <w:right w:val="none" w:sz="0" w:space="0" w:color="auto"/>
          </w:divBdr>
          <w:divsChild>
            <w:div w:id="1499494922">
              <w:marLeft w:val="0"/>
              <w:marRight w:val="0"/>
              <w:marTop w:val="0"/>
              <w:marBottom w:val="0"/>
              <w:divBdr>
                <w:top w:val="none" w:sz="0" w:space="0" w:color="auto"/>
                <w:left w:val="none" w:sz="0" w:space="0" w:color="auto"/>
                <w:bottom w:val="none" w:sz="0" w:space="0" w:color="auto"/>
                <w:right w:val="none" w:sz="0" w:space="0" w:color="auto"/>
              </w:divBdr>
            </w:div>
            <w:div w:id="1113673475">
              <w:marLeft w:val="0"/>
              <w:marRight w:val="0"/>
              <w:marTop w:val="0"/>
              <w:marBottom w:val="0"/>
              <w:divBdr>
                <w:top w:val="none" w:sz="0" w:space="0" w:color="auto"/>
                <w:left w:val="none" w:sz="0" w:space="0" w:color="auto"/>
                <w:bottom w:val="none" w:sz="0" w:space="0" w:color="auto"/>
                <w:right w:val="none" w:sz="0" w:space="0" w:color="auto"/>
              </w:divBdr>
              <w:divsChild>
                <w:div w:id="260113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5713290">
      <w:bodyDiv w:val="1"/>
      <w:marLeft w:val="0"/>
      <w:marRight w:val="0"/>
      <w:marTop w:val="25"/>
      <w:marBottom w:val="626"/>
      <w:divBdr>
        <w:top w:val="none" w:sz="0" w:space="0" w:color="auto"/>
        <w:left w:val="none" w:sz="0" w:space="0" w:color="auto"/>
        <w:bottom w:val="none" w:sz="0" w:space="0" w:color="auto"/>
        <w:right w:val="none" w:sz="0" w:space="0" w:color="auto"/>
      </w:divBdr>
      <w:divsChild>
        <w:div w:id="749889408">
          <w:marLeft w:val="0"/>
          <w:marRight w:val="0"/>
          <w:marTop w:val="0"/>
          <w:marBottom w:val="0"/>
          <w:divBdr>
            <w:top w:val="none" w:sz="0" w:space="0" w:color="auto"/>
            <w:left w:val="none" w:sz="0" w:space="0" w:color="auto"/>
            <w:bottom w:val="none" w:sz="0" w:space="0" w:color="auto"/>
            <w:right w:val="none" w:sz="0" w:space="0" w:color="auto"/>
          </w:divBdr>
        </w:div>
      </w:divsChild>
    </w:div>
    <w:div w:id="1367102836">
      <w:bodyDiv w:val="1"/>
      <w:marLeft w:val="0"/>
      <w:marRight w:val="0"/>
      <w:marTop w:val="0"/>
      <w:marBottom w:val="0"/>
      <w:divBdr>
        <w:top w:val="none" w:sz="0" w:space="0" w:color="auto"/>
        <w:left w:val="none" w:sz="0" w:space="0" w:color="auto"/>
        <w:bottom w:val="none" w:sz="0" w:space="0" w:color="auto"/>
        <w:right w:val="none" w:sz="0" w:space="0" w:color="auto"/>
      </w:divBdr>
      <w:divsChild>
        <w:div w:id="629634482">
          <w:marLeft w:val="0"/>
          <w:marRight w:val="0"/>
          <w:marTop w:val="0"/>
          <w:marBottom w:val="0"/>
          <w:divBdr>
            <w:top w:val="none" w:sz="0" w:space="0" w:color="auto"/>
            <w:left w:val="none" w:sz="0" w:space="0" w:color="auto"/>
            <w:bottom w:val="none" w:sz="0" w:space="0" w:color="auto"/>
            <w:right w:val="none" w:sz="0" w:space="0" w:color="auto"/>
          </w:divBdr>
          <w:divsChild>
            <w:div w:id="18188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5666">
      <w:bodyDiv w:val="1"/>
      <w:marLeft w:val="0"/>
      <w:marRight w:val="0"/>
      <w:marTop w:val="0"/>
      <w:marBottom w:val="0"/>
      <w:divBdr>
        <w:top w:val="none" w:sz="0" w:space="0" w:color="auto"/>
        <w:left w:val="none" w:sz="0" w:space="0" w:color="auto"/>
        <w:bottom w:val="none" w:sz="0" w:space="0" w:color="auto"/>
        <w:right w:val="none" w:sz="0" w:space="0" w:color="auto"/>
      </w:divBdr>
      <w:divsChild>
        <w:div w:id="541553127">
          <w:marLeft w:val="0"/>
          <w:marRight w:val="0"/>
          <w:marTop w:val="0"/>
          <w:marBottom w:val="0"/>
          <w:divBdr>
            <w:top w:val="none" w:sz="0" w:space="0" w:color="auto"/>
            <w:left w:val="none" w:sz="0" w:space="0" w:color="auto"/>
            <w:bottom w:val="none" w:sz="0" w:space="0" w:color="auto"/>
            <w:right w:val="none" w:sz="0" w:space="0" w:color="auto"/>
          </w:divBdr>
          <w:divsChild>
            <w:div w:id="1417553583">
              <w:marLeft w:val="0"/>
              <w:marRight w:val="0"/>
              <w:marTop w:val="0"/>
              <w:marBottom w:val="0"/>
              <w:divBdr>
                <w:top w:val="none" w:sz="0" w:space="0" w:color="auto"/>
                <w:left w:val="none" w:sz="0" w:space="0" w:color="auto"/>
                <w:bottom w:val="none" w:sz="0" w:space="0" w:color="auto"/>
                <w:right w:val="none" w:sz="0" w:space="0" w:color="auto"/>
              </w:divBdr>
              <w:divsChild>
                <w:div w:id="189106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0960129">
      <w:bodyDiv w:val="1"/>
      <w:marLeft w:val="0"/>
      <w:marRight w:val="0"/>
      <w:marTop w:val="0"/>
      <w:marBottom w:val="0"/>
      <w:divBdr>
        <w:top w:val="none" w:sz="0" w:space="0" w:color="auto"/>
        <w:left w:val="none" w:sz="0" w:space="0" w:color="auto"/>
        <w:bottom w:val="none" w:sz="0" w:space="0" w:color="auto"/>
        <w:right w:val="none" w:sz="0" w:space="0" w:color="auto"/>
      </w:divBdr>
      <w:divsChild>
        <w:div w:id="1502550363">
          <w:marLeft w:val="0"/>
          <w:marRight w:val="0"/>
          <w:marTop w:val="0"/>
          <w:marBottom w:val="0"/>
          <w:divBdr>
            <w:top w:val="none" w:sz="0" w:space="0" w:color="auto"/>
            <w:left w:val="none" w:sz="0" w:space="0" w:color="auto"/>
            <w:bottom w:val="none" w:sz="0" w:space="0" w:color="auto"/>
            <w:right w:val="none" w:sz="0" w:space="0" w:color="auto"/>
          </w:divBdr>
          <w:divsChild>
            <w:div w:id="10159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6743">
      <w:bodyDiv w:val="1"/>
      <w:marLeft w:val="0"/>
      <w:marRight w:val="0"/>
      <w:marTop w:val="0"/>
      <w:marBottom w:val="0"/>
      <w:divBdr>
        <w:top w:val="none" w:sz="0" w:space="0" w:color="auto"/>
        <w:left w:val="none" w:sz="0" w:space="0" w:color="auto"/>
        <w:bottom w:val="none" w:sz="0" w:space="0" w:color="auto"/>
        <w:right w:val="none" w:sz="0" w:space="0" w:color="auto"/>
      </w:divBdr>
      <w:divsChild>
        <w:div w:id="108864723">
          <w:marLeft w:val="0"/>
          <w:marRight w:val="0"/>
          <w:marTop w:val="0"/>
          <w:marBottom w:val="0"/>
          <w:divBdr>
            <w:top w:val="none" w:sz="0" w:space="0" w:color="auto"/>
            <w:left w:val="none" w:sz="0" w:space="0" w:color="auto"/>
            <w:bottom w:val="none" w:sz="0" w:space="0" w:color="auto"/>
            <w:right w:val="none" w:sz="0" w:space="0" w:color="auto"/>
          </w:divBdr>
          <w:divsChild>
            <w:div w:id="12304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8216">
      <w:bodyDiv w:val="1"/>
      <w:marLeft w:val="0"/>
      <w:marRight w:val="0"/>
      <w:marTop w:val="0"/>
      <w:marBottom w:val="0"/>
      <w:divBdr>
        <w:top w:val="none" w:sz="0" w:space="0" w:color="auto"/>
        <w:left w:val="none" w:sz="0" w:space="0" w:color="auto"/>
        <w:bottom w:val="none" w:sz="0" w:space="0" w:color="auto"/>
        <w:right w:val="none" w:sz="0" w:space="0" w:color="auto"/>
      </w:divBdr>
      <w:divsChild>
        <w:div w:id="585845127">
          <w:marLeft w:val="0"/>
          <w:marRight w:val="0"/>
          <w:marTop w:val="0"/>
          <w:marBottom w:val="0"/>
          <w:divBdr>
            <w:top w:val="none" w:sz="0" w:space="0" w:color="auto"/>
            <w:left w:val="none" w:sz="0" w:space="0" w:color="auto"/>
            <w:bottom w:val="none" w:sz="0" w:space="0" w:color="auto"/>
            <w:right w:val="none" w:sz="0" w:space="0" w:color="auto"/>
          </w:divBdr>
          <w:divsChild>
            <w:div w:id="2259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2387">
      <w:bodyDiv w:val="1"/>
      <w:marLeft w:val="0"/>
      <w:marRight w:val="0"/>
      <w:marTop w:val="0"/>
      <w:marBottom w:val="0"/>
      <w:divBdr>
        <w:top w:val="none" w:sz="0" w:space="0" w:color="auto"/>
        <w:left w:val="none" w:sz="0" w:space="0" w:color="auto"/>
        <w:bottom w:val="none" w:sz="0" w:space="0" w:color="auto"/>
        <w:right w:val="none" w:sz="0" w:space="0" w:color="auto"/>
      </w:divBdr>
      <w:divsChild>
        <w:div w:id="1103039451">
          <w:marLeft w:val="0"/>
          <w:marRight w:val="0"/>
          <w:marTop w:val="0"/>
          <w:marBottom w:val="0"/>
          <w:divBdr>
            <w:top w:val="none" w:sz="0" w:space="0" w:color="auto"/>
            <w:left w:val="none" w:sz="0" w:space="0" w:color="auto"/>
            <w:bottom w:val="none" w:sz="0" w:space="0" w:color="auto"/>
            <w:right w:val="none" w:sz="0" w:space="0" w:color="auto"/>
          </w:divBdr>
        </w:div>
      </w:divsChild>
    </w:div>
    <w:div w:id="1419520575">
      <w:bodyDiv w:val="1"/>
      <w:marLeft w:val="0"/>
      <w:marRight w:val="0"/>
      <w:marTop w:val="0"/>
      <w:marBottom w:val="0"/>
      <w:divBdr>
        <w:top w:val="none" w:sz="0" w:space="0" w:color="auto"/>
        <w:left w:val="none" w:sz="0" w:space="0" w:color="auto"/>
        <w:bottom w:val="none" w:sz="0" w:space="0" w:color="auto"/>
        <w:right w:val="none" w:sz="0" w:space="0" w:color="auto"/>
      </w:divBdr>
      <w:divsChild>
        <w:div w:id="301467420">
          <w:marLeft w:val="0"/>
          <w:marRight w:val="0"/>
          <w:marTop w:val="0"/>
          <w:marBottom w:val="0"/>
          <w:divBdr>
            <w:top w:val="none" w:sz="0" w:space="0" w:color="auto"/>
            <w:left w:val="none" w:sz="0" w:space="0" w:color="auto"/>
            <w:bottom w:val="none" w:sz="0" w:space="0" w:color="auto"/>
            <w:right w:val="none" w:sz="0" w:space="0" w:color="auto"/>
          </w:divBdr>
          <w:divsChild>
            <w:div w:id="559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2200">
      <w:bodyDiv w:val="1"/>
      <w:marLeft w:val="0"/>
      <w:marRight w:val="0"/>
      <w:marTop w:val="0"/>
      <w:marBottom w:val="0"/>
      <w:divBdr>
        <w:top w:val="none" w:sz="0" w:space="0" w:color="auto"/>
        <w:left w:val="none" w:sz="0" w:space="0" w:color="auto"/>
        <w:bottom w:val="none" w:sz="0" w:space="0" w:color="auto"/>
        <w:right w:val="none" w:sz="0" w:space="0" w:color="auto"/>
      </w:divBdr>
      <w:divsChild>
        <w:div w:id="1704282997">
          <w:marLeft w:val="0"/>
          <w:marRight w:val="0"/>
          <w:marTop w:val="0"/>
          <w:marBottom w:val="0"/>
          <w:divBdr>
            <w:top w:val="none" w:sz="0" w:space="0" w:color="auto"/>
            <w:left w:val="none" w:sz="0" w:space="0" w:color="auto"/>
            <w:bottom w:val="none" w:sz="0" w:space="0" w:color="auto"/>
            <w:right w:val="none" w:sz="0" w:space="0" w:color="auto"/>
          </w:divBdr>
          <w:divsChild>
            <w:div w:id="11521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9425">
      <w:bodyDiv w:val="1"/>
      <w:marLeft w:val="0"/>
      <w:marRight w:val="0"/>
      <w:marTop w:val="0"/>
      <w:marBottom w:val="0"/>
      <w:divBdr>
        <w:top w:val="none" w:sz="0" w:space="0" w:color="auto"/>
        <w:left w:val="none" w:sz="0" w:space="0" w:color="auto"/>
        <w:bottom w:val="none" w:sz="0" w:space="0" w:color="auto"/>
        <w:right w:val="none" w:sz="0" w:space="0" w:color="auto"/>
      </w:divBdr>
    </w:div>
    <w:div w:id="1437284346">
      <w:bodyDiv w:val="1"/>
      <w:marLeft w:val="0"/>
      <w:marRight w:val="0"/>
      <w:marTop w:val="0"/>
      <w:marBottom w:val="0"/>
      <w:divBdr>
        <w:top w:val="none" w:sz="0" w:space="0" w:color="auto"/>
        <w:left w:val="none" w:sz="0" w:space="0" w:color="auto"/>
        <w:bottom w:val="none" w:sz="0" w:space="0" w:color="auto"/>
        <w:right w:val="none" w:sz="0" w:space="0" w:color="auto"/>
      </w:divBdr>
      <w:divsChild>
        <w:div w:id="1383287595">
          <w:marLeft w:val="0"/>
          <w:marRight w:val="0"/>
          <w:marTop w:val="0"/>
          <w:marBottom w:val="0"/>
          <w:divBdr>
            <w:top w:val="none" w:sz="0" w:space="0" w:color="auto"/>
            <w:left w:val="none" w:sz="0" w:space="0" w:color="auto"/>
            <w:bottom w:val="none" w:sz="0" w:space="0" w:color="auto"/>
            <w:right w:val="none" w:sz="0" w:space="0" w:color="auto"/>
          </w:divBdr>
          <w:divsChild>
            <w:div w:id="12943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2460">
      <w:bodyDiv w:val="1"/>
      <w:marLeft w:val="0"/>
      <w:marRight w:val="0"/>
      <w:marTop w:val="0"/>
      <w:marBottom w:val="0"/>
      <w:divBdr>
        <w:top w:val="none" w:sz="0" w:space="0" w:color="auto"/>
        <w:left w:val="none" w:sz="0" w:space="0" w:color="auto"/>
        <w:bottom w:val="none" w:sz="0" w:space="0" w:color="auto"/>
        <w:right w:val="none" w:sz="0" w:space="0" w:color="auto"/>
      </w:divBdr>
      <w:divsChild>
        <w:div w:id="1617252406">
          <w:marLeft w:val="0"/>
          <w:marRight w:val="0"/>
          <w:marTop w:val="0"/>
          <w:marBottom w:val="0"/>
          <w:divBdr>
            <w:top w:val="none" w:sz="0" w:space="0" w:color="auto"/>
            <w:left w:val="none" w:sz="0" w:space="0" w:color="auto"/>
            <w:bottom w:val="none" w:sz="0" w:space="0" w:color="auto"/>
            <w:right w:val="none" w:sz="0" w:space="0" w:color="auto"/>
          </w:divBdr>
          <w:divsChild>
            <w:div w:id="304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6305">
      <w:bodyDiv w:val="1"/>
      <w:marLeft w:val="0"/>
      <w:marRight w:val="0"/>
      <w:marTop w:val="0"/>
      <w:marBottom w:val="0"/>
      <w:divBdr>
        <w:top w:val="none" w:sz="0" w:space="0" w:color="auto"/>
        <w:left w:val="none" w:sz="0" w:space="0" w:color="auto"/>
        <w:bottom w:val="none" w:sz="0" w:space="0" w:color="auto"/>
        <w:right w:val="none" w:sz="0" w:space="0" w:color="auto"/>
      </w:divBdr>
      <w:divsChild>
        <w:div w:id="600917032">
          <w:marLeft w:val="0"/>
          <w:marRight w:val="0"/>
          <w:marTop w:val="0"/>
          <w:marBottom w:val="0"/>
          <w:divBdr>
            <w:top w:val="none" w:sz="0" w:space="0" w:color="auto"/>
            <w:left w:val="none" w:sz="0" w:space="0" w:color="auto"/>
            <w:bottom w:val="none" w:sz="0" w:space="0" w:color="auto"/>
            <w:right w:val="none" w:sz="0" w:space="0" w:color="auto"/>
          </w:divBdr>
          <w:divsChild>
            <w:div w:id="17599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6843">
      <w:bodyDiv w:val="1"/>
      <w:marLeft w:val="0"/>
      <w:marRight w:val="0"/>
      <w:marTop w:val="0"/>
      <w:marBottom w:val="0"/>
      <w:divBdr>
        <w:top w:val="none" w:sz="0" w:space="0" w:color="auto"/>
        <w:left w:val="none" w:sz="0" w:space="0" w:color="auto"/>
        <w:bottom w:val="none" w:sz="0" w:space="0" w:color="auto"/>
        <w:right w:val="none" w:sz="0" w:space="0" w:color="auto"/>
      </w:divBdr>
    </w:div>
    <w:div w:id="1458838730">
      <w:bodyDiv w:val="1"/>
      <w:marLeft w:val="0"/>
      <w:marRight w:val="0"/>
      <w:marTop w:val="0"/>
      <w:marBottom w:val="0"/>
      <w:divBdr>
        <w:top w:val="none" w:sz="0" w:space="0" w:color="auto"/>
        <w:left w:val="none" w:sz="0" w:space="0" w:color="auto"/>
        <w:bottom w:val="none" w:sz="0" w:space="0" w:color="auto"/>
        <w:right w:val="none" w:sz="0" w:space="0" w:color="auto"/>
      </w:divBdr>
      <w:divsChild>
        <w:div w:id="966350900">
          <w:marLeft w:val="0"/>
          <w:marRight w:val="0"/>
          <w:marTop w:val="0"/>
          <w:marBottom w:val="0"/>
          <w:divBdr>
            <w:top w:val="none" w:sz="0" w:space="0" w:color="auto"/>
            <w:left w:val="none" w:sz="0" w:space="0" w:color="auto"/>
            <w:bottom w:val="none" w:sz="0" w:space="0" w:color="auto"/>
            <w:right w:val="none" w:sz="0" w:space="0" w:color="auto"/>
          </w:divBdr>
          <w:divsChild>
            <w:div w:id="155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707">
      <w:bodyDiv w:val="1"/>
      <w:marLeft w:val="0"/>
      <w:marRight w:val="0"/>
      <w:marTop w:val="0"/>
      <w:marBottom w:val="0"/>
      <w:divBdr>
        <w:top w:val="none" w:sz="0" w:space="0" w:color="auto"/>
        <w:left w:val="none" w:sz="0" w:space="0" w:color="auto"/>
        <w:bottom w:val="none" w:sz="0" w:space="0" w:color="auto"/>
        <w:right w:val="none" w:sz="0" w:space="0" w:color="auto"/>
      </w:divBdr>
      <w:divsChild>
        <w:div w:id="396512784">
          <w:marLeft w:val="0"/>
          <w:marRight w:val="0"/>
          <w:marTop w:val="0"/>
          <w:marBottom w:val="0"/>
          <w:divBdr>
            <w:top w:val="none" w:sz="0" w:space="0" w:color="auto"/>
            <w:left w:val="none" w:sz="0" w:space="0" w:color="auto"/>
            <w:bottom w:val="none" w:sz="0" w:space="0" w:color="auto"/>
            <w:right w:val="none" w:sz="0" w:space="0" w:color="auto"/>
          </w:divBdr>
          <w:divsChild>
            <w:div w:id="113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9584">
      <w:bodyDiv w:val="1"/>
      <w:marLeft w:val="0"/>
      <w:marRight w:val="0"/>
      <w:marTop w:val="0"/>
      <w:marBottom w:val="0"/>
      <w:divBdr>
        <w:top w:val="none" w:sz="0" w:space="0" w:color="auto"/>
        <w:left w:val="none" w:sz="0" w:space="0" w:color="auto"/>
        <w:bottom w:val="none" w:sz="0" w:space="0" w:color="auto"/>
        <w:right w:val="none" w:sz="0" w:space="0" w:color="auto"/>
      </w:divBdr>
    </w:div>
    <w:div w:id="1473256324">
      <w:bodyDiv w:val="1"/>
      <w:marLeft w:val="0"/>
      <w:marRight w:val="0"/>
      <w:marTop w:val="0"/>
      <w:marBottom w:val="0"/>
      <w:divBdr>
        <w:top w:val="none" w:sz="0" w:space="0" w:color="auto"/>
        <w:left w:val="none" w:sz="0" w:space="0" w:color="auto"/>
        <w:bottom w:val="none" w:sz="0" w:space="0" w:color="auto"/>
        <w:right w:val="none" w:sz="0" w:space="0" w:color="auto"/>
      </w:divBdr>
    </w:div>
    <w:div w:id="1481969112">
      <w:bodyDiv w:val="1"/>
      <w:marLeft w:val="0"/>
      <w:marRight w:val="0"/>
      <w:marTop w:val="0"/>
      <w:marBottom w:val="0"/>
      <w:divBdr>
        <w:top w:val="none" w:sz="0" w:space="0" w:color="auto"/>
        <w:left w:val="none" w:sz="0" w:space="0" w:color="auto"/>
        <w:bottom w:val="none" w:sz="0" w:space="0" w:color="auto"/>
        <w:right w:val="none" w:sz="0" w:space="0" w:color="auto"/>
      </w:divBdr>
      <w:divsChild>
        <w:div w:id="698243117">
          <w:marLeft w:val="0"/>
          <w:marRight w:val="0"/>
          <w:marTop w:val="0"/>
          <w:marBottom w:val="0"/>
          <w:divBdr>
            <w:top w:val="none" w:sz="0" w:space="0" w:color="auto"/>
            <w:left w:val="none" w:sz="0" w:space="0" w:color="auto"/>
            <w:bottom w:val="none" w:sz="0" w:space="0" w:color="auto"/>
            <w:right w:val="none" w:sz="0" w:space="0" w:color="auto"/>
          </w:divBdr>
          <w:divsChild>
            <w:div w:id="13710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0715">
      <w:bodyDiv w:val="1"/>
      <w:marLeft w:val="0"/>
      <w:marRight w:val="0"/>
      <w:marTop w:val="23"/>
      <w:marBottom w:val="576"/>
      <w:divBdr>
        <w:top w:val="none" w:sz="0" w:space="0" w:color="auto"/>
        <w:left w:val="none" w:sz="0" w:space="0" w:color="auto"/>
        <w:bottom w:val="none" w:sz="0" w:space="0" w:color="auto"/>
        <w:right w:val="none" w:sz="0" w:space="0" w:color="auto"/>
      </w:divBdr>
      <w:divsChild>
        <w:div w:id="1539856409">
          <w:marLeft w:val="0"/>
          <w:marRight w:val="0"/>
          <w:marTop w:val="0"/>
          <w:marBottom w:val="0"/>
          <w:divBdr>
            <w:top w:val="none" w:sz="0" w:space="0" w:color="auto"/>
            <w:left w:val="none" w:sz="0" w:space="0" w:color="auto"/>
            <w:bottom w:val="none" w:sz="0" w:space="0" w:color="auto"/>
            <w:right w:val="none" w:sz="0" w:space="0" w:color="auto"/>
          </w:divBdr>
        </w:div>
      </w:divsChild>
    </w:div>
    <w:div w:id="1496651852">
      <w:bodyDiv w:val="1"/>
      <w:marLeft w:val="0"/>
      <w:marRight w:val="0"/>
      <w:marTop w:val="0"/>
      <w:marBottom w:val="0"/>
      <w:divBdr>
        <w:top w:val="none" w:sz="0" w:space="0" w:color="auto"/>
        <w:left w:val="none" w:sz="0" w:space="0" w:color="auto"/>
        <w:bottom w:val="none" w:sz="0" w:space="0" w:color="auto"/>
        <w:right w:val="none" w:sz="0" w:space="0" w:color="auto"/>
      </w:divBdr>
    </w:div>
    <w:div w:id="1505248096">
      <w:bodyDiv w:val="1"/>
      <w:marLeft w:val="0"/>
      <w:marRight w:val="0"/>
      <w:marTop w:val="0"/>
      <w:marBottom w:val="0"/>
      <w:divBdr>
        <w:top w:val="none" w:sz="0" w:space="0" w:color="auto"/>
        <w:left w:val="none" w:sz="0" w:space="0" w:color="auto"/>
        <w:bottom w:val="none" w:sz="0" w:space="0" w:color="auto"/>
        <w:right w:val="none" w:sz="0" w:space="0" w:color="auto"/>
      </w:divBdr>
    </w:div>
    <w:div w:id="1510483620">
      <w:bodyDiv w:val="1"/>
      <w:marLeft w:val="0"/>
      <w:marRight w:val="0"/>
      <w:marTop w:val="0"/>
      <w:marBottom w:val="0"/>
      <w:divBdr>
        <w:top w:val="none" w:sz="0" w:space="0" w:color="auto"/>
        <w:left w:val="none" w:sz="0" w:space="0" w:color="auto"/>
        <w:bottom w:val="none" w:sz="0" w:space="0" w:color="auto"/>
        <w:right w:val="none" w:sz="0" w:space="0" w:color="auto"/>
      </w:divBdr>
      <w:divsChild>
        <w:div w:id="637298013">
          <w:marLeft w:val="0"/>
          <w:marRight w:val="0"/>
          <w:marTop w:val="0"/>
          <w:marBottom w:val="0"/>
          <w:divBdr>
            <w:top w:val="none" w:sz="0" w:space="0" w:color="auto"/>
            <w:left w:val="none" w:sz="0" w:space="0" w:color="auto"/>
            <w:bottom w:val="none" w:sz="0" w:space="0" w:color="auto"/>
            <w:right w:val="none" w:sz="0" w:space="0" w:color="auto"/>
          </w:divBdr>
          <w:divsChild>
            <w:div w:id="3812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328">
      <w:bodyDiv w:val="1"/>
      <w:marLeft w:val="0"/>
      <w:marRight w:val="0"/>
      <w:marTop w:val="0"/>
      <w:marBottom w:val="0"/>
      <w:divBdr>
        <w:top w:val="none" w:sz="0" w:space="0" w:color="auto"/>
        <w:left w:val="none" w:sz="0" w:space="0" w:color="auto"/>
        <w:bottom w:val="none" w:sz="0" w:space="0" w:color="auto"/>
        <w:right w:val="none" w:sz="0" w:space="0" w:color="auto"/>
      </w:divBdr>
      <w:divsChild>
        <w:div w:id="1714110144">
          <w:marLeft w:val="0"/>
          <w:marRight w:val="0"/>
          <w:marTop w:val="0"/>
          <w:marBottom w:val="0"/>
          <w:divBdr>
            <w:top w:val="none" w:sz="0" w:space="0" w:color="auto"/>
            <w:left w:val="none" w:sz="0" w:space="0" w:color="auto"/>
            <w:bottom w:val="none" w:sz="0" w:space="0" w:color="auto"/>
            <w:right w:val="none" w:sz="0" w:space="0" w:color="auto"/>
          </w:divBdr>
          <w:divsChild>
            <w:div w:id="20826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8171">
      <w:bodyDiv w:val="1"/>
      <w:marLeft w:val="0"/>
      <w:marRight w:val="0"/>
      <w:marTop w:val="0"/>
      <w:marBottom w:val="0"/>
      <w:divBdr>
        <w:top w:val="none" w:sz="0" w:space="0" w:color="auto"/>
        <w:left w:val="none" w:sz="0" w:space="0" w:color="auto"/>
        <w:bottom w:val="none" w:sz="0" w:space="0" w:color="auto"/>
        <w:right w:val="none" w:sz="0" w:space="0" w:color="auto"/>
      </w:divBdr>
      <w:divsChild>
        <w:div w:id="1805848412">
          <w:marLeft w:val="0"/>
          <w:marRight w:val="0"/>
          <w:marTop w:val="0"/>
          <w:marBottom w:val="0"/>
          <w:divBdr>
            <w:top w:val="none" w:sz="0" w:space="0" w:color="auto"/>
            <w:left w:val="none" w:sz="0" w:space="0" w:color="auto"/>
            <w:bottom w:val="none" w:sz="0" w:space="0" w:color="auto"/>
            <w:right w:val="none" w:sz="0" w:space="0" w:color="auto"/>
          </w:divBdr>
          <w:divsChild>
            <w:div w:id="110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4601">
      <w:bodyDiv w:val="1"/>
      <w:marLeft w:val="0"/>
      <w:marRight w:val="0"/>
      <w:marTop w:val="0"/>
      <w:marBottom w:val="0"/>
      <w:divBdr>
        <w:top w:val="none" w:sz="0" w:space="0" w:color="auto"/>
        <w:left w:val="none" w:sz="0" w:space="0" w:color="auto"/>
        <w:bottom w:val="none" w:sz="0" w:space="0" w:color="auto"/>
        <w:right w:val="none" w:sz="0" w:space="0" w:color="auto"/>
      </w:divBdr>
      <w:divsChild>
        <w:div w:id="325978869">
          <w:marLeft w:val="0"/>
          <w:marRight w:val="0"/>
          <w:marTop w:val="0"/>
          <w:marBottom w:val="0"/>
          <w:divBdr>
            <w:top w:val="none" w:sz="0" w:space="0" w:color="auto"/>
            <w:left w:val="none" w:sz="0" w:space="0" w:color="auto"/>
            <w:bottom w:val="none" w:sz="0" w:space="0" w:color="auto"/>
            <w:right w:val="none" w:sz="0" w:space="0" w:color="auto"/>
          </w:divBdr>
          <w:divsChild>
            <w:div w:id="1280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1261">
      <w:bodyDiv w:val="1"/>
      <w:marLeft w:val="0"/>
      <w:marRight w:val="0"/>
      <w:marTop w:val="0"/>
      <w:marBottom w:val="0"/>
      <w:divBdr>
        <w:top w:val="none" w:sz="0" w:space="0" w:color="auto"/>
        <w:left w:val="none" w:sz="0" w:space="0" w:color="auto"/>
        <w:bottom w:val="none" w:sz="0" w:space="0" w:color="auto"/>
        <w:right w:val="none" w:sz="0" w:space="0" w:color="auto"/>
      </w:divBdr>
    </w:div>
    <w:div w:id="1544519389">
      <w:bodyDiv w:val="1"/>
      <w:marLeft w:val="0"/>
      <w:marRight w:val="0"/>
      <w:marTop w:val="0"/>
      <w:marBottom w:val="0"/>
      <w:divBdr>
        <w:top w:val="none" w:sz="0" w:space="0" w:color="auto"/>
        <w:left w:val="none" w:sz="0" w:space="0" w:color="auto"/>
        <w:bottom w:val="none" w:sz="0" w:space="0" w:color="auto"/>
        <w:right w:val="none" w:sz="0" w:space="0" w:color="auto"/>
      </w:divBdr>
      <w:divsChild>
        <w:div w:id="1574388890">
          <w:marLeft w:val="250"/>
          <w:marRight w:val="250"/>
          <w:marTop w:val="0"/>
          <w:marBottom w:val="0"/>
          <w:divBdr>
            <w:top w:val="none" w:sz="0" w:space="0" w:color="auto"/>
            <w:left w:val="none" w:sz="0" w:space="0" w:color="auto"/>
            <w:bottom w:val="none" w:sz="0" w:space="0" w:color="auto"/>
            <w:right w:val="none" w:sz="0" w:space="0" w:color="auto"/>
          </w:divBdr>
          <w:divsChild>
            <w:div w:id="125704089">
              <w:marLeft w:val="0"/>
              <w:marRight w:val="0"/>
              <w:marTop w:val="0"/>
              <w:marBottom w:val="125"/>
              <w:divBdr>
                <w:top w:val="none" w:sz="0" w:space="0" w:color="auto"/>
                <w:left w:val="none" w:sz="0" w:space="0" w:color="auto"/>
                <w:bottom w:val="none" w:sz="0" w:space="0" w:color="auto"/>
                <w:right w:val="none" w:sz="0" w:space="0" w:color="auto"/>
              </w:divBdr>
              <w:divsChild>
                <w:div w:id="1672296896">
                  <w:marLeft w:val="0"/>
                  <w:marRight w:val="0"/>
                  <w:marTop w:val="0"/>
                  <w:marBottom w:val="0"/>
                  <w:divBdr>
                    <w:top w:val="none" w:sz="0" w:space="0" w:color="auto"/>
                    <w:left w:val="none" w:sz="0" w:space="0" w:color="auto"/>
                    <w:bottom w:val="none" w:sz="0" w:space="0" w:color="auto"/>
                    <w:right w:val="none" w:sz="0" w:space="0" w:color="auto"/>
                  </w:divBdr>
                  <w:divsChild>
                    <w:div w:id="1499232544">
                      <w:marLeft w:val="0"/>
                      <w:marRight w:val="0"/>
                      <w:marTop w:val="0"/>
                      <w:marBottom w:val="0"/>
                      <w:divBdr>
                        <w:top w:val="none" w:sz="0" w:space="0" w:color="auto"/>
                        <w:left w:val="none" w:sz="0" w:space="0" w:color="auto"/>
                        <w:bottom w:val="none" w:sz="0" w:space="0" w:color="auto"/>
                        <w:right w:val="none" w:sz="0" w:space="0" w:color="auto"/>
                      </w:divBdr>
                      <w:divsChild>
                        <w:div w:id="2139179452">
                          <w:marLeft w:val="0"/>
                          <w:marRight w:val="0"/>
                          <w:marTop w:val="0"/>
                          <w:marBottom w:val="0"/>
                          <w:divBdr>
                            <w:top w:val="none" w:sz="0" w:space="0" w:color="auto"/>
                            <w:left w:val="none" w:sz="0" w:space="0" w:color="auto"/>
                            <w:bottom w:val="none" w:sz="0" w:space="0" w:color="auto"/>
                            <w:right w:val="none" w:sz="0" w:space="0" w:color="auto"/>
                          </w:divBdr>
                          <w:divsChild>
                            <w:div w:id="5406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61940">
      <w:bodyDiv w:val="1"/>
      <w:marLeft w:val="0"/>
      <w:marRight w:val="0"/>
      <w:marTop w:val="0"/>
      <w:marBottom w:val="0"/>
      <w:divBdr>
        <w:top w:val="none" w:sz="0" w:space="0" w:color="auto"/>
        <w:left w:val="none" w:sz="0" w:space="0" w:color="auto"/>
        <w:bottom w:val="none" w:sz="0" w:space="0" w:color="auto"/>
        <w:right w:val="none" w:sz="0" w:space="0" w:color="auto"/>
      </w:divBdr>
      <w:divsChild>
        <w:div w:id="1241452664">
          <w:marLeft w:val="0"/>
          <w:marRight w:val="0"/>
          <w:marTop w:val="0"/>
          <w:marBottom w:val="0"/>
          <w:divBdr>
            <w:top w:val="none" w:sz="0" w:space="0" w:color="auto"/>
            <w:left w:val="none" w:sz="0" w:space="0" w:color="auto"/>
            <w:bottom w:val="none" w:sz="0" w:space="0" w:color="auto"/>
            <w:right w:val="none" w:sz="0" w:space="0" w:color="auto"/>
          </w:divBdr>
          <w:divsChild>
            <w:div w:id="18740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7254">
      <w:bodyDiv w:val="1"/>
      <w:marLeft w:val="0"/>
      <w:marRight w:val="0"/>
      <w:marTop w:val="0"/>
      <w:marBottom w:val="0"/>
      <w:divBdr>
        <w:top w:val="none" w:sz="0" w:space="0" w:color="auto"/>
        <w:left w:val="none" w:sz="0" w:space="0" w:color="auto"/>
        <w:bottom w:val="none" w:sz="0" w:space="0" w:color="auto"/>
        <w:right w:val="none" w:sz="0" w:space="0" w:color="auto"/>
      </w:divBdr>
      <w:divsChild>
        <w:div w:id="1094209307">
          <w:marLeft w:val="0"/>
          <w:marRight w:val="0"/>
          <w:marTop w:val="0"/>
          <w:marBottom w:val="0"/>
          <w:divBdr>
            <w:top w:val="none" w:sz="0" w:space="0" w:color="auto"/>
            <w:left w:val="none" w:sz="0" w:space="0" w:color="auto"/>
            <w:bottom w:val="none" w:sz="0" w:space="0" w:color="auto"/>
            <w:right w:val="none" w:sz="0" w:space="0" w:color="auto"/>
          </w:divBdr>
          <w:divsChild>
            <w:div w:id="18882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7684">
      <w:bodyDiv w:val="1"/>
      <w:marLeft w:val="0"/>
      <w:marRight w:val="0"/>
      <w:marTop w:val="0"/>
      <w:marBottom w:val="0"/>
      <w:divBdr>
        <w:top w:val="none" w:sz="0" w:space="0" w:color="auto"/>
        <w:left w:val="none" w:sz="0" w:space="0" w:color="auto"/>
        <w:bottom w:val="none" w:sz="0" w:space="0" w:color="auto"/>
        <w:right w:val="none" w:sz="0" w:space="0" w:color="auto"/>
      </w:divBdr>
      <w:divsChild>
        <w:div w:id="284504840">
          <w:marLeft w:val="0"/>
          <w:marRight w:val="0"/>
          <w:marTop w:val="0"/>
          <w:marBottom w:val="0"/>
          <w:divBdr>
            <w:top w:val="none" w:sz="0" w:space="0" w:color="auto"/>
            <w:left w:val="none" w:sz="0" w:space="0" w:color="auto"/>
            <w:bottom w:val="none" w:sz="0" w:space="0" w:color="auto"/>
            <w:right w:val="none" w:sz="0" w:space="0" w:color="auto"/>
          </w:divBdr>
          <w:divsChild>
            <w:div w:id="11815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68961">
      <w:bodyDiv w:val="1"/>
      <w:marLeft w:val="0"/>
      <w:marRight w:val="0"/>
      <w:marTop w:val="0"/>
      <w:marBottom w:val="0"/>
      <w:divBdr>
        <w:top w:val="none" w:sz="0" w:space="0" w:color="auto"/>
        <w:left w:val="none" w:sz="0" w:space="0" w:color="auto"/>
        <w:bottom w:val="none" w:sz="0" w:space="0" w:color="auto"/>
        <w:right w:val="none" w:sz="0" w:space="0" w:color="auto"/>
      </w:divBdr>
      <w:divsChild>
        <w:div w:id="1293630817">
          <w:marLeft w:val="0"/>
          <w:marRight w:val="0"/>
          <w:marTop w:val="0"/>
          <w:marBottom w:val="0"/>
          <w:divBdr>
            <w:top w:val="none" w:sz="0" w:space="0" w:color="auto"/>
            <w:left w:val="none" w:sz="0" w:space="0" w:color="auto"/>
            <w:bottom w:val="none" w:sz="0" w:space="0" w:color="auto"/>
            <w:right w:val="none" w:sz="0" w:space="0" w:color="auto"/>
          </w:divBdr>
          <w:divsChild>
            <w:div w:id="2774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0468">
      <w:bodyDiv w:val="1"/>
      <w:marLeft w:val="0"/>
      <w:marRight w:val="0"/>
      <w:marTop w:val="0"/>
      <w:marBottom w:val="0"/>
      <w:divBdr>
        <w:top w:val="none" w:sz="0" w:space="0" w:color="auto"/>
        <w:left w:val="none" w:sz="0" w:space="0" w:color="auto"/>
        <w:bottom w:val="none" w:sz="0" w:space="0" w:color="auto"/>
        <w:right w:val="none" w:sz="0" w:space="0" w:color="auto"/>
      </w:divBdr>
      <w:divsChild>
        <w:div w:id="2106338720">
          <w:marLeft w:val="250"/>
          <w:marRight w:val="250"/>
          <w:marTop w:val="0"/>
          <w:marBottom w:val="0"/>
          <w:divBdr>
            <w:top w:val="none" w:sz="0" w:space="0" w:color="auto"/>
            <w:left w:val="none" w:sz="0" w:space="0" w:color="auto"/>
            <w:bottom w:val="none" w:sz="0" w:space="0" w:color="auto"/>
            <w:right w:val="none" w:sz="0" w:space="0" w:color="auto"/>
          </w:divBdr>
          <w:divsChild>
            <w:div w:id="2023319512">
              <w:marLeft w:val="0"/>
              <w:marRight w:val="0"/>
              <w:marTop w:val="0"/>
              <w:marBottom w:val="125"/>
              <w:divBdr>
                <w:top w:val="none" w:sz="0" w:space="0" w:color="auto"/>
                <w:left w:val="none" w:sz="0" w:space="0" w:color="auto"/>
                <w:bottom w:val="none" w:sz="0" w:space="0" w:color="auto"/>
                <w:right w:val="none" w:sz="0" w:space="0" w:color="auto"/>
              </w:divBdr>
              <w:divsChild>
                <w:div w:id="1664702416">
                  <w:marLeft w:val="0"/>
                  <w:marRight w:val="0"/>
                  <w:marTop w:val="0"/>
                  <w:marBottom w:val="0"/>
                  <w:divBdr>
                    <w:top w:val="none" w:sz="0" w:space="0" w:color="auto"/>
                    <w:left w:val="none" w:sz="0" w:space="0" w:color="auto"/>
                    <w:bottom w:val="none" w:sz="0" w:space="0" w:color="auto"/>
                    <w:right w:val="none" w:sz="0" w:space="0" w:color="auto"/>
                  </w:divBdr>
                  <w:divsChild>
                    <w:div w:id="1823958916">
                      <w:marLeft w:val="0"/>
                      <w:marRight w:val="0"/>
                      <w:marTop w:val="0"/>
                      <w:marBottom w:val="0"/>
                      <w:divBdr>
                        <w:top w:val="none" w:sz="0" w:space="0" w:color="auto"/>
                        <w:left w:val="none" w:sz="0" w:space="0" w:color="auto"/>
                        <w:bottom w:val="none" w:sz="0" w:space="0" w:color="auto"/>
                        <w:right w:val="none" w:sz="0" w:space="0" w:color="auto"/>
                      </w:divBdr>
                      <w:divsChild>
                        <w:div w:id="899364273">
                          <w:marLeft w:val="0"/>
                          <w:marRight w:val="0"/>
                          <w:marTop w:val="0"/>
                          <w:marBottom w:val="0"/>
                          <w:divBdr>
                            <w:top w:val="none" w:sz="0" w:space="0" w:color="auto"/>
                            <w:left w:val="none" w:sz="0" w:space="0" w:color="auto"/>
                            <w:bottom w:val="none" w:sz="0" w:space="0" w:color="auto"/>
                            <w:right w:val="none" w:sz="0" w:space="0" w:color="auto"/>
                          </w:divBdr>
                          <w:divsChild>
                            <w:div w:id="1857386576">
                              <w:marLeft w:val="0"/>
                              <w:marRight w:val="0"/>
                              <w:marTop w:val="0"/>
                              <w:marBottom w:val="0"/>
                              <w:divBdr>
                                <w:top w:val="none" w:sz="0" w:space="0" w:color="auto"/>
                                <w:left w:val="none" w:sz="0" w:space="0" w:color="auto"/>
                                <w:bottom w:val="none" w:sz="0" w:space="0" w:color="auto"/>
                                <w:right w:val="none" w:sz="0" w:space="0" w:color="auto"/>
                              </w:divBdr>
                            </w:div>
                            <w:div w:id="1117914496">
                              <w:marLeft w:val="0"/>
                              <w:marRight w:val="0"/>
                              <w:marTop w:val="0"/>
                              <w:marBottom w:val="0"/>
                              <w:divBdr>
                                <w:top w:val="none" w:sz="0" w:space="0" w:color="auto"/>
                                <w:left w:val="none" w:sz="0" w:space="0" w:color="auto"/>
                                <w:bottom w:val="none" w:sz="0" w:space="0" w:color="auto"/>
                                <w:right w:val="none" w:sz="0" w:space="0" w:color="auto"/>
                              </w:divBdr>
                            </w:div>
                            <w:div w:id="2140997202">
                              <w:marLeft w:val="0"/>
                              <w:marRight w:val="0"/>
                              <w:marTop w:val="0"/>
                              <w:marBottom w:val="0"/>
                              <w:divBdr>
                                <w:top w:val="none" w:sz="0" w:space="0" w:color="auto"/>
                                <w:left w:val="none" w:sz="0" w:space="0" w:color="auto"/>
                                <w:bottom w:val="none" w:sz="0" w:space="0" w:color="auto"/>
                                <w:right w:val="none" w:sz="0" w:space="0" w:color="auto"/>
                              </w:divBdr>
                            </w:div>
                            <w:div w:id="1633442572">
                              <w:marLeft w:val="0"/>
                              <w:marRight w:val="0"/>
                              <w:marTop w:val="0"/>
                              <w:marBottom w:val="0"/>
                              <w:divBdr>
                                <w:top w:val="none" w:sz="0" w:space="0" w:color="auto"/>
                                <w:left w:val="none" w:sz="0" w:space="0" w:color="auto"/>
                                <w:bottom w:val="none" w:sz="0" w:space="0" w:color="auto"/>
                                <w:right w:val="none" w:sz="0" w:space="0" w:color="auto"/>
                              </w:divBdr>
                              <w:divsChild>
                                <w:div w:id="165903673">
                                  <w:marLeft w:val="0"/>
                                  <w:marRight w:val="0"/>
                                  <w:marTop w:val="0"/>
                                  <w:marBottom w:val="0"/>
                                  <w:divBdr>
                                    <w:top w:val="none" w:sz="0" w:space="0" w:color="auto"/>
                                    <w:left w:val="none" w:sz="0" w:space="0" w:color="auto"/>
                                    <w:bottom w:val="none" w:sz="0" w:space="0" w:color="auto"/>
                                    <w:right w:val="none" w:sz="0" w:space="0" w:color="auto"/>
                                  </w:divBdr>
                                </w:div>
                                <w:div w:id="718944831">
                                  <w:marLeft w:val="0"/>
                                  <w:marRight w:val="0"/>
                                  <w:marTop w:val="0"/>
                                  <w:marBottom w:val="0"/>
                                  <w:divBdr>
                                    <w:top w:val="none" w:sz="0" w:space="0" w:color="auto"/>
                                    <w:left w:val="none" w:sz="0" w:space="0" w:color="auto"/>
                                    <w:bottom w:val="none" w:sz="0" w:space="0" w:color="auto"/>
                                    <w:right w:val="none" w:sz="0" w:space="0" w:color="auto"/>
                                  </w:divBdr>
                                </w:div>
                                <w:div w:id="505705492">
                                  <w:marLeft w:val="0"/>
                                  <w:marRight w:val="0"/>
                                  <w:marTop w:val="0"/>
                                  <w:marBottom w:val="0"/>
                                  <w:divBdr>
                                    <w:top w:val="none" w:sz="0" w:space="0" w:color="auto"/>
                                    <w:left w:val="none" w:sz="0" w:space="0" w:color="auto"/>
                                    <w:bottom w:val="none" w:sz="0" w:space="0" w:color="auto"/>
                                    <w:right w:val="none" w:sz="0" w:space="0" w:color="auto"/>
                                  </w:divBdr>
                                </w:div>
                                <w:div w:id="1276206759">
                                  <w:marLeft w:val="0"/>
                                  <w:marRight w:val="0"/>
                                  <w:marTop w:val="0"/>
                                  <w:marBottom w:val="0"/>
                                  <w:divBdr>
                                    <w:top w:val="none" w:sz="0" w:space="0" w:color="auto"/>
                                    <w:left w:val="none" w:sz="0" w:space="0" w:color="auto"/>
                                    <w:bottom w:val="none" w:sz="0" w:space="0" w:color="auto"/>
                                    <w:right w:val="none" w:sz="0" w:space="0" w:color="auto"/>
                                  </w:divBdr>
                                </w:div>
                                <w:div w:id="1042631769">
                                  <w:marLeft w:val="0"/>
                                  <w:marRight w:val="0"/>
                                  <w:marTop w:val="0"/>
                                  <w:marBottom w:val="0"/>
                                  <w:divBdr>
                                    <w:top w:val="none" w:sz="0" w:space="0" w:color="auto"/>
                                    <w:left w:val="none" w:sz="0" w:space="0" w:color="auto"/>
                                    <w:bottom w:val="none" w:sz="0" w:space="0" w:color="auto"/>
                                    <w:right w:val="none" w:sz="0" w:space="0" w:color="auto"/>
                                  </w:divBdr>
                                </w:div>
                                <w:div w:id="365565015">
                                  <w:marLeft w:val="0"/>
                                  <w:marRight w:val="0"/>
                                  <w:marTop w:val="0"/>
                                  <w:marBottom w:val="0"/>
                                  <w:divBdr>
                                    <w:top w:val="none" w:sz="0" w:space="0" w:color="auto"/>
                                    <w:left w:val="none" w:sz="0" w:space="0" w:color="auto"/>
                                    <w:bottom w:val="none" w:sz="0" w:space="0" w:color="auto"/>
                                    <w:right w:val="none" w:sz="0" w:space="0" w:color="auto"/>
                                  </w:divBdr>
                                </w:div>
                                <w:div w:id="1624076997">
                                  <w:marLeft w:val="0"/>
                                  <w:marRight w:val="0"/>
                                  <w:marTop w:val="0"/>
                                  <w:marBottom w:val="0"/>
                                  <w:divBdr>
                                    <w:top w:val="none" w:sz="0" w:space="0" w:color="auto"/>
                                    <w:left w:val="none" w:sz="0" w:space="0" w:color="auto"/>
                                    <w:bottom w:val="none" w:sz="0" w:space="0" w:color="auto"/>
                                    <w:right w:val="none" w:sz="0" w:space="0" w:color="auto"/>
                                  </w:divBdr>
                                </w:div>
                                <w:div w:id="737287072">
                                  <w:marLeft w:val="0"/>
                                  <w:marRight w:val="0"/>
                                  <w:marTop w:val="0"/>
                                  <w:marBottom w:val="0"/>
                                  <w:divBdr>
                                    <w:top w:val="none" w:sz="0" w:space="0" w:color="auto"/>
                                    <w:left w:val="none" w:sz="0" w:space="0" w:color="auto"/>
                                    <w:bottom w:val="none" w:sz="0" w:space="0" w:color="auto"/>
                                    <w:right w:val="none" w:sz="0" w:space="0" w:color="auto"/>
                                  </w:divBdr>
                                </w:div>
                                <w:div w:id="1655793990">
                                  <w:marLeft w:val="0"/>
                                  <w:marRight w:val="0"/>
                                  <w:marTop w:val="0"/>
                                  <w:marBottom w:val="0"/>
                                  <w:divBdr>
                                    <w:top w:val="none" w:sz="0" w:space="0" w:color="auto"/>
                                    <w:left w:val="none" w:sz="0" w:space="0" w:color="auto"/>
                                    <w:bottom w:val="none" w:sz="0" w:space="0" w:color="auto"/>
                                    <w:right w:val="none" w:sz="0" w:space="0" w:color="auto"/>
                                  </w:divBdr>
                                </w:div>
                                <w:div w:id="1063606618">
                                  <w:marLeft w:val="0"/>
                                  <w:marRight w:val="0"/>
                                  <w:marTop w:val="0"/>
                                  <w:marBottom w:val="0"/>
                                  <w:divBdr>
                                    <w:top w:val="none" w:sz="0" w:space="0" w:color="auto"/>
                                    <w:left w:val="none" w:sz="0" w:space="0" w:color="auto"/>
                                    <w:bottom w:val="none" w:sz="0" w:space="0" w:color="auto"/>
                                    <w:right w:val="none" w:sz="0" w:space="0" w:color="auto"/>
                                  </w:divBdr>
                                </w:div>
                              </w:divsChild>
                            </w:div>
                            <w:div w:id="111870849">
                              <w:marLeft w:val="0"/>
                              <w:marRight w:val="0"/>
                              <w:marTop w:val="0"/>
                              <w:marBottom w:val="0"/>
                              <w:divBdr>
                                <w:top w:val="none" w:sz="0" w:space="0" w:color="auto"/>
                                <w:left w:val="none" w:sz="0" w:space="0" w:color="auto"/>
                                <w:bottom w:val="none" w:sz="0" w:space="0" w:color="auto"/>
                                <w:right w:val="none" w:sz="0" w:space="0" w:color="auto"/>
                              </w:divBdr>
                            </w:div>
                            <w:div w:id="2077237964">
                              <w:marLeft w:val="0"/>
                              <w:marRight w:val="0"/>
                              <w:marTop w:val="0"/>
                              <w:marBottom w:val="0"/>
                              <w:divBdr>
                                <w:top w:val="none" w:sz="0" w:space="0" w:color="auto"/>
                                <w:left w:val="none" w:sz="0" w:space="0" w:color="auto"/>
                                <w:bottom w:val="none" w:sz="0" w:space="0" w:color="auto"/>
                                <w:right w:val="none" w:sz="0" w:space="0" w:color="auto"/>
                              </w:divBdr>
                            </w:div>
                            <w:div w:id="1935285932">
                              <w:marLeft w:val="0"/>
                              <w:marRight w:val="0"/>
                              <w:marTop w:val="0"/>
                              <w:marBottom w:val="0"/>
                              <w:divBdr>
                                <w:top w:val="none" w:sz="0" w:space="0" w:color="auto"/>
                                <w:left w:val="none" w:sz="0" w:space="0" w:color="auto"/>
                                <w:bottom w:val="none" w:sz="0" w:space="0" w:color="auto"/>
                                <w:right w:val="none" w:sz="0" w:space="0" w:color="auto"/>
                              </w:divBdr>
                            </w:div>
                            <w:div w:id="884213919">
                              <w:marLeft w:val="0"/>
                              <w:marRight w:val="0"/>
                              <w:marTop w:val="0"/>
                              <w:marBottom w:val="0"/>
                              <w:divBdr>
                                <w:top w:val="none" w:sz="0" w:space="0" w:color="auto"/>
                                <w:left w:val="none" w:sz="0" w:space="0" w:color="auto"/>
                                <w:bottom w:val="none" w:sz="0" w:space="0" w:color="auto"/>
                                <w:right w:val="none" w:sz="0" w:space="0" w:color="auto"/>
                              </w:divBdr>
                            </w:div>
                            <w:div w:id="1397436945">
                              <w:marLeft w:val="0"/>
                              <w:marRight w:val="0"/>
                              <w:marTop w:val="0"/>
                              <w:marBottom w:val="0"/>
                              <w:divBdr>
                                <w:top w:val="none" w:sz="0" w:space="0" w:color="auto"/>
                                <w:left w:val="none" w:sz="0" w:space="0" w:color="auto"/>
                                <w:bottom w:val="none" w:sz="0" w:space="0" w:color="auto"/>
                                <w:right w:val="none" w:sz="0" w:space="0" w:color="auto"/>
                              </w:divBdr>
                            </w:div>
                            <w:div w:id="1491748313">
                              <w:marLeft w:val="0"/>
                              <w:marRight w:val="0"/>
                              <w:marTop w:val="0"/>
                              <w:marBottom w:val="0"/>
                              <w:divBdr>
                                <w:top w:val="none" w:sz="0" w:space="0" w:color="auto"/>
                                <w:left w:val="none" w:sz="0" w:space="0" w:color="auto"/>
                                <w:bottom w:val="none" w:sz="0" w:space="0" w:color="auto"/>
                                <w:right w:val="none" w:sz="0" w:space="0" w:color="auto"/>
                              </w:divBdr>
                            </w:div>
                            <w:div w:id="713164025">
                              <w:marLeft w:val="0"/>
                              <w:marRight w:val="0"/>
                              <w:marTop w:val="0"/>
                              <w:marBottom w:val="0"/>
                              <w:divBdr>
                                <w:top w:val="none" w:sz="0" w:space="0" w:color="auto"/>
                                <w:left w:val="none" w:sz="0" w:space="0" w:color="auto"/>
                                <w:bottom w:val="none" w:sz="0" w:space="0" w:color="auto"/>
                                <w:right w:val="none" w:sz="0" w:space="0" w:color="auto"/>
                              </w:divBdr>
                            </w:div>
                            <w:div w:id="1394041535">
                              <w:marLeft w:val="0"/>
                              <w:marRight w:val="0"/>
                              <w:marTop w:val="0"/>
                              <w:marBottom w:val="0"/>
                              <w:divBdr>
                                <w:top w:val="none" w:sz="0" w:space="0" w:color="auto"/>
                                <w:left w:val="none" w:sz="0" w:space="0" w:color="auto"/>
                                <w:bottom w:val="none" w:sz="0" w:space="0" w:color="auto"/>
                                <w:right w:val="none" w:sz="0" w:space="0" w:color="auto"/>
                              </w:divBdr>
                            </w:div>
                            <w:div w:id="1717193258">
                              <w:marLeft w:val="0"/>
                              <w:marRight w:val="0"/>
                              <w:marTop w:val="0"/>
                              <w:marBottom w:val="0"/>
                              <w:divBdr>
                                <w:top w:val="none" w:sz="0" w:space="0" w:color="auto"/>
                                <w:left w:val="none" w:sz="0" w:space="0" w:color="auto"/>
                                <w:bottom w:val="none" w:sz="0" w:space="0" w:color="auto"/>
                                <w:right w:val="none" w:sz="0" w:space="0" w:color="auto"/>
                              </w:divBdr>
                            </w:div>
                            <w:div w:id="1412504875">
                              <w:marLeft w:val="0"/>
                              <w:marRight w:val="0"/>
                              <w:marTop w:val="0"/>
                              <w:marBottom w:val="0"/>
                              <w:divBdr>
                                <w:top w:val="none" w:sz="0" w:space="0" w:color="auto"/>
                                <w:left w:val="none" w:sz="0" w:space="0" w:color="auto"/>
                                <w:bottom w:val="none" w:sz="0" w:space="0" w:color="auto"/>
                                <w:right w:val="none" w:sz="0" w:space="0" w:color="auto"/>
                              </w:divBdr>
                            </w:div>
                            <w:div w:id="306474211">
                              <w:marLeft w:val="0"/>
                              <w:marRight w:val="0"/>
                              <w:marTop w:val="0"/>
                              <w:marBottom w:val="0"/>
                              <w:divBdr>
                                <w:top w:val="none" w:sz="0" w:space="0" w:color="auto"/>
                                <w:left w:val="none" w:sz="0" w:space="0" w:color="auto"/>
                                <w:bottom w:val="none" w:sz="0" w:space="0" w:color="auto"/>
                                <w:right w:val="none" w:sz="0" w:space="0" w:color="auto"/>
                              </w:divBdr>
                            </w:div>
                            <w:div w:id="1464542835">
                              <w:marLeft w:val="0"/>
                              <w:marRight w:val="0"/>
                              <w:marTop w:val="0"/>
                              <w:marBottom w:val="0"/>
                              <w:divBdr>
                                <w:top w:val="none" w:sz="0" w:space="0" w:color="auto"/>
                                <w:left w:val="none" w:sz="0" w:space="0" w:color="auto"/>
                                <w:bottom w:val="none" w:sz="0" w:space="0" w:color="auto"/>
                                <w:right w:val="none" w:sz="0" w:space="0" w:color="auto"/>
                              </w:divBdr>
                            </w:div>
                            <w:div w:id="690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424070">
      <w:bodyDiv w:val="1"/>
      <w:marLeft w:val="0"/>
      <w:marRight w:val="0"/>
      <w:marTop w:val="0"/>
      <w:marBottom w:val="0"/>
      <w:divBdr>
        <w:top w:val="none" w:sz="0" w:space="0" w:color="auto"/>
        <w:left w:val="none" w:sz="0" w:space="0" w:color="auto"/>
        <w:bottom w:val="none" w:sz="0" w:space="0" w:color="auto"/>
        <w:right w:val="none" w:sz="0" w:space="0" w:color="auto"/>
      </w:divBdr>
      <w:divsChild>
        <w:div w:id="952906344">
          <w:marLeft w:val="0"/>
          <w:marRight w:val="0"/>
          <w:marTop w:val="0"/>
          <w:marBottom w:val="0"/>
          <w:divBdr>
            <w:top w:val="none" w:sz="0" w:space="0" w:color="auto"/>
            <w:left w:val="none" w:sz="0" w:space="0" w:color="auto"/>
            <w:bottom w:val="none" w:sz="0" w:space="0" w:color="auto"/>
            <w:right w:val="none" w:sz="0" w:space="0" w:color="auto"/>
          </w:divBdr>
          <w:divsChild>
            <w:div w:id="7728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0656">
      <w:bodyDiv w:val="1"/>
      <w:marLeft w:val="0"/>
      <w:marRight w:val="0"/>
      <w:marTop w:val="0"/>
      <w:marBottom w:val="0"/>
      <w:divBdr>
        <w:top w:val="none" w:sz="0" w:space="0" w:color="auto"/>
        <w:left w:val="none" w:sz="0" w:space="0" w:color="auto"/>
        <w:bottom w:val="none" w:sz="0" w:space="0" w:color="auto"/>
        <w:right w:val="none" w:sz="0" w:space="0" w:color="auto"/>
      </w:divBdr>
      <w:divsChild>
        <w:div w:id="139541507">
          <w:marLeft w:val="0"/>
          <w:marRight w:val="0"/>
          <w:marTop w:val="0"/>
          <w:marBottom w:val="0"/>
          <w:divBdr>
            <w:top w:val="none" w:sz="0" w:space="0" w:color="auto"/>
            <w:left w:val="none" w:sz="0" w:space="0" w:color="auto"/>
            <w:bottom w:val="none" w:sz="0" w:space="0" w:color="auto"/>
            <w:right w:val="none" w:sz="0" w:space="0" w:color="auto"/>
          </w:divBdr>
          <w:divsChild>
            <w:div w:id="9933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583">
      <w:bodyDiv w:val="1"/>
      <w:marLeft w:val="0"/>
      <w:marRight w:val="0"/>
      <w:marTop w:val="0"/>
      <w:marBottom w:val="0"/>
      <w:divBdr>
        <w:top w:val="none" w:sz="0" w:space="0" w:color="auto"/>
        <w:left w:val="none" w:sz="0" w:space="0" w:color="auto"/>
        <w:bottom w:val="none" w:sz="0" w:space="0" w:color="auto"/>
        <w:right w:val="none" w:sz="0" w:space="0" w:color="auto"/>
      </w:divBdr>
    </w:div>
    <w:div w:id="1585411360">
      <w:bodyDiv w:val="1"/>
      <w:marLeft w:val="0"/>
      <w:marRight w:val="0"/>
      <w:marTop w:val="0"/>
      <w:marBottom w:val="0"/>
      <w:divBdr>
        <w:top w:val="none" w:sz="0" w:space="0" w:color="auto"/>
        <w:left w:val="none" w:sz="0" w:space="0" w:color="auto"/>
        <w:bottom w:val="none" w:sz="0" w:space="0" w:color="auto"/>
        <w:right w:val="none" w:sz="0" w:space="0" w:color="auto"/>
      </w:divBdr>
    </w:div>
    <w:div w:id="1589730843">
      <w:bodyDiv w:val="1"/>
      <w:marLeft w:val="0"/>
      <w:marRight w:val="0"/>
      <w:marTop w:val="0"/>
      <w:marBottom w:val="0"/>
      <w:divBdr>
        <w:top w:val="none" w:sz="0" w:space="0" w:color="auto"/>
        <w:left w:val="none" w:sz="0" w:space="0" w:color="auto"/>
        <w:bottom w:val="none" w:sz="0" w:space="0" w:color="auto"/>
        <w:right w:val="none" w:sz="0" w:space="0" w:color="auto"/>
      </w:divBdr>
    </w:div>
    <w:div w:id="1590507968">
      <w:bodyDiv w:val="1"/>
      <w:marLeft w:val="0"/>
      <w:marRight w:val="0"/>
      <w:marTop w:val="0"/>
      <w:marBottom w:val="0"/>
      <w:divBdr>
        <w:top w:val="none" w:sz="0" w:space="0" w:color="auto"/>
        <w:left w:val="none" w:sz="0" w:space="0" w:color="auto"/>
        <w:bottom w:val="none" w:sz="0" w:space="0" w:color="auto"/>
        <w:right w:val="none" w:sz="0" w:space="0" w:color="auto"/>
      </w:divBdr>
      <w:divsChild>
        <w:div w:id="487064115">
          <w:marLeft w:val="0"/>
          <w:marRight w:val="0"/>
          <w:marTop w:val="0"/>
          <w:marBottom w:val="0"/>
          <w:divBdr>
            <w:top w:val="none" w:sz="0" w:space="0" w:color="auto"/>
            <w:left w:val="none" w:sz="0" w:space="0" w:color="auto"/>
            <w:bottom w:val="none" w:sz="0" w:space="0" w:color="auto"/>
            <w:right w:val="none" w:sz="0" w:space="0" w:color="auto"/>
          </w:divBdr>
          <w:divsChild>
            <w:div w:id="1738698423">
              <w:marLeft w:val="0"/>
              <w:marRight w:val="0"/>
              <w:marTop w:val="0"/>
              <w:marBottom w:val="0"/>
              <w:divBdr>
                <w:top w:val="none" w:sz="0" w:space="0" w:color="auto"/>
                <w:left w:val="none" w:sz="0" w:space="0" w:color="auto"/>
                <w:bottom w:val="none" w:sz="0" w:space="0" w:color="auto"/>
                <w:right w:val="none" w:sz="0" w:space="0" w:color="auto"/>
              </w:divBdr>
            </w:div>
            <w:div w:id="1885822823">
              <w:marLeft w:val="0"/>
              <w:marRight w:val="0"/>
              <w:marTop w:val="0"/>
              <w:marBottom w:val="0"/>
              <w:divBdr>
                <w:top w:val="none" w:sz="0" w:space="0" w:color="auto"/>
                <w:left w:val="none" w:sz="0" w:space="0" w:color="auto"/>
                <w:bottom w:val="none" w:sz="0" w:space="0" w:color="auto"/>
                <w:right w:val="none" w:sz="0" w:space="0" w:color="auto"/>
              </w:divBdr>
              <w:divsChild>
                <w:div w:id="474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0336373">
      <w:bodyDiv w:val="1"/>
      <w:marLeft w:val="0"/>
      <w:marRight w:val="0"/>
      <w:marTop w:val="0"/>
      <w:marBottom w:val="0"/>
      <w:divBdr>
        <w:top w:val="none" w:sz="0" w:space="0" w:color="auto"/>
        <w:left w:val="none" w:sz="0" w:space="0" w:color="auto"/>
        <w:bottom w:val="none" w:sz="0" w:space="0" w:color="auto"/>
        <w:right w:val="none" w:sz="0" w:space="0" w:color="auto"/>
      </w:divBdr>
      <w:divsChild>
        <w:div w:id="339746907">
          <w:marLeft w:val="0"/>
          <w:marRight w:val="0"/>
          <w:marTop w:val="0"/>
          <w:marBottom w:val="0"/>
          <w:divBdr>
            <w:top w:val="none" w:sz="0" w:space="0" w:color="auto"/>
            <w:left w:val="none" w:sz="0" w:space="0" w:color="auto"/>
            <w:bottom w:val="none" w:sz="0" w:space="0" w:color="auto"/>
            <w:right w:val="none" w:sz="0" w:space="0" w:color="auto"/>
          </w:divBdr>
        </w:div>
      </w:divsChild>
    </w:div>
    <w:div w:id="1603100365">
      <w:bodyDiv w:val="1"/>
      <w:marLeft w:val="0"/>
      <w:marRight w:val="0"/>
      <w:marTop w:val="0"/>
      <w:marBottom w:val="0"/>
      <w:divBdr>
        <w:top w:val="none" w:sz="0" w:space="0" w:color="auto"/>
        <w:left w:val="none" w:sz="0" w:space="0" w:color="auto"/>
        <w:bottom w:val="none" w:sz="0" w:space="0" w:color="auto"/>
        <w:right w:val="none" w:sz="0" w:space="0" w:color="auto"/>
      </w:divBdr>
      <w:divsChild>
        <w:div w:id="535121347">
          <w:marLeft w:val="300"/>
          <w:marRight w:val="300"/>
          <w:marTop w:val="0"/>
          <w:marBottom w:val="0"/>
          <w:divBdr>
            <w:top w:val="none" w:sz="0" w:space="0" w:color="auto"/>
            <w:left w:val="none" w:sz="0" w:space="0" w:color="auto"/>
            <w:bottom w:val="none" w:sz="0" w:space="0" w:color="auto"/>
            <w:right w:val="none" w:sz="0" w:space="0" w:color="auto"/>
          </w:divBdr>
          <w:divsChild>
            <w:div w:id="1219629658">
              <w:marLeft w:val="0"/>
              <w:marRight w:val="0"/>
              <w:marTop w:val="0"/>
              <w:marBottom w:val="150"/>
              <w:divBdr>
                <w:top w:val="none" w:sz="0" w:space="0" w:color="auto"/>
                <w:left w:val="none" w:sz="0" w:space="0" w:color="auto"/>
                <w:bottom w:val="none" w:sz="0" w:space="0" w:color="auto"/>
                <w:right w:val="none" w:sz="0" w:space="0" w:color="auto"/>
              </w:divBdr>
              <w:divsChild>
                <w:div w:id="1730834685">
                  <w:marLeft w:val="0"/>
                  <w:marRight w:val="0"/>
                  <w:marTop w:val="0"/>
                  <w:marBottom w:val="0"/>
                  <w:divBdr>
                    <w:top w:val="none" w:sz="0" w:space="0" w:color="auto"/>
                    <w:left w:val="none" w:sz="0" w:space="0" w:color="auto"/>
                    <w:bottom w:val="none" w:sz="0" w:space="0" w:color="auto"/>
                    <w:right w:val="none" w:sz="0" w:space="0" w:color="auto"/>
                  </w:divBdr>
                  <w:divsChild>
                    <w:div w:id="387386361">
                      <w:marLeft w:val="0"/>
                      <w:marRight w:val="0"/>
                      <w:marTop w:val="0"/>
                      <w:marBottom w:val="0"/>
                      <w:divBdr>
                        <w:top w:val="none" w:sz="0" w:space="0" w:color="auto"/>
                        <w:left w:val="none" w:sz="0" w:space="0" w:color="auto"/>
                        <w:bottom w:val="none" w:sz="0" w:space="0" w:color="auto"/>
                        <w:right w:val="none" w:sz="0" w:space="0" w:color="auto"/>
                      </w:divBdr>
                      <w:divsChild>
                        <w:div w:id="904530902">
                          <w:marLeft w:val="0"/>
                          <w:marRight w:val="0"/>
                          <w:marTop w:val="0"/>
                          <w:marBottom w:val="0"/>
                          <w:divBdr>
                            <w:top w:val="none" w:sz="0" w:space="0" w:color="auto"/>
                            <w:left w:val="none" w:sz="0" w:space="0" w:color="auto"/>
                            <w:bottom w:val="none" w:sz="0" w:space="0" w:color="auto"/>
                            <w:right w:val="none" w:sz="0" w:space="0" w:color="auto"/>
                          </w:divBdr>
                          <w:divsChild>
                            <w:div w:id="3343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82424">
      <w:bodyDiv w:val="1"/>
      <w:marLeft w:val="0"/>
      <w:marRight w:val="0"/>
      <w:marTop w:val="0"/>
      <w:marBottom w:val="0"/>
      <w:divBdr>
        <w:top w:val="none" w:sz="0" w:space="0" w:color="auto"/>
        <w:left w:val="none" w:sz="0" w:space="0" w:color="auto"/>
        <w:bottom w:val="none" w:sz="0" w:space="0" w:color="auto"/>
        <w:right w:val="none" w:sz="0" w:space="0" w:color="auto"/>
      </w:divBdr>
      <w:divsChild>
        <w:div w:id="1319577065">
          <w:marLeft w:val="0"/>
          <w:marRight w:val="0"/>
          <w:marTop w:val="0"/>
          <w:marBottom w:val="0"/>
          <w:divBdr>
            <w:top w:val="none" w:sz="0" w:space="0" w:color="auto"/>
            <w:left w:val="none" w:sz="0" w:space="0" w:color="auto"/>
            <w:bottom w:val="none" w:sz="0" w:space="0" w:color="auto"/>
            <w:right w:val="none" w:sz="0" w:space="0" w:color="auto"/>
          </w:divBdr>
          <w:divsChild>
            <w:div w:id="5985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4845">
      <w:bodyDiv w:val="1"/>
      <w:marLeft w:val="0"/>
      <w:marRight w:val="0"/>
      <w:marTop w:val="0"/>
      <w:marBottom w:val="0"/>
      <w:divBdr>
        <w:top w:val="none" w:sz="0" w:space="0" w:color="auto"/>
        <w:left w:val="none" w:sz="0" w:space="0" w:color="auto"/>
        <w:bottom w:val="none" w:sz="0" w:space="0" w:color="auto"/>
        <w:right w:val="none" w:sz="0" w:space="0" w:color="auto"/>
      </w:divBdr>
      <w:divsChild>
        <w:div w:id="942997987">
          <w:marLeft w:val="250"/>
          <w:marRight w:val="250"/>
          <w:marTop w:val="0"/>
          <w:marBottom w:val="0"/>
          <w:divBdr>
            <w:top w:val="none" w:sz="0" w:space="0" w:color="auto"/>
            <w:left w:val="none" w:sz="0" w:space="0" w:color="auto"/>
            <w:bottom w:val="none" w:sz="0" w:space="0" w:color="auto"/>
            <w:right w:val="none" w:sz="0" w:space="0" w:color="auto"/>
          </w:divBdr>
          <w:divsChild>
            <w:div w:id="869878267">
              <w:marLeft w:val="0"/>
              <w:marRight w:val="0"/>
              <w:marTop w:val="0"/>
              <w:marBottom w:val="125"/>
              <w:divBdr>
                <w:top w:val="none" w:sz="0" w:space="0" w:color="auto"/>
                <w:left w:val="none" w:sz="0" w:space="0" w:color="auto"/>
                <w:bottom w:val="none" w:sz="0" w:space="0" w:color="auto"/>
                <w:right w:val="none" w:sz="0" w:space="0" w:color="auto"/>
              </w:divBdr>
              <w:divsChild>
                <w:div w:id="1320384221">
                  <w:marLeft w:val="0"/>
                  <w:marRight w:val="0"/>
                  <w:marTop w:val="0"/>
                  <w:marBottom w:val="0"/>
                  <w:divBdr>
                    <w:top w:val="none" w:sz="0" w:space="0" w:color="auto"/>
                    <w:left w:val="none" w:sz="0" w:space="0" w:color="auto"/>
                    <w:bottom w:val="none" w:sz="0" w:space="0" w:color="auto"/>
                    <w:right w:val="none" w:sz="0" w:space="0" w:color="auto"/>
                  </w:divBdr>
                  <w:divsChild>
                    <w:div w:id="345988351">
                      <w:marLeft w:val="0"/>
                      <w:marRight w:val="0"/>
                      <w:marTop w:val="0"/>
                      <w:marBottom w:val="0"/>
                      <w:divBdr>
                        <w:top w:val="none" w:sz="0" w:space="0" w:color="auto"/>
                        <w:left w:val="none" w:sz="0" w:space="0" w:color="auto"/>
                        <w:bottom w:val="none" w:sz="0" w:space="0" w:color="auto"/>
                        <w:right w:val="none" w:sz="0" w:space="0" w:color="auto"/>
                      </w:divBdr>
                      <w:divsChild>
                        <w:div w:id="1433932652">
                          <w:marLeft w:val="0"/>
                          <w:marRight w:val="0"/>
                          <w:marTop w:val="0"/>
                          <w:marBottom w:val="0"/>
                          <w:divBdr>
                            <w:top w:val="none" w:sz="0" w:space="0" w:color="auto"/>
                            <w:left w:val="none" w:sz="0" w:space="0" w:color="auto"/>
                            <w:bottom w:val="none" w:sz="0" w:space="0" w:color="auto"/>
                            <w:right w:val="none" w:sz="0" w:space="0" w:color="auto"/>
                          </w:divBdr>
                          <w:divsChild>
                            <w:div w:id="942299054">
                              <w:marLeft w:val="0"/>
                              <w:marRight w:val="0"/>
                              <w:marTop w:val="0"/>
                              <w:marBottom w:val="0"/>
                              <w:divBdr>
                                <w:top w:val="none" w:sz="0" w:space="0" w:color="auto"/>
                                <w:left w:val="none" w:sz="0" w:space="0" w:color="auto"/>
                                <w:bottom w:val="none" w:sz="0" w:space="0" w:color="auto"/>
                                <w:right w:val="none" w:sz="0" w:space="0" w:color="auto"/>
                              </w:divBdr>
                              <w:divsChild>
                                <w:div w:id="1452044846">
                                  <w:marLeft w:val="0"/>
                                  <w:marRight w:val="0"/>
                                  <w:marTop w:val="0"/>
                                  <w:marBottom w:val="0"/>
                                  <w:divBdr>
                                    <w:top w:val="none" w:sz="0" w:space="0" w:color="auto"/>
                                    <w:left w:val="none" w:sz="0" w:space="0" w:color="auto"/>
                                    <w:bottom w:val="none" w:sz="0" w:space="0" w:color="auto"/>
                                    <w:right w:val="none" w:sz="0" w:space="0" w:color="auto"/>
                                  </w:divBdr>
                                </w:div>
                                <w:div w:id="1963537250">
                                  <w:marLeft w:val="0"/>
                                  <w:marRight w:val="0"/>
                                  <w:marTop w:val="0"/>
                                  <w:marBottom w:val="0"/>
                                  <w:divBdr>
                                    <w:top w:val="none" w:sz="0" w:space="0" w:color="auto"/>
                                    <w:left w:val="none" w:sz="0" w:space="0" w:color="auto"/>
                                    <w:bottom w:val="none" w:sz="0" w:space="0" w:color="auto"/>
                                    <w:right w:val="none" w:sz="0" w:space="0" w:color="auto"/>
                                  </w:divBdr>
                                </w:div>
                                <w:div w:id="1030837751">
                                  <w:marLeft w:val="0"/>
                                  <w:marRight w:val="0"/>
                                  <w:marTop w:val="0"/>
                                  <w:marBottom w:val="0"/>
                                  <w:divBdr>
                                    <w:top w:val="none" w:sz="0" w:space="0" w:color="auto"/>
                                    <w:left w:val="none" w:sz="0" w:space="0" w:color="auto"/>
                                    <w:bottom w:val="none" w:sz="0" w:space="0" w:color="auto"/>
                                    <w:right w:val="none" w:sz="0" w:space="0" w:color="auto"/>
                                  </w:divBdr>
                                </w:div>
                                <w:div w:id="2043435943">
                                  <w:marLeft w:val="0"/>
                                  <w:marRight w:val="0"/>
                                  <w:marTop w:val="0"/>
                                  <w:marBottom w:val="0"/>
                                  <w:divBdr>
                                    <w:top w:val="none" w:sz="0" w:space="0" w:color="auto"/>
                                    <w:left w:val="none" w:sz="0" w:space="0" w:color="auto"/>
                                    <w:bottom w:val="none" w:sz="0" w:space="0" w:color="auto"/>
                                    <w:right w:val="none" w:sz="0" w:space="0" w:color="auto"/>
                                  </w:divBdr>
                                </w:div>
                                <w:div w:id="1139767682">
                                  <w:marLeft w:val="0"/>
                                  <w:marRight w:val="0"/>
                                  <w:marTop w:val="0"/>
                                  <w:marBottom w:val="0"/>
                                  <w:divBdr>
                                    <w:top w:val="none" w:sz="0" w:space="0" w:color="auto"/>
                                    <w:left w:val="none" w:sz="0" w:space="0" w:color="auto"/>
                                    <w:bottom w:val="none" w:sz="0" w:space="0" w:color="auto"/>
                                    <w:right w:val="none" w:sz="0" w:space="0" w:color="auto"/>
                                  </w:divBdr>
                                </w:div>
                                <w:div w:id="1405644722">
                                  <w:marLeft w:val="0"/>
                                  <w:marRight w:val="0"/>
                                  <w:marTop w:val="0"/>
                                  <w:marBottom w:val="0"/>
                                  <w:divBdr>
                                    <w:top w:val="none" w:sz="0" w:space="0" w:color="auto"/>
                                    <w:left w:val="none" w:sz="0" w:space="0" w:color="auto"/>
                                    <w:bottom w:val="none" w:sz="0" w:space="0" w:color="auto"/>
                                    <w:right w:val="none" w:sz="0" w:space="0" w:color="auto"/>
                                  </w:divBdr>
                                  <w:divsChild>
                                    <w:div w:id="178856816">
                                      <w:marLeft w:val="0"/>
                                      <w:marRight w:val="0"/>
                                      <w:marTop w:val="0"/>
                                      <w:marBottom w:val="0"/>
                                      <w:divBdr>
                                        <w:top w:val="none" w:sz="0" w:space="0" w:color="auto"/>
                                        <w:left w:val="none" w:sz="0" w:space="0" w:color="auto"/>
                                        <w:bottom w:val="none" w:sz="0" w:space="0" w:color="auto"/>
                                        <w:right w:val="none" w:sz="0" w:space="0" w:color="auto"/>
                                      </w:divBdr>
                                    </w:div>
                                    <w:div w:id="587541698">
                                      <w:marLeft w:val="0"/>
                                      <w:marRight w:val="0"/>
                                      <w:marTop w:val="0"/>
                                      <w:marBottom w:val="0"/>
                                      <w:divBdr>
                                        <w:top w:val="none" w:sz="0" w:space="0" w:color="auto"/>
                                        <w:left w:val="none" w:sz="0" w:space="0" w:color="auto"/>
                                        <w:bottom w:val="none" w:sz="0" w:space="0" w:color="auto"/>
                                        <w:right w:val="none" w:sz="0" w:space="0" w:color="auto"/>
                                      </w:divBdr>
                                    </w:div>
                                    <w:div w:id="8048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304779">
      <w:bodyDiv w:val="1"/>
      <w:marLeft w:val="0"/>
      <w:marRight w:val="0"/>
      <w:marTop w:val="0"/>
      <w:marBottom w:val="0"/>
      <w:divBdr>
        <w:top w:val="none" w:sz="0" w:space="0" w:color="auto"/>
        <w:left w:val="none" w:sz="0" w:space="0" w:color="auto"/>
        <w:bottom w:val="none" w:sz="0" w:space="0" w:color="auto"/>
        <w:right w:val="none" w:sz="0" w:space="0" w:color="auto"/>
      </w:divBdr>
      <w:divsChild>
        <w:div w:id="459612835">
          <w:marLeft w:val="272"/>
          <w:marRight w:val="272"/>
          <w:marTop w:val="0"/>
          <w:marBottom w:val="0"/>
          <w:divBdr>
            <w:top w:val="none" w:sz="0" w:space="0" w:color="auto"/>
            <w:left w:val="none" w:sz="0" w:space="0" w:color="auto"/>
            <w:bottom w:val="none" w:sz="0" w:space="0" w:color="auto"/>
            <w:right w:val="none" w:sz="0" w:space="0" w:color="auto"/>
          </w:divBdr>
          <w:divsChild>
            <w:div w:id="706837970">
              <w:marLeft w:val="0"/>
              <w:marRight w:val="0"/>
              <w:marTop w:val="0"/>
              <w:marBottom w:val="136"/>
              <w:divBdr>
                <w:top w:val="none" w:sz="0" w:space="0" w:color="auto"/>
                <w:left w:val="none" w:sz="0" w:space="0" w:color="auto"/>
                <w:bottom w:val="none" w:sz="0" w:space="0" w:color="auto"/>
                <w:right w:val="none" w:sz="0" w:space="0" w:color="auto"/>
              </w:divBdr>
              <w:divsChild>
                <w:div w:id="359207184">
                  <w:marLeft w:val="0"/>
                  <w:marRight w:val="0"/>
                  <w:marTop w:val="0"/>
                  <w:marBottom w:val="0"/>
                  <w:divBdr>
                    <w:top w:val="none" w:sz="0" w:space="0" w:color="auto"/>
                    <w:left w:val="none" w:sz="0" w:space="0" w:color="auto"/>
                    <w:bottom w:val="none" w:sz="0" w:space="0" w:color="auto"/>
                    <w:right w:val="none" w:sz="0" w:space="0" w:color="auto"/>
                  </w:divBdr>
                  <w:divsChild>
                    <w:div w:id="1761028847">
                      <w:marLeft w:val="0"/>
                      <w:marRight w:val="0"/>
                      <w:marTop w:val="0"/>
                      <w:marBottom w:val="0"/>
                      <w:divBdr>
                        <w:top w:val="none" w:sz="0" w:space="0" w:color="auto"/>
                        <w:left w:val="none" w:sz="0" w:space="0" w:color="auto"/>
                        <w:bottom w:val="none" w:sz="0" w:space="0" w:color="auto"/>
                        <w:right w:val="none" w:sz="0" w:space="0" w:color="auto"/>
                      </w:divBdr>
                      <w:divsChild>
                        <w:div w:id="965044131">
                          <w:marLeft w:val="0"/>
                          <w:marRight w:val="0"/>
                          <w:marTop w:val="0"/>
                          <w:marBottom w:val="0"/>
                          <w:divBdr>
                            <w:top w:val="none" w:sz="0" w:space="0" w:color="auto"/>
                            <w:left w:val="none" w:sz="0" w:space="0" w:color="auto"/>
                            <w:bottom w:val="none" w:sz="0" w:space="0" w:color="auto"/>
                            <w:right w:val="none" w:sz="0" w:space="0" w:color="auto"/>
                          </w:divBdr>
                        </w:div>
                        <w:div w:id="1131746274">
                          <w:marLeft w:val="0"/>
                          <w:marRight w:val="0"/>
                          <w:marTop w:val="0"/>
                          <w:marBottom w:val="0"/>
                          <w:divBdr>
                            <w:top w:val="none" w:sz="0" w:space="0" w:color="auto"/>
                            <w:left w:val="none" w:sz="0" w:space="0" w:color="auto"/>
                            <w:bottom w:val="none" w:sz="0" w:space="0" w:color="auto"/>
                            <w:right w:val="none" w:sz="0" w:space="0" w:color="auto"/>
                          </w:divBdr>
                        </w:div>
                        <w:div w:id="1236427588">
                          <w:marLeft w:val="0"/>
                          <w:marRight w:val="0"/>
                          <w:marTop w:val="0"/>
                          <w:marBottom w:val="0"/>
                          <w:divBdr>
                            <w:top w:val="none" w:sz="0" w:space="0" w:color="auto"/>
                            <w:left w:val="none" w:sz="0" w:space="0" w:color="auto"/>
                            <w:bottom w:val="none" w:sz="0" w:space="0" w:color="auto"/>
                            <w:right w:val="none" w:sz="0" w:space="0" w:color="auto"/>
                          </w:divBdr>
                        </w:div>
                        <w:div w:id="1400246468">
                          <w:marLeft w:val="0"/>
                          <w:marRight w:val="0"/>
                          <w:marTop w:val="0"/>
                          <w:marBottom w:val="0"/>
                          <w:divBdr>
                            <w:top w:val="none" w:sz="0" w:space="0" w:color="auto"/>
                            <w:left w:val="none" w:sz="0" w:space="0" w:color="auto"/>
                            <w:bottom w:val="none" w:sz="0" w:space="0" w:color="auto"/>
                            <w:right w:val="none" w:sz="0" w:space="0" w:color="auto"/>
                          </w:divBdr>
                        </w:div>
                        <w:div w:id="21236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938243">
      <w:bodyDiv w:val="1"/>
      <w:marLeft w:val="0"/>
      <w:marRight w:val="0"/>
      <w:marTop w:val="0"/>
      <w:marBottom w:val="0"/>
      <w:divBdr>
        <w:top w:val="none" w:sz="0" w:space="0" w:color="auto"/>
        <w:left w:val="none" w:sz="0" w:space="0" w:color="auto"/>
        <w:bottom w:val="none" w:sz="0" w:space="0" w:color="auto"/>
        <w:right w:val="none" w:sz="0" w:space="0" w:color="auto"/>
      </w:divBdr>
      <w:divsChild>
        <w:div w:id="2127386399">
          <w:marLeft w:val="0"/>
          <w:marRight w:val="0"/>
          <w:marTop w:val="0"/>
          <w:marBottom w:val="0"/>
          <w:divBdr>
            <w:top w:val="none" w:sz="0" w:space="0" w:color="auto"/>
            <w:left w:val="none" w:sz="0" w:space="0" w:color="auto"/>
            <w:bottom w:val="none" w:sz="0" w:space="0" w:color="auto"/>
            <w:right w:val="none" w:sz="0" w:space="0" w:color="auto"/>
          </w:divBdr>
          <w:divsChild>
            <w:div w:id="5459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3091">
      <w:bodyDiv w:val="1"/>
      <w:marLeft w:val="0"/>
      <w:marRight w:val="0"/>
      <w:marTop w:val="0"/>
      <w:marBottom w:val="0"/>
      <w:divBdr>
        <w:top w:val="none" w:sz="0" w:space="0" w:color="auto"/>
        <w:left w:val="none" w:sz="0" w:space="0" w:color="auto"/>
        <w:bottom w:val="none" w:sz="0" w:space="0" w:color="auto"/>
        <w:right w:val="none" w:sz="0" w:space="0" w:color="auto"/>
      </w:divBdr>
      <w:divsChild>
        <w:div w:id="1301577229">
          <w:marLeft w:val="300"/>
          <w:marRight w:val="300"/>
          <w:marTop w:val="0"/>
          <w:marBottom w:val="0"/>
          <w:divBdr>
            <w:top w:val="none" w:sz="0" w:space="0" w:color="auto"/>
            <w:left w:val="none" w:sz="0" w:space="0" w:color="auto"/>
            <w:bottom w:val="none" w:sz="0" w:space="0" w:color="auto"/>
            <w:right w:val="none" w:sz="0" w:space="0" w:color="auto"/>
          </w:divBdr>
          <w:divsChild>
            <w:div w:id="794830112">
              <w:marLeft w:val="0"/>
              <w:marRight w:val="0"/>
              <w:marTop w:val="0"/>
              <w:marBottom w:val="150"/>
              <w:divBdr>
                <w:top w:val="none" w:sz="0" w:space="0" w:color="auto"/>
                <w:left w:val="none" w:sz="0" w:space="0" w:color="auto"/>
                <w:bottom w:val="none" w:sz="0" w:space="0" w:color="auto"/>
                <w:right w:val="none" w:sz="0" w:space="0" w:color="auto"/>
              </w:divBdr>
              <w:divsChild>
                <w:div w:id="1537546396">
                  <w:marLeft w:val="0"/>
                  <w:marRight w:val="0"/>
                  <w:marTop w:val="0"/>
                  <w:marBottom w:val="0"/>
                  <w:divBdr>
                    <w:top w:val="none" w:sz="0" w:space="0" w:color="auto"/>
                    <w:left w:val="none" w:sz="0" w:space="0" w:color="auto"/>
                    <w:bottom w:val="none" w:sz="0" w:space="0" w:color="auto"/>
                    <w:right w:val="none" w:sz="0" w:space="0" w:color="auto"/>
                  </w:divBdr>
                  <w:divsChild>
                    <w:div w:id="1011371810">
                      <w:marLeft w:val="0"/>
                      <w:marRight w:val="0"/>
                      <w:marTop w:val="0"/>
                      <w:marBottom w:val="0"/>
                      <w:divBdr>
                        <w:top w:val="none" w:sz="0" w:space="0" w:color="auto"/>
                        <w:left w:val="none" w:sz="0" w:space="0" w:color="auto"/>
                        <w:bottom w:val="none" w:sz="0" w:space="0" w:color="auto"/>
                        <w:right w:val="none" w:sz="0" w:space="0" w:color="auto"/>
                      </w:divBdr>
                      <w:divsChild>
                        <w:div w:id="1941260241">
                          <w:marLeft w:val="0"/>
                          <w:marRight w:val="0"/>
                          <w:marTop w:val="0"/>
                          <w:marBottom w:val="0"/>
                          <w:divBdr>
                            <w:top w:val="none" w:sz="0" w:space="0" w:color="auto"/>
                            <w:left w:val="none" w:sz="0" w:space="0" w:color="auto"/>
                            <w:bottom w:val="none" w:sz="0" w:space="0" w:color="auto"/>
                            <w:right w:val="none" w:sz="0" w:space="0" w:color="auto"/>
                          </w:divBdr>
                          <w:divsChild>
                            <w:div w:id="834879952">
                              <w:marLeft w:val="0"/>
                              <w:marRight w:val="0"/>
                              <w:marTop w:val="0"/>
                              <w:marBottom w:val="0"/>
                              <w:divBdr>
                                <w:top w:val="none" w:sz="0" w:space="0" w:color="auto"/>
                                <w:left w:val="none" w:sz="0" w:space="0" w:color="auto"/>
                                <w:bottom w:val="none" w:sz="0" w:space="0" w:color="auto"/>
                                <w:right w:val="none" w:sz="0" w:space="0" w:color="auto"/>
                              </w:divBdr>
                              <w:divsChild>
                                <w:div w:id="1583025836">
                                  <w:marLeft w:val="0"/>
                                  <w:marRight w:val="0"/>
                                  <w:marTop w:val="0"/>
                                  <w:marBottom w:val="0"/>
                                  <w:divBdr>
                                    <w:top w:val="none" w:sz="0" w:space="0" w:color="auto"/>
                                    <w:left w:val="none" w:sz="0" w:space="0" w:color="auto"/>
                                    <w:bottom w:val="none" w:sz="0" w:space="0" w:color="auto"/>
                                    <w:right w:val="none" w:sz="0" w:space="0" w:color="auto"/>
                                  </w:divBdr>
                                  <w:divsChild>
                                    <w:div w:id="1642536781">
                                      <w:marLeft w:val="0"/>
                                      <w:marRight w:val="0"/>
                                      <w:marTop w:val="0"/>
                                      <w:marBottom w:val="0"/>
                                      <w:divBdr>
                                        <w:top w:val="none" w:sz="0" w:space="0" w:color="auto"/>
                                        <w:left w:val="none" w:sz="0" w:space="0" w:color="auto"/>
                                        <w:bottom w:val="none" w:sz="0" w:space="0" w:color="auto"/>
                                        <w:right w:val="none" w:sz="0" w:space="0" w:color="auto"/>
                                      </w:divBdr>
                                    </w:div>
                                    <w:div w:id="1358310070">
                                      <w:marLeft w:val="0"/>
                                      <w:marRight w:val="0"/>
                                      <w:marTop w:val="0"/>
                                      <w:marBottom w:val="0"/>
                                      <w:divBdr>
                                        <w:top w:val="none" w:sz="0" w:space="0" w:color="auto"/>
                                        <w:left w:val="none" w:sz="0" w:space="0" w:color="auto"/>
                                        <w:bottom w:val="none" w:sz="0" w:space="0" w:color="auto"/>
                                        <w:right w:val="none" w:sz="0" w:space="0" w:color="auto"/>
                                      </w:divBdr>
                                    </w:div>
                                    <w:div w:id="571548603">
                                      <w:marLeft w:val="0"/>
                                      <w:marRight w:val="0"/>
                                      <w:marTop w:val="0"/>
                                      <w:marBottom w:val="0"/>
                                      <w:divBdr>
                                        <w:top w:val="none" w:sz="0" w:space="0" w:color="auto"/>
                                        <w:left w:val="none" w:sz="0" w:space="0" w:color="auto"/>
                                        <w:bottom w:val="none" w:sz="0" w:space="0" w:color="auto"/>
                                        <w:right w:val="none" w:sz="0" w:space="0" w:color="auto"/>
                                      </w:divBdr>
                                    </w:div>
                                  </w:divsChild>
                                </w:div>
                                <w:div w:id="1828201321">
                                  <w:marLeft w:val="0"/>
                                  <w:marRight w:val="0"/>
                                  <w:marTop w:val="0"/>
                                  <w:marBottom w:val="0"/>
                                  <w:divBdr>
                                    <w:top w:val="none" w:sz="0" w:space="0" w:color="auto"/>
                                    <w:left w:val="none" w:sz="0" w:space="0" w:color="auto"/>
                                    <w:bottom w:val="none" w:sz="0" w:space="0" w:color="auto"/>
                                    <w:right w:val="none" w:sz="0" w:space="0" w:color="auto"/>
                                  </w:divBdr>
                                </w:div>
                                <w:div w:id="1387987933">
                                  <w:marLeft w:val="0"/>
                                  <w:marRight w:val="0"/>
                                  <w:marTop w:val="0"/>
                                  <w:marBottom w:val="0"/>
                                  <w:divBdr>
                                    <w:top w:val="none" w:sz="0" w:space="0" w:color="auto"/>
                                    <w:left w:val="none" w:sz="0" w:space="0" w:color="auto"/>
                                    <w:bottom w:val="none" w:sz="0" w:space="0" w:color="auto"/>
                                    <w:right w:val="none" w:sz="0" w:space="0" w:color="auto"/>
                                  </w:divBdr>
                                  <w:divsChild>
                                    <w:div w:id="86003282">
                                      <w:marLeft w:val="0"/>
                                      <w:marRight w:val="0"/>
                                      <w:marTop w:val="0"/>
                                      <w:marBottom w:val="0"/>
                                      <w:divBdr>
                                        <w:top w:val="none" w:sz="0" w:space="0" w:color="auto"/>
                                        <w:left w:val="none" w:sz="0" w:space="0" w:color="auto"/>
                                        <w:bottom w:val="none" w:sz="0" w:space="0" w:color="auto"/>
                                        <w:right w:val="none" w:sz="0" w:space="0" w:color="auto"/>
                                      </w:divBdr>
                                    </w:div>
                                    <w:div w:id="893934500">
                                      <w:marLeft w:val="0"/>
                                      <w:marRight w:val="0"/>
                                      <w:marTop w:val="0"/>
                                      <w:marBottom w:val="0"/>
                                      <w:divBdr>
                                        <w:top w:val="none" w:sz="0" w:space="0" w:color="auto"/>
                                        <w:left w:val="none" w:sz="0" w:space="0" w:color="auto"/>
                                        <w:bottom w:val="none" w:sz="0" w:space="0" w:color="auto"/>
                                        <w:right w:val="none" w:sz="0" w:space="0" w:color="auto"/>
                                      </w:divBdr>
                                    </w:div>
                                  </w:divsChild>
                                </w:div>
                                <w:div w:id="1516921344">
                                  <w:marLeft w:val="0"/>
                                  <w:marRight w:val="0"/>
                                  <w:marTop w:val="0"/>
                                  <w:marBottom w:val="0"/>
                                  <w:divBdr>
                                    <w:top w:val="none" w:sz="0" w:space="0" w:color="auto"/>
                                    <w:left w:val="none" w:sz="0" w:space="0" w:color="auto"/>
                                    <w:bottom w:val="none" w:sz="0" w:space="0" w:color="auto"/>
                                    <w:right w:val="none" w:sz="0" w:space="0" w:color="auto"/>
                                  </w:divBdr>
                                  <w:divsChild>
                                    <w:div w:id="1133403655">
                                      <w:marLeft w:val="0"/>
                                      <w:marRight w:val="0"/>
                                      <w:marTop w:val="0"/>
                                      <w:marBottom w:val="0"/>
                                      <w:divBdr>
                                        <w:top w:val="none" w:sz="0" w:space="0" w:color="auto"/>
                                        <w:left w:val="none" w:sz="0" w:space="0" w:color="auto"/>
                                        <w:bottom w:val="none" w:sz="0" w:space="0" w:color="auto"/>
                                        <w:right w:val="none" w:sz="0" w:space="0" w:color="auto"/>
                                      </w:divBdr>
                                    </w:div>
                                    <w:div w:id="14190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746393">
      <w:bodyDiv w:val="1"/>
      <w:marLeft w:val="0"/>
      <w:marRight w:val="0"/>
      <w:marTop w:val="0"/>
      <w:marBottom w:val="0"/>
      <w:divBdr>
        <w:top w:val="none" w:sz="0" w:space="0" w:color="auto"/>
        <w:left w:val="none" w:sz="0" w:space="0" w:color="auto"/>
        <w:bottom w:val="none" w:sz="0" w:space="0" w:color="auto"/>
        <w:right w:val="none" w:sz="0" w:space="0" w:color="auto"/>
      </w:divBdr>
      <w:divsChild>
        <w:div w:id="741871930">
          <w:marLeft w:val="0"/>
          <w:marRight w:val="0"/>
          <w:marTop w:val="0"/>
          <w:marBottom w:val="0"/>
          <w:divBdr>
            <w:top w:val="none" w:sz="0" w:space="0" w:color="auto"/>
            <w:left w:val="none" w:sz="0" w:space="0" w:color="auto"/>
            <w:bottom w:val="none" w:sz="0" w:space="0" w:color="auto"/>
            <w:right w:val="none" w:sz="0" w:space="0" w:color="auto"/>
          </w:divBdr>
          <w:divsChild>
            <w:div w:id="600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993">
      <w:bodyDiv w:val="1"/>
      <w:marLeft w:val="0"/>
      <w:marRight w:val="0"/>
      <w:marTop w:val="0"/>
      <w:marBottom w:val="0"/>
      <w:divBdr>
        <w:top w:val="none" w:sz="0" w:space="0" w:color="auto"/>
        <w:left w:val="none" w:sz="0" w:space="0" w:color="auto"/>
        <w:bottom w:val="none" w:sz="0" w:space="0" w:color="auto"/>
        <w:right w:val="none" w:sz="0" w:space="0" w:color="auto"/>
      </w:divBdr>
    </w:div>
    <w:div w:id="1649431952">
      <w:bodyDiv w:val="1"/>
      <w:marLeft w:val="0"/>
      <w:marRight w:val="0"/>
      <w:marTop w:val="0"/>
      <w:marBottom w:val="0"/>
      <w:divBdr>
        <w:top w:val="none" w:sz="0" w:space="0" w:color="auto"/>
        <w:left w:val="none" w:sz="0" w:space="0" w:color="auto"/>
        <w:bottom w:val="none" w:sz="0" w:space="0" w:color="auto"/>
        <w:right w:val="none" w:sz="0" w:space="0" w:color="auto"/>
      </w:divBdr>
      <w:divsChild>
        <w:div w:id="826365650">
          <w:marLeft w:val="335"/>
          <w:marRight w:val="335"/>
          <w:marTop w:val="0"/>
          <w:marBottom w:val="0"/>
          <w:divBdr>
            <w:top w:val="none" w:sz="0" w:space="0" w:color="auto"/>
            <w:left w:val="none" w:sz="0" w:space="0" w:color="auto"/>
            <w:bottom w:val="none" w:sz="0" w:space="0" w:color="auto"/>
            <w:right w:val="none" w:sz="0" w:space="0" w:color="auto"/>
          </w:divBdr>
          <w:divsChild>
            <w:div w:id="2087022437">
              <w:marLeft w:val="0"/>
              <w:marRight w:val="0"/>
              <w:marTop w:val="0"/>
              <w:marBottom w:val="167"/>
              <w:divBdr>
                <w:top w:val="none" w:sz="0" w:space="0" w:color="auto"/>
                <w:left w:val="none" w:sz="0" w:space="0" w:color="auto"/>
                <w:bottom w:val="none" w:sz="0" w:space="0" w:color="auto"/>
                <w:right w:val="none" w:sz="0" w:space="0" w:color="auto"/>
              </w:divBdr>
              <w:divsChild>
                <w:div w:id="1047992692">
                  <w:marLeft w:val="0"/>
                  <w:marRight w:val="0"/>
                  <w:marTop w:val="0"/>
                  <w:marBottom w:val="0"/>
                  <w:divBdr>
                    <w:top w:val="none" w:sz="0" w:space="0" w:color="auto"/>
                    <w:left w:val="none" w:sz="0" w:space="0" w:color="auto"/>
                    <w:bottom w:val="none" w:sz="0" w:space="0" w:color="auto"/>
                    <w:right w:val="none" w:sz="0" w:space="0" w:color="auto"/>
                  </w:divBdr>
                  <w:divsChild>
                    <w:div w:id="583145131">
                      <w:marLeft w:val="0"/>
                      <w:marRight w:val="0"/>
                      <w:marTop w:val="0"/>
                      <w:marBottom w:val="0"/>
                      <w:divBdr>
                        <w:top w:val="none" w:sz="0" w:space="0" w:color="auto"/>
                        <w:left w:val="none" w:sz="0" w:space="0" w:color="auto"/>
                        <w:bottom w:val="none" w:sz="0" w:space="0" w:color="auto"/>
                        <w:right w:val="none" w:sz="0" w:space="0" w:color="auto"/>
                      </w:divBdr>
                      <w:divsChild>
                        <w:div w:id="116681426">
                          <w:marLeft w:val="0"/>
                          <w:marRight w:val="0"/>
                          <w:marTop w:val="0"/>
                          <w:marBottom w:val="0"/>
                          <w:divBdr>
                            <w:top w:val="none" w:sz="0" w:space="0" w:color="auto"/>
                            <w:left w:val="none" w:sz="0" w:space="0" w:color="auto"/>
                            <w:bottom w:val="none" w:sz="0" w:space="0" w:color="auto"/>
                            <w:right w:val="none" w:sz="0" w:space="0" w:color="auto"/>
                          </w:divBdr>
                          <w:divsChild>
                            <w:div w:id="422386273">
                              <w:marLeft w:val="0"/>
                              <w:marRight w:val="0"/>
                              <w:marTop w:val="0"/>
                              <w:marBottom w:val="0"/>
                              <w:divBdr>
                                <w:top w:val="none" w:sz="0" w:space="0" w:color="auto"/>
                                <w:left w:val="none" w:sz="0" w:space="0" w:color="auto"/>
                                <w:bottom w:val="none" w:sz="0" w:space="0" w:color="auto"/>
                                <w:right w:val="none" w:sz="0" w:space="0" w:color="auto"/>
                              </w:divBdr>
                            </w:div>
                            <w:div w:id="835072905">
                              <w:marLeft w:val="0"/>
                              <w:marRight w:val="0"/>
                              <w:marTop w:val="0"/>
                              <w:marBottom w:val="0"/>
                              <w:divBdr>
                                <w:top w:val="none" w:sz="0" w:space="0" w:color="auto"/>
                                <w:left w:val="none" w:sz="0" w:space="0" w:color="auto"/>
                                <w:bottom w:val="none" w:sz="0" w:space="0" w:color="auto"/>
                                <w:right w:val="none" w:sz="0" w:space="0" w:color="auto"/>
                              </w:divBdr>
                            </w:div>
                            <w:div w:id="21366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130100">
      <w:bodyDiv w:val="1"/>
      <w:marLeft w:val="0"/>
      <w:marRight w:val="0"/>
      <w:marTop w:val="0"/>
      <w:marBottom w:val="0"/>
      <w:divBdr>
        <w:top w:val="none" w:sz="0" w:space="0" w:color="auto"/>
        <w:left w:val="none" w:sz="0" w:space="0" w:color="auto"/>
        <w:bottom w:val="none" w:sz="0" w:space="0" w:color="auto"/>
        <w:right w:val="none" w:sz="0" w:space="0" w:color="auto"/>
      </w:divBdr>
    </w:div>
    <w:div w:id="1652250595">
      <w:bodyDiv w:val="1"/>
      <w:marLeft w:val="0"/>
      <w:marRight w:val="0"/>
      <w:marTop w:val="0"/>
      <w:marBottom w:val="0"/>
      <w:divBdr>
        <w:top w:val="none" w:sz="0" w:space="0" w:color="auto"/>
        <w:left w:val="none" w:sz="0" w:space="0" w:color="auto"/>
        <w:bottom w:val="none" w:sz="0" w:space="0" w:color="auto"/>
        <w:right w:val="none" w:sz="0" w:space="0" w:color="auto"/>
      </w:divBdr>
    </w:div>
    <w:div w:id="1662201015">
      <w:bodyDiv w:val="1"/>
      <w:marLeft w:val="0"/>
      <w:marRight w:val="0"/>
      <w:marTop w:val="0"/>
      <w:marBottom w:val="0"/>
      <w:divBdr>
        <w:top w:val="none" w:sz="0" w:space="0" w:color="auto"/>
        <w:left w:val="none" w:sz="0" w:space="0" w:color="auto"/>
        <w:bottom w:val="none" w:sz="0" w:space="0" w:color="auto"/>
        <w:right w:val="none" w:sz="0" w:space="0" w:color="auto"/>
      </w:divBdr>
      <w:divsChild>
        <w:div w:id="2119832480">
          <w:marLeft w:val="0"/>
          <w:marRight w:val="0"/>
          <w:marTop w:val="0"/>
          <w:marBottom w:val="0"/>
          <w:divBdr>
            <w:top w:val="none" w:sz="0" w:space="0" w:color="auto"/>
            <w:left w:val="none" w:sz="0" w:space="0" w:color="auto"/>
            <w:bottom w:val="none" w:sz="0" w:space="0" w:color="auto"/>
            <w:right w:val="none" w:sz="0" w:space="0" w:color="auto"/>
          </w:divBdr>
          <w:divsChild>
            <w:div w:id="20309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6098">
      <w:bodyDiv w:val="1"/>
      <w:marLeft w:val="0"/>
      <w:marRight w:val="0"/>
      <w:marTop w:val="0"/>
      <w:marBottom w:val="0"/>
      <w:divBdr>
        <w:top w:val="none" w:sz="0" w:space="0" w:color="auto"/>
        <w:left w:val="none" w:sz="0" w:space="0" w:color="auto"/>
        <w:bottom w:val="none" w:sz="0" w:space="0" w:color="auto"/>
        <w:right w:val="none" w:sz="0" w:space="0" w:color="auto"/>
      </w:divBdr>
      <w:divsChild>
        <w:div w:id="1506821861">
          <w:marLeft w:val="0"/>
          <w:marRight w:val="0"/>
          <w:marTop w:val="0"/>
          <w:marBottom w:val="0"/>
          <w:divBdr>
            <w:top w:val="none" w:sz="0" w:space="0" w:color="auto"/>
            <w:left w:val="none" w:sz="0" w:space="0" w:color="auto"/>
            <w:bottom w:val="none" w:sz="0" w:space="0" w:color="auto"/>
            <w:right w:val="none" w:sz="0" w:space="0" w:color="auto"/>
          </w:divBdr>
        </w:div>
      </w:divsChild>
    </w:div>
    <w:div w:id="1664967373">
      <w:bodyDiv w:val="1"/>
      <w:marLeft w:val="0"/>
      <w:marRight w:val="0"/>
      <w:marTop w:val="0"/>
      <w:marBottom w:val="0"/>
      <w:divBdr>
        <w:top w:val="none" w:sz="0" w:space="0" w:color="auto"/>
        <w:left w:val="none" w:sz="0" w:space="0" w:color="auto"/>
        <w:bottom w:val="none" w:sz="0" w:space="0" w:color="auto"/>
        <w:right w:val="none" w:sz="0" w:space="0" w:color="auto"/>
      </w:divBdr>
    </w:div>
    <w:div w:id="1672757935">
      <w:bodyDiv w:val="1"/>
      <w:marLeft w:val="0"/>
      <w:marRight w:val="0"/>
      <w:marTop w:val="0"/>
      <w:marBottom w:val="0"/>
      <w:divBdr>
        <w:top w:val="none" w:sz="0" w:space="0" w:color="auto"/>
        <w:left w:val="none" w:sz="0" w:space="0" w:color="auto"/>
        <w:bottom w:val="none" w:sz="0" w:space="0" w:color="auto"/>
        <w:right w:val="none" w:sz="0" w:space="0" w:color="auto"/>
      </w:divBdr>
      <w:divsChild>
        <w:div w:id="522747879">
          <w:marLeft w:val="0"/>
          <w:marRight w:val="0"/>
          <w:marTop w:val="0"/>
          <w:marBottom w:val="0"/>
          <w:divBdr>
            <w:top w:val="none" w:sz="0" w:space="0" w:color="auto"/>
            <w:left w:val="none" w:sz="0" w:space="0" w:color="auto"/>
            <w:bottom w:val="none" w:sz="0" w:space="0" w:color="auto"/>
            <w:right w:val="none" w:sz="0" w:space="0" w:color="auto"/>
          </w:divBdr>
          <w:divsChild>
            <w:div w:id="19040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4133">
      <w:bodyDiv w:val="1"/>
      <w:marLeft w:val="0"/>
      <w:marRight w:val="0"/>
      <w:marTop w:val="0"/>
      <w:marBottom w:val="0"/>
      <w:divBdr>
        <w:top w:val="none" w:sz="0" w:space="0" w:color="auto"/>
        <w:left w:val="none" w:sz="0" w:space="0" w:color="auto"/>
        <w:bottom w:val="none" w:sz="0" w:space="0" w:color="auto"/>
        <w:right w:val="none" w:sz="0" w:space="0" w:color="auto"/>
      </w:divBdr>
      <w:divsChild>
        <w:div w:id="773597439">
          <w:marLeft w:val="0"/>
          <w:marRight w:val="0"/>
          <w:marTop w:val="0"/>
          <w:marBottom w:val="0"/>
          <w:divBdr>
            <w:top w:val="none" w:sz="0" w:space="0" w:color="auto"/>
            <w:left w:val="none" w:sz="0" w:space="0" w:color="auto"/>
            <w:bottom w:val="none" w:sz="0" w:space="0" w:color="auto"/>
            <w:right w:val="none" w:sz="0" w:space="0" w:color="auto"/>
          </w:divBdr>
          <w:divsChild>
            <w:div w:id="7993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6806">
      <w:bodyDiv w:val="1"/>
      <w:marLeft w:val="0"/>
      <w:marRight w:val="0"/>
      <w:marTop w:val="0"/>
      <w:marBottom w:val="0"/>
      <w:divBdr>
        <w:top w:val="none" w:sz="0" w:space="0" w:color="auto"/>
        <w:left w:val="none" w:sz="0" w:space="0" w:color="auto"/>
        <w:bottom w:val="none" w:sz="0" w:space="0" w:color="auto"/>
        <w:right w:val="none" w:sz="0" w:space="0" w:color="auto"/>
      </w:divBdr>
      <w:divsChild>
        <w:div w:id="214587654">
          <w:marLeft w:val="250"/>
          <w:marRight w:val="250"/>
          <w:marTop w:val="0"/>
          <w:marBottom w:val="0"/>
          <w:divBdr>
            <w:top w:val="none" w:sz="0" w:space="0" w:color="auto"/>
            <w:left w:val="none" w:sz="0" w:space="0" w:color="auto"/>
            <w:bottom w:val="none" w:sz="0" w:space="0" w:color="auto"/>
            <w:right w:val="none" w:sz="0" w:space="0" w:color="auto"/>
          </w:divBdr>
          <w:divsChild>
            <w:div w:id="329409650">
              <w:marLeft w:val="0"/>
              <w:marRight w:val="0"/>
              <w:marTop w:val="0"/>
              <w:marBottom w:val="125"/>
              <w:divBdr>
                <w:top w:val="none" w:sz="0" w:space="0" w:color="auto"/>
                <w:left w:val="none" w:sz="0" w:space="0" w:color="auto"/>
                <w:bottom w:val="none" w:sz="0" w:space="0" w:color="auto"/>
                <w:right w:val="none" w:sz="0" w:space="0" w:color="auto"/>
              </w:divBdr>
              <w:divsChild>
                <w:div w:id="2113432921">
                  <w:marLeft w:val="0"/>
                  <w:marRight w:val="0"/>
                  <w:marTop w:val="0"/>
                  <w:marBottom w:val="0"/>
                  <w:divBdr>
                    <w:top w:val="none" w:sz="0" w:space="0" w:color="auto"/>
                    <w:left w:val="none" w:sz="0" w:space="0" w:color="auto"/>
                    <w:bottom w:val="none" w:sz="0" w:space="0" w:color="auto"/>
                    <w:right w:val="none" w:sz="0" w:space="0" w:color="auto"/>
                  </w:divBdr>
                  <w:divsChild>
                    <w:div w:id="2077967338">
                      <w:marLeft w:val="0"/>
                      <w:marRight w:val="0"/>
                      <w:marTop w:val="0"/>
                      <w:marBottom w:val="0"/>
                      <w:divBdr>
                        <w:top w:val="none" w:sz="0" w:space="0" w:color="auto"/>
                        <w:left w:val="none" w:sz="0" w:space="0" w:color="auto"/>
                        <w:bottom w:val="none" w:sz="0" w:space="0" w:color="auto"/>
                        <w:right w:val="none" w:sz="0" w:space="0" w:color="auto"/>
                      </w:divBdr>
                      <w:divsChild>
                        <w:div w:id="1914050144">
                          <w:marLeft w:val="0"/>
                          <w:marRight w:val="0"/>
                          <w:marTop w:val="0"/>
                          <w:marBottom w:val="0"/>
                          <w:divBdr>
                            <w:top w:val="none" w:sz="0" w:space="0" w:color="auto"/>
                            <w:left w:val="none" w:sz="0" w:space="0" w:color="auto"/>
                            <w:bottom w:val="none" w:sz="0" w:space="0" w:color="auto"/>
                            <w:right w:val="none" w:sz="0" w:space="0" w:color="auto"/>
                          </w:divBdr>
                          <w:divsChild>
                            <w:div w:id="166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222525">
      <w:bodyDiv w:val="1"/>
      <w:marLeft w:val="0"/>
      <w:marRight w:val="0"/>
      <w:marTop w:val="0"/>
      <w:marBottom w:val="0"/>
      <w:divBdr>
        <w:top w:val="none" w:sz="0" w:space="0" w:color="auto"/>
        <w:left w:val="none" w:sz="0" w:space="0" w:color="auto"/>
        <w:bottom w:val="none" w:sz="0" w:space="0" w:color="auto"/>
        <w:right w:val="none" w:sz="0" w:space="0" w:color="auto"/>
      </w:divBdr>
    </w:div>
    <w:div w:id="1676497385">
      <w:bodyDiv w:val="1"/>
      <w:marLeft w:val="0"/>
      <w:marRight w:val="0"/>
      <w:marTop w:val="0"/>
      <w:marBottom w:val="0"/>
      <w:divBdr>
        <w:top w:val="none" w:sz="0" w:space="0" w:color="auto"/>
        <w:left w:val="none" w:sz="0" w:space="0" w:color="auto"/>
        <w:bottom w:val="none" w:sz="0" w:space="0" w:color="auto"/>
        <w:right w:val="none" w:sz="0" w:space="0" w:color="auto"/>
      </w:divBdr>
      <w:divsChild>
        <w:div w:id="490096007">
          <w:marLeft w:val="0"/>
          <w:marRight w:val="0"/>
          <w:marTop w:val="0"/>
          <w:marBottom w:val="0"/>
          <w:divBdr>
            <w:top w:val="none" w:sz="0" w:space="0" w:color="auto"/>
            <w:left w:val="none" w:sz="0" w:space="0" w:color="auto"/>
            <w:bottom w:val="none" w:sz="0" w:space="0" w:color="auto"/>
            <w:right w:val="none" w:sz="0" w:space="0" w:color="auto"/>
          </w:divBdr>
          <w:divsChild>
            <w:div w:id="18445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5131">
      <w:bodyDiv w:val="1"/>
      <w:marLeft w:val="0"/>
      <w:marRight w:val="0"/>
      <w:marTop w:val="0"/>
      <w:marBottom w:val="0"/>
      <w:divBdr>
        <w:top w:val="none" w:sz="0" w:space="0" w:color="auto"/>
        <w:left w:val="none" w:sz="0" w:space="0" w:color="auto"/>
        <w:bottom w:val="none" w:sz="0" w:space="0" w:color="auto"/>
        <w:right w:val="none" w:sz="0" w:space="0" w:color="auto"/>
      </w:divBdr>
    </w:div>
    <w:div w:id="1689721704">
      <w:bodyDiv w:val="1"/>
      <w:marLeft w:val="0"/>
      <w:marRight w:val="0"/>
      <w:marTop w:val="0"/>
      <w:marBottom w:val="0"/>
      <w:divBdr>
        <w:top w:val="none" w:sz="0" w:space="0" w:color="auto"/>
        <w:left w:val="none" w:sz="0" w:space="0" w:color="auto"/>
        <w:bottom w:val="none" w:sz="0" w:space="0" w:color="auto"/>
        <w:right w:val="none" w:sz="0" w:space="0" w:color="auto"/>
      </w:divBdr>
    </w:div>
    <w:div w:id="1690985354">
      <w:bodyDiv w:val="1"/>
      <w:marLeft w:val="0"/>
      <w:marRight w:val="0"/>
      <w:marTop w:val="0"/>
      <w:marBottom w:val="0"/>
      <w:divBdr>
        <w:top w:val="none" w:sz="0" w:space="0" w:color="auto"/>
        <w:left w:val="none" w:sz="0" w:space="0" w:color="auto"/>
        <w:bottom w:val="none" w:sz="0" w:space="0" w:color="auto"/>
        <w:right w:val="none" w:sz="0" w:space="0" w:color="auto"/>
      </w:divBdr>
      <w:divsChild>
        <w:div w:id="933437852">
          <w:marLeft w:val="0"/>
          <w:marRight w:val="0"/>
          <w:marTop w:val="0"/>
          <w:marBottom w:val="0"/>
          <w:divBdr>
            <w:top w:val="none" w:sz="0" w:space="0" w:color="auto"/>
            <w:left w:val="none" w:sz="0" w:space="0" w:color="auto"/>
            <w:bottom w:val="none" w:sz="0" w:space="0" w:color="auto"/>
            <w:right w:val="none" w:sz="0" w:space="0" w:color="auto"/>
          </w:divBdr>
        </w:div>
      </w:divsChild>
    </w:div>
    <w:div w:id="1692220994">
      <w:bodyDiv w:val="1"/>
      <w:marLeft w:val="0"/>
      <w:marRight w:val="0"/>
      <w:marTop w:val="0"/>
      <w:marBottom w:val="0"/>
      <w:divBdr>
        <w:top w:val="none" w:sz="0" w:space="0" w:color="auto"/>
        <w:left w:val="none" w:sz="0" w:space="0" w:color="auto"/>
        <w:bottom w:val="none" w:sz="0" w:space="0" w:color="auto"/>
        <w:right w:val="none" w:sz="0" w:space="0" w:color="auto"/>
      </w:divBdr>
      <w:divsChild>
        <w:div w:id="1033119262">
          <w:marLeft w:val="335"/>
          <w:marRight w:val="335"/>
          <w:marTop w:val="0"/>
          <w:marBottom w:val="0"/>
          <w:divBdr>
            <w:top w:val="none" w:sz="0" w:space="0" w:color="auto"/>
            <w:left w:val="none" w:sz="0" w:space="0" w:color="auto"/>
            <w:bottom w:val="none" w:sz="0" w:space="0" w:color="auto"/>
            <w:right w:val="none" w:sz="0" w:space="0" w:color="auto"/>
          </w:divBdr>
          <w:divsChild>
            <w:div w:id="1649937030">
              <w:marLeft w:val="0"/>
              <w:marRight w:val="0"/>
              <w:marTop w:val="0"/>
              <w:marBottom w:val="167"/>
              <w:divBdr>
                <w:top w:val="none" w:sz="0" w:space="0" w:color="auto"/>
                <w:left w:val="none" w:sz="0" w:space="0" w:color="auto"/>
                <w:bottom w:val="none" w:sz="0" w:space="0" w:color="auto"/>
                <w:right w:val="none" w:sz="0" w:space="0" w:color="auto"/>
              </w:divBdr>
              <w:divsChild>
                <w:div w:id="46539978">
                  <w:marLeft w:val="0"/>
                  <w:marRight w:val="0"/>
                  <w:marTop w:val="0"/>
                  <w:marBottom w:val="0"/>
                  <w:divBdr>
                    <w:top w:val="none" w:sz="0" w:space="0" w:color="auto"/>
                    <w:left w:val="none" w:sz="0" w:space="0" w:color="auto"/>
                    <w:bottom w:val="none" w:sz="0" w:space="0" w:color="auto"/>
                    <w:right w:val="none" w:sz="0" w:space="0" w:color="auto"/>
                  </w:divBdr>
                  <w:divsChild>
                    <w:div w:id="411394739">
                      <w:marLeft w:val="0"/>
                      <w:marRight w:val="0"/>
                      <w:marTop w:val="0"/>
                      <w:marBottom w:val="0"/>
                      <w:divBdr>
                        <w:top w:val="none" w:sz="0" w:space="0" w:color="auto"/>
                        <w:left w:val="none" w:sz="0" w:space="0" w:color="auto"/>
                        <w:bottom w:val="none" w:sz="0" w:space="0" w:color="auto"/>
                        <w:right w:val="none" w:sz="0" w:space="0" w:color="auto"/>
                      </w:divBdr>
                      <w:divsChild>
                        <w:div w:id="1240096819">
                          <w:marLeft w:val="0"/>
                          <w:marRight w:val="0"/>
                          <w:marTop w:val="0"/>
                          <w:marBottom w:val="0"/>
                          <w:divBdr>
                            <w:top w:val="none" w:sz="0" w:space="0" w:color="auto"/>
                            <w:left w:val="none" w:sz="0" w:space="0" w:color="auto"/>
                            <w:bottom w:val="none" w:sz="0" w:space="0" w:color="auto"/>
                            <w:right w:val="none" w:sz="0" w:space="0" w:color="auto"/>
                          </w:divBdr>
                          <w:divsChild>
                            <w:div w:id="213347140">
                              <w:marLeft w:val="0"/>
                              <w:marRight w:val="0"/>
                              <w:marTop w:val="0"/>
                              <w:marBottom w:val="0"/>
                              <w:divBdr>
                                <w:top w:val="none" w:sz="0" w:space="0" w:color="auto"/>
                                <w:left w:val="none" w:sz="0" w:space="0" w:color="auto"/>
                                <w:bottom w:val="none" w:sz="0" w:space="0" w:color="auto"/>
                                <w:right w:val="none" w:sz="0" w:space="0" w:color="auto"/>
                              </w:divBdr>
                            </w:div>
                            <w:div w:id="8421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799452">
      <w:bodyDiv w:val="1"/>
      <w:marLeft w:val="0"/>
      <w:marRight w:val="0"/>
      <w:marTop w:val="0"/>
      <w:marBottom w:val="0"/>
      <w:divBdr>
        <w:top w:val="none" w:sz="0" w:space="0" w:color="auto"/>
        <w:left w:val="none" w:sz="0" w:space="0" w:color="auto"/>
        <w:bottom w:val="none" w:sz="0" w:space="0" w:color="auto"/>
        <w:right w:val="none" w:sz="0" w:space="0" w:color="auto"/>
      </w:divBdr>
      <w:divsChild>
        <w:div w:id="1681006447">
          <w:marLeft w:val="0"/>
          <w:marRight w:val="0"/>
          <w:marTop w:val="0"/>
          <w:marBottom w:val="0"/>
          <w:divBdr>
            <w:top w:val="none" w:sz="0" w:space="0" w:color="auto"/>
            <w:left w:val="none" w:sz="0" w:space="0" w:color="auto"/>
            <w:bottom w:val="none" w:sz="0" w:space="0" w:color="auto"/>
            <w:right w:val="none" w:sz="0" w:space="0" w:color="auto"/>
          </w:divBdr>
          <w:divsChild>
            <w:div w:id="14113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0218">
      <w:bodyDiv w:val="1"/>
      <w:marLeft w:val="0"/>
      <w:marRight w:val="0"/>
      <w:marTop w:val="0"/>
      <w:marBottom w:val="0"/>
      <w:divBdr>
        <w:top w:val="none" w:sz="0" w:space="0" w:color="auto"/>
        <w:left w:val="none" w:sz="0" w:space="0" w:color="auto"/>
        <w:bottom w:val="none" w:sz="0" w:space="0" w:color="auto"/>
        <w:right w:val="none" w:sz="0" w:space="0" w:color="auto"/>
      </w:divBdr>
      <w:divsChild>
        <w:div w:id="1924143709">
          <w:marLeft w:val="0"/>
          <w:marRight w:val="0"/>
          <w:marTop w:val="0"/>
          <w:marBottom w:val="0"/>
          <w:divBdr>
            <w:top w:val="none" w:sz="0" w:space="0" w:color="auto"/>
            <w:left w:val="none" w:sz="0" w:space="0" w:color="auto"/>
            <w:bottom w:val="none" w:sz="0" w:space="0" w:color="auto"/>
            <w:right w:val="none" w:sz="0" w:space="0" w:color="auto"/>
          </w:divBdr>
          <w:divsChild>
            <w:div w:id="385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2905">
      <w:bodyDiv w:val="1"/>
      <w:marLeft w:val="0"/>
      <w:marRight w:val="0"/>
      <w:marTop w:val="0"/>
      <w:marBottom w:val="0"/>
      <w:divBdr>
        <w:top w:val="none" w:sz="0" w:space="0" w:color="auto"/>
        <w:left w:val="none" w:sz="0" w:space="0" w:color="auto"/>
        <w:bottom w:val="none" w:sz="0" w:space="0" w:color="auto"/>
        <w:right w:val="none" w:sz="0" w:space="0" w:color="auto"/>
      </w:divBdr>
      <w:divsChild>
        <w:div w:id="445849862">
          <w:marLeft w:val="0"/>
          <w:marRight w:val="0"/>
          <w:marTop w:val="0"/>
          <w:marBottom w:val="0"/>
          <w:divBdr>
            <w:top w:val="none" w:sz="0" w:space="0" w:color="auto"/>
            <w:left w:val="none" w:sz="0" w:space="0" w:color="auto"/>
            <w:bottom w:val="none" w:sz="0" w:space="0" w:color="auto"/>
            <w:right w:val="none" w:sz="0" w:space="0" w:color="auto"/>
          </w:divBdr>
          <w:divsChild>
            <w:div w:id="6574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6278">
      <w:bodyDiv w:val="1"/>
      <w:marLeft w:val="0"/>
      <w:marRight w:val="0"/>
      <w:marTop w:val="0"/>
      <w:marBottom w:val="0"/>
      <w:divBdr>
        <w:top w:val="none" w:sz="0" w:space="0" w:color="auto"/>
        <w:left w:val="none" w:sz="0" w:space="0" w:color="auto"/>
        <w:bottom w:val="none" w:sz="0" w:space="0" w:color="auto"/>
        <w:right w:val="none" w:sz="0" w:space="0" w:color="auto"/>
      </w:divBdr>
      <w:divsChild>
        <w:div w:id="317736217">
          <w:marLeft w:val="0"/>
          <w:marRight w:val="0"/>
          <w:marTop w:val="0"/>
          <w:marBottom w:val="0"/>
          <w:divBdr>
            <w:top w:val="none" w:sz="0" w:space="0" w:color="auto"/>
            <w:left w:val="none" w:sz="0" w:space="0" w:color="auto"/>
            <w:bottom w:val="none" w:sz="0" w:space="0" w:color="auto"/>
            <w:right w:val="none" w:sz="0" w:space="0" w:color="auto"/>
          </w:divBdr>
          <w:divsChild>
            <w:div w:id="10531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103">
      <w:bodyDiv w:val="1"/>
      <w:marLeft w:val="0"/>
      <w:marRight w:val="0"/>
      <w:marTop w:val="0"/>
      <w:marBottom w:val="0"/>
      <w:divBdr>
        <w:top w:val="none" w:sz="0" w:space="0" w:color="auto"/>
        <w:left w:val="none" w:sz="0" w:space="0" w:color="auto"/>
        <w:bottom w:val="none" w:sz="0" w:space="0" w:color="auto"/>
        <w:right w:val="none" w:sz="0" w:space="0" w:color="auto"/>
      </w:divBdr>
      <w:divsChild>
        <w:div w:id="591940175">
          <w:marLeft w:val="272"/>
          <w:marRight w:val="272"/>
          <w:marTop w:val="0"/>
          <w:marBottom w:val="0"/>
          <w:divBdr>
            <w:top w:val="none" w:sz="0" w:space="0" w:color="auto"/>
            <w:left w:val="none" w:sz="0" w:space="0" w:color="auto"/>
            <w:bottom w:val="none" w:sz="0" w:space="0" w:color="auto"/>
            <w:right w:val="none" w:sz="0" w:space="0" w:color="auto"/>
          </w:divBdr>
          <w:divsChild>
            <w:div w:id="729423798">
              <w:marLeft w:val="0"/>
              <w:marRight w:val="0"/>
              <w:marTop w:val="0"/>
              <w:marBottom w:val="136"/>
              <w:divBdr>
                <w:top w:val="none" w:sz="0" w:space="0" w:color="auto"/>
                <w:left w:val="none" w:sz="0" w:space="0" w:color="auto"/>
                <w:bottom w:val="none" w:sz="0" w:space="0" w:color="auto"/>
                <w:right w:val="none" w:sz="0" w:space="0" w:color="auto"/>
              </w:divBdr>
              <w:divsChild>
                <w:div w:id="1752310043">
                  <w:marLeft w:val="0"/>
                  <w:marRight w:val="0"/>
                  <w:marTop w:val="0"/>
                  <w:marBottom w:val="0"/>
                  <w:divBdr>
                    <w:top w:val="none" w:sz="0" w:space="0" w:color="auto"/>
                    <w:left w:val="none" w:sz="0" w:space="0" w:color="auto"/>
                    <w:bottom w:val="none" w:sz="0" w:space="0" w:color="auto"/>
                    <w:right w:val="none" w:sz="0" w:space="0" w:color="auto"/>
                  </w:divBdr>
                  <w:divsChild>
                    <w:div w:id="2065132447">
                      <w:marLeft w:val="0"/>
                      <w:marRight w:val="0"/>
                      <w:marTop w:val="0"/>
                      <w:marBottom w:val="0"/>
                      <w:divBdr>
                        <w:top w:val="none" w:sz="0" w:space="0" w:color="auto"/>
                        <w:left w:val="none" w:sz="0" w:space="0" w:color="auto"/>
                        <w:bottom w:val="none" w:sz="0" w:space="0" w:color="auto"/>
                        <w:right w:val="none" w:sz="0" w:space="0" w:color="auto"/>
                      </w:divBdr>
                      <w:divsChild>
                        <w:div w:id="521240101">
                          <w:marLeft w:val="0"/>
                          <w:marRight w:val="0"/>
                          <w:marTop w:val="0"/>
                          <w:marBottom w:val="0"/>
                          <w:divBdr>
                            <w:top w:val="none" w:sz="0" w:space="0" w:color="auto"/>
                            <w:left w:val="none" w:sz="0" w:space="0" w:color="auto"/>
                            <w:bottom w:val="none" w:sz="0" w:space="0" w:color="auto"/>
                            <w:right w:val="none" w:sz="0" w:space="0" w:color="auto"/>
                          </w:divBdr>
                          <w:divsChild>
                            <w:div w:id="602230542">
                              <w:marLeft w:val="0"/>
                              <w:marRight w:val="0"/>
                              <w:marTop w:val="0"/>
                              <w:marBottom w:val="0"/>
                              <w:divBdr>
                                <w:top w:val="none" w:sz="0" w:space="0" w:color="auto"/>
                                <w:left w:val="none" w:sz="0" w:space="0" w:color="auto"/>
                                <w:bottom w:val="none" w:sz="0" w:space="0" w:color="auto"/>
                                <w:right w:val="none" w:sz="0" w:space="0" w:color="auto"/>
                              </w:divBdr>
                              <w:divsChild>
                                <w:div w:id="50420600">
                                  <w:marLeft w:val="0"/>
                                  <w:marRight w:val="0"/>
                                  <w:marTop w:val="0"/>
                                  <w:marBottom w:val="0"/>
                                  <w:divBdr>
                                    <w:top w:val="none" w:sz="0" w:space="0" w:color="auto"/>
                                    <w:left w:val="none" w:sz="0" w:space="0" w:color="auto"/>
                                    <w:bottom w:val="none" w:sz="0" w:space="0" w:color="auto"/>
                                    <w:right w:val="none" w:sz="0" w:space="0" w:color="auto"/>
                                  </w:divBdr>
                                </w:div>
                                <w:div w:id="978538543">
                                  <w:marLeft w:val="0"/>
                                  <w:marRight w:val="0"/>
                                  <w:marTop w:val="0"/>
                                  <w:marBottom w:val="0"/>
                                  <w:divBdr>
                                    <w:top w:val="none" w:sz="0" w:space="0" w:color="auto"/>
                                    <w:left w:val="none" w:sz="0" w:space="0" w:color="auto"/>
                                    <w:bottom w:val="none" w:sz="0" w:space="0" w:color="auto"/>
                                    <w:right w:val="none" w:sz="0" w:space="0" w:color="auto"/>
                                  </w:divBdr>
                                </w:div>
                                <w:div w:id="1195314347">
                                  <w:marLeft w:val="0"/>
                                  <w:marRight w:val="0"/>
                                  <w:marTop w:val="0"/>
                                  <w:marBottom w:val="0"/>
                                  <w:divBdr>
                                    <w:top w:val="none" w:sz="0" w:space="0" w:color="auto"/>
                                    <w:left w:val="none" w:sz="0" w:space="0" w:color="auto"/>
                                    <w:bottom w:val="none" w:sz="0" w:space="0" w:color="auto"/>
                                    <w:right w:val="none" w:sz="0" w:space="0" w:color="auto"/>
                                  </w:divBdr>
                                </w:div>
                                <w:div w:id="1223256386">
                                  <w:marLeft w:val="0"/>
                                  <w:marRight w:val="0"/>
                                  <w:marTop w:val="0"/>
                                  <w:marBottom w:val="0"/>
                                  <w:divBdr>
                                    <w:top w:val="none" w:sz="0" w:space="0" w:color="auto"/>
                                    <w:left w:val="none" w:sz="0" w:space="0" w:color="auto"/>
                                    <w:bottom w:val="none" w:sz="0" w:space="0" w:color="auto"/>
                                    <w:right w:val="none" w:sz="0" w:space="0" w:color="auto"/>
                                  </w:divBdr>
                                </w:div>
                                <w:div w:id="2075009935">
                                  <w:marLeft w:val="0"/>
                                  <w:marRight w:val="0"/>
                                  <w:marTop w:val="0"/>
                                  <w:marBottom w:val="0"/>
                                  <w:divBdr>
                                    <w:top w:val="none" w:sz="0" w:space="0" w:color="auto"/>
                                    <w:left w:val="none" w:sz="0" w:space="0" w:color="auto"/>
                                    <w:bottom w:val="none" w:sz="0" w:space="0" w:color="auto"/>
                                    <w:right w:val="none" w:sz="0" w:space="0" w:color="auto"/>
                                  </w:divBdr>
                                </w:div>
                              </w:divsChild>
                            </w:div>
                            <w:div w:id="1890336475">
                              <w:marLeft w:val="0"/>
                              <w:marRight w:val="0"/>
                              <w:marTop w:val="0"/>
                              <w:marBottom w:val="0"/>
                              <w:divBdr>
                                <w:top w:val="none" w:sz="0" w:space="0" w:color="auto"/>
                                <w:left w:val="none" w:sz="0" w:space="0" w:color="auto"/>
                                <w:bottom w:val="none" w:sz="0" w:space="0" w:color="auto"/>
                                <w:right w:val="none" w:sz="0" w:space="0" w:color="auto"/>
                              </w:divBdr>
                            </w:div>
                            <w:div w:id="2020231237">
                              <w:marLeft w:val="0"/>
                              <w:marRight w:val="0"/>
                              <w:marTop w:val="0"/>
                              <w:marBottom w:val="0"/>
                              <w:divBdr>
                                <w:top w:val="none" w:sz="0" w:space="0" w:color="auto"/>
                                <w:left w:val="none" w:sz="0" w:space="0" w:color="auto"/>
                                <w:bottom w:val="none" w:sz="0" w:space="0" w:color="auto"/>
                                <w:right w:val="none" w:sz="0" w:space="0" w:color="auto"/>
                              </w:divBdr>
                            </w:div>
                            <w:div w:id="20329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32587">
      <w:bodyDiv w:val="1"/>
      <w:marLeft w:val="0"/>
      <w:marRight w:val="0"/>
      <w:marTop w:val="0"/>
      <w:marBottom w:val="0"/>
      <w:divBdr>
        <w:top w:val="none" w:sz="0" w:space="0" w:color="auto"/>
        <w:left w:val="none" w:sz="0" w:space="0" w:color="auto"/>
        <w:bottom w:val="none" w:sz="0" w:space="0" w:color="auto"/>
        <w:right w:val="none" w:sz="0" w:space="0" w:color="auto"/>
      </w:divBdr>
      <w:divsChild>
        <w:div w:id="288753307">
          <w:marLeft w:val="0"/>
          <w:marRight w:val="0"/>
          <w:marTop w:val="0"/>
          <w:marBottom w:val="0"/>
          <w:divBdr>
            <w:top w:val="none" w:sz="0" w:space="0" w:color="auto"/>
            <w:left w:val="none" w:sz="0" w:space="0" w:color="auto"/>
            <w:bottom w:val="none" w:sz="0" w:space="0" w:color="auto"/>
            <w:right w:val="none" w:sz="0" w:space="0" w:color="auto"/>
          </w:divBdr>
          <w:divsChild>
            <w:div w:id="14315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0536">
      <w:bodyDiv w:val="1"/>
      <w:marLeft w:val="0"/>
      <w:marRight w:val="0"/>
      <w:marTop w:val="0"/>
      <w:marBottom w:val="0"/>
      <w:divBdr>
        <w:top w:val="none" w:sz="0" w:space="0" w:color="auto"/>
        <w:left w:val="none" w:sz="0" w:space="0" w:color="auto"/>
        <w:bottom w:val="none" w:sz="0" w:space="0" w:color="auto"/>
        <w:right w:val="none" w:sz="0" w:space="0" w:color="auto"/>
      </w:divBdr>
      <w:divsChild>
        <w:div w:id="451018831">
          <w:marLeft w:val="0"/>
          <w:marRight w:val="0"/>
          <w:marTop w:val="0"/>
          <w:marBottom w:val="0"/>
          <w:divBdr>
            <w:top w:val="none" w:sz="0" w:space="0" w:color="auto"/>
            <w:left w:val="none" w:sz="0" w:space="0" w:color="auto"/>
            <w:bottom w:val="none" w:sz="0" w:space="0" w:color="auto"/>
            <w:right w:val="none" w:sz="0" w:space="0" w:color="auto"/>
          </w:divBdr>
          <w:divsChild>
            <w:div w:id="18687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4795">
      <w:bodyDiv w:val="1"/>
      <w:marLeft w:val="0"/>
      <w:marRight w:val="0"/>
      <w:marTop w:val="0"/>
      <w:marBottom w:val="0"/>
      <w:divBdr>
        <w:top w:val="none" w:sz="0" w:space="0" w:color="auto"/>
        <w:left w:val="none" w:sz="0" w:space="0" w:color="auto"/>
        <w:bottom w:val="none" w:sz="0" w:space="0" w:color="auto"/>
        <w:right w:val="none" w:sz="0" w:space="0" w:color="auto"/>
      </w:divBdr>
      <w:divsChild>
        <w:div w:id="417949362">
          <w:marLeft w:val="250"/>
          <w:marRight w:val="250"/>
          <w:marTop w:val="0"/>
          <w:marBottom w:val="0"/>
          <w:divBdr>
            <w:top w:val="none" w:sz="0" w:space="0" w:color="auto"/>
            <w:left w:val="none" w:sz="0" w:space="0" w:color="auto"/>
            <w:bottom w:val="none" w:sz="0" w:space="0" w:color="auto"/>
            <w:right w:val="none" w:sz="0" w:space="0" w:color="auto"/>
          </w:divBdr>
          <w:divsChild>
            <w:div w:id="1363821240">
              <w:marLeft w:val="0"/>
              <w:marRight w:val="0"/>
              <w:marTop w:val="0"/>
              <w:marBottom w:val="125"/>
              <w:divBdr>
                <w:top w:val="none" w:sz="0" w:space="0" w:color="auto"/>
                <w:left w:val="none" w:sz="0" w:space="0" w:color="auto"/>
                <w:bottom w:val="none" w:sz="0" w:space="0" w:color="auto"/>
                <w:right w:val="none" w:sz="0" w:space="0" w:color="auto"/>
              </w:divBdr>
              <w:divsChild>
                <w:div w:id="2119249111">
                  <w:marLeft w:val="0"/>
                  <w:marRight w:val="0"/>
                  <w:marTop w:val="0"/>
                  <w:marBottom w:val="0"/>
                  <w:divBdr>
                    <w:top w:val="none" w:sz="0" w:space="0" w:color="auto"/>
                    <w:left w:val="none" w:sz="0" w:space="0" w:color="auto"/>
                    <w:bottom w:val="none" w:sz="0" w:space="0" w:color="auto"/>
                    <w:right w:val="none" w:sz="0" w:space="0" w:color="auto"/>
                  </w:divBdr>
                  <w:divsChild>
                    <w:div w:id="1573855464">
                      <w:marLeft w:val="0"/>
                      <w:marRight w:val="0"/>
                      <w:marTop w:val="0"/>
                      <w:marBottom w:val="0"/>
                      <w:divBdr>
                        <w:top w:val="none" w:sz="0" w:space="0" w:color="auto"/>
                        <w:left w:val="none" w:sz="0" w:space="0" w:color="auto"/>
                        <w:bottom w:val="none" w:sz="0" w:space="0" w:color="auto"/>
                        <w:right w:val="none" w:sz="0" w:space="0" w:color="auto"/>
                      </w:divBdr>
                      <w:divsChild>
                        <w:div w:id="347752312">
                          <w:marLeft w:val="0"/>
                          <w:marRight w:val="0"/>
                          <w:marTop w:val="0"/>
                          <w:marBottom w:val="0"/>
                          <w:divBdr>
                            <w:top w:val="none" w:sz="0" w:space="0" w:color="auto"/>
                            <w:left w:val="none" w:sz="0" w:space="0" w:color="auto"/>
                            <w:bottom w:val="none" w:sz="0" w:space="0" w:color="auto"/>
                            <w:right w:val="none" w:sz="0" w:space="0" w:color="auto"/>
                          </w:divBdr>
                          <w:divsChild>
                            <w:div w:id="758448399">
                              <w:marLeft w:val="0"/>
                              <w:marRight w:val="0"/>
                              <w:marTop w:val="0"/>
                              <w:marBottom w:val="0"/>
                              <w:divBdr>
                                <w:top w:val="none" w:sz="0" w:space="0" w:color="auto"/>
                                <w:left w:val="none" w:sz="0" w:space="0" w:color="auto"/>
                                <w:bottom w:val="none" w:sz="0" w:space="0" w:color="auto"/>
                                <w:right w:val="none" w:sz="0" w:space="0" w:color="auto"/>
                              </w:divBdr>
                              <w:divsChild>
                                <w:div w:id="1830948391">
                                  <w:marLeft w:val="0"/>
                                  <w:marRight w:val="0"/>
                                  <w:marTop w:val="0"/>
                                  <w:marBottom w:val="0"/>
                                  <w:divBdr>
                                    <w:top w:val="none" w:sz="0" w:space="0" w:color="auto"/>
                                    <w:left w:val="none" w:sz="0" w:space="0" w:color="auto"/>
                                    <w:bottom w:val="none" w:sz="0" w:space="0" w:color="auto"/>
                                    <w:right w:val="none" w:sz="0" w:space="0" w:color="auto"/>
                                  </w:divBdr>
                                  <w:divsChild>
                                    <w:div w:id="1721129430">
                                      <w:marLeft w:val="0"/>
                                      <w:marRight w:val="0"/>
                                      <w:marTop w:val="0"/>
                                      <w:marBottom w:val="0"/>
                                      <w:divBdr>
                                        <w:top w:val="none" w:sz="0" w:space="0" w:color="auto"/>
                                        <w:left w:val="none" w:sz="0" w:space="0" w:color="auto"/>
                                        <w:bottom w:val="none" w:sz="0" w:space="0" w:color="auto"/>
                                        <w:right w:val="none" w:sz="0" w:space="0" w:color="auto"/>
                                      </w:divBdr>
                                    </w:div>
                                    <w:div w:id="1346594135">
                                      <w:marLeft w:val="0"/>
                                      <w:marRight w:val="0"/>
                                      <w:marTop w:val="0"/>
                                      <w:marBottom w:val="0"/>
                                      <w:divBdr>
                                        <w:top w:val="none" w:sz="0" w:space="0" w:color="auto"/>
                                        <w:left w:val="none" w:sz="0" w:space="0" w:color="auto"/>
                                        <w:bottom w:val="none" w:sz="0" w:space="0" w:color="auto"/>
                                        <w:right w:val="none" w:sz="0" w:space="0" w:color="auto"/>
                                      </w:divBdr>
                                      <w:divsChild>
                                        <w:div w:id="2062442966">
                                          <w:marLeft w:val="0"/>
                                          <w:marRight w:val="0"/>
                                          <w:marTop w:val="0"/>
                                          <w:marBottom w:val="0"/>
                                          <w:divBdr>
                                            <w:top w:val="none" w:sz="0" w:space="0" w:color="auto"/>
                                            <w:left w:val="none" w:sz="0" w:space="0" w:color="auto"/>
                                            <w:bottom w:val="none" w:sz="0" w:space="0" w:color="auto"/>
                                            <w:right w:val="none" w:sz="0" w:space="0" w:color="auto"/>
                                          </w:divBdr>
                                        </w:div>
                                        <w:div w:id="8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02986">
      <w:bodyDiv w:val="1"/>
      <w:marLeft w:val="0"/>
      <w:marRight w:val="0"/>
      <w:marTop w:val="0"/>
      <w:marBottom w:val="0"/>
      <w:divBdr>
        <w:top w:val="none" w:sz="0" w:space="0" w:color="auto"/>
        <w:left w:val="none" w:sz="0" w:space="0" w:color="auto"/>
        <w:bottom w:val="none" w:sz="0" w:space="0" w:color="auto"/>
        <w:right w:val="none" w:sz="0" w:space="0" w:color="auto"/>
      </w:divBdr>
    </w:div>
    <w:div w:id="1724939725">
      <w:bodyDiv w:val="1"/>
      <w:marLeft w:val="0"/>
      <w:marRight w:val="0"/>
      <w:marTop w:val="0"/>
      <w:marBottom w:val="0"/>
      <w:divBdr>
        <w:top w:val="none" w:sz="0" w:space="0" w:color="auto"/>
        <w:left w:val="none" w:sz="0" w:space="0" w:color="auto"/>
        <w:bottom w:val="none" w:sz="0" w:space="0" w:color="auto"/>
        <w:right w:val="none" w:sz="0" w:space="0" w:color="auto"/>
      </w:divBdr>
      <w:divsChild>
        <w:div w:id="580870877">
          <w:marLeft w:val="0"/>
          <w:marRight w:val="0"/>
          <w:marTop w:val="0"/>
          <w:marBottom w:val="0"/>
          <w:divBdr>
            <w:top w:val="none" w:sz="0" w:space="0" w:color="auto"/>
            <w:left w:val="none" w:sz="0" w:space="0" w:color="auto"/>
            <w:bottom w:val="none" w:sz="0" w:space="0" w:color="auto"/>
            <w:right w:val="none" w:sz="0" w:space="0" w:color="auto"/>
          </w:divBdr>
          <w:divsChild>
            <w:div w:id="2006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0594">
      <w:bodyDiv w:val="1"/>
      <w:marLeft w:val="0"/>
      <w:marRight w:val="0"/>
      <w:marTop w:val="0"/>
      <w:marBottom w:val="0"/>
      <w:divBdr>
        <w:top w:val="none" w:sz="0" w:space="0" w:color="auto"/>
        <w:left w:val="none" w:sz="0" w:space="0" w:color="auto"/>
        <w:bottom w:val="none" w:sz="0" w:space="0" w:color="auto"/>
        <w:right w:val="none" w:sz="0" w:space="0" w:color="auto"/>
      </w:divBdr>
    </w:div>
    <w:div w:id="1728138333">
      <w:bodyDiv w:val="1"/>
      <w:marLeft w:val="0"/>
      <w:marRight w:val="0"/>
      <w:marTop w:val="0"/>
      <w:marBottom w:val="0"/>
      <w:divBdr>
        <w:top w:val="none" w:sz="0" w:space="0" w:color="auto"/>
        <w:left w:val="none" w:sz="0" w:space="0" w:color="auto"/>
        <w:bottom w:val="none" w:sz="0" w:space="0" w:color="auto"/>
        <w:right w:val="none" w:sz="0" w:space="0" w:color="auto"/>
      </w:divBdr>
      <w:divsChild>
        <w:div w:id="1501769667">
          <w:marLeft w:val="0"/>
          <w:marRight w:val="0"/>
          <w:marTop w:val="0"/>
          <w:marBottom w:val="0"/>
          <w:divBdr>
            <w:top w:val="none" w:sz="0" w:space="0" w:color="auto"/>
            <w:left w:val="none" w:sz="0" w:space="0" w:color="auto"/>
            <w:bottom w:val="none" w:sz="0" w:space="0" w:color="auto"/>
            <w:right w:val="none" w:sz="0" w:space="0" w:color="auto"/>
          </w:divBdr>
          <w:divsChild>
            <w:div w:id="8210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2390">
      <w:bodyDiv w:val="1"/>
      <w:marLeft w:val="0"/>
      <w:marRight w:val="0"/>
      <w:marTop w:val="0"/>
      <w:marBottom w:val="0"/>
      <w:divBdr>
        <w:top w:val="none" w:sz="0" w:space="0" w:color="auto"/>
        <w:left w:val="none" w:sz="0" w:space="0" w:color="auto"/>
        <w:bottom w:val="none" w:sz="0" w:space="0" w:color="auto"/>
        <w:right w:val="none" w:sz="0" w:space="0" w:color="auto"/>
      </w:divBdr>
      <w:divsChild>
        <w:div w:id="2109735251">
          <w:marLeft w:val="0"/>
          <w:marRight w:val="0"/>
          <w:marTop w:val="0"/>
          <w:marBottom w:val="0"/>
          <w:divBdr>
            <w:top w:val="none" w:sz="0" w:space="0" w:color="auto"/>
            <w:left w:val="none" w:sz="0" w:space="0" w:color="auto"/>
            <w:bottom w:val="none" w:sz="0" w:space="0" w:color="auto"/>
            <w:right w:val="none" w:sz="0" w:space="0" w:color="auto"/>
          </w:divBdr>
          <w:divsChild>
            <w:div w:id="11966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374">
      <w:bodyDiv w:val="1"/>
      <w:marLeft w:val="0"/>
      <w:marRight w:val="0"/>
      <w:marTop w:val="0"/>
      <w:marBottom w:val="0"/>
      <w:divBdr>
        <w:top w:val="none" w:sz="0" w:space="0" w:color="auto"/>
        <w:left w:val="none" w:sz="0" w:space="0" w:color="auto"/>
        <w:bottom w:val="none" w:sz="0" w:space="0" w:color="auto"/>
        <w:right w:val="none" w:sz="0" w:space="0" w:color="auto"/>
      </w:divBdr>
    </w:div>
    <w:div w:id="1743478138">
      <w:bodyDiv w:val="1"/>
      <w:marLeft w:val="0"/>
      <w:marRight w:val="0"/>
      <w:marTop w:val="0"/>
      <w:marBottom w:val="0"/>
      <w:divBdr>
        <w:top w:val="none" w:sz="0" w:space="0" w:color="auto"/>
        <w:left w:val="none" w:sz="0" w:space="0" w:color="auto"/>
        <w:bottom w:val="none" w:sz="0" w:space="0" w:color="auto"/>
        <w:right w:val="none" w:sz="0" w:space="0" w:color="auto"/>
      </w:divBdr>
      <w:divsChild>
        <w:div w:id="439106130">
          <w:marLeft w:val="0"/>
          <w:marRight w:val="0"/>
          <w:marTop w:val="0"/>
          <w:marBottom w:val="0"/>
          <w:divBdr>
            <w:top w:val="none" w:sz="0" w:space="0" w:color="auto"/>
            <w:left w:val="none" w:sz="0" w:space="0" w:color="auto"/>
            <w:bottom w:val="none" w:sz="0" w:space="0" w:color="auto"/>
            <w:right w:val="none" w:sz="0" w:space="0" w:color="auto"/>
          </w:divBdr>
          <w:divsChild>
            <w:div w:id="17503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9473">
      <w:bodyDiv w:val="1"/>
      <w:marLeft w:val="0"/>
      <w:marRight w:val="0"/>
      <w:marTop w:val="0"/>
      <w:marBottom w:val="0"/>
      <w:divBdr>
        <w:top w:val="none" w:sz="0" w:space="0" w:color="auto"/>
        <w:left w:val="none" w:sz="0" w:space="0" w:color="auto"/>
        <w:bottom w:val="none" w:sz="0" w:space="0" w:color="auto"/>
        <w:right w:val="none" w:sz="0" w:space="0" w:color="auto"/>
      </w:divBdr>
    </w:div>
    <w:div w:id="1760365225">
      <w:bodyDiv w:val="1"/>
      <w:marLeft w:val="0"/>
      <w:marRight w:val="0"/>
      <w:marTop w:val="0"/>
      <w:marBottom w:val="0"/>
      <w:divBdr>
        <w:top w:val="none" w:sz="0" w:space="0" w:color="auto"/>
        <w:left w:val="none" w:sz="0" w:space="0" w:color="auto"/>
        <w:bottom w:val="none" w:sz="0" w:space="0" w:color="auto"/>
        <w:right w:val="none" w:sz="0" w:space="0" w:color="auto"/>
      </w:divBdr>
      <w:divsChild>
        <w:div w:id="1647972829">
          <w:marLeft w:val="0"/>
          <w:marRight w:val="0"/>
          <w:marTop w:val="0"/>
          <w:marBottom w:val="0"/>
          <w:divBdr>
            <w:top w:val="none" w:sz="0" w:space="0" w:color="auto"/>
            <w:left w:val="none" w:sz="0" w:space="0" w:color="auto"/>
            <w:bottom w:val="none" w:sz="0" w:space="0" w:color="auto"/>
            <w:right w:val="none" w:sz="0" w:space="0" w:color="auto"/>
          </w:divBdr>
          <w:divsChild>
            <w:div w:id="182475461">
              <w:marLeft w:val="0"/>
              <w:marRight w:val="0"/>
              <w:marTop w:val="0"/>
              <w:marBottom w:val="0"/>
              <w:divBdr>
                <w:top w:val="none" w:sz="0" w:space="0" w:color="auto"/>
                <w:left w:val="none" w:sz="0" w:space="0" w:color="auto"/>
                <w:bottom w:val="none" w:sz="0" w:space="0" w:color="auto"/>
                <w:right w:val="none" w:sz="0" w:space="0" w:color="auto"/>
              </w:divBdr>
              <w:divsChild>
                <w:div w:id="836115675">
                  <w:marLeft w:val="0"/>
                  <w:marRight w:val="0"/>
                  <w:marTop w:val="0"/>
                  <w:marBottom w:val="0"/>
                  <w:divBdr>
                    <w:top w:val="none" w:sz="0" w:space="0" w:color="auto"/>
                    <w:left w:val="none" w:sz="0" w:space="0" w:color="auto"/>
                    <w:bottom w:val="none" w:sz="0" w:space="0" w:color="auto"/>
                    <w:right w:val="none" w:sz="0" w:space="0" w:color="auto"/>
                  </w:divBdr>
                  <w:divsChild>
                    <w:div w:id="1005401900">
                      <w:marLeft w:val="0"/>
                      <w:marRight w:val="0"/>
                      <w:marTop w:val="0"/>
                      <w:marBottom w:val="0"/>
                      <w:divBdr>
                        <w:top w:val="none" w:sz="0" w:space="0" w:color="auto"/>
                        <w:left w:val="none" w:sz="0" w:space="0" w:color="auto"/>
                        <w:bottom w:val="none" w:sz="0" w:space="0" w:color="auto"/>
                        <w:right w:val="none" w:sz="0" w:space="0" w:color="auto"/>
                      </w:divBdr>
                      <w:divsChild>
                        <w:div w:id="1378703201">
                          <w:marLeft w:val="0"/>
                          <w:marRight w:val="0"/>
                          <w:marTop w:val="0"/>
                          <w:marBottom w:val="0"/>
                          <w:divBdr>
                            <w:top w:val="none" w:sz="0" w:space="0" w:color="auto"/>
                            <w:left w:val="none" w:sz="0" w:space="0" w:color="auto"/>
                            <w:bottom w:val="none" w:sz="0" w:space="0" w:color="auto"/>
                            <w:right w:val="none" w:sz="0" w:space="0" w:color="auto"/>
                          </w:divBdr>
                          <w:divsChild>
                            <w:div w:id="2038847576">
                              <w:marLeft w:val="0"/>
                              <w:marRight w:val="0"/>
                              <w:marTop w:val="0"/>
                              <w:marBottom w:val="0"/>
                              <w:divBdr>
                                <w:top w:val="none" w:sz="0" w:space="0" w:color="auto"/>
                                <w:left w:val="none" w:sz="0" w:space="0" w:color="auto"/>
                                <w:bottom w:val="none" w:sz="0" w:space="0" w:color="auto"/>
                                <w:right w:val="none" w:sz="0" w:space="0" w:color="auto"/>
                              </w:divBdr>
                              <w:divsChild>
                                <w:div w:id="1060058676">
                                  <w:marLeft w:val="0"/>
                                  <w:marRight w:val="0"/>
                                  <w:marTop w:val="0"/>
                                  <w:marBottom w:val="0"/>
                                  <w:divBdr>
                                    <w:top w:val="none" w:sz="0" w:space="0" w:color="auto"/>
                                    <w:left w:val="none" w:sz="0" w:space="0" w:color="auto"/>
                                    <w:bottom w:val="none" w:sz="0" w:space="0" w:color="auto"/>
                                    <w:right w:val="none" w:sz="0" w:space="0" w:color="auto"/>
                                  </w:divBdr>
                                  <w:divsChild>
                                    <w:div w:id="914703400">
                                      <w:marLeft w:val="0"/>
                                      <w:marRight w:val="0"/>
                                      <w:marTop w:val="0"/>
                                      <w:marBottom w:val="0"/>
                                      <w:divBdr>
                                        <w:top w:val="none" w:sz="0" w:space="0" w:color="auto"/>
                                        <w:left w:val="none" w:sz="0" w:space="0" w:color="auto"/>
                                        <w:bottom w:val="none" w:sz="0" w:space="0" w:color="auto"/>
                                        <w:right w:val="none" w:sz="0" w:space="0" w:color="auto"/>
                                      </w:divBdr>
                                      <w:divsChild>
                                        <w:div w:id="1797487743">
                                          <w:marLeft w:val="0"/>
                                          <w:marRight w:val="0"/>
                                          <w:marTop w:val="0"/>
                                          <w:marBottom w:val="0"/>
                                          <w:divBdr>
                                            <w:top w:val="none" w:sz="0" w:space="0" w:color="auto"/>
                                            <w:left w:val="none" w:sz="0" w:space="0" w:color="auto"/>
                                            <w:bottom w:val="none" w:sz="0" w:space="0" w:color="auto"/>
                                            <w:right w:val="none" w:sz="0" w:space="0" w:color="auto"/>
                                          </w:divBdr>
                                          <w:divsChild>
                                            <w:div w:id="1759014642">
                                              <w:marLeft w:val="0"/>
                                              <w:marRight w:val="0"/>
                                              <w:marTop w:val="0"/>
                                              <w:marBottom w:val="0"/>
                                              <w:divBdr>
                                                <w:top w:val="none" w:sz="0" w:space="0" w:color="auto"/>
                                                <w:left w:val="none" w:sz="0" w:space="0" w:color="auto"/>
                                                <w:bottom w:val="none" w:sz="0" w:space="0" w:color="auto"/>
                                                <w:right w:val="none" w:sz="0" w:space="0" w:color="auto"/>
                                              </w:divBdr>
                                              <w:divsChild>
                                                <w:div w:id="16936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949709">
      <w:bodyDiv w:val="1"/>
      <w:marLeft w:val="0"/>
      <w:marRight w:val="0"/>
      <w:marTop w:val="0"/>
      <w:marBottom w:val="0"/>
      <w:divBdr>
        <w:top w:val="none" w:sz="0" w:space="0" w:color="auto"/>
        <w:left w:val="none" w:sz="0" w:space="0" w:color="auto"/>
        <w:bottom w:val="none" w:sz="0" w:space="0" w:color="auto"/>
        <w:right w:val="none" w:sz="0" w:space="0" w:color="auto"/>
      </w:divBdr>
      <w:divsChild>
        <w:div w:id="1197544549">
          <w:marLeft w:val="0"/>
          <w:marRight w:val="0"/>
          <w:marTop w:val="0"/>
          <w:marBottom w:val="0"/>
          <w:divBdr>
            <w:top w:val="none" w:sz="0" w:space="0" w:color="auto"/>
            <w:left w:val="none" w:sz="0" w:space="0" w:color="auto"/>
            <w:bottom w:val="none" w:sz="0" w:space="0" w:color="auto"/>
            <w:right w:val="none" w:sz="0" w:space="0" w:color="auto"/>
          </w:divBdr>
          <w:divsChild>
            <w:div w:id="17795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5650">
      <w:bodyDiv w:val="1"/>
      <w:marLeft w:val="0"/>
      <w:marRight w:val="0"/>
      <w:marTop w:val="0"/>
      <w:marBottom w:val="0"/>
      <w:divBdr>
        <w:top w:val="none" w:sz="0" w:space="0" w:color="auto"/>
        <w:left w:val="none" w:sz="0" w:space="0" w:color="auto"/>
        <w:bottom w:val="none" w:sz="0" w:space="0" w:color="auto"/>
        <w:right w:val="none" w:sz="0" w:space="0" w:color="auto"/>
      </w:divBdr>
      <w:divsChild>
        <w:div w:id="565067743">
          <w:marLeft w:val="0"/>
          <w:marRight w:val="0"/>
          <w:marTop w:val="0"/>
          <w:marBottom w:val="0"/>
          <w:divBdr>
            <w:top w:val="none" w:sz="0" w:space="0" w:color="auto"/>
            <w:left w:val="none" w:sz="0" w:space="0" w:color="auto"/>
            <w:bottom w:val="none" w:sz="0" w:space="0" w:color="auto"/>
            <w:right w:val="none" w:sz="0" w:space="0" w:color="auto"/>
          </w:divBdr>
          <w:divsChild>
            <w:div w:id="162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705">
      <w:bodyDiv w:val="1"/>
      <w:marLeft w:val="0"/>
      <w:marRight w:val="0"/>
      <w:marTop w:val="0"/>
      <w:marBottom w:val="0"/>
      <w:divBdr>
        <w:top w:val="none" w:sz="0" w:space="0" w:color="auto"/>
        <w:left w:val="none" w:sz="0" w:space="0" w:color="auto"/>
        <w:bottom w:val="none" w:sz="0" w:space="0" w:color="auto"/>
        <w:right w:val="none" w:sz="0" w:space="0" w:color="auto"/>
      </w:divBdr>
      <w:divsChild>
        <w:div w:id="1999453361">
          <w:marLeft w:val="0"/>
          <w:marRight w:val="0"/>
          <w:marTop w:val="0"/>
          <w:marBottom w:val="0"/>
          <w:divBdr>
            <w:top w:val="none" w:sz="0" w:space="0" w:color="auto"/>
            <w:left w:val="none" w:sz="0" w:space="0" w:color="auto"/>
            <w:bottom w:val="none" w:sz="0" w:space="0" w:color="auto"/>
            <w:right w:val="none" w:sz="0" w:space="0" w:color="auto"/>
          </w:divBdr>
          <w:divsChild>
            <w:div w:id="18755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98911">
      <w:bodyDiv w:val="1"/>
      <w:marLeft w:val="0"/>
      <w:marRight w:val="0"/>
      <w:marTop w:val="0"/>
      <w:marBottom w:val="0"/>
      <w:divBdr>
        <w:top w:val="none" w:sz="0" w:space="0" w:color="auto"/>
        <w:left w:val="none" w:sz="0" w:space="0" w:color="auto"/>
        <w:bottom w:val="none" w:sz="0" w:space="0" w:color="auto"/>
        <w:right w:val="none" w:sz="0" w:space="0" w:color="auto"/>
      </w:divBdr>
    </w:div>
    <w:div w:id="1776899511">
      <w:bodyDiv w:val="1"/>
      <w:marLeft w:val="0"/>
      <w:marRight w:val="0"/>
      <w:marTop w:val="0"/>
      <w:marBottom w:val="0"/>
      <w:divBdr>
        <w:top w:val="none" w:sz="0" w:space="0" w:color="auto"/>
        <w:left w:val="none" w:sz="0" w:space="0" w:color="auto"/>
        <w:bottom w:val="none" w:sz="0" w:space="0" w:color="auto"/>
        <w:right w:val="none" w:sz="0" w:space="0" w:color="auto"/>
      </w:divBdr>
      <w:divsChild>
        <w:div w:id="1603024879">
          <w:marLeft w:val="0"/>
          <w:marRight w:val="0"/>
          <w:marTop w:val="0"/>
          <w:marBottom w:val="0"/>
          <w:divBdr>
            <w:top w:val="none" w:sz="0" w:space="0" w:color="auto"/>
            <w:left w:val="none" w:sz="0" w:space="0" w:color="auto"/>
            <w:bottom w:val="none" w:sz="0" w:space="0" w:color="auto"/>
            <w:right w:val="none" w:sz="0" w:space="0" w:color="auto"/>
          </w:divBdr>
          <w:divsChild>
            <w:div w:id="3874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09463">
      <w:bodyDiv w:val="1"/>
      <w:marLeft w:val="0"/>
      <w:marRight w:val="0"/>
      <w:marTop w:val="0"/>
      <w:marBottom w:val="0"/>
      <w:divBdr>
        <w:top w:val="none" w:sz="0" w:space="0" w:color="auto"/>
        <w:left w:val="none" w:sz="0" w:space="0" w:color="auto"/>
        <w:bottom w:val="none" w:sz="0" w:space="0" w:color="auto"/>
        <w:right w:val="none" w:sz="0" w:space="0" w:color="auto"/>
      </w:divBdr>
      <w:divsChild>
        <w:div w:id="194855403">
          <w:marLeft w:val="0"/>
          <w:marRight w:val="0"/>
          <w:marTop w:val="0"/>
          <w:marBottom w:val="0"/>
          <w:divBdr>
            <w:top w:val="none" w:sz="0" w:space="0" w:color="auto"/>
            <w:left w:val="none" w:sz="0" w:space="0" w:color="auto"/>
            <w:bottom w:val="none" w:sz="0" w:space="0" w:color="auto"/>
            <w:right w:val="none" w:sz="0" w:space="0" w:color="auto"/>
          </w:divBdr>
        </w:div>
      </w:divsChild>
    </w:div>
    <w:div w:id="1803303461">
      <w:bodyDiv w:val="1"/>
      <w:marLeft w:val="0"/>
      <w:marRight w:val="0"/>
      <w:marTop w:val="0"/>
      <w:marBottom w:val="0"/>
      <w:divBdr>
        <w:top w:val="none" w:sz="0" w:space="0" w:color="auto"/>
        <w:left w:val="none" w:sz="0" w:space="0" w:color="auto"/>
        <w:bottom w:val="none" w:sz="0" w:space="0" w:color="auto"/>
        <w:right w:val="none" w:sz="0" w:space="0" w:color="auto"/>
      </w:divBdr>
      <w:divsChild>
        <w:div w:id="288049236">
          <w:marLeft w:val="300"/>
          <w:marRight w:val="300"/>
          <w:marTop w:val="0"/>
          <w:marBottom w:val="0"/>
          <w:divBdr>
            <w:top w:val="none" w:sz="0" w:space="0" w:color="auto"/>
            <w:left w:val="none" w:sz="0" w:space="0" w:color="auto"/>
            <w:bottom w:val="none" w:sz="0" w:space="0" w:color="auto"/>
            <w:right w:val="none" w:sz="0" w:space="0" w:color="auto"/>
          </w:divBdr>
          <w:divsChild>
            <w:div w:id="823665313">
              <w:marLeft w:val="0"/>
              <w:marRight w:val="0"/>
              <w:marTop w:val="0"/>
              <w:marBottom w:val="150"/>
              <w:divBdr>
                <w:top w:val="none" w:sz="0" w:space="0" w:color="auto"/>
                <w:left w:val="none" w:sz="0" w:space="0" w:color="auto"/>
                <w:bottom w:val="none" w:sz="0" w:space="0" w:color="auto"/>
                <w:right w:val="none" w:sz="0" w:space="0" w:color="auto"/>
              </w:divBdr>
              <w:divsChild>
                <w:div w:id="1372728267">
                  <w:marLeft w:val="0"/>
                  <w:marRight w:val="0"/>
                  <w:marTop w:val="0"/>
                  <w:marBottom w:val="0"/>
                  <w:divBdr>
                    <w:top w:val="none" w:sz="0" w:space="0" w:color="auto"/>
                    <w:left w:val="none" w:sz="0" w:space="0" w:color="auto"/>
                    <w:bottom w:val="none" w:sz="0" w:space="0" w:color="auto"/>
                    <w:right w:val="none" w:sz="0" w:space="0" w:color="auto"/>
                  </w:divBdr>
                  <w:divsChild>
                    <w:div w:id="268972478">
                      <w:marLeft w:val="0"/>
                      <w:marRight w:val="0"/>
                      <w:marTop w:val="0"/>
                      <w:marBottom w:val="0"/>
                      <w:divBdr>
                        <w:top w:val="none" w:sz="0" w:space="0" w:color="auto"/>
                        <w:left w:val="none" w:sz="0" w:space="0" w:color="auto"/>
                        <w:bottom w:val="none" w:sz="0" w:space="0" w:color="auto"/>
                        <w:right w:val="none" w:sz="0" w:space="0" w:color="auto"/>
                      </w:divBdr>
                      <w:divsChild>
                        <w:div w:id="1543207231">
                          <w:marLeft w:val="0"/>
                          <w:marRight w:val="0"/>
                          <w:marTop w:val="0"/>
                          <w:marBottom w:val="0"/>
                          <w:divBdr>
                            <w:top w:val="none" w:sz="0" w:space="0" w:color="auto"/>
                            <w:left w:val="none" w:sz="0" w:space="0" w:color="auto"/>
                            <w:bottom w:val="none" w:sz="0" w:space="0" w:color="auto"/>
                            <w:right w:val="none" w:sz="0" w:space="0" w:color="auto"/>
                          </w:divBdr>
                          <w:divsChild>
                            <w:div w:id="4784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10732">
      <w:bodyDiv w:val="1"/>
      <w:marLeft w:val="0"/>
      <w:marRight w:val="0"/>
      <w:marTop w:val="0"/>
      <w:marBottom w:val="0"/>
      <w:divBdr>
        <w:top w:val="none" w:sz="0" w:space="0" w:color="auto"/>
        <w:left w:val="none" w:sz="0" w:space="0" w:color="auto"/>
        <w:bottom w:val="none" w:sz="0" w:space="0" w:color="auto"/>
        <w:right w:val="none" w:sz="0" w:space="0" w:color="auto"/>
      </w:divBdr>
      <w:divsChild>
        <w:div w:id="1635603535">
          <w:marLeft w:val="0"/>
          <w:marRight w:val="0"/>
          <w:marTop w:val="0"/>
          <w:marBottom w:val="0"/>
          <w:divBdr>
            <w:top w:val="none" w:sz="0" w:space="0" w:color="auto"/>
            <w:left w:val="none" w:sz="0" w:space="0" w:color="auto"/>
            <w:bottom w:val="none" w:sz="0" w:space="0" w:color="auto"/>
            <w:right w:val="none" w:sz="0" w:space="0" w:color="auto"/>
          </w:divBdr>
          <w:divsChild>
            <w:div w:id="626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274">
      <w:bodyDiv w:val="1"/>
      <w:marLeft w:val="0"/>
      <w:marRight w:val="0"/>
      <w:marTop w:val="0"/>
      <w:marBottom w:val="0"/>
      <w:divBdr>
        <w:top w:val="none" w:sz="0" w:space="0" w:color="auto"/>
        <w:left w:val="none" w:sz="0" w:space="0" w:color="auto"/>
        <w:bottom w:val="none" w:sz="0" w:space="0" w:color="auto"/>
        <w:right w:val="none" w:sz="0" w:space="0" w:color="auto"/>
      </w:divBdr>
      <w:divsChild>
        <w:div w:id="1552300669">
          <w:marLeft w:val="0"/>
          <w:marRight w:val="0"/>
          <w:marTop w:val="0"/>
          <w:marBottom w:val="0"/>
          <w:divBdr>
            <w:top w:val="none" w:sz="0" w:space="0" w:color="auto"/>
            <w:left w:val="none" w:sz="0" w:space="0" w:color="auto"/>
            <w:bottom w:val="none" w:sz="0" w:space="0" w:color="auto"/>
            <w:right w:val="none" w:sz="0" w:space="0" w:color="auto"/>
          </w:divBdr>
          <w:divsChild>
            <w:div w:id="1285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516">
      <w:bodyDiv w:val="1"/>
      <w:marLeft w:val="0"/>
      <w:marRight w:val="0"/>
      <w:marTop w:val="0"/>
      <w:marBottom w:val="0"/>
      <w:divBdr>
        <w:top w:val="none" w:sz="0" w:space="0" w:color="auto"/>
        <w:left w:val="none" w:sz="0" w:space="0" w:color="auto"/>
        <w:bottom w:val="none" w:sz="0" w:space="0" w:color="auto"/>
        <w:right w:val="none" w:sz="0" w:space="0" w:color="auto"/>
      </w:divBdr>
    </w:div>
    <w:div w:id="1836534714">
      <w:bodyDiv w:val="1"/>
      <w:marLeft w:val="0"/>
      <w:marRight w:val="0"/>
      <w:marTop w:val="0"/>
      <w:marBottom w:val="0"/>
      <w:divBdr>
        <w:top w:val="none" w:sz="0" w:space="0" w:color="auto"/>
        <w:left w:val="none" w:sz="0" w:space="0" w:color="auto"/>
        <w:bottom w:val="none" w:sz="0" w:space="0" w:color="auto"/>
        <w:right w:val="none" w:sz="0" w:space="0" w:color="auto"/>
      </w:divBdr>
    </w:div>
    <w:div w:id="1837918706">
      <w:bodyDiv w:val="1"/>
      <w:marLeft w:val="0"/>
      <w:marRight w:val="0"/>
      <w:marTop w:val="0"/>
      <w:marBottom w:val="0"/>
      <w:divBdr>
        <w:top w:val="none" w:sz="0" w:space="0" w:color="auto"/>
        <w:left w:val="none" w:sz="0" w:space="0" w:color="auto"/>
        <w:bottom w:val="none" w:sz="0" w:space="0" w:color="auto"/>
        <w:right w:val="none" w:sz="0" w:space="0" w:color="auto"/>
      </w:divBdr>
      <w:divsChild>
        <w:div w:id="1424688475">
          <w:marLeft w:val="0"/>
          <w:marRight w:val="0"/>
          <w:marTop w:val="0"/>
          <w:marBottom w:val="0"/>
          <w:divBdr>
            <w:top w:val="none" w:sz="0" w:space="0" w:color="auto"/>
            <w:left w:val="none" w:sz="0" w:space="0" w:color="auto"/>
            <w:bottom w:val="none" w:sz="0" w:space="0" w:color="auto"/>
            <w:right w:val="none" w:sz="0" w:space="0" w:color="auto"/>
          </w:divBdr>
          <w:divsChild>
            <w:div w:id="7049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669">
      <w:bodyDiv w:val="1"/>
      <w:marLeft w:val="0"/>
      <w:marRight w:val="0"/>
      <w:marTop w:val="0"/>
      <w:marBottom w:val="0"/>
      <w:divBdr>
        <w:top w:val="none" w:sz="0" w:space="0" w:color="auto"/>
        <w:left w:val="none" w:sz="0" w:space="0" w:color="auto"/>
        <w:bottom w:val="none" w:sz="0" w:space="0" w:color="auto"/>
        <w:right w:val="none" w:sz="0" w:space="0" w:color="auto"/>
      </w:divBdr>
      <w:divsChild>
        <w:div w:id="1910576679">
          <w:marLeft w:val="0"/>
          <w:marRight w:val="0"/>
          <w:marTop w:val="0"/>
          <w:marBottom w:val="0"/>
          <w:divBdr>
            <w:top w:val="none" w:sz="0" w:space="0" w:color="auto"/>
            <w:left w:val="none" w:sz="0" w:space="0" w:color="auto"/>
            <w:bottom w:val="none" w:sz="0" w:space="0" w:color="auto"/>
            <w:right w:val="none" w:sz="0" w:space="0" w:color="auto"/>
          </w:divBdr>
          <w:divsChild>
            <w:div w:id="19094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6362">
      <w:bodyDiv w:val="1"/>
      <w:marLeft w:val="0"/>
      <w:marRight w:val="0"/>
      <w:marTop w:val="0"/>
      <w:marBottom w:val="0"/>
      <w:divBdr>
        <w:top w:val="none" w:sz="0" w:space="0" w:color="auto"/>
        <w:left w:val="none" w:sz="0" w:space="0" w:color="auto"/>
        <w:bottom w:val="none" w:sz="0" w:space="0" w:color="auto"/>
        <w:right w:val="none" w:sz="0" w:space="0" w:color="auto"/>
      </w:divBdr>
    </w:div>
    <w:div w:id="1858735193">
      <w:bodyDiv w:val="1"/>
      <w:marLeft w:val="0"/>
      <w:marRight w:val="0"/>
      <w:marTop w:val="0"/>
      <w:marBottom w:val="0"/>
      <w:divBdr>
        <w:top w:val="none" w:sz="0" w:space="0" w:color="auto"/>
        <w:left w:val="none" w:sz="0" w:space="0" w:color="auto"/>
        <w:bottom w:val="none" w:sz="0" w:space="0" w:color="auto"/>
        <w:right w:val="none" w:sz="0" w:space="0" w:color="auto"/>
      </w:divBdr>
      <w:divsChild>
        <w:div w:id="1634092066">
          <w:marLeft w:val="0"/>
          <w:marRight w:val="0"/>
          <w:marTop w:val="0"/>
          <w:marBottom w:val="0"/>
          <w:divBdr>
            <w:top w:val="none" w:sz="0" w:space="0" w:color="auto"/>
            <w:left w:val="none" w:sz="0" w:space="0" w:color="auto"/>
            <w:bottom w:val="none" w:sz="0" w:space="0" w:color="auto"/>
            <w:right w:val="none" w:sz="0" w:space="0" w:color="auto"/>
          </w:divBdr>
          <w:divsChild>
            <w:div w:id="10213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2383">
      <w:bodyDiv w:val="1"/>
      <w:marLeft w:val="0"/>
      <w:marRight w:val="0"/>
      <w:marTop w:val="0"/>
      <w:marBottom w:val="0"/>
      <w:divBdr>
        <w:top w:val="none" w:sz="0" w:space="0" w:color="auto"/>
        <w:left w:val="none" w:sz="0" w:space="0" w:color="auto"/>
        <w:bottom w:val="none" w:sz="0" w:space="0" w:color="auto"/>
        <w:right w:val="none" w:sz="0" w:space="0" w:color="auto"/>
      </w:divBdr>
      <w:divsChild>
        <w:div w:id="1837838272">
          <w:marLeft w:val="0"/>
          <w:marRight w:val="0"/>
          <w:marTop w:val="0"/>
          <w:marBottom w:val="0"/>
          <w:divBdr>
            <w:top w:val="none" w:sz="0" w:space="0" w:color="auto"/>
            <w:left w:val="none" w:sz="0" w:space="0" w:color="auto"/>
            <w:bottom w:val="none" w:sz="0" w:space="0" w:color="auto"/>
            <w:right w:val="none" w:sz="0" w:space="0" w:color="auto"/>
          </w:divBdr>
          <w:divsChild>
            <w:div w:id="1679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8887">
      <w:bodyDiv w:val="1"/>
      <w:marLeft w:val="0"/>
      <w:marRight w:val="0"/>
      <w:marTop w:val="0"/>
      <w:marBottom w:val="0"/>
      <w:divBdr>
        <w:top w:val="none" w:sz="0" w:space="0" w:color="auto"/>
        <w:left w:val="none" w:sz="0" w:space="0" w:color="auto"/>
        <w:bottom w:val="none" w:sz="0" w:space="0" w:color="auto"/>
        <w:right w:val="none" w:sz="0" w:space="0" w:color="auto"/>
      </w:divBdr>
      <w:divsChild>
        <w:div w:id="152796845">
          <w:marLeft w:val="300"/>
          <w:marRight w:val="300"/>
          <w:marTop w:val="0"/>
          <w:marBottom w:val="0"/>
          <w:divBdr>
            <w:top w:val="none" w:sz="0" w:space="0" w:color="auto"/>
            <w:left w:val="none" w:sz="0" w:space="0" w:color="auto"/>
            <w:bottom w:val="none" w:sz="0" w:space="0" w:color="auto"/>
            <w:right w:val="none" w:sz="0" w:space="0" w:color="auto"/>
          </w:divBdr>
          <w:divsChild>
            <w:div w:id="638875510">
              <w:marLeft w:val="0"/>
              <w:marRight w:val="0"/>
              <w:marTop w:val="0"/>
              <w:marBottom w:val="150"/>
              <w:divBdr>
                <w:top w:val="none" w:sz="0" w:space="0" w:color="auto"/>
                <w:left w:val="none" w:sz="0" w:space="0" w:color="auto"/>
                <w:bottom w:val="none" w:sz="0" w:space="0" w:color="auto"/>
                <w:right w:val="none" w:sz="0" w:space="0" w:color="auto"/>
              </w:divBdr>
              <w:divsChild>
                <w:div w:id="1667516175">
                  <w:marLeft w:val="0"/>
                  <w:marRight w:val="0"/>
                  <w:marTop w:val="0"/>
                  <w:marBottom w:val="0"/>
                  <w:divBdr>
                    <w:top w:val="none" w:sz="0" w:space="0" w:color="auto"/>
                    <w:left w:val="none" w:sz="0" w:space="0" w:color="auto"/>
                    <w:bottom w:val="none" w:sz="0" w:space="0" w:color="auto"/>
                    <w:right w:val="none" w:sz="0" w:space="0" w:color="auto"/>
                  </w:divBdr>
                  <w:divsChild>
                    <w:div w:id="1676686679">
                      <w:marLeft w:val="0"/>
                      <w:marRight w:val="0"/>
                      <w:marTop w:val="0"/>
                      <w:marBottom w:val="0"/>
                      <w:divBdr>
                        <w:top w:val="none" w:sz="0" w:space="0" w:color="auto"/>
                        <w:left w:val="none" w:sz="0" w:space="0" w:color="auto"/>
                        <w:bottom w:val="none" w:sz="0" w:space="0" w:color="auto"/>
                        <w:right w:val="none" w:sz="0" w:space="0" w:color="auto"/>
                      </w:divBdr>
                      <w:divsChild>
                        <w:div w:id="478696239">
                          <w:marLeft w:val="0"/>
                          <w:marRight w:val="0"/>
                          <w:marTop w:val="0"/>
                          <w:marBottom w:val="0"/>
                          <w:divBdr>
                            <w:top w:val="none" w:sz="0" w:space="0" w:color="auto"/>
                            <w:left w:val="none" w:sz="0" w:space="0" w:color="auto"/>
                            <w:bottom w:val="none" w:sz="0" w:space="0" w:color="auto"/>
                            <w:right w:val="none" w:sz="0" w:space="0" w:color="auto"/>
                          </w:divBdr>
                          <w:divsChild>
                            <w:div w:id="271674460">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
                                <w:div w:id="828058514">
                                  <w:marLeft w:val="0"/>
                                  <w:marRight w:val="0"/>
                                  <w:marTop w:val="0"/>
                                  <w:marBottom w:val="0"/>
                                  <w:divBdr>
                                    <w:top w:val="none" w:sz="0" w:space="0" w:color="auto"/>
                                    <w:left w:val="none" w:sz="0" w:space="0" w:color="auto"/>
                                    <w:bottom w:val="none" w:sz="0" w:space="0" w:color="auto"/>
                                    <w:right w:val="none" w:sz="0" w:space="0" w:color="auto"/>
                                  </w:divBdr>
                                </w:div>
                              </w:divsChild>
                            </w:div>
                            <w:div w:id="20440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965100">
      <w:bodyDiv w:val="1"/>
      <w:marLeft w:val="0"/>
      <w:marRight w:val="0"/>
      <w:marTop w:val="0"/>
      <w:marBottom w:val="0"/>
      <w:divBdr>
        <w:top w:val="none" w:sz="0" w:space="0" w:color="auto"/>
        <w:left w:val="none" w:sz="0" w:space="0" w:color="auto"/>
        <w:bottom w:val="none" w:sz="0" w:space="0" w:color="auto"/>
        <w:right w:val="none" w:sz="0" w:space="0" w:color="auto"/>
      </w:divBdr>
      <w:divsChild>
        <w:div w:id="619923394">
          <w:marLeft w:val="0"/>
          <w:marRight w:val="0"/>
          <w:marTop w:val="0"/>
          <w:marBottom w:val="0"/>
          <w:divBdr>
            <w:top w:val="none" w:sz="0" w:space="0" w:color="auto"/>
            <w:left w:val="none" w:sz="0" w:space="0" w:color="auto"/>
            <w:bottom w:val="none" w:sz="0" w:space="0" w:color="auto"/>
            <w:right w:val="none" w:sz="0" w:space="0" w:color="auto"/>
          </w:divBdr>
          <w:divsChild>
            <w:div w:id="841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1121">
      <w:bodyDiv w:val="1"/>
      <w:marLeft w:val="0"/>
      <w:marRight w:val="0"/>
      <w:marTop w:val="0"/>
      <w:marBottom w:val="0"/>
      <w:divBdr>
        <w:top w:val="none" w:sz="0" w:space="0" w:color="auto"/>
        <w:left w:val="none" w:sz="0" w:space="0" w:color="auto"/>
        <w:bottom w:val="none" w:sz="0" w:space="0" w:color="auto"/>
        <w:right w:val="none" w:sz="0" w:space="0" w:color="auto"/>
      </w:divBdr>
      <w:divsChild>
        <w:div w:id="255872609">
          <w:marLeft w:val="0"/>
          <w:marRight w:val="0"/>
          <w:marTop w:val="0"/>
          <w:marBottom w:val="0"/>
          <w:divBdr>
            <w:top w:val="none" w:sz="0" w:space="0" w:color="auto"/>
            <w:left w:val="none" w:sz="0" w:space="0" w:color="auto"/>
            <w:bottom w:val="none" w:sz="0" w:space="0" w:color="auto"/>
            <w:right w:val="none" w:sz="0" w:space="0" w:color="auto"/>
          </w:divBdr>
          <w:divsChild>
            <w:div w:id="81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6635">
      <w:bodyDiv w:val="1"/>
      <w:marLeft w:val="0"/>
      <w:marRight w:val="0"/>
      <w:marTop w:val="0"/>
      <w:marBottom w:val="0"/>
      <w:divBdr>
        <w:top w:val="none" w:sz="0" w:space="0" w:color="auto"/>
        <w:left w:val="none" w:sz="0" w:space="0" w:color="auto"/>
        <w:bottom w:val="none" w:sz="0" w:space="0" w:color="auto"/>
        <w:right w:val="none" w:sz="0" w:space="0" w:color="auto"/>
      </w:divBdr>
      <w:divsChild>
        <w:div w:id="533927840">
          <w:marLeft w:val="250"/>
          <w:marRight w:val="250"/>
          <w:marTop w:val="0"/>
          <w:marBottom w:val="0"/>
          <w:divBdr>
            <w:top w:val="none" w:sz="0" w:space="0" w:color="auto"/>
            <w:left w:val="none" w:sz="0" w:space="0" w:color="auto"/>
            <w:bottom w:val="none" w:sz="0" w:space="0" w:color="auto"/>
            <w:right w:val="none" w:sz="0" w:space="0" w:color="auto"/>
          </w:divBdr>
          <w:divsChild>
            <w:div w:id="839933753">
              <w:marLeft w:val="0"/>
              <w:marRight w:val="0"/>
              <w:marTop w:val="0"/>
              <w:marBottom w:val="125"/>
              <w:divBdr>
                <w:top w:val="none" w:sz="0" w:space="0" w:color="auto"/>
                <w:left w:val="none" w:sz="0" w:space="0" w:color="auto"/>
                <w:bottom w:val="none" w:sz="0" w:space="0" w:color="auto"/>
                <w:right w:val="none" w:sz="0" w:space="0" w:color="auto"/>
              </w:divBdr>
              <w:divsChild>
                <w:div w:id="267124760">
                  <w:marLeft w:val="0"/>
                  <w:marRight w:val="0"/>
                  <w:marTop w:val="0"/>
                  <w:marBottom w:val="0"/>
                  <w:divBdr>
                    <w:top w:val="none" w:sz="0" w:space="0" w:color="auto"/>
                    <w:left w:val="none" w:sz="0" w:space="0" w:color="auto"/>
                    <w:bottom w:val="none" w:sz="0" w:space="0" w:color="auto"/>
                    <w:right w:val="none" w:sz="0" w:space="0" w:color="auto"/>
                  </w:divBdr>
                  <w:divsChild>
                    <w:div w:id="2132238853">
                      <w:marLeft w:val="0"/>
                      <w:marRight w:val="0"/>
                      <w:marTop w:val="0"/>
                      <w:marBottom w:val="0"/>
                      <w:divBdr>
                        <w:top w:val="none" w:sz="0" w:space="0" w:color="auto"/>
                        <w:left w:val="none" w:sz="0" w:space="0" w:color="auto"/>
                        <w:bottom w:val="none" w:sz="0" w:space="0" w:color="auto"/>
                        <w:right w:val="none" w:sz="0" w:space="0" w:color="auto"/>
                      </w:divBdr>
                      <w:divsChild>
                        <w:div w:id="824012270">
                          <w:marLeft w:val="0"/>
                          <w:marRight w:val="0"/>
                          <w:marTop w:val="0"/>
                          <w:marBottom w:val="0"/>
                          <w:divBdr>
                            <w:top w:val="none" w:sz="0" w:space="0" w:color="auto"/>
                            <w:left w:val="none" w:sz="0" w:space="0" w:color="auto"/>
                            <w:bottom w:val="none" w:sz="0" w:space="0" w:color="auto"/>
                            <w:right w:val="none" w:sz="0" w:space="0" w:color="auto"/>
                          </w:divBdr>
                          <w:divsChild>
                            <w:div w:id="1813675044">
                              <w:marLeft w:val="0"/>
                              <w:marRight w:val="0"/>
                              <w:marTop w:val="0"/>
                              <w:marBottom w:val="0"/>
                              <w:divBdr>
                                <w:top w:val="none" w:sz="0" w:space="0" w:color="auto"/>
                                <w:left w:val="none" w:sz="0" w:space="0" w:color="auto"/>
                                <w:bottom w:val="none" w:sz="0" w:space="0" w:color="auto"/>
                                <w:right w:val="none" w:sz="0" w:space="0" w:color="auto"/>
                              </w:divBdr>
                              <w:divsChild>
                                <w:div w:id="284701429">
                                  <w:marLeft w:val="0"/>
                                  <w:marRight w:val="0"/>
                                  <w:marTop w:val="0"/>
                                  <w:marBottom w:val="0"/>
                                  <w:divBdr>
                                    <w:top w:val="none" w:sz="0" w:space="0" w:color="auto"/>
                                    <w:left w:val="none" w:sz="0" w:space="0" w:color="auto"/>
                                    <w:bottom w:val="none" w:sz="0" w:space="0" w:color="auto"/>
                                    <w:right w:val="none" w:sz="0" w:space="0" w:color="auto"/>
                                  </w:divBdr>
                                  <w:divsChild>
                                    <w:div w:id="2010449522">
                                      <w:marLeft w:val="0"/>
                                      <w:marRight w:val="0"/>
                                      <w:marTop w:val="0"/>
                                      <w:marBottom w:val="0"/>
                                      <w:divBdr>
                                        <w:top w:val="none" w:sz="0" w:space="0" w:color="auto"/>
                                        <w:left w:val="none" w:sz="0" w:space="0" w:color="auto"/>
                                        <w:bottom w:val="none" w:sz="0" w:space="0" w:color="auto"/>
                                        <w:right w:val="none" w:sz="0" w:space="0" w:color="auto"/>
                                      </w:divBdr>
                                    </w:div>
                                    <w:div w:id="1182935038">
                                      <w:marLeft w:val="0"/>
                                      <w:marRight w:val="0"/>
                                      <w:marTop w:val="0"/>
                                      <w:marBottom w:val="0"/>
                                      <w:divBdr>
                                        <w:top w:val="none" w:sz="0" w:space="0" w:color="auto"/>
                                        <w:left w:val="none" w:sz="0" w:space="0" w:color="auto"/>
                                        <w:bottom w:val="none" w:sz="0" w:space="0" w:color="auto"/>
                                        <w:right w:val="none" w:sz="0" w:space="0" w:color="auto"/>
                                      </w:divBdr>
                                    </w:div>
                                    <w:div w:id="11491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290093">
      <w:bodyDiv w:val="1"/>
      <w:marLeft w:val="0"/>
      <w:marRight w:val="0"/>
      <w:marTop w:val="0"/>
      <w:marBottom w:val="0"/>
      <w:divBdr>
        <w:top w:val="none" w:sz="0" w:space="0" w:color="auto"/>
        <w:left w:val="none" w:sz="0" w:space="0" w:color="auto"/>
        <w:bottom w:val="none" w:sz="0" w:space="0" w:color="auto"/>
        <w:right w:val="none" w:sz="0" w:space="0" w:color="auto"/>
      </w:divBdr>
      <w:divsChild>
        <w:div w:id="1020740692">
          <w:marLeft w:val="250"/>
          <w:marRight w:val="250"/>
          <w:marTop w:val="0"/>
          <w:marBottom w:val="0"/>
          <w:divBdr>
            <w:top w:val="none" w:sz="0" w:space="0" w:color="auto"/>
            <w:left w:val="none" w:sz="0" w:space="0" w:color="auto"/>
            <w:bottom w:val="none" w:sz="0" w:space="0" w:color="auto"/>
            <w:right w:val="none" w:sz="0" w:space="0" w:color="auto"/>
          </w:divBdr>
          <w:divsChild>
            <w:div w:id="1927955846">
              <w:marLeft w:val="0"/>
              <w:marRight w:val="0"/>
              <w:marTop w:val="0"/>
              <w:marBottom w:val="125"/>
              <w:divBdr>
                <w:top w:val="none" w:sz="0" w:space="0" w:color="auto"/>
                <w:left w:val="none" w:sz="0" w:space="0" w:color="auto"/>
                <w:bottom w:val="none" w:sz="0" w:space="0" w:color="auto"/>
                <w:right w:val="none" w:sz="0" w:space="0" w:color="auto"/>
              </w:divBdr>
              <w:divsChild>
                <w:div w:id="635912169">
                  <w:marLeft w:val="0"/>
                  <w:marRight w:val="0"/>
                  <w:marTop w:val="0"/>
                  <w:marBottom w:val="0"/>
                  <w:divBdr>
                    <w:top w:val="none" w:sz="0" w:space="0" w:color="auto"/>
                    <w:left w:val="none" w:sz="0" w:space="0" w:color="auto"/>
                    <w:bottom w:val="none" w:sz="0" w:space="0" w:color="auto"/>
                    <w:right w:val="none" w:sz="0" w:space="0" w:color="auto"/>
                  </w:divBdr>
                  <w:divsChild>
                    <w:div w:id="162747125">
                      <w:marLeft w:val="0"/>
                      <w:marRight w:val="0"/>
                      <w:marTop w:val="0"/>
                      <w:marBottom w:val="0"/>
                      <w:divBdr>
                        <w:top w:val="none" w:sz="0" w:space="0" w:color="auto"/>
                        <w:left w:val="none" w:sz="0" w:space="0" w:color="auto"/>
                        <w:bottom w:val="none" w:sz="0" w:space="0" w:color="auto"/>
                        <w:right w:val="none" w:sz="0" w:space="0" w:color="auto"/>
                      </w:divBdr>
                      <w:divsChild>
                        <w:div w:id="535966487">
                          <w:marLeft w:val="0"/>
                          <w:marRight w:val="0"/>
                          <w:marTop w:val="0"/>
                          <w:marBottom w:val="0"/>
                          <w:divBdr>
                            <w:top w:val="none" w:sz="0" w:space="0" w:color="auto"/>
                            <w:left w:val="none" w:sz="0" w:space="0" w:color="auto"/>
                            <w:bottom w:val="none" w:sz="0" w:space="0" w:color="auto"/>
                            <w:right w:val="none" w:sz="0" w:space="0" w:color="auto"/>
                          </w:divBdr>
                          <w:divsChild>
                            <w:div w:id="1696687292">
                              <w:marLeft w:val="0"/>
                              <w:marRight w:val="0"/>
                              <w:marTop w:val="0"/>
                              <w:marBottom w:val="0"/>
                              <w:divBdr>
                                <w:top w:val="none" w:sz="0" w:space="0" w:color="auto"/>
                                <w:left w:val="none" w:sz="0" w:space="0" w:color="auto"/>
                                <w:bottom w:val="none" w:sz="0" w:space="0" w:color="auto"/>
                                <w:right w:val="none" w:sz="0" w:space="0" w:color="auto"/>
                              </w:divBdr>
                              <w:divsChild>
                                <w:div w:id="1256865176">
                                  <w:marLeft w:val="0"/>
                                  <w:marRight w:val="0"/>
                                  <w:marTop w:val="0"/>
                                  <w:marBottom w:val="0"/>
                                  <w:divBdr>
                                    <w:top w:val="none" w:sz="0" w:space="0" w:color="auto"/>
                                    <w:left w:val="none" w:sz="0" w:space="0" w:color="auto"/>
                                    <w:bottom w:val="none" w:sz="0" w:space="0" w:color="auto"/>
                                    <w:right w:val="none" w:sz="0" w:space="0" w:color="auto"/>
                                  </w:divBdr>
                                </w:div>
                                <w:div w:id="177740924">
                                  <w:marLeft w:val="0"/>
                                  <w:marRight w:val="0"/>
                                  <w:marTop w:val="0"/>
                                  <w:marBottom w:val="0"/>
                                  <w:divBdr>
                                    <w:top w:val="none" w:sz="0" w:space="0" w:color="auto"/>
                                    <w:left w:val="none" w:sz="0" w:space="0" w:color="auto"/>
                                    <w:bottom w:val="none" w:sz="0" w:space="0" w:color="auto"/>
                                    <w:right w:val="none" w:sz="0" w:space="0" w:color="auto"/>
                                  </w:divBdr>
                                </w:div>
                                <w:div w:id="853618030">
                                  <w:marLeft w:val="0"/>
                                  <w:marRight w:val="0"/>
                                  <w:marTop w:val="0"/>
                                  <w:marBottom w:val="0"/>
                                  <w:divBdr>
                                    <w:top w:val="none" w:sz="0" w:space="0" w:color="auto"/>
                                    <w:left w:val="none" w:sz="0" w:space="0" w:color="auto"/>
                                    <w:bottom w:val="none" w:sz="0" w:space="0" w:color="auto"/>
                                    <w:right w:val="none" w:sz="0" w:space="0" w:color="auto"/>
                                  </w:divBdr>
                                  <w:divsChild>
                                    <w:div w:id="1461873611">
                                      <w:marLeft w:val="0"/>
                                      <w:marRight w:val="0"/>
                                      <w:marTop w:val="0"/>
                                      <w:marBottom w:val="0"/>
                                      <w:divBdr>
                                        <w:top w:val="none" w:sz="0" w:space="0" w:color="auto"/>
                                        <w:left w:val="none" w:sz="0" w:space="0" w:color="auto"/>
                                        <w:bottom w:val="none" w:sz="0" w:space="0" w:color="auto"/>
                                        <w:right w:val="none" w:sz="0" w:space="0" w:color="auto"/>
                                      </w:divBdr>
                                    </w:div>
                                    <w:div w:id="2049257340">
                                      <w:marLeft w:val="0"/>
                                      <w:marRight w:val="0"/>
                                      <w:marTop w:val="0"/>
                                      <w:marBottom w:val="0"/>
                                      <w:divBdr>
                                        <w:top w:val="none" w:sz="0" w:space="0" w:color="auto"/>
                                        <w:left w:val="none" w:sz="0" w:space="0" w:color="auto"/>
                                        <w:bottom w:val="none" w:sz="0" w:space="0" w:color="auto"/>
                                        <w:right w:val="none" w:sz="0" w:space="0" w:color="auto"/>
                                      </w:divBdr>
                                    </w:div>
                                    <w:div w:id="919371549">
                                      <w:marLeft w:val="0"/>
                                      <w:marRight w:val="0"/>
                                      <w:marTop w:val="0"/>
                                      <w:marBottom w:val="0"/>
                                      <w:divBdr>
                                        <w:top w:val="none" w:sz="0" w:space="0" w:color="auto"/>
                                        <w:left w:val="none" w:sz="0" w:space="0" w:color="auto"/>
                                        <w:bottom w:val="none" w:sz="0" w:space="0" w:color="auto"/>
                                        <w:right w:val="none" w:sz="0" w:space="0" w:color="auto"/>
                                      </w:divBdr>
                                    </w:div>
                                    <w:div w:id="819537330">
                                      <w:marLeft w:val="0"/>
                                      <w:marRight w:val="0"/>
                                      <w:marTop w:val="0"/>
                                      <w:marBottom w:val="0"/>
                                      <w:divBdr>
                                        <w:top w:val="none" w:sz="0" w:space="0" w:color="auto"/>
                                        <w:left w:val="none" w:sz="0" w:space="0" w:color="auto"/>
                                        <w:bottom w:val="none" w:sz="0" w:space="0" w:color="auto"/>
                                        <w:right w:val="none" w:sz="0" w:space="0" w:color="auto"/>
                                      </w:divBdr>
                                    </w:div>
                                    <w:div w:id="800459176">
                                      <w:marLeft w:val="0"/>
                                      <w:marRight w:val="0"/>
                                      <w:marTop w:val="0"/>
                                      <w:marBottom w:val="0"/>
                                      <w:divBdr>
                                        <w:top w:val="none" w:sz="0" w:space="0" w:color="auto"/>
                                        <w:left w:val="none" w:sz="0" w:space="0" w:color="auto"/>
                                        <w:bottom w:val="none" w:sz="0" w:space="0" w:color="auto"/>
                                        <w:right w:val="none" w:sz="0" w:space="0" w:color="auto"/>
                                      </w:divBdr>
                                    </w:div>
                                    <w:div w:id="1845824694">
                                      <w:marLeft w:val="0"/>
                                      <w:marRight w:val="0"/>
                                      <w:marTop w:val="0"/>
                                      <w:marBottom w:val="0"/>
                                      <w:divBdr>
                                        <w:top w:val="none" w:sz="0" w:space="0" w:color="auto"/>
                                        <w:left w:val="none" w:sz="0" w:space="0" w:color="auto"/>
                                        <w:bottom w:val="none" w:sz="0" w:space="0" w:color="auto"/>
                                        <w:right w:val="none" w:sz="0" w:space="0" w:color="auto"/>
                                      </w:divBdr>
                                    </w:div>
                                    <w:div w:id="597519152">
                                      <w:marLeft w:val="0"/>
                                      <w:marRight w:val="0"/>
                                      <w:marTop w:val="0"/>
                                      <w:marBottom w:val="0"/>
                                      <w:divBdr>
                                        <w:top w:val="none" w:sz="0" w:space="0" w:color="auto"/>
                                        <w:left w:val="none" w:sz="0" w:space="0" w:color="auto"/>
                                        <w:bottom w:val="none" w:sz="0" w:space="0" w:color="auto"/>
                                        <w:right w:val="none" w:sz="0" w:space="0" w:color="auto"/>
                                      </w:divBdr>
                                      <w:divsChild>
                                        <w:div w:id="968432948">
                                          <w:marLeft w:val="0"/>
                                          <w:marRight w:val="0"/>
                                          <w:marTop w:val="0"/>
                                          <w:marBottom w:val="0"/>
                                          <w:divBdr>
                                            <w:top w:val="none" w:sz="0" w:space="0" w:color="auto"/>
                                            <w:left w:val="none" w:sz="0" w:space="0" w:color="auto"/>
                                            <w:bottom w:val="none" w:sz="0" w:space="0" w:color="auto"/>
                                            <w:right w:val="none" w:sz="0" w:space="0" w:color="auto"/>
                                          </w:divBdr>
                                        </w:div>
                                        <w:div w:id="1567379565">
                                          <w:marLeft w:val="0"/>
                                          <w:marRight w:val="0"/>
                                          <w:marTop w:val="0"/>
                                          <w:marBottom w:val="0"/>
                                          <w:divBdr>
                                            <w:top w:val="none" w:sz="0" w:space="0" w:color="auto"/>
                                            <w:left w:val="none" w:sz="0" w:space="0" w:color="auto"/>
                                            <w:bottom w:val="none" w:sz="0" w:space="0" w:color="auto"/>
                                            <w:right w:val="none" w:sz="0" w:space="0" w:color="auto"/>
                                          </w:divBdr>
                                        </w:div>
                                        <w:div w:id="140275084">
                                          <w:marLeft w:val="0"/>
                                          <w:marRight w:val="0"/>
                                          <w:marTop w:val="0"/>
                                          <w:marBottom w:val="0"/>
                                          <w:divBdr>
                                            <w:top w:val="none" w:sz="0" w:space="0" w:color="auto"/>
                                            <w:left w:val="none" w:sz="0" w:space="0" w:color="auto"/>
                                            <w:bottom w:val="none" w:sz="0" w:space="0" w:color="auto"/>
                                            <w:right w:val="none" w:sz="0" w:space="0" w:color="auto"/>
                                          </w:divBdr>
                                        </w:div>
                                        <w:div w:id="793451015">
                                          <w:marLeft w:val="0"/>
                                          <w:marRight w:val="0"/>
                                          <w:marTop w:val="0"/>
                                          <w:marBottom w:val="0"/>
                                          <w:divBdr>
                                            <w:top w:val="none" w:sz="0" w:space="0" w:color="auto"/>
                                            <w:left w:val="none" w:sz="0" w:space="0" w:color="auto"/>
                                            <w:bottom w:val="none" w:sz="0" w:space="0" w:color="auto"/>
                                            <w:right w:val="none" w:sz="0" w:space="0" w:color="auto"/>
                                          </w:divBdr>
                                        </w:div>
                                        <w:div w:id="502205271">
                                          <w:marLeft w:val="0"/>
                                          <w:marRight w:val="0"/>
                                          <w:marTop w:val="0"/>
                                          <w:marBottom w:val="0"/>
                                          <w:divBdr>
                                            <w:top w:val="none" w:sz="0" w:space="0" w:color="auto"/>
                                            <w:left w:val="none" w:sz="0" w:space="0" w:color="auto"/>
                                            <w:bottom w:val="none" w:sz="0" w:space="0" w:color="auto"/>
                                            <w:right w:val="none" w:sz="0" w:space="0" w:color="auto"/>
                                          </w:divBdr>
                                        </w:div>
                                        <w:div w:id="531499008">
                                          <w:marLeft w:val="0"/>
                                          <w:marRight w:val="0"/>
                                          <w:marTop w:val="0"/>
                                          <w:marBottom w:val="0"/>
                                          <w:divBdr>
                                            <w:top w:val="none" w:sz="0" w:space="0" w:color="auto"/>
                                            <w:left w:val="none" w:sz="0" w:space="0" w:color="auto"/>
                                            <w:bottom w:val="none" w:sz="0" w:space="0" w:color="auto"/>
                                            <w:right w:val="none" w:sz="0" w:space="0" w:color="auto"/>
                                          </w:divBdr>
                                        </w:div>
                                        <w:div w:id="17340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232520">
      <w:bodyDiv w:val="1"/>
      <w:marLeft w:val="0"/>
      <w:marRight w:val="0"/>
      <w:marTop w:val="0"/>
      <w:marBottom w:val="0"/>
      <w:divBdr>
        <w:top w:val="none" w:sz="0" w:space="0" w:color="auto"/>
        <w:left w:val="none" w:sz="0" w:space="0" w:color="auto"/>
        <w:bottom w:val="none" w:sz="0" w:space="0" w:color="auto"/>
        <w:right w:val="none" w:sz="0" w:space="0" w:color="auto"/>
      </w:divBdr>
    </w:div>
    <w:div w:id="1899897877">
      <w:bodyDiv w:val="1"/>
      <w:marLeft w:val="0"/>
      <w:marRight w:val="0"/>
      <w:marTop w:val="0"/>
      <w:marBottom w:val="0"/>
      <w:divBdr>
        <w:top w:val="none" w:sz="0" w:space="0" w:color="auto"/>
        <w:left w:val="none" w:sz="0" w:space="0" w:color="auto"/>
        <w:bottom w:val="none" w:sz="0" w:space="0" w:color="auto"/>
        <w:right w:val="none" w:sz="0" w:space="0" w:color="auto"/>
      </w:divBdr>
      <w:divsChild>
        <w:div w:id="2044165292">
          <w:marLeft w:val="0"/>
          <w:marRight w:val="0"/>
          <w:marTop w:val="0"/>
          <w:marBottom w:val="0"/>
          <w:divBdr>
            <w:top w:val="none" w:sz="0" w:space="0" w:color="auto"/>
            <w:left w:val="none" w:sz="0" w:space="0" w:color="auto"/>
            <w:bottom w:val="none" w:sz="0" w:space="0" w:color="auto"/>
            <w:right w:val="none" w:sz="0" w:space="0" w:color="auto"/>
          </w:divBdr>
          <w:divsChild>
            <w:div w:id="1832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2482">
      <w:bodyDiv w:val="1"/>
      <w:marLeft w:val="0"/>
      <w:marRight w:val="0"/>
      <w:marTop w:val="0"/>
      <w:marBottom w:val="0"/>
      <w:divBdr>
        <w:top w:val="none" w:sz="0" w:space="0" w:color="auto"/>
        <w:left w:val="none" w:sz="0" w:space="0" w:color="auto"/>
        <w:bottom w:val="none" w:sz="0" w:space="0" w:color="auto"/>
        <w:right w:val="none" w:sz="0" w:space="0" w:color="auto"/>
      </w:divBdr>
      <w:divsChild>
        <w:div w:id="1076514808">
          <w:marLeft w:val="0"/>
          <w:marRight w:val="0"/>
          <w:marTop w:val="0"/>
          <w:marBottom w:val="0"/>
          <w:divBdr>
            <w:top w:val="none" w:sz="0" w:space="0" w:color="auto"/>
            <w:left w:val="none" w:sz="0" w:space="0" w:color="auto"/>
            <w:bottom w:val="none" w:sz="0" w:space="0" w:color="auto"/>
            <w:right w:val="none" w:sz="0" w:space="0" w:color="auto"/>
          </w:divBdr>
        </w:div>
      </w:divsChild>
    </w:div>
    <w:div w:id="1907303491">
      <w:bodyDiv w:val="1"/>
      <w:marLeft w:val="0"/>
      <w:marRight w:val="0"/>
      <w:marTop w:val="0"/>
      <w:marBottom w:val="0"/>
      <w:divBdr>
        <w:top w:val="none" w:sz="0" w:space="0" w:color="auto"/>
        <w:left w:val="none" w:sz="0" w:space="0" w:color="auto"/>
        <w:bottom w:val="none" w:sz="0" w:space="0" w:color="auto"/>
        <w:right w:val="none" w:sz="0" w:space="0" w:color="auto"/>
      </w:divBdr>
      <w:divsChild>
        <w:div w:id="21640525">
          <w:marLeft w:val="0"/>
          <w:marRight w:val="0"/>
          <w:marTop w:val="0"/>
          <w:marBottom w:val="0"/>
          <w:divBdr>
            <w:top w:val="none" w:sz="0" w:space="0" w:color="auto"/>
            <w:left w:val="none" w:sz="0" w:space="0" w:color="auto"/>
            <w:bottom w:val="none" w:sz="0" w:space="0" w:color="auto"/>
            <w:right w:val="none" w:sz="0" w:space="0" w:color="auto"/>
          </w:divBdr>
          <w:divsChild>
            <w:div w:id="3592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3334">
      <w:bodyDiv w:val="1"/>
      <w:marLeft w:val="0"/>
      <w:marRight w:val="0"/>
      <w:marTop w:val="0"/>
      <w:marBottom w:val="0"/>
      <w:divBdr>
        <w:top w:val="none" w:sz="0" w:space="0" w:color="auto"/>
        <w:left w:val="none" w:sz="0" w:space="0" w:color="auto"/>
        <w:bottom w:val="none" w:sz="0" w:space="0" w:color="auto"/>
        <w:right w:val="none" w:sz="0" w:space="0" w:color="auto"/>
      </w:divBdr>
      <w:divsChild>
        <w:div w:id="349527463">
          <w:marLeft w:val="0"/>
          <w:marRight w:val="0"/>
          <w:marTop w:val="0"/>
          <w:marBottom w:val="0"/>
          <w:divBdr>
            <w:top w:val="none" w:sz="0" w:space="0" w:color="auto"/>
            <w:left w:val="none" w:sz="0" w:space="0" w:color="auto"/>
            <w:bottom w:val="none" w:sz="0" w:space="0" w:color="auto"/>
            <w:right w:val="none" w:sz="0" w:space="0" w:color="auto"/>
          </w:divBdr>
          <w:divsChild>
            <w:div w:id="11912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0243">
      <w:bodyDiv w:val="1"/>
      <w:marLeft w:val="0"/>
      <w:marRight w:val="0"/>
      <w:marTop w:val="0"/>
      <w:marBottom w:val="0"/>
      <w:divBdr>
        <w:top w:val="none" w:sz="0" w:space="0" w:color="auto"/>
        <w:left w:val="none" w:sz="0" w:space="0" w:color="auto"/>
        <w:bottom w:val="none" w:sz="0" w:space="0" w:color="auto"/>
        <w:right w:val="none" w:sz="0" w:space="0" w:color="auto"/>
      </w:divBdr>
      <w:divsChild>
        <w:div w:id="309359657">
          <w:marLeft w:val="0"/>
          <w:marRight w:val="0"/>
          <w:marTop w:val="0"/>
          <w:marBottom w:val="0"/>
          <w:divBdr>
            <w:top w:val="none" w:sz="0" w:space="0" w:color="auto"/>
            <w:left w:val="none" w:sz="0" w:space="0" w:color="auto"/>
            <w:bottom w:val="none" w:sz="0" w:space="0" w:color="auto"/>
            <w:right w:val="none" w:sz="0" w:space="0" w:color="auto"/>
          </w:divBdr>
          <w:divsChild>
            <w:div w:id="17624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2806">
      <w:bodyDiv w:val="1"/>
      <w:marLeft w:val="0"/>
      <w:marRight w:val="0"/>
      <w:marTop w:val="0"/>
      <w:marBottom w:val="0"/>
      <w:divBdr>
        <w:top w:val="none" w:sz="0" w:space="0" w:color="auto"/>
        <w:left w:val="none" w:sz="0" w:space="0" w:color="auto"/>
        <w:bottom w:val="none" w:sz="0" w:space="0" w:color="auto"/>
        <w:right w:val="none" w:sz="0" w:space="0" w:color="auto"/>
      </w:divBdr>
      <w:divsChild>
        <w:div w:id="1305088735">
          <w:marLeft w:val="0"/>
          <w:marRight w:val="0"/>
          <w:marTop w:val="0"/>
          <w:marBottom w:val="0"/>
          <w:divBdr>
            <w:top w:val="none" w:sz="0" w:space="0" w:color="auto"/>
            <w:left w:val="none" w:sz="0" w:space="0" w:color="auto"/>
            <w:bottom w:val="none" w:sz="0" w:space="0" w:color="auto"/>
            <w:right w:val="none" w:sz="0" w:space="0" w:color="auto"/>
          </w:divBdr>
          <w:divsChild>
            <w:div w:id="423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1534">
      <w:bodyDiv w:val="1"/>
      <w:marLeft w:val="0"/>
      <w:marRight w:val="0"/>
      <w:marTop w:val="0"/>
      <w:marBottom w:val="0"/>
      <w:divBdr>
        <w:top w:val="none" w:sz="0" w:space="0" w:color="auto"/>
        <w:left w:val="none" w:sz="0" w:space="0" w:color="auto"/>
        <w:bottom w:val="none" w:sz="0" w:space="0" w:color="auto"/>
        <w:right w:val="none" w:sz="0" w:space="0" w:color="auto"/>
      </w:divBdr>
      <w:divsChild>
        <w:div w:id="41751513">
          <w:marLeft w:val="0"/>
          <w:marRight w:val="0"/>
          <w:marTop w:val="0"/>
          <w:marBottom w:val="0"/>
          <w:divBdr>
            <w:top w:val="none" w:sz="0" w:space="0" w:color="auto"/>
            <w:left w:val="none" w:sz="0" w:space="0" w:color="auto"/>
            <w:bottom w:val="none" w:sz="0" w:space="0" w:color="auto"/>
            <w:right w:val="none" w:sz="0" w:space="0" w:color="auto"/>
          </w:divBdr>
          <w:divsChild>
            <w:div w:id="20854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0946">
      <w:bodyDiv w:val="1"/>
      <w:marLeft w:val="0"/>
      <w:marRight w:val="0"/>
      <w:marTop w:val="0"/>
      <w:marBottom w:val="0"/>
      <w:divBdr>
        <w:top w:val="none" w:sz="0" w:space="0" w:color="auto"/>
        <w:left w:val="none" w:sz="0" w:space="0" w:color="auto"/>
        <w:bottom w:val="none" w:sz="0" w:space="0" w:color="auto"/>
        <w:right w:val="none" w:sz="0" w:space="0" w:color="auto"/>
      </w:divBdr>
      <w:divsChild>
        <w:div w:id="26684302">
          <w:marLeft w:val="0"/>
          <w:marRight w:val="0"/>
          <w:marTop w:val="0"/>
          <w:marBottom w:val="0"/>
          <w:divBdr>
            <w:top w:val="none" w:sz="0" w:space="0" w:color="auto"/>
            <w:left w:val="none" w:sz="0" w:space="0" w:color="auto"/>
            <w:bottom w:val="none" w:sz="0" w:space="0" w:color="auto"/>
            <w:right w:val="none" w:sz="0" w:space="0" w:color="auto"/>
          </w:divBdr>
          <w:divsChild>
            <w:div w:id="464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5590">
      <w:bodyDiv w:val="1"/>
      <w:marLeft w:val="0"/>
      <w:marRight w:val="0"/>
      <w:marTop w:val="0"/>
      <w:marBottom w:val="0"/>
      <w:divBdr>
        <w:top w:val="none" w:sz="0" w:space="0" w:color="auto"/>
        <w:left w:val="none" w:sz="0" w:space="0" w:color="auto"/>
        <w:bottom w:val="none" w:sz="0" w:space="0" w:color="auto"/>
        <w:right w:val="none" w:sz="0" w:space="0" w:color="auto"/>
      </w:divBdr>
      <w:divsChild>
        <w:div w:id="833570871">
          <w:marLeft w:val="300"/>
          <w:marRight w:val="300"/>
          <w:marTop w:val="0"/>
          <w:marBottom w:val="0"/>
          <w:divBdr>
            <w:top w:val="none" w:sz="0" w:space="0" w:color="auto"/>
            <w:left w:val="none" w:sz="0" w:space="0" w:color="auto"/>
            <w:bottom w:val="none" w:sz="0" w:space="0" w:color="auto"/>
            <w:right w:val="none" w:sz="0" w:space="0" w:color="auto"/>
          </w:divBdr>
          <w:divsChild>
            <w:div w:id="409737612">
              <w:marLeft w:val="0"/>
              <w:marRight w:val="0"/>
              <w:marTop w:val="0"/>
              <w:marBottom w:val="150"/>
              <w:divBdr>
                <w:top w:val="none" w:sz="0" w:space="0" w:color="auto"/>
                <w:left w:val="none" w:sz="0" w:space="0" w:color="auto"/>
                <w:bottom w:val="none" w:sz="0" w:space="0" w:color="auto"/>
                <w:right w:val="none" w:sz="0" w:space="0" w:color="auto"/>
              </w:divBdr>
              <w:divsChild>
                <w:div w:id="1190293155">
                  <w:marLeft w:val="0"/>
                  <w:marRight w:val="0"/>
                  <w:marTop w:val="0"/>
                  <w:marBottom w:val="0"/>
                  <w:divBdr>
                    <w:top w:val="none" w:sz="0" w:space="0" w:color="auto"/>
                    <w:left w:val="none" w:sz="0" w:space="0" w:color="auto"/>
                    <w:bottom w:val="none" w:sz="0" w:space="0" w:color="auto"/>
                    <w:right w:val="none" w:sz="0" w:space="0" w:color="auto"/>
                  </w:divBdr>
                  <w:divsChild>
                    <w:div w:id="1350719189">
                      <w:marLeft w:val="0"/>
                      <w:marRight w:val="0"/>
                      <w:marTop w:val="0"/>
                      <w:marBottom w:val="0"/>
                      <w:divBdr>
                        <w:top w:val="none" w:sz="0" w:space="0" w:color="auto"/>
                        <w:left w:val="none" w:sz="0" w:space="0" w:color="auto"/>
                        <w:bottom w:val="none" w:sz="0" w:space="0" w:color="auto"/>
                        <w:right w:val="none" w:sz="0" w:space="0" w:color="auto"/>
                      </w:divBdr>
                      <w:divsChild>
                        <w:div w:id="1945529620">
                          <w:marLeft w:val="0"/>
                          <w:marRight w:val="0"/>
                          <w:marTop w:val="0"/>
                          <w:marBottom w:val="0"/>
                          <w:divBdr>
                            <w:top w:val="none" w:sz="0" w:space="0" w:color="auto"/>
                            <w:left w:val="none" w:sz="0" w:space="0" w:color="auto"/>
                            <w:bottom w:val="none" w:sz="0" w:space="0" w:color="auto"/>
                            <w:right w:val="none" w:sz="0" w:space="0" w:color="auto"/>
                          </w:divBdr>
                          <w:divsChild>
                            <w:div w:id="292946765">
                              <w:marLeft w:val="0"/>
                              <w:marRight w:val="0"/>
                              <w:marTop w:val="0"/>
                              <w:marBottom w:val="0"/>
                              <w:divBdr>
                                <w:top w:val="none" w:sz="0" w:space="0" w:color="auto"/>
                                <w:left w:val="none" w:sz="0" w:space="0" w:color="auto"/>
                                <w:bottom w:val="none" w:sz="0" w:space="0" w:color="auto"/>
                                <w:right w:val="none" w:sz="0" w:space="0" w:color="auto"/>
                              </w:divBdr>
                            </w:div>
                            <w:div w:id="330834629">
                              <w:marLeft w:val="0"/>
                              <w:marRight w:val="0"/>
                              <w:marTop w:val="0"/>
                              <w:marBottom w:val="0"/>
                              <w:divBdr>
                                <w:top w:val="none" w:sz="0" w:space="0" w:color="auto"/>
                                <w:left w:val="none" w:sz="0" w:space="0" w:color="auto"/>
                                <w:bottom w:val="none" w:sz="0" w:space="0" w:color="auto"/>
                                <w:right w:val="none" w:sz="0" w:space="0" w:color="auto"/>
                              </w:divBdr>
                            </w:div>
                            <w:div w:id="527911260">
                              <w:marLeft w:val="0"/>
                              <w:marRight w:val="0"/>
                              <w:marTop w:val="0"/>
                              <w:marBottom w:val="0"/>
                              <w:divBdr>
                                <w:top w:val="none" w:sz="0" w:space="0" w:color="auto"/>
                                <w:left w:val="none" w:sz="0" w:space="0" w:color="auto"/>
                                <w:bottom w:val="none" w:sz="0" w:space="0" w:color="auto"/>
                                <w:right w:val="none" w:sz="0" w:space="0" w:color="auto"/>
                              </w:divBdr>
                              <w:divsChild>
                                <w:div w:id="743916465">
                                  <w:marLeft w:val="0"/>
                                  <w:marRight w:val="0"/>
                                  <w:marTop w:val="0"/>
                                  <w:marBottom w:val="0"/>
                                  <w:divBdr>
                                    <w:top w:val="none" w:sz="0" w:space="0" w:color="auto"/>
                                    <w:left w:val="none" w:sz="0" w:space="0" w:color="auto"/>
                                    <w:bottom w:val="none" w:sz="0" w:space="0" w:color="auto"/>
                                    <w:right w:val="none" w:sz="0" w:space="0" w:color="auto"/>
                                  </w:divBdr>
                                </w:div>
                                <w:div w:id="1718502392">
                                  <w:marLeft w:val="0"/>
                                  <w:marRight w:val="0"/>
                                  <w:marTop w:val="0"/>
                                  <w:marBottom w:val="0"/>
                                  <w:divBdr>
                                    <w:top w:val="none" w:sz="0" w:space="0" w:color="auto"/>
                                    <w:left w:val="none" w:sz="0" w:space="0" w:color="auto"/>
                                    <w:bottom w:val="none" w:sz="0" w:space="0" w:color="auto"/>
                                    <w:right w:val="none" w:sz="0" w:space="0" w:color="auto"/>
                                  </w:divBdr>
                                </w:div>
                              </w:divsChild>
                            </w:div>
                            <w:div w:id="18946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334459">
      <w:bodyDiv w:val="1"/>
      <w:marLeft w:val="0"/>
      <w:marRight w:val="0"/>
      <w:marTop w:val="0"/>
      <w:marBottom w:val="0"/>
      <w:divBdr>
        <w:top w:val="none" w:sz="0" w:space="0" w:color="auto"/>
        <w:left w:val="none" w:sz="0" w:space="0" w:color="auto"/>
        <w:bottom w:val="none" w:sz="0" w:space="0" w:color="auto"/>
        <w:right w:val="none" w:sz="0" w:space="0" w:color="auto"/>
      </w:divBdr>
      <w:divsChild>
        <w:div w:id="1418750109">
          <w:marLeft w:val="0"/>
          <w:marRight w:val="0"/>
          <w:marTop w:val="0"/>
          <w:marBottom w:val="0"/>
          <w:divBdr>
            <w:top w:val="none" w:sz="0" w:space="0" w:color="auto"/>
            <w:left w:val="none" w:sz="0" w:space="0" w:color="auto"/>
            <w:bottom w:val="none" w:sz="0" w:space="0" w:color="auto"/>
            <w:right w:val="none" w:sz="0" w:space="0" w:color="auto"/>
          </w:divBdr>
          <w:divsChild>
            <w:div w:id="17742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9362">
      <w:bodyDiv w:val="1"/>
      <w:marLeft w:val="0"/>
      <w:marRight w:val="0"/>
      <w:marTop w:val="0"/>
      <w:marBottom w:val="0"/>
      <w:divBdr>
        <w:top w:val="none" w:sz="0" w:space="0" w:color="auto"/>
        <w:left w:val="none" w:sz="0" w:space="0" w:color="auto"/>
        <w:bottom w:val="none" w:sz="0" w:space="0" w:color="auto"/>
        <w:right w:val="none" w:sz="0" w:space="0" w:color="auto"/>
      </w:divBdr>
    </w:div>
    <w:div w:id="1938513640">
      <w:bodyDiv w:val="1"/>
      <w:marLeft w:val="0"/>
      <w:marRight w:val="0"/>
      <w:marTop w:val="0"/>
      <w:marBottom w:val="0"/>
      <w:divBdr>
        <w:top w:val="none" w:sz="0" w:space="0" w:color="auto"/>
        <w:left w:val="none" w:sz="0" w:space="0" w:color="auto"/>
        <w:bottom w:val="none" w:sz="0" w:space="0" w:color="auto"/>
        <w:right w:val="none" w:sz="0" w:space="0" w:color="auto"/>
      </w:divBdr>
      <w:divsChild>
        <w:div w:id="382874320">
          <w:marLeft w:val="0"/>
          <w:marRight w:val="0"/>
          <w:marTop w:val="0"/>
          <w:marBottom w:val="0"/>
          <w:divBdr>
            <w:top w:val="none" w:sz="0" w:space="0" w:color="auto"/>
            <w:left w:val="none" w:sz="0" w:space="0" w:color="auto"/>
            <w:bottom w:val="none" w:sz="0" w:space="0" w:color="auto"/>
            <w:right w:val="none" w:sz="0" w:space="0" w:color="auto"/>
          </w:divBdr>
          <w:divsChild>
            <w:div w:id="8805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3469">
      <w:bodyDiv w:val="1"/>
      <w:marLeft w:val="0"/>
      <w:marRight w:val="0"/>
      <w:marTop w:val="0"/>
      <w:marBottom w:val="0"/>
      <w:divBdr>
        <w:top w:val="none" w:sz="0" w:space="0" w:color="auto"/>
        <w:left w:val="none" w:sz="0" w:space="0" w:color="auto"/>
        <w:bottom w:val="none" w:sz="0" w:space="0" w:color="auto"/>
        <w:right w:val="none" w:sz="0" w:space="0" w:color="auto"/>
      </w:divBdr>
      <w:divsChild>
        <w:div w:id="1131899974">
          <w:marLeft w:val="0"/>
          <w:marRight w:val="0"/>
          <w:marTop w:val="0"/>
          <w:marBottom w:val="0"/>
          <w:divBdr>
            <w:top w:val="none" w:sz="0" w:space="0" w:color="auto"/>
            <w:left w:val="none" w:sz="0" w:space="0" w:color="auto"/>
            <w:bottom w:val="none" w:sz="0" w:space="0" w:color="auto"/>
            <w:right w:val="none" w:sz="0" w:space="0" w:color="auto"/>
          </w:divBdr>
          <w:divsChild>
            <w:div w:id="134416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534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4608748">
      <w:bodyDiv w:val="1"/>
      <w:marLeft w:val="0"/>
      <w:marRight w:val="0"/>
      <w:marTop w:val="0"/>
      <w:marBottom w:val="0"/>
      <w:divBdr>
        <w:top w:val="none" w:sz="0" w:space="0" w:color="auto"/>
        <w:left w:val="none" w:sz="0" w:space="0" w:color="auto"/>
        <w:bottom w:val="none" w:sz="0" w:space="0" w:color="auto"/>
        <w:right w:val="none" w:sz="0" w:space="0" w:color="auto"/>
      </w:divBdr>
    </w:div>
    <w:div w:id="1954284176">
      <w:bodyDiv w:val="1"/>
      <w:marLeft w:val="0"/>
      <w:marRight w:val="0"/>
      <w:marTop w:val="0"/>
      <w:marBottom w:val="0"/>
      <w:divBdr>
        <w:top w:val="none" w:sz="0" w:space="0" w:color="auto"/>
        <w:left w:val="none" w:sz="0" w:space="0" w:color="auto"/>
        <w:bottom w:val="none" w:sz="0" w:space="0" w:color="auto"/>
        <w:right w:val="none" w:sz="0" w:space="0" w:color="auto"/>
      </w:divBdr>
      <w:divsChild>
        <w:div w:id="1721711086">
          <w:marLeft w:val="0"/>
          <w:marRight w:val="0"/>
          <w:marTop w:val="0"/>
          <w:marBottom w:val="0"/>
          <w:divBdr>
            <w:top w:val="none" w:sz="0" w:space="0" w:color="auto"/>
            <w:left w:val="none" w:sz="0" w:space="0" w:color="auto"/>
            <w:bottom w:val="none" w:sz="0" w:space="0" w:color="auto"/>
            <w:right w:val="none" w:sz="0" w:space="0" w:color="auto"/>
          </w:divBdr>
          <w:divsChild>
            <w:div w:id="2557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0047">
      <w:bodyDiv w:val="1"/>
      <w:marLeft w:val="0"/>
      <w:marRight w:val="0"/>
      <w:marTop w:val="0"/>
      <w:marBottom w:val="0"/>
      <w:divBdr>
        <w:top w:val="none" w:sz="0" w:space="0" w:color="auto"/>
        <w:left w:val="none" w:sz="0" w:space="0" w:color="auto"/>
        <w:bottom w:val="none" w:sz="0" w:space="0" w:color="auto"/>
        <w:right w:val="none" w:sz="0" w:space="0" w:color="auto"/>
      </w:divBdr>
      <w:divsChild>
        <w:div w:id="1190337738">
          <w:marLeft w:val="300"/>
          <w:marRight w:val="300"/>
          <w:marTop w:val="0"/>
          <w:marBottom w:val="0"/>
          <w:divBdr>
            <w:top w:val="none" w:sz="0" w:space="0" w:color="auto"/>
            <w:left w:val="none" w:sz="0" w:space="0" w:color="auto"/>
            <w:bottom w:val="none" w:sz="0" w:space="0" w:color="auto"/>
            <w:right w:val="none" w:sz="0" w:space="0" w:color="auto"/>
          </w:divBdr>
          <w:divsChild>
            <w:div w:id="1836920387">
              <w:marLeft w:val="0"/>
              <w:marRight w:val="0"/>
              <w:marTop w:val="0"/>
              <w:marBottom w:val="150"/>
              <w:divBdr>
                <w:top w:val="none" w:sz="0" w:space="0" w:color="auto"/>
                <w:left w:val="none" w:sz="0" w:space="0" w:color="auto"/>
                <w:bottom w:val="none" w:sz="0" w:space="0" w:color="auto"/>
                <w:right w:val="none" w:sz="0" w:space="0" w:color="auto"/>
              </w:divBdr>
              <w:divsChild>
                <w:div w:id="235747762">
                  <w:marLeft w:val="0"/>
                  <w:marRight w:val="0"/>
                  <w:marTop w:val="0"/>
                  <w:marBottom w:val="0"/>
                  <w:divBdr>
                    <w:top w:val="none" w:sz="0" w:space="0" w:color="auto"/>
                    <w:left w:val="none" w:sz="0" w:space="0" w:color="auto"/>
                    <w:bottom w:val="none" w:sz="0" w:space="0" w:color="auto"/>
                    <w:right w:val="none" w:sz="0" w:space="0" w:color="auto"/>
                  </w:divBdr>
                  <w:divsChild>
                    <w:div w:id="1866796116">
                      <w:marLeft w:val="0"/>
                      <w:marRight w:val="0"/>
                      <w:marTop w:val="0"/>
                      <w:marBottom w:val="0"/>
                      <w:divBdr>
                        <w:top w:val="none" w:sz="0" w:space="0" w:color="auto"/>
                        <w:left w:val="none" w:sz="0" w:space="0" w:color="auto"/>
                        <w:bottom w:val="none" w:sz="0" w:space="0" w:color="auto"/>
                        <w:right w:val="none" w:sz="0" w:space="0" w:color="auto"/>
                      </w:divBdr>
                      <w:divsChild>
                        <w:div w:id="1215308361">
                          <w:marLeft w:val="0"/>
                          <w:marRight w:val="0"/>
                          <w:marTop w:val="0"/>
                          <w:marBottom w:val="0"/>
                          <w:divBdr>
                            <w:top w:val="none" w:sz="0" w:space="0" w:color="auto"/>
                            <w:left w:val="none" w:sz="0" w:space="0" w:color="auto"/>
                            <w:bottom w:val="none" w:sz="0" w:space="0" w:color="auto"/>
                            <w:right w:val="none" w:sz="0" w:space="0" w:color="auto"/>
                          </w:divBdr>
                          <w:divsChild>
                            <w:div w:id="1797606364">
                              <w:marLeft w:val="0"/>
                              <w:marRight w:val="0"/>
                              <w:marTop w:val="0"/>
                              <w:marBottom w:val="0"/>
                              <w:divBdr>
                                <w:top w:val="none" w:sz="0" w:space="0" w:color="auto"/>
                                <w:left w:val="none" w:sz="0" w:space="0" w:color="auto"/>
                                <w:bottom w:val="none" w:sz="0" w:space="0" w:color="auto"/>
                                <w:right w:val="none" w:sz="0" w:space="0" w:color="auto"/>
                              </w:divBdr>
                              <w:divsChild>
                                <w:div w:id="2101754203">
                                  <w:marLeft w:val="0"/>
                                  <w:marRight w:val="0"/>
                                  <w:marTop w:val="0"/>
                                  <w:marBottom w:val="0"/>
                                  <w:divBdr>
                                    <w:top w:val="none" w:sz="0" w:space="0" w:color="auto"/>
                                    <w:left w:val="none" w:sz="0" w:space="0" w:color="auto"/>
                                    <w:bottom w:val="none" w:sz="0" w:space="0" w:color="auto"/>
                                    <w:right w:val="none" w:sz="0" w:space="0" w:color="auto"/>
                                  </w:divBdr>
                                  <w:divsChild>
                                    <w:div w:id="12851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662739">
      <w:bodyDiv w:val="1"/>
      <w:marLeft w:val="0"/>
      <w:marRight w:val="0"/>
      <w:marTop w:val="0"/>
      <w:marBottom w:val="0"/>
      <w:divBdr>
        <w:top w:val="none" w:sz="0" w:space="0" w:color="auto"/>
        <w:left w:val="none" w:sz="0" w:space="0" w:color="auto"/>
        <w:bottom w:val="none" w:sz="0" w:space="0" w:color="auto"/>
        <w:right w:val="none" w:sz="0" w:space="0" w:color="auto"/>
      </w:divBdr>
      <w:divsChild>
        <w:div w:id="679968500">
          <w:marLeft w:val="0"/>
          <w:marRight w:val="0"/>
          <w:marTop w:val="0"/>
          <w:marBottom w:val="0"/>
          <w:divBdr>
            <w:top w:val="none" w:sz="0" w:space="0" w:color="auto"/>
            <w:left w:val="none" w:sz="0" w:space="0" w:color="auto"/>
            <w:bottom w:val="none" w:sz="0" w:space="0" w:color="auto"/>
            <w:right w:val="none" w:sz="0" w:space="0" w:color="auto"/>
          </w:divBdr>
          <w:divsChild>
            <w:div w:id="170918471">
              <w:marLeft w:val="0"/>
              <w:marRight w:val="0"/>
              <w:marTop w:val="0"/>
              <w:marBottom w:val="0"/>
              <w:divBdr>
                <w:top w:val="none" w:sz="0" w:space="0" w:color="auto"/>
                <w:left w:val="none" w:sz="0" w:space="0" w:color="auto"/>
                <w:bottom w:val="none" w:sz="0" w:space="0" w:color="auto"/>
                <w:right w:val="none" w:sz="0" w:space="0" w:color="auto"/>
              </w:divBdr>
            </w:div>
            <w:div w:id="2021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6113">
      <w:bodyDiv w:val="1"/>
      <w:marLeft w:val="0"/>
      <w:marRight w:val="0"/>
      <w:marTop w:val="0"/>
      <w:marBottom w:val="0"/>
      <w:divBdr>
        <w:top w:val="none" w:sz="0" w:space="0" w:color="auto"/>
        <w:left w:val="none" w:sz="0" w:space="0" w:color="auto"/>
        <w:bottom w:val="none" w:sz="0" w:space="0" w:color="auto"/>
        <w:right w:val="none" w:sz="0" w:space="0" w:color="auto"/>
      </w:divBdr>
      <w:divsChild>
        <w:div w:id="478153632">
          <w:marLeft w:val="0"/>
          <w:marRight w:val="0"/>
          <w:marTop w:val="0"/>
          <w:marBottom w:val="0"/>
          <w:divBdr>
            <w:top w:val="none" w:sz="0" w:space="0" w:color="auto"/>
            <w:left w:val="none" w:sz="0" w:space="0" w:color="auto"/>
            <w:bottom w:val="none" w:sz="0" w:space="0" w:color="auto"/>
            <w:right w:val="none" w:sz="0" w:space="0" w:color="auto"/>
          </w:divBdr>
          <w:divsChild>
            <w:div w:id="14519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5793">
      <w:bodyDiv w:val="1"/>
      <w:marLeft w:val="0"/>
      <w:marRight w:val="0"/>
      <w:marTop w:val="0"/>
      <w:marBottom w:val="0"/>
      <w:divBdr>
        <w:top w:val="none" w:sz="0" w:space="0" w:color="auto"/>
        <w:left w:val="none" w:sz="0" w:space="0" w:color="auto"/>
        <w:bottom w:val="none" w:sz="0" w:space="0" w:color="auto"/>
        <w:right w:val="none" w:sz="0" w:space="0" w:color="auto"/>
      </w:divBdr>
    </w:div>
    <w:div w:id="1971355064">
      <w:bodyDiv w:val="1"/>
      <w:marLeft w:val="0"/>
      <w:marRight w:val="0"/>
      <w:marTop w:val="0"/>
      <w:marBottom w:val="0"/>
      <w:divBdr>
        <w:top w:val="none" w:sz="0" w:space="0" w:color="auto"/>
        <w:left w:val="none" w:sz="0" w:space="0" w:color="auto"/>
        <w:bottom w:val="none" w:sz="0" w:space="0" w:color="auto"/>
        <w:right w:val="none" w:sz="0" w:space="0" w:color="auto"/>
      </w:divBdr>
      <w:divsChild>
        <w:div w:id="2045328031">
          <w:marLeft w:val="0"/>
          <w:marRight w:val="0"/>
          <w:marTop w:val="0"/>
          <w:marBottom w:val="0"/>
          <w:divBdr>
            <w:top w:val="none" w:sz="0" w:space="0" w:color="auto"/>
            <w:left w:val="none" w:sz="0" w:space="0" w:color="auto"/>
            <w:bottom w:val="none" w:sz="0" w:space="0" w:color="auto"/>
            <w:right w:val="none" w:sz="0" w:space="0" w:color="auto"/>
          </w:divBdr>
          <w:divsChild>
            <w:div w:id="16293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3081">
      <w:bodyDiv w:val="1"/>
      <w:marLeft w:val="0"/>
      <w:marRight w:val="0"/>
      <w:marTop w:val="25"/>
      <w:marBottom w:val="626"/>
      <w:divBdr>
        <w:top w:val="none" w:sz="0" w:space="0" w:color="auto"/>
        <w:left w:val="none" w:sz="0" w:space="0" w:color="auto"/>
        <w:bottom w:val="none" w:sz="0" w:space="0" w:color="auto"/>
        <w:right w:val="none" w:sz="0" w:space="0" w:color="auto"/>
      </w:divBdr>
      <w:divsChild>
        <w:div w:id="808549371">
          <w:marLeft w:val="0"/>
          <w:marRight w:val="0"/>
          <w:marTop w:val="0"/>
          <w:marBottom w:val="0"/>
          <w:divBdr>
            <w:top w:val="none" w:sz="0" w:space="0" w:color="auto"/>
            <w:left w:val="none" w:sz="0" w:space="0" w:color="auto"/>
            <w:bottom w:val="none" w:sz="0" w:space="0" w:color="auto"/>
            <w:right w:val="none" w:sz="0" w:space="0" w:color="auto"/>
          </w:divBdr>
        </w:div>
      </w:divsChild>
    </w:div>
    <w:div w:id="1990818869">
      <w:bodyDiv w:val="1"/>
      <w:marLeft w:val="0"/>
      <w:marRight w:val="0"/>
      <w:marTop w:val="0"/>
      <w:marBottom w:val="0"/>
      <w:divBdr>
        <w:top w:val="none" w:sz="0" w:space="0" w:color="auto"/>
        <w:left w:val="none" w:sz="0" w:space="0" w:color="auto"/>
        <w:bottom w:val="none" w:sz="0" w:space="0" w:color="auto"/>
        <w:right w:val="none" w:sz="0" w:space="0" w:color="auto"/>
      </w:divBdr>
      <w:divsChild>
        <w:div w:id="2560364">
          <w:marLeft w:val="0"/>
          <w:marRight w:val="0"/>
          <w:marTop w:val="0"/>
          <w:marBottom w:val="0"/>
          <w:divBdr>
            <w:top w:val="none" w:sz="0" w:space="0" w:color="auto"/>
            <w:left w:val="none" w:sz="0" w:space="0" w:color="auto"/>
            <w:bottom w:val="none" w:sz="0" w:space="0" w:color="auto"/>
            <w:right w:val="none" w:sz="0" w:space="0" w:color="auto"/>
          </w:divBdr>
          <w:divsChild>
            <w:div w:id="13479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0748">
      <w:bodyDiv w:val="1"/>
      <w:marLeft w:val="0"/>
      <w:marRight w:val="0"/>
      <w:marTop w:val="0"/>
      <w:marBottom w:val="0"/>
      <w:divBdr>
        <w:top w:val="none" w:sz="0" w:space="0" w:color="auto"/>
        <w:left w:val="none" w:sz="0" w:space="0" w:color="auto"/>
        <w:bottom w:val="none" w:sz="0" w:space="0" w:color="auto"/>
        <w:right w:val="none" w:sz="0" w:space="0" w:color="auto"/>
      </w:divBdr>
      <w:divsChild>
        <w:div w:id="2023697584">
          <w:marLeft w:val="0"/>
          <w:marRight w:val="0"/>
          <w:marTop w:val="0"/>
          <w:marBottom w:val="0"/>
          <w:divBdr>
            <w:top w:val="none" w:sz="0" w:space="0" w:color="auto"/>
            <w:left w:val="none" w:sz="0" w:space="0" w:color="auto"/>
            <w:bottom w:val="none" w:sz="0" w:space="0" w:color="auto"/>
            <w:right w:val="none" w:sz="0" w:space="0" w:color="auto"/>
          </w:divBdr>
          <w:divsChild>
            <w:div w:id="20168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6416">
      <w:bodyDiv w:val="1"/>
      <w:marLeft w:val="0"/>
      <w:marRight w:val="0"/>
      <w:marTop w:val="0"/>
      <w:marBottom w:val="0"/>
      <w:divBdr>
        <w:top w:val="none" w:sz="0" w:space="0" w:color="auto"/>
        <w:left w:val="none" w:sz="0" w:space="0" w:color="auto"/>
        <w:bottom w:val="none" w:sz="0" w:space="0" w:color="auto"/>
        <w:right w:val="none" w:sz="0" w:space="0" w:color="auto"/>
      </w:divBdr>
    </w:div>
    <w:div w:id="2011519979">
      <w:bodyDiv w:val="1"/>
      <w:marLeft w:val="0"/>
      <w:marRight w:val="0"/>
      <w:marTop w:val="0"/>
      <w:marBottom w:val="0"/>
      <w:divBdr>
        <w:top w:val="none" w:sz="0" w:space="0" w:color="auto"/>
        <w:left w:val="none" w:sz="0" w:space="0" w:color="auto"/>
        <w:bottom w:val="none" w:sz="0" w:space="0" w:color="auto"/>
        <w:right w:val="none" w:sz="0" w:space="0" w:color="auto"/>
      </w:divBdr>
    </w:div>
    <w:div w:id="2016686211">
      <w:bodyDiv w:val="1"/>
      <w:marLeft w:val="0"/>
      <w:marRight w:val="0"/>
      <w:marTop w:val="0"/>
      <w:marBottom w:val="0"/>
      <w:divBdr>
        <w:top w:val="none" w:sz="0" w:space="0" w:color="auto"/>
        <w:left w:val="none" w:sz="0" w:space="0" w:color="auto"/>
        <w:bottom w:val="none" w:sz="0" w:space="0" w:color="auto"/>
        <w:right w:val="none" w:sz="0" w:space="0" w:color="auto"/>
      </w:divBdr>
      <w:divsChild>
        <w:div w:id="1095899488">
          <w:marLeft w:val="0"/>
          <w:marRight w:val="0"/>
          <w:marTop w:val="0"/>
          <w:marBottom w:val="0"/>
          <w:divBdr>
            <w:top w:val="none" w:sz="0" w:space="0" w:color="auto"/>
            <w:left w:val="none" w:sz="0" w:space="0" w:color="auto"/>
            <w:bottom w:val="none" w:sz="0" w:space="0" w:color="auto"/>
            <w:right w:val="none" w:sz="0" w:space="0" w:color="auto"/>
          </w:divBdr>
          <w:divsChild>
            <w:div w:id="8104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3406">
      <w:bodyDiv w:val="1"/>
      <w:marLeft w:val="0"/>
      <w:marRight w:val="0"/>
      <w:marTop w:val="0"/>
      <w:marBottom w:val="0"/>
      <w:divBdr>
        <w:top w:val="none" w:sz="0" w:space="0" w:color="auto"/>
        <w:left w:val="none" w:sz="0" w:space="0" w:color="auto"/>
        <w:bottom w:val="none" w:sz="0" w:space="0" w:color="auto"/>
        <w:right w:val="none" w:sz="0" w:space="0" w:color="auto"/>
      </w:divBdr>
      <w:divsChild>
        <w:div w:id="969937387">
          <w:marLeft w:val="0"/>
          <w:marRight w:val="0"/>
          <w:marTop w:val="0"/>
          <w:marBottom w:val="0"/>
          <w:divBdr>
            <w:top w:val="none" w:sz="0" w:space="0" w:color="auto"/>
            <w:left w:val="none" w:sz="0" w:space="0" w:color="auto"/>
            <w:bottom w:val="none" w:sz="0" w:space="0" w:color="auto"/>
            <w:right w:val="none" w:sz="0" w:space="0" w:color="auto"/>
          </w:divBdr>
          <w:divsChild>
            <w:div w:id="6561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3279">
      <w:bodyDiv w:val="1"/>
      <w:marLeft w:val="0"/>
      <w:marRight w:val="0"/>
      <w:marTop w:val="0"/>
      <w:marBottom w:val="0"/>
      <w:divBdr>
        <w:top w:val="none" w:sz="0" w:space="0" w:color="auto"/>
        <w:left w:val="none" w:sz="0" w:space="0" w:color="auto"/>
        <w:bottom w:val="none" w:sz="0" w:space="0" w:color="auto"/>
        <w:right w:val="none" w:sz="0" w:space="0" w:color="auto"/>
      </w:divBdr>
      <w:divsChild>
        <w:div w:id="1612666816">
          <w:marLeft w:val="0"/>
          <w:marRight w:val="0"/>
          <w:marTop w:val="0"/>
          <w:marBottom w:val="0"/>
          <w:divBdr>
            <w:top w:val="none" w:sz="0" w:space="0" w:color="auto"/>
            <w:left w:val="none" w:sz="0" w:space="0" w:color="auto"/>
            <w:bottom w:val="none" w:sz="0" w:space="0" w:color="auto"/>
            <w:right w:val="none" w:sz="0" w:space="0" w:color="auto"/>
          </w:divBdr>
          <w:divsChild>
            <w:div w:id="14258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2678">
      <w:bodyDiv w:val="1"/>
      <w:marLeft w:val="0"/>
      <w:marRight w:val="0"/>
      <w:marTop w:val="0"/>
      <w:marBottom w:val="0"/>
      <w:divBdr>
        <w:top w:val="none" w:sz="0" w:space="0" w:color="auto"/>
        <w:left w:val="none" w:sz="0" w:space="0" w:color="auto"/>
        <w:bottom w:val="none" w:sz="0" w:space="0" w:color="auto"/>
        <w:right w:val="none" w:sz="0" w:space="0" w:color="auto"/>
      </w:divBdr>
      <w:divsChild>
        <w:div w:id="639919137">
          <w:marLeft w:val="0"/>
          <w:marRight w:val="0"/>
          <w:marTop w:val="0"/>
          <w:marBottom w:val="0"/>
          <w:divBdr>
            <w:top w:val="none" w:sz="0" w:space="0" w:color="auto"/>
            <w:left w:val="none" w:sz="0" w:space="0" w:color="auto"/>
            <w:bottom w:val="none" w:sz="0" w:space="0" w:color="auto"/>
            <w:right w:val="none" w:sz="0" w:space="0" w:color="auto"/>
          </w:divBdr>
          <w:divsChild>
            <w:div w:id="1806435723">
              <w:marLeft w:val="0"/>
              <w:marRight w:val="0"/>
              <w:marTop w:val="0"/>
              <w:marBottom w:val="0"/>
              <w:divBdr>
                <w:top w:val="none" w:sz="0" w:space="0" w:color="auto"/>
                <w:left w:val="none" w:sz="0" w:space="0" w:color="auto"/>
                <w:bottom w:val="none" w:sz="0" w:space="0" w:color="auto"/>
                <w:right w:val="none" w:sz="0" w:space="0" w:color="auto"/>
              </w:divBdr>
            </w:div>
            <w:div w:id="1832137809">
              <w:marLeft w:val="0"/>
              <w:marRight w:val="0"/>
              <w:marTop w:val="0"/>
              <w:marBottom w:val="0"/>
              <w:divBdr>
                <w:top w:val="none" w:sz="0" w:space="0" w:color="auto"/>
                <w:left w:val="none" w:sz="0" w:space="0" w:color="auto"/>
                <w:bottom w:val="none" w:sz="0" w:space="0" w:color="auto"/>
                <w:right w:val="none" w:sz="0" w:space="0" w:color="auto"/>
              </w:divBdr>
              <w:divsChild>
                <w:div w:id="50621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2076797">
      <w:bodyDiv w:val="1"/>
      <w:marLeft w:val="0"/>
      <w:marRight w:val="0"/>
      <w:marTop w:val="0"/>
      <w:marBottom w:val="0"/>
      <w:divBdr>
        <w:top w:val="none" w:sz="0" w:space="0" w:color="auto"/>
        <w:left w:val="none" w:sz="0" w:space="0" w:color="auto"/>
        <w:bottom w:val="none" w:sz="0" w:space="0" w:color="auto"/>
        <w:right w:val="none" w:sz="0" w:space="0" w:color="auto"/>
      </w:divBdr>
      <w:divsChild>
        <w:div w:id="426199418">
          <w:marLeft w:val="0"/>
          <w:marRight w:val="0"/>
          <w:marTop w:val="0"/>
          <w:marBottom w:val="0"/>
          <w:divBdr>
            <w:top w:val="none" w:sz="0" w:space="0" w:color="auto"/>
            <w:left w:val="none" w:sz="0" w:space="0" w:color="auto"/>
            <w:bottom w:val="none" w:sz="0" w:space="0" w:color="auto"/>
            <w:right w:val="none" w:sz="0" w:space="0" w:color="auto"/>
          </w:divBdr>
          <w:divsChild>
            <w:div w:id="15230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976">
      <w:bodyDiv w:val="1"/>
      <w:marLeft w:val="0"/>
      <w:marRight w:val="0"/>
      <w:marTop w:val="0"/>
      <w:marBottom w:val="0"/>
      <w:divBdr>
        <w:top w:val="none" w:sz="0" w:space="0" w:color="auto"/>
        <w:left w:val="none" w:sz="0" w:space="0" w:color="auto"/>
        <w:bottom w:val="none" w:sz="0" w:space="0" w:color="auto"/>
        <w:right w:val="none" w:sz="0" w:space="0" w:color="auto"/>
      </w:divBdr>
      <w:divsChild>
        <w:div w:id="323748073">
          <w:marLeft w:val="0"/>
          <w:marRight w:val="0"/>
          <w:marTop w:val="0"/>
          <w:marBottom w:val="0"/>
          <w:divBdr>
            <w:top w:val="none" w:sz="0" w:space="0" w:color="auto"/>
            <w:left w:val="none" w:sz="0" w:space="0" w:color="auto"/>
            <w:bottom w:val="none" w:sz="0" w:space="0" w:color="auto"/>
            <w:right w:val="none" w:sz="0" w:space="0" w:color="auto"/>
          </w:divBdr>
        </w:div>
      </w:divsChild>
    </w:div>
    <w:div w:id="2061829386">
      <w:bodyDiv w:val="1"/>
      <w:marLeft w:val="0"/>
      <w:marRight w:val="0"/>
      <w:marTop w:val="0"/>
      <w:marBottom w:val="0"/>
      <w:divBdr>
        <w:top w:val="none" w:sz="0" w:space="0" w:color="auto"/>
        <w:left w:val="none" w:sz="0" w:space="0" w:color="auto"/>
        <w:bottom w:val="none" w:sz="0" w:space="0" w:color="auto"/>
        <w:right w:val="none" w:sz="0" w:space="0" w:color="auto"/>
      </w:divBdr>
      <w:divsChild>
        <w:div w:id="2044016737">
          <w:marLeft w:val="0"/>
          <w:marRight w:val="0"/>
          <w:marTop w:val="0"/>
          <w:marBottom w:val="0"/>
          <w:divBdr>
            <w:top w:val="none" w:sz="0" w:space="0" w:color="auto"/>
            <w:left w:val="none" w:sz="0" w:space="0" w:color="auto"/>
            <w:bottom w:val="none" w:sz="0" w:space="0" w:color="auto"/>
            <w:right w:val="none" w:sz="0" w:space="0" w:color="auto"/>
          </w:divBdr>
          <w:divsChild>
            <w:div w:id="17592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78">
      <w:bodyDiv w:val="1"/>
      <w:marLeft w:val="0"/>
      <w:marRight w:val="0"/>
      <w:marTop w:val="0"/>
      <w:marBottom w:val="0"/>
      <w:divBdr>
        <w:top w:val="none" w:sz="0" w:space="0" w:color="auto"/>
        <w:left w:val="none" w:sz="0" w:space="0" w:color="auto"/>
        <w:bottom w:val="none" w:sz="0" w:space="0" w:color="auto"/>
        <w:right w:val="none" w:sz="0" w:space="0" w:color="auto"/>
      </w:divBdr>
      <w:divsChild>
        <w:div w:id="1798377523">
          <w:marLeft w:val="335"/>
          <w:marRight w:val="335"/>
          <w:marTop w:val="0"/>
          <w:marBottom w:val="0"/>
          <w:divBdr>
            <w:top w:val="none" w:sz="0" w:space="0" w:color="auto"/>
            <w:left w:val="none" w:sz="0" w:space="0" w:color="auto"/>
            <w:bottom w:val="none" w:sz="0" w:space="0" w:color="auto"/>
            <w:right w:val="none" w:sz="0" w:space="0" w:color="auto"/>
          </w:divBdr>
          <w:divsChild>
            <w:div w:id="1206142376">
              <w:marLeft w:val="0"/>
              <w:marRight w:val="0"/>
              <w:marTop w:val="0"/>
              <w:marBottom w:val="167"/>
              <w:divBdr>
                <w:top w:val="none" w:sz="0" w:space="0" w:color="auto"/>
                <w:left w:val="none" w:sz="0" w:space="0" w:color="auto"/>
                <w:bottom w:val="none" w:sz="0" w:space="0" w:color="auto"/>
                <w:right w:val="none" w:sz="0" w:space="0" w:color="auto"/>
              </w:divBdr>
              <w:divsChild>
                <w:div w:id="1713461997">
                  <w:marLeft w:val="0"/>
                  <w:marRight w:val="0"/>
                  <w:marTop w:val="0"/>
                  <w:marBottom w:val="0"/>
                  <w:divBdr>
                    <w:top w:val="none" w:sz="0" w:space="0" w:color="auto"/>
                    <w:left w:val="none" w:sz="0" w:space="0" w:color="auto"/>
                    <w:bottom w:val="none" w:sz="0" w:space="0" w:color="auto"/>
                    <w:right w:val="none" w:sz="0" w:space="0" w:color="auto"/>
                  </w:divBdr>
                  <w:divsChild>
                    <w:div w:id="543060349">
                      <w:marLeft w:val="0"/>
                      <w:marRight w:val="0"/>
                      <w:marTop w:val="0"/>
                      <w:marBottom w:val="0"/>
                      <w:divBdr>
                        <w:top w:val="none" w:sz="0" w:space="0" w:color="auto"/>
                        <w:left w:val="none" w:sz="0" w:space="0" w:color="auto"/>
                        <w:bottom w:val="none" w:sz="0" w:space="0" w:color="auto"/>
                        <w:right w:val="none" w:sz="0" w:space="0" w:color="auto"/>
                      </w:divBdr>
                      <w:divsChild>
                        <w:div w:id="893925594">
                          <w:marLeft w:val="0"/>
                          <w:marRight w:val="0"/>
                          <w:marTop w:val="0"/>
                          <w:marBottom w:val="0"/>
                          <w:divBdr>
                            <w:top w:val="none" w:sz="0" w:space="0" w:color="auto"/>
                            <w:left w:val="none" w:sz="0" w:space="0" w:color="auto"/>
                            <w:bottom w:val="none" w:sz="0" w:space="0" w:color="auto"/>
                            <w:right w:val="none" w:sz="0" w:space="0" w:color="auto"/>
                          </w:divBdr>
                          <w:divsChild>
                            <w:div w:id="127166615">
                              <w:marLeft w:val="0"/>
                              <w:marRight w:val="0"/>
                              <w:marTop w:val="0"/>
                              <w:marBottom w:val="0"/>
                              <w:divBdr>
                                <w:top w:val="none" w:sz="0" w:space="0" w:color="auto"/>
                                <w:left w:val="none" w:sz="0" w:space="0" w:color="auto"/>
                                <w:bottom w:val="none" w:sz="0" w:space="0" w:color="auto"/>
                                <w:right w:val="none" w:sz="0" w:space="0" w:color="auto"/>
                              </w:divBdr>
                            </w:div>
                            <w:div w:id="213081582">
                              <w:marLeft w:val="0"/>
                              <w:marRight w:val="0"/>
                              <w:marTop w:val="0"/>
                              <w:marBottom w:val="0"/>
                              <w:divBdr>
                                <w:top w:val="none" w:sz="0" w:space="0" w:color="auto"/>
                                <w:left w:val="none" w:sz="0" w:space="0" w:color="auto"/>
                                <w:bottom w:val="none" w:sz="0" w:space="0" w:color="auto"/>
                                <w:right w:val="none" w:sz="0" w:space="0" w:color="auto"/>
                              </w:divBdr>
                            </w:div>
                            <w:div w:id="432285855">
                              <w:marLeft w:val="0"/>
                              <w:marRight w:val="0"/>
                              <w:marTop w:val="0"/>
                              <w:marBottom w:val="0"/>
                              <w:divBdr>
                                <w:top w:val="none" w:sz="0" w:space="0" w:color="auto"/>
                                <w:left w:val="none" w:sz="0" w:space="0" w:color="auto"/>
                                <w:bottom w:val="none" w:sz="0" w:space="0" w:color="auto"/>
                                <w:right w:val="none" w:sz="0" w:space="0" w:color="auto"/>
                              </w:divBdr>
                            </w:div>
                            <w:div w:id="548538459">
                              <w:marLeft w:val="0"/>
                              <w:marRight w:val="0"/>
                              <w:marTop w:val="0"/>
                              <w:marBottom w:val="0"/>
                              <w:divBdr>
                                <w:top w:val="none" w:sz="0" w:space="0" w:color="auto"/>
                                <w:left w:val="none" w:sz="0" w:space="0" w:color="auto"/>
                                <w:bottom w:val="none" w:sz="0" w:space="0" w:color="auto"/>
                                <w:right w:val="none" w:sz="0" w:space="0" w:color="auto"/>
                              </w:divBdr>
                            </w:div>
                            <w:div w:id="836042763">
                              <w:marLeft w:val="0"/>
                              <w:marRight w:val="0"/>
                              <w:marTop w:val="0"/>
                              <w:marBottom w:val="0"/>
                              <w:divBdr>
                                <w:top w:val="none" w:sz="0" w:space="0" w:color="auto"/>
                                <w:left w:val="none" w:sz="0" w:space="0" w:color="auto"/>
                                <w:bottom w:val="none" w:sz="0" w:space="0" w:color="auto"/>
                                <w:right w:val="none" w:sz="0" w:space="0" w:color="auto"/>
                              </w:divBdr>
                              <w:divsChild>
                                <w:div w:id="22949636">
                                  <w:marLeft w:val="0"/>
                                  <w:marRight w:val="0"/>
                                  <w:marTop w:val="0"/>
                                  <w:marBottom w:val="0"/>
                                  <w:divBdr>
                                    <w:top w:val="none" w:sz="0" w:space="0" w:color="auto"/>
                                    <w:left w:val="none" w:sz="0" w:space="0" w:color="auto"/>
                                    <w:bottom w:val="none" w:sz="0" w:space="0" w:color="auto"/>
                                    <w:right w:val="none" w:sz="0" w:space="0" w:color="auto"/>
                                  </w:divBdr>
                                </w:div>
                                <w:div w:id="233393590">
                                  <w:marLeft w:val="0"/>
                                  <w:marRight w:val="0"/>
                                  <w:marTop w:val="0"/>
                                  <w:marBottom w:val="0"/>
                                  <w:divBdr>
                                    <w:top w:val="none" w:sz="0" w:space="0" w:color="auto"/>
                                    <w:left w:val="none" w:sz="0" w:space="0" w:color="auto"/>
                                    <w:bottom w:val="none" w:sz="0" w:space="0" w:color="auto"/>
                                    <w:right w:val="none" w:sz="0" w:space="0" w:color="auto"/>
                                  </w:divBdr>
                                </w:div>
                                <w:div w:id="541478841">
                                  <w:marLeft w:val="0"/>
                                  <w:marRight w:val="0"/>
                                  <w:marTop w:val="0"/>
                                  <w:marBottom w:val="0"/>
                                  <w:divBdr>
                                    <w:top w:val="none" w:sz="0" w:space="0" w:color="auto"/>
                                    <w:left w:val="none" w:sz="0" w:space="0" w:color="auto"/>
                                    <w:bottom w:val="none" w:sz="0" w:space="0" w:color="auto"/>
                                    <w:right w:val="none" w:sz="0" w:space="0" w:color="auto"/>
                                  </w:divBdr>
                                </w:div>
                                <w:div w:id="866403772">
                                  <w:marLeft w:val="0"/>
                                  <w:marRight w:val="0"/>
                                  <w:marTop w:val="0"/>
                                  <w:marBottom w:val="0"/>
                                  <w:divBdr>
                                    <w:top w:val="none" w:sz="0" w:space="0" w:color="auto"/>
                                    <w:left w:val="none" w:sz="0" w:space="0" w:color="auto"/>
                                    <w:bottom w:val="none" w:sz="0" w:space="0" w:color="auto"/>
                                    <w:right w:val="none" w:sz="0" w:space="0" w:color="auto"/>
                                  </w:divBdr>
                                </w:div>
                                <w:div w:id="1129661863">
                                  <w:marLeft w:val="0"/>
                                  <w:marRight w:val="0"/>
                                  <w:marTop w:val="0"/>
                                  <w:marBottom w:val="0"/>
                                  <w:divBdr>
                                    <w:top w:val="none" w:sz="0" w:space="0" w:color="auto"/>
                                    <w:left w:val="none" w:sz="0" w:space="0" w:color="auto"/>
                                    <w:bottom w:val="none" w:sz="0" w:space="0" w:color="auto"/>
                                    <w:right w:val="none" w:sz="0" w:space="0" w:color="auto"/>
                                  </w:divBdr>
                                </w:div>
                                <w:div w:id="1428192909">
                                  <w:marLeft w:val="0"/>
                                  <w:marRight w:val="0"/>
                                  <w:marTop w:val="0"/>
                                  <w:marBottom w:val="0"/>
                                  <w:divBdr>
                                    <w:top w:val="none" w:sz="0" w:space="0" w:color="auto"/>
                                    <w:left w:val="none" w:sz="0" w:space="0" w:color="auto"/>
                                    <w:bottom w:val="none" w:sz="0" w:space="0" w:color="auto"/>
                                    <w:right w:val="none" w:sz="0" w:space="0" w:color="auto"/>
                                  </w:divBdr>
                                </w:div>
                                <w:div w:id="1475565914">
                                  <w:marLeft w:val="0"/>
                                  <w:marRight w:val="0"/>
                                  <w:marTop w:val="0"/>
                                  <w:marBottom w:val="0"/>
                                  <w:divBdr>
                                    <w:top w:val="none" w:sz="0" w:space="0" w:color="auto"/>
                                    <w:left w:val="none" w:sz="0" w:space="0" w:color="auto"/>
                                    <w:bottom w:val="none" w:sz="0" w:space="0" w:color="auto"/>
                                    <w:right w:val="none" w:sz="0" w:space="0" w:color="auto"/>
                                  </w:divBdr>
                                </w:div>
                                <w:div w:id="1639452748">
                                  <w:marLeft w:val="0"/>
                                  <w:marRight w:val="0"/>
                                  <w:marTop w:val="0"/>
                                  <w:marBottom w:val="0"/>
                                  <w:divBdr>
                                    <w:top w:val="none" w:sz="0" w:space="0" w:color="auto"/>
                                    <w:left w:val="none" w:sz="0" w:space="0" w:color="auto"/>
                                    <w:bottom w:val="none" w:sz="0" w:space="0" w:color="auto"/>
                                    <w:right w:val="none" w:sz="0" w:space="0" w:color="auto"/>
                                  </w:divBdr>
                                </w:div>
                              </w:divsChild>
                            </w:div>
                            <w:div w:id="958729105">
                              <w:marLeft w:val="0"/>
                              <w:marRight w:val="0"/>
                              <w:marTop w:val="0"/>
                              <w:marBottom w:val="0"/>
                              <w:divBdr>
                                <w:top w:val="none" w:sz="0" w:space="0" w:color="auto"/>
                                <w:left w:val="none" w:sz="0" w:space="0" w:color="auto"/>
                                <w:bottom w:val="none" w:sz="0" w:space="0" w:color="auto"/>
                                <w:right w:val="none" w:sz="0" w:space="0" w:color="auto"/>
                              </w:divBdr>
                            </w:div>
                            <w:div w:id="1145512385">
                              <w:marLeft w:val="0"/>
                              <w:marRight w:val="0"/>
                              <w:marTop w:val="0"/>
                              <w:marBottom w:val="0"/>
                              <w:divBdr>
                                <w:top w:val="none" w:sz="0" w:space="0" w:color="auto"/>
                                <w:left w:val="none" w:sz="0" w:space="0" w:color="auto"/>
                                <w:bottom w:val="none" w:sz="0" w:space="0" w:color="auto"/>
                                <w:right w:val="none" w:sz="0" w:space="0" w:color="auto"/>
                              </w:divBdr>
                            </w:div>
                            <w:div w:id="1174493359">
                              <w:marLeft w:val="0"/>
                              <w:marRight w:val="0"/>
                              <w:marTop w:val="0"/>
                              <w:marBottom w:val="0"/>
                              <w:divBdr>
                                <w:top w:val="none" w:sz="0" w:space="0" w:color="auto"/>
                                <w:left w:val="none" w:sz="0" w:space="0" w:color="auto"/>
                                <w:bottom w:val="none" w:sz="0" w:space="0" w:color="auto"/>
                                <w:right w:val="none" w:sz="0" w:space="0" w:color="auto"/>
                              </w:divBdr>
                            </w:div>
                            <w:div w:id="1374306257">
                              <w:marLeft w:val="0"/>
                              <w:marRight w:val="0"/>
                              <w:marTop w:val="0"/>
                              <w:marBottom w:val="0"/>
                              <w:divBdr>
                                <w:top w:val="none" w:sz="0" w:space="0" w:color="auto"/>
                                <w:left w:val="none" w:sz="0" w:space="0" w:color="auto"/>
                                <w:bottom w:val="none" w:sz="0" w:space="0" w:color="auto"/>
                                <w:right w:val="none" w:sz="0" w:space="0" w:color="auto"/>
                              </w:divBdr>
                            </w:div>
                            <w:div w:id="1808432385">
                              <w:marLeft w:val="0"/>
                              <w:marRight w:val="0"/>
                              <w:marTop w:val="0"/>
                              <w:marBottom w:val="0"/>
                              <w:divBdr>
                                <w:top w:val="none" w:sz="0" w:space="0" w:color="auto"/>
                                <w:left w:val="none" w:sz="0" w:space="0" w:color="auto"/>
                                <w:bottom w:val="none" w:sz="0" w:space="0" w:color="auto"/>
                                <w:right w:val="none" w:sz="0" w:space="0" w:color="auto"/>
                              </w:divBdr>
                            </w:div>
                            <w:div w:id="1865745505">
                              <w:marLeft w:val="0"/>
                              <w:marRight w:val="0"/>
                              <w:marTop w:val="0"/>
                              <w:marBottom w:val="0"/>
                              <w:divBdr>
                                <w:top w:val="none" w:sz="0" w:space="0" w:color="auto"/>
                                <w:left w:val="none" w:sz="0" w:space="0" w:color="auto"/>
                                <w:bottom w:val="none" w:sz="0" w:space="0" w:color="auto"/>
                                <w:right w:val="none" w:sz="0" w:space="0" w:color="auto"/>
                              </w:divBdr>
                            </w:div>
                            <w:div w:id="1866167190">
                              <w:marLeft w:val="0"/>
                              <w:marRight w:val="0"/>
                              <w:marTop w:val="0"/>
                              <w:marBottom w:val="0"/>
                              <w:divBdr>
                                <w:top w:val="none" w:sz="0" w:space="0" w:color="auto"/>
                                <w:left w:val="none" w:sz="0" w:space="0" w:color="auto"/>
                                <w:bottom w:val="none" w:sz="0" w:space="0" w:color="auto"/>
                                <w:right w:val="none" w:sz="0" w:space="0" w:color="auto"/>
                              </w:divBdr>
                            </w:div>
                            <w:div w:id="20450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044020">
      <w:bodyDiv w:val="1"/>
      <w:marLeft w:val="0"/>
      <w:marRight w:val="0"/>
      <w:marTop w:val="0"/>
      <w:marBottom w:val="0"/>
      <w:divBdr>
        <w:top w:val="none" w:sz="0" w:space="0" w:color="auto"/>
        <w:left w:val="none" w:sz="0" w:space="0" w:color="auto"/>
        <w:bottom w:val="none" w:sz="0" w:space="0" w:color="auto"/>
        <w:right w:val="none" w:sz="0" w:space="0" w:color="auto"/>
      </w:divBdr>
    </w:div>
    <w:div w:id="2106263083">
      <w:bodyDiv w:val="1"/>
      <w:marLeft w:val="0"/>
      <w:marRight w:val="0"/>
      <w:marTop w:val="0"/>
      <w:marBottom w:val="0"/>
      <w:divBdr>
        <w:top w:val="none" w:sz="0" w:space="0" w:color="auto"/>
        <w:left w:val="none" w:sz="0" w:space="0" w:color="auto"/>
        <w:bottom w:val="none" w:sz="0" w:space="0" w:color="auto"/>
        <w:right w:val="none" w:sz="0" w:space="0" w:color="auto"/>
      </w:divBdr>
    </w:div>
    <w:div w:id="2107531503">
      <w:bodyDiv w:val="1"/>
      <w:marLeft w:val="0"/>
      <w:marRight w:val="0"/>
      <w:marTop w:val="0"/>
      <w:marBottom w:val="0"/>
      <w:divBdr>
        <w:top w:val="none" w:sz="0" w:space="0" w:color="auto"/>
        <w:left w:val="none" w:sz="0" w:space="0" w:color="auto"/>
        <w:bottom w:val="none" w:sz="0" w:space="0" w:color="auto"/>
        <w:right w:val="none" w:sz="0" w:space="0" w:color="auto"/>
      </w:divBdr>
    </w:div>
    <w:div w:id="2112894229">
      <w:bodyDiv w:val="1"/>
      <w:marLeft w:val="0"/>
      <w:marRight w:val="0"/>
      <w:marTop w:val="0"/>
      <w:marBottom w:val="0"/>
      <w:divBdr>
        <w:top w:val="none" w:sz="0" w:space="0" w:color="auto"/>
        <w:left w:val="none" w:sz="0" w:space="0" w:color="auto"/>
        <w:bottom w:val="none" w:sz="0" w:space="0" w:color="auto"/>
        <w:right w:val="none" w:sz="0" w:space="0" w:color="auto"/>
      </w:divBdr>
      <w:divsChild>
        <w:div w:id="154809578">
          <w:marLeft w:val="0"/>
          <w:marRight w:val="0"/>
          <w:marTop w:val="0"/>
          <w:marBottom w:val="0"/>
          <w:divBdr>
            <w:top w:val="none" w:sz="0" w:space="0" w:color="auto"/>
            <w:left w:val="none" w:sz="0" w:space="0" w:color="auto"/>
            <w:bottom w:val="none" w:sz="0" w:space="0" w:color="auto"/>
            <w:right w:val="none" w:sz="0" w:space="0" w:color="auto"/>
          </w:divBdr>
          <w:divsChild>
            <w:div w:id="15062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6898">
      <w:bodyDiv w:val="1"/>
      <w:marLeft w:val="0"/>
      <w:marRight w:val="0"/>
      <w:marTop w:val="23"/>
      <w:marBottom w:val="576"/>
      <w:divBdr>
        <w:top w:val="none" w:sz="0" w:space="0" w:color="auto"/>
        <w:left w:val="none" w:sz="0" w:space="0" w:color="auto"/>
        <w:bottom w:val="none" w:sz="0" w:space="0" w:color="auto"/>
        <w:right w:val="none" w:sz="0" w:space="0" w:color="auto"/>
      </w:divBdr>
      <w:divsChild>
        <w:div w:id="882325241">
          <w:marLeft w:val="0"/>
          <w:marRight w:val="0"/>
          <w:marTop w:val="0"/>
          <w:marBottom w:val="0"/>
          <w:divBdr>
            <w:top w:val="none" w:sz="0" w:space="0" w:color="auto"/>
            <w:left w:val="none" w:sz="0" w:space="0" w:color="auto"/>
            <w:bottom w:val="none" w:sz="0" w:space="0" w:color="auto"/>
            <w:right w:val="none" w:sz="0" w:space="0" w:color="auto"/>
          </w:divBdr>
        </w:div>
      </w:divsChild>
    </w:div>
    <w:div w:id="2123500059">
      <w:bodyDiv w:val="1"/>
      <w:marLeft w:val="0"/>
      <w:marRight w:val="0"/>
      <w:marTop w:val="0"/>
      <w:marBottom w:val="0"/>
      <w:divBdr>
        <w:top w:val="none" w:sz="0" w:space="0" w:color="auto"/>
        <w:left w:val="none" w:sz="0" w:space="0" w:color="auto"/>
        <w:bottom w:val="none" w:sz="0" w:space="0" w:color="auto"/>
        <w:right w:val="none" w:sz="0" w:space="0" w:color="auto"/>
      </w:divBdr>
      <w:divsChild>
        <w:div w:id="2087216405">
          <w:marLeft w:val="0"/>
          <w:marRight w:val="0"/>
          <w:marTop w:val="0"/>
          <w:marBottom w:val="0"/>
          <w:divBdr>
            <w:top w:val="none" w:sz="0" w:space="0" w:color="auto"/>
            <w:left w:val="none" w:sz="0" w:space="0" w:color="auto"/>
            <w:bottom w:val="none" w:sz="0" w:space="0" w:color="auto"/>
            <w:right w:val="none" w:sz="0" w:space="0" w:color="auto"/>
          </w:divBdr>
          <w:divsChild>
            <w:div w:id="857238501">
              <w:marLeft w:val="0"/>
              <w:marRight w:val="0"/>
              <w:marTop w:val="0"/>
              <w:marBottom w:val="0"/>
              <w:divBdr>
                <w:top w:val="none" w:sz="0" w:space="0" w:color="auto"/>
                <w:left w:val="none" w:sz="0" w:space="0" w:color="auto"/>
                <w:bottom w:val="none" w:sz="0" w:space="0" w:color="auto"/>
                <w:right w:val="none" w:sz="0" w:space="0" w:color="auto"/>
              </w:divBdr>
            </w:div>
            <w:div w:id="1816412063">
              <w:marLeft w:val="0"/>
              <w:marRight w:val="0"/>
              <w:marTop w:val="0"/>
              <w:marBottom w:val="0"/>
              <w:divBdr>
                <w:top w:val="none" w:sz="0" w:space="0" w:color="auto"/>
                <w:left w:val="none" w:sz="0" w:space="0" w:color="auto"/>
                <w:bottom w:val="none" w:sz="0" w:space="0" w:color="auto"/>
                <w:right w:val="none" w:sz="0" w:space="0" w:color="auto"/>
              </w:divBdr>
              <w:divsChild>
                <w:div w:id="1736584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856">
              <w:marLeft w:val="0"/>
              <w:marRight w:val="0"/>
              <w:marTop w:val="0"/>
              <w:marBottom w:val="0"/>
              <w:divBdr>
                <w:top w:val="none" w:sz="0" w:space="0" w:color="auto"/>
                <w:left w:val="none" w:sz="0" w:space="0" w:color="auto"/>
                <w:bottom w:val="none" w:sz="0" w:space="0" w:color="auto"/>
                <w:right w:val="none" w:sz="0" w:space="0" w:color="auto"/>
              </w:divBdr>
            </w:div>
            <w:div w:id="1628659109">
              <w:marLeft w:val="0"/>
              <w:marRight w:val="0"/>
              <w:marTop w:val="0"/>
              <w:marBottom w:val="0"/>
              <w:divBdr>
                <w:top w:val="none" w:sz="0" w:space="0" w:color="auto"/>
                <w:left w:val="none" w:sz="0" w:space="0" w:color="auto"/>
                <w:bottom w:val="none" w:sz="0" w:space="0" w:color="auto"/>
                <w:right w:val="none" w:sz="0" w:space="0" w:color="auto"/>
              </w:divBdr>
              <w:divsChild>
                <w:div w:id="89353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804619">
              <w:marLeft w:val="0"/>
              <w:marRight w:val="0"/>
              <w:marTop w:val="0"/>
              <w:marBottom w:val="0"/>
              <w:divBdr>
                <w:top w:val="none" w:sz="0" w:space="0" w:color="auto"/>
                <w:left w:val="none" w:sz="0" w:space="0" w:color="auto"/>
                <w:bottom w:val="none" w:sz="0" w:space="0" w:color="auto"/>
                <w:right w:val="none" w:sz="0" w:space="0" w:color="auto"/>
              </w:divBdr>
            </w:div>
            <w:div w:id="1129517185">
              <w:marLeft w:val="0"/>
              <w:marRight w:val="0"/>
              <w:marTop w:val="0"/>
              <w:marBottom w:val="0"/>
              <w:divBdr>
                <w:top w:val="none" w:sz="0" w:space="0" w:color="auto"/>
                <w:left w:val="none" w:sz="0" w:space="0" w:color="auto"/>
                <w:bottom w:val="none" w:sz="0" w:space="0" w:color="auto"/>
                <w:right w:val="none" w:sz="0" w:space="0" w:color="auto"/>
              </w:divBdr>
              <w:divsChild>
                <w:div w:id="49919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906289">
              <w:marLeft w:val="0"/>
              <w:marRight w:val="0"/>
              <w:marTop w:val="0"/>
              <w:marBottom w:val="0"/>
              <w:divBdr>
                <w:top w:val="none" w:sz="0" w:space="0" w:color="auto"/>
                <w:left w:val="none" w:sz="0" w:space="0" w:color="auto"/>
                <w:bottom w:val="none" w:sz="0" w:space="0" w:color="auto"/>
                <w:right w:val="none" w:sz="0" w:space="0" w:color="auto"/>
              </w:divBdr>
            </w:div>
            <w:div w:id="1104768054">
              <w:marLeft w:val="0"/>
              <w:marRight w:val="0"/>
              <w:marTop w:val="0"/>
              <w:marBottom w:val="0"/>
              <w:divBdr>
                <w:top w:val="none" w:sz="0" w:space="0" w:color="auto"/>
                <w:left w:val="none" w:sz="0" w:space="0" w:color="auto"/>
                <w:bottom w:val="none" w:sz="0" w:space="0" w:color="auto"/>
                <w:right w:val="none" w:sz="0" w:space="0" w:color="auto"/>
              </w:divBdr>
              <w:divsChild>
                <w:div w:id="30081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33537">
              <w:marLeft w:val="0"/>
              <w:marRight w:val="0"/>
              <w:marTop w:val="0"/>
              <w:marBottom w:val="0"/>
              <w:divBdr>
                <w:top w:val="none" w:sz="0" w:space="0" w:color="auto"/>
                <w:left w:val="none" w:sz="0" w:space="0" w:color="auto"/>
                <w:bottom w:val="none" w:sz="0" w:space="0" w:color="auto"/>
                <w:right w:val="none" w:sz="0" w:space="0" w:color="auto"/>
              </w:divBdr>
            </w:div>
            <w:div w:id="31151493">
              <w:marLeft w:val="0"/>
              <w:marRight w:val="0"/>
              <w:marTop w:val="0"/>
              <w:marBottom w:val="0"/>
              <w:divBdr>
                <w:top w:val="none" w:sz="0" w:space="0" w:color="auto"/>
                <w:left w:val="none" w:sz="0" w:space="0" w:color="auto"/>
                <w:bottom w:val="none" w:sz="0" w:space="0" w:color="auto"/>
                <w:right w:val="none" w:sz="0" w:space="0" w:color="auto"/>
              </w:divBdr>
              <w:divsChild>
                <w:div w:id="193320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75425">
              <w:marLeft w:val="0"/>
              <w:marRight w:val="0"/>
              <w:marTop w:val="0"/>
              <w:marBottom w:val="0"/>
              <w:divBdr>
                <w:top w:val="none" w:sz="0" w:space="0" w:color="auto"/>
                <w:left w:val="none" w:sz="0" w:space="0" w:color="auto"/>
                <w:bottom w:val="none" w:sz="0" w:space="0" w:color="auto"/>
                <w:right w:val="none" w:sz="0" w:space="0" w:color="auto"/>
              </w:divBdr>
            </w:div>
            <w:div w:id="2088531969">
              <w:marLeft w:val="0"/>
              <w:marRight w:val="0"/>
              <w:marTop w:val="0"/>
              <w:marBottom w:val="0"/>
              <w:divBdr>
                <w:top w:val="none" w:sz="0" w:space="0" w:color="auto"/>
                <w:left w:val="none" w:sz="0" w:space="0" w:color="auto"/>
                <w:bottom w:val="none" w:sz="0" w:space="0" w:color="auto"/>
                <w:right w:val="none" w:sz="0" w:space="0" w:color="auto"/>
              </w:divBdr>
              <w:divsChild>
                <w:div w:id="1332946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45254">
      <w:bodyDiv w:val="1"/>
      <w:marLeft w:val="0"/>
      <w:marRight w:val="0"/>
      <w:marTop w:val="0"/>
      <w:marBottom w:val="0"/>
      <w:divBdr>
        <w:top w:val="none" w:sz="0" w:space="0" w:color="auto"/>
        <w:left w:val="none" w:sz="0" w:space="0" w:color="auto"/>
        <w:bottom w:val="none" w:sz="0" w:space="0" w:color="auto"/>
        <w:right w:val="none" w:sz="0" w:space="0" w:color="auto"/>
      </w:divBdr>
      <w:divsChild>
        <w:div w:id="574359245">
          <w:marLeft w:val="600"/>
          <w:marRight w:val="0"/>
          <w:marTop w:val="240"/>
          <w:marBottom w:val="240"/>
          <w:divBdr>
            <w:top w:val="none" w:sz="0" w:space="0" w:color="auto"/>
            <w:left w:val="none" w:sz="0" w:space="0" w:color="auto"/>
            <w:bottom w:val="none" w:sz="0" w:space="0" w:color="auto"/>
            <w:right w:val="none" w:sz="0" w:space="0" w:color="auto"/>
          </w:divBdr>
        </w:div>
        <w:div w:id="1142114549">
          <w:marLeft w:val="600"/>
          <w:marRight w:val="0"/>
          <w:marTop w:val="240"/>
          <w:marBottom w:val="240"/>
          <w:divBdr>
            <w:top w:val="none" w:sz="0" w:space="0" w:color="auto"/>
            <w:left w:val="none" w:sz="0" w:space="0" w:color="auto"/>
            <w:bottom w:val="none" w:sz="0" w:space="0" w:color="auto"/>
            <w:right w:val="none" w:sz="0" w:space="0" w:color="auto"/>
          </w:divBdr>
          <w:divsChild>
            <w:div w:id="24412123">
              <w:marLeft w:val="600"/>
              <w:marRight w:val="0"/>
              <w:marTop w:val="240"/>
              <w:marBottom w:val="240"/>
              <w:divBdr>
                <w:top w:val="none" w:sz="0" w:space="0" w:color="auto"/>
                <w:left w:val="none" w:sz="0" w:space="0" w:color="auto"/>
                <w:bottom w:val="none" w:sz="0" w:space="0" w:color="auto"/>
                <w:right w:val="none" w:sz="0" w:space="0" w:color="auto"/>
              </w:divBdr>
            </w:div>
            <w:div w:id="494340675">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 w:id="2129007363">
      <w:bodyDiv w:val="1"/>
      <w:marLeft w:val="0"/>
      <w:marRight w:val="0"/>
      <w:marTop w:val="0"/>
      <w:marBottom w:val="0"/>
      <w:divBdr>
        <w:top w:val="none" w:sz="0" w:space="0" w:color="auto"/>
        <w:left w:val="none" w:sz="0" w:space="0" w:color="auto"/>
        <w:bottom w:val="none" w:sz="0" w:space="0" w:color="auto"/>
        <w:right w:val="none" w:sz="0" w:space="0" w:color="auto"/>
      </w:divBdr>
      <w:divsChild>
        <w:div w:id="1045831702">
          <w:marLeft w:val="0"/>
          <w:marRight w:val="0"/>
          <w:marTop w:val="0"/>
          <w:marBottom w:val="0"/>
          <w:divBdr>
            <w:top w:val="none" w:sz="0" w:space="0" w:color="auto"/>
            <w:left w:val="none" w:sz="0" w:space="0" w:color="auto"/>
            <w:bottom w:val="none" w:sz="0" w:space="0" w:color="auto"/>
            <w:right w:val="none" w:sz="0" w:space="0" w:color="auto"/>
          </w:divBdr>
          <w:divsChild>
            <w:div w:id="1912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1404">
      <w:bodyDiv w:val="1"/>
      <w:marLeft w:val="0"/>
      <w:marRight w:val="0"/>
      <w:marTop w:val="0"/>
      <w:marBottom w:val="0"/>
      <w:divBdr>
        <w:top w:val="none" w:sz="0" w:space="0" w:color="auto"/>
        <w:left w:val="none" w:sz="0" w:space="0" w:color="auto"/>
        <w:bottom w:val="none" w:sz="0" w:space="0" w:color="auto"/>
        <w:right w:val="none" w:sz="0" w:space="0" w:color="auto"/>
      </w:divBdr>
      <w:divsChild>
        <w:div w:id="16318704">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223">
      <w:bodyDiv w:val="1"/>
      <w:marLeft w:val="0"/>
      <w:marRight w:val="0"/>
      <w:marTop w:val="0"/>
      <w:marBottom w:val="0"/>
      <w:divBdr>
        <w:top w:val="none" w:sz="0" w:space="0" w:color="auto"/>
        <w:left w:val="none" w:sz="0" w:space="0" w:color="auto"/>
        <w:bottom w:val="none" w:sz="0" w:space="0" w:color="auto"/>
        <w:right w:val="none" w:sz="0" w:space="0" w:color="auto"/>
      </w:divBdr>
      <w:divsChild>
        <w:div w:id="1574779594">
          <w:marLeft w:val="0"/>
          <w:marRight w:val="0"/>
          <w:marTop w:val="0"/>
          <w:marBottom w:val="0"/>
          <w:divBdr>
            <w:top w:val="none" w:sz="0" w:space="0" w:color="auto"/>
            <w:left w:val="none" w:sz="0" w:space="0" w:color="auto"/>
            <w:bottom w:val="none" w:sz="0" w:space="0" w:color="auto"/>
            <w:right w:val="none" w:sz="0" w:space="0" w:color="auto"/>
          </w:divBdr>
          <w:divsChild>
            <w:div w:id="2437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1808">
      <w:bodyDiv w:val="1"/>
      <w:marLeft w:val="0"/>
      <w:marRight w:val="0"/>
      <w:marTop w:val="0"/>
      <w:marBottom w:val="0"/>
      <w:divBdr>
        <w:top w:val="none" w:sz="0" w:space="0" w:color="auto"/>
        <w:left w:val="none" w:sz="0" w:space="0" w:color="auto"/>
        <w:bottom w:val="none" w:sz="0" w:space="0" w:color="auto"/>
        <w:right w:val="none" w:sz="0" w:space="0" w:color="auto"/>
      </w:divBdr>
      <w:divsChild>
        <w:div w:id="1139150919">
          <w:marLeft w:val="272"/>
          <w:marRight w:val="272"/>
          <w:marTop w:val="0"/>
          <w:marBottom w:val="0"/>
          <w:divBdr>
            <w:top w:val="none" w:sz="0" w:space="0" w:color="auto"/>
            <w:left w:val="none" w:sz="0" w:space="0" w:color="auto"/>
            <w:bottom w:val="none" w:sz="0" w:space="0" w:color="auto"/>
            <w:right w:val="none" w:sz="0" w:space="0" w:color="auto"/>
          </w:divBdr>
          <w:divsChild>
            <w:div w:id="639924187">
              <w:marLeft w:val="0"/>
              <w:marRight w:val="0"/>
              <w:marTop w:val="0"/>
              <w:marBottom w:val="136"/>
              <w:divBdr>
                <w:top w:val="none" w:sz="0" w:space="0" w:color="auto"/>
                <w:left w:val="none" w:sz="0" w:space="0" w:color="auto"/>
                <w:bottom w:val="none" w:sz="0" w:space="0" w:color="auto"/>
                <w:right w:val="none" w:sz="0" w:space="0" w:color="auto"/>
              </w:divBdr>
              <w:divsChild>
                <w:div w:id="1429079148">
                  <w:marLeft w:val="0"/>
                  <w:marRight w:val="0"/>
                  <w:marTop w:val="0"/>
                  <w:marBottom w:val="0"/>
                  <w:divBdr>
                    <w:top w:val="none" w:sz="0" w:space="0" w:color="auto"/>
                    <w:left w:val="none" w:sz="0" w:space="0" w:color="auto"/>
                    <w:bottom w:val="none" w:sz="0" w:space="0" w:color="auto"/>
                    <w:right w:val="none" w:sz="0" w:space="0" w:color="auto"/>
                  </w:divBdr>
                  <w:divsChild>
                    <w:div w:id="834540384">
                      <w:marLeft w:val="0"/>
                      <w:marRight w:val="0"/>
                      <w:marTop w:val="0"/>
                      <w:marBottom w:val="0"/>
                      <w:divBdr>
                        <w:top w:val="none" w:sz="0" w:space="0" w:color="auto"/>
                        <w:left w:val="none" w:sz="0" w:space="0" w:color="auto"/>
                        <w:bottom w:val="none" w:sz="0" w:space="0" w:color="auto"/>
                        <w:right w:val="none" w:sz="0" w:space="0" w:color="auto"/>
                      </w:divBdr>
                      <w:divsChild>
                        <w:div w:id="280232855">
                          <w:marLeft w:val="0"/>
                          <w:marRight w:val="0"/>
                          <w:marTop w:val="0"/>
                          <w:marBottom w:val="0"/>
                          <w:divBdr>
                            <w:top w:val="none" w:sz="0" w:space="0" w:color="auto"/>
                            <w:left w:val="none" w:sz="0" w:space="0" w:color="auto"/>
                            <w:bottom w:val="none" w:sz="0" w:space="0" w:color="auto"/>
                            <w:right w:val="none" w:sz="0" w:space="0" w:color="auto"/>
                          </w:divBdr>
                        </w:div>
                        <w:div w:id="515732312">
                          <w:marLeft w:val="0"/>
                          <w:marRight w:val="0"/>
                          <w:marTop w:val="0"/>
                          <w:marBottom w:val="0"/>
                          <w:divBdr>
                            <w:top w:val="none" w:sz="0" w:space="0" w:color="auto"/>
                            <w:left w:val="none" w:sz="0" w:space="0" w:color="auto"/>
                            <w:bottom w:val="none" w:sz="0" w:space="0" w:color="auto"/>
                            <w:right w:val="none" w:sz="0" w:space="0" w:color="auto"/>
                          </w:divBdr>
                        </w:div>
                        <w:div w:id="1228030760">
                          <w:marLeft w:val="0"/>
                          <w:marRight w:val="0"/>
                          <w:marTop w:val="0"/>
                          <w:marBottom w:val="0"/>
                          <w:divBdr>
                            <w:top w:val="none" w:sz="0" w:space="0" w:color="auto"/>
                            <w:left w:val="none" w:sz="0" w:space="0" w:color="auto"/>
                            <w:bottom w:val="none" w:sz="0" w:space="0" w:color="auto"/>
                            <w:right w:val="none" w:sz="0" w:space="0" w:color="auto"/>
                          </w:divBdr>
                        </w:div>
                        <w:div w:id="1686203274">
                          <w:marLeft w:val="0"/>
                          <w:marRight w:val="0"/>
                          <w:marTop w:val="0"/>
                          <w:marBottom w:val="0"/>
                          <w:divBdr>
                            <w:top w:val="none" w:sz="0" w:space="0" w:color="auto"/>
                            <w:left w:val="none" w:sz="0" w:space="0" w:color="auto"/>
                            <w:bottom w:val="none" w:sz="0" w:space="0" w:color="auto"/>
                            <w:right w:val="none" w:sz="0" w:space="0" w:color="auto"/>
                          </w:divBdr>
                        </w:div>
                        <w:div w:id="21462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5030">
      <w:bodyDiv w:val="1"/>
      <w:marLeft w:val="0"/>
      <w:marRight w:val="0"/>
      <w:marTop w:val="0"/>
      <w:marBottom w:val="0"/>
      <w:divBdr>
        <w:top w:val="none" w:sz="0" w:space="0" w:color="auto"/>
        <w:left w:val="none" w:sz="0" w:space="0" w:color="auto"/>
        <w:bottom w:val="none" w:sz="0" w:space="0" w:color="auto"/>
        <w:right w:val="none" w:sz="0" w:space="0" w:color="auto"/>
      </w:divBdr>
      <w:divsChild>
        <w:div w:id="2128156036">
          <w:marLeft w:val="0"/>
          <w:marRight w:val="0"/>
          <w:marTop w:val="0"/>
          <w:marBottom w:val="0"/>
          <w:divBdr>
            <w:top w:val="none" w:sz="0" w:space="0" w:color="auto"/>
            <w:left w:val="none" w:sz="0" w:space="0" w:color="auto"/>
            <w:bottom w:val="none" w:sz="0" w:space="0" w:color="auto"/>
            <w:right w:val="none" w:sz="0" w:space="0" w:color="auto"/>
          </w:divBdr>
          <w:divsChild>
            <w:div w:id="3378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8325">
      <w:bodyDiv w:val="1"/>
      <w:marLeft w:val="0"/>
      <w:marRight w:val="0"/>
      <w:marTop w:val="0"/>
      <w:marBottom w:val="0"/>
      <w:divBdr>
        <w:top w:val="none" w:sz="0" w:space="0" w:color="auto"/>
        <w:left w:val="none" w:sz="0" w:space="0" w:color="auto"/>
        <w:bottom w:val="none" w:sz="0" w:space="0" w:color="auto"/>
        <w:right w:val="none" w:sz="0" w:space="0" w:color="auto"/>
      </w:divBdr>
      <w:divsChild>
        <w:div w:id="1987974058">
          <w:marLeft w:val="0"/>
          <w:marRight w:val="0"/>
          <w:marTop w:val="0"/>
          <w:marBottom w:val="0"/>
          <w:divBdr>
            <w:top w:val="none" w:sz="0" w:space="0" w:color="auto"/>
            <w:left w:val="none" w:sz="0" w:space="0" w:color="auto"/>
            <w:bottom w:val="none" w:sz="0" w:space="0" w:color="auto"/>
            <w:right w:val="none" w:sz="0" w:space="0" w:color="auto"/>
          </w:divBdr>
          <w:divsChild>
            <w:div w:id="1200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5441">
      <w:bodyDiv w:val="1"/>
      <w:marLeft w:val="0"/>
      <w:marRight w:val="0"/>
      <w:marTop w:val="0"/>
      <w:marBottom w:val="0"/>
      <w:divBdr>
        <w:top w:val="none" w:sz="0" w:space="0" w:color="auto"/>
        <w:left w:val="none" w:sz="0" w:space="0" w:color="auto"/>
        <w:bottom w:val="none" w:sz="0" w:space="0" w:color="auto"/>
        <w:right w:val="none" w:sz="0" w:space="0" w:color="auto"/>
      </w:divBdr>
      <w:divsChild>
        <w:div w:id="987594114">
          <w:marLeft w:val="0"/>
          <w:marRight w:val="0"/>
          <w:marTop w:val="0"/>
          <w:marBottom w:val="0"/>
          <w:divBdr>
            <w:top w:val="none" w:sz="0" w:space="0" w:color="auto"/>
            <w:left w:val="none" w:sz="0" w:space="0" w:color="auto"/>
            <w:bottom w:val="none" w:sz="0" w:space="0" w:color="auto"/>
            <w:right w:val="none" w:sz="0" w:space="0" w:color="auto"/>
          </w:divBdr>
          <w:divsChild>
            <w:div w:id="1101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7494">
      <w:bodyDiv w:val="1"/>
      <w:marLeft w:val="0"/>
      <w:marRight w:val="0"/>
      <w:marTop w:val="0"/>
      <w:marBottom w:val="0"/>
      <w:divBdr>
        <w:top w:val="none" w:sz="0" w:space="0" w:color="auto"/>
        <w:left w:val="none" w:sz="0" w:space="0" w:color="auto"/>
        <w:bottom w:val="none" w:sz="0" w:space="0" w:color="auto"/>
        <w:right w:val="none" w:sz="0" w:space="0" w:color="auto"/>
      </w:divBdr>
      <w:divsChild>
        <w:div w:id="19362971">
          <w:marLeft w:val="0"/>
          <w:marRight w:val="0"/>
          <w:marTop w:val="0"/>
          <w:marBottom w:val="0"/>
          <w:divBdr>
            <w:top w:val="none" w:sz="0" w:space="0" w:color="auto"/>
            <w:left w:val="none" w:sz="0" w:space="0" w:color="auto"/>
            <w:bottom w:val="none" w:sz="0" w:space="0" w:color="auto"/>
            <w:right w:val="none" w:sz="0" w:space="0" w:color="auto"/>
          </w:divBdr>
          <w:divsChild>
            <w:div w:id="15132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89956">
      <w:bodyDiv w:val="1"/>
      <w:marLeft w:val="0"/>
      <w:marRight w:val="0"/>
      <w:marTop w:val="0"/>
      <w:marBottom w:val="0"/>
      <w:divBdr>
        <w:top w:val="none" w:sz="0" w:space="0" w:color="auto"/>
        <w:left w:val="none" w:sz="0" w:space="0" w:color="auto"/>
        <w:bottom w:val="none" w:sz="0" w:space="0" w:color="auto"/>
        <w:right w:val="none" w:sz="0" w:space="0" w:color="auto"/>
      </w:divBdr>
      <w:divsChild>
        <w:div w:id="1647977141">
          <w:marLeft w:val="0"/>
          <w:marRight w:val="0"/>
          <w:marTop w:val="0"/>
          <w:marBottom w:val="0"/>
          <w:divBdr>
            <w:top w:val="none" w:sz="0" w:space="0" w:color="auto"/>
            <w:left w:val="none" w:sz="0" w:space="0" w:color="auto"/>
            <w:bottom w:val="none" w:sz="0" w:space="0" w:color="auto"/>
            <w:right w:val="none" w:sz="0" w:space="0" w:color="auto"/>
          </w:divBdr>
          <w:divsChild>
            <w:div w:id="3844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115">
      <w:bodyDiv w:val="1"/>
      <w:marLeft w:val="0"/>
      <w:marRight w:val="0"/>
      <w:marTop w:val="0"/>
      <w:marBottom w:val="0"/>
      <w:divBdr>
        <w:top w:val="none" w:sz="0" w:space="0" w:color="auto"/>
        <w:left w:val="none" w:sz="0" w:space="0" w:color="auto"/>
        <w:bottom w:val="none" w:sz="0" w:space="0" w:color="auto"/>
        <w:right w:val="none" w:sz="0" w:space="0" w:color="auto"/>
      </w:divBdr>
      <w:divsChild>
        <w:div w:id="636497736">
          <w:marLeft w:val="0"/>
          <w:marRight w:val="0"/>
          <w:marTop w:val="0"/>
          <w:marBottom w:val="0"/>
          <w:divBdr>
            <w:top w:val="none" w:sz="0" w:space="0" w:color="auto"/>
            <w:left w:val="none" w:sz="0" w:space="0" w:color="auto"/>
            <w:bottom w:val="none" w:sz="0" w:space="0" w:color="auto"/>
            <w:right w:val="none" w:sz="0" w:space="0" w:color="auto"/>
          </w:divBdr>
          <w:divsChild>
            <w:div w:id="1390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4821">
      <w:bodyDiv w:val="1"/>
      <w:marLeft w:val="0"/>
      <w:marRight w:val="0"/>
      <w:marTop w:val="0"/>
      <w:marBottom w:val="0"/>
      <w:divBdr>
        <w:top w:val="none" w:sz="0" w:space="0" w:color="auto"/>
        <w:left w:val="none" w:sz="0" w:space="0" w:color="auto"/>
        <w:bottom w:val="none" w:sz="0" w:space="0" w:color="auto"/>
        <w:right w:val="none" w:sz="0" w:space="0" w:color="auto"/>
      </w:divBdr>
      <w:divsChild>
        <w:div w:id="459150047">
          <w:marLeft w:val="0"/>
          <w:marRight w:val="0"/>
          <w:marTop w:val="0"/>
          <w:marBottom w:val="0"/>
          <w:divBdr>
            <w:top w:val="none" w:sz="0" w:space="0" w:color="auto"/>
            <w:left w:val="none" w:sz="0" w:space="0" w:color="auto"/>
            <w:bottom w:val="none" w:sz="0" w:space="0" w:color="auto"/>
            <w:right w:val="none" w:sz="0" w:space="0" w:color="auto"/>
          </w:divBdr>
          <w:divsChild>
            <w:div w:id="376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0613">
      <w:bodyDiv w:val="1"/>
      <w:marLeft w:val="0"/>
      <w:marRight w:val="0"/>
      <w:marTop w:val="0"/>
      <w:marBottom w:val="0"/>
      <w:divBdr>
        <w:top w:val="none" w:sz="0" w:space="0" w:color="auto"/>
        <w:left w:val="none" w:sz="0" w:space="0" w:color="auto"/>
        <w:bottom w:val="none" w:sz="0" w:space="0" w:color="auto"/>
        <w:right w:val="none" w:sz="0" w:space="0" w:color="auto"/>
      </w:divBdr>
      <w:divsChild>
        <w:div w:id="1666590713">
          <w:marLeft w:val="300"/>
          <w:marRight w:val="300"/>
          <w:marTop w:val="0"/>
          <w:marBottom w:val="0"/>
          <w:divBdr>
            <w:top w:val="none" w:sz="0" w:space="0" w:color="auto"/>
            <w:left w:val="none" w:sz="0" w:space="0" w:color="auto"/>
            <w:bottom w:val="none" w:sz="0" w:space="0" w:color="auto"/>
            <w:right w:val="none" w:sz="0" w:space="0" w:color="auto"/>
          </w:divBdr>
          <w:divsChild>
            <w:div w:id="751465559">
              <w:marLeft w:val="0"/>
              <w:marRight w:val="0"/>
              <w:marTop w:val="0"/>
              <w:marBottom w:val="150"/>
              <w:divBdr>
                <w:top w:val="none" w:sz="0" w:space="0" w:color="auto"/>
                <w:left w:val="none" w:sz="0" w:space="0" w:color="auto"/>
                <w:bottom w:val="none" w:sz="0" w:space="0" w:color="auto"/>
                <w:right w:val="none" w:sz="0" w:space="0" w:color="auto"/>
              </w:divBdr>
              <w:divsChild>
                <w:div w:id="2070835389">
                  <w:marLeft w:val="0"/>
                  <w:marRight w:val="0"/>
                  <w:marTop w:val="0"/>
                  <w:marBottom w:val="0"/>
                  <w:divBdr>
                    <w:top w:val="none" w:sz="0" w:space="0" w:color="auto"/>
                    <w:left w:val="none" w:sz="0" w:space="0" w:color="auto"/>
                    <w:bottom w:val="none" w:sz="0" w:space="0" w:color="auto"/>
                    <w:right w:val="none" w:sz="0" w:space="0" w:color="auto"/>
                  </w:divBdr>
                  <w:divsChild>
                    <w:div w:id="1324820633">
                      <w:marLeft w:val="0"/>
                      <w:marRight w:val="0"/>
                      <w:marTop w:val="0"/>
                      <w:marBottom w:val="0"/>
                      <w:divBdr>
                        <w:top w:val="none" w:sz="0" w:space="0" w:color="auto"/>
                        <w:left w:val="none" w:sz="0" w:space="0" w:color="auto"/>
                        <w:bottom w:val="none" w:sz="0" w:space="0" w:color="auto"/>
                        <w:right w:val="none" w:sz="0" w:space="0" w:color="auto"/>
                      </w:divBdr>
                      <w:divsChild>
                        <w:div w:id="2019185625">
                          <w:marLeft w:val="0"/>
                          <w:marRight w:val="0"/>
                          <w:marTop w:val="0"/>
                          <w:marBottom w:val="0"/>
                          <w:divBdr>
                            <w:top w:val="none" w:sz="0" w:space="0" w:color="auto"/>
                            <w:left w:val="none" w:sz="0" w:space="0" w:color="auto"/>
                            <w:bottom w:val="none" w:sz="0" w:space="0" w:color="auto"/>
                            <w:right w:val="none" w:sz="0" w:space="0" w:color="auto"/>
                          </w:divBdr>
                          <w:divsChild>
                            <w:div w:id="1708021893">
                              <w:marLeft w:val="0"/>
                              <w:marRight w:val="0"/>
                              <w:marTop w:val="0"/>
                              <w:marBottom w:val="0"/>
                              <w:divBdr>
                                <w:top w:val="none" w:sz="0" w:space="0" w:color="auto"/>
                                <w:left w:val="none" w:sz="0" w:space="0" w:color="auto"/>
                                <w:bottom w:val="none" w:sz="0" w:space="0" w:color="auto"/>
                                <w:right w:val="none" w:sz="0" w:space="0" w:color="auto"/>
                              </w:divBdr>
                              <w:divsChild>
                                <w:div w:id="906653186">
                                  <w:marLeft w:val="0"/>
                                  <w:marRight w:val="0"/>
                                  <w:marTop w:val="0"/>
                                  <w:marBottom w:val="0"/>
                                  <w:divBdr>
                                    <w:top w:val="none" w:sz="0" w:space="0" w:color="auto"/>
                                    <w:left w:val="none" w:sz="0" w:space="0" w:color="auto"/>
                                    <w:bottom w:val="none" w:sz="0" w:space="0" w:color="auto"/>
                                    <w:right w:val="none" w:sz="0" w:space="0" w:color="auto"/>
                                  </w:divBdr>
                                  <w:divsChild>
                                    <w:div w:id="607202459">
                                      <w:marLeft w:val="0"/>
                                      <w:marRight w:val="0"/>
                                      <w:marTop w:val="0"/>
                                      <w:marBottom w:val="0"/>
                                      <w:divBdr>
                                        <w:top w:val="none" w:sz="0" w:space="0" w:color="auto"/>
                                        <w:left w:val="none" w:sz="0" w:space="0" w:color="auto"/>
                                        <w:bottom w:val="none" w:sz="0" w:space="0" w:color="auto"/>
                                        <w:right w:val="none" w:sz="0" w:space="0" w:color="auto"/>
                                      </w:divBdr>
                                    </w:div>
                                    <w:div w:id="963734760">
                                      <w:marLeft w:val="0"/>
                                      <w:marRight w:val="0"/>
                                      <w:marTop w:val="0"/>
                                      <w:marBottom w:val="0"/>
                                      <w:divBdr>
                                        <w:top w:val="none" w:sz="0" w:space="0" w:color="auto"/>
                                        <w:left w:val="none" w:sz="0" w:space="0" w:color="auto"/>
                                        <w:bottom w:val="none" w:sz="0" w:space="0" w:color="auto"/>
                                        <w:right w:val="none" w:sz="0" w:space="0" w:color="auto"/>
                                      </w:divBdr>
                                    </w:div>
                                    <w:div w:id="1008945111">
                                      <w:marLeft w:val="0"/>
                                      <w:marRight w:val="0"/>
                                      <w:marTop w:val="0"/>
                                      <w:marBottom w:val="0"/>
                                      <w:divBdr>
                                        <w:top w:val="none" w:sz="0" w:space="0" w:color="auto"/>
                                        <w:left w:val="none" w:sz="0" w:space="0" w:color="auto"/>
                                        <w:bottom w:val="none" w:sz="0" w:space="0" w:color="auto"/>
                                        <w:right w:val="none" w:sz="0" w:space="0" w:color="auto"/>
                                      </w:divBdr>
                                      <w:divsChild>
                                        <w:div w:id="421488359">
                                          <w:marLeft w:val="0"/>
                                          <w:marRight w:val="0"/>
                                          <w:marTop w:val="0"/>
                                          <w:marBottom w:val="0"/>
                                          <w:divBdr>
                                            <w:top w:val="none" w:sz="0" w:space="0" w:color="auto"/>
                                            <w:left w:val="none" w:sz="0" w:space="0" w:color="auto"/>
                                            <w:bottom w:val="none" w:sz="0" w:space="0" w:color="auto"/>
                                            <w:right w:val="none" w:sz="0" w:space="0" w:color="auto"/>
                                          </w:divBdr>
                                        </w:div>
                                        <w:div w:id="825781070">
                                          <w:marLeft w:val="0"/>
                                          <w:marRight w:val="0"/>
                                          <w:marTop w:val="0"/>
                                          <w:marBottom w:val="0"/>
                                          <w:divBdr>
                                            <w:top w:val="none" w:sz="0" w:space="0" w:color="auto"/>
                                            <w:left w:val="none" w:sz="0" w:space="0" w:color="auto"/>
                                            <w:bottom w:val="none" w:sz="0" w:space="0" w:color="auto"/>
                                            <w:right w:val="none" w:sz="0" w:space="0" w:color="auto"/>
                                          </w:divBdr>
                                        </w:div>
                                        <w:div w:id="1698506896">
                                          <w:marLeft w:val="0"/>
                                          <w:marRight w:val="0"/>
                                          <w:marTop w:val="0"/>
                                          <w:marBottom w:val="0"/>
                                          <w:divBdr>
                                            <w:top w:val="none" w:sz="0" w:space="0" w:color="auto"/>
                                            <w:left w:val="none" w:sz="0" w:space="0" w:color="auto"/>
                                            <w:bottom w:val="none" w:sz="0" w:space="0" w:color="auto"/>
                                            <w:right w:val="none" w:sz="0" w:space="0" w:color="auto"/>
                                          </w:divBdr>
                                        </w:div>
                                      </w:divsChild>
                                    </w:div>
                                    <w:div w:id="1721053448">
                                      <w:marLeft w:val="0"/>
                                      <w:marRight w:val="0"/>
                                      <w:marTop w:val="0"/>
                                      <w:marBottom w:val="0"/>
                                      <w:divBdr>
                                        <w:top w:val="none" w:sz="0" w:space="0" w:color="auto"/>
                                        <w:left w:val="none" w:sz="0" w:space="0" w:color="auto"/>
                                        <w:bottom w:val="none" w:sz="0" w:space="0" w:color="auto"/>
                                        <w:right w:val="none" w:sz="0" w:space="0" w:color="auto"/>
                                      </w:divBdr>
                                      <w:divsChild>
                                        <w:div w:id="264073223">
                                          <w:marLeft w:val="0"/>
                                          <w:marRight w:val="0"/>
                                          <w:marTop w:val="0"/>
                                          <w:marBottom w:val="0"/>
                                          <w:divBdr>
                                            <w:top w:val="none" w:sz="0" w:space="0" w:color="auto"/>
                                            <w:left w:val="none" w:sz="0" w:space="0" w:color="auto"/>
                                            <w:bottom w:val="none" w:sz="0" w:space="0" w:color="auto"/>
                                            <w:right w:val="none" w:sz="0" w:space="0" w:color="auto"/>
                                          </w:divBdr>
                                        </w:div>
                                        <w:div w:id="794327259">
                                          <w:marLeft w:val="0"/>
                                          <w:marRight w:val="0"/>
                                          <w:marTop w:val="0"/>
                                          <w:marBottom w:val="0"/>
                                          <w:divBdr>
                                            <w:top w:val="none" w:sz="0" w:space="0" w:color="auto"/>
                                            <w:left w:val="none" w:sz="0" w:space="0" w:color="auto"/>
                                            <w:bottom w:val="none" w:sz="0" w:space="0" w:color="auto"/>
                                            <w:right w:val="none" w:sz="0" w:space="0" w:color="auto"/>
                                          </w:divBdr>
                                        </w:div>
                                        <w:div w:id="860240064">
                                          <w:marLeft w:val="0"/>
                                          <w:marRight w:val="0"/>
                                          <w:marTop w:val="0"/>
                                          <w:marBottom w:val="0"/>
                                          <w:divBdr>
                                            <w:top w:val="none" w:sz="0" w:space="0" w:color="auto"/>
                                            <w:left w:val="none" w:sz="0" w:space="0" w:color="auto"/>
                                            <w:bottom w:val="none" w:sz="0" w:space="0" w:color="auto"/>
                                            <w:right w:val="none" w:sz="0" w:space="0" w:color="auto"/>
                                          </w:divBdr>
                                        </w:div>
                                        <w:div w:id="1307009846">
                                          <w:marLeft w:val="0"/>
                                          <w:marRight w:val="0"/>
                                          <w:marTop w:val="0"/>
                                          <w:marBottom w:val="0"/>
                                          <w:divBdr>
                                            <w:top w:val="none" w:sz="0" w:space="0" w:color="auto"/>
                                            <w:left w:val="none" w:sz="0" w:space="0" w:color="auto"/>
                                            <w:bottom w:val="none" w:sz="0" w:space="0" w:color="auto"/>
                                            <w:right w:val="none" w:sz="0" w:space="0" w:color="auto"/>
                                          </w:divBdr>
                                        </w:div>
                                        <w:div w:id="1799645788">
                                          <w:marLeft w:val="0"/>
                                          <w:marRight w:val="0"/>
                                          <w:marTop w:val="0"/>
                                          <w:marBottom w:val="0"/>
                                          <w:divBdr>
                                            <w:top w:val="none" w:sz="0" w:space="0" w:color="auto"/>
                                            <w:left w:val="none" w:sz="0" w:space="0" w:color="auto"/>
                                            <w:bottom w:val="none" w:sz="0" w:space="0" w:color="auto"/>
                                            <w:right w:val="none" w:sz="0" w:space="0" w:color="auto"/>
                                          </w:divBdr>
                                        </w:div>
                                        <w:div w:id="18320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support@c5solutions.com" TargetMode="External"/><Relationship Id="rId21" Type="http://schemas.openxmlformats.org/officeDocument/2006/relationships/hyperlink" Target="http://www.finra.org/brokercheck" TargetMode="External"/><Relationship Id="rId42" Type="http://schemas.openxmlformats.org/officeDocument/2006/relationships/hyperlink" Target="https://www.fincen.gov/resources/filing-information" TargetMode="External"/><Relationship Id="rId63" Type="http://schemas.openxmlformats.org/officeDocument/2006/relationships/hyperlink" Target="http://www.treas.gov/offices/enforcement/ofac/legal/forms/e%20blockreport1.pdf" TargetMode="External"/><Relationship Id="rId84" Type="http://schemas.openxmlformats.org/officeDocument/2006/relationships/hyperlink" Target="http://finra.complinet.com/en/display/display.html?rbid=2403&amp;element_id=4617" TargetMode="External"/><Relationship Id="rId138" Type="http://schemas.openxmlformats.org/officeDocument/2006/relationships/hyperlink" Target="http://www.hilltopsecurities.com" TargetMode="External"/><Relationship Id="rId159" Type="http://schemas.openxmlformats.org/officeDocument/2006/relationships/hyperlink" Target="http://www.msrb.org" TargetMode="External"/><Relationship Id="rId170" Type="http://schemas.openxmlformats.org/officeDocument/2006/relationships/hyperlink" Target="mailto:dan64baker@yahoo.com" TargetMode="External"/><Relationship Id="rId107" Type="http://schemas.openxmlformats.org/officeDocument/2006/relationships/hyperlink" Target="http://www.woodlandssecurities.com" TargetMode="External"/><Relationship Id="rId11" Type="http://schemas.openxmlformats.org/officeDocument/2006/relationships/hyperlink" Target="https://www.sec.gov/info/smallbus/secg/form-crs-relationship-summary" TargetMode="External"/><Relationship Id="rId32" Type="http://schemas.openxmlformats.org/officeDocument/2006/relationships/hyperlink" Target="javascript:outsideLink('http://postalinspectors.uspis.gov/contactUs/phoneus.aspx');" TargetMode="External"/><Relationship Id="rId53" Type="http://schemas.openxmlformats.org/officeDocument/2006/relationships/hyperlink" Target="http://www.fincen.gov/f4789-1.pdf" TargetMode="External"/><Relationship Id="rId74" Type="http://schemas.openxmlformats.org/officeDocument/2006/relationships/hyperlink" Target="mailto:help@finracat.com" TargetMode="External"/><Relationship Id="rId128" Type="http://schemas.openxmlformats.org/officeDocument/2006/relationships/hyperlink" Target="https://secure.fmgsuite.com" TargetMode="External"/><Relationship Id="rId149" Type="http://schemas.openxmlformats.org/officeDocument/2006/relationships/hyperlink" Target="mailto:gsedita@yahoo.com" TargetMode="External"/><Relationship Id="rId5" Type="http://schemas.openxmlformats.org/officeDocument/2006/relationships/webSettings" Target="webSettings.xml"/><Relationship Id="rId95" Type="http://schemas.openxmlformats.org/officeDocument/2006/relationships/hyperlink" Target="http://finra.complinet.com/en/display/display.html?rbid=2403&amp;element_id=6831" TargetMode="External"/><Relationship Id="rId160" Type="http://schemas.openxmlformats.org/officeDocument/2006/relationships/hyperlink" Target="http://www.woodlandssecurities.com" TargetMode="External"/><Relationship Id="rId181" Type="http://schemas.openxmlformats.org/officeDocument/2006/relationships/hyperlink" Target="mailto:dvaughan@woodlandssecurities.com" TargetMode="External"/><Relationship Id="rId22" Type="http://schemas.openxmlformats.org/officeDocument/2006/relationships/hyperlink" Target="http://www.brokercheck.finra.org" TargetMode="External"/><Relationship Id="rId43" Type="http://schemas.openxmlformats.org/officeDocument/2006/relationships/hyperlink" Target="http://apps.finra.org/rulesregulation/ofac/1/Default.aspx" TargetMode="External"/><Relationship Id="rId64" Type="http://schemas.openxmlformats.org/officeDocument/2006/relationships/hyperlink" Target="http://www.treas.gov/offices/enforcement/ofac/legal/forms/e%20recjectreport1.pdf" TargetMode="External"/><Relationship Id="rId118" Type="http://schemas.openxmlformats.org/officeDocument/2006/relationships/hyperlink" Target="http://www.opsplus.com" TargetMode="External"/><Relationship Id="rId139" Type="http://schemas.openxmlformats.org/officeDocument/2006/relationships/hyperlink" Target="http://www.dstvision.com" TargetMode="External"/><Relationship Id="rId85" Type="http://schemas.openxmlformats.org/officeDocument/2006/relationships/hyperlink" Target="http://www.finra.org/fundsearch" TargetMode="External"/><Relationship Id="rId150" Type="http://schemas.openxmlformats.org/officeDocument/2006/relationships/hyperlink" Target="mailto:dmccullough@pivtech.com" TargetMode="External"/><Relationship Id="rId171" Type="http://schemas.openxmlformats.org/officeDocument/2006/relationships/hyperlink" Target="mailto:Fonville.hayes@gmail.com%20" TargetMode="External"/><Relationship Id="rId12" Type="http://schemas.openxmlformats.org/officeDocument/2006/relationships/hyperlink" Target="http://www.sifma.org/services/standard-forms-and-documentation/cross-product/" TargetMode="External"/><Relationship Id="rId33" Type="http://schemas.openxmlformats.org/officeDocument/2006/relationships/hyperlink" Target="http://postalinspectors.uspis.gov/contactus/phoneus.aspx" TargetMode="External"/><Relationship Id="rId108" Type="http://schemas.openxmlformats.org/officeDocument/2006/relationships/hyperlink" Target="mailto:sjohnston@woodfininc.com" TargetMode="External"/><Relationship Id="rId129" Type="http://schemas.openxmlformats.org/officeDocument/2006/relationships/hyperlink" Target="https://livevaultservice.livevault.com/Account/Login" TargetMode="External"/><Relationship Id="rId54" Type="http://schemas.openxmlformats.org/officeDocument/2006/relationships/hyperlink" Target="http://www.fincen.gov/f4790newfillin.pdf" TargetMode="External"/><Relationship Id="rId75" Type="http://schemas.openxmlformats.org/officeDocument/2006/relationships/hyperlink" Target="http://finra.complinet.com/en/display/display.html?rbid=2403&amp;element_id=9958" TargetMode="External"/><Relationship Id="rId96" Type="http://schemas.openxmlformats.org/officeDocument/2006/relationships/hyperlink" Target="http://finra.complinet.com/en/display/display.html?rbid=2403&amp;element_id=8469" TargetMode="External"/><Relationship Id="rId140" Type="http://schemas.openxmlformats.org/officeDocument/2006/relationships/hyperlink" Target="http://www.sec.gov" TargetMode="External"/><Relationship Id="rId161" Type="http://schemas.openxmlformats.org/officeDocument/2006/relationships/hyperlink" Target="http://www.hilltopsecurities.com" TargetMode="External"/><Relationship Id="rId182" Type="http://schemas.openxmlformats.org/officeDocument/2006/relationships/hyperlink" Target="mailto:gsedita@woodlandssecurities.com" TargetMode="External"/><Relationship Id="rId6" Type="http://schemas.openxmlformats.org/officeDocument/2006/relationships/footnotes" Target="footnotes.xml"/><Relationship Id="rId23" Type="http://schemas.openxmlformats.org/officeDocument/2006/relationships/hyperlink" Target="https://www.finra.org/contact-finra/file-tip" TargetMode="External"/><Relationship Id="rId119" Type="http://schemas.openxmlformats.org/officeDocument/2006/relationships/hyperlink" Target="https://woodlands.repdashboard.com" TargetMode="External"/><Relationship Id="rId44" Type="http://schemas.openxmlformats.org/officeDocument/2006/relationships/hyperlink" Target="http://www.treas.gov/ofac" TargetMode="External"/><Relationship Id="rId65" Type="http://schemas.openxmlformats.org/officeDocument/2006/relationships/hyperlink" Target="http://www.treasury.gov/resource-center/sanctions/Programs/Pages/Programs.aspx" TargetMode="External"/><Relationship Id="rId86" Type="http://schemas.openxmlformats.org/officeDocument/2006/relationships/hyperlink" Target="http://www.sec.gov/investor/tools/mfcc/get-started.htm" TargetMode="External"/><Relationship Id="rId130" Type="http://schemas.openxmlformats.org/officeDocument/2006/relationships/hyperlink" Target="mailto:nils.hansen@autonomy.com" TargetMode="External"/><Relationship Id="rId151" Type="http://schemas.openxmlformats.org/officeDocument/2006/relationships/hyperlink" Target="mailto:csmith4523@aol.com" TargetMode="External"/><Relationship Id="rId172" Type="http://schemas.openxmlformats.org/officeDocument/2006/relationships/hyperlink" Target="mailto:anagarcia054@gmail.com%20" TargetMode="External"/><Relationship Id="rId13" Type="http://schemas.openxmlformats.org/officeDocument/2006/relationships/hyperlink" Target="file:///\\VFS01\Company\Users\LHendricks\COMPLIANCE\WSPs\www.STAMPesource.com" TargetMode="External"/><Relationship Id="rId18" Type="http://schemas.openxmlformats.org/officeDocument/2006/relationships/hyperlink" Target="http://www.nasaa.org/wp-content/uploads/2019/05/Senior-Safe-Act-Fact-Sheet.pdf" TargetMode="External"/><Relationship Id="rId39" Type="http://schemas.openxmlformats.org/officeDocument/2006/relationships/hyperlink" Target="http://www.fincen.gov/forms/bsa_forms/" TargetMode="External"/><Relationship Id="rId109" Type="http://schemas.openxmlformats.org/officeDocument/2006/relationships/hyperlink" Target="http://www.hiltopsecurities.com" TargetMode="External"/><Relationship Id="rId34" Type="http://schemas.openxmlformats.org/officeDocument/2006/relationships/hyperlink" Target="javascript:outsideLink('http://www.ncsl.org/programs/lis/cip/priv/breach.htm');" TargetMode="External"/><Relationship Id="rId50" Type="http://schemas.openxmlformats.org/officeDocument/2006/relationships/hyperlink" Target="http://www.fincen.gov" TargetMode="External"/><Relationship Id="rId55" Type="http://schemas.openxmlformats.org/officeDocument/2006/relationships/hyperlink" Target="http://www.fincen.gov/forms/files/f9022-1_fbar.pdf" TargetMode="External"/><Relationship Id="rId76" Type="http://schemas.openxmlformats.org/officeDocument/2006/relationships/hyperlink" Target="http://finra.complinet.com/en/display/display.html?rbid=2403&amp;element_id=10651" TargetMode="External"/><Relationship Id="rId97" Type="http://schemas.openxmlformats.org/officeDocument/2006/relationships/hyperlink" Target="http://finra.complinet.com/en/display/display.html?rbid=2403&amp;element_id=6831" TargetMode="External"/><Relationship Id="rId104" Type="http://schemas.openxmlformats.org/officeDocument/2006/relationships/hyperlink" Target="https://www.naic.org" TargetMode="External"/><Relationship Id="rId120" Type="http://schemas.openxmlformats.org/officeDocument/2006/relationships/hyperlink" Target="mailto:support@globalrelay.net" TargetMode="External"/><Relationship Id="rId125" Type="http://schemas.openxmlformats.org/officeDocument/2006/relationships/hyperlink" Target="mailto:jill.vaughan@amegybank.com" TargetMode="External"/><Relationship Id="rId141" Type="http://schemas.openxmlformats.org/officeDocument/2006/relationships/hyperlink" Target="http://www.FINRA.org" TargetMode="External"/><Relationship Id="rId146" Type="http://schemas.openxmlformats.org/officeDocument/2006/relationships/hyperlink" Target="http://www.hilltopsecurities.com" TargetMode="External"/><Relationship Id="rId167" Type="http://schemas.openxmlformats.org/officeDocument/2006/relationships/hyperlink" Target="mailto:Christinajenkins2005@yahoo.com"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bondreporting@nasd.com" TargetMode="External"/><Relationship Id="rId92" Type="http://schemas.openxmlformats.org/officeDocument/2006/relationships/hyperlink" Target="http://finra.complinet.com/en/display/display.html?rbid=2403&amp;element_id=9456" TargetMode="External"/><Relationship Id="rId162" Type="http://schemas.openxmlformats.org/officeDocument/2006/relationships/hyperlink" Target="http://www.charleschwab.com" TargetMode="External"/><Relationship Id="rId183" Type="http://schemas.openxmlformats.org/officeDocument/2006/relationships/hyperlink" Target="mailto:eric.hamilton@aviorwealth.com" TargetMode="External"/><Relationship Id="rId2" Type="http://schemas.openxmlformats.org/officeDocument/2006/relationships/numbering" Target="numbering.xml"/><Relationship Id="rId29" Type="http://schemas.openxmlformats.org/officeDocument/2006/relationships/hyperlink" Target="http://www.finra.org/Industry/Contacts/P016038" TargetMode="External"/><Relationship Id="rId24" Type="http://schemas.openxmlformats.org/officeDocument/2006/relationships/hyperlink" Target="mailto:newaccounts@hilltopsecurities.com" TargetMode="External"/><Relationship Id="rId40" Type="http://schemas.openxmlformats.org/officeDocument/2006/relationships/hyperlink" Target="http://www.treasury.gov/resource-center/sanctions/Programs/Pages/Programs.aspx" TargetMode="External"/><Relationship Id="rId45" Type="http://schemas.openxmlformats.org/officeDocument/2006/relationships/hyperlink" Target="http://apps.finra.org/rulesregulation/ofac/1/Default.aspx" TargetMode="External"/><Relationship Id="rId66" Type="http://schemas.openxmlformats.org/officeDocument/2006/relationships/hyperlink" Target="http://www.fincen.gov/fin101_formandinstructions.pdf" TargetMode="External"/><Relationship Id="rId87" Type="http://schemas.openxmlformats.org/officeDocument/2006/relationships/hyperlink" Target="http://www.msrb.org" TargetMode="External"/><Relationship Id="rId110" Type="http://schemas.openxmlformats.org/officeDocument/2006/relationships/hyperlink" Target="https://support.hilltopsecurities.com/" TargetMode="External"/><Relationship Id="rId115" Type="http://schemas.openxmlformats.org/officeDocument/2006/relationships/hyperlink" Target="mailto:bmcnally@sscinc.comm" TargetMode="External"/><Relationship Id="rId131" Type="http://schemas.openxmlformats.org/officeDocument/2006/relationships/hyperlink" Target="mailto:livevaultsupport@hp.com" TargetMode="External"/><Relationship Id="rId136" Type="http://schemas.openxmlformats.org/officeDocument/2006/relationships/hyperlink" Target="mailto:Susanna.Schlangen@Schwab.com%20" TargetMode="External"/><Relationship Id="rId157" Type="http://schemas.openxmlformats.org/officeDocument/2006/relationships/hyperlink" Target="mailto:help@finracat.com" TargetMode="External"/><Relationship Id="rId178" Type="http://schemas.openxmlformats.org/officeDocument/2006/relationships/hyperlink" Target="mailto:mmonroe@woodlandssecurities.com" TargetMode="External"/><Relationship Id="rId61" Type="http://schemas.openxmlformats.org/officeDocument/2006/relationships/hyperlink" Target="https://tips.fbi.gov/" TargetMode="External"/><Relationship Id="rId82" Type="http://schemas.openxmlformats.org/officeDocument/2006/relationships/hyperlink" Target="http://finra.complinet.com/en/display/display.html?rbid=2403&amp;element_id=4619" TargetMode="External"/><Relationship Id="rId152" Type="http://schemas.openxmlformats.org/officeDocument/2006/relationships/hyperlink" Target="mailto:christinajenkins2005@yahoo.com" TargetMode="External"/><Relationship Id="rId173" Type="http://schemas.openxmlformats.org/officeDocument/2006/relationships/hyperlink" Target="mailto:rehan@rehanmerchantconsulting.com" TargetMode="External"/><Relationship Id="rId19" Type="http://schemas.openxmlformats.org/officeDocument/2006/relationships/hyperlink" Target="https://www.ssb.texas.gov/sites/default/files/ReportOfFinancialExploitation_Form_Nov2017.pdf" TargetMode="External"/><Relationship Id="rId14" Type="http://schemas.openxmlformats.org/officeDocument/2006/relationships/hyperlink" Target="http://www.sec.gov/spotlight/seniors/seniorspracticesreport092208.pdf" TargetMode="External"/><Relationship Id="rId30" Type="http://schemas.openxmlformats.org/officeDocument/2006/relationships/hyperlink" Target="javascript:outsideLink('http://www.ic3.gov/default.aspx');" TargetMode="External"/><Relationship Id="rId35" Type="http://schemas.openxmlformats.org/officeDocument/2006/relationships/hyperlink" Target="javascript:outsideLink('http://www.sec.gov/rules/final/34-42974.htm');" TargetMode="External"/><Relationship Id="rId56" Type="http://schemas.openxmlformats.org/officeDocument/2006/relationships/hyperlink" Target="mailto:patriot@fincen.treas.gov" TargetMode="External"/><Relationship Id="rId77" Type="http://schemas.openxmlformats.org/officeDocument/2006/relationships/hyperlink" Target="http://finra.complinet.com/en/display/display.html?rbid=2403&amp;element_id=4698" TargetMode="External"/><Relationship Id="rId100" Type="http://schemas.openxmlformats.org/officeDocument/2006/relationships/hyperlink" Target="http://finra.complinet.com/en/display/display.html?rbid=2403&amp;element_id=6831" TargetMode="External"/><Relationship Id="rId105" Type="http://schemas.openxmlformats.org/officeDocument/2006/relationships/hyperlink" Target="http://www.naic.org/documents/topics_military_life_report_to_congress.pdf" TargetMode="External"/><Relationship Id="rId126" Type="http://schemas.openxmlformats.org/officeDocument/2006/relationships/hyperlink" Target="http://www.woodlandssecurities.com" TargetMode="External"/><Relationship Id="rId147" Type="http://schemas.openxmlformats.org/officeDocument/2006/relationships/hyperlink" Target="mailto:tesa@the4monroes.com" TargetMode="External"/><Relationship Id="rId168" Type="http://schemas.openxmlformats.org/officeDocument/2006/relationships/hyperlink" Target="mailto:csmith4523@aol.com" TargetMode="External"/><Relationship Id="rId8" Type="http://schemas.openxmlformats.org/officeDocument/2006/relationships/hyperlink" Target="http://finra.complinet.com/en/display/display.html?rbid=2403&amp;element_id=6286" TargetMode="External"/><Relationship Id="rId51" Type="http://schemas.openxmlformats.org/officeDocument/2006/relationships/hyperlink" Target="http://www.fincen.gov/fi_infoappb.html" TargetMode="External"/><Relationship Id="rId72" Type="http://schemas.openxmlformats.org/officeDocument/2006/relationships/hyperlink" Target="https://www.catnmsplan.com/" TargetMode="External"/><Relationship Id="rId93" Type="http://schemas.openxmlformats.org/officeDocument/2006/relationships/hyperlink" Target="http://finra.complinet.com/en/display/display.html?rbid=2403&amp;element_id=2645" TargetMode="External"/><Relationship Id="rId98" Type="http://schemas.openxmlformats.org/officeDocument/2006/relationships/hyperlink" Target="http://finra.complinet.com/en/display/display.html?rbid=2403&amp;element_id=9456" TargetMode="External"/><Relationship Id="rId121" Type="http://schemas.openxmlformats.org/officeDocument/2006/relationships/hyperlink" Target="https://login.microsoftonline.com/" TargetMode="External"/><Relationship Id="rId142" Type="http://schemas.openxmlformats.org/officeDocument/2006/relationships/hyperlink" Target="https://firms.finra.org" TargetMode="External"/><Relationship Id="rId163" Type="http://schemas.openxmlformats.org/officeDocument/2006/relationships/hyperlink" Target="mailto:tesa@the4monroes.com" TargetMode="External"/><Relationship Id="rId184" Type="http://schemas.openxmlformats.org/officeDocument/2006/relationships/footer" Target="footer3.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ftc.gov/bcp/edu/microsites/idtheft/" TargetMode="External"/><Relationship Id="rId46" Type="http://schemas.openxmlformats.org/officeDocument/2006/relationships/hyperlink" Target="mailto:credit@hilltopsecurities.com" TargetMode="External"/><Relationship Id="rId67" Type="http://schemas.openxmlformats.org/officeDocument/2006/relationships/image" Target="media/image1.jpeg"/><Relationship Id="rId116" Type="http://schemas.openxmlformats.org/officeDocument/2006/relationships/hyperlink" Target="mailto:jaresco3@bloomberg.net" TargetMode="External"/><Relationship Id="rId137" Type="http://schemas.openxmlformats.org/officeDocument/2006/relationships/hyperlink" Target="https://www.nationwideadvisory.com/" TargetMode="External"/><Relationship Id="rId158" Type="http://schemas.openxmlformats.org/officeDocument/2006/relationships/hyperlink" Target="https://security.nasdaq.com" TargetMode="External"/><Relationship Id="rId20" Type="http://schemas.openxmlformats.org/officeDocument/2006/relationships/hyperlink" Target="http://www.sipc.org" TargetMode="External"/><Relationship Id="rId41" Type="http://schemas.openxmlformats.org/officeDocument/2006/relationships/hyperlink" Target="http://apps.finra.org/rulesregulation/ofac/1/Default.aspx" TargetMode="External"/><Relationship Id="rId62" Type="http://schemas.openxmlformats.org/officeDocument/2006/relationships/hyperlink" Target="http://www.treas.gov/offices/enforcement/ofac/legal/forms/td902250.pdf" TargetMode="External"/><Relationship Id="rId83" Type="http://schemas.openxmlformats.org/officeDocument/2006/relationships/hyperlink" Target="http://finra.complinet.com/en/display/display.html?rbid=2403&amp;element_id=4620" TargetMode="External"/><Relationship Id="rId88" Type="http://schemas.openxmlformats.org/officeDocument/2006/relationships/hyperlink" Target="mailto:corpfin@finra.org" TargetMode="External"/><Relationship Id="rId111" Type="http://schemas.openxmlformats.org/officeDocument/2006/relationships/hyperlink" Target="https://momentum.hilltopsecurities.com/advisor/HTS%20" TargetMode="External"/><Relationship Id="rId132" Type="http://schemas.openxmlformats.org/officeDocument/2006/relationships/hyperlink" Target="mailto:spalmerton@harperpearson.com" TargetMode="External"/><Relationship Id="rId153" Type="http://schemas.openxmlformats.org/officeDocument/2006/relationships/hyperlink" Target="mailto:dan64baker@yahoo.com" TargetMode="External"/><Relationship Id="rId174" Type="http://schemas.openxmlformats.org/officeDocument/2006/relationships/hyperlink" Target="mailto:tesa@the4monroes.com" TargetMode="External"/><Relationship Id="rId179" Type="http://schemas.openxmlformats.org/officeDocument/2006/relationships/hyperlink" Target="mailto:jim@jimcharrisnco.com" TargetMode="External"/><Relationship Id="rId15" Type="http://schemas.openxmlformats.org/officeDocument/2006/relationships/hyperlink" Target="http://www.sec.gov/spotlight/seniors/seniorspracticesreport081210.pdf" TargetMode="External"/><Relationship Id="rId36" Type="http://schemas.openxmlformats.org/officeDocument/2006/relationships/hyperlink" Target="http://www.ncsl.org/programs/lis/cip/priv/breach.htm" TargetMode="External"/><Relationship Id="rId57" Type="http://schemas.openxmlformats.org/officeDocument/2006/relationships/hyperlink" Target="mailto:sys314a@fincen.treas.gov" TargetMode="External"/><Relationship Id="rId106" Type="http://schemas.openxmlformats.org/officeDocument/2006/relationships/hyperlink" Target="http://finra.complinet.com/en/display/display.html?rbid=2403&amp;element_id=11818" TargetMode="External"/><Relationship Id="rId127" Type="http://schemas.openxmlformats.org/officeDocument/2006/relationships/hyperlink" Target="http://www.fmgsuite.com" TargetMode="External"/><Relationship Id="rId10" Type="http://schemas.openxmlformats.org/officeDocument/2006/relationships/hyperlink" Target="https://www.sec.gov/info/smallbus/secg/form-crs-relationship-summary" TargetMode="External"/><Relationship Id="rId31" Type="http://schemas.openxmlformats.org/officeDocument/2006/relationships/hyperlink" Target="http://www.ic3.gov" TargetMode="External"/><Relationship Id="rId52" Type="http://schemas.openxmlformats.org/officeDocument/2006/relationships/hyperlink" Target="http://www.fincen.gov/fi_infoappb.html" TargetMode="External"/><Relationship Id="rId73" Type="http://schemas.openxmlformats.org/officeDocument/2006/relationships/hyperlink" Target="https://www.catnmsplan.com/timelines/" TargetMode="External"/><Relationship Id="rId78" Type="http://schemas.openxmlformats.org/officeDocument/2006/relationships/hyperlink" Target="http://www.mmsend6.com/link.cfm?r=12886786&amp;sid=27954504&amp;m=3115874&amp;u=finra&amp;j=15659686&amp;s=http://www.finra.org/web/groups/industry/@ip/@comp/@regis/documents/industry/p009841.pdf?utm_source=MM&amp;utm_medium=email&amp;utm_campaign=Weekly%5FUpdate%5F111313%5FFINAL" TargetMode="External"/><Relationship Id="rId94" Type="http://schemas.openxmlformats.org/officeDocument/2006/relationships/hyperlink" Target="http://finra.complinet.com/en/display/display.html?rbid=2403&amp;element_id=8494" TargetMode="External"/><Relationship Id="rId99" Type="http://schemas.openxmlformats.org/officeDocument/2006/relationships/hyperlink" Target="http://finra.complinet.com/en/display/display.html?rbid=2403&amp;element_id=6837" TargetMode="External"/><Relationship Id="rId101" Type="http://schemas.openxmlformats.org/officeDocument/2006/relationships/hyperlink" Target="http://finra.complinet.com/en/display/display.html?rbid=2403&amp;element_id=4011" TargetMode="External"/><Relationship Id="rId122" Type="http://schemas.openxmlformats.org/officeDocument/2006/relationships/hyperlink" Target="mailto:jeffu192@cs.comm" TargetMode="External"/><Relationship Id="rId143" Type="http://schemas.openxmlformats.org/officeDocument/2006/relationships/hyperlink" Target="mailto:brady.perniciaro@finra.org%20" TargetMode="External"/><Relationship Id="rId148" Type="http://schemas.openxmlformats.org/officeDocument/2006/relationships/hyperlink" Target="mailto:hendricks5@live.com" TargetMode="External"/><Relationship Id="rId164" Type="http://schemas.openxmlformats.org/officeDocument/2006/relationships/hyperlink" Target="mailto:hendricks5@live.com" TargetMode="External"/><Relationship Id="rId169" Type="http://schemas.openxmlformats.org/officeDocument/2006/relationships/hyperlink" Target="mailto:Dvaughan@hotmail.com" TargetMode="External"/><Relationship Id="rId18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sec.gov/rules/final/2019/34-86032-appendix-b.pdf" TargetMode="External"/><Relationship Id="rId180" Type="http://schemas.openxmlformats.org/officeDocument/2006/relationships/hyperlink" Target="mailto:lhendricks@woodlandssecurities.com" TargetMode="External"/><Relationship Id="rId26" Type="http://schemas.openxmlformats.org/officeDocument/2006/relationships/hyperlink" Target="https://www.ftccomplaintassistant.gov/" TargetMode="External"/><Relationship Id="rId47" Type="http://schemas.openxmlformats.org/officeDocument/2006/relationships/hyperlink" Target="mailto:sys314a@fincen.treas.gov" TargetMode="External"/><Relationship Id="rId68" Type="http://schemas.openxmlformats.org/officeDocument/2006/relationships/hyperlink" Target="http://finra.complinet.com/en/display/display.html?rbid=2403&amp;element_id=4409" TargetMode="External"/><Relationship Id="rId89" Type="http://schemas.openxmlformats.org/officeDocument/2006/relationships/hyperlink" Target="mailto:corpfin@finra.org" TargetMode="External"/><Relationship Id="rId112" Type="http://schemas.openxmlformats.org/officeDocument/2006/relationships/hyperlink" Target="https://momentum.hilltopsecurities.com/investor/HTS" TargetMode="External"/><Relationship Id="rId133" Type="http://schemas.openxmlformats.org/officeDocument/2006/relationships/hyperlink" Target="http://www.Stampesource.com" TargetMode="External"/><Relationship Id="rId154" Type="http://schemas.openxmlformats.org/officeDocument/2006/relationships/hyperlink" Target="mailto:anagarcia054@gmail.com%20%20" TargetMode="External"/><Relationship Id="rId175" Type="http://schemas.openxmlformats.org/officeDocument/2006/relationships/header" Target="header1.xml"/><Relationship Id="rId16" Type="http://schemas.openxmlformats.org/officeDocument/2006/relationships/hyperlink" Target="http://www.sec.gov/divisions/marketreg/seniorinvestors.htm" TargetMode="External"/><Relationship Id="rId37" Type="http://schemas.openxmlformats.org/officeDocument/2006/relationships/hyperlink" Target="http://www.treas.gov/fincen" TargetMode="External"/><Relationship Id="rId58" Type="http://schemas.openxmlformats.org/officeDocument/2006/relationships/hyperlink" Target="http://bsaefiling.fincen.treas.gov/main.html" TargetMode="External"/><Relationship Id="rId79" Type="http://schemas.openxmlformats.org/officeDocument/2006/relationships/hyperlink" Target="http://finra.complinet.com/en/display/display.html?rbid=2403&amp;element_id=4609" TargetMode="External"/><Relationship Id="rId102" Type="http://schemas.openxmlformats.org/officeDocument/2006/relationships/hyperlink" Target="http://www.ecfr.gov/cgi-bin/text-idx?c=ecfr&amp;SID=d0c0f2263d29d0708f9f087d976817f5&amp;rgn=div8&amp;view=text&amp;node=17:2.0.1.1.12.0.46.181&amp;idno=17" TargetMode="External"/><Relationship Id="rId123" Type="http://schemas.openxmlformats.org/officeDocument/2006/relationships/hyperlink" Target="mailto:johncordray@compuserve.com" TargetMode="External"/><Relationship Id="rId144" Type="http://schemas.openxmlformats.org/officeDocument/2006/relationships/hyperlink" Target="http://www.msrb.org" TargetMode="External"/><Relationship Id="rId90" Type="http://schemas.openxmlformats.org/officeDocument/2006/relationships/hyperlink" Target="http://finra.complinet.com/en/display/display.html?rbid=2403&amp;element_id=9958" TargetMode="External"/><Relationship Id="rId165" Type="http://schemas.openxmlformats.org/officeDocument/2006/relationships/hyperlink" Target="mailto:dmccullough@tafgonline.com" TargetMode="External"/><Relationship Id="rId186" Type="http://schemas.openxmlformats.org/officeDocument/2006/relationships/footer" Target="footer5.xml"/><Relationship Id="rId27" Type="http://schemas.openxmlformats.org/officeDocument/2006/relationships/hyperlink" Target="javascript:outsideLink('http://www.sec.gov/contact/addresses.htm');" TargetMode="External"/><Relationship Id="rId48" Type="http://schemas.openxmlformats.org/officeDocument/2006/relationships/hyperlink" Target="http://www.fincen.gov/314a_instructionsfinal.pdf" TargetMode="External"/><Relationship Id="rId69" Type="http://schemas.openxmlformats.org/officeDocument/2006/relationships/hyperlink" Target="http://www.hilltopsecurities.com" TargetMode="External"/><Relationship Id="rId113" Type="http://schemas.openxmlformats.org/officeDocument/2006/relationships/hyperlink" Target="http://www.billgood.com" TargetMode="External"/><Relationship Id="rId134" Type="http://schemas.openxmlformats.org/officeDocument/2006/relationships/hyperlink" Target="mailto:ContactKFS@kemark.com" TargetMode="External"/><Relationship Id="rId80" Type="http://schemas.openxmlformats.org/officeDocument/2006/relationships/hyperlink" Target="http://finra.complinet.com/en/display/display.html?rbid=2403&amp;element_id=4615" TargetMode="External"/><Relationship Id="rId155" Type="http://schemas.openxmlformats.org/officeDocument/2006/relationships/hyperlink" Target="mailto:rehan@rehanmerchantconsulting.com%20" TargetMode="External"/><Relationship Id="rId176" Type="http://schemas.openxmlformats.org/officeDocument/2006/relationships/footer" Target="footer1.xml"/><Relationship Id="rId17" Type="http://schemas.openxmlformats.org/officeDocument/2006/relationships/hyperlink" Target="http://www.finra.org/industry/frequently-asked-questions-regarding-finra-rules-relating-financial-exploitation-seniors" TargetMode="External"/><Relationship Id="rId38" Type="http://schemas.openxmlformats.org/officeDocument/2006/relationships/hyperlink" Target="http://bsaefiling.fincen.treas.gov/main.html" TargetMode="External"/><Relationship Id="rId59" Type="http://schemas.openxmlformats.org/officeDocument/2006/relationships/hyperlink" Target="http://www.fincen.gov/forms/bsa_forms/" TargetMode="External"/><Relationship Id="rId103" Type="http://schemas.openxmlformats.org/officeDocument/2006/relationships/hyperlink" Target="http://www.law.uc.edu/CCL/34Act/sec15.html" TargetMode="External"/><Relationship Id="rId124" Type="http://schemas.openxmlformats.org/officeDocument/2006/relationships/hyperlink" Target="mailto:support@ascendtg.com" TargetMode="External"/><Relationship Id="rId70" Type="http://schemas.openxmlformats.org/officeDocument/2006/relationships/hyperlink" Target="mailto:tradereporting@nasd.com" TargetMode="External"/><Relationship Id="rId91" Type="http://schemas.openxmlformats.org/officeDocument/2006/relationships/hyperlink" Target="http://sec.gov/about/laws/ica40.pdf" TargetMode="External"/><Relationship Id="rId145" Type="http://schemas.openxmlformats.org/officeDocument/2006/relationships/hyperlink" Target="http://www.ssb.state.tx.us" TargetMode="External"/><Relationship Id="rId166" Type="http://schemas.openxmlformats.org/officeDocument/2006/relationships/hyperlink" Target="mailto:gloria.sedita@yahoo.com" TargetMode="Externa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hyperlink" Target="http://www.sec.gov/contact/addresses.htm" TargetMode="External"/><Relationship Id="rId49" Type="http://schemas.openxmlformats.org/officeDocument/2006/relationships/hyperlink" Target="http://www.fincen.gov/314a_faqsfinal.pdf" TargetMode="External"/><Relationship Id="rId114" Type="http://schemas.openxmlformats.org/officeDocument/2006/relationships/hyperlink" Target="https://woodlands.crm.dynamics.com/%20" TargetMode="External"/><Relationship Id="rId60" Type="http://schemas.openxmlformats.org/officeDocument/2006/relationships/hyperlink" Target="http://www.fbi.gov/contact/fo/fo.htm" TargetMode="External"/><Relationship Id="rId81" Type="http://schemas.openxmlformats.org/officeDocument/2006/relationships/hyperlink" Target="http://finra.complinet.com/en/display/display.html?rbid=2403&amp;element_id=4616" TargetMode="External"/><Relationship Id="rId135" Type="http://schemas.openxmlformats.org/officeDocument/2006/relationships/hyperlink" Target="http://www.kemarkfinancial.com" TargetMode="External"/><Relationship Id="rId156" Type="http://schemas.openxmlformats.org/officeDocument/2006/relationships/hyperlink" Target="https://ews-public.fip.catnms.com/auth/logon?goToUrl=https%3A%2F%2Fews-public.fip.catnms.com%2Ffip%2FSSORedirect%2FmetaAlias%2Fews%2Fidp%3FReqID%3D_14faf248f0804a2eec87fa6651ac225c28ba80%26index%3Dnull%26acsURL%3Dhttps%253A%252F%252Fsrg.catnms.com%252Fsaml%252Fsp%252Fprofile%252Fpost%252Facs%26spEntityID%3Dhttps%253A%252F%252Fsrg.catnms.com%26binding%3Durn%253Aoasis%253Anames%253Atc%253ASAML%253A2.0%253Abindings%253AHTTP-POST" TargetMode="Externa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91029-A3CB-415C-9EEB-90BB3D4C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429</Pages>
  <Words>175599</Words>
  <Characters>1006232</Characters>
  <Application>Microsoft Office Word</Application>
  <DocSecurity>0</DocSecurity>
  <Lines>8385</Lines>
  <Paragraphs>2358</Paragraphs>
  <ScaleCrop>false</ScaleCrop>
  <HeadingPairs>
    <vt:vector size="2" baseType="variant">
      <vt:variant>
        <vt:lpstr>Title</vt:lpstr>
      </vt:variant>
      <vt:variant>
        <vt:i4>1</vt:i4>
      </vt:variant>
    </vt:vector>
  </HeadingPairs>
  <TitlesOfParts>
    <vt:vector size="1" baseType="lpstr">
      <vt:lpstr>Sanders Morris Mundy, Inc.</vt:lpstr>
    </vt:vector>
  </TitlesOfParts>
  <Company>MGL Consulting Corporation</Company>
  <LinksUpToDate>false</LinksUpToDate>
  <CharactersWithSpaces>1179473</CharactersWithSpaces>
  <SharedDoc>false</SharedDoc>
  <HLinks>
    <vt:vector size="1944" baseType="variant">
      <vt:variant>
        <vt:i4>6553699</vt:i4>
      </vt:variant>
      <vt:variant>
        <vt:i4>1053</vt:i4>
      </vt:variant>
      <vt:variant>
        <vt:i4>0</vt:i4>
      </vt:variant>
      <vt:variant>
        <vt:i4>5</vt:i4>
      </vt:variant>
      <vt:variant>
        <vt:lpwstr/>
      </vt:variant>
      <vt:variant>
        <vt:lpwstr>CDs</vt:lpwstr>
      </vt:variant>
      <vt:variant>
        <vt:i4>6357110</vt:i4>
      </vt:variant>
      <vt:variant>
        <vt:i4>1050</vt:i4>
      </vt:variant>
      <vt:variant>
        <vt:i4>0</vt:i4>
      </vt:variant>
      <vt:variant>
        <vt:i4>5</vt:i4>
      </vt:variant>
      <vt:variant>
        <vt:lpwstr/>
      </vt:variant>
      <vt:variant>
        <vt:lpwstr>VAs</vt:lpwstr>
      </vt:variant>
      <vt:variant>
        <vt:i4>1507335</vt:i4>
      </vt:variant>
      <vt:variant>
        <vt:i4>1047</vt:i4>
      </vt:variant>
      <vt:variant>
        <vt:i4>0</vt:i4>
      </vt:variant>
      <vt:variant>
        <vt:i4>5</vt:i4>
      </vt:variant>
      <vt:variant>
        <vt:lpwstr/>
      </vt:variant>
      <vt:variant>
        <vt:lpwstr>DesignatedSec</vt:lpwstr>
      </vt:variant>
      <vt:variant>
        <vt:i4>7471215</vt:i4>
      </vt:variant>
      <vt:variant>
        <vt:i4>1044</vt:i4>
      </vt:variant>
      <vt:variant>
        <vt:i4>0</vt:i4>
      </vt:variant>
      <vt:variant>
        <vt:i4>5</vt:i4>
      </vt:variant>
      <vt:variant>
        <vt:lpwstr/>
      </vt:variant>
      <vt:variant>
        <vt:lpwstr>OptionsSalesLit</vt:lpwstr>
      </vt:variant>
      <vt:variant>
        <vt:i4>6750313</vt:i4>
      </vt:variant>
      <vt:variant>
        <vt:i4>1041</vt:i4>
      </vt:variant>
      <vt:variant>
        <vt:i4>0</vt:i4>
      </vt:variant>
      <vt:variant>
        <vt:i4>5</vt:i4>
      </vt:variant>
      <vt:variant>
        <vt:lpwstr/>
      </vt:variant>
      <vt:variant>
        <vt:lpwstr>OptionsRecords</vt:lpwstr>
      </vt:variant>
      <vt:variant>
        <vt:i4>7798900</vt:i4>
      </vt:variant>
      <vt:variant>
        <vt:i4>1038</vt:i4>
      </vt:variant>
      <vt:variant>
        <vt:i4>0</vt:i4>
      </vt:variant>
      <vt:variant>
        <vt:i4>5</vt:i4>
      </vt:variant>
      <vt:variant>
        <vt:lpwstr/>
      </vt:variant>
      <vt:variant>
        <vt:lpwstr>Options</vt:lpwstr>
      </vt:variant>
      <vt:variant>
        <vt:i4>7798900</vt:i4>
      </vt:variant>
      <vt:variant>
        <vt:i4>1035</vt:i4>
      </vt:variant>
      <vt:variant>
        <vt:i4>0</vt:i4>
      </vt:variant>
      <vt:variant>
        <vt:i4>5</vt:i4>
      </vt:variant>
      <vt:variant>
        <vt:lpwstr/>
      </vt:variant>
      <vt:variant>
        <vt:lpwstr>Options</vt:lpwstr>
      </vt:variant>
      <vt:variant>
        <vt:i4>7798900</vt:i4>
      </vt:variant>
      <vt:variant>
        <vt:i4>1032</vt:i4>
      </vt:variant>
      <vt:variant>
        <vt:i4>0</vt:i4>
      </vt:variant>
      <vt:variant>
        <vt:i4>5</vt:i4>
      </vt:variant>
      <vt:variant>
        <vt:lpwstr/>
      </vt:variant>
      <vt:variant>
        <vt:lpwstr>Options</vt:lpwstr>
      </vt:variant>
      <vt:variant>
        <vt:i4>7798900</vt:i4>
      </vt:variant>
      <vt:variant>
        <vt:i4>1029</vt:i4>
      </vt:variant>
      <vt:variant>
        <vt:i4>0</vt:i4>
      </vt:variant>
      <vt:variant>
        <vt:i4>5</vt:i4>
      </vt:variant>
      <vt:variant>
        <vt:lpwstr/>
      </vt:variant>
      <vt:variant>
        <vt:lpwstr>Options</vt:lpwstr>
      </vt:variant>
      <vt:variant>
        <vt:i4>7864422</vt:i4>
      </vt:variant>
      <vt:variant>
        <vt:i4>1026</vt:i4>
      </vt:variant>
      <vt:variant>
        <vt:i4>0</vt:i4>
      </vt:variant>
      <vt:variant>
        <vt:i4>5</vt:i4>
      </vt:variant>
      <vt:variant>
        <vt:lpwstr/>
      </vt:variant>
      <vt:variant>
        <vt:lpwstr>DirectPartPrivatePlacements</vt:lpwstr>
      </vt:variant>
      <vt:variant>
        <vt:i4>7864422</vt:i4>
      </vt:variant>
      <vt:variant>
        <vt:i4>1023</vt:i4>
      </vt:variant>
      <vt:variant>
        <vt:i4>0</vt:i4>
      </vt:variant>
      <vt:variant>
        <vt:i4>5</vt:i4>
      </vt:variant>
      <vt:variant>
        <vt:lpwstr/>
      </vt:variant>
      <vt:variant>
        <vt:lpwstr>DirectPartPrivatePlacements</vt:lpwstr>
      </vt:variant>
      <vt:variant>
        <vt:i4>131090</vt:i4>
      </vt:variant>
      <vt:variant>
        <vt:i4>1020</vt:i4>
      </vt:variant>
      <vt:variant>
        <vt:i4>0</vt:i4>
      </vt:variant>
      <vt:variant>
        <vt:i4>5</vt:i4>
      </vt:variant>
      <vt:variant>
        <vt:lpwstr/>
      </vt:variant>
      <vt:variant>
        <vt:lpwstr>HighYieldDebt</vt:lpwstr>
      </vt:variant>
      <vt:variant>
        <vt:i4>1310742</vt:i4>
      </vt:variant>
      <vt:variant>
        <vt:i4>1017</vt:i4>
      </vt:variant>
      <vt:variant>
        <vt:i4>0</vt:i4>
      </vt:variant>
      <vt:variant>
        <vt:i4>5</vt:i4>
      </vt:variant>
      <vt:variant>
        <vt:lpwstr/>
      </vt:variant>
      <vt:variant>
        <vt:lpwstr>Churning</vt:lpwstr>
      </vt:variant>
      <vt:variant>
        <vt:i4>7929953</vt:i4>
      </vt:variant>
      <vt:variant>
        <vt:i4>1014</vt:i4>
      </vt:variant>
      <vt:variant>
        <vt:i4>0</vt:i4>
      </vt:variant>
      <vt:variant>
        <vt:i4>5</vt:i4>
      </vt:variant>
      <vt:variant>
        <vt:lpwstr/>
      </vt:variant>
      <vt:variant>
        <vt:lpwstr>AdjustedTrading</vt:lpwstr>
      </vt:variant>
      <vt:variant>
        <vt:i4>6553707</vt:i4>
      </vt:variant>
      <vt:variant>
        <vt:i4>1011</vt:i4>
      </vt:variant>
      <vt:variant>
        <vt:i4>0</vt:i4>
      </vt:variant>
      <vt:variant>
        <vt:i4>5</vt:i4>
      </vt:variant>
      <vt:variant>
        <vt:lpwstr/>
      </vt:variant>
      <vt:variant>
        <vt:lpwstr>Parking</vt:lpwstr>
      </vt:variant>
      <vt:variant>
        <vt:i4>6619233</vt:i4>
      </vt:variant>
      <vt:variant>
        <vt:i4>1008</vt:i4>
      </vt:variant>
      <vt:variant>
        <vt:i4>0</vt:i4>
      </vt:variant>
      <vt:variant>
        <vt:i4>5</vt:i4>
      </vt:variant>
      <vt:variant>
        <vt:lpwstr/>
      </vt:variant>
      <vt:variant>
        <vt:lpwstr>CustomerSuitability</vt:lpwstr>
      </vt:variant>
      <vt:variant>
        <vt:i4>1048594</vt:i4>
      </vt:variant>
      <vt:variant>
        <vt:i4>1005</vt:i4>
      </vt:variant>
      <vt:variant>
        <vt:i4>0</vt:i4>
      </vt:variant>
      <vt:variant>
        <vt:i4>5</vt:i4>
      </vt:variant>
      <vt:variant>
        <vt:lpwstr/>
      </vt:variant>
      <vt:variant>
        <vt:lpwstr>FixedIncomeAndGovtSec</vt:lpwstr>
      </vt:variant>
      <vt:variant>
        <vt:i4>1048594</vt:i4>
      </vt:variant>
      <vt:variant>
        <vt:i4>1002</vt:i4>
      </vt:variant>
      <vt:variant>
        <vt:i4>0</vt:i4>
      </vt:variant>
      <vt:variant>
        <vt:i4>5</vt:i4>
      </vt:variant>
      <vt:variant>
        <vt:lpwstr/>
      </vt:variant>
      <vt:variant>
        <vt:lpwstr>FixedIncomeAndGovtSec</vt:lpwstr>
      </vt:variant>
      <vt:variant>
        <vt:i4>1835011</vt:i4>
      </vt:variant>
      <vt:variant>
        <vt:i4>999</vt:i4>
      </vt:variant>
      <vt:variant>
        <vt:i4>0</vt:i4>
      </vt:variant>
      <vt:variant>
        <vt:i4>5</vt:i4>
      </vt:variant>
      <vt:variant>
        <vt:lpwstr/>
      </vt:variant>
      <vt:variant>
        <vt:lpwstr>Munis</vt:lpwstr>
      </vt:variant>
      <vt:variant>
        <vt:i4>1835011</vt:i4>
      </vt:variant>
      <vt:variant>
        <vt:i4>996</vt:i4>
      </vt:variant>
      <vt:variant>
        <vt:i4>0</vt:i4>
      </vt:variant>
      <vt:variant>
        <vt:i4>5</vt:i4>
      </vt:variant>
      <vt:variant>
        <vt:lpwstr/>
      </vt:variant>
      <vt:variant>
        <vt:lpwstr>Munis</vt:lpwstr>
      </vt:variant>
      <vt:variant>
        <vt:i4>1835011</vt:i4>
      </vt:variant>
      <vt:variant>
        <vt:i4>993</vt:i4>
      </vt:variant>
      <vt:variant>
        <vt:i4>0</vt:i4>
      </vt:variant>
      <vt:variant>
        <vt:i4>5</vt:i4>
      </vt:variant>
      <vt:variant>
        <vt:lpwstr/>
      </vt:variant>
      <vt:variant>
        <vt:lpwstr>Munis</vt:lpwstr>
      </vt:variant>
      <vt:variant>
        <vt:i4>1835011</vt:i4>
      </vt:variant>
      <vt:variant>
        <vt:i4>990</vt:i4>
      </vt:variant>
      <vt:variant>
        <vt:i4>0</vt:i4>
      </vt:variant>
      <vt:variant>
        <vt:i4>5</vt:i4>
      </vt:variant>
      <vt:variant>
        <vt:lpwstr/>
      </vt:variant>
      <vt:variant>
        <vt:lpwstr>Munis</vt:lpwstr>
      </vt:variant>
      <vt:variant>
        <vt:i4>7536752</vt:i4>
      </vt:variant>
      <vt:variant>
        <vt:i4>987</vt:i4>
      </vt:variant>
      <vt:variant>
        <vt:i4>0</vt:i4>
      </vt:variant>
      <vt:variant>
        <vt:i4>5</vt:i4>
      </vt:variant>
      <vt:variant>
        <vt:lpwstr/>
      </vt:variant>
      <vt:variant>
        <vt:lpwstr>MuniBooksAndRecords</vt:lpwstr>
      </vt:variant>
      <vt:variant>
        <vt:i4>1835011</vt:i4>
      </vt:variant>
      <vt:variant>
        <vt:i4>984</vt:i4>
      </vt:variant>
      <vt:variant>
        <vt:i4>0</vt:i4>
      </vt:variant>
      <vt:variant>
        <vt:i4>5</vt:i4>
      </vt:variant>
      <vt:variant>
        <vt:lpwstr/>
      </vt:variant>
      <vt:variant>
        <vt:lpwstr>Munis</vt:lpwstr>
      </vt:variant>
      <vt:variant>
        <vt:i4>1769489</vt:i4>
      </vt:variant>
      <vt:variant>
        <vt:i4>981</vt:i4>
      </vt:variant>
      <vt:variant>
        <vt:i4>0</vt:i4>
      </vt:variant>
      <vt:variant>
        <vt:i4>5</vt:i4>
      </vt:variant>
      <vt:variant>
        <vt:lpwstr/>
      </vt:variant>
      <vt:variant>
        <vt:lpwstr>AdvAndSalesLitMF</vt:lpwstr>
      </vt:variant>
      <vt:variant>
        <vt:i4>1376280</vt:i4>
      </vt:variant>
      <vt:variant>
        <vt:i4>978</vt:i4>
      </vt:variant>
      <vt:variant>
        <vt:i4>0</vt:i4>
      </vt:variant>
      <vt:variant>
        <vt:i4>5</vt:i4>
      </vt:variant>
      <vt:variant>
        <vt:lpwstr/>
      </vt:variant>
      <vt:variant>
        <vt:lpwstr>ProspectusDeliveryMF</vt:lpwstr>
      </vt:variant>
      <vt:variant>
        <vt:i4>1900556</vt:i4>
      </vt:variant>
      <vt:variant>
        <vt:i4>975</vt:i4>
      </vt:variant>
      <vt:variant>
        <vt:i4>0</vt:i4>
      </vt:variant>
      <vt:variant>
        <vt:i4>5</vt:i4>
      </vt:variant>
      <vt:variant>
        <vt:lpwstr/>
      </vt:variant>
      <vt:variant>
        <vt:lpwstr>MFReviews</vt:lpwstr>
      </vt:variant>
      <vt:variant>
        <vt:i4>7536752</vt:i4>
      </vt:variant>
      <vt:variant>
        <vt:i4>972</vt:i4>
      </vt:variant>
      <vt:variant>
        <vt:i4>0</vt:i4>
      </vt:variant>
      <vt:variant>
        <vt:i4>5</vt:i4>
      </vt:variant>
      <vt:variant>
        <vt:lpwstr/>
      </vt:variant>
      <vt:variant>
        <vt:lpwstr>AddressChanges</vt:lpwstr>
      </vt:variant>
      <vt:variant>
        <vt:i4>18</vt:i4>
      </vt:variant>
      <vt:variant>
        <vt:i4>969</vt:i4>
      </vt:variant>
      <vt:variant>
        <vt:i4>0</vt:i4>
      </vt:variant>
      <vt:variant>
        <vt:i4>5</vt:i4>
      </vt:variant>
      <vt:variant>
        <vt:lpwstr/>
      </vt:variant>
      <vt:variant>
        <vt:lpwstr>RedemptionProcMF</vt:lpwstr>
      </vt:variant>
      <vt:variant>
        <vt:i4>1376280</vt:i4>
      </vt:variant>
      <vt:variant>
        <vt:i4>966</vt:i4>
      </vt:variant>
      <vt:variant>
        <vt:i4>0</vt:i4>
      </vt:variant>
      <vt:variant>
        <vt:i4>5</vt:i4>
      </vt:variant>
      <vt:variant>
        <vt:lpwstr/>
      </vt:variant>
      <vt:variant>
        <vt:lpwstr>ProspectusDeliveryMF</vt:lpwstr>
      </vt:variant>
      <vt:variant>
        <vt:i4>458768</vt:i4>
      </vt:variant>
      <vt:variant>
        <vt:i4>963</vt:i4>
      </vt:variant>
      <vt:variant>
        <vt:i4>0</vt:i4>
      </vt:variant>
      <vt:variant>
        <vt:i4>5</vt:i4>
      </vt:variant>
      <vt:variant>
        <vt:lpwstr/>
      </vt:variant>
      <vt:variant>
        <vt:lpwstr>CDSC</vt:lpwstr>
      </vt:variant>
      <vt:variant>
        <vt:i4>6619233</vt:i4>
      </vt:variant>
      <vt:variant>
        <vt:i4>960</vt:i4>
      </vt:variant>
      <vt:variant>
        <vt:i4>0</vt:i4>
      </vt:variant>
      <vt:variant>
        <vt:i4>5</vt:i4>
      </vt:variant>
      <vt:variant>
        <vt:lpwstr/>
      </vt:variant>
      <vt:variant>
        <vt:lpwstr>CustomerSuitability</vt:lpwstr>
      </vt:variant>
      <vt:variant>
        <vt:i4>786448</vt:i4>
      </vt:variant>
      <vt:variant>
        <vt:i4>957</vt:i4>
      </vt:variant>
      <vt:variant>
        <vt:i4>0</vt:i4>
      </vt:variant>
      <vt:variant>
        <vt:i4>5</vt:i4>
      </vt:variant>
      <vt:variant>
        <vt:lpwstr/>
      </vt:variant>
      <vt:variant>
        <vt:lpwstr>SellingDividends</vt:lpwstr>
      </vt:variant>
      <vt:variant>
        <vt:i4>327696</vt:i4>
      </vt:variant>
      <vt:variant>
        <vt:i4>954</vt:i4>
      </vt:variant>
      <vt:variant>
        <vt:i4>0</vt:i4>
      </vt:variant>
      <vt:variant>
        <vt:i4>5</vt:i4>
      </vt:variant>
      <vt:variant>
        <vt:lpwstr/>
      </vt:variant>
      <vt:variant>
        <vt:lpwstr>Switching</vt:lpwstr>
      </vt:variant>
      <vt:variant>
        <vt:i4>7274604</vt:i4>
      </vt:variant>
      <vt:variant>
        <vt:i4>951</vt:i4>
      </vt:variant>
      <vt:variant>
        <vt:i4>0</vt:i4>
      </vt:variant>
      <vt:variant>
        <vt:i4>5</vt:i4>
      </vt:variant>
      <vt:variant>
        <vt:lpwstr/>
      </vt:variant>
      <vt:variant>
        <vt:lpwstr>LOI</vt:lpwstr>
      </vt:variant>
      <vt:variant>
        <vt:i4>1572867</vt:i4>
      </vt:variant>
      <vt:variant>
        <vt:i4>948</vt:i4>
      </vt:variant>
      <vt:variant>
        <vt:i4>0</vt:i4>
      </vt:variant>
      <vt:variant>
        <vt:i4>5</vt:i4>
      </vt:variant>
      <vt:variant>
        <vt:lpwstr/>
      </vt:variant>
      <vt:variant>
        <vt:lpwstr>BreakpointsAndSC</vt:lpwstr>
      </vt:variant>
      <vt:variant>
        <vt:i4>7405670</vt:i4>
      </vt:variant>
      <vt:variant>
        <vt:i4>945</vt:i4>
      </vt:variant>
      <vt:variant>
        <vt:i4>0</vt:i4>
      </vt:variant>
      <vt:variant>
        <vt:i4>5</vt:i4>
      </vt:variant>
      <vt:variant>
        <vt:lpwstr/>
      </vt:variant>
      <vt:variant>
        <vt:lpwstr>MarkupMarkdown</vt:lpwstr>
      </vt:variant>
      <vt:variant>
        <vt:i4>7733356</vt:i4>
      </vt:variant>
      <vt:variant>
        <vt:i4>942</vt:i4>
      </vt:variant>
      <vt:variant>
        <vt:i4>0</vt:i4>
      </vt:variant>
      <vt:variant>
        <vt:i4>5</vt:i4>
      </vt:variant>
      <vt:variant>
        <vt:lpwstr/>
      </vt:variant>
      <vt:variant>
        <vt:lpwstr>ShortSales</vt:lpwstr>
      </vt:variant>
      <vt:variant>
        <vt:i4>8192126</vt:i4>
      </vt:variant>
      <vt:variant>
        <vt:i4>939</vt:i4>
      </vt:variant>
      <vt:variant>
        <vt:i4>0</vt:i4>
      </vt:variant>
      <vt:variant>
        <vt:i4>5</vt:i4>
      </vt:variant>
      <vt:variant>
        <vt:lpwstr/>
      </vt:variant>
      <vt:variant>
        <vt:lpwstr>OrderProcedures</vt:lpwstr>
      </vt:variant>
      <vt:variant>
        <vt:i4>6422644</vt:i4>
      </vt:variant>
      <vt:variant>
        <vt:i4>936</vt:i4>
      </vt:variant>
      <vt:variant>
        <vt:i4>0</vt:i4>
      </vt:variant>
      <vt:variant>
        <vt:i4>5</vt:i4>
      </vt:variant>
      <vt:variant>
        <vt:lpwstr/>
      </vt:variant>
      <vt:variant>
        <vt:lpwstr>TradingPolicies</vt:lpwstr>
      </vt:variant>
      <vt:variant>
        <vt:i4>1441807</vt:i4>
      </vt:variant>
      <vt:variant>
        <vt:i4>933</vt:i4>
      </vt:variant>
      <vt:variant>
        <vt:i4>0</vt:i4>
      </vt:variant>
      <vt:variant>
        <vt:i4>5</vt:i4>
      </vt:variant>
      <vt:variant>
        <vt:lpwstr/>
      </vt:variant>
      <vt:variant>
        <vt:lpwstr>OrderTickets</vt:lpwstr>
      </vt:variant>
      <vt:variant>
        <vt:i4>6619240</vt:i4>
      </vt:variant>
      <vt:variant>
        <vt:i4>930</vt:i4>
      </vt:variant>
      <vt:variant>
        <vt:i4>0</vt:i4>
      </vt:variant>
      <vt:variant>
        <vt:i4>5</vt:i4>
      </vt:variant>
      <vt:variant>
        <vt:lpwstr/>
      </vt:variant>
      <vt:variant>
        <vt:lpwstr>ConfirmationOfOrderFlow</vt:lpwstr>
      </vt:variant>
      <vt:variant>
        <vt:i4>6815842</vt:i4>
      </vt:variant>
      <vt:variant>
        <vt:i4>927</vt:i4>
      </vt:variant>
      <vt:variant>
        <vt:i4>0</vt:i4>
      </vt:variant>
      <vt:variant>
        <vt:i4>5</vt:i4>
      </vt:variant>
      <vt:variant>
        <vt:lpwstr/>
      </vt:variant>
      <vt:variant>
        <vt:lpwstr>PaymentForOrderFlow</vt:lpwstr>
      </vt:variant>
      <vt:variant>
        <vt:i4>7929954</vt:i4>
      </vt:variant>
      <vt:variant>
        <vt:i4>924</vt:i4>
      </vt:variant>
      <vt:variant>
        <vt:i4>0</vt:i4>
      </vt:variant>
      <vt:variant>
        <vt:i4>5</vt:i4>
      </vt:variant>
      <vt:variant>
        <vt:lpwstr/>
      </vt:variant>
      <vt:variant>
        <vt:lpwstr>LimitOrders</vt:lpwstr>
      </vt:variant>
      <vt:variant>
        <vt:i4>1114125</vt:i4>
      </vt:variant>
      <vt:variant>
        <vt:i4>921</vt:i4>
      </vt:variant>
      <vt:variant>
        <vt:i4>0</vt:i4>
      </vt:variant>
      <vt:variant>
        <vt:i4>5</vt:i4>
      </vt:variant>
      <vt:variant>
        <vt:lpwstr/>
      </vt:variant>
      <vt:variant>
        <vt:lpwstr>BestExecution</vt:lpwstr>
      </vt:variant>
      <vt:variant>
        <vt:i4>1245214</vt:i4>
      </vt:variant>
      <vt:variant>
        <vt:i4>918</vt:i4>
      </vt:variant>
      <vt:variant>
        <vt:i4>0</vt:i4>
      </vt:variant>
      <vt:variant>
        <vt:i4>5</vt:i4>
      </vt:variant>
      <vt:variant>
        <vt:lpwstr/>
      </vt:variant>
      <vt:variant>
        <vt:lpwstr>Rule2320</vt:lpwstr>
      </vt:variant>
      <vt:variant>
        <vt:i4>2162809</vt:i4>
      </vt:variant>
      <vt:variant>
        <vt:i4>915</vt:i4>
      </vt:variant>
      <vt:variant>
        <vt:i4>0</vt:i4>
      </vt:variant>
      <vt:variant>
        <vt:i4>5</vt:i4>
      </vt:variant>
      <vt:variant>
        <vt:lpwstr/>
      </vt:variant>
      <vt:variant>
        <vt:lpwstr>RuleG18</vt:lpwstr>
      </vt:variant>
      <vt:variant>
        <vt:i4>7405670</vt:i4>
      </vt:variant>
      <vt:variant>
        <vt:i4>912</vt:i4>
      </vt:variant>
      <vt:variant>
        <vt:i4>0</vt:i4>
      </vt:variant>
      <vt:variant>
        <vt:i4>5</vt:i4>
      </vt:variant>
      <vt:variant>
        <vt:lpwstr/>
      </vt:variant>
      <vt:variant>
        <vt:lpwstr>MarkupMarkdown</vt:lpwstr>
      </vt:variant>
      <vt:variant>
        <vt:i4>8192121</vt:i4>
      </vt:variant>
      <vt:variant>
        <vt:i4>909</vt:i4>
      </vt:variant>
      <vt:variant>
        <vt:i4>0</vt:i4>
      </vt:variant>
      <vt:variant>
        <vt:i4>5</vt:i4>
      </vt:variant>
      <vt:variant>
        <vt:lpwstr/>
      </vt:variant>
      <vt:variant>
        <vt:lpwstr>MarkUpsAndComm</vt:lpwstr>
      </vt:variant>
      <vt:variant>
        <vt:i4>6815868</vt:i4>
      </vt:variant>
      <vt:variant>
        <vt:i4>906</vt:i4>
      </vt:variant>
      <vt:variant>
        <vt:i4>0</vt:i4>
      </vt:variant>
      <vt:variant>
        <vt:i4>5</vt:i4>
      </vt:variant>
      <vt:variant>
        <vt:lpwstr/>
      </vt:variant>
      <vt:variant>
        <vt:lpwstr>PPFreeRidingWH</vt:lpwstr>
      </vt:variant>
      <vt:variant>
        <vt:i4>2359343</vt:i4>
      </vt:variant>
      <vt:variant>
        <vt:i4>903</vt:i4>
      </vt:variant>
      <vt:variant>
        <vt:i4>0</vt:i4>
      </vt:variant>
      <vt:variant>
        <vt:i4>5</vt:i4>
      </vt:variant>
      <vt:variant>
        <vt:lpwstr/>
      </vt:variant>
      <vt:variant>
        <vt:lpwstr>Rule144</vt:lpwstr>
      </vt:variant>
      <vt:variant>
        <vt:i4>65558</vt:i4>
      </vt:variant>
      <vt:variant>
        <vt:i4>900</vt:i4>
      </vt:variant>
      <vt:variant>
        <vt:i4>0</vt:i4>
      </vt:variant>
      <vt:variant>
        <vt:i4>5</vt:i4>
      </vt:variant>
      <vt:variant>
        <vt:lpwstr/>
      </vt:variant>
      <vt:variant>
        <vt:lpwstr>PPNonCashComp</vt:lpwstr>
      </vt:variant>
      <vt:variant>
        <vt:i4>65557</vt:i4>
      </vt:variant>
      <vt:variant>
        <vt:i4>897</vt:i4>
      </vt:variant>
      <vt:variant>
        <vt:i4>0</vt:i4>
      </vt:variant>
      <vt:variant>
        <vt:i4>5</vt:i4>
      </vt:variant>
      <vt:variant>
        <vt:lpwstr/>
      </vt:variant>
      <vt:variant>
        <vt:lpwstr>RegD</vt:lpwstr>
      </vt:variant>
      <vt:variant>
        <vt:i4>2031628</vt:i4>
      </vt:variant>
      <vt:variant>
        <vt:i4>894</vt:i4>
      </vt:variant>
      <vt:variant>
        <vt:i4>0</vt:i4>
      </vt:variant>
      <vt:variant>
        <vt:i4>5</vt:i4>
      </vt:variant>
      <vt:variant>
        <vt:lpwstr/>
      </vt:variant>
      <vt:variant>
        <vt:lpwstr>PPOfferingMemorandums</vt:lpwstr>
      </vt:variant>
      <vt:variant>
        <vt:i4>6357111</vt:i4>
      </vt:variant>
      <vt:variant>
        <vt:i4>891</vt:i4>
      </vt:variant>
      <vt:variant>
        <vt:i4>0</vt:i4>
      </vt:variant>
      <vt:variant>
        <vt:i4>5</vt:i4>
      </vt:variant>
      <vt:variant>
        <vt:lpwstr/>
      </vt:variant>
      <vt:variant>
        <vt:lpwstr>PPDueDiligence</vt:lpwstr>
      </vt:variant>
      <vt:variant>
        <vt:i4>917531</vt:i4>
      </vt:variant>
      <vt:variant>
        <vt:i4>888</vt:i4>
      </vt:variant>
      <vt:variant>
        <vt:i4>0</vt:i4>
      </vt:variant>
      <vt:variant>
        <vt:i4>5</vt:i4>
      </vt:variant>
      <vt:variant>
        <vt:lpwstr/>
      </vt:variant>
      <vt:variant>
        <vt:lpwstr>BestEffortsBasis</vt:lpwstr>
      </vt:variant>
      <vt:variant>
        <vt:i4>393240</vt:i4>
      </vt:variant>
      <vt:variant>
        <vt:i4>885</vt:i4>
      </vt:variant>
      <vt:variant>
        <vt:i4>0</vt:i4>
      </vt:variant>
      <vt:variant>
        <vt:i4>5</vt:i4>
      </vt:variant>
      <vt:variant>
        <vt:lpwstr/>
      </vt:variant>
      <vt:variant>
        <vt:lpwstr>HeightenedSupervision</vt:lpwstr>
      </vt:variant>
      <vt:variant>
        <vt:i4>7078008</vt:i4>
      </vt:variant>
      <vt:variant>
        <vt:i4>882</vt:i4>
      </vt:variant>
      <vt:variant>
        <vt:i4>0</vt:i4>
      </vt:variant>
      <vt:variant>
        <vt:i4>5</vt:i4>
      </vt:variant>
      <vt:variant>
        <vt:lpwstr/>
      </vt:variant>
      <vt:variant>
        <vt:lpwstr>LimitedSize</vt:lpwstr>
      </vt:variant>
      <vt:variant>
        <vt:i4>1048590</vt:i4>
      </vt:variant>
      <vt:variant>
        <vt:i4>879</vt:i4>
      </vt:variant>
      <vt:variant>
        <vt:i4>0</vt:i4>
      </vt:variant>
      <vt:variant>
        <vt:i4>5</vt:i4>
      </vt:variant>
      <vt:variant>
        <vt:lpwstr/>
      </vt:variant>
      <vt:variant>
        <vt:lpwstr>OfficeInspections</vt:lpwstr>
      </vt:variant>
      <vt:variant>
        <vt:i4>7536751</vt:i4>
      </vt:variant>
      <vt:variant>
        <vt:i4>876</vt:i4>
      </vt:variant>
      <vt:variant>
        <vt:i4>0</vt:i4>
      </vt:variant>
      <vt:variant>
        <vt:i4>5</vt:i4>
      </vt:variant>
      <vt:variant>
        <vt:lpwstr/>
      </vt:variant>
      <vt:variant>
        <vt:lpwstr>OSJ</vt:lpwstr>
      </vt:variant>
      <vt:variant>
        <vt:i4>7536751</vt:i4>
      </vt:variant>
      <vt:variant>
        <vt:i4>873</vt:i4>
      </vt:variant>
      <vt:variant>
        <vt:i4>0</vt:i4>
      </vt:variant>
      <vt:variant>
        <vt:i4>5</vt:i4>
      </vt:variant>
      <vt:variant>
        <vt:lpwstr/>
      </vt:variant>
      <vt:variant>
        <vt:lpwstr>OSJ</vt:lpwstr>
      </vt:variant>
      <vt:variant>
        <vt:i4>7536751</vt:i4>
      </vt:variant>
      <vt:variant>
        <vt:i4>870</vt:i4>
      </vt:variant>
      <vt:variant>
        <vt:i4>0</vt:i4>
      </vt:variant>
      <vt:variant>
        <vt:i4>5</vt:i4>
      </vt:variant>
      <vt:variant>
        <vt:lpwstr/>
      </vt:variant>
      <vt:variant>
        <vt:lpwstr>OSJ</vt:lpwstr>
      </vt:variant>
      <vt:variant>
        <vt:i4>8192124</vt:i4>
      </vt:variant>
      <vt:variant>
        <vt:i4>867</vt:i4>
      </vt:variant>
      <vt:variant>
        <vt:i4>0</vt:i4>
      </vt:variant>
      <vt:variant>
        <vt:i4>5</vt:i4>
      </vt:variant>
      <vt:variant>
        <vt:lpwstr/>
      </vt:variant>
      <vt:variant>
        <vt:lpwstr>AdvAndSalesLit</vt:lpwstr>
      </vt:variant>
      <vt:variant>
        <vt:i4>4784131</vt:i4>
      </vt:variant>
      <vt:variant>
        <vt:i4>864</vt:i4>
      </vt:variant>
      <vt:variant>
        <vt:i4>0</vt:i4>
      </vt:variant>
      <vt:variant>
        <vt:i4>5</vt:i4>
      </vt:variant>
      <vt:variant>
        <vt:lpwstr/>
      </vt:variant>
      <vt:variant>
        <vt:lpwstr>SECRule17a4b6</vt:lpwstr>
      </vt:variant>
      <vt:variant>
        <vt:i4>7012465</vt:i4>
      </vt:variant>
      <vt:variant>
        <vt:i4>861</vt:i4>
      </vt:variant>
      <vt:variant>
        <vt:i4>0</vt:i4>
      </vt:variant>
      <vt:variant>
        <vt:i4>5</vt:i4>
      </vt:variant>
      <vt:variant>
        <vt:lpwstr/>
      </vt:variant>
      <vt:variant>
        <vt:lpwstr>DiscretionaryAccts</vt:lpwstr>
      </vt:variant>
      <vt:variant>
        <vt:i4>7733364</vt:i4>
      </vt:variant>
      <vt:variant>
        <vt:i4>858</vt:i4>
      </vt:variant>
      <vt:variant>
        <vt:i4>0</vt:i4>
      </vt:variant>
      <vt:variant>
        <vt:i4>5</vt:i4>
      </vt:variant>
      <vt:variant>
        <vt:lpwstr/>
      </vt:variant>
      <vt:variant>
        <vt:lpwstr>AcctActivityReviews</vt:lpwstr>
      </vt:variant>
      <vt:variant>
        <vt:i4>7733364</vt:i4>
      </vt:variant>
      <vt:variant>
        <vt:i4>855</vt:i4>
      </vt:variant>
      <vt:variant>
        <vt:i4>0</vt:i4>
      </vt:variant>
      <vt:variant>
        <vt:i4>5</vt:i4>
      </vt:variant>
      <vt:variant>
        <vt:lpwstr/>
      </vt:variant>
      <vt:variant>
        <vt:lpwstr>AcctActivityReviews</vt:lpwstr>
      </vt:variant>
      <vt:variant>
        <vt:i4>6684795</vt:i4>
      </vt:variant>
      <vt:variant>
        <vt:i4>852</vt:i4>
      </vt:variant>
      <vt:variant>
        <vt:i4>0</vt:i4>
      </vt:variant>
      <vt:variant>
        <vt:i4>5</vt:i4>
      </vt:variant>
      <vt:variant>
        <vt:lpwstr/>
      </vt:variant>
      <vt:variant>
        <vt:lpwstr>NewAccounts</vt:lpwstr>
      </vt:variant>
      <vt:variant>
        <vt:i4>655363</vt:i4>
      </vt:variant>
      <vt:variant>
        <vt:i4>849</vt:i4>
      </vt:variant>
      <vt:variant>
        <vt:i4>0</vt:i4>
      </vt:variant>
      <vt:variant>
        <vt:i4>5</vt:i4>
      </vt:variant>
      <vt:variant>
        <vt:lpwstr/>
      </vt:variant>
      <vt:variant>
        <vt:lpwstr>SIPC</vt:lpwstr>
      </vt:variant>
      <vt:variant>
        <vt:i4>196627</vt:i4>
      </vt:variant>
      <vt:variant>
        <vt:i4>846</vt:i4>
      </vt:variant>
      <vt:variant>
        <vt:i4>0</vt:i4>
      </vt:variant>
      <vt:variant>
        <vt:i4>5</vt:i4>
      </vt:variant>
      <vt:variant>
        <vt:lpwstr/>
      </vt:variant>
      <vt:variant>
        <vt:lpwstr>OptionsCommunications</vt:lpwstr>
      </vt:variant>
      <vt:variant>
        <vt:i4>1114142</vt:i4>
      </vt:variant>
      <vt:variant>
        <vt:i4>843</vt:i4>
      </vt:variant>
      <vt:variant>
        <vt:i4>0</vt:i4>
      </vt:variant>
      <vt:variant>
        <vt:i4>5</vt:i4>
      </vt:variant>
      <vt:variant>
        <vt:lpwstr/>
      </vt:variant>
      <vt:variant>
        <vt:lpwstr>OutgoingMail</vt:lpwstr>
      </vt:variant>
      <vt:variant>
        <vt:i4>7536740</vt:i4>
      </vt:variant>
      <vt:variant>
        <vt:i4>840</vt:i4>
      </vt:variant>
      <vt:variant>
        <vt:i4>0</vt:i4>
      </vt:variant>
      <vt:variant>
        <vt:i4>5</vt:i4>
      </vt:variant>
      <vt:variant>
        <vt:lpwstr/>
      </vt:variant>
      <vt:variant>
        <vt:lpwstr>InternalUseOnlyMaterial</vt:lpwstr>
      </vt:variant>
      <vt:variant>
        <vt:i4>6815849</vt:i4>
      </vt:variant>
      <vt:variant>
        <vt:i4>837</vt:i4>
      </vt:variant>
      <vt:variant>
        <vt:i4>0</vt:i4>
      </vt:variant>
      <vt:variant>
        <vt:i4>5</vt:i4>
      </vt:variant>
      <vt:variant>
        <vt:lpwstr/>
      </vt:variant>
      <vt:variant>
        <vt:lpwstr>ColdCalling</vt:lpwstr>
      </vt:variant>
      <vt:variant>
        <vt:i4>8192124</vt:i4>
      </vt:variant>
      <vt:variant>
        <vt:i4>834</vt:i4>
      </vt:variant>
      <vt:variant>
        <vt:i4>0</vt:i4>
      </vt:variant>
      <vt:variant>
        <vt:i4>5</vt:i4>
      </vt:variant>
      <vt:variant>
        <vt:lpwstr/>
      </vt:variant>
      <vt:variant>
        <vt:lpwstr>AdvAndSalesLit</vt:lpwstr>
      </vt:variant>
      <vt:variant>
        <vt:i4>6619235</vt:i4>
      </vt:variant>
      <vt:variant>
        <vt:i4>831</vt:i4>
      </vt:variant>
      <vt:variant>
        <vt:i4>0</vt:i4>
      </vt:variant>
      <vt:variant>
        <vt:i4>5</vt:i4>
      </vt:variant>
      <vt:variant>
        <vt:lpwstr/>
      </vt:variant>
      <vt:variant>
        <vt:lpwstr>CE</vt:lpwstr>
      </vt:variant>
      <vt:variant>
        <vt:i4>1507342</vt:i4>
      </vt:variant>
      <vt:variant>
        <vt:i4>828</vt:i4>
      </vt:variant>
      <vt:variant>
        <vt:i4>0</vt:i4>
      </vt:variant>
      <vt:variant>
        <vt:i4>5</vt:i4>
      </vt:variant>
      <vt:variant>
        <vt:lpwstr/>
      </vt:variant>
      <vt:variant>
        <vt:lpwstr>TerminationProcedures</vt:lpwstr>
      </vt:variant>
      <vt:variant>
        <vt:i4>1835010</vt:i4>
      </vt:variant>
      <vt:variant>
        <vt:i4>825</vt:i4>
      </vt:variant>
      <vt:variant>
        <vt:i4>0</vt:i4>
      </vt:variant>
      <vt:variant>
        <vt:i4>5</vt:i4>
      </vt:variant>
      <vt:variant>
        <vt:lpwstr/>
      </vt:variant>
      <vt:variant>
        <vt:lpwstr>StatutorilyDisqualifiedIndiv</vt:lpwstr>
      </vt:variant>
      <vt:variant>
        <vt:i4>1179660</vt:i4>
      </vt:variant>
      <vt:variant>
        <vt:i4>822</vt:i4>
      </vt:variant>
      <vt:variant>
        <vt:i4>0</vt:i4>
      </vt:variant>
      <vt:variant>
        <vt:i4>5</vt:i4>
      </vt:variant>
      <vt:variant>
        <vt:lpwstr/>
      </vt:variant>
      <vt:variant>
        <vt:lpwstr>PrivateSecTrx</vt:lpwstr>
      </vt:variant>
      <vt:variant>
        <vt:i4>6422639</vt:i4>
      </vt:variant>
      <vt:variant>
        <vt:i4>819</vt:i4>
      </vt:variant>
      <vt:variant>
        <vt:i4>0</vt:i4>
      </vt:variant>
      <vt:variant>
        <vt:i4>5</vt:i4>
      </vt:variant>
      <vt:variant>
        <vt:lpwstr/>
      </vt:variant>
      <vt:variant>
        <vt:lpwstr>OBA</vt:lpwstr>
      </vt:variant>
      <vt:variant>
        <vt:i4>6946943</vt:i4>
      </vt:variant>
      <vt:variant>
        <vt:i4>816</vt:i4>
      </vt:variant>
      <vt:variant>
        <vt:i4>0</vt:i4>
      </vt:variant>
      <vt:variant>
        <vt:i4>5</vt:i4>
      </vt:variant>
      <vt:variant>
        <vt:lpwstr/>
      </vt:variant>
      <vt:variant>
        <vt:lpwstr>RegnRequirement</vt:lpwstr>
      </vt:variant>
      <vt:variant>
        <vt:i4>1310737</vt:i4>
      </vt:variant>
      <vt:variant>
        <vt:i4>813</vt:i4>
      </vt:variant>
      <vt:variant>
        <vt:i4>0</vt:i4>
      </vt:variant>
      <vt:variant>
        <vt:i4>5</vt:i4>
      </vt:variant>
      <vt:variant>
        <vt:lpwstr/>
      </vt:variant>
      <vt:variant>
        <vt:lpwstr>CertificationOfNewEmp</vt:lpwstr>
      </vt:variant>
      <vt:variant>
        <vt:i4>1310737</vt:i4>
      </vt:variant>
      <vt:variant>
        <vt:i4>810</vt:i4>
      </vt:variant>
      <vt:variant>
        <vt:i4>0</vt:i4>
      </vt:variant>
      <vt:variant>
        <vt:i4>5</vt:i4>
      </vt:variant>
      <vt:variant>
        <vt:lpwstr/>
      </vt:variant>
      <vt:variant>
        <vt:lpwstr>CertificationOfNewEmp</vt:lpwstr>
      </vt:variant>
      <vt:variant>
        <vt:i4>1310737</vt:i4>
      </vt:variant>
      <vt:variant>
        <vt:i4>807</vt:i4>
      </vt:variant>
      <vt:variant>
        <vt:i4>0</vt:i4>
      </vt:variant>
      <vt:variant>
        <vt:i4>5</vt:i4>
      </vt:variant>
      <vt:variant>
        <vt:lpwstr/>
      </vt:variant>
      <vt:variant>
        <vt:lpwstr>CertificationOfNewEmp</vt:lpwstr>
      </vt:variant>
      <vt:variant>
        <vt:i4>7209067</vt:i4>
      </vt:variant>
      <vt:variant>
        <vt:i4>804</vt:i4>
      </vt:variant>
      <vt:variant>
        <vt:i4>0</vt:i4>
      </vt:variant>
      <vt:variant>
        <vt:i4>5</vt:i4>
      </vt:variant>
      <vt:variant>
        <vt:lpwstr/>
      </vt:variant>
      <vt:variant>
        <vt:lpwstr>ChineseWall</vt:lpwstr>
      </vt:variant>
      <vt:variant>
        <vt:i4>7536747</vt:i4>
      </vt:variant>
      <vt:variant>
        <vt:i4>801</vt:i4>
      </vt:variant>
      <vt:variant>
        <vt:i4>0</vt:i4>
      </vt:variant>
      <vt:variant>
        <vt:i4>5</vt:i4>
      </vt:variant>
      <vt:variant>
        <vt:lpwstr/>
      </vt:variant>
      <vt:variant>
        <vt:lpwstr>SpecificTradingLimitations</vt:lpwstr>
      </vt:variant>
      <vt:variant>
        <vt:i4>1769502</vt:i4>
      </vt:variant>
      <vt:variant>
        <vt:i4>798</vt:i4>
      </vt:variant>
      <vt:variant>
        <vt:i4>0</vt:i4>
      </vt:variant>
      <vt:variant>
        <vt:i4>5</vt:i4>
      </vt:variant>
      <vt:variant>
        <vt:lpwstr/>
      </vt:variant>
      <vt:variant>
        <vt:lpwstr>WatchRestrictedLists</vt:lpwstr>
      </vt:variant>
      <vt:variant>
        <vt:i4>7209067</vt:i4>
      </vt:variant>
      <vt:variant>
        <vt:i4>795</vt:i4>
      </vt:variant>
      <vt:variant>
        <vt:i4>0</vt:i4>
      </vt:variant>
      <vt:variant>
        <vt:i4>5</vt:i4>
      </vt:variant>
      <vt:variant>
        <vt:lpwstr/>
      </vt:variant>
      <vt:variant>
        <vt:lpwstr>ChineseWall</vt:lpwstr>
      </vt:variant>
      <vt:variant>
        <vt:i4>7733375</vt:i4>
      </vt:variant>
      <vt:variant>
        <vt:i4>792</vt:i4>
      </vt:variant>
      <vt:variant>
        <vt:i4>0</vt:i4>
      </vt:variant>
      <vt:variant>
        <vt:i4>5</vt:i4>
      </vt:variant>
      <vt:variant>
        <vt:lpwstr/>
      </vt:variant>
      <vt:variant>
        <vt:lpwstr>MaterialInformation</vt:lpwstr>
      </vt:variant>
      <vt:variant>
        <vt:i4>8061044</vt:i4>
      </vt:variant>
      <vt:variant>
        <vt:i4>789</vt:i4>
      </vt:variant>
      <vt:variant>
        <vt:i4>0</vt:i4>
      </vt:variant>
      <vt:variant>
        <vt:i4>5</vt:i4>
      </vt:variant>
      <vt:variant>
        <vt:lpwstr/>
      </vt:variant>
      <vt:variant>
        <vt:lpwstr>InsideInoDefinition</vt:lpwstr>
      </vt:variant>
      <vt:variant>
        <vt:i4>851995</vt:i4>
      </vt:variant>
      <vt:variant>
        <vt:i4>786</vt:i4>
      </vt:variant>
      <vt:variant>
        <vt:i4>0</vt:i4>
      </vt:variant>
      <vt:variant>
        <vt:i4>5</vt:i4>
      </vt:variant>
      <vt:variant>
        <vt:lpwstr/>
      </vt:variant>
      <vt:variant>
        <vt:lpwstr>PersonalTradingReview</vt:lpwstr>
      </vt:variant>
      <vt:variant>
        <vt:i4>1114136</vt:i4>
      </vt:variant>
      <vt:variant>
        <vt:i4>783</vt:i4>
      </vt:variant>
      <vt:variant>
        <vt:i4>0</vt:i4>
      </vt:variant>
      <vt:variant>
        <vt:i4>5</vt:i4>
      </vt:variant>
      <vt:variant>
        <vt:lpwstr/>
      </vt:variant>
      <vt:variant>
        <vt:lpwstr>Rule2140</vt:lpwstr>
      </vt:variant>
      <vt:variant>
        <vt:i4>8061049</vt:i4>
      </vt:variant>
      <vt:variant>
        <vt:i4>780</vt:i4>
      </vt:variant>
      <vt:variant>
        <vt:i4>0</vt:i4>
      </vt:variant>
      <vt:variant>
        <vt:i4>5</vt:i4>
      </vt:variant>
      <vt:variant>
        <vt:lpwstr/>
      </vt:variant>
      <vt:variant>
        <vt:lpwstr>LendingOrBorrowingMoney</vt:lpwstr>
      </vt:variant>
      <vt:variant>
        <vt:i4>786443</vt:i4>
      </vt:variant>
      <vt:variant>
        <vt:i4>777</vt:i4>
      </vt:variant>
      <vt:variant>
        <vt:i4>0</vt:i4>
      </vt:variant>
      <vt:variant>
        <vt:i4>5</vt:i4>
      </vt:variant>
      <vt:variant>
        <vt:lpwstr/>
      </vt:variant>
      <vt:variant>
        <vt:lpwstr>InvestmentAdvisoryActivities</vt:lpwstr>
      </vt:variant>
      <vt:variant>
        <vt:i4>6422639</vt:i4>
      </vt:variant>
      <vt:variant>
        <vt:i4>774</vt:i4>
      </vt:variant>
      <vt:variant>
        <vt:i4>0</vt:i4>
      </vt:variant>
      <vt:variant>
        <vt:i4>5</vt:i4>
      </vt:variant>
      <vt:variant>
        <vt:lpwstr/>
      </vt:variant>
      <vt:variant>
        <vt:lpwstr>OBA</vt:lpwstr>
      </vt:variant>
      <vt:variant>
        <vt:i4>1179660</vt:i4>
      </vt:variant>
      <vt:variant>
        <vt:i4>771</vt:i4>
      </vt:variant>
      <vt:variant>
        <vt:i4>0</vt:i4>
      </vt:variant>
      <vt:variant>
        <vt:i4>5</vt:i4>
      </vt:variant>
      <vt:variant>
        <vt:lpwstr/>
      </vt:variant>
      <vt:variant>
        <vt:lpwstr>PrivateSecTrx</vt:lpwstr>
      </vt:variant>
      <vt:variant>
        <vt:i4>7078000</vt:i4>
      </vt:variant>
      <vt:variant>
        <vt:i4>768</vt:i4>
      </vt:variant>
      <vt:variant>
        <vt:i4>0</vt:i4>
      </vt:variant>
      <vt:variant>
        <vt:i4>5</vt:i4>
      </vt:variant>
      <vt:variant>
        <vt:lpwstr/>
      </vt:variant>
      <vt:variant>
        <vt:lpwstr>PersonalTrading</vt:lpwstr>
      </vt:variant>
      <vt:variant>
        <vt:i4>6619248</vt:i4>
      </vt:variant>
      <vt:variant>
        <vt:i4>765</vt:i4>
      </vt:variant>
      <vt:variant>
        <vt:i4>0</vt:i4>
      </vt:variant>
      <vt:variant>
        <vt:i4>5</vt:i4>
      </vt:variant>
      <vt:variant>
        <vt:lpwstr/>
      </vt:variant>
      <vt:variant>
        <vt:lpwstr>OutsideSecAccts</vt:lpwstr>
      </vt:variant>
      <vt:variant>
        <vt:i4>8323188</vt:i4>
      </vt:variant>
      <vt:variant>
        <vt:i4>762</vt:i4>
      </vt:variant>
      <vt:variant>
        <vt:i4>0</vt:i4>
      </vt:variant>
      <vt:variant>
        <vt:i4>5</vt:i4>
      </vt:variant>
      <vt:variant>
        <vt:lpwstr/>
      </vt:variant>
      <vt:variant>
        <vt:lpwstr>GiftsGratuities</vt:lpwstr>
      </vt:variant>
      <vt:variant>
        <vt:i4>8323190</vt:i4>
      </vt:variant>
      <vt:variant>
        <vt:i4>759</vt:i4>
      </vt:variant>
      <vt:variant>
        <vt:i4>0</vt:i4>
      </vt:variant>
      <vt:variant>
        <vt:i4>5</vt:i4>
      </vt:variant>
      <vt:variant>
        <vt:lpwstr/>
      </vt:variant>
      <vt:variant>
        <vt:lpwstr>Guarantees</vt:lpwstr>
      </vt:variant>
      <vt:variant>
        <vt:i4>6815863</vt:i4>
      </vt:variant>
      <vt:variant>
        <vt:i4>756</vt:i4>
      </vt:variant>
      <vt:variant>
        <vt:i4>0</vt:i4>
      </vt:variant>
      <vt:variant>
        <vt:i4>5</vt:i4>
      </vt:variant>
      <vt:variant>
        <vt:lpwstr/>
      </vt:variant>
      <vt:variant>
        <vt:lpwstr>HandlingSecurities</vt:lpwstr>
      </vt:variant>
      <vt:variant>
        <vt:i4>589837</vt:i4>
      </vt:variant>
      <vt:variant>
        <vt:i4>753</vt:i4>
      </vt:variant>
      <vt:variant>
        <vt:i4>0</vt:i4>
      </vt:variant>
      <vt:variant>
        <vt:i4>5</vt:i4>
      </vt:variant>
      <vt:variant>
        <vt:lpwstr/>
      </vt:variant>
      <vt:variant>
        <vt:lpwstr>PPCustChecks</vt:lpwstr>
      </vt:variant>
      <vt:variant>
        <vt:i4>7471225</vt:i4>
      </vt:variant>
      <vt:variant>
        <vt:i4>750</vt:i4>
      </vt:variant>
      <vt:variant>
        <vt:i4>0</vt:i4>
      </vt:variant>
      <vt:variant>
        <vt:i4>5</vt:i4>
      </vt:variant>
      <vt:variant>
        <vt:lpwstr/>
      </vt:variant>
      <vt:variant>
        <vt:lpwstr>HandlingCustChecks</vt:lpwstr>
      </vt:variant>
      <vt:variant>
        <vt:i4>6750335</vt:i4>
      </vt:variant>
      <vt:variant>
        <vt:i4>747</vt:i4>
      </vt:variant>
      <vt:variant>
        <vt:i4>0</vt:i4>
      </vt:variant>
      <vt:variant>
        <vt:i4>5</vt:i4>
      </vt:variant>
      <vt:variant>
        <vt:lpwstr/>
      </vt:variant>
      <vt:variant>
        <vt:lpwstr>UnauthorizedTrading</vt:lpwstr>
      </vt:variant>
      <vt:variant>
        <vt:i4>8061051</vt:i4>
      </vt:variant>
      <vt:variant>
        <vt:i4>744</vt:i4>
      </vt:variant>
      <vt:variant>
        <vt:i4>0</vt:i4>
      </vt:variant>
      <vt:variant>
        <vt:i4>5</vt:i4>
      </vt:variant>
      <vt:variant>
        <vt:lpwstr/>
      </vt:variant>
      <vt:variant>
        <vt:lpwstr>Suitability</vt:lpwstr>
      </vt:variant>
      <vt:variant>
        <vt:i4>1507350</vt:i4>
      </vt:variant>
      <vt:variant>
        <vt:i4>741</vt:i4>
      </vt:variant>
      <vt:variant>
        <vt:i4>0</vt:i4>
      </vt:variant>
      <vt:variant>
        <vt:i4>5</vt:i4>
      </vt:variant>
      <vt:variant>
        <vt:lpwstr/>
      </vt:variant>
      <vt:variant>
        <vt:lpwstr>FidelityBond</vt:lpwstr>
      </vt:variant>
      <vt:variant>
        <vt:i4>1048598</vt:i4>
      </vt:variant>
      <vt:variant>
        <vt:i4>738</vt:i4>
      </vt:variant>
      <vt:variant>
        <vt:i4>0</vt:i4>
      </vt:variant>
      <vt:variant>
        <vt:i4>5</vt:i4>
      </vt:variant>
      <vt:variant>
        <vt:lpwstr/>
      </vt:variant>
      <vt:variant>
        <vt:lpwstr>ClearingAgmt</vt:lpwstr>
      </vt:variant>
      <vt:variant>
        <vt:i4>7602291</vt:i4>
      </vt:variant>
      <vt:variant>
        <vt:i4>735</vt:i4>
      </vt:variant>
      <vt:variant>
        <vt:i4>0</vt:i4>
      </vt:variant>
      <vt:variant>
        <vt:i4>5</vt:i4>
      </vt:variant>
      <vt:variant>
        <vt:lpwstr/>
      </vt:variant>
      <vt:variant>
        <vt:lpwstr>FinancialReporting</vt:lpwstr>
      </vt:variant>
      <vt:variant>
        <vt:i4>6881382</vt:i4>
      </vt:variant>
      <vt:variant>
        <vt:i4>732</vt:i4>
      </vt:variant>
      <vt:variant>
        <vt:i4>0</vt:i4>
      </vt:variant>
      <vt:variant>
        <vt:i4>5</vt:i4>
      </vt:variant>
      <vt:variant>
        <vt:lpwstr/>
      </vt:variant>
      <vt:variant>
        <vt:lpwstr>FeesCharged</vt:lpwstr>
      </vt:variant>
      <vt:variant>
        <vt:i4>1048598</vt:i4>
      </vt:variant>
      <vt:variant>
        <vt:i4>729</vt:i4>
      </vt:variant>
      <vt:variant>
        <vt:i4>0</vt:i4>
      </vt:variant>
      <vt:variant>
        <vt:i4>5</vt:i4>
      </vt:variant>
      <vt:variant>
        <vt:lpwstr/>
      </vt:variant>
      <vt:variant>
        <vt:lpwstr>ClearingAgmt</vt:lpwstr>
      </vt:variant>
      <vt:variant>
        <vt:i4>7012459</vt:i4>
      </vt:variant>
      <vt:variant>
        <vt:i4>726</vt:i4>
      </vt:variant>
      <vt:variant>
        <vt:i4>0</vt:i4>
      </vt:variant>
      <vt:variant>
        <vt:i4>5</vt:i4>
      </vt:variant>
      <vt:variant>
        <vt:lpwstr/>
      </vt:variant>
      <vt:variant>
        <vt:lpwstr>FinlRecords</vt:lpwstr>
      </vt:variant>
      <vt:variant>
        <vt:i4>1114133</vt:i4>
      </vt:variant>
      <vt:variant>
        <vt:i4>723</vt:i4>
      </vt:variant>
      <vt:variant>
        <vt:i4>0</vt:i4>
      </vt:variant>
      <vt:variant>
        <vt:i4>5</vt:i4>
      </vt:variant>
      <vt:variant>
        <vt:lpwstr/>
      </vt:variant>
      <vt:variant>
        <vt:lpwstr>RegT</vt:lpwstr>
      </vt:variant>
      <vt:variant>
        <vt:i4>7667837</vt:i4>
      </vt:variant>
      <vt:variant>
        <vt:i4>720</vt:i4>
      </vt:variant>
      <vt:variant>
        <vt:i4>0</vt:i4>
      </vt:variant>
      <vt:variant>
        <vt:i4>5</vt:i4>
      </vt:variant>
      <vt:variant>
        <vt:lpwstr/>
      </vt:variant>
      <vt:variant>
        <vt:lpwstr>BankSecyAct</vt:lpwstr>
      </vt:variant>
      <vt:variant>
        <vt:i4>7536751</vt:i4>
      </vt:variant>
      <vt:variant>
        <vt:i4>717</vt:i4>
      </vt:variant>
      <vt:variant>
        <vt:i4>0</vt:i4>
      </vt:variant>
      <vt:variant>
        <vt:i4>5</vt:i4>
      </vt:variant>
      <vt:variant>
        <vt:lpwstr/>
      </vt:variant>
      <vt:variant>
        <vt:lpwstr>CustProtectionRule</vt:lpwstr>
      </vt:variant>
      <vt:variant>
        <vt:i4>7209075</vt:i4>
      </vt:variant>
      <vt:variant>
        <vt:i4>714</vt:i4>
      </vt:variant>
      <vt:variant>
        <vt:i4>0</vt:i4>
      </vt:variant>
      <vt:variant>
        <vt:i4>5</vt:i4>
      </vt:variant>
      <vt:variant>
        <vt:lpwstr/>
      </vt:variant>
      <vt:variant>
        <vt:lpwstr>NetCapital</vt:lpwstr>
      </vt:variant>
      <vt:variant>
        <vt:i4>7012459</vt:i4>
      </vt:variant>
      <vt:variant>
        <vt:i4>711</vt:i4>
      </vt:variant>
      <vt:variant>
        <vt:i4>0</vt:i4>
      </vt:variant>
      <vt:variant>
        <vt:i4>5</vt:i4>
      </vt:variant>
      <vt:variant>
        <vt:lpwstr/>
      </vt:variant>
      <vt:variant>
        <vt:lpwstr>FinlRecords</vt:lpwstr>
      </vt:variant>
      <vt:variant>
        <vt:i4>7012459</vt:i4>
      </vt:variant>
      <vt:variant>
        <vt:i4>708</vt:i4>
      </vt:variant>
      <vt:variant>
        <vt:i4>0</vt:i4>
      </vt:variant>
      <vt:variant>
        <vt:i4>5</vt:i4>
      </vt:variant>
      <vt:variant>
        <vt:lpwstr/>
      </vt:variant>
      <vt:variant>
        <vt:lpwstr>FinlRecords</vt:lpwstr>
      </vt:variant>
      <vt:variant>
        <vt:i4>6488162</vt:i4>
      </vt:variant>
      <vt:variant>
        <vt:i4>705</vt:i4>
      </vt:variant>
      <vt:variant>
        <vt:i4>0</vt:i4>
      </vt:variant>
      <vt:variant>
        <vt:i4>5</vt:i4>
      </vt:variant>
      <vt:variant>
        <vt:lpwstr/>
      </vt:variant>
      <vt:variant>
        <vt:lpwstr>BCP</vt:lpwstr>
      </vt:variant>
      <vt:variant>
        <vt:i4>1114133</vt:i4>
      </vt:variant>
      <vt:variant>
        <vt:i4>702</vt:i4>
      </vt:variant>
      <vt:variant>
        <vt:i4>0</vt:i4>
      </vt:variant>
      <vt:variant>
        <vt:i4>5</vt:i4>
      </vt:variant>
      <vt:variant>
        <vt:lpwstr/>
      </vt:variant>
      <vt:variant>
        <vt:lpwstr>TRACE</vt:lpwstr>
      </vt:variant>
      <vt:variant>
        <vt:i4>7143521</vt:i4>
      </vt:variant>
      <vt:variant>
        <vt:i4>699</vt:i4>
      </vt:variant>
      <vt:variant>
        <vt:i4>0</vt:i4>
      </vt:variant>
      <vt:variant>
        <vt:i4>5</vt:i4>
      </vt:variant>
      <vt:variant>
        <vt:lpwstr/>
      </vt:variant>
      <vt:variant>
        <vt:lpwstr>AML</vt:lpwstr>
      </vt:variant>
      <vt:variant>
        <vt:i4>1441813</vt:i4>
      </vt:variant>
      <vt:variant>
        <vt:i4>696</vt:i4>
      </vt:variant>
      <vt:variant>
        <vt:i4>0</vt:i4>
      </vt:variant>
      <vt:variant>
        <vt:i4>5</vt:i4>
      </vt:variant>
      <vt:variant>
        <vt:lpwstr/>
      </vt:variant>
      <vt:variant>
        <vt:lpwstr>RegSP</vt:lpwstr>
      </vt:variant>
      <vt:variant>
        <vt:i4>786444</vt:i4>
      </vt:variant>
      <vt:variant>
        <vt:i4>693</vt:i4>
      </vt:variant>
      <vt:variant>
        <vt:i4>0</vt:i4>
      </vt:variant>
      <vt:variant>
        <vt:i4>5</vt:i4>
      </vt:variant>
      <vt:variant>
        <vt:lpwstr/>
      </vt:variant>
      <vt:variant>
        <vt:lpwstr>OrderExecnRouting</vt:lpwstr>
      </vt:variant>
      <vt:variant>
        <vt:i4>6684794</vt:i4>
      </vt:variant>
      <vt:variant>
        <vt:i4>690</vt:i4>
      </vt:variant>
      <vt:variant>
        <vt:i4>0</vt:i4>
      </vt:variant>
      <vt:variant>
        <vt:i4>5</vt:i4>
      </vt:variant>
      <vt:variant>
        <vt:lpwstr/>
      </vt:variant>
      <vt:variant>
        <vt:lpwstr>SyncClocks</vt:lpwstr>
      </vt:variant>
      <vt:variant>
        <vt:i4>1179675</vt:i4>
      </vt:variant>
      <vt:variant>
        <vt:i4>687</vt:i4>
      </vt:variant>
      <vt:variant>
        <vt:i4>0</vt:i4>
      </vt:variant>
      <vt:variant>
        <vt:i4>5</vt:i4>
      </vt:variant>
      <vt:variant>
        <vt:lpwstr/>
      </vt:variant>
      <vt:variant>
        <vt:lpwstr>OATS</vt:lpwstr>
      </vt:variant>
      <vt:variant>
        <vt:i4>7274607</vt:i4>
      </vt:variant>
      <vt:variant>
        <vt:i4>684</vt:i4>
      </vt:variant>
      <vt:variant>
        <vt:i4>0</vt:i4>
      </vt:variant>
      <vt:variant>
        <vt:i4>5</vt:i4>
      </vt:variant>
      <vt:variant>
        <vt:lpwstr/>
      </vt:variant>
      <vt:variant>
        <vt:lpwstr>WSPDistribution</vt:lpwstr>
      </vt:variant>
      <vt:variant>
        <vt:i4>1638427</vt:i4>
      </vt:variant>
      <vt:variant>
        <vt:i4>681</vt:i4>
      </vt:variant>
      <vt:variant>
        <vt:i4>0</vt:i4>
      </vt:variant>
      <vt:variant>
        <vt:i4>5</vt:i4>
      </vt:variant>
      <vt:variant>
        <vt:lpwstr/>
      </vt:variant>
      <vt:variant>
        <vt:lpwstr>ExhibitA</vt:lpwstr>
      </vt:variant>
      <vt:variant>
        <vt:i4>7077996</vt:i4>
      </vt:variant>
      <vt:variant>
        <vt:i4>678</vt:i4>
      </vt:variant>
      <vt:variant>
        <vt:i4>0</vt:i4>
      </vt:variant>
      <vt:variant>
        <vt:i4>5</vt:i4>
      </vt:variant>
      <vt:variant>
        <vt:lpwstr/>
      </vt:variant>
      <vt:variant>
        <vt:lpwstr>DesignationofPrinc</vt:lpwstr>
      </vt:variant>
      <vt:variant>
        <vt:i4>983051</vt:i4>
      </vt:variant>
      <vt:variant>
        <vt:i4>675</vt:i4>
      </vt:variant>
      <vt:variant>
        <vt:i4>0</vt:i4>
      </vt:variant>
      <vt:variant>
        <vt:i4>5</vt:i4>
      </vt:variant>
      <vt:variant>
        <vt:lpwstr/>
      </vt:variant>
      <vt:variant>
        <vt:lpwstr>ReviewProcedures</vt:lpwstr>
      </vt:variant>
      <vt:variant>
        <vt:i4>1638429</vt:i4>
      </vt:variant>
      <vt:variant>
        <vt:i4>672</vt:i4>
      </vt:variant>
      <vt:variant>
        <vt:i4>0</vt:i4>
      </vt:variant>
      <vt:variant>
        <vt:i4>5</vt:i4>
      </vt:variant>
      <vt:variant>
        <vt:lpwstr/>
      </vt:variant>
      <vt:variant>
        <vt:lpwstr>ComplMeetings</vt:lpwstr>
      </vt:variant>
      <vt:variant>
        <vt:i4>7077996</vt:i4>
      </vt:variant>
      <vt:variant>
        <vt:i4>669</vt:i4>
      </vt:variant>
      <vt:variant>
        <vt:i4>0</vt:i4>
      </vt:variant>
      <vt:variant>
        <vt:i4>5</vt:i4>
      </vt:variant>
      <vt:variant>
        <vt:lpwstr/>
      </vt:variant>
      <vt:variant>
        <vt:lpwstr>DesignationofPrinc</vt:lpwstr>
      </vt:variant>
      <vt:variant>
        <vt:i4>1638427</vt:i4>
      </vt:variant>
      <vt:variant>
        <vt:i4>666</vt:i4>
      </vt:variant>
      <vt:variant>
        <vt:i4>0</vt:i4>
      </vt:variant>
      <vt:variant>
        <vt:i4>5</vt:i4>
      </vt:variant>
      <vt:variant>
        <vt:lpwstr/>
      </vt:variant>
      <vt:variant>
        <vt:lpwstr>ExhibitA</vt:lpwstr>
      </vt:variant>
      <vt:variant>
        <vt:i4>7536751</vt:i4>
      </vt:variant>
      <vt:variant>
        <vt:i4>663</vt:i4>
      </vt:variant>
      <vt:variant>
        <vt:i4>0</vt:i4>
      </vt:variant>
      <vt:variant>
        <vt:i4>5</vt:i4>
      </vt:variant>
      <vt:variant>
        <vt:lpwstr/>
      </vt:variant>
      <vt:variant>
        <vt:lpwstr>OSJ</vt:lpwstr>
      </vt:variant>
      <vt:variant>
        <vt:i4>7536751</vt:i4>
      </vt:variant>
      <vt:variant>
        <vt:i4>660</vt:i4>
      </vt:variant>
      <vt:variant>
        <vt:i4>0</vt:i4>
      </vt:variant>
      <vt:variant>
        <vt:i4>5</vt:i4>
      </vt:variant>
      <vt:variant>
        <vt:lpwstr/>
      </vt:variant>
      <vt:variant>
        <vt:lpwstr>OSJ</vt:lpwstr>
      </vt:variant>
      <vt:variant>
        <vt:i4>524307</vt:i4>
      </vt:variant>
      <vt:variant>
        <vt:i4>657</vt:i4>
      </vt:variant>
      <vt:variant>
        <vt:i4>0</vt:i4>
      </vt:variant>
      <vt:variant>
        <vt:i4>5</vt:i4>
      </vt:variant>
      <vt:variant>
        <vt:lpwstr/>
      </vt:variant>
      <vt:variant>
        <vt:lpwstr>SupervisoryPersonnel</vt:lpwstr>
      </vt:variant>
      <vt:variant>
        <vt:i4>5243003</vt:i4>
      </vt:variant>
      <vt:variant>
        <vt:i4>654</vt:i4>
      </vt:variant>
      <vt:variant>
        <vt:i4>0</vt:i4>
      </vt:variant>
      <vt:variant>
        <vt:i4>5</vt:i4>
      </vt:variant>
      <vt:variant>
        <vt:lpwstr>mailto:bmorris@tafgonline.com</vt:lpwstr>
      </vt:variant>
      <vt:variant>
        <vt:lpwstr/>
      </vt:variant>
      <vt:variant>
        <vt:i4>6094969</vt:i4>
      </vt:variant>
      <vt:variant>
        <vt:i4>651</vt:i4>
      </vt:variant>
      <vt:variant>
        <vt:i4>0</vt:i4>
      </vt:variant>
      <vt:variant>
        <vt:i4>5</vt:i4>
      </vt:variant>
      <vt:variant>
        <vt:lpwstr>mailto:jtk@tafgonline.com</vt:lpwstr>
      </vt:variant>
      <vt:variant>
        <vt:lpwstr/>
      </vt:variant>
      <vt:variant>
        <vt:i4>3407887</vt:i4>
      </vt:variant>
      <vt:variant>
        <vt:i4>648</vt:i4>
      </vt:variant>
      <vt:variant>
        <vt:i4>0</vt:i4>
      </vt:variant>
      <vt:variant>
        <vt:i4>5</vt:i4>
      </vt:variant>
      <vt:variant>
        <vt:lpwstr>mailto:jackdavis@tafgonline.com</vt:lpwstr>
      </vt:variant>
      <vt:variant>
        <vt:lpwstr/>
      </vt:variant>
      <vt:variant>
        <vt:i4>1769522</vt:i4>
      </vt:variant>
      <vt:variant>
        <vt:i4>645</vt:i4>
      </vt:variant>
      <vt:variant>
        <vt:i4>0</vt:i4>
      </vt:variant>
      <vt:variant>
        <vt:i4>5</vt:i4>
      </vt:variant>
      <vt:variant>
        <vt:lpwstr>mailto:bjjohnson@woodlandssecurities.com</vt:lpwstr>
      </vt:variant>
      <vt:variant>
        <vt:lpwstr/>
      </vt:variant>
      <vt:variant>
        <vt:i4>7077973</vt:i4>
      </vt:variant>
      <vt:variant>
        <vt:i4>642</vt:i4>
      </vt:variant>
      <vt:variant>
        <vt:i4>0</vt:i4>
      </vt:variant>
      <vt:variant>
        <vt:i4>5</vt:i4>
      </vt:variant>
      <vt:variant>
        <vt:lpwstr>mailto:gsedita@woodlandssecurities.com</vt:lpwstr>
      </vt:variant>
      <vt:variant>
        <vt:lpwstr/>
      </vt:variant>
      <vt:variant>
        <vt:i4>1900582</vt:i4>
      </vt:variant>
      <vt:variant>
        <vt:i4>639</vt:i4>
      </vt:variant>
      <vt:variant>
        <vt:i4>0</vt:i4>
      </vt:variant>
      <vt:variant>
        <vt:i4>5</vt:i4>
      </vt:variant>
      <vt:variant>
        <vt:lpwstr>mailto:dvaughan@woodlandssecurities.com</vt:lpwstr>
      </vt:variant>
      <vt:variant>
        <vt:lpwstr/>
      </vt:variant>
      <vt:variant>
        <vt:i4>6946895</vt:i4>
      </vt:variant>
      <vt:variant>
        <vt:i4>636</vt:i4>
      </vt:variant>
      <vt:variant>
        <vt:i4>0</vt:i4>
      </vt:variant>
      <vt:variant>
        <vt:i4>5</vt:i4>
      </vt:variant>
      <vt:variant>
        <vt:lpwstr>mailto:sogrady@woodlandssecurities.com</vt:lpwstr>
      </vt:variant>
      <vt:variant>
        <vt:lpwstr/>
      </vt:variant>
      <vt:variant>
        <vt:i4>7405639</vt:i4>
      </vt:variant>
      <vt:variant>
        <vt:i4>633</vt:i4>
      </vt:variant>
      <vt:variant>
        <vt:i4>0</vt:i4>
      </vt:variant>
      <vt:variant>
        <vt:i4>5</vt:i4>
      </vt:variant>
      <vt:variant>
        <vt:lpwstr>mailto:lhendricks@woodlandssecurities.com</vt:lpwstr>
      </vt:variant>
      <vt:variant>
        <vt:lpwstr/>
      </vt:variant>
      <vt:variant>
        <vt:i4>1966123</vt:i4>
      </vt:variant>
      <vt:variant>
        <vt:i4>630</vt:i4>
      </vt:variant>
      <vt:variant>
        <vt:i4>0</vt:i4>
      </vt:variant>
      <vt:variant>
        <vt:i4>5</vt:i4>
      </vt:variant>
      <vt:variant>
        <vt:lpwstr>mailto:jim@jimcharrisnco.com</vt:lpwstr>
      </vt:variant>
      <vt:variant>
        <vt:lpwstr/>
      </vt:variant>
      <vt:variant>
        <vt:i4>7536730</vt:i4>
      </vt:variant>
      <vt:variant>
        <vt:i4>627</vt:i4>
      </vt:variant>
      <vt:variant>
        <vt:i4>0</vt:i4>
      </vt:variant>
      <vt:variant>
        <vt:i4>5</vt:i4>
      </vt:variant>
      <vt:variant>
        <vt:lpwstr>mailto:mmonroe@woodlandssecurities.com</vt:lpwstr>
      </vt:variant>
      <vt:variant>
        <vt:lpwstr/>
      </vt:variant>
      <vt:variant>
        <vt:i4>3276819</vt:i4>
      </vt:variant>
      <vt:variant>
        <vt:i4>624</vt:i4>
      </vt:variant>
      <vt:variant>
        <vt:i4>0</vt:i4>
      </vt:variant>
      <vt:variant>
        <vt:i4>5</vt:i4>
      </vt:variant>
      <vt:variant>
        <vt:lpwstr>mailto:tsims@tafgonline.com</vt:lpwstr>
      </vt:variant>
      <vt:variant>
        <vt:lpwstr/>
      </vt:variant>
      <vt:variant>
        <vt:i4>4915303</vt:i4>
      </vt:variant>
      <vt:variant>
        <vt:i4>621</vt:i4>
      </vt:variant>
      <vt:variant>
        <vt:i4>0</vt:i4>
      </vt:variant>
      <vt:variant>
        <vt:i4>5</vt:i4>
      </vt:variant>
      <vt:variant>
        <vt:lpwstr>mailto:rtelford@tafgonline.com</vt:lpwstr>
      </vt:variant>
      <vt:variant>
        <vt:lpwstr/>
      </vt:variant>
      <vt:variant>
        <vt:i4>3866652</vt:i4>
      </vt:variant>
      <vt:variant>
        <vt:i4>618</vt:i4>
      </vt:variant>
      <vt:variant>
        <vt:i4>0</vt:i4>
      </vt:variant>
      <vt:variant>
        <vt:i4>5</vt:i4>
      </vt:variant>
      <vt:variant>
        <vt:lpwstr>mailto:pambowley@tafgonline.com</vt:lpwstr>
      </vt:variant>
      <vt:variant>
        <vt:lpwstr/>
      </vt:variant>
      <vt:variant>
        <vt:i4>2293779</vt:i4>
      </vt:variant>
      <vt:variant>
        <vt:i4>615</vt:i4>
      </vt:variant>
      <vt:variant>
        <vt:i4>0</vt:i4>
      </vt:variant>
      <vt:variant>
        <vt:i4>5</vt:i4>
      </vt:variant>
      <vt:variant>
        <vt:lpwstr>mailto:cmoss@tafgonline.com</vt:lpwstr>
      </vt:variant>
      <vt:variant>
        <vt:lpwstr/>
      </vt:variant>
      <vt:variant>
        <vt:i4>4194339</vt:i4>
      </vt:variant>
      <vt:variant>
        <vt:i4>612</vt:i4>
      </vt:variant>
      <vt:variant>
        <vt:i4>0</vt:i4>
      </vt:variant>
      <vt:variant>
        <vt:i4>5</vt:i4>
      </vt:variant>
      <vt:variant>
        <vt:lpwstr>mailto:tesa@the4monroes.com</vt:lpwstr>
      </vt:variant>
      <vt:variant>
        <vt:lpwstr/>
      </vt:variant>
      <vt:variant>
        <vt:i4>917546</vt:i4>
      </vt:variant>
      <vt:variant>
        <vt:i4>609</vt:i4>
      </vt:variant>
      <vt:variant>
        <vt:i4>0</vt:i4>
      </vt:variant>
      <vt:variant>
        <vt:i4>5</vt:i4>
      </vt:variant>
      <vt:variant>
        <vt:lpwstr>mailto:rschulken@msn.com</vt:lpwstr>
      </vt:variant>
      <vt:variant>
        <vt:lpwstr/>
      </vt:variant>
      <vt:variant>
        <vt:i4>6226033</vt:i4>
      </vt:variant>
      <vt:variant>
        <vt:i4>606</vt:i4>
      </vt:variant>
      <vt:variant>
        <vt:i4>0</vt:i4>
      </vt:variant>
      <vt:variant>
        <vt:i4>5</vt:i4>
      </vt:variant>
      <vt:variant>
        <vt:lpwstr>mailto:devauta@auburn.edu</vt:lpwstr>
      </vt:variant>
      <vt:variant>
        <vt:lpwstr/>
      </vt:variant>
      <vt:variant>
        <vt:i4>1245222</vt:i4>
      </vt:variant>
      <vt:variant>
        <vt:i4>603</vt:i4>
      </vt:variant>
      <vt:variant>
        <vt:i4>0</vt:i4>
      </vt:variant>
      <vt:variant>
        <vt:i4>5</vt:i4>
      </vt:variant>
      <vt:variant>
        <vt:lpwstr>mailto:portiakbrown@comcast.net</vt:lpwstr>
      </vt:variant>
      <vt:variant>
        <vt:lpwstr/>
      </vt:variant>
      <vt:variant>
        <vt:i4>720957</vt:i4>
      </vt:variant>
      <vt:variant>
        <vt:i4>600</vt:i4>
      </vt:variant>
      <vt:variant>
        <vt:i4>0</vt:i4>
      </vt:variant>
      <vt:variant>
        <vt:i4>5</vt:i4>
      </vt:variant>
      <vt:variant>
        <vt:lpwstr>mailto:Dvaughan@hotmail.com</vt:lpwstr>
      </vt:variant>
      <vt:variant>
        <vt:lpwstr/>
      </vt:variant>
      <vt:variant>
        <vt:i4>7340112</vt:i4>
      </vt:variant>
      <vt:variant>
        <vt:i4>597</vt:i4>
      </vt:variant>
      <vt:variant>
        <vt:i4>0</vt:i4>
      </vt:variant>
      <vt:variant>
        <vt:i4>5</vt:i4>
      </vt:variant>
      <vt:variant>
        <vt:lpwstr>mailto:csmith4523@aol.com</vt:lpwstr>
      </vt:variant>
      <vt:variant>
        <vt:lpwstr/>
      </vt:variant>
      <vt:variant>
        <vt:i4>6619223</vt:i4>
      </vt:variant>
      <vt:variant>
        <vt:i4>594</vt:i4>
      </vt:variant>
      <vt:variant>
        <vt:i4>0</vt:i4>
      </vt:variant>
      <vt:variant>
        <vt:i4>5</vt:i4>
      </vt:variant>
      <vt:variant>
        <vt:lpwstr>mailto:Christinajenkins2005@yahoo.com</vt:lpwstr>
      </vt:variant>
      <vt:variant>
        <vt:lpwstr/>
      </vt:variant>
      <vt:variant>
        <vt:i4>3145817</vt:i4>
      </vt:variant>
      <vt:variant>
        <vt:i4>591</vt:i4>
      </vt:variant>
      <vt:variant>
        <vt:i4>0</vt:i4>
      </vt:variant>
      <vt:variant>
        <vt:i4>5</vt:i4>
      </vt:variant>
      <vt:variant>
        <vt:lpwstr>mailto:gloria.sedita@yahoo.com</vt:lpwstr>
      </vt:variant>
      <vt:variant>
        <vt:lpwstr/>
      </vt:variant>
      <vt:variant>
        <vt:i4>1835041</vt:i4>
      </vt:variant>
      <vt:variant>
        <vt:i4>588</vt:i4>
      </vt:variant>
      <vt:variant>
        <vt:i4>0</vt:i4>
      </vt:variant>
      <vt:variant>
        <vt:i4>5</vt:i4>
      </vt:variant>
      <vt:variant>
        <vt:lpwstr>mailto:saogrady@comcast.net</vt:lpwstr>
      </vt:variant>
      <vt:variant>
        <vt:lpwstr/>
      </vt:variant>
      <vt:variant>
        <vt:i4>4194339</vt:i4>
      </vt:variant>
      <vt:variant>
        <vt:i4>585</vt:i4>
      </vt:variant>
      <vt:variant>
        <vt:i4>0</vt:i4>
      </vt:variant>
      <vt:variant>
        <vt:i4>5</vt:i4>
      </vt:variant>
      <vt:variant>
        <vt:lpwstr>mailto:tesa@the4monroes.com</vt:lpwstr>
      </vt:variant>
      <vt:variant>
        <vt:lpwstr/>
      </vt:variant>
      <vt:variant>
        <vt:i4>6226023</vt:i4>
      </vt:variant>
      <vt:variant>
        <vt:i4>582</vt:i4>
      </vt:variant>
      <vt:variant>
        <vt:i4>0</vt:i4>
      </vt:variant>
      <vt:variant>
        <vt:i4>5</vt:i4>
      </vt:variant>
      <vt:variant>
        <vt:lpwstr>mailto:dmccullough@tafgonline.com</vt:lpwstr>
      </vt:variant>
      <vt:variant>
        <vt:lpwstr/>
      </vt:variant>
      <vt:variant>
        <vt:i4>3145819</vt:i4>
      </vt:variant>
      <vt:variant>
        <vt:i4>579</vt:i4>
      </vt:variant>
      <vt:variant>
        <vt:i4>0</vt:i4>
      </vt:variant>
      <vt:variant>
        <vt:i4>5</vt:i4>
      </vt:variant>
      <vt:variant>
        <vt:lpwstr>mailto:5hendricks@cox.net</vt:lpwstr>
      </vt:variant>
      <vt:variant>
        <vt:lpwstr/>
      </vt:variant>
      <vt:variant>
        <vt:i4>5308503</vt:i4>
      </vt:variant>
      <vt:variant>
        <vt:i4>576</vt:i4>
      </vt:variant>
      <vt:variant>
        <vt:i4>0</vt:i4>
      </vt:variant>
      <vt:variant>
        <vt:i4>5</vt:i4>
      </vt:variant>
      <vt:variant>
        <vt:lpwstr>http://www.charleschwab.com/</vt:lpwstr>
      </vt:variant>
      <vt:variant>
        <vt:lpwstr/>
      </vt:variant>
      <vt:variant>
        <vt:i4>4522077</vt:i4>
      </vt:variant>
      <vt:variant>
        <vt:i4>573</vt:i4>
      </vt:variant>
      <vt:variant>
        <vt:i4>0</vt:i4>
      </vt:variant>
      <vt:variant>
        <vt:i4>5</vt:i4>
      </vt:variant>
      <vt:variant>
        <vt:lpwstr>http://www.swst.com/</vt:lpwstr>
      </vt:variant>
      <vt:variant>
        <vt:lpwstr/>
      </vt:variant>
      <vt:variant>
        <vt:i4>3080300</vt:i4>
      </vt:variant>
      <vt:variant>
        <vt:i4>570</vt:i4>
      </vt:variant>
      <vt:variant>
        <vt:i4>0</vt:i4>
      </vt:variant>
      <vt:variant>
        <vt:i4>5</vt:i4>
      </vt:variant>
      <vt:variant>
        <vt:lpwstr>http://www.woodlandssecurities.com/</vt:lpwstr>
      </vt:variant>
      <vt:variant>
        <vt:lpwstr/>
      </vt:variant>
      <vt:variant>
        <vt:i4>4653129</vt:i4>
      </vt:variant>
      <vt:variant>
        <vt:i4>567</vt:i4>
      </vt:variant>
      <vt:variant>
        <vt:i4>0</vt:i4>
      </vt:variant>
      <vt:variant>
        <vt:i4>5</vt:i4>
      </vt:variant>
      <vt:variant>
        <vt:lpwstr>http://www.msrb.org/</vt:lpwstr>
      </vt:variant>
      <vt:variant>
        <vt:lpwstr/>
      </vt:variant>
      <vt:variant>
        <vt:i4>196610</vt:i4>
      </vt:variant>
      <vt:variant>
        <vt:i4>564</vt:i4>
      </vt:variant>
      <vt:variant>
        <vt:i4>0</vt:i4>
      </vt:variant>
      <vt:variant>
        <vt:i4>5</vt:i4>
      </vt:variant>
      <vt:variant>
        <vt:lpwstr>https://security.nasdaq.com/</vt:lpwstr>
      </vt:variant>
      <vt:variant>
        <vt:lpwstr/>
      </vt:variant>
      <vt:variant>
        <vt:i4>3276835</vt:i4>
      </vt:variant>
      <vt:variant>
        <vt:i4>561</vt:i4>
      </vt:variant>
      <vt:variant>
        <vt:i4>0</vt:i4>
      </vt:variant>
      <vt:variant>
        <vt:i4>5</vt:i4>
      </vt:variant>
      <vt:variant>
        <vt:lpwstr>https://www.nasdtrace.com/</vt:lpwstr>
      </vt:variant>
      <vt:variant>
        <vt:lpwstr/>
      </vt:variant>
      <vt:variant>
        <vt:i4>6553647</vt:i4>
      </vt:variant>
      <vt:variant>
        <vt:i4>558</vt:i4>
      </vt:variant>
      <vt:variant>
        <vt:i4>0</vt:i4>
      </vt:variant>
      <vt:variant>
        <vt:i4>5</vt:i4>
      </vt:variant>
      <vt:variant>
        <vt:lpwstr>https://oats.finra.com/</vt:lpwstr>
      </vt:variant>
      <vt:variant>
        <vt:lpwstr/>
      </vt:variant>
      <vt:variant>
        <vt:i4>6619223</vt:i4>
      </vt:variant>
      <vt:variant>
        <vt:i4>555</vt:i4>
      </vt:variant>
      <vt:variant>
        <vt:i4>0</vt:i4>
      </vt:variant>
      <vt:variant>
        <vt:i4>5</vt:i4>
      </vt:variant>
      <vt:variant>
        <vt:lpwstr>mailto:christinajenkins2005@yahoo.com</vt:lpwstr>
      </vt:variant>
      <vt:variant>
        <vt:lpwstr/>
      </vt:variant>
      <vt:variant>
        <vt:i4>6881370</vt:i4>
      </vt:variant>
      <vt:variant>
        <vt:i4>552</vt:i4>
      </vt:variant>
      <vt:variant>
        <vt:i4>0</vt:i4>
      </vt:variant>
      <vt:variant>
        <vt:i4>5</vt:i4>
      </vt:variant>
      <vt:variant>
        <vt:lpwstr>mailto:clscvett@bellsouth.net</vt:lpwstr>
      </vt:variant>
      <vt:variant>
        <vt:lpwstr/>
      </vt:variant>
      <vt:variant>
        <vt:i4>7340112</vt:i4>
      </vt:variant>
      <vt:variant>
        <vt:i4>549</vt:i4>
      </vt:variant>
      <vt:variant>
        <vt:i4>0</vt:i4>
      </vt:variant>
      <vt:variant>
        <vt:i4>5</vt:i4>
      </vt:variant>
      <vt:variant>
        <vt:lpwstr>mailto:csmith4523@aol.com</vt:lpwstr>
      </vt:variant>
      <vt:variant>
        <vt:lpwstr/>
      </vt:variant>
      <vt:variant>
        <vt:i4>6553695</vt:i4>
      </vt:variant>
      <vt:variant>
        <vt:i4>546</vt:i4>
      </vt:variant>
      <vt:variant>
        <vt:i4>0</vt:i4>
      </vt:variant>
      <vt:variant>
        <vt:i4>5</vt:i4>
      </vt:variant>
      <vt:variant>
        <vt:lpwstr>mailto:dmccullough@pivtech.com</vt:lpwstr>
      </vt:variant>
      <vt:variant>
        <vt:lpwstr/>
      </vt:variant>
      <vt:variant>
        <vt:i4>1572902</vt:i4>
      </vt:variant>
      <vt:variant>
        <vt:i4>543</vt:i4>
      </vt:variant>
      <vt:variant>
        <vt:i4>0</vt:i4>
      </vt:variant>
      <vt:variant>
        <vt:i4>5</vt:i4>
      </vt:variant>
      <vt:variant>
        <vt:lpwstr>mailto:gsedita@yahoo.com</vt:lpwstr>
      </vt:variant>
      <vt:variant>
        <vt:lpwstr/>
      </vt:variant>
      <vt:variant>
        <vt:i4>4194339</vt:i4>
      </vt:variant>
      <vt:variant>
        <vt:i4>540</vt:i4>
      </vt:variant>
      <vt:variant>
        <vt:i4>0</vt:i4>
      </vt:variant>
      <vt:variant>
        <vt:i4>5</vt:i4>
      </vt:variant>
      <vt:variant>
        <vt:lpwstr>mailto:tesa@the4monroes.com</vt:lpwstr>
      </vt:variant>
      <vt:variant>
        <vt:lpwstr/>
      </vt:variant>
      <vt:variant>
        <vt:i4>4522077</vt:i4>
      </vt:variant>
      <vt:variant>
        <vt:i4>537</vt:i4>
      </vt:variant>
      <vt:variant>
        <vt:i4>0</vt:i4>
      </vt:variant>
      <vt:variant>
        <vt:i4>5</vt:i4>
      </vt:variant>
      <vt:variant>
        <vt:lpwstr>http://www.swst.com/</vt:lpwstr>
      </vt:variant>
      <vt:variant>
        <vt:lpwstr/>
      </vt:variant>
      <vt:variant>
        <vt:i4>6553646</vt:i4>
      </vt:variant>
      <vt:variant>
        <vt:i4>534</vt:i4>
      </vt:variant>
      <vt:variant>
        <vt:i4>0</vt:i4>
      </vt:variant>
      <vt:variant>
        <vt:i4>5</vt:i4>
      </vt:variant>
      <vt:variant>
        <vt:lpwstr>http://www.ssb.state.tx.us/</vt:lpwstr>
      </vt:variant>
      <vt:variant>
        <vt:lpwstr/>
      </vt:variant>
      <vt:variant>
        <vt:i4>4653129</vt:i4>
      </vt:variant>
      <vt:variant>
        <vt:i4>531</vt:i4>
      </vt:variant>
      <vt:variant>
        <vt:i4>0</vt:i4>
      </vt:variant>
      <vt:variant>
        <vt:i4>5</vt:i4>
      </vt:variant>
      <vt:variant>
        <vt:lpwstr>http://www.msrb.org/</vt:lpwstr>
      </vt:variant>
      <vt:variant>
        <vt:lpwstr/>
      </vt:variant>
      <vt:variant>
        <vt:i4>5439558</vt:i4>
      </vt:variant>
      <vt:variant>
        <vt:i4>528</vt:i4>
      </vt:variant>
      <vt:variant>
        <vt:i4>0</vt:i4>
      </vt:variant>
      <vt:variant>
        <vt:i4>5</vt:i4>
      </vt:variant>
      <vt:variant>
        <vt:lpwstr>https://firms.finra.org/</vt:lpwstr>
      </vt:variant>
      <vt:variant>
        <vt:lpwstr/>
      </vt:variant>
      <vt:variant>
        <vt:i4>4849687</vt:i4>
      </vt:variant>
      <vt:variant>
        <vt:i4>525</vt:i4>
      </vt:variant>
      <vt:variant>
        <vt:i4>0</vt:i4>
      </vt:variant>
      <vt:variant>
        <vt:i4>5</vt:i4>
      </vt:variant>
      <vt:variant>
        <vt:lpwstr>http://www.finra.org/</vt:lpwstr>
      </vt:variant>
      <vt:variant>
        <vt:lpwstr/>
      </vt:variant>
      <vt:variant>
        <vt:i4>2752628</vt:i4>
      </vt:variant>
      <vt:variant>
        <vt:i4>522</vt:i4>
      </vt:variant>
      <vt:variant>
        <vt:i4>0</vt:i4>
      </vt:variant>
      <vt:variant>
        <vt:i4>5</vt:i4>
      </vt:variant>
      <vt:variant>
        <vt:lpwstr>http://www.sec.gov/</vt:lpwstr>
      </vt:variant>
      <vt:variant>
        <vt:lpwstr/>
      </vt:variant>
      <vt:variant>
        <vt:i4>5963784</vt:i4>
      </vt:variant>
      <vt:variant>
        <vt:i4>519</vt:i4>
      </vt:variant>
      <vt:variant>
        <vt:i4>0</vt:i4>
      </vt:variant>
      <vt:variant>
        <vt:i4>5</vt:i4>
      </vt:variant>
      <vt:variant>
        <vt:lpwstr>http://www.dstvision.com/</vt:lpwstr>
      </vt:variant>
      <vt:variant>
        <vt:lpwstr/>
      </vt:variant>
      <vt:variant>
        <vt:i4>3932209</vt:i4>
      </vt:variant>
      <vt:variant>
        <vt:i4>516</vt:i4>
      </vt:variant>
      <vt:variant>
        <vt:i4>0</vt:i4>
      </vt:variant>
      <vt:variant>
        <vt:i4>5</vt:i4>
      </vt:variant>
      <vt:variant>
        <vt:lpwstr>http://www.swslearingexchange.com/</vt:lpwstr>
      </vt:variant>
      <vt:variant>
        <vt:lpwstr/>
      </vt:variant>
      <vt:variant>
        <vt:i4>4522077</vt:i4>
      </vt:variant>
      <vt:variant>
        <vt:i4>513</vt:i4>
      </vt:variant>
      <vt:variant>
        <vt:i4>0</vt:i4>
      </vt:variant>
      <vt:variant>
        <vt:i4>5</vt:i4>
      </vt:variant>
      <vt:variant>
        <vt:lpwstr>http://www.swst.com/</vt:lpwstr>
      </vt:variant>
      <vt:variant>
        <vt:lpwstr/>
      </vt:variant>
      <vt:variant>
        <vt:i4>4325480</vt:i4>
      </vt:variant>
      <vt:variant>
        <vt:i4>510</vt:i4>
      </vt:variant>
      <vt:variant>
        <vt:i4>0</vt:i4>
      </vt:variant>
      <vt:variant>
        <vt:i4>5</vt:i4>
      </vt:variant>
      <vt:variant>
        <vt:lpwstr>mailto:cglen@swst.com</vt:lpwstr>
      </vt:variant>
      <vt:variant>
        <vt:lpwstr/>
      </vt:variant>
      <vt:variant>
        <vt:i4>3866708</vt:i4>
      </vt:variant>
      <vt:variant>
        <vt:i4>507</vt:i4>
      </vt:variant>
      <vt:variant>
        <vt:i4>0</vt:i4>
      </vt:variant>
      <vt:variant>
        <vt:i4>5</vt:i4>
      </vt:variant>
      <vt:variant>
        <vt:lpwstr>http://www.ibb.ubs.com/sec_reports/</vt:lpwstr>
      </vt:variant>
      <vt:variant>
        <vt:lpwstr/>
      </vt:variant>
      <vt:variant>
        <vt:i4>3276915</vt:i4>
      </vt:variant>
      <vt:variant>
        <vt:i4>504</vt:i4>
      </vt:variant>
      <vt:variant>
        <vt:i4>0</vt:i4>
      </vt:variant>
      <vt:variant>
        <vt:i4>5</vt:i4>
      </vt:variant>
      <vt:variant>
        <vt:lpwstr>http://www.schwabinstitutional.com/</vt:lpwstr>
      </vt:variant>
      <vt:variant>
        <vt:lpwstr/>
      </vt:variant>
      <vt:variant>
        <vt:i4>5177436</vt:i4>
      </vt:variant>
      <vt:variant>
        <vt:i4>501</vt:i4>
      </vt:variant>
      <vt:variant>
        <vt:i4>0</vt:i4>
      </vt:variant>
      <vt:variant>
        <vt:i4>5</vt:i4>
      </vt:variant>
      <vt:variant>
        <vt:lpwstr>http://www.schwabpt.com/</vt:lpwstr>
      </vt:variant>
      <vt:variant>
        <vt:lpwstr/>
      </vt:variant>
      <vt:variant>
        <vt:i4>1703993</vt:i4>
      </vt:variant>
      <vt:variant>
        <vt:i4>498</vt:i4>
      </vt:variant>
      <vt:variant>
        <vt:i4>0</vt:i4>
      </vt:variant>
      <vt:variant>
        <vt:i4>5</vt:i4>
      </vt:variant>
      <vt:variant>
        <vt:lpwstr>mailto:spalmerton@harperpearson.com</vt:lpwstr>
      </vt:variant>
      <vt:variant>
        <vt:lpwstr/>
      </vt:variant>
      <vt:variant>
        <vt:i4>3342431</vt:i4>
      </vt:variant>
      <vt:variant>
        <vt:i4>495</vt:i4>
      </vt:variant>
      <vt:variant>
        <vt:i4>0</vt:i4>
      </vt:variant>
      <vt:variant>
        <vt:i4>5</vt:i4>
      </vt:variant>
      <vt:variant>
        <vt:lpwstr>mailto:steve.antonellis@ironmountain.com</vt:lpwstr>
      </vt:variant>
      <vt:variant>
        <vt:lpwstr/>
      </vt:variant>
      <vt:variant>
        <vt:i4>1572950</vt:i4>
      </vt:variant>
      <vt:variant>
        <vt:i4>492</vt:i4>
      </vt:variant>
      <vt:variant>
        <vt:i4>0</vt:i4>
      </vt:variant>
      <vt:variant>
        <vt:i4>5</vt:i4>
      </vt:variant>
      <vt:variant>
        <vt:lpwstr>https://mail.woodlandssecurities.com/</vt:lpwstr>
      </vt:variant>
      <vt:variant>
        <vt:lpwstr/>
      </vt:variant>
      <vt:variant>
        <vt:i4>1638428</vt:i4>
      </vt:variant>
      <vt:variant>
        <vt:i4>489</vt:i4>
      </vt:variant>
      <vt:variant>
        <vt:i4>0</vt:i4>
      </vt:variant>
      <vt:variant>
        <vt:i4>5</vt:i4>
      </vt:variant>
      <vt:variant>
        <vt:lpwstr>https://provisor.postoffice.net/</vt:lpwstr>
      </vt:variant>
      <vt:variant>
        <vt:lpwstr/>
      </vt:variant>
      <vt:variant>
        <vt:i4>3211270</vt:i4>
      </vt:variant>
      <vt:variant>
        <vt:i4>486</vt:i4>
      </vt:variant>
      <vt:variant>
        <vt:i4>0</vt:i4>
      </vt:variant>
      <vt:variant>
        <vt:i4>5</vt:i4>
      </vt:variant>
      <vt:variant>
        <vt:lpwstr>mailto:support@meriplex.com</vt:lpwstr>
      </vt:variant>
      <vt:variant>
        <vt:lpwstr/>
      </vt:variant>
      <vt:variant>
        <vt:i4>3080300</vt:i4>
      </vt:variant>
      <vt:variant>
        <vt:i4>483</vt:i4>
      </vt:variant>
      <vt:variant>
        <vt:i4>0</vt:i4>
      </vt:variant>
      <vt:variant>
        <vt:i4>5</vt:i4>
      </vt:variant>
      <vt:variant>
        <vt:lpwstr>http://www.woodlandssecurities.com/</vt:lpwstr>
      </vt:variant>
      <vt:variant>
        <vt:lpwstr/>
      </vt:variant>
      <vt:variant>
        <vt:i4>2752606</vt:i4>
      </vt:variant>
      <vt:variant>
        <vt:i4>480</vt:i4>
      </vt:variant>
      <vt:variant>
        <vt:i4>0</vt:i4>
      </vt:variant>
      <vt:variant>
        <vt:i4>5</vt:i4>
      </vt:variant>
      <vt:variant>
        <vt:lpwstr>mailto:jill.vaughan@amegybank.com</vt:lpwstr>
      </vt:variant>
      <vt:variant>
        <vt:lpwstr/>
      </vt:variant>
      <vt:variant>
        <vt:i4>786552</vt:i4>
      </vt:variant>
      <vt:variant>
        <vt:i4>477</vt:i4>
      </vt:variant>
      <vt:variant>
        <vt:i4>0</vt:i4>
      </vt:variant>
      <vt:variant>
        <vt:i4>5</vt:i4>
      </vt:variant>
      <vt:variant>
        <vt:lpwstr>mailto:imacfan3@aol.com</vt:lpwstr>
      </vt:variant>
      <vt:variant>
        <vt:lpwstr/>
      </vt:variant>
      <vt:variant>
        <vt:i4>2031720</vt:i4>
      </vt:variant>
      <vt:variant>
        <vt:i4>474</vt:i4>
      </vt:variant>
      <vt:variant>
        <vt:i4>0</vt:i4>
      </vt:variant>
      <vt:variant>
        <vt:i4>5</vt:i4>
      </vt:variant>
      <vt:variant>
        <vt:lpwstr>mailto:jeffu192@cs.comm</vt:lpwstr>
      </vt:variant>
      <vt:variant>
        <vt:lpwstr/>
      </vt:variant>
      <vt:variant>
        <vt:i4>4391010</vt:i4>
      </vt:variant>
      <vt:variant>
        <vt:i4>471</vt:i4>
      </vt:variant>
      <vt:variant>
        <vt:i4>0</vt:i4>
      </vt:variant>
      <vt:variant>
        <vt:i4>5</vt:i4>
      </vt:variant>
      <vt:variant>
        <vt:lpwstr>mailto:supportdb@perimeterusa.com</vt:lpwstr>
      </vt:variant>
      <vt:variant>
        <vt:lpwstr/>
      </vt:variant>
      <vt:variant>
        <vt:i4>2228287</vt:i4>
      </vt:variant>
      <vt:variant>
        <vt:i4>468</vt:i4>
      </vt:variant>
      <vt:variant>
        <vt:i4>0</vt:i4>
      </vt:variant>
      <vt:variant>
        <vt:i4>5</vt:i4>
      </vt:variant>
      <vt:variant>
        <vt:lpwstr>https://viewpoint.perimeterusa.com/vp/index.php</vt:lpwstr>
      </vt:variant>
      <vt:variant>
        <vt:lpwstr/>
      </vt:variant>
      <vt:variant>
        <vt:i4>2883612</vt:i4>
      </vt:variant>
      <vt:variant>
        <vt:i4>465</vt:i4>
      </vt:variant>
      <vt:variant>
        <vt:i4>0</vt:i4>
      </vt:variant>
      <vt:variant>
        <vt:i4>5</vt:i4>
      </vt:variant>
      <vt:variant>
        <vt:lpwstr>http://www.support@seccas.com/</vt:lpwstr>
      </vt:variant>
      <vt:variant>
        <vt:lpwstr/>
      </vt:variant>
      <vt:variant>
        <vt:i4>393220</vt:i4>
      </vt:variant>
      <vt:variant>
        <vt:i4>462</vt:i4>
      </vt:variant>
      <vt:variant>
        <vt:i4>0</vt:i4>
      </vt:variant>
      <vt:variant>
        <vt:i4>5</vt:i4>
      </vt:variant>
      <vt:variant>
        <vt:lpwstr>https://compliance.seccas.com/seccas/</vt:lpwstr>
      </vt:variant>
      <vt:variant>
        <vt:lpwstr/>
      </vt:variant>
      <vt:variant>
        <vt:i4>8323141</vt:i4>
      </vt:variant>
      <vt:variant>
        <vt:i4>459</vt:i4>
      </vt:variant>
      <vt:variant>
        <vt:i4>0</vt:i4>
      </vt:variant>
      <vt:variant>
        <vt:i4>5</vt:i4>
      </vt:variant>
      <vt:variant>
        <vt:lpwstr>mailto:mhunter@thecompliancedepartment.com</vt:lpwstr>
      </vt:variant>
      <vt:variant>
        <vt:lpwstr/>
      </vt:variant>
      <vt:variant>
        <vt:i4>1048637</vt:i4>
      </vt:variant>
      <vt:variant>
        <vt:i4>456</vt:i4>
      </vt:variant>
      <vt:variant>
        <vt:i4>0</vt:i4>
      </vt:variant>
      <vt:variant>
        <vt:i4>5</vt:i4>
      </vt:variant>
      <vt:variant>
        <vt:lpwstr>mailto:bhelmuth@thecompliancedepartment.com</vt:lpwstr>
      </vt:variant>
      <vt:variant>
        <vt:lpwstr/>
      </vt:variant>
      <vt:variant>
        <vt:i4>7733342</vt:i4>
      </vt:variant>
      <vt:variant>
        <vt:i4>453</vt:i4>
      </vt:variant>
      <vt:variant>
        <vt:i4>0</vt:i4>
      </vt:variant>
      <vt:variant>
        <vt:i4>5</vt:i4>
      </vt:variant>
      <vt:variant>
        <vt:lpwstr>mailto:chebert@thecompliancedepartment.com</vt:lpwstr>
      </vt:variant>
      <vt:variant>
        <vt:lpwstr/>
      </vt:variant>
      <vt:variant>
        <vt:i4>4390992</vt:i4>
      </vt:variant>
      <vt:variant>
        <vt:i4>450</vt:i4>
      </vt:variant>
      <vt:variant>
        <vt:i4>0</vt:i4>
      </vt:variant>
      <vt:variant>
        <vt:i4>5</vt:i4>
      </vt:variant>
      <vt:variant>
        <vt:lpwstr>http://www.billgood.com/</vt:lpwstr>
      </vt:variant>
      <vt:variant>
        <vt:lpwstr/>
      </vt:variant>
      <vt:variant>
        <vt:i4>4653127</vt:i4>
      </vt:variant>
      <vt:variant>
        <vt:i4>447</vt:i4>
      </vt:variant>
      <vt:variant>
        <vt:i4>0</vt:i4>
      </vt:variant>
      <vt:variant>
        <vt:i4>5</vt:i4>
      </vt:variant>
      <vt:variant>
        <vt:lpwstr>http://sabildownload.swst.com/brokerview/</vt:lpwstr>
      </vt:variant>
      <vt:variant>
        <vt:lpwstr/>
      </vt:variant>
      <vt:variant>
        <vt:i4>3080300</vt:i4>
      </vt:variant>
      <vt:variant>
        <vt:i4>444</vt:i4>
      </vt:variant>
      <vt:variant>
        <vt:i4>0</vt:i4>
      </vt:variant>
      <vt:variant>
        <vt:i4>5</vt:i4>
      </vt:variant>
      <vt:variant>
        <vt:lpwstr>http://www.woodlandssecurities.com/</vt:lpwstr>
      </vt:variant>
      <vt:variant>
        <vt:lpwstr/>
      </vt:variant>
      <vt:variant>
        <vt:i4>262240</vt:i4>
      </vt:variant>
      <vt:variant>
        <vt:i4>441</vt:i4>
      </vt:variant>
      <vt:variant>
        <vt:i4>0</vt:i4>
      </vt:variant>
      <vt:variant>
        <vt:i4>5</vt:i4>
      </vt:variant>
      <vt:variant>
        <vt:lpwstr>http://finra.complinet.com/en/display/display.html?rbid=2403&amp;element_id=3601</vt:lpwstr>
      </vt:variant>
      <vt:variant>
        <vt:lpwstr/>
      </vt:variant>
      <vt:variant>
        <vt:i4>5767174</vt:i4>
      </vt:variant>
      <vt:variant>
        <vt:i4>438</vt:i4>
      </vt:variant>
      <vt:variant>
        <vt:i4>0</vt:i4>
      </vt:variant>
      <vt:variant>
        <vt:i4>5</vt:i4>
      </vt:variant>
      <vt:variant>
        <vt:lpwstr>http://www.law.uc.edu/CCL/34Act/sec15.html</vt:lpwstr>
      </vt:variant>
      <vt:variant>
        <vt:lpwstr>c.1</vt:lpwstr>
      </vt:variant>
      <vt:variant>
        <vt:i4>131172</vt:i4>
      </vt:variant>
      <vt:variant>
        <vt:i4>435</vt:i4>
      </vt:variant>
      <vt:variant>
        <vt:i4>0</vt:i4>
      </vt:variant>
      <vt:variant>
        <vt:i4>5</vt:i4>
      </vt:variant>
      <vt:variant>
        <vt:lpwstr>http://finra.complinet.com/en/display/display.html?rbid=2403&amp;element_id=3647</vt:lpwstr>
      </vt:variant>
      <vt:variant>
        <vt:lpwstr/>
      </vt:variant>
      <vt:variant>
        <vt:i4>1703995</vt:i4>
      </vt:variant>
      <vt:variant>
        <vt:i4>432</vt:i4>
      </vt:variant>
      <vt:variant>
        <vt:i4>0</vt:i4>
      </vt:variant>
      <vt:variant>
        <vt:i4>5</vt:i4>
      </vt:variant>
      <vt:variant>
        <vt:lpwstr>mailto:corpfin@finra.org</vt:lpwstr>
      </vt:variant>
      <vt:variant>
        <vt:lpwstr/>
      </vt:variant>
      <vt:variant>
        <vt:i4>4653129</vt:i4>
      </vt:variant>
      <vt:variant>
        <vt:i4>429</vt:i4>
      </vt:variant>
      <vt:variant>
        <vt:i4>0</vt:i4>
      </vt:variant>
      <vt:variant>
        <vt:i4>5</vt:i4>
      </vt:variant>
      <vt:variant>
        <vt:lpwstr>http://www.msrb.org/</vt:lpwstr>
      </vt:variant>
      <vt:variant>
        <vt:lpwstr/>
      </vt:variant>
      <vt:variant>
        <vt:i4>196710</vt:i4>
      </vt:variant>
      <vt:variant>
        <vt:i4>426</vt:i4>
      </vt:variant>
      <vt:variant>
        <vt:i4>0</vt:i4>
      </vt:variant>
      <vt:variant>
        <vt:i4>5</vt:i4>
      </vt:variant>
      <vt:variant>
        <vt:lpwstr>http://finra.complinet.com/en/display/display.html?rbid=2403&amp;element_id=4010</vt:lpwstr>
      </vt:variant>
      <vt:variant>
        <vt:lpwstr/>
      </vt:variant>
      <vt:variant>
        <vt:i4>65639</vt:i4>
      </vt:variant>
      <vt:variant>
        <vt:i4>423</vt:i4>
      </vt:variant>
      <vt:variant>
        <vt:i4>0</vt:i4>
      </vt:variant>
      <vt:variant>
        <vt:i4>5</vt:i4>
      </vt:variant>
      <vt:variant>
        <vt:lpwstr>http://finra.complinet.com/en/display/display.html?rbid=2403&amp;element_id=4002</vt:lpwstr>
      </vt:variant>
      <vt:variant>
        <vt:lpwstr/>
      </vt:variant>
      <vt:variant>
        <vt:i4>393317</vt:i4>
      </vt:variant>
      <vt:variant>
        <vt:i4>420</vt:i4>
      </vt:variant>
      <vt:variant>
        <vt:i4>0</vt:i4>
      </vt:variant>
      <vt:variant>
        <vt:i4>5</vt:i4>
      </vt:variant>
      <vt:variant>
        <vt:lpwstr>http://finra.complinet.com/en/display/display.html?rbid=2403&amp;element_id=6306</vt:lpwstr>
      </vt:variant>
      <vt:variant>
        <vt:lpwstr/>
      </vt:variant>
      <vt:variant>
        <vt:i4>393317</vt:i4>
      </vt:variant>
      <vt:variant>
        <vt:i4>417</vt:i4>
      </vt:variant>
      <vt:variant>
        <vt:i4>0</vt:i4>
      </vt:variant>
      <vt:variant>
        <vt:i4>5</vt:i4>
      </vt:variant>
      <vt:variant>
        <vt:lpwstr>http://finra.complinet.com/en/display/display.html?rbid=2403&amp;element_id=6306</vt:lpwstr>
      </vt:variant>
      <vt:variant>
        <vt:lpwstr/>
      </vt:variant>
      <vt:variant>
        <vt:i4>196706</vt:i4>
      </vt:variant>
      <vt:variant>
        <vt:i4>414</vt:i4>
      </vt:variant>
      <vt:variant>
        <vt:i4>0</vt:i4>
      </vt:variant>
      <vt:variant>
        <vt:i4>5</vt:i4>
      </vt:variant>
      <vt:variant>
        <vt:lpwstr>http://finra.complinet.com/en/display/display.html?rbid=2403&amp;element_id=3626</vt:lpwstr>
      </vt:variant>
      <vt:variant>
        <vt:lpwstr/>
      </vt:variant>
      <vt:variant>
        <vt:i4>131169</vt:i4>
      </vt:variant>
      <vt:variant>
        <vt:i4>411</vt:i4>
      </vt:variant>
      <vt:variant>
        <vt:i4>0</vt:i4>
      </vt:variant>
      <vt:variant>
        <vt:i4>5</vt:i4>
      </vt:variant>
      <vt:variant>
        <vt:lpwstr>http://finra.complinet.com/en/display/display.html?rbid=2403&amp;element_id=3617</vt:lpwstr>
      </vt:variant>
      <vt:variant>
        <vt:lpwstr/>
      </vt:variant>
      <vt:variant>
        <vt:i4>196706</vt:i4>
      </vt:variant>
      <vt:variant>
        <vt:i4>408</vt:i4>
      </vt:variant>
      <vt:variant>
        <vt:i4>0</vt:i4>
      </vt:variant>
      <vt:variant>
        <vt:i4>5</vt:i4>
      </vt:variant>
      <vt:variant>
        <vt:lpwstr>http://finra.complinet.com/en/display/display.html?rbid=2403&amp;element_id=3626</vt:lpwstr>
      </vt:variant>
      <vt:variant>
        <vt:lpwstr/>
      </vt:variant>
      <vt:variant>
        <vt:i4>196706</vt:i4>
      </vt:variant>
      <vt:variant>
        <vt:i4>405</vt:i4>
      </vt:variant>
      <vt:variant>
        <vt:i4>0</vt:i4>
      </vt:variant>
      <vt:variant>
        <vt:i4>5</vt:i4>
      </vt:variant>
      <vt:variant>
        <vt:lpwstr>http://finra.complinet.com/en/display/display.html?rbid=2403&amp;element_id=3626</vt:lpwstr>
      </vt:variant>
      <vt:variant>
        <vt:lpwstr/>
      </vt:variant>
      <vt:variant>
        <vt:i4>131169</vt:i4>
      </vt:variant>
      <vt:variant>
        <vt:i4>402</vt:i4>
      </vt:variant>
      <vt:variant>
        <vt:i4>0</vt:i4>
      </vt:variant>
      <vt:variant>
        <vt:i4>5</vt:i4>
      </vt:variant>
      <vt:variant>
        <vt:lpwstr>http://finra.complinet.com/en/display/display.html?rbid=2403&amp;element_id=3617</vt:lpwstr>
      </vt:variant>
      <vt:variant>
        <vt:lpwstr/>
      </vt:variant>
      <vt:variant>
        <vt:i4>131169</vt:i4>
      </vt:variant>
      <vt:variant>
        <vt:i4>399</vt:i4>
      </vt:variant>
      <vt:variant>
        <vt:i4>0</vt:i4>
      </vt:variant>
      <vt:variant>
        <vt:i4>5</vt:i4>
      </vt:variant>
      <vt:variant>
        <vt:lpwstr>http://finra.complinet.com/en/display/display.html?rbid=2403&amp;element_id=3617</vt:lpwstr>
      </vt:variant>
      <vt:variant>
        <vt:lpwstr/>
      </vt:variant>
      <vt:variant>
        <vt:i4>1835011</vt:i4>
      </vt:variant>
      <vt:variant>
        <vt:i4>396</vt:i4>
      </vt:variant>
      <vt:variant>
        <vt:i4>0</vt:i4>
      </vt:variant>
      <vt:variant>
        <vt:i4>5</vt:i4>
      </vt:variant>
      <vt:variant>
        <vt:lpwstr>http://www.nasdbondinfo.com/asp/download.asp</vt:lpwstr>
      </vt:variant>
      <vt:variant>
        <vt:lpwstr/>
      </vt:variant>
      <vt:variant>
        <vt:i4>3866734</vt:i4>
      </vt:variant>
      <vt:variant>
        <vt:i4>393</vt:i4>
      </vt:variant>
      <vt:variant>
        <vt:i4>0</vt:i4>
      </vt:variant>
      <vt:variant>
        <vt:i4>5</vt:i4>
      </vt:variant>
      <vt:variant>
        <vt:lpwstr>http://www.sec.gov/investor/tools/mfcc/get-started.htm</vt:lpwstr>
      </vt:variant>
      <vt:variant>
        <vt:lpwstr/>
      </vt:variant>
      <vt:variant>
        <vt:i4>7602207</vt:i4>
      </vt:variant>
      <vt:variant>
        <vt:i4>390</vt:i4>
      </vt:variant>
      <vt:variant>
        <vt:i4>0</vt:i4>
      </vt:variant>
      <vt:variant>
        <vt:i4>5</vt:i4>
      </vt:variant>
      <vt:variant>
        <vt:lpwstr>http://www.nasd.com/Investor/Tools/calculators/FundCalc/expense_analyzers.asp</vt:lpwstr>
      </vt:variant>
      <vt:variant>
        <vt:lpwstr/>
      </vt:variant>
      <vt:variant>
        <vt:i4>131174</vt:i4>
      </vt:variant>
      <vt:variant>
        <vt:i4>387</vt:i4>
      </vt:variant>
      <vt:variant>
        <vt:i4>0</vt:i4>
      </vt:variant>
      <vt:variant>
        <vt:i4>5</vt:i4>
      </vt:variant>
      <vt:variant>
        <vt:lpwstr>http://finra.complinet.com/en/display/display.html?rbid=2403&amp;element_id=4617</vt:lpwstr>
      </vt:variant>
      <vt:variant>
        <vt:lpwstr/>
      </vt:variant>
      <vt:variant>
        <vt:i4>327781</vt:i4>
      </vt:variant>
      <vt:variant>
        <vt:i4>384</vt:i4>
      </vt:variant>
      <vt:variant>
        <vt:i4>0</vt:i4>
      </vt:variant>
      <vt:variant>
        <vt:i4>5</vt:i4>
      </vt:variant>
      <vt:variant>
        <vt:lpwstr>http://finra.complinet.com/en/display/display.html?rbid=2403&amp;element_id=4620</vt:lpwstr>
      </vt:variant>
      <vt:variant>
        <vt:lpwstr/>
      </vt:variant>
      <vt:variant>
        <vt:i4>786534</vt:i4>
      </vt:variant>
      <vt:variant>
        <vt:i4>381</vt:i4>
      </vt:variant>
      <vt:variant>
        <vt:i4>0</vt:i4>
      </vt:variant>
      <vt:variant>
        <vt:i4>5</vt:i4>
      </vt:variant>
      <vt:variant>
        <vt:lpwstr>http://finra.complinet.com/en/display/display.html?rbid=2403&amp;element_id=4619</vt:lpwstr>
      </vt:variant>
      <vt:variant>
        <vt:lpwstr/>
      </vt:variant>
      <vt:variant>
        <vt:i4>196710</vt:i4>
      </vt:variant>
      <vt:variant>
        <vt:i4>378</vt:i4>
      </vt:variant>
      <vt:variant>
        <vt:i4>0</vt:i4>
      </vt:variant>
      <vt:variant>
        <vt:i4>5</vt:i4>
      </vt:variant>
      <vt:variant>
        <vt:lpwstr>http://finra.complinet.com/en/display/display.html?rbid=2403&amp;element_id=4616</vt:lpwstr>
      </vt:variant>
      <vt:variant>
        <vt:lpwstr/>
      </vt:variant>
      <vt:variant>
        <vt:i4>102</vt:i4>
      </vt:variant>
      <vt:variant>
        <vt:i4>375</vt:i4>
      </vt:variant>
      <vt:variant>
        <vt:i4>0</vt:i4>
      </vt:variant>
      <vt:variant>
        <vt:i4>5</vt:i4>
      </vt:variant>
      <vt:variant>
        <vt:lpwstr>http://finra.complinet.com/en/display/display.html?rbid=2403&amp;element_id=4615</vt:lpwstr>
      </vt:variant>
      <vt:variant>
        <vt:lpwstr/>
      </vt:variant>
      <vt:variant>
        <vt:i4>786535</vt:i4>
      </vt:variant>
      <vt:variant>
        <vt:i4>372</vt:i4>
      </vt:variant>
      <vt:variant>
        <vt:i4>0</vt:i4>
      </vt:variant>
      <vt:variant>
        <vt:i4>5</vt:i4>
      </vt:variant>
      <vt:variant>
        <vt:lpwstr>http://finra.complinet.com/en/display/display.html?rbid=2403&amp;element_id=4609</vt:lpwstr>
      </vt:variant>
      <vt:variant>
        <vt:lpwstr/>
      </vt:variant>
      <vt:variant>
        <vt:i4>852078</vt:i4>
      </vt:variant>
      <vt:variant>
        <vt:i4>369</vt:i4>
      </vt:variant>
      <vt:variant>
        <vt:i4>0</vt:i4>
      </vt:variant>
      <vt:variant>
        <vt:i4>5</vt:i4>
      </vt:variant>
      <vt:variant>
        <vt:lpwstr>http://finra.complinet.com/en/display/display.html?rbid=2403&amp;element_id=4698</vt:lpwstr>
      </vt:variant>
      <vt:variant>
        <vt:lpwstr/>
      </vt:variant>
      <vt:variant>
        <vt:i4>103</vt:i4>
      </vt:variant>
      <vt:variant>
        <vt:i4>366</vt:i4>
      </vt:variant>
      <vt:variant>
        <vt:i4>0</vt:i4>
      </vt:variant>
      <vt:variant>
        <vt:i4>5</vt:i4>
      </vt:variant>
      <vt:variant>
        <vt:lpwstr>http://finra.complinet.com/en/display/display.html?rbid=2403&amp;element_id=3675</vt:lpwstr>
      </vt:variant>
      <vt:variant>
        <vt:lpwstr/>
      </vt:variant>
      <vt:variant>
        <vt:i4>131174</vt:i4>
      </vt:variant>
      <vt:variant>
        <vt:i4>363</vt:i4>
      </vt:variant>
      <vt:variant>
        <vt:i4>0</vt:i4>
      </vt:variant>
      <vt:variant>
        <vt:i4>5</vt:i4>
      </vt:variant>
      <vt:variant>
        <vt:lpwstr>http://finra.complinet.com/en/display/display.html?rbid=2403&amp;element_id=5504</vt:lpwstr>
      </vt:variant>
      <vt:variant>
        <vt:lpwstr/>
      </vt:variant>
      <vt:variant>
        <vt:i4>393316</vt:i4>
      </vt:variant>
      <vt:variant>
        <vt:i4>360</vt:i4>
      </vt:variant>
      <vt:variant>
        <vt:i4>0</vt:i4>
      </vt:variant>
      <vt:variant>
        <vt:i4>5</vt:i4>
      </vt:variant>
      <vt:variant>
        <vt:lpwstr>http://finra.complinet.com/en/display/display.html?rbid=2403&amp;element_id=4431</vt:lpwstr>
      </vt:variant>
      <vt:variant>
        <vt:lpwstr/>
      </vt:variant>
      <vt:variant>
        <vt:i4>196708</vt:i4>
      </vt:variant>
      <vt:variant>
        <vt:i4>357</vt:i4>
      </vt:variant>
      <vt:variant>
        <vt:i4>0</vt:i4>
      </vt:variant>
      <vt:variant>
        <vt:i4>5</vt:i4>
      </vt:variant>
      <vt:variant>
        <vt:lpwstr>http://finra.complinet.com/en/display/display.html?rbid=2403&amp;element_id=4434</vt:lpwstr>
      </vt:variant>
      <vt:variant>
        <vt:lpwstr/>
      </vt:variant>
      <vt:variant>
        <vt:i4>196708</vt:i4>
      </vt:variant>
      <vt:variant>
        <vt:i4>354</vt:i4>
      </vt:variant>
      <vt:variant>
        <vt:i4>0</vt:i4>
      </vt:variant>
      <vt:variant>
        <vt:i4>5</vt:i4>
      </vt:variant>
      <vt:variant>
        <vt:lpwstr>http://finra.complinet.com/en/display/display.html?rbid=2403&amp;element_id=4434</vt:lpwstr>
      </vt:variant>
      <vt:variant>
        <vt:lpwstr/>
      </vt:variant>
      <vt:variant>
        <vt:i4>196708</vt:i4>
      </vt:variant>
      <vt:variant>
        <vt:i4>351</vt:i4>
      </vt:variant>
      <vt:variant>
        <vt:i4>0</vt:i4>
      </vt:variant>
      <vt:variant>
        <vt:i4>5</vt:i4>
      </vt:variant>
      <vt:variant>
        <vt:lpwstr>http://finra.complinet.com/en/display/display.html?rbid=2403&amp;element_id=4434</vt:lpwstr>
      </vt:variant>
      <vt:variant>
        <vt:lpwstr/>
      </vt:variant>
      <vt:variant>
        <vt:i4>196708</vt:i4>
      </vt:variant>
      <vt:variant>
        <vt:i4>348</vt:i4>
      </vt:variant>
      <vt:variant>
        <vt:i4>0</vt:i4>
      </vt:variant>
      <vt:variant>
        <vt:i4>5</vt:i4>
      </vt:variant>
      <vt:variant>
        <vt:lpwstr>http://finra.complinet.com/en/display/display.html?rbid=2403&amp;element_id=4434</vt:lpwstr>
      </vt:variant>
      <vt:variant>
        <vt:lpwstr/>
      </vt:variant>
      <vt:variant>
        <vt:i4>196708</vt:i4>
      </vt:variant>
      <vt:variant>
        <vt:i4>345</vt:i4>
      </vt:variant>
      <vt:variant>
        <vt:i4>0</vt:i4>
      </vt:variant>
      <vt:variant>
        <vt:i4>5</vt:i4>
      </vt:variant>
      <vt:variant>
        <vt:lpwstr>http://finra.complinet.com/en/display/display.html?rbid=2403&amp;element_id=4434</vt:lpwstr>
      </vt:variant>
      <vt:variant>
        <vt:lpwstr/>
      </vt:variant>
      <vt:variant>
        <vt:i4>196708</vt:i4>
      </vt:variant>
      <vt:variant>
        <vt:i4>342</vt:i4>
      </vt:variant>
      <vt:variant>
        <vt:i4>0</vt:i4>
      </vt:variant>
      <vt:variant>
        <vt:i4>5</vt:i4>
      </vt:variant>
      <vt:variant>
        <vt:lpwstr>http://finra.complinet.com/en/display/display.html?rbid=2403&amp;element_id=4434</vt:lpwstr>
      </vt:variant>
      <vt:variant>
        <vt:lpwstr/>
      </vt:variant>
      <vt:variant>
        <vt:i4>196708</vt:i4>
      </vt:variant>
      <vt:variant>
        <vt:i4>339</vt:i4>
      </vt:variant>
      <vt:variant>
        <vt:i4>0</vt:i4>
      </vt:variant>
      <vt:variant>
        <vt:i4>5</vt:i4>
      </vt:variant>
      <vt:variant>
        <vt:lpwstr>http://finra.complinet.com/en/display/display.html?rbid=2403&amp;element_id=4434</vt:lpwstr>
      </vt:variant>
      <vt:variant>
        <vt:lpwstr/>
      </vt:variant>
      <vt:variant>
        <vt:i4>131172</vt:i4>
      </vt:variant>
      <vt:variant>
        <vt:i4>336</vt:i4>
      </vt:variant>
      <vt:variant>
        <vt:i4>0</vt:i4>
      </vt:variant>
      <vt:variant>
        <vt:i4>5</vt:i4>
      </vt:variant>
      <vt:variant>
        <vt:lpwstr>http://finra.complinet.com/en/display/display.html?rbid=2403&amp;element_id=4435</vt:lpwstr>
      </vt:variant>
      <vt:variant>
        <vt:lpwstr/>
      </vt:variant>
      <vt:variant>
        <vt:i4>65636</vt:i4>
      </vt:variant>
      <vt:variant>
        <vt:i4>333</vt:i4>
      </vt:variant>
      <vt:variant>
        <vt:i4>0</vt:i4>
      </vt:variant>
      <vt:variant>
        <vt:i4>5</vt:i4>
      </vt:variant>
      <vt:variant>
        <vt:lpwstr>http://finra.complinet.com/en/display/display.html?rbid=2403&amp;element_id=4436</vt:lpwstr>
      </vt:variant>
      <vt:variant>
        <vt:lpwstr/>
      </vt:variant>
      <vt:variant>
        <vt:i4>458854</vt:i4>
      </vt:variant>
      <vt:variant>
        <vt:i4>330</vt:i4>
      </vt:variant>
      <vt:variant>
        <vt:i4>0</vt:i4>
      </vt:variant>
      <vt:variant>
        <vt:i4>5</vt:i4>
      </vt:variant>
      <vt:variant>
        <vt:lpwstr>http://finra.complinet.com/en/display/display.html?rbid=2403&amp;element_id=4410</vt:lpwstr>
      </vt:variant>
      <vt:variant>
        <vt:lpwstr/>
      </vt:variant>
      <vt:variant>
        <vt:i4>458852</vt:i4>
      </vt:variant>
      <vt:variant>
        <vt:i4>327</vt:i4>
      </vt:variant>
      <vt:variant>
        <vt:i4>0</vt:i4>
      </vt:variant>
      <vt:variant>
        <vt:i4>5</vt:i4>
      </vt:variant>
      <vt:variant>
        <vt:lpwstr>http://finra.complinet.com/en/display/display.html?rbid=2403&amp;element_id=4430</vt:lpwstr>
      </vt:variant>
      <vt:variant>
        <vt:lpwstr/>
      </vt:variant>
      <vt:variant>
        <vt:i4>458852</vt:i4>
      </vt:variant>
      <vt:variant>
        <vt:i4>324</vt:i4>
      </vt:variant>
      <vt:variant>
        <vt:i4>0</vt:i4>
      </vt:variant>
      <vt:variant>
        <vt:i4>5</vt:i4>
      </vt:variant>
      <vt:variant>
        <vt:lpwstr>http://finra.complinet.com/en/display/display.html?rbid=2403&amp;element_id=4430</vt:lpwstr>
      </vt:variant>
      <vt:variant>
        <vt:lpwstr/>
      </vt:variant>
      <vt:variant>
        <vt:i4>458852</vt:i4>
      </vt:variant>
      <vt:variant>
        <vt:i4>321</vt:i4>
      </vt:variant>
      <vt:variant>
        <vt:i4>0</vt:i4>
      </vt:variant>
      <vt:variant>
        <vt:i4>5</vt:i4>
      </vt:variant>
      <vt:variant>
        <vt:lpwstr>http://finra.complinet.com/en/display/display.html?rbid=2403&amp;element_id=4430</vt:lpwstr>
      </vt:variant>
      <vt:variant>
        <vt:lpwstr/>
      </vt:variant>
      <vt:variant>
        <vt:i4>458852</vt:i4>
      </vt:variant>
      <vt:variant>
        <vt:i4>318</vt:i4>
      </vt:variant>
      <vt:variant>
        <vt:i4>0</vt:i4>
      </vt:variant>
      <vt:variant>
        <vt:i4>5</vt:i4>
      </vt:variant>
      <vt:variant>
        <vt:lpwstr>http://finra.complinet.com/en/display/display.html?rbid=2403&amp;element_id=4430</vt:lpwstr>
      </vt:variant>
      <vt:variant>
        <vt:lpwstr/>
      </vt:variant>
      <vt:variant>
        <vt:i4>131172</vt:i4>
      </vt:variant>
      <vt:variant>
        <vt:i4>315</vt:i4>
      </vt:variant>
      <vt:variant>
        <vt:i4>0</vt:i4>
      </vt:variant>
      <vt:variant>
        <vt:i4>5</vt:i4>
      </vt:variant>
      <vt:variant>
        <vt:lpwstr>http://finra.complinet.com/en/display/display.html?rbid=2403&amp;element_id=4435</vt:lpwstr>
      </vt:variant>
      <vt:variant>
        <vt:lpwstr/>
      </vt:variant>
      <vt:variant>
        <vt:i4>196708</vt:i4>
      </vt:variant>
      <vt:variant>
        <vt:i4>312</vt:i4>
      </vt:variant>
      <vt:variant>
        <vt:i4>0</vt:i4>
      </vt:variant>
      <vt:variant>
        <vt:i4>5</vt:i4>
      </vt:variant>
      <vt:variant>
        <vt:lpwstr>http://finra.complinet.com/en/display/display.html?rbid=2403&amp;element_id=4434</vt:lpwstr>
      </vt:variant>
      <vt:variant>
        <vt:lpwstr/>
      </vt:variant>
      <vt:variant>
        <vt:i4>131172</vt:i4>
      </vt:variant>
      <vt:variant>
        <vt:i4>309</vt:i4>
      </vt:variant>
      <vt:variant>
        <vt:i4>0</vt:i4>
      </vt:variant>
      <vt:variant>
        <vt:i4>5</vt:i4>
      </vt:variant>
      <vt:variant>
        <vt:lpwstr>http://finra.complinet.com/en/display/display.html?rbid=2403&amp;element_id=4435</vt:lpwstr>
      </vt:variant>
      <vt:variant>
        <vt:lpwstr/>
      </vt:variant>
      <vt:variant>
        <vt:i4>196708</vt:i4>
      </vt:variant>
      <vt:variant>
        <vt:i4>306</vt:i4>
      </vt:variant>
      <vt:variant>
        <vt:i4>0</vt:i4>
      </vt:variant>
      <vt:variant>
        <vt:i4>5</vt:i4>
      </vt:variant>
      <vt:variant>
        <vt:lpwstr>http://finra.complinet.com/en/display/display.html?rbid=2403&amp;element_id=4434</vt:lpwstr>
      </vt:variant>
      <vt:variant>
        <vt:lpwstr/>
      </vt:variant>
      <vt:variant>
        <vt:i4>131172</vt:i4>
      </vt:variant>
      <vt:variant>
        <vt:i4>303</vt:i4>
      </vt:variant>
      <vt:variant>
        <vt:i4>0</vt:i4>
      </vt:variant>
      <vt:variant>
        <vt:i4>5</vt:i4>
      </vt:variant>
      <vt:variant>
        <vt:lpwstr>http://finra.complinet.com/en/display/display.html?rbid=2403&amp;element_id=4435</vt:lpwstr>
      </vt:variant>
      <vt:variant>
        <vt:lpwstr/>
      </vt:variant>
      <vt:variant>
        <vt:i4>131172</vt:i4>
      </vt:variant>
      <vt:variant>
        <vt:i4>300</vt:i4>
      </vt:variant>
      <vt:variant>
        <vt:i4>0</vt:i4>
      </vt:variant>
      <vt:variant>
        <vt:i4>5</vt:i4>
      </vt:variant>
      <vt:variant>
        <vt:lpwstr>http://finra.complinet.com/en/display/display.html?rbid=2403&amp;element_id=4435</vt:lpwstr>
      </vt:variant>
      <vt:variant>
        <vt:lpwstr/>
      </vt:variant>
      <vt:variant>
        <vt:i4>65637</vt:i4>
      </vt:variant>
      <vt:variant>
        <vt:i4>297</vt:i4>
      </vt:variant>
      <vt:variant>
        <vt:i4>0</vt:i4>
      </vt:variant>
      <vt:variant>
        <vt:i4>5</vt:i4>
      </vt:variant>
      <vt:variant>
        <vt:lpwstr>http://finra.complinet.com/en/display/display.html?rbid=2403&amp;element_id=4426</vt:lpwstr>
      </vt:variant>
      <vt:variant>
        <vt:lpwstr/>
      </vt:variant>
      <vt:variant>
        <vt:i4>4980855</vt:i4>
      </vt:variant>
      <vt:variant>
        <vt:i4>294</vt:i4>
      </vt:variant>
      <vt:variant>
        <vt:i4>0</vt:i4>
      </vt:variant>
      <vt:variant>
        <vt:i4>5</vt:i4>
      </vt:variant>
      <vt:variant>
        <vt:lpwstr>mailto:bondreporting@nasd.com</vt:lpwstr>
      </vt:variant>
      <vt:variant>
        <vt:lpwstr/>
      </vt:variant>
      <vt:variant>
        <vt:i4>4784254</vt:i4>
      </vt:variant>
      <vt:variant>
        <vt:i4>291</vt:i4>
      </vt:variant>
      <vt:variant>
        <vt:i4>0</vt:i4>
      </vt:variant>
      <vt:variant>
        <vt:i4>5</vt:i4>
      </vt:variant>
      <vt:variant>
        <vt:lpwstr>mailto:tradereporting@nasd.com</vt:lpwstr>
      </vt:variant>
      <vt:variant>
        <vt:lpwstr/>
      </vt:variant>
      <vt:variant>
        <vt:i4>4522077</vt:i4>
      </vt:variant>
      <vt:variant>
        <vt:i4>288</vt:i4>
      </vt:variant>
      <vt:variant>
        <vt:i4>0</vt:i4>
      </vt:variant>
      <vt:variant>
        <vt:i4>5</vt:i4>
      </vt:variant>
      <vt:variant>
        <vt:lpwstr>http://www.swst.com/</vt:lpwstr>
      </vt:variant>
      <vt:variant>
        <vt:lpwstr/>
      </vt:variant>
      <vt:variant>
        <vt:i4>917607</vt:i4>
      </vt:variant>
      <vt:variant>
        <vt:i4>285</vt:i4>
      </vt:variant>
      <vt:variant>
        <vt:i4>0</vt:i4>
      </vt:variant>
      <vt:variant>
        <vt:i4>5</vt:i4>
      </vt:variant>
      <vt:variant>
        <vt:lpwstr>http://finra.complinet.com/en/display/display.html?rbid=2403&amp;element_id=4409</vt:lpwstr>
      </vt:variant>
      <vt:variant>
        <vt:lpwstr/>
      </vt:variant>
      <vt:variant>
        <vt:i4>4259944</vt:i4>
      </vt:variant>
      <vt:variant>
        <vt:i4>282</vt:i4>
      </vt:variant>
      <vt:variant>
        <vt:i4>0</vt:i4>
      </vt:variant>
      <vt:variant>
        <vt:i4>5</vt:i4>
      </vt:variant>
      <vt:variant>
        <vt:lpwstr>http://www.fincen.gov/fin101_formandinstructions.pdf</vt:lpwstr>
      </vt:variant>
      <vt:variant>
        <vt:lpwstr/>
      </vt:variant>
      <vt:variant>
        <vt:i4>6488160</vt:i4>
      </vt:variant>
      <vt:variant>
        <vt:i4>279</vt:i4>
      </vt:variant>
      <vt:variant>
        <vt:i4>0</vt:i4>
      </vt:variant>
      <vt:variant>
        <vt:i4>5</vt:i4>
      </vt:variant>
      <vt:variant>
        <vt:lpwstr>http://www.treasury.gov/resource-center/sanctions/Programs/Pages/Programs.aspx</vt:lpwstr>
      </vt:variant>
      <vt:variant>
        <vt:lpwstr/>
      </vt:variant>
      <vt:variant>
        <vt:i4>7864434</vt:i4>
      </vt:variant>
      <vt:variant>
        <vt:i4>276</vt:i4>
      </vt:variant>
      <vt:variant>
        <vt:i4>0</vt:i4>
      </vt:variant>
      <vt:variant>
        <vt:i4>5</vt:i4>
      </vt:variant>
      <vt:variant>
        <vt:lpwstr>http://www.treas.gov/offices/enforcement/ofac/legal/forms/e recjectreport1.pdf</vt:lpwstr>
      </vt:variant>
      <vt:variant>
        <vt:lpwstr/>
      </vt:variant>
      <vt:variant>
        <vt:i4>1769492</vt:i4>
      </vt:variant>
      <vt:variant>
        <vt:i4>273</vt:i4>
      </vt:variant>
      <vt:variant>
        <vt:i4>0</vt:i4>
      </vt:variant>
      <vt:variant>
        <vt:i4>5</vt:i4>
      </vt:variant>
      <vt:variant>
        <vt:lpwstr>http://www.treas.gov/offices/enforcement/ofac/legal/forms/e blockreport1.pdf</vt:lpwstr>
      </vt:variant>
      <vt:variant>
        <vt:lpwstr/>
      </vt:variant>
      <vt:variant>
        <vt:i4>2293795</vt:i4>
      </vt:variant>
      <vt:variant>
        <vt:i4>270</vt:i4>
      </vt:variant>
      <vt:variant>
        <vt:i4>0</vt:i4>
      </vt:variant>
      <vt:variant>
        <vt:i4>5</vt:i4>
      </vt:variant>
      <vt:variant>
        <vt:lpwstr>http://www.treas.gov/offices/enforcement/ofac/legal/forms/td902250.pdf</vt:lpwstr>
      </vt:variant>
      <vt:variant>
        <vt:lpwstr/>
      </vt:variant>
      <vt:variant>
        <vt:i4>1376329</vt:i4>
      </vt:variant>
      <vt:variant>
        <vt:i4>267</vt:i4>
      </vt:variant>
      <vt:variant>
        <vt:i4>0</vt:i4>
      </vt:variant>
      <vt:variant>
        <vt:i4>5</vt:i4>
      </vt:variant>
      <vt:variant>
        <vt:lpwstr>https://tips.fbi.gov/</vt:lpwstr>
      </vt:variant>
      <vt:variant>
        <vt:lpwstr/>
      </vt:variant>
      <vt:variant>
        <vt:i4>917592</vt:i4>
      </vt:variant>
      <vt:variant>
        <vt:i4>264</vt:i4>
      </vt:variant>
      <vt:variant>
        <vt:i4>0</vt:i4>
      </vt:variant>
      <vt:variant>
        <vt:i4>5</vt:i4>
      </vt:variant>
      <vt:variant>
        <vt:lpwstr>http://www.fbi.gov/contact/fo/fo.htm</vt:lpwstr>
      </vt:variant>
      <vt:variant>
        <vt:lpwstr/>
      </vt:variant>
      <vt:variant>
        <vt:i4>2293781</vt:i4>
      </vt:variant>
      <vt:variant>
        <vt:i4>261</vt:i4>
      </vt:variant>
      <vt:variant>
        <vt:i4>0</vt:i4>
      </vt:variant>
      <vt:variant>
        <vt:i4>5</vt:i4>
      </vt:variant>
      <vt:variant>
        <vt:lpwstr>mailto:sys314a@fincen.treas.gov</vt:lpwstr>
      </vt:variant>
      <vt:variant>
        <vt:lpwstr/>
      </vt:variant>
      <vt:variant>
        <vt:i4>6946839</vt:i4>
      </vt:variant>
      <vt:variant>
        <vt:i4>258</vt:i4>
      </vt:variant>
      <vt:variant>
        <vt:i4>0</vt:i4>
      </vt:variant>
      <vt:variant>
        <vt:i4>5</vt:i4>
      </vt:variant>
      <vt:variant>
        <vt:lpwstr>mailto:patriot@fincen.treas.gov</vt:lpwstr>
      </vt:variant>
      <vt:variant>
        <vt:lpwstr/>
      </vt:variant>
      <vt:variant>
        <vt:i4>5832739</vt:i4>
      </vt:variant>
      <vt:variant>
        <vt:i4>255</vt:i4>
      </vt:variant>
      <vt:variant>
        <vt:i4>0</vt:i4>
      </vt:variant>
      <vt:variant>
        <vt:i4>5</vt:i4>
      </vt:variant>
      <vt:variant>
        <vt:lpwstr>http://www.fincen.gov/forms/files/f9022-1_fbar.pdf</vt:lpwstr>
      </vt:variant>
      <vt:variant>
        <vt:lpwstr/>
      </vt:variant>
      <vt:variant>
        <vt:i4>4259848</vt:i4>
      </vt:variant>
      <vt:variant>
        <vt:i4>252</vt:i4>
      </vt:variant>
      <vt:variant>
        <vt:i4>0</vt:i4>
      </vt:variant>
      <vt:variant>
        <vt:i4>5</vt:i4>
      </vt:variant>
      <vt:variant>
        <vt:lpwstr>http://www.fincen.gov/f4790newfillin.pdf</vt:lpwstr>
      </vt:variant>
      <vt:variant>
        <vt:lpwstr/>
      </vt:variant>
      <vt:variant>
        <vt:i4>4390924</vt:i4>
      </vt:variant>
      <vt:variant>
        <vt:i4>249</vt:i4>
      </vt:variant>
      <vt:variant>
        <vt:i4>0</vt:i4>
      </vt:variant>
      <vt:variant>
        <vt:i4>5</vt:i4>
      </vt:variant>
      <vt:variant>
        <vt:lpwstr>http://www.fincen.gov/f4789-1.pdf</vt:lpwstr>
      </vt:variant>
      <vt:variant>
        <vt:lpwstr/>
      </vt:variant>
      <vt:variant>
        <vt:i4>6881290</vt:i4>
      </vt:variant>
      <vt:variant>
        <vt:i4>246</vt:i4>
      </vt:variant>
      <vt:variant>
        <vt:i4>0</vt:i4>
      </vt:variant>
      <vt:variant>
        <vt:i4>5</vt:i4>
      </vt:variant>
      <vt:variant>
        <vt:lpwstr>http://www.fincen.gov/fi_infoappb.html</vt:lpwstr>
      </vt:variant>
      <vt:variant>
        <vt:lpwstr/>
      </vt:variant>
      <vt:variant>
        <vt:i4>6881290</vt:i4>
      </vt:variant>
      <vt:variant>
        <vt:i4>243</vt:i4>
      </vt:variant>
      <vt:variant>
        <vt:i4>0</vt:i4>
      </vt:variant>
      <vt:variant>
        <vt:i4>5</vt:i4>
      </vt:variant>
      <vt:variant>
        <vt:lpwstr>http://www.fincen.gov/fi_infoappb.html</vt:lpwstr>
      </vt:variant>
      <vt:variant>
        <vt:lpwstr/>
      </vt:variant>
      <vt:variant>
        <vt:i4>2621477</vt:i4>
      </vt:variant>
      <vt:variant>
        <vt:i4>240</vt:i4>
      </vt:variant>
      <vt:variant>
        <vt:i4>0</vt:i4>
      </vt:variant>
      <vt:variant>
        <vt:i4>5</vt:i4>
      </vt:variant>
      <vt:variant>
        <vt:lpwstr>http://www.fincen.gov/</vt:lpwstr>
      </vt:variant>
      <vt:variant>
        <vt:lpwstr/>
      </vt:variant>
      <vt:variant>
        <vt:i4>1900589</vt:i4>
      </vt:variant>
      <vt:variant>
        <vt:i4>237</vt:i4>
      </vt:variant>
      <vt:variant>
        <vt:i4>0</vt:i4>
      </vt:variant>
      <vt:variant>
        <vt:i4>5</vt:i4>
      </vt:variant>
      <vt:variant>
        <vt:lpwstr>http://www.fincen.gov/314a_faqsfinal.pdf</vt:lpwstr>
      </vt:variant>
      <vt:variant>
        <vt:lpwstr/>
      </vt:variant>
      <vt:variant>
        <vt:i4>393272</vt:i4>
      </vt:variant>
      <vt:variant>
        <vt:i4>234</vt:i4>
      </vt:variant>
      <vt:variant>
        <vt:i4>0</vt:i4>
      </vt:variant>
      <vt:variant>
        <vt:i4>5</vt:i4>
      </vt:variant>
      <vt:variant>
        <vt:lpwstr>http://www.fincen.gov/314a_instructionsfinal.pdf</vt:lpwstr>
      </vt:variant>
      <vt:variant>
        <vt:lpwstr/>
      </vt:variant>
      <vt:variant>
        <vt:i4>2293781</vt:i4>
      </vt:variant>
      <vt:variant>
        <vt:i4>231</vt:i4>
      </vt:variant>
      <vt:variant>
        <vt:i4>0</vt:i4>
      </vt:variant>
      <vt:variant>
        <vt:i4>5</vt:i4>
      </vt:variant>
      <vt:variant>
        <vt:lpwstr>mailto:sys314a@fincen.treas.gov</vt:lpwstr>
      </vt:variant>
      <vt:variant>
        <vt:lpwstr/>
      </vt:variant>
      <vt:variant>
        <vt:i4>4194409</vt:i4>
      </vt:variant>
      <vt:variant>
        <vt:i4>228</vt:i4>
      </vt:variant>
      <vt:variant>
        <vt:i4>0</vt:i4>
      </vt:variant>
      <vt:variant>
        <vt:i4>5</vt:i4>
      </vt:variant>
      <vt:variant>
        <vt:lpwstr>mailto:credit@swst.com</vt:lpwstr>
      </vt:variant>
      <vt:variant>
        <vt:lpwstr/>
      </vt:variant>
      <vt:variant>
        <vt:i4>458827</vt:i4>
      </vt:variant>
      <vt:variant>
        <vt:i4>225</vt:i4>
      </vt:variant>
      <vt:variant>
        <vt:i4>0</vt:i4>
      </vt:variant>
      <vt:variant>
        <vt:i4>5</vt:i4>
      </vt:variant>
      <vt:variant>
        <vt:lpwstr>http://apps.finra.org/rulesregulation/ofac/1/Default.aspx</vt:lpwstr>
      </vt:variant>
      <vt:variant>
        <vt:lpwstr/>
      </vt:variant>
      <vt:variant>
        <vt:i4>5636171</vt:i4>
      </vt:variant>
      <vt:variant>
        <vt:i4>222</vt:i4>
      </vt:variant>
      <vt:variant>
        <vt:i4>0</vt:i4>
      </vt:variant>
      <vt:variant>
        <vt:i4>5</vt:i4>
      </vt:variant>
      <vt:variant>
        <vt:lpwstr>http://www.treas.gov/ofac</vt:lpwstr>
      </vt:variant>
      <vt:variant>
        <vt:lpwstr/>
      </vt:variant>
      <vt:variant>
        <vt:i4>6488160</vt:i4>
      </vt:variant>
      <vt:variant>
        <vt:i4>219</vt:i4>
      </vt:variant>
      <vt:variant>
        <vt:i4>0</vt:i4>
      </vt:variant>
      <vt:variant>
        <vt:i4>5</vt:i4>
      </vt:variant>
      <vt:variant>
        <vt:lpwstr>http://www.treasury.gov/resource-center/sanctions/Programs/Pages/Programs.aspx</vt:lpwstr>
      </vt:variant>
      <vt:variant>
        <vt:lpwstr/>
      </vt:variant>
      <vt:variant>
        <vt:i4>3473447</vt:i4>
      </vt:variant>
      <vt:variant>
        <vt:i4>216</vt:i4>
      </vt:variant>
      <vt:variant>
        <vt:i4>0</vt:i4>
      </vt:variant>
      <vt:variant>
        <vt:i4>5</vt:i4>
      </vt:variant>
      <vt:variant>
        <vt:lpwstr>http://www.treas.gov/fincen</vt:lpwstr>
      </vt:variant>
      <vt:variant>
        <vt:lpwstr/>
      </vt:variant>
      <vt:variant>
        <vt:i4>393282</vt:i4>
      </vt:variant>
      <vt:variant>
        <vt:i4>213</vt:i4>
      </vt:variant>
      <vt:variant>
        <vt:i4>0</vt:i4>
      </vt:variant>
      <vt:variant>
        <vt:i4>5</vt:i4>
      </vt:variant>
      <vt:variant>
        <vt:lpwstr>http://www.ncsl.org/programs/lis/cip/priv/breach.htm</vt:lpwstr>
      </vt:variant>
      <vt:variant>
        <vt:lpwstr/>
      </vt:variant>
      <vt:variant>
        <vt:i4>3276925</vt:i4>
      </vt:variant>
      <vt:variant>
        <vt:i4>210</vt:i4>
      </vt:variant>
      <vt:variant>
        <vt:i4>0</vt:i4>
      </vt:variant>
      <vt:variant>
        <vt:i4>5</vt:i4>
      </vt:variant>
      <vt:variant>
        <vt:lpwstr>javascript:outsideLink('http://www.sec.gov/rules/final/34-42974.htm');</vt:lpwstr>
      </vt:variant>
      <vt:variant>
        <vt:lpwstr/>
      </vt:variant>
      <vt:variant>
        <vt:i4>6488186</vt:i4>
      </vt:variant>
      <vt:variant>
        <vt:i4>207</vt:i4>
      </vt:variant>
      <vt:variant>
        <vt:i4>0</vt:i4>
      </vt:variant>
      <vt:variant>
        <vt:i4>5</vt:i4>
      </vt:variant>
      <vt:variant>
        <vt:lpwstr>javascript:outsideLink('http://www.ncsl.org/programs/lis/cip/priv/breach.htm');</vt:lpwstr>
      </vt:variant>
      <vt:variant>
        <vt:lpwstr/>
      </vt:variant>
      <vt:variant>
        <vt:i4>1966091</vt:i4>
      </vt:variant>
      <vt:variant>
        <vt:i4>204</vt:i4>
      </vt:variant>
      <vt:variant>
        <vt:i4>0</vt:i4>
      </vt:variant>
      <vt:variant>
        <vt:i4>5</vt:i4>
      </vt:variant>
      <vt:variant>
        <vt:lpwstr>http://postalinspectors.uspis.gov/contactus/phoneus.aspx</vt:lpwstr>
      </vt:variant>
      <vt:variant>
        <vt:lpwstr/>
      </vt:variant>
      <vt:variant>
        <vt:i4>8060979</vt:i4>
      </vt:variant>
      <vt:variant>
        <vt:i4>201</vt:i4>
      </vt:variant>
      <vt:variant>
        <vt:i4>0</vt:i4>
      </vt:variant>
      <vt:variant>
        <vt:i4>5</vt:i4>
      </vt:variant>
      <vt:variant>
        <vt:lpwstr>javascript:outsideLink('http://postalinspectors.uspis.gov/contactUs/phoneus.aspx');</vt:lpwstr>
      </vt:variant>
      <vt:variant>
        <vt:lpwstr/>
      </vt:variant>
      <vt:variant>
        <vt:i4>6291570</vt:i4>
      </vt:variant>
      <vt:variant>
        <vt:i4>198</vt:i4>
      </vt:variant>
      <vt:variant>
        <vt:i4>0</vt:i4>
      </vt:variant>
      <vt:variant>
        <vt:i4>5</vt:i4>
      </vt:variant>
      <vt:variant>
        <vt:lpwstr>http://www.ic3.gov/</vt:lpwstr>
      </vt:variant>
      <vt:variant>
        <vt:lpwstr/>
      </vt:variant>
      <vt:variant>
        <vt:i4>2228262</vt:i4>
      </vt:variant>
      <vt:variant>
        <vt:i4>195</vt:i4>
      </vt:variant>
      <vt:variant>
        <vt:i4>0</vt:i4>
      </vt:variant>
      <vt:variant>
        <vt:i4>5</vt:i4>
      </vt:variant>
      <vt:variant>
        <vt:lpwstr>javascript:outsideLink('http://www.ic3.gov/default.aspx');</vt:lpwstr>
      </vt:variant>
      <vt:variant>
        <vt:lpwstr/>
      </vt:variant>
      <vt:variant>
        <vt:i4>2818092</vt:i4>
      </vt:variant>
      <vt:variant>
        <vt:i4>192</vt:i4>
      </vt:variant>
      <vt:variant>
        <vt:i4>0</vt:i4>
      </vt:variant>
      <vt:variant>
        <vt:i4>5</vt:i4>
      </vt:variant>
      <vt:variant>
        <vt:lpwstr>http://www.finra.org/Industry/Contacts/P016038</vt:lpwstr>
      </vt:variant>
      <vt:variant>
        <vt:lpwstr/>
      </vt:variant>
      <vt:variant>
        <vt:i4>5701718</vt:i4>
      </vt:variant>
      <vt:variant>
        <vt:i4>189</vt:i4>
      </vt:variant>
      <vt:variant>
        <vt:i4>0</vt:i4>
      </vt:variant>
      <vt:variant>
        <vt:i4>5</vt:i4>
      </vt:variant>
      <vt:variant>
        <vt:lpwstr>http://www.sec.gov/contact/addresses.htm</vt:lpwstr>
      </vt:variant>
      <vt:variant>
        <vt:lpwstr/>
      </vt:variant>
      <vt:variant>
        <vt:i4>3276910</vt:i4>
      </vt:variant>
      <vt:variant>
        <vt:i4>186</vt:i4>
      </vt:variant>
      <vt:variant>
        <vt:i4>0</vt:i4>
      </vt:variant>
      <vt:variant>
        <vt:i4>5</vt:i4>
      </vt:variant>
      <vt:variant>
        <vt:lpwstr>javascript:outsideLink('http://www.sec.gov/contact/addresses.htm');</vt:lpwstr>
      </vt:variant>
      <vt:variant>
        <vt:lpwstr/>
      </vt:variant>
      <vt:variant>
        <vt:i4>2949168</vt:i4>
      </vt:variant>
      <vt:variant>
        <vt:i4>183</vt:i4>
      </vt:variant>
      <vt:variant>
        <vt:i4>0</vt:i4>
      </vt:variant>
      <vt:variant>
        <vt:i4>5</vt:i4>
      </vt:variant>
      <vt:variant>
        <vt:lpwstr>https://www.ftccomplaintassistant.gov/</vt:lpwstr>
      </vt:variant>
      <vt:variant>
        <vt:lpwstr/>
      </vt:variant>
      <vt:variant>
        <vt:i4>3801134</vt:i4>
      </vt:variant>
      <vt:variant>
        <vt:i4>180</vt:i4>
      </vt:variant>
      <vt:variant>
        <vt:i4>0</vt:i4>
      </vt:variant>
      <vt:variant>
        <vt:i4>5</vt:i4>
      </vt:variant>
      <vt:variant>
        <vt:lpwstr>http://www.ftc.gov/bcp/edu/microsites/idtheft/</vt:lpwstr>
      </vt:variant>
      <vt:variant>
        <vt:lpwstr/>
      </vt:variant>
      <vt:variant>
        <vt:i4>4653132</vt:i4>
      </vt:variant>
      <vt:variant>
        <vt:i4>177</vt:i4>
      </vt:variant>
      <vt:variant>
        <vt:i4>0</vt:i4>
      </vt:variant>
      <vt:variant>
        <vt:i4>5</vt:i4>
      </vt:variant>
      <vt:variant>
        <vt:lpwstr>http://www.finra.org/Investors/ProtectYourself/AvoidIdentityTheftFraud/index.htm</vt:lpwstr>
      </vt:variant>
      <vt:variant>
        <vt:lpwstr/>
      </vt:variant>
      <vt:variant>
        <vt:i4>5177432</vt:i4>
      </vt:variant>
      <vt:variant>
        <vt:i4>174</vt:i4>
      </vt:variant>
      <vt:variant>
        <vt:i4>0</vt:i4>
      </vt:variant>
      <vt:variant>
        <vt:i4>5</vt:i4>
      </vt:variant>
      <vt:variant>
        <vt:lpwstr>http://www.finra.org/brokercheck</vt:lpwstr>
      </vt:variant>
      <vt:variant>
        <vt:lpwstr/>
      </vt:variant>
      <vt:variant>
        <vt:i4>5963858</vt:i4>
      </vt:variant>
      <vt:variant>
        <vt:i4>171</vt:i4>
      </vt:variant>
      <vt:variant>
        <vt:i4>0</vt:i4>
      </vt:variant>
      <vt:variant>
        <vt:i4>5</vt:i4>
      </vt:variant>
      <vt:variant>
        <vt:lpwstr>http://www.sipc.org/</vt:lpwstr>
      </vt:variant>
      <vt:variant>
        <vt:lpwstr/>
      </vt:variant>
      <vt:variant>
        <vt:i4>458861</vt:i4>
      </vt:variant>
      <vt:variant>
        <vt:i4>168</vt:i4>
      </vt:variant>
      <vt:variant>
        <vt:i4>0</vt:i4>
      </vt:variant>
      <vt:variant>
        <vt:i4>5</vt:i4>
      </vt:variant>
      <vt:variant>
        <vt:lpwstr>http://finra.complinet.com/en/display/display.html?rbid=2403&amp;element_id=6286</vt:lpwstr>
      </vt:variant>
      <vt:variant>
        <vt:lpwstr/>
      </vt:variant>
      <vt:variant>
        <vt:i4>1441851</vt:i4>
      </vt:variant>
      <vt:variant>
        <vt:i4>161</vt:i4>
      </vt:variant>
      <vt:variant>
        <vt:i4>0</vt:i4>
      </vt:variant>
      <vt:variant>
        <vt:i4>5</vt:i4>
      </vt:variant>
      <vt:variant>
        <vt:lpwstr/>
      </vt:variant>
      <vt:variant>
        <vt:lpwstr>_Toc251405858</vt:lpwstr>
      </vt:variant>
      <vt:variant>
        <vt:i4>1441851</vt:i4>
      </vt:variant>
      <vt:variant>
        <vt:i4>155</vt:i4>
      </vt:variant>
      <vt:variant>
        <vt:i4>0</vt:i4>
      </vt:variant>
      <vt:variant>
        <vt:i4>5</vt:i4>
      </vt:variant>
      <vt:variant>
        <vt:lpwstr/>
      </vt:variant>
      <vt:variant>
        <vt:lpwstr>_Toc251405857</vt:lpwstr>
      </vt:variant>
      <vt:variant>
        <vt:i4>1441851</vt:i4>
      </vt:variant>
      <vt:variant>
        <vt:i4>149</vt:i4>
      </vt:variant>
      <vt:variant>
        <vt:i4>0</vt:i4>
      </vt:variant>
      <vt:variant>
        <vt:i4>5</vt:i4>
      </vt:variant>
      <vt:variant>
        <vt:lpwstr/>
      </vt:variant>
      <vt:variant>
        <vt:lpwstr>_Toc251405856</vt:lpwstr>
      </vt:variant>
      <vt:variant>
        <vt:i4>1441851</vt:i4>
      </vt:variant>
      <vt:variant>
        <vt:i4>143</vt:i4>
      </vt:variant>
      <vt:variant>
        <vt:i4>0</vt:i4>
      </vt:variant>
      <vt:variant>
        <vt:i4>5</vt:i4>
      </vt:variant>
      <vt:variant>
        <vt:lpwstr/>
      </vt:variant>
      <vt:variant>
        <vt:lpwstr>_Toc251405855</vt:lpwstr>
      </vt:variant>
      <vt:variant>
        <vt:i4>1441851</vt:i4>
      </vt:variant>
      <vt:variant>
        <vt:i4>137</vt:i4>
      </vt:variant>
      <vt:variant>
        <vt:i4>0</vt:i4>
      </vt:variant>
      <vt:variant>
        <vt:i4>5</vt:i4>
      </vt:variant>
      <vt:variant>
        <vt:lpwstr/>
      </vt:variant>
      <vt:variant>
        <vt:lpwstr>_Toc251405854</vt:lpwstr>
      </vt:variant>
      <vt:variant>
        <vt:i4>1441851</vt:i4>
      </vt:variant>
      <vt:variant>
        <vt:i4>131</vt:i4>
      </vt:variant>
      <vt:variant>
        <vt:i4>0</vt:i4>
      </vt:variant>
      <vt:variant>
        <vt:i4>5</vt:i4>
      </vt:variant>
      <vt:variant>
        <vt:lpwstr/>
      </vt:variant>
      <vt:variant>
        <vt:lpwstr>_Toc251405853</vt:lpwstr>
      </vt:variant>
      <vt:variant>
        <vt:i4>1441851</vt:i4>
      </vt:variant>
      <vt:variant>
        <vt:i4>125</vt:i4>
      </vt:variant>
      <vt:variant>
        <vt:i4>0</vt:i4>
      </vt:variant>
      <vt:variant>
        <vt:i4>5</vt:i4>
      </vt:variant>
      <vt:variant>
        <vt:lpwstr/>
      </vt:variant>
      <vt:variant>
        <vt:lpwstr>_Toc251405852</vt:lpwstr>
      </vt:variant>
      <vt:variant>
        <vt:i4>1441851</vt:i4>
      </vt:variant>
      <vt:variant>
        <vt:i4>119</vt:i4>
      </vt:variant>
      <vt:variant>
        <vt:i4>0</vt:i4>
      </vt:variant>
      <vt:variant>
        <vt:i4>5</vt:i4>
      </vt:variant>
      <vt:variant>
        <vt:lpwstr/>
      </vt:variant>
      <vt:variant>
        <vt:lpwstr>_Toc251405851</vt:lpwstr>
      </vt:variant>
      <vt:variant>
        <vt:i4>1441851</vt:i4>
      </vt:variant>
      <vt:variant>
        <vt:i4>113</vt:i4>
      </vt:variant>
      <vt:variant>
        <vt:i4>0</vt:i4>
      </vt:variant>
      <vt:variant>
        <vt:i4>5</vt:i4>
      </vt:variant>
      <vt:variant>
        <vt:lpwstr/>
      </vt:variant>
      <vt:variant>
        <vt:lpwstr>_Toc251405850</vt:lpwstr>
      </vt:variant>
      <vt:variant>
        <vt:i4>6881390</vt:i4>
      </vt:variant>
      <vt:variant>
        <vt:i4>110</vt:i4>
      </vt:variant>
      <vt:variant>
        <vt:i4>0</vt:i4>
      </vt:variant>
      <vt:variant>
        <vt:i4>5</vt:i4>
      </vt:variant>
      <vt:variant>
        <vt:lpwstr/>
      </vt:variant>
      <vt:variant>
        <vt:lpwstr>ACKNOWLEDGMENTS</vt:lpwstr>
      </vt:variant>
      <vt:variant>
        <vt:i4>1507387</vt:i4>
      </vt:variant>
      <vt:variant>
        <vt:i4>104</vt:i4>
      </vt:variant>
      <vt:variant>
        <vt:i4>0</vt:i4>
      </vt:variant>
      <vt:variant>
        <vt:i4>5</vt:i4>
      </vt:variant>
      <vt:variant>
        <vt:lpwstr/>
      </vt:variant>
      <vt:variant>
        <vt:lpwstr>_Toc251405848</vt:lpwstr>
      </vt:variant>
      <vt:variant>
        <vt:i4>1507387</vt:i4>
      </vt:variant>
      <vt:variant>
        <vt:i4>98</vt:i4>
      </vt:variant>
      <vt:variant>
        <vt:i4>0</vt:i4>
      </vt:variant>
      <vt:variant>
        <vt:i4>5</vt:i4>
      </vt:variant>
      <vt:variant>
        <vt:lpwstr/>
      </vt:variant>
      <vt:variant>
        <vt:lpwstr>_Toc251405847</vt:lpwstr>
      </vt:variant>
      <vt:variant>
        <vt:i4>1507387</vt:i4>
      </vt:variant>
      <vt:variant>
        <vt:i4>92</vt:i4>
      </vt:variant>
      <vt:variant>
        <vt:i4>0</vt:i4>
      </vt:variant>
      <vt:variant>
        <vt:i4>5</vt:i4>
      </vt:variant>
      <vt:variant>
        <vt:lpwstr/>
      </vt:variant>
      <vt:variant>
        <vt:lpwstr>_Toc251405846</vt:lpwstr>
      </vt:variant>
      <vt:variant>
        <vt:i4>1507387</vt:i4>
      </vt:variant>
      <vt:variant>
        <vt:i4>86</vt:i4>
      </vt:variant>
      <vt:variant>
        <vt:i4>0</vt:i4>
      </vt:variant>
      <vt:variant>
        <vt:i4>5</vt:i4>
      </vt:variant>
      <vt:variant>
        <vt:lpwstr/>
      </vt:variant>
      <vt:variant>
        <vt:lpwstr>_Toc251405845</vt:lpwstr>
      </vt:variant>
      <vt:variant>
        <vt:i4>1507387</vt:i4>
      </vt:variant>
      <vt:variant>
        <vt:i4>80</vt:i4>
      </vt:variant>
      <vt:variant>
        <vt:i4>0</vt:i4>
      </vt:variant>
      <vt:variant>
        <vt:i4>5</vt:i4>
      </vt:variant>
      <vt:variant>
        <vt:lpwstr/>
      </vt:variant>
      <vt:variant>
        <vt:lpwstr>_Toc251405844</vt:lpwstr>
      </vt:variant>
      <vt:variant>
        <vt:i4>1507387</vt:i4>
      </vt:variant>
      <vt:variant>
        <vt:i4>74</vt:i4>
      </vt:variant>
      <vt:variant>
        <vt:i4>0</vt:i4>
      </vt:variant>
      <vt:variant>
        <vt:i4>5</vt:i4>
      </vt:variant>
      <vt:variant>
        <vt:lpwstr/>
      </vt:variant>
      <vt:variant>
        <vt:lpwstr>_Toc251405843</vt:lpwstr>
      </vt:variant>
      <vt:variant>
        <vt:i4>1507387</vt:i4>
      </vt:variant>
      <vt:variant>
        <vt:i4>68</vt:i4>
      </vt:variant>
      <vt:variant>
        <vt:i4>0</vt:i4>
      </vt:variant>
      <vt:variant>
        <vt:i4>5</vt:i4>
      </vt:variant>
      <vt:variant>
        <vt:lpwstr/>
      </vt:variant>
      <vt:variant>
        <vt:lpwstr>_Toc251405842</vt:lpwstr>
      </vt:variant>
      <vt:variant>
        <vt:i4>1507387</vt:i4>
      </vt:variant>
      <vt:variant>
        <vt:i4>62</vt:i4>
      </vt:variant>
      <vt:variant>
        <vt:i4>0</vt:i4>
      </vt:variant>
      <vt:variant>
        <vt:i4>5</vt:i4>
      </vt:variant>
      <vt:variant>
        <vt:lpwstr/>
      </vt:variant>
      <vt:variant>
        <vt:lpwstr>_Toc251405841</vt:lpwstr>
      </vt:variant>
      <vt:variant>
        <vt:i4>1507387</vt:i4>
      </vt:variant>
      <vt:variant>
        <vt:i4>56</vt:i4>
      </vt:variant>
      <vt:variant>
        <vt:i4>0</vt:i4>
      </vt:variant>
      <vt:variant>
        <vt:i4>5</vt:i4>
      </vt:variant>
      <vt:variant>
        <vt:lpwstr/>
      </vt:variant>
      <vt:variant>
        <vt:lpwstr>_Toc251405840</vt:lpwstr>
      </vt:variant>
      <vt:variant>
        <vt:i4>1048635</vt:i4>
      </vt:variant>
      <vt:variant>
        <vt:i4>50</vt:i4>
      </vt:variant>
      <vt:variant>
        <vt:i4>0</vt:i4>
      </vt:variant>
      <vt:variant>
        <vt:i4>5</vt:i4>
      </vt:variant>
      <vt:variant>
        <vt:lpwstr/>
      </vt:variant>
      <vt:variant>
        <vt:lpwstr>_Toc251405839</vt:lpwstr>
      </vt:variant>
      <vt:variant>
        <vt:i4>1048635</vt:i4>
      </vt:variant>
      <vt:variant>
        <vt:i4>44</vt:i4>
      </vt:variant>
      <vt:variant>
        <vt:i4>0</vt:i4>
      </vt:variant>
      <vt:variant>
        <vt:i4>5</vt:i4>
      </vt:variant>
      <vt:variant>
        <vt:lpwstr/>
      </vt:variant>
      <vt:variant>
        <vt:lpwstr>_Toc251405838</vt:lpwstr>
      </vt:variant>
      <vt:variant>
        <vt:i4>1048635</vt:i4>
      </vt:variant>
      <vt:variant>
        <vt:i4>38</vt:i4>
      </vt:variant>
      <vt:variant>
        <vt:i4>0</vt:i4>
      </vt:variant>
      <vt:variant>
        <vt:i4>5</vt:i4>
      </vt:variant>
      <vt:variant>
        <vt:lpwstr/>
      </vt:variant>
      <vt:variant>
        <vt:lpwstr>_Toc251405837</vt:lpwstr>
      </vt:variant>
      <vt:variant>
        <vt:i4>1048635</vt:i4>
      </vt:variant>
      <vt:variant>
        <vt:i4>32</vt:i4>
      </vt:variant>
      <vt:variant>
        <vt:i4>0</vt:i4>
      </vt:variant>
      <vt:variant>
        <vt:i4>5</vt:i4>
      </vt:variant>
      <vt:variant>
        <vt:lpwstr/>
      </vt:variant>
      <vt:variant>
        <vt:lpwstr>_Toc251405836</vt:lpwstr>
      </vt:variant>
      <vt:variant>
        <vt:i4>1048635</vt:i4>
      </vt:variant>
      <vt:variant>
        <vt:i4>26</vt:i4>
      </vt:variant>
      <vt:variant>
        <vt:i4>0</vt:i4>
      </vt:variant>
      <vt:variant>
        <vt:i4>5</vt:i4>
      </vt:variant>
      <vt:variant>
        <vt:lpwstr/>
      </vt:variant>
      <vt:variant>
        <vt:lpwstr>_Toc251405835</vt:lpwstr>
      </vt:variant>
      <vt:variant>
        <vt:i4>1048635</vt:i4>
      </vt:variant>
      <vt:variant>
        <vt:i4>20</vt:i4>
      </vt:variant>
      <vt:variant>
        <vt:i4>0</vt:i4>
      </vt:variant>
      <vt:variant>
        <vt:i4>5</vt:i4>
      </vt:variant>
      <vt:variant>
        <vt:lpwstr/>
      </vt:variant>
      <vt:variant>
        <vt:lpwstr>_Toc251405834</vt:lpwstr>
      </vt:variant>
      <vt:variant>
        <vt:i4>1048635</vt:i4>
      </vt:variant>
      <vt:variant>
        <vt:i4>14</vt:i4>
      </vt:variant>
      <vt:variant>
        <vt:i4>0</vt:i4>
      </vt:variant>
      <vt:variant>
        <vt:i4>5</vt:i4>
      </vt:variant>
      <vt:variant>
        <vt:lpwstr/>
      </vt:variant>
      <vt:variant>
        <vt:lpwstr>_Toc251405833</vt:lpwstr>
      </vt:variant>
      <vt:variant>
        <vt:i4>1048635</vt:i4>
      </vt:variant>
      <vt:variant>
        <vt:i4>8</vt:i4>
      </vt:variant>
      <vt:variant>
        <vt:i4>0</vt:i4>
      </vt:variant>
      <vt:variant>
        <vt:i4>5</vt:i4>
      </vt:variant>
      <vt:variant>
        <vt:lpwstr/>
      </vt:variant>
      <vt:variant>
        <vt:lpwstr>_Toc251405832</vt:lpwstr>
      </vt:variant>
      <vt:variant>
        <vt:i4>1048635</vt:i4>
      </vt:variant>
      <vt:variant>
        <vt:i4>2</vt:i4>
      </vt:variant>
      <vt:variant>
        <vt:i4>0</vt:i4>
      </vt:variant>
      <vt:variant>
        <vt:i4>5</vt:i4>
      </vt:variant>
      <vt:variant>
        <vt:lpwstr/>
      </vt:variant>
      <vt:variant>
        <vt:lpwstr>_Toc251405831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Sanders Morris Mundy, Inc.</dc:title>
  <dc:subject/>
  <dc:creator>MGL Consulting Corporation</dc:creator>
  <cp:keywords/>
  <dc:description/>
  <cp:lastModifiedBy>Laura Hendricks</cp:lastModifiedBy>
  <cp:revision>4</cp:revision>
  <cp:lastPrinted>2022-12-21T20:31:00Z</cp:lastPrinted>
  <dcterms:created xsi:type="dcterms:W3CDTF">2022-12-21T20:19:00Z</dcterms:created>
  <dcterms:modified xsi:type="dcterms:W3CDTF">2022-12-21T21:58:00Z</dcterms:modified>
</cp:coreProperties>
</file>